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617FE">
      <w:pPr>
        <w:overflowPunct w:val="0"/>
        <w:jc w:val="both"/>
        <w:rPr>
          <w:rFonts w:hint="eastAsia" w:ascii="Times New Roman" w:hAnsi="Times New Roman" w:cs="Times New Roman"/>
          <w:sz w:val="20"/>
          <w:szCs w:val="20"/>
        </w:rPr>
      </w:pPr>
      <w:bookmarkStart w:id="0" w:name="_GoBack"/>
      <w:bookmarkEnd w:id="0"/>
    </w:p>
    <w:p w14:paraId="44F75D77">
      <w:pPr>
        <w:overflowPunct w:val="0"/>
        <w:jc w:val="both"/>
        <w:rPr>
          <w:rFonts w:ascii="Times New Roman" w:hAnsi="Times New Roman" w:eastAsia="Times New Roman" w:cs="Times New Roman"/>
          <w:sz w:val="20"/>
          <w:szCs w:val="20"/>
        </w:rPr>
      </w:pPr>
    </w:p>
    <w:p w14:paraId="3074C968">
      <w:pPr>
        <w:overflowPunct w:val="0"/>
        <w:jc w:val="both"/>
        <w:rPr>
          <w:rFonts w:ascii="Times New Roman" w:hAnsi="Times New Roman" w:eastAsia="Times New Roman" w:cs="Times New Roman"/>
          <w:sz w:val="20"/>
          <w:szCs w:val="20"/>
        </w:rPr>
      </w:pPr>
    </w:p>
    <w:p w14:paraId="4D40EB9A">
      <w:pPr>
        <w:overflowPunct w:val="0"/>
        <w:jc w:val="both"/>
        <w:rPr>
          <w:rFonts w:ascii="Times New Roman" w:hAnsi="Times New Roman" w:eastAsia="Times New Roman" w:cs="Times New Roman"/>
          <w:sz w:val="20"/>
          <w:szCs w:val="20"/>
        </w:rPr>
      </w:pPr>
    </w:p>
    <w:p w14:paraId="4BB8EA3E">
      <w:pPr>
        <w:overflowPunct w:val="0"/>
        <w:jc w:val="both"/>
        <w:rPr>
          <w:rFonts w:ascii="Times New Roman" w:hAnsi="Times New Roman" w:eastAsia="Times New Roman" w:cs="Times New Roman"/>
          <w:sz w:val="20"/>
          <w:szCs w:val="20"/>
        </w:rPr>
      </w:pPr>
    </w:p>
    <w:p w14:paraId="34044185">
      <w:pPr>
        <w:overflowPunct w:val="0"/>
        <w:jc w:val="both"/>
        <w:rPr>
          <w:rFonts w:ascii="Times New Roman" w:hAnsi="Times New Roman" w:eastAsia="Times New Roman" w:cs="Times New Roman"/>
          <w:sz w:val="20"/>
          <w:szCs w:val="20"/>
        </w:rPr>
      </w:pPr>
    </w:p>
    <w:p w14:paraId="07E2748D">
      <w:pPr>
        <w:overflowPunct w:val="0"/>
        <w:jc w:val="both"/>
        <w:rPr>
          <w:rFonts w:ascii="Times New Roman" w:hAnsi="Times New Roman" w:eastAsia="Times New Roman" w:cs="Times New Roman"/>
          <w:sz w:val="20"/>
          <w:szCs w:val="20"/>
        </w:rPr>
      </w:pPr>
    </w:p>
    <w:p w14:paraId="5DED2160">
      <w:pPr>
        <w:overflowPunct w:val="0"/>
        <w:spacing w:before="7"/>
        <w:jc w:val="both"/>
        <w:rPr>
          <w:rFonts w:ascii="Times New Roman" w:hAnsi="Times New Roman" w:eastAsia="Times New Roman" w:cs="Times New Roman"/>
          <w:sz w:val="19"/>
          <w:szCs w:val="19"/>
        </w:rPr>
      </w:pPr>
    </w:p>
    <w:p w14:paraId="73709B63">
      <w:pPr>
        <w:overflowPunct w:val="0"/>
        <w:spacing w:before="106" w:line="640" w:lineRule="exact"/>
        <w:jc w:val="both"/>
        <w:rPr>
          <w:rFonts w:ascii="Arial" w:hAnsi="Arial" w:eastAsia="宋体" w:cs="Arial"/>
          <w:sz w:val="64"/>
          <w:szCs w:val="64"/>
        </w:rPr>
      </w:pPr>
      <w:r>
        <w:rPr>
          <w:rFonts w:hint="eastAsia" w:ascii="Arial" w:eastAsia="宋体"/>
          <w:b/>
          <w:sz w:val="64"/>
        </w:rPr>
        <w:t>CPG 章节100.900国际谅解备忘录</w:t>
      </w:r>
    </w:p>
    <w:p w14:paraId="1A829EEF">
      <w:pPr>
        <w:pStyle w:val="2"/>
        <w:overflowPunct w:val="0"/>
        <w:snapToGrid w:val="0"/>
        <w:spacing w:before="120" w:beforeLines="50" w:after="120" w:afterLines="50" w:line="360" w:lineRule="auto"/>
        <w:ind w:left="0"/>
        <w:jc w:val="both"/>
        <w:rPr>
          <w:b w:val="0"/>
          <w:bCs w:val="0"/>
          <w:sz w:val="32"/>
          <w:szCs w:val="32"/>
        </w:rPr>
      </w:pPr>
      <w:r>
        <w:rPr>
          <w:rFonts w:hint="eastAsia"/>
          <w:sz w:val="32"/>
          <w:szCs w:val="32"/>
        </w:rPr>
        <w:t>主题：</w:t>
      </w:r>
    </w:p>
    <w:p w14:paraId="59634CF9">
      <w:pPr>
        <w:pStyle w:val="3"/>
        <w:overflowPunct w:val="0"/>
        <w:snapToGrid w:val="0"/>
        <w:spacing w:after="120" w:afterLines="50" w:line="360" w:lineRule="auto"/>
        <w:ind w:left="0"/>
        <w:jc w:val="both"/>
        <w:rPr>
          <w:sz w:val="28"/>
          <w:szCs w:val="28"/>
        </w:rPr>
      </w:pPr>
      <w:r>
        <w:rPr>
          <w:rFonts w:hint="eastAsia"/>
          <w:sz w:val="28"/>
          <w:szCs w:val="28"/>
        </w:rPr>
        <w:t>本指南将介绍发起、制定和监测食品药品监督管理局（FDA）与国外政府签订的协议（如谅解备忘录（MOU））的政策。本文列出的一般原则也可能适用于与国际组织签订的MOU。</w:t>
      </w:r>
    </w:p>
    <w:p w14:paraId="4E1A860B">
      <w:pPr>
        <w:pStyle w:val="2"/>
        <w:overflowPunct w:val="0"/>
        <w:snapToGrid w:val="0"/>
        <w:spacing w:before="120" w:beforeLines="50" w:after="120" w:afterLines="50" w:line="360" w:lineRule="auto"/>
        <w:ind w:left="0"/>
        <w:jc w:val="both"/>
        <w:rPr>
          <w:sz w:val="32"/>
          <w:szCs w:val="32"/>
        </w:rPr>
      </w:pPr>
      <w:r>
        <w:rPr>
          <w:rFonts w:hint="eastAsia"/>
          <w:sz w:val="32"/>
          <w:szCs w:val="32"/>
        </w:rPr>
        <w:t>背景：</w:t>
      </w:r>
    </w:p>
    <w:p w14:paraId="24687FA2">
      <w:pPr>
        <w:pStyle w:val="3"/>
        <w:overflowPunct w:val="0"/>
        <w:snapToGrid w:val="0"/>
        <w:spacing w:after="120" w:afterLines="50" w:line="360" w:lineRule="auto"/>
        <w:ind w:left="0"/>
        <w:jc w:val="both"/>
        <w:rPr>
          <w:sz w:val="28"/>
          <w:szCs w:val="28"/>
        </w:rPr>
      </w:pPr>
      <w:r>
        <w:rPr>
          <w:rFonts w:hint="eastAsia"/>
          <w:sz w:val="28"/>
          <w:szCs w:val="28"/>
        </w:rPr>
        <w:t>FDA国际协调工作小组于1992年12月建议制定指南，描述机构目标，并提高与国外政府机构制定MOU时的一致性。MOU可促进法律、法规和执法活动的协调统一。此外，如果经过妥善协商和实施，MOU可加强FDA执行其任务的能力。“合规政策指导”（CPG）的附件A列出了本机构用于确定MOU优先级的标准。</w:t>
      </w:r>
    </w:p>
    <w:p w14:paraId="1DFE8597">
      <w:pPr>
        <w:pStyle w:val="3"/>
        <w:overflowPunct w:val="0"/>
        <w:snapToGrid w:val="0"/>
        <w:spacing w:after="120" w:afterLines="50" w:line="360" w:lineRule="auto"/>
        <w:ind w:left="0"/>
        <w:jc w:val="both"/>
        <w:rPr>
          <w:sz w:val="28"/>
          <w:szCs w:val="28"/>
        </w:rPr>
      </w:pPr>
      <w:r>
        <w:rPr>
          <w:rFonts w:hint="eastAsia"/>
          <w:sz w:val="28"/>
          <w:szCs w:val="28"/>
        </w:rPr>
        <w:t>下文描述的三类MOU仅为示例。此类类别并不互相排斥，且可以根据需要改变或组合此类理念。由于主权国家的官员采用的监管方法不同，与此类官员进行讨论时，FDA需要保持灵活性。</w:t>
      </w:r>
    </w:p>
    <w:p w14:paraId="6B258141">
      <w:pPr>
        <w:pStyle w:val="2"/>
        <w:overflowPunct w:val="0"/>
        <w:snapToGrid w:val="0"/>
        <w:spacing w:before="120" w:beforeLines="50" w:after="120" w:afterLines="50" w:line="360" w:lineRule="auto"/>
        <w:ind w:left="0"/>
        <w:jc w:val="both"/>
        <w:rPr>
          <w:sz w:val="32"/>
          <w:szCs w:val="32"/>
        </w:rPr>
      </w:pPr>
      <w:r>
        <w:rPr>
          <w:rFonts w:hint="eastAsia"/>
          <w:sz w:val="32"/>
          <w:szCs w:val="32"/>
        </w:rPr>
        <w:t>与具有相同或相似体系的国家的互惠协议</w:t>
      </w:r>
    </w:p>
    <w:p w14:paraId="23694A93">
      <w:pPr>
        <w:pStyle w:val="3"/>
        <w:overflowPunct w:val="0"/>
        <w:snapToGrid w:val="0"/>
        <w:spacing w:after="120" w:afterLines="50" w:line="360" w:lineRule="auto"/>
        <w:ind w:left="0"/>
        <w:jc w:val="both"/>
        <w:rPr>
          <w:sz w:val="28"/>
          <w:szCs w:val="28"/>
        </w:rPr>
      </w:pPr>
      <w:r>
        <w:rPr>
          <w:rFonts w:hint="eastAsia"/>
          <w:sz w:val="28"/>
          <w:szCs w:val="28"/>
        </w:rPr>
        <w:t>MOU允许对FDA的具体计划或活动与国外监管机构的可比性进行相互评估。此类MOU类似于近期贸易协议中提到的相互承认协议（MRA），且其包括等同性协议。如果可以确定FDA的控制措施和国外监管机构的控制措施类似且旨在提供相同的保护水平，则可认为允许对国外监管体系或措施的可比性进行相互评估的FDA MOU适用。此类协议有两种形式，在第一种形式下，作出监管决定时，通常需要相互验收数据和信息（如分析成果和检验结果）。典型示例是现已用于交流良好制造规范和良好实验室规范检验结果的MOU。</w:t>
      </w:r>
      <w:r>
        <w:rPr>
          <w:sz w:val="28"/>
          <w:szCs w:val="28"/>
        </w:rPr>
        <w:br w:type="page"/>
      </w:r>
    </w:p>
    <w:p w14:paraId="5DD2DBC7">
      <w:pPr>
        <w:pStyle w:val="3"/>
        <w:overflowPunct w:val="0"/>
        <w:snapToGrid w:val="0"/>
        <w:spacing w:after="120" w:afterLines="50" w:line="360" w:lineRule="auto"/>
        <w:ind w:left="0"/>
        <w:jc w:val="both"/>
        <w:rPr>
          <w:sz w:val="28"/>
          <w:szCs w:val="28"/>
        </w:rPr>
      </w:pPr>
      <w:r>
        <w:rPr>
          <w:rFonts w:hint="eastAsia"/>
          <w:sz w:val="28"/>
          <w:szCs w:val="28"/>
        </w:rPr>
        <w:t>在另一种形式下，FDA和另一国家可同意其用于管理某些产品的监管体系相同或相似，且旨在提供所需的保护水平，从而使每个国家在从其他国家进口产品时能够考虑降低必要的检验或抽样率。</w:t>
      </w:r>
    </w:p>
    <w:p w14:paraId="6D5E5460">
      <w:pPr>
        <w:pStyle w:val="2"/>
        <w:overflowPunct w:val="0"/>
        <w:snapToGrid w:val="0"/>
        <w:spacing w:before="120" w:beforeLines="50" w:after="120" w:afterLines="50" w:line="360" w:lineRule="auto"/>
        <w:ind w:left="0"/>
        <w:jc w:val="both"/>
        <w:rPr>
          <w:sz w:val="32"/>
          <w:szCs w:val="32"/>
        </w:rPr>
      </w:pPr>
      <w:r>
        <w:rPr>
          <w:rFonts w:hint="eastAsia"/>
          <w:sz w:val="32"/>
          <w:szCs w:val="32"/>
        </w:rPr>
        <w:t>进口/出口认证</w:t>
      </w:r>
    </w:p>
    <w:p w14:paraId="5B9672AD">
      <w:pPr>
        <w:pStyle w:val="3"/>
        <w:overflowPunct w:val="0"/>
        <w:snapToGrid w:val="0"/>
        <w:spacing w:after="120" w:afterLines="50" w:line="360" w:lineRule="auto"/>
        <w:ind w:left="0"/>
        <w:jc w:val="both"/>
        <w:rPr>
          <w:sz w:val="28"/>
          <w:szCs w:val="28"/>
        </w:rPr>
      </w:pPr>
      <w:r>
        <w:rPr>
          <w:rFonts w:hint="eastAsia"/>
          <w:sz w:val="28"/>
          <w:szCs w:val="28"/>
        </w:rPr>
        <w:t>MOU可以确定FDA监管产品的认证标准。历史上，此类MOU涉及到出口到美国，但具有固有或一致的质量或安全问题的产品。但其也可能涉及具有良好合规历史的产品（请参见本CPG的附件A）。其可以确定出口国应采用的控制措施，以确保认证的有效性和可靠性。此类协议的目的是降低FDA必须进行的检验或抽样率，以及为确保FDA的消费者保护目标得到满足提供依据。可以通过产品、容器或进境文件上的标记或其他纸面或电子通讯显示认证。基于由出口国采用和维护，用于确保出口制品符合FDA法律和法规的控制措施的MOU可能不要求提供此类认证标志、文件或进行其他沟通。</w:t>
      </w:r>
    </w:p>
    <w:p w14:paraId="7D3CC73C">
      <w:pPr>
        <w:pStyle w:val="2"/>
        <w:overflowPunct w:val="0"/>
        <w:snapToGrid w:val="0"/>
        <w:spacing w:before="120" w:beforeLines="50" w:after="120" w:afterLines="50" w:line="360" w:lineRule="auto"/>
        <w:ind w:left="0"/>
        <w:jc w:val="both"/>
        <w:rPr>
          <w:sz w:val="32"/>
          <w:szCs w:val="32"/>
        </w:rPr>
      </w:pPr>
      <w:r>
        <w:rPr>
          <w:rFonts w:hint="eastAsia"/>
          <w:sz w:val="32"/>
          <w:szCs w:val="32"/>
        </w:rPr>
        <w:t>沟通</w:t>
      </w:r>
    </w:p>
    <w:p w14:paraId="3F731116">
      <w:pPr>
        <w:pStyle w:val="3"/>
        <w:overflowPunct w:val="0"/>
        <w:snapToGrid w:val="0"/>
        <w:spacing w:after="120" w:afterLines="50" w:line="360" w:lineRule="auto"/>
        <w:ind w:left="0"/>
        <w:jc w:val="both"/>
        <w:rPr>
          <w:sz w:val="28"/>
          <w:szCs w:val="28"/>
        </w:rPr>
      </w:pPr>
      <w:r>
        <w:rPr>
          <w:rFonts w:hint="eastAsia"/>
          <w:sz w:val="28"/>
          <w:szCs w:val="28"/>
        </w:rPr>
        <w:t>正式沟通有助于交流技术、科学和监管信息。技术合作可以加深对美国与其他国家之间交易产品的安全性和质量标准的了解，促进协调统一。</w:t>
      </w:r>
    </w:p>
    <w:p w14:paraId="029B2D5B">
      <w:pPr>
        <w:pStyle w:val="3"/>
        <w:overflowPunct w:val="0"/>
        <w:snapToGrid w:val="0"/>
        <w:spacing w:after="120" w:afterLines="50" w:line="360" w:lineRule="auto"/>
        <w:ind w:left="0"/>
        <w:jc w:val="both"/>
        <w:rPr>
          <w:sz w:val="28"/>
          <w:szCs w:val="28"/>
        </w:rPr>
      </w:pPr>
      <w:r>
        <w:rPr>
          <w:rFonts w:hint="eastAsia"/>
          <w:sz w:val="28"/>
          <w:szCs w:val="28"/>
        </w:rPr>
        <w:t>改善与外国官员的沟通可能会改进FDA的决策，减少用于监控国外产品的资源支出。</w:t>
      </w:r>
    </w:p>
    <w:p w14:paraId="293AAF12">
      <w:pPr>
        <w:pStyle w:val="2"/>
        <w:overflowPunct w:val="0"/>
        <w:snapToGrid w:val="0"/>
        <w:spacing w:before="120" w:beforeLines="50" w:after="120" w:afterLines="50" w:line="360" w:lineRule="auto"/>
        <w:ind w:left="0"/>
        <w:jc w:val="both"/>
        <w:rPr>
          <w:sz w:val="32"/>
          <w:szCs w:val="32"/>
        </w:rPr>
      </w:pPr>
      <w:r>
        <w:rPr>
          <w:rFonts w:hint="eastAsia"/>
          <w:sz w:val="32"/>
          <w:szCs w:val="32"/>
        </w:rPr>
        <w:t>政策：</w:t>
      </w:r>
    </w:p>
    <w:p w14:paraId="4E8ADDEA">
      <w:pPr>
        <w:pStyle w:val="3"/>
        <w:overflowPunct w:val="0"/>
        <w:snapToGrid w:val="0"/>
        <w:spacing w:after="120" w:afterLines="50" w:line="360" w:lineRule="auto"/>
        <w:ind w:left="0"/>
        <w:jc w:val="both"/>
        <w:rPr>
          <w:sz w:val="28"/>
          <w:szCs w:val="28"/>
        </w:rPr>
      </w:pPr>
      <w:r>
        <w:rPr>
          <w:rFonts w:hint="eastAsia"/>
          <w:sz w:val="28"/>
          <w:szCs w:val="28"/>
        </w:rPr>
        <w:t>FDA致力于制定可进一步推动机构的公共卫生使命的MOU。FDA通常仅与外国政府机构或国际组织签订MOU。MOU的设计应符合以下目标：</w:t>
      </w:r>
    </w:p>
    <w:p w14:paraId="7A353250">
      <w:pPr>
        <w:pStyle w:val="11"/>
        <w:numPr>
          <w:ilvl w:val="0"/>
          <w:numId w:val="1"/>
        </w:numPr>
        <w:tabs>
          <w:tab w:val="left" w:pos="613"/>
        </w:tabs>
        <w:overflowPunct w:val="0"/>
        <w:snapToGrid w:val="0"/>
        <w:spacing w:after="120" w:afterLines="50" w:line="360" w:lineRule="auto"/>
        <w:ind w:left="0" w:firstLine="0"/>
        <w:jc w:val="both"/>
        <w:rPr>
          <w:rFonts w:ascii="Arial" w:hAnsi="Arial" w:eastAsia="宋体" w:cs="Arial"/>
          <w:sz w:val="28"/>
          <w:szCs w:val="28"/>
        </w:rPr>
      </w:pPr>
      <w:r>
        <w:rPr>
          <w:rFonts w:hint="eastAsia" w:ascii="Arial" w:eastAsia="宋体"/>
          <w:sz w:val="28"/>
          <w:szCs w:val="28"/>
        </w:rPr>
        <w:t>加强FDA确保受监管产品安全、有效及具有良好质量和正确标签的能力；</w:t>
      </w:r>
    </w:p>
    <w:p w14:paraId="4F6ECBB6">
      <w:pPr>
        <w:pStyle w:val="11"/>
        <w:numPr>
          <w:ilvl w:val="0"/>
          <w:numId w:val="1"/>
        </w:numPr>
        <w:tabs>
          <w:tab w:val="left" w:pos="613"/>
        </w:tabs>
        <w:overflowPunct w:val="0"/>
        <w:snapToGrid w:val="0"/>
        <w:spacing w:after="120" w:afterLines="50" w:line="360" w:lineRule="auto"/>
        <w:ind w:left="0" w:firstLine="0"/>
        <w:jc w:val="both"/>
        <w:rPr>
          <w:rFonts w:ascii="Arial" w:hAnsi="Arial" w:eastAsia="宋体" w:cs="Arial"/>
          <w:sz w:val="28"/>
          <w:szCs w:val="28"/>
        </w:rPr>
      </w:pPr>
      <w:r>
        <w:rPr>
          <w:rFonts w:hint="eastAsia" w:ascii="Arial" w:eastAsia="宋体"/>
          <w:sz w:val="28"/>
          <w:szCs w:val="28"/>
        </w:rPr>
        <w:t>允许FDA更高效或更有效地利用其资源，而不损害其履行职责的能力； 以及</w:t>
      </w:r>
    </w:p>
    <w:p w14:paraId="5B7E4F62">
      <w:pPr>
        <w:pStyle w:val="11"/>
        <w:numPr>
          <w:ilvl w:val="0"/>
          <w:numId w:val="1"/>
        </w:numPr>
        <w:tabs>
          <w:tab w:val="left" w:pos="613"/>
        </w:tabs>
        <w:overflowPunct w:val="0"/>
        <w:snapToGrid w:val="0"/>
        <w:spacing w:after="120" w:afterLines="50" w:line="360" w:lineRule="auto"/>
        <w:ind w:left="0" w:firstLine="0"/>
        <w:jc w:val="both"/>
        <w:rPr>
          <w:rFonts w:ascii="Arial" w:hAnsi="Arial" w:eastAsia="宋体" w:cs="Arial"/>
          <w:sz w:val="28"/>
          <w:szCs w:val="28"/>
        </w:rPr>
      </w:pPr>
      <w:r>
        <w:rPr>
          <w:rFonts w:hint="eastAsia" w:ascii="Arial" w:eastAsia="宋体"/>
          <w:sz w:val="28"/>
          <w:szCs w:val="28"/>
        </w:rPr>
        <w:t>改善FDA与外国官员之间就FDA监管产品进行的沟通。</w:t>
      </w:r>
    </w:p>
    <w:p w14:paraId="5D3B13B2">
      <w:pPr>
        <w:pStyle w:val="3"/>
        <w:overflowPunct w:val="0"/>
        <w:snapToGrid w:val="0"/>
        <w:spacing w:after="120" w:afterLines="50" w:line="360" w:lineRule="auto"/>
        <w:ind w:left="0"/>
        <w:jc w:val="both"/>
        <w:rPr>
          <w:rFonts w:eastAsia="Arial" w:cs="Arial"/>
          <w:sz w:val="28"/>
          <w:szCs w:val="28"/>
        </w:rPr>
      </w:pPr>
      <w:r>
        <w:rPr>
          <w:rFonts w:hint="eastAsia"/>
          <w:sz w:val="28"/>
          <w:szCs w:val="28"/>
        </w:rPr>
        <w:t>此外，在承认国外政府的程序和活动（包括执行方法）与其等同前，FDA将试图确保此类活动可提供相同水平的产品质量、安全性和有效性，且需符合联邦食品，药品和化妆品法案（简称法案）；公平包装和标签法；公共卫生服务法案；和美国其他相关法律的要求。</w:t>
      </w:r>
    </w:p>
    <w:p w14:paraId="5C8E98C5">
      <w:pPr>
        <w:pStyle w:val="3"/>
        <w:overflowPunct w:val="0"/>
        <w:snapToGrid w:val="0"/>
        <w:spacing w:after="120" w:afterLines="50" w:line="360" w:lineRule="auto"/>
        <w:ind w:left="0"/>
        <w:jc w:val="both"/>
        <w:rPr>
          <w:sz w:val="28"/>
          <w:szCs w:val="28"/>
        </w:rPr>
      </w:pPr>
      <w:r>
        <w:rPr>
          <w:rFonts w:hint="eastAsia"/>
          <w:sz w:val="28"/>
          <w:szCs w:val="28"/>
        </w:rPr>
        <w:t>FDA可能会发现有必要通过现场审查或其他适当方式确认国外政府机构具有成功实现MOU的拟定条款所需的权限，产品标准，能力和基础设施以及可借此作出等同性测定。如果适用，FDA将发布拟定等同性测定以征求评论和建议。</w:t>
      </w:r>
    </w:p>
    <w:p w14:paraId="2C7165A1">
      <w:pPr>
        <w:pStyle w:val="3"/>
        <w:overflowPunct w:val="0"/>
        <w:snapToGrid w:val="0"/>
        <w:spacing w:after="120" w:afterLines="50" w:line="360" w:lineRule="auto"/>
        <w:ind w:left="0"/>
        <w:jc w:val="both"/>
        <w:rPr>
          <w:sz w:val="28"/>
          <w:szCs w:val="28"/>
        </w:rPr>
      </w:pPr>
      <w:r>
        <w:rPr>
          <w:rFonts w:hint="eastAsia"/>
          <w:sz w:val="28"/>
          <w:szCs w:val="28"/>
        </w:rPr>
        <w:t>FDA决定何时开始考虑制定MOU的标准见本CPG的附件A。FDA通常会定期审查和更新此类标准。</w:t>
      </w:r>
    </w:p>
    <w:p w14:paraId="0EDA7D3B">
      <w:pPr>
        <w:pStyle w:val="3"/>
        <w:overflowPunct w:val="0"/>
        <w:snapToGrid w:val="0"/>
        <w:spacing w:after="120" w:afterLines="50" w:line="360" w:lineRule="auto"/>
        <w:ind w:left="0"/>
        <w:jc w:val="both"/>
        <w:rPr>
          <w:sz w:val="28"/>
          <w:szCs w:val="28"/>
        </w:rPr>
      </w:pPr>
      <w:r>
        <w:rPr>
          <w:rFonts w:hint="eastAsia"/>
          <w:sz w:val="28"/>
          <w:szCs w:val="28"/>
        </w:rPr>
        <w:t>在FDA部门与外国官员就MOU进行实质性讨论之前，受影响的机构单位将对新的或经修订的MOU提案进行审查，以确定其是否符合机构的国际政策目标和优先级。</w:t>
      </w:r>
    </w:p>
    <w:p w14:paraId="2AC7F3FE">
      <w:pPr>
        <w:pStyle w:val="3"/>
        <w:overflowPunct w:val="0"/>
        <w:snapToGrid w:val="0"/>
        <w:spacing w:after="120" w:afterLines="50" w:line="360" w:lineRule="auto"/>
        <w:ind w:left="0"/>
        <w:jc w:val="both"/>
        <w:rPr>
          <w:sz w:val="28"/>
          <w:szCs w:val="28"/>
        </w:rPr>
      </w:pPr>
      <w:r>
        <w:rPr>
          <w:rFonts w:hint="eastAsia"/>
          <w:sz w:val="28"/>
          <w:szCs w:val="28"/>
        </w:rPr>
        <w:t>FDA可能需进行审核，以确保为协议提供基础的情况继续存在，无论国外政府是否打算进行审核。MOU中确定的联络办公室负责编写书面评价。由责任联络办公室询问FDA的参与部门协议的总体有效性，是否应添加或删除规定，以及是否应终止MOU。</w:t>
      </w:r>
    </w:p>
    <w:p w14:paraId="28D402C3">
      <w:pPr>
        <w:pStyle w:val="3"/>
        <w:overflowPunct w:val="0"/>
        <w:snapToGrid w:val="0"/>
        <w:spacing w:after="120" w:afterLines="50" w:line="360" w:lineRule="auto"/>
        <w:ind w:left="0"/>
        <w:jc w:val="both"/>
        <w:rPr>
          <w:sz w:val="28"/>
          <w:szCs w:val="28"/>
        </w:rPr>
      </w:pPr>
      <w:r>
        <w:rPr>
          <w:rFonts w:hint="eastAsia"/>
          <w:sz w:val="28"/>
          <w:szCs w:val="28"/>
        </w:rPr>
        <w:t>连署协议通常被FDA称为“谅解备忘录”。但是，一些国外政府已要求将此类文件称为“口头备注”，“安排”或“相互承认协议”。无论标题如何，此类协议将编入合规政策指导手册第56章中，并将在联邦公报中发布通知宣布此类协议可用。</w:t>
      </w:r>
    </w:p>
    <w:p w14:paraId="233796EF">
      <w:pPr>
        <w:pStyle w:val="3"/>
        <w:overflowPunct w:val="0"/>
        <w:snapToGrid w:val="0"/>
        <w:spacing w:after="120" w:afterLines="50" w:line="360" w:lineRule="auto"/>
        <w:ind w:left="0"/>
        <w:jc w:val="both"/>
        <w:rPr>
          <w:sz w:val="28"/>
          <w:szCs w:val="28"/>
        </w:rPr>
      </w:pPr>
      <w:r>
        <w:rPr>
          <w:rFonts w:hint="eastAsia"/>
          <w:sz w:val="28"/>
          <w:szCs w:val="28"/>
        </w:rPr>
        <w:t>当预期行动仅需耗费有限的资源支出，且其重要性低于正式协议的重要性时，应使用“互换函件”来代替正式协议。例如，互换函件可以形成一种协议，即各机构将向其他机构提供可应要求向任何公众提供的文档。每封函件均应仅列出需由签署函件的机构执行的行动，而不是相互考虑。许可互换函件时将使用与MOU相同的过程，但在完成许可后，FDA函件可由合适的中心或办公室主任签署。应将互换函件副本放入合规政策指导手册的合作协议部分。</w:t>
      </w:r>
    </w:p>
    <w:p w14:paraId="045AFBF3">
      <w:pPr>
        <w:pStyle w:val="3"/>
        <w:overflowPunct w:val="0"/>
        <w:snapToGrid w:val="0"/>
        <w:spacing w:after="120" w:afterLines="50" w:line="360" w:lineRule="auto"/>
        <w:ind w:left="0"/>
        <w:jc w:val="both"/>
        <w:rPr>
          <w:rFonts w:eastAsia="Arial" w:cs="Arial"/>
          <w:sz w:val="28"/>
          <w:szCs w:val="28"/>
        </w:rPr>
      </w:pPr>
      <w:r>
        <w:rPr>
          <w:rFonts w:hint="eastAsia"/>
          <w:sz w:val="28"/>
          <w:szCs w:val="28"/>
        </w:rPr>
        <w:t>FDA签订的MOU的有效期通常为5年。在签订协议后的5年期间，应至少对每个现有MOU进行一次评价，以确定是否应修改、继续或取消MOU。作为MOU评价的一部分，本机构可以进行独立或联合检验或分析进口产品，以评价MOU的有效性。</w:t>
      </w:r>
    </w:p>
    <w:p w14:paraId="499E6161">
      <w:pPr>
        <w:overflowPunct w:val="0"/>
        <w:rPr>
          <w:rFonts w:ascii="Arial" w:hAnsi="Arial" w:eastAsia="宋体"/>
          <w:b/>
          <w:bCs/>
          <w:sz w:val="32"/>
          <w:szCs w:val="32"/>
        </w:rPr>
      </w:pPr>
      <w:r>
        <w:rPr>
          <w:sz w:val="32"/>
          <w:szCs w:val="32"/>
        </w:rPr>
        <w:br w:type="page"/>
      </w:r>
    </w:p>
    <w:p w14:paraId="7B83C6C0">
      <w:pPr>
        <w:pStyle w:val="2"/>
        <w:overflowPunct w:val="0"/>
        <w:snapToGrid w:val="0"/>
        <w:spacing w:before="120" w:beforeLines="50" w:after="120" w:afterLines="50" w:line="312" w:lineRule="auto"/>
        <w:ind w:left="0"/>
        <w:jc w:val="both"/>
        <w:rPr>
          <w:sz w:val="32"/>
          <w:szCs w:val="32"/>
        </w:rPr>
      </w:pPr>
      <w:r>
        <w:rPr>
          <w:rFonts w:hint="eastAsia"/>
          <w:sz w:val="32"/>
          <w:szCs w:val="32"/>
        </w:rPr>
        <w:t>制定指南：</w:t>
      </w:r>
    </w:p>
    <w:p w14:paraId="45FFAC0C">
      <w:pPr>
        <w:pStyle w:val="3"/>
        <w:overflowPunct w:val="0"/>
        <w:snapToGrid w:val="0"/>
        <w:spacing w:after="120" w:afterLines="50" w:line="312" w:lineRule="auto"/>
        <w:ind w:left="0"/>
        <w:jc w:val="both"/>
        <w:rPr>
          <w:sz w:val="28"/>
          <w:szCs w:val="28"/>
        </w:rPr>
      </w:pPr>
      <w:r>
        <w:rPr>
          <w:rFonts w:hint="eastAsia"/>
          <w:sz w:val="28"/>
          <w:szCs w:val="28"/>
        </w:rPr>
        <w:t>与外国政府制定MOU时，申办中心或办公室，法规事务办公室（ORA），国际事务工作人员/卫生事务办公室（IAS / OHA）和政策办公室（OP）之间应进行协调。一般来说，此过程有三个阶段，如下所述：</w:t>
      </w:r>
    </w:p>
    <w:p w14:paraId="322006D4">
      <w:pPr>
        <w:pStyle w:val="2"/>
        <w:overflowPunct w:val="0"/>
        <w:snapToGrid w:val="0"/>
        <w:spacing w:before="120" w:beforeLines="50" w:after="120" w:afterLines="50" w:line="312" w:lineRule="auto"/>
        <w:ind w:left="0"/>
        <w:jc w:val="both"/>
        <w:rPr>
          <w:sz w:val="32"/>
          <w:szCs w:val="32"/>
        </w:rPr>
      </w:pPr>
      <w:r>
        <w:rPr>
          <w:rFonts w:hint="eastAsia"/>
          <w:sz w:val="32"/>
          <w:szCs w:val="32"/>
        </w:rPr>
        <w:t>第I阶段 - 探讨可行性</w:t>
      </w:r>
    </w:p>
    <w:p w14:paraId="4AC5A5BD">
      <w:pPr>
        <w:pStyle w:val="11"/>
        <w:numPr>
          <w:ilvl w:val="0"/>
          <w:numId w:val="2"/>
        </w:numPr>
        <w:tabs>
          <w:tab w:val="left" w:pos="613"/>
        </w:tabs>
        <w:overflowPunct w:val="0"/>
        <w:snapToGrid w:val="0"/>
        <w:spacing w:after="120" w:afterLines="50" w:line="312" w:lineRule="auto"/>
        <w:ind w:left="616" w:hanging="616" w:hangingChars="220"/>
        <w:jc w:val="both"/>
        <w:rPr>
          <w:sz w:val="28"/>
          <w:szCs w:val="28"/>
        </w:rPr>
      </w:pPr>
      <w:r>
        <w:rPr>
          <w:rFonts w:hint="eastAsia" w:ascii="Arial" w:eastAsia="宋体"/>
          <w:sz w:val="28"/>
          <w:szCs w:val="28"/>
        </w:rPr>
        <w:t>申办中心或办公室应进行初步评估，确定拟定MOU是否符合FDA政策目标。</w:t>
      </w:r>
      <w:r>
        <w:rPr>
          <w:rFonts w:hint="eastAsia"/>
          <w:sz w:val="28"/>
          <w:szCs w:val="28"/>
        </w:rPr>
        <w:t>如果申办中心或办公室认为应制定该MOU，则中心或办公室应以书面形式通知ORA（HFC-10），并解释其认为应制定该MOU的原因。</w:t>
      </w:r>
    </w:p>
    <w:p w14:paraId="781E66BE">
      <w:pPr>
        <w:pStyle w:val="11"/>
        <w:numPr>
          <w:ilvl w:val="0"/>
          <w:numId w:val="2"/>
        </w:numPr>
        <w:tabs>
          <w:tab w:val="left" w:pos="613"/>
        </w:tabs>
        <w:overflowPunct w:val="0"/>
        <w:snapToGrid w:val="0"/>
        <w:spacing w:after="120" w:afterLines="50" w:line="312" w:lineRule="auto"/>
        <w:ind w:left="616" w:hanging="616" w:hangingChars="220"/>
        <w:jc w:val="both"/>
        <w:rPr>
          <w:rFonts w:ascii="Arial" w:hAnsi="Arial" w:eastAsia="宋体" w:cs="Arial"/>
          <w:sz w:val="28"/>
          <w:szCs w:val="28"/>
        </w:rPr>
      </w:pPr>
      <w:r>
        <w:rPr>
          <w:rFonts w:hint="eastAsia" w:ascii="Arial" w:eastAsia="宋体"/>
          <w:sz w:val="28"/>
          <w:szCs w:val="28"/>
        </w:rPr>
        <w:t>发起机构部门应提供其希望制定的协议的一般描述，例如质量保证计划的相互承认，产品认证，信息交流等。</w:t>
      </w:r>
    </w:p>
    <w:p w14:paraId="306ED322">
      <w:pPr>
        <w:pStyle w:val="11"/>
        <w:numPr>
          <w:ilvl w:val="0"/>
          <w:numId w:val="2"/>
        </w:numPr>
        <w:tabs>
          <w:tab w:val="left" w:pos="613"/>
        </w:tabs>
        <w:overflowPunct w:val="0"/>
        <w:snapToGrid w:val="0"/>
        <w:spacing w:after="120" w:afterLines="50" w:line="312" w:lineRule="auto"/>
        <w:ind w:left="616" w:hanging="616" w:hangingChars="220"/>
        <w:jc w:val="both"/>
        <w:rPr>
          <w:rFonts w:ascii="Arial" w:hAnsi="Arial" w:eastAsia="宋体" w:cs="Arial"/>
          <w:sz w:val="28"/>
          <w:szCs w:val="28"/>
        </w:rPr>
      </w:pPr>
      <w:r>
        <w:rPr>
          <w:rFonts w:hint="eastAsia" w:ascii="Arial" w:eastAsia="宋体"/>
          <w:sz w:val="28"/>
          <w:szCs w:val="28"/>
        </w:rPr>
        <w:t>双方应交流关于适用于产品、检验和抽样能力及分析方法的法律、标准和其他要求的信息。</w:t>
      </w:r>
    </w:p>
    <w:p w14:paraId="75341402">
      <w:pPr>
        <w:pStyle w:val="11"/>
        <w:numPr>
          <w:ilvl w:val="0"/>
          <w:numId w:val="2"/>
        </w:numPr>
        <w:tabs>
          <w:tab w:val="left" w:pos="613"/>
        </w:tabs>
        <w:overflowPunct w:val="0"/>
        <w:snapToGrid w:val="0"/>
        <w:spacing w:after="120" w:afterLines="50" w:line="312" w:lineRule="auto"/>
        <w:ind w:left="0" w:firstLine="0"/>
        <w:jc w:val="both"/>
        <w:rPr>
          <w:rFonts w:ascii="Arial" w:hAnsi="Arial" w:eastAsia="宋体" w:cs="Arial"/>
          <w:sz w:val="28"/>
          <w:szCs w:val="28"/>
        </w:rPr>
      </w:pPr>
      <w:r>
        <w:rPr>
          <w:rFonts w:hint="eastAsia" w:ascii="Arial" w:eastAsia="宋体"/>
          <w:sz w:val="28"/>
          <w:szCs w:val="28"/>
        </w:rPr>
        <w:t>可以安排对设施、操作和控制进行现场审查。</w:t>
      </w:r>
    </w:p>
    <w:p w14:paraId="133DCB71">
      <w:pPr>
        <w:pStyle w:val="11"/>
        <w:numPr>
          <w:ilvl w:val="0"/>
          <w:numId w:val="2"/>
        </w:numPr>
        <w:tabs>
          <w:tab w:val="left" w:pos="613"/>
        </w:tabs>
        <w:overflowPunct w:val="0"/>
        <w:snapToGrid w:val="0"/>
        <w:spacing w:after="120" w:afterLines="50" w:line="312" w:lineRule="auto"/>
        <w:ind w:left="616" w:hanging="616" w:hangingChars="220"/>
        <w:jc w:val="both"/>
        <w:rPr>
          <w:rFonts w:ascii="Arial" w:hAnsi="Arial" w:eastAsia="宋体" w:cs="Arial"/>
          <w:sz w:val="28"/>
          <w:szCs w:val="28"/>
        </w:rPr>
      </w:pPr>
      <w:r>
        <w:rPr>
          <w:rFonts w:hint="eastAsia" w:ascii="Arial" w:eastAsia="宋体"/>
          <w:sz w:val="28"/>
          <w:szCs w:val="28"/>
        </w:rPr>
        <w:t>如果国外政府似乎无法以及FDA</w:t>
      </w:r>
      <w:r>
        <w:rPr>
          <w:rFonts w:hint="eastAsia"/>
          <w:sz w:val="28"/>
          <w:szCs w:val="28"/>
        </w:rPr>
        <w:t>认为</w:t>
      </w:r>
      <w:r>
        <w:rPr>
          <w:rFonts w:hint="eastAsia" w:ascii="Arial" w:eastAsia="宋体"/>
          <w:sz w:val="28"/>
          <w:szCs w:val="28"/>
        </w:rPr>
        <w:t>其无法建立足够的基础设施来执行预期计划，申办机构部门将以书面形式解释FDA的立场，暂停进一步行动，直到FDA的关注得到充分解决。解决该问题的函件应由OP和IAS / OHA进行审查。</w:t>
      </w:r>
    </w:p>
    <w:p w14:paraId="7FD060E7">
      <w:pPr>
        <w:pStyle w:val="2"/>
        <w:overflowPunct w:val="0"/>
        <w:snapToGrid w:val="0"/>
        <w:spacing w:after="120" w:afterLines="50" w:line="312" w:lineRule="auto"/>
        <w:ind w:left="0"/>
        <w:jc w:val="both"/>
        <w:rPr>
          <w:b w:val="0"/>
          <w:bCs w:val="0"/>
          <w:sz w:val="28"/>
          <w:szCs w:val="28"/>
        </w:rPr>
      </w:pPr>
      <w:r>
        <w:rPr>
          <w:rFonts w:hint="eastAsia"/>
          <w:sz w:val="28"/>
          <w:szCs w:val="28"/>
        </w:rPr>
        <w:t>第II阶段 - 确定有效性</w:t>
      </w:r>
    </w:p>
    <w:p w14:paraId="211C173A">
      <w:pPr>
        <w:pStyle w:val="11"/>
        <w:numPr>
          <w:ilvl w:val="0"/>
          <w:numId w:val="3"/>
        </w:numPr>
        <w:tabs>
          <w:tab w:val="left" w:pos="613"/>
        </w:tabs>
        <w:overflowPunct w:val="0"/>
        <w:snapToGrid w:val="0"/>
        <w:spacing w:after="120" w:afterLines="50" w:line="312" w:lineRule="auto"/>
        <w:ind w:left="616" w:hanging="616" w:hangingChars="220"/>
        <w:jc w:val="both"/>
        <w:rPr>
          <w:rFonts w:ascii="Arial" w:hAnsi="Arial" w:eastAsia="宋体" w:cs="Arial"/>
          <w:sz w:val="28"/>
          <w:szCs w:val="28"/>
        </w:rPr>
      </w:pPr>
      <w:r>
        <w:rPr>
          <w:rFonts w:hint="eastAsia" w:ascii="Arial" w:eastAsia="宋体"/>
          <w:sz w:val="28"/>
          <w:szCs w:val="28"/>
        </w:rPr>
        <w:t>如果继续进行讨论，应通知IAS/OHA，以便能够向国务院提供适当的通知。</w:t>
      </w:r>
    </w:p>
    <w:p w14:paraId="6AFA8FA1">
      <w:pPr>
        <w:pStyle w:val="11"/>
        <w:numPr>
          <w:ilvl w:val="0"/>
          <w:numId w:val="3"/>
        </w:numPr>
        <w:tabs>
          <w:tab w:val="left" w:pos="613"/>
        </w:tabs>
        <w:overflowPunct w:val="0"/>
        <w:snapToGrid w:val="0"/>
        <w:spacing w:after="120" w:afterLines="50" w:line="312" w:lineRule="auto"/>
        <w:ind w:left="616" w:hanging="616" w:hangingChars="220"/>
        <w:jc w:val="both"/>
        <w:rPr>
          <w:rFonts w:ascii="Arial" w:hAnsi="Arial" w:eastAsia="宋体" w:cs="Arial"/>
          <w:sz w:val="28"/>
          <w:szCs w:val="28"/>
        </w:rPr>
      </w:pPr>
      <w:r>
        <w:rPr>
          <w:rFonts w:hint="eastAsia" w:ascii="Arial" w:eastAsia="宋体"/>
          <w:sz w:val="28"/>
          <w:szCs w:val="28"/>
        </w:rPr>
        <w:t>双方可以考虑进行非正式试验，以加强对计划协议的信息。MOU草案可能会与可能为试验提供依据的方案一起编制。此类文档可能包括：</w:t>
      </w:r>
    </w:p>
    <w:p w14:paraId="34BE3380">
      <w:pPr>
        <w:pStyle w:val="11"/>
        <w:numPr>
          <w:ilvl w:val="1"/>
          <w:numId w:val="3"/>
        </w:numPr>
        <w:tabs>
          <w:tab w:val="left" w:pos="1125"/>
        </w:tabs>
        <w:overflowPunct w:val="0"/>
        <w:snapToGrid w:val="0"/>
        <w:spacing w:after="120" w:afterLines="50" w:line="312" w:lineRule="auto"/>
        <w:ind w:left="0" w:firstLine="644" w:firstLineChars="230"/>
        <w:jc w:val="both"/>
        <w:rPr>
          <w:rFonts w:ascii="Arial" w:hAnsi="Arial" w:eastAsia="宋体" w:cs="Arial"/>
          <w:sz w:val="28"/>
          <w:szCs w:val="28"/>
        </w:rPr>
      </w:pPr>
      <w:r>
        <w:rPr>
          <w:rFonts w:hint="eastAsia" w:ascii="Arial" w:eastAsia="宋体"/>
          <w:sz w:val="28"/>
          <w:szCs w:val="28"/>
        </w:rPr>
        <w:t>试用程序的完整描述。</w:t>
      </w:r>
    </w:p>
    <w:p w14:paraId="319A0AE7">
      <w:pPr>
        <w:pStyle w:val="11"/>
        <w:numPr>
          <w:ilvl w:val="1"/>
          <w:numId w:val="3"/>
        </w:numPr>
        <w:tabs>
          <w:tab w:val="left" w:pos="1125"/>
        </w:tabs>
        <w:overflowPunct w:val="0"/>
        <w:snapToGrid w:val="0"/>
        <w:spacing w:after="120" w:afterLines="50" w:line="312" w:lineRule="auto"/>
        <w:ind w:left="0" w:firstLine="644" w:firstLineChars="230"/>
        <w:jc w:val="both"/>
        <w:rPr>
          <w:rFonts w:ascii="Arial" w:hAnsi="Arial" w:eastAsia="宋体" w:cs="Arial"/>
          <w:sz w:val="28"/>
          <w:szCs w:val="28"/>
        </w:rPr>
      </w:pPr>
      <w:r>
        <w:rPr>
          <w:rFonts w:hint="eastAsia" w:ascii="Arial" w:eastAsia="宋体"/>
          <w:sz w:val="28"/>
          <w:szCs w:val="28"/>
        </w:rPr>
        <w:t>有关政府和私营组织的作用和职责信息。</w:t>
      </w:r>
    </w:p>
    <w:p w14:paraId="169D35B5">
      <w:pPr>
        <w:pStyle w:val="11"/>
        <w:numPr>
          <w:ilvl w:val="1"/>
          <w:numId w:val="3"/>
        </w:numPr>
        <w:tabs>
          <w:tab w:val="left" w:pos="1125"/>
        </w:tabs>
        <w:overflowPunct w:val="0"/>
        <w:snapToGrid w:val="0"/>
        <w:spacing w:after="120" w:afterLines="50" w:line="312" w:lineRule="auto"/>
        <w:ind w:left="0" w:firstLine="644" w:firstLineChars="230"/>
        <w:jc w:val="both"/>
        <w:rPr>
          <w:rFonts w:ascii="Arial" w:hAnsi="Arial" w:eastAsia="宋体" w:cs="Arial"/>
          <w:sz w:val="28"/>
          <w:szCs w:val="28"/>
        </w:rPr>
      </w:pPr>
      <w:r>
        <w:rPr>
          <w:rFonts w:hint="eastAsia" w:ascii="Arial" w:eastAsia="宋体"/>
          <w:sz w:val="28"/>
          <w:szCs w:val="28"/>
        </w:rPr>
        <w:t>证书发布和使用程序（如果有）。</w:t>
      </w:r>
    </w:p>
    <w:p w14:paraId="2DD39A3E">
      <w:pPr>
        <w:pStyle w:val="11"/>
        <w:numPr>
          <w:ilvl w:val="1"/>
          <w:numId w:val="3"/>
        </w:numPr>
        <w:tabs>
          <w:tab w:val="left" w:pos="1125"/>
        </w:tabs>
        <w:overflowPunct w:val="0"/>
        <w:snapToGrid w:val="0"/>
        <w:spacing w:after="120" w:afterLines="50" w:line="312" w:lineRule="auto"/>
        <w:ind w:left="0" w:firstLine="644" w:firstLineChars="230"/>
        <w:jc w:val="both"/>
        <w:rPr>
          <w:rFonts w:ascii="Arial" w:hAnsi="Arial" w:eastAsia="宋体" w:cs="Arial"/>
          <w:sz w:val="28"/>
          <w:szCs w:val="28"/>
        </w:rPr>
      </w:pPr>
      <w:r>
        <w:rPr>
          <w:rFonts w:hint="eastAsia" w:ascii="Arial" w:eastAsia="宋体"/>
          <w:sz w:val="28"/>
          <w:szCs w:val="28"/>
        </w:rPr>
        <w:t>审核频率和应采取的措施。</w:t>
      </w:r>
    </w:p>
    <w:p w14:paraId="71C60644">
      <w:pPr>
        <w:pStyle w:val="11"/>
        <w:numPr>
          <w:ilvl w:val="1"/>
          <w:numId w:val="3"/>
        </w:numPr>
        <w:tabs>
          <w:tab w:val="left" w:pos="1125"/>
        </w:tabs>
        <w:overflowPunct w:val="0"/>
        <w:snapToGrid w:val="0"/>
        <w:spacing w:after="120" w:afterLines="50" w:line="312" w:lineRule="auto"/>
        <w:ind w:left="0" w:firstLine="644" w:firstLineChars="230"/>
        <w:jc w:val="both"/>
        <w:rPr>
          <w:rFonts w:ascii="Arial" w:hAnsi="Arial" w:eastAsia="宋体" w:cs="Arial"/>
          <w:sz w:val="28"/>
          <w:szCs w:val="28"/>
        </w:rPr>
      </w:pPr>
      <w:r>
        <w:rPr>
          <w:rFonts w:hint="eastAsia" w:ascii="Arial" w:eastAsia="宋体"/>
          <w:sz w:val="28"/>
          <w:szCs w:val="28"/>
        </w:rPr>
        <w:t>培训或信息需求描述。</w:t>
      </w:r>
    </w:p>
    <w:p w14:paraId="66D16648">
      <w:pPr>
        <w:overflowPunct w:val="0"/>
        <w:snapToGrid w:val="0"/>
        <w:spacing w:after="120" w:afterLines="50" w:line="360" w:lineRule="auto"/>
        <w:jc w:val="both"/>
        <w:rPr>
          <w:rFonts w:ascii="Arial" w:hAnsi="Arial" w:eastAsia="Arial" w:cs="Arial"/>
          <w:sz w:val="28"/>
          <w:szCs w:val="28"/>
        </w:rPr>
      </w:pPr>
      <w:r>
        <w:rPr>
          <w:rFonts w:ascii="Arial" w:hAnsi="Arial" w:eastAsia="Arial" w:cs="Arial"/>
          <w:sz w:val="28"/>
          <w:szCs w:val="28"/>
        </w:rPr>
        <w:br w:type="page"/>
      </w:r>
    </w:p>
    <w:p w14:paraId="664C073F">
      <w:pPr>
        <w:pStyle w:val="11"/>
        <w:numPr>
          <w:ilvl w:val="0"/>
          <w:numId w:val="3"/>
        </w:numPr>
        <w:tabs>
          <w:tab w:val="left" w:pos="613"/>
        </w:tabs>
        <w:overflowPunct w:val="0"/>
        <w:snapToGrid w:val="0"/>
        <w:spacing w:after="120" w:afterLines="50" w:line="312" w:lineRule="auto"/>
        <w:ind w:left="616" w:hanging="616" w:hangingChars="220"/>
        <w:jc w:val="both"/>
        <w:rPr>
          <w:rFonts w:ascii="Arial" w:hAnsi="Arial" w:eastAsia="宋体" w:cs="Arial"/>
          <w:sz w:val="28"/>
          <w:szCs w:val="28"/>
        </w:rPr>
      </w:pPr>
      <w:r>
        <w:rPr>
          <w:rFonts w:hint="eastAsia" w:ascii="Arial" w:eastAsia="宋体"/>
          <w:sz w:val="28"/>
          <w:szCs w:val="28"/>
        </w:rPr>
        <w:t>无论是否进行试验，FDA可以酌情进行适当与国外政府进行独立或联合检验，或分析进口产品，评价程序的有效性。</w:t>
      </w:r>
    </w:p>
    <w:p w14:paraId="1A04B7C6">
      <w:pPr>
        <w:pStyle w:val="2"/>
        <w:overflowPunct w:val="0"/>
        <w:snapToGrid w:val="0"/>
        <w:spacing w:after="120" w:afterLines="50" w:line="360" w:lineRule="auto"/>
        <w:ind w:left="0"/>
        <w:jc w:val="both"/>
        <w:rPr>
          <w:b w:val="0"/>
          <w:bCs w:val="0"/>
          <w:sz w:val="28"/>
          <w:szCs w:val="28"/>
        </w:rPr>
      </w:pPr>
      <w:r>
        <w:rPr>
          <w:rFonts w:hint="eastAsia"/>
          <w:sz w:val="28"/>
          <w:szCs w:val="28"/>
        </w:rPr>
        <w:t>第III阶段 - 完成MOU</w:t>
      </w:r>
    </w:p>
    <w:p w14:paraId="2FAE895D">
      <w:pPr>
        <w:pStyle w:val="11"/>
        <w:numPr>
          <w:ilvl w:val="0"/>
          <w:numId w:val="4"/>
        </w:numPr>
        <w:tabs>
          <w:tab w:val="left" w:pos="613"/>
        </w:tabs>
        <w:overflowPunct w:val="0"/>
        <w:snapToGrid w:val="0"/>
        <w:spacing w:after="120" w:afterLines="50" w:line="312" w:lineRule="auto"/>
        <w:ind w:left="616" w:hanging="616" w:hangingChars="220"/>
        <w:jc w:val="both"/>
        <w:rPr>
          <w:rFonts w:ascii="Arial" w:hAnsi="Arial" w:eastAsia="宋体" w:cs="Arial"/>
          <w:sz w:val="28"/>
          <w:szCs w:val="28"/>
        </w:rPr>
      </w:pPr>
      <w:r>
        <w:rPr>
          <w:rFonts w:hint="eastAsia" w:ascii="Arial" w:eastAsia="宋体"/>
          <w:sz w:val="28"/>
          <w:szCs w:val="28"/>
        </w:rPr>
        <w:t>如果适用，确定MOU的内容之后（包括在规则制定之后），应编制MOU以供许可。</w:t>
      </w:r>
    </w:p>
    <w:p w14:paraId="382EC284">
      <w:pPr>
        <w:pStyle w:val="11"/>
        <w:numPr>
          <w:ilvl w:val="0"/>
          <w:numId w:val="4"/>
        </w:numPr>
        <w:tabs>
          <w:tab w:val="left" w:pos="613"/>
        </w:tabs>
        <w:overflowPunct w:val="0"/>
        <w:snapToGrid w:val="0"/>
        <w:spacing w:after="120" w:afterLines="50" w:line="360" w:lineRule="auto"/>
        <w:ind w:left="0" w:firstLine="0"/>
        <w:jc w:val="both"/>
        <w:rPr>
          <w:rFonts w:ascii="Arial" w:hAnsi="Arial" w:eastAsia="宋体" w:cs="Arial"/>
          <w:sz w:val="28"/>
          <w:szCs w:val="28"/>
        </w:rPr>
      </w:pPr>
      <w:r>
        <w:rPr>
          <w:rFonts w:hint="eastAsia" w:ascii="Arial" w:eastAsia="宋体"/>
          <w:sz w:val="28"/>
          <w:szCs w:val="28"/>
        </w:rPr>
        <w:t>如果适用，申办中心或办公室应通过ORA向现场办公室发出审核协议的指示。</w:t>
      </w:r>
    </w:p>
    <w:p w14:paraId="34069E17">
      <w:pPr>
        <w:pStyle w:val="2"/>
        <w:overflowPunct w:val="0"/>
        <w:snapToGrid w:val="0"/>
        <w:spacing w:after="120" w:afterLines="50" w:line="360" w:lineRule="auto"/>
        <w:ind w:left="0"/>
        <w:jc w:val="both"/>
        <w:rPr>
          <w:b w:val="0"/>
          <w:bCs w:val="0"/>
          <w:sz w:val="28"/>
          <w:szCs w:val="28"/>
        </w:rPr>
      </w:pPr>
      <w:r>
        <w:rPr>
          <w:rFonts w:hint="eastAsia"/>
          <w:sz w:val="28"/>
          <w:szCs w:val="28"/>
        </w:rPr>
        <w:t>附件A</w:t>
      </w:r>
    </w:p>
    <w:p w14:paraId="4D4FF097">
      <w:pPr>
        <w:overflowPunct w:val="0"/>
        <w:snapToGrid w:val="0"/>
        <w:spacing w:after="120" w:afterLines="50" w:line="360" w:lineRule="auto"/>
        <w:jc w:val="center"/>
        <w:rPr>
          <w:rFonts w:ascii="Arial" w:hAnsi="Arial" w:eastAsia="宋体" w:cs="Arial"/>
          <w:sz w:val="28"/>
          <w:szCs w:val="28"/>
        </w:rPr>
      </w:pPr>
      <w:r>
        <w:rPr>
          <w:rFonts w:hint="eastAsia" w:ascii="Arial" w:eastAsia="宋体"/>
          <w:b/>
          <w:sz w:val="28"/>
          <w:szCs w:val="28"/>
        </w:rPr>
        <w:t>食品药品监督管理局谅解备忘录标准</w:t>
      </w:r>
    </w:p>
    <w:p w14:paraId="67E6CF77">
      <w:pPr>
        <w:pStyle w:val="3"/>
        <w:overflowPunct w:val="0"/>
        <w:snapToGrid w:val="0"/>
        <w:spacing w:after="120" w:afterLines="50" w:line="360" w:lineRule="auto"/>
        <w:ind w:left="0"/>
        <w:jc w:val="both"/>
        <w:rPr>
          <w:sz w:val="28"/>
          <w:szCs w:val="28"/>
        </w:rPr>
      </w:pPr>
      <w:r>
        <w:rPr>
          <w:rFonts w:hint="eastAsia"/>
          <w:sz w:val="28"/>
          <w:szCs w:val="28"/>
        </w:rPr>
        <w:t>在决定是否开始讨论以制定MOU时，机构部门应考虑以下因素：</w:t>
      </w:r>
    </w:p>
    <w:p w14:paraId="3089B967">
      <w:pPr>
        <w:pStyle w:val="2"/>
        <w:overflowPunct w:val="0"/>
        <w:snapToGrid w:val="0"/>
        <w:spacing w:after="120" w:afterLines="50" w:line="360" w:lineRule="auto"/>
        <w:ind w:left="0"/>
        <w:jc w:val="both"/>
        <w:rPr>
          <w:b w:val="0"/>
          <w:bCs w:val="0"/>
          <w:sz w:val="28"/>
          <w:szCs w:val="28"/>
        </w:rPr>
      </w:pPr>
      <w:r>
        <w:rPr>
          <w:rFonts w:hint="eastAsia"/>
          <w:sz w:val="28"/>
          <w:szCs w:val="28"/>
        </w:rPr>
        <w:t>与产品或程序相关的健康收益（包括风险降低）</w:t>
      </w:r>
    </w:p>
    <w:p w14:paraId="38FA8FAF">
      <w:pPr>
        <w:pStyle w:val="3"/>
        <w:overflowPunct w:val="0"/>
        <w:snapToGrid w:val="0"/>
        <w:spacing w:after="120" w:afterLines="50" w:line="360" w:lineRule="auto"/>
        <w:ind w:left="0"/>
        <w:jc w:val="both"/>
        <w:rPr>
          <w:sz w:val="28"/>
          <w:szCs w:val="28"/>
        </w:rPr>
      </w:pPr>
      <w:r>
        <w:rPr>
          <w:rFonts w:hint="eastAsia"/>
          <w:sz w:val="28"/>
          <w:szCs w:val="28"/>
        </w:rPr>
        <w:t>在确定其国际活动的优先级时，FDA应考虑公共健康收益（特别是美国人群）。</w:t>
      </w:r>
    </w:p>
    <w:p w14:paraId="340F9C03">
      <w:pPr>
        <w:pStyle w:val="2"/>
        <w:overflowPunct w:val="0"/>
        <w:snapToGrid w:val="0"/>
        <w:spacing w:after="120" w:afterLines="50" w:line="360" w:lineRule="auto"/>
        <w:ind w:left="0"/>
        <w:jc w:val="both"/>
        <w:rPr>
          <w:b w:val="0"/>
          <w:bCs w:val="0"/>
          <w:sz w:val="28"/>
          <w:szCs w:val="28"/>
        </w:rPr>
      </w:pPr>
      <w:r>
        <w:rPr>
          <w:rFonts w:hint="eastAsia"/>
          <w:sz w:val="28"/>
          <w:szCs w:val="28"/>
        </w:rPr>
        <w:t>进口到美国的产品</w:t>
      </w:r>
    </w:p>
    <w:p w14:paraId="3A5070DF">
      <w:pPr>
        <w:pStyle w:val="3"/>
        <w:overflowPunct w:val="0"/>
        <w:snapToGrid w:val="0"/>
        <w:spacing w:after="120" w:afterLines="50" w:line="360" w:lineRule="auto"/>
        <w:ind w:left="0"/>
        <w:jc w:val="both"/>
        <w:rPr>
          <w:sz w:val="28"/>
          <w:szCs w:val="28"/>
        </w:rPr>
      </w:pPr>
      <w:r>
        <w:rPr>
          <w:rFonts w:hint="eastAsia"/>
          <w:sz w:val="28"/>
          <w:szCs w:val="28"/>
        </w:rPr>
        <w:t>FDA应更加重视旨在提高提供给美国消费者的产品质量、安全性或有效性的国际活动。例如，FDA不应优先考虑为与外国制定涵盖不太可能大量出口至美国或对公众造成重大风险的产品的谅解备忘录投资资源。</w:t>
      </w:r>
    </w:p>
    <w:p w14:paraId="67FF5BB9">
      <w:pPr>
        <w:pStyle w:val="2"/>
        <w:overflowPunct w:val="0"/>
        <w:snapToGrid w:val="0"/>
        <w:spacing w:after="120" w:afterLines="50" w:line="360" w:lineRule="auto"/>
        <w:ind w:left="0"/>
        <w:jc w:val="both"/>
        <w:rPr>
          <w:b w:val="0"/>
          <w:bCs w:val="0"/>
          <w:sz w:val="28"/>
          <w:szCs w:val="28"/>
        </w:rPr>
      </w:pPr>
      <w:r>
        <w:rPr>
          <w:rFonts w:hint="eastAsia"/>
          <w:sz w:val="28"/>
          <w:szCs w:val="28"/>
        </w:rPr>
        <w:t>合规问题史</w:t>
      </w:r>
    </w:p>
    <w:p w14:paraId="045B18B0">
      <w:pPr>
        <w:pStyle w:val="3"/>
        <w:overflowPunct w:val="0"/>
        <w:snapToGrid w:val="0"/>
        <w:spacing w:after="120" w:afterLines="50" w:line="360" w:lineRule="auto"/>
        <w:ind w:left="0"/>
        <w:jc w:val="both"/>
        <w:rPr>
          <w:sz w:val="28"/>
          <w:szCs w:val="28"/>
        </w:rPr>
      </w:pPr>
      <w:r>
        <w:rPr>
          <w:rFonts w:hint="eastAsia"/>
          <w:sz w:val="28"/>
          <w:szCs w:val="28"/>
        </w:rPr>
        <w:t>FDA应更加重视旨在补救产品缺陷的国际活动，其中已证明此类缺陷可造成先前的合规问题，或者已证明的科学依据要求加强监测。</w:t>
      </w:r>
    </w:p>
    <w:p w14:paraId="1308787E">
      <w:pPr>
        <w:pStyle w:val="3"/>
        <w:overflowPunct w:val="0"/>
        <w:snapToGrid w:val="0"/>
        <w:spacing w:after="120" w:afterLines="50" w:line="360" w:lineRule="auto"/>
        <w:ind w:left="0"/>
        <w:jc w:val="both"/>
        <w:rPr>
          <w:sz w:val="28"/>
          <w:szCs w:val="28"/>
        </w:rPr>
      </w:pPr>
      <w:r>
        <w:rPr>
          <w:rFonts w:hint="eastAsia"/>
          <w:sz w:val="28"/>
          <w:szCs w:val="28"/>
        </w:rPr>
        <w:t>替代计划的比较成本</w:t>
      </w:r>
    </w:p>
    <w:p w14:paraId="164825ED">
      <w:pPr>
        <w:pStyle w:val="3"/>
        <w:overflowPunct w:val="0"/>
        <w:snapToGrid w:val="0"/>
        <w:spacing w:after="120" w:afterLines="50" w:line="360" w:lineRule="auto"/>
        <w:ind w:left="0"/>
        <w:jc w:val="both"/>
        <w:rPr>
          <w:rFonts w:cs="Arial"/>
          <w:sz w:val="28"/>
          <w:szCs w:val="28"/>
        </w:rPr>
      </w:pPr>
      <w:r>
        <w:rPr>
          <w:rFonts w:hint="eastAsia"/>
          <w:sz w:val="28"/>
          <w:szCs w:val="28"/>
        </w:rPr>
        <w:t>FDA应采取可提高管理所需资源效率的国际计划和活动。例如，应权衡制定、实施和监控协议的成本与在未签订协议的情况下获得相同合规率置信度所需的高抽样水平的成本。</w:t>
      </w:r>
    </w:p>
    <w:p w14:paraId="05DD5365">
      <w:pPr>
        <w:rPr>
          <w:rFonts w:ascii="Arial" w:eastAsia="宋体"/>
          <w:sz w:val="28"/>
          <w:szCs w:val="28"/>
        </w:rPr>
      </w:pPr>
      <w:r>
        <w:rPr>
          <w:rFonts w:ascii="Arial" w:eastAsia="宋体"/>
          <w:sz w:val="28"/>
          <w:szCs w:val="28"/>
        </w:rPr>
        <w:br w:type="page"/>
      </w:r>
    </w:p>
    <w:p w14:paraId="53994812">
      <w:pPr>
        <w:overflowPunct w:val="0"/>
        <w:snapToGrid w:val="0"/>
        <w:spacing w:after="120" w:afterLines="50" w:line="360" w:lineRule="auto"/>
        <w:jc w:val="both"/>
        <w:rPr>
          <w:rFonts w:ascii="Arial" w:hAnsi="Arial" w:eastAsia="宋体" w:cs="Arial"/>
          <w:b/>
          <w:sz w:val="28"/>
          <w:szCs w:val="28"/>
        </w:rPr>
      </w:pPr>
      <w:r>
        <w:rPr>
          <w:rFonts w:hint="eastAsia" w:ascii="Arial" w:eastAsia="宋体"/>
          <w:b/>
          <w:sz w:val="28"/>
          <w:szCs w:val="28"/>
        </w:rPr>
        <w:t>行业监管负担</w:t>
      </w:r>
    </w:p>
    <w:p w14:paraId="773F0849">
      <w:pPr>
        <w:pStyle w:val="3"/>
        <w:overflowPunct w:val="0"/>
        <w:snapToGrid w:val="0"/>
        <w:spacing w:after="120" w:afterLines="50" w:line="360" w:lineRule="auto"/>
        <w:ind w:left="0"/>
        <w:jc w:val="both"/>
        <w:rPr>
          <w:sz w:val="28"/>
          <w:szCs w:val="28"/>
        </w:rPr>
      </w:pPr>
      <w:r>
        <w:rPr>
          <w:rFonts w:hint="eastAsia"/>
          <w:sz w:val="28"/>
          <w:szCs w:val="28"/>
        </w:rPr>
        <w:t>FDA应考虑可通过协调工作减少的行业监管负担。但是此类活动需要与FDA的主要公共卫生任务、法案以及FDA执行的其他法律和法规保持一致。</w:t>
      </w:r>
    </w:p>
    <w:p w14:paraId="7D3940A3">
      <w:pPr>
        <w:pStyle w:val="2"/>
        <w:overflowPunct w:val="0"/>
        <w:snapToGrid w:val="0"/>
        <w:spacing w:after="120" w:afterLines="50" w:line="360" w:lineRule="auto"/>
        <w:ind w:left="0"/>
        <w:jc w:val="both"/>
        <w:rPr>
          <w:b w:val="0"/>
          <w:bCs w:val="0"/>
          <w:sz w:val="28"/>
          <w:szCs w:val="28"/>
        </w:rPr>
      </w:pPr>
      <w:r>
        <w:rPr>
          <w:rFonts w:hint="eastAsia"/>
          <w:sz w:val="28"/>
          <w:szCs w:val="28"/>
        </w:rPr>
        <w:t>美国外交政策目标和美国其他政府机构的优先级</w:t>
      </w:r>
    </w:p>
    <w:p w14:paraId="3AE56683">
      <w:pPr>
        <w:pStyle w:val="3"/>
        <w:overflowPunct w:val="0"/>
        <w:snapToGrid w:val="0"/>
        <w:spacing w:after="120" w:afterLines="50" w:line="360" w:lineRule="auto"/>
        <w:ind w:left="0"/>
        <w:jc w:val="both"/>
        <w:rPr>
          <w:sz w:val="28"/>
          <w:szCs w:val="28"/>
        </w:rPr>
      </w:pPr>
      <w:r>
        <w:rPr>
          <w:rFonts w:hint="eastAsia"/>
          <w:sz w:val="28"/>
          <w:szCs w:val="28"/>
        </w:rPr>
        <w:t>FDA应该了解美国外交政策目标和美国其他政府机构的优先级，并适当平衡其与FDA的国外主要任务之间的利益。</w:t>
      </w:r>
    </w:p>
    <w:p w14:paraId="2238624B">
      <w:pPr>
        <w:pStyle w:val="2"/>
        <w:overflowPunct w:val="0"/>
        <w:snapToGrid w:val="0"/>
        <w:spacing w:after="120" w:afterLines="50" w:line="360" w:lineRule="auto"/>
        <w:ind w:left="0"/>
        <w:jc w:val="both"/>
        <w:rPr>
          <w:b w:val="0"/>
          <w:bCs w:val="0"/>
          <w:sz w:val="28"/>
          <w:szCs w:val="28"/>
        </w:rPr>
      </w:pPr>
      <w:r>
        <w:rPr>
          <w:rFonts w:hint="eastAsia"/>
          <w:sz w:val="28"/>
          <w:szCs w:val="28"/>
        </w:rPr>
        <w:t>发布日期：1995/6/7</w:t>
      </w:r>
    </w:p>
    <w:tbl>
      <w:tblPr>
        <w:tblStyle w:val="8"/>
        <w:tblW w:w="0" w:type="auto"/>
        <w:tblInd w:w="0" w:type="dxa"/>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Layout w:type="autofit"/>
        <w:tblCellMar>
          <w:top w:w="0" w:type="dxa"/>
          <w:left w:w="108" w:type="dxa"/>
          <w:bottom w:w="0" w:type="dxa"/>
          <w:right w:w="108" w:type="dxa"/>
        </w:tblCellMar>
      </w:tblPr>
      <w:tblGrid>
        <w:gridCol w:w="10982"/>
      </w:tblGrid>
      <w:tr w14:paraId="30204CFA">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82" w:type="dxa"/>
            <w:tcBorders>
              <w:bottom w:val="single" w:color="7F7F7F" w:themeColor="background1" w:themeShade="80" w:sz="2" w:space="0"/>
            </w:tcBorders>
          </w:tcPr>
          <w:p w14:paraId="55792734">
            <w:pPr>
              <w:overflowPunct w:val="0"/>
              <w:snapToGrid w:val="0"/>
              <w:spacing w:before="96" w:beforeLines="40" w:after="96" w:afterLines="40" w:line="300" w:lineRule="auto"/>
              <w:rPr>
                <w:rFonts w:ascii="Arial" w:hAnsi="Arial" w:eastAsia="宋体" w:cs="Arial"/>
                <w:b/>
                <w:sz w:val="24"/>
                <w:szCs w:val="24"/>
                <w:u w:val="single"/>
              </w:rPr>
            </w:pPr>
            <w:r>
              <w:rPr>
                <w:rFonts w:hint="eastAsia" w:ascii="Arial" w:hAnsi="Arial" w:eastAsia="宋体" w:cs="Arial"/>
                <w:b/>
                <w:sz w:val="24"/>
                <w:szCs w:val="24"/>
                <w:u w:val="single"/>
              </w:rPr>
              <w:t>合规政策指导的更多信息</w:t>
            </w:r>
          </w:p>
          <w:p w14:paraId="645F4AD3">
            <w:pPr>
              <w:overflowPunct w:val="0"/>
              <w:snapToGrid w:val="0"/>
              <w:spacing w:before="96" w:beforeLines="40" w:after="96" w:afterLines="40" w:line="300" w:lineRule="auto"/>
              <w:rPr>
                <w:rFonts w:ascii="Arial" w:hAnsi="Arial" w:eastAsia="宋体" w:cs="Arial"/>
                <w:b/>
                <w:sz w:val="24"/>
                <w:szCs w:val="24"/>
                <w:u w:val="single"/>
              </w:rPr>
            </w:pPr>
            <w:r>
              <w:rPr>
                <w:rFonts w:hint="eastAsia" w:ascii="Arial" w:hAnsi="Arial" w:eastAsia="宋体" w:cs="Arial"/>
                <w:b/>
                <w:sz w:val="24"/>
                <w:szCs w:val="24"/>
                <w:u w:val="single"/>
              </w:rPr>
              <w:t>(/ICECI/Compliance Manuals/Compliance  PolicyGuidance Manual/default.htm)</w:t>
            </w:r>
          </w:p>
        </w:tc>
      </w:tr>
      <w:tr w14:paraId="023CC1A8">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8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6EF4C7D1">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前言</w:t>
            </w:r>
            <w:r>
              <w:rPr>
                <w:rFonts w:ascii="Arial" w:eastAsia="宋体"/>
                <w:b/>
                <w:sz w:val="24"/>
                <w:szCs w:val="24"/>
                <w:u w:val="single" w:color="000000"/>
              </w:rPr>
              <w:t>:</w:t>
            </w:r>
            <w:r>
              <w:rPr>
                <w:rFonts w:hint="eastAsia" w:ascii="Arial" w:eastAsia="宋体"/>
                <w:b/>
                <w:sz w:val="24"/>
                <w:szCs w:val="24"/>
                <w:u w:val="single" w:color="000000"/>
              </w:rPr>
              <w:t>合规政策指导（CPG）</w:t>
            </w:r>
          </w:p>
          <w:p w14:paraId="41FB1AAC">
            <w:pPr>
              <w:tabs>
                <w:tab w:val="left" w:pos="10158"/>
              </w:tabs>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(/ICECI/Compliance Manuals/Compliance PolicyGuidance ManuaI/ucm116271.htm)</w:t>
            </w:r>
          </w:p>
        </w:tc>
      </w:tr>
      <w:tr w14:paraId="45903BA0">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8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0420545C">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第1章 - 通则</w:t>
            </w:r>
          </w:p>
          <w:p w14:paraId="41D15942">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(/ICECI/Compliance Manuals/Compliance PolicyGuidance ManuaI/ucm116280.htm)</w:t>
            </w:r>
          </w:p>
        </w:tc>
      </w:tr>
      <w:tr w14:paraId="413E5487">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8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4A19F075">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 xml:space="preserve">第2章 </w:t>
            </w:r>
            <w:r>
              <w:rPr>
                <w:rFonts w:ascii="Arial" w:eastAsia="宋体"/>
                <w:b/>
                <w:sz w:val="24"/>
                <w:szCs w:val="24"/>
                <w:u w:val="single" w:color="1C1C1C"/>
              </w:rPr>
              <w:t>–</w:t>
            </w:r>
            <w:r>
              <w:rPr>
                <w:rFonts w:hint="eastAsia" w:ascii="Arial" w:eastAsia="宋体"/>
                <w:b/>
                <w:sz w:val="24"/>
                <w:szCs w:val="24"/>
                <w:u w:val="single" w:color="1C1C1C"/>
              </w:rPr>
              <w:t xml:space="preserve"> 生物制剂</w:t>
            </w:r>
          </w:p>
          <w:p w14:paraId="40E6D051">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(/ICECI/Compliance Manuals/Compliance PolicyGuidance ManuaI/ucm116336.htm)</w:t>
            </w:r>
          </w:p>
        </w:tc>
      </w:tr>
      <w:tr w14:paraId="112F86F7">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8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2AA4F69E">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第3章 - 器械</w:t>
            </w:r>
          </w:p>
          <w:p w14:paraId="1244E7F0">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(/ICECI/Compliance Manuals/Compliance PolicyGuidance ManuaI/ucm116801.htm)</w:t>
            </w:r>
          </w:p>
        </w:tc>
      </w:tr>
      <w:tr w14:paraId="2C4F3D4C">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8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6FBB753B">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 xml:space="preserve">第4章 </w:t>
            </w:r>
            <w:r>
              <w:rPr>
                <w:rFonts w:ascii="Arial" w:eastAsia="宋体"/>
                <w:b/>
                <w:sz w:val="24"/>
                <w:szCs w:val="24"/>
                <w:u w:val="single" w:color="1C1C1C"/>
              </w:rPr>
              <w:t>–</w:t>
            </w:r>
            <w:r>
              <w:rPr>
                <w:rFonts w:hint="eastAsia" w:ascii="Arial" w:eastAsia="宋体"/>
                <w:b/>
                <w:sz w:val="24"/>
                <w:szCs w:val="24"/>
                <w:u w:val="single" w:color="1C1C1C"/>
              </w:rPr>
              <w:t xml:space="preserve"> 人用药品</w:t>
            </w:r>
          </w:p>
          <w:p w14:paraId="45EFE7F8">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(/ICECI/Compliance Manuals/Compliance PolicyGuidance ManuaI/ucm119572.htm)</w:t>
            </w:r>
          </w:p>
        </w:tc>
      </w:tr>
      <w:tr w14:paraId="6DCF9FDA">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8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7FFA6136">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第5章 - 食品，颜料和化妆品</w:t>
            </w:r>
          </w:p>
          <w:p w14:paraId="14A1D008">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(/ICECI/Compliance Manuals/Compliance PolicyGuidance ManuaI/ucm119194.htm)</w:t>
            </w:r>
          </w:p>
        </w:tc>
      </w:tr>
      <w:tr w14:paraId="6E9F6043">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8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2FC48570">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81818"/>
              </w:rPr>
              <w:t>第6章 - 兽医医学</w:t>
            </w:r>
          </w:p>
          <w:p w14:paraId="79C4AE12">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(/ICECI/Compliance Manuals/Compliance PolicyGuidance ManuaI/ucm117042.htm)</w:t>
            </w:r>
          </w:p>
        </w:tc>
      </w:tr>
    </w:tbl>
    <w:p w14:paraId="16467159">
      <w:pPr>
        <w:overflowPunct w:val="0"/>
        <w:snapToGrid w:val="0"/>
        <w:spacing w:after="120" w:afterLines="50" w:line="360" w:lineRule="auto"/>
        <w:jc w:val="both"/>
        <w:rPr>
          <w:sz w:val="28"/>
          <w:szCs w:val="28"/>
        </w:rPr>
      </w:pPr>
    </w:p>
    <w:p w14:paraId="65BAF90A">
      <w:pPr>
        <w:overflowPunct w:val="0"/>
        <w:jc w:val="both"/>
        <w:rPr>
          <w:rFonts w:hint="eastAsia" w:eastAsia="宋体"/>
          <w:lang w:eastAsia="zh-CN"/>
        </w:rPr>
      </w:pPr>
    </w:p>
    <w:p w14:paraId="55FEB1BC">
      <w:pPr>
        <w:overflowPunct w:val="0"/>
        <w:jc w:val="center"/>
        <w:rPr>
          <w:rFonts w:hint="eastAsia" w:eastAsia="宋体"/>
          <w:lang w:eastAsia="zh-CN"/>
        </w:rPr>
      </w:pPr>
    </w:p>
    <w:p w14:paraId="4EF70A91">
      <w:pPr>
        <w:overflowPunct w:val="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A716">
    <w:pPr>
      <w:tabs>
        <w:tab w:val="right" w:pos="10773"/>
      </w:tabs>
      <w:spacing w:line="184" w:lineRule="exact"/>
      <w:ind w:left="40"/>
      <w:rPr>
        <w:rFonts w:ascii="Arial" w:hAnsi="Arial" w:eastAsia="宋体" w:cs="Arial"/>
        <w:sz w:val="15"/>
        <w:szCs w:val="15"/>
      </w:rPr>
    </w:pPr>
    <w:r>
      <w:rPr>
        <w:rFonts w:ascii="Arial" w:hAnsi="Arial" w:eastAsia="宋体" w:cs="Arial"/>
        <w:sz w:val="15"/>
        <w:szCs w:val="15"/>
      </w:rPr>
      <w:t>https://</w:t>
    </w:r>
    <w:r>
      <w:fldChar w:fldCharType="begin"/>
    </w:r>
    <w:r>
      <w:instrText xml:space="preserve"> HYPERLINK "http://www.fda.gov/ICECI/ComplianceManuals/CompliancePolicyGuidanceManual/ucm073828.htm" \h </w:instrText>
    </w:r>
    <w:r>
      <w:fldChar w:fldCharType="separate"/>
    </w:r>
    <w:r>
      <w:rPr>
        <w:rFonts w:ascii="Arial" w:hAnsi="Arial" w:eastAsia="宋体" w:cs="Arial"/>
        <w:sz w:val="15"/>
        <w:szCs w:val="15"/>
      </w:rPr>
      <w:t>www.fda.gov/ICECI/ComplianceManuals/CompliancePolicyGuidanceManual/ucm073828.htm</w:t>
    </w:r>
    <w:r>
      <w:rPr>
        <w:rFonts w:ascii="Arial" w:hAnsi="Arial" w:eastAsia="宋体" w:cs="Arial"/>
        <w:sz w:val="15"/>
        <w:szCs w:val="15"/>
      </w:rPr>
      <w:fldChar w:fldCharType="end"/>
    </w:r>
    <w:r>
      <w:rPr>
        <w:rFonts w:ascii="Arial" w:hAnsi="Arial" w:eastAsia="宋体" w:cs="Arial"/>
        <w:sz w:val="15"/>
        <w:szCs w:val="15"/>
      </w:rPr>
      <w:tab/>
    </w:r>
    <w:r>
      <w:rPr>
        <w:rFonts w:ascii="Arial" w:hAnsi="Arial" w:cs="Arial"/>
        <w:sz w:val="15"/>
        <w:szCs w:val="15"/>
      </w:rPr>
      <w:fldChar w:fldCharType="begin"/>
    </w:r>
    <w:r>
      <w:rPr>
        <w:rFonts w:ascii="Arial" w:hAnsi="Arial" w:eastAsia="宋体" w:cs="Arial"/>
        <w:sz w:val="15"/>
        <w:szCs w:val="15"/>
      </w:rPr>
      <w:instrText xml:space="preserve"> PAGE </w:instrText>
    </w:r>
    <w:r>
      <w:rPr>
        <w:rFonts w:ascii="Arial" w:hAnsi="Arial" w:cs="Arial"/>
        <w:sz w:val="15"/>
        <w:szCs w:val="15"/>
      </w:rPr>
      <w:fldChar w:fldCharType="separate"/>
    </w:r>
    <w:r>
      <w:rPr>
        <w:rFonts w:ascii="Arial" w:hAnsi="Arial" w:eastAsia="宋体" w:cs="Arial"/>
        <w:sz w:val="15"/>
        <w:szCs w:val="15"/>
      </w:rPr>
      <w:t>3</w:t>
    </w:r>
    <w:r>
      <w:rPr>
        <w:rFonts w:ascii="Arial" w:hAnsi="Arial" w:cs="Arial"/>
        <w:sz w:val="15"/>
        <w:szCs w:val="15"/>
      </w:rPr>
      <w:fldChar w:fldCharType="end"/>
    </w:r>
    <w:r>
      <w:rPr>
        <w:rFonts w:ascii="Arial" w:hAnsi="Arial" w:eastAsia="宋体" w:cs="Arial"/>
        <w:sz w:val="15"/>
        <w:szCs w:val="15"/>
      </w:rPr>
      <w:t>/6</w:t>
    </w:r>
  </w:p>
  <w:p w14:paraId="402994B6">
    <w:pPr>
      <w:spacing w:line="14" w:lineRule="auto"/>
      <w:rPr>
        <w:rFonts w:ascii="Arial" w:hAnsi="Arial" w:cs="Arial"/>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7E004">
    <w:pPr>
      <w:tabs>
        <w:tab w:val="left" w:pos="3119"/>
      </w:tabs>
      <w:spacing w:line="184" w:lineRule="exact"/>
      <w:ind w:left="20"/>
      <w:rPr>
        <w:rFonts w:ascii="Arial" w:eastAsia="宋体"/>
        <w:sz w:val="15"/>
        <w:szCs w:val="15"/>
      </w:rPr>
    </w:pPr>
    <w:r>
      <w:rPr>
        <w:rFonts w:hint="eastAsia" w:ascii="Arial" w:eastAsia="宋体"/>
        <w:sz w:val="15"/>
        <w:szCs w:val="15"/>
      </w:rPr>
      <w:t>2017/8/10</w:t>
    </w:r>
    <w:r>
      <w:rPr>
        <w:rFonts w:hint="eastAsia" w:ascii="Arial" w:eastAsia="宋体"/>
        <w:sz w:val="15"/>
        <w:szCs w:val="15"/>
      </w:rPr>
      <w:tab/>
    </w:r>
    <w:r>
      <w:rPr>
        <w:rFonts w:hint="eastAsia" w:ascii="Arial" w:eastAsia="宋体"/>
        <w:sz w:val="15"/>
        <w:szCs w:val="15"/>
      </w:rPr>
      <w:t>合规政策指导 ＞ CPG Sec.100.900 国际谅解备忘录</w:t>
    </w:r>
  </w:p>
  <w:p w14:paraId="32FB4B07">
    <w:pPr>
      <w:tabs>
        <w:tab w:val="left" w:pos="3119"/>
      </w:tabs>
      <w:spacing w:line="184" w:lineRule="exact"/>
      <w:ind w:left="20"/>
      <w:rPr>
        <w:rFonts w:ascii="Arial" w:hAnsi="Arial" w:eastAsia="宋体" w:cs="Arial"/>
        <w:sz w:val="15"/>
        <w:szCs w:val="15"/>
      </w:rPr>
    </w:pPr>
  </w:p>
  <w:p w14:paraId="1ADC7C6B">
    <w:pPr>
      <w:tabs>
        <w:tab w:val="left" w:pos="3119"/>
      </w:tabs>
      <w:spacing w:line="184" w:lineRule="exact"/>
      <w:ind w:left="20"/>
      <w:rPr>
        <w:rFonts w:ascii="Arial" w:hAnsi="Arial" w:eastAsia="宋体" w:cs="Arial"/>
        <w:sz w:val="15"/>
        <w:szCs w:val="15"/>
      </w:rPr>
    </w:pPr>
  </w:p>
  <w:p w14:paraId="64CC5536">
    <w:pPr>
      <w:tabs>
        <w:tab w:val="left" w:pos="3119"/>
      </w:tabs>
      <w:spacing w:line="184" w:lineRule="exact"/>
      <w:ind w:left="20"/>
      <w:rPr>
        <w:rFonts w:ascii="Arial" w:hAnsi="Arial" w:eastAsia="宋体" w:cs="Arial"/>
        <w:sz w:val="15"/>
        <w:szCs w:val="15"/>
      </w:rPr>
    </w:pPr>
  </w:p>
  <w:p w14:paraId="795933B0">
    <w:pPr>
      <w:tabs>
        <w:tab w:val="left" w:pos="3119"/>
      </w:tabs>
      <w:spacing w:line="184" w:lineRule="exact"/>
      <w:ind w:left="20"/>
      <w:rPr>
        <w:rFonts w:ascii="Arial" w:hAnsi="Arial" w:eastAsia="宋体" w:cs="Arial"/>
        <w:sz w:val="15"/>
        <w:szCs w:val="15"/>
      </w:rPr>
    </w:pPr>
  </w:p>
  <w:p w14:paraId="6CAFC1DC">
    <w:pPr>
      <w:spacing w:line="14" w:lineRule="auto"/>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505F4"/>
    <w:multiLevelType w:val="multilevel"/>
    <w:tmpl w:val="53B505F4"/>
    <w:lvl w:ilvl="0" w:tentative="0">
      <w:start w:val="1"/>
      <w:numFmt w:val="decimal"/>
      <w:lvlText w:val="%1."/>
      <w:lvlJc w:val="left"/>
      <w:pPr>
        <w:ind w:left="612" w:hanging="353"/>
        <w:jc w:val="left"/>
      </w:pPr>
      <w:rPr>
        <w:rFonts w:hint="default" w:ascii="Arial" w:hAnsi="Arial" w:eastAsia="Arial"/>
        <w:spacing w:val="0"/>
        <w:w w:val="102"/>
        <w:sz w:val="28"/>
        <w:szCs w:val="28"/>
      </w:rPr>
    </w:lvl>
    <w:lvl w:ilvl="1" w:tentative="0">
      <w:start w:val="1"/>
      <w:numFmt w:val="bullet"/>
      <w:lvlText w:val="•"/>
      <w:lvlJc w:val="left"/>
      <w:pPr>
        <w:ind w:left="1670" w:hanging="353"/>
      </w:pPr>
      <w:rPr>
        <w:rFonts w:hint="default"/>
      </w:rPr>
    </w:lvl>
    <w:lvl w:ilvl="2" w:tentative="0">
      <w:start w:val="1"/>
      <w:numFmt w:val="bullet"/>
      <w:lvlText w:val="•"/>
      <w:lvlJc w:val="left"/>
      <w:pPr>
        <w:ind w:left="2720" w:hanging="353"/>
      </w:pPr>
      <w:rPr>
        <w:rFonts w:hint="default"/>
      </w:rPr>
    </w:lvl>
    <w:lvl w:ilvl="3" w:tentative="0">
      <w:start w:val="1"/>
      <w:numFmt w:val="bullet"/>
      <w:lvlText w:val="•"/>
      <w:lvlJc w:val="left"/>
      <w:pPr>
        <w:ind w:left="3770" w:hanging="353"/>
      </w:pPr>
      <w:rPr>
        <w:rFonts w:hint="default"/>
      </w:rPr>
    </w:lvl>
    <w:lvl w:ilvl="4" w:tentative="0">
      <w:start w:val="1"/>
      <w:numFmt w:val="bullet"/>
      <w:lvlText w:val="•"/>
      <w:lvlJc w:val="left"/>
      <w:pPr>
        <w:ind w:left="4820" w:hanging="353"/>
      </w:pPr>
      <w:rPr>
        <w:rFonts w:hint="default"/>
      </w:rPr>
    </w:lvl>
    <w:lvl w:ilvl="5" w:tentative="0">
      <w:start w:val="1"/>
      <w:numFmt w:val="bullet"/>
      <w:lvlText w:val="•"/>
      <w:lvlJc w:val="left"/>
      <w:pPr>
        <w:ind w:left="5870" w:hanging="353"/>
      </w:pPr>
      <w:rPr>
        <w:rFonts w:hint="default"/>
      </w:rPr>
    </w:lvl>
    <w:lvl w:ilvl="6" w:tentative="0">
      <w:start w:val="1"/>
      <w:numFmt w:val="bullet"/>
      <w:lvlText w:val="•"/>
      <w:lvlJc w:val="left"/>
      <w:pPr>
        <w:ind w:left="6920" w:hanging="353"/>
      </w:pPr>
      <w:rPr>
        <w:rFonts w:hint="default"/>
      </w:rPr>
    </w:lvl>
    <w:lvl w:ilvl="7" w:tentative="0">
      <w:start w:val="1"/>
      <w:numFmt w:val="bullet"/>
      <w:lvlText w:val="•"/>
      <w:lvlJc w:val="left"/>
      <w:pPr>
        <w:ind w:left="7970" w:hanging="353"/>
      </w:pPr>
      <w:rPr>
        <w:rFonts w:hint="default"/>
      </w:rPr>
    </w:lvl>
    <w:lvl w:ilvl="8" w:tentative="0">
      <w:start w:val="1"/>
      <w:numFmt w:val="bullet"/>
      <w:lvlText w:val="•"/>
      <w:lvlJc w:val="left"/>
      <w:pPr>
        <w:ind w:left="9020" w:hanging="353"/>
      </w:pPr>
      <w:rPr>
        <w:rFonts w:hint="default"/>
      </w:rPr>
    </w:lvl>
  </w:abstractNum>
  <w:abstractNum w:abstractNumId="1">
    <w:nsid w:val="561C2C38"/>
    <w:multiLevelType w:val="multilevel"/>
    <w:tmpl w:val="561C2C38"/>
    <w:lvl w:ilvl="0" w:tentative="0">
      <w:start w:val="1"/>
      <w:numFmt w:val="decimal"/>
      <w:lvlText w:val="%1."/>
      <w:lvlJc w:val="left"/>
      <w:pPr>
        <w:ind w:left="612" w:hanging="353"/>
        <w:jc w:val="left"/>
      </w:pPr>
      <w:rPr>
        <w:rFonts w:hint="default" w:ascii="Arial" w:hAnsi="Arial" w:eastAsia="Arial"/>
        <w:spacing w:val="0"/>
        <w:w w:val="102"/>
        <w:sz w:val="28"/>
        <w:szCs w:val="28"/>
      </w:rPr>
    </w:lvl>
    <w:lvl w:ilvl="1" w:tentative="0">
      <w:start w:val="1"/>
      <w:numFmt w:val="bullet"/>
      <w:lvlText w:val="•"/>
      <w:lvlJc w:val="left"/>
      <w:pPr>
        <w:ind w:left="1668" w:hanging="353"/>
      </w:pPr>
      <w:rPr>
        <w:rFonts w:hint="default"/>
      </w:rPr>
    </w:lvl>
    <w:lvl w:ilvl="2" w:tentative="0">
      <w:start w:val="1"/>
      <w:numFmt w:val="bullet"/>
      <w:lvlText w:val="•"/>
      <w:lvlJc w:val="left"/>
      <w:pPr>
        <w:ind w:left="2716" w:hanging="353"/>
      </w:pPr>
      <w:rPr>
        <w:rFonts w:hint="default"/>
      </w:rPr>
    </w:lvl>
    <w:lvl w:ilvl="3" w:tentative="0">
      <w:start w:val="1"/>
      <w:numFmt w:val="bullet"/>
      <w:lvlText w:val="•"/>
      <w:lvlJc w:val="left"/>
      <w:pPr>
        <w:ind w:left="3764" w:hanging="353"/>
      </w:pPr>
      <w:rPr>
        <w:rFonts w:hint="default"/>
      </w:rPr>
    </w:lvl>
    <w:lvl w:ilvl="4" w:tentative="0">
      <w:start w:val="1"/>
      <w:numFmt w:val="bullet"/>
      <w:lvlText w:val="•"/>
      <w:lvlJc w:val="left"/>
      <w:pPr>
        <w:ind w:left="4812" w:hanging="353"/>
      </w:pPr>
      <w:rPr>
        <w:rFonts w:hint="default"/>
      </w:rPr>
    </w:lvl>
    <w:lvl w:ilvl="5" w:tentative="0">
      <w:start w:val="1"/>
      <w:numFmt w:val="bullet"/>
      <w:lvlText w:val="•"/>
      <w:lvlJc w:val="left"/>
      <w:pPr>
        <w:ind w:left="5860" w:hanging="353"/>
      </w:pPr>
      <w:rPr>
        <w:rFonts w:hint="default"/>
      </w:rPr>
    </w:lvl>
    <w:lvl w:ilvl="6" w:tentative="0">
      <w:start w:val="1"/>
      <w:numFmt w:val="bullet"/>
      <w:lvlText w:val="•"/>
      <w:lvlJc w:val="left"/>
      <w:pPr>
        <w:ind w:left="6908" w:hanging="353"/>
      </w:pPr>
      <w:rPr>
        <w:rFonts w:hint="default"/>
      </w:rPr>
    </w:lvl>
    <w:lvl w:ilvl="7" w:tentative="0">
      <w:start w:val="1"/>
      <w:numFmt w:val="bullet"/>
      <w:lvlText w:val="•"/>
      <w:lvlJc w:val="left"/>
      <w:pPr>
        <w:ind w:left="7956" w:hanging="353"/>
      </w:pPr>
      <w:rPr>
        <w:rFonts w:hint="default"/>
      </w:rPr>
    </w:lvl>
    <w:lvl w:ilvl="8" w:tentative="0">
      <w:start w:val="1"/>
      <w:numFmt w:val="bullet"/>
      <w:lvlText w:val="•"/>
      <w:lvlJc w:val="left"/>
      <w:pPr>
        <w:ind w:left="9004" w:hanging="353"/>
      </w:pPr>
      <w:rPr>
        <w:rFonts w:hint="default"/>
      </w:rPr>
    </w:lvl>
  </w:abstractNum>
  <w:abstractNum w:abstractNumId="2">
    <w:nsid w:val="66CC651C"/>
    <w:multiLevelType w:val="multilevel"/>
    <w:tmpl w:val="66CC651C"/>
    <w:lvl w:ilvl="0" w:tentative="0">
      <w:start w:val="1"/>
      <w:numFmt w:val="decimal"/>
      <w:lvlText w:val="%1."/>
      <w:lvlJc w:val="left"/>
      <w:pPr>
        <w:ind w:left="612" w:hanging="353"/>
        <w:jc w:val="left"/>
      </w:pPr>
      <w:rPr>
        <w:rFonts w:hint="default" w:ascii="Arial" w:hAnsi="Arial" w:eastAsia="Arial"/>
        <w:spacing w:val="0"/>
        <w:w w:val="102"/>
        <w:sz w:val="28"/>
        <w:szCs w:val="28"/>
      </w:rPr>
    </w:lvl>
    <w:lvl w:ilvl="1" w:tentative="0">
      <w:start w:val="1"/>
      <w:numFmt w:val="bullet"/>
      <w:lvlText w:val="•"/>
      <w:lvlJc w:val="left"/>
      <w:pPr>
        <w:ind w:left="1670" w:hanging="353"/>
      </w:pPr>
      <w:rPr>
        <w:rFonts w:hint="default"/>
      </w:rPr>
    </w:lvl>
    <w:lvl w:ilvl="2" w:tentative="0">
      <w:start w:val="1"/>
      <w:numFmt w:val="bullet"/>
      <w:lvlText w:val="•"/>
      <w:lvlJc w:val="left"/>
      <w:pPr>
        <w:ind w:left="2720" w:hanging="353"/>
      </w:pPr>
      <w:rPr>
        <w:rFonts w:hint="default"/>
      </w:rPr>
    </w:lvl>
    <w:lvl w:ilvl="3" w:tentative="0">
      <w:start w:val="1"/>
      <w:numFmt w:val="bullet"/>
      <w:lvlText w:val="•"/>
      <w:lvlJc w:val="left"/>
      <w:pPr>
        <w:ind w:left="3770" w:hanging="353"/>
      </w:pPr>
      <w:rPr>
        <w:rFonts w:hint="default"/>
      </w:rPr>
    </w:lvl>
    <w:lvl w:ilvl="4" w:tentative="0">
      <w:start w:val="1"/>
      <w:numFmt w:val="bullet"/>
      <w:lvlText w:val="•"/>
      <w:lvlJc w:val="left"/>
      <w:pPr>
        <w:ind w:left="4820" w:hanging="353"/>
      </w:pPr>
      <w:rPr>
        <w:rFonts w:hint="default"/>
      </w:rPr>
    </w:lvl>
    <w:lvl w:ilvl="5" w:tentative="0">
      <w:start w:val="1"/>
      <w:numFmt w:val="bullet"/>
      <w:lvlText w:val="•"/>
      <w:lvlJc w:val="left"/>
      <w:pPr>
        <w:ind w:left="5870" w:hanging="353"/>
      </w:pPr>
      <w:rPr>
        <w:rFonts w:hint="default"/>
      </w:rPr>
    </w:lvl>
    <w:lvl w:ilvl="6" w:tentative="0">
      <w:start w:val="1"/>
      <w:numFmt w:val="bullet"/>
      <w:lvlText w:val="•"/>
      <w:lvlJc w:val="left"/>
      <w:pPr>
        <w:ind w:left="6920" w:hanging="353"/>
      </w:pPr>
      <w:rPr>
        <w:rFonts w:hint="default"/>
      </w:rPr>
    </w:lvl>
    <w:lvl w:ilvl="7" w:tentative="0">
      <w:start w:val="1"/>
      <w:numFmt w:val="bullet"/>
      <w:lvlText w:val="•"/>
      <w:lvlJc w:val="left"/>
      <w:pPr>
        <w:ind w:left="7970" w:hanging="353"/>
      </w:pPr>
      <w:rPr>
        <w:rFonts w:hint="default"/>
      </w:rPr>
    </w:lvl>
    <w:lvl w:ilvl="8" w:tentative="0">
      <w:start w:val="1"/>
      <w:numFmt w:val="bullet"/>
      <w:lvlText w:val="•"/>
      <w:lvlJc w:val="left"/>
      <w:pPr>
        <w:ind w:left="9020" w:hanging="353"/>
      </w:pPr>
      <w:rPr>
        <w:rFonts w:hint="default"/>
      </w:rPr>
    </w:lvl>
  </w:abstractNum>
  <w:abstractNum w:abstractNumId="3">
    <w:nsid w:val="75661D25"/>
    <w:multiLevelType w:val="multilevel"/>
    <w:tmpl w:val="75661D25"/>
    <w:lvl w:ilvl="0" w:tentative="0">
      <w:start w:val="1"/>
      <w:numFmt w:val="decimal"/>
      <w:lvlText w:val="%1."/>
      <w:lvlJc w:val="left"/>
      <w:pPr>
        <w:ind w:left="612" w:hanging="353"/>
        <w:jc w:val="left"/>
      </w:pPr>
      <w:rPr>
        <w:rFonts w:hint="default" w:ascii="Arial" w:hAnsi="Arial" w:eastAsia="Arial"/>
        <w:spacing w:val="0"/>
        <w:w w:val="102"/>
        <w:sz w:val="28"/>
        <w:szCs w:val="28"/>
      </w:rPr>
    </w:lvl>
    <w:lvl w:ilvl="1" w:tentative="0">
      <w:start w:val="1"/>
      <w:numFmt w:val="lowerLetter"/>
      <w:lvlText w:val="%2."/>
      <w:lvlJc w:val="left"/>
      <w:pPr>
        <w:ind w:left="1124" w:hanging="353"/>
        <w:jc w:val="left"/>
      </w:pPr>
      <w:rPr>
        <w:rFonts w:hint="default" w:ascii="Arial" w:hAnsi="Arial" w:eastAsia="Arial"/>
        <w:spacing w:val="0"/>
        <w:w w:val="102"/>
        <w:sz w:val="25"/>
        <w:szCs w:val="25"/>
      </w:rPr>
    </w:lvl>
    <w:lvl w:ilvl="2" w:tentative="0">
      <w:start w:val="1"/>
      <w:numFmt w:val="bullet"/>
      <w:lvlText w:val="•"/>
      <w:lvlJc w:val="left"/>
      <w:pPr>
        <w:ind w:left="2228" w:hanging="353"/>
      </w:pPr>
      <w:rPr>
        <w:rFonts w:hint="default"/>
      </w:rPr>
    </w:lvl>
    <w:lvl w:ilvl="3" w:tentative="0">
      <w:start w:val="1"/>
      <w:numFmt w:val="bullet"/>
      <w:lvlText w:val="•"/>
      <w:lvlJc w:val="left"/>
      <w:pPr>
        <w:ind w:left="3337" w:hanging="353"/>
      </w:pPr>
      <w:rPr>
        <w:rFonts w:hint="default"/>
      </w:rPr>
    </w:lvl>
    <w:lvl w:ilvl="4" w:tentative="0">
      <w:start w:val="1"/>
      <w:numFmt w:val="bullet"/>
      <w:lvlText w:val="•"/>
      <w:lvlJc w:val="left"/>
      <w:pPr>
        <w:ind w:left="4446" w:hanging="353"/>
      </w:pPr>
      <w:rPr>
        <w:rFonts w:hint="default"/>
      </w:rPr>
    </w:lvl>
    <w:lvl w:ilvl="5" w:tentative="0">
      <w:start w:val="1"/>
      <w:numFmt w:val="bullet"/>
      <w:lvlText w:val="•"/>
      <w:lvlJc w:val="left"/>
      <w:pPr>
        <w:ind w:left="5555" w:hanging="353"/>
      </w:pPr>
      <w:rPr>
        <w:rFonts w:hint="default"/>
      </w:rPr>
    </w:lvl>
    <w:lvl w:ilvl="6" w:tentative="0">
      <w:start w:val="1"/>
      <w:numFmt w:val="bullet"/>
      <w:lvlText w:val="•"/>
      <w:lvlJc w:val="left"/>
      <w:pPr>
        <w:ind w:left="6664" w:hanging="353"/>
      </w:pPr>
      <w:rPr>
        <w:rFonts w:hint="default"/>
      </w:rPr>
    </w:lvl>
    <w:lvl w:ilvl="7" w:tentative="0">
      <w:start w:val="1"/>
      <w:numFmt w:val="bullet"/>
      <w:lvlText w:val="•"/>
      <w:lvlJc w:val="left"/>
      <w:pPr>
        <w:ind w:left="7773" w:hanging="353"/>
      </w:pPr>
      <w:rPr>
        <w:rFonts w:hint="default"/>
      </w:rPr>
    </w:lvl>
    <w:lvl w:ilvl="8" w:tentative="0">
      <w:start w:val="1"/>
      <w:numFmt w:val="bullet"/>
      <w:lvlText w:val="•"/>
      <w:lvlJc w:val="left"/>
      <w:pPr>
        <w:ind w:left="8882" w:hanging="353"/>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CD4"/>
    <w:rsid w:val="00075948"/>
    <w:rsid w:val="000E0898"/>
    <w:rsid w:val="001460F9"/>
    <w:rsid w:val="0015285F"/>
    <w:rsid w:val="00203DFB"/>
    <w:rsid w:val="00235E22"/>
    <w:rsid w:val="00260700"/>
    <w:rsid w:val="002675F2"/>
    <w:rsid w:val="002A2415"/>
    <w:rsid w:val="00345A61"/>
    <w:rsid w:val="003F5727"/>
    <w:rsid w:val="004F0E3E"/>
    <w:rsid w:val="0050457F"/>
    <w:rsid w:val="005E1393"/>
    <w:rsid w:val="00610097"/>
    <w:rsid w:val="006221BE"/>
    <w:rsid w:val="006A3EF5"/>
    <w:rsid w:val="00810DF7"/>
    <w:rsid w:val="00843D51"/>
    <w:rsid w:val="008B4C33"/>
    <w:rsid w:val="008D4CAC"/>
    <w:rsid w:val="008E47C1"/>
    <w:rsid w:val="00983A34"/>
    <w:rsid w:val="009B6CD4"/>
    <w:rsid w:val="009D3110"/>
    <w:rsid w:val="00A47541"/>
    <w:rsid w:val="00AE271C"/>
    <w:rsid w:val="00B276A1"/>
    <w:rsid w:val="00C10A92"/>
    <w:rsid w:val="00CF0BE3"/>
    <w:rsid w:val="00D5535D"/>
    <w:rsid w:val="00D657E9"/>
    <w:rsid w:val="00E232A4"/>
    <w:rsid w:val="00F21848"/>
    <w:rsid w:val="00F722E6"/>
    <w:rsid w:val="04626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100"/>
      <w:outlineLvl w:val="0"/>
    </w:pPr>
    <w:rPr>
      <w:rFonts w:ascii="Arial" w:hAnsi="Arial" w:eastAsia="宋体"/>
      <w:b/>
      <w:bCs/>
      <w:sz w:val="25"/>
      <w:szCs w:val="25"/>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00"/>
    </w:pPr>
    <w:rPr>
      <w:rFonts w:ascii="Arial" w:hAnsi="Arial" w:eastAsia="宋体"/>
      <w:sz w:val="25"/>
      <w:szCs w:val="25"/>
    </w:rPr>
  </w:style>
  <w:style w:type="paragraph" w:styleId="4">
    <w:name w:val="Balloon Text"/>
    <w:basedOn w:val="1"/>
    <w:link w:val="15"/>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Char"/>
    <w:basedOn w:val="9"/>
    <w:link w:val="6"/>
    <w:qFormat/>
    <w:uiPriority w:val="99"/>
    <w:rPr>
      <w:sz w:val="18"/>
      <w:szCs w:val="18"/>
    </w:rPr>
  </w:style>
  <w:style w:type="character" w:customStyle="1" w:styleId="14">
    <w:name w:val="页脚 Char"/>
    <w:basedOn w:val="9"/>
    <w:link w:val="5"/>
    <w:uiPriority w:val="99"/>
    <w:rPr>
      <w:sz w:val="18"/>
      <w:szCs w:val="18"/>
    </w:rPr>
  </w:style>
  <w:style w:type="character" w:customStyle="1" w:styleId="15">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3228</Words>
  <Characters>4024</Characters>
  <Lines>29</Lines>
  <Paragraphs>8</Paragraphs>
  <TotalTime>0</TotalTime>
  <ScaleCrop>false</ScaleCrop>
  <LinksUpToDate>false</LinksUpToDate>
  <CharactersWithSpaces>4074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2017-10-22T06:55:00Z</dcterms:created>
  <dc:creator>cathy-wen</dc:creator>
  <cp:lastModifiedBy>太极箫客</cp:lastModifiedBy>
  <dcterms:modified xsi:type="dcterms:W3CDTF">2025-08-14T06:16:01Z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143C0B49292F49F9843B780196B76EF5_12</vt:lpwstr>
  </property>
</Properties>
</file>