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16620">
      <w:pPr>
        <w:snapToGrid w:val="0"/>
        <w:spacing w:after="120" w:afterLines="50" w:line="300" w:lineRule="auto"/>
        <w:jc w:val="both"/>
        <w:rPr>
          <w:rFonts w:ascii="Arial" w:hAnsi="Arial" w:eastAsia="宋体" w:cs="Arial"/>
          <w:sz w:val="20"/>
          <w:szCs w:val="20"/>
        </w:rPr>
      </w:pPr>
      <w:bookmarkStart w:id="0" w:name="_GoBack"/>
      <w:bookmarkEnd w:id="0"/>
    </w:p>
    <w:p w14:paraId="598DD1E2">
      <w:pPr>
        <w:snapToGrid w:val="0"/>
        <w:spacing w:after="120" w:afterLines="50" w:line="300" w:lineRule="auto"/>
        <w:jc w:val="both"/>
        <w:rPr>
          <w:rFonts w:ascii="Arial" w:hAnsi="Arial" w:eastAsia="宋体" w:cs="Arial"/>
          <w:sz w:val="20"/>
          <w:szCs w:val="20"/>
        </w:rPr>
      </w:pPr>
    </w:p>
    <w:p w14:paraId="1CFA7A14">
      <w:pPr>
        <w:snapToGrid w:val="0"/>
        <w:spacing w:after="120" w:afterLines="50" w:line="300" w:lineRule="auto"/>
        <w:jc w:val="both"/>
        <w:rPr>
          <w:rFonts w:ascii="Arial" w:hAnsi="Arial" w:eastAsia="宋体" w:cs="Arial"/>
          <w:sz w:val="20"/>
          <w:szCs w:val="20"/>
        </w:rPr>
      </w:pPr>
    </w:p>
    <w:p w14:paraId="39240412">
      <w:pPr>
        <w:snapToGrid w:val="0"/>
        <w:spacing w:after="120" w:afterLines="50" w:line="300" w:lineRule="auto"/>
        <w:jc w:val="both"/>
        <w:rPr>
          <w:rFonts w:ascii="Arial" w:hAnsi="Arial" w:eastAsia="宋体" w:cs="Arial"/>
          <w:sz w:val="20"/>
          <w:szCs w:val="20"/>
        </w:rPr>
      </w:pPr>
    </w:p>
    <w:p w14:paraId="7A8B2848">
      <w:pPr>
        <w:snapToGrid w:val="0"/>
        <w:spacing w:after="120" w:afterLines="50" w:line="300" w:lineRule="auto"/>
        <w:rPr>
          <w:rFonts w:ascii="Arial" w:hAnsi="Arial" w:eastAsia="宋体" w:cs="Arial"/>
          <w:b/>
          <w:sz w:val="64"/>
          <w:szCs w:val="64"/>
        </w:rPr>
      </w:pPr>
      <w:r>
        <w:rPr>
          <w:rFonts w:ascii="Arial" w:hAnsi="Arial" w:eastAsia="宋体" w:cs="Arial"/>
          <w:b/>
          <w:sz w:val="64"/>
        </w:rPr>
        <w:t>CPG</w:t>
      </w:r>
      <w:r>
        <w:rPr>
          <w:rFonts w:hint="eastAsia" w:ascii="Arial" w:hAnsi="Arial" w:eastAsia="宋体" w:cs="Arial"/>
          <w:b/>
          <w:sz w:val="64"/>
        </w:rPr>
        <w:t>章节</w:t>
      </w:r>
      <w:r>
        <w:rPr>
          <w:rFonts w:ascii="Arial" w:hAnsi="Arial" w:eastAsia="宋体" w:cs="Arial"/>
          <w:b/>
          <w:sz w:val="64"/>
        </w:rPr>
        <w:t>100.800 对印刷体签名的</w:t>
      </w:r>
      <w:r>
        <w:rPr>
          <w:rFonts w:hint="eastAsia" w:ascii="Arial" w:hAnsi="Arial" w:eastAsia="宋体" w:cs="Arial"/>
          <w:b/>
          <w:sz w:val="64"/>
        </w:rPr>
        <w:br w:type="textWrapping"/>
      </w:r>
      <w:r>
        <w:rPr>
          <w:rFonts w:ascii="Arial" w:hAnsi="Arial" w:eastAsia="宋体" w:cs="Arial"/>
          <w:b/>
          <w:sz w:val="64"/>
        </w:rPr>
        <w:t>担保</w:t>
      </w:r>
    </w:p>
    <w:p w14:paraId="36DDDFEA">
      <w:pPr>
        <w:pStyle w:val="2"/>
        <w:snapToGrid w:val="0"/>
        <w:spacing w:after="120" w:afterLines="50" w:line="300" w:lineRule="auto"/>
        <w:ind w:left="0"/>
        <w:jc w:val="both"/>
        <w:rPr>
          <w:rFonts w:cs="Arial"/>
          <w:sz w:val="24"/>
          <w:szCs w:val="24"/>
        </w:rPr>
      </w:pPr>
      <w:r>
        <w:rPr>
          <w:rFonts w:cs="Arial"/>
          <w:sz w:val="24"/>
          <w:szCs w:val="24"/>
        </w:rPr>
        <w:t>背景：</w:t>
      </w:r>
    </w:p>
    <w:p w14:paraId="011E6BE9">
      <w:pPr>
        <w:pStyle w:val="2"/>
        <w:snapToGrid w:val="0"/>
        <w:spacing w:after="120" w:afterLines="50" w:line="300" w:lineRule="auto"/>
        <w:ind w:left="0"/>
        <w:jc w:val="both"/>
        <w:rPr>
          <w:rFonts w:cs="Arial"/>
          <w:sz w:val="24"/>
          <w:szCs w:val="24"/>
        </w:rPr>
      </w:pPr>
      <w:r>
        <w:rPr>
          <w:rFonts w:cs="Arial"/>
          <w:sz w:val="24"/>
          <w:szCs w:val="24"/>
        </w:rPr>
        <w:t>关于担保是否必须由担保人亲自签署，以便获得第303（c）（2）</w:t>
      </w:r>
      <w:r>
        <w:rPr>
          <w:rFonts w:hint="eastAsia" w:cs="Arial"/>
          <w:sz w:val="24"/>
          <w:szCs w:val="24"/>
        </w:rPr>
        <w:t>章</w:t>
      </w:r>
      <w:r>
        <w:rPr>
          <w:rFonts w:cs="Arial"/>
          <w:sz w:val="24"/>
          <w:szCs w:val="24"/>
        </w:rPr>
        <w:t>的保护和/或使担保提供者符合第301</w:t>
      </w:r>
      <w:r>
        <w:rPr>
          <w:rFonts w:hint="eastAsia" w:cs="Arial"/>
          <w:sz w:val="24"/>
          <w:szCs w:val="24"/>
        </w:rPr>
        <w:t>章</w:t>
      </w:r>
      <w:r>
        <w:rPr>
          <w:rFonts w:cs="Arial"/>
          <w:sz w:val="24"/>
          <w:szCs w:val="24"/>
        </w:rPr>
        <w:t>（h）规定的问题，法院并未裁决。</w:t>
      </w:r>
    </w:p>
    <w:p w14:paraId="415CD753">
      <w:pPr>
        <w:pStyle w:val="2"/>
        <w:snapToGrid w:val="0"/>
        <w:spacing w:after="120" w:afterLines="50" w:line="300" w:lineRule="auto"/>
        <w:ind w:left="0"/>
        <w:jc w:val="both"/>
        <w:rPr>
          <w:rFonts w:cs="Arial"/>
          <w:sz w:val="24"/>
          <w:szCs w:val="24"/>
        </w:rPr>
      </w:pPr>
      <w:r>
        <w:rPr>
          <w:rFonts w:cs="Arial"/>
          <w:sz w:val="24"/>
          <w:szCs w:val="24"/>
        </w:rPr>
        <w:t>许多企业在承担担保的商业文件中使用传真签名或印刷企业名称。这些名称可能出现在保证书或文档的其他地方。</w:t>
      </w:r>
    </w:p>
    <w:p w14:paraId="6E4E2F47">
      <w:pPr>
        <w:pStyle w:val="2"/>
        <w:snapToGrid w:val="0"/>
        <w:spacing w:after="120" w:afterLines="50" w:line="300" w:lineRule="auto"/>
        <w:ind w:left="0"/>
        <w:jc w:val="both"/>
        <w:rPr>
          <w:rFonts w:cs="Arial"/>
          <w:sz w:val="24"/>
          <w:szCs w:val="24"/>
        </w:rPr>
      </w:pPr>
      <w:r>
        <w:rPr>
          <w:rFonts w:cs="Arial"/>
          <w:sz w:val="24"/>
          <w:szCs w:val="24"/>
        </w:rPr>
        <w:t>FD＆C法案第201（e）</w:t>
      </w:r>
      <w:r>
        <w:rPr>
          <w:rFonts w:hint="eastAsia" w:cs="Arial"/>
          <w:sz w:val="24"/>
          <w:szCs w:val="24"/>
        </w:rPr>
        <w:t>章</w:t>
      </w:r>
      <w:r>
        <w:rPr>
          <w:rFonts w:ascii="宋体" w:hAnsi="宋体" w:cs="Arial"/>
          <w:sz w:val="24"/>
          <w:szCs w:val="24"/>
        </w:rPr>
        <w:t>将“人”定义为包</w:t>
      </w:r>
      <w:r>
        <w:rPr>
          <w:rFonts w:cs="Arial"/>
          <w:sz w:val="24"/>
          <w:szCs w:val="24"/>
        </w:rPr>
        <w:t>括个体、合伙、法人和协会。这些机构通过授权并经常性地签署或印刷管理员或企业的名称到官方业务记录的代理人行事，并指定出现在这些记录上的声明。</w:t>
      </w:r>
    </w:p>
    <w:p w14:paraId="24D41FF5">
      <w:pPr>
        <w:pStyle w:val="2"/>
        <w:snapToGrid w:val="0"/>
        <w:spacing w:after="120" w:afterLines="50" w:line="300" w:lineRule="auto"/>
        <w:ind w:left="0"/>
        <w:jc w:val="both"/>
        <w:rPr>
          <w:rFonts w:cs="Arial"/>
          <w:sz w:val="24"/>
          <w:szCs w:val="24"/>
        </w:rPr>
      </w:pPr>
      <w:r>
        <w:rPr>
          <w:rFonts w:cs="Arial"/>
          <w:sz w:val="24"/>
          <w:szCs w:val="24"/>
        </w:rPr>
        <w:t>政策：</w:t>
      </w:r>
    </w:p>
    <w:p w14:paraId="621715EF">
      <w:pPr>
        <w:pStyle w:val="2"/>
        <w:snapToGrid w:val="0"/>
        <w:spacing w:after="120" w:afterLines="50" w:line="300" w:lineRule="auto"/>
        <w:ind w:left="0"/>
        <w:jc w:val="both"/>
        <w:rPr>
          <w:rFonts w:cs="Arial"/>
          <w:sz w:val="24"/>
          <w:szCs w:val="24"/>
        </w:rPr>
      </w:pPr>
      <w:r>
        <w:rPr>
          <w:rFonts w:cs="Arial"/>
          <w:sz w:val="24"/>
          <w:szCs w:val="24"/>
        </w:rPr>
        <w:t>我们将认定含有传真签名或印刷体签名或企业名称的担保文件，构成第303（c）（2）</w:t>
      </w:r>
      <w:r>
        <w:rPr>
          <w:rFonts w:hint="eastAsia" w:cs="Arial"/>
          <w:sz w:val="24"/>
          <w:szCs w:val="24"/>
        </w:rPr>
        <w:t>章</w:t>
      </w:r>
      <w:r>
        <w:rPr>
          <w:rFonts w:cs="Arial"/>
          <w:sz w:val="24"/>
          <w:szCs w:val="24"/>
        </w:rPr>
        <w:t>所定义的担保，并将违反该法案第301</w:t>
      </w:r>
      <w:r>
        <w:rPr>
          <w:rFonts w:hint="eastAsia" w:cs="Arial"/>
          <w:sz w:val="24"/>
          <w:szCs w:val="24"/>
        </w:rPr>
        <w:t>章（</w:t>
      </w:r>
      <w:r>
        <w:rPr>
          <w:rFonts w:cs="Arial"/>
          <w:sz w:val="24"/>
          <w:szCs w:val="24"/>
        </w:rPr>
        <w:t>h</w:t>
      </w:r>
      <w:r>
        <w:rPr>
          <w:rFonts w:hint="eastAsia" w:cs="Arial"/>
          <w:sz w:val="24"/>
          <w:szCs w:val="24"/>
        </w:rPr>
        <w:t>）</w:t>
      </w:r>
      <w:r>
        <w:rPr>
          <w:rFonts w:cs="Arial"/>
          <w:sz w:val="24"/>
          <w:szCs w:val="24"/>
        </w:rPr>
        <w:t>的担保认定为虚假担保。</w:t>
      </w:r>
    </w:p>
    <w:p w14:paraId="1A571945">
      <w:pPr>
        <w:snapToGrid w:val="0"/>
        <w:spacing w:after="120" w:afterLines="50" w:line="300" w:lineRule="auto"/>
        <w:jc w:val="both"/>
        <w:rPr>
          <w:rFonts w:ascii="Arial" w:hAnsi="Arial" w:eastAsia="宋体" w:cs="Arial"/>
          <w:sz w:val="24"/>
          <w:szCs w:val="24"/>
        </w:rPr>
      </w:pPr>
    </w:p>
    <w:p w14:paraId="2ACFD117">
      <w:pPr>
        <w:pStyle w:val="2"/>
        <w:snapToGrid w:val="0"/>
        <w:spacing w:after="120" w:afterLines="50" w:line="300" w:lineRule="auto"/>
        <w:ind w:left="0"/>
        <w:jc w:val="both"/>
        <w:rPr>
          <w:rFonts w:cs="Arial"/>
          <w:sz w:val="24"/>
          <w:szCs w:val="24"/>
        </w:rPr>
      </w:pPr>
      <w:r>
        <w:rPr>
          <w:rFonts w:cs="Arial"/>
          <w:sz w:val="24"/>
          <w:szCs w:val="24"/>
        </w:rPr>
        <w:t>发布日期：1979/4/9</w:t>
      </w:r>
    </w:p>
    <w:p w14:paraId="348BE438">
      <w:pPr>
        <w:pStyle w:val="2"/>
        <w:snapToGrid w:val="0"/>
        <w:spacing w:after="120" w:afterLines="50" w:line="300" w:lineRule="auto"/>
        <w:ind w:left="0"/>
        <w:jc w:val="both"/>
        <w:rPr>
          <w:rFonts w:cs="Arial"/>
          <w:sz w:val="24"/>
          <w:szCs w:val="24"/>
        </w:rPr>
      </w:pPr>
      <w:r>
        <w:rPr>
          <w:rFonts w:cs="Arial"/>
          <w:sz w:val="24"/>
          <w:szCs w:val="24"/>
        </w:rPr>
        <w:t>修订日期：1980年10月1日、1989年8月31日</w:t>
      </w:r>
    </w:p>
    <w:p w14:paraId="515E0307">
      <w:pPr>
        <w:snapToGrid w:val="0"/>
        <w:spacing w:after="120" w:afterLines="50" w:line="300" w:lineRule="auto"/>
        <w:jc w:val="both"/>
        <w:rPr>
          <w:rFonts w:ascii="Arial" w:hAnsi="Arial" w:eastAsia="宋体" w:cs="Arial"/>
          <w:sz w:val="24"/>
          <w:szCs w:val="24"/>
        </w:rPr>
      </w:pPr>
    </w:p>
    <w:tbl>
      <w:tblPr>
        <w:tblStyle w:val="7"/>
        <w:tblW w:w="0" w:type="auto"/>
        <w:tblInd w:w="10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63AD9F2C">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4F822C78">
            <w:pPr>
              <w:pStyle w:val="9"/>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2E158581">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tcBorders>
          </w:tcPr>
          <w:p w14:paraId="59B4F17D">
            <w:pPr>
              <w:pStyle w:val="9"/>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rPr>
              <w:t>前言</w:t>
            </w:r>
            <w:r>
              <w:rPr>
                <w:rFonts w:ascii="Arial" w:hAnsi="Arial" w:eastAsia="宋体" w:cs="Arial"/>
                <w:b/>
                <w:sz w:val="24"/>
                <w:szCs w:val="24"/>
                <w:u w:val="single" w:color="000000"/>
              </w:rPr>
              <w:t>：合规政策指南（CPG）</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42B78119">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55D49F01">
            <w:pPr>
              <w:pStyle w:val="9"/>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065BCB4F">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5AF7352">
            <w:pPr>
              <w:pStyle w:val="9"/>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67884C62">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0E116A34">
            <w:pPr>
              <w:pStyle w:val="9"/>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第三章-器械</w:t>
            </w:r>
            <w:r>
              <w:rPr>
                <w:rFonts w:hint="eastAsia"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70BD5179">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9116941">
            <w:pPr>
              <w:snapToGrid w:val="0"/>
              <w:spacing w:before="72" w:beforeLines="30" w:after="72" w:afterLines="3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ascii="Arial" w:hAnsi="Arial" w:eastAsia="宋体" w:cs="Arial"/>
                <w:b/>
                <w:sz w:val="24"/>
                <w:szCs w:val="24"/>
                <w:u w:val="single" w:color="000000"/>
              </w:rPr>
              <w:fldChar w:fldCharType="end"/>
            </w:r>
            <w:r>
              <w:rPr>
                <w:rFonts w:hint="eastAsia" w:ascii="Arial" w:hAnsi="Arial" w:eastAsia="宋体" w:cs="Arial"/>
                <w:b/>
                <w:sz w:val="24"/>
                <w:szCs w:val="24"/>
                <w:u w:val="single" w:color="000000"/>
              </w:rPr>
              <w:br w:type="textWrapping"/>
            </w: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5A25226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22D56601">
            <w:pPr>
              <w:snapToGrid w:val="0"/>
              <w:spacing w:before="72" w:beforeLines="30" w:after="72" w:afterLines="30" w:line="300" w:lineRule="auto"/>
              <w:ind w:left="44" w:leftChars="20" w:right="44" w:rightChars="20"/>
              <w:rPr>
                <w:sz w:val="24"/>
                <w:szCs w:val="24"/>
              </w:rPr>
            </w:pPr>
            <w:r>
              <w:rPr>
                <w:rFonts w:hint="eastAsia" w:ascii="Arial" w:hAnsi="Arial" w:eastAsia="宋体" w:cs="Arial"/>
                <w:b/>
                <w:sz w:val="24"/>
                <w:szCs w:val="24"/>
                <w:u w:val="single" w:color="000000"/>
              </w:rPr>
              <w:t>第五章-食品、颜料和化妆品(/ICECI/ComplianceManuals/CompliancePolicyGuidanceManual/ucm119194.htm)</w:t>
            </w:r>
          </w:p>
        </w:tc>
      </w:tr>
      <w:tr w14:paraId="62E3B4C5">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848B6C1">
            <w:pPr>
              <w:snapToGrid w:val="0"/>
              <w:spacing w:before="72" w:beforeLines="30" w:after="72" w:afterLines="30" w:line="300" w:lineRule="auto"/>
              <w:ind w:left="44" w:leftChars="20" w:right="44" w:rightChars="20"/>
              <w:rPr>
                <w:rFonts w:ascii="Arial" w:hAnsi="Arial" w:cs="Arial"/>
                <w:b/>
                <w:sz w:val="24"/>
                <w:szCs w:val="24"/>
                <w:u w:val="single" w:color="000000"/>
              </w:rPr>
            </w:pPr>
            <w:r>
              <w:rPr>
                <w:rFonts w:hint="eastAsia" w:ascii="Arial" w:hAnsi="Arial" w:eastAsia="宋体" w:cs="Arial"/>
                <w:b/>
                <w:sz w:val="24"/>
                <w:szCs w:val="24"/>
                <w:u w:val="single" w:color="000000"/>
              </w:rPr>
              <w:t>第六章-兽医医学(ICECI/ComplianceManuals/CompliancePolicvGuidanceManual/default.htm)</w:t>
            </w:r>
          </w:p>
        </w:tc>
      </w:tr>
    </w:tbl>
    <w:p w14:paraId="51AB7CC8">
      <w:pPr>
        <w:snapToGrid w:val="0"/>
        <w:spacing w:after="120" w:afterLines="50" w:line="300" w:lineRule="auto"/>
        <w:jc w:val="both"/>
        <w:rPr>
          <w:rFonts w:ascii="Arial" w:hAnsi="Arial" w:eastAsia="宋体" w:cs="Arial"/>
          <w:sz w:val="24"/>
          <w:szCs w:val="24"/>
        </w:rPr>
      </w:pPr>
    </w:p>
    <w:p w14:paraId="2435B82B">
      <w:pPr>
        <w:snapToGrid w:val="0"/>
        <w:spacing w:after="120" w:afterLines="50" w:line="300" w:lineRule="auto"/>
        <w:jc w:val="both"/>
        <w:rPr>
          <w:rFonts w:hint="eastAsia" w:eastAsia="宋体"/>
          <w:lang w:eastAsia="zh-CN"/>
        </w:rPr>
      </w:pPr>
    </w:p>
    <w:p w14:paraId="2F99BD0B">
      <w:pPr>
        <w:snapToGrid w:val="0"/>
        <w:spacing w:after="120" w:afterLines="50" w:line="300" w:lineRule="auto"/>
        <w:jc w:val="center"/>
        <w:rPr>
          <w:rFonts w:hint="eastAsia" w:eastAsia="宋体"/>
          <w:lang w:eastAsia="zh-CN"/>
        </w:rPr>
      </w:pPr>
    </w:p>
    <w:p w14:paraId="169DD02E">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480" w:right="380" w:bottom="460" w:left="400" w:header="290" w:footer="2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684A6">
    <w:pPr>
      <w:tabs>
        <w:tab w:val="right" w:pos="11057"/>
      </w:tabs>
      <w:spacing w:line="184" w:lineRule="exact"/>
      <w:ind w:left="40"/>
      <w:rPr>
        <w:rFonts w:ascii="Arial" w:hAnsi="Arial" w:eastAsia="宋体" w:cs="Arial"/>
        <w:sz w:val="15"/>
        <w:szCs w:val="15"/>
      </w:rPr>
    </w:pPr>
  </w:p>
  <w:p w14:paraId="0DFE3B31">
    <w:pPr>
      <w:tabs>
        <w:tab w:val="right" w:pos="11057"/>
      </w:tabs>
      <w:spacing w:line="184" w:lineRule="exact"/>
      <w:ind w:left="40"/>
      <w:rPr>
        <w:rFonts w:ascii="Arial" w:hAnsi="Arial" w:eastAsia="宋体" w:cs="Arial"/>
        <w:sz w:val="15"/>
        <w:szCs w:val="15"/>
      </w:rPr>
    </w:pPr>
    <w:r>
      <w:rPr>
        <w:rFonts w:ascii="Arial" w:hAnsi="Arial" w:eastAsia="宋体" w:cs="Arial"/>
        <w:sz w:val="15"/>
        <w:szCs w:val="15"/>
      </w:rPr>
      <w:t>https://</w:t>
    </w:r>
    <w:r>
      <w:fldChar w:fldCharType="begin"/>
    </w:r>
    <w:r>
      <w:instrText xml:space="preserve"> HYPERLINK "http://www.fda.gov/ICECI/ComplianceManuals/CompliancePolicyGuidanceManual/ucm073827.htm" \h </w:instrText>
    </w:r>
    <w:r>
      <w:fldChar w:fldCharType="separate"/>
    </w:r>
    <w:r>
      <w:rPr>
        <w:rFonts w:ascii="Arial" w:hAnsi="Arial" w:eastAsia="宋体" w:cs="Arial"/>
        <w:sz w:val="15"/>
        <w:szCs w:val="15"/>
      </w:rPr>
      <w:t>www.fda.gov/ICECI/ComplianceManuals/CompliancePolicyGuidanceManual/ucm073827.htm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2</w:t>
    </w:r>
    <w:r>
      <w:rPr>
        <w:rFonts w:ascii="Arial" w:hAnsi="Arial" w:cs="Arial"/>
        <w:sz w:val="15"/>
        <w:szCs w:val="15"/>
      </w:rPr>
      <w:fldChar w:fldCharType="end"/>
    </w:r>
    <w:r>
      <w:rPr>
        <w:rFonts w:ascii="Arial" w:hAnsi="Arial" w:eastAsia="宋体" w:cs="Arial"/>
        <w:sz w:val="15"/>
        <w:szCs w:val="15"/>
      </w:rPr>
      <w:t>/2</w:t>
    </w:r>
  </w:p>
  <w:p w14:paraId="19A08BEF">
    <w:pPr>
      <w:spacing w:line="14" w:lineRule="auto"/>
      <w:rPr>
        <w:rFonts w:ascii="Arial" w:hAnsi="Arial" w:cs="Arial"/>
        <w:sz w:val="15"/>
        <w:szCs w:val="15"/>
      </w:rPr>
    </w:pPr>
    <w:r>
      <w:rPr>
        <w:rFonts w:ascii="Arial" w:hAnsi="Arial" w:cs="Arial"/>
        <w:sz w:val="15"/>
        <w:szCs w:val="1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91A4">
    <w:pPr>
      <w:tabs>
        <w:tab w:val="left" w:pos="3544"/>
      </w:tabs>
      <w:spacing w:line="184" w:lineRule="exact"/>
      <w:ind w:left="20"/>
      <w:rPr>
        <w:rFonts w:ascii="Arial" w:hAnsi="Arial" w:eastAsia="宋体" w:cs="Arial"/>
        <w:sz w:val="15"/>
        <w:szCs w:val="15"/>
      </w:rPr>
    </w:pPr>
    <w:r>
      <w:rPr>
        <w:rFonts w:ascii="Arial" w:hAnsi="Arial" w:eastAsia="宋体" w:cs="Arial"/>
        <w:sz w:val="15"/>
        <w:szCs w:val="15"/>
      </w:rPr>
      <w:t>2017年8月10日</w:t>
    </w:r>
    <w:r>
      <w:rPr>
        <w:rFonts w:ascii="Arial" w:hAnsi="Arial" w:eastAsia="宋体" w:cs="Arial"/>
        <w:sz w:val="15"/>
        <w:szCs w:val="15"/>
      </w:rPr>
      <w:tab/>
    </w:r>
    <w:r>
      <w:rPr>
        <w:rFonts w:ascii="Arial" w:hAnsi="Arial" w:eastAsia="宋体" w:cs="Arial"/>
        <w:sz w:val="15"/>
        <w:szCs w:val="15"/>
      </w:rPr>
      <w:t>合规政策指南&gt;CPG</w:t>
    </w:r>
    <w:r>
      <w:rPr>
        <w:rFonts w:hint="eastAsia" w:ascii="Arial" w:hAnsi="Arial" w:eastAsia="宋体" w:cs="Arial"/>
        <w:sz w:val="15"/>
        <w:szCs w:val="15"/>
      </w:rPr>
      <w:t>章节</w:t>
    </w:r>
    <w:r>
      <w:rPr>
        <w:rFonts w:ascii="Arial" w:hAnsi="Arial" w:eastAsia="宋体" w:cs="Arial"/>
        <w:sz w:val="15"/>
        <w:szCs w:val="15"/>
      </w:rPr>
      <w:t>100.800 对印刷体签名的担保</w:t>
    </w:r>
  </w:p>
  <w:p w14:paraId="3A6AB322">
    <w:pPr>
      <w:spacing w:line="184" w:lineRule="exact"/>
      <w:ind w:left="20"/>
      <w:rPr>
        <w:rFonts w:ascii="Arial" w:hAnsi="Arial" w:eastAsia="宋体" w:cs="Arial"/>
        <w:sz w:val="16"/>
        <w:szCs w:val="16"/>
      </w:rPr>
    </w:pPr>
  </w:p>
  <w:p w14:paraId="7EDE1F6E">
    <w:pPr>
      <w:spacing w:line="184" w:lineRule="exact"/>
      <w:ind w:left="20"/>
      <w:rPr>
        <w:rFonts w:ascii="Arial" w:hAnsi="Arial" w:eastAsia="宋体" w:cs="Arial"/>
        <w:sz w:val="16"/>
        <w:szCs w:val="16"/>
      </w:rPr>
    </w:pPr>
  </w:p>
  <w:p w14:paraId="6A1488C5">
    <w:pPr>
      <w:spacing w:line="184" w:lineRule="exact"/>
      <w:ind w:left="20"/>
      <w:rPr>
        <w:rFonts w:ascii="Arial" w:hAnsi="Arial" w:eastAsia="宋体" w:cs="Arial"/>
        <w:sz w:val="16"/>
        <w:szCs w:val="16"/>
      </w:rPr>
    </w:pPr>
  </w:p>
  <w:p w14:paraId="2DE1F685">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0A"/>
    <w:rsid w:val="000E7524"/>
    <w:rsid w:val="00260A14"/>
    <w:rsid w:val="0035614B"/>
    <w:rsid w:val="003E065C"/>
    <w:rsid w:val="003E3197"/>
    <w:rsid w:val="00463F71"/>
    <w:rsid w:val="00632D15"/>
    <w:rsid w:val="00762FD0"/>
    <w:rsid w:val="00926E11"/>
    <w:rsid w:val="00A26B33"/>
    <w:rsid w:val="00B05392"/>
    <w:rsid w:val="00C5520A"/>
    <w:rsid w:val="00C946CC"/>
    <w:rsid w:val="00CA614A"/>
    <w:rsid w:val="00CB1AA0"/>
    <w:rsid w:val="00CE4F1E"/>
    <w:rsid w:val="00E523A0"/>
    <w:rsid w:val="00EB1D91"/>
    <w:rsid w:val="00EB72DD"/>
    <w:rsid w:val="00EF1706"/>
    <w:rsid w:val="567B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412</Words>
  <Characters>985</Characters>
  <Lines>12</Lines>
  <Paragraphs>3</Paragraphs>
  <TotalTime>0</TotalTime>
  <ScaleCrop>false</ScaleCrop>
  <LinksUpToDate>false</LinksUpToDate>
  <CharactersWithSpaces>1004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2017-11-10T01:28:00Z</dcterms:created>
  <dc:creator>wenrongzhen</dc:creator>
  <cp:lastModifiedBy>太极箫客</cp:lastModifiedBy>
  <dcterms:modified xsi:type="dcterms:W3CDTF">2025-08-14T06:16:01Z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88EBD30252C341F8B93D6BE24C5EDD28_12</vt:lpwstr>
  </property>
</Properties>
</file>