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43257">
      <w:pPr>
        <w:overflowPunct w:val="0"/>
        <w:snapToGrid w:val="0"/>
        <w:spacing w:line="300" w:lineRule="auto"/>
        <w:jc w:val="both"/>
        <w:rPr>
          <w:rFonts w:ascii="Times New Roman" w:hAnsi="Times New Roman" w:eastAsia="Times New Roman" w:cs="Times New Roman"/>
          <w:sz w:val="20"/>
          <w:szCs w:val="20"/>
        </w:rPr>
      </w:pPr>
      <w:bookmarkStart w:id="0" w:name="_GoBack"/>
      <w:bookmarkEnd w:id="0"/>
    </w:p>
    <w:p w14:paraId="787DE570">
      <w:pPr>
        <w:overflowPunct w:val="0"/>
        <w:snapToGrid w:val="0"/>
        <w:spacing w:line="300" w:lineRule="auto"/>
        <w:jc w:val="both"/>
        <w:rPr>
          <w:rFonts w:ascii="Times New Roman" w:hAnsi="Times New Roman" w:eastAsia="Times New Roman" w:cs="Times New Roman"/>
          <w:sz w:val="20"/>
          <w:szCs w:val="20"/>
        </w:rPr>
      </w:pPr>
    </w:p>
    <w:p w14:paraId="77AF5344">
      <w:pPr>
        <w:overflowPunct w:val="0"/>
        <w:snapToGrid w:val="0"/>
        <w:spacing w:line="300" w:lineRule="auto"/>
        <w:jc w:val="both"/>
        <w:rPr>
          <w:rFonts w:ascii="Times New Roman" w:hAnsi="Times New Roman" w:eastAsia="Times New Roman" w:cs="Times New Roman"/>
          <w:sz w:val="20"/>
          <w:szCs w:val="20"/>
        </w:rPr>
      </w:pPr>
    </w:p>
    <w:p w14:paraId="5A4779C3">
      <w:pPr>
        <w:overflowPunct w:val="0"/>
        <w:snapToGrid w:val="0"/>
        <w:spacing w:line="300" w:lineRule="auto"/>
        <w:jc w:val="both"/>
        <w:rPr>
          <w:rFonts w:ascii="Times New Roman" w:hAnsi="Times New Roman" w:eastAsia="Times New Roman" w:cs="Times New Roman"/>
          <w:sz w:val="20"/>
          <w:szCs w:val="20"/>
        </w:rPr>
      </w:pPr>
    </w:p>
    <w:p w14:paraId="583B7243">
      <w:pPr>
        <w:overflowPunct w:val="0"/>
        <w:snapToGrid w:val="0"/>
        <w:spacing w:line="300" w:lineRule="auto"/>
        <w:jc w:val="both"/>
        <w:rPr>
          <w:rFonts w:ascii="Times New Roman" w:hAnsi="Times New Roman" w:eastAsia="Times New Roman" w:cs="Times New Roman"/>
          <w:sz w:val="20"/>
          <w:szCs w:val="20"/>
        </w:rPr>
      </w:pPr>
    </w:p>
    <w:p w14:paraId="062B1BFD">
      <w:pPr>
        <w:overflowPunct w:val="0"/>
        <w:snapToGrid w:val="0"/>
        <w:spacing w:line="300" w:lineRule="auto"/>
        <w:jc w:val="both"/>
        <w:rPr>
          <w:rFonts w:ascii="Times New Roman" w:hAnsi="Times New Roman" w:eastAsia="Times New Roman" w:cs="Times New Roman"/>
          <w:sz w:val="20"/>
          <w:szCs w:val="20"/>
        </w:rPr>
      </w:pPr>
    </w:p>
    <w:p w14:paraId="3C0D59EC">
      <w:pPr>
        <w:overflowPunct w:val="0"/>
        <w:snapToGrid w:val="0"/>
        <w:spacing w:before="127" w:line="300" w:lineRule="auto"/>
        <w:jc w:val="both"/>
        <w:rPr>
          <w:rFonts w:ascii="Arial" w:hAnsi="Arial" w:eastAsia="宋体" w:cs="Arial"/>
          <w:sz w:val="68"/>
          <w:szCs w:val="68"/>
        </w:rPr>
      </w:pPr>
      <w:r>
        <w:rPr>
          <w:rFonts w:hint="eastAsia" w:ascii="Arial" w:eastAsia="宋体"/>
          <w:sz w:val="66"/>
        </w:rPr>
        <w:t>CPG 章节100.550 药品和器械灭菌合约灭菌商的地位和责任</w:t>
      </w:r>
    </w:p>
    <w:p w14:paraId="2E4918D6">
      <w:pPr>
        <w:pStyle w:val="2"/>
        <w:overflowPunct w:val="0"/>
        <w:snapToGrid w:val="0"/>
        <w:spacing w:before="391" w:line="300" w:lineRule="auto"/>
        <w:ind w:left="0"/>
        <w:jc w:val="both"/>
        <w:rPr>
          <w:sz w:val="24"/>
          <w:szCs w:val="24"/>
        </w:rPr>
      </w:pPr>
      <w:r>
        <w:rPr>
          <w:rFonts w:hint="eastAsia"/>
          <w:sz w:val="24"/>
          <w:szCs w:val="24"/>
        </w:rPr>
        <w:t>文档于2006年10月3日发布，并将取代1995年3月发布的“合规政策指导”（CPG）“章节100.550药品和器械灭菌合约灭菌商的地位和责任（CPG 7150.16）”。</w:t>
      </w:r>
    </w:p>
    <w:p w14:paraId="3D1F0E61">
      <w:pPr>
        <w:overflowPunct w:val="0"/>
        <w:snapToGrid w:val="0"/>
        <w:spacing w:before="3" w:line="300" w:lineRule="auto"/>
        <w:jc w:val="both"/>
        <w:rPr>
          <w:rFonts w:ascii="Arial" w:hAnsi="Arial" w:eastAsia="Arial" w:cs="Arial"/>
          <w:sz w:val="24"/>
          <w:szCs w:val="24"/>
        </w:rPr>
      </w:pPr>
    </w:p>
    <w:p w14:paraId="17B876A9">
      <w:pPr>
        <w:pStyle w:val="2"/>
        <w:overflowPunct w:val="0"/>
        <w:snapToGrid w:val="0"/>
        <w:spacing w:line="300" w:lineRule="auto"/>
        <w:ind w:left="0"/>
        <w:jc w:val="both"/>
        <w:rPr>
          <w:sz w:val="24"/>
          <w:szCs w:val="24"/>
        </w:rPr>
      </w:pPr>
      <w:r>
        <w:rPr>
          <w:rFonts w:hint="eastAsia"/>
          <w:sz w:val="24"/>
          <w:szCs w:val="24"/>
        </w:rPr>
        <w:t>针对本文档的问题，请致电联系Jeffrey Governale，电话：240-632-6851。</w:t>
      </w:r>
    </w:p>
    <w:p w14:paraId="315AC729">
      <w:pPr>
        <w:overflowPunct w:val="0"/>
        <w:snapToGrid w:val="0"/>
        <w:spacing w:before="7" w:line="300" w:lineRule="auto"/>
        <w:jc w:val="both"/>
        <w:rPr>
          <w:rFonts w:ascii="Arial" w:hAnsi="Arial" w:eastAsia="Arial" w:cs="Arial"/>
          <w:sz w:val="24"/>
          <w:szCs w:val="24"/>
        </w:rPr>
      </w:pPr>
    </w:p>
    <w:p w14:paraId="21A1FA27">
      <w:pPr>
        <w:pStyle w:val="2"/>
        <w:ind w:left="0"/>
        <w:rPr>
          <w:sz w:val="24"/>
          <w:szCs w:val="24"/>
        </w:rPr>
      </w:pPr>
      <w:r>
        <w:rPr>
          <w:rFonts w:hint="eastAsia"/>
          <w:sz w:val="24"/>
          <w:szCs w:val="24"/>
        </w:rPr>
        <w:t>公共评论：针对本合规政策指南的书面评论请提交至食品药品监督管理局案卷管理处（HFA-305），5630 Fishers Lane, rm.1061, Rockville, MD 20852.请参阅本指导性文件的确切标题。再次进行文件修订或更新之前，本机构可能不会针对评论采取行动。</w:t>
      </w:r>
    </w:p>
    <w:p w14:paraId="2DA712B1">
      <w:pPr>
        <w:pStyle w:val="2"/>
      </w:pPr>
    </w:p>
    <w:p w14:paraId="02AEEA43">
      <w:pPr>
        <w:pStyle w:val="2"/>
        <w:rPr>
          <w:rFonts w:eastAsia="Arial" w:cs="Arial"/>
          <w:sz w:val="24"/>
          <w:szCs w:val="24"/>
        </w:rPr>
      </w:pPr>
    </w:p>
    <w:p w14:paraId="552C8BD5">
      <w:pPr>
        <w:pStyle w:val="2"/>
        <w:tabs>
          <w:tab w:val="left" w:pos="8445"/>
        </w:tabs>
        <w:overflowPunct w:val="0"/>
        <w:snapToGrid w:val="0"/>
        <w:spacing w:line="300" w:lineRule="auto"/>
        <w:ind w:left="0"/>
        <w:rPr>
          <w:sz w:val="24"/>
          <w:szCs w:val="24"/>
        </w:rPr>
      </w:pPr>
      <w:r>
        <w:rPr>
          <w:rFonts w:hint="eastAsia"/>
          <w:b/>
          <w:sz w:val="24"/>
          <w:szCs w:val="24"/>
        </w:rPr>
        <w:t>其他副本：</w:t>
      </w:r>
      <w:r>
        <w:rPr>
          <w:rFonts w:hint="eastAsia"/>
          <w:sz w:val="24"/>
          <w:szCs w:val="24"/>
        </w:rPr>
        <w:t>文件可从互联网获得：</w:t>
      </w:r>
      <w:r>
        <w:fldChar w:fldCharType="begin"/>
      </w:r>
      <w:r>
        <w:instrText xml:space="preserve"> HYPERLINK "http://www.fda.gov/ICECI/" \h </w:instrText>
      </w:r>
      <w:r>
        <w:fldChar w:fldCharType="separate"/>
      </w:r>
      <w:r>
        <w:rPr>
          <w:rFonts w:hint="eastAsia"/>
          <w:b/>
          <w:sz w:val="24"/>
          <w:szCs w:val="24"/>
          <w:u w:val="dotted" w:color="181818"/>
        </w:rPr>
        <w:t>http://www.fda.gov/ ICECI/</w:t>
      </w:r>
      <w:r>
        <w:rPr>
          <w:rFonts w:hint="eastAsia"/>
          <w:b/>
          <w:sz w:val="24"/>
          <w:szCs w:val="24"/>
          <w:u w:val="dotted" w:color="181818"/>
        </w:rPr>
        <w:fldChar w:fldCharType="end"/>
      </w:r>
      <w:r>
        <w:rPr>
          <w:rFonts w:hint="eastAsia"/>
          <w:b/>
          <w:sz w:val="24"/>
          <w:szCs w:val="24"/>
          <w:u w:val="dotted" w:color="181818"/>
        </w:rPr>
        <w:t>ComplianceManuaIs/CompliancePolicyGuidanceManual/default.htm</w:t>
      </w:r>
      <w:r>
        <w:rPr>
          <w:rFonts w:hint="eastAsia"/>
          <w:b/>
          <w:sz w:val="24"/>
          <w:szCs w:val="24"/>
          <w:u w:val="dotted"/>
        </w:rPr>
        <w:t xml:space="preserve"> </w:t>
      </w:r>
      <w:r>
        <w:rPr>
          <w:rFonts w:hint="eastAsia"/>
          <w:b/>
          <w:sz w:val="24"/>
          <w:szCs w:val="24"/>
          <w:u w:val="dotted" w:color="080808"/>
        </w:rPr>
        <w:t>（/ICECI/CompIianceManuaIs/CompIianceProqramManuaI/default.htm）</w:t>
      </w:r>
      <w:r>
        <w:rPr>
          <w:rFonts w:hint="eastAsia"/>
          <w:sz w:val="24"/>
          <w:szCs w:val="24"/>
        </w:rPr>
        <w:t>.如果贵公司希望通过邮件方式接收本文档副本，请将书面请求提交至食品药品监督管理局，法规事务办公室，合规政策处（HFC-230），5600 Fishers Lane，Rockville，MD 20857-001，或使用传真将请求发送至240-632-6861。</w:t>
      </w:r>
    </w:p>
    <w:p w14:paraId="7E99EC00">
      <w:pPr>
        <w:overflowPunct w:val="0"/>
        <w:snapToGrid w:val="0"/>
        <w:spacing w:before="8" w:line="300" w:lineRule="auto"/>
        <w:jc w:val="both"/>
        <w:rPr>
          <w:rFonts w:ascii="Arial" w:hAnsi="Arial" w:eastAsia="Arial" w:cs="Arial"/>
          <w:sz w:val="24"/>
          <w:szCs w:val="24"/>
        </w:rPr>
      </w:pPr>
    </w:p>
    <w:p w14:paraId="418F76F4">
      <w:pPr>
        <w:pStyle w:val="11"/>
        <w:tabs>
          <w:tab w:val="left" w:pos="832"/>
        </w:tabs>
        <w:overflowPunct w:val="0"/>
        <w:snapToGrid w:val="0"/>
        <w:spacing w:line="300" w:lineRule="auto"/>
        <w:jc w:val="both"/>
        <w:rPr>
          <w:rFonts w:ascii="Arial" w:eastAsia="宋体"/>
          <w:b/>
          <w:sz w:val="24"/>
          <w:szCs w:val="24"/>
        </w:rPr>
      </w:pPr>
      <w:r>
        <w:rPr>
          <w:rFonts w:hint="eastAsia" w:ascii="Arial" w:eastAsia="宋体"/>
          <w:b/>
          <w:sz w:val="24"/>
          <w:szCs w:val="24"/>
        </w:rPr>
        <w:t>美国卫生和人类服务署</w:t>
      </w:r>
    </w:p>
    <w:p w14:paraId="3D742273">
      <w:pPr>
        <w:pStyle w:val="11"/>
        <w:tabs>
          <w:tab w:val="left" w:pos="832"/>
        </w:tabs>
        <w:overflowPunct w:val="0"/>
        <w:snapToGrid w:val="0"/>
        <w:spacing w:line="300" w:lineRule="auto"/>
        <w:jc w:val="both"/>
        <w:rPr>
          <w:rFonts w:ascii="Arial" w:hAnsi="Arial" w:eastAsia="宋体" w:cs="Arial"/>
          <w:b/>
          <w:sz w:val="24"/>
          <w:szCs w:val="24"/>
        </w:rPr>
      </w:pPr>
      <w:r>
        <w:rPr>
          <w:rFonts w:hint="eastAsia" w:ascii="Arial" w:eastAsia="宋体"/>
          <w:b/>
          <w:sz w:val="24"/>
          <w:szCs w:val="24"/>
        </w:rPr>
        <w:t>食品药品监督管理局</w:t>
      </w:r>
    </w:p>
    <w:p w14:paraId="290ED8A8">
      <w:pPr>
        <w:pStyle w:val="2"/>
        <w:overflowPunct w:val="0"/>
        <w:snapToGrid w:val="0"/>
        <w:spacing w:before="1" w:line="300" w:lineRule="auto"/>
        <w:ind w:left="0"/>
        <w:jc w:val="both"/>
        <w:rPr>
          <w:b/>
          <w:sz w:val="24"/>
          <w:szCs w:val="24"/>
        </w:rPr>
      </w:pPr>
      <w:r>
        <w:rPr>
          <w:rFonts w:hint="eastAsia"/>
          <w:b/>
          <w:sz w:val="24"/>
          <w:szCs w:val="24"/>
        </w:rPr>
        <w:t>法规事务办公室</w:t>
      </w:r>
      <w:r>
        <w:rPr>
          <w:rFonts w:hint="eastAsia"/>
          <w:b/>
          <w:sz w:val="24"/>
          <w:szCs w:val="24"/>
        </w:rPr>
        <w:cr/>
      </w:r>
      <w:r>
        <w:rPr>
          <w:rFonts w:hint="eastAsia"/>
          <w:b/>
          <w:sz w:val="24"/>
          <w:szCs w:val="24"/>
        </w:rPr>
        <w:t>强制执法办公室</w:t>
      </w:r>
    </w:p>
    <w:p w14:paraId="2CC013C8">
      <w:pPr>
        <w:pStyle w:val="2"/>
        <w:overflowPunct w:val="0"/>
        <w:snapToGrid w:val="0"/>
        <w:spacing w:before="6" w:line="300" w:lineRule="auto"/>
        <w:ind w:left="0"/>
        <w:jc w:val="both"/>
        <w:rPr>
          <w:b/>
          <w:sz w:val="24"/>
          <w:szCs w:val="24"/>
        </w:rPr>
      </w:pPr>
      <w:r>
        <w:rPr>
          <w:rFonts w:hint="eastAsia"/>
          <w:b/>
          <w:sz w:val="24"/>
          <w:szCs w:val="24"/>
        </w:rPr>
        <w:t>合规政策司</w:t>
      </w:r>
    </w:p>
    <w:p w14:paraId="59D9D4FC">
      <w:pPr>
        <w:pStyle w:val="2"/>
        <w:overflowPunct w:val="0"/>
        <w:snapToGrid w:val="0"/>
        <w:spacing w:line="300" w:lineRule="auto"/>
        <w:ind w:left="0"/>
        <w:jc w:val="both"/>
        <w:rPr>
          <w:b/>
          <w:sz w:val="24"/>
          <w:szCs w:val="24"/>
        </w:rPr>
      </w:pPr>
    </w:p>
    <w:p w14:paraId="12F16CF2">
      <w:pPr>
        <w:pStyle w:val="2"/>
        <w:overflowPunct w:val="0"/>
        <w:snapToGrid w:val="0"/>
        <w:spacing w:line="300" w:lineRule="auto"/>
        <w:ind w:left="0"/>
        <w:jc w:val="both"/>
        <w:rPr>
          <w:b/>
          <w:sz w:val="24"/>
          <w:szCs w:val="24"/>
        </w:rPr>
      </w:pPr>
      <w:r>
        <w:rPr>
          <w:rFonts w:hint="eastAsia"/>
          <w:b/>
          <w:sz w:val="24"/>
          <w:szCs w:val="24"/>
        </w:rPr>
        <w:t>合规政策指南</w:t>
      </w:r>
    </w:p>
    <w:p w14:paraId="14883DF9">
      <w:pPr>
        <w:pStyle w:val="2"/>
        <w:overflowPunct w:val="0"/>
        <w:snapToGrid w:val="0"/>
        <w:spacing w:before="70" w:line="300" w:lineRule="auto"/>
        <w:ind w:left="0"/>
        <w:jc w:val="both"/>
        <w:rPr>
          <w:b/>
          <w:sz w:val="24"/>
          <w:szCs w:val="24"/>
        </w:rPr>
      </w:pPr>
      <w:r>
        <w:rPr>
          <w:rFonts w:hint="eastAsia"/>
          <w:b/>
          <w:sz w:val="24"/>
          <w:szCs w:val="24"/>
        </w:rPr>
        <w:t>FDA工作人员及行业指南</w:t>
      </w:r>
    </w:p>
    <w:p w14:paraId="6C1A1280">
      <w:pPr>
        <w:pStyle w:val="2"/>
        <w:overflowPunct w:val="0"/>
        <w:snapToGrid w:val="0"/>
        <w:spacing w:before="70" w:line="300" w:lineRule="auto"/>
        <w:ind w:left="0"/>
        <w:jc w:val="both"/>
        <w:rPr>
          <w:b/>
          <w:sz w:val="24"/>
          <w:szCs w:val="24"/>
        </w:rPr>
      </w:pPr>
      <w:r>
        <w:rPr>
          <w:rFonts w:hint="eastAsia"/>
          <w:b/>
          <w:sz w:val="24"/>
          <w:szCs w:val="24"/>
        </w:rPr>
        <w:t>章节100.550 药品和器械灭菌合约灭菌商的地位和责任（CPG 7150.16）</w:t>
      </w:r>
    </w:p>
    <w:p w14:paraId="637C3D70">
      <w:pPr>
        <w:overflowPunct w:val="0"/>
        <w:jc w:val="both"/>
        <w:rPr>
          <w:rFonts w:ascii="Arial" w:hAnsi="Arial" w:eastAsia="宋体"/>
          <w:sz w:val="24"/>
          <w:szCs w:val="24"/>
        </w:rPr>
      </w:pPr>
      <w:r>
        <w:rPr>
          <w:sz w:val="24"/>
          <w:szCs w:val="24"/>
        </w:rPr>
        <w:br w:type="page"/>
      </w:r>
    </w:p>
    <w:tbl>
      <w:tblPr>
        <w:tblStyle w:val="7"/>
        <w:tblW w:w="0" w:type="auto"/>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Layout w:type="autofit"/>
        <w:tblCellMar>
          <w:top w:w="0" w:type="dxa"/>
          <w:left w:w="108" w:type="dxa"/>
          <w:bottom w:w="0" w:type="dxa"/>
          <w:right w:w="108" w:type="dxa"/>
        </w:tblCellMar>
      </w:tblPr>
      <w:tblGrid>
        <w:gridCol w:w="10992"/>
      </w:tblGrid>
      <w:tr w14:paraId="179A9D30">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10992" w:type="dxa"/>
          </w:tcPr>
          <w:p w14:paraId="2F1D81D2">
            <w:pPr>
              <w:overflowPunct w:val="0"/>
              <w:snapToGrid w:val="0"/>
              <w:spacing w:before="6" w:line="300" w:lineRule="auto"/>
              <w:jc w:val="both"/>
            </w:pPr>
            <w:r>
              <w:rPr>
                <w:rFonts w:hint="eastAsia"/>
              </w:rPr>
              <w:t>本指南代表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p w14:paraId="1786D225">
            <w:pPr>
              <w:overflowPunct w:val="0"/>
              <w:snapToGrid w:val="0"/>
              <w:spacing w:before="6" w:line="300" w:lineRule="auto"/>
              <w:jc w:val="both"/>
              <w:rPr>
                <w:rFonts w:ascii="Arial" w:hAnsi="Arial" w:eastAsia="Arial" w:cs="Arial"/>
                <w:b/>
                <w:sz w:val="24"/>
                <w:szCs w:val="24"/>
              </w:rPr>
            </w:pPr>
          </w:p>
          <w:p w14:paraId="5A5E7FBB">
            <w:pPr>
              <w:pStyle w:val="2"/>
              <w:overflowPunct w:val="0"/>
              <w:snapToGrid w:val="0"/>
              <w:spacing w:line="300" w:lineRule="auto"/>
              <w:ind w:left="0"/>
              <w:jc w:val="both"/>
              <w:rPr>
                <w:b/>
                <w:sz w:val="24"/>
                <w:szCs w:val="24"/>
              </w:rPr>
            </w:pPr>
            <w:r>
              <w:rPr>
                <w:rFonts w:hint="eastAsia"/>
                <w:b/>
                <w:sz w:val="24"/>
                <w:szCs w:val="24"/>
              </w:rPr>
              <w:t>FDA指导性文件，包括本指南在内，不构成具有法律强制责任。相反，指南表明了本审查机构目前对某一主题的思考，除非引用具体的法规或法律要求，否则只应视为建议。在本审查机构指南中使用词语“应”是指建议或推荐进行某一事项，并非强制要求。</w:t>
            </w:r>
          </w:p>
        </w:tc>
      </w:tr>
    </w:tbl>
    <w:p w14:paraId="38286905">
      <w:pPr>
        <w:pStyle w:val="2"/>
        <w:overflowPunct w:val="0"/>
        <w:snapToGrid w:val="0"/>
        <w:spacing w:after="240" w:afterLines="100" w:line="360" w:lineRule="auto"/>
        <w:ind w:left="0"/>
        <w:jc w:val="both"/>
        <w:rPr>
          <w:sz w:val="24"/>
          <w:szCs w:val="24"/>
        </w:rPr>
      </w:pPr>
    </w:p>
    <w:p w14:paraId="529C7024">
      <w:pPr>
        <w:pStyle w:val="2"/>
        <w:overflowPunct w:val="0"/>
        <w:snapToGrid w:val="0"/>
        <w:spacing w:after="240" w:afterLines="100" w:line="360" w:lineRule="auto"/>
        <w:ind w:left="0"/>
        <w:jc w:val="both"/>
        <w:rPr>
          <w:sz w:val="24"/>
          <w:szCs w:val="24"/>
        </w:rPr>
      </w:pPr>
      <w:r>
        <w:rPr>
          <w:rFonts w:hint="eastAsia"/>
          <w:sz w:val="24"/>
          <w:szCs w:val="24"/>
        </w:rPr>
        <w:t>背景：</w:t>
      </w:r>
    </w:p>
    <w:p w14:paraId="42F9E8D3">
      <w:pPr>
        <w:pStyle w:val="2"/>
        <w:overflowPunct w:val="0"/>
        <w:snapToGrid w:val="0"/>
        <w:spacing w:after="240" w:afterLines="100" w:line="360" w:lineRule="auto"/>
        <w:ind w:left="0"/>
        <w:jc w:val="both"/>
        <w:rPr>
          <w:sz w:val="24"/>
          <w:szCs w:val="24"/>
        </w:rPr>
      </w:pPr>
      <w:r>
        <w:rPr>
          <w:rFonts w:hint="eastAsia"/>
          <w:sz w:val="24"/>
          <w:szCs w:val="24"/>
        </w:rPr>
        <w:t>提出了有关合约灭菌商在*联邦*食品，药品和化妆品法案*（简称法案）*下的责任的问题。此类问题涉及该法案第510条的注册要求*，食品药品监督管理局（FDA）的检验政策、说明文件和确定要求以及合同协议各方的责任。</w:t>
      </w:r>
    </w:p>
    <w:p w14:paraId="4F711542">
      <w:pPr>
        <w:overflowPunct w:val="0"/>
        <w:snapToGrid w:val="0"/>
        <w:spacing w:after="240" w:afterLines="100" w:line="360" w:lineRule="auto"/>
        <w:jc w:val="both"/>
        <w:rPr>
          <w:rFonts w:ascii="Arial" w:hAnsi="Arial" w:eastAsia="宋体" w:cs="Arial"/>
          <w:sz w:val="24"/>
          <w:szCs w:val="24"/>
        </w:rPr>
      </w:pPr>
      <w:r>
        <w:rPr>
          <w:rFonts w:hint="eastAsia" w:ascii="Arial" w:eastAsia="宋体"/>
          <w:sz w:val="24"/>
          <w:szCs w:val="24"/>
        </w:rPr>
        <w:t>定义：</w:t>
      </w:r>
    </w:p>
    <w:p w14:paraId="17780A5B">
      <w:pPr>
        <w:pStyle w:val="2"/>
        <w:overflowPunct w:val="0"/>
        <w:snapToGrid w:val="0"/>
        <w:spacing w:after="240" w:afterLines="100" w:line="360" w:lineRule="auto"/>
        <w:ind w:left="0"/>
        <w:jc w:val="both"/>
        <w:rPr>
          <w:sz w:val="24"/>
          <w:szCs w:val="24"/>
        </w:rPr>
      </w:pPr>
      <w:r>
        <w:rPr>
          <w:rFonts w:hint="eastAsia"/>
          <w:sz w:val="24"/>
          <w:szCs w:val="24"/>
        </w:rPr>
        <w:t>就本指南而言，以下定义应适用：</w:t>
      </w:r>
    </w:p>
    <w:p w14:paraId="21FFE857">
      <w:pPr>
        <w:pStyle w:val="2"/>
        <w:overflowPunct w:val="0"/>
        <w:snapToGrid w:val="0"/>
        <w:spacing w:after="240" w:afterLines="100" w:line="360" w:lineRule="auto"/>
        <w:ind w:left="0"/>
        <w:jc w:val="both"/>
        <w:rPr>
          <w:sz w:val="24"/>
          <w:szCs w:val="24"/>
        </w:rPr>
      </w:pPr>
      <w:r>
        <w:rPr>
          <w:rFonts w:hint="eastAsia"/>
          <w:sz w:val="24"/>
          <w:szCs w:val="24"/>
        </w:rPr>
        <w:t>合约灭菌商 - 提供合同服务，对FDA监管产品进行灭菌的公司。</w:t>
      </w:r>
    </w:p>
    <w:p w14:paraId="72BA65B6">
      <w:pPr>
        <w:pStyle w:val="2"/>
        <w:overflowPunct w:val="0"/>
        <w:snapToGrid w:val="0"/>
        <w:spacing w:after="240" w:afterLines="100" w:line="360" w:lineRule="auto"/>
        <w:ind w:left="0"/>
        <w:jc w:val="both"/>
        <w:rPr>
          <w:sz w:val="24"/>
          <w:szCs w:val="24"/>
        </w:rPr>
      </w:pPr>
      <w:r>
        <w:rPr>
          <w:rFonts w:hint="eastAsia"/>
          <w:sz w:val="24"/>
          <w:szCs w:val="24"/>
        </w:rPr>
        <w:t>政策：</w:t>
      </w:r>
    </w:p>
    <w:p w14:paraId="7D0CBFDC">
      <w:pPr>
        <w:pStyle w:val="11"/>
        <w:numPr>
          <w:ilvl w:val="3"/>
          <w:numId w:val="1"/>
        </w:numPr>
        <w:tabs>
          <w:tab w:val="left" w:pos="632"/>
        </w:tabs>
        <w:overflowPunct w:val="0"/>
        <w:snapToGrid w:val="0"/>
        <w:spacing w:after="240" w:afterLines="100" w:line="360" w:lineRule="auto"/>
        <w:ind w:left="0" w:firstLine="0"/>
        <w:jc w:val="both"/>
        <w:rPr>
          <w:rFonts w:ascii="Arial" w:hAnsi="Arial" w:eastAsia="宋体" w:cs="Arial"/>
          <w:sz w:val="24"/>
          <w:szCs w:val="24"/>
        </w:rPr>
      </w:pPr>
      <w:r>
        <w:rPr>
          <w:rFonts w:hint="eastAsia" w:ascii="Arial" w:eastAsia="宋体"/>
          <w:sz w:val="24"/>
          <w:szCs w:val="24"/>
        </w:rPr>
        <w:t>合约灭菌商的责任：</w:t>
      </w:r>
    </w:p>
    <w:p w14:paraId="7EB3F31B">
      <w:pPr>
        <w:pStyle w:val="2"/>
        <w:overflowPunct w:val="0"/>
        <w:snapToGrid w:val="0"/>
        <w:spacing w:after="240" w:afterLines="100" w:line="360" w:lineRule="auto"/>
        <w:ind w:left="656" w:leftChars="298"/>
        <w:jc w:val="both"/>
        <w:rPr>
          <w:sz w:val="24"/>
          <w:szCs w:val="24"/>
        </w:rPr>
      </w:pPr>
      <w:r>
        <w:rPr>
          <w:rFonts w:hint="eastAsia"/>
          <w:sz w:val="24"/>
          <w:szCs w:val="24"/>
        </w:rPr>
        <w:t>合约灭菌商应负责遵守现行良好制造规范（CGMP）中与其提供的服务相关部分。*适用法规为药品（21 CFR第210和211节）和/或器械（21 CFR 第820节）CGMP，具体取决于灭菌产品。*</w:t>
      </w:r>
    </w:p>
    <w:p w14:paraId="0BDC9EF9">
      <w:pPr>
        <w:pStyle w:val="11"/>
        <w:numPr>
          <w:ilvl w:val="3"/>
          <w:numId w:val="1"/>
        </w:numPr>
        <w:tabs>
          <w:tab w:val="left" w:pos="632"/>
        </w:tabs>
        <w:overflowPunct w:val="0"/>
        <w:snapToGrid w:val="0"/>
        <w:spacing w:after="240" w:afterLines="100" w:line="360" w:lineRule="auto"/>
        <w:ind w:left="0" w:firstLine="0"/>
        <w:jc w:val="both"/>
        <w:rPr>
          <w:rFonts w:ascii="Arial" w:hAnsi="Arial" w:eastAsia="Arial" w:cs="Arial"/>
          <w:sz w:val="24"/>
          <w:szCs w:val="24"/>
        </w:rPr>
      </w:pPr>
      <w:r>
        <w:rPr>
          <w:rFonts w:hint="eastAsia" w:ascii="Arial" w:eastAsia="宋体"/>
          <w:sz w:val="24"/>
          <w:szCs w:val="24"/>
        </w:rPr>
        <w:t>注册：</w:t>
      </w:r>
    </w:p>
    <w:p w14:paraId="1B05001A">
      <w:pPr>
        <w:pStyle w:val="2"/>
        <w:overflowPunct w:val="0"/>
        <w:snapToGrid w:val="0"/>
        <w:spacing w:after="240" w:afterLines="100" w:line="360" w:lineRule="auto"/>
        <w:ind w:left="656" w:leftChars="298"/>
        <w:jc w:val="both"/>
        <w:rPr>
          <w:sz w:val="24"/>
          <w:szCs w:val="24"/>
        </w:rPr>
      </w:pPr>
      <w:r>
        <w:rPr>
          <w:rFonts w:hint="eastAsia"/>
          <w:sz w:val="24"/>
          <w:szCs w:val="24"/>
        </w:rPr>
        <w:t>药品或器械的每个合约灭菌商“必须根据**该法案第510条进行注册，*但以下情况除外。如果合约灭菌商仅将灭菌器械分销给制造商或其他注册公司，且未将灭菌器械上市销售，则无需向器械和放射卫生中心注册（21 CFR 807.20（c）（2））。此外，对于国外合约灭菌商，仅在将灭菌器械进口到或提供进口到美国的灭菌器械（21 CFR 807.40（a））时才需要进行注册。*</w:t>
      </w:r>
    </w:p>
    <w:p w14:paraId="6DBB59D2">
      <w:pPr>
        <w:snapToGrid w:val="0"/>
        <w:spacing w:after="240" w:afterLines="100" w:line="360" w:lineRule="auto"/>
        <w:rPr>
          <w:rFonts w:ascii="Arial" w:eastAsia="宋体"/>
          <w:sz w:val="24"/>
          <w:szCs w:val="24"/>
        </w:rPr>
      </w:pPr>
      <w:r>
        <w:rPr>
          <w:rFonts w:ascii="Arial" w:eastAsia="宋体"/>
          <w:sz w:val="24"/>
          <w:szCs w:val="24"/>
        </w:rPr>
        <w:br w:type="page"/>
      </w:r>
    </w:p>
    <w:p w14:paraId="42ECB57D">
      <w:pPr>
        <w:pStyle w:val="11"/>
        <w:numPr>
          <w:ilvl w:val="3"/>
          <w:numId w:val="1"/>
        </w:numPr>
        <w:tabs>
          <w:tab w:val="left" w:pos="632"/>
        </w:tabs>
        <w:overflowPunct w:val="0"/>
        <w:snapToGrid w:val="0"/>
        <w:spacing w:after="240" w:afterLines="100" w:line="360" w:lineRule="auto"/>
        <w:ind w:left="0" w:firstLine="0"/>
        <w:jc w:val="both"/>
        <w:rPr>
          <w:rFonts w:ascii="Arial" w:hAnsi="Arial" w:eastAsia="宋体" w:cs="Arial"/>
          <w:sz w:val="24"/>
          <w:szCs w:val="24"/>
        </w:rPr>
      </w:pPr>
      <w:r>
        <w:rPr>
          <w:rFonts w:hint="eastAsia" w:ascii="Arial" w:eastAsia="宋体"/>
          <w:sz w:val="24"/>
          <w:szCs w:val="24"/>
        </w:rPr>
        <w:t>说明文件：</w:t>
      </w:r>
    </w:p>
    <w:p w14:paraId="4B85CFB4">
      <w:pPr>
        <w:pStyle w:val="2"/>
        <w:overflowPunct w:val="0"/>
        <w:snapToGrid w:val="0"/>
        <w:spacing w:after="240" w:afterLines="100" w:line="360" w:lineRule="auto"/>
        <w:ind w:left="656" w:leftChars="298"/>
        <w:jc w:val="both"/>
        <w:rPr>
          <w:sz w:val="24"/>
          <w:szCs w:val="24"/>
        </w:rPr>
      </w:pPr>
      <w:r>
        <w:rPr>
          <w:rFonts w:hint="eastAsia"/>
          <w:sz w:val="24"/>
          <w:szCs w:val="24"/>
        </w:rPr>
        <w:t>作为主要生产和控制记录的一部分，成品药品或器械制造商应保留或引用合约灭菌商确认灭菌过程时使用的书面过程质量标准和说明文件。成品药品或器械制造商还应保留或提供合合约灭菌商批量生产记录的副本。</w:t>
      </w:r>
    </w:p>
    <w:p w14:paraId="6948024A">
      <w:pPr>
        <w:pStyle w:val="2"/>
        <w:overflowPunct w:val="0"/>
        <w:snapToGrid w:val="0"/>
        <w:spacing w:after="240" w:afterLines="100" w:line="360" w:lineRule="auto"/>
        <w:ind w:left="656" w:leftChars="298"/>
        <w:jc w:val="both"/>
        <w:rPr>
          <w:sz w:val="24"/>
          <w:szCs w:val="24"/>
        </w:rPr>
      </w:pPr>
      <w:r>
        <w:rPr>
          <w:rFonts w:hint="eastAsia"/>
          <w:sz w:val="24"/>
          <w:szCs w:val="24"/>
        </w:rPr>
        <w:t>合约灭菌商必须保留确认说明文件，以及确保过程充分完成所需的书面过程和生产质量标准和程序。合约灭菌商还应负责完成和保留所有执行操作的批记录。</w:t>
      </w:r>
    </w:p>
    <w:p w14:paraId="080D3C37">
      <w:pPr>
        <w:pStyle w:val="11"/>
        <w:numPr>
          <w:ilvl w:val="3"/>
          <w:numId w:val="1"/>
        </w:numPr>
        <w:tabs>
          <w:tab w:val="left" w:pos="637"/>
        </w:tabs>
        <w:overflowPunct w:val="0"/>
        <w:snapToGrid w:val="0"/>
        <w:spacing w:after="240" w:afterLines="100" w:line="360" w:lineRule="auto"/>
        <w:ind w:left="0" w:firstLine="0"/>
        <w:jc w:val="both"/>
        <w:rPr>
          <w:rFonts w:ascii="Arial" w:hAnsi="Arial" w:eastAsia="宋体" w:cs="Arial"/>
          <w:sz w:val="24"/>
          <w:szCs w:val="24"/>
        </w:rPr>
      </w:pPr>
      <w:r>
        <w:rPr>
          <w:rFonts w:hint="eastAsia" w:ascii="Arial" w:eastAsia="宋体"/>
          <w:sz w:val="24"/>
          <w:szCs w:val="24"/>
        </w:rPr>
        <w:t>检验：</w:t>
      </w:r>
    </w:p>
    <w:p w14:paraId="63C7B677">
      <w:pPr>
        <w:pStyle w:val="2"/>
        <w:overflowPunct w:val="0"/>
        <w:snapToGrid w:val="0"/>
        <w:spacing w:after="240" w:afterLines="100" w:line="360" w:lineRule="auto"/>
        <w:ind w:left="656" w:leftChars="298"/>
        <w:jc w:val="both"/>
        <w:rPr>
          <w:sz w:val="24"/>
          <w:szCs w:val="24"/>
        </w:rPr>
      </w:pPr>
      <w:r>
        <w:rPr>
          <w:rFonts w:hint="eastAsia"/>
          <w:sz w:val="24"/>
          <w:szCs w:val="24"/>
        </w:rPr>
        <w:t>作为药品或器械加工商，合约灭菌商应遵守该法案的*检验*要求。</w:t>
      </w:r>
    </w:p>
    <w:p w14:paraId="23E654D4">
      <w:pPr>
        <w:pStyle w:val="11"/>
        <w:numPr>
          <w:ilvl w:val="3"/>
          <w:numId w:val="1"/>
        </w:numPr>
        <w:tabs>
          <w:tab w:val="left" w:pos="637"/>
        </w:tabs>
        <w:overflowPunct w:val="0"/>
        <w:snapToGrid w:val="0"/>
        <w:spacing w:after="240" w:afterLines="100" w:line="360" w:lineRule="auto"/>
        <w:ind w:left="0" w:firstLine="0"/>
        <w:jc w:val="both"/>
        <w:rPr>
          <w:rFonts w:ascii="Arial" w:eastAsia="宋体"/>
          <w:sz w:val="24"/>
          <w:szCs w:val="24"/>
        </w:rPr>
      </w:pPr>
      <w:r>
        <w:rPr>
          <w:rFonts w:hint="eastAsia" w:ascii="Arial" w:eastAsia="宋体"/>
          <w:sz w:val="24"/>
          <w:szCs w:val="24"/>
        </w:rPr>
        <w:t>合同协议：</w:t>
      </w:r>
    </w:p>
    <w:p w14:paraId="4AD0B382">
      <w:pPr>
        <w:pStyle w:val="2"/>
        <w:overflowPunct w:val="0"/>
        <w:snapToGrid w:val="0"/>
        <w:spacing w:after="240" w:afterLines="100" w:line="360" w:lineRule="auto"/>
        <w:ind w:left="656" w:leftChars="298"/>
        <w:jc w:val="both"/>
        <w:rPr>
          <w:sz w:val="24"/>
          <w:szCs w:val="24"/>
        </w:rPr>
      </w:pPr>
      <w:r>
        <w:rPr>
          <w:rFonts w:hint="eastAsia"/>
          <w:sz w:val="24"/>
          <w:szCs w:val="24"/>
        </w:rPr>
        <w:t>合同协议应说明执行多种职能的公司。一般来说，执行给定职能的公司将主要负责适用于该公司的* CGMP *。</w:t>
      </w:r>
    </w:p>
    <w:p w14:paraId="5D964F39">
      <w:pPr>
        <w:pStyle w:val="11"/>
        <w:numPr>
          <w:ilvl w:val="3"/>
          <w:numId w:val="1"/>
        </w:numPr>
        <w:tabs>
          <w:tab w:val="left" w:pos="637"/>
        </w:tabs>
        <w:overflowPunct w:val="0"/>
        <w:snapToGrid w:val="0"/>
        <w:spacing w:after="240" w:afterLines="100" w:line="360" w:lineRule="auto"/>
        <w:ind w:left="0" w:firstLine="0"/>
        <w:jc w:val="both"/>
        <w:rPr>
          <w:rFonts w:ascii="Arial" w:eastAsia="宋体"/>
          <w:sz w:val="24"/>
          <w:szCs w:val="24"/>
        </w:rPr>
      </w:pPr>
      <w:r>
        <w:rPr>
          <w:rFonts w:hint="eastAsia" w:ascii="Arial" w:eastAsia="宋体"/>
          <w:sz w:val="24"/>
          <w:szCs w:val="24"/>
        </w:rPr>
        <w:t>灭菌过程确认：</w:t>
      </w:r>
    </w:p>
    <w:p w14:paraId="6FD6EFDD">
      <w:pPr>
        <w:pStyle w:val="2"/>
        <w:overflowPunct w:val="0"/>
        <w:snapToGrid w:val="0"/>
        <w:spacing w:after="240" w:afterLines="100" w:line="360" w:lineRule="auto"/>
        <w:ind w:left="656" w:leftChars="298"/>
        <w:jc w:val="both"/>
        <w:rPr>
          <w:rFonts w:eastAsia="Arial" w:cs="Arial"/>
          <w:sz w:val="24"/>
          <w:szCs w:val="24"/>
        </w:rPr>
      </w:pPr>
      <w:r>
        <w:rPr>
          <w:rFonts w:hint="eastAsia"/>
          <w:sz w:val="24"/>
          <w:szCs w:val="24"/>
        </w:rPr>
        <w:t>“CGMP法规”要求*确认*灭菌过程（21 CFR 211.113（b）和21 CFR 820.75）。成品药品或器械制造商或合约灭菌商将对合同公司的过程进行确认。成品药品或器械制造商应“负责确保成品药品或器械符合灭菌质量标准，并在适当CGMP控制下进行加工。【1】*合约灭菌商*应负责确保“已*制定*并*始终*实施充分的”CGMP *控制*（如器械认证，书面程序）。因此，双方应对确认和*任何可能的缺陷负责；请注意，合约灭菌商仅对其工作所涵盖的CGMP区域负责。任何一方均不得在协议中免除这一责任。此外，*即使未签订协议，所有相关方仍需承担这一责任。</w:t>
      </w:r>
    </w:p>
    <w:p w14:paraId="01029CFB">
      <w:pPr>
        <w:overflowPunct w:val="0"/>
        <w:snapToGrid w:val="0"/>
        <w:spacing w:after="120" w:afterLines="50" w:line="360" w:lineRule="auto"/>
        <w:jc w:val="both"/>
        <w:rPr>
          <w:rFonts w:ascii="Arial" w:hAnsi="Arial" w:eastAsia="Arial" w:cs="Arial"/>
          <w:sz w:val="24"/>
          <w:szCs w:val="24"/>
        </w:rPr>
      </w:pPr>
    </w:p>
    <w:p w14:paraId="6D82BFBA">
      <w:pPr>
        <w:snapToGrid w:val="0"/>
        <w:spacing w:after="120" w:afterLines="50" w:line="360" w:lineRule="auto"/>
        <w:rPr>
          <w:rFonts w:ascii="Arial" w:hAnsi="Arial" w:eastAsia="宋体"/>
          <w:sz w:val="24"/>
          <w:szCs w:val="24"/>
        </w:rPr>
      </w:pPr>
      <w:r>
        <w:rPr>
          <w:sz w:val="24"/>
          <w:szCs w:val="24"/>
        </w:rPr>
        <w:br w:type="page"/>
      </w:r>
    </w:p>
    <w:p w14:paraId="3534EE2B">
      <w:pPr>
        <w:pStyle w:val="2"/>
        <w:overflowPunct w:val="0"/>
        <w:snapToGrid w:val="0"/>
        <w:spacing w:before="188" w:line="300" w:lineRule="auto"/>
        <w:ind w:left="0"/>
        <w:jc w:val="both"/>
        <w:rPr>
          <w:sz w:val="24"/>
          <w:szCs w:val="24"/>
        </w:rPr>
      </w:pPr>
      <w:r>
        <w:rPr>
          <w:rFonts w:hint="eastAsia"/>
          <w:sz w:val="24"/>
          <w:szCs w:val="24"/>
        </w:rPr>
        <w:t>备注：对于许可*生物制剂，生物制剂评价和研究中心*或药品评价和研究中心（如果适用）*认为由最终制造商对所有生产过程负责，包括根据合同进行的灭菌确定，无论合同是否有相应规定。</w:t>
      </w:r>
    </w:p>
    <w:p w14:paraId="5D656B33">
      <w:pPr>
        <w:overflowPunct w:val="0"/>
        <w:snapToGrid w:val="0"/>
        <w:spacing w:before="3" w:line="300" w:lineRule="auto"/>
        <w:jc w:val="both"/>
        <w:rPr>
          <w:rFonts w:ascii="Arial" w:hAnsi="Arial" w:eastAsia="Arial" w:cs="Arial"/>
          <w:sz w:val="24"/>
          <w:szCs w:val="24"/>
        </w:rPr>
      </w:pPr>
    </w:p>
    <w:p w14:paraId="397842C2">
      <w:pPr>
        <w:overflowPunct w:val="0"/>
        <w:snapToGrid w:val="0"/>
        <w:spacing w:line="300" w:lineRule="auto"/>
        <w:jc w:val="both"/>
        <w:rPr>
          <w:rFonts w:ascii="Arial" w:hAnsi="Arial" w:eastAsia="宋体" w:cs="Arial"/>
          <w:sz w:val="24"/>
          <w:szCs w:val="24"/>
        </w:rPr>
      </w:pPr>
      <w:r>
        <w:rPr>
          <w:rFonts w:hint="eastAsia" w:ascii="Arial" w:eastAsia="宋体"/>
          <w:sz w:val="24"/>
          <w:szCs w:val="24"/>
        </w:rPr>
        <w:t>监管行动指南：</w:t>
      </w:r>
    </w:p>
    <w:p w14:paraId="6C326554">
      <w:pPr>
        <w:overflowPunct w:val="0"/>
        <w:snapToGrid w:val="0"/>
        <w:spacing w:before="2" w:line="300" w:lineRule="auto"/>
        <w:jc w:val="both"/>
        <w:rPr>
          <w:rFonts w:ascii="Arial" w:hAnsi="Arial" w:eastAsia="Arial" w:cs="Arial"/>
          <w:sz w:val="24"/>
          <w:szCs w:val="24"/>
        </w:rPr>
      </w:pPr>
    </w:p>
    <w:p w14:paraId="429A6932">
      <w:pPr>
        <w:pStyle w:val="2"/>
        <w:overflowPunct w:val="0"/>
        <w:snapToGrid w:val="0"/>
        <w:spacing w:before="188" w:line="300" w:lineRule="auto"/>
        <w:ind w:left="0"/>
        <w:jc w:val="both"/>
        <w:rPr>
          <w:sz w:val="24"/>
          <w:szCs w:val="24"/>
        </w:rPr>
      </w:pPr>
      <w:r>
        <w:rPr>
          <w:rFonts w:hint="eastAsia"/>
          <w:sz w:val="24"/>
          <w:szCs w:val="24"/>
        </w:rPr>
        <w:t>如果在检验期间发现*重大*不良结果，则应通知适当的中心。此外，如果地区中有公司在该地区外使用*合约灭菌商*服务，应向此类地区通知任何“重大”不良结果。</w:t>
      </w:r>
    </w:p>
    <w:p w14:paraId="497FBC00">
      <w:pPr>
        <w:overflowPunct w:val="0"/>
        <w:snapToGrid w:val="0"/>
        <w:spacing w:before="1" w:line="300" w:lineRule="auto"/>
        <w:jc w:val="both"/>
        <w:rPr>
          <w:rFonts w:ascii="Arial" w:hAnsi="Arial" w:eastAsia="Arial" w:cs="Arial"/>
          <w:sz w:val="24"/>
          <w:szCs w:val="24"/>
        </w:rPr>
      </w:pPr>
    </w:p>
    <w:p w14:paraId="2CE6C4D0">
      <w:pPr>
        <w:pStyle w:val="2"/>
        <w:overflowPunct w:val="0"/>
        <w:snapToGrid w:val="0"/>
        <w:spacing w:before="188" w:line="300" w:lineRule="auto"/>
        <w:ind w:left="0"/>
        <w:jc w:val="both"/>
        <w:rPr>
          <w:sz w:val="24"/>
          <w:szCs w:val="24"/>
        </w:rPr>
      </w:pPr>
      <w:r>
        <w:rPr>
          <w:rFonts w:hint="eastAsia"/>
          <w:sz w:val="24"/>
          <w:szCs w:val="24"/>
        </w:rPr>
        <w:t>在考虑监管、自愿或行政措施时，本机构认为由制造商主要负责确保*药品或器械*的合规性。但是合约灭菌商和制造商将对由“合约灭菌商*”执行的过程共同负责。如果未能遵守* CGMP，则在确定是否应对一方或双方进行监管行动时，将考虑各方的履行情况。还将考虑合约灭菌商的工作范围。*如果在对*合约灭菌商进行*检验后决定采取监管或*管理*行动，双方应收到所有通信的副本。</w:t>
      </w:r>
    </w:p>
    <w:p w14:paraId="63DA67F5">
      <w:pPr>
        <w:overflowPunct w:val="0"/>
        <w:snapToGrid w:val="0"/>
        <w:spacing w:before="6" w:line="300" w:lineRule="auto"/>
        <w:jc w:val="both"/>
        <w:rPr>
          <w:rFonts w:ascii="Arial" w:hAnsi="Arial" w:eastAsia="Arial" w:cs="Arial"/>
          <w:sz w:val="24"/>
          <w:szCs w:val="24"/>
        </w:rPr>
      </w:pPr>
    </w:p>
    <w:p w14:paraId="343446E7">
      <w:pPr>
        <w:overflowPunct w:val="0"/>
        <w:snapToGrid w:val="0"/>
        <w:spacing w:line="300" w:lineRule="auto"/>
        <w:jc w:val="both"/>
        <w:rPr>
          <w:rFonts w:ascii="Arial" w:hAnsi="Arial" w:eastAsia="宋体" w:cs="Arial"/>
          <w:sz w:val="24"/>
          <w:szCs w:val="24"/>
        </w:rPr>
      </w:pPr>
      <w:r>
        <w:rPr>
          <w:rFonts w:hint="eastAsia" w:ascii="Arial" w:hAnsi="Arial" w:eastAsia="宋体"/>
          <w:sz w:val="24"/>
          <w:szCs w:val="24"/>
        </w:rPr>
        <w:t>*星号之间的材料为新材料或改进材料”</w:t>
      </w:r>
    </w:p>
    <w:p w14:paraId="628642CE">
      <w:pPr>
        <w:overflowPunct w:val="0"/>
        <w:snapToGrid w:val="0"/>
        <w:spacing w:before="2" w:line="300" w:lineRule="auto"/>
        <w:jc w:val="both"/>
        <w:rPr>
          <w:rFonts w:ascii="Arial" w:hAnsi="Arial" w:eastAsia="Arial" w:cs="Arial"/>
          <w:sz w:val="24"/>
          <w:szCs w:val="24"/>
        </w:rPr>
      </w:pPr>
    </w:p>
    <w:p w14:paraId="526210AA">
      <w:pPr>
        <w:pStyle w:val="2"/>
        <w:overflowPunct w:val="0"/>
        <w:snapToGrid w:val="0"/>
        <w:spacing w:line="300" w:lineRule="auto"/>
        <w:ind w:left="0"/>
        <w:jc w:val="both"/>
        <w:rPr>
          <w:sz w:val="24"/>
          <w:szCs w:val="24"/>
        </w:rPr>
      </w:pPr>
      <w:r>
        <w:rPr>
          <w:rFonts w:hint="eastAsia"/>
          <w:sz w:val="24"/>
          <w:szCs w:val="24"/>
        </w:rPr>
        <w:t>发布日期：1984/3/1</w:t>
      </w:r>
    </w:p>
    <w:p w14:paraId="2DE1494C">
      <w:pPr>
        <w:overflowPunct w:val="0"/>
        <w:snapToGrid w:val="0"/>
        <w:spacing w:line="300" w:lineRule="auto"/>
        <w:jc w:val="both"/>
        <w:rPr>
          <w:rFonts w:ascii="Arial" w:hAnsi="Arial" w:eastAsia="Arial" w:cs="Arial"/>
          <w:sz w:val="24"/>
          <w:szCs w:val="24"/>
        </w:rPr>
      </w:pPr>
    </w:p>
    <w:p w14:paraId="16A1F2E8">
      <w:pPr>
        <w:pStyle w:val="2"/>
        <w:overflowPunct w:val="0"/>
        <w:snapToGrid w:val="0"/>
        <w:spacing w:line="300" w:lineRule="auto"/>
        <w:ind w:left="0"/>
        <w:jc w:val="both"/>
        <w:rPr>
          <w:sz w:val="24"/>
          <w:szCs w:val="24"/>
        </w:rPr>
      </w:pPr>
      <w:r>
        <w:rPr>
          <w:rFonts w:hint="eastAsia"/>
          <w:sz w:val="24"/>
          <w:szCs w:val="24"/>
        </w:rPr>
        <w:t>修订日期：1989/8/31，1995/3，2006/10/3</w:t>
      </w:r>
    </w:p>
    <w:p w14:paraId="4D50BCA2">
      <w:pPr>
        <w:overflowPunct w:val="0"/>
        <w:snapToGrid w:val="0"/>
        <w:spacing w:before="3" w:line="300" w:lineRule="auto"/>
        <w:jc w:val="both"/>
        <w:rPr>
          <w:rFonts w:ascii="Arial" w:hAnsi="Arial" w:eastAsia="Arial" w:cs="Arial"/>
          <w:sz w:val="24"/>
          <w:szCs w:val="24"/>
        </w:rPr>
      </w:pPr>
    </w:p>
    <w:p w14:paraId="73B48665">
      <w:pPr>
        <w:pStyle w:val="2"/>
        <w:overflowPunct w:val="0"/>
        <w:snapToGrid w:val="0"/>
        <w:spacing w:line="300" w:lineRule="auto"/>
        <w:ind w:left="0"/>
        <w:jc w:val="both"/>
        <w:rPr>
          <w:sz w:val="24"/>
          <w:szCs w:val="24"/>
        </w:rPr>
      </w:pPr>
      <w:r>
        <w:rPr>
          <w:rFonts w:hint="eastAsia"/>
          <w:sz w:val="24"/>
          <w:szCs w:val="24"/>
          <w:u w:val="dotted"/>
        </w:rPr>
        <w:t>【1】</w:t>
      </w:r>
      <w:r>
        <w:rPr>
          <w:rFonts w:hint="eastAsia"/>
          <w:sz w:val="24"/>
          <w:szCs w:val="24"/>
        </w:rPr>
        <w:t xml:space="preserve"> *在某些情况下，成品药品或器械所有者可能并不是制造商。在这种情况下，所有者也应负责确保成品药品或器械符合无菌质量标准，并在适当CGMP控制下进行加工。</w:t>
      </w:r>
    </w:p>
    <w:p w14:paraId="52BCF4F7">
      <w:pPr>
        <w:overflowPunct w:val="0"/>
        <w:snapToGrid w:val="0"/>
        <w:spacing w:line="300" w:lineRule="auto"/>
        <w:jc w:val="both"/>
        <w:rPr>
          <w:rFonts w:ascii="Arial" w:hAnsi="Arial" w:eastAsia="Arial" w:cs="Arial"/>
          <w:sz w:val="24"/>
          <w:szCs w:val="24"/>
        </w:rPr>
      </w:pPr>
    </w:p>
    <w:tbl>
      <w:tblPr>
        <w:tblStyle w:val="7"/>
        <w:tblW w:w="0" w:type="auto"/>
        <w:tblInd w:w="0" w:type="dxa"/>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Layout w:type="autofit"/>
        <w:tblCellMar>
          <w:top w:w="0" w:type="dxa"/>
          <w:left w:w="108" w:type="dxa"/>
          <w:bottom w:w="0" w:type="dxa"/>
          <w:right w:w="108" w:type="dxa"/>
        </w:tblCellMar>
      </w:tblPr>
      <w:tblGrid>
        <w:gridCol w:w="10992"/>
      </w:tblGrid>
      <w:tr w14:paraId="466BFAEA">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bottom w:val="single" w:color="7F7F7F" w:themeColor="background1" w:themeShade="80" w:sz="2" w:space="0"/>
            </w:tcBorders>
          </w:tcPr>
          <w:p w14:paraId="5562297B">
            <w:pPr>
              <w:overflowPunct w:val="0"/>
              <w:snapToGrid w:val="0"/>
              <w:spacing w:before="96" w:beforeLines="40" w:after="96" w:afterLines="40" w:line="300" w:lineRule="auto"/>
              <w:rPr>
                <w:rFonts w:ascii="Arial" w:hAnsi="Arial" w:eastAsia="宋体" w:cs="Arial"/>
                <w:b/>
                <w:sz w:val="24"/>
                <w:szCs w:val="24"/>
                <w:u w:val="single"/>
              </w:rPr>
            </w:pPr>
            <w:r>
              <w:rPr>
                <w:rFonts w:hint="eastAsia" w:ascii="Arial" w:hAnsi="Arial" w:eastAsia="宋体" w:cs="Arial"/>
                <w:b/>
                <w:sz w:val="24"/>
                <w:szCs w:val="24"/>
              </w:rPr>
              <w:t>合规政策指南的更多信息</w:t>
            </w:r>
            <w:r>
              <w:rPr>
                <w:rFonts w:ascii="Arial" w:hAnsi="Arial" w:eastAsia="宋体" w:cs="Arial"/>
                <w:b/>
                <w:sz w:val="24"/>
                <w:szCs w:val="24"/>
                <w:u w:val="single"/>
              </w:rPr>
              <w:t>（/ICECI/ComplianceManuals/CompliancePolicvGuidanceManual/default.htm）</w:t>
            </w:r>
          </w:p>
        </w:tc>
      </w:tr>
      <w:tr w14:paraId="7626CF31">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11AAE6F8">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前言：合规政策指南（CPG）</w:t>
            </w:r>
          </w:p>
          <w:p w14:paraId="17F3C839">
            <w:pPr>
              <w:tabs>
                <w:tab w:val="left" w:pos="10158"/>
              </w:tabs>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ManuaI/ucm116271.htm）</w:t>
            </w:r>
          </w:p>
        </w:tc>
      </w:tr>
      <w:tr w14:paraId="0280D69E">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69801AFA">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第1章 - 通则</w:t>
            </w:r>
          </w:p>
          <w:p w14:paraId="4E920D9C">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ManuaI/ucm116280.htm）</w:t>
            </w:r>
          </w:p>
        </w:tc>
      </w:tr>
      <w:tr w14:paraId="61ADD96A">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52F56859">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第2章 - 生物制剂</w:t>
            </w:r>
          </w:p>
          <w:p w14:paraId="4FA95710">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（/ICECI/Compliance Manuals/Compliance PolicyGuidance ManuaI/ucm116336.htm）</w:t>
            </w:r>
          </w:p>
        </w:tc>
      </w:tr>
      <w:tr w14:paraId="0846DA09">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651D3360">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第3章 - 器械</w:t>
            </w:r>
          </w:p>
          <w:p w14:paraId="218E68B0">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（/ICECI/Compliance Manuals/Compliance PolicyGuidance ManuaI/ucm116801.htm）</w:t>
            </w:r>
          </w:p>
        </w:tc>
      </w:tr>
      <w:tr w14:paraId="7AE6B60C">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3252AF24">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 xml:space="preserve">第4章 </w:t>
            </w:r>
            <w:r>
              <w:rPr>
                <w:rFonts w:ascii="Arial" w:eastAsia="宋体"/>
                <w:b/>
                <w:sz w:val="24"/>
                <w:szCs w:val="24"/>
                <w:u w:val="single" w:color="1C1C1C"/>
              </w:rPr>
              <w:t>–</w:t>
            </w:r>
            <w:r>
              <w:rPr>
                <w:rFonts w:hint="eastAsia" w:ascii="Arial" w:eastAsia="宋体"/>
                <w:b/>
                <w:sz w:val="24"/>
                <w:szCs w:val="24"/>
                <w:u w:val="single" w:color="1C1C1C"/>
              </w:rPr>
              <w:t xml:space="preserve"> 人用药品</w:t>
            </w:r>
          </w:p>
          <w:p w14:paraId="4646F851">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ManuaI/ucm119572.htm）</w:t>
            </w:r>
          </w:p>
        </w:tc>
      </w:tr>
      <w:tr w14:paraId="66D212F6">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159DFE46">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第5章 - 食品，颜料和化妆品</w:t>
            </w:r>
          </w:p>
          <w:p w14:paraId="1288865E">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ManuaI/ucm119194.htm）</w:t>
            </w:r>
          </w:p>
        </w:tc>
      </w:tr>
      <w:tr w14:paraId="4699FD21">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61CBDCFF">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81818"/>
              </w:rPr>
              <w:t>第6章 - 兽医医学</w:t>
            </w:r>
          </w:p>
          <w:p w14:paraId="24D3B2E1">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ManuaI/ucm117042.htm）</w:t>
            </w:r>
          </w:p>
        </w:tc>
      </w:tr>
    </w:tbl>
    <w:p w14:paraId="63DA2ED5">
      <w:pPr>
        <w:overflowPunct w:val="0"/>
        <w:snapToGrid w:val="0"/>
        <w:spacing w:line="300" w:lineRule="auto"/>
        <w:jc w:val="both"/>
        <w:rPr>
          <w:rFonts w:ascii="Arial" w:hAnsi="Arial" w:eastAsia="宋体" w:cs="Arial"/>
          <w:sz w:val="24"/>
          <w:szCs w:val="24"/>
        </w:rPr>
      </w:pPr>
    </w:p>
    <w:p w14:paraId="4E384395">
      <w:pPr>
        <w:overflowPunct w:val="0"/>
        <w:snapToGrid w:val="0"/>
        <w:spacing w:line="300" w:lineRule="auto"/>
        <w:jc w:val="both"/>
        <w:rPr>
          <w:rFonts w:hint="eastAsia" w:eastAsia="宋体"/>
          <w:lang w:eastAsia="zh-CN"/>
        </w:rPr>
      </w:pPr>
    </w:p>
    <w:p w14:paraId="3CE7197C">
      <w:pPr>
        <w:overflowPunct w:val="0"/>
        <w:snapToGrid w:val="0"/>
        <w:spacing w:line="300" w:lineRule="auto"/>
        <w:jc w:val="center"/>
        <w:rPr>
          <w:rFonts w:hint="eastAsia" w:eastAsia="宋体"/>
          <w:lang w:eastAsia="zh-CN"/>
        </w:rPr>
      </w:pPr>
    </w:p>
    <w:p w14:paraId="66088692">
      <w:pPr>
        <w:overflowPunct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10" w:h="16840"/>
      <w:pgMar w:top="567" w:right="567" w:bottom="567" w:left="567" w:header="170" w:footer="26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9A5E6">
    <w:pPr>
      <w:tabs>
        <w:tab w:val="right" w:pos="10773"/>
      </w:tabs>
      <w:spacing w:line="184" w:lineRule="exact"/>
      <w:ind w:left="40"/>
      <w:rPr>
        <w:rFonts w:ascii="Arial" w:hAnsi="Arial" w:eastAsia="宋体" w:cs="Arial"/>
        <w:sz w:val="15"/>
        <w:szCs w:val="15"/>
      </w:rPr>
    </w:pPr>
    <w:r>
      <w:fldChar w:fldCharType="begin"/>
    </w:r>
    <w:r>
      <w:instrText xml:space="preserve"> HYPERLINK "https://www.fda.go'v/lCECl/ComplianceManuaIs/CompliancePolicyGuidanceManuaI/ucm073824.htm" </w:instrText>
    </w:r>
    <w:r>
      <w:fldChar w:fldCharType="separate"/>
    </w:r>
    <w:r>
      <w:rPr>
        <w:rStyle w:val="9"/>
        <w:rFonts w:hint="eastAsia" w:ascii="Arial" w:eastAsia="宋体"/>
        <w:color w:val="000000" w:themeColor="text1"/>
        <w:sz w:val="15"/>
        <w:szCs w:val="15"/>
        <w:u w:val="none"/>
        <w14:textFill>
          <w14:solidFill>
            <w14:schemeClr w14:val="tx1"/>
          </w14:solidFill>
        </w14:textFill>
      </w:rPr>
      <w:t>https://www.fda.go'v/lCECl/ComplianceManuaIs/CompliancePolicyGuidanceManuaI/ucm073824.htm</w:t>
    </w:r>
    <w:r>
      <w:rPr>
        <w:rStyle w:val="9"/>
        <w:rFonts w:hint="eastAsia" w:ascii="Arial" w:eastAsia="宋体"/>
        <w:color w:val="000000" w:themeColor="text1"/>
        <w:sz w:val="15"/>
        <w:szCs w:val="15"/>
        <w:u w:val="none"/>
        <w14:textFill>
          <w14:solidFill>
            <w14:schemeClr w14:val="tx1"/>
          </w14:solidFill>
        </w14:textFill>
      </w:rPr>
      <w:fldChar w:fldCharType="end"/>
    </w:r>
    <w:r>
      <w:rPr>
        <w:rFonts w:hint="eastAsia" w:ascii="Arial" w:eastAsia="宋体"/>
        <w:color w:val="000000" w:themeColor="text1"/>
        <w:sz w:val="15"/>
        <w:szCs w:val="15"/>
        <w14:textFill>
          <w14:solidFill>
            <w14:schemeClr w14:val="tx1"/>
          </w14:solidFill>
        </w14:textFill>
      </w:rPr>
      <w:tab/>
    </w:r>
    <w:r>
      <w:rPr>
        <w:sz w:val="15"/>
        <w:szCs w:val="15"/>
      </w:rPr>
      <w:fldChar w:fldCharType="begin"/>
    </w:r>
    <w:r>
      <w:rPr>
        <w:rFonts w:hint="eastAsia" w:ascii="Arial" w:eastAsia="宋体"/>
        <w:sz w:val="15"/>
        <w:szCs w:val="15"/>
      </w:rPr>
      <w:instrText xml:space="preserve"> PAGE </w:instrText>
    </w:r>
    <w:r>
      <w:rPr>
        <w:sz w:val="15"/>
        <w:szCs w:val="15"/>
      </w:rPr>
      <w:fldChar w:fldCharType="separate"/>
    </w:r>
    <w:r>
      <w:rPr>
        <w:rFonts w:ascii="Arial" w:eastAsia="宋体"/>
        <w:sz w:val="15"/>
        <w:szCs w:val="15"/>
      </w:rPr>
      <w:t>4</w:t>
    </w:r>
    <w:r>
      <w:rPr>
        <w:sz w:val="15"/>
        <w:szCs w:val="15"/>
      </w:rPr>
      <w:fldChar w:fldCharType="end"/>
    </w:r>
    <w:r>
      <w:rPr>
        <w:rFonts w:hint="eastAsia" w:ascii="Arial" w:eastAsia="宋体"/>
        <w:sz w:val="15"/>
        <w:szCs w:val="15"/>
      </w:rPr>
      <w:t>/5</w:t>
    </w:r>
  </w:p>
  <w:p w14:paraId="18F3C61D">
    <w:pPr>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80DC0">
    <w:pPr>
      <w:tabs>
        <w:tab w:val="right" w:pos="1418"/>
      </w:tabs>
      <w:spacing w:line="184" w:lineRule="exact"/>
      <w:ind w:left="20"/>
      <w:rPr>
        <w:rFonts w:ascii="Arial" w:hAnsi="Arial" w:eastAsia="宋体"/>
        <w:sz w:val="15"/>
        <w:szCs w:val="15"/>
      </w:rPr>
    </w:pPr>
    <w:r>
      <w:rPr>
        <w:rFonts w:hint="eastAsia" w:ascii="Arial" w:eastAsia="宋体"/>
        <w:sz w:val="15"/>
        <w:szCs w:val="15"/>
      </w:rPr>
      <w:t>2017/8/9</w:t>
    </w:r>
    <w:r>
      <w:rPr>
        <w:rFonts w:hint="eastAsia" w:ascii="Arial" w:eastAsia="宋体"/>
        <w:sz w:val="15"/>
        <w:szCs w:val="15"/>
      </w:rPr>
      <w:tab/>
    </w:r>
    <w:r>
      <w:rPr>
        <w:rFonts w:hint="eastAsia" w:ascii="Arial" w:eastAsia="宋体"/>
        <w:sz w:val="15"/>
        <w:szCs w:val="15"/>
      </w:rPr>
      <w:tab/>
    </w:r>
    <w:r>
      <w:rPr>
        <w:rFonts w:hint="eastAsia" w:ascii="Arial" w:hAnsi="Arial" w:eastAsia="宋体"/>
        <w:sz w:val="15"/>
        <w:szCs w:val="15"/>
      </w:rPr>
      <w:t>合规政策指南 ＞ CPG Sec.100.550 从事药品和器械灭菌的合同灭菌商的地位和责任</w:t>
    </w:r>
  </w:p>
  <w:p w14:paraId="5C4435D1">
    <w:pPr>
      <w:tabs>
        <w:tab w:val="right" w:pos="1418"/>
      </w:tabs>
      <w:spacing w:line="184" w:lineRule="exact"/>
      <w:ind w:left="20"/>
      <w:rPr>
        <w:rFonts w:ascii="Arial" w:hAnsi="Arial" w:eastAsia="宋体"/>
        <w:sz w:val="15"/>
        <w:szCs w:val="15"/>
      </w:rPr>
    </w:pPr>
  </w:p>
  <w:p w14:paraId="1A39C7D7">
    <w:pPr>
      <w:tabs>
        <w:tab w:val="right" w:pos="1418"/>
      </w:tabs>
      <w:spacing w:line="184" w:lineRule="exact"/>
      <w:ind w:left="20"/>
      <w:rPr>
        <w:rFonts w:ascii="Arial" w:hAnsi="Arial" w:eastAsia="宋体" w:cs="Arial"/>
        <w:sz w:val="15"/>
        <w:szCs w:val="15"/>
      </w:rPr>
    </w:pPr>
  </w:p>
  <w:p w14:paraId="66E23159">
    <w:pPr>
      <w:spacing w:line="1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D792B"/>
    <w:multiLevelType w:val="multilevel"/>
    <w:tmpl w:val="5C6D792B"/>
    <w:lvl w:ilvl="0" w:tentative="0">
      <w:start w:val="21"/>
      <w:numFmt w:val="upperLetter"/>
      <w:lvlText w:val="%1"/>
      <w:lvlJc w:val="left"/>
      <w:pPr>
        <w:ind w:left="137" w:hanging="694"/>
      </w:pPr>
      <w:rPr>
        <w:rFonts w:hint="default"/>
      </w:rPr>
    </w:lvl>
    <w:lvl w:ilvl="1" w:tentative="0">
      <w:start w:val="19"/>
      <w:numFmt w:val="upperLetter"/>
      <w:lvlText w:val="%1.%2"/>
      <w:lvlJc w:val="left"/>
      <w:pPr>
        <w:ind w:left="137" w:hanging="694"/>
      </w:pPr>
      <w:rPr>
        <w:rFonts w:hint="default"/>
      </w:rPr>
    </w:lvl>
    <w:lvl w:ilvl="2" w:tentative="0">
      <w:start w:val="4"/>
      <w:numFmt w:val="upperLetter"/>
      <w:lvlText w:val="%1.%2.%3"/>
      <w:lvlJc w:val="left"/>
      <w:pPr>
        <w:ind w:left="137" w:hanging="694"/>
      </w:pPr>
      <w:rPr>
        <w:rFonts w:hint="default" w:ascii="Arial" w:hAnsi="Arial" w:eastAsia="Arial"/>
        <w:spacing w:val="-16"/>
        <w:w w:val="99"/>
        <w:sz w:val="26"/>
        <w:szCs w:val="26"/>
      </w:rPr>
    </w:lvl>
    <w:lvl w:ilvl="3" w:tentative="0">
      <w:start w:val="1"/>
      <w:numFmt w:val="decimal"/>
      <w:lvlText w:val="%4."/>
      <w:lvlJc w:val="left"/>
      <w:pPr>
        <w:ind w:left="631" w:hanging="346"/>
      </w:pPr>
      <w:rPr>
        <w:rFonts w:hint="default" w:ascii="Arial" w:hAnsi="Arial" w:eastAsia="Arial"/>
        <w:w w:val="100"/>
      </w:rPr>
    </w:lvl>
    <w:lvl w:ilvl="4" w:tentative="0">
      <w:start w:val="1"/>
      <w:numFmt w:val="bullet"/>
      <w:lvlText w:val="•"/>
      <w:lvlJc w:val="left"/>
      <w:pPr>
        <w:ind w:left="4134" w:hanging="346"/>
      </w:pPr>
      <w:rPr>
        <w:rFonts w:hint="default"/>
      </w:rPr>
    </w:lvl>
    <w:lvl w:ilvl="5" w:tentative="0">
      <w:start w:val="1"/>
      <w:numFmt w:val="bullet"/>
      <w:lvlText w:val="•"/>
      <w:lvlJc w:val="left"/>
      <w:pPr>
        <w:ind w:left="5299" w:hanging="346"/>
      </w:pPr>
      <w:rPr>
        <w:rFonts w:hint="default"/>
      </w:rPr>
    </w:lvl>
    <w:lvl w:ilvl="6" w:tentative="0">
      <w:start w:val="1"/>
      <w:numFmt w:val="bullet"/>
      <w:lvlText w:val="•"/>
      <w:lvlJc w:val="left"/>
      <w:pPr>
        <w:ind w:left="6464" w:hanging="346"/>
      </w:pPr>
      <w:rPr>
        <w:rFonts w:hint="default"/>
      </w:rPr>
    </w:lvl>
    <w:lvl w:ilvl="7" w:tentative="0">
      <w:start w:val="1"/>
      <w:numFmt w:val="bullet"/>
      <w:lvlText w:val="•"/>
      <w:lvlJc w:val="left"/>
      <w:pPr>
        <w:ind w:left="7629" w:hanging="346"/>
      </w:pPr>
      <w:rPr>
        <w:rFonts w:hint="default"/>
      </w:rPr>
    </w:lvl>
    <w:lvl w:ilvl="8" w:tentative="0">
      <w:start w:val="1"/>
      <w:numFmt w:val="bullet"/>
      <w:lvlText w:val="•"/>
      <w:lvlJc w:val="left"/>
      <w:pPr>
        <w:ind w:left="8794" w:hanging="34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22"/>
    <w:rsid w:val="00024E98"/>
    <w:rsid w:val="00051702"/>
    <w:rsid w:val="00053DF5"/>
    <w:rsid w:val="00091C21"/>
    <w:rsid w:val="001851AD"/>
    <w:rsid w:val="001C65CE"/>
    <w:rsid w:val="00274235"/>
    <w:rsid w:val="00294388"/>
    <w:rsid w:val="003214D8"/>
    <w:rsid w:val="00350084"/>
    <w:rsid w:val="003E1F2F"/>
    <w:rsid w:val="00461365"/>
    <w:rsid w:val="0058123D"/>
    <w:rsid w:val="005868EA"/>
    <w:rsid w:val="006300FF"/>
    <w:rsid w:val="0063420B"/>
    <w:rsid w:val="00673F03"/>
    <w:rsid w:val="00695522"/>
    <w:rsid w:val="006C576A"/>
    <w:rsid w:val="006F3D07"/>
    <w:rsid w:val="00753ADC"/>
    <w:rsid w:val="00832007"/>
    <w:rsid w:val="008730FF"/>
    <w:rsid w:val="008A3A87"/>
    <w:rsid w:val="00944B52"/>
    <w:rsid w:val="00A064D7"/>
    <w:rsid w:val="00A66E3E"/>
    <w:rsid w:val="00AD468F"/>
    <w:rsid w:val="00AD7C74"/>
    <w:rsid w:val="00B03D03"/>
    <w:rsid w:val="00B50AF7"/>
    <w:rsid w:val="00B6768F"/>
    <w:rsid w:val="00B8076B"/>
    <w:rsid w:val="00BB56B4"/>
    <w:rsid w:val="00C93CD0"/>
    <w:rsid w:val="00CC2062"/>
    <w:rsid w:val="00D9631D"/>
    <w:rsid w:val="00E65B11"/>
    <w:rsid w:val="00F462EC"/>
    <w:rsid w:val="00F71C4A"/>
    <w:rsid w:val="00FF20CF"/>
    <w:rsid w:val="00FF25DB"/>
    <w:rsid w:val="27175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28"/>
    </w:pPr>
    <w:rPr>
      <w:rFonts w:ascii="Arial" w:hAnsi="Arial" w:eastAsia="宋体"/>
      <w:sz w:val="26"/>
      <w:szCs w:val="26"/>
    </w:rPr>
  </w:style>
  <w:style w:type="paragraph" w:styleId="3">
    <w:name w:val="Balloon Text"/>
    <w:basedOn w:val="1"/>
    <w:link w:val="13"/>
    <w:semiHidden/>
    <w:unhideWhenUsed/>
    <w:uiPriority w:val="99"/>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Char"/>
    <w:basedOn w:val="8"/>
    <w:link w:val="3"/>
    <w:semiHidden/>
    <w:uiPriority w:val="99"/>
    <w:rPr>
      <w:sz w:val="18"/>
      <w:szCs w:val="18"/>
    </w:rPr>
  </w:style>
  <w:style w:type="character" w:customStyle="1" w:styleId="14">
    <w:name w:val="页眉 Char"/>
    <w:basedOn w:val="8"/>
    <w:link w:val="5"/>
    <w:qFormat/>
    <w:uiPriority w:val="99"/>
    <w:rPr>
      <w:sz w:val="18"/>
      <w:szCs w:val="18"/>
    </w:rPr>
  </w:style>
  <w:style w:type="character" w:customStyle="1" w:styleId="15">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2094</Words>
  <Characters>3049</Characters>
  <Lines>23</Lines>
  <Paragraphs>6</Paragraphs>
  <TotalTime>0</TotalTime>
  <ScaleCrop>false</ScaleCrop>
  <LinksUpToDate>false</LinksUpToDate>
  <CharactersWithSpaces>3117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2017-10-23T10:46:00Z</dcterms:created>
  <dc:creator>CML</dc:creator>
  <cp:lastModifiedBy>太极箫客</cp:lastModifiedBy>
  <dcterms:modified xsi:type="dcterms:W3CDTF">2025-08-14T06:16:00Z</dcterms:modified>
  <dc:title>Compliance Policy Guides &gt; CPG Sec. 100...the Sterilization of Drugs and Devices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PScript5.dll Version 5.2.2</vt:lpwstr>
  </property>
  <property fmtid="{D5CDD505-2E9C-101B-9397-08002B2CF9AE}" pid="4" name="LastSaved">
    <vt:filetime>2017-10-12T00:00:00Z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699333E2BB8544CDB8D60D1AF83063D9_12</vt:lpwstr>
  </property>
</Properties>
</file>