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FE6BA">
      <w:pPr>
        <w:snapToGrid w:val="0"/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630B8152">
      <w:pPr>
        <w:snapToGrid w:val="0"/>
        <w:spacing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156FA124">
      <w:pPr>
        <w:snapToGrid w:val="0"/>
        <w:spacing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650B19B7">
      <w:pPr>
        <w:snapToGrid w:val="0"/>
        <w:spacing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61EBBFCA">
      <w:pPr>
        <w:snapToGrid w:val="0"/>
        <w:spacing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535CC042">
      <w:pPr>
        <w:snapToGrid w:val="0"/>
        <w:spacing w:before="106" w:line="300" w:lineRule="auto"/>
        <w:jc w:val="both"/>
        <w:rPr>
          <w:rFonts w:ascii="Arial" w:hAnsi="Arial" w:eastAsia="宋体" w:cs="Arial"/>
          <w:sz w:val="64"/>
          <w:szCs w:val="64"/>
        </w:rPr>
      </w:pPr>
      <w:r>
        <w:rPr>
          <w:rFonts w:hint="eastAsia" w:ascii="Arial" w:eastAsia="宋体"/>
          <w:b/>
          <w:sz w:val="64"/>
        </w:rPr>
        <w:t>CPG章节100.500 - 共同承运商作为重新贴标商、再包装商、再加工商等。</w:t>
      </w:r>
    </w:p>
    <w:p w14:paraId="59538B09">
      <w:pPr>
        <w:pStyle w:val="2"/>
        <w:snapToGrid w:val="0"/>
        <w:spacing w:before="389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背景：</w:t>
      </w:r>
    </w:p>
    <w:p w14:paraId="12A84D76">
      <w:pPr>
        <w:snapToGrid w:val="0"/>
        <w:spacing w:before="1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35F27211">
      <w:pPr>
        <w:pStyle w:val="2"/>
        <w:snapToGrid w:val="0"/>
        <w:spacing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运输公司要求提供有关重新贴标商品的共同承运商的责任的信息，因为由于某种原因，货物已进入其领地。</w:t>
      </w:r>
    </w:p>
    <w:p w14:paraId="102AC049">
      <w:pPr>
        <w:snapToGrid w:val="0"/>
        <w:spacing w:before="5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40498B57">
      <w:pPr>
        <w:pStyle w:val="2"/>
        <w:snapToGrid w:val="0"/>
        <w:spacing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《联邦食品、药品和化妆品法案》第703章的条款，在承运商通常的业务过程中，由于收到、运输、持有或交付受本法所规定产品的规定，因此授予承运商免于起诉的豁免权。豁免权不扩展到承运商标准职责之外的业务或职能。</w:t>
      </w:r>
    </w:p>
    <w:p w14:paraId="773746AF">
      <w:pPr>
        <w:snapToGrid w:val="0"/>
        <w:spacing w:before="5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7D869F11">
      <w:pPr>
        <w:pStyle w:val="2"/>
        <w:snapToGrid w:val="0"/>
        <w:spacing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政策：</w:t>
      </w:r>
    </w:p>
    <w:p w14:paraId="46971E5D">
      <w:pPr>
        <w:snapToGrid w:val="0"/>
        <w:spacing w:before="1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67A9F6A3">
      <w:pPr>
        <w:pStyle w:val="2"/>
        <w:snapToGrid w:val="0"/>
        <w:spacing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第703章所规定以外行为的承运商，与其他任何标签、再包装或再加工货物方负有相同的责任，无论承运商是否对货物有所有权利。</w:t>
      </w:r>
    </w:p>
    <w:p w14:paraId="7079C8F4">
      <w:pPr>
        <w:snapToGrid w:val="0"/>
        <w:spacing w:before="5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33A4B5EF">
      <w:pPr>
        <w:pStyle w:val="2"/>
        <w:snapToGrid w:val="0"/>
        <w:spacing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发布日期：1976年10月26日</w:t>
      </w:r>
    </w:p>
    <w:p w14:paraId="74915823">
      <w:pPr>
        <w:pStyle w:val="2"/>
        <w:snapToGrid w:val="0"/>
        <w:spacing w:before="64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修订日期：1980年10月1日、1989年8月31日</w:t>
      </w:r>
    </w:p>
    <w:p w14:paraId="06FF2840">
      <w:pPr>
        <w:snapToGrid w:val="0"/>
        <w:spacing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0B79E386">
      <w:pPr>
        <w:snapToGrid w:val="0"/>
        <w:spacing w:line="300" w:lineRule="auto"/>
        <w:jc w:val="both"/>
        <w:rPr>
          <w:rFonts w:ascii="Arial" w:hAnsi="Arial" w:eastAsia="Arial" w:cs="Arial"/>
          <w:sz w:val="24"/>
          <w:szCs w:val="24"/>
        </w:rPr>
      </w:pPr>
    </w:p>
    <w:tbl>
      <w:tblPr>
        <w:tblStyle w:val="8"/>
        <w:tblW w:w="10884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4"/>
      </w:tblGrid>
      <w:tr w14:paraId="0458C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75454A79">
            <w:pPr>
              <w:pStyle w:val="10"/>
              <w:snapToGrid w:val="0"/>
              <w:spacing w:before="72" w:beforeLines="30" w:after="72" w:afterLines="30" w:line="300" w:lineRule="auto"/>
              <w:ind w:left="44" w:leftChars="20" w:right="44" w:rightChars="20"/>
              <w:rPr>
                <w:rFonts w:ascii="Arial" w:eastAsia="宋体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"https://www.fda.gov/ICECI/ComplianceManuals/CompliancePolicyGuidanceManual/default.htm"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</w:rPr>
              <w:t>合规政策指南的更多信息</w:t>
            </w:r>
          </w:p>
          <w:p w14:paraId="7F47A619">
            <w:pPr>
              <w:pStyle w:val="10"/>
              <w:snapToGrid w:val="0"/>
              <w:spacing w:before="72" w:beforeLines="30" w:after="72" w:afterLines="30" w:line="300" w:lineRule="auto"/>
              <w:ind w:left="44" w:leftChars="20" w:right="44" w:rightChars="20"/>
              <w:rPr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4326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38A404F6">
            <w:pPr>
              <w:pStyle w:val="10"/>
              <w:snapToGrid w:val="0"/>
              <w:spacing w:before="72" w:beforeLines="30" w:after="72" w:afterLines="3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前言：合规政策指南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（CPG）(/ICECI/Compliance Manuals/Compliance PolicyGuidance Manual/ucm116271.htm)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0DD08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46B68E20">
            <w:pPr>
              <w:pStyle w:val="10"/>
              <w:snapToGrid w:val="0"/>
              <w:spacing w:before="72" w:beforeLines="30" w:after="72" w:afterLines="3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第一章-通则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6F9C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3B824746">
            <w:pPr>
              <w:pStyle w:val="10"/>
              <w:snapToGrid w:val="0"/>
              <w:spacing w:before="72" w:beforeLines="30" w:after="72" w:afterLines="3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Manual/ucm116336.htm)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546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0884" w:type="dxa"/>
            <w:tcBorders>
              <w:top w:val="single" w:color="DDDDDD" w:sz="6" w:space="0"/>
              <w:left w:val="single" w:color="DDDDDD" w:sz="6" w:space="0"/>
              <w:right w:val="single" w:color="DDDDDD" w:sz="6" w:space="0"/>
            </w:tcBorders>
          </w:tcPr>
          <w:p w14:paraId="0200641C">
            <w:pPr>
              <w:pStyle w:val="10"/>
              <w:snapToGrid w:val="0"/>
              <w:spacing w:before="72" w:beforeLines="30" w:after="72" w:afterLines="3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第三章-器械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br w:type="textWrapping"/>
            </w: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Manual/ucm116801.htm)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6738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43944E67">
            <w:pPr>
              <w:pStyle w:val="10"/>
              <w:snapToGrid w:val="0"/>
              <w:spacing w:before="72" w:beforeLines="30" w:after="72" w:afterLines="3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Manual/ucm119572.htm)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0840A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5262EB98">
            <w:pPr>
              <w:pStyle w:val="10"/>
              <w:snapToGrid w:val="0"/>
              <w:spacing w:before="72" w:beforeLines="30" w:after="72" w:afterLines="3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第五章-食品、颜料和化妆品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6161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4CB679DF">
            <w:pPr>
              <w:pStyle w:val="10"/>
              <w:snapToGrid w:val="0"/>
              <w:spacing w:before="72" w:beforeLines="30" w:after="72" w:afterLines="30" w:line="300" w:lineRule="auto"/>
              <w:ind w:left="44" w:leftChars="20" w:right="44" w:rightChars="20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第六章-兽医医学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Manual/ucm117042.htm)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</w:tbl>
    <w:p w14:paraId="02F3C23A">
      <w:pPr>
        <w:snapToGrid w:val="0"/>
        <w:spacing w:line="300" w:lineRule="auto"/>
        <w:jc w:val="both"/>
        <w:rPr>
          <w:sz w:val="24"/>
          <w:szCs w:val="24"/>
        </w:rPr>
      </w:pPr>
    </w:p>
    <w:p w14:paraId="5509E166">
      <w:pPr>
        <w:snapToGrid w:val="0"/>
        <w:spacing w:line="300" w:lineRule="auto"/>
        <w:jc w:val="both"/>
        <w:rPr>
          <w:rFonts w:hint="eastAsia" w:eastAsia="宋体"/>
          <w:lang w:eastAsia="zh-CN"/>
        </w:rPr>
      </w:pPr>
    </w:p>
    <w:p w14:paraId="5B5D5345">
      <w:pPr>
        <w:snapToGrid w:val="0"/>
        <w:spacing w:line="300" w:lineRule="auto"/>
        <w:jc w:val="center"/>
        <w:rPr>
          <w:rFonts w:hint="eastAsia" w:eastAsia="宋体"/>
          <w:lang w:eastAsia="zh-CN"/>
        </w:rPr>
      </w:pPr>
    </w:p>
    <w:p w14:paraId="36E2ACCE">
      <w:pPr>
        <w:snapToGrid w:val="0"/>
        <w:spacing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49299">
    <w:pPr>
      <w:tabs>
        <w:tab w:val="right" w:pos="10773"/>
      </w:tabs>
      <w:spacing w:line="184" w:lineRule="exact"/>
      <w:ind w:left="40"/>
      <w:rPr>
        <w:rFonts w:ascii="Arial" w:hAnsi="Arial" w:eastAsia="宋体" w:cs="Arial"/>
        <w:sz w:val="15"/>
        <w:szCs w:val="15"/>
      </w:rPr>
    </w:pPr>
    <w:r>
      <w:rPr>
        <w:rFonts w:ascii="Arial" w:hAnsi="Arial" w:eastAsia="宋体" w:cs="Arial"/>
        <w:sz w:val="15"/>
        <w:szCs w:val="15"/>
      </w:rPr>
      <w:t>https://</w:t>
    </w:r>
    <w:r>
      <w:fldChar w:fldCharType="begin"/>
    </w:r>
    <w:r>
      <w:instrText xml:space="preserve"> HYPERLINK "http://www.fda.gov/ICECI/ComplianceManuals/CompliancePolicyGuidanceManual/ucm073823.htm" \h </w:instrText>
    </w:r>
    <w:r>
      <w:fldChar w:fldCharType="separate"/>
    </w:r>
    <w:r>
      <w:rPr>
        <w:rFonts w:ascii="Arial" w:hAnsi="Arial" w:eastAsia="宋体" w:cs="Arial"/>
        <w:sz w:val="15"/>
        <w:szCs w:val="15"/>
      </w:rPr>
      <w:t>www.fda.gov/ICECI/ComplianceManuals/CompliancePolicyGuidanceManual/ucm073823.htm</w:t>
    </w:r>
    <w:r>
      <w:rPr>
        <w:rFonts w:ascii="Arial" w:hAnsi="Arial" w:eastAsia="宋体" w:cs="Arial"/>
        <w:sz w:val="15"/>
        <w:szCs w:val="15"/>
      </w:rPr>
      <w:fldChar w:fldCharType="end"/>
    </w:r>
    <w:r>
      <w:rPr>
        <w:rFonts w:ascii="Arial" w:hAnsi="Arial" w:eastAsia="宋体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fldChar w:fldCharType="begin"/>
    </w:r>
    <w:r>
      <w:rPr>
        <w:rFonts w:ascii="Arial" w:hAnsi="Arial" w:eastAsia="宋体" w:cs="Arial"/>
        <w:sz w:val="15"/>
        <w:szCs w:val="15"/>
      </w:rPr>
      <w:instrText xml:space="preserve"> PAGE </w:instrText>
    </w:r>
    <w:r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eastAsia="宋体" w:cs="Arial"/>
        <w:sz w:val="15"/>
        <w:szCs w:val="15"/>
      </w:rPr>
      <w:t>1</w:t>
    </w:r>
    <w:r>
      <w:rPr>
        <w:rFonts w:ascii="Arial" w:hAnsi="Arial" w:cs="Arial"/>
        <w:sz w:val="15"/>
        <w:szCs w:val="15"/>
      </w:rPr>
      <w:fldChar w:fldCharType="end"/>
    </w:r>
    <w:r>
      <w:rPr>
        <w:rFonts w:ascii="Arial" w:hAnsi="Arial" w:eastAsia="宋体" w:cs="Arial"/>
        <w:sz w:val="15"/>
        <w:szCs w:val="15"/>
      </w:rPr>
      <w:t>/2</w:t>
    </w:r>
  </w:p>
  <w:p w14:paraId="4DE5ACD3">
    <w:pPr>
      <w:spacing w:line="14" w:lineRule="auto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BB6A2">
    <w:pPr>
      <w:tabs>
        <w:tab w:val="left" w:pos="2694"/>
      </w:tabs>
      <w:spacing w:line="184" w:lineRule="exact"/>
      <w:ind w:left="20"/>
      <w:rPr>
        <w:rFonts w:ascii="Arial" w:hAnsi="Arial" w:eastAsia="宋体" w:cs="Arial"/>
        <w:sz w:val="15"/>
        <w:szCs w:val="15"/>
      </w:rPr>
    </w:pPr>
    <w:r>
      <w:rPr>
        <w:rFonts w:hint="eastAsia" w:ascii="Arial" w:eastAsia="宋体"/>
        <w:sz w:val="15"/>
        <w:szCs w:val="15"/>
      </w:rPr>
      <w:t>2017年8月10日</w:t>
    </w:r>
    <w:r>
      <w:rPr>
        <w:rFonts w:hint="eastAsia" w:ascii="Arial" w:eastAsia="宋体"/>
        <w:sz w:val="15"/>
        <w:szCs w:val="15"/>
      </w:rPr>
      <w:tab/>
    </w:r>
    <w:r>
      <w:rPr>
        <w:rFonts w:hint="eastAsia" w:ascii="Arial" w:eastAsia="宋体"/>
        <w:sz w:val="15"/>
        <w:szCs w:val="15"/>
      </w:rPr>
      <w:t>合规政策指南&gt;CPG章节100.500 - 共同承运商作为再标记商、再包装商、再加工商等。</w:t>
    </w:r>
  </w:p>
  <w:p w14:paraId="6E1DDEC5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5C6A6DDC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171AA3D7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569BBAD0">
    <w:pPr>
      <w:spacing w:line="14" w:lineRule="auto"/>
      <w:rPr>
        <w:sz w:val="15"/>
        <w:szCs w:val="15"/>
      </w:rPr>
    </w:pPr>
    <w:r>
      <w:rPr>
        <w:rFonts w:hint="eastAsia"/>
        <w:sz w:val="15"/>
        <w:szCs w:val="15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FA"/>
    <w:rsid w:val="00072ACB"/>
    <w:rsid w:val="00085AD2"/>
    <w:rsid w:val="0015067D"/>
    <w:rsid w:val="00211808"/>
    <w:rsid w:val="002935F7"/>
    <w:rsid w:val="002D7E62"/>
    <w:rsid w:val="00576851"/>
    <w:rsid w:val="005C26B7"/>
    <w:rsid w:val="0060486E"/>
    <w:rsid w:val="006766C1"/>
    <w:rsid w:val="007F0AC6"/>
    <w:rsid w:val="00801503"/>
    <w:rsid w:val="008C5057"/>
    <w:rsid w:val="008E05EF"/>
    <w:rsid w:val="00A57DD6"/>
    <w:rsid w:val="00B35EC5"/>
    <w:rsid w:val="00BF01BC"/>
    <w:rsid w:val="00CB2D74"/>
    <w:rsid w:val="00CD76FA"/>
    <w:rsid w:val="00E07CB1"/>
    <w:rsid w:val="00E52B57"/>
    <w:rsid w:val="00ED2C0D"/>
    <w:rsid w:val="6631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宋体"/>
      <w:sz w:val="25"/>
      <w:szCs w:val="25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371</Words>
  <Characters>932</Characters>
  <Lines>13</Lines>
  <Paragraphs>3</Paragraphs>
  <TotalTime>1</TotalTime>
  <ScaleCrop>false</ScaleCrop>
  <LinksUpToDate>false</LinksUpToDate>
  <CharactersWithSpaces>958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2017-10-23T10:07:00Z</dcterms:created>
  <dc:creator>cathy-wen</dc:creator>
  <cp:lastModifiedBy>太极箫客</cp:lastModifiedBy>
  <dcterms:modified xsi:type="dcterms:W3CDTF">2025-08-14T06:15:59Z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BA118C58E2874827846F3D8C863E9A7F_12</vt:lpwstr>
  </property>
</Properties>
</file>