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378330">
      <w:pPr>
        <w:overflowPunct w:val="0"/>
        <w:snapToGrid w:val="0"/>
        <w:spacing w:line="300" w:lineRule="auto"/>
        <w:jc w:val="both"/>
        <w:rPr>
          <w:rFonts w:hint="eastAsia" w:ascii="Arial" w:hAnsi="Arial" w:eastAsia="宋体" w:cs="Arial"/>
          <w:sz w:val="19"/>
          <w:szCs w:val="19"/>
          <w:lang w:eastAsia="zh-CN"/>
        </w:rPr>
      </w:pPr>
      <w:bookmarkStart w:id="10" w:name="_GoBack"/>
      <w:bookmarkEnd w:id="10"/>
    </w:p>
    <w:p w14:paraId="7853242D">
      <w:pPr>
        <w:overflowPunct w:val="0"/>
        <w:snapToGrid w:val="0"/>
        <w:spacing w:line="300" w:lineRule="auto"/>
        <w:jc w:val="both"/>
        <w:rPr>
          <w:rFonts w:ascii="Arial" w:hAnsi="Arial" w:eastAsia="宋体" w:cs="Arial"/>
          <w:sz w:val="19"/>
          <w:szCs w:val="19"/>
        </w:rPr>
      </w:pPr>
    </w:p>
    <w:p w14:paraId="50E32BD7">
      <w:pPr>
        <w:overflowPunct w:val="0"/>
        <w:snapToGrid w:val="0"/>
        <w:spacing w:line="300" w:lineRule="auto"/>
        <w:jc w:val="both"/>
        <w:rPr>
          <w:rFonts w:ascii="Arial" w:hAnsi="Arial" w:eastAsia="宋体" w:cs="Arial"/>
          <w:sz w:val="19"/>
          <w:szCs w:val="19"/>
        </w:rPr>
      </w:pPr>
    </w:p>
    <w:p w14:paraId="75825C16">
      <w:pPr>
        <w:overflowPunct w:val="0"/>
        <w:snapToGrid w:val="0"/>
        <w:spacing w:line="300" w:lineRule="auto"/>
        <w:jc w:val="both"/>
        <w:rPr>
          <w:rFonts w:ascii="Arial" w:hAnsi="Arial" w:eastAsia="宋体" w:cs="Arial"/>
          <w:sz w:val="19"/>
          <w:szCs w:val="19"/>
        </w:rPr>
      </w:pPr>
    </w:p>
    <w:p w14:paraId="2FB6C331">
      <w:pPr>
        <w:pStyle w:val="13"/>
        <w:shd w:val="clear" w:color="auto" w:fill="auto"/>
        <w:overflowPunct w:val="0"/>
        <w:snapToGrid w:val="0"/>
        <w:spacing w:after="379" w:line="300" w:lineRule="auto"/>
        <w:ind w:right="1300"/>
        <w:jc w:val="both"/>
        <w:rPr>
          <w:rFonts w:eastAsia="宋体"/>
          <w:spacing w:val="0"/>
          <w:sz w:val="64"/>
          <w:szCs w:val="64"/>
          <w:lang w:eastAsia="zh-CN"/>
        </w:rPr>
      </w:pPr>
      <w:bookmarkStart w:id="0" w:name="OLE_LINK83"/>
      <w:bookmarkStart w:id="1" w:name="OLE_LINK84"/>
      <w:r>
        <w:rPr>
          <w:rFonts w:eastAsia="宋体"/>
          <w:spacing w:val="0"/>
          <w:sz w:val="64"/>
          <w:szCs w:val="64"/>
          <w:lang w:eastAsia="zh-CN"/>
        </w:rPr>
        <w:t xml:space="preserve">CPG </w:t>
      </w:r>
      <w:r>
        <w:rPr>
          <w:rFonts w:hint="eastAsia" w:eastAsia="宋体"/>
          <w:spacing w:val="0"/>
          <w:sz w:val="64"/>
          <w:szCs w:val="64"/>
          <w:lang w:eastAsia="zh-CN"/>
        </w:rPr>
        <w:t>章节</w:t>
      </w:r>
      <w:r>
        <w:rPr>
          <w:rFonts w:eastAsia="宋体"/>
          <w:spacing w:val="0"/>
          <w:sz w:val="64"/>
          <w:szCs w:val="64"/>
          <w:lang w:eastAsia="zh-CN"/>
        </w:rPr>
        <w:t>398.325</w:t>
      </w:r>
      <w:bookmarkEnd w:id="0"/>
      <w:bookmarkEnd w:id="1"/>
      <w:r>
        <w:rPr>
          <w:rFonts w:eastAsia="宋体"/>
          <w:spacing w:val="0"/>
          <w:sz w:val="64"/>
          <w:szCs w:val="64"/>
          <w:lang w:eastAsia="zh-CN"/>
        </w:rPr>
        <w:t>对不合规诊断X射线设备装配商的监管行动</w:t>
      </w:r>
    </w:p>
    <w:p w14:paraId="550688C6">
      <w:pPr>
        <w:pStyle w:val="18"/>
        <w:shd w:val="clear" w:color="auto" w:fill="auto"/>
        <w:overflowPunct w:val="0"/>
        <w:snapToGrid w:val="0"/>
        <w:spacing w:before="0" w:after="240" w:afterLines="100" w:line="360" w:lineRule="auto"/>
        <w:ind w:firstLine="0"/>
        <w:jc w:val="both"/>
        <w:rPr>
          <w:rFonts w:eastAsia="宋体"/>
          <w:sz w:val="28"/>
          <w:szCs w:val="28"/>
          <w:lang w:eastAsia="zh-CN"/>
        </w:rPr>
      </w:pPr>
      <w:r>
        <w:rPr>
          <w:rFonts w:eastAsia="宋体"/>
          <w:sz w:val="28"/>
          <w:szCs w:val="28"/>
          <w:lang w:eastAsia="zh-CN"/>
        </w:rPr>
        <w:t>背景：</w:t>
      </w:r>
    </w:p>
    <w:p w14:paraId="3C4102A7">
      <w:pPr>
        <w:pStyle w:val="18"/>
        <w:shd w:val="clear" w:color="auto" w:fill="auto"/>
        <w:overflowPunct w:val="0"/>
        <w:snapToGrid w:val="0"/>
        <w:spacing w:before="0" w:after="240" w:afterLines="100" w:line="360" w:lineRule="auto"/>
        <w:ind w:firstLine="0"/>
        <w:jc w:val="both"/>
        <w:rPr>
          <w:rFonts w:eastAsia="宋体"/>
          <w:sz w:val="28"/>
          <w:szCs w:val="28"/>
          <w:lang w:eastAsia="zh-CN"/>
        </w:rPr>
      </w:pPr>
      <w:r>
        <w:rPr>
          <w:rFonts w:eastAsia="宋体"/>
          <w:sz w:val="28"/>
          <w:szCs w:val="28"/>
          <w:lang w:eastAsia="zh-CN"/>
        </w:rPr>
        <w:t>对经认证医用X射线系统和部件现场测试的分析显示了不可接受的不符合标准率（即诊断X射线标准）。大多数不合规是因装配商未正确遵守制造商的装配说明导致。因此预期确保正确装配诊断X射线设备的更严格强制执行对降低不符合率有整体效果。</w:t>
      </w:r>
    </w:p>
    <w:p w14:paraId="6FA23B4E">
      <w:pPr>
        <w:pStyle w:val="18"/>
        <w:shd w:val="clear" w:color="auto" w:fill="auto"/>
        <w:overflowPunct w:val="0"/>
        <w:snapToGrid w:val="0"/>
        <w:spacing w:before="0" w:after="240" w:afterLines="100" w:line="360" w:lineRule="auto"/>
        <w:ind w:firstLine="0"/>
        <w:jc w:val="both"/>
        <w:rPr>
          <w:rFonts w:eastAsia="宋体"/>
          <w:sz w:val="28"/>
          <w:szCs w:val="28"/>
          <w:lang w:eastAsia="zh-CN"/>
        </w:rPr>
      </w:pPr>
      <w:r>
        <w:rPr>
          <w:rFonts w:eastAsia="宋体"/>
          <w:sz w:val="28"/>
          <w:szCs w:val="28"/>
          <w:lang w:eastAsia="zh-CN"/>
        </w:rPr>
        <w:t>器械和放射卫生中心对现场测试记录的审核和评估揭示导致不合规的最常见装配错误是：</w:t>
      </w:r>
    </w:p>
    <w:p w14:paraId="360EDE4D">
      <w:pPr>
        <w:pStyle w:val="18"/>
        <w:numPr>
          <w:ilvl w:val="0"/>
          <w:numId w:val="1"/>
        </w:numPr>
        <w:shd w:val="clear" w:color="auto" w:fill="auto"/>
        <w:tabs>
          <w:tab w:val="left" w:pos="560"/>
        </w:tabs>
        <w:overflowPunct w:val="0"/>
        <w:snapToGrid w:val="0"/>
        <w:spacing w:before="0" w:after="240" w:afterLines="100" w:line="360" w:lineRule="auto"/>
        <w:ind w:left="540" w:hanging="340"/>
        <w:jc w:val="both"/>
        <w:rPr>
          <w:rFonts w:eastAsia="宋体"/>
          <w:sz w:val="28"/>
          <w:szCs w:val="28"/>
          <w:lang w:eastAsia="zh-CN"/>
        </w:rPr>
      </w:pPr>
      <w:r>
        <w:rPr>
          <w:rFonts w:eastAsia="宋体"/>
          <w:sz w:val="28"/>
          <w:szCs w:val="28"/>
          <w:lang w:eastAsia="zh-CN"/>
        </w:rPr>
        <w:t>射线照相、荧光透视和点片模式的准直问题，导致</w:t>
      </w:r>
      <w:bookmarkStart w:id="2" w:name="OLE_LINK90"/>
      <w:bookmarkStart w:id="3" w:name="OLE_LINK91"/>
      <w:r>
        <w:rPr>
          <w:rFonts w:eastAsia="宋体"/>
          <w:sz w:val="28"/>
          <w:szCs w:val="28"/>
          <w:lang w:eastAsia="zh-CN"/>
        </w:rPr>
        <w:t>X射线</w:t>
      </w:r>
      <w:bookmarkEnd w:id="2"/>
      <w:bookmarkEnd w:id="3"/>
      <w:r>
        <w:rPr>
          <w:rFonts w:eastAsia="宋体"/>
          <w:sz w:val="28"/>
          <w:szCs w:val="28"/>
          <w:lang w:eastAsia="zh-CN"/>
        </w:rPr>
        <w:t>射野尺寸错误；</w:t>
      </w:r>
    </w:p>
    <w:p w14:paraId="6194751B">
      <w:pPr>
        <w:pStyle w:val="18"/>
        <w:numPr>
          <w:ilvl w:val="0"/>
          <w:numId w:val="1"/>
        </w:numPr>
        <w:shd w:val="clear" w:color="auto" w:fill="auto"/>
        <w:tabs>
          <w:tab w:val="left" w:pos="561"/>
        </w:tabs>
        <w:overflowPunct w:val="0"/>
        <w:snapToGrid w:val="0"/>
        <w:spacing w:before="0" w:after="240" w:afterLines="100" w:line="360" w:lineRule="auto"/>
        <w:ind w:left="540" w:hanging="340"/>
        <w:jc w:val="both"/>
        <w:rPr>
          <w:rFonts w:eastAsia="宋体"/>
          <w:sz w:val="28"/>
          <w:szCs w:val="28"/>
          <w:lang w:eastAsia="zh-CN"/>
        </w:rPr>
      </w:pPr>
      <w:r>
        <w:rPr>
          <w:rFonts w:eastAsia="宋体"/>
          <w:sz w:val="28"/>
          <w:szCs w:val="28"/>
          <w:lang w:eastAsia="zh-CN"/>
        </w:rPr>
        <w:t>互锁装配错误，导致当一级屏障未处于拦截荧光透视X射线束的位置时产生X射线；</w:t>
      </w:r>
    </w:p>
    <w:p w14:paraId="0C7106AA">
      <w:pPr>
        <w:pStyle w:val="18"/>
        <w:numPr>
          <w:ilvl w:val="0"/>
          <w:numId w:val="1"/>
        </w:numPr>
        <w:shd w:val="clear" w:color="auto" w:fill="auto"/>
        <w:tabs>
          <w:tab w:val="left" w:pos="561"/>
        </w:tabs>
        <w:overflowPunct w:val="0"/>
        <w:snapToGrid w:val="0"/>
        <w:spacing w:before="0" w:after="240" w:afterLines="100" w:line="360" w:lineRule="auto"/>
        <w:ind w:left="540" w:hanging="340"/>
        <w:jc w:val="both"/>
        <w:rPr>
          <w:rFonts w:eastAsia="宋体"/>
          <w:sz w:val="28"/>
          <w:szCs w:val="28"/>
          <w:lang w:eastAsia="zh-CN"/>
        </w:rPr>
      </w:pPr>
      <w:r>
        <w:rPr>
          <w:rFonts w:eastAsia="宋体"/>
          <w:sz w:val="28"/>
          <w:szCs w:val="28"/>
          <w:lang w:eastAsia="zh-CN"/>
        </w:rPr>
        <w:t>荧光透视X射线控制的刻度错误，使得所选管电流输送的照射强度超过标准允许强度，因而导致</w:t>
      </w:r>
      <w:bookmarkStart w:id="4" w:name="OLE_LINK23"/>
      <w:bookmarkStart w:id="5" w:name="OLE_LINK22"/>
      <w:r>
        <w:rPr>
          <w:rFonts w:eastAsia="宋体"/>
          <w:sz w:val="28"/>
          <w:szCs w:val="28"/>
          <w:lang w:eastAsia="zh-CN"/>
        </w:rPr>
        <w:t>入口照射强度</w:t>
      </w:r>
      <w:bookmarkEnd w:id="4"/>
      <w:bookmarkEnd w:id="5"/>
      <w:r>
        <w:rPr>
          <w:rFonts w:eastAsia="宋体"/>
          <w:sz w:val="28"/>
          <w:szCs w:val="28"/>
          <w:lang w:eastAsia="zh-CN"/>
        </w:rPr>
        <w:t>问题；</w:t>
      </w:r>
    </w:p>
    <w:p w14:paraId="76A2CD9A">
      <w:pPr>
        <w:pStyle w:val="18"/>
        <w:numPr>
          <w:ilvl w:val="0"/>
          <w:numId w:val="1"/>
        </w:numPr>
        <w:shd w:val="clear" w:color="auto" w:fill="auto"/>
        <w:tabs>
          <w:tab w:val="left" w:pos="566"/>
        </w:tabs>
        <w:overflowPunct w:val="0"/>
        <w:snapToGrid w:val="0"/>
        <w:spacing w:before="0" w:after="240" w:afterLines="100" w:line="360" w:lineRule="auto"/>
        <w:ind w:left="540" w:hanging="340"/>
        <w:jc w:val="both"/>
        <w:rPr>
          <w:rFonts w:eastAsia="宋体"/>
          <w:sz w:val="28"/>
          <w:szCs w:val="28"/>
          <w:lang w:eastAsia="zh-CN"/>
        </w:rPr>
      </w:pPr>
      <w:bookmarkStart w:id="6" w:name="OLE_LINK25"/>
      <w:bookmarkStart w:id="7" w:name="OLE_LINK24"/>
      <w:r>
        <w:rPr>
          <w:rFonts w:eastAsia="宋体"/>
          <w:sz w:val="28"/>
          <w:szCs w:val="28"/>
          <w:lang w:eastAsia="zh-CN"/>
        </w:rPr>
        <w:t>准直器灯泡</w:t>
      </w:r>
      <w:bookmarkEnd w:id="6"/>
      <w:bookmarkEnd w:id="7"/>
      <w:r>
        <w:rPr>
          <w:rFonts w:eastAsia="宋体"/>
          <w:sz w:val="28"/>
          <w:szCs w:val="28"/>
          <w:lang w:eastAsia="zh-CN"/>
        </w:rPr>
        <w:t>的灯电压调整不当，</w:t>
      </w:r>
      <w:bookmarkStart w:id="8" w:name="OLE_LINK26"/>
      <w:bookmarkStart w:id="9" w:name="OLE_LINK27"/>
      <w:r>
        <w:rPr>
          <w:rFonts w:eastAsia="宋体"/>
          <w:sz w:val="28"/>
          <w:szCs w:val="28"/>
          <w:lang w:eastAsia="zh-CN"/>
        </w:rPr>
        <w:t>导致来自光线定位器</w:t>
      </w:r>
      <w:bookmarkEnd w:id="8"/>
      <w:bookmarkEnd w:id="9"/>
      <w:r>
        <w:rPr>
          <w:rFonts w:eastAsia="宋体"/>
          <w:sz w:val="28"/>
          <w:szCs w:val="28"/>
          <w:lang w:eastAsia="zh-CN"/>
        </w:rPr>
        <w:t>的照度不足。</w:t>
      </w:r>
    </w:p>
    <w:p w14:paraId="35565D5A">
      <w:pPr>
        <w:pStyle w:val="18"/>
        <w:shd w:val="clear" w:color="auto" w:fill="auto"/>
        <w:overflowPunct w:val="0"/>
        <w:snapToGrid w:val="0"/>
        <w:spacing w:before="0" w:after="240" w:afterLines="100" w:line="360" w:lineRule="auto"/>
        <w:ind w:firstLine="0"/>
        <w:jc w:val="both"/>
        <w:rPr>
          <w:rFonts w:eastAsia="宋体"/>
          <w:sz w:val="28"/>
          <w:szCs w:val="28"/>
          <w:lang w:eastAsia="zh-CN"/>
        </w:rPr>
      </w:pPr>
      <w:r>
        <w:rPr>
          <w:rFonts w:eastAsia="宋体"/>
          <w:sz w:val="28"/>
          <w:szCs w:val="28"/>
          <w:lang w:eastAsia="zh-CN"/>
        </w:rPr>
        <w:t>政策：</w:t>
      </w:r>
    </w:p>
    <w:p w14:paraId="551A59D3">
      <w:pPr>
        <w:pStyle w:val="18"/>
        <w:shd w:val="clear" w:color="auto" w:fill="auto"/>
        <w:overflowPunct w:val="0"/>
        <w:snapToGrid w:val="0"/>
        <w:spacing w:before="0" w:after="240" w:afterLines="100" w:line="360" w:lineRule="auto"/>
        <w:ind w:firstLine="0"/>
        <w:jc w:val="both"/>
        <w:rPr>
          <w:rFonts w:eastAsia="宋体"/>
          <w:sz w:val="28"/>
          <w:szCs w:val="28"/>
          <w:lang w:eastAsia="zh-CN"/>
        </w:rPr>
      </w:pPr>
      <w:r>
        <w:rPr>
          <w:rFonts w:eastAsia="宋体"/>
          <w:sz w:val="28"/>
          <w:szCs w:val="28"/>
          <w:lang w:eastAsia="zh-CN"/>
        </w:rPr>
        <w:t>对违反性能标准装配商的首要执行机制是民事处罚评估。除非已经证明对装配商的民事处罚不能实现合规，否则不会例行批准禁令建议。如果继续违反标准，返回法庭请求禁令是适当的，且有民事处罚已经无效的情况作为支持。如果有证据表明装配商持续存在重大过失或故意违反性能标准，也将考虑发出禁令。</w:t>
      </w:r>
    </w:p>
    <w:p w14:paraId="73FF3423">
      <w:pPr>
        <w:spacing w:line="360" w:lineRule="auto"/>
        <w:rPr>
          <w:rFonts w:ascii="Arial" w:hAnsi="Arial" w:eastAsia="宋体" w:cs="Arial"/>
          <w:sz w:val="28"/>
          <w:szCs w:val="28"/>
          <w:lang w:eastAsia="zh-CN"/>
        </w:rPr>
      </w:pPr>
      <w:r>
        <w:rPr>
          <w:rFonts w:ascii="Arial" w:hAnsi="Arial" w:eastAsia="宋体" w:cs="Arial"/>
          <w:sz w:val="28"/>
          <w:szCs w:val="28"/>
          <w:lang w:eastAsia="zh-CN"/>
        </w:rPr>
        <w:br w:type="page"/>
      </w:r>
    </w:p>
    <w:p w14:paraId="516AC005">
      <w:pPr>
        <w:pStyle w:val="18"/>
        <w:shd w:val="clear" w:color="auto" w:fill="auto"/>
        <w:overflowPunct w:val="0"/>
        <w:snapToGrid w:val="0"/>
        <w:spacing w:before="0" w:after="240" w:afterLines="100" w:line="360" w:lineRule="auto"/>
        <w:ind w:firstLine="0"/>
        <w:jc w:val="both"/>
        <w:rPr>
          <w:rFonts w:eastAsia="宋体"/>
          <w:sz w:val="28"/>
          <w:szCs w:val="28"/>
          <w:lang w:eastAsia="zh-CN"/>
        </w:rPr>
      </w:pPr>
      <w:r>
        <w:rPr>
          <w:rFonts w:eastAsia="宋体"/>
          <w:sz w:val="28"/>
          <w:szCs w:val="28"/>
          <w:lang w:eastAsia="zh-CN"/>
        </w:rPr>
        <w:t>监管行动指南：</w:t>
      </w:r>
    </w:p>
    <w:p w14:paraId="4FF28323">
      <w:pPr>
        <w:pStyle w:val="18"/>
        <w:shd w:val="clear" w:color="auto" w:fill="auto"/>
        <w:overflowPunct w:val="0"/>
        <w:snapToGrid w:val="0"/>
        <w:spacing w:before="0" w:after="240" w:afterLines="100" w:line="360" w:lineRule="auto"/>
        <w:ind w:firstLine="0"/>
        <w:jc w:val="both"/>
        <w:rPr>
          <w:rFonts w:eastAsia="宋体"/>
          <w:sz w:val="28"/>
          <w:szCs w:val="28"/>
          <w:lang w:eastAsia="zh-CN"/>
        </w:rPr>
      </w:pPr>
      <w:r>
        <w:rPr>
          <w:rFonts w:eastAsia="宋体"/>
          <w:sz w:val="28"/>
          <w:szCs w:val="28"/>
          <w:lang w:eastAsia="zh-CN"/>
        </w:rPr>
        <w:t>建议民事处罚的标准：</w:t>
      </w:r>
    </w:p>
    <w:p w14:paraId="0D801EAB">
      <w:pPr>
        <w:pStyle w:val="18"/>
        <w:numPr>
          <w:ilvl w:val="0"/>
          <w:numId w:val="2"/>
        </w:numPr>
        <w:shd w:val="clear" w:color="auto" w:fill="auto"/>
        <w:tabs>
          <w:tab w:val="left" w:pos="553"/>
        </w:tabs>
        <w:overflowPunct w:val="0"/>
        <w:snapToGrid w:val="0"/>
        <w:spacing w:before="0" w:after="240" w:afterLines="100" w:line="360" w:lineRule="auto"/>
        <w:ind w:left="560"/>
        <w:jc w:val="both"/>
        <w:rPr>
          <w:rFonts w:eastAsia="宋体"/>
          <w:sz w:val="28"/>
          <w:szCs w:val="28"/>
          <w:lang w:eastAsia="zh-CN"/>
        </w:rPr>
      </w:pPr>
      <w:r>
        <w:rPr>
          <w:rFonts w:eastAsia="宋体"/>
          <w:sz w:val="28"/>
          <w:szCs w:val="28"/>
          <w:lang w:eastAsia="zh-CN"/>
        </w:rPr>
        <w:t>装配后尽快获得试验结果但决不能拖至系统或部件装配后一年（以最大限度地防止装配商声称不合规是由于正常磨损、不恰当维护或不恰当维修）。</w:t>
      </w:r>
    </w:p>
    <w:p w14:paraId="368C46F1">
      <w:pPr>
        <w:pStyle w:val="18"/>
        <w:shd w:val="clear" w:color="auto" w:fill="auto"/>
        <w:overflowPunct w:val="0"/>
        <w:snapToGrid w:val="0"/>
        <w:spacing w:before="0" w:after="240" w:afterLines="100" w:line="360" w:lineRule="auto"/>
        <w:ind w:left="560" w:firstLine="0"/>
        <w:jc w:val="both"/>
        <w:rPr>
          <w:rFonts w:eastAsia="宋体"/>
          <w:sz w:val="28"/>
          <w:szCs w:val="28"/>
          <w:lang w:eastAsia="zh-CN"/>
        </w:rPr>
      </w:pPr>
      <w:r>
        <w:rPr>
          <w:rFonts w:eastAsia="宋体"/>
          <w:sz w:val="28"/>
          <w:szCs w:val="28"/>
          <w:lang w:eastAsia="zh-CN"/>
        </w:rPr>
        <w:t>和</w:t>
      </w:r>
    </w:p>
    <w:p w14:paraId="670098B8">
      <w:pPr>
        <w:pStyle w:val="18"/>
        <w:numPr>
          <w:ilvl w:val="0"/>
          <w:numId w:val="2"/>
        </w:numPr>
        <w:shd w:val="clear" w:color="auto" w:fill="auto"/>
        <w:tabs>
          <w:tab w:val="left" w:pos="553"/>
        </w:tabs>
        <w:overflowPunct w:val="0"/>
        <w:snapToGrid w:val="0"/>
        <w:spacing w:before="0" w:after="240" w:afterLines="100" w:line="360" w:lineRule="auto"/>
        <w:ind w:left="560"/>
        <w:jc w:val="both"/>
        <w:rPr>
          <w:rFonts w:eastAsia="宋体"/>
          <w:sz w:val="28"/>
          <w:szCs w:val="28"/>
          <w:lang w:eastAsia="zh-CN"/>
        </w:rPr>
      </w:pPr>
      <w:r>
        <w:rPr>
          <w:rFonts w:eastAsia="宋体"/>
          <w:sz w:val="28"/>
          <w:szCs w:val="28"/>
          <w:lang w:eastAsia="zh-CN"/>
        </w:rPr>
        <w:t>现场试验结果归为合规计划*7386.003，诊断医用X射线设备的现场合规测试*中描述的A类或B类不合规</w:t>
      </w:r>
    </w:p>
    <w:p w14:paraId="496C173A">
      <w:pPr>
        <w:pStyle w:val="18"/>
        <w:shd w:val="clear" w:color="auto" w:fill="auto"/>
        <w:overflowPunct w:val="0"/>
        <w:snapToGrid w:val="0"/>
        <w:spacing w:before="0" w:after="240" w:afterLines="100" w:line="360" w:lineRule="auto"/>
        <w:ind w:left="560" w:firstLine="0"/>
        <w:jc w:val="both"/>
        <w:rPr>
          <w:rFonts w:eastAsia="宋体"/>
          <w:sz w:val="28"/>
          <w:szCs w:val="28"/>
          <w:lang w:eastAsia="zh-CN"/>
        </w:rPr>
      </w:pPr>
      <w:r>
        <w:rPr>
          <w:rFonts w:eastAsia="宋体"/>
          <w:sz w:val="28"/>
          <w:szCs w:val="28"/>
          <w:lang w:eastAsia="zh-CN"/>
        </w:rPr>
        <w:t>和</w:t>
      </w:r>
    </w:p>
    <w:p w14:paraId="2E78687B">
      <w:pPr>
        <w:pStyle w:val="18"/>
        <w:numPr>
          <w:ilvl w:val="0"/>
          <w:numId w:val="2"/>
        </w:numPr>
        <w:shd w:val="clear" w:color="auto" w:fill="auto"/>
        <w:tabs>
          <w:tab w:val="left" w:pos="553"/>
        </w:tabs>
        <w:overflowPunct w:val="0"/>
        <w:snapToGrid w:val="0"/>
        <w:spacing w:before="0" w:after="240" w:afterLines="100" w:line="360" w:lineRule="auto"/>
        <w:ind w:left="560"/>
        <w:jc w:val="both"/>
        <w:rPr>
          <w:rFonts w:eastAsia="宋体"/>
          <w:sz w:val="28"/>
          <w:szCs w:val="28"/>
          <w:lang w:eastAsia="zh-CN"/>
        </w:rPr>
      </w:pPr>
      <w:r>
        <w:rPr>
          <w:rFonts w:eastAsia="宋体"/>
          <w:sz w:val="28"/>
          <w:szCs w:val="28"/>
          <w:lang w:eastAsia="zh-CN"/>
        </w:rPr>
        <w:t>已经建议装配商和总部负责官员书写过去的违规</w:t>
      </w:r>
      <w:r>
        <w:rPr>
          <w:rFonts w:hint="eastAsia" w:eastAsia="宋体"/>
          <w:sz w:val="28"/>
          <w:szCs w:val="28"/>
          <w:lang w:eastAsia="zh-CN"/>
        </w:rPr>
        <w:t>，</w:t>
      </w:r>
      <w:r>
        <w:rPr>
          <w:rFonts w:eastAsia="宋体"/>
          <w:sz w:val="28"/>
          <w:szCs w:val="28"/>
          <w:lang w:eastAsia="zh-CN"/>
        </w:rPr>
        <w:t>并警告其继续做出这类禁止行为的法律后果。违规已经造成损伤或有证据表明装配商在装配X射线系统时存在重大过失或故意违反性能标准时，认为</w:t>
      </w:r>
      <w:r>
        <w:rPr>
          <w:rFonts w:hint="eastAsia" w:eastAsia="宋体"/>
          <w:sz w:val="28"/>
          <w:szCs w:val="28"/>
          <w:lang w:eastAsia="zh-CN"/>
        </w:rPr>
        <w:t>没必要进行事先</w:t>
      </w:r>
      <w:r>
        <w:rPr>
          <w:rFonts w:eastAsia="宋体"/>
          <w:sz w:val="28"/>
          <w:szCs w:val="28"/>
          <w:lang w:eastAsia="zh-CN"/>
        </w:rPr>
        <w:t>警告记录。21 CFR 1003.11 和 21 U.S.C. *360ll（e）*要求FDA通知装配商所有违规行为。</w:t>
      </w:r>
    </w:p>
    <w:p w14:paraId="2C28A450">
      <w:pPr>
        <w:pStyle w:val="18"/>
        <w:shd w:val="clear" w:color="auto" w:fill="auto"/>
        <w:overflowPunct w:val="0"/>
        <w:snapToGrid w:val="0"/>
        <w:spacing w:before="0" w:after="240" w:afterLines="100" w:line="360" w:lineRule="auto"/>
        <w:ind w:left="560" w:firstLine="0"/>
        <w:jc w:val="both"/>
        <w:rPr>
          <w:rFonts w:eastAsia="宋体"/>
          <w:sz w:val="28"/>
          <w:szCs w:val="28"/>
          <w:lang w:eastAsia="zh-CN"/>
        </w:rPr>
      </w:pPr>
      <w:r>
        <w:rPr>
          <w:rFonts w:eastAsia="宋体"/>
          <w:sz w:val="28"/>
          <w:szCs w:val="28"/>
          <w:lang w:eastAsia="zh-CN"/>
        </w:rPr>
        <w:t>和</w:t>
      </w:r>
    </w:p>
    <w:p w14:paraId="07BE93CD">
      <w:pPr>
        <w:pStyle w:val="18"/>
        <w:numPr>
          <w:ilvl w:val="0"/>
          <w:numId w:val="2"/>
        </w:numPr>
        <w:shd w:val="clear" w:color="auto" w:fill="auto"/>
        <w:tabs>
          <w:tab w:val="left" w:pos="555"/>
        </w:tabs>
        <w:overflowPunct w:val="0"/>
        <w:snapToGrid w:val="0"/>
        <w:spacing w:before="0" w:after="240" w:afterLines="100" w:line="360" w:lineRule="auto"/>
        <w:ind w:left="560"/>
        <w:jc w:val="both"/>
        <w:rPr>
          <w:rFonts w:eastAsia="宋体"/>
          <w:sz w:val="28"/>
          <w:szCs w:val="28"/>
          <w:lang w:eastAsia="zh-CN"/>
        </w:rPr>
      </w:pPr>
      <w:r>
        <w:rPr>
          <w:rFonts w:eastAsia="宋体"/>
          <w:sz w:val="28"/>
          <w:szCs w:val="28"/>
          <w:lang w:eastAsia="zh-CN"/>
        </w:rPr>
        <w:t>支持与现场测试相关提议控告的所有不利裁决通知，必须在现场试验日期后的45天内发出（状态测试为60天）。</w:t>
      </w:r>
    </w:p>
    <w:p w14:paraId="0CE3A75F">
      <w:pPr>
        <w:pStyle w:val="18"/>
        <w:shd w:val="clear" w:color="auto" w:fill="auto"/>
        <w:overflowPunct w:val="0"/>
        <w:snapToGrid w:val="0"/>
        <w:spacing w:before="0" w:after="240" w:afterLines="100" w:line="360" w:lineRule="auto"/>
        <w:ind w:left="560" w:firstLine="0"/>
        <w:jc w:val="both"/>
        <w:rPr>
          <w:rFonts w:eastAsia="宋体"/>
          <w:sz w:val="28"/>
          <w:szCs w:val="28"/>
          <w:lang w:eastAsia="zh-CN"/>
        </w:rPr>
      </w:pPr>
      <w:r>
        <w:rPr>
          <w:rFonts w:eastAsia="宋体"/>
          <w:sz w:val="28"/>
          <w:szCs w:val="28"/>
          <w:lang w:eastAsia="zh-CN"/>
        </w:rPr>
        <w:t>以及</w:t>
      </w:r>
    </w:p>
    <w:p w14:paraId="21D1A8F5">
      <w:pPr>
        <w:pStyle w:val="18"/>
        <w:numPr>
          <w:ilvl w:val="0"/>
          <w:numId w:val="2"/>
        </w:numPr>
        <w:shd w:val="clear" w:color="auto" w:fill="auto"/>
        <w:tabs>
          <w:tab w:val="left" w:pos="555"/>
        </w:tabs>
        <w:overflowPunct w:val="0"/>
        <w:snapToGrid w:val="0"/>
        <w:spacing w:before="0" w:after="240" w:afterLines="100" w:line="360" w:lineRule="auto"/>
        <w:ind w:left="560"/>
        <w:jc w:val="both"/>
        <w:rPr>
          <w:rFonts w:eastAsia="宋体"/>
          <w:sz w:val="28"/>
          <w:szCs w:val="28"/>
          <w:lang w:eastAsia="zh-CN"/>
        </w:rPr>
      </w:pPr>
      <w:r>
        <w:rPr>
          <w:rFonts w:eastAsia="宋体"/>
          <w:sz w:val="28"/>
          <w:szCs w:val="28"/>
          <w:lang w:eastAsia="zh-CN"/>
        </w:rPr>
        <w:t>至少两种不同的安装现场试验结果证明不合规系统是在收到标准“3”的通知和警告后1年内装配且文件显示不合规的唯一原因是部件不恰当装配或不恰当安装至系统或子系统。</w:t>
      </w:r>
      <w:r>
        <w:rPr>
          <w:rFonts w:eastAsia="宋体"/>
          <w:sz w:val="28"/>
          <w:szCs w:val="28"/>
          <w:lang w:eastAsia="zh-CN"/>
        </w:rPr>
        <w:br w:type="page"/>
      </w:r>
    </w:p>
    <w:p w14:paraId="5A7110AE">
      <w:pPr>
        <w:pStyle w:val="18"/>
        <w:shd w:val="clear" w:color="auto" w:fill="auto"/>
        <w:overflowPunct w:val="0"/>
        <w:snapToGrid w:val="0"/>
        <w:spacing w:before="0" w:after="240" w:afterLines="100" w:line="360" w:lineRule="auto"/>
        <w:ind w:firstLine="0"/>
        <w:jc w:val="both"/>
        <w:rPr>
          <w:rFonts w:eastAsia="宋体"/>
          <w:sz w:val="28"/>
          <w:szCs w:val="28"/>
          <w:lang w:eastAsia="zh-CN"/>
        </w:rPr>
      </w:pPr>
      <w:r>
        <w:rPr>
          <w:rFonts w:eastAsia="宋体"/>
          <w:sz w:val="28"/>
          <w:szCs w:val="28"/>
          <w:lang w:eastAsia="zh-CN"/>
        </w:rPr>
        <w:t>标准1和5中的条件（即装配后1年内进行测试和警告后有2次违规安装）是绝对最低标准。将根据每例案例的具体情况审核建议。</w:t>
      </w:r>
    </w:p>
    <w:p w14:paraId="7CA3E065">
      <w:pPr>
        <w:pStyle w:val="18"/>
        <w:shd w:val="clear" w:color="auto" w:fill="auto"/>
        <w:overflowPunct w:val="0"/>
        <w:snapToGrid w:val="0"/>
        <w:spacing w:before="0" w:after="240" w:afterLines="100" w:line="360" w:lineRule="auto"/>
        <w:ind w:firstLine="0"/>
        <w:jc w:val="both"/>
        <w:rPr>
          <w:rFonts w:eastAsia="宋体"/>
          <w:sz w:val="28"/>
          <w:szCs w:val="28"/>
          <w:lang w:eastAsia="zh-CN"/>
        </w:rPr>
      </w:pPr>
      <w:r>
        <w:rPr>
          <w:rFonts w:eastAsia="宋体"/>
          <w:sz w:val="28"/>
          <w:szCs w:val="28"/>
          <w:lang w:eastAsia="zh-CN"/>
        </w:rPr>
        <w:t>*星号之间的材料是新材料或改进材料*</w:t>
      </w:r>
    </w:p>
    <w:p w14:paraId="159D64D6">
      <w:pPr>
        <w:pStyle w:val="18"/>
        <w:shd w:val="clear" w:color="auto" w:fill="auto"/>
        <w:overflowPunct w:val="0"/>
        <w:snapToGrid w:val="0"/>
        <w:spacing w:before="0" w:after="0" w:line="360" w:lineRule="auto"/>
        <w:ind w:firstLine="0"/>
        <w:jc w:val="both"/>
        <w:rPr>
          <w:rFonts w:eastAsia="宋体"/>
          <w:sz w:val="28"/>
          <w:szCs w:val="28"/>
          <w:lang w:eastAsia="zh-CN"/>
        </w:rPr>
      </w:pPr>
      <w:r>
        <w:rPr>
          <w:rFonts w:eastAsia="宋体"/>
          <w:sz w:val="28"/>
          <w:szCs w:val="28"/>
          <w:lang w:eastAsia="zh-CN"/>
        </w:rPr>
        <w:t>发布时间</w:t>
      </w:r>
      <w:r>
        <w:rPr>
          <w:rFonts w:hint="eastAsia" w:eastAsia="宋体"/>
          <w:sz w:val="28"/>
          <w:szCs w:val="28"/>
          <w:lang w:eastAsia="zh-CN"/>
        </w:rPr>
        <w:t>：</w:t>
      </w:r>
      <w:r>
        <w:rPr>
          <w:rFonts w:eastAsia="宋体"/>
          <w:sz w:val="28"/>
          <w:szCs w:val="28"/>
          <w:lang w:eastAsia="zh-CN"/>
        </w:rPr>
        <w:t>1978年12月19日</w:t>
      </w:r>
    </w:p>
    <w:p w14:paraId="48A08F12">
      <w:pPr>
        <w:pStyle w:val="18"/>
        <w:shd w:val="clear" w:color="auto" w:fill="auto"/>
        <w:overflowPunct w:val="0"/>
        <w:snapToGrid w:val="0"/>
        <w:spacing w:before="0" w:after="304" w:line="360" w:lineRule="auto"/>
        <w:ind w:firstLine="0"/>
        <w:jc w:val="both"/>
        <w:rPr>
          <w:rFonts w:eastAsia="宋体"/>
          <w:sz w:val="28"/>
          <w:szCs w:val="28"/>
          <w:lang w:eastAsia="zh-CN"/>
        </w:rPr>
      </w:pPr>
      <w:r>
        <w:rPr>
          <w:rFonts w:eastAsia="宋体"/>
          <w:sz w:val="28"/>
          <w:szCs w:val="28"/>
          <w:lang w:eastAsia="zh-CN"/>
        </w:rPr>
        <w:t>1980年10月1日、1982年8月15日、1984年3月6日、1995年3月、2005年3月</w:t>
      </w:r>
    </w:p>
    <w:tbl>
      <w:tblPr>
        <w:tblStyle w:val="23"/>
        <w:tblW w:w="0" w:type="auto"/>
        <w:tblInd w:w="100" w:type="dxa"/>
        <w:tblLayout w:type="fixed"/>
        <w:tblCellMar>
          <w:top w:w="0" w:type="dxa"/>
          <w:left w:w="0" w:type="dxa"/>
          <w:bottom w:w="0" w:type="dxa"/>
          <w:right w:w="0" w:type="dxa"/>
        </w:tblCellMar>
      </w:tblPr>
      <w:tblGrid>
        <w:gridCol w:w="10884"/>
      </w:tblGrid>
      <w:tr w14:paraId="2D1D2528">
        <w:tblPrEx>
          <w:tblCellMar>
            <w:top w:w="0" w:type="dxa"/>
            <w:left w:w="0" w:type="dxa"/>
            <w:bottom w:w="0" w:type="dxa"/>
            <w:right w:w="0" w:type="dxa"/>
          </w:tblCellMar>
        </w:tblPrEx>
        <w:tc>
          <w:tcPr>
            <w:tcW w:w="10884" w:type="dxa"/>
            <w:tcBorders>
              <w:top w:val="single" w:color="4F81BD" w:themeColor="accent1" w:sz="12" w:space="0"/>
              <w:left w:val="single" w:color="4F81BD" w:themeColor="accent1" w:sz="12" w:space="0"/>
              <w:bottom w:val="single" w:color="4F81BD" w:themeColor="accent1" w:sz="12" w:space="0"/>
              <w:right w:val="single" w:color="4F81BD" w:themeColor="accent1" w:sz="12" w:space="0"/>
            </w:tcBorders>
            <w:vAlign w:val="center"/>
          </w:tcPr>
          <w:p w14:paraId="3FA5B36D">
            <w:pPr>
              <w:snapToGrid w:val="0"/>
              <w:spacing w:before="120" w:beforeLines="50" w:after="120" w:afterLines="50" w:line="300" w:lineRule="auto"/>
              <w:ind w:left="48" w:leftChars="20" w:right="48" w:rightChars="20"/>
              <w:rPr>
                <w:rFonts w:ascii="Arial" w:hAnsi="Arial" w:eastAsia="宋体" w:cs="Arial"/>
                <w:b/>
                <w:w w:val="101"/>
                <w:sz w:val="24"/>
                <w:szCs w:val="24"/>
                <w:lang w:eastAsia="zh-CN" w:bidi="ar-SA"/>
              </w:rPr>
            </w:pPr>
            <w:r>
              <w:rPr>
                <w:rFonts w:ascii="Arial" w:hAnsi="Arial" w:eastAsia="宋体" w:cs="Arial"/>
                <w:sz w:val="22"/>
                <w:szCs w:val="22"/>
                <w:lang w:bidi="ar-SA"/>
              </w:rPr>
              <w:fldChar w:fldCharType="begin"/>
            </w:r>
            <w:r>
              <w:rPr>
                <w:rFonts w:ascii="Arial" w:hAnsi="Arial" w:eastAsia="宋体" w:cs="Arial"/>
                <w:sz w:val="24"/>
                <w:szCs w:val="24"/>
                <w:lang w:eastAsia="zh-CN" w:bidi="ar-SA"/>
              </w:rPr>
              <w:instrText xml:space="preserve"> HYPERLINK "https://www.fda.gov/ICECI/ComplianceManuals/CompliancePolicyGuidanceManual/default.htm" \h </w:instrText>
            </w:r>
            <w:r>
              <w:rPr>
                <w:rFonts w:ascii="Arial" w:hAnsi="Arial" w:eastAsia="宋体" w:cs="Arial"/>
                <w:sz w:val="22"/>
                <w:szCs w:val="22"/>
                <w:lang w:bidi="ar-SA"/>
              </w:rPr>
              <w:fldChar w:fldCharType="separate"/>
            </w:r>
            <w:r>
              <w:rPr>
                <w:rFonts w:ascii="Arial" w:hAnsi="Arial" w:eastAsia="宋体" w:cs="Arial"/>
                <w:b/>
                <w:sz w:val="24"/>
                <w:szCs w:val="24"/>
                <w:u w:val="single" w:color="000000"/>
                <w:lang w:eastAsia="zh-CN" w:bidi="ar-SA"/>
              </w:rPr>
              <w:t>合规政策指南的更多信息</w:t>
            </w:r>
          </w:p>
          <w:p w14:paraId="4DEC1645">
            <w:pPr>
              <w:snapToGrid w:val="0"/>
              <w:spacing w:before="120" w:beforeLines="50" w:after="120" w:afterLines="50" w:line="300" w:lineRule="auto"/>
              <w:ind w:left="48" w:leftChars="20" w:right="48" w:rightChars="20"/>
              <w:rPr>
                <w:rFonts w:ascii="Arial" w:hAnsi="Arial" w:eastAsia="宋体" w:cs="Arial"/>
                <w:sz w:val="24"/>
                <w:szCs w:val="24"/>
                <w:lang w:eastAsia="zh-CN" w:bidi="ar-SA"/>
              </w:rPr>
            </w:pPr>
            <w:r>
              <w:rPr>
                <w:rFonts w:ascii="Arial" w:hAnsi="Arial" w:eastAsia="宋体" w:cs="Arial"/>
                <w:b/>
                <w:sz w:val="24"/>
                <w:szCs w:val="24"/>
                <w:u w:val="single" w:color="000000"/>
                <w:lang w:bidi="ar-SA"/>
              </w:rPr>
              <w:t>(/ICECI/Compliance Manuals/Compliance PolicyGuidance Manual/default.htm)</w:t>
            </w:r>
            <w:r>
              <w:rPr>
                <w:rFonts w:ascii="Arial" w:hAnsi="Arial" w:eastAsia="宋体" w:cs="Arial"/>
                <w:b/>
                <w:sz w:val="22"/>
                <w:szCs w:val="22"/>
                <w:u w:val="single" w:color="000000"/>
                <w:lang w:bidi="ar-SA"/>
              </w:rPr>
              <w:fldChar w:fldCharType="end"/>
            </w:r>
          </w:p>
        </w:tc>
      </w:tr>
      <w:tr w14:paraId="078360AC">
        <w:tblPrEx>
          <w:tblCellMar>
            <w:top w:w="0" w:type="dxa"/>
            <w:left w:w="0" w:type="dxa"/>
            <w:bottom w:w="0" w:type="dxa"/>
            <w:right w:w="0" w:type="dxa"/>
          </w:tblCellMar>
        </w:tblPrEx>
        <w:tc>
          <w:tcPr>
            <w:tcW w:w="10884" w:type="dxa"/>
            <w:tcBorders>
              <w:top w:val="single" w:color="4F81BD" w:themeColor="accent1" w:sz="12" w:space="0"/>
              <w:left w:val="single" w:color="DDDDDD" w:sz="6" w:space="0"/>
              <w:bottom w:val="single" w:color="DDDDDD" w:sz="6" w:space="0"/>
              <w:right w:val="single" w:color="DDDDDD" w:sz="6" w:space="0"/>
            </w:tcBorders>
            <w:vAlign w:val="center"/>
          </w:tcPr>
          <w:p w14:paraId="225E3C89">
            <w:pPr>
              <w:pStyle w:val="24"/>
              <w:snapToGrid w:val="0"/>
              <w:spacing w:before="120" w:beforeLines="50" w:after="120" w:afterLines="50" w:line="300" w:lineRule="auto"/>
              <w:ind w:left="48" w:leftChars="20" w:right="48" w:rightChars="20"/>
              <w:rPr>
                <w:rFonts w:ascii="Arial" w:hAnsi="Arial" w:eastAsia="宋体" w:cs="Arial"/>
                <w:sz w:val="24"/>
                <w:szCs w:val="24"/>
              </w:rPr>
            </w:pPr>
            <w:r>
              <w:fldChar w:fldCharType="begin"/>
            </w:r>
            <w:r>
              <w:instrText xml:space="preserve"> HYPERLINK "https://www.fda.gov/ICECI/ComplianceManuals/CompliancePolicyGuidanceManual/ucm116271.htm" \h </w:instrText>
            </w:r>
            <w:r>
              <w:fldChar w:fldCharType="separate"/>
            </w:r>
            <w:r>
              <w:rPr>
                <w:rFonts w:ascii="Arial" w:hAnsi="Arial" w:eastAsia="宋体" w:cs="Arial"/>
                <w:b/>
                <w:sz w:val="24"/>
                <w:szCs w:val="24"/>
                <w:u w:val="single" w:color="000000"/>
                <w:lang w:eastAsia="zh-CN"/>
              </w:rPr>
              <w:t>前言</w:t>
            </w:r>
            <w:r>
              <w:rPr>
                <w:rFonts w:ascii="Arial" w:hAnsi="Arial" w:eastAsia="宋体" w:cs="Arial"/>
                <w:b/>
                <w:sz w:val="24"/>
                <w:szCs w:val="24"/>
                <w:u w:val="single" w:color="000000"/>
              </w:rPr>
              <w:t xml:space="preserve">: </w:t>
            </w:r>
            <w:r>
              <w:rPr>
                <w:rFonts w:ascii="Arial" w:hAnsi="Arial" w:eastAsia="宋体" w:cs="Arial"/>
                <w:b/>
                <w:sz w:val="24"/>
                <w:szCs w:val="24"/>
                <w:u w:val="single" w:color="000000"/>
                <w:lang w:eastAsia="zh-CN"/>
              </w:rPr>
              <w:t>合规政策指南</w:t>
            </w:r>
            <w:r>
              <w:rPr>
                <w:rFonts w:ascii="Arial" w:hAnsi="Arial" w:eastAsia="宋体" w:cs="Arial"/>
                <w:b/>
                <w:sz w:val="24"/>
                <w:szCs w:val="24"/>
                <w:u w:val="single" w:color="000000"/>
              </w:rPr>
              <w:t>（CPG）</w:t>
            </w:r>
            <w:r>
              <w:rPr>
                <w:rFonts w:ascii="Arial" w:hAnsi="Arial" w:eastAsia="宋体" w:cs="Arial"/>
                <w:b/>
                <w:w w:val="101"/>
                <w:sz w:val="24"/>
                <w:szCs w:val="24"/>
                <w:lang w:eastAsia="zh-CN"/>
              </w:rPr>
              <w:br w:type="textWrapping"/>
            </w:r>
            <w:r>
              <w:rPr>
                <w:rFonts w:ascii="Arial" w:hAnsi="Arial" w:eastAsia="宋体" w:cs="Arial"/>
                <w:b/>
                <w:sz w:val="24"/>
                <w:szCs w:val="24"/>
                <w:u w:val="single" w:color="000000"/>
              </w:rPr>
              <w:t>(/ICECI/Compliance Manuals/Compliance PolicyGuidance Manual/ucm116271.htm)</w:t>
            </w:r>
            <w:r>
              <w:rPr>
                <w:rFonts w:ascii="Arial" w:hAnsi="Arial" w:eastAsia="宋体" w:cs="Arial"/>
                <w:b/>
                <w:sz w:val="24"/>
                <w:szCs w:val="24"/>
                <w:u w:val="single" w:color="000000"/>
              </w:rPr>
              <w:fldChar w:fldCharType="end"/>
            </w:r>
          </w:p>
        </w:tc>
      </w:tr>
      <w:tr w14:paraId="748837B2">
        <w:tblPrEx>
          <w:tblCellMar>
            <w:top w:w="0" w:type="dxa"/>
            <w:left w:w="0" w:type="dxa"/>
            <w:bottom w:w="0" w:type="dxa"/>
            <w:right w:w="0" w:type="dxa"/>
          </w:tblCellMar>
        </w:tblPrEx>
        <w:tc>
          <w:tcPr>
            <w:tcW w:w="10884" w:type="dxa"/>
            <w:tcBorders>
              <w:top w:val="single" w:color="DDDDDD" w:sz="6" w:space="0"/>
              <w:left w:val="single" w:color="DDDDDD" w:sz="6" w:space="0"/>
              <w:bottom w:val="single" w:color="DDDDDD" w:sz="6" w:space="0"/>
              <w:right w:val="single" w:color="DDDDDD" w:sz="6" w:space="0"/>
            </w:tcBorders>
            <w:vAlign w:val="center"/>
          </w:tcPr>
          <w:p w14:paraId="66302DFB">
            <w:pPr>
              <w:pStyle w:val="24"/>
              <w:snapToGrid w:val="0"/>
              <w:spacing w:before="120" w:beforeLines="50" w:after="120" w:afterLines="50" w:line="300" w:lineRule="auto"/>
              <w:ind w:left="48" w:leftChars="20" w:right="48" w:rightChars="20"/>
              <w:rPr>
                <w:rFonts w:ascii="Arial" w:hAnsi="Arial" w:eastAsia="宋体" w:cs="Arial"/>
                <w:sz w:val="24"/>
                <w:szCs w:val="24"/>
              </w:rPr>
            </w:pPr>
            <w:r>
              <w:fldChar w:fldCharType="begin"/>
            </w:r>
            <w:r>
              <w:instrText xml:space="preserve"> HYPERLINK "https://www.fda.gov/ICECI/ComplianceManuals/CompliancePolicyGuidanceManual/ucm116280.htm" \h </w:instrText>
            </w:r>
            <w:r>
              <w:fldChar w:fldCharType="separate"/>
            </w:r>
            <w:r>
              <w:rPr>
                <w:rFonts w:ascii="Arial" w:hAnsi="Arial" w:eastAsia="宋体" w:cs="Arial"/>
                <w:b/>
                <w:sz w:val="24"/>
                <w:szCs w:val="24"/>
                <w:u w:val="single" w:color="000000"/>
                <w:lang w:eastAsia="zh-CN"/>
              </w:rPr>
              <w:t>第一章</w:t>
            </w:r>
            <w:r>
              <w:rPr>
                <w:rFonts w:ascii="Arial" w:hAnsi="Arial" w:eastAsia="宋体" w:cs="Arial"/>
                <w:b/>
                <w:sz w:val="24"/>
                <w:szCs w:val="24"/>
                <w:u w:val="single" w:color="000000"/>
              </w:rPr>
              <w:t xml:space="preserve"> – </w:t>
            </w:r>
            <w:r>
              <w:rPr>
                <w:rFonts w:ascii="Arial" w:hAnsi="Arial" w:eastAsia="宋体" w:cs="Arial"/>
                <w:b/>
                <w:sz w:val="24"/>
                <w:szCs w:val="24"/>
                <w:u w:val="single" w:color="000000"/>
                <w:lang w:eastAsia="zh-CN"/>
              </w:rPr>
              <w:t>通则</w:t>
            </w:r>
            <w:r>
              <w:rPr>
                <w:rFonts w:ascii="Arial" w:hAnsi="Arial" w:eastAsia="宋体" w:cs="Arial"/>
                <w:b/>
                <w:w w:val="101"/>
                <w:sz w:val="24"/>
                <w:szCs w:val="24"/>
                <w:lang w:eastAsia="zh-CN"/>
              </w:rPr>
              <w:br w:type="textWrapping"/>
            </w:r>
            <w:r>
              <w:rPr>
                <w:rFonts w:ascii="Arial" w:hAnsi="Arial" w:eastAsia="宋体" w:cs="Arial"/>
                <w:b/>
                <w:sz w:val="24"/>
                <w:szCs w:val="24"/>
                <w:u w:val="single" w:color="000000"/>
              </w:rPr>
              <w:t>(/ICECI/Compliance Manuals/Compliance PolicyGuidance Manual/ucm116280.htm)</w:t>
            </w:r>
            <w:r>
              <w:rPr>
                <w:rFonts w:ascii="Arial" w:hAnsi="Arial" w:eastAsia="宋体" w:cs="Arial"/>
                <w:b/>
                <w:sz w:val="24"/>
                <w:szCs w:val="24"/>
                <w:u w:val="single" w:color="000000"/>
              </w:rPr>
              <w:fldChar w:fldCharType="end"/>
            </w:r>
          </w:p>
        </w:tc>
      </w:tr>
      <w:tr w14:paraId="6FF60F4D">
        <w:tblPrEx>
          <w:tblCellMar>
            <w:top w:w="0" w:type="dxa"/>
            <w:left w:w="0" w:type="dxa"/>
            <w:bottom w:w="0" w:type="dxa"/>
            <w:right w:w="0" w:type="dxa"/>
          </w:tblCellMar>
        </w:tblPrEx>
        <w:tc>
          <w:tcPr>
            <w:tcW w:w="10884" w:type="dxa"/>
            <w:tcBorders>
              <w:top w:val="single" w:color="DDDDDD" w:sz="6" w:space="0"/>
              <w:left w:val="single" w:color="DDDDDD" w:sz="6" w:space="0"/>
              <w:bottom w:val="single" w:color="DDDDDD" w:sz="6" w:space="0"/>
              <w:right w:val="single" w:color="DDDDDD" w:sz="6" w:space="0"/>
            </w:tcBorders>
            <w:vAlign w:val="center"/>
          </w:tcPr>
          <w:p w14:paraId="53775B22">
            <w:pPr>
              <w:pStyle w:val="24"/>
              <w:snapToGrid w:val="0"/>
              <w:spacing w:before="120" w:beforeLines="50" w:after="120" w:afterLines="50" w:line="300" w:lineRule="auto"/>
              <w:ind w:left="48" w:leftChars="20" w:right="48" w:rightChars="20"/>
              <w:rPr>
                <w:rFonts w:ascii="Arial" w:hAnsi="Arial" w:eastAsia="宋体" w:cs="Arial"/>
                <w:sz w:val="24"/>
                <w:szCs w:val="24"/>
              </w:rPr>
            </w:pPr>
            <w:r>
              <w:fldChar w:fldCharType="begin"/>
            </w:r>
            <w:r>
              <w:instrText xml:space="preserve"> HYPERLINK "https://www.fda.gov/ICECI/ComplianceManuals/CompliancePolicyGuidanceManual/ucm116336.htm" \h </w:instrText>
            </w:r>
            <w:r>
              <w:fldChar w:fldCharType="separate"/>
            </w:r>
            <w:r>
              <w:rPr>
                <w:rFonts w:ascii="Arial" w:hAnsi="Arial" w:eastAsia="宋体" w:cs="Arial"/>
                <w:b/>
                <w:sz w:val="24"/>
                <w:szCs w:val="24"/>
                <w:u w:val="single" w:color="000000"/>
                <w:lang w:eastAsia="zh-CN"/>
              </w:rPr>
              <w:t>第二章</w:t>
            </w:r>
            <w:r>
              <w:rPr>
                <w:rFonts w:ascii="Arial" w:hAnsi="Arial" w:eastAsia="宋体" w:cs="Arial"/>
                <w:b/>
                <w:sz w:val="24"/>
                <w:szCs w:val="24"/>
                <w:u w:val="single" w:color="000000"/>
              </w:rPr>
              <w:t xml:space="preserve"> – </w:t>
            </w:r>
            <w:r>
              <w:rPr>
                <w:rFonts w:ascii="Arial" w:hAnsi="Arial" w:eastAsia="宋体" w:cs="Arial"/>
                <w:b/>
                <w:sz w:val="24"/>
                <w:szCs w:val="24"/>
                <w:u w:val="single" w:color="000000"/>
                <w:lang w:eastAsia="zh-CN"/>
              </w:rPr>
              <w:t>生物制剂</w:t>
            </w:r>
            <w:r>
              <w:rPr>
                <w:rFonts w:ascii="Arial" w:hAnsi="Arial" w:eastAsia="宋体" w:cs="Arial"/>
                <w:b/>
                <w:w w:val="101"/>
                <w:sz w:val="24"/>
                <w:szCs w:val="24"/>
                <w:lang w:eastAsia="zh-CN"/>
              </w:rPr>
              <w:br w:type="textWrapping"/>
            </w:r>
            <w:r>
              <w:rPr>
                <w:rFonts w:ascii="Arial" w:hAnsi="Arial" w:eastAsia="宋体" w:cs="Arial"/>
                <w:b/>
                <w:sz w:val="24"/>
                <w:szCs w:val="24"/>
                <w:u w:val="single" w:color="000000"/>
              </w:rPr>
              <w:t>(/ICECI/Compliance Manuals/Compliance PolicyGuidance Manual/ucm116336.htm)</w:t>
            </w:r>
            <w:r>
              <w:rPr>
                <w:rFonts w:ascii="Arial" w:hAnsi="Arial" w:eastAsia="宋体" w:cs="Arial"/>
                <w:b/>
                <w:sz w:val="24"/>
                <w:szCs w:val="24"/>
                <w:u w:val="single" w:color="000000"/>
              </w:rPr>
              <w:fldChar w:fldCharType="end"/>
            </w:r>
          </w:p>
        </w:tc>
      </w:tr>
      <w:tr w14:paraId="0B494EBC">
        <w:tblPrEx>
          <w:tblCellMar>
            <w:top w:w="0" w:type="dxa"/>
            <w:left w:w="0" w:type="dxa"/>
            <w:bottom w:w="0" w:type="dxa"/>
            <w:right w:w="0" w:type="dxa"/>
          </w:tblCellMar>
        </w:tblPrEx>
        <w:tc>
          <w:tcPr>
            <w:tcW w:w="10884" w:type="dxa"/>
            <w:tcBorders>
              <w:top w:val="single" w:color="DDDDDD" w:sz="6" w:space="0"/>
              <w:left w:val="single" w:color="DDDDDD" w:sz="6" w:space="0"/>
              <w:bottom w:val="single" w:color="DDDDDD" w:sz="6" w:space="0"/>
              <w:right w:val="single" w:color="DDDDDD" w:sz="6" w:space="0"/>
            </w:tcBorders>
            <w:vAlign w:val="center"/>
          </w:tcPr>
          <w:p w14:paraId="16DF2638">
            <w:pPr>
              <w:pStyle w:val="24"/>
              <w:snapToGrid w:val="0"/>
              <w:spacing w:before="120" w:beforeLines="50" w:after="120" w:afterLines="50" w:line="300" w:lineRule="auto"/>
              <w:ind w:left="48" w:leftChars="20" w:right="48" w:rightChars="20"/>
              <w:rPr>
                <w:rFonts w:ascii="Arial" w:hAnsi="Arial" w:eastAsia="宋体" w:cs="Arial"/>
                <w:sz w:val="24"/>
                <w:szCs w:val="24"/>
              </w:rPr>
            </w:pPr>
            <w:r>
              <w:fldChar w:fldCharType="begin"/>
            </w:r>
            <w:r>
              <w:instrText xml:space="preserve"> HYPERLINK "https://www.fda.gov/ICECI/ComplianceManuals/CompliancePolicyGuidanceManual/ucm116801.htm" \h </w:instrText>
            </w:r>
            <w:r>
              <w:fldChar w:fldCharType="separate"/>
            </w:r>
            <w:r>
              <w:rPr>
                <w:rFonts w:ascii="Arial" w:hAnsi="Arial" w:eastAsia="宋体" w:cs="Arial"/>
                <w:b/>
                <w:sz w:val="24"/>
                <w:szCs w:val="24"/>
                <w:u w:val="single" w:color="000000"/>
                <w:lang w:eastAsia="zh-CN"/>
              </w:rPr>
              <w:t>第三章</w:t>
            </w:r>
            <w:r>
              <w:rPr>
                <w:rFonts w:ascii="Arial" w:hAnsi="Arial" w:eastAsia="宋体" w:cs="Arial"/>
                <w:b/>
                <w:sz w:val="24"/>
                <w:szCs w:val="24"/>
                <w:u w:val="single" w:color="000000"/>
              </w:rPr>
              <w:t xml:space="preserve">- </w:t>
            </w:r>
            <w:r>
              <w:rPr>
                <w:rFonts w:ascii="Arial" w:hAnsi="Arial" w:eastAsia="宋体" w:cs="Arial"/>
                <w:b/>
                <w:sz w:val="24"/>
                <w:szCs w:val="24"/>
                <w:u w:val="single" w:color="000000"/>
                <w:lang w:eastAsia="zh-CN"/>
              </w:rPr>
              <w:t>器械</w:t>
            </w:r>
            <w:r>
              <w:rPr>
                <w:rFonts w:ascii="Arial" w:hAnsi="Arial" w:eastAsia="宋体" w:cs="Arial"/>
                <w:b/>
                <w:w w:val="101"/>
                <w:sz w:val="24"/>
                <w:szCs w:val="24"/>
                <w:lang w:eastAsia="zh-CN"/>
              </w:rPr>
              <w:br w:type="textWrapping"/>
            </w:r>
            <w:r>
              <w:rPr>
                <w:rFonts w:ascii="Arial" w:hAnsi="Arial" w:eastAsia="宋体" w:cs="Arial"/>
                <w:b/>
                <w:sz w:val="24"/>
                <w:szCs w:val="24"/>
                <w:u w:val="single" w:color="000000"/>
              </w:rPr>
              <w:t>(/ICECI/Compliance Manuals/Compliance PolicyGuidance Manual/ucm116801.htm)</w:t>
            </w:r>
            <w:r>
              <w:rPr>
                <w:rFonts w:ascii="Arial" w:hAnsi="Arial" w:eastAsia="宋体" w:cs="Arial"/>
                <w:b/>
                <w:sz w:val="24"/>
                <w:szCs w:val="24"/>
                <w:u w:val="single" w:color="000000"/>
              </w:rPr>
              <w:fldChar w:fldCharType="end"/>
            </w:r>
          </w:p>
        </w:tc>
      </w:tr>
      <w:tr w14:paraId="3C12BE03">
        <w:tblPrEx>
          <w:tblCellMar>
            <w:top w:w="0" w:type="dxa"/>
            <w:left w:w="0" w:type="dxa"/>
            <w:bottom w:w="0" w:type="dxa"/>
            <w:right w:w="0" w:type="dxa"/>
          </w:tblCellMar>
        </w:tblPrEx>
        <w:tc>
          <w:tcPr>
            <w:tcW w:w="10884" w:type="dxa"/>
            <w:tcBorders>
              <w:top w:val="single" w:color="DDDDDD" w:sz="6" w:space="0"/>
              <w:left w:val="single" w:color="DDDDDD" w:sz="6" w:space="0"/>
              <w:bottom w:val="single" w:color="DDDDDD" w:sz="6" w:space="0"/>
              <w:right w:val="single" w:color="DDDDDD" w:sz="6" w:space="0"/>
            </w:tcBorders>
            <w:vAlign w:val="center"/>
          </w:tcPr>
          <w:p w14:paraId="01C69755">
            <w:pPr>
              <w:snapToGrid w:val="0"/>
              <w:spacing w:before="120" w:beforeLines="50" w:after="120" w:afterLines="50" w:line="300" w:lineRule="auto"/>
              <w:ind w:left="48" w:leftChars="20" w:right="48" w:rightChars="20"/>
              <w:rPr>
                <w:rFonts w:ascii="Arial" w:hAnsi="Arial" w:eastAsia="宋体" w:cs="Arial"/>
                <w:sz w:val="24"/>
                <w:szCs w:val="24"/>
                <w:lang w:eastAsia="zh-CN" w:bidi="ar-SA"/>
              </w:rPr>
            </w:pPr>
            <w:r>
              <w:rPr>
                <w:rFonts w:ascii="Arial" w:hAnsi="Arial" w:eastAsia="宋体" w:cs="Arial"/>
                <w:b/>
                <w:sz w:val="24"/>
                <w:szCs w:val="24"/>
                <w:u w:val="single" w:color="000000"/>
                <w:lang w:eastAsia="zh-CN" w:bidi="ar-SA"/>
              </w:rPr>
              <w:t>第四章</w:t>
            </w:r>
            <w:r>
              <w:rPr>
                <w:rFonts w:ascii="Arial" w:hAnsi="Arial" w:eastAsia="宋体" w:cs="Arial"/>
                <w:b/>
                <w:sz w:val="24"/>
                <w:szCs w:val="24"/>
                <w:u w:val="single" w:color="000000"/>
                <w:lang w:bidi="ar-SA"/>
              </w:rPr>
              <w:t xml:space="preserve">- </w:t>
            </w:r>
            <w:r>
              <w:rPr>
                <w:rFonts w:ascii="Arial" w:hAnsi="Arial" w:eastAsia="宋体" w:cs="Arial"/>
                <w:b/>
                <w:sz w:val="24"/>
                <w:szCs w:val="24"/>
                <w:u w:val="single" w:color="000000"/>
                <w:lang w:eastAsia="zh-CN" w:bidi="ar-SA"/>
              </w:rPr>
              <w:t>人用药品</w:t>
            </w:r>
            <w:r>
              <w:rPr>
                <w:rFonts w:ascii="Arial" w:hAnsi="Arial" w:eastAsia="宋体" w:cs="Arial"/>
                <w:sz w:val="24"/>
                <w:szCs w:val="24"/>
                <w:lang w:eastAsia="zh-CN" w:bidi="ar-SA"/>
              </w:rPr>
              <w:br w:type="textWrapping"/>
            </w:r>
            <w:r>
              <w:fldChar w:fldCharType="begin"/>
            </w:r>
            <w:r>
              <w:instrText xml:space="preserve"> HYPERLINK "https://www.fda.gov/ICECI/ComplianceManuals/CompliancePolicyGuidanceManual/ucm119572.htm" \h </w:instrText>
            </w:r>
            <w:r>
              <w:fldChar w:fldCharType="separate"/>
            </w:r>
            <w:r>
              <w:rPr>
                <w:rFonts w:ascii="Arial" w:hAnsi="Arial" w:eastAsia="宋体" w:cs="Arial"/>
                <w:b/>
                <w:sz w:val="24"/>
                <w:szCs w:val="24"/>
                <w:u w:val="single" w:color="000000"/>
                <w:lang w:bidi="ar-SA"/>
              </w:rPr>
              <w:t>(/ICECI/Compliance Manuals/Compliance PolicyGuidance Manual/ucm119572.htm)</w:t>
            </w:r>
            <w:r>
              <w:rPr>
                <w:rFonts w:ascii="Arial" w:hAnsi="Arial" w:eastAsia="宋体" w:cs="Arial"/>
                <w:b/>
                <w:sz w:val="24"/>
                <w:szCs w:val="24"/>
                <w:u w:val="single" w:color="000000"/>
                <w:lang w:bidi="ar-SA"/>
              </w:rPr>
              <w:fldChar w:fldCharType="end"/>
            </w:r>
          </w:p>
        </w:tc>
      </w:tr>
      <w:tr w14:paraId="14B69359">
        <w:tblPrEx>
          <w:tblCellMar>
            <w:top w:w="0" w:type="dxa"/>
            <w:left w:w="0" w:type="dxa"/>
            <w:bottom w:w="0" w:type="dxa"/>
            <w:right w:w="0" w:type="dxa"/>
          </w:tblCellMar>
        </w:tblPrEx>
        <w:tc>
          <w:tcPr>
            <w:tcW w:w="10884" w:type="dxa"/>
            <w:tcBorders>
              <w:top w:val="single" w:color="DDDDDD" w:sz="6" w:space="0"/>
              <w:left w:val="single" w:color="DDDDDD" w:sz="6" w:space="0"/>
              <w:bottom w:val="single" w:color="DDDDDD" w:sz="6" w:space="0"/>
              <w:right w:val="single" w:color="DDDDDD" w:sz="6" w:space="0"/>
            </w:tcBorders>
            <w:vAlign w:val="center"/>
          </w:tcPr>
          <w:p w14:paraId="0362BD5B">
            <w:pPr>
              <w:snapToGrid w:val="0"/>
              <w:spacing w:before="120" w:beforeLines="50" w:after="120" w:afterLines="50" w:line="300" w:lineRule="auto"/>
              <w:ind w:left="48" w:leftChars="20" w:right="48" w:rightChars="20"/>
              <w:rPr>
                <w:rFonts w:ascii="Arial" w:hAnsi="Arial" w:eastAsia="宋体" w:cs="Arial"/>
                <w:sz w:val="24"/>
                <w:szCs w:val="24"/>
                <w:lang w:eastAsia="zh-CN" w:bidi="ar-SA"/>
              </w:rPr>
            </w:pPr>
            <w:r>
              <w:fldChar w:fldCharType="begin"/>
            </w:r>
            <w:r>
              <w:instrText xml:space="preserve"> HYPERLINK "https://www.fda.gov/ICECI/ComplianceManuals/CompliancePolicyGuidanceManual/ucm119194.htm" \h </w:instrText>
            </w:r>
            <w:r>
              <w:fldChar w:fldCharType="separate"/>
            </w:r>
            <w:r>
              <w:rPr>
                <w:rFonts w:ascii="Arial" w:hAnsi="Arial" w:eastAsia="宋体" w:cs="Arial"/>
                <w:b/>
                <w:sz w:val="24"/>
                <w:szCs w:val="24"/>
                <w:u w:val="single" w:color="000000"/>
                <w:lang w:eastAsia="zh-CN" w:bidi="ar-SA"/>
              </w:rPr>
              <w:t>第五章</w:t>
            </w:r>
            <w:r>
              <w:rPr>
                <w:rFonts w:ascii="Arial" w:hAnsi="Arial" w:eastAsia="宋体" w:cs="Arial"/>
                <w:b/>
                <w:sz w:val="24"/>
                <w:szCs w:val="24"/>
                <w:u w:val="single" w:color="000000"/>
                <w:lang w:bidi="ar-SA"/>
              </w:rPr>
              <w:t xml:space="preserve"> – </w:t>
            </w:r>
            <w:r>
              <w:rPr>
                <w:rFonts w:ascii="Arial" w:hAnsi="Arial" w:eastAsia="宋体" w:cs="Arial"/>
                <w:b/>
                <w:sz w:val="24"/>
                <w:szCs w:val="24"/>
                <w:u w:val="single" w:color="000000"/>
                <w:lang w:eastAsia="zh-CN" w:bidi="ar-SA"/>
              </w:rPr>
              <w:t>食品、颜料和化妆品</w:t>
            </w:r>
            <w:r>
              <w:rPr>
                <w:rFonts w:ascii="Arial" w:hAnsi="Arial" w:eastAsia="宋体" w:cs="Arial"/>
                <w:b/>
                <w:w w:val="101"/>
                <w:sz w:val="24"/>
                <w:szCs w:val="24"/>
                <w:lang w:eastAsia="zh-CN" w:bidi="ar-SA"/>
              </w:rPr>
              <w:br w:type="textWrapping"/>
            </w:r>
            <w:r>
              <w:rPr>
                <w:rFonts w:ascii="Arial" w:hAnsi="Arial" w:eastAsia="宋体" w:cs="Arial"/>
                <w:b/>
                <w:sz w:val="24"/>
                <w:szCs w:val="24"/>
                <w:u w:val="single" w:color="000000"/>
                <w:lang w:bidi="ar-SA"/>
              </w:rPr>
              <w:t>(/ICECI/Compliance Manuals/Compliance PolicyGuidance Manual/ucm119194.htm)</w:t>
            </w:r>
            <w:r>
              <w:rPr>
                <w:rFonts w:ascii="Arial" w:hAnsi="Arial" w:eastAsia="宋体" w:cs="Arial"/>
                <w:b/>
                <w:sz w:val="24"/>
                <w:szCs w:val="24"/>
                <w:u w:val="single" w:color="000000"/>
                <w:lang w:bidi="ar-SA"/>
              </w:rPr>
              <w:fldChar w:fldCharType="end"/>
            </w:r>
          </w:p>
        </w:tc>
      </w:tr>
      <w:tr w14:paraId="2ED7734A">
        <w:tblPrEx>
          <w:tblCellMar>
            <w:top w:w="0" w:type="dxa"/>
            <w:left w:w="0" w:type="dxa"/>
            <w:bottom w:w="0" w:type="dxa"/>
            <w:right w:w="0" w:type="dxa"/>
          </w:tblCellMar>
        </w:tblPrEx>
        <w:tc>
          <w:tcPr>
            <w:tcW w:w="10884" w:type="dxa"/>
            <w:tcBorders>
              <w:top w:val="single" w:color="DDDDDD" w:sz="6" w:space="0"/>
              <w:left w:val="single" w:color="DDDDDD" w:sz="6" w:space="0"/>
              <w:bottom w:val="single" w:color="DDDDDD" w:sz="6" w:space="0"/>
              <w:right w:val="single" w:color="DDDDDD" w:sz="6" w:space="0"/>
            </w:tcBorders>
            <w:vAlign w:val="center"/>
          </w:tcPr>
          <w:p w14:paraId="1B615530">
            <w:pPr>
              <w:snapToGrid w:val="0"/>
              <w:spacing w:before="120" w:beforeLines="50" w:after="120" w:afterLines="50" w:line="300" w:lineRule="auto"/>
              <w:ind w:left="48" w:leftChars="20" w:right="48" w:rightChars="20"/>
              <w:rPr>
                <w:rFonts w:ascii="Arial" w:hAnsi="Arial" w:eastAsia="宋体" w:cs="Arial"/>
                <w:sz w:val="24"/>
                <w:szCs w:val="24"/>
                <w:lang w:eastAsia="zh-CN" w:bidi="ar-SA"/>
              </w:rPr>
            </w:pPr>
            <w:r>
              <w:fldChar w:fldCharType="begin"/>
            </w:r>
            <w:r>
              <w:instrText xml:space="preserve"> HYPERLINK "https://www.fda.gov/ICECI/ComplianceManuals/CompliancePolicyGuidanceManual/ucm117042.htm" \h </w:instrText>
            </w:r>
            <w:r>
              <w:fldChar w:fldCharType="separate"/>
            </w:r>
            <w:r>
              <w:rPr>
                <w:rFonts w:ascii="Arial" w:hAnsi="Arial" w:eastAsia="宋体" w:cs="Arial"/>
                <w:b/>
                <w:sz w:val="24"/>
                <w:szCs w:val="24"/>
                <w:u w:val="single" w:color="000000"/>
                <w:lang w:eastAsia="zh-CN" w:bidi="ar-SA"/>
              </w:rPr>
              <w:t>第六章</w:t>
            </w:r>
            <w:r>
              <w:rPr>
                <w:rFonts w:ascii="Arial" w:hAnsi="Arial" w:eastAsia="宋体" w:cs="Arial"/>
                <w:b/>
                <w:sz w:val="24"/>
                <w:szCs w:val="24"/>
                <w:u w:val="single" w:color="000000"/>
                <w:lang w:bidi="ar-SA"/>
              </w:rPr>
              <w:t xml:space="preserve"> – </w:t>
            </w:r>
            <w:r>
              <w:rPr>
                <w:rFonts w:ascii="Arial" w:hAnsi="Arial" w:eastAsia="宋体" w:cs="Arial"/>
                <w:b/>
                <w:sz w:val="24"/>
                <w:szCs w:val="24"/>
                <w:u w:val="single" w:color="000000"/>
                <w:lang w:eastAsia="zh-CN" w:bidi="ar-SA"/>
              </w:rPr>
              <w:t>兽医医学</w:t>
            </w:r>
            <w:r>
              <w:rPr>
                <w:rFonts w:ascii="Arial" w:hAnsi="Arial" w:eastAsia="宋体" w:cs="Arial"/>
                <w:b/>
                <w:sz w:val="24"/>
                <w:szCs w:val="24"/>
                <w:u w:val="single" w:color="000000"/>
                <w:lang w:eastAsia="zh-CN" w:bidi="ar-SA"/>
              </w:rPr>
              <w:fldChar w:fldCharType="end"/>
            </w:r>
            <w:r>
              <w:rPr>
                <w:rFonts w:ascii="Arial" w:hAnsi="Arial" w:eastAsia="宋体" w:cs="Arial"/>
                <w:sz w:val="24"/>
                <w:szCs w:val="24"/>
                <w:lang w:eastAsia="zh-CN" w:bidi="ar-SA"/>
              </w:rPr>
              <w:br w:type="textWrapping"/>
            </w:r>
            <w:r>
              <w:fldChar w:fldCharType="begin"/>
            </w:r>
            <w:r>
              <w:instrText xml:space="preserve"> HYPERLINK "https://www.fda.gov/ICECI/ComplianceManuals/CompliancePolicyGuidanceManual/ucm117042.htm" \h </w:instrText>
            </w:r>
            <w:r>
              <w:fldChar w:fldCharType="separate"/>
            </w:r>
            <w:r>
              <w:rPr>
                <w:rFonts w:ascii="Arial" w:hAnsi="Arial" w:eastAsia="宋体" w:cs="Arial"/>
                <w:b/>
                <w:sz w:val="24"/>
                <w:szCs w:val="24"/>
                <w:u w:val="single" w:color="000000"/>
                <w:lang w:bidi="ar-SA"/>
              </w:rPr>
              <w:t>(/ICECI/Compliance Manuals/Compliance PolicyGuidance Manual/ucm117042.htm)</w:t>
            </w:r>
            <w:r>
              <w:rPr>
                <w:rFonts w:ascii="Arial" w:hAnsi="Arial" w:eastAsia="宋体" w:cs="Arial"/>
                <w:b/>
                <w:sz w:val="24"/>
                <w:szCs w:val="24"/>
                <w:u w:val="single" w:color="000000"/>
                <w:lang w:bidi="ar-SA"/>
              </w:rPr>
              <w:fldChar w:fldCharType="end"/>
            </w:r>
          </w:p>
        </w:tc>
      </w:tr>
    </w:tbl>
    <w:p w14:paraId="2F8073C9">
      <w:pPr>
        <w:pStyle w:val="11"/>
        <w:shd w:val="clear" w:color="auto" w:fill="auto"/>
        <w:overflowPunct w:val="0"/>
        <w:snapToGrid w:val="0"/>
        <w:spacing w:before="0" w:after="0" w:line="300" w:lineRule="auto"/>
        <w:ind w:left="300"/>
        <w:jc w:val="both"/>
        <w:rPr>
          <w:rStyle w:val="19"/>
          <w:rFonts w:eastAsia="宋体"/>
          <w:b/>
          <w:bCs/>
          <w:lang w:eastAsia="zh-CN"/>
        </w:rPr>
      </w:pPr>
    </w:p>
    <w:p w14:paraId="7BA5368C">
      <w:pPr>
        <w:overflowPunct w:val="0"/>
        <w:snapToGrid w:val="0"/>
        <w:spacing w:line="300" w:lineRule="auto"/>
        <w:jc w:val="both"/>
        <w:rPr>
          <w:rFonts w:hint="eastAsia" w:eastAsia="宋体"/>
          <w:lang w:eastAsia="zh-CN"/>
        </w:rPr>
      </w:pPr>
    </w:p>
    <w:p w14:paraId="62BDCB6D">
      <w:pPr>
        <w:overflowPunct w:val="0"/>
        <w:snapToGrid w:val="0"/>
        <w:spacing w:line="300" w:lineRule="auto"/>
        <w:jc w:val="center"/>
        <w:rPr>
          <w:rFonts w:hint="eastAsia" w:eastAsia="宋体"/>
          <w:lang w:eastAsia="zh-CN"/>
        </w:rPr>
      </w:pPr>
    </w:p>
    <w:p w14:paraId="12D20CA2">
      <w:pPr>
        <w:overflowPunct w:val="0"/>
        <w:snapToGrid w:val="0"/>
        <w:spacing w:line="300" w:lineRule="auto"/>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8"/>
                    <a:stretch>
                      <a:fillRect/>
                    </a:stretch>
                  </pic:blipFill>
                  <pic:spPr>
                    <a:xfrm>
                      <a:off x="0" y="0"/>
                      <a:ext cx="5210175" cy="7343775"/>
                    </a:xfrm>
                    <a:prstGeom prst="rect">
                      <a:avLst/>
                    </a:prstGeom>
                  </pic:spPr>
                </pic:pic>
              </a:graphicData>
            </a:graphic>
          </wp:inline>
        </w:drawing>
      </w:r>
    </w:p>
    <w:sectPr>
      <w:headerReference r:id="rId5" w:type="default"/>
      <w:footerReference r:id="rId6" w:type="default"/>
      <w:type w:val="continuous"/>
      <w:pgSz w:w="11900" w:h="16840"/>
      <w:pgMar w:top="567" w:right="567" w:bottom="567" w:left="567" w:header="283" w:footer="283"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Light">
    <w:panose1 w:val="020B0304030504040204"/>
    <w:charset w:val="88"/>
    <w:family w:val="roman"/>
    <w:pitch w:val="default"/>
    <w:sig w:usb0="800002A7" w:usb1="28CF4400" w:usb2="00000016" w:usb3="00000000" w:csb0="00100009"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14723C">
    <w:pPr>
      <w:pStyle w:val="15"/>
      <w:shd w:val="clear" w:color="auto" w:fill="auto"/>
      <w:tabs>
        <w:tab w:val="right" w:pos="10773"/>
      </w:tabs>
      <w:spacing w:line="240" w:lineRule="auto"/>
      <w:rPr>
        <w:rFonts w:eastAsiaTheme="minorEastAsia"/>
        <w:sz w:val="15"/>
        <w:szCs w:val="15"/>
        <w:lang w:eastAsia="zh-CN"/>
      </w:rPr>
    </w:pPr>
    <w:r>
      <w:rPr>
        <w:rStyle w:val="16"/>
        <w:b w:val="0"/>
        <w:bCs/>
        <w:sz w:val="15"/>
        <w:szCs w:val="15"/>
      </w:rPr>
      <w:t>https://www.fda.gov/ICECI/ComplianceManuals/CompliancePolicyGuidanceManual/ucm073931.htm</w:t>
    </w:r>
    <w:r>
      <w:rPr>
        <w:rStyle w:val="16"/>
        <w:b w:val="0"/>
        <w:bCs/>
        <w:sz w:val="15"/>
        <w:szCs w:val="15"/>
      </w:rPr>
      <w:tab/>
    </w:r>
    <w:r>
      <w:fldChar w:fldCharType="begin"/>
    </w:r>
    <w:r>
      <w:rPr>
        <w:sz w:val="15"/>
        <w:szCs w:val="15"/>
      </w:rPr>
      <w:instrText xml:space="preserve"> PAGE \* MERGEFORMAT </w:instrText>
    </w:r>
    <w:r>
      <w:fldChar w:fldCharType="separate"/>
    </w:r>
    <w:r>
      <w:rPr>
        <w:rStyle w:val="16"/>
        <w:b w:val="0"/>
        <w:bCs/>
        <w:sz w:val="15"/>
        <w:szCs w:val="15"/>
      </w:rPr>
      <w:t>3</w:t>
    </w:r>
    <w:r>
      <w:rPr>
        <w:rStyle w:val="16"/>
        <w:b w:val="0"/>
        <w:bCs/>
        <w:sz w:val="15"/>
        <w:szCs w:val="15"/>
      </w:rPr>
      <w:fldChar w:fldCharType="end"/>
    </w:r>
    <w:r>
      <w:rPr>
        <w:rStyle w:val="16"/>
        <w:b w:val="0"/>
        <w:bCs/>
        <w:sz w:val="15"/>
        <w:szCs w:val="15"/>
      </w:rPr>
      <w:t>/3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5452FA">
    <w:pPr>
      <w:pStyle w:val="15"/>
      <w:shd w:val="clear" w:color="auto" w:fill="auto"/>
      <w:tabs>
        <w:tab w:val="left" w:pos="3261"/>
        <w:tab w:val="right" w:pos="10234"/>
      </w:tabs>
      <w:spacing w:line="240" w:lineRule="auto"/>
      <w:rPr>
        <w:rStyle w:val="16"/>
        <w:rFonts w:ascii="宋体" w:hAnsi="宋体" w:eastAsia="宋体" w:cs="宋体"/>
        <w:b w:val="0"/>
        <w:bCs/>
        <w:sz w:val="15"/>
        <w:szCs w:val="15"/>
        <w:lang w:eastAsia="zh-CN"/>
      </w:rPr>
    </w:pPr>
    <w:r>
      <w:rPr>
        <w:rStyle w:val="16"/>
        <w:b w:val="0"/>
        <w:bCs/>
        <w:sz w:val="15"/>
        <w:szCs w:val="15"/>
        <w:lang w:eastAsia="zh-CN"/>
      </w:rPr>
      <w:t>2017</w:t>
    </w:r>
    <w:r>
      <w:rPr>
        <w:rStyle w:val="16"/>
        <w:rFonts w:hint="eastAsia" w:eastAsiaTheme="minorEastAsia"/>
        <w:b w:val="0"/>
        <w:bCs/>
        <w:sz w:val="15"/>
        <w:szCs w:val="15"/>
        <w:lang w:eastAsia="zh-CN"/>
      </w:rPr>
      <w:t>年8月9日</w:t>
    </w:r>
    <w:r>
      <w:rPr>
        <w:rStyle w:val="16"/>
        <w:b w:val="0"/>
        <w:bCs/>
        <w:sz w:val="15"/>
        <w:szCs w:val="15"/>
        <w:lang w:eastAsia="zh-CN"/>
      </w:rPr>
      <w:tab/>
    </w:r>
    <w:r>
      <w:rPr>
        <w:rStyle w:val="16"/>
        <w:rFonts w:hint="eastAsia" w:eastAsiaTheme="minorEastAsia"/>
        <w:b w:val="0"/>
        <w:bCs/>
        <w:sz w:val="15"/>
        <w:szCs w:val="15"/>
        <w:lang w:eastAsia="zh-CN"/>
      </w:rPr>
      <w:t>合规政策指南</w:t>
    </w:r>
    <w:r>
      <w:rPr>
        <w:rStyle w:val="16"/>
        <w:b w:val="0"/>
        <w:bCs/>
        <w:sz w:val="15"/>
        <w:szCs w:val="15"/>
        <w:lang w:eastAsia="zh-CN"/>
      </w:rPr>
      <w:t xml:space="preserve"> &gt; CPG </w:t>
    </w:r>
    <w:r>
      <w:rPr>
        <w:rStyle w:val="16"/>
        <w:rFonts w:hint="eastAsia" w:eastAsiaTheme="minorEastAsia"/>
        <w:b w:val="0"/>
        <w:bCs/>
        <w:sz w:val="15"/>
        <w:szCs w:val="15"/>
        <w:lang w:eastAsia="zh-CN"/>
      </w:rPr>
      <w:t>章节</w:t>
    </w:r>
    <w:r>
      <w:rPr>
        <w:rStyle w:val="16"/>
        <w:b w:val="0"/>
        <w:bCs/>
        <w:sz w:val="15"/>
        <w:szCs w:val="15"/>
        <w:lang w:eastAsia="zh-CN"/>
      </w:rPr>
      <w:t>398.325</w:t>
    </w:r>
    <w:r>
      <w:rPr>
        <w:rStyle w:val="16"/>
        <w:rFonts w:hint="eastAsia" w:ascii="宋体" w:hAnsi="宋体" w:eastAsia="宋体" w:cs="宋体"/>
        <w:b w:val="0"/>
        <w:bCs/>
        <w:sz w:val="15"/>
        <w:szCs w:val="15"/>
        <w:lang w:eastAsia="zh-CN"/>
      </w:rPr>
      <w:t>对不合规诊断</w:t>
    </w:r>
    <w:r>
      <w:rPr>
        <w:rStyle w:val="16"/>
        <w:b w:val="0"/>
        <w:bCs/>
        <w:sz w:val="15"/>
        <w:szCs w:val="15"/>
        <w:lang w:eastAsia="zh-CN"/>
      </w:rPr>
      <w:t>X射线设备装配商的监管行</w:t>
    </w:r>
    <w:r>
      <w:rPr>
        <w:rStyle w:val="16"/>
        <w:rFonts w:hint="eastAsia" w:ascii="宋体" w:hAnsi="宋体" w:eastAsia="宋体" w:cs="宋体"/>
        <w:b w:val="0"/>
        <w:bCs/>
        <w:sz w:val="15"/>
        <w:szCs w:val="15"/>
        <w:lang w:eastAsia="zh-CN"/>
      </w:rPr>
      <w:t>动</w:t>
    </w:r>
  </w:p>
  <w:p w14:paraId="1BD3ED57">
    <w:pPr>
      <w:pStyle w:val="15"/>
      <w:shd w:val="clear" w:color="auto" w:fill="auto"/>
      <w:tabs>
        <w:tab w:val="left" w:pos="3261"/>
        <w:tab w:val="right" w:pos="10234"/>
      </w:tabs>
      <w:spacing w:line="240" w:lineRule="auto"/>
      <w:rPr>
        <w:rStyle w:val="16"/>
        <w:rFonts w:ascii="宋体" w:hAnsi="宋体" w:eastAsia="宋体" w:cs="宋体"/>
        <w:b w:val="0"/>
        <w:bCs/>
        <w:sz w:val="15"/>
        <w:szCs w:val="15"/>
        <w:lang w:eastAsia="zh-CN"/>
      </w:rPr>
    </w:pPr>
  </w:p>
  <w:p w14:paraId="3B4B634C">
    <w:pPr>
      <w:pStyle w:val="15"/>
      <w:shd w:val="clear" w:color="auto" w:fill="auto"/>
      <w:tabs>
        <w:tab w:val="left" w:pos="3261"/>
        <w:tab w:val="right" w:pos="10234"/>
      </w:tabs>
      <w:spacing w:line="240" w:lineRule="auto"/>
      <w:rPr>
        <w:rStyle w:val="16"/>
        <w:rFonts w:ascii="宋体" w:hAnsi="宋体" w:eastAsia="宋体" w:cs="宋体"/>
        <w:b w:val="0"/>
        <w:bCs/>
        <w:sz w:val="15"/>
        <w:szCs w:val="15"/>
        <w:lang w:eastAsia="zh-CN"/>
      </w:rPr>
    </w:pPr>
  </w:p>
  <w:p w14:paraId="3700A79A">
    <w:pPr>
      <w:pStyle w:val="15"/>
      <w:shd w:val="clear" w:color="auto" w:fill="auto"/>
      <w:tabs>
        <w:tab w:val="left" w:pos="3261"/>
        <w:tab w:val="right" w:pos="10234"/>
      </w:tabs>
      <w:spacing w:line="240" w:lineRule="auto"/>
      <w:rPr>
        <w:rFonts w:eastAsiaTheme="minorEastAsia"/>
        <w:sz w:val="15"/>
        <w:szCs w:val="15"/>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A0C0FED"/>
    <w:multiLevelType w:val="multilevel"/>
    <w:tmpl w:val="6A0C0FED"/>
    <w:lvl w:ilvl="0" w:tentative="0">
      <w:start w:val="1"/>
      <w:numFmt w:val="decimal"/>
      <w:lvlText w:val="%1."/>
      <w:lvlJc w:val="left"/>
      <w:rPr>
        <w:rFonts w:ascii="Arial" w:hAnsi="Arial" w:eastAsia="Arial" w:cs="Arial"/>
        <w:b w:val="0"/>
        <w:bCs w:val="0"/>
        <w:i w:val="0"/>
        <w:iCs w:val="0"/>
        <w:smallCaps w:val="0"/>
        <w:strike w:val="0"/>
        <w:color w:val="000000"/>
        <w:spacing w:val="0"/>
        <w:w w:val="100"/>
        <w:position w:val="0"/>
        <w:sz w:val="28"/>
        <w:szCs w:val="28"/>
        <w:u w:val="none"/>
        <w:lang w:val="en-US" w:eastAsia="en-US" w:bidi="en-US"/>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
    <w:nsid w:val="6CA4237C"/>
    <w:multiLevelType w:val="multilevel"/>
    <w:tmpl w:val="6CA4237C"/>
    <w:lvl w:ilvl="0" w:tentative="0">
      <w:start w:val="1"/>
      <w:numFmt w:val="decimal"/>
      <w:lvlText w:val="%1."/>
      <w:lvlJc w:val="left"/>
      <w:rPr>
        <w:rFonts w:ascii="Arial" w:hAnsi="Arial" w:eastAsia="Arial" w:cs="Arial"/>
        <w:b w:val="0"/>
        <w:bCs w:val="0"/>
        <w:i w:val="0"/>
        <w:iCs w:val="0"/>
        <w:smallCaps w:val="0"/>
        <w:strike w:val="0"/>
        <w:color w:val="000000"/>
        <w:spacing w:val="0"/>
        <w:w w:val="100"/>
        <w:position w:val="0"/>
        <w:sz w:val="24"/>
        <w:szCs w:val="24"/>
        <w:u w:val="none"/>
        <w:lang w:val="en-US" w:eastAsia="en-US" w:bidi="en-US"/>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HorizontalSpacing w:val="181"/>
  <w:drawingGridVerticalSpacing w:val="181"/>
  <w:characterSpacingControl w:val="compressPunctuation"/>
  <w:footnotePr>
    <w:footnote w:id="0"/>
    <w:footnote w:id="1"/>
  </w:footnotePr>
  <w:endnotePr>
    <w:endnote w:id="0"/>
    <w:endnote w:id="1"/>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6D0F"/>
    <w:rsid w:val="00013427"/>
    <w:rsid w:val="00026C08"/>
    <w:rsid w:val="00074AF9"/>
    <w:rsid w:val="000927FC"/>
    <w:rsid w:val="0009582B"/>
    <w:rsid w:val="000B40A2"/>
    <w:rsid w:val="000C4E84"/>
    <w:rsid w:val="000D0131"/>
    <w:rsid w:val="000D4119"/>
    <w:rsid w:val="000D4E7B"/>
    <w:rsid w:val="0010413B"/>
    <w:rsid w:val="001065F2"/>
    <w:rsid w:val="0013210F"/>
    <w:rsid w:val="00134E85"/>
    <w:rsid w:val="001420AC"/>
    <w:rsid w:val="00163D9A"/>
    <w:rsid w:val="00184DF2"/>
    <w:rsid w:val="00193C4B"/>
    <w:rsid w:val="001C2EBE"/>
    <w:rsid w:val="001E67F8"/>
    <w:rsid w:val="001F326D"/>
    <w:rsid w:val="002037C1"/>
    <w:rsid w:val="002046E2"/>
    <w:rsid w:val="0020738A"/>
    <w:rsid w:val="002144AB"/>
    <w:rsid w:val="002372DA"/>
    <w:rsid w:val="00240779"/>
    <w:rsid w:val="0024199D"/>
    <w:rsid w:val="00264274"/>
    <w:rsid w:val="00283408"/>
    <w:rsid w:val="002958FE"/>
    <w:rsid w:val="002A271D"/>
    <w:rsid w:val="002A417A"/>
    <w:rsid w:val="002A5C35"/>
    <w:rsid w:val="002A6E94"/>
    <w:rsid w:val="002B46A0"/>
    <w:rsid w:val="00306266"/>
    <w:rsid w:val="00313EC1"/>
    <w:rsid w:val="0031493B"/>
    <w:rsid w:val="003761C5"/>
    <w:rsid w:val="00382190"/>
    <w:rsid w:val="00382A1D"/>
    <w:rsid w:val="003A6458"/>
    <w:rsid w:val="003B4AAA"/>
    <w:rsid w:val="003D7502"/>
    <w:rsid w:val="003F0E02"/>
    <w:rsid w:val="00402415"/>
    <w:rsid w:val="004066EF"/>
    <w:rsid w:val="00411968"/>
    <w:rsid w:val="004367F4"/>
    <w:rsid w:val="004525EC"/>
    <w:rsid w:val="00457742"/>
    <w:rsid w:val="00462C54"/>
    <w:rsid w:val="00474A12"/>
    <w:rsid w:val="0048552B"/>
    <w:rsid w:val="004A4BC3"/>
    <w:rsid w:val="004C4C8B"/>
    <w:rsid w:val="004C6048"/>
    <w:rsid w:val="004F0B67"/>
    <w:rsid w:val="00512FCA"/>
    <w:rsid w:val="0051706B"/>
    <w:rsid w:val="00525297"/>
    <w:rsid w:val="005564F0"/>
    <w:rsid w:val="00576A72"/>
    <w:rsid w:val="005E6F2B"/>
    <w:rsid w:val="0060257F"/>
    <w:rsid w:val="00614D9D"/>
    <w:rsid w:val="006457A6"/>
    <w:rsid w:val="00670622"/>
    <w:rsid w:val="00671D8D"/>
    <w:rsid w:val="00694E55"/>
    <w:rsid w:val="006C619B"/>
    <w:rsid w:val="006E556F"/>
    <w:rsid w:val="00740A86"/>
    <w:rsid w:val="007451DE"/>
    <w:rsid w:val="007803B1"/>
    <w:rsid w:val="00780BA3"/>
    <w:rsid w:val="00793BC1"/>
    <w:rsid w:val="007A3E2C"/>
    <w:rsid w:val="007B53FE"/>
    <w:rsid w:val="007C62D0"/>
    <w:rsid w:val="007D3DA1"/>
    <w:rsid w:val="00815835"/>
    <w:rsid w:val="00822C29"/>
    <w:rsid w:val="00833E23"/>
    <w:rsid w:val="0085263E"/>
    <w:rsid w:val="0086030E"/>
    <w:rsid w:val="00875304"/>
    <w:rsid w:val="00890AA8"/>
    <w:rsid w:val="008915DE"/>
    <w:rsid w:val="008A335E"/>
    <w:rsid w:val="008C68E8"/>
    <w:rsid w:val="008D23AE"/>
    <w:rsid w:val="008F0D72"/>
    <w:rsid w:val="00903C1F"/>
    <w:rsid w:val="00947D6B"/>
    <w:rsid w:val="0095386B"/>
    <w:rsid w:val="00955452"/>
    <w:rsid w:val="00971D0A"/>
    <w:rsid w:val="00974069"/>
    <w:rsid w:val="009760EC"/>
    <w:rsid w:val="009A05C3"/>
    <w:rsid w:val="009B3AC2"/>
    <w:rsid w:val="009B669C"/>
    <w:rsid w:val="009E2CBB"/>
    <w:rsid w:val="00A15F31"/>
    <w:rsid w:val="00A17EAC"/>
    <w:rsid w:val="00A36B2F"/>
    <w:rsid w:val="00A4026B"/>
    <w:rsid w:val="00A45578"/>
    <w:rsid w:val="00A50A65"/>
    <w:rsid w:val="00A53D02"/>
    <w:rsid w:val="00A64187"/>
    <w:rsid w:val="00A85F53"/>
    <w:rsid w:val="00AC4B8E"/>
    <w:rsid w:val="00AD49CD"/>
    <w:rsid w:val="00AE0E59"/>
    <w:rsid w:val="00AE2ED8"/>
    <w:rsid w:val="00AE5EA4"/>
    <w:rsid w:val="00B224CD"/>
    <w:rsid w:val="00BB71D6"/>
    <w:rsid w:val="00BC0679"/>
    <w:rsid w:val="00BC45A9"/>
    <w:rsid w:val="00BC7A0B"/>
    <w:rsid w:val="00BD42A1"/>
    <w:rsid w:val="00BD441B"/>
    <w:rsid w:val="00BE2D46"/>
    <w:rsid w:val="00BF3F6A"/>
    <w:rsid w:val="00C01B85"/>
    <w:rsid w:val="00C2570E"/>
    <w:rsid w:val="00C3174B"/>
    <w:rsid w:val="00C404C9"/>
    <w:rsid w:val="00C45C4E"/>
    <w:rsid w:val="00C633BC"/>
    <w:rsid w:val="00C875C0"/>
    <w:rsid w:val="00CB2F2E"/>
    <w:rsid w:val="00CD75D4"/>
    <w:rsid w:val="00CF3A08"/>
    <w:rsid w:val="00D11D9E"/>
    <w:rsid w:val="00D20CB7"/>
    <w:rsid w:val="00D31227"/>
    <w:rsid w:val="00D4470C"/>
    <w:rsid w:val="00D54421"/>
    <w:rsid w:val="00D6791C"/>
    <w:rsid w:val="00DD2D68"/>
    <w:rsid w:val="00DF2116"/>
    <w:rsid w:val="00E32B88"/>
    <w:rsid w:val="00E433D2"/>
    <w:rsid w:val="00E455DD"/>
    <w:rsid w:val="00E46547"/>
    <w:rsid w:val="00E46B25"/>
    <w:rsid w:val="00E86D0F"/>
    <w:rsid w:val="00E90C17"/>
    <w:rsid w:val="00EA12F4"/>
    <w:rsid w:val="00EC442B"/>
    <w:rsid w:val="00ED0F35"/>
    <w:rsid w:val="00EE4B14"/>
    <w:rsid w:val="00F121E4"/>
    <w:rsid w:val="00F23449"/>
    <w:rsid w:val="00F4416F"/>
    <w:rsid w:val="00F74974"/>
    <w:rsid w:val="00F900F8"/>
    <w:rsid w:val="00F94A01"/>
    <w:rsid w:val="00FD09D8"/>
    <w:rsid w:val="485A63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Microsoft JhengHei Light" w:hAnsi="Microsoft JhengHei Light" w:eastAsiaTheme="minorEastAsia" w:cs="Microsoft JhengHei Light"/>
      </w:rPr>
    </w:rPrDefault>
    <w:p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pPr>
    <w:rPr>
      <w:rFonts w:ascii="Microsoft JhengHei Light" w:hAnsi="Microsoft JhengHei Light" w:eastAsia="Microsoft JhengHei Light" w:cs="Microsoft JhengHei Light"/>
      <w:color w:val="000000"/>
      <w:sz w:val="24"/>
      <w:szCs w:val="24"/>
      <w:lang w:val="en-US" w:eastAsia="en-US" w:bidi="en-US"/>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22"/>
    <w:semiHidden/>
    <w:unhideWhenUsed/>
    <w:uiPriority w:val="99"/>
    <w:rPr>
      <w:sz w:val="18"/>
      <w:szCs w:val="18"/>
    </w:rPr>
  </w:style>
  <w:style w:type="paragraph" w:styleId="3">
    <w:name w:val="footer"/>
    <w:basedOn w:val="1"/>
    <w:link w:val="21"/>
    <w:unhideWhenUsed/>
    <w:uiPriority w:val="99"/>
    <w:pPr>
      <w:tabs>
        <w:tab w:val="center" w:pos="4153"/>
        <w:tab w:val="right" w:pos="8306"/>
      </w:tabs>
      <w:snapToGrid w:val="0"/>
    </w:pPr>
    <w:rPr>
      <w:sz w:val="18"/>
      <w:szCs w:val="18"/>
    </w:rPr>
  </w:style>
  <w:style w:type="paragraph" w:styleId="4">
    <w:name w:val="header"/>
    <w:basedOn w:val="1"/>
    <w:link w:val="20"/>
    <w:unhideWhenUsed/>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qFormat/>
    <w:uiPriority w:val="0"/>
    <w:rPr>
      <w:color w:val="0066CC"/>
      <w:u w:val="single"/>
    </w:rPr>
  </w:style>
  <w:style w:type="character" w:customStyle="1" w:styleId="8">
    <w:name w:val="正文文本 (4) Exact"/>
    <w:basedOn w:val="6"/>
    <w:qFormat/>
    <w:uiPriority w:val="0"/>
    <w:rPr>
      <w:rFonts w:ascii="Arial" w:hAnsi="Arial" w:eastAsia="Arial" w:cs="Arial"/>
      <w:b/>
      <w:bCs/>
      <w:sz w:val="22"/>
      <w:szCs w:val="22"/>
      <w:u w:val="none"/>
    </w:rPr>
  </w:style>
  <w:style w:type="character" w:customStyle="1" w:styleId="9">
    <w:name w:val="正文文本 (4) Exact1"/>
    <w:basedOn w:val="10"/>
    <w:uiPriority w:val="0"/>
    <w:rPr>
      <w:rFonts w:ascii="Arial" w:hAnsi="Arial" w:eastAsia="Arial" w:cs="Arial"/>
      <w:sz w:val="22"/>
      <w:szCs w:val="22"/>
      <w:u w:val="single"/>
    </w:rPr>
  </w:style>
  <w:style w:type="character" w:customStyle="1" w:styleId="10">
    <w:name w:val="正文文本 (4)_"/>
    <w:basedOn w:val="6"/>
    <w:link w:val="11"/>
    <w:uiPriority w:val="0"/>
    <w:rPr>
      <w:rFonts w:ascii="Arial" w:hAnsi="Arial" w:eastAsia="Arial" w:cs="Arial"/>
      <w:b/>
      <w:bCs/>
      <w:sz w:val="22"/>
      <w:szCs w:val="22"/>
      <w:u w:val="none"/>
    </w:rPr>
  </w:style>
  <w:style w:type="paragraph" w:customStyle="1" w:styleId="11">
    <w:name w:val="正文文本 (4)1"/>
    <w:basedOn w:val="1"/>
    <w:link w:val="10"/>
    <w:uiPriority w:val="0"/>
    <w:pPr>
      <w:shd w:val="clear" w:color="auto" w:fill="FFFFFF"/>
      <w:spacing w:before="360" w:after="120" w:line="0" w:lineRule="atLeast"/>
    </w:pPr>
    <w:rPr>
      <w:rFonts w:ascii="Arial" w:hAnsi="Arial" w:eastAsia="Arial" w:cs="Arial"/>
      <w:b/>
      <w:bCs/>
      <w:sz w:val="22"/>
      <w:szCs w:val="22"/>
    </w:rPr>
  </w:style>
  <w:style w:type="character" w:customStyle="1" w:styleId="12">
    <w:name w:val="正文文本 (3)_"/>
    <w:basedOn w:val="6"/>
    <w:link w:val="13"/>
    <w:uiPriority w:val="0"/>
    <w:rPr>
      <w:rFonts w:ascii="Arial" w:hAnsi="Arial" w:eastAsia="Arial" w:cs="Arial"/>
      <w:b/>
      <w:bCs/>
      <w:spacing w:val="-10"/>
      <w:sz w:val="62"/>
      <w:szCs w:val="62"/>
      <w:u w:val="none"/>
    </w:rPr>
  </w:style>
  <w:style w:type="paragraph" w:customStyle="1" w:styleId="13">
    <w:name w:val="正文文本 (3)"/>
    <w:basedOn w:val="1"/>
    <w:link w:val="12"/>
    <w:uiPriority w:val="0"/>
    <w:pPr>
      <w:shd w:val="clear" w:color="auto" w:fill="FFFFFF"/>
      <w:spacing w:after="60" w:line="638" w:lineRule="exact"/>
    </w:pPr>
    <w:rPr>
      <w:rFonts w:ascii="Arial" w:hAnsi="Arial" w:eastAsia="Arial" w:cs="Arial"/>
      <w:b/>
      <w:bCs/>
      <w:spacing w:val="-10"/>
      <w:sz w:val="62"/>
      <w:szCs w:val="62"/>
    </w:rPr>
  </w:style>
  <w:style w:type="character" w:customStyle="1" w:styleId="14">
    <w:name w:val="页眉或页脚_"/>
    <w:basedOn w:val="6"/>
    <w:link w:val="15"/>
    <w:qFormat/>
    <w:uiPriority w:val="0"/>
    <w:rPr>
      <w:rFonts w:ascii="Arial" w:hAnsi="Arial" w:eastAsia="Arial" w:cs="Arial"/>
      <w:b/>
      <w:bCs/>
      <w:spacing w:val="0"/>
      <w:sz w:val="14"/>
      <w:szCs w:val="14"/>
      <w:u w:val="none"/>
    </w:rPr>
  </w:style>
  <w:style w:type="paragraph" w:customStyle="1" w:styleId="15">
    <w:name w:val="页眉或页脚1"/>
    <w:basedOn w:val="1"/>
    <w:link w:val="14"/>
    <w:uiPriority w:val="0"/>
    <w:pPr>
      <w:shd w:val="clear" w:color="auto" w:fill="FFFFFF"/>
      <w:spacing w:line="0" w:lineRule="atLeast"/>
    </w:pPr>
    <w:rPr>
      <w:rFonts w:ascii="Arial" w:hAnsi="Arial" w:eastAsia="Arial" w:cs="Arial"/>
      <w:b/>
      <w:bCs/>
      <w:sz w:val="14"/>
      <w:szCs w:val="14"/>
    </w:rPr>
  </w:style>
  <w:style w:type="character" w:customStyle="1" w:styleId="16">
    <w:name w:val="页眉或页脚"/>
    <w:basedOn w:val="14"/>
    <w:uiPriority w:val="0"/>
    <w:rPr>
      <w:rFonts w:ascii="Arial" w:hAnsi="Arial" w:eastAsia="Arial" w:cs="Arial"/>
      <w:color w:val="000000"/>
      <w:spacing w:val="0"/>
      <w:w w:val="100"/>
      <w:position w:val="0"/>
      <w:sz w:val="14"/>
      <w:szCs w:val="14"/>
      <w:u w:val="none"/>
      <w:lang w:val="en-US" w:eastAsia="en-US" w:bidi="en-US"/>
    </w:rPr>
  </w:style>
  <w:style w:type="character" w:customStyle="1" w:styleId="17">
    <w:name w:val="正文文本 (2)_"/>
    <w:basedOn w:val="6"/>
    <w:link w:val="18"/>
    <w:uiPriority w:val="0"/>
    <w:rPr>
      <w:rFonts w:ascii="Arial" w:hAnsi="Arial" w:eastAsia="Arial" w:cs="Arial"/>
      <w:spacing w:val="0"/>
      <w:u w:val="none"/>
    </w:rPr>
  </w:style>
  <w:style w:type="paragraph" w:customStyle="1" w:styleId="18">
    <w:name w:val="正文文本 (2)"/>
    <w:basedOn w:val="1"/>
    <w:link w:val="17"/>
    <w:uiPriority w:val="0"/>
    <w:pPr>
      <w:shd w:val="clear" w:color="auto" w:fill="FFFFFF"/>
      <w:spacing w:before="60" w:after="360" w:line="0" w:lineRule="atLeast"/>
      <w:ind w:hanging="360"/>
    </w:pPr>
    <w:rPr>
      <w:rFonts w:ascii="Arial" w:hAnsi="Arial" w:eastAsia="Arial" w:cs="Arial"/>
    </w:rPr>
  </w:style>
  <w:style w:type="character" w:customStyle="1" w:styleId="19">
    <w:name w:val="正文文本 (4)"/>
    <w:basedOn w:val="10"/>
    <w:uiPriority w:val="0"/>
    <w:rPr>
      <w:rFonts w:ascii="Arial" w:hAnsi="Arial" w:eastAsia="Arial" w:cs="Arial"/>
      <w:color w:val="000000"/>
      <w:spacing w:val="0"/>
      <w:w w:val="100"/>
      <w:position w:val="0"/>
      <w:sz w:val="22"/>
      <w:szCs w:val="22"/>
      <w:u w:val="single"/>
      <w:lang w:val="en-US" w:eastAsia="en-US" w:bidi="en-US"/>
    </w:rPr>
  </w:style>
  <w:style w:type="character" w:customStyle="1" w:styleId="20">
    <w:name w:val="页眉 Char"/>
    <w:basedOn w:val="6"/>
    <w:link w:val="4"/>
    <w:uiPriority w:val="99"/>
    <w:rPr>
      <w:rFonts w:eastAsia="Microsoft JhengHei Light"/>
      <w:color w:val="000000"/>
      <w:sz w:val="18"/>
      <w:szCs w:val="18"/>
    </w:rPr>
  </w:style>
  <w:style w:type="character" w:customStyle="1" w:styleId="21">
    <w:name w:val="页脚 Char"/>
    <w:basedOn w:val="6"/>
    <w:link w:val="3"/>
    <w:uiPriority w:val="99"/>
    <w:rPr>
      <w:rFonts w:eastAsia="Microsoft JhengHei Light"/>
      <w:color w:val="000000"/>
      <w:sz w:val="18"/>
      <w:szCs w:val="18"/>
    </w:rPr>
  </w:style>
  <w:style w:type="character" w:customStyle="1" w:styleId="22">
    <w:name w:val="批注框文本 Char"/>
    <w:basedOn w:val="6"/>
    <w:link w:val="2"/>
    <w:semiHidden/>
    <w:uiPriority w:val="99"/>
    <w:rPr>
      <w:rFonts w:eastAsia="Microsoft JhengHei Light"/>
      <w:color w:val="000000"/>
      <w:sz w:val="18"/>
      <w:szCs w:val="18"/>
    </w:rPr>
  </w:style>
  <w:style w:type="table" w:customStyle="1" w:styleId="23">
    <w:name w:val="Table Normal"/>
    <w:semiHidden/>
    <w:unhideWhenUsed/>
    <w:qFormat/>
    <w:uiPriority w:val="2"/>
    <w:rPr>
      <w:rFonts w:asciiTheme="minorHAnsi" w:hAnsiTheme="minorHAnsi" w:cstheme="minorBidi"/>
      <w:sz w:val="22"/>
      <w:szCs w:val="22"/>
      <w:lang w:bidi="ar-SA"/>
    </w:rPr>
    <w:tblPr>
      <w:tblCellMar>
        <w:top w:w="0" w:type="dxa"/>
        <w:left w:w="0" w:type="dxa"/>
        <w:bottom w:w="0" w:type="dxa"/>
        <w:right w:w="0" w:type="dxa"/>
      </w:tblCellMar>
    </w:tblPr>
  </w:style>
  <w:style w:type="paragraph" w:customStyle="1" w:styleId="24">
    <w:name w:val="Table Paragraph"/>
    <w:basedOn w:val="1"/>
    <w:qFormat/>
    <w:uiPriority w:val="1"/>
    <w:rPr>
      <w:rFonts w:asciiTheme="minorHAnsi" w:hAnsiTheme="minorHAnsi" w:eastAsiaTheme="minorEastAsia" w:cstheme="minorBidi"/>
      <w:color w:val="auto"/>
      <w:sz w:val="22"/>
      <w:szCs w:val="22"/>
      <w:lang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3</Pages>
  <Words>1066</Words>
  <Characters>1684</Characters>
  <Lines>19</Lines>
  <Paragraphs>5</Paragraphs>
  <TotalTime>1</TotalTime>
  <ScaleCrop>false</ScaleCrop>
  <LinksUpToDate>false</LinksUpToDate>
  <CharactersWithSpaces>1726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2017-11-13T09:52:00Z</dcterms:created>
  <dc:creator>MJ</dc:creator>
  <cp:lastModifiedBy>太极箫客</cp:lastModifiedBy>
  <dcterms:modified xsi:type="dcterms:W3CDTF">2025-08-14T06:16:22Z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48B0F44E7E2749D280BB85415CFFB521_12</vt:lpwstr>
  </property>
</Properties>
</file>