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F712F">
      <w:pPr>
        <w:pBdr>
          <w:bottom w:val="single" w:color="auto" w:sz="4" w:space="1"/>
        </w:pBdr>
        <w:adjustRightInd w:val="0"/>
        <w:snapToGrid w:val="0"/>
        <w:spacing w:before="120" w:beforeLines="50" w:line="300" w:lineRule="auto"/>
        <w:jc w:val="center"/>
        <w:rPr>
          <w:b/>
          <w:sz w:val="52"/>
          <w:szCs w:val="21"/>
          <w:lang w:eastAsia="zh-CN"/>
        </w:rPr>
      </w:pPr>
      <w:bookmarkStart w:id="9" w:name="_GoBack"/>
      <w:bookmarkEnd w:id="9"/>
      <w:r>
        <w:rPr>
          <w:rFonts w:eastAsia="宋体" w:cs="宋体"/>
          <w:b/>
          <w:sz w:val="52"/>
          <w:lang w:eastAsia="zh-CN"/>
        </w:rPr>
        <w:t>COVID-19突发公共卫生事件期间临床试验的统计学考量</w:t>
      </w:r>
    </w:p>
    <w:p w14:paraId="6705DB0F">
      <w:pPr>
        <w:adjustRightInd w:val="0"/>
        <w:snapToGrid w:val="0"/>
        <w:spacing w:before="120" w:beforeLines="50" w:line="300" w:lineRule="auto"/>
        <w:jc w:val="center"/>
        <w:rPr>
          <w:b/>
          <w:sz w:val="52"/>
          <w:szCs w:val="21"/>
          <w:lang w:eastAsia="zh-CN"/>
        </w:rPr>
      </w:pPr>
      <w:r>
        <w:rPr>
          <w:rFonts w:eastAsia="宋体" w:cs="宋体"/>
          <w:b/>
          <w:sz w:val="52"/>
          <w:lang w:eastAsia="zh-CN"/>
        </w:rPr>
        <w:t>行业指南</w:t>
      </w:r>
    </w:p>
    <w:p w14:paraId="66B1B71F">
      <w:pPr>
        <w:adjustRightInd w:val="0"/>
        <w:snapToGrid w:val="0"/>
        <w:spacing w:before="120" w:beforeLines="50" w:line="300" w:lineRule="auto"/>
        <w:jc w:val="center"/>
        <w:rPr>
          <w:b/>
          <w:sz w:val="24"/>
          <w:szCs w:val="21"/>
          <w:lang w:eastAsia="zh-CN"/>
        </w:rPr>
      </w:pPr>
      <w:r>
        <w:rPr>
          <w:rFonts w:eastAsia="宋体" w:cs="宋体"/>
          <w:b/>
          <w:sz w:val="24"/>
          <w:lang w:eastAsia="zh-CN"/>
        </w:rPr>
        <w:t>2020年6月</w:t>
      </w:r>
    </w:p>
    <w:p w14:paraId="4ACB16F3">
      <w:pPr>
        <w:adjustRightInd w:val="0"/>
        <w:snapToGrid w:val="0"/>
        <w:spacing w:before="120" w:beforeLines="50" w:line="300" w:lineRule="auto"/>
        <w:jc w:val="center"/>
        <w:rPr>
          <w:rFonts w:eastAsiaTheme="minorEastAsia"/>
          <w:b/>
          <w:sz w:val="21"/>
          <w:szCs w:val="21"/>
          <w:lang w:eastAsia="zh-CN"/>
        </w:rPr>
      </w:pPr>
      <w:bookmarkStart w:id="0" w:name="Food_and_Drug_Administration"/>
      <w:bookmarkEnd w:id="0"/>
      <w:bookmarkStart w:id="1" w:name="U.S._Department_of_Health_and_Human_Serv"/>
      <w:bookmarkEnd w:id="1"/>
    </w:p>
    <w:p w14:paraId="6C3C3753">
      <w:pPr>
        <w:adjustRightInd w:val="0"/>
        <w:snapToGrid w:val="0"/>
        <w:spacing w:before="120" w:beforeLines="50" w:line="300" w:lineRule="auto"/>
        <w:jc w:val="center"/>
        <w:rPr>
          <w:rFonts w:eastAsiaTheme="minorEastAsia"/>
          <w:b/>
          <w:sz w:val="21"/>
          <w:szCs w:val="21"/>
          <w:lang w:eastAsia="zh-CN"/>
        </w:rPr>
      </w:pPr>
    </w:p>
    <w:p w14:paraId="5D235D31">
      <w:pPr>
        <w:adjustRightInd w:val="0"/>
        <w:snapToGrid w:val="0"/>
        <w:spacing w:before="120" w:beforeLines="50" w:line="300" w:lineRule="auto"/>
        <w:jc w:val="center"/>
        <w:rPr>
          <w:rFonts w:eastAsiaTheme="minorEastAsia"/>
          <w:b/>
          <w:sz w:val="21"/>
          <w:szCs w:val="21"/>
          <w:lang w:eastAsia="zh-CN"/>
        </w:rPr>
      </w:pPr>
    </w:p>
    <w:p w14:paraId="30BB0C53">
      <w:pPr>
        <w:adjustRightInd w:val="0"/>
        <w:snapToGrid w:val="0"/>
        <w:spacing w:before="120" w:beforeLines="50" w:line="300" w:lineRule="auto"/>
        <w:jc w:val="center"/>
        <w:rPr>
          <w:rFonts w:eastAsiaTheme="minorEastAsia"/>
          <w:b/>
          <w:sz w:val="21"/>
          <w:szCs w:val="21"/>
          <w:lang w:eastAsia="zh-CN"/>
        </w:rPr>
      </w:pPr>
    </w:p>
    <w:p w14:paraId="12D498BB">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美国卫生与</w:t>
      </w:r>
      <w:r>
        <w:rPr>
          <w:rFonts w:hint="eastAsia" w:eastAsia="宋体" w:cs="宋体"/>
          <w:b/>
          <w:sz w:val="21"/>
          <w:lang w:eastAsia="zh-CN"/>
        </w:rPr>
        <w:t>公众</w:t>
      </w:r>
      <w:r>
        <w:rPr>
          <w:rFonts w:eastAsia="宋体" w:cs="宋体"/>
          <w:b/>
          <w:sz w:val="21"/>
          <w:lang w:eastAsia="zh-CN"/>
        </w:rPr>
        <w:t>服务部</w:t>
      </w:r>
    </w:p>
    <w:p w14:paraId="00F409D7">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美国食品药品</w:t>
      </w:r>
      <w:r>
        <w:rPr>
          <w:rFonts w:hint="eastAsia" w:eastAsia="宋体" w:cs="宋体"/>
          <w:b/>
          <w:sz w:val="21"/>
          <w:lang w:eastAsia="zh-CN"/>
        </w:rPr>
        <w:t>监督</w:t>
      </w:r>
      <w:r>
        <w:rPr>
          <w:rFonts w:eastAsia="宋体" w:cs="宋体"/>
          <w:b/>
          <w:sz w:val="21"/>
          <w:lang w:eastAsia="zh-CN"/>
        </w:rPr>
        <w:t>管理局</w:t>
      </w:r>
    </w:p>
    <w:p w14:paraId="2D2A30A8">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药品评价与研究中心（CDER）</w:t>
      </w:r>
    </w:p>
    <w:p w14:paraId="469975AC">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生物制品评价与研究中心（CBER）</w:t>
      </w:r>
    </w:p>
    <w:p w14:paraId="08442842">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医疗器械和</w:t>
      </w:r>
      <w:r>
        <w:rPr>
          <w:rFonts w:hint="eastAsia" w:eastAsia="宋体" w:cs="宋体"/>
          <w:b/>
          <w:sz w:val="21"/>
          <w:lang w:eastAsia="zh-CN"/>
        </w:rPr>
        <w:t>辐射健康</w:t>
      </w:r>
      <w:r>
        <w:rPr>
          <w:rFonts w:eastAsia="宋体" w:cs="宋体"/>
          <w:b/>
          <w:sz w:val="21"/>
          <w:lang w:eastAsia="zh-CN"/>
        </w:rPr>
        <w:t>中心（CDRH）</w:t>
      </w:r>
    </w:p>
    <w:p w14:paraId="39C922D3">
      <w:pPr>
        <w:adjustRightInd w:val="0"/>
        <w:snapToGrid w:val="0"/>
        <w:spacing w:before="120" w:beforeLines="50" w:line="300" w:lineRule="auto"/>
        <w:jc w:val="center"/>
        <w:rPr>
          <w:b/>
          <w:sz w:val="21"/>
          <w:szCs w:val="21"/>
          <w:lang w:eastAsia="zh-CN"/>
        </w:rPr>
      </w:pPr>
      <w:r>
        <w:rPr>
          <w:rFonts w:eastAsia="宋体" w:cs="宋体"/>
          <w:b/>
          <w:sz w:val="21"/>
          <w:lang w:eastAsia="zh-CN"/>
        </w:rPr>
        <w:t>兽药中心（CVM）</w:t>
      </w:r>
    </w:p>
    <w:p w14:paraId="7449D0FD">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4EE38008">
      <w:pPr>
        <w:adjustRightInd w:val="0"/>
        <w:snapToGrid w:val="0"/>
        <w:spacing w:before="120" w:beforeLines="50" w:line="300" w:lineRule="auto"/>
        <w:jc w:val="center"/>
        <w:rPr>
          <w:b/>
          <w:sz w:val="44"/>
          <w:szCs w:val="44"/>
          <w:lang w:eastAsia="zh-CN"/>
        </w:rPr>
      </w:pPr>
      <w:r>
        <w:rPr>
          <w:rFonts w:eastAsia="宋体" w:cs="宋体"/>
          <w:b/>
          <w:sz w:val="44"/>
          <w:lang w:eastAsia="zh-CN"/>
        </w:rPr>
        <w:t>前言</w:t>
      </w:r>
    </w:p>
    <w:p w14:paraId="08B39225">
      <w:pPr>
        <w:adjustRightInd w:val="0"/>
        <w:snapToGrid w:val="0"/>
        <w:spacing w:before="120" w:beforeLines="50" w:line="300" w:lineRule="auto"/>
        <w:jc w:val="both"/>
        <w:rPr>
          <w:b/>
          <w:sz w:val="28"/>
          <w:szCs w:val="28"/>
          <w:lang w:eastAsia="zh-CN"/>
        </w:rPr>
      </w:pPr>
      <w:r>
        <w:rPr>
          <w:rFonts w:eastAsia="宋体" w:cs="宋体"/>
          <w:b/>
          <w:sz w:val="28"/>
          <w:lang w:eastAsia="zh-CN"/>
        </w:rPr>
        <w:t>公众意见</w:t>
      </w:r>
    </w:p>
    <w:p w14:paraId="6BFA43BF">
      <w:pPr>
        <w:pStyle w:val="4"/>
        <w:adjustRightInd w:val="0"/>
        <w:snapToGrid w:val="0"/>
        <w:spacing w:before="120" w:beforeLines="50" w:line="300" w:lineRule="auto"/>
        <w:jc w:val="both"/>
        <w:rPr>
          <w:sz w:val="21"/>
          <w:szCs w:val="21"/>
          <w:lang w:eastAsia="zh-CN"/>
        </w:rPr>
      </w:pPr>
      <w:r>
        <w:rPr>
          <w:rFonts w:eastAsia="宋体" w:cs="宋体"/>
          <w:sz w:val="21"/>
          <w:lang w:eastAsia="zh-CN"/>
        </w:rPr>
        <w:t>本指南旨在解决2019年新冠病毒肺炎疾病（COVID-19）突发公共卫生事件。由于美国食品药品监督管理局（FDA或本机构）认为公众事先参与本指南的行为不可行或不适当，因此本指南在未事先征求公众意见的情况下实施（参见《联邦食品、药品和化妆品法案》（《FD&amp;C法案》）第701(h)(1)(C)节（(21 U.S.C.371(h)(1)(C)）和21 CFR 10.115(g)(2)）。本指南文件正在立即实施，但根据机构的良好指导实践，仍需征求意见。</w:t>
      </w:r>
    </w:p>
    <w:p w14:paraId="7B05D9F7">
      <w:pPr>
        <w:pStyle w:val="4"/>
        <w:adjustRightInd w:val="0"/>
        <w:snapToGrid w:val="0"/>
        <w:spacing w:before="120" w:beforeLines="50" w:line="300" w:lineRule="auto"/>
        <w:jc w:val="both"/>
        <w:rPr>
          <w:sz w:val="21"/>
          <w:szCs w:val="21"/>
          <w:lang w:eastAsia="zh-CN"/>
        </w:rPr>
      </w:pPr>
      <w:r>
        <w:rPr>
          <w:rFonts w:eastAsia="宋体" w:cs="宋体"/>
          <w:sz w:val="21"/>
          <w:lang w:eastAsia="zh-CN"/>
        </w:rPr>
        <w:t>可随时提交意见或建议，供FDA审议。请将书面意见提交至美国食品药品监督管理局</w:t>
      </w:r>
      <w:r>
        <w:rPr>
          <w:rFonts w:hint="eastAsia" w:eastAsia="宋体" w:cs="宋体"/>
          <w:sz w:val="21"/>
          <w:lang w:eastAsia="zh-CN"/>
        </w:rPr>
        <w:t>备案文件管理部</w:t>
      </w:r>
      <w:r>
        <w:rPr>
          <w:rFonts w:eastAsia="宋体" w:cs="宋体"/>
          <w:sz w:val="21"/>
          <w:lang w:eastAsia="zh-CN"/>
        </w:rPr>
        <w:t xml:space="preserve">（HFA-305），5630 Fishers Lane, </w:t>
      </w:r>
      <w:r>
        <w:rPr>
          <w:rFonts w:hint="eastAsia" w:eastAsia="宋体" w:cs="宋体"/>
          <w:sz w:val="21"/>
          <w:lang w:eastAsia="zh-CN"/>
        </w:rPr>
        <w:t>R</w:t>
      </w:r>
      <w:r>
        <w:rPr>
          <w:rFonts w:eastAsia="宋体" w:cs="宋体"/>
          <w:sz w:val="21"/>
          <w:lang w:eastAsia="zh-CN"/>
        </w:rPr>
        <w:t>m.1061, Rockville, MD 20852</w:t>
      </w:r>
      <w:r>
        <w:rPr>
          <w:rFonts w:hint="eastAsia" w:eastAsia="宋体" w:cs="宋体"/>
          <w:sz w:val="21"/>
          <w:lang w:eastAsia="zh-CN"/>
        </w:rPr>
        <w:t>。</w:t>
      </w:r>
      <w:r>
        <w:rPr>
          <w:rFonts w:eastAsia="宋体" w:cs="宋体"/>
          <w:sz w:val="21"/>
          <w:lang w:eastAsia="zh-CN"/>
        </w:rPr>
        <w:t>可将电子版意见提交至</w:t>
      </w:r>
      <w:r>
        <w:rPr>
          <w:rFonts w:eastAsia="宋体" w:cs="宋体"/>
          <w:color w:val="0000FF"/>
          <w:sz w:val="21"/>
          <w:u w:val="single"/>
          <w:lang w:eastAsia="zh-CN"/>
        </w:rPr>
        <w:t>https://www.regulations.gov</w:t>
      </w:r>
      <w:r>
        <w:rPr>
          <w:rFonts w:eastAsia="宋体" w:cs="宋体"/>
          <w:sz w:val="21"/>
          <w:lang w:eastAsia="zh-CN"/>
        </w:rPr>
        <w:t>。所有意见或建议</w:t>
      </w:r>
      <w:r>
        <w:rPr>
          <w:rFonts w:hint="eastAsia" w:eastAsia="宋体" w:cs="宋体"/>
          <w:sz w:val="21"/>
          <w:lang w:eastAsia="zh-CN"/>
        </w:rPr>
        <w:t>均</w:t>
      </w:r>
      <w:r>
        <w:rPr>
          <w:rFonts w:eastAsia="宋体" w:cs="宋体"/>
          <w:sz w:val="21"/>
          <w:lang w:eastAsia="zh-CN"/>
        </w:rPr>
        <w:t>应注明备案文件编号FDA-2020-D-1136和申请中指南的完整标题。</w:t>
      </w:r>
    </w:p>
    <w:p w14:paraId="2A87C202">
      <w:pPr>
        <w:adjustRightInd w:val="0"/>
        <w:snapToGrid w:val="0"/>
        <w:spacing w:before="120" w:beforeLines="50" w:line="300" w:lineRule="auto"/>
        <w:jc w:val="both"/>
        <w:rPr>
          <w:b/>
          <w:sz w:val="28"/>
          <w:szCs w:val="28"/>
        </w:rPr>
      </w:pPr>
      <w:r>
        <w:rPr>
          <w:rFonts w:eastAsia="宋体" w:cs="宋体"/>
          <w:b/>
          <w:sz w:val="28"/>
        </w:rPr>
        <w:t>更多副本</w:t>
      </w:r>
    </w:p>
    <w:p w14:paraId="352A8225">
      <w:pPr>
        <w:pStyle w:val="4"/>
        <w:adjustRightInd w:val="0"/>
        <w:snapToGrid w:val="0"/>
        <w:spacing w:before="120" w:beforeLines="50" w:line="300" w:lineRule="auto"/>
        <w:jc w:val="both"/>
        <w:rPr>
          <w:sz w:val="21"/>
          <w:szCs w:val="21"/>
          <w:lang w:eastAsia="zh-CN"/>
        </w:rPr>
      </w:pPr>
      <w:r>
        <w:rPr>
          <w:rFonts w:eastAsia="宋体" w:cs="宋体"/>
          <w:sz w:val="21"/>
        </w:rPr>
        <w:t>在FDA网页标题为《面向行业、FDA工作人员及其他利益相关方的COVID-19相关指南文件》（</w:t>
      </w:r>
      <w:r>
        <w:rPr>
          <w:rFonts w:eastAsia="宋体" w:cs="宋体"/>
          <w:i/>
          <w:sz w:val="21"/>
        </w:rPr>
        <w:t>可登录以下网址获取</w:t>
      </w:r>
      <w:r>
        <w:rPr>
          <w:rFonts w:eastAsia="宋体" w:cs="宋体"/>
          <w:sz w:val="21"/>
        </w:rPr>
        <w:t>：</w:t>
      </w:r>
      <w:r>
        <w:rPr>
          <w:rFonts w:eastAsia="宋体" w:cs="宋体"/>
          <w:color w:val="0000FF"/>
          <w:sz w:val="21"/>
          <w:u w:val="single"/>
        </w:rPr>
        <w:t>https://www.fda.gov/emergency-preparedness-and-response/mcm-issues/covid-19-related- guidance-documents-industry-fda-staff-and-other-stakeholders</w:t>
      </w:r>
      <w:r>
        <w:rPr>
          <w:rFonts w:eastAsia="宋体" w:cs="宋体"/>
          <w:sz w:val="21"/>
        </w:rPr>
        <w:t>）以及《FDA指南文件搜索》（</w:t>
      </w:r>
      <w:r>
        <w:rPr>
          <w:rFonts w:eastAsia="宋体" w:cs="宋体"/>
          <w:i/>
          <w:sz w:val="21"/>
        </w:rPr>
        <w:t>可登录以下网址获取</w:t>
      </w:r>
      <w:r>
        <w:rPr>
          <w:rFonts w:eastAsia="宋体" w:cs="宋体"/>
          <w:sz w:val="21"/>
        </w:rPr>
        <w:t>：</w:t>
      </w:r>
      <w:r>
        <w:rPr>
          <w:rFonts w:eastAsia="宋体" w:cs="宋体"/>
          <w:color w:val="0000FF"/>
          <w:sz w:val="21"/>
          <w:u w:val="single"/>
        </w:rPr>
        <w:t>https://www.fda.gov/regulatory-information/search-fda-guidance-documents</w:t>
      </w:r>
      <w:r>
        <w:rPr>
          <w:rFonts w:eastAsia="宋体" w:cs="宋体"/>
          <w:sz w:val="21"/>
        </w:rPr>
        <w:t>）中可获取其他副本。也可以通过电子邮件发送请求至</w:t>
      </w:r>
      <w:r>
        <w:rPr>
          <w:rFonts w:eastAsia="宋体" w:cs="宋体"/>
          <w:color w:val="0000FF"/>
          <w:sz w:val="21"/>
          <w:u w:val="single"/>
        </w:rPr>
        <w:t>Clinicaltrialconduct-COVID19@fda.hhs.gov</w:t>
      </w:r>
      <w:r>
        <w:rPr>
          <w:rFonts w:eastAsia="宋体" w:cs="宋体"/>
          <w:sz w:val="21"/>
        </w:rPr>
        <w:t>获取本指南的副本。</w:t>
      </w:r>
      <w:r>
        <w:rPr>
          <w:rFonts w:eastAsia="宋体" w:cs="宋体"/>
          <w:sz w:val="21"/>
          <w:lang w:eastAsia="zh-CN"/>
        </w:rPr>
        <w:t>请在申请中注明备案文件编号FDA-2020-D-1136和指南的完整标题。</w:t>
      </w:r>
    </w:p>
    <w:p w14:paraId="3ACFA0DB">
      <w:pPr>
        <w:adjustRightInd w:val="0"/>
        <w:snapToGrid w:val="0"/>
        <w:spacing w:before="120" w:beforeLines="50" w:line="300" w:lineRule="auto"/>
        <w:jc w:val="both"/>
        <w:rPr>
          <w:b/>
          <w:sz w:val="28"/>
          <w:szCs w:val="28"/>
        </w:rPr>
      </w:pPr>
      <w:r>
        <w:rPr>
          <w:rFonts w:eastAsia="宋体" w:cs="宋体"/>
          <w:b/>
          <w:sz w:val="28"/>
        </w:rPr>
        <w:t>问题</w:t>
      </w:r>
    </w:p>
    <w:p w14:paraId="4A5ABC1D">
      <w:pPr>
        <w:pStyle w:val="4"/>
        <w:adjustRightInd w:val="0"/>
        <w:snapToGrid w:val="0"/>
        <w:spacing w:before="120" w:beforeLines="50" w:line="300" w:lineRule="auto"/>
        <w:jc w:val="both"/>
        <w:rPr>
          <w:sz w:val="21"/>
          <w:szCs w:val="21"/>
        </w:rPr>
      </w:pPr>
      <w:r>
        <w:rPr>
          <w:rFonts w:eastAsia="宋体" w:cs="宋体"/>
          <w:sz w:val="21"/>
        </w:rPr>
        <w:t>如对本文件中有关人用药品、生物制品和医疗器械的内容有任何疑问，请发送电子邮件至</w:t>
      </w:r>
      <w:r>
        <w:rPr>
          <w:rFonts w:eastAsia="宋体" w:cs="宋体"/>
          <w:color w:val="0000FF"/>
          <w:sz w:val="21"/>
          <w:u w:val="single"/>
        </w:rPr>
        <w:t>Clinicaltrialconduct-COVID19@fda.hhs.gov</w:t>
      </w:r>
      <w:r>
        <w:rPr>
          <w:rFonts w:eastAsia="宋体" w:cs="宋体"/>
          <w:sz w:val="21"/>
        </w:rPr>
        <w:t>与本机构联系。如对本文件中有关动物药品的内容有任何疑问，请发送电子邮件至</w:t>
      </w:r>
      <w:r>
        <w:rPr>
          <w:rFonts w:eastAsia="宋体" w:cs="宋体"/>
          <w:color w:val="0000FF"/>
          <w:sz w:val="21"/>
          <w:u w:val="single"/>
        </w:rPr>
        <w:t>AskCVM@fda.hhs.gov</w:t>
      </w:r>
      <w:r>
        <w:rPr>
          <w:rFonts w:eastAsia="宋体" w:cs="宋体"/>
          <w:sz w:val="21"/>
        </w:rPr>
        <w:t>与本机构联系。</w:t>
      </w:r>
    </w:p>
    <w:p w14:paraId="15EF741D">
      <w:pPr>
        <w:adjustRightInd w:val="0"/>
        <w:snapToGrid w:val="0"/>
        <w:spacing w:before="120" w:beforeLines="50" w:line="300" w:lineRule="auto"/>
        <w:jc w:val="both"/>
        <w:rPr>
          <w:sz w:val="21"/>
          <w:szCs w:val="21"/>
        </w:rPr>
      </w:pPr>
      <w:r>
        <w:rPr>
          <w:rFonts w:eastAsia="宋体" w:cs="宋体"/>
          <w:sz w:val="21"/>
        </w:rPr>
        <w:br w:type="page"/>
      </w:r>
    </w:p>
    <w:p w14:paraId="1E462C44">
      <w:pPr>
        <w:adjustRightInd w:val="0"/>
        <w:snapToGrid w:val="0"/>
        <w:spacing w:before="120" w:beforeLines="50" w:line="300" w:lineRule="auto"/>
        <w:jc w:val="center"/>
        <w:rPr>
          <w:b/>
          <w:sz w:val="28"/>
          <w:szCs w:val="21"/>
        </w:rPr>
      </w:pPr>
      <w:r>
        <w:rPr>
          <w:rFonts w:eastAsia="宋体" w:cs="宋体"/>
          <w:b/>
          <w:sz w:val="28"/>
        </w:rPr>
        <w:t>目录</w:t>
      </w:r>
    </w:p>
    <w:p w14:paraId="051CFB3B">
      <w:pPr>
        <w:pStyle w:val="8"/>
        <w:tabs>
          <w:tab w:val="right" w:leader="dot" w:pos="9061"/>
        </w:tabs>
        <w:ind w:left="420" w:hanging="420" w:hangingChars="200"/>
        <w:rPr>
          <w:rFonts w:eastAsiaTheme="minorEastAsia"/>
          <w:kern w:val="2"/>
          <w:sz w:val="18"/>
          <w:szCs w:val="22"/>
          <w:lang w:eastAsia="zh-CN" w:bidi="ar-SA"/>
        </w:rPr>
      </w:pPr>
      <w:r>
        <w:rPr>
          <w:rFonts w:eastAsiaTheme="minorEastAsia"/>
          <w:sz w:val="21"/>
          <w:szCs w:val="21"/>
          <w:lang w:eastAsia="zh-CN"/>
        </w:rPr>
        <w:fldChar w:fldCharType="begin"/>
      </w:r>
      <w:r>
        <w:rPr>
          <w:rFonts w:eastAsiaTheme="minorEastAsia"/>
          <w:sz w:val="21"/>
          <w:szCs w:val="21"/>
          <w:lang w:eastAsia="zh-CN"/>
        </w:rPr>
        <w:instrText xml:space="preserve"> </w:instrText>
      </w:r>
      <w:r>
        <w:rPr>
          <w:rFonts w:hint="eastAsia" w:eastAsiaTheme="minorEastAsia"/>
          <w:sz w:val="21"/>
          <w:szCs w:val="21"/>
          <w:lang w:eastAsia="zh-CN"/>
        </w:rPr>
        <w:instrText xml:space="preserve">TOC \o "1-3" \h \z \u</w:instrText>
      </w:r>
      <w:r>
        <w:rPr>
          <w:rFonts w:eastAsiaTheme="minorEastAsia"/>
          <w:sz w:val="21"/>
          <w:szCs w:val="21"/>
          <w:lang w:eastAsia="zh-CN"/>
        </w:rPr>
        <w:instrText xml:space="preserve"> </w:instrText>
      </w:r>
      <w:r>
        <w:rPr>
          <w:rFonts w:eastAsiaTheme="minorEastAsia"/>
          <w:sz w:val="21"/>
          <w:szCs w:val="21"/>
          <w:lang w:eastAsia="zh-CN"/>
        </w:rPr>
        <w:fldChar w:fldCharType="separate"/>
      </w:r>
      <w:r>
        <w:fldChar w:fldCharType="begin"/>
      </w:r>
      <w:r>
        <w:instrText xml:space="preserve"> HYPERLINK \l "_Toc91865324" </w:instrText>
      </w:r>
      <w:r>
        <w:fldChar w:fldCharType="separate"/>
      </w:r>
      <w:r>
        <w:rPr>
          <w:rStyle w:val="12"/>
          <w:rFonts w:eastAsia="宋体"/>
          <w:sz w:val="21"/>
          <w:lang w:eastAsia="zh-CN"/>
        </w:rPr>
        <w:t>I.</w:t>
      </w:r>
      <w:r>
        <w:rPr>
          <w:rFonts w:eastAsiaTheme="minorEastAsia"/>
          <w:kern w:val="2"/>
          <w:sz w:val="18"/>
          <w:szCs w:val="22"/>
          <w:lang w:eastAsia="zh-CN" w:bidi="ar-SA"/>
        </w:rPr>
        <w:tab/>
      </w:r>
      <w:r>
        <w:rPr>
          <w:rStyle w:val="12"/>
          <w:rFonts w:eastAsia="宋体"/>
          <w:sz w:val="21"/>
          <w:lang w:eastAsia="zh-CN"/>
        </w:rPr>
        <w:t>引言</w:t>
      </w:r>
      <w:r>
        <w:rPr>
          <w:sz w:val="21"/>
        </w:rPr>
        <w:tab/>
      </w:r>
      <w:r>
        <w:rPr>
          <w:sz w:val="21"/>
        </w:rPr>
        <w:fldChar w:fldCharType="begin"/>
      </w:r>
      <w:r>
        <w:rPr>
          <w:sz w:val="21"/>
        </w:rPr>
        <w:instrText xml:space="preserve"> PAGEREF _Toc91865324 \h </w:instrText>
      </w:r>
      <w:r>
        <w:rPr>
          <w:sz w:val="21"/>
        </w:rPr>
        <w:fldChar w:fldCharType="separate"/>
      </w:r>
      <w:r>
        <w:rPr>
          <w:sz w:val="21"/>
        </w:rPr>
        <w:t>1</w:t>
      </w:r>
      <w:r>
        <w:rPr>
          <w:sz w:val="21"/>
        </w:rPr>
        <w:fldChar w:fldCharType="end"/>
      </w:r>
      <w:r>
        <w:rPr>
          <w:sz w:val="21"/>
        </w:rPr>
        <w:fldChar w:fldCharType="end"/>
      </w:r>
    </w:p>
    <w:p w14:paraId="43DEC7B2">
      <w:pPr>
        <w:pStyle w:val="8"/>
        <w:tabs>
          <w:tab w:val="right" w:leader="dot" w:pos="9061"/>
        </w:tabs>
        <w:ind w:left="480" w:hanging="480" w:hangingChars="200"/>
        <w:rPr>
          <w:rFonts w:eastAsiaTheme="minorEastAsia"/>
          <w:kern w:val="2"/>
          <w:sz w:val="18"/>
          <w:szCs w:val="22"/>
          <w:lang w:eastAsia="zh-CN" w:bidi="ar-SA"/>
        </w:rPr>
      </w:pPr>
      <w:r>
        <w:fldChar w:fldCharType="begin"/>
      </w:r>
      <w:r>
        <w:instrText xml:space="preserve"> HYPERLINK \l "_Toc91865325" </w:instrText>
      </w:r>
      <w:r>
        <w:fldChar w:fldCharType="separate"/>
      </w:r>
      <w:r>
        <w:rPr>
          <w:rStyle w:val="12"/>
          <w:rFonts w:eastAsia="宋体"/>
          <w:sz w:val="21"/>
          <w:lang w:eastAsia="zh-CN"/>
        </w:rPr>
        <w:t>II.</w:t>
      </w:r>
      <w:r>
        <w:rPr>
          <w:rFonts w:eastAsiaTheme="minorEastAsia"/>
          <w:kern w:val="2"/>
          <w:sz w:val="18"/>
          <w:szCs w:val="22"/>
          <w:lang w:eastAsia="zh-CN" w:bidi="ar-SA"/>
        </w:rPr>
        <w:tab/>
      </w:r>
      <w:r>
        <w:rPr>
          <w:rStyle w:val="12"/>
          <w:rFonts w:eastAsia="宋体"/>
          <w:sz w:val="21"/>
          <w:lang w:eastAsia="zh-CN"/>
        </w:rPr>
        <w:t>背景</w:t>
      </w:r>
      <w:r>
        <w:rPr>
          <w:sz w:val="21"/>
        </w:rPr>
        <w:tab/>
      </w:r>
      <w:r>
        <w:rPr>
          <w:sz w:val="21"/>
        </w:rPr>
        <w:fldChar w:fldCharType="begin"/>
      </w:r>
      <w:r>
        <w:rPr>
          <w:sz w:val="21"/>
        </w:rPr>
        <w:instrText xml:space="preserve"> PAGEREF _Toc91865325 \h </w:instrText>
      </w:r>
      <w:r>
        <w:rPr>
          <w:sz w:val="21"/>
        </w:rPr>
        <w:fldChar w:fldCharType="separate"/>
      </w:r>
      <w:r>
        <w:rPr>
          <w:sz w:val="21"/>
        </w:rPr>
        <w:t>2</w:t>
      </w:r>
      <w:r>
        <w:rPr>
          <w:sz w:val="21"/>
        </w:rPr>
        <w:fldChar w:fldCharType="end"/>
      </w:r>
      <w:r>
        <w:rPr>
          <w:sz w:val="21"/>
        </w:rPr>
        <w:fldChar w:fldCharType="end"/>
      </w:r>
    </w:p>
    <w:p w14:paraId="549FD985">
      <w:pPr>
        <w:pStyle w:val="8"/>
        <w:tabs>
          <w:tab w:val="right" w:leader="dot" w:pos="9061"/>
        </w:tabs>
        <w:ind w:left="480" w:hanging="480" w:hangingChars="200"/>
        <w:rPr>
          <w:rFonts w:eastAsiaTheme="minorEastAsia"/>
          <w:kern w:val="2"/>
          <w:sz w:val="18"/>
          <w:szCs w:val="22"/>
          <w:lang w:eastAsia="zh-CN" w:bidi="ar-SA"/>
        </w:rPr>
      </w:pPr>
      <w:r>
        <w:fldChar w:fldCharType="begin"/>
      </w:r>
      <w:r>
        <w:instrText xml:space="preserve"> HYPERLINK \l "_Toc91865326" </w:instrText>
      </w:r>
      <w:r>
        <w:fldChar w:fldCharType="separate"/>
      </w:r>
      <w:r>
        <w:rPr>
          <w:rStyle w:val="12"/>
          <w:rFonts w:eastAsia="宋体"/>
          <w:sz w:val="21"/>
          <w:lang w:eastAsia="zh-CN"/>
        </w:rPr>
        <w:t>III.</w:t>
      </w:r>
      <w:r>
        <w:rPr>
          <w:rFonts w:eastAsiaTheme="minorEastAsia"/>
          <w:kern w:val="2"/>
          <w:sz w:val="18"/>
          <w:szCs w:val="22"/>
          <w:lang w:eastAsia="zh-CN" w:bidi="ar-SA"/>
        </w:rPr>
        <w:tab/>
      </w:r>
      <w:r>
        <w:rPr>
          <w:rStyle w:val="12"/>
          <w:rFonts w:eastAsia="宋体"/>
          <w:sz w:val="21"/>
          <w:lang w:eastAsia="zh-CN"/>
        </w:rPr>
        <w:t>讨论</w:t>
      </w:r>
      <w:r>
        <w:rPr>
          <w:sz w:val="21"/>
        </w:rPr>
        <w:tab/>
      </w:r>
      <w:r>
        <w:rPr>
          <w:sz w:val="21"/>
        </w:rPr>
        <w:fldChar w:fldCharType="begin"/>
      </w:r>
      <w:r>
        <w:rPr>
          <w:sz w:val="21"/>
        </w:rPr>
        <w:instrText xml:space="preserve"> PAGEREF _Toc91865326 \h </w:instrText>
      </w:r>
      <w:r>
        <w:rPr>
          <w:sz w:val="21"/>
        </w:rPr>
        <w:fldChar w:fldCharType="separate"/>
      </w:r>
      <w:r>
        <w:rPr>
          <w:sz w:val="21"/>
        </w:rPr>
        <w:t>3</w:t>
      </w:r>
      <w:r>
        <w:rPr>
          <w:sz w:val="21"/>
        </w:rPr>
        <w:fldChar w:fldCharType="end"/>
      </w:r>
      <w:r>
        <w:rPr>
          <w:sz w:val="21"/>
        </w:rPr>
        <w:fldChar w:fldCharType="end"/>
      </w:r>
    </w:p>
    <w:p w14:paraId="1368A5B3">
      <w:pPr>
        <w:pStyle w:val="9"/>
        <w:tabs>
          <w:tab w:val="left" w:pos="1159"/>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"_Toc91865327" </w:instrText>
      </w:r>
      <w:r>
        <w:fldChar w:fldCharType="separate"/>
      </w:r>
      <w:r>
        <w:rPr>
          <w:rStyle w:val="12"/>
          <w:rFonts w:eastAsia="宋体"/>
          <w:sz w:val="21"/>
          <w:lang w:eastAsia="zh-CN"/>
        </w:rPr>
        <w:t>A.</w:t>
      </w:r>
      <w:r>
        <w:rPr>
          <w:rFonts w:eastAsiaTheme="minorEastAsia"/>
          <w:kern w:val="2"/>
          <w:sz w:val="18"/>
          <w:szCs w:val="22"/>
          <w:lang w:eastAsia="zh-CN" w:bidi="ar-SA"/>
        </w:rPr>
        <w:tab/>
      </w:r>
      <w:r>
        <w:rPr>
          <w:rStyle w:val="12"/>
          <w:rFonts w:eastAsia="宋体"/>
          <w:sz w:val="21"/>
          <w:lang w:eastAsia="zh-CN"/>
        </w:rPr>
        <w:t>试验完整性</w:t>
      </w:r>
      <w:r>
        <w:rPr>
          <w:sz w:val="21"/>
        </w:rPr>
        <w:tab/>
      </w:r>
      <w:r>
        <w:rPr>
          <w:sz w:val="21"/>
        </w:rPr>
        <w:fldChar w:fldCharType="begin"/>
      </w:r>
      <w:r>
        <w:rPr>
          <w:sz w:val="21"/>
        </w:rPr>
        <w:instrText xml:space="preserve"> PAGEREF _Toc91865327 \h </w:instrText>
      </w:r>
      <w:r>
        <w:rPr>
          <w:sz w:val="21"/>
        </w:rPr>
        <w:fldChar w:fldCharType="separate"/>
      </w:r>
      <w:r>
        <w:rPr>
          <w:sz w:val="21"/>
        </w:rPr>
        <w:t>3</w:t>
      </w:r>
      <w:r>
        <w:rPr>
          <w:sz w:val="21"/>
        </w:rPr>
        <w:fldChar w:fldCharType="end"/>
      </w:r>
      <w:r>
        <w:rPr>
          <w:sz w:val="21"/>
        </w:rPr>
        <w:fldChar w:fldCharType="end"/>
      </w:r>
    </w:p>
    <w:p w14:paraId="30A98A76">
      <w:pPr>
        <w:pStyle w:val="9"/>
        <w:tabs>
          <w:tab w:val="left" w:pos="1159"/>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"_Toc91865328" </w:instrText>
      </w:r>
      <w:r>
        <w:fldChar w:fldCharType="separate"/>
      </w:r>
      <w:r>
        <w:rPr>
          <w:rStyle w:val="12"/>
          <w:rFonts w:eastAsia="宋体"/>
          <w:sz w:val="21"/>
          <w:lang w:eastAsia="zh-CN"/>
        </w:rPr>
        <w:t>B.</w:t>
      </w:r>
      <w:r>
        <w:rPr>
          <w:rFonts w:eastAsiaTheme="minorEastAsia"/>
          <w:kern w:val="2"/>
          <w:sz w:val="18"/>
          <w:szCs w:val="22"/>
          <w:lang w:eastAsia="zh-CN" w:bidi="ar-SA"/>
        </w:rPr>
        <w:tab/>
      </w:r>
      <w:r>
        <w:rPr>
          <w:rStyle w:val="12"/>
          <w:rFonts w:eastAsia="宋体"/>
          <w:sz w:val="21"/>
          <w:lang w:eastAsia="zh-CN"/>
        </w:rPr>
        <w:t>试验缓解措施和分析策略</w:t>
      </w:r>
      <w:r>
        <w:rPr>
          <w:sz w:val="21"/>
        </w:rPr>
        <w:tab/>
      </w:r>
      <w:r>
        <w:rPr>
          <w:sz w:val="21"/>
        </w:rPr>
        <w:fldChar w:fldCharType="begin"/>
      </w:r>
      <w:r>
        <w:rPr>
          <w:sz w:val="21"/>
        </w:rPr>
        <w:instrText xml:space="preserve"> PAGEREF _Toc91865328 \h </w:instrText>
      </w:r>
      <w:r>
        <w:rPr>
          <w:sz w:val="21"/>
        </w:rPr>
        <w:fldChar w:fldCharType="separate"/>
      </w:r>
      <w:r>
        <w:rPr>
          <w:sz w:val="21"/>
        </w:rPr>
        <w:t>3</w:t>
      </w:r>
      <w:r>
        <w:rPr>
          <w:sz w:val="21"/>
        </w:rPr>
        <w:fldChar w:fldCharType="end"/>
      </w:r>
      <w:r>
        <w:rPr>
          <w:sz w:val="21"/>
        </w:rPr>
        <w:fldChar w:fldCharType="end"/>
      </w:r>
    </w:p>
    <w:p w14:paraId="7331A0D0">
      <w:pPr>
        <w:adjustRightInd w:val="0"/>
        <w:snapToGrid w:val="0"/>
        <w:spacing w:before="120" w:beforeLines="50" w:line="300" w:lineRule="auto"/>
        <w:jc w:val="both"/>
        <w:rPr>
          <w:rFonts w:eastAsiaTheme="minorEastAsia"/>
          <w:sz w:val="21"/>
          <w:szCs w:val="21"/>
          <w:lang w:eastAsia="zh-CN"/>
        </w:rPr>
      </w:pPr>
      <w:r>
        <w:rPr>
          <w:rFonts w:eastAsiaTheme="minorEastAsia"/>
          <w:sz w:val="21"/>
          <w:szCs w:val="21"/>
          <w:lang w:eastAsia="zh-CN"/>
        </w:rPr>
        <w:fldChar w:fldCharType="end"/>
      </w:r>
    </w:p>
    <w:p w14:paraId="51F3447F">
      <w:pPr>
        <w:adjustRightInd w:val="0"/>
        <w:snapToGrid w:val="0"/>
        <w:spacing w:before="120" w:beforeLines="50" w:line="300" w:lineRule="auto"/>
        <w:jc w:val="both"/>
        <w:rPr>
          <w:sz w:val="21"/>
          <w:szCs w:val="21"/>
        </w:rPr>
        <w:sectPr>
          <w:headerReference r:id="rId3" w:type="default"/>
          <w:pgSz w:w="11907" w:h="16840"/>
          <w:pgMar w:top="1418" w:right="1418" w:bottom="1418" w:left="1418" w:header="720" w:footer="720" w:gutter="0"/>
          <w:cols w:space="720" w:num="1"/>
        </w:sectPr>
      </w:pPr>
    </w:p>
    <w:p w14:paraId="7C979C91">
      <w:pPr>
        <w:pBdr>
          <w:bottom w:val="single" w:color="auto" w:sz="4" w:space="1"/>
        </w:pBdr>
        <w:adjustRightInd w:val="0"/>
        <w:snapToGrid w:val="0"/>
        <w:spacing w:before="120" w:beforeLines="50" w:line="300" w:lineRule="auto"/>
        <w:jc w:val="center"/>
        <w:rPr>
          <w:b/>
          <w:sz w:val="52"/>
          <w:szCs w:val="21"/>
          <w:lang w:eastAsia="zh-CN"/>
        </w:rPr>
      </w:pPr>
      <w:bookmarkStart w:id="2" w:name="OLE_LINK1"/>
      <w:bookmarkStart w:id="3" w:name="OLE_LINK2"/>
      <w:r>
        <w:rPr>
          <w:rFonts w:eastAsia="宋体" w:cs="宋体"/>
          <w:b/>
          <w:sz w:val="52"/>
          <w:lang w:eastAsia="zh-CN"/>
        </w:rPr>
        <w:t>COVID-19突发公共卫生事件</w:t>
      </w:r>
      <w:bookmarkEnd w:id="2"/>
      <w:bookmarkEnd w:id="3"/>
      <w:r>
        <w:rPr>
          <w:rFonts w:eastAsia="宋体" w:cs="宋体"/>
          <w:b/>
          <w:sz w:val="52"/>
          <w:lang w:eastAsia="zh-CN"/>
        </w:rPr>
        <w:t>期间临床试验的统计学考量</w:t>
      </w:r>
    </w:p>
    <w:p w14:paraId="5F5E5E1C">
      <w:pPr>
        <w:adjustRightInd w:val="0"/>
        <w:snapToGrid w:val="0"/>
        <w:spacing w:before="120" w:beforeLines="50" w:line="300" w:lineRule="auto"/>
        <w:jc w:val="center"/>
        <w:rPr>
          <w:b/>
          <w:sz w:val="52"/>
          <w:szCs w:val="21"/>
        </w:rPr>
      </w:pPr>
      <w:r>
        <w:rPr>
          <w:rFonts w:eastAsia="宋体" w:cs="宋体"/>
          <w:b/>
          <w:sz w:val="52"/>
        </w:rPr>
        <w:t>行业指南</w:t>
      </w:r>
    </w:p>
    <w:tbl>
      <w:tblPr>
        <w:tblStyle w:val="13"/>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299DCB12">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424D46B1">
            <w:pPr>
              <w:pStyle w:val="4"/>
              <w:adjustRightInd w:val="0"/>
              <w:snapToGrid w:val="0"/>
              <w:spacing w:before="120" w:beforeLines="50" w:line="300" w:lineRule="auto"/>
              <w:jc w:val="both"/>
              <w:rPr>
                <w:sz w:val="21"/>
                <w:szCs w:val="21"/>
                <w:lang w:eastAsia="zh-CN"/>
              </w:rPr>
            </w:pPr>
            <w:r>
              <w:rPr>
                <w:rFonts w:hint="eastAsia" w:eastAsia="宋体" w:cs="宋体"/>
                <w:bCs/>
                <w:iCs/>
                <w:sz w:val="21"/>
                <w:lang w:eastAsia="zh-CN"/>
              </w:rPr>
              <w:t>本指南代表美国食品药品监督管理局（</w:t>
            </w:r>
            <w:r>
              <w:rPr>
                <w:rFonts w:eastAsia="宋体" w:cs="宋体"/>
                <w:bCs/>
                <w:iCs/>
                <w:sz w:val="21"/>
                <w:lang w:eastAsia="zh-CN"/>
              </w:rPr>
              <w:t>FDA</w:t>
            </w:r>
            <w:r>
              <w:rPr>
                <w:rFonts w:hint="eastAsia" w:eastAsia="宋体" w:cs="宋体"/>
                <w:bCs/>
                <w:iCs/>
                <w:sz w:val="21"/>
                <w:lang w:eastAsia="zh-CN"/>
              </w:rPr>
              <w:t>或本机构）目前关于该主题的思考。本指南不会为任何人创造或赋予任何权利，也不会对</w:t>
            </w:r>
            <w:r>
              <w:rPr>
                <w:rFonts w:eastAsia="宋体" w:cs="宋体"/>
                <w:bCs/>
                <w:iCs/>
                <w:sz w:val="21"/>
                <w:lang w:eastAsia="zh-CN"/>
              </w:rPr>
              <w:t>FDA</w:t>
            </w:r>
            <w:r>
              <w:rPr>
                <w:rFonts w:hint="eastAsia" w:eastAsia="宋体" w:cs="宋体"/>
                <w:bCs/>
                <w:iCs/>
                <w:sz w:val="21"/>
                <w:lang w:eastAsia="zh-CN"/>
              </w:rPr>
              <w:t>或公众产生约束。如果替代方法满足适用的法律法规的要求，则可以使用该替代方法。如需讨论替代方法，请联系标题页负责实施本指南文件的</w:t>
            </w:r>
            <w:r>
              <w:rPr>
                <w:rFonts w:eastAsia="宋体" w:cs="宋体"/>
                <w:bCs/>
                <w:iCs/>
                <w:sz w:val="21"/>
                <w:lang w:eastAsia="zh-CN"/>
              </w:rPr>
              <w:t>FDA</w:t>
            </w:r>
            <w:r>
              <w:rPr>
                <w:rFonts w:hint="eastAsia" w:eastAsia="宋体" w:cs="宋体"/>
                <w:bCs/>
                <w:iCs/>
                <w:sz w:val="21"/>
                <w:lang w:eastAsia="zh-CN"/>
              </w:rPr>
              <w:t>工作人员或办公室。</w:t>
            </w:r>
          </w:p>
        </w:tc>
      </w:tr>
    </w:tbl>
    <w:p w14:paraId="2584320E">
      <w:pPr>
        <w:pStyle w:val="4"/>
        <w:adjustRightInd w:val="0"/>
        <w:snapToGrid w:val="0"/>
        <w:spacing w:before="120" w:beforeLines="50" w:line="300" w:lineRule="auto"/>
        <w:ind w:left="562" w:hanging="562" w:hangingChars="200"/>
        <w:jc w:val="both"/>
        <w:outlineLvl w:val="0"/>
        <w:rPr>
          <w:b/>
          <w:sz w:val="28"/>
          <w:szCs w:val="21"/>
          <w:lang w:eastAsia="zh-CN"/>
        </w:rPr>
      </w:pPr>
      <w:bookmarkStart w:id="4" w:name="_Toc91865324"/>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4"/>
    </w:p>
    <w:p w14:paraId="5B81059F">
      <w:pPr>
        <w:pStyle w:val="4"/>
        <w:adjustRightInd w:val="0"/>
        <w:snapToGrid w:val="0"/>
        <w:spacing w:before="120" w:beforeLines="50" w:line="300" w:lineRule="auto"/>
        <w:jc w:val="both"/>
        <w:rPr>
          <w:sz w:val="21"/>
          <w:szCs w:val="21"/>
          <w:lang w:eastAsia="zh-CN"/>
        </w:rPr>
      </w:pPr>
      <w:r>
        <w:rPr>
          <w:rFonts w:eastAsia="宋体" w:cs="宋体"/>
          <w:sz w:val="21"/>
          <w:lang w:eastAsia="zh-CN"/>
        </w:rPr>
        <w:t>FDA在保护美国免受新发传染病（包括2019年</w:t>
      </w:r>
      <w:r>
        <w:rPr>
          <w:rFonts w:hint="eastAsia" w:eastAsia="宋体" w:cs="宋体"/>
          <w:sz w:val="21"/>
          <w:lang w:eastAsia="zh-CN"/>
        </w:rPr>
        <w:t>新型冠状病毒肺炎</w:t>
      </w:r>
      <w:r>
        <w:rPr>
          <w:rFonts w:eastAsia="宋体" w:cs="宋体"/>
          <w:sz w:val="21"/>
          <w:lang w:eastAsia="zh-CN"/>
        </w:rPr>
        <w:t xml:space="preserve">（COVID-19）疫情）等的威胁方面发挥着关键作用。FDA致力于提供适时指南，以支持对此次疫情的响应工作。  </w:t>
      </w:r>
    </w:p>
    <w:p w14:paraId="7FC189FC">
      <w:pPr>
        <w:pStyle w:val="4"/>
        <w:adjustRightInd w:val="0"/>
        <w:snapToGrid w:val="0"/>
        <w:spacing w:before="120" w:beforeLines="50" w:line="300" w:lineRule="auto"/>
        <w:jc w:val="both"/>
        <w:rPr>
          <w:sz w:val="21"/>
          <w:szCs w:val="21"/>
          <w:lang w:eastAsia="zh-CN"/>
        </w:rPr>
      </w:pPr>
      <w:r>
        <w:rPr>
          <w:rFonts w:eastAsia="宋体" w:cs="宋体"/>
          <w:sz w:val="21"/>
          <w:lang w:eastAsia="zh-CN"/>
        </w:rPr>
        <w:t>FDA发布本指南是为了就统计学考量提供建议，旨在应对COVID-19对实现COVID-19突发公共卫生事件期间所进行临床试验的试验目的的影响。COVID-19疫情已对整个研究产品领域的临床开发和正在进行的临床试验造成影响。控制病毒的公共卫生措施可能会影响收集数据的能力，例如，如果试验受试者无法访问临床研究中心进行终点评估。本指南概述了在受COVID-19影响的试验中对主要和关键次要终点进行统计学分析的考量因素，以帮助确保试验能够提供可解释的结果，并对不确定性进行正确的统计量化。</w:t>
      </w:r>
    </w:p>
    <w:p w14:paraId="3ED797F6">
      <w:pPr>
        <w:pStyle w:val="4"/>
        <w:adjustRightInd w:val="0"/>
        <w:snapToGrid w:val="0"/>
        <w:spacing w:before="120" w:beforeLines="50" w:line="300" w:lineRule="auto"/>
        <w:jc w:val="both"/>
        <w:rPr>
          <w:sz w:val="21"/>
          <w:szCs w:val="21"/>
          <w:lang w:eastAsia="zh-CN"/>
        </w:rPr>
      </w:pPr>
      <w:r>
        <w:rPr>
          <w:rFonts w:eastAsia="宋体" w:cs="宋体"/>
          <w:sz w:val="21"/>
          <w:lang w:eastAsia="zh-CN"/>
        </w:rPr>
        <w:t>该政策预期仅在美国卫生与公众服务部（HHS）部长于2020年1月31日宣布的与COVID-19相关的突发公共卫生事件期间有效（生效日期：2020年1月27日 ），其中包括HHS部长根据《公共卫生服务法案》（《PHS法案》）（42 U.S.C.247d(a)(2)）第319(a)(2)节所作的任何更新。</w:t>
      </w:r>
    </w:p>
    <w:p w14:paraId="6FED8551">
      <w:pPr>
        <w:pStyle w:val="4"/>
        <w:adjustRightInd w:val="0"/>
        <w:snapToGrid w:val="0"/>
        <w:spacing w:before="120" w:beforeLines="50" w:line="300" w:lineRule="auto"/>
        <w:jc w:val="both"/>
        <w:rPr>
          <w:sz w:val="21"/>
          <w:szCs w:val="21"/>
          <w:lang w:eastAsia="zh-CN"/>
        </w:rPr>
      </w:pPr>
      <w:r>
        <w:rPr>
          <w:rFonts w:eastAsia="宋体" w:cs="宋体"/>
          <w:sz w:val="21"/>
          <w:lang w:eastAsia="zh-CN"/>
        </w:rPr>
        <w:t>鉴于这一突发公共卫生事件，如2020年3月25日《联邦公报》（85 FR 16949）中标题为《2019年新冠病毒肺炎相关指南文件的提供流程》的通知（可登录以下网址获取：</w:t>
      </w:r>
      <w:r>
        <w:rPr>
          <w:rFonts w:eastAsia="宋体" w:cs="宋体"/>
          <w:color w:val="0000FF"/>
          <w:sz w:val="21"/>
          <w:u w:val="single"/>
          <w:lang w:eastAsia="zh-CN"/>
        </w:rPr>
        <w:t>https://www.govinfo.gov/content/pkg/FR-2020-03-25/pdf/2020-06222.pdf</w:t>
      </w:r>
      <w:r>
        <w:rPr>
          <w:rFonts w:eastAsia="宋体" w:cs="宋体"/>
          <w:sz w:val="21"/>
          <w:lang w:eastAsia="zh-CN"/>
        </w:rPr>
        <w:t>）所述，本指南的实施未事先征求公众意见，因为</w:t>
      </w:r>
    </w:p>
    <w:p w14:paraId="0620632C">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23895472">
      <w:pPr>
        <w:pStyle w:val="4"/>
        <w:adjustRightInd w:val="0"/>
        <w:snapToGrid w:val="0"/>
        <w:spacing w:before="120" w:beforeLines="50" w:line="300" w:lineRule="auto"/>
        <w:jc w:val="both"/>
        <w:rPr>
          <w:sz w:val="21"/>
          <w:szCs w:val="21"/>
          <w:lang w:eastAsia="zh-CN"/>
        </w:rPr>
      </w:pPr>
      <w:r>
        <w:rPr>
          <w:rFonts w:eastAsia="宋体" w:cs="宋体"/>
          <w:sz w:val="21"/>
          <w:lang w:eastAsia="zh-CN"/>
        </w:rPr>
        <w:t>FDA已确定公众既往参与本指南的实施不可行或不适当（参见《联邦食品、药品和化妆品法案》（21 U.S.C.371(h)(1)(C))和21 CFR 10.115(g)(2)）第701(h)(1)(C)节）。本指南文件正在立即实施，但根据机构的良好指导实践，仍需征求意见。</w:t>
      </w:r>
    </w:p>
    <w:p w14:paraId="66795B80">
      <w:pPr>
        <w:pStyle w:val="4"/>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w:t>
      </w:r>
    </w:p>
    <w:p w14:paraId="58B81F48">
      <w:pPr>
        <w:pStyle w:val="4"/>
        <w:adjustRightInd w:val="0"/>
        <w:snapToGrid w:val="0"/>
        <w:spacing w:before="120" w:beforeLines="50" w:line="300" w:lineRule="auto"/>
        <w:ind w:left="562" w:hanging="562" w:hangingChars="200"/>
        <w:jc w:val="both"/>
        <w:outlineLvl w:val="0"/>
        <w:rPr>
          <w:b/>
          <w:sz w:val="28"/>
          <w:szCs w:val="21"/>
          <w:lang w:eastAsia="zh-CN"/>
        </w:rPr>
      </w:pPr>
      <w:bookmarkStart w:id="5" w:name="_Toc91865325"/>
      <w:r>
        <w:rPr>
          <w:rFonts w:eastAsia="宋体" w:cs="宋体"/>
          <w:b/>
          <w:sz w:val="28"/>
          <w:lang w:eastAsia="zh-CN"/>
        </w:rPr>
        <w:t>II.</w:t>
      </w:r>
      <w:r>
        <w:rPr>
          <w:rFonts w:eastAsia="宋体" w:cs="宋体"/>
          <w:b/>
          <w:lang w:eastAsia="zh-CN"/>
        </w:rPr>
        <w:tab/>
      </w:r>
      <w:r>
        <w:rPr>
          <w:rFonts w:eastAsia="宋体" w:cs="宋体"/>
          <w:b/>
          <w:sz w:val="28"/>
          <w:lang w:eastAsia="zh-CN"/>
        </w:rPr>
        <w:t>背景</w:t>
      </w:r>
      <w:bookmarkEnd w:id="5"/>
    </w:p>
    <w:p w14:paraId="2A94E892">
      <w:pPr>
        <w:pStyle w:val="4"/>
        <w:adjustRightInd w:val="0"/>
        <w:snapToGrid w:val="0"/>
        <w:spacing w:before="120" w:beforeLines="50" w:line="300" w:lineRule="auto"/>
        <w:jc w:val="both"/>
        <w:rPr>
          <w:sz w:val="21"/>
          <w:szCs w:val="21"/>
          <w:lang w:eastAsia="zh-CN"/>
        </w:rPr>
      </w:pPr>
      <w:r>
        <w:rPr>
          <w:rFonts w:eastAsia="宋体" w:cs="宋体"/>
          <w:sz w:val="21"/>
          <w:lang w:eastAsia="zh-CN"/>
        </w:rPr>
        <w:t>目前，一种新型冠状病毒引发了呼吸道疾病的爆发。该病毒被命名为“严重急性呼吸综合征冠状病毒2”（SARS-CoV-2），其引起的疾病被命名为“2019年新冠病毒肺炎”（COVID-19）。2020年1月31日，HHS发布了与COVID-19有关的突发公共卫生事件声明，并动员了HHS的运营部门。</w:t>
      </w:r>
      <w:r>
        <w:rPr>
          <w:rFonts w:eastAsia="宋体" w:cs="宋体"/>
          <w:sz w:val="21"/>
          <w:vertAlign w:val="superscript"/>
          <w:lang w:eastAsia="zh-CN"/>
        </w:rPr>
        <w:t>1</w:t>
      </w:r>
      <w:r>
        <w:rPr>
          <w:rFonts w:eastAsia="宋体" w:cs="宋体"/>
          <w:sz w:val="21"/>
          <w:lang w:eastAsia="zh-CN"/>
        </w:rPr>
        <w:t>此外，总统于2020年3月13日宣布全国进入紧急状态，以应对COVID-19。</w:t>
      </w:r>
      <w:r>
        <w:rPr>
          <w:rFonts w:eastAsia="宋体" w:cs="宋体"/>
          <w:sz w:val="21"/>
          <w:vertAlign w:val="superscript"/>
          <w:lang w:eastAsia="zh-CN"/>
        </w:rPr>
        <w:t>2</w:t>
      </w:r>
    </w:p>
    <w:p w14:paraId="2DAAF398">
      <w:pPr>
        <w:pStyle w:val="4"/>
        <w:adjustRightInd w:val="0"/>
        <w:snapToGrid w:val="0"/>
        <w:spacing w:before="120" w:beforeLines="50" w:line="300" w:lineRule="auto"/>
        <w:jc w:val="both"/>
        <w:rPr>
          <w:sz w:val="21"/>
          <w:szCs w:val="21"/>
          <w:lang w:eastAsia="zh-CN"/>
        </w:rPr>
      </w:pPr>
      <w:r>
        <w:rPr>
          <w:rFonts w:eastAsia="宋体" w:cs="宋体"/>
          <w:sz w:val="21"/>
          <w:lang w:eastAsia="zh-CN"/>
        </w:rPr>
        <w:t>FDA发布的指南概述了COVID-19突发公共卫生事件</w:t>
      </w:r>
      <w:r>
        <w:rPr>
          <w:rFonts w:eastAsia="宋体" w:cs="宋体"/>
          <w:sz w:val="21"/>
          <w:vertAlign w:val="superscript"/>
          <w:lang w:eastAsia="zh-CN"/>
        </w:rPr>
        <w:t>3</w:t>
      </w:r>
      <w:r>
        <w:rPr>
          <w:rFonts w:eastAsia="宋体" w:cs="宋体"/>
          <w:sz w:val="21"/>
          <w:lang w:eastAsia="zh-CN"/>
        </w:rPr>
        <w:t>期间开展医疗产品临床试验的一般考量因素（《执行指南》）。</w:t>
      </w:r>
      <w:r>
        <w:rPr>
          <w:rFonts w:eastAsia="宋体" w:cs="宋体"/>
          <w:sz w:val="21"/>
          <w:vertAlign w:val="superscript"/>
          <w:lang w:eastAsia="zh-CN"/>
        </w:rPr>
        <w:t>4</w:t>
      </w:r>
      <w:r>
        <w:rPr>
          <w:rFonts w:eastAsia="宋体" w:cs="宋体"/>
          <w:sz w:val="21"/>
          <w:lang w:eastAsia="zh-CN"/>
        </w:rPr>
        <w:t>《执行指南》指出，试验受试者的安全至关重要，并提供了可能帮助申请方减轻COVID-19突发公共卫生事件对实现试验目标的影响的建议，包括与记录方案偏离和终点评估方法相关的建议。本指南阐述了可能影响试验中主要或关键次要终点分析和解释的试验开展拟议变更的统计学考量因素。FDA建议申请方在考虑可能影响此类终点分析和解释的方案变更和统计学分析计划变更时咨询相关FDA审查部门。</w:t>
      </w:r>
    </w:p>
    <w:p w14:paraId="124FDDCC">
      <w:pPr>
        <w:pStyle w:val="4"/>
        <w:adjustRightInd w:val="0"/>
        <w:snapToGrid w:val="0"/>
        <w:spacing w:before="2880" w:beforeLines="1200" w:line="300" w:lineRule="auto"/>
        <w:jc w:val="both"/>
        <w:rPr>
          <w:rFonts w:eastAsiaTheme="minorEastAsia"/>
          <w:sz w:val="21"/>
          <w:szCs w:val="21"/>
          <w:lang w:eastAsia="zh-CN"/>
        </w:rPr>
      </w:pPr>
      <w:r>
        <w:rPr>
          <w:rFonts w:eastAsia="宋体" w:cs="宋体"/>
          <w:sz w:val="21"/>
          <w:lang w:eastAsia="zh-CN"/>
        </w:rPr>
        <w:t>____________________</w:t>
      </w:r>
    </w:p>
    <w:p w14:paraId="1CFC8AD7">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1</w:t>
      </w:r>
      <w:r>
        <w:rPr>
          <w:rFonts w:eastAsia="宋体" w:cs="宋体"/>
          <w:sz w:val="18"/>
          <w:lang w:eastAsia="zh-CN"/>
        </w:rPr>
        <w:t xml:space="preserve"> 美国卫生与公众服务部部长Alex M. Azar确定发生了突发公共卫生事件（2020年1月31日发布，2020年4月21日更新），</w:t>
      </w:r>
      <w:r>
        <w:rPr>
          <w:rFonts w:eastAsia="宋体" w:cs="宋体"/>
          <w:i/>
          <w:sz w:val="18"/>
          <w:lang w:eastAsia="zh-CN"/>
        </w:rPr>
        <w:t>可登录以下网址获取：</w:t>
      </w:r>
      <w:r>
        <w:rPr>
          <w:rFonts w:eastAsia="宋体" w:cs="宋体"/>
          <w:color w:val="0000FF"/>
          <w:sz w:val="18"/>
          <w:u w:val="single"/>
          <w:lang w:eastAsia="zh-CN"/>
        </w:rPr>
        <w:t>https://www.phe.gov/emergency/news/healthactions/phe/Pages/default.aspx</w:t>
      </w:r>
      <w:r>
        <w:rPr>
          <w:rFonts w:eastAsia="宋体" w:cs="宋体"/>
          <w:sz w:val="18"/>
          <w:lang w:eastAsia="zh-CN"/>
        </w:rPr>
        <w:t>。</w:t>
      </w:r>
    </w:p>
    <w:p w14:paraId="1F6728A2">
      <w:pPr>
        <w:wordWrap w:val="0"/>
        <w:adjustRightInd w:val="0"/>
        <w:snapToGrid w:val="0"/>
        <w:spacing w:before="36" w:beforeLines="15" w:line="276" w:lineRule="auto"/>
        <w:jc w:val="both"/>
        <w:rPr>
          <w:sz w:val="18"/>
          <w:szCs w:val="21"/>
        </w:rPr>
      </w:pPr>
      <w:r>
        <w:rPr>
          <w:rFonts w:eastAsia="宋体" w:cs="宋体"/>
          <w:sz w:val="18"/>
          <w:vertAlign w:val="superscript"/>
        </w:rPr>
        <w:t>2</w:t>
      </w:r>
      <w:r>
        <w:rPr>
          <w:rFonts w:eastAsia="宋体" w:cs="宋体"/>
          <w:sz w:val="18"/>
        </w:rPr>
        <w:t xml:space="preserve"> 关于宣布新型冠状病毒肺炎（COVID-19）爆发的全国性紧急情况公告（2020年3月13日），</w:t>
      </w:r>
      <w:r>
        <w:rPr>
          <w:rFonts w:eastAsia="宋体" w:cs="宋体"/>
          <w:i/>
          <w:sz w:val="18"/>
        </w:rPr>
        <w:t>可登录以下网址获取：</w:t>
      </w:r>
      <w:r>
        <w:rPr>
          <w:rFonts w:eastAsia="宋体" w:cs="宋体"/>
          <w:color w:val="0000FF"/>
          <w:sz w:val="18"/>
          <w:u w:val="single"/>
        </w:rPr>
        <w:t>https://www.whitehouse.gov/presidential-actions/proclamation-declaring-national-emergency-concerning-novel-coronavirus-disease-covid-19-outbreak/</w:t>
      </w:r>
      <w:r>
        <w:rPr>
          <w:rFonts w:eastAsia="宋体" w:cs="宋体"/>
          <w:sz w:val="18"/>
        </w:rPr>
        <w:t>。</w:t>
      </w:r>
    </w:p>
    <w:p w14:paraId="538E901D">
      <w:pPr>
        <w:wordWrap w:val="0"/>
        <w:adjustRightInd w:val="0"/>
        <w:snapToGrid w:val="0"/>
        <w:spacing w:before="36" w:beforeLines="15" w:line="276" w:lineRule="auto"/>
        <w:jc w:val="both"/>
        <w:rPr>
          <w:sz w:val="18"/>
          <w:szCs w:val="21"/>
        </w:rPr>
      </w:pPr>
      <w:r>
        <w:rPr>
          <w:rFonts w:eastAsia="宋体" w:cs="宋体"/>
          <w:sz w:val="18"/>
          <w:vertAlign w:val="superscript"/>
          <w:lang w:eastAsia="zh-CN"/>
        </w:rPr>
        <w:t>3</w:t>
      </w:r>
      <w:r>
        <w:rPr>
          <w:rFonts w:eastAsia="宋体" w:cs="宋体"/>
          <w:sz w:val="18"/>
          <w:lang w:eastAsia="zh-CN"/>
        </w:rPr>
        <w:t xml:space="preserve"> 面向行业、研究者和机构审查委员会的指南，</w:t>
      </w:r>
      <w:r>
        <w:rPr>
          <w:rFonts w:eastAsia="宋体" w:cs="宋体"/>
          <w:i/>
          <w:sz w:val="18"/>
          <w:lang w:eastAsia="zh-CN"/>
        </w:rPr>
        <w:t>FDA关于在COVID-19突发公共卫生事件期间进行医疗产品临床试验的指南</w:t>
      </w:r>
      <w:r>
        <w:rPr>
          <w:rFonts w:eastAsia="宋体" w:cs="宋体"/>
          <w:sz w:val="18"/>
          <w:lang w:eastAsia="zh-CN"/>
        </w:rPr>
        <w:t>（2020年3月）。</w:t>
      </w:r>
      <w:r>
        <w:rPr>
          <w:rFonts w:eastAsia="宋体" w:cs="宋体"/>
          <w:sz w:val="18"/>
        </w:rPr>
        <w:t>我们会定期更新指南。关于最新版指南，请查看FDA网页上标题为《面向行业、FDA工作人员及其他利益相关方的COVID-19相关指南文件》的指南（</w:t>
      </w:r>
      <w:r>
        <w:rPr>
          <w:rFonts w:eastAsia="宋体" w:cs="宋体"/>
          <w:i/>
          <w:sz w:val="18"/>
        </w:rPr>
        <w:t>可登录以下网址获取：</w:t>
      </w:r>
      <w:r>
        <w:rPr>
          <w:rFonts w:eastAsia="宋体" w:cs="宋体"/>
          <w:color w:val="0000FF"/>
          <w:sz w:val="18"/>
          <w:u w:val="single"/>
        </w:rPr>
        <w:t>https://www.fda.gov/emergency-preparedness-and-response/mcm-issues/covid-19-related-guidance-documents-industry-fda-staff-and-other-stakeholders</w:t>
      </w:r>
      <w:r>
        <w:rPr>
          <w:rFonts w:eastAsia="宋体" w:cs="宋体"/>
          <w:sz w:val="18"/>
        </w:rPr>
        <w:t>），以及FDA网页上标题为《FDA指南文件搜索》的指南（</w:t>
      </w:r>
      <w:r>
        <w:rPr>
          <w:rFonts w:eastAsia="宋体" w:cs="宋体"/>
          <w:i/>
          <w:sz w:val="18"/>
        </w:rPr>
        <w:t>可登录以下网址获取：</w:t>
      </w:r>
      <w:r>
        <w:rPr>
          <w:rFonts w:eastAsia="宋体" w:cs="宋体"/>
          <w:color w:val="0000FF"/>
          <w:sz w:val="18"/>
          <w:u w:val="single"/>
        </w:rPr>
        <w:t>https://www.fda.gov/regulatory- information/search-fda-guidance-documents</w:t>
      </w:r>
      <w:r>
        <w:rPr>
          <w:rFonts w:eastAsia="宋体" w:cs="宋体"/>
          <w:sz w:val="18"/>
        </w:rPr>
        <w:t>）。</w:t>
      </w:r>
    </w:p>
    <w:p w14:paraId="1F3B8A65">
      <w:pPr>
        <w:adjustRightInd w:val="0"/>
        <w:snapToGrid w:val="0"/>
        <w:spacing w:before="36" w:beforeLines="15" w:line="276" w:lineRule="auto"/>
        <w:jc w:val="both"/>
        <w:rPr>
          <w:sz w:val="21"/>
          <w:szCs w:val="21"/>
        </w:rPr>
      </w:pPr>
      <w:r>
        <w:rPr>
          <w:rFonts w:eastAsia="宋体" w:cs="宋体"/>
          <w:sz w:val="18"/>
          <w:vertAlign w:val="superscript"/>
          <w:lang w:eastAsia="zh-CN"/>
        </w:rPr>
        <w:t>4</w:t>
      </w:r>
      <w:r>
        <w:rPr>
          <w:rFonts w:eastAsia="宋体" w:cs="宋体"/>
          <w:sz w:val="18"/>
          <w:lang w:eastAsia="zh-CN"/>
        </w:rPr>
        <w:t xml:space="preserve"> 尽管兽药中心（CVM）未加入《执行指南》，但其发布了单独的指南，解释了如何将《执行指南》中的原则应用于COVID-19突发公共卫生事件期间的动物药品临床试验。</w:t>
      </w:r>
      <w:r>
        <w:rPr>
          <w:rFonts w:eastAsia="宋体" w:cs="宋体"/>
          <w:sz w:val="18"/>
        </w:rPr>
        <w:t>参见面向行业的CVM指南#270，《</w:t>
      </w:r>
      <w:r>
        <w:rPr>
          <w:rFonts w:eastAsia="宋体" w:cs="宋体"/>
          <w:color w:val="0000FF"/>
          <w:sz w:val="18"/>
          <w:u w:val="single"/>
        </w:rPr>
        <w:t>支持COVID-19突发公共卫生事件期间新动物药品开发的研究开展和审查指南</w:t>
      </w:r>
      <w:r>
        <w:rPr>
          <w:rFonts w:eastAsia="宋体" w:cs="宋体"/>
          <w:sz w:val="18"/>
        </w:rPr>
        <w:t>》（2020年4月），</w:t>
      </w:r>
      <w:r>
        <w:rPr>
          <w:rFonts w:eastAsia="宋体" w:cs="宋体"/>
          <w:i/>
          <w:sz w:val="18"/>
        </w:rPr>
        <w:t>可登录以下网址获取：</w:t>
      </w:r>
      <w:r>
        <w:rPr>
          <w:rFonts w:eastAsia="宋体" w:cs="宋体"/>
          <w:color w:val="0000FF"/>
          <w:sz w:val="18"/>
          <w:u w:val="single"/>
        </w:rPr>
        <w:t>https://www.fda.gov/emergency-preparedness-and-response/coronavirus-disease-2019-covid-19/covid-19- related-guidance-documents-industry-fda-staff-and-other-stakeholders</w:t>
      </w:r>
      <w:r>
        <w:rPr>
          <w:rFonts w:eastAsia="宋体" w:cs="宋体"/>
          <w:sz w:val="18"/>
        </w:rPr>
        <w:t>。</w:t>
      </w:r>
      <w:r>
        <w:rPr>
          <w:rFonts w:eastAsia="宋体" w:cs="宋体"/>
          <w:sz w:val="21"/>
        </w:rPr>
        <w:br w:type="page"/>
      </w:r>
    </w:p>
    <w:p w14:paraId="4A3900B5">
      <w:pPr>
        <w:pStyle w:val="4"/>
        <w:adjustRightInd w:val="0"/>
        <w:snapToGrid w:val="0"/>
        <w:spacing w:before="120" w:beforeLines="50" w:line="300" w:lineRule="auto"/>
        <w:ind w:left="562" w:hanging="562" w:hangingChars="200"/>
        <w:jc w:val="both"/>
        <w:outlineLvl w:val="0"/>
        <w:rPr>
          <w:b/>
          <w:sz w:val="28"/>
          <w:szCs w:val="21"/>
          <w:lang w:eastAsia="zh-CN"/>
        </w:rPr>
      </w:pPr>
      <w:bookmarkStart w:id="6" w:name="_Toc91865326"/>
      <w:r>
        <w:rPr>
          <w:rFonts w:eastAsia="宋体" w:cs="宋体"/>
          <w:b/>
          <w:sz w:val="28"/>
          <w:lang w:eastAsia="zh-CN"/>
        </w:rPr>
        <w:t>III.</w:t>
      </w:r>
      <w:r>
        <w:rPr>
          <w:rFonts w:eastAsia="宋体" w:cs="宋体"/>
          <w:b/>
          <w:lang w:eastAsia="zh-CN"/>
        </w:rPr>
        <w:tab/>
      </w:r>
      <w:r>
        <w:rPr>
          <w:rFonts w:eastAsia="宋体" w:cs="宋体"/>
          <w:b/>
          <w:sz w:val="28"/>
          <w:lang w:eastAsia="zh-CN"/>
        </w:rPr>
        <w:t>讨论</w:t>
      </w:r>
      <w:bookmarkEnd w:id="6"/>
    </w:p>
    <w:p w14:paraId="07DD0C8E">
      <w:pPr>
        <w:adjustRightInd w:val="0"/>
        <w:snapToGrid w:val="0"/>
        <w:spacing w:before="120" w:beforeLines="50" w:line="300" w:lineRule="auto"/>
        <w:ind w:left="862" w:leftChars="200" w:hanging="422" w:hangingChars="200"/>
        <w:jc w:val="both"/>
        <w:outlineLvl w:val="1"/>
        <w:rPr>
          <w:b/>
          <w:sz w:val="21"/>
          <w:szCs w:val="21"/>
          <w:lang w:eastAsia="zh-CN"/>
        </w:rPr>
      </w:pPr>
      <w:bookmarkStart w:id="7" w:name="_Toc91865327"/>
      <w:r>
        <w:rPr>
          <w:rFonts w:eastAsia="宋体" w:cs="宋体"/>
          <w:b/>
          <w:sz w:val="21"/>
          <w:lang w:eastAsia="zh-CN"/>
        </w:rPr>
        <w:t>A.</w:t>
      </w:r>
      <w:r>
        <w:rPr>
          <w:rFonts w:eastAsia="宋体" w:cs="宋体"/>
          <w:b/>
          <w:lang w:eastAsia="zh-CN"/>
        </w:rPr>
        <w:tab/>
      </w:r>
      <w:r>
        <w:rPr>
          <w:rFonts w:eastAsia="宋体" w:cs="宋体"/>
          <w:b/>
          <w:sz w:val="21"/>
          <w:lang w:eastAsia="zh-CN"/>
        </w:rPr>
        <w:t>试验完整性</w:t>
      </w:r>
      <w:bookmarkEnd w:id="7"/>
    </w:p>
    <w:p w14:paraId="46374D2C">
      <w:pPr>
        <w:pStyle w:val="14"/>
        <w:numPr>
          <w:ilvl w:val="0"/>
          <w:numId w:val="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在优先考虑试验受试者安全的同时，申请方还应积极计划应对COVID-19对实现试验目标能力的影响。对确定的主要或关键次要终点的修改通常需要提供方案修正案或研究用器械豁免（IDE）补充材料。</w:t>
      </w:r>
      <w:r>
        <w:rPr>
          <w:rFonts w:eastAsia="宋体" w:cs="宋体"/>
          <w:sz w:val="21"/>
          <w:vertAlign w:val="superscript"/>
          <w:lang w:eastAsia="zh-CN"/>
        </w:rPr>
        <w:t>5</w:t>
      </w:r>
      <w:r>
        <w:rPr>
          <w:rFonts w:eastAsia="宋体" w:cs="宋体"/>
          <w:sz w:val="21"/>
          <w:lang w:eastAsia="zh-CN"/>
        </w:rPr>
        <w:t>在锁定数据库并对非盲中期分析进行任何修改之前，对主要或关键次要终点分析进行修改，应反映在更新的统计学分析计划中。</w:t>
      </w:r>
    </w:p>
    <w:p w14:paraId="5298638E">
      <w:pPr>
        <w:pStyle w:val="14"/>
        <w:numPr>
          <w:ilvl w:val="0"/>
          <w:numId w:val="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考虑修改试验以应对COVID-19的影响时，申请方不应根据可能会在解释试验结果时引入偏倚的数据提议任何试验修改。一般而言，对于设盲试验，基于揭示治疗效果大小的信息或治疗组提供的信息的修改可能会引入偏倚。例如，根据通过既往中期分析对治疗组之间治疗差异的了解，在计划持续时间之前停止试验可能会因</w:t>
      </w:r>
      <w:r>
        <w:rPr>
          <w:rFonts w:hint="eastAsia" w:eastAsia="宋体" w:cs="宋体"/>
          <w:sz w:val="21"/>
          <w:lang w:eastAsia="zh-CN"/>
        </w:rPr>
        <w:t>此</w:t>
      </w:r>
      <w:r>
        <w:rPr>
          <w:rFonts w:eastAsia="宋体" w:cs="宋体"/>
          <w:sz w:val="21"/>
          <w:lang w:eastAsia="zh-CN"/>
        </w:rPr>
        <w:t>接近随机高治疗估计值的试验而引入偏倚。直方图和Kaplan-Meier图可能提示治疗效果信息，应避免使用。但是，在试验完整性得到适当保障的情况下（例如使用数据监测委员会），出于受试者安全的考虑，可根据非盲数据停止试验。</w:t>
      </w:r>
    </w:p>
    <w:p w14:paraId="3B301EDF">
      <w:pPr>
        <w:pStyle w:val="14"/>
        <w:numPr>
          <w:ilvl w:val="0"/>
          <w:numId w:val="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在修改试验以应对COVID-19的影响时，需要考虑的适当受试者数据包括各治疗组汇总的总结，包括有关数据</w:t>
      </w:r>
      <w:r>
        <w:rPr>
          <w:rFonts w:hint="eastAsia" w:eastAsia="宋体" w:cs="宋体"/>
          <w:sz w:val="21"/>
          <w:lang w:eastAsia="zh-CN"/>
        </w:rPr>
        <w:t>缺失</w:t>
      </w:r>
      <w:r>
        <w:rPr>
          <w:rFonts w:eastAsia="宋体" w:cs="宋体"/>
          <w:sz w:val="21"/>
          <w:lang w:eastAsia="zh-CN"/>
        </w:rPr>
        <w:t>、受试者治疗中止或中断、受试者退出试验以及终点的信息。考虑修改试验时，可能适合采用非特定个体受试者的信息，例如有关研究中心关闭和研究产品供应中断的信息。</w:t>
      </w:r>
    </w:p>
    <w:p w14:paraId="401D1426">
      <w:pPr>
        <w:adjustRightInd w:val="0"/>
        <w:snapToGrid w:val="0"/>
        <w:spacing w:before="120" w:beforeLines="50" w:line="300" w:lineRule="auto"/>
        <w:ind w:left="862" w:leftChars="200" w:hanging="422" w:hangingChars="200"/>
        <w:jc w:val="both"/>
        <w:outlineLvl w:val="1"/>
        <w:rPr>
          <w:b/>
          <w:sz w:val="21"/>
          <w:szCs w:val="21"/>
          <w:lang w:eastAsia="zh-CN"/>
        </w:rPr>
      </w:pPr>
      <w:bookmarkStart w:id="8" w:name="_Toc91865328"/>
      <w:r>
        <w:rPr>
          <w:rFonts w:eastAsia="宋体" w:cs="宋体"/>
          <w:b/>
          <w:sz w:val="21"/>
          <w:lang w:eastAsia="zh-CN"/>
        </w:rPr>
        <w:t>B.</w:t>
      </w:r>
      <w:r>
        <w:rPr>
          <w:rFonts w:eastAsia="宋体" w:cs="宋体"/>
          <w:b/>
          <w:lang w:eastAsia="zh-CN"/>
        </w:rPr>
        <w:tab/>
      </w:r>
      <w:r>
        <w:rPr>
          <w:rFonts w:eastAsia="宋体" w:cs="宋体"/>
          <w:b/>
          <w:sz w:val="21"/>
          <w:lang w:eastAsia="zh-CN"/>
        </w:rPr>
        <w:t>试验缓解措施和分析策略</w:t>
      </w:r>
      <w:bookmarkEnd w:id="8"/>
    </w:p>
    <w:p w14:paraId="369AC60E">
      <w:pPr>
        <w:pStyle w:val="4"/>
        <w:adjustRightInd w:val="0"/>
        <w:snapToGrid w:val="0"/>
        <w:spacing w:before="120" w:beforeLines="50" w:line="300" w:lineRule="auto"/>
        <w:jc w:val="both"/>
        <w:rPr>
          <w:sz w:val="21"/>
          <w:szCs w:val="21"/>
          <w:lang w:eastAsia="zh-CN"/>
        </w:rPr>
      </w:pPr>
      <w:r>
        <w:rPr>
          <w:rFonts w:eastAsia="宋体" w:cs="宋体"/>
          <w:sz w:val="21"/>
          <w:lang w:eastAsia="zh-CN"/>
        </w:rPr>
        <w:t>为应对COVID-19对评价试验主要和关键次要终点的影响，FDA提供了以下几种设计和分析策略的考量因素。可能需要多种策略来充分应对COVID-19的影响。应与相关FDA审查部门就此类设计和分析策略展开讨论。</w:t>
      </w:r>
    </w:p>
    <w:p w14:paraId="6AACCF2A">
      <w:pPr>
        <w:pStyle w:val="4"/>
        <w:adjustRightInd w:val="0"/>
        <w:snapToGrid w:val="0"/>
        <w:spacing w:before="5280" w:beforeLines="2200" w:line="300" w:lineRule="auto"/>
        <w:jc w:val="both"/>
        <w:rPr>
          <w:rFonts w:eastAsiaTheme="minorEastAsia"/>
          <w:sz w:val="21"/>
          <w:szCs w:val="21"/>
          <w:lang w:eastAsia="zh-CN"/>
        </w:rPr>
      </w:pPr>
      <w:r>
        <w:rPr>
          <w:rFonts w:eastAsia="宋体" w:cs="宋体"/>
          <w:sz w:val="21"/>
          <w:lang w:eastAsia="zh-CN"/>
        </w:rPr>
        <w:t>____________________</w:t>
      </w:r>
    </w:p>
    <w:p w14:paraId="0294746C">
      <w:pPr>
        <w:adjustRightInd w:val="0"/>
        <w:snapToGrid w:val="0"/>
        <w:spacing w:before="36" w:beforeLines="15" w:line="276" w:lineRule="auto"/>
        <w:jc w:val="both"/>
        <w:rPr>
          <w:sz w:val="21"/>
          <w:szCs w:val="21"/>
          <w:lang w:eastAsia="zh-CN"/>
        </w:rPr>
      </w:pPr>
      <w:r>
        <w:rPr>
          <w:sz w:val="18"/>
          <w:szCs w:val="21"/>
          <w:vertAlign w:val="superscript"/>
          <w:lang w:eastAsia="zh-CN"/>
        </w:rPr>
        <w:t>5</w:t>
      </w:r>
      <w:r>
        <w:rPr>
          <w:sz w:val="18"/>
          <w:szCs w:val="21"/>
          <w:lang w:eastAsia="zh-CN"/>
        </w:rPr>
        <w:t xml:space="preserve"> 21 CFR 312.30</w:t>
      </w:r>
      <w:r>
        <w:rPr>
          <w:rFonts w:hint="eastAsia" w:eastAsiaTheme="minorEastAsia"/>
          <w:sz w:val="18"/>
          <w:szCs w:val="21"/>
          <w:lang w:eastAsia="zh-CN"/>
        </w:rPr>
        <w:t>和</w:t>
      </w:r>
      <w:r>
        <w:rPr>
          <w:sz w:val="18"/>
          <w:szCs w:val="21"/>
          <w:lang w:eastAsia="zh-CN"/>
        </w:rPr>
        <w:t>812.35.</w:t>
      </w:r>
      <w:r>
        <w:rPr>
          <w:rFonts w:eastAsia="宋体" w:cs="宋体"/>
          <w:sz w:val="21"/>
          <w:lang w:eastAsia="zh-CN"/>
        </w:rPr>
        <w:br w:type="page"/>
      </w:r>
    </w:p>
    <w:p w14:paraId="144317DF">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如《执行指南》中所述，重要的是要在受试者级别获取特定信息，描述与COVID-19有关的基线后事件的背景和/或原因，如中断治疗、退出试验、应用替代或抢救治疗、确定错过终点以及采用替代终点确定方法。将该信息纳入分析策略可能有所帮助，可应对潜在偏倚或用于执行与COVID-19的影响相关的灵敏度分析。</w:t>
      </w:r>
    </w:p>
    <w:p w14:paraId="6CF7882C">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对于考虑停止试验并执行最终分析的申请方而言，一个主要考量因素是样本量较小或随访时间比预期短导致统计功效降低。对于设盲试验，可进行设盲效力评估，以估计改良研究的效力。该评估可采用试验完成部分各治疗组的实际事件合并发生率或各治疗组观察到的变异性合并发生率。</w:t>
      </w:r>
    </w:p>
    <w:p w14:paraId="6F2FFFBC">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提前停止试验或在开展试验时增加中期分析可能会影响统计学推断（例如p值、置信区间）。如上所述，对试验的任何修改（包括最初计划的分析）均不应以揭示治疗效果信息的数据为依据。</w:t>
      </w:r>
    </w:p>
    <w:p w14:paraId="1F72C3F6">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如果开展试验前未进行中期分析并且试验提前停止，则采用最初计划的统计学分析可能适合于统计学推断。由于信息减少（例如终点事件减少），实际结果的统计学显著性可能较低，或具有比试验设计更宽的置信区间。</w:t>
      </w:r>
    </w:p>
    <w:p w14:paraId="10D4872B">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如果开展试验前未进行中期分析，则添加中期分析计划是可行的。</w:t>
      </w:r>
    </w:p>
    <w:p w14:paraId="44522515">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对于前瞻性规定中期分析计划的试验，可提前停止试验，或者增加或修改中期分析，但仍保持对1类错误的控制。</w:t>
      </w:r>
    </w:p>
    <w:p w14:paraId="1E6573C4">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sz w:val="21"/>
          <w:lang w:eastAsia="zh-CN"/>
        </w:rPr>
        <w:t>在COVID-19的影响过去之后，申请方可考虑在原计划入组人数的基础上视情况予以增加，以克服COVID-19影响造成的信息丢失。同样，对于事件驱动的试验，申请方可考虑延长随访时间，以获得更多事件。申请方应进行灵敏度分析，检查最初入组的受试者与其他受试者之间基线特征和基线后事件（包括终点和不良事件）的差异，以了解招募变化的影响，包括招募地点和招募时间的变化。</w:t>
      </w:r>
    </w:p>
    <w:p w14:paraId="3516F794">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sz w:val="21"/>
          <w:lang w:eastAsia="zh-CN"/>
        </w:rPr>
        <w:t>申请方应考虑如何对未确定终点或研究产品因COVID-19而中断的受试者数据进行分析。</w:t>
      </w:r>
    </w:p>
    <w:p w14:paraId="4D24A648">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120BF6DE">
      <w:pPr>
        <w:adjustRightInd w:val="0"/>
        <w:snapToGrid w:val="0"/>
        <w:spacing w:before="120" w:beforeLines="50" w:line="300" w:lineRule="auto"/>
        <w:ind w:left="1510" w:leftChars="400" w:hanging="630" w:hangingChars="3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对于因COVID-19而关闭一段时间的研究中心的试验，该时间段内未确定的终点不一定与治疗分配或</w:t>
      </w:r>
      <w:r>
        <w:rPr>
          <w:rFonts w:hint="eastAsia" w:eastAsia="宋体" w:cs="宋体"/>
          <w:sz w:val="21"/>
          <w:lang w:eastAsia="zh-CN"/>
        </w:rPr>
        <w:t>受试</w:t>
      </w:r>
      <w:r>
        <w:rPr>
          <w:rFonts w:eastAsia="宋体" w:cs="宋体"/>
          <w:sz w:val="21"/>
          <w:lang w:eastAsia="zh-CN"/>
        </w:rPr>
        <w:t>者特征和结局相关。在这种情况下，</w:t>
      </w:r>
      <w:r>
        <w:rPr>
          <w:rFonts w:hint="eastAsia" w:eastAsia="宋体" w:cs="宋体"/>
          <w:sz w:val="21"/>
          <w:lang w:eastAsia="zh-CN"/>
        </w:rPr>
        <w:t>关闭研究中心的所有通过研究中确定终点的受试者，应被排除在外，以避免结果偏倚。</w:t>
      </w:r>
      <w:r>
        <w:rPr>
          <w:rFonts w:eastAsia="宋体" w:cs="宋体"/>
          <w:sz w:val="21"/>
          <w:lang w:eastAsia="zh-CN"/>
        </w:rPr>
        <w:t>但是，为了避免采用该方法时造成偏倚，重要的是将关闭研究中心中所有计划确定终点的受试者排除在外（无论其先前是否已退出）—例如，不应插补如果此类受试者仍在试验中，会受到COVID-19影响的终点确定的值。对于该方法，排除受试者不应采用基线后受试者信息，应仅采用随机分组相关信息。例如，所有可能受到影响的受试者可通过研究中心地点以及与研究中心关闭期间的终点确定相关的随机分组日期予以识别。如果大量受试者受到影响，该策略可能导致大量信息丢失，可考虑采用替代终点确定方法和定义（参见下文第（6）项）或者可能增加试验的入组人数（参见上文第（4）项），以维持统计功效。</w:t>
      </w:r>
    </w:p>
    <w:p w14:paraId="700A6CE6">
      <w:pPr>
        <w:adjustRightInd w:val="0"/>
        <w:snapToGrid w:val="0"/>
        <w:spacing w:before="120" w:beforeLines="50" w:line="300" w:lineRule="auto"/>
        <w:ind w:left="1510" w:leftChars="400" w:hanging="630" w:hangingChars="3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同样，如果某一研究中心关闭一段时间会对受试者的试验指定治疗产生重大影响，从而不太可能观察到任何治疗效果，则排除该时间段内受到影响的受试者可能是合理的。例如，如果近期随机分组的受试者无法在研究产品的假设效果仅在持续治疗后显现的长时间内获得试验指定治疗，则将所有可能受到影响的受试者排除在分析之外可能是合理的。同样，排除受试者的决定不应采用基线后受试者信息（例如治疗时间），而应采用基线信息（例如研究中心地点和随机日期）。此类决定不应基于揭示治疗信息的数据，应与FDA审查部门就此展开讨论。</w:t>
      </w:r>
    </w:p>
    <w:p w14:paraId="5B00B3FB">
      <w:pPr>
        <w:adjustRightInd w:val="0"/>
        <w:snapToGrid w:val="0"/>
        <w:spacing w:before="120" w:beforeLines="50" w:line="300" w:lineRule="auto"/>
        <w:ind w:left="1510" w:leftChars="400" w:hanging="630" w:hangingChars="3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应对缺失信息的其他行之有效的方法依赖于采用基线和基线后可用的受试者信息，包括COVID-19相关信息（参见上文第（1）项）。</w:t>
      </w:r>
    </w:p>
    <w:p w14:paraId="45058AE9">
      <w:pPr>
        <w:adjustRightInd w:val="0"/>
        <w:snapToGrid w:val="0"/>
        <w:spacing w:before="120" w:beforeLines="50" w:line="300" w:lineRule="auto"/>
        <w:ind w:left="1070" w:leftChars="200" w:hanging="630" w:hangingChars="300"/>
        <w:jc w:val="both"/>
        <w:rPr>
          <w:sz w:val="21"/>
          <w:szCs w:val="21"/>
          <w:lang w:eastAsia="zh-CN"/>
        </w:rPr>
      </w:pPr>
      <w:r>
        <w:rPr>
          <w:rFonts w:eastAsia="宋体" w:cs="宋体"/>
          <w:sz w:val="21"/>
          <w:lang w:eastAsia="zh-CN"/>
        </w:rPr>
        <w:t>（6）</w:t>
      </w:r>
      <w:r>
        <w:rPr>
          <w:rFonts w:eastAsia="宋体" w:cs="宋体"/>
          <w:sz w:val="21"/>
          <w:lang w:eastAsia="zh-CN"/>
        </w:rPr>
        <w:tab/>
      </w:r>
      <w:r>
        <w:rPr>
          <w:rFonts w:eastAsia="宋体" w:cs="宋体"/>
          <w:sz w:val="21"/>
          <w:lang w:eastAsia="zh-CN"/>
        </w:rPr>
        <w:t>可能需要修改试验终点的定义和确定，以应对COVID-19对试验完整性的影响，应与相关FDA审查部门就此展开讨论。一些潜在的修改包括：</w:t>
      </w:r>
    </w:p>
    <w:p w14:paraId="00AEE79D">
      <w:pPr>
        <w:adjustRightInd w:val="0"/>
        <w:snapToGrid w:val="0"/>
        <w:spacing w:before="120" w:beforeLines="50" w:line="300" w:lineRule="auto"/>
        <w:ind w:left="1510" w:leftChars="400" w:hanging="630" w:hangingChars="3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采用替代确定方法，例如用远程确定取代基于性能结局的面对面终点确定或基于访谈的临床医生报告结局（参见《执行指南》附录中的问题Q12）。</w:t>
      </w:r>
    </w:p>
    <w:p w14:paraId="50F812C7">
      <w:pPr>
        <w:adjustRightInd w:val="0"/>
        <w:snapToGrid w:val="0"/>
        <w:spacing w:before="120" w:beforeLines="50" w:line="300" w:lineRule="auto"/>
        <w:ind w:left="1510" w:leftChars="400" w:hanging="630" w:hangingChars="3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扩展方案定义的时间窗，以执行终点确定或使用较早或较晚计划的确定。</w:t>
      </w:r>
    </w:p>
    <w:p w14:paraId="57F54498">
      <w:pPr>
        <w:adjustRightInd w:val="0"/>
        <w:snapToGrid w:val="0"/>
        <w:spacing w:before="120" w:beforeLines="50" w:line="300" w:lineRule="auto"/>
        <w:ind w:left="1300" w:leftChars="400" w:hanging="420" w:hangingChars="200"/>
        <w:jc w:val="both"/>
        <w:rPr>
          <w:sz w:val="21"/>
          <w:szCs w:val="21"/>
          <w:lang w:eastAsia="zh-CN"/>
        </w:rPr>
      </w:pPr>
    </w:p>
    <w:p w14:paraId="77555A86">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207EC8AF">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对于复合终点，纳入额外和临床相关的组成部分或剔除无法确定的组成部分。</w:t>
      </w:r>
    </w:p>
    <w:p w14:paraId="3AE59ABF">
      <w:p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对于基于连续或定序测量的二元终点，使用连续或定序测量作为终点。</w:t>
      </w:r>
    </w:p>
    <w:p w14:paraId="156E5B92">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应在灵敏度分析中仔细评价改变方法或改变时间导致的终点定义或确定的任何变化的影响。特别是，应探讨在确定在试验组之间或具有不同基线特征的受试者之间的任何差异。例如，应通过终点确定的方法和时间对灵敏度分析进行分层。</w:t>
      </w:r>
    </w:p>
    <w:p w14:paraId="7B7101AF">
      <w:pPr>
        <w:pBdr>
          <w:bottom w:val="single" w:color="auto" w:sz="4" w:space="1"/>
        </w:pBdr>
        <w:adjustRightInd w:val="0"/>
        <w:snapToGrid w:val="0"/>
        <w:spacing w:before="120" w:beforeLines="50" w:line="300" w:lineRule="auto"/>
        <w:jc w:val="center"/>
        <w:rPr>
          <w:rFonts w:hint="eastAsia" w:eastAsia="宋体"/>
          <w:lang w:eastAsia="zh-CN"/>
        </w:rPr>
      </w:pPr>
    </w:p>
    <w:p w14:paraId="2095D90B">
      <w:pPr>
        <w:pBdr>
          <w:bottom w:val="single" w:color="auto" w:sz="4" w:space="1"/>
        </w:pBdr>
        <w:adjustRightInd w:val="0"/>
        <w:snapToGrid w:val="0"/>
        <w:spacing w:before="120" w:beforeLines="50" w:line="300" w:lineRule="auto"/>
        <w:jc w:val="center"/>
        <w:rPr>
          <w:rFonts w:hint="eastAsia" w:eastAsia="宋体"/>
          <w:lang w:eastAsia="zh-CN"/>
        </w:rPr>
      </w:pPr>
    </w:p>
    <w:p w14:paraId="38E1E5F6">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44F1">
    <w:pPr>
      <w:pStyle w:val="6"/>
      <w:jc w:val="center"/>
    </w:pPr>
    <w:r>
      <w:fldChar w:fldCharType="begin"/>
    </w:r>
    <w:r>
      <w:instrText xml:space="preserve">PAGE   \* MERGEFORMAT</w:instrText>
    </w:r>
    <w:r>
      <w:fldChar w:fldCharType="separate"/>
    </w:r>
    <w:r>
      <w:rPr>
        <w:lang w:val="zh-CN" w:eastAsia="zh-CN"/>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BF3E">
    <w:pPr>
      <w:adjustRightInd w:val="0"/>
      <w:snapToGrid w:val="0"/>
      <w:jc w:val="center"/>
      <w:rPr>
        <w:sz w:val="21"/>
        <w:szCs w:val="21"/>
        <w:lang w:eastAsia="zh-CN"/>
      </w:rPr>
    </w:pPr>
    <w:r>
      <w:rPr>
        <w:rFonts w:hint="eastAsia" w:eastAsia="宋体" w:cs="宋体"/>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475AC"/>
    <w:multiLevelType w:val="multilevel"/>
    <w:tmpl w:val="3C7475AC"/>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33"/>
    <w:rsid w:val="00030074"/>
    <w:rsid w:val="0004123C"/>
    <w:rsid w:val="000E4FBE"/>
    <w:rsid w:val="000E50B6"/>
    <w:rsid w:val="000F13E5"/>
    <w:rsid w:val="00113A91"/>
    <w:rsid w:val="00115CDD"/>
    <w:rsid w:val="00144CBE"/>
    <w:rsid w:val="00175AFC"/>
    <w:rsid w:val="00212AC0"/>
    <w:rsid w:val="00233282"/>
    <w:rsid w:val="00267E31"/>
    <w:rsid w:val="002A1E2E"/>
    <w:rsid w:val="002E5681"/>
    <w:rsid w:val="00303D9A"/>
    <w:rsid w:val="0048178E"/>
    <w:rsid w:val="004A39E4"/>
    <w:rsid w:val="004D67C1"/>
    <w:rsid w:val="004F3F92"/>
    <w:rsid w:val="00593F3D"/>
    <w:rsid w:val="00647BDB"/>
    <w:rsid w:val="00652177"/>
    <w:rsid w:val="00656AB0"/>
    <w:rsid w:val="006736EC"/>
    <w:rsid w:val="006A065F"/>
    <w:rsid w:val="007363E5"/>
    <w:rsid w:val="007408CD"/>
    <w:rsid w:val="008769BC"/>
    <w:rsid w:val="008775F2"/>
    <w:rsid w:val="00886B92"/>
    <w:rsid w:val="00904333"/>
    <w:rsid w:val="00A72254"/>
    <w:rsid w:val="00A7264B"/>
    <w:rsid w:val="00A92F6B"/>
    <w:rsid w:val="00B71580"/>
    <w:rsid w:val="00B7722A"/>
    <w:rsid w:val="00B87AF0"/>
    <w:rsid w:val="00B9046B"/>
    <w:rsid w:val="00BA608E"/>
    <w:rsid w:val="00D11FCE"/>
    <w:rsid w:val="00D80BB7"/>
    <w:rsid w:val="00DA6F20"/>
    <w:rsid w:val="00DC4CA1"/>
    <w:rsid w:val="00DD2CA4"/>
    <w:rsid w:val="00E3476D"/>
    <w:rsid w:val="00EE3C7E"/>
    <w:rsid w:val="00FA3729"/>
    <w:rsid w:val="00FB3903"/>
    <w:rsid w:val="72CE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280"/>
      <w:outlineLvl w:val="0"/>
    </w:pPr>
    <w:rPr>
      <w:b/>
      <w:bCs/>
      <w:sz w:val="36"/>
      <w:szCs w:val="36"/>
    </w:rPr>
  </w:style>
  <w:style w:type="paragraph" w:styleId="3">
    <w:name w:val="heading 2"/>
    <w:basedOn w:val="1"/>
    <w:qFormat/>
    <w:uiPriority w:val="1"/>
    <w:pPr>
      <w:ind w:left="1718" w:hanging="746"/>
      <w:outlineLvl w:val="1"/>
    </w:pPr>
    <w:rPr>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spacing w:before="99"/>
      <w:ind w:left="760" w:hanging="660"/>
    </w:pPr>
    <w:rPr>
      <w:sz w:val="24"/>
      <w:szCs w:val="24"/>
    </w:rPr>
  </w:style>
  <w:style w:type="paragraph" w:styleId="9">
    <w:name w:val="toc 2"/>
    <w:basedOn w:val="1"/>
    <w:qFormat/>
    <w:uiPriority w:val="39"/>
    <w:pPr>
      <w:spacing w:before="99"/>
      <w:ind w:left="1159" w:hanging="640"/>
    </w:pPr>
    <w:rPr>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718" w:hanging="360"/>
    </w:pPr>
  </w:style>
  <w:style w:type="paragraph" w:customStyle="1" w:styleId="15">
    <w:name w:val="Table Paragraph"/>
    <w:basedOn w:val="1"/>
    <w:qFormat/>
    <w:uiPriority w:val="1"/>
  </w:style>
  <w:style w:type="character" w:customStyle="1" w:styleId="16">
    <w:name w:val="页眉 Char"/>
    <w:basedOn w:val="11"/>
    <w:link w:val="7"/>
    <w:uiPriority w:val="99"/>
    <w:rPr>
      <w:rFonts w:ascii="Times New Roman" w:hAnsi="Times New Roman" w:eastAsia="Times New Roman" w:cs="Times New Roman"/>
      <w:sz w:val="18"/>
      <w:szCs w:val="18"/>
      <w:lang w:bidi="en-US"/>
    </w:rPr>
  </w:style>
  <w:style w:type="character" w:customStyle="1" w:styleId="17">
    <w:name w:val="页脚 Char"/>
    <w:basedOn w:val="11"/>
    <w:link w:val="6"/>
    <w:uiPriority w:val="99"/>
    <w:rPr>
      <w:rFonts w:ascii="Times New Roman" w:hAnsi="Times New Roman" w:eastAsia="Times New Roman" w:cs="Times New Roman"/>
      <w:sz w:val="18"/>
      <w:szCs w:val="18"/>
      <w:lang w:bidi="en-US"/>
    </w:rPr>
  </w:style>
  <w:style w:type="character" w:customStyle="1" w:styleId="18">
    <w:name w:val="批注框文本 Char"/>
    <w:basedOn w:val="11"/>
    <w:link w:val="5"/>
    <w:semiHidden/>
    <w:uiPriority w:val="99"/>
    <w:rPr>
      <w:rFonts w:ascii="Times New Roman" w:hAnsi="Times New Roman" w:eastAsia="Times New Roman" w:cs="Times New Roman"/>
      <w:sz w:val="18"/>
      <w:szCs w:val="18"/>
      <w:lang w:bidi="en-US"/>
    </w:rPr>
  </w:style>
  <w:style w:type="paragraph" w:customStyle="1" w:styleId="19">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804B-A9E3-4F79-BD5D-CFE52BD50123}">
  <ds:schemaRefs/>
</ds:datastoreItem>
</file>

<file path=docProps/app.xml><?xml version="1.0" encoding="utf-8"?>
<Properties xmlns="http://schemas.openxmlformats.org/officeDocument/2006/extended-properties" xmlns:vt="http://schemas.openxmlformats.org/officeDocument/2006/docPropsVTypes">
  <Template>Normal</Template>
  <Pages>9</Pages>
  <Words>4584</Words>
  <Characters>6239</Characters>
  <Lines>47</Lines>
  <Paragraphs>13</Paragraphs>
  <TotalTime>109</TotalTime>
  <ScaleCrop>false</ScaleCrop>
  <LinksUpToDate>false</LinksUpToDate>
  <CharactersWithSpaces>6300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2021-11-10T08:55:00Z</dcterms:created>
  <dc:creator>Admin2</dc:creator>
  <cp:lastModifiedBy>太极箫客</cp:lastModifiedBy>
  <dcterms:modified xsi:type="dcterms:W3CDTF">2025-08-14T06:15:57Z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Acrobat PDFMaker 11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9B35B16663224B9C9783D9E830EF3569_12</vt:lpwstr>
  </property>
</Properties>
</file>