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57F53">
      <w:pPr>
        <w:rPr>
          <w:rFonts w:hint="eastAsia"/>
        </w:rPr>
      </w:pPr>
      <w:bookmarkStart w:id="0" w:name="_GoBack"/>
      <w:bookmarkEnd w:id="0"/>
      <w:r>
        <w:t>Global Model Number</w:t>
      </w:r>
      <w:r>
        <w:rPr>
          <w:rFonts w:hint="eastAsia"/>
        </w:rPr>
        <w:t xml:space="preserve"> </w:t>
      </w:r>
      <w:r>
        <w:t>(GMN)</w:t>
      </w:r>
    </w:p>
    <w:p w14:paraId="5756F59E">
      <w:pPr>
        <w:spacing w:after="240"/>
        <w:rPr>
          <w:rFonts w:hint="eastAsia"/>
          <w:color w:val="0070C0"/>
        </w:rPr>
      </w:pPr>
      <w:r>
        <w:rPr>
          <w:rFonts w:hint="eastAsia"/>
          <w:color w:val="0070C0"/>
        </w:rPr>
        <w:t>全球型号代码</w:t>
      </w:r>
    </w:p>
    <w:p w14:paraId="4F95A915">
      <w:pPr>
        <w:rPr>
          <w:rFonts w:hint="eastAsia"/>
          <w:color w:val="ED7D31" w:themeColor="accent2"/>
        </w:rPr>
      </w:pPr>
      <w:r>
        <w:rPr>
          <w:color w:val="ED7D31" w:themeColor="accent2"/>
        </w:rPr>
        <w:t>The Global Model Number is a GS1 key used to</w:t>
      </w:r>
      <w:r>
        <w:rPr>
          <w:rFonts w:hint="eastAsia"/>
          <w:color w:val="ED7D31" w:themeColor="accent2"/>
        </w:rPr>
        <w:t xml:space="preserve"> </w:t>
      </w:r>
      <w:r>
        <w:rPr>
          <w:color w:val="ED7D31" w:themeColor="accent2"/>
        </w:rPr>
        <w:t>identify a product model or product family.</w:t>
      </w:r>
    </w:p>
    <w:p w14:paraId="51A95C5E">
      <w:pPr>
        <w:spacing w:after="240"/>
        <w:rPr>
          <w:rFonts w:hint="eastAsia"/>
          <w:color w:val="0070C0"/>
        </w:rPr>
      </w:pPr>
      <w:r>
        <w:rPr>
          <w:rFonts w:hint="eastAsia"/>
          <w:color w:val="0070C0"/>
        </w:rPr>
        <w:t>全球型号代码是用于标识产品型号或产品系列的</w:t>
      </w:r>
      <w:r>
        <w:rPr>
          <w:color w:val="0070C0"/>
        </w:rPr>
        <w:t>GS1</w:t>
      </w:r>
      <w:r>
        <w:rPr>
          <w:rFonts w:hint="eastAsia"/>
          <w:color w:val="0070C0"/>
        </w:rPr>
        <w:t>关键</w:t>
      </w:r>
      <w:r>
        <w:rPr>
          <w:color w:val="0070C0"/>
        </w:rPr>
        <w:t>。</w:t>
      </w:r>
    </w:p>
    <w:p w14:paraId="36CC2FA7">
      <w:pPr>
        <w:rPr>
          <w:rFonts w:hint="eastAsia"/>
        </w:rPr>
      </w:pPr>
      <w:r>
        <w:t>The Global Model Number enables companies to uniquely</w:t>
      </w:r>
      <w:r>
        <w:rPr>
          <w:rFonts w:hint="eastAsia"/>
        </w:rPr>
        <w:t xml:space="preserve"> </w:t>
      </w:r>
      <w:r>
        <w:t>identify the product model through the entire life cycle of</w:t>
      </w:r>
      <w:r>
        <w:rPr>
          <w:rFonts w:hint="eastAsia"/>
        </w:rPr>
        <w:t xml:space="preserve"> </w:t>
      </w:r>
      <w:r>
        <w:t>the product: design - production – procurement – use –</w:t>
      </w:r>
      <w:r>
        <w:rPr>
          <w:rFonts w:hint="eastAsia"/>
        </w:rPr>
        <w:t xml:space="preserve"> </w:t>
      </w:r>
      <w:r>
        <w:t>maintenance - disposal.</w:t>
      </w:r>
    </w:p>
    <w:p w14:paraId="22C2D42F">
      <w:pPr>
        <w:spacing w:after="240"/>
        <w:rPr>
          <w:rFonts w:hint="eastAsia"/>
          <w:color w:val="0070C0"/>
        </w:rPr>
      </w:pPr>
      <w:r>
        <w:rPr>
          <w:rFonts w:hint="eastAsia"/>
          <w:color w:val="0070C0"/>
        </w:rPr>
        <w:t>全球型号代码可以使公司在产品的整个生命周期中唯一地标识产品型号：设计</w:t>
      </w:r>
      <w:r>
        <w:rPr>
          <w:color w:val="0070C0"/>
        </w:rPr>
        <w:t>-生产–采购–使用–维护–处置。</w:t>
      </w:r>
    </w:p>
    <w:p w14:paraId="3FC13D12">
      <w:pPr>
        <w:rPr>
          <w:rFonts w:hint="eastAsia"/>
        </w:rPr>
      </w:pPr>
      <w:r>
        <w:t>Certain types of products require communication with trading partners and other stakeholders such as regulators before the product is actually taken into production. Furthermore, different products may be brought to the market based on the same technical product specification. That is why it can be of interest to group them under a same model or family, using a GMN.</w:t>
      </w:r>
    </w:p>
    <w:p w14:paraId="24C5B715">
      <w:pPr>
        <w:spacing w:after="240"/>
        <w:rPr>
          <w:rFonts w:hint="eastAsia"/>
          <w:color w:val="0070C0"/>
        </w:rPr>
      </w:pPr>
      <w:r>
        <w:rPr>
          <w:rFonts w:hint="eastAsia"/>
          <w:color w:val="0070C0"/>
        </w:rPr>
        <w:t>特定类型的产品需要在实际投入生产之前，与贸易伙伴和其他利益相关者（例如监管者）进行沟通。此外，可能有基于相同技术的产品规格的不同产品会推向市场。这就是为什么使用</w:t>
      </w:r>
      <w:r>
        <w:rPr>
          <w:color w:val="0070C0"/>
        </w:rPr>
        <w:t>GMN将它们归为同一</w:t>
      </w:r>
      <w:r>
        <w:rPr>
          <w:rFonts w:hint="eastAsia"/>
          <w:color w:val="0070C0"/>
        </w:rPr>
        <w:t>型号</w:t>
      </w:r>
      <w:r>
        <w:rPr>
          <w:color w:val="0070C0"/>
        </w:rPr>
        <w:t>或</w:t>
      </w:r>
      <w:r>
        <w:rPr>
          <w:rFonts w:hint="eastAsia"/>
          <w:color w:val="0070C0"/>
        </w:rPr>
        <w:t>系列</w:t>
      </w:r>
      <w:r>
        <w:rPr>
          <w:color w:val="0070C0"/>
        </w:rPr>
        <w:t>可能会引起人们的兴趣。</w:t>
      </w:r>
    </w:p>
    <w:p w14:paraId="6BF8C8FF">
      <w:pPr>
        <w:rPr>
          <w:rFonts w:hint="eastAsia"/>
        </w:rPr>
      </w:pPr>
      <w:r>
        <w:t>Examples include products that are sold under different versions, with different colors or supporting languages, but otherwise technically are the same.</w:t>
      </w:r>
    </w:p>
    <w:p w14:paraId="7491ACA9">
      <w:pPr>
        <w:spacing w:after="240"/>
        <w:rPr>
          <w:rFonts w:hint="eastAsia"/>
          <w:color w:val="0070C0"/>
        </w:rPr>
      </w:pPr>
      <w:r>
        <w:rPr>
          <w:rFonts w:hint="eastAsia"/>
          <w:color w:val="0070C0"/>
        </w:rPr>
        <w:t>示例包括以不同版本、不同颜色或支持语言出售的产品，但在技术上其他方面是相同的。</w:t>
      </w:r>
    </w:p>
    <w:p w14:paraId="78A1BA68">
      <w:pPr>
        <w:rPr>
          <w:rFonts w:hint="eastAsia"/>
        </w:rPr>
      </w:pPr>
      <w:r>
        <w:t>Other examples include medical devices, for which conformity assessment can take considerable time and effort before a product can be released on a market.</w:t>
      </w:r>
    </w:p>
    <w:p w14:paraId="10F33532">
      <w:pPr>
        <w:spacing w:after="240"/>
        <w:rPr>
          <w:rFonts w:hint="eastAsia"/>
          <w:color w:val="0070C0"/>
        </w:rPr>
      </w:pPr>
      <w:r>
        <w:rPr>
          <w:rFonts w:hint="eastAsia"/>
          <w:color w:val="0070C0"/>
        </w:rPr>
        <w:t>其他示例包括医疗器械，对其进行合格性评估可能需要花费大量时间和精力才能将产品投放市场。</w:t>
      </w:r>
    </w:p>
    <w:p w14:paraId="124B788E">
      <w:pPr>
        <w:rPr>
          <w:rFonts w:hint="eastAsia"/>
        </w:rPr>
      </w:pPr>
      <w:r>
        <w:t xml:space="preserve">In the European Union (EU), the GMN supports the implementation of the requirements of the </w:t>
      </w:r>
      <w:r>
        <w:rPr>
          <w:b/>
          <w:color w:val="0070C0"/>
        </w:rPr>
        <w:t>Basic UDI-DI</w:t>
      </w:r>
      <w:r>
        <w:rPr>
          <w:rFonts w:hint="eastAsia"/>
        </w:rPr>
        <w:t xml:space="preserve"> </w:t>
      </w:r>
      <w:r>
        <w:t xml:space="preserve">under the </w:t>
      </w:r>
      <w:r>
        <w:rPr>
          <w:b/>
          <w:color w:val="0070C0"/>
        </w:rPr>
        <w:t>EU Unique Device Identification (UDI) regulations</w:t>
      </w:r>
      <w:r>
        <w:rPr>
          <w:color w:val="0070C0"/>
        </w:rPr>
        <w:t xml:space="preserve"> </w:t>
      </w:r>
      <w:r>
        <w:rPr>
          <w:color w:val="0070C0"/>
          <w:u w:val="single"/>
        </w:rPr>
        <w:t>on medical devices</w:t>
      </w:r>
      <w:r>
        <w:t xml:space="preserve"> and </w:t>
      </w:r>
      <w:r>
        <w:rPr>
          <w:color w:val="0070C0"/>
          <w:u w:val="single"/>
        </w:rPr>
        <w:t>on in vitro diagnostic medical devices</w:t>
      </w:r>
      <w:r>
        <w:t>. The Basic UDI-DI is the main key for medical devices records in the UDI regulatory database EUDAMED and is referenced in relevant certificates and in EU declarations of conformity.</w:t>
      </w:r>
    </w:p>
    <w:p w14:paraId="690EF17D">
      <w:pPr>
        <w:spacing w:after="240"/>
        <w:rPr>
          <w:rFonts w:hint="eastAsia"/>
          <w:color w:val="0070C0"/>
        </w:rPr>
      </w:pPr>
      <w:r>
        <w:rPr>
          <w:rFonts w:hint="eastAsia"/>
          <w:color w:val="0070C0"/>
        </w:rPr>
        <w:t>在欧盟（</w:t>
      </w:r>
      <w:r>
        <w:rPr>
          <w:color w:val="0070C0"/>
        </w:rPr>
        <w:t>EU）中，GMN支持根据针对</w:t>
      </w:r>
      <w:r>
        <w:rPr>
          <w:color w:val="0070C0"/>
          <w:u w:val="single"/>
        </w:rPr>
        <w:t>医疗</w:t>
      </w:r>
      <w:r>
        <w:rPr>
          <w:rFonts w:hint="eastAsia"/>
          <w:color w:val="0070C0"/>
          <w:u w:val="single"/>
        </w:rPr>
        <w:t>器械</w:t>
      </w:r>
      <w:r>
        <w:rPr>
          <w:color w:val="0070C0"/>
        </w:rPr>
        <w:t>和</w:t>
      </w:r>
      <w:r>
        <w:rPr>
          <w:color w:val="0070C0"/>
          <w:u w:val="single"/>
        </w:rPr>
        <w:t>体外诊断医疗</w:t>
      </w:r>
      <w:r>
        <w:rPr>
          <w:rFonts w:hint="eastAsia"/>
          <w:color w:val="0070C0"/>
          <w:u w:val="single"/>
        </w:rPr>
        <w:t>器械</w:t>
      </w:r>
      <w:r>
        <w:rPr>
          <w:color w:val="0070C0"/>
        </w:rPr>
        <w:t>的</w:t>
      </w:r>
      <w:r>
        <w:rPr>
          <w:b/>
          <w:color w:val="0070C0"/>
        </w:rPr>
        <w:t>欧盟唯一设备标识（UDI）法规</w:t>
      </w:r>
      <w:r>
        <w:rPr>
          <w:color w:val="0070C0"/>
        </w:rPr>
        <w:t>来实施</w:t>
      </w:r>
      <w:r>
        <w:rPr>
          <w:b/>
          <w:color w:val="0070C0"/>
        </w:rPr>
        <w:t>基本UDI-DI</w:t>
      </w:r>
      <w:r>
        <w:rPr>
          <w:color w:val="0070C0"/>
        </w:rPr>
        <w:t>的要求。</w:t>
      </w:r>
      <w:r>
        <w:rPr>
          <w:rFonts w:hint="eastAsia"/>
          <w:color w:val="0070C0"/>
        </w:rPr>
        <w:t>基本</w:t>
      </w:r>
      <w:r>
        <w:rPr>
          <w:color w:val="0070C0"/>
        </w:rPr>
        <w:t>UDI-DI是UDI监管数据库EUDAMED中医疗</w:t>
      </w:r>
      <w:r>
        <w:rPr>
          <w:rFonts w:hint="eastAsia"/>
          <w:color w:val="0070C0"/>
        </w:rPr>
        <w:t>器械</w:t>
      </w:r>
      <w:r>
        <w:rPr>
          <w:color w:val="0070C0"/>
        </w:rPr>
        <w:t>记录的主要关键字，并且在相关证书和欧盟符合性声明中都有提及。</w:t>
      </w:r>
    </w:p>
    <w:p w14:paraId="3C89165A">
      <w:pPr>
        <w:rPr>
          <w:rFonts w:hint="eastAsia"/>
        </w:rPr>
      </w:pPr>
      <w:r>
        <w:t xml:space="preserve">Please note that the </w:t>
      </w:r>
      <w:r>
        <w:rPr>
          <w:b/>
          <w:color w:val="0070C0"/>
        </w:rPr>
        <w:t>Basic UDI-DI (GMN) has a maximum length of 25 characters, including two mandatory check characters</w:t>
      </w:r>
      <w:r>
        <w:t xml:space="preserve">. These can be calculated thanks to the </w:t>
      </w:r>
      <w:r>
        <w:fldChar w:fldCharType="begin"/>
      </w:r>
      <w:r>
        <w:instrText xml:space="preserve"> HYPERLINK "https://www.gs1.org/services/gmn-generator" </w:instrText>
      </w:r>
      <w:r>
        <w:fldChar w:fldCharType="separate"/>
      </w:r>
      <w:r>
        <w:rPr>
          <w:rStyle w:val="5"/>
        </w:rPr>
        <w:t>GS1 check character calculator dedicated webpage</w:t>
      </w:r>
      <w:r>
        <w:rPr>
          <w:rStyle w:val="5"/>
        </w:rPr>
        <w:fldChar w:fldCharType="end"/>
      </w:r>
      <w:r>
        <w:t>.</w:t>
      </w:r>
    </w:p>
    <w:p w14:paraId="1F63A1A9">
      <w:pPr>
        <w:spacing w:after="240"/>
        <w:rPr>
          <w:rFonts w:hint="eastAsia"/>
          <w:color w:val="0070C0"/>
        </w:rPr>
      </w:pPr>
      <w:r>
        <w:rPr>
          <w:rFonts w:hint="eastAsia"/>
          <w:color w:val="0070C0"/>
        </w:rPr>
        <w:t>请注意，</w:t>
      </w:r>
      <w:r>
        <w:rPr>
          <w:rFonts w:hint="eastAsia"/>
          <w:b/>
          <w:color w:val="0070C0"/>
        </w:rPr>
        <w:t>基本</w:t>
      </w:r>
      <w:r>
        <w:rPr>
          <w:b/>
          <w:color w:val="0070C0"/>
        </w:rPr>
        <w:t>UDI-DI（GMN）的最大长度为25个字符，其中包括两个强制性的校验字符</w:t>
      </w:r>
      <w:r>
        <w:rPr>
          <w:color w:val="0070C0"/>
        </w:rPr>
        <w:t>。</w:t>
      </w:r>
      <w:r>
        <w:fldChar w:fldCharType="begin"/>
      </w:r>
      <w:r>
        <w:instrText xml:space="preserve"> HYPERLINK "https://www.gs1.org/services/gmn-generator" </w:instrText>
      </w:r>
      <w:r>
        <w:fldChar w:fldCharType="separate"/>
      </w:r>
      <w:r>
        <w:rPr>
          <w:rStyle w:val="5"/>
          <w:rFonts w:hint="eastAsia"/>
        </w:rPr>
        <w:t>借助</w:t>
      </w:r>
      <w:r>
        <w:rPr>
          <w:rStyle w:val="5"/>
        </w:rPr>
        <w:t>GS1校验字符计算器专用网页，可以计算这些值</w:t>
      </w:r>
      <w:r>
        <w:rPr>
          <w:rStyle w:val="5"/>
        </w:rPr>
        <w:fldChar w:fldCharType="end"/>
      </w:r>
      <w:r>
        <w:rPr>
          <w:color w:val="0070C0"/>
          <w:u w:val="single"/>
        </w:rPr>
        <w:t>。</w:t>
      </w:r>
    </w:p>
    <w:p w14:paraId="769500F0">
      <w:pPr>
        <w:rPr>
          <w:rFonts w:hint="eastAsia"/>
        </w:rPr>
      </w:pPr>
      <w:r>
        <w:rPr>
          <w:b/>
          <w:color w:val="ED7D31" w:themeColor="accent2"/>
        </w:rPr>
        <w:t>NOTE:</w:t>
      </w:r>
      <w:r>
        <w:t xml:space="preserve"> The GMN will initially be used for the identification of product model or product family for regulated medical devices in the European Union.</w:t>
      </w:r>
    </w:p>
    <w:p w14:paraId="40B6D8DD">
      <w:pPr>
        <w:spacing w:after="240"/>
        <w:rPr>
          <w:rFonts w:hint="eastAsia"/>
        </w:rPr>
      </w:pPr>
      <w:r>
        <w:rPr>
          <w:rFonts w:hint="eastAsia"/>
          <w:b/>
          <w:color w:val="ED7D31" w:themeColor="accent2"/>
        </w:rPr>
        <w:t>注意：</w:t>
      </w:r>
      <w:r>
        <w:rPr>
          <w:color w:val="0070C0"/>
        </w:rPr>
        <w:t>GMN最初将用于识别欧盟受管制医疗</w:t>
      </w:r>
      <w:r>
        <w:rPr>
          <w:rFonts w:hint="eastAsia"/>
          <w:color w:val="0070C0"/>
        </w:rPr>
        <w:t>器械</w:t>
      </w:r>
      <w:r>
        <w:rPr>
          <w:color w:val="0070C0"/>
        </w:rPr>
        <w:t>的产品型号或产品系列。</w:t>
      </w:r>
    </w:p>
    <w:p w14:paraId="28E09F0A">
      <w:pPr>
        <w:rPr>
          <w:rFonts w:hint="eastAsia"/>
          <w:b/>
          <w:color w:val="0070C0"/>
        </w:rPr>
      </w:pPr>
      <w:r>
        <w:rPr>
          <w:b/>
          <w:color w:val="0070C0"/>
        </w:rPr>
        <w:t>The Basic UDI-DI (GMN) SHALL NOT be encoded in a data carrier. The regulated medical device UDI-DI (GTIN) SHALL NOT be used as a replacement for Basic UDI-DI (GMN).</w:t>
      </w:r>
    </w:p>
    <w:p w14:paraId="02235076">
      <w:pPr>
        <w:spacing w:after="240"/>
        <w:rPr>
          <w:rFonts w:hint="eastAsia"/>
          <w:b/>
          <w:color w:val="0070C0"/>
        </w:rPr>
      </w:pPr>
      <w:r>
        <w:rPr>
          <w:rFonts w:hint="eastAsia"/>
          <w:b/>
          <w:color w:val="0070C0"/>
        </w:rPr>
        <w:t>基本</w:t>
      </w:r>
      <w:r>
        <w:rPr>
          <w:b/>
          <w:color w:val="0070C0"/>
        </w:rPr>
        <w:t>UDI-DI（GMN）不得在数据载体中编码。受管制的医疗</w:t>
      </w:r>
      <w:r>
        <w:rPr>
          <w:rFonts w:hint="eastAsia"/>
          <w:b/>
          <w:color w:val="0070C0"/>
        </w:rPr>
        <w:t>器械</w:t>
      </w:r>
      <w:r>
        <w:rPr>
          <w:b/>
          <w:color w:val="0070C0"/>
        </w:rPr>
        <w:t>UDI-DI（GTIN）不得替代基本UDI-DI（GMN）。</w:t>
      </w:r>
    </w:p>
    <w:p w14:paraId="65A56EF5">
      <w:pPr>
        <w:rPr>
          <w:rFonts w:hint="eastAsia"/>
        </w:rPr>
      </w:pPr>
      <w:r>
        <w:t>Other applications may be added in the future, after approval through the GS1 Standards Management Process (GSMP).</w:t>
      </w:r>
    </w:p>
    <w:p w14:paraId="4C2A0AB0">
      <w:pPr>
        <w:spacing w:after="240"/>
        <w:rPr>
          <w:rFonts w:hint="eastAsia"/>
          <w:color w:val="0070C0"/>
        </w:rPr>
      </w:pPr>
      <w:r>
        <w:rPr>
          <w:color w:val="0070C0"/>
        </w:rPr>
        <w:t>将来</w:t>
      </w:r>
      <w:r>
        <w:rPr>
          <w:rFonts w:hint="eastAsia"/>
          <w:color w:val="0070C0"/>
        </w:rPr>
        <w:t>如需</w:t>
      </w:r>
      <w:r>
        <w:rPr>
          <w:color w:val="0070C0"/>
        </w:rPr>
        <w:t>添加其他应用程序</w:t>
      </w:r>
      <w:r>
        <w:rPr>
          <w:rFonts w:hint="eastAsia"/>
          <w:color w:val="0070C0"/>
        </w:rPr>
        <w:t>，必须先经过</w:t>
      </w:r>
      <w:r>
        <w:rPr>
          <w:color w:val="0070C0"/>
        </w:rPr>
        <w:t>GS1标准管理流程（GSMP）批准。</w:t>
      </w:r>
    </w:p>
    <w:p w14:paraId="55E3817E">
      <w:pPr>
        <w:rPr>
          <w:rFonts w:hint="eastAsia"/>
        </w:rPr>
      </w:pPr>
      <w:r>
        <w:drawing>
          <wp:inline distT="0" distB="0" distL="0" distR="0">
            <wp:extent cx="5274310" cy="1088390"/>
            <wp:effectExtent l="19050" t="0" r="2540" b="0"/>
            <wp:docPr id="1" name="图片 1" descr="C:\Users\w\AppData\Local\Temp\15974889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ppData\Local\Temp\1597488920(1).png"/>
                    <pic:cNvPicPr>
                      <a:picLocks noChangeAspect="1" noChangeArrowheads="1"/>
                    </pic:cNvPicPr>
                  </pic:nvPicPr>
                  <pic:blipFill>
                    <a:blip r:embed="rId4" cstate="print"/>
                    <a:srcRect/>
                    <a:stretch>
                      <a:fillRect/>
                    </a:stretch>
                  </pic:blipFill>
                  <pic:spPr>
                    <a:xfrm>
                      <a:off x="0" y="0"/>
                      <a:ext cx="5274310" cy="1088757"/>
                    </a:xfrm>
                    <a:prstGeom prst="rect">
                      <a:avLst/>
                    </a:prstGeom>
                    <a:noFill/>
                    <a:ln w="9525">
                      <a:noFill/>
                      <a:miter lim="800000"/>
                      <a:headEnd/>
                      <a:tailEnd/>
                    </a:ln>
                  </pic:spPr>
                </pic:pic>
              </a:graphicData>
            </a:graphic>
          </wp:inline>
        </w:drawing>
      </w:r>
    </w:p>
    <w:p w14:paraId="3EE0727E">
      <w:pPr>
        <w:rPr>
          <w:rFonts w:hint="eastAsia"/>
        </w:rPr>
      </w:pPr>
      <w:r>
        <w:drawing>
          <wp:inline distT="0" distB="0" distL="0" distR="0">
            <wp:extent cx="5274310" cy="1231265"/>
            <wp:effectExtent l="19050" t="0" r="2540" b="0"/>
            <wp:docPr id="14" name="图片 12" descr="C:\Users\w\AppData\Local\Temp\15975844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C:\Users\w\AppData\Local\Temp\1597584469(1).png"/>
                    <pic:cNvPicPr>
                      <a:picLocks noChangeAspect="1" noChangeArrowheads="1"/>
                    </pic:cNvPicPr>
                  </pic:nvPicPr>
                  <pic:blipFill>
                    <a:blip r:embed="rId5" cstate="print"/>
                    <a:srcRect/>
                    <a:stretch>
                      <a:fillRect/>
                    </a:stretch>
                  </pic:blipFill>
                  <pic:spPr>
                    <a:xfrm>
                      <a:off x="0" y="0"/>
                      <a:ext cx="5274310" cy="1231307"/>
                    </a:xfrm>
                    <a:prstGeom prst="rect">
                      <a:avLst/>
                    </a:prstGeom>
                    <a:noFill/>
                    <a:ln w="9525">
                      <a:noFill/>
                      <a:miter lim="800000"/>
                      <a:headEnd/>
                      <a:tailEnd/>
                    </a:ln>
                  </pic:spPr>
                </pic:pic>
              </a:graphicData>
            </a:graphic>
          </wp:inline>
        </w:drawing>
      </w:r>
    </w:p>
    <w:p w14:paraId="2AA96900">
      <w:pPr>
        <w:rPr>
          <w:rFonts w:hint="eastAsia"/>
        </w:rPr>
      </w:pPr>
    </w:p>
    <w:p w14:paraId="25DC7C20">
      <w:pPr>
        <w:rPr>
          <w:rFonts w:hint="eastAsia"/>
        </w:rPr>
      </w:pPr>
      <w:r>
        <w:drawing>
          <wp:inline distT="0" distB="0" distL="0" distR="0">
            <wp:extent cx="5274310" cy="1081405"/>
            <wp:effectExtent l="19050" t="0" r="2540" b="0"/>
            <wp:docPr id="15" name="图片 2" descr="C:\Users\w\AppData\Local\Temp\15974889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w\AppData\Local\Temp\1597488948(1).png"/>
                    <pic:cNvPicPr>
                      <a:picLocks noChangeAspect="1" noChangeArrowheads="1"/>
                    </pic:cNvPicPr>
                  </pic:nvPicPr>
                  <pic:blipFill>
                    <a:blip r:embed="rId6" cstate="print"/>
                    <a:srcRect/>
                    <a:stretch>
                      <a:fillRect/>
                    </a:stretch>
                  </pic:blipFill>
                  <pic:spPr>
                    <a:xfrm>
                      <a:off x="0" y="0"/>
                      <a:ext cx="5274310" cy="1081646"/>
                    </a:xfrm>
                    <a:prstGeom prst="rect">
                      <a:avLst/>
                    </a:prstGeom>
                    <a:noFill/>
                    <a:ln w="9525">
                      <a:noFill/>
                      <a:miter lim="800000"/>
                      <a:headEnd/>
                      <a:tailEnd/>
                    </a:ln>
                  </pic:spPr>
                </pic:pic>
              </a:graphicData>
            </a:graphic>
          </wp:inline>
        </w:drawing>
      </w:r>
    </w:p>
    <w:p w14:paraId="739057E8">
      <w:pPr>
        <w:rPr>
          <w:rFonts w:hint="eastAsia"/>
        </w:rPr>
      </w:pPr>
      <w:r>
        <w:drawing>
          <wp:inline distT="0" distB="0" distL="0" distR="0">
            <wp:extent cx="5274310" cy="1167765"/>
            <wp:effectExtent l="19050" t="0" r="2540" b="0"/>
            <wp:docPr id="16" name="图片 13" descr="C:\Users\w\AppData\Local\Temp\15975845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C:\Users\w\AppData\Local\Temp\1597584555(1).png"/>
                    <pic:cNvPicPr>
                      <a:picLocks noChangeAspect="1" noChangeArrowheads="1"/>
                    </pic:cNvPicPr>
                  </pic:nvPicPr>
                  <pic:blipFill>
                    <a:blip r:embed="rId7" cstate="print"/>
                    <a:srcRect/>
                    <a:stretch>
                      <a:fillRect/>
                    </a:stretch>
                  </pic:blipFill>
                  <pic:spPr>
                    <a:xfrm>
                      <a:off x="0" y="0"/>
                      <a:ext cx="5274310" cy="1167838"/>
                    </a:xfrm>
                    <a:prstGeom prst="rect">
                      <a:avLst/>
                    </a:prstGeom>
                    <a:noFill/>
                    <a:ln w="9525">
                      <a:noFill/>
                      <a:miter lim="800000"/>
                      <a:headEnd/>
                      <a:tailEnd/>
                    </a:ln>
                  </pic:spPr>
                </pic:pic>
              </a:graphicData>
            </a:graphic>
          </wp:inline>
        </w:drawing>
      </w:r>
    </w:p>
    <w:p w14:paraId="4D283BFB">
      <w:pPr>
        <w:rPr>
          <w:rFonts w:hint="eastAsia"/>
        </w:rPr>
      </w:pPr>
    </w:p>
    <w:p w14:paraId="5A5D74E6">
      <w:pPr>
        <w:rPr>
          <w:rFonts w:hint="eastAsia"/>
        </w:rPr>
      </w:pPr>
    </w:p>
    <w:p w14:paraId="087D0955">
      <w:pPr>
        <w:rPr>
          <w:rFonts w:hint="eastAsia"/>
        </w:rPr>
      </w:pPr>
    </w:p>
    <w:p w14:paraId="529DD18E">
      <w:pPr>
        <w:rPr>
          <w:rFonts w:hint="eastAsia"/>
        </w:rPr>
      </w:pPr>
    </w:p>
    <w:p w14:paraId="299EF09B">
      <w:pPr>
        <w:rPr>
          <w:rFonts w:hint="eastAsia"/>
        </w:rPr>
      </w:pPr>
    </w:p>
    <w:p w14:paraId="1F5CC6EE">
      <w:pPr>
        <w:rPr>
          <w:rFonts w:hint="eastAsia"/>
        </w:rPr>
      </w:pPr>
    </w:p>
    <w:p w14:paraId="42444115">
      <w:pPr>
        <w:rPr>
          <w:rFonts w:hint="eastAsia"/>
        </w:rPr>
      </w:pPr>
      <w:r>
        <w:rPr>
          <w:highlight w:val="yellow"/>
        </w:rPr>
        <w:pict>
          <v:group id="_x0000_s1039" o:spid="_x0000_s1039" o:spt="203" style="position:absolute;left:0pt;margin-left:7.5pt;margin-top:14.2pt;height:95.5pt;width:400.5pt;z-index:251659264;mso-width-relative:page;mso-height-relative:page;" coordorigin="1950,8060" coordsize="8010,1910">
            <o:lock v:ext="edit"/>
            <v:shape id="_x0000_s1026" o:spid="_x0000_s1026" o:spt="202" type="#_x0000_t202" style="position:absolute;left:1950;top:8060;height:390;width:2820;" filled="f" stroked="f" coordsize="21600,21600">
              <v:path/>
              <v:fill on="f" focussize="0,0"/>
              <v:stroke on="f" joinstyle="miter"/>
              <v:imagedata o:title=""/>
              <o:lock v:ext="edit"/>
              <v:textbox>
                <w:txbxContent>
                  <w:p w14:paraId="60F4FC8B">
                    <w:pPr>
                      <w:rPr>
                        <w:b/>
                        <w:color w:val="0070C0"/>
                        <w:sz w:val="20"/>
                      </w:rPr>
                    </w:pPr>
                    <w:r>
                      <w:rPr>
                        <w:b/>
                        <w:color w:val="0070C0"/>
                        <w:sz w:val="20"/>
                      </w:rPr>
                      <w:t>GMN</w:t>
                    </w:r>
                    <w:r>
                      <w:rPr>
                        <w:rFonts w:hint="eastAsia"/>
                        <w:b/>
                        <w:color w:val="0070C0"/>
                        <w:sz w:val="20"/>
                      </w:rPr>
                      <w:t xml:space="preserve"> （可选择校验字符）</w:t>
                    </w:r>
                  </w:p>
                </w:txbxContent>
              </v:textbox>
            </v:shape>
            <v:shape id="_x0000_s1028" o:spid="_x0000_s1028" o:spt="202" type="#_x0000_t202" style="position:absolute;left:1990;top:8790;height:480;width:1840;" fillcolor="#FFFFFF" filled="f" stroked="f" coordsize="21600,21600">
              <v:path/>
              <v:fill on="f" focussize="0,0"/>
              <v:stroke on="f" joinstyle="miter"/>
              <v:imagedata o:title=""/>
              <o:lock v:ext="edit"/>
              <v:textbox>
                <w:txbxContent>
                  <w:p w14:paraId="2C8607ED">
                    <w:pPr>
                      <w:rPr>
                        <w:color w:val="0070C0"/>
                        <w:sz w:val="16"/>
                      </w:rPr>
                    </w:pPr>
                    <w:r>
                      <w:rPr>
                        <w:color w:val="0070C0"/>
                        <w:sz w:val="16"/>
                      </w:rPr>
                      <w:t>GS1公司前缀</w:t>
                    </w:r>
                    <w:r>
                      <w:rPr>
                        <w:rFonts w:hint="eastAsia"/>
                        <w:color w:val="0070C0"/>
                        <w:sz w:val="16"/>
                      </w:rPr>
                      <w:t>&gt;&gt;&gt;</w:t>
                    </w:r>
                  </w:p>
                </w:txbxContent>
              </v:textbox>
            </v:shape>
            <v:shape id="_x0000_s1029" o:spid="_x0000_s1029" o:spt="202" type="#_x0000_t202" style="position:absolute;left:4810;top:8770;height:410;width:1690;" fillcolor="#FFFFFF" filled="f" stroked="f" coordsize="21600,21600">
              <v:path/>
              <v:fill on="f" focussize="0,0"/>
              <v:stroke on="f" joinstyle="miter"/>
              <v:imagedata o:title=""/>
              <o:lock v:ext="edit"/>
              <v:textbox>
                <w:txbxContent>
                  <w:p w14:paraId="5DA96E5B">
                    <w:pPr>
                      <w:rPr>
                        <w:color w:val="0070C0"/>
                        <w:sz w:val="16"/>
                      </w:rPr>
                    </w:pPr>
                    <w:r>
                      <w:rPr>
                        <w:rFonts w:hint="eastAsia"/>
                        <w:color w:val="0070C0"/>
                        <w:sz w:val="16"/>
                      </w:rPr>
                      <w:t>&lt;&lt;&lt;型号</w:t>
                    </w:r>
                    <w:r>
                      <w:rPr>
                        <w:color w:val="0070C0"/>
                        <w:sz w:val="16"/>
                      </w:rPr>
                      <w:t>参考</w:t>
                    </w:r>
                    <w:r>
                      <w:rPr>
                        <w:rFonts w:hint="eastAsia"/>
                        <w:color w:val="0070C0"/>
                        <w:sz w:val="16"/>
                      </w:rPr>
                      <w:t>&gt;&gt;&gt;</w:t>
                    </w:r>
                  </w:p>
                </w:txbxContent>
              </v:textbox>
            </v:shape>
            <v:shape id="_x0000_s1034" o:spid="_x0000_s1034" o:spt="202" type="#_x0000_t202" style="position:absolute;left:7300;top:8940;height:1030;width:2660;" filled="f" stroked="t" coordsize="21600,21600">
              <v:path/>
              <v:fill on="f" focussize="0,0"/>
              <v:stroke color="#0070C0" joinstyle="miter"/>
              <v:imagedata o:title=""/>
              <o:lock v:ext="edit"/>
              <v:textbox>
                <w:txbxContent>
                  <w:p w14:paraId="463E77C0">
                    <w:pPr>
                      <w:rPr>
                        <w:rFonts w:hint="eastAsia"/>
                        <w:color w:val="0070C0"/>
                        <w:sz w:val="16"/>
                      </w:rPr>
                    </w:pPr>
                    <w:r>
                      <w:rPr>
                        <w:color w:val="0070C0"/>
                        <w:sz w:val="16"/>
                      </w:rPr>
                      <w:t>n</w:t>
                    </w:r>
                    <w:r>
                      <w:rPr>
                        <w:rFonts w:hint="eastAsia"/>
                        <w:color w:val="0070C0"/>
                        <w:sz w:val="16"/>
                      </w:rPr>
                      <w:t xml:space="preserve"> = 可变位置编号</w:t>
                    </w:r>
                  </w:p>
                  <w:p w14:paraId="59BCAA28">
                    <w:pPr>
                      <w:rPr>
                        <w:rFonts w:hint="eastAsia"/>
                        <w:color w:val="0070C0"/>
                        <w:sz w:val="16"/>
                      </w:rPr>
                    </w:pPr>
                    <w:r>
                      <w:rPr>
                        <w:rFonts w:hint="eastAsia"/>
                        <w:color w:val="0070C0"/>
                        <w:sz w:val="16"/>
                      </w:rPr>
                      <w:t>&lt;&lt;&lt;可变起始位置&gt;&gt;&gt;可变长度</w:t>
                    </w:r>
                  </w:p>
                  <w:p w14:paraId="1EC577B9">
                    <w:pPr>
                      <w:rPr>
                        <w:color w:val="0070C0"/>
                        <w:sz w:val="16"/>
                      </w:rPr>
                    </w:pPr>
                    <w:r>
                      <w:rPr>
                        <w:rFonts w:hint="eastAsia"/>
                        <w:color w:val="0070C0"/>
                        <w:sz w:val="16"/>
                      </w:rPr>
                      <w:t>&lt;=小于或等于</w:t>
                    </w:r>
                  </w:p>
                </w:txbxContent>
              </v:textbox>
            </v:shape>
            <v:shape id="_x0000_s1035" o:spid="_x0000_s1035" o:spt="202" type="#_x0000_t202" style="position:absolute;left:5268;top:9140;height:390;width:2032;" fillcolor="#FFFFFF" filled="t" stroked="f" coordsize="21600,21600">
              <v:path/>
              <v:fill on="t" focussize="0,0"/>
              <v:stroke on="f" joinstyle="miter"/>
              <v:imagedata o:title=""/>
              <o:lock v:ext="edit"/>
              <v:textbox>
                <w:txbxContent>
                  <w:p w14:paraId="0E1F5C91">
                    <w:pPr>
                      <w:rPr>
                        <w:color w:val="0070C0"/>
                        <w:sz w:val="16"/>
                      </w:rPr>
                    </w:pPr>
                    <w:r>
                      <w:rPr>
                        <w:rFonts w:hint="eastAsia"/>
                        <w:color w:val="0070C0"/>
                        <w:sz w:val="16"/>
                      </w:rPr>
                      <w:t>字母数字</w:t>
                    </w:r>
                  </w:p>
                </w:txbxContent>
              </v:textbox>
            </v:shape>
            <v:shape id="_x0000_s1036" o:spid="_x0000_s1036" o:spt="202" type="#_x0000_t202" style="position:absolute;left:5268;top:9440;height:390;width:2032;" fillcolor="#FFFFFF" filled="t" stroked="f" coordsize="21600,21600">
              <v:path/>
              <v:fill on="t" focussize="0,0"/>
              <v:stroke on="f" joinstyle="miter"/>
              <v:imagedata o:title=""/>
              <o:lock v:ext="edit"/>
              <v:textbox>
                <w:txbxContent>
                  <w:p w14:paraId="35FD76C7">
                    <w:pPr>
                      <w:rPr>
                        <w:color w:val="0070C0"/>
                        <w:sz w:val="16"/>
                      </w:rPr>
                    </w:pPr>
                    <w:r>
                      <w:rPr>
                        <w:rFonts w:hint="eastAsia"/>
                        <w:color w:val="0070C0"/>
                        <w:sz w:val="16"/>
                      </w:rPr>
                      <w:t>可选择校验字符</w:t>
                    </w:r>
                  </w:p>
                </w:txbxContent>
              </v:textbox>
            </v:shape>
            <v:shape id="_x0000_s1037" o:spid="_x0000_s1037" o:spt="202" type="#_x0000_t202" style="position:absolute;left:2548;top:9410;height:390;width:2032;" fillcolor="#FFFFFF" filled="t" stroked="f" coordsize="21600,21600">
              <v:path/>
              <v:fill on="t" focussize="0,0"/>
              <v:stroke on="f" joinstyle="miter"/>
              <v:imagedata o:title=""/>
              <o:lock v:ext="edit"/>
              <v:textbox>
                <w:txbxContent>
                  <w:p w14:paraId="1D502504">
                    <w:pPr>
                      <w:rPr>
                        <w:color w:val="0070C0"/>
                        <w:sz w:val="16"/>
                      </w:rPr>
                    </w:pPr>
                    <w:r>
                      <w:rPr>
                        <w:rFonts w:hint="eastAsia"/>
                        <w:color w:val="0070C0"/>
                        <w:sz w:val="16"/>
                      </w:rPr>
                      <w:t>数字</w:t>
                    </w:r>
                  </w:p>
                </w:txbxContent>
              </v:textbox>
            </v:shape>
            <v:shape id="_x0000_s1038" o:spid="_x0000_s1038" o:spt="202" type="#_x0000_t202" style="position:absolute;left:2548;top:9100;height:390;width:2032;" fillcolor="#FFFFFF" filled="t" stroked="f" coordsize="21600,21600">
              <v:path/>
              <v:fill on="t" focussize="0,0"/>
              <v:stroke on="f" joinstyle="miter"/>
              <v:imagedata o:title=""/>
              <o:lock v:ext="edit"/>
              <v:textbox>
                <w:txbxContent>
                  <w:p w14:paraId="681657EE">
                    <w:pPr>
                      <w:rPr>
                        <w:color w:val="0070C0"/>
                        <w:sz w:val="16"/>
                      </w:rPr>
                    </w:pPr>
                    <w:r>
                      <w:rPr>
                        <w:color w:val="0070C0"/>
                        <w:sz w:val="16"/>
                      </w:rPr>
                      <w:t>以GS1公司前缀开头</w:t>
                    </w:r>
                  </w:p>
                </w:txbxContent>
              </v:textbox>
            </v:shape>
          </v:group>
        </w:pict>
      </w:r>
      <w:r>
        <w:rPr>
          <w:rFonts w:hint="eastAsia"/>
          <w:highlight w:val="yellow"/>
        </w:rPr>
        <w:t>可调整配图</w:t>
      </w:r>
    </w:p>
    <w:p w14:paraId="266A427D">
      <w:pPr>
        <w:rPr>
          <w:rFonts w:hint="eastAsia"/>
        </w:rPr>
      </w:pPr>
    </w:p>
    <w:p w14:paraId="4A3D6BA1">
      <w:pPr>
        <w:rPr>
          <w:rFonts w:hint="eastAsia"/>
          <w:color w:val="0070C0"/>
        </w:rPr>
      </w:pPr>
      <w:r>
        <w:rPr>
          <w:color w:val="0070C0"/>
        </w:rPr>
        <w:drawing>
          <wp:inline distT="0" distB="0" distL="0" distR="0">
            <wp:extent cx="5274310" cy="260350"/>
            <wp:effectExtent l="19050" t="0" r="2540" b="0"/>
            <wp:docPr id="5" name="图片 5" descr="C:\Users\w\AppData\Local\Temp\15975837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AppData\Local\Temp\1597583702(1).png"/>
                    <pic:cNvPicPr>
                      <a:picLocks noChangeAspect="1" noChangeArrowheads="1"/>
                    </pic:cNvPicPr>
                  </pic:nvPicPr>
                  <pic:blipFill>
                    <a:blip r:embed="rId8" cstate="print"/>
                    <a:srcRect t="12766"/>
                    <a:stretch>
                      <a:fillRect/>
                    </a:stretch>
                  </pic:blipFill>
                  <pic:spPr>
                    <a:xfrm>
                      <a:off x="0" y="0"/>
                      <a:ext cx="5274310" cy="260350"/>
                    </a:xfrm>
                    <a:prstGeom prst="rect">
                      <a:avLst/>
                    </a:prstGeom>
                    <a:noFill/>
                    <a:ln w="9525">
                      <a:noFill/>
                      <a:miter lim="800000"/>
                      <a:headEnd/>
                      <a:tailEnd/>
                    </a:ln>
                  </pic:spPr>
                </pic:pic>
              </a:graphicData>
            </a:graphic>
          </wp:inline>
        </w:drawing>
      </w:r>
    </w:p>
    <w:p w14:paraId="682259B7">
      <w:pPr>
        <w:rPr>
          <w:rFonts w:hint="eastAsia"/>
          <w:color w:val="0070C0"/>
        </w:rPr>
      </w:pPr>
      <w:r>
        <w:rPr>
          <w:color w:val="0070C0"/>
        </w:rPr>
        <w:drawing>
          <wp:inline distT="0" distB="0" distL="0" distR="0">
            <wp:extent cx="2216150" cy="431800"/>
            <wp:effectExtent l="19050" t="0" r="0" b="0"/>
            <wp:docPr id="10" name="图片 8" descr="C:\Users\w\AppData\Local\Temp\15975840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C:\Users\w\AppData\Local\Temp\1597584003(1).png"/>
                    <pic:cNvPicPr>
                      <a:picLocks noChangeAspect="1" noChangeArrowheads="1"/>
                    </pic:cNvPicPr>
                  </pic:nvPicPr>
                  <pic:blipFill>
                    <a:blip r:embed="rId9" cstate="print"/>
                    <a:srcRect/>
                    <a:stretch>
                      <a:fillRect/>
                    </a:stretch>
                  </pic:blipFill>
                  <pic:spPr>
                    <a:xfrm>
                      <a:off x="0" y="0"/>
                      <a:ext cx="2216150" cy="431800"/>
                    </a:xfrm>
                    <a:prstGeom prst="rect">
                      <a:avLst/>
                    </a:prstGeom>
                    <a:noFill/>
                    <a:ln w="9525">
                      <a:noFill/>
                      <a:miter lim="800000"/>
                      <a:headEnd/>
                      <a:tailEnd/>
                    </a:ln>
                  </pic:spPr>
                </pic:pic>
              </a:graphicData>
            </a:graphic>
          </wp:inline>
        </w:drawing>
      </w:r>
    </w:p>
    <w:p w14:paraId="412A0D72">
      <w:pPr>
        <w:rPr>
          <w:rFonts w:hint="eastAsia"/>
        </w:rPr>
      </w:pPr>
    </w:p>
    <w:p w14:paraId="28E09278">
      <w:pPr>
        <w:rPr>
          <w:rFonts w:hint="eastAsia"/>
        </w:rPr>
      </w:pPr>
    </w:p>
    <w:p w14:paraId="10143CEB">
      <w:pPr>
        <w:rPr>
          <w:rFonts w:hint="eastAsia"/>
        </w:rPr>
      </w:pPr>
      <w:r>
        <w:pict>
          <v:group id="_x0000_s1049" o:spid="_x0000_s1049" o:spt="203" style="position:absolute;left:0pt;margin-left:3pt;margin-top:1.6pt;height:93pt;width:409pt;z-index:251660288;mso-width-relative:page;mso-height-relative:page;" coordorigin="1860,12800" coordsize="8180,1860">
            <o:lock v:ext="edit"/>
            <v:shape id="_x0000_s1027" o:spid="_x0000_s1027" o:spt="202" type="#_x0000_t202" style="position:absolute;left:1860;top:12800;height:390;width:3910;" filled="f" stroked="f" coordsize="21600,21600">
              <v:path/>
              <v:fill on="f" focussize="0,0"/>
              <v:stroke on="f" joinstyle="miter"/>
              <v:imagedata o:title=""/>
              <o:lock v:ext="edit"/>
              <v:textbox>
                <w:txbxContent>
                  <w:p w14:paraId="645B84BF">
                    <w:pPr>
                      <w:rPr>
                        <w:b/>
                        <w:color w:val="0070C0"/>
                        <w:sz w:val="20"/>
                      </w:rPr>
                    </w:pPr>
                    <w:r>
                      <w:rPr>
                        <w:rFonts w:hint="eastAsia"/>
                        <w:b/>
                        <w:color w:val="0070C0"/>
                        <w:sz w:val="20"/>
                      </w:rPr>
                      <w:t>基本UDI-DI（</w:t>
                    </w:r>
                    <w:r>
                      <w:rPr>
                        <w:b/>
                        <w:color w:val="0070C0"/>
                        <w:sz w:val="20"/>
                      </w:rPr>
                      <w:t>GMN</w:t>
                    </w:r>
                    <w:r>
                      <w:rPr>
                        <w:rFonts w:hint="eastAsia"/>
                        <w:b/>
                        <w:color w:val="0070C0"/>
                        <w:sz w:val="20"/>
                      </w:rPr>
                      <w:t>）（强制校验字符）</w:t>
                    </w:r>
                  </w:p>
                </w:txbxContent>
              </v:textbox>
            </v:shape>
            <v:shape id="_x0000_s1042" o:spid="_x0000_s1042" o:spt="202" type="#_x0000_t202" style="position:absolute;left:1950;top:13480;height:480;width:1840;" fillcolor="#FFFFFF" filled="f" stroked="f" coordsize="21600,21600">
              <v:path/>
              <v:fill on="f" focussize="0,0"/>
              <v:stroke on="f" joinstyle="miter"/>
              <v:imagedata o:title=""/>
              <o:lock v:ext="edit"/>
              <v:textbox>
                <w:txbxContent>
                  <w:p w14:paraId="4DE74ADE">
                    <w:pPr>
                      <w:rPr>
                        <w:color w:val="0070C0"/>
                        <w:sz w:val="16"/>
                      </w:rPr>
                    </w:pPr>
                    <w:r>
                      <w:rPr>
                        <w:color w:val="0070C0"/>
                        <w:sz w:val="16"/>
                      </w:rPr>
                      <w:t>GS1公司前缀</w:t>
                    </w:r>
                    <w:r>
                      <w:rPr>
                        <w:rFonts w:hint="eastAsia"/>
                        <w:color w:val="0070C0"/>
                        <w:sz w:val="16"/>
                      </w:rPr>
                      <w:t>&gt;&gt;&gt;</w:t>
                    </w:r>
                  </w:p>
                </w:txbxContent>
              </v:textbox>
            </v:shape>
            <v:shape id="_x0000_s1043" o:spid="_x0000_s1043" o:spt="202" type="#_x0000_t202" style="position:absolute;left:4770;top:13460;height:410;width:1690;" fillcolor="#FFFFFF" filled="f" stroked="f" coordsize="21600,21600">
              <v:path/>
              <v:fill on="f" focussize="0,0"/>
              <v:stroke on="f" joinstyle="miter"/>
              <v:imagedata o:title=""/>
              <o:lock v:ext="edit"/>
              <v:textbox>
                <w:txbxContent>
                  <w:p w14:paraId="3CC54DC0">
                    <w:pPr>
                      <w:rPr>
                        <w:color w:val="0070C0"/>
                        <w:sz w:val="16"/>
                      </w:rPr>
                    </w:pPr>
                    <w:r>
                      <w:rPr>
                        <w:rFonts w:hint="eastAsia"/>
                        <w:color w:val="0070C0"/>
                        <w:sz w:val="16"/>
                      </w:rPr>
                      <w:t>&lt;&lt;&lt;型号</w:t>
                    </w:r>
                    <w:r>
                      <w:rPr>
                        <w:color w:val="0070C0"/>
                        <w:sz w:val="16"/>
                      </w:rPr>
                      <w:t>参考</w:t>
                    </w:r>
                    <w:r>
                      <w:rPr>
                        <w:rFonts w:hint="eastAsia"/>
                        <w:color w:val="0070C0"/>
                        <w:sz w:val="16"/>
                      </w:rPr>
                      <w:t>&gt;&gt;&gt;</w:t>
                    </w:r>
                  </w:p>
                </w:txbxContent>
              </v:textbox>
            </v:shape>
            <v:shape id="_x0000_s1044" o:spid="_x0000_s1044" o:spt="202" type="#_x0000_t202" style="position:absolute;left:7380;top:13630;height:1030;width:2660;" filled="f" stroked="t" coordsize="21600,21600">
              <v:path/>
              <v:fill on="f" focussize="0,0"/>
              <v:stroke color="#0070C0" joinstyle="miter"/>
              <v:imagedata o:title=""/>
              <o:lock v:ext="edit"/>
              <v:textbox>
                <w:txbxContent>
                  <w:p w14:paraId="029E1E45">
                    <w:pPr>
                      <w:rPr>
                        <w:rFonts w:hint="eastAsia"/>
                        <w:color w:val="0070C0"/>
                        <w:sz w:val="16"/>
                      </w:rPr>
                    </w:pPr>
                    <w:r>
                      <w:rPr>
                        <w:color w:val="0070C0"/>
                        <w:sz w:val="16"/>
                      </w:rPr>
                      <w:t>n</w:t>
                    </w:r>
                    <w:r>
                      <w:rPr>
                        <w:rFonts w:hint="eastAsia"/>
                        <w:color w:val="0070C0"/>
                        <w:sz w:val="16"/>
                      </w:rPr>
                      <w:t xml:space="preserve"> = 可变位置编号</w:t>
                    </w:r>
                  </w:p>
                  <w:p w14:paraId="1857697F">
                    <w:pPr>
                      <w:rPr>
                        <w:rFonts w:hint="eastAsia"/>
                        <w:color w:val="0070C0"/>
                        <w:sz w:val="16"/>
                      </w:rPr>
                    </w:pPr>
                    <w:r>
                      <w:rPr>
                        <w:rFonts w:hint="eastAsia"/>
                        <w:color w:val="0070C0"/>
                        <w:sz w:val="16"/>
                      </w:rPr>
                      <w:t>&lt;&lt;&lt;可变起始位置&gt;&gt;&gt;可变长度</w:t>
                    </w:r>
                  </w:p>
                  <w:p w14:paraId="29429422">
                    <w:pPr>
                      <w:rPr>
                        <w:color w:val="0070C0"/>
                        <w:sz w:val="16"/>
                      </w:rPr>
                    </w:pPr>
                    <w:r>
                      <w:rPr>
                        <w:rFonts w:hint="eastAsia"/>
                        <w:color w:val="0070C0"/>
                        <w:sz w:val="16"/>
                      </w:rPr>
                      <w:t>&lt;=小于或等于</w:t>
                    </w:r>
                  </w:p>
                </w:txbxContent>
              </v:textbox>
            </v:shape>
            <v:shape id="_x0000_s1045" o:spid="_x0000_s1045" o:spt="202" type="#_x0000_t202" style="position:absolute;left:5218;top:13810;height:390;width:2032;" fillcolor="#FFFFFF" filled="t" stroked="f" coordsize="21600,21600">
              <v:path/>
              <v:fill on="t" focussize="0,0"/>
              <v:stroke on="f" joinstyle="miter"/>
              <v:imagedata o:title=""/>
              <o:lock v:ext="edit"/>
              <v:textbox>
                <w:txbxContent>
                  <w:p w14:paraId="38816E2A">
                    <w:pPr>
                      <w:rPr>
                        <w:color w:val="0070C0"/>
                        <w:sz w:val="16"/>
                      </w:rPr>
                    </w:pPr>
                    <w:r>
                      <w:rPr>
                        <w:rFonts w:hint="eastAsia"/>
                        <w:color w:val="0070C0"/>
                        <w:sz w:val="16"/>
                      </w:rPr>
                      <w:t>字母数字</w:t>
                    </w:r>
                  </w:p>
                </w:txbxContent>
              </v:textbox>
            </v:shape>
            <v:shape id="_x0000_s1046" o:spid="_x0000_s1046" o:spt="202" type="#_x0000_t202" style="position:absolute;left:5218;top:14110;height:390;width:2032;" fillcolor="#FFFFFF" filled="t" stroked="f" coordsize="21600,21600">
              <v:path/>
              <v:fill on="t" focussize="0,0"/>
              <v:stroke on="f" joinstyle="miter"/>
              <v:imagedata o:title=""/>
              <o:lock v:ext="edit"/>
              <v:textbox>
                <w:txbxContent>
                  <w:p w14:paraId="3E840701">
                    <w:pPr>
                      <w:rPr>
                        <w:color w:val="0070C0"/>
                        <w:sz w:val="16"/>
                      </w:rPr>
                    </w:pPr>
                    <w:r>
                      <w:rPr>
                        <w:rFonts w:hint="eastAsia"/>
                        <w:color w:val="0070C0"/>
                        <w:sz w:val="16"/>
                      </w:rPr>
                      <w:t>校验字符</w:t>
                    </w:r>
                  </w:p>
                </w:txbxContent>
              </v:textbox>
            </v:shape>
            <v:shape id="_x0000_s1047" o:spid="_x0000_s1047" o:spt="202" type="#_x0000_t202" style="position:absolute;left:2498;top:14080;height:390;width:2032;" fillcolor="#FFFFFF" filled="t" stroked="f" coordsize="21600,21600">
              <v:path/>
              <v:fill on="t" focussize="0,0"/>
              <v:stroke on="f" joinstyle="miter"/>
              <v:imagedata o:title=""/>
              <o:lock v:ext="edit"/>
              <v:textbox>
                <w:txbxContent>
                  <w:p w14:paraId="72582BB4">
                    <w:pPr>
                      <w:rPr>
                        <w:color w:val="0070C0"/>
                        <w:sz w:val="16"/>
                      </w:rPr>
                    </w:pPr>
                    <w:r>
                      <w:rPr>
                        <w:rFonts w:hint="eastAsia"/>
                        <w:color w:val="0070C0"/>
                        <w:sz w:val="16"/>
                      </w:rPr>
                      <w:t>数字</w:t>
                    </w:r>
                  </w:p>
                </w:txbxContent>
              </v:textbox>
            </v:shape>
            <v:shape id="_x0000_s1048" o:spid="_x0000_s1048" o:spt="202" type="#_x0000_t202" style="position:absolute;left:2498;top:13770;height:390;width:2032;" fillcolor="#FFFFFF" filled="t" stroked="f" coordsize="21600,21600">
              <v:path/>
              <v:fill on="t" focussize="0,0"/>
              <v:stroke on="f" joinstyle="miter"/>
              <v:imagedata o:title=""/>
              <o:lock v:ext="edit"/>
              <v:textbox>
                <w:txbxContent>
                  <w:p w14:paraId="3E1BB49E">
                    <w:pPr>
                      <w:rPr>
                        <w:color w:val="0070C0"/>
                        <w:sz w:val="16"/>
                      </w:rPr>
                    </w:pPr>
                    <w:r>
                      <w:rPr>
                        <w:color w:val="0070C0"/>
                        <w:sz w:val="16"/>
                      </w:rPr>
                      <w:t>以GS1公司前缀开头</w:t>
                    </w:r>
                  </w:p>
                </w:txbxContent>
              </v:textbox>
            </v:shape>
          </v:group>
        </w:pict>
      </w:r>
    </w:p>
    <w:p w14:paraId="2CBFC7B2">
      <w:pPr>
        <w:rPr>
          <w:rFonts w:hint="eastAsia"/>
        </w:rPr>
      </w:pPr>
      <w:r>
        <w:drawing>
          <wp:inline distT="0" distB="0" distL="0" distR="0">
            <wp:extent cx="5238750" cy="260350"/>
            <wp:effectExtent l="19050" t="0" r="0" b="0"/>
            <wp:docPr id="11" name="图片 9" descr="C:\Users\w\AppData\Local\Temp\15975841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C:\Users\w\AppData\Local\Temp\1597584193(1).png"/>
                    <pic:cNvPicPr>
                      <a:picLocks noChangeAspect="1" noChangeArrowheads="1"/>
                    </pic:cNvPicPr>
                  </pic:nvPicPr>
                  <pic:blipFill>
                    <a:blip r:embed="rId10" cstate="print"/>
                    <a:srcRect/>
                    <a:stretch>
                      <a:fillRect/>
                    </a:stretch>
                  </pic:blipFill>
                  <pic:spPr>
                    <a:xfrm>
                      <a:off x="0" y="0"/>
                      <a:ext cx="5238750" cy="260350"/>
                    </a:xfrm>
                    <a:prstGeom prst="rect">
                      <a:avLst/>
                    </a:prstGeom>
                    <a:noFill/>
                    <a:ln w="9525">
                      <a:noFill/>
                      <a:miter lim="800000"/>
                      <a:headEnd/>
                      <a:tailEnd/>
                    </a:ln>
                  </pic:spPr>
                </pic:pic>
              </a:graphicData>
            </a:graphic>
          </wp:inline>
        </w:drawing>
      </w:r>
    </w:p>
    <w:p w14:paraId="3DA9B4E8">
      <w:pPr>
        <w:rPr>
          <w:rFonts w:hint="eastAsia"/>
        </w:rPr>
      </w:pPr>
      <w:r>
        <w:drawing>
          <wp:inline distT="0" distB="0" distL="0" distR="0">
            <wp:extent cx="2216150" cy="431800"/>
            <wp:effectExtent l="19050" t="0" r="0" b="0"/>
            <wp:docPr id="12" name="图片 10" descr="C:\Users\w\AppData\Local\Temp\15975842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C:\Users\w\AppData\Local\Temp\1597584234(1).png"/>
                    <pic:cNvPicPr>
                      <a:picLocks noChangeAspect="1" noChangeArrowheads="1"/>
                    </pic:cNvPicPr>
                  </pic:nvPicPr>
                  <pic:blipFill>
                    <a:blip r:embed="rId11" cstate="print"/>
                    <a:srcRect/>
                    <a:stretch>
                      <a:fillRect/>
                    </a:stretch>
                  </pic:blipFill>
                  <pic:spPr>
                    <a:xfrm>
                      <a:off x="0" y="0"/>
                      <a:ext cx="2216150" cy="431800"/>
                    </a:xfrm>
                    <a:prstGeom prst="rect">
                      <a:avLst/>
                    </a:prstGeom>
                    <a:noFill/>
                    <a:ln w="9525">
                      <a:noFill/>
                      <a:miter lim="800000"/>
                      <a:headEnd/>
                      <a:tailEnd/>
                    </a:ln>
                  </pic:spPr>
                </pic:pic>
              </a:graphicData>
            </a:graphic>
          </wp:inline>
        </w:drawing>
      </w:r>
    </w:p>
    <w:p w14:paraId="44E9ADAE">
      <w:pPr>
        <w:rPr>
          <w:rFonts w:hint="eastAsia" w:eastAsia="等线"/>
          <w:lang w:eastAsia="zh-CN"/>
        </w:rPr>
      </w:pPr>
    </w:p>
    <w:p w14:paraId="13E12230">
      <w:pPr>
        <w:jc w:val="center"/>
        <w:rPr>
          <w:rFonts w:hint="eastAsia" w:eastAsia="等线"/>
          <w:lang w:eastAsia="zh-CN"/>
        </w:rPr>
      </w:pPr>
    </w:p>
    <w:p w14:paraId="3BCBBD40">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5201"/>
    <w:rsid w:val="00005201"/>
    <w:rsid w:val="00035F79"/>
    <w:rsid w:val="00100ADE"/>
    <w:rsid w:val="001461BA"/>
    <w:rsid w:val="0016449C"/>
    <w:rsid w:val="002E70D2"/>
    <w:rsid w:val="00460424"/>
    <w:rsid w:val="00464DE9"/>
    <w:rsid w:val="0049575B"/>
    <w:rsid w:val="00582DE5"/>
    <w:rsid w:val="0066119D"/>
    <w:rsid w:val="00676609"/>
    <w:rsid w:val="008A009E"/>
    <w:rsid w:val="009C62E5"/>
    <w:rsid w:val="009E67A3"/>
    <w:rsid w:val="00BA0516"/>
    <w:rsid w:val="00BB30AA"/>
    <w:rsid w:val="00BC7D32"/>
    <w:rsid w:val="00E36484"/>
    <w:rsid w:val="00EB5722"/>
    <w:rsid w:val="00EF3AAF"/>
    <w:rsid w:val="43D61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character" w:styleId="5">
    <w:name w:val="Hyperlink"/>
    <w:basedOn w:val="4"/>
    <w:unhideWhenUsed/>
    <w:uiPriority w:val="99"/>
    <w:rPr>
      <w:color w:val="0563C1" w:themeColor="hyperlink"/>
      <w:u w:val="single"/>
    </w:rPr>
  </w:style>
  <w:style w:type="character" w:customStyle="1" w:styleId="6">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9"/>
    <customShpInfo spid="_x0000_s1034"/>
    <customShpInfo spid="_x0000_s1035"/>
    <customShpInfo spid="_x0000_s1036"/>
    <customShpInfo spid="_x0000_s1037"/>
    <customShpInfo spid="_x0000_s1038"/>
    <customShpInfo spid="_x0000_s1039"/>
    <customShpInfo spid="_x0000_s1027"/>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ED40F-D12D-465C-AF54-CCBBFED3230B}">
  <ds:schemaRefs/>
</ds:datastoreItem>
</file>

<file path=docProps/app.xml><?xml version="1.0" encoding="utf-8"?>
<Properties xmlns="http://schemas.openxmlformats.org/officeDocument/2006/extended-properties" xmlns:vt="http://schemas.openxmlformats.org/officeDocument/2006/docPropsVTypes">
  <Template>Normal</Template>
  <Pages>3</Pages>
  <Words>853</Words>
  <Characters>2306</Characters>
  <Lines>19</Lines>
  <Paragraphs>5</Paragraphs>
  <TotalTime>1604</TotalTime>
  <ScaleCrop>false</ScaleCrop>
  <LinksUpToDate>false</LinksUpToDate>
  <CharactersWithSpaces>2617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2020-08-15T10:46:00Z</dcterms:created>
  <dc:creator>w</dc:creator>
  <cp:lastModifiedBy>太极箫客</cp:lastModifiedBy>
  <dcterms:modified xsi:type="dcterms:W3CDTF">2025-08-14T06:15:53Z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21AC4FAE96E643479AC66C6C04EC7E69_12</vt:lpwstr>
  </property>
</Properties>
</file>