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9B458">
      <w:pPr>
        <w:overflowPunct w:val="0"/>
        <w:snapToGrid w:val="0"/>
        <w:spacing w:after="120" w:afterLines="50" w:line="300" w:lineRule="auto"/>
        <w:jc w:val="both"/>
        <w:rPr>
          <w:rFonts w:ascii="Times New Roman" w:hAnsi="Times New Roman" w:cs="Times New Roman"/>
          <w:sz w:val="20"/>
          <w:szCs w:val="20"/>
          <w:lang w:eastAsia="zh-CN"/>
        </w:rPr>
      </w:pPr>
      <w:bookmarkStart w:id="0" w:name="_GoBack"/>
      <w:bookmarkEnd w:id="0"/>
    </w:p>
    <w:p w14:paraId="7C855FAD">
      <w:pPr>
        <w:overflowPunct w:val="0"/>
        <w:snapToGrid w:val="0"/>
        <w:spacing w:after="120" w:afterLines="50" w:line="300" w:lineRule="auto"/>
        <w:jc w:val="both"/>
        <w:rPr>
          <w:rFonts w:ascii="Times New Roman" w:hAnsi="Times New Roman" w:eastAsia="Times New Roman" w:cs="Times New Roman"/>
          <w:sz w:val="20"/>
          <w:szCs w:val="20"/>
        </w:rPr>
      </w:pPr>
    </w:p>
    <w:p w14:paraId="3DBD0DB4">
      <w:pPr>
        <w:overflowPunct w:val="0"/>
        <w:snapToGrid w:val="0"/>
        <w:spacing w:after="120" w:afterLines="50" w:line="300" w:lineRule="auto"/>
        <w:jc w:val="both"/>
        <w:rPr>
          <w:rFonts w:ascii="Times New Roman" w:hAnsi="Times New Roman" w:eastAsia="Times New Roman" w:cs="Times New Roman"/>
          <w:sz w:val="20"/>
          <w:szCs w:val="20"/>
        </w:rPr>
      </w:pPr>
    </w:p>
    <w:p w14:paraId="70CFA234">
      <w:pPr>
        <w:overflowPunct w:val="0"/>
        <w:snapToGrid w:val="0"/>
        <w:spacing w:after="120" w:afterLines="50" w:line="300" w:lineRule="auto"/>
        <w:jc w:val="both"/>
        <w:rPr>
          <w:rFonts w:ascii="Times New Roman" w:hAnsi="Times New Roman" w:eastAsia="Times New Roman" w:cs="Times New Roman"/>
          <w:sz w:val="20"/>
          <w:szCs w:val="20"/>
        </w:rPr>
      </w:pPr>
    </w:p>
    <w:p w14:paraId="4312EB36">
      <w:pPr>
        <w:overflowPunct w:val="0"/>
        <w:snapToGrid w:val="0"/>
        <w:spacing w:after="120" w:afterLines="50" w:line="300" w:lineRule="auto"/>
        <w:jc w:val="both"/>
        <w:rPr>
          <w:rFonts w:ascii="Arial" w:hAnsi="Arial" w:eastAsia="Arial" w:cs="Arial"/>
          <w:sz w:val="64"/>
          <w:szCs w:val="64"/>
          <w:lang w:eastAsia="zh-CN"/>
        </w:rPr>
      </w:pPr>
      <w:r>
        <w:rPr>
          <w:rFonts w:ascii="Arial"/>
          <w:b/>
          <w:sz w:val="64"/>
          <w:lang w:eastAsia="zh-CN"/>
        </w:rPr>
        <w:t>CPG章节 355.200电子肌肉刺激器</w:t>
      </w:r>
    </w:p>
    <w:p w14:paraId="590D78BE">
      <w:pPr>
        <w:pStyle w:val="2"/>
        <w:overflowPunct w:val="0"/>
        <w:snapToGrid w:val="0"/>
        <w:spacing w:after="240" w:afterLines="100" w:line="300" w:lineRule="auto"/>
        <w:ind w:left="0"/>
        <w:jc w:val="both"/>
        <w:rPr>
          <w:sz w:val="28"/>
          <w:szCs w:val="28"/>
          <w:lang w:eastAsia="zh-CN"/>
        </w:rPr>
      </w:pPr>
      <w:r>
        <w:rPr>
          <w:sz w:val="28"/>
          <w:szCs w:val="28"/>
          <w:lang w:eastAsia="zh-CN"/>
        </w:rPr>
        <w:t>背景：</w:t>
      </w:r>
    </w:p>
    <w:p w14:paraId="5DA54E35">
      <w:pPr>
        <w:pStyle w:val="2"/>
        <w:overflowPunct w:val="0"/>
        <w:snapToGrid w:val="0"/>
        <w:spacing w:after="240" w:afterLines="100" w:line="300" w:lineRule="auto"/>
        <w:ind w:left="0"/>
        <w:jc w:val="both"/>
        <w:rPr>
          <w:sz w:val="28"/>
          <w:szCs w:val="28"/>
          <w:lang w:eastAsia="zh-CN"/>
        </w:rPr>
      </w:pPr>
      <w:r>
        <w:rPr>
          <w:sz w:val="28"/>
          <w:szCs w:val="28"/>
          <w:lang w:eastAsia="zh-CN"/>
        </w:rPr>
        <w:t>某些进口商，制造商和个体正向美容院和大众推广和销售电子肌肉刺激器（EMS），用于各种用途，包括纤体和调整、塑身和塑形、减肥、胸部发育、皱纹和橘皮组织去除</w:t>
      </w:r>
      <w:r>
        <w:rPr>
          <w:rFonts w:hint="eastAsia" w:ascii="宋体" w:hAnsi="宋体" w:eastAsia="宋体" w:cs="宋体"/>
          <w:sz w:val="28"/>
          <w:szCs w:val="28"/>
          <w:lang w:eastAsia="zh-CN"/>
        </w:rPr>
        <w:t>。</w:t>
      </w:r>
      <w:r>
        <w:rPr>
          <w:sz w:val="28"/>
          <w:szCs w:val="28"/>
          <w:lang w:eastAsia="zh-CN"/>
        </w:rPr>
        <w:t>FDA没有发现任何有效的科学数据来支持使用EMS器械来满足这些条件和目的</w:t>
      </w:r>
      <w:r>
        <w:rPr>
          <w:rFonts w:hint="eastAsia" w:ascii="宋体" w:hAnsi="宋体" w:eastAsia="宋体" w:cs="宋体"/>
          <w:sz w:val="28"/>
          <w:szCs w:val="28"/>
          <w:lang w:eastAsia="zh-CN"/>
        </w:rPr>
        <w:t>。</w:t>
      </w:r>
    </w:p>
    <w:p w14:paraId="32602765">
      <w:pPr>
        <w:pStyle w:val="2"/>
        <w:overflowPunct w:val="0"/>
        <w:snapToGrid w:val="0"/>
        <w:spacing w:after="240" w:afterLines="100" w:line="300" w:lineRule="auto"/>
        <w:ind w:left="0"/>
        <w:jc w:val="both"/>
        <w:rPr>
          <w:sz w:val="28"/>
          <w:szCs w:val="28"/>
          <w:lang w:eastAsia="zh-CN"/>
        </w:rPr>
      </w:pPr>
      <w:r>
        <w:rPr>
          <w:sz w:val="28"/>
          <w:szCs w:val="28"/>
          <w:lang w:eastAsia="zh-CN"/>
        </w:rPr>
        <w:t>卫生保健界认识到EMS器械可以有效地进行肌肉重培养、缓解肌肉痉挛、增加运动范围、减少肌肉萎缩治疗、增加局部血液循环，以及立即对小腿肌肉进行术后刺激，以防止静脉血栓形成</w:t>
      </w:r>
      <w:r>
        <w:rPr>
          <w:rFonts w:hint="eastAsia" w:ascii="宋体" w:hAnsi="宋体" w:eastAsia="宋体" w:cs="宋体"/>
          <w:sz w:val="28"/>
          <w:szCs w:val="28"/>
          <w:lang w:eastAsia="zh-CN"/>
        </w:rPr>
        <w:t>。</w:t>
      </w:r>
      <w:r>
        <w:rPr>
          <w:sz w:val="28"/>
          <w:szCs w:val="28"/>
          <w:lang w:eastAsia="zh-CN"/>
        </w:rPr>
        <w:t>无法提供适合于这些器械的安全和有效使用的说明</w:t>
      </w:r>
      <w:r>
        <w:rPr>
          <w:rFonts w:hint="eastAsia" w:ascii="宋体" w:hAnsi="宋体" w:eastAsia="宋体" w:cs="宋体"/>
          <w:sz w:val="28"/>
          <w:szCs w:val="28"/>
          <w:lang w:eastAsia="zh-CN"/>
        </w:rPr>
        <w:t>。</w:t>
      </w:r>
      <w:r>
        <w:rPr>
          <w:sz w:val="28"/>
          <w:szCs w:val="28"/>
          <w:lang w:eastAsia="zh-CN"/>
        </w:rPr>
        <w:t>因此，FDA将EMS器械纳入21 CFR 801.109作为处方器械</w:t>
      </w:r>
      <w:r>
        <w:rPr>
          <w:rFonts w:hint="eastAsia" w:ascii="宋体" w:hAnsi="宋体" w:eastAsia="宋体" w:cs="宋体"/>
          <w:sz w:val="28"/>
          <w:szCs w:val="28"/>
          <w:lang w:eastAsia="zh-CN"/>
        </w:rPr>
        <w:t>。</w:t>
      </w:r>
    </w:p>
    <w:p w14:paraId="4C7E2922">
      <w:pPr>
        <w:pStyle w:val="2"/>
        <w:overflowPunct w:val="0"/>
        <w:snapToGrid w:val="0"/>
        <w:spacing w:after="240" w:afterLines="100" w:line="300" w:lineRule="auto"/>
        <w:ind w:left="0"/>
        <w:jc w:val="both"/>
        <w:rPr>
          <w:sz w:val="28"/>
          <w:szCs w:val="28"/>
          <w:lang w:eastAsia="zh-CN"/>
        </w:rPr>
      </w:pPr>
      <w:r>
        <w:rPr>
          <w:sz w:val="28"/>
          <w:szCs w:val="28"/>
          <w:lang w:eastAsia="zh-CN"/>
        </w:rPr>
        <w:t>政策：</w:t>
      </w:r>
    </w:p>
    <w:p w14:paraId="406711E2">
      <w:pPr>
        <w:pStyle w:val="2"/>
        <w:overflowPunct w:val="0"/>
        <w:snapToGrid w:val="0"/>
        <w:spacing w:after="240" w:afterLines="100" w:line="300" w:lineRule="auto"/>
        <w:ind w:left="0"/>
        <w:jc w:val="both"/>
        <w:rPr>
          <w:sz w:val="28"/>
          <w:szCs w:val="28"/>
          <w:lang w:eastAsia="zh-CN"/>
        </w:rPr>
      </w:pPr>
      <w:r>
        <w:rPr>
          <w:sz w:val="28"/>
          <w:szCs w:val="28"/>
          <w:lang w:eastAsia="zh-CN"/>
        </w:rPr>
        <w:t>EMS器械仅能由国家法律许可的从业人员或根据国家法律许可的从业人员的处方合法销售，以使用或处方使用此类</w:t>
      </w:r>
      <w:r>
        <w:rPr>
          <w:rFonts w:hint="eastAsia" w:eastAsiaTheme="minorEastAsia"/>
          <w:sz w:val="28"/>
          <w:szCs w:val="28"/>
          <w:lang w:eastAsia="zh-CN"/>
        </w:rPr>
        <w:t>器械</w:t>
      </w:r>
      <w:r>
        <w:rPr>
          <w:rFonts w:hint="eastAsia" w:ascii="宋体" w:hAnsi="宋体" w:eastAsia="宋体" w:cs="宋体"/>
          <w:sz w:val="28"/>
          <w:szCs w:val="28"/>
          <w:lang w:eastAsia="zh-CN"/>
        </w:rPr>
        <w:t>。</w:t>
      </w:r>
      <w:r>
        <w:rPr>
          <w:rFonts w:hint="eastAsia" w:eastAsiaTheme="minorEastAsia"/>
          <w:sz w:val="28"/>
          <w:szCs w:val="28"/>
          <w:lang w:eastAsia="zh-CN"/>
        </w:rPr>
        <w:t>此类器械</w:t>
      </w:r>
      <w:r>
        <w:rPr>
          <w:sz w:val="28"/>
          <w:szCs w:val="28"/>
          <w:lang w:eastAsia="zh-CN"/>
        </w:rPr>
        <w:t>只能在执业医师的专业实践中销售给有执业医师的处方或其他处方的非专业人员，或由他们使用</w:t>
      </w:r>
      <w:r>
        <w:rPr>
          <w:rFonts w:hint="eastAsia" w:ascii="宋体" w:hAnsi="宋体" w:eastAsia="宋体" w:cs="宋体"/>
          <w:sz w:val="28"/>
          <w:szCs w:val="28"/>
          <w:lang w:eastAsia="zh-CN"/>
        </w:rPr>
        <w:t>。</w:t>
      </w:r>
    </w:p>
    <w:p w14:paraId="3E841D5F">
      <w:pPr>
        <w:pStyle w:val="2"/>
        <w:overflowPunct w:val="0"/>
        <w:snapToGrid w:val="0"/>
        <w:spacing w:after="240" w:afterLines="100" w:line="300" w:lineRule="auto"/>
        <w:ind w:left="0"/>
        <w:jc w:val="both"/>
        <w:rPr>
          <w:sz w:val="28"/>
          <w:szCs w:val="28"/>
          <w:lang w:eastAsia="zh-CN"/>
        </w:rPr>
      </w:pPr>
      <w:r>
        <w:rPr>
          <w:sz w:val="28"/>
          <w:szCs w:val="28"/>
          <w:lang w:eastAsia="zh-CN"/>
        </w:rPr>
        <w:t>根据《联邦食品、药品和化妆品法案》（</w:t>
      </w:r>
      <w:r>
        <w:rPr>
          <w:rFonts w:ascii="宋体" w:hAnsi="宋体" w:eastAsia="宋体"/>
          <w:sz w:val="28"/>
          <w:szCs w:val="28"/>
          <w:lang w:eastAsia="zh-CN"/>
        </w:rPr>
        <w:t>“</w:t>
      </w:r>
      <w:r>
        <w:rPr>
          <w:sz w:val="28"/>
          <w:szCs w:val="28"/>
          <w:lang w:eastAsia="zh-CN"/>
        </w:rPr>
        <w:t>法案</w:t>
      </w:r>
      <w:r>
        <w:rPr>
          <w:rFonts w:ascii="宋体" w:hAnsi="宋体" w:eastAsia="宋体"/>
          <w:sz w:val="28"/>
          <w:szCs w:val="28"/>
          <w:lang w:eastAsia="zh-CN"/>
        </w:rPr>
        <w:t>”</w:t>
      </w:r>
      <w:r>
        <w:rPr>
          <w:sz w:val="28"/>
          <w:szCs w:val="28"/>
          <w:lang w:eastAsia="zh-CN"/>
        </w:rPr>
        <w:t>）第502（a）节，标有非上述医学意见一致认可的条件或用途的EMS器械视为贴错标签， 因为该标签存在错误*或*误导性</w:t>
      </w:r>
      <w:r>
        <w:rPr>
          <w:rFonts w:hint="eastAsia" w:ascii="宋体" w:hAnsi="宋体" w:eastAsia="宋体" w:cs="宋体"/>
          <w:sz w:val="28"/>
          <w:szCs w:val="28"/>
          <w:lang w:eastAsia="zh-CN"/>
        </w:rPr>
        <w:t>。</w:t>
      </w:r>
      <w:r>
        <w:rPr>
          <w:sz w:val="28"/>
          <w:szCs w:val="28"/>
          <w:lang w:eastAsia="zh-CN"/>
        </w:rPr>
        <w:t>此外，根据法案第502（f）（1）分节，因为标签不能提供足够的使用说明，因此不符合21 CFR 801.109的EMS器械标签错误</w:t>
      </w:r>
      <w:r>
        <w:rPr>
          <w:rFonts w:hint="eastAsia" w:ascii="宋体" w:hAnsi="宋体" w:eastAsia="宋体" w:cs="宋体"/>
          <w:sz w:val="28"/>
          <w:szCs w:val="28"/>
          <w:lang w:eastAsia="zh-CN"/>
        </w:rPr>
        <w:t>。</w:t>
      </w:r>
      <w:r>
        <w:rPr>
          <w:sz w:val="28"/>
          <w:szCs w:val="28"/>
          <w:lang w:eastAsia="zh-CN"/>
        </w:rPr>
        <w:t>在提交法律诉讼建议之前，该地区应确保该情况符合CPG 7150.10中规定的考虑监管行为的条件</w:t>
      </w:r>
      <w:r>
        <w:rPr>
          <w:rFonts w:hint="eastAsia" w:ascii="宋体" w:hAnsi="宋体" w:eastAsia="宋体" w:cs="宋体"/>
          <w:sz w:val="28"/>
          <w:szCs w:val="28"/>
          <w:lang w:eastAsia="zh-CN"/>
        </w:rPr>
        <w:t>。</w:t>
      </w:r>
      <w:r>
        <w:rPr>
          <w:sz w:val="28"/>
          <w:szCs w:val="28"/>
          <w:lang w:eastAsia="zh-CN"/>
        </w:rPr>
        <w:t>（参见章节120.500），健康欺诈-考虑监管行为的因素</w:t>
      </w:r>
      <w:r>
        <w:rPr>
          <w:rFonts w:hint="eastAsia" w:ascii="宋体" w:hAnsi="宋体" w:eastAsia="宋体" w:cs="宋体"/>
          <w:sz w:val="28"/>
          <w:szCs w:val="28"/>
          <w:lang w:eastAsia="zh-CN"/>
        </w:rPr>
        <w:t>。</w:t>
      </w:r>
      <w:r>
        <w:rPr>
          <w:sz w:val="28"/>
          <w:szCs w:val="28"/>
          <w:lang w:eastAsia="zh-CN"/>
        </w:rPr>
        <w:t>*</w:t>
      </w:r>
      <w:r>
        <w:rPr>
          <w:rFonts w:hint="eastAsia" w:eastAsiaTheme="minorEastAsia"/>
          <w:sz w:val="28"/>
          <w:szCs w:val="28"/>
          <w:lang w:eastAsia="zh-CN"/>
        </w:rPr>
        <w:t>（</w:t>
      </w:r>
      <w:r>
        <w:rPr>
          <w:sz w:val="28"/>
          <w:szCs w:val="28"/>
          <w:lang w:eastAsia="zh-CN"/>
        </w:rPr>
        <w:t>请注意：</w:t>
      </w:r>
      <w:r>
        <w:rPr>
          <w:rFonts w:ascii="宋体" w:hAnsi="宋体" w:eastAsia="宋体"/>
          <w:sz w:val="28"/>
          <w:szCs w:val="28"/>
          <w:lang w:eastAsia="zh-CN"/>
        </w:rPr>
        <w:t>“</w:t>
      </w:r>
      <w:r>
        <w:rPr>
          <w:sz w:val="28"/>
          <w:szCs w:val="28"/>
          <w:lang w:eastAsia="zh-CN"/>
        </w:rPr>
        <w:t>健康欺诈</w:t>
      </w:r>
      <w:r>
        <w:rPr>
          <w:rFonts w:ascii="宋体" w:hAnsi="宋体" w:eastAsia="宋体"/>
          <w:sz w:val="28"/>
          <w:szCs w:val="28"/>
          <w:lang w:eastAsia="zh-CN"/>
        </w:rPr>
        <w:t>”</w:t>
      </w:r>
      <w:r>
        <w:rPr>
          <w:sz w:val="28"/>
          <w:szCs w:val="28"/>
          <w:lang w:eastAsia="zh-CN"/>
        </w:rPr>
        <w:t>的定义包括</w:t>
      </w:r>
      <w:r>
        <w:rPr>
          <w:rFonts w:ascii="宋体" w:hAnsi="宋体" w:eastAsia="宋体"/>
          <w:sz w:val="28"/>
          <w:szCs w:val="28"/>
          <w:lang w:eastAsia="zh-CN"/>
        </w:rPr>
        <w:t>“</w:t>
      </w:r>
      <w:r>
        <w:rPr>
          <w:sz w:val="28"/>
          <w:szCs w:val="28"/>
          <w:lang w:eastAsia="zh-CN"/>
        </w:rPr>
        <w:t>用于人类或动物物品的宣传、广告、分销或销售......</w:t>
      </w:r>
      <w:r>
        <w:rPr>
          <w:rFonts w:ascii="宋体" w:hAnsi="宋体" w:eastAsia="宋体"/>
          <w:sz w:val="28"/>
          <w:szCs w:val="28"/>
          <w:lang w:eastAsia="zh-CN"/>
        </w:rPr>
        <w:t>”</w:t>
      </w:r>
      <w:r>
        <w:rPr>
          <w:sz w:val="28"/>
          <w:szCs w:val="28"/>
          <w:lang w:eastAsia="zh-CN"/>
        </w:rPr>
        <w:t>）</w:t>
      </w:r>
      <w:r>
        <w:rPr>
          <w:rFonts w:hint="eastAsia" w:ascii="宋体" w:hAnsi="宋体" w:eastAsia="宋体" w:cs="宋体"/>
          <w:sz w:val="28"/>
          <w:szCs w:val="28"/>
          <w:lang w:eastAsia="zh-CN"/>
        </w:rPr>
        <w:t>。</w:t>
      </w:r>
      <w:r>
        <w:rPr>
          <w:sz w:val="28"/>
          <w:szCs w:val="28"/>
          <w:lang w:eastAsia="zh-CN"/>
        </w:rPr>
        <w:t>在可能的情况下，应该采取措施，对器械制造商或主要经销商的器械采取措施，而不是对</w:t>
      </w:r>
      <w:r>
        <w:rPr>
          <w:rFonts w:hint="eastAsia" w:ascii="宋体" w:hAnsi="宋体" w:eastAsia="宋体" w:cs="宋体"/>
          <w:sz w:val="28"/>
          <w:szCs w:val="28"/>
          <w:lang w:eastAsia="zh-CN"/>
        </w:rPr>
        <w:t>美容院。</w:t>
      </w:r>
      <w:r>
        <w:rPr>
          <w:sz w:val="28"/>
          <w:szCs w:val="28"/>
          <w:lang w:eastAsia="zh-CN"/>
        </w:rPr>
        <w:t>由于</w:t>
      </w:r>
      <w:r>
        <w:rPr>
          <w:rFonts w:hint="eastAsia" w:ascii="宋体" w:hAnsi="宋体" w:eastAsia="宋体" w:cs="宋体"/>
          <w:sz w:val="28"/>
          <w:szCs w:val="28"/>
          <w:lang w:eastAsia="zh-CN"/>
        </w:rPr>
        <w:t>美容院</w:t>
      </w:r>
      <w:r>
        <w:rPr>
          <w:sz w:val="28"/>
          <w:szCs w:val="28"/>
          <w:lang w:eastAsia="zh-CN"/>
        </w:rPr>
        <w:t>活动属于地方和国家的许可机构管辖范围，因此</w:t>
      </w:r>
      <w:r>
        <w:rPr>
          <w:rFonts w:hint="eastAsia" w:ascii="宋体" w:hAnsi="宋体" w:eastAsia="宋体" w:cs="宋体"/>
          <w:sz w:val="28"/>
          <w:szCs w:val="28"/>
          <w:lang w:eastAsia="zh-CN"/>
        </w:rPr>
        <w:t>美容院</w:t>
      </w:r>
      <w:r>
        <w:rPr>
          <w:sz w:val="28"/>
          <w:szCs w:val="28"/>
          <w:lang w:eastAsia="zh-CN"/>
        </w:rPr>
        <w:t>活动一般应</w:t>
      </w:r>
      <w:r>
        <w:rPr>
          <w:rFonts w:hint="eastAsia" w:eastAsiaTheme="minorEastAsia"/>
          <w:sz w:val="28"/>
          <w:szCs w:val="28"/>
          <w:lang w:eastAsia="zh-CN"/>
        </w:rPr>
        <w:t>转交</w:t>
      </w:r>
      <w:r>
        <w:rPr>
          <w:sz w:val="28"/>
          <w:szCs w:val="28"/>
          <w:lang w:eastAsia="zh-CN"/>
        </w:rPr>
        <w:t>其进行</w:t>
      </w:r>
      <w:r>
        <w:rPr>
          <w:rFonts w:hint="eastAsia" w:ascii="宋体" w:hAnsi="宋体" w:eastAsia="宋体" w:cs="宋体"/>
          <w:sz w:val="28"/>
          <w:szCs w:val="28"/>
          <w:lang w:eastAsia="zh-CN"/>
        </w:rPr>
        <w:t>。</w:t>
      </w:r>
    </w:p>
    <w:p w14:paraId="7F69741C">
      <w:pPr>
        <w:jc w:val="both"/>
        <w:rPr>
          <w:sz w:val="28"/>
          <w:szCs w:val="28"/>
          <w:lang w:eastAsia="zh-CN"/>
        </w:rPr>
      </w:pPr>
      <w:r>
        <w:rPr>
          <w:sz w:val="28"/>
          <w:szCs w:val="28"/>
          <w:lang w:eastAsia="zh-CN"/>
        </w:rPr>
        <w:br w:type="page"/>
      </w:r>
    </w:p>
    <w:p w14:paraId="73B9C893">
      <w:pPr>
        <w:overflowPunct w:val="0"/>
        <w:snapToGrid w:val="0"/>
        <w:spacing w:after="240" w:afterLines="100" w:line="300" w:lineRule="auto"/>
        <w:jc w:val="both"/>
        <w:rPr>
          <w:sz w:val="28"/>
          <w:szCs w:val="28"/>
          <w:lang w:eastAsia="zh-CN"/>
        </w:rPr>
      </w:pPr>
      <w:r>
        <w:rPr>
          <w:sz w:val="28"/>
          <w:szCs w:val="28"/>
          <w:lang w:eastAsia="zh-CN"/>
        </w:rPr>
        <w:t>*星号之间的材料是新材料或改进材料*</w:t>
      </w:r>
    </w:p>
    <w:p w14:paraId="328D6FEC">
      <w:pPr>
        <w:pStyle w:val="2"/>
        <w:overflowPunct w:val="0"/>
        <w:snapToGrid w:val="0"/>
        <w:spacing w:line="300" w:lineRule="auto"/>
        <w:ind w:left="0"/>
        <w:jc w:val="both"/>
        <w:rPr>
          <w:sz w:val="28"/>
          <w:szCs w:val="28"/>
          <w:lang w:eastAsia="zh-CN"/>
        </w:rPr>
      </w:pPr>
      <w:r>
        <w:rPr>
          <w:sz w:val="28"/>
          <w:szCs w:val="28"/>
          <w:lang w:eastAsia="zh-CN"/>
        </w:rPr>
        <w:t>发布日期：1982年7月1日</w:t>
      </w:r>
    </w:p>
    <w:p w14:paraId="3FEBBBF8">
      <w:pPr>
        <w:pStyle w:val="2"/>
        <w:overflowPunct w:val="0"/>
        <w:snapToGrid w:val="0"/>
        <w:spacing w:after="120" w:afterLines="50" w:line="300" w:lineRule="auto"/>
        <w:ind w:left="0"/>
        <w:jc w:val="both"/>
        <w:rPr>
          <w:sz w:val="28"/>
          <w:szCs w:val="28"/>
          <w:lang w:eastAsia="zh-CN"/>
        </w:rPr>
      </w:pPr>
      <w:r>
        <w:rPr>
          <w:sz w:val="28"/>
          <w:szCs w:val="28"/>
          <w:lang w:eastAsia="zh-CN"/>
        </w:rPr>
        <w:t>修订日期：1988年11月21日、1995年3月</w:t>
      </w:r>
    </w:p>
    <w:p w14:paraId="67D8DC99">
      <w:pPr>
        <w:overflowPunct w:val="0"/>
        <w:snapToGrid w:val="0"/>
        <w:spacing w:after="120" w:afterLines="50" w:line="300" w:lineRule="auto"/>
        <w:jc w:val="both"/>
        <w:rPr>
          <w:rFonts w:ascii="Arial" w:hAnsi="Arial" w:eastAsia="Arial" w:cs="Arial"/>
          <w:sz w:val="20"/>
          <w:szCs w:val="20"/>
          <w:lang w:eastAsia="zh-CN"/>
        </w:rPr>
      </w:pPr>
    </w:p>
    <w:tbl>
      <w:tblPr>
        <w:tblStyle w:val="7"/>
        <w:tblW w:w="5000" w:type="pct"/>
        <w:tblInd w:w="0" w:type="dxa"/>
        <w:tblLayout w:type="autofit"/>
        <w:tblCellMar>
          <w:top w:w="0" w:type="dxa"/>
          <w:left w:w="0" w:type="dxa"/>
          <w:bottom w:w="0" w:type="dxa"/>
          <w:right w:w="0" w:type="dxa"/>
        </w:tblCellMar>
      </w:tblPr>
      <w:tblGrid>
        <w:gridCol w:w="10796"/>
      </w:tblGrid>
      <w:tr w14:paraId="583CFF24">
        <w:tc>
          <w:tcPr>
            <w:tcW w:w="5000" w:type="pct"/>
            <w:tcBorders>
              <w:top w:val="single" w:color="4F81BD" w:themeColor="accent1" w:sz="12" w:space="0"/>
              <w:left w:val="single" w:color="4F81BD" w:themeColor="accent1" w:sz="12" w:space="0"/>
              <w:bottom w:val="single" w:color="4F81BD" w:themeColor="accent1" w:sz="12" w:space="0"/>
              <w:right w:val="single" w:color="4F81BD" w:themeColor="accent1" w:sz="12" w:space="0"/>
            </w:tcBorders>
            <w:vAlign w:val="center"/>
          </w:tcPr>
          <w:p w14:paraId="574ADF7E">
            <w:pPr>
              <w:pStyle w:val="9"/>
              <w:overflowPunct w:val="0"/>
              <w:snapToGrid w:val="0"/>
              <w:spacing w:after="120" w:afterLines="50" w:line="300" w:lineRule="auto"/>
              <w:ind w:left="44" w:leftChars="20" w:right="44" w:rightChars="20"/>
              <w:rPr>
                <w:rFonts w:ascii="Arial" w:hAnsi="Arial" w:eastAsia="宋体" w:cs="Arial"/>
                <w:sz w:val="24"/>
                <w:szCs w:val="24"/>
                <w:u w:val="single"/>
              </w:rPr>
            </w:pPr>
            <w:r>
              <w:fldChar w:fldCharType="begin"/>
            </w:r>
            <w:r>
              <w:instrText xml:space="preserve"> HYPERLINK "https://www.fda.gov/ICECI/ComplianceManuals/CompliancePolicyGuidanceManual/default.htm" \h </w:instrText>
            </w:r>
            <w:r>
              <w:fldChar w:fldCharType="separate"/>
            </w:r>
            <w:r>
              <w:rPr>
                <w:rFonts w:hint="eastAsia" w:ascii="Arial" w:hAnsi="Arial" w:eastAsia="宋体" w:cs="Arial"/>
                <w:b/>
                <w:sz w:val="24"/>
                <w:szCs w:val="24"/>
                <w:u w:val="single"/>
              </w:rPr>
              <w:t>更多的合规政策指南</w:t>
            </w:r>
            <w:r>
              <w:rPr>
                <w:rFonts w:ascii="Arial" w:hAnsi="Arial" w:eastAsia="宋体" w:cs="Arial"/>
                <w:b/>
                <w:sz w:val="24"/>
                <w:szCs w:val="24"/>
                <w:u w:val="single"/>
              </w:rPr>
              <w:br w:type="textWrapping"/>
            </w:r>
            <w:r>
              <w:rPr>
                <w:rFonts w:ascii="Arial" w:hAnsi="Arial" w:eastAsia="宋体" w:cs="Arial"/>
                <w:b/>
                <w:sz w:val="24"/>
                <w:szCs w:val="24"/>
                <w:u w:val="single"/>
              </w:rPr>
              <w:t>(/ICECI/Compliance Manuals/Compliance PolicyGuidance Manual/default.htm)</w:t>
            </w:r>
            <w:r>
              <w:rPr>
                <w:rFonts w:ascii="Arial" w:hAnsi="Arial" w:eastAsia="宋体" w:cs="Arial"/>
                <w:b/>
                <w:sz w:val="24"/>
                <w:szCs w:val="24"/>
                <w:u w:val="single"/>
              </w:rPr>
              <w:fldChar w:fldCharType="end"/>
            </w:r>
          </w:p>
        </w:tc>
      </w:tr>
      <w:tr w14:paraId="5920C8E7">
        <w:tblPrEx>
          <w:tblCellMar>
            <w:top w:w="0" w:type="dxa"/>
            <w:left w:w="0" w:type="dxa"/>
            <w:bottom w:w="0" w:type="dxa"/>
            <w:right w:w="0" w:type="dxa"/>
          </w:tblCellMar>
        </w:tblPrEx>
        <w:tc>
          <w:tcPr>
            <w:tcW w:w="5000" w:type="pct"/>
            <w:tcBorders>
              <w:top w:val="single" w:color="4F81BD" w:themeColor="accent1" w:sz="12" w:space="0"/>
              <w:left w:val="single" w:color="DDDDDD" w:sz="6" w:space="0"/>
              <w:bottom w:val="single" w:color="DDDDDD" w:sz="6" w:space="0"/>
              <w:right w:val="single" w:color="DDDDDD" w:sz="6" w:space="0"/>
            </w:tcBorders>
            <w:vAlign w:val="center"/>
          </w:tcPr>
          <w:p w14:paraId="1A73A452">
            <w:pPr>
              <w:pStyle w:val="9"/>
              <w:overflowPunct w:val="0"/>
              <w:snapToGrid w:val="0"/>
              <w:spacing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"https://www.fda.gov/ICECI/ComplianceManuals/CompliancePolicyGuidanceManual/ucm116271.htm" \h </w:instrText>
            </w:r>
            <w:r>
              <w:fldChar w:fldCharType="separate"/>
            </w:r>
            <w:r>
              <w:rPr>
                <w:rFonts w:ascii="Arial" w:hAnsi="Arial" w:eastAsia="宋体" w:cs="Arial"/>
                <w:b/>
                <w:sz w:val="24"/>
                <w:szCs w:val="24"/>
                <w:u w:val="single" w:color="000000"/>
              </w:rPr>
              <w:t>前言：合规政策指南（CPG）</w:t>
            </w:r>
            <w:r>
              <w:rPr>
                <w:rFonts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Manual/ucm116271.htm)</w:t>
            </w:r>
            <w:r>
              <w:rPr>
                <w:rFonts w:ascii="Arial" w:hAnsi="Arial" w:eastAsia="宋体" w:cs="Arial"/>
                <w:b/>
                <w:sz w:val="24"/>
                <w:szCs w:val="24"/>
                <w:u w:val="single" w:color="000000"/>
              </w:rPr>
              <w:fldChar w:fldCharType="end"/>
            </w:r>
          </w:p>
        </w:tc>
      </w:tr>
      <w:tr w14:paraId="086F5F4B">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3A8C971A">
            <w:pPr>
              <w:pStyle w:val="9"/>
              <w:overflowPunct w:val="0"/>
              <w:snapToGrid w:val="0"/>
              <w:spacing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"https://www.fda.gov/ICECI/ComplianceManuals/CompliancePolicyGuidanceManual/ucm116280.htm" \h </w:instrText>
            </w:r>
            <w:r>
              <w:fldChar w:fldCharType="separate"/>
            </w:r>
            <w:r>
              <w:rPr>
                <w:rFonts w:ascii="Arial" w:hAnsi="Arial" w:eastAsia="宋体" w:cs="Arial"/>
                <w:b/>
                <w:sz w:val="24"/>
                <w:szCs w:val="24"/>
                <w:u w:val="single" w:color="000000"/>
              </w:rPr>
              <w:t>第一章-通则</w:t>
            </w:r>
            <w:r>
              <w:rPr>
                <w:rFonts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Manual/ucm116280.htm)</w:t>
            </w:r>
            <w:r>
              <w:rPr>
                <w:rFonts w:ascii="Arial" w:hAnsi="Arial" w:eastAsia="宋体" w:cs="Arial"/>
                <w:b/>
                <w:sz w:val="24"/>
                <w:szCs w:val="24"/>
                <w:u w:val="single" w:color="000000"/>
              </w:rPr>
              <w:fldChar w:fldCharType="end"/>
            </w:r>
          </w:p>
        </w:tc>
      </w:tr>
      <w:tr w14:paraId="6EC3DC38">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15782EA0">
            <w:pPr>
              <w:pStyle w:val="9"/>
              <w:overflowPunct w:val="0"/>
              <w:snapToGrid w:val="0"/>
              <w:spacing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"https://www.fda.gov/ICECI/ComplianceManuals/CompliancePolicyGuidanceManual/ucm116336.htm" \h </w:instrText>
            </w:r>
            <w:r>
              <w:fldChar w:fldCharType="separate"/>
            </w:r>
            <w:r>
              <w:rPr>
                <w:rFonts w:ascii="Arial" w:hAnsi="Arial" w:eastAsia="宋体" w:cs="Arial"/>
                <w:b/>
                <w:sz w:val="24"/>
                <w:szCs w:val="24"/>
                <w:u w:val="single" w:color="000000"/>
              </w:rPr>
              <w:t>第二章-生物制剂</w:t>
            </w:r>
            <w:r>
              <w:rPr>
                <w:rFonts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Manual/ucm116336.htm)</w:t>
            </w:r>
            <w:r>
              <w:rPr>
                <w:rFonts w:ascii="Arial" w:hAnsi="Arial" w:eastAsia="宋体" w:cs="Arial"/>
                <w:b/>
                <w:sz w:val="24"/>
                <w:szCs w:val="24"/>
                <w:u w:val="single" w:color="000000"/>
              </w:rPr>
              <w:fldChar w:fldCharType="end"/>
            </w:r>
          </w:p>
        </w:tc>
      </w:tr>
      <w:tr w14:paraId="1BC1D4B2">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308DB430">
            <w:pPr>
              <w:pStyle w:val="9"/>
              <w:overflowPunct w:val="0"/>
              <w:snapToGrid w:val="0"/>
              <w:spacing w:after="120" w:afterLines="50" w:line="300" w:lineRule="auto"/>
              <w:ind w:left="44" w:leftChars="20" w:right="44" w:rightChars="20"/>
              <w:rPr>
                <w:rFonts w:ascii="Arial" w:hAnsi="Arial" w:eastAsia="宋体" w:cs="Arial"/>
                <w:sz w:val="24"/>
                <w:szCs w:val="24"/>
                <w:lang w:val="en-US"/>
              </w:rPr>
            </w:pPr>
            <w:r>
              <w:fldChar w:fldCharType="begin"/>
            </w:r>
            <w:r>
              <w:instrText xml:space="preserve"> HYPERLINK "https://www.fda.gov/ICECI/ComplianceManuals/CompliancePolicyGuidanceManual/ucm116801.htm" \h </w:instrText>
            </w:r>
            <w:r>
              <w:fldChar w:fldCharType="separate"/>
            </w:r>
            <w:r>
              <w:rPr>
                <w:rFonts w:ascii="Arial" w:hAnsi="Arial" w:eastAsia="宋体" w:cs="Arial"/>
                <w:b/>
                <w:sz w:val="24"/>
                <w:szCs w:val="24"/>
                <w:u w:val="single" w:color="000000"/>
              </w:rPr>
              <w:t>第三章</w:t>
            </w:r>
            <w:r>
              <w:rPr>
                <w:rFonts w:ascii="Arial" w:hAnsi="Arial" w:eastAsia="宋体" w:cs="Arial"/>
                <w:b/>
                <w:sz w:val="24"/>
                <w:szCs w:val="24"/>
                <w:u w:val="single" w:color="000000"/>
                <w:lang w:val="en-US"/>
              </w:rPr>
              <w:t>-</w:t>
            </w:r>
            <w:r>
              <w:rPr>
                <w:rFonts w:ascii="Arial" w:hAnsi="Arial" w:eastAsia="宋体" w:cs="Arial"/>
                <w:b/>
                <w:sz w:val="24"/>
                <w:szCs w:val="24"/>
                <w:u w:val="single" w:color="000000"/>
              </w:rPr>
              <w:t>器械</w:t>
            </w:r>
            <w:r>
              <w:rPr>
                <w:rFonts w:ascii="Arial" w:hAnsi="Arial" w:eastAsia="宋体" w:cs="Arial"/>
                <w:b/>
                <w:sz w:val="24"/>
                <w:szCs w:val="24"/>
                <w:u w:val="single" w:color="000000"/>
                <w:lang w:val="en-US"/>
              </w:rPr>
              <w:br w:type="textWrapping"/>
            </w:r>
            <w:r>
              <w:rPr>
                <w:rFonts w:ascii="Arial" w:hAnsi="Arial" w:eastAsia="宋体" w:cs="Arial"/>
                <w:b/>
                <w:sz w:val="24"/>
                <w:szCs w:val="24"/>
                <w:u w:val="single" w:color="000000"/>
                <w:lang w:val="en-US"/>
              </w:rPr>
              <w:t>(/ICECI/Compliance Manuals/Compliance PolicyGuidance Manual/ucm116801.htm)</w:t>
            </w:r>
            <w:r>
              <w:rPr>
                <w:rFonts w:ascii="Arial" w:hAnsi="Arial" w:eastAsia="宋体" w:cs="Arial"/>
                <w:b/>
                <w:sz w:val="24"/>
                <w:szCs w:val="24"/>
                <w:u w:val="single" w:color="000000"/>
                <w:lang w:val="en-US"/>
              </w:rPr>
              <w:fldChar w:fldCharType="end"/>
            </w:r>
          </w:p>
        </w:tc>
      </w:tr>
      <w:tr w14:paraId="3894C375">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04441053">
            <w:pPr>
              <w:pStyle w:val="9"/>
              <w:overflowPunct w:val="0"/>
              <w:snapToGrid w:val="0"/>
              <w:spacing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"https://www.fda.gov/ICECI/ComplianceManuals/CompliancePolicyGuidanceManual/ucm119572.htm" \h </w:instrText>
            </w:r>
            <w:r>
              <w:fldChar w:fldCharType="separate"/>
            </w:r>
            <w:r>
              <w:rPr>
                <w:rFonts w:ascii="Arial" w:hAnsi="Arial" w:eastAsia="宋体" w:cs="Arial"/>
                <w:b/>
                <w:sz w:val="24"/>
                <w:szCs w:val="24"/>
                <w:u w:val="single" w:color="000000"/>
              </w:rPr>
              <w:t>第四章-人用药品</w:t>
            </w:r>
            <w:r>
              <w:rPr>
                <w:rFonts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Manual/ucm119572.htm)</w:t>
            </w:r>
            <w:r>
              <w:rPr>
                <w:rFonts w:ascii="Arial" w:hAnsi="Arial" w:eastAsia="宋体" w:cs="Arial"/>
                <w:b/>
                <w:sz w:val="24"/>
                <w:szCs w:val="24"/>
                <w:u w:val="single" w:color="000000"/>
              </w:rPr>
              <w:fldChar w:fldCharType="end"/>
            </w:r>
          </w:p>
        </w:tc>
      </w:tr>
      <w:tr w14:paraId="1A033570">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149FB25D">
            <w:pPr>
              <w:pStyle w:val="9"/>
              <w:overflowPunct w:val="0"/>
              <w:snapToGrid w:val="0"/>
              <w:spacing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"https://www.fda.gov/ICECI/ComplianceManuals/CompliancePolicyGuidanceManual/ucm119194.htm" \h </w:instrText>
            </w:r>
            <w:r>
              <w:fldChar w:fldCharType="separate"/>
            </w:r>
            <w:r>
              <w:rPr>
                <w:rFonts w:ascii="Arial" w:hAnsi="Arial" w:eastAsia="宋体" w:cs="Arial"/>
                <w:b/>
                <w:sz w:val="24"/>
                <w:szCs w:val="24"/>
                <w:u w:val="single" w:color="000000"/>
              </w:rPr>
              <w:t>第五章-食品、颜料和化妆品</w:t>
            </w:r>
            <w:r>
              <w:rPr>
                <w:rFonts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Manual/ucm119194.htm)</w:t>
            </w:r>
            <w:r>
              <w:rPr>
                <w:rFonts w:ascii="Arial" w:hAnsi="Arial" w:eastAsia="宋体" w:cs="Arial"/>
                <w:b/>
                <w:sz w:val="24"/>
                <w:szCs w:val="24"/>
                <w:u w:val="single" w:color="000000"/>
              </w:rPr>
              <w:fldChar w:fldCharType="end"/>
            </w:r>
          </w:p>
        </w:tc>
      </w:tr>
      <w:tr w14:paraId="12EDB429">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530F0F5A">
            <w:pPr>
              <w:overflowPunct w:val="0"/>
              <w:snapToGrid w:val="0"/>
              <w:spacing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"https://www.fda.gov/ICECI/ComplianceManuals/CompliancePolicyGuidanceManual/ucm117042.htm" \h </w:instrText>
            </w:r>
            <w:r>
              <w:fldChar w:fldCharType="separate"/>
            </w:r>
            <w:r>
              <w:rPr>
                <w:rFonts w:ascii="Arial" w:hAnsi="Arial" w:eastAsia="宋体" w:cs="Arial"/>
                <w:b/>
                <w:sz w:val="24"/>
                <w:szCs w:val="24"/>
                <w:u w:val="single" w:color="000000"/>
              </w:rPr>
              <w:t>第六章-兽医医学</w:t>
            </w:r>
            <w:r>
              <w:rPr>
                <w:rFonts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Manual/ucm117042.htm)</w:t>
            </w:r>
            <w:r>
              <w:rPr>
                <w:rFonts w:ascii="Arial" w:hAnsi="Arial" w:eastAsia="宋体" w:cs="Arial"/>
                <w:b/>
                <w:sz w:val="24"/>
                <w:szCs w:val="24"/>
                <w:u w:val="single" w:color="000000"/>
              </w:rPr>
              <w:fldChar w:fldCharType="end"/>
            </w:r>
          </w:p>
        </w:tc>
      </w:tr>
    </w:tbl>
    <w:p w14:paraId="4A67C6DC">
      <w:pPr>
        <w:overflowPunct w:val="0"/>
        <w:snapToGrid w:val="0"/>
        <w:spacing w:after="120" w:afterLines="50" w:line="300" w:lineRule="auto"/>
        <w:jc w:val="both"/>
        <w:rPr>
          <w:rFonts w:ascii="Arial" w:hAnsi="Arial" w:eastAsia="Arial" w:cs="Arial"/>
          <w:sz w:val="20"/>
          <w:szCs w:val="20"/>
          <w:lang w:eastAsia="zh-CN"/>
        </w:rPr>
      </w:pPr>
    </w:p>
    <w:p w14:paraId="29014398">
      <w:pPr>
        <w:overflowPunct w:val="0"/>
        <w:snapToGrid w:val="0"/>
        <w:spacing w:after="120" w:afterLines="50" w:line="300" w:lineRule="auto"/>
        <w:jc w:val="both"/>
        <w:rPr>
          <w:rFonts w:ascii="Arial" w:hAnsi="Arial" w:eastAsia="Arial" w:cs="Arial"/>
          <w:sz w:val="20"/>
          <w:szCs w:val="20"/>
          <w:lang w:eastAsia="zh-CN"/>
        </w:rPr>
      </w:pPr>
    </w:p>
    <w:p w14:paraId="539764C0">
      <w:pPr>
        <w:overflowPunct w:val="0"/>
        <w:snapToGrid w:val="0"/>
        <w:spacing w:after="120" w:afterLines="50" w:line="300" w:lineRule="auto"/>
        <w:jc w:val="both"/>
        <w:rPr>
          <w:rFonts w:hint="eastAsia" w:eastAsia="宋体"/>
          <w:lang w:eastAsia="zh-CN"/>
        </w:rPr>
      </w:pPr>
    </w:p>
    <w:p w14:paraId="11F08D94">
      <w:pPr>
        <w:overflowPunct w:val="0"/>
        <w:snapToGrid w:val="0"/>
        <w:spacing w:after="120" w:afterLines="50" w:line="300" w:lineRule="auto"/>
        <w:jc w:val="center"/>
        <w:rPr>
          <w:rFonts w:hint="eastAsia" w:eastAsia="宋体"/>
          <w:lang w:eastAsia="zh-CN"/>
        </w:rPr>
      </w:pPr>
    </w:p>
    <w:p w14:paraId="272C523E">
      <w:pPr>
        <w:overflowPunct w:val="0"/>
        <w:snapToGrid w:val="0"/>
        <w:spacing w:after="120" w:after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0" w:h="16820"/>
      <w:pgMar w:top="567" w:right="567" w:bottom="567" w:left="567" w:header="290" w:footer="27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32D1D">
    <w:pPr>
      <w:tabs>
        <w:tab w:val="right" w:pos="10773"/>
      </w:tabs>
      <w:spacing w:line="184" w:lineRule="exact"/>
      <w:ind w:left="40"/>
      <w:rPr>
        <w:rFonts w:ascii="Arial" w:hAnsi="Arial" w:eastAsia="Arial" w:cs="Arial"/>
        <w:sz w:val="15"/>
        <w:szCs w:val="15"/>
      </w:rPr>
    </w:pPr>
    <w:r>
      <w:rPr>
        <w:rFonts w:ascii="Arial" w:hAnsi="Arial" w:cs="Arial"/>
        <w:sz w:val="15"/>
        <w:szCs w:val="15"/>
      </w:rPr>
      <w:t>https://</w:t>
    </w:r>
    <w:r>
      <w:fldChar w:fldCharType="begin"/>
    </w:r>
    <w:r>
      <w:instrText xml:space="preserve"> HYPERLINK "http://www.fda.gov/ICECI/ComplianceManuals/CompliancePolicyGuidanceManual/ucm073906.htm" \h </w:instrText>
    </w:r>
    <w:r>
      <w:fldChar w:fldCharType="separate"/>
    </w:r>
    <w:r>
      <w:rPr>
        <w:rFonts w:ascii="Arial" w:hAnsi="Arial" w:cs="Arial"/>
        <w:sz w:val="15"/>
        <w:szCs w:val="15"/>
      </w:rPr>
      <w:t>www.fda.gov/ICECI/ComplianceManuals/CompliancePolicyGuidanceManual/ucm073906.htm</w:t>
    </w:r>
    <w:r>
      <w:rPr>
        <w:rFonts w:ascii="Arial" w:hAnsi="Arial" w:cs="Arial"/>
        <w:sz w:val="15"/>
        <w:szCs w:val="15"/>
      </w:rPr>
      <w:fldChar w:fldCharType="end"/>
    </w:r>
    <w:r>
      <w:rPr>
        <w:rFonts w:ascii="Arial" w:hAnsi="Arial" w:cs="Arial"/>
        <w:sz w:val="15"/>
        <w:szCs w:val="15"/>
        <w:lang w:eastAsia="zh-CN"/>
      </w:rPr>
      <w:tab/>
    </w:r>
    <w:r>
      <w:rPr>
        <w:rFonts w:ascii="Arial" w:hAnsi="Arial" w:cs="Arial"/>
        <w:sz w:val="15"/>
        <w:szCs w:val="15"/>
      </w:rPr>
      <w:fldChar w:fldCharType="begin"/>
    </w:r>
    <w:r>
      <w:rPr>
        <w:rFonts w:ascii="Arial" w:hAnsi="Arial" w:cs="Arial"/>
        <w:sz w:val="15"/>
        <w:szCs w:val="15"/>
      </w:rPr>
      <w:instrText xml:space="preserve"> PAGE </w:instrText>
    </w:r>
    <w:r>
      <w:rPr>
        <w:rFonts w:ascii="Arial" w:hAnsi="Arial" w:cs="Arial"/>
        <w:sz w:val="15"/>
        <w:szCs w:val="15"/>
      </w:rPr>
      <w:fldChar w:fldCharType="separate"/>
    </w:r>
    <w:r>
      <w:rPr>
        <w:rFonts w:ascii="Arial" w:hAnsi="Arial" w:cs="Arial"/>
        <w:sz w:val="15"/>
        <w:szCs w:val="15"/>
      </w:rPr>
      <w:t>1</w:t>
    </w:r>
    <w:r>
      <w:rPr>
        <w:rFonts w:ascii="Arial" w:hAnsi="Arial" w:cs="Arial"/>
        <w:sz w:val="15"/>
        <w:szCs w:val="15"/>
      </w:rPr>
      <w:fldChar w:fldCharType="end"/>
    </w:r>
    <w:r>
      <w:rPr>
        <w:rFonts w:ascii="Arial" w:hAnsi="Arial" w:cs="Arial"/>
        <w:sz w:val="15"/>
        <w:szCs w:val="15"/>
      </w:rPr>
      <w:t>/2</w:t>
    </w:r>
  </w:p>
  <w:p w14:paraId="5939DC85">
    <w:pPr>
      <w:tabs>
        <w:tab w:val="right" w:pos="10773"/>
      </w:tabs>
      <w:spacing w:line="14" w:lineRule="auto"/>
      <w:rPr>
        <w:rFonts w:ascii="Arial" w:hAnsi="Arial" w:cs="Arial"/>
        <w:sz w:val="15"/>
        <w:szCs w:val="15"/>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70F46">
    <w:pPr>
      <w:tabs>
        <w:tab w:val="left" w:pos="3969"/>
      </w:tabs>
      <w:spacing w:line="184" w:lineRule="exact"/>
      <w:ind w:left="20"/>
      <w:rPr>
        <w:rFonts w:ascii="Arial" w:hAnsi="Arial" w:eastAsia="Arial" w:cs="Arial"/>
        <w:sz w:val="15"/>
        <w:szCs w:val="15"/>
        <w:lang w:eastAsia="zh-CN"/>
      </w:rPr>
    </w:pPr>
    <w:r>
      <w:rPr>
        <w:rFonts w:ascii="Arial"/>
        <w:sz w:val="15"/>
        <w:szCs w:val="15"/>
        <w:lang w:eastAsia="zh-CN"/>
      </w:rPr>
      <w:t>2017年8月10日</w:t>
    </w:r>
    <w:r>
      <w:rPr>
        <w:rFonts w:hint="eastAsia" w:ascii="Arial"/>
        <w:sz w:val="15"/>
        <w:szCs w:val="15"/>
        <w:lang w:eastAsia="zh-CN"/>
      </w:rPr>
      <w:tab/>
    </w:r>
    <w:r>
      <w:rPr>
        <w:rFonts w:ascii="Arial"/>
        <w:sz w:val="15"/>
        <w:szCs w:val="15"/>
        <w:lang w:eastAsia="zh-CN"/>
      </w:rPr>
      <w:t>合规政策指南&gt;CPG章节 355.200电子肌肉刺激器</w:t>
    </w:r>
  </w:p>
  <w:p w14:paraId="242FF7CC">
    <w:pPr>
      <w:spacing w:line="184" w:lineRule="exact"/>
      <w:ind w:left="20"/>
      <w:rPr>
        <w:rFonts w:ascii="Arial" w:hAnsi="Arial" w:cs="Arial"/>
        <w:sz w:val="15"/>
        <w:szCs w:val="15"/>
        <w:lang w:eastAsia="zh-CN"/>
      </w:rPr>
    </w:pPr>
  </w:p>
  <w:p w14:paraId="1F43C672">
    <w:pPr>
      <w:spacing w:line="184" w:lineRule="exact"/>
      <w:ind w:left="20"/>
      <w:rPr>
        <w:rFonts w:ascii="Arial" w:hAnsi="Arial" w:cs="Arial"/>
        <w:sz w:val="15"/>
        <w:szCs w:val="15"/>
        <w:lang w:eastAsia="zh-CN"/>
      </w:rPr>
    </w:pPr>
  </w:p>
  <w:p w14:paraId="48EE5E42">
    <w:pPr>
      <w:spacing w:line="184" w:lineRule="exact"/>
      <w:ind w:left="20"/>
      <w:rPr>
        <w:rFonts w:ascii="Arial" w:hAnsi="Arial" w:cs="Arial"/>
        <w:sz w:val="15"/>
        <w:szCs w:val="15"/>
        <w:lang w:eastAsia="zh-CN"/>
      </w:rPr>
    </w:pPr>
  </w:p>
  <w:p w14:paraId="6B5E9741">
    <w:pPr>
      <w:spacing w:line="14" w:lineRule="auto"/>
      <w:rPr>
        <w:sz w:val="15"/>
        <w:szCs w:val="15"/>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71B"/>
    <w:rsid w:val="000E6065"/>
    <w:rsid w:val="001F23A1"/>
    <w:rsid w:val="002D1B45"/>
    <w:rsid w:val="003B42A8"/>
    <w:rsid w:val="005068EE"/>
    <w:rsid w:val="00515315"/>
    <w:rsid w:val="005448FF"/>
    <w:rsid w:val="006F2B7A"/>
    <w:rsid w:val="00725C70"/>
    <w:rsid w:val="007614A3"/>
    <w:rsid w:val="007C6BC7"/>
    <w:rsid w:val="0095393A"/>
    <w:rsid w:val="0096071B"/>
    <w:rsid w:val="00966562"/>
    <w:rsid w:val="00975C9E"/>
    <w:rsid w:val="0098076C"/>
    <w:rsid w:val="00A5571D"/>
    <w:rsid w:val="00AE25CF"/>
    <w:rsid w:val="00F5065F"/>
    <w:rsid w:val="7E474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de-DE" w:eastAsia="en-US"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00"/>
    </w:pPr>
    <w:rPr>
      <w:rFonts w:ascii="Arial" w:hAnsi="Arial" w:eastAsia="Arial"/>
      <w:sz w:val="25"/>
      <w:szCs w:val="25"/>
    </w:rPr>
  </w:style>
  <w:style w:type="paragraph" w:styleId="3">
    <w:name w:val="footer"/>
    <w:basedOn w:val="1"/>
    <w:link w:val="11"/>
    <w:unhideWhenUsed/>
    <w:uiPriority w:val="99"/>
    <w:pPr>
      <w:tabs>
        <w:tab w:val="center" w:pos="4153"/>
        <w:tab w:val="right" w:pos="8306"/>
      </w:tabs>
      <w:snapToGrid w:val="0"/>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style>
  <w:style w:type="character" w:customStyle="1" w:styleId="10">
    <w:name w:val="页眉 Char"/>
    <w:basedOn w:val="6"/>
    <w:link w:val="4"/>
    <w:uiPriority w:val="99"/>
    <w:rPr>
      <w:sz w:val="18"/>
      <w:szCs w:val="18"/>
    </w:rPr>
  </w:style>
  <w:style w:type="character" w:customStyle="1" w:styleId="11">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811</Words>
  <Characters>1425</Characters>
  <Lines>16</Lines>
  <Paragraphs>4</Paragraphs>
  <TotalTime>0</TotalTime>
  <ScaleCrop>false</ScaleCrop>
  <LinksUpToDate>false</LinksUpToDate>
  <CharactersWithSpaces>1456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2017-11-10T01:03:00Z</dcterms:created>
  <dc:creator>wenrongzhen</dc:creator>
  <cp:lastModifiedBy>太极箫客</cp:lastModifiedBy>
  <dcterms:modified xsi:type="dcterms:W3CDTF">2025-08-14T06:15:46Z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9B2470B73F074486A45064DE269D2D42_12</vt:lpwstr>
  </property>
</Properties>
</file>