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734DB">
      <w:pPr>
        <w:pBdr>
          <w:bottom w:val="single" w:color="auto" w:sz="4" w:space="1"/>
        </w:pBdr>
        <w:snapToGrid w:val="0"/>
        <w:spacing w:line="300" w:lineRule="auto"/>
        <w:jc w:val="center"/>
        <w:rPr>
          <w:rFonts w:ascii="Arial" w:hAnsi="Arial" w:eastAsia="宋体" w:cs="Arial"/>
          <w:b/>
          <w:sz w:val="72"/>
          <w:szCs w:val="72"/>
        </w:rPr>
      </w:pPr>
      <w:bookmarkStart w:id="22" w:name="_GoBack"/>
      <w:bookmarkEnd w:id="22"/>
      <w:r>
        <w:rPr>
          <w:rFonts w:ascii="Arial" w:hAnsi="Arial" w:eastAsia="宋体" w:cs="Arial"/>
          <w:b/>
          <w:sz w:val="72"/>
          <w:szCs w:val="72"/>
        </w:rPr>
        <w:t>行业</w:t>
      </w:r>
      <w:r>
        <w:rPr>
          <w:rFonts w:hint="eastAsia" w:ascii="Arial" w:hAnsi="Arial" w:eastAsia="宋体" w:cs="Arial"/>
          <w:b/>
          <w:sz w:val="72"/>
          <w:szCs w:val="72"/>
        </w:rPr>
        <w:t>和</w:t>
      </w:r>
      <w:r>
        <w:rPr>
          <w:rFonts w:ascii="Arial" w:hAnsi="Arial" w:eastAsia="宋体" w:cs="Arial"/>
          <w:b/>
          <w:sz w:val="72"/>
          <w:szCs w:val="72"/>
        </w:rPr>
        <w:t>FDA工作人员指南</w:t>
      </w:r>
    </w:p>
    <w:p w14:paraId="6558DBB9">
      <w:pPr>
        <w:snapToGrid w:val="0"/>
        <w:spacing w:after="240" w:line="300" w:lineRule="auto"/>
        <w:jc w:val="center"/>
        <w:rPr>
          <w:rFonts w:ascii="Arial" w:hAnsi="Arial" w:eastAsia="宋体" w:cs="Arial"/>
          <w:b/>
          <w:sz w:val="72"/>
          <w:szCs w:val="72"/>
        </w:rPr>
      </w:pPr>
      <w:r>
        <w:rPr>
          <w:rFonts w:ascii="Arial" w:hAnsi="Arial" w:eastAsia="宋体" w:cs="Arial"/>
          <w:b/>
          <w:sz w:val="72"/>
          <w:szCs w:val="72"/>
        </w:rPr>
        <w:t>柜式X射线系统合规指南</w:t>
      </w:r>
    </w:p>
    <w:p w14:paraId="7CC9F5D8">
      <w:pPr>
        <w:snapToGrid w:val="0"/>
        <w:spacing w:after="240" w:line="300" w:lineRule="auto"/>
        <w:jc w:val="center"/>
        <w:rPr>
          <w:rFonts w:ascii="Arial" w:hAnsi="Arial" w:eastAsia="宋体" w:cs="Arial"/>
          <w:b/>
          <w:sz w:val="24"/>
          <w:szCs w:val="24"/>
          <w:lang w:val="de-DE"/>
        </w:rPr>
      </w:pPr>
      <w:r>
        <w:rPr>
          <w:rFonts w:ascii="Arial" w:hAnsi="Arial" w:eastAsia="宋体" w:cs="Arial"/>
          <w:b/>
          <w:sz w:val="24"/>
          <w:szCs w:val="24"/>
        </w:rPr>
        <w:t>文件发布于</w:t>
      </w:r>
      <w:r>
        <w:rPr>
          <w:rFonts w:ascii="Arial" w:hAnsi="Arial" w:eastAsia="宋体" w:cs="Arial"/>
          <w:b/>
          <w:sz w:val="24"/>
          <w:szCs w:val="24"/>
          <w:lang w:val="de-DE"/>
        </w:rPr>
        <w:t>2007</w:t>
      </w:r>
      <w:r>
        <w:rPr>
          <w:rFonts w:ascii="Arial" w:hAnsi="Arial" w:eastAsia="宋体" w:cs="Arial"/>
          <w:b/>
          <w:sz w:val="24"/>
          <w:szCs w:val="24"/>
        </w:rPr>
        <w:t>年</w:t>
      </w:r>
      <w:r>
        <w:rPr>
          <w:rFonts w:ascii="Arial" w:hAnsi="Arial" w:eastAsia="宋体" w:cs="Arial"/>
          <w:b/>
          <w:sz w:val="24"/>
          <w:szCs w:val="24"/>
          <w:lang w:val="de-DE"/>
        </w:rPr>
        <w:t>9</w:t>
      </w:r>
      <w:r>
        <w:rPr>
          <w:rFonts w:ascii="Arial" w:hAnsi="Arial" w:eastAsia="宋体" w:cs="Arial"/>
          <w:b/>
          <w:sz w:val="24"/>
          <w:szCs w:val="24"/>
        </w:rPr>
        <w:t>月</w:t>
      </w:r>
      <w:r>
        <w:rPr>
          <w:rFonts w:ascii="Arial" w:hAnsi="Arial" w:eastAsia="宋体" w:cs="Arial"/>
          <w:b/>
          <w:sz w:val="24"/>
          <w:szCs w:val="24"/>
          <w:lang w:val="de-DE"/>
        </w:rPr>
        <w:t>19</w:t>
      </w:r>
      <w:r>
        <w:rPr>
          <w:rFonts w:ascii="Arial" w:hAnsi="Arial" w:eastAsia="宋体" w:cs="Arial"/>
          <w:b/>
          <w:sz w:val="24"/>
          <w:szCs w:val="24"/>
        </w:rPr>
        <w:t>日</w:t>
      </w:r>
    </w:p>
    <w:p w14:paraId="354D46CC">
      <w:pPr>
        <w:snapToGrid w:val="0"/>
        <w:spacing w:after="240" w:line="300" w:lineRule="auto"/>
        <w:jc w:val="left"/>
        <w:rPr>
          <w:rFonts w:ascii="Arial" w:hAnsi="Arial" w:eastAsia="宋体" w:cs="Arial"/>
          <w:sz w:val="24"/>
          <w:szCs w:val="24"/>
          <w:lang w:val="de-DE"/>
        </w:rPr>
      </w:pPr>
      <w:r>
        <w:rPr>
          <w:rFonts w:ascii="Arial" w:hAnsi="Arial" w:eastAsia="宋体" w:cs="Arial"/>
          <w:sz w:val="24"/>
          <w:szCs w:val="24"/>
        </w:rPr>
        <w:t>关于本文件的任何问题</w:t>
      </w:r>
      <w:r>
        <w:rPr>
          <w:rFonts w:ascii="Arial" w:hAnsi="Arial" w:eastAsia="宋体" w:cs="Arial"/>
          <w:sz w:val="24"/>
          <w:szCs w:val="24"/>
          <w:lang w:val="de-DE"/>
        </w:rPr>
        <w:t>，</w:t>
      </w:r>
      <w:r>
        <w:rPr>
          <w:rFonts w:ascii="Arial" w:hAnsi="Arial" w:eastAsia="宋体" w:cs="Arial"/>
          <w:sz w:val="24"/>
          <w:szCs w:val="24"/>
        </w:rPr>
        <w:t>请通过电话</w:t>
      </w:r>
      <w:r>
        <w:rPr>
          <w:rFonts w:ascii="Arial" w:hAnsi="Arial" w:eastAsia="宋体" w:cs="Arial"/>
          <w:sz w:val="24"/>
          <w:szCs w:val="24"/>
          <w:lang w:val="de-DE"/>
        </w:rPr>
        <w:t>301-796-5865</w:t>
      </w:r>
      <w:r>
        <w:rPr>
          <w:rFonts w:ascii="Arial" w:hAnsi="Arial" w:eastAsia="宋体" w:cs="Arial"/>
          <w:sz w:val="24"/>
          <w:szCs w:val="24"/>
        </w:rPr>
        <w:t>或邮箱</w:t>
      </w:r>
      <w:r>
        <w:rPr>
          <w:rFonts w:ascii="Arial" w:hAnsi="Arial" w:eastAsia="宋体" w:cs="Arial"/>
          <w:sz w:val="24"/>
          <w:szCs w:val="24"/>
          <w:lang w:val="de-DE"/>
        </w:rPr>
        <w:t>Daniel.Kassiday@FDA.HHS.GOV</w:t>
      </w:r>
      <w:r>
        <w:rPr>
          <w:rFonts w:ascii="Arial" w:hAnsi="Arial" w:eastAsia="宋体" w:cs="Arial"/>
          <w:sz w:val="24"/>
          <w:szCs w:val="24"/>
        </w:rPr>
        <w:t>联系</w:t>
      </w:r>
      <w:r>
        <w:rPr>
          <w:rFonts w:ascii="Arial" w:hAnsi="Arial" w:eastAsia="宋体" w:cs="Arial"/>
          <w:sz w:val="24"/>
          <w:szCs w:val="24"/>
          <w:lang w:val="de-DE"/>
        </w:rPr>
        <w:t>Daniel Kassiday</w:t>
      </w:r>
      <w:r>
        <w:rPr>
          <w:rFonts w:ascii="Arial" w:hAnsi="Arial" w:eastAsia="宋体" w:cs="Arial"/>
          <w:sz w:val="24"/>
          <w:szCs w:val="24"/>
        </w:rPr>
        <w:t>。</w:t>
      </w:r>
    </w:p>
    <w:p w14:paraId="33F22F1B">
      <w:pPr>
        <w:snapToGrid w:val="0"/>
        <w:spacing w:after="240" w:line="300" w:lineRule="auto"/>
        <w:jc w:val="left"/>
        <w:rPr>
          <w:rFonts w:ascii="Arial" w:hAnsi="Arial" w:eastAsia="宋体" w:cs="Arial"/>
          <w:lang w:val="de-DE"/>
        </w:rPr>
      </w:pPr>
    </w:p>
    <w:p w14:paraId="7FB098B1">
      <w:pPr>
        <w:snapToGrid w:val="0"/>
        <w:spacing w:after="240" w:line="300" w:lineRule="auto"/>
        <w:jc w:val="left"/>
        <w:rPr>
          <w:rFonts w:ascii="Arial" w:hAnsi="Arial" w:eastAsia="宋体" w:cs="Arial"/>
          <w:lang w:val="de-DE"/>
        </w:rPr>
      </w:pPr>
    </w:p>
    <w:p w14:paraId="34DEB86F">
      <w:pPr>
        <w:snapToGrid w:val="0"/>
        <w:spacing w:after="240" w:line="300" w:lineRule="auto"/>
        <w:jc w:val="left"/>
        <w:rPr>
          <w:rFonts w:ascii="Arial" w:hAnsi="Arial" w:eastAsia="宋体" w:cs="Arial"/>
          <w:lang w:val="de-DE"/>
        </w:rPr>
      </w:pPr>
    </w:p>
    <w:p w14:paraId="5F565702">
      <w:pPr>
        <w:snapToGrid w:val="0"/>
        <w:spacing w:after="240" w:line="300" w:lineRule="auto"/>
        <w:jc w:val="left"/>
        <w:rPr>
          <w:rFonts w:ascii="Arial" w:hAnsi="Arial" w:eastAsia="宋体" w:cs="Arial"/>
          <w:lang w:val="de-DE"/>
        </w:rPr>
      </w:pPr>
    </w:p>
    <w:p w14:paraId="0E54DC05">
      <w:pPr>
        <w:snapToGrid w:val="0"/>
        <w:spacing w:after="240" w:line="300" w:lineRule="auto"/>
        <w:jc w:val="left"/>
        <w:rPr>
          <w:rFonts w:ascii="Arial" w:hAnsi="Arial" w:eastAsia="宋体" w:cs="Arial"/>
          <w:lang w:val="de-DE"/>
        </w:rPr>
      </w:pPr>
    </w:p>
    <w:p w14:paraId="68895BB2">
      <w:pPr>
        <w:snapToGrid w:val="0"/>
        <w:spacing w:after="240" w:line="300" w:lineRule="auto"/>
        <w:jc w:val="left"/>
        <w:rPr>
          <w:rFonts w:ascii="Arial" w:hAnsi="Arial" w:eastAsia="宋体" w:cs="Arial"/>
          <w:lang w:val="de-DE"/>
        </w:rPr>
      </w:pPr>
    </w:p>
    <w:p w14:paraId="788F981F">
      <w:pPr>
        <w:snapToGrid w:val="0"/>
        <w:spacing w:after="240" w:line="300" w:lineRule="auto"/>
        <w:jc w:val="left"/>
        <w:rPr>
          <w:rFonts w:ascii="Arial" w:hAnsi="Arial" w:eastAsia="宋体" w:cs="Arial"/>
          <w:lang w:val="de-DE"/>
        </w:rPr>
      </w:pPr>
    </w:p>
    <w:p w14:paraId="37CBE302">
      <w:pPr>
        <w:snapToGrid w:val="0"/>
        <w:spacing w:after="240" w:line="300" w:lineRule="auto"/>
        <w:jc w:val="left"/>
        <w:rPr>
          <w:rFonts w:ascii="Arial" w:hAnsi="Arial" w:eastAsia="宋体" w:cs="Arial"/>
          <w:lang w:val="de-DE"/>
        </w:rPr>
      </w:pPr>
    </w:p>
    <w:p w14:paraId="168CC617">
      <w:pPr>
        <w:snapToGrid w:val="0"/>
        <w:spacing w:after="240" w:line="300" w:lineRule="auto"/>
        <w:jc w:val="left"/>
        <w:rPr>
          <w:rFonts w:ascii="Arial" w:hAnsi="Arial" w:eastAsia="宋体" w:cs="Arial"/>
          <w:lang w:val="de-DE"/>
        </w:rPr>
      </w:pPr>
    </w:p>
    <w:p w14:paraId="31981FD2">
      <w:pPr>
        <w:snapToGrid w:val="0"/>
        <w:spacing w:after="240" w:line="300" w:lineRule="auto"/>
        <w:jc w:val="left"/>
        <w:rPr>
          <w:rFonts w:ascii="Arial" w:hAnsi="Arial" w:eastAsia="宋体" w:cs="Arial"/>
          <w:lang w:val="de-DE"/>
        </w:rPr>
      </w:pPr>
    </w:p>
    <w:p w14:paraId="796EF876">
      <w:pPr>
        <w:snapToGrid w:val="0"/>
        <w:spacing w:after="240" w:line="300" w:lineRule="auto"/>
        <w:jc w:val="left"/>
        <w:rPr>
          <w:rFonts w:ascii="Arial" w:hAnsi="Arial" w:eastAsia="宋体" w:cs="Arial"/>
          <w:lang w:val="de-DE"/>
        </w:rPr>
      </w:pPr>
    </w:p>
    <w:p w14:paraId="34098F5C">
      <w:pPr>
        <w:snapToGrid w:val="0"/>
        <w:spacing w:after="240" w:line="300" w:lineRule="auto"/>
        <w:jc w:val="left"/>
        <w:rPr>
          <w:rFonts w:ascii="Arial" w:hAnsi="Arial" w:eastAsia="宋体" w:cs="Arial"/>
          <w:lang w:val="de-DE"/>
        </w:rPr>
      </w:pPr>
    </w:p>
    <w:p w14:paraId="12995B73">
      <w:pPr>
        <w:snapToGrid w:val="0"/>
        <w:spacing w:after="240" w:line="300" w:lineRule="auto"/>
        <w:jc w:val="left"/>
        <w:rPr>
          <w:rFonts w:ascii="Arial" w:hAnsi="Arial" w:eastAsia="宋体" w:cs="Arial"/>
          <w:lang w:val="de-DE"/>
        </w:rPr>
      </w:pPr>
    </w:p>
    <w:p w14:paraId="20560047">
      <w:pPr>
        <w:snapToGrid w:val="0"/>
        <w:spacing w:after="240" w:line="300" w:lineRule="auto"/>
        <w:jc w:val="left"/>
        <w:rPr>
          <w:rFonts w:ascii="Arial" w:hAnsi="Arial" w:eastAsia="宋体" w:cs="Arial"/>
          <w:b/>
          <w:lang w:val="de-DE"/>
        </w:rPr>
      </w:pPr>
      <w:r>
        <w:drawing>
          <wp:anchor distT="0" distB="0" distL="114300" distR="114300" simplePos="0" relativeHeight="251659264" behindDoc="0" locked="0" layoutInCell="1" allowOverlap="1">
            <wp:simplePos x="0" y="0"/>
            <wp:positionH relativeFrom="column">
              <wp:posOffset>5080</wp:posOffset>
            </wp:positionH>
            <wp:positionV relativeFrom="paragraph">
              <wp:posOffset>1905</wp:posOffset>
            </wp:positionV>
            <wp:extent cx="857250" cy="1009650"/>
            <wp:effectExtent l="0" t="0" r="635"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57143" cy="1009524"/>
                    </a:xfrm>
                    <a:prstGeom prst="rect">
                      <a:avLst/>
                    </a:prstGeom>
                  </pic:spPr>
                </pic:pic>
              </a:graphicData>
            </a:graphic>
          </wp:anchor>
        </w:drawing>
      </w:r>
    </w:p>
    <w:p w14:paraId="29626204">
      <w:pPr>
        <w:snapToGrid w:val="0"/>
        <w:spacing w:line="300" w:lineRule="auto"/>
        <w:jc w:val="right"/>
        <w:rPr>
          <w:rFonts w:ascii="Arial" w:hAnsi="Arial" w:eastAsia="宋体" w:cs="Arial"/>
          <w:b/>
        </w:rPr>
      </w:pPr>
      <w:r>
        <w:rPr>
          <w:rFonts w:ascii="Arial" w:hAnsi="Arial" w:eastAsia="宋体" w:cs="Arial"/>
          <w:b/>
        </w:rPr>
        <w:t>美国卫生和人类服务署</w:t>
      </w:r>
    </w:p>
    <w:p w14:paraId="5D3FFE78">
      <w:pPr>
        <w:snapToGrid w:val="0"/>
        <w:spacing w:line="300" w:lineRule="auto"/>
        <w:jc w:val="right"/>
        <w:rPr>
          <w:rFonts w:ascii="Arial" w:hAnsi="Arial" w:eastAsia="宋体" w:cs="Arial"/>
          <w:b/>
        </w:rPr>
      </w:pPr>
      <w:r>
        <w:rPr>
          <w:rFonts w:ascii="Arial" w:hAnsi="Arial" w:eastAsia="宋体" w:cs="Arial"/>
          <w:b/>
        </w:rPr>
        <w:t>食品药品监督管理局</w:t>
      </w:r>
    </w:p>
    <w:p w14:paraId="7617CFE6">
      <w:pPr>
        <w:snapToGrid w:val="0"/>
        <w:spacing w:line="300" w:lineRule="auto"/>
        <w:jc w:val="right"/>
        <w:rPr>
          <w:rFonts w:ascii="Arial" w:hAnsi="Arial" w:eastAsia="宋体" w:cs="Arial"/>
          <w:b/>
        </w:rPr>
      </w:pPr>
      <w:r>
        <w:rPr>
          <w:rFonts w:ascii="Arial" w:hAnsi="Arial" w:eastAsia="宋体" w:cs="Arial"/>
          <w:b/>
        </w:rPr>
        <w:t>器械和放射卫生中心</w:t>
      </w:r>
    </w:p>
    <w:p w14:paraId="4C3B5129">
      <w:pPr>
        <w:snapToGrid w:val="0"/>
        <w:spacing w:line="300" w:lineRule="auto"/>
        <w:jc w:val="right"/>
        <w:rPr>
          <w:rFonts w:ascii="Arial" w:hAnsi="Arial" w:eastAsia="宋体" w:cs="Arial"/>
          <w:b/>
        </w:rPr>
      </w:pPr>
      <w:r>
        <w:rPr>
          <w:rFonts w:ascii="Arial" w:hAnsi="Arial" w:eastAsia="宋体" w:cs="Arial"/>
          <w:b/>
        </w:rPr>
        <w:t>电子产品分部</w:t>
      </w:r>
    </w:p>
    <w:p w14:paraId="3429455D">
      <w:pPr>
        <w:snapToGrid w:val="0"/>
        <w:spacing w:line="300" w:lineRule="auto"/>
        <w:jc w:val="right"/>
        <w:rPr>
          <w:rFonts w:ascii="Arial" w:hAnsi="Arial" w:eastAsia="宋体" w:cs="Arial"/>
          <w:b/>
        </w:rPr>
      </w:pPr>
      <w:r>
        <w:rPr>
          <w:rFonts w:ascii="Arial" w:hAnsi="Arial" w:eastAsia="宋体" w:cs="Arial"/>
          <w:b/>
        </w:rPr>
        <w:t>乳房X光造影术质量和辐射项目分部</w:t>
      </w:r>
    </w:p>
    <w:p w14:paraId="2B33964D">
      <w:pPr>
        <w:snapToGrid w:val="0"/>
        <w:spacing w:line="300" w:lineRule="auto"/>
        <w:jc w:val="right"/>
        <w:rPr>
          <w:rFonts w:ascii="Arial" w:hAnsi="Arial" w:eastAsia="宋体" w:cs="Arial"/>
          <w:b/>
        </w:rPr>
      </w:pPr>
      <w:r>
        <w:rPr>
          <w:rFonts w:ascii="Arial" w:hAnsi="Arial" w:eastAsia="宋体" w:cs="Arial"/>
          <w:b/>
        </w:rPr>
        <w:t>沟通、教育和辐射项目办公室</w:t>
      </w:r>
    </w:p>
    <w:p w14:paraId="7519C257">
      <w:pPr>
        <w:snapToGrid w:val="0"/>
        <w:spacing w:line="300" w:lineRule="auto"/>
        <w:jc w:val="right"/>
        <w:rPr>
          <w:rFonts w:ascii="Arial" w:hAnsi="Arial" w:eastAsia="宋体" w:cs="Arial"/>
          <w:b/>
        </w:rPr>
        <w:sectPr>
          <w:pgSz w:w="11906" w:h="16838"/>
          <w:pgMar w:top="1440" w:right="1800" w:bottom="1440" w:left="1800" w:header="851" w:footer="992" w:gutter="0"/>
          <w:cols w:space="425" w:num="1"/>
          <w:docGrid w:type="lines" w:linePitch="312" w:charSpace="0"/>
        </w:sectPr>
      </w:pPr>
    </w:p>
    <w:p w14:paraId="54E31D78">
      <w:pPr>
        <w:snapToGrid w:val="0"/>
        <w:spacing w:after="240" w:line="300" w:lineRule="auto"/>
        <w:jc w:val="center"/>
        <w:rPr>
          <w:rFonts w:ascii="Arial" w:hAnsi="Arial" w:eastAsia="宋体" w:cs="Arial"/>
          <w:b/>
          <w:sz w:val="44"/>
          <w:szCs w:val="44"/>
        </w:rPr>
      </w:pPr>
      <w:r>
        <w:rPr>
          <w:rFonts w:ascii="Arial" w:hAnsi="Arial" w:eastAsia="宋体" w:cs="Arial"/>
          <w:b/>
          <w:sz w:val="44"/>
          <w:szCs w:val="44"/>
        </w:rPr>
        <w:t>前言</w:t>
      </w:r>
    </w:p>
    <w:p w14:paraId="1A048000">
      <w:pPr>
        <w:snapToGrid w:val="0"/>
        <w:spacing w:after="240" w:line="300" w:lineRule="auto"/>
        <w:jc w:val="left"/>
        <w:rPr>
          <w:rFonts w:ascii="Arial" w:hAnsi="Arial" w:eastAsia="宋体" w:cs="Arial"/>
          <w:b/>
          <w:sz w:val="24"/>
          <w:szCs w:val="24"/>
        </w:rPr>
      </w:pPr>
      <w:r>
        <w:rPr>
          <w:rFonts w:hint="eastAsia" w:ascii="Arial" w:hAnsi="Arial" w:eastAsia="宋体" w:cs="Arial"/>
          <w:b/>
          <w:sz w:val="24"/>
          <w:szCs w:val="24"/>
        </w:rPr>
        <w:t>公共</w:t>
      </w:r>
      <w:r>
        <w:rPr>
          <w:rFonts w:ascii="Arial" w:hAnsi="Arial" w:eastAsia="宋体" w:cs="Arial"/>
          <w:b/>
          <w:sz w:val="24"/>
          <w:szCs w:val="24"/>
        </w:rPr>
        <w:t>评论</w:t>
      </w:r>
    </w:p>
    <w:p w14:paraId="4662560B">
      <w:pPr>
        <w:snapToGrid w:val="0"/>
        <w:spacing w:after="240" w:line="300" w:lineRule="auto"/>
        <w:jc w:val="left"/>
        <w:rPr>
          <w:rFonts w:ascii="Arial" w:hAnsi="Arial" w:eastAsia="宋体" w:cs="Arial"/>
          <w:sz w:val="24"/>
          <w:szCs w:val="24"/>
        </w:rPr>
      </w:pPr>
      <w:r>
        <w:rPr>
          <w:rFonts w:ascii="Arial" w:hAnsi="Arial" w:eastAsia="宋体" w:cs="Arial"/>
          <w:sz w:val="24"/>
          <w:szCs w:val="24"/>
        </w:rPr>
        <w:t>为便于本机构收集评论和建议，书面评论和建议可以随时提交至食品药品监督管理局，人力资源和管理服务办公室，管理系统和政策司，案卷管理科（5630 Fishers Lane，ROOM 1061（HFA-305），Rockville，MD，20852）。此外，电子评论可提交至http：//www.regulations.gov。所有评论应注明案卷编号，该编号在联邦公报上公布的可用性通知中列出。再次进行文件修订或更新之前，本机构可能不会针对评论采取行动。</w:t>
      </w:r>
    </w:p>
    <w:p w14:paraId="0A612132">
      <w:pPr>
        <w:snapToGrid w:val="0"/>
        <w:spacing w:after="240" w:line="300" w:lineRule="auto"/>
        <w:jc w:val="left"/>
        <w:rPr>
          <w:rFonts w:ascii="Arial" w:hAnsi="Arial" w:eastAsia="宋体" w:cs="Arial"/>
          <w:b/>
          <w:sz w:val="24"/>
          <w:szCs w:val="24"/>
        </w:rPr>
      </w:pPr>
      <w:r>
        <w:rPr>
          <w:rFonts w:ascii="Arial" w:hAnsi="Arial" w:eastAsia="宋体" w:cs="Arial"/>
          <w:b/>
          <w:sz w:val="24"/>
          <w:szCs w:val="24"/>
        </w:rPr>
        <w:t>其他副本</w:t>
      </w:r>
    </w:p>
    <w:p w14:paraId="4513B383">
      <w:pPr>
        <w:widowControl/>
        <w:snapToGrid w:val="0"/>
        <w:spacing w:line="300" w:lineRule="auto"/>
        <w:rPr>
          <w:rFonts w:ascii="Arial" w:hAnsi="Arial" w:eastAsia="宋体" w:cs="Arial"/>
          <w:sz w:val="24"/>
          <w:szCs w:val="24"/>
        </w:rPr>
      </w:pPr>
      <w:r>
        <w:rPr>
          <w:rFonts w:ascii="Arial" w:hAnsi="Arial" w:eastAsia="宋体" w:cs="Arial"/>
          <w:sz w:val="24"/>
          <w:szCs w:val="24"/>
        </w:rPr>
        <w:t>其他副本可从互联网获得</w:t>
      </w:r>
      <w:r>
        <w:rPr>
          <w:rFonts w:ascii="Arial" w:hAnsi="Arial" w:cs="Arial"/>
          <w:color w:val="0000FF"/>
          <w:sz w:val="24"/>
          <w:szCs w:val="24"/>
          <w:u w:val="single"/>
        </w:rPr>
        <w:t>http://www.fda.gov/cdrh/ocer/guidance/1634.html</w:t>
      </w:r>
      <w:r>
        <w:rPr>
          <w:rFonts w:ascii="Arial" w:hAnsi="Arial" w:eastAsia="宋体" w:cs="Arial"/>
          <w:sz w:val="24"/>
          <w:szCs w:val="24"/>
        </w:rPr>
        <w:t>。您还可以向</w:t>
      </w:r>
      <w:r>
        <w:rPr>
          <w:rFonts w:ascii="Arial" w:hAnsi="Arial" w:eastAsia="宋体" w:cs="Arial"/>
          <w:color w:val="0000FF"/>
          <w:sz w:val="24"/>
          <w:szCs w:val="24"/>
          <w:u w:val="single"/>
        </w:rPr>
        <w:t>dsmica@fda.hhs.gov</w:t>
      </w:r>
      <w:r>
        <w:rPr>
          <w:rFonts w:ascii="Arial" w:hAnsi="Arial" w:eastAsia="宋体" w:cs="Arial"/>
          <w:sz w:val="24"/>
          <w:szCs w:val="24"/>
        </w:rPr>
        <w:t xml:space="preserve"> 发送电子邮件请求以接收本指南的电子副本，或向301-847-8149发送传真请求以接收副本。请使用文件编号1634来注明您所要求获得的指南。</w:t>
      </w:r>
      <w:r>
        <w:rPr>
          <w:rFonts w:ascii="Arial" w:hAnsi="Arial" w:eastAsia="宋体" w:cs="Arial"/>
          <w:sz w:val="24"/>
          <w:szCs w:val="24"/>
        </w:rPr>
        <w:br w:type="page"/>
      </w:r>
    </w:p>
    <w:p w14:paraId="7E153970">
      <w:pPr>
        <w:snapToGrid w:val="0"/>
        <w:spacing w:line="300" w:lineRule="auto"/>
        <w:jc w:val="center"/>
        <w:rPr>
          <w:rFonts w:ascii="Arial" w:hAnsi="Arial" w:eastAsia="宋体" w:cs="Arial"/>
          <w:b/>
          <w:sz w:val="44"/>
          <w:szCs w:val="44"/>
        </w:rPr>
      </w:pPr>
      <w:r>
        <w:rPr>
          <w:rFonts w:ascii="Arial" w:hAnsi="Arial" w:eastAsia="宋体" w:cs="Arial"/>
          <w:b/>
          <w:sz w:val="44"/>
          <w:szCs w:val="44"/>
        </w:rPr>
        <w:t>目录</w:t>
      </w:r>
    </w:p>
    <w:sdt>
      <w:sdtPr>
        <w:rPr>
          <w:rFonts w:asciiTheme="minorHAnsi" w:hAnsiTheme="minorHAnsi" w:eastAsiaTheme="minorEastAsia" w:cstheme="minorBidi"/>
          <w:b w:val="0"/>
          <w:bCs w:val="0"/>
          <w:color w:val="auto"/>
          <w:kern w:val="2"/>
          <w:sz w:val="21"/>
          <w:szCs w:val="22"/>
          <w:lang w:val="zh-CN"/>
        </w:rPr>
        <w:id w:val="-1147658494"/>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zh-CN"/>
        </w:rPr>
      </w:sdtEndPr>
      <w:sdtContent>
        <w:p w14:paraId="07F6B7F1">
          <w:pPr>
            <w:pStyle w:val="20"/>
            <w:spacing w:before="0"/>
          </w:pPr>
        </w:p>
        <w:p w14:paraId="645178D8">
          <w:pPr>
            <w:pStyle w:val="6"/>
            <w:tabs>
              <w:tab w:val="right" w:leader="dot" w:pos="8296"/>
            </w:tabs>
            <w:rPr>
              <w:rFonts w:eastAsiaTheme="minorEastAsia"/>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"_Toc496890868" </w:instrText>
          </w:r>
          <w:r>
            <w:fldChar w:fldCharType="separate"/>
          </w:r>
          <w:r>
            <w:rPr>
              <w:rStyle w:val="11"/>
              <w:rFonts w:hint="eastAsia" w:ascii="Arial" w:hAnsi="Arial" w:cs="Arial"/>
              <w:b/>
            </w:rPr>
            <w:t>引言</w:t>
          </w:r>
          <w:r>
            <w:tab/>
          </w:r>
          <w:r>
            <w:fldChar w:fldCharType="begin"/>
          </w:r>
          <w:r>
            <w:instrText xml:space="preserve"> PAGEREF _Toc496890868 \h </w:instrText>
          </w:r>
          <w:r>
            <w:fldChar w:fldCharType="separate"/>
          </w:r>
          <w:r>
            <w:t>1</w:t>
          </w:r>
          <w:r>
            <w:fldChar w:fldCharType="end"/>
          </w:r>
          <w:r>
            <w:fldChar w:fldCharType="end"/>
          </w:r>
        </w:p>
        <w:p w14:paraId="2495D3AE">
          <w:pPr>
            <w:pStyle w:val="6"/>
            <w:tabs>
              <w:tab w:val="left" w:pos="420"/>
              <w:tab w:val="right" w:leader="dot" w:pos="8296"/>
            </w:tabs>
            <w:rPr>
              <w:rFonts w:eastAsiaTheme="minorEastAsia"/>
            </w:rPr>
          </w:pPr>
          <w:r>
            <w:fldChar w:fldCharType="begin"/>
          </w:r>
          <w:r>
            <w:instrText xml:space="preserve"> HYPERLINK \l "_Toc496890869" </w:instrText>
          </w:r>
          <w:r>
            <w:fldChar w:fldCharType="separate"/>
          </w:r>
          <w:r>
            <w:rPr>
              <w:rStyle w:val="11"/>
              <w:rFonts w:ascii="Arial" w:hAnsi="Arial" w:cs="Arial"/>
              <w:b/>
            </w:rPr>
            <w:t>1.</w:t>
          </w:r>
          <w:r>
            <w:rPr>
              <w:rFonts w:eastAsiaTheme="minorEastAsia"/>
            </w:rPr>
            <w:tab/>
          </w:r>
          <w:r>
            <w:rPr>
              <w:rStyle w:val="11"/>
              <w:rFonts w:hint="eastAsia" w:ascii="Arial" w:hAnsi="Arial" w:cs="Arial"/>
              <w:b/>
            </w:rPr>
            <w:t>定义</w:t>
          </w:r>
          <w:r>
            <w:tab/>
          </w:r>
          <w:r>
            <w:fldChar w:fldCharType="begin"/>
          </w:r>
          <w:r>
            <w:instrText xml:space="preserve"> PAGEREF _Toc496890869 \h </w:instrText>
          </w:r>
          <w:r>
            <w:fldChar w:fldCharType="separate"/>
          </w:r>
          <w:r>
            <w:t>2</w:t>
          </w:r>
          <w:r>
            <w:fldChar w:fldCharType="end"/>
          </w:r>
          <w:r>
            <w:fldChar w:fldCharType="end"/>
          </w:r>
        </w:p>
        <w:p w14:paraId="22E6928E">
          <w:pPr>
            <w:pStyle w:val="6"/>
            <w:tabs>
              <w:tab w:val="left" w:pos="420"/>
              <w:tab w:val="right" w:leader="dot" w:pos="8296"/>
            </w:tabs>
            <w:rPr>
              <w:rFonts w:eastAsiaTheme="minorEastAsia"/>
            </w:rPr>
          </w:pPr>
          <w:r>
            <w:fldChar w:fldCharType="begin"/>
          </w:r>
          <w:r>
            <w:instrText xml:space="preserve"> HYPERLINK \l "_Toc496890870" </w:instrText>
          </w:r>
          <w:r>
            <w:fldChar w:fldCharType="separate"/>
          </w:r>
          <w:r>
            <w:rPr>
              <w:rStyle w:val="11"/>
              <w:rFonts w:ascii="Arial" w:hAnsi="Arial" w:cs="Arial"/>
              <w:b/>
            </w:rPr>
            <w:t>2.</w:t>
          </w:r>
          <w:r>
            <w:rPr>
              <w:rFonts w:eastAsiaTheme="minorEastAsia"/>
            </w:rPr>
            <w:tab/>
          </w:r>
          <w:r>
            <w:rPr>
              <w:rStyle w:val="11"/>
              <w:rFonts w:hint="eastAsia" w:ascii="Arial" w:hAnsi="Arial" w:cs="Arial"/>
              <w:b/>
            </w:rPr>
            <w:t>柜式</w:t>
          </w:r>
          <w:r>
            <w:rPr>
              <w:rStyle w:val="11"/>
              <w:rFonts w:ascii="Arial" w:hAnsi="Arial" w:cs="Arial"/>
              <w:b/>
            </w:rPr>
            <w:t>X</w:t>
          </w:r>
          <w:r>
            <w:rPr>
              <w:rStyle w:val="11"/>
              <w:rFonts w:hint="eastAsia" w:ascii="Arial" w:hAnsi="Arial" w:cs="Arial"/>
              <w:b/>
            </w:rPr>
            <w:t>射线产品制造商要求概述</w:t>
          </w:r>
          <w:r>
            <w:tab/>
          </w:r>
          <w:r>
            <w:fldChar w:fldCharType="begin"/>
          </w:r>
          <w:r>
            <w:instrText xml:space="preserve"> PAGEREF _Toc496890870 \h </w:instrText>
          </w:r>
          <w:r>
            <w:fldChar w:fldCharType="separate"/>
          </w:r>
          <w:r>
            <w:t>7</w:t>
          </w:r>
          <w:r>
            <w:fldChar w:fldCharType="end"/>
          </w:r>
          <w:r>
            <w:fldChar w:fldCharType="end"/>
          </w:r>
        </w:p>
        <w:p w14:paraId="02910AFC">
          <w:pPr>
            <w:pStyle w:val="6"/>
            <w:tabs>
              <w:tab w:val="left" w:pos="420"/>
              <w:tab w:val="right" w:leader="dot" w:pos="8296"/>
            </w:tabs>
            <w:rPr>
              <w:rFonts w:eastAsiaTheme="minorEastAsia"/>
            </w:rPr>
          </w:pPr>
          <w:r>
            <w:fldChar w:fldCharType="begin"/>
          </w:r>
          <w:r>
            <w:instrText xml:space="preserve"> HYPERLINK \l "_Toc496890871" </w:instrText>
          </w:r>
          <w:r>
            <w:fldChar w:fldCharType="separate"/>
          </w:r>
          <w:r>
            <w:rPr>
              <w:rStyle w:val="11"/>
              <w:rFonts w:ascii="Arial" w:hAnsi="Arial" w:cs="Arial"/>
              <w:b/>
            </w:rPr>
            <w:t>3.</w:t>
          </w:r>
          <w:r>
            <w:rPr>
              <w:rFonts w:eastAsiaTheme="minorEastAsia"/>
            </w:rPr>
            <w:tab/>
          </w:r>
          <w:r>
            <w:rPr>
              <w:rStyle w:val="11"/>
              <w:rFonts w:hint="eastAsia" w:ascii="Arial" w:hAnsi="Arial" w:cs="Arial"/>
              <w:b/>
            </w:rPr>
            <w:t>联邦辐射安全一般性能标准要求</w:t>
          </w:r>
          <w:r>
            <w:tab/>
          </w:r>
          <w:r>
            <w:fldChar w:fldCharType="begin"/>
          </w:r>
          <w:r>
            <w:instrText xml:space="preserve"> PAGEREF _Toc496890871 \h </w:instrText>
          </w:r>
          <w:r>
            <w:fldChar w:fldCharType="separate"/>
          </w:r>
          <w:r>
            <w:t>8</w:t>
          </w:r>
          <w:r>
            <w:fldChar w:fldCharType="end"/>
          </w:r>
          <w:r>
            <w:fldChar w:fldCharType="end"/>
          </w:r>
        </w:p>
        <w:p w14:paraId="115F1E45">
          <w:pPr>
            <w:pStyle w:val="6"/>
            <w:tabs>
              <w:tab w:val="left" w:pos="420"/>
              <w:tab w:val="right" w:leader="dot" w:pos="8296"/>
            </w:tabs>
            <w:rPr>
              <w:rFonts w:eastAsiaTheme="minorEastAsia"/>
            </w:rPr>
          </w:pPr>
          <w:r>
            <w:fldChar w:fldCharType="begin"/>
          </w:r>
          <w:r>
            <w:instrText xml:space="preserve"> HYPERLINK \l "_Toc496890872" </w:instrText>
          </w:r>
          <w:r>
            <w:fldChar w:fldCharType="separate"/>
          </w:r>
          <w:r>
            <w:rPr>
              <w:rStyle w:val="11"/>
              <w:rFonts w:ascii="Arial" w:hAnsi="Arial" w:cs="Arial"/>
              <w:b/>
            </w:rPr>
            <w:t>4.</w:t>
          </w:r>
          <w:r>
            <w:rPr>
              <w:rFonts w:eastAsiaTheme="minorEastAsia"/>
            </w:rPr>
            <w:tab/>
          </w:r>
          <w:r>
            <w:rPr>
              <w:rStyle w:val="11"/>
              <w:rFonts w:hint="eastAsia" w:ascii="Arial" w:hAnsi="Arial" w:cs="Arial"/>
              <w:b/>
            </w:rPr>
            <w:t>柜式</w:t>
          </w:r>
          <w:r>
            <w:rPr>
              <w:rStyle w:val="11"/>
              <w:rFonts w:ascii="Arial" w:hAnsi="Arial" w:cs="Arial"/>
              <w:b/>
            </w:rPr>
            <w:t>X</w:t>
          </w:r>
          <w:r>
            <w:rPr>
              <w:rStyle w:val="11"/>
              <w:rFonts w:hint="eastAsia" w:ascii="Arial" w:hAnsi="Arial" w:cs="Arial"/>
              <w:b/>
            </w:rPr>
            <w:t>射线系统联邦辐射安全性能标准要求</w:t>
          </w:r>
          <w:r>
            <w:tab/>
          </w:r>
          <w:r>
            <w:fldChar w:fldCharType="begin"/>
          </w:r>
          <w:r>
            <w:instrText xml:space="preserve"> PAGEREF _Toc496890872 \h </w:instrText>
          </w:r>
          <w:r>
            <w:fldChar w:fldCharType="separate"/>
          </w:r>
          <w:r>
            <w:t>11</w:t>
          </w:r>
          <w:r>
            <w:fldChar w:fldCharType="end"/>
          </w:r>
          <w:r>
            <w:fldChar w:fldCharType="end"/>
          </w:r>
        </w:p>
        <w:p w14:paraId="091903CE">
          <w:pPr>
            <w:pStyle w:val="6"/>
            <w:tabs>
              <w:tab w:val="left" w:pos="420"/>
              <w:tab w:val="right" w:leader="dot" w:pos="8296"/>
            </w:tabs>
            <w:rPr>
              <w:rFonts w:eastAsiaTheme="minorEastAsia"/>
            </w:rPr>
          </w:pPr>
          <w:r>
            <w:fldChar w:fldCharType="begin"/>
          </w:r>
          <w:r>
            <w:instrText xml:space="preserve"> HYPERLINK \l "_Toc496890873" </w:instrText>
          </w:r>
          <w:r>
            <w:fldChar w:fldCharType="separate"/>
          </w:r>
          <w:r>
            <w:rPr>
              <w:rStyle w:val="11"/>
              <w:rFonts w:ascii="Arial" w:hAnsi="Arial" w:cs="Arial"/>
              <w:b/>
            </w:rPr>
            <w:t>5.</w:t>
          </w:r>
          <w:r>
            <w:rPr>
              <w:rFonts w:eastAsiaTheme="minorEastAsia"/>
            </w:rPr>
            <w:tab/>
          </w:r>
          <w:r>
            <w:rPr>
              <w:rStyle w:val="11"/>
              <w:rFonts w:hint="eastAsia" w:ascii="Arial" w:hAnsi="Arial" w:cs="Arial"/>
              <w:b/>
            </w:rPr>
            <w:t>记录和报告</w:t>
          </w:r>
          <w:r>
            <w:tab/>
          </w:r>
          <w:r>
            <w:fldChar w:fldCharType="begin"/>
          </w:r>
          <w:r>
            <w:instrText xml:space="preserve"> PAGEREF _Toc496890873 \h </w:instrText>
          </w:r>
          <w:r>
            <w:fldChar w:fldCharType="separate"/>
          </w:r>
          <w:r>
            <w:t>18</w:t>
          </w:r>
          <w:r>
            <w:fldChar w:fldCharType="end"/>
          </w:r>
          <w:r>
            <w:fldChar w:fldCharType="end"/>
          </w:r>
        </w:p>
        <w:p w14:paraId="1FB3ABF0">
          <w:pPr>
            <w:pStyle w:val="6"/>
            <w:tabs>
              <w:tab w:val="left" w:pos="420"/>
              <w:tab w:val="right" w:leader="dot" w:pos="8296"/>
            </w:tabs>
            <w:rPr>
              <w:rFonts w:eastAsiaTheme="minorEastAsia"/>
            </w:rPr>
          </w:pPr>
          <w:r>
            <w:fldChar w:fldCharType="begin"/>
          </w:r>
          <w:r>
            <w:instrText xml:space="preserve"> HYPERLINK \l "_Toc496890874" </w:instrText>
          </w:r>
          <w:r>
            <w:fldChar w:fldCharType="separate"/>
          </w:r>
          <w:r>
            <w:rPr>
              <w:rStyle w:val="11"/>
              <w:rFonts w:ascii="Arial" w:hAnsi="Arial" w:cs="Arial"/>
              <w:b/>
            </w:rPr>
            <w:t>6.</w:t>
          </w:r>
          <w:r>
            <w:rPr>
              <w:rFonts w:eastAsiaTheme="minorEastAsia"/>
            </w:rPr>
            <w:tab/>
          </w:r>
          <w:r>
            <w:rPr>
              <w:rStyle w:val="11"/>
              <w:rFonts w:hint="eastAsia" w:ascii="Arial" w:hAnsi="Arial" w:cs="Arial"/>
              <w:b/>
            </w:rPr>
            <w:t>事故报告和召回</w:t>
          </w:r>
          <w:r>
            <w:tab/>
          </w:r>
          <w:r>
            <w:fldChar w:fldCharType="begin"/>
          </w:r>
          <w:r>
            <w:instrText xml:space="preserve"> PAGEREF _Toc496890874 \h </w:instrText>
          </w:r>
          <w:r>
            <w:fldChar w:fldCharType="separate"/>
          </w:r>
          <w:r>
            <w:t>20</w:t>
          </w:r>
          <w:r>
            <w:fldChar w:fldCharType="end"/>
          </w:r>
          <w:r>
            <w:fldChar w:fldCharType="end"/>
          </w:r>
        </w:p>
        <w:p w14:paraId="4AD7CF35">
          <w:pPr>
            <w:pStyle w:val="6"/>
            <w:tabs>
              <w:tab w:val="left" w:pos="420"/>
              <w:tab w:val="right" w:leader="dot" w:pos="8296"/>
            </w:tabs>
            <w:rPr>
              <w:rFonts w:eastAsiaTheme="minorEastAsia"/>
            </w:rPr>
          </w:pPr>
          <w:r>
            <w:fldChar w:fldCharType="begin"/>
          </w:r>
          <w:r>
            <w:instrText xml:space="preserve"> HYPERLINK \l "_Toc496890875" </w:instrText>
          </w:r>
          <w:r>
            <w:fldChar w:fldCharType="separate"/>
          </w:r>
          <w:r>
            <w:rPr>
              <w:rStyle w:val="11"/>
              <w:rFonts w:ascii="Arial" w:hAnsi="Arial" w:cs="Arial"/>
              <w:b/>
            </w:rPr>
            <w:t>7.</w:t>
          </w:r>
          <w:r>
            <w:rPr>
              <w:rFonts w:eastAsiaTheme="minorEastAsia"/>
            </w:rPr>
            <w:tab/>
          </w:r>
          <w:r>
            <w:rPr>
              <w:rStyle w:val="11"/>
              <w:rFonts w:hint="eastAsia" w:ascii="Arial" w:hAnsi="Arial" w:cs="Arial"/>
              <w:b/>
            </w:rPr>
            <w:t>特殊情况和豁免</w:t>
          </w:r>
          <w:r>
            <w:tab/>
          </w:r>
          <w:r>
            <w:fldChar w:fldCharType="begin"/>
          </w:r>
          <w:r>
            <w:instrText xml:space="preserve"> PAGEREF _Toc496890875 \h </w:instrText>
          </w:r>
          <w:r>
            <w:fldChar w:fldCharType="separate"/>
          </w:r>
          <w:r>
            <w:t>23</w:t>
          </w:r>
          <w:r>
            <w:fldChar w:fldCharType="end"/>
          </w:r>
          <w:r>
            <w:fldChar w:fldCharType="end"/>
          </w:r>
        </w:p>
        <w:p w14:paraId="543506DC">
          <w:pPr>
            <w:pStyle w:val="6"/>
            <w:tabs>
              <w:tab w:val="left" w:pos="420"/>
              <w:tab w:val="right" w:leader="dot" w:pos="8296"/>
            </w:tabs>
            <w:rPr>
              <w:rFonts w:eastAsiaTheme="minorEastAsia"/>
            </w:rPr>
          </w:pPr>
          <w:r>
            <w:fldChar w:fldCharType="begin"/>
          </w:r>
          <w:r>
            <w:instrText xml:space="preserve"> HYPERLINK \l "_Toc496890876" </w:instrText>
          </w:r>
          <w:r>
            <w:fldChar w:fldCharType="separate"/>
          </w:r>
          <w:r>
            <w:rPr>
              <w:rStyle w:val="11"/>
              <w:rFonts w:ascii="Arial" w:hAnsi="Arial" w:cs="Arial"/>
              <w:b/>
            </w:rPr>
            <w:t>8.</w:t>
          </w:r>
          <w:r>
            <w:rPr>
              <w:rFonts w:eastAsiaTheme="minorEastAsia"/>
            </w:rPr>
            <w:tab/>
          </w:r>
          <w:r>
            <w:rPr>
              <w:rStyle w:val="11"/>
              <w:rFonts w:hint="eastAsia" w:ascii="Arial" w:hAnsi="Arial" w:cs="Arial"/>
              <w:b/>
            </w:rPr>
            <w:t>进出口</w:t>
          </w:r>
          <w:r>
            <w:tab/>
          </w:r>
          <w:r>
            <w:fldChar w:fldCharType="begin"/>
          </w:r>
          <w:r>
            <w:instrText xml:space="preserve"> PAGEREF _Toc496890876 \h </w:instrText>
          </w:r>
          <w:r>
            <w:fldChar w:fldCharType="separate"/>
          </w:r>
          <w:r>
            <w:t>24</w:t>
          </w:r>
          <w:r>
            <w:fldChar w:fldCharType="end"/>
          </w:r>
          <w:r>
            <w:fldChar w:fldCharType="end"/>
          </w:r>
        </w:p>
        <w:p w14:paraId="11550143">
          <w:pPr>
            <w:pStyle w:val="6"/>
            <w:tabs>
              <w:tab w:val="left" w:pos="420"/>
              <w:tab w:val="right" w:leader="dot" w:pos="8296"/>
            </w:tabs>
            <w:rPr>
              <w:rFonts w:eastAsiaTheme="minorEastAsia"/>
            </w:rPr>
          </w:pPr>
          <w:r>
            <w:fldChar w:fldCharType="begin"/>
          </w:r>
          <w:r>
            <w:instrText xml:space="preserve"> HYPERLINK \l "_Toc496890877" </w:instrText>
          </w:r>
          <w:r>
            <w:fldChar w:fldCharType="separate"/>
          </w:r>
          <w:r>
            <w:rPr>
              <w:rStyle w:val="11"/>
              <w:rFonts w:ascii="Arial" w:hAnsi="Arial" w:cs="Arial"/>
              <w:b/>
            </w:rPr>
            <w:t>9.</w:t>
          </w:r>
          <w:r>
            <w:rPr>
              <w:rFonts w:eastAsiaTheme="minorEastAsia"/>
            </w:rPr>
            <w:tab/>
          </w:r>
          <w:r>
            <w:rPr>
              <w:rStyle w:val="11"/>
              <w:rFonts w:hint="eastAsia" w:ascii="Arial" w:hAnsi="Arial" w:cs="Arial"/>
              <w:b/>
            </w:rPr>
            <w:t>获取更多信息</w:t>
          </w:r>
          <w:r>
            <w:tab/>
          </w:r>
          <w:r>
            <w:fldChar w:fldCharType="begin"/>
          </w:r>
          <w:r>
            <w:instrText xml:space="preserve"> PAGEREF _Toc496890877 \h </w:instrText>
          </w:r>
          <w:r>
            <w:fldChar w:fldCharType="separate"/>
          </w:r>
          <w:r>
            <w:t>25</w:t>
          </w:r>
          <w:r>
            <w:fldChar w:fldCharType="end"/>
          </w:r>
          <w:r>
            <w:fldChar w:fldCharType="end"/>
          </w:r>
        </w:p>
        <w:p w14:paraId="1EFB49EE">
          <w:r>
            <w:rPr>
              <w:rFonts w:ascii="Arial" w:hAnsi="Arial" w:eastAsia="宋体" w:cs="Arial"/>
            </w:rPr>
            <w:fldChar w:fldCharType="end"/>
          </w:r>
        </w:p>
      </w:sdtContent>
    </w:sdt>
    <w:p w14:paraId="694746A7">
      <w:pPr>
        <w:snapToGrid w:val="0"/>
        <w:spacing w:after="240" w:line="300" w:lineRule="auto"/>
        <w:jc w:val="left"/>
        <w:rPr>
          <w:rFonts w:ascii="Arial" w:hAnsi="Arial" w:eastAsia="宋体" w:cs="Arial"/>
          <w:b/>
          <w:sz w:val="44"/>
          <w:szCs w:val="44"/>
        </w:rPr>
      </w:pPr>
    </w:p>
    <w:p w14:paraId="6E6E7372">
      <w:pPr>
        <w:snapToGrid w:val="0"/>
        <w:spacing w:after="240" w:line="300" w:lineRule="auto"/>
        <w:jc w:val="left"/>
        <w:rPr>
          <w:rFonts w:ascii="Arial" w:hAnsi="Arial" w:eastAsia="宋体" w:cs="Arial"/>
          <w:b/>
          <w:sz w:val="44"/>
          <w:szCs w:val="44"/>
        </w:rPr>
      </w:pPr>
    </w:p>
    <w:p w14:paraId="736B9EF5">
      <w:pPr>
        <w:pBdr>
          <w:bottom w:val="single" w:color="auto" w:sz="4" w:space="1"/>
        </w:pBdr>
        <w:snapToGrid w:val="0"/>
        <w:spacing w:line="300" w:lineRule="auto"/>
        <w:jc w:val="center"/>
        <w:rPr>
          <w:rFonts w:ascii="Arial" w:hAnsi="Arial" w:eastAsia="宋体" w:cs="Arial"/>
          <w:b/>
          <w:sz w:val="52"/>
          <w:szCs w:val="52"/>
        </w:rPr>
        <w:sectPr>
          <w:headerReference r:id="rId4" w:type="default"/>
          <w:pgSz w:w="11906" w:h="16838"/>
          <w:pgMar w:top="1440" w:right="1800" w:bottom="1440" w:left="1800" w:header="851" w:footer="992" w:gutter="0"/>
          <w:cols w:space="425" w:num="1"/>
          <w:docGrid w:type="lines" w:linePitch="312" w:charSpace="0"/>
        </w:sectPr>
      </w:pPr>
    </w:p>
    <w:p w14:paraId="4B87CE5D">
      <w:pPr>
        <w:pBdr>
          <w:bottom w:val="single" w:color="auto" w:sz="4" w:space="1"/>
        </w:pBdr>
        <w:snapToGrid w:val="0"/>
        <w:spacing w:line="300" w:lineRule="auto"/>
        <w:jc w:val="center"/>
        <w:rPr>
          <w:rFonts w:ascii="Arial" w:hAnsi="Arial" w:eastAsia="宋体" w:cs="Arial"/>
          <w:b/>
          <w:sz w:val="52"/>
          <w:szCs w:val="52"/>
        </w:rPr>
      </w:pPr>
      <w:r>
        <w:rPr>
          <w:rFonts w:ascii="Arial" w:hAnsi="Arial" w:eastAsia="宋体" w:cs="Arial"/>
          <w:b/>
          <w:sz w:val="52"/>
          <w:szCs w:val="52"/>
        </w:rPr>
        <w:t>行业</w:t>
      </w:r>
      <w:r>
        <w:rPr>
          <w:rFonts w:hint="eastAsia" w:ascii="Arial" w:hAnsi="Arial" w:eastAsia="宋体" w:cs="Arial"/>
          <w:b/>
          <w:sz w:val="52"/>
          <w:szCs w:val="52"/>
        </w:rPr>
        <w:t>和</w:t>
      </w:r>
      <w:r>
        <w:rPr>
          <w:rFonts w:ascii="Arial" w:hAnsi="Arial" w:eastAsia="宋体" w:cs="Arial"/>
          <w:b/>
          <w:sz w:val="52"/>
          <w:szCs w:val="52"/>
        </w:rPr>
        <w:t>FDA工作人员指南</w:t>
      </w:r>
    </w:p>
    <w:p w14:paraId="3404A71E">
      <w:pPr>
        <w:snapToGrid w:val="0"/>
        <w:spacing w:after="240" w:line="300" w:lineRule="auto"/>
        <w:jc w:val="center"/>
        <w:rPr>
          <w:rFonts w:ascii="Arial" w:hAnsi="Arial" w:eastAsia="宋体" w:cs="Arial"/>
          <w:b/>
          <w:sz w:val="52"/>
          <w:szCs w:val="52"/>
        </w:rPr>
      </w:pPr>
      <w:r>
        <w:rPr>
          <w:rFonts w:ascii="Arial" w:hAnsi="Arial" w:eastAsia="宋体" w:cs="Arial"/>
          <w:b/>
          <w:sz w:val="52"/>
          <w:szCs w:val="52"/>
        </w:rPr>
        <w:t>柜式X射线系统合规指南</w:t>
      </w:r>
    </w:p>
    <w:tbl>
      <w:tblPr>
        <w:tblStyle w:val="9"/>
        <w:tblW w:w="0" w:type="auto"/>
        <w:tblInd w:w="0" w:type="dxa"/>
        <w:tblBorders>
          <w:top w:val="thickThinSmallGap" w:color="auto" w:sz="24" w:space="0"/>
          <w:left w:val="thickThinSmallGap" w:color="auto" w:sz="24" w:space="0"/>
          <w:bottom w:val="thickThinSmallGap" w:color="auto" w:sz="24" w:space="0"/>
          <w:right w:val="thickThinSmallGap" w:color="auto" w:sz="24" w:space="0"/>
          <w:insideH w:val="thickThinSmallGap" w:color="auto" w:sz="24" w:space="0"/>
          <w:insideV w:val="thickThinSmallGap" w:color="auto" w:sz="24" w:space="0"/>
        </w:tblBorders>
        <w:tblLayout w:type="autofit"/>
        <w:tblCellMar>
          <w:top w:w="0" w:type="dxa"/>
          <w:left w:w="108" w:type="dxa"/>
          <w:bottom w:w="0" w:type="dxa"/>
          <w:right w:w="108" w:type="dxa"/>
        </w:tblCellMar>
      </w:tblPr>
      <w:tblGrid>
        <w:gridCol w:w="8296"/>
      </w:tblGrid>
      <w:tr w14:paraId="4DB331D7">
        <w:tblPrEx>
          <w:tblBorders>
            <w:top w:val="thickThinSmallGap" w:color="auto" w:sz="24" w:space="0"/>
            <w:left w:val="thickThinSmallGap" w:color="auto" w:sz="24" w:space="0"/>
            <w:bottom w:val="thickThinSmallGap" w:color="auto" w:sz="24" w:space="0"/>
            <w:right w:val="thickThinSmallGap" w:color="auto" w:sz="24" w:space="0"/>
            <w:insideH w:val="thickThinSmallGap" w:color="auto" w:sz="24" w:space="0"/>
            <w:insideV w:val="thickThinSmallGap" w:color="auto" w:sz="24" w:space="0"/>
          </w:tblBorders>
          <w:tblCellMar>
            <w:top w:w="0" w:type="dxa"/>
            <w:left w:w="108" w:type="dxa"/>
            <w:bottom w:w="0" w:type="dxa"/>
            <w:right w:w="108" w:type="dxa"/>
          </w:tblCellMar>
        </w:tblPrEx>
        <w:tc>
          <w:tcPr>
            <w:tcW w:w="8296" w:type="dxa"/>
          </w:tcPr>
          <w:p w14:paraId="0433AE52">
            <w:pPr>
              <w:snapToGrid w:val="0"/>
              <w:spacing w:line="300" w:lineRule="auto"/>
              <w:jc w:val="left"/>
              <w:rPr>
                <w:rFonts w:ascii="Arial" w:hAnsi="Arial" w:eastAsia="宋体" w:cs="Arial"/>
                <w:i/>
              </w:rPr>
            </w:pPr>
            <w:r>
              <w:rPr>
                <w:rFonts w:hint="eastAsia" w:ascii="Arial" w:hAnsi="Arial" w:eastAsia="宋体" w:cs="Arial"/>
                <w:i/>
              </w:rPr>
              <w:t>本指南代表</w:t>
            </w:r>
            <w:r>
              <w:rPr>
                <w:rFonts w:ascii="Arial" w:hAnsi="Arial" w:eastAsia="宋体" w:cs="Arial"/>
                <w:i/>
              </w:rPr>
              <w:t>FDA</w:t>
            </w:r>
            <w:r>
              <w:rPr>
                <w:rFonts w:hint="eastAsia" w:ascii="Arial" w:hAnsi="Arial" w:eastAsia="宋体" w:cs="Arial"/>
                <w:i/>
              </w:rPr>
              <w:t>目前关于该主题的思考。其不会为任何人创造或赋予任何权利，也不会对</w:t>
            </w:r>
            <w:r>
              <w:rPr>
                <w:rFonts w:ascii="Arial" w:hAnsi="Arial" w:eastAsia="宋体" w:cs="Arial"/>
                <w:i/>
              </w:rPr>
              <w:t>FDA</w:t>
            </w:r>
            <w:r>
              <w:rPr>
                <w:rFonts w:hint="eastAsia" w:ascii="Arial" w:hAnsi="Arial" w:eastAsia="宋体" w:cs="Arial"/>
                <w:i/>
              </w:rPr>
              <w:t>或公众产生约束。如果替代方法满足适用的法律法规的要求，则可以使用该方法。如果您想讨论另一种方法，请联系</w:t>
            </w:r>
            <w:r>
              <w:rPr>
                <w:rFonts w:ascii="Arial" w:hAnsi="Arial" w:eastAsia="宋体" w:cs="Arial"/>
                <w:i/>
              </w:rPr>
              <w:t>FDA</w:t>
            </w:r>
            <w:r>
              <w:rPr>
                <w:rFonts w:hint="eastAsia" w:ascii="Arial" w:hAnsi="Arial" w:eastAsia="宋体" w:cs="Arial"/>
                <w:i/>
              </w:rPr>
              <w:t>负责实施本指南的人员。如果您无法确定适当的</w:t>
            </w:r>
            <w:r>
              <w:rPr>
                <w:rFonts w:ascii="Arial" w:hAnsi="Arial" w:eastAsia="宋体" w:cs="Arial"/>
                <w:i/>
              </w:rPr>
              <w:t>FDA</w:t>
            </w:r>
            <w:r>
              <w:rPr>
                <w:rFonts w:hint="eastAsia" w:ascii="Arial" w:hAnsi="Arial" w:eastAsia="宋体" w:cs="Arial"/>
                <w:i/>
              </w:rPr>
              <w:t>工作人员，请拨打本指南标题页上列出的适当号码。</w:t>
            </w:r>
          </w:p>
        </w:tc>
      </w:tr>
    </w:tbl>
    <w:p w14:paraId="0D77A237">
      <w:pPr>
        <w:snapToGrid w:val="0"/>
        <w:spacing w:after="240" w:line="300" w:lineRule="auto"/>
        <w:jc w:val="left"/>
        <w:rPr>
          <w:rFonts w:ascii="Arial" w:hAnsi="Arial" w:eastAsia="宋体" w:cs="Arial"/>
        </w:rPr>
      </w:pPr>
    </w:p>
    <w:p w14:paraId="3A876FC8">
      <w:pPr>
        <w:snapToGrid w:val="0"/>
        <w:spacing w:after="240" w:line="300" w:lineRule="auto"/>
        <w:jc w:val="left"/>
        <w:outlineLvl w:val="0"/>
        <w:rPr>
          <w:rFonts w:ascii="Arial" w:hAnsi="Arial" w:eastAsia="宋体" w:cs="Arial"/>
          <w:b/>
          <w:sz w:val="32"/>
          <w:szCs w:val="32"/>
        </w:rPr>
      </w:pPr>
      <w:bookmarkStart w:id="0" w:name="_Toc496890868"/>
      <w:r>
        <w:rPr>
          <w:rFonts w:ascii="Arial" w:hAnsi="Arial" w:eastAsia="宋体" w:cs="Arial"/>
          <w:b/>
          <w:sz w:val="32"/>
          <w:szCs w:val="32"/>
        </w:rPr>
        <w:t>引言</w:t>
      </w:r>
      <w:bookmarkEnd w:id="0"/>
    </w:p>
    <w:p w14:paraId="3EBC972D">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在美国（U.S.）境内销售的柜式</w:t>
      </w:r>
      <w:bookmarkStart w:id="1" w:name="OLE_LINK30"/>
      <w:r>
        <w:rPr>
          <w:rFonts w:ascii="Arial" w:hAnsi="Arial" w:eastAsia="宋体" w:cs="Arial"/>
          <w:sz w:val="24"/>
          <w:szCs w:val="24"/>
        </w:rPr>
        <w:t>x射线</w:t>
      </w:r>
      <w:bookmarkEnd w:id="1"/>
      <w:r>
        <w:rPr>
          <w:rFonts w:ascii="Arial" w:hAnsi="Arial" w:eastAsia="宋体" w:cs="Arial"/>
          <w:sz w:val="24"/>
          <w:szCs w:val="24"/>
        </w:rPr>
        <w:t>系统的制造商应负责遵守联邦食品、药品和化妆品法案（</w:t>
      </w:r>
      <w:r>
        <w:rPr>
          <w:rFonts w:hint="eastAsia" w:ascii="Arial" w:hAnsi="Arial" w:eastAsia="宋体" w:cs="Arial"/>
          <w:sz w:val="24"/>
          <w:szCs w:val="24"/>
        </w:rPr>
        <w:t>简称法案</w:t>
      </w:r>
      <w:r>
        <w:rPr>
          <w:rFonts w:ascii="Arial" w:hAnsi="Arial" w:eastAsia="宋体" w:cs="Arial"/>
          <w:sz w:val="24"/>
          <w:szCs w:val="24"/>
        </w:rPr>
        <w:t>）对于电子产品辐射控制规定，包括辐射性能标准【21 USC 360hh-360ss】。本指南旨在帮助柜式X射线系统的制造商满足该法案和适用的联邦辐射安全规定【21 CFR 1020.40，第1000-1005，1010部分</w:t>
      </w:r>
      <w:r>
        <w:rPr>
          <w:rStyle w:val="12"/>
          <w:rFonts w:ascii="Arial" w:hAnsi="Arial" w:eastAsia="宋体" w:cs="Arial"/>
          <w:sz w:val="24"/>
          <w:szCs w:val="24"/>
        </w:rPr>
        <w:footnoteReference w:id="0"/>
      </w:r>
      <w:r>
        <w:rPr>
          <w:rFonts w:ascii="Arial" w:hAnsi="Arial" w:eastAsia="宋体" w:cs="Arial"/>
          <w:sz w:val="24"/>
          <w:szCs w:val="24"/>
        </w:rPr>
        <w:t>】的相关要求。“制造商”一词包括从事制造、组装或进口柜式x射线系统到美国的各类公司。</w:t>
      </w:r>
    </w:p>
    <w:p w14:paraId="640060E7">
      <w:pPr>
        <w:overflowPunct w:val="0"/>
        <w:snapToGrid w:val="0"/>
        <w:spacing w:after="240" w:line="300" w:lineRule="auto"/>
        <w:rPr>
          <w:rFonts w:ascii="Arial" w:hAnsi="Arial" w:eastAsia="宋体" w:cs="Arial"/>
          <w:sz w:val="24"/>
          <w:szCs w:val="24"/>
        </w:rPr>
      </w:pPr>
      <w:r>
        <w:rPr>
          <w:rFonts w:ascii="Arial" w:hAnsi="Arial" w:eastAsia="宋体" w:cs="Arial"/>
          <w:sz w:val="24"/>
          <w:szCs w:val="24"/>
        </w:rPr>
        <w:t>柜式X射线系统的联邦辐射安全性能标准（性能标准）见于21 CFR 1020.40。在美国销售的柜式X射线系统必须符合性能标准的所有适用要求。在美国销售柜式X射线系统之前，制造商必须证明其产品符合性能标准【21 CFR 1010.2】的适用要求。此认证必须基于符合良好生产规范的质量控制和测试计划【21 CFR 1010.2】。符合外国辐射安全标准的认证不能取代符合美国性能标准的认证。</w:t>
      </w:r>
    </w:p>
    <w:p w14:paraId="7941E57D">
      <w:pPr>
        <w:widowControl/>
        <w:jc w:val="left"/>
        <w:rPr>
          <w:rFonts w:ascii="Arial" w:hAnsi="Arial" w:eastAsia="宋体" w:cs="Arial"/>
          <w:sz w:val="24"/>
          <w:szCs w:val="24"/>
        </w:rPr>
      </w:pPr>
      <w:r>
        <w:rPr>
          <w:rFonts w:ascii="Arial" w:hAnsi="Arial" w:eastAsia="宋体" w:cs="Arial"/>
          <w:sz w:val="24"/>
          <w:szCs w:val="24"/>
        </w:rPr>
        <w:br w:type="page"/>
      </w:r>
    </w:p>
    <w:p w14:paraId="74EC803D">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在本指南中，将会引用法规的相关章节。本指南不能代替法规。如果两者之间发生冲突，则以法规为准。当法规的文本被引用时，它将以</w:t>
      </w:r>
      <w:r>
        <w:rPr>
          <w:rFonts w:hint="eastAsia" w:ascii="Arial" w:hAnsi="Arial" w:eastAsia="宋体" w:cs="Arial"/>
          <w:i/>
          <w:sz w:val="24"/>
          <w:szCs w:val="24"/>
        </w:rPr>
        <w:t>斜体</w:t>
      </w:r>
      <w:r>
        <w:rPr>
          <w:rFonts w:ascii="Arial" w:hAnsi="Arial" w:eastAsia="宋体" w:cs="Arial"/>
          <w:sz w:val="24"/>
          <w:szCs w:val="24"/>
        </w:rPr>
        <w:t>显示。</w:t>
      </w:r>
    </w:p>
    <w:p w14:paraId="1FC042CC">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如果</w:t>
      </w:r>
      <w:r>
        <w:rPr>
          <w:rFonts w:hint="eastAsia" w:ascii="Arial" w:hAnsi="Arial" w:eastAsia="宋体" w:cs="Arial"/>
          <w:sz w:val="24"/>
          <w:szCs w:val="24"/>
        </w:rPr>
        <w:t>存在</w:t>
      </w:r>
      <w:r>
        <w:rPr>
          <w:rFonts w:ascii="Arial" w:hAnsi="Arial" w:eastAsia="宋体" w:cs="Arial"/>
          <w:sz w:val="24"/>
          <w:szCs w:val="24"/>
        </w:rPr>
        <w:t>具体问题，</w:t>
      </w:r>
      <w:r>
        <w:rPr>
          <w:rFonts w:hint="eastAsia" w:ascii="Arial" w:hAnsi="Arial" w:eastAsia="宋体" w:cs="Arial"/>
          <w:sz w:val="24"/>
          <w:szCs w:val="24"/>
        </w:rPr>
        <w:t>请致电指南封面上列出的联系人或写信邮寄至以下地址：</w:t>
      </w:r>
    </w:p>
    <w:p w14:paraId="712865C7">
      <w:pPr>
        <w:overflowPunct w:val="0"/>
        <w:snapToGrid w:val="0"/>
        <w:spacing w:line="300" w:lineRule="auto"/>
        <w:ind w:firstLine="3117" w:firstLineChars="1299"/>
        <w:rPr>
          <w:rFonts w:ascii="Arial" w:hAnsi="Arial" w:eastAsia="宋体" w:cs="Arial"/>
          <w:sz w:val="24"/>
          <w:szCs w:val="24"/>
        </w:rPr>
      </w:pPr>
      <w:r>
        <w:rPr>
          <w:rFonts w:ascii="Arial" w:hAnsi="Arial" w:eastAsia="宋体" w:cs="Arial"/>
          <w:sz w:val="24"/>
          <w:szCs w:val="24"/>
        </w:rPr>
        <w:t>器械和放射卫生中心</w:t>
      </w:r>
    </w:p>
    <w:p w14:paraId="7881C6AD">
      <w:pPr>
        <w:overflowPunct w:val="0"/>
        <w:snapToGrid w:val="0"/>
        <w:spacing w:line="300" w:lineRule="auto"/>
        <w:ind w:firstLine="3117" w:firstLineChars="1299"/>
        <w:rPr>
          <w:rFonts w:ascii="Arial" w:hAnsi="Arial" w:eastAsia="宋体" w:cs="Arial"/>
          <w:sz w:val="24"/>
          <w:szCs w:val="24"/>
        </w:rPr>
      </w:pPr>
      <w:r>
        <w:rPr>
          <w:rFonts w:ascii="Arial" w:hAnsi="Arial" w:eastAsia="宋体" w:cs="Arial"/>
          <w:sz w:val="24"/>
          <w:szCs w:val="24"/>
        </w:rPr>
        <w:t>沟通、教育和辐射项目办公室（HFZ-240）</w:t>
      </w:r>
    </w:p>
    <w:p w14:paraId="25AFC938">
      <w:pPr>
        <w:overflowPunct w:val="0"/>
        <w:snapToGrid w:val="0"/>
        <w:spacing w:line="300" w:lineRule="auto"/>
        <w:ind w:firstLine="3117" w:firstLineChars="1299"/>
        <w:rPr>
          <w:rFonts w:ascii="Arial" w:hAnsi="Arial" w:eastAsia="宋体" w:cs="Arial"/>
          <w:sz w:val="24"/>
          <w:szCs w:val="24"/>
        </w:rPr>
      </w:pPr>
      <w:r>
        <w:rPr>
          <w:rFonts w:ascii="Arial" w:hAnsi="Arial" w:eastAsia="宋体" w:cs="Arial"/>
          <w:sz w:val="24"/>
          <w:szCs w:val="24"/>
        </w:rPr>
        <w:t>电子产品分部</w:t>
      </w:r>
    </w:p>
    <w:p w14:paraId="0F9C03C5">
      <w:pPr>
        <w:overflowPunct w:val="0"/>
        <w:snapToGrid w:val="0"/>
        <w:spacing w:line="300" w:lineRule="auto"/>
        <w:ind w:firstLine="3117" w:firstLineChars="1299"/>
        <w:rPr>
          <w:rFonts w:ascii="Arial" w:hAnsi="Arial" w:eastAsia="宋体" w:cs="Arial"/>
          <w:sz w:val="24"/>
          <w:szCs w:val="24"/>
        </w:rPr>
      </w:pPr>
      <w:r>
        <w:rPr>
          <w:rFonts w:ascii="Arial" w:hAnsi="Arial" w:eastAsia="宋体" w:cs="Arial"/>
          <w:sz w:val="24"/>
          <w:szCs w:val="24"/>
        </w:rPr>
        <w:t>10903 New Hampshire Avenue</w:t>
      </w:r>
    </w:p>
    <w:p w14:paraId="6F494B05">
      <w:pPr>
        <w:overflowPunct w:val="0"/>
        <w:snapToGrid w:val="0"/>
        <w:spacing w:line="300" w:lineRule="auto"/>
        <w:ind w:firstLine="3117" w:firstLineChars="1299"/>
        <w:rPr>
          <w:rFonts w:ascii="Arial" w:hAnsi="Arial" w:eastAsia="宋体" w:cs="Arial"/>
          <w:sz w:val="24"/>
          <w:szCs w:val="24"/>
        </w:rPr>
      </w:pPr>
      <w:r>
        <w:rPr>
          <w:rFonts w:ascii="Arial" w:hAnsi="Arial" w:eastAsia="宋体" w:cs="Arial"/>
          <w:sz w:val="24"/>
          <w:szCs w:val="24"/>
        </w:rPr>
        <w:t>Silver Spring, MD 20993</w:t>
      </w:r>
    </w:p>
    <w:p w14:paraId="7E05F0A8">
      <w:pPr>
        <w:overflowPunct w:val="0"/>
        <w:snapToGrid w:val="0"/>
        <w:spacing w:line="300" w:lineRule="auto"/>
        <w:ind w:firstLine="3117" w:firstLineChars="1299"/>
        <w:rPr>
          <w:rFonts w:ascii="Arial" w:hAnsi="Arial" w:eastAsia="宋体" w:cs="Arial"/>
          <w:sz w:val="24"/>
          <w:szCs w:val="24"/>
        </w:rPr>
      </w:pPr>
      <w:r>
        <w:rPr>
          <w:rFonts w:ascii="Arial" w:hAnsi="Arial" w:eastAsia="宋体" w:cs="Arial"/>
          <w:sz w:val="24"/>
          <w:szCs w:val="24"/>
        </w:rPr>
        <w:t>Rockville, MD 20850</w:t>
      </w:r>
    </w:p>
    <w:p w14:paraId="27EE1FE7">
      <w:pPr>
        <w:overflowPunct w:val="0"/>
        <w:snapToGrid w:val="0"/>
        <w:spacing w:line="300" w:lineRule="auto"/>
        <w:ind w:firstLine="3117" w:firstLineChars="1299"/>
        <w:rPr>
          <w:rFonts w:ascii="Arial" w:hAnsi="Arial" w:eastAsia="宋体" w:cs="Arial"/>
          <w:sz w:val="24"/>
          <w:szCs w:val="24"/>
        </w:rPr>
      </w:pPr>
    </w:p>
    <w:p w14:paraId="7AC9847C">
      <w:pPr>
        <w:overflowPunct w:val="0"/>
        <w:snapToGrid w:val="0"/>
        <w:spacing w:line="300" w:lineRule="auto"/>
        <w:ind w:firstLine="3117" w:firstLineChars="1299"/>
        <w:rPr>
          <w:rFonts w:ascii="Arial" w:hAnsi="Arial" w:eastAsia="宋体" w:cs="Arial"/>
          <w:sz w:val="24"/>
          <w:szCs w:val="24"/>
        </w:rPr>
      </w:pPr>
      <w:r>
        <w:rPr>
          <w:rFonts w:ascii="Arial" w:hAnsi="Arial" w:eastAsia="宋体" w:cs="Arial"/>
          <w:sz w:val="24"/>
          <w:szCs w:val="24"/>
        </w:rPr>
        <w:t xml:space="preserve">电话：301-796-5710 </w:t>
      </w:r>
    </w:p>
    <w:p w14:paraId="1FEC75C5">
      <w:pPr>
        <w:overflowPunct w:val="0"/>
        <w:snapToGrid w:val="0"/>
        <w:spacing w:after="240" w:line="300" w:lineRule="auto"/>
        <w:ind w:firstLine="3117" w:firstLineChars="1299"/>
        <w:rPr>
          <w:rFonts w:ascii="Arial" w:hAnsi="Arial" w:eastAsia="宋体" w:cs="Arial"/>
          <w:sz w:val="24"/>
          <w:szCs w:val="24"/>
        </w:rPr>
      </w:pPr>
      <w:r>
        <w:rPr>
          <w:rFonts w:ascii="Arial" w:hAnsi="Arial" w:eastAsia="宋体" w:cs="Arial"/>
          <w:sz w:val="24"/>
          <w:szCs w:val="24"/>
        </w:rPr>
        <w:t>传真：301-847-8502</w:t>
      </w:r>
    </w:p>
    <w:p w14:paraId="2F1FE46C">
      <w:pPr>
        <w:overflowPunct w:val="0"/>
        <w:snapToGrid w:val="0"/>
        <w:spacing w:after="240" w:line="300" w:lineRule="auto"/>
        <w:rPr>
          <w:rFonts w:ascii="Arial" w:hAnsi="Arial" w:eastAsia="宋体" w:cs="Arial"/>
          <w:b/>
          <w:sz w:val="32"/>
          <w:szCs w:val="32"/>
        </w:rPr>
      </w:pPr>
      <w:r>
        <w:rPr>
          <w:rFonts w:ascii="Arial" w:hAnsi="Arial" w:eastAsia="宋体" w:cs="Arial"/>
          <w:b/>
          <w:sz w:val="32"/>
          <w:szCs w:val="32"/>
        </w:rPr>
        <w:t>最小负担手段原则</w:t>
      </w:r>
    </w:p>
    <w:p w14:paraId="6B9AB036">
      <w:pPr>
        <w:overflowPunct w:val="0"/>
        <w:snapToGrid w:val="0"/>
        <w:spacing w:after="240" w:line="300" w:lineRule="auto"/>
        <w:jc w:val="left"/>
        <w:rPr>
          <w:rFonts w:ascii="Arial" w:hAnsi="Arial" w:eastAsia="宋体" w:cs="Arial"/>
          <w:sz w:val="24"/>
          <w:szCs w:val="24"/>
        </w:rPr>
      </w:pPr>
      <w:r>
        <w:rPr>
          <w:rFonts w:ascii="Arial" w:hAnsi="Arial" w:eastAsia="宋体" w:cs="Arial"/>
          <w:sz w:val="24"/>
          <w:szCs w:val="24"/>
        </w:rPr>
        <w:t>我们认为，在医疗器械和电子产品监管的各个领域，我们应该考虑最小负担手段原则。本指南反映了我们对相关科学和法律要求的仔细思考，以及我们</w:t>
      </w:r>
      <w:r>
        <w:rPr>
          <w:rFonts w:hint="eastAsia" w:ascii="Arial" w:hAnsi="Arial" w:eastAsia="宋体" w:cs="Arial"/>
          <w:sz w:val="24"/>
          <w:szCs w:val="24"/>
        </w:rPr>
        <w:t>认为</w:t>
      </w:r>
      <w:r>
        <w:rPr>
          <w:rFonts w:ascii="Arial" w:hAnsi="Arial" w:eastAsia="宋体" w:cs="Arial"/>
          <w:sz w:val="24"/>
          <w:szCs w:val="24"/>
        </w:rPr>
        <w:t>是您遵守这些要求的最小负担方式。但是，如果您认为存在负担更</w:t>
      </w:r>
      <w:r>
        <w:rPr>
          <w:rFonts w:hint="eastAsia" w:ascii="Arial" w:hAnsi="Arial" w:eastAsia="宋体" w:cs="Arial"/>
          <w:sz w:val="24"/>
          <w:szCs w:val="24"/>
        </w:rPr>
        <w:t>小</w:t>
      </w:r>
      <w:r>
        <w:rPr>
          <w:rFonts w:ascii="Arial" w:hAnsi="Arial" w:eastAsia="宋体" w:cs="Arial"/>
          <w:sz w:val="24"/>
          <w:szCs w:val="24"/>
        </w:rPr>
        <w:t>的替代方法，请与我们联系，</w:t>
      </w:r>
      <w:r>
        <w:rPr>
          <w:rFonts w:hint="eastAsia" w:ascii="Arial" w:hAnsi="Arial" w:eastAsia="宋体" w:cs="Arial"/>
          <w:sz w:val="24"/>
          <w:szCs w:val="24"/>
        </w:rPr>
        <w:t>我们会对该方法进行讨论</w:t>
      </w:r>
      <w:r>
        <w:rPr>
          <w:rFonts w:ascii="Arial" w:hAnsi="Arial" w:eastAsia="宋体" w:cs="Arial"/>
          <w:sz w:val="24"/>
          <w:szCs w:val="24"/>
        </w:rPr>
        <w:t>。您可以将书面意见发送到本指南封面中列出的联系人或CDRH监察专员。有关CDRH监察专员的</w:t>
      </w:r>
      <w:r>
        <w:rPr>
          <w:rFonts w:hint="eastAsia" w:ascii="Arial" w:hAnsi="Arial" w:eastAsia="宋体" w:cs="Arial"/>
          <w:sz w:val="24"/>
          <w:szCs w:val="24"/>
        </w:rPr>
        <w:t>综合信息</w:t>
      </w:r>
      <w:r>
        <w:rPr>
          <w:rFonts w:ascii="Arial" w:hAnsi="Arial" w:eastAsia="宋体" w:cs="Arial"/>
          <w:sz w:val="24"/>
          <w:szCs w:val="24"/>
        </w:rPr>
        <w:t>，包括联络方式</w:t>
      </w:r>
      <w:r>
        <w:rPr>
          <w:rFonts w:hint="eastAsia" w:ascii="Arial" w:hAnsi="Arial" w:eastAsia="宋体" w:cs="Arial"/>
          <w:sz w:val="24"/>
          <w:szCs w:val="24"/>
        </w:rPr>
        <w:t>在内</w:t>
      </w:r>
      <w:r>
        <w:rPr>
          <w:rFonts w:ascii="Arial" w:hAnsi="Arial" w:eastAsia="宋体" w:cs="Arial"/>
          <w:sz w:val="24"/>
          <w:szCs w:val="24"/>
        </w:rPr>
        <w:t>，可在以下网址找到：</w:t>
      </w:r>
      <w:r>
        <w:rPr>
          <w:rFonts w:ascii="Arial" w:hAnsi="Arial" w:eastAsia="宋体" w:cs="Arial"/>
          <w:color w:val="0000FF"/>
          <w:sz w:val="24"/>
          <w:szCs w:val="24"/>
          <w:u w:val="single"/>
        </w:rPr>
        <w:t>http://www.fda.gov/cdrh/ombudsman/</w:t>
      </w:r>
      <w:r>
        <w:rPr>
          <w:rFonts w:ascii="Arial" w:hAnsi="Arial" w:eastAsia="宋体" w:cs="Arial"/>
          <w:sz w:val="24"/>
          <w:szCs w:val="24"/>
        </w:rPr>
        <w:t>。</w:t>
      </w:r>
    </w:p>
    <w:p w14:paraId="15DE2FAD">
      <w:pPr>
        <w:pStyle w:val="13"/>
        <w:numPr>
          <w:ilvl w:val="0"/>
          <w:numId w:val="1"/>
        </w:numPr>
        <w:overflowPunct w:val="0"/>
        <w:snapToGrid w:val="0"/>
        <w:spacing w:after="240" w:line="300" w:lineRule="auto"/>
        <w:ind w:left="357" w:hanging="357" w:firstLineChars="0"/>
        <w:outlineLvl w:val="0"/>
        <w:rPr>
          <w:rFonts w:ascii="Arial" w:hAnsi="Arial" w:eastAsia="宋体" w:cs="Arial"/>
          <w:b/>
          <w:sz w:val="32"/>
          <w:szCs w:val="32"/>
        </w:rPr>
      </w:pPr>
      <w:bookmarkStart w:id="2" w:name="_Toc496890869"/>
      <w:r>
        <w:rPr>
          <w:rFonts w:ascii="Arial" w:hAnsi="Arial" w:eastAsia="宋体" w:cs="Arial"/>
          <w:b/>
          <w:sz w:val="32"/>
          <w:szCs w:val="32"/>
        </w:rPr>
        <w:t>定义</w:t>
      </w:r>
      <w:bookmarkEnd w:id="2"/>
    </w:p>
    <w:p w14:paraId="7C48E351">
      <w:pPr>
        <w:overflowPunct w:val="0"/>
        <w:snapToGrid w:val="0"/>
        <w:spacing w:after="240" w:line="300" w:lineRule="auto"/>
        <w:rPr>
          <w:rFonts w:ascii="Arial" w:hAnsi="Arial" w:eastAsia="宋体" w:cs="Arial"/>
          <w:sz w:val="24"/>
          <w:szCs w:val="24"/>
        </w:rPr>
      </w:pPr>
      <w:r>
        <w:rPr>
          <w:rFonts w:ascii="Arial" w:hAnsi="Arial" w:eastAsia="宋体" w:cs="Arial"/>
          <w:sz w:val="24"/>
          <w:szCs w:val="24"/>
        </w:rPr>
        <w:t>您可能会在21 CFR 1000.3或1020.40（b）中找到许多以下定义（我们提供了具体的引文）。一些定义是对条例中未明确定义的术语的解释，但是这些解释是基于我们在电子产品方面的经验。</w:t>
      </w:r>
    </w:p>
    <w:p w14:paraId="13459456">
      <w:pPr>
        <w:overflowPunct w:val="0"/>
        <w:snapToGrid w:val="0"/>
        <w:spacing w:line="300" w:lineRule="auto"/>
        <w:rPr>
          <w:rFonts w:ascii="Arial" w:hAnsi="Arial" w:eastAsia="宋体" w:cs="Arial"/>
          <w:sz w:val="24"/>
          <w:szCs w:val="24"/>
          <w:u w:val="single"/>
        </w:rPr>
      </w:pPr>
      <w:r>
        <w:rPr>
          <w:rFonts w:ascii="Arial" w:hAnsi="Arial" w:eastAsia="宋体" w:cs="Arial"/>
          <w:sz w:val="24"/>
          <w:szCs w:val="24"/>
          <w:u w:val="single"/>
        </w:rPr>
        <w:t>X射线产品类别</w:t>
      </w:r>
    </w:p>
    <w:p w14:paraId="6F586F19">
      <w:pPr>
        <w:overflowPunct w:val="0"/>
        <w:snapToGrid w:val="0"/>
        <w:spacing w:after="240" w:line="300" w:lineRule="auto"/>
        <w:rPr>
          <w:rFonts w:ascii="Arial" w:hAnsi="Arial" w:eastAsia="宋体" w:cs="Arial"/>
          <w:sz w:val="24"/>
          <w:szCs w:val="24"/>
        </w:rPr>
      </w:pPr>
      <w:r>
        <w:rPr>
          <w:rFonts w:ascii="Arial" w:hAnsi="Arial" w:eastAsia="宋体" w:cs="Arial"/>
          <w:sz w:val="24"/>
          <w:szCs w:val="24"/>
        </w:rPr>
        <w:t>本指南讨论了各种X射线类别。针对柜式X射线系统的要求范围最广，因为柜式X射线系统需要满足特定的性能标准【21 CFR 1020.40】。除了性能标准【21 CFR 1020.40】之外，在美国销售的柜式X射线系统的制造商必须遵守21 CFR第1000、1002、1003、1004、1005和1010部分的规定。</w:t>
      </w:r>
    </w:p>
    <w:p w14:paraId="3B61ADB9">
      <w:pPr>
        <w:widowControl/>
        <w:jc w:val="left"/>
        <w:rPr>
          <w:rFonts w:ascii="Arial" w:hAnsi="Arial" w:eastAsia="宋体" w:cs="Arial"/>
          <w:sz w:val="24"/>
          <w:szCs w:val="24"/>
        </w:rPr>
      </w:pPr>
      <w:r>
        <w:rPr>
          <w:rFonts w:ascii="Arial" w:hAnsi="Arial" w:eastAsia="宋体" w:cs="Arial"/>
          <w:sz w:val="24"/>
          <w:szCs w:val="24"/>
        </w:rPr>
        <w:br w:type="page"/>
      </w:r>
    </w:p>
    <w:p w14:paraId="2EAAF357">
      <w:pPr>
        <w:pStyle w:val="13"/>
        <w:numPr>
          <w:ilvl w:val="0"/>
          <w:numId w:val="2"/>
        </w:numPr>
        <w:overflowPunct w:val="0"/>
        <w:snapToGrid w:val="0"/>
        <w:spacing w:after="240" w:line="300" w:lineRule="auto"/>
        <w:ind w:left="-420" w:leftChars="-200" w:firstLineChars="0"/>
        <w:rPr>
          <w:rFonts w:ascii="Arial" w:hAnsi="Arial" w:eastAsia="宋体" w:cs="Arial"/>
          <w:i/>
          <w:sz w:val="24"/>
          <w:szCs w:val="24"/>
        </w:rPr>
      </w:pPr>
      <w:r>
        <w:rPr>
          <w:rFonts w:ascii="Arial" w:hAnsi="Arial" w:eastAsia="宋体" w:cs="Arial"/>
          <w:b/>
          <w:sz w:val="24"/>
          <w:szCs w:val="24"/>
        </w:rPr>
        <w:t>柜式X射线系统</w:t>
      </w:r>
      <w:r>
        <w:rPr>
          <w:rFonts w:ascii="Arial" w:hAnsi="Arial" w:eastAsia="宋体" w:cs="Arial"/>
          <w:sz w:val="24"/>
          <w:szCs w:val="24"/>
        </w:rPr>
        <w:t xml:space="preserve"> 【21 CFR 1020.40（b）（3）】</w:t>
      </w:r>
      <w:r>
        <w:rPr>
          <w:rFonts w:ascii="Arial" w:hAnsi="Arial" w:eastAsia="宋体" w:cs="Arial"/>
          <w:i/>
          <w:sz w:val="24"/>
          <w:szCs w:val="24"/>
        </w:rPr>
        <w:t>是指其X射线管安装在外壳（以下称为机柜）内的X射线系统，除需要放置于地面外，其独立于已有的结构体系，旨在至少包含被辐射的材料的部分结构、提供辐射消减、并且在产生X射线期间允许人员撤离。该分类主要包括用于航空公司、铁路、巴士总站以及类似设施的所有类型的随身行李X射线检查系统。在建筑物的屏蔽部分内使用的X射线管，或者可能暂时或偶尔与便携式屏蔽设备进行整合的X射线设备不被认为是柜式X射线系统。</w:t>
      </w:r>
    </w:p>
    <w:p w14:paraId="6E680F36">
      <w:pPr>
        <w:overflowPunct w:val="0"/>
        <w:snapToGrid w:val="0"/>
        <w:spacing w:after="240" w:line="300" w:lineRule="auto"/>
        <w:rPr>
          <w:rFonts w:ascii="Arial" w:hAnsi="Arial" w:eastAsia="宋体" w:cs="Arial"/>
          <w:sz w:val="24"/>
          <w:szCs w:val="24"/>
        </w:rPr>
      </w:pPr>
      <w:r>
        <w:rPr>
          <w:rFonts w:ascii="Arial" w:hAnsi="Arial" w:eastAsia="宋体" w:cs="Arial"/>
          <w:sz w:val="24"/>
          <w:szCs w:val="24"/>
        </w:rPr>
        <w:t>柜式X射线系统应始终包含安装于屏蔽外壳中的X射线管，用于容纳被辐射的物品。外壳保护人们免受产生的X射线影响，并保证人员</w:t>
      </w:r>
      <w:r>
        <w:rPr>
          <w:rFonts w:hint="eastAsia" w:ascii="Arial" w:hAnsi="Arial" w:eastAsia="宋体" w:cs="Arial"/>
          <w:sz w:val="24"/>
          <w:szCs w:val="24"/>
        </w:rPr>
        <w:t>与外壳内部隔离</w:t>
      </w:r>
      <w:r>
        <w:rPr>
          <w:rFonts w:ascii="Arial" w:hAnsi="Arial" w:eastAsia="宋体" w:cs="Arial"/>
          <w:sz w:val="24"/>
          <w:szCs w:val="24"/>
        </w:rPr>
        <w:t>。因为屏蔽外壳会将暴露于X射线的部分包绕起来，且屏蔽外壳是系统的固有部分，因此柜式X射线系统有时称为闭合X射线系统。</w:t>
      </w:r>
    </w:p>
    <w:p w14:paraId="291C8820">
      <w:pPr>
        <w:overflowPunct w:val="0"/>
        <w:snapToGrid w:val="0"/>
        <w:spacing w:after="240" w:line="300" w:lineRule="auto"/>
        <w:rPr>
          <w:rFonts w:ascii="Arial" w:hAnsi="Arial" w:eastAsia="宋体" w:cs="Arial"/>
          <w:sz w:val="24"/>
          <w:szCs w:val="24"/>
        </w:rPr>
      </w:pPr>
      <w:r>
        <w:rPr>
          <w:rFonts w:ascii="Arial" w:hAnsi="Arial" w:eastAsia="宋体" w:cs="Arial"/>
          <w:sz w:val="24"/>
          <w:szCs w:val="24"/>
        </w:rPr>
        <w:t>柜式X射线系统主要用于安全检查和工业质量控制。其安全应用范围包括了从机场的行李箱检查系统到美国进口卡车的检查系统等各类系统。工业质量控制应用包括食品、电路板和轮胎等检查。另外，一些医疗器械也是柜式X射线系统，例如用于观察组织样本的</w:t>
      </w:r>
      <w:bookmarkStart w:id="3" w:name="OLE_LINK4"/>
      <w:bookmarkStart w:id="4" w:name="OLE_LINK3"/>
      <w:r>
        <w:rPr>
          <w:rFonts w:ascii="Arial" w:hAnsi="Arial" w:eastAsia="宋体" w:cs="Arial"/>
          <w:sz w:val="24"/>
          <w:szCs w:val="24"/>
        </w:rPr>
        <w:t>X射线系统</w:t>
      </w:r>
      <w:bookmarkEnd w:id="3"/>
      <w:bookmarkEnd w:id="4"/>
      <w:r>
        <w:rPr>
          <w:rFonts w:ascii="Arial" w:hAnsi="Arial" w:eastAsia="宋体" w:cs="Arial"/>
          <w:sz w:val="24"/>
          <w:szCs w:val="24"/>
        </w:rPr>
        <w:t>。</w:t>
      </w:r>
    </w:p>
    <w:p w14:paraId="5A849190">
      <w:pPr>
        <w:overflowPunct w:val="0"/>
        <w:snapToGrid w:val="0"/>
        <w:spacing w:after="240" w:line="300" w:lineRule="auto"/>
        <w:rPr>
          <w:rFonts w:ascii="Arial" w:hAnsi="Arial" w:eastAsia="宋体" w:cs="Arial"/>
          <w:sz w:val="24"/>
          <w:szCs w:val="24"/>
        </w:rPr>
      </w:pPr>
      <w:r>
        <w:rPr>
          <w:rFonts w:ascii="Arial" w:hAnsi="Arial" w:eastAsia="宋体" w:cs="Arial"/>
          <w:sz w:val="24"/>
          <w:szCs w:val="24"/>
        </w:rPr>
        <w:t>性能标准的规定适用于1974年4月25日以后生产或组装的、主要用于检查随身行李的X射线系统。此外，性能标准也适用于1975年4月10日或之后生产或组装的所有柜式X射线系统或【21 CFR 1020.40（a）】。</w:t>
      </w:r>
    </w:p>
    <w:p w14:paraId="6A6BD547">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如果X射线系统不完全符合规定中关于定义的标准，那么该系统不是一个柜式X射线系统。例如，为已有的房间添加屏蔽后，因为房间不是独立于现有的结构体系，因此该房间无法成为一个柜式系统。独立于现有结构体系（不包括用于容纳X射线管的地板）的独立屏蔽室则符合性能标准。</w:t>
      </w:r>
    </w:p>
    <w:p w14:paraId="50FC7419">
      <w:pPr>
        <w:overflowPunct w:val="0"/>
        <w:snapToGrid w:val="0"/>
        <w:spacing w:after="240" w:line="300" w:lineRule="auto"/>
        <w:rPr>
          <w:rFonts w:ascii="Arial" w:hAnsi="Arial" w:eastAsia="宋体" w:cs="Arial"/>
          <w:sz w:val="24"/>
          <w:szCs w:val="24"/>
        </w:rPr>
      </w:pPr>
      <w:r>
        <w:rPr>
          <w:rFonts w:ascii="Arial" w:hAnsi="Arial" w:eastAsia="宋体" w:cs="Arial"/>
          <w:sz w:val="24"/>
          <w:szCs w:val="24"/>
        </w:rPr>
        <w:t>非柜式X射线系统因遵守不同的报告要求【21 CFR 1002.1，表1】。性能标准【21 CFR 1020.40（A）】不适用于：</w:t>
      </w:r>
    </w:p>
    <w:p w14:paraId="6D209EB2">
      <w:pPr>
        <w:pStyle w:val="13"/>
        <w:numPr>
          <w:ilvl w:val="0"/>
          <w:numId w:val="3"/>
        </w:numPr>
        <w:overflowPunct w:val="0"/>
        <w:snapToGrid w:val="0"/>
        <w:spacing w:line="300" w:lineRule="auto"/>
        <w:ind w:left="993" w:leftChars="360" w:hanging="237" w:hangingChars="99"/>
        <w:rPr>
          <w:rFonts w:ascii="Arial" w:hAnsi="Arial" w:eastAsia="宋体" w:cs="Arial"/>
          <w:sz w:val="24"/>
          <w:szCs w:val="24"/>
        </w:rPr>
      </w:pPr>
      <w:r>
        <w:rPr>
          <w:rFonts w:ascii="Arial" w:hAnsi="Arial" w:eastAsia="宋体" w:cs="Arial"/>
          <w:sz w:val="24"/>
          <w:szCs w:val="24"/>
        </w:rPr>
        <w:t>专门用于材料显微镜检查的系统；</w:t>
      </w:r>
    </w:p>
    <w:p w14:paraId="1774F1E7">
      <w:pPr>
        <w:pStyle w:val="13"/>
        <w:numPr>
          <w:ilvl w:val="0"/>
          <w:numId w:val="3"/>
        </w:numPr>
        <w:overflowPunct w:val="0"/>
        <w:snapToGrid w:val="0"/>
        <w:spacing w:line="300" w:lineRule="auto"/>
        <w:ind w:left="993" w:leftChars="360" w:hanging="237" w:hangingChars="99"/>
        <w:rPr>
          <w:rFonts w:ascii="Arial" w:hAnsi="Arial" w:eastAsia="宋体" w:cs="Arial"/>
          <w:sz w:val="24"/>
          <w:szCs w:val="24"/>
        </w:rPr>
      </w:pPr>
      <w:r>
        <w:rPr>
          <w:rFonts w:ascii="Arial" w:hAnsi="Arial" w:eastAsia="宋体" w:cs="Arial"/>
          <w:sz w:val="24"/>
          <w:szCs w:val="24"/>
        </w:rPr>
        <w:t>旨在有意将人体暴露于X射线的系统；或</w:t>
      </w:r>
    </w:p>
    <w:p w14:paraId="7C70D94C">
      <w:pPr>
        <w:pStyle w:val="13"/>
        <w:numPr>
          <w:ilvl w:val="0"/>
          <w:numId w:val="3"/>
        </w:numPr>
        <w:overflowPunct w:val="0"/>
        <w:snapToGrid w:val="0"/>
        <w:spacing w:after="240" w:line="300" w:lineRule="auto"/>
        <w:ind w:left="993" w:leftChars="360" w:hanging="237" w:hangingChars="99"/>
        <w:rPr>
          <w:rFonts w:ascii="Arial" w:hAnsi="Arial" w:eastAsia="宋体" w:cs="Arial"/>
          <w:sz w:val="24"/>
          <w:szCs w:val="24"/>
        </w:rPr>
      </w:pPr>
      <w:r>
        <w:rPr>
          <w:rFonts w:ascii="Arial" w:hAnsi="Arial" w:eastAsia="宋体" w:cs="Arial"/>
          <w:sz w:val="24"/>
          <w:szCs w:val="24"/>
        </w:rPr>
        <w:t>使用放射性物质作为放射源的产品。</w:t>
      </w:r>
    </w:p>
    <w:p w14:paraId="104D2329">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其他类别的X射线系统定义如下。</w:t>
      </w:r>
    </w:p>
    <w:p w14:paraId="7E51D75D">
      <w:pPr>
        <w:widowControl/>
        <w:jc w:val="left"/>
        <w:rPr>
          <w:rFonts w:ascii="Arial" w:hAnsi="Arial" w:eastAsia="宋体" w:cs="Arial"/>
          <w:b/>
          <w:sz w:val="24"/>
          <w:szCs w:val="24"/>
        </w:rPr>
      </w:pPr>
      <w:r>
        <w:rPr>
          <w:rFonts w:ascii="Arial" w:hAnsi="Arial" w:eastAsia="宋体" w:cs="Arial"/>
          <w:b/>
          <w:sz w:val="24"/>
          <w:szCs w:val="24"/>
        </w:rPr>
        <w:br w:type="page"/>
      </w:r>
    </w:p>
    <w:p w14:paraId="1B1FED87">
      <w:pPr>
        <w:overflowPunct w:val="0"/>
        <w:snapToGrid w:val="0"/>
        <w:spacing w:after="240" w:line="300" w:lineRule="auto"/>
        <w:rPr>
          <w:rFonts w:ascii="Arial" w:hAnsi="Arial" w:eastAsia="宋体" w:cs="Arial"/>
          <w:b/>
          <w:sz w:val="24"/>
          <w:szCs w:val="24"/>
          <w:u w:val="single"/>
        </w:rPr>
      </w:pPr>
      <w:r>
        <w:rPr>
          <w:rFonts w:ascii="Arial" w:hAnsi="Arial" w:eastAsia="宋体" w:cs="Arial"/>
          <w:b/>
          <w:sz w:val="24"/>
          <w:szCs w:val="24"/>
          <w:u w:val="single"/>
        </w:rPr>
        <w:t>用于产生除诊断</w:t>
      </w:r>
      <w:r>
        <w:rPr>
          <w:rStyle w:val="12"/>
          <w:rFonts w:ascii="Arial" w:hAnsi="Arial" w:eastAsia="宋体" w:cs="Arial"/>
          <w:b/>
          <w:sz w:val="24"/>
          <w:szCs w:val="24"/>
          <w:u w:val="single"/>
        </w:rPr>
        <w:footnoteReference w:id="1"/>
      </w:r>
      <w:r>
        <w:rPr>
          <w:rFonts w:ascii="Arial" w:hAnsi="Arial" w:eastAsia="宋体" w:cs="Arial"/>
          <w:b/>
          <w:sz w:val="24"/>
          <w:szCs w:val="24"/>
          <w:u w:val="single"/>
        </w:rPr>
        <w:t>或柜式X射线系统之外的微粒辐射或X射线的产品</w:t>
      </w:r>
      <w:r>
        <w:rPr>
          <w:rFonts w:ascii="Arial" w:hAnsi="Arial" w:eastAsia="宋体" w:cs="Arial"/>
          <w:b/>
          <w:sz w:val="24"/>
          <w:szCs w:val="24"/>
        </w:rPr>
        <w:t>【21 CFR 1002.1，表1】</w:t>
      </w:r>
    </w:p>
    <w:p w14:paraId="0E469F05">
      <w:pPr>
        <w:overflowPunct w:val="0"/>
        <w:snapToGrid w:val="0"/>
        <w:spacing w:after="240" w:line="300" w:lineRule="auto"/>
        <w:rPr>
          <w:rFonts w:ascii="Arial" w:hAnsi="Arial" w:eastAsia="宋体" w:cs="Arial"/>
          <w:sz w:val="24"/>
          <w:szCs w:val="24"/>
        </w:rPr>
      </w:pPr>
      <w:r>
        <w:rPr>
          <w:rFonts w:ascii="Arial" w:hAnsi="Arial" w:eastAsia="宋体" w:cs="Arial"/>
          <w:sz w:val="24"/>
          <w:szCs w:val="24"/>
        </w:rPr>
        <w:t>虽然以下产品不受强制性能标准的限制，但是该产品和制造商仍受该法规的约束。在美国销售的X射线和微粒辐射系统的制造商有义务遵守21 CFR第1000、1002、1003、1004部分和21 CFR 1005.25。如果可能，那么制造商在设计其产品时，如果有自愿共识的辐射安全标准可用并适合该产品，FDA建议制造商遵守该标准。</w:t>
      </w:r>
    </w:p>
    <w:p w14:paraId="6A8ECE23">
      <w:pPr>
        <w:pStyle w:val="13"/>
        <w:numPr>
          <w:ilvl w:val="0"/>
          <w:numId w:val="4"/>
        </w:numPr>
        <w:overflowPunct w:val="0"/>
        <w:snapToGrid w:val="0"/>
        <w:spacing w:after="240" w:line="300" w:lineRule="auto"/>
        <w:ind w:left="-420" w:leftChars="-200" w:firstLineChars="0"/>
        <w:rPr>
          <w:rFonts w:ascii="Arial" w:hAnsi="Arial" w:eastAsia="宋体" w:cs="Arial"/>
          <w:b/>
          <w:sz w:val="24"/>
          <w:szCs w:val="24"/>
        </w:rPr>
      </w:pPr>
      <w:r>
        <w:rPr>
          <w:rFonts w:ascii="Arial" w:hAnsi="Arial" w:eastAsia="宋体" w:cs="Arial"/>
          <w:b/>
          <w:sz w:val="24"/>
          <w:szCs w:val="24"/>
        </w:rPr>
        <w:t>分析用X射线系统</w:t>
      </w:r>
    </w:p>
    <w:p w14:paraId="0386FEBE">
      <w:pPr>
        <w:overflowPunct w:val="0"/>
        <w:snapToGrid w:val="0"/>
        <w:spacing w:after="240" w:line="300" w:lineRule="auto"/>
        <w:rPr>
          <w:rFonts w:ascii="Arial" w:hAnsi="Arial" w:eastAsia="宋体" w:cs="Arial"/>
          <w:sz w:val="24"/>
          <w:szCs w:val="24"/>
        </w:rPr>
      </w:pPr>
      <w:r>
        <w:rPr>
          <w:rFonts w:ascii="Arial" w:hAnsi="Arial" w:eastAsia="宋体" w:cs="Arial"/>
          <w:sz w:val="24"/>
          <w:szCs w:val="24"/>
        </w:rPr>
        <w:t>X射线系统是专门用于材料显微镜检查的系统。“专门用于材料显微镜检查”的表述特指X射线光谱、X射线衍射或X射线荧光。这些X射线系统通常仅在实验室环境中运行。当专门用于材料的显微镜检查时，X射线系统可以免除性能标准的要求【21 CFR 1020.40（a）】。性能标准适用于用于教育的系统（例如X射线物理学教学）或用于生产环境下的工业质量控制，因为这些用途非“专门用于材料显微镜检查”。</w:t>
      </w:r>
    </w:p>
    <w:p w14:paraId="064008C1">
      <w:pPr>
        <w:pStyle w:val="13"/>
        <w:numPr>
          <w:ilvl w:val="0"/>
          <w:numId w:val="4"/>
        </w:numPr>
        <w:overflowPunct w:val="0"/>
        <w:snapToGrid w:val="0"/>
        <w:spacing w:after="240" w:line="300" w:lineRule="auto"/>
        <w:ind w:left="-420" w:leftChars="-200" w:firstLineChars="0"/>
        <w:rPr>
          <w:rFonts w:ascii="Arial" w:hAnsi="Arial" w:eastAsia="宋体" w:cs="Arial"/>
          <w:b/>
          <w:sz w:val="24"/>
          <w:szCs w:val="24"/>
        </w:rPr>
      </w:pPr>
      <w:r>
        <w:rPr>
          <w:rFonts w:ascii="Arial" w:hAnsi="Arial" w:eastAsia="宋体" w:cs="Arial"/>
          <w:b/>
          <w:sz w:val="24"/>
          <w:szCs w:val="24"/>
        </w:rPr>
        <w:t>医用X射线系统</w:t>
      </w:r>
    </w:p>
    <w:p w14:paraId="4BF0CA33">
      <w:pPr>
        <w:overflowPunct w:val="0"/>
        <w:snapToGrid w:val="0"/>
        <w:spacing w:after="240" w:line="300" w:lineRule="auto"/>
        <w:rPr>
          <w:rFonts w:ascii="Arial" w:hAnsi="Arial" w:eastAsia="宋体" w:cs="Arial"/>
          <w:sz w:val="24"/>
          <w:szCs w:val="24"/>
        </w:rPr>
      </w:pPr>
      <w:r>
        <w:rPr>
          <w:rFonts w:ascii="Arial" w:hAnsi="Arial" w:eastAsia="宋体" w:cs="Arial"/>
          <w:sz w:val="24"/>
          <w:szCs w:val="24"/>
        </w:rPr>
        <w:t>不受柜式X射线或诊断X射线标准约束，且作为医疗器械使用的产品是医用X射线系统。实例包括但不限于使用加速器的放射治疗产品和兽用X射线系统等。</w:t>
      </w:r>
    </w:p>
    <w:p w14:paraId="6F89F425">
      <w:pPr>
        <w:pStyle w:val="13"/>
        <w:numPr>
          <w:ilvl w:val="0"/>
          <w:numId w:val="4"/>
        </w:numPr>
        <w:overflowPunct w:val="0"/>
        <w:snapToGrid w:val="0"/>
        <w:spacing w:after="240" w:line="300" w:lineRule="auto"/>
        <w:ind w:left="-420" w:leftChars="-200" w:firstLineChars="0"/>
        <w:rPr>
          <w:rFonts w:ascii="Arial" w:hAnsi="Arial" w:eastAsia="宋体" w:cs="Arial"/>
          <w:b/>
          <w:sz w:val="24"/>
          <w:szCs w:val="24"/>
        </w:rPr>
      </w:pPr>
      <w:r>
        <w:rPr>
          <w:rFonts w:ascii="Arial" w:hAnsi="Arial" w:eastAsia="宋体" w:cs="Arial"/>
          <w:b/>
          <w:sz w:val="24"/>
          <w:szCs w:val="24"/>
        </w:rPr>
        <w:t>工业X射线和微粒辐射系统</w:t>
      </w:r>
    </w:p>
    <w:p w14:paraId="1A6825AE">
      <w:pPr>
        <w:overflowPunct w:val="0"/>
        <w:snapToGrid w:val="0"/>
        <w:spacing w:after="240" w:line="300" w:lineRule="auto"/>
        <w:rPr>
          <w:rFonts w:ascii="Arial" w:hAnsi="Arial" w:eastAsia="宋体" w:cs="Arial"/>
          <w:sz w:val="24"/>
          <w:szCs w:val="24"/>
        </w:rPr>
      </w:pPr>
      <w:r>
        <w:rPr>
          <w:rFonts w:ascii="Arial" w:hAnsi="Arial" w:eastAsia="宋体" w:cs="Arial"/>
          <w:sz w:val="24"/>
          <w:szCs w:val="24"/>
        </w:rPr>
        <w:t>不受柜式X射线或诊断X射线标准</w:t>
      </w:r>
      <w:bookmarkStart w:id="5" w:name="OLE_LINK8"/>
      <w:r>
        <w:rPr>
          <w:rFonts w:ascii="Arial" w:hAnsi="Arial" w:eastAsia="宋体" w:cs="Arial"/>
          <w:sz w:val="24"/>
          <w:szCs w:val="24"/>
        </w:rPr>
        <w:t>约束</w:t>
      </w:r>
      <w:bookmarkEnd w:id="5"/>
      <w:r>
        <w:rPr>
          <w:rFonts w:ascii="Arial" w:hAnsi="Arial" w:eastAsia="宋体" w:cs="Arial"/>
          <w:sz w:val="24"/>
          <w:szCs w:val="24"/>
        </w:rPr>
        <w:t>，不属于分析用X射线或医用X射线类别，并且使用X射线管或加速器产生电离辐射的系统属于工业X射线或微粒辐射类别。但具有工业目的和封闭系统的X射线产品属于柜式X射线系统，受性能标准约束。工业X射线系统的例子包括用于医疗器械灭菌的加速器、用于非破坏性测试的开放射束系统、用于炸弹探测的开放射束系统、以及使用X射线的人员安全检查系统等。</w:t>
      </w:r>
    </w:p>
    <w:p w14:paraId="775A82B4">
      <w:pPr>
        <w:overflowPunct w:val="0"/>
        <w:snapToGrid w:val="0"/>
        <w:spacing w:after="240" w:line="300" w:lineRule="auto"/>
        <w:rPr>
          <w:rFonts w:ascii="Arial" w:hAnsi="Arial" w:eastAsia="宋体" w:cs="Arial"/>
          <w:b/>
          <w:sz w:val="24"/>
          <w:szCs w:val="24"/>
          <w:u w:val="single"/>
        </w:rPr>
      </w:pPr>
      <w:r>
        <w:rPr>
          <w:rFonts w:ascii="Arial" w:hAnsi="Arial" w:eastAsia="宋体" w:cs="Arial"/>
          <w:b/>
          <w:sz w:val="24"/>
          <w:szCs w:val="24"/>
          <w:u w:val="single"/>
        </w:rPr>
        <w:t>监管条款</w:t>
      </w:r>
    </w:p>
    <w:p w14:paraId="78211B50">
      <w:pPr>
        <w:pStyle w:val="13"/>
        <w:widowControl/>
        <w:numPr>
          <w:ilvl w:val="0"/>
          <w:numId w:val="5"/>
        </w:numPr>
        <w:overflowPunct w:val="0"/>
        <w:snapToGrid w:val="0"/>
        <w:spacing w:after="240" w:line="300" w:lineRule="auto"/>
        <w:ind w:left="-420" w:leftChars="-200" w:firstLineChars="0"/>
        <w:jc w:val="left"/>
        <w:rPr>
          <w:rFonts w:ascii="Arial" w:hAnsi="Arial" w:eastAsia="宋体" w:cs="Arial"/>
          <w:sz w:val="24"/>
          <w:szCs w:val="24"/>
        </w:rPr>
      </w:pPr>
      <w:r>
        <w:rPr>
          <w:rFonts w:ascii="Arial" w:hAnsi="Arial" w:eastAsia="宋体" w:cs="Arial"/>
          <w:b/>
          <w:sz w:val="24"/>
          <w:szCs w:val="24"/>
        </w:rPr>
        <w:t>意外辐射发生</w:t>
      </w:r>
      <w:r>
        <w:rPr>
          <w:rFonts w:ascii="Arial" w:hAnsi="Arial" w:eastAsia="宋体" w:cs="Arial"/>
          <w:sz w:val="24"/>
          <w:szCs w:val="24"/>
        </w:rPr>
        <w:t>（ARO）【21 CFR 1000.3（a）】</w:t>
      </w:r>
      <w:r>
        <w:rPr>
          <w:rFonts w:ascii="Arial" w:hAnsi="Arial" w:eastAsia="宋体" w:cs="Arial"/>
          <w:i/>
          <w:sz w:val="24"/>
          <w:szCs w:val="24"/>
        </w:rPr>
        <w:t>是指由于制造、测试或使用电子产品，而导致人体暴露于电子产品辐射中，并造成或潜在造成损害的单一事件或一系列事件。</w:t>
      </w:r>
      <w:r>
        <w:rPr>
          <w:rFonts w:ascii="Arial" w:hAnsi="Arial" w:eastAsia="宋体" w:cs="Arial"/>
          <w:sz w:val="24"/>
          <w:szCs w:val="24"/>
        </w:rPr>
        <w:br w:type="page"/>
      </w:r>
    </w:p>
    <w:p w14:paraId="0A1708D0">
      <w:pPr>
        <w:overflowPunct w:val="0"/>
        <w:snapToGrid w:val="0"/>
        <w:spacing w:after="240" w:line="300" w:lineRule="auto"/>
        <w:rPr>
          <w:rFonts w:ascii="Arial" w:hAnsi="Arial" w:eastAsia="宋体" w:cs="Arial"/>
          <w:sz w:val="24"/>
          <w:szCs w:val="24"/>
        </w:rPr>
      </w:pPr>
      <w:r>
        <w:rPr>
          <w:rFonts w:ascii="Arial" w:hAnsi="Arial" w:eastAsia="宋体" w:cs="Arial"/>
          <w:sz w:val="24"/>
          <w:szCs w:val="24"/>
        </w:rPr>
        <w:t>21 CFR 1002.20要求对ARO进行报告。关于该要求的讨论见本文档的“</w:t>
      </w:r>
      <w:r>
        <w:rPr>
          <w:rFonts w:ascii="Arial" w:hAnsi="Arial" w:eastAsia="宋体" w:cs="Arial"/>
          <w:b/>
          <w:sz w:val="24"/>
          <w:szCs w:val="24"/>
        </w:rPr>
        <w:t>报告和记录</w:t>
      </w:r>
      <w:r>
        <w:rPr>
          <w:rFonts w:ascii="Arial" w:hAnsi="Arial" w:eastAsia="宋体" w:cs="Arial"/>
          <w:sz w:val="24"/>
          <w:szCs w:val="24"/>
        </w:rPr>
        <w:t>”部分。</w:t>
      </w:r>
    </w:p>
    <w:p w14:paraId="6500FAAE">
      <w:pPr>
        <w:pStyle w:val="13"/>
        <w:numPr>
          <w:ilvl w:val="0"/>
          <w:numId w:val="6"/>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b/>
          <w:sz w:val="24"/>
          <w:szCs w:val="24"/>
        </w:rPr>
        <w:t>贸易</w:t>
      </w:r>
      <w:r>
        <w:rPr>
          <w:rFonts w:ascii="Arial" w:hAnsi="Arial" w:eastAsia="宋体" w:cs="Arial"/>
          <w:sz w:val="24"/>
          <w:szCs w:val="24"/>
        </w:rPr>
        <w:t>【21 CFR 1000.3（d）】</w:t>
      </w:r>
      <w:r>
        <w:rPr>
          <w:rFonts w:ascii="Arial" w:hAnsi="Arial" w:eastAsia="宋体" w:cs="Arial"/>
          <w:i/>
          <w:sz w:val="24"/>
          <w:szCs w:val="24"/>
        </w:rPr>
        <w:t>是指：</w:t>
      </w:r>
    </w:p>
    <w:p w14:paraId="719DC14C">
      <w:pPr>
        <w:overflowPunct w:val="0"/>
        <w:snapToGrid w:val="0"/>
        <w:spacing w:line="300" w:lineRule="auto"/>
        <w:rPr>
          <w:rFonts w:ascii="Arial" w:hAnsi="Arial" w:eastAsia="宋体" w:cs="Arial"/>
          <w:i/>
          <w:sz w:val="24"/>
          <w:szCs w:val="24"/>
        </w:rPr>
      </w:pPr>
      <w:r>
        <w:rPr>
          <w:rFonts w:ascii="Arial" w:hAnsi="Arial" w:eastAsia="宋体" w:cs="Arial"/>
          <w:i/>
          <w:sz w:val="24"/>
          <w:szCs w:val="24"/>
        </w:rPr>
        <w:t>（1）任何州的任何地方与其外的任何地点之间的商业贸易，以及</w:t>
      </w:r>
    </w:p>
    <w:p w14:paraId="4C0D6384">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（2）完全在哥伦比亚特区内的商业贸易。</w:t>
      </w:r>
    </w:p>
    <w:p w14:paraId="422C84F0">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在产品使用地点建立系统供自己使用通常不被视为贸易。为公司的使用建立系统，并运输至其他地方则可以视为商业贸易。</w:t>
      </w:r>
    </w:p>
    <w:p w14:paraId="0885373D">
      <w:pPr>
        <w:pStyle w:val="13"/>
        <w:numPr>
          <w:ilvl w:val="0"/>
          <w:numId w:val="7"/>
        </w:numPr>
        <w:overflowPunct w:val="0"/>
        <w:snapToGrid w:val="0"/>
        <w:spacing w:after="240" w:line="300" w:lineRule="auto"/>
        <w:ind w:left="-420" w:leftChars="-200" w:firstLineChars="0"/>
        <w:rPr>
          <w:rFonts w:ascii="Arial" w:hAnsi="Arial" w:eastAsia="宋体" w:cs="Arial"/>
          <w:i/>
          <w:sz w:val="24"/>
          <w:szCs w:val="24"/>
        </w:rPr>
      </w:pPr>
      <w:r>
        <w:rPr>
          <w:rFonts w:ascii="Arial" w:hAnsi="Arial" w:eastAsia="宋体" w:cs="Arial"/>
          <w:b/>
          <w:sz w:val="24"/>
          <w:szCs w:val="24"/>
        </w:rPr>
        <w:t>制造商</w:t>
      </w:r>
      <w:r>
        <w:rPr>
          <w:rFonts w:ascii="Arial" w:hAnsi="Arial" w:eastAsia="宋体" w:cs="Arial"/>
          <w:sz w:val="24"/>
          <w:szCs w:val="24"/>
        </w:rPr>
        <w:t>【21 CFR 1000.3（n）】</w:t>
      </w:r>
      <w:r>
        <w:rPr>
          <w:rFonts w:ascii="Arial" w:hAnsi="Arial" w:eastAsia="宋体" w:cs="Arial"/>
          <w:i/>
          <w:sz w:val="24"/>
          <w:szCs w:val="24"/>
        </w:rPr>
        <w:t>指从事电子产品制造、组装或进口业务的任何人。</w:t>
      </w:r>
    </w:p>
    <w:p w14:paraId="412C202A">
      <w:pPr>
        <w:pStyle w:val="13"/>
        <w:numPr>
          <w:ilvl w:val="0"/>
          <w:numId w:val="8"/>
        </w:numPr>
        <w:overflowPunct w:val="0"/>
        <w:snapToGrid w:val="0"/>
        <w:spacing w:after="240" w:line="300" w:lineRule="auto"/>
        <w:ind w:left="-420" w:leftChars="-200" w:firstLineChars="0"/>
        <w:rPr>
          <w:rFonts w:ascii="Arial" w:hAnsi="Arial" w:eastAsia="宋体" w:cs="Arial"/>
          <w:i/>
          <w:sz w:val="24"/>
          <w:szCs w:val="24"/>
        </w:rPr>
      </w:pPr>
      <w:r>
        <w:rPr>
          <w:rFonts w:ascii="Arial" w:hAnsi="Arial" w:eastAsia="宋体" w:cs="Arial"/>
          <w:b/>
          <w:sz w:val="24"/>
          <w:szCs w:val="24"/>
        </w:rPr>
        <w:t>型号</w:t>
      </w:r>
      <w:r>
        <w:rPr>
          <w:rFonts w:ascii="Arial" w:hAnsi="Arial" w:eastAsia="宋体" w:cs="Arial"/>
          <w:sz w:val="24"/>
          <w:szCs w:val="24"/>
        </w:rPr>
        <w:t>【21 CFR 1000.3（o）】</w:t>
      </w:r>
      <w:r>
        <w:rPr>
          <w:rFonts w:ascii="Arial" w:hAnsi="Arial" w:eastAsia="宋体" w:cs="Arial"/>
          <w:i/>
          <w:sz w:val="24"/>
          <w:szCs w:val="24"/>
        </w:rPr>
        <w:t>是指任何可识别的、独特的电子产品设计，并且是指具有相同结构和电气设计特征的产品，并且制造商指定了具体名称以区分其与由该制造商生产的其他产品。</w:t>
      </w:r>
    </w:p>
    <w:p w14:paraId="69AB0C06">
      <w:pPr>
        <w:overflowPunct w:val="0"/>
        <w:snapToGrid w:val="0"/>
        <w:spacing w:after="240" w:line="300" w:lineRule="auto"/>
        <w:rPr>
          <w:rFonts w:ascii="Arial" w:hAnsi="Arial" w:eastAsia="宋体" w:cs="Arial"/>
          <w:b/>
          <w:sz w:val="24"/>
          <w:szCs w:val="24"/>
          <w:u w:val="single"/>
        </w:rPr>
      </w:pPr>
      <w:r>
        <w:rPr>
          <w:rFonts w:ascii="Arial" w:hAnsi="Arial" w:eastAsia="宋体" w:cs="Arial"/>
          <w:b/>
          <w:sz w:val="24"/>
          <w:szCs w:val="24"/>
          <w:u w:val="single"/>
        </w:rPr>
        <w:t>柜式X射线系统术语</w:t>
      </w:r>
    </w:p>
    <w:p w14:paraId="61F94022">
      <w:pPr>
        <w:overflowPunct w:val="0"/>
        <w:snapToGrid w:val="0"/>
        <w:spacing w:after="240" w:line="300" w:lineRule="auto"/>
        <w:rPr>
          <w:rFonts w:ascii="Arial" w:hAnsi="Arial" w:eastAsia="宋体" w:cs="Arial"/>
          <w:i/>
          <w:sz w:val="24"/>
          <w:szCs w:val="24"/>
        </w:rPr>
      </w:pPr>
      <w:r>
        <w:rPr>
          <w:rFonts w:ascii="Arial" w:hAnsi="Arial" w:eastAsia="宋体" w:cs="Arial"/>
          <w:sz w:val="24"/>
          <w:szCs w:val="24"/>
        </w:rPr>
        <w:t>检修面板 【21 CFR 1020.40（b）（1）】</w:t>
      </w:r>
      <w:r>
        <w:rPr>
          <w:rFonts w:ascii="Arial" w:hAnsi="Arial" w:eastAsia="宋体" w:cs="Arial"/>
          <w:i/>
          <w:sz w:val="24"/>
          <w:szCs w:val="24"/>
        </w:rPr>
        <w:t>是指为了维护或维修目的而可以被拆卸或开启的任何屏障或面板，需要工具打开并允许进入机柜内部。</w:t>
      </w:r>
    </w:p>
    <w:p w14:paraId="4D699D19">
      <w:pPr>
        <w:overflowPunct w:val="0"/>
        <w:snapToGrid w:val="0"/>
        <w:spacing w:after="240" w:line="300" w:lineRule="auto"/>
        <w:rPr>
          <w:rFonts w:ascii="Arial" w:hAnsi="Arial" w:eastAsia="宋体" w:cs="Arial"/>
          <w:sz w:val="24"/>
          <w:szCs w:val="24"/>
        </w:rPr>
      </w:pPr>
      <w:bookmarkStart w:id="6" w:name="OLE_LINK9"/>
      <w:r>
        <w:rPr>
          <w:rFonts w:ascii="Arial" w:hAnsi="Arial" w:eastAsia="宋体" w:cs="Arial"/>
          <w:sz w:val="24"/>
          <w:szCs w:val="24"/>
        </w:rPr>
        <w:t>设计为可移动或打开以进行常规操作的任何</w:t>
      </w:r>
      <w:r>
        <w:rPr>
          <w:rFonts w:hint="eastAsia" w:ascii="Arial" w:hAnsi="Arial" w:eastAsia="宋体" w:cs="Arial"/>
          <w:sz w:val="24"/>
          <w:szCs w:val="24"/>
        </w:rPr>
        <w:t>屏障</w:t>
      </w:r>
      <w:bookmarkEnd w:id="6"/>
      <w:r>
        <w:rPr>
          <w:rFonts w:ascii="Arial" w:hAnsi="Arial" w:eastAsia="宋体" w:cs="Arial"/>
          <w:sz w:val="24"/>
          <w:szCs w:val="24"/>
        </w:rPr>
        <w:t>都是门（定义见下文），而不是检修面板。</w:t>
      </w:r>
    </w:p>
    <w:p w14:paraId="4CEFB1A3">
      <w:pPr>
        <w:overflowPunct w:val="0"/>
        <w:snapToGrid w:val="0"/>
        <w:spacing w:after="240" w:line="300" w:lineRule="auto"/>
        <w:rPr>
          <w:rFonts w:ascii="Arial" w:hAnsi="Arial" w:eastAsia="宋体" w:cs="Arial"/>
          <w:sz w:val="24"/>
          <w:szCs w:val="24"/>
        </w:rPr>
      </w:pPr>
      <w:r>
        <w:rPr>
          <w:rFonts w:ascii="Arial" w:hAnsi="Arial" w:eastAsia="宋体" w:cs="Arial"/>
          <w:sz w:val="24"/>
          <w:szCs w:val="24"/>
        </w:rPr>
        <w:t>一些柜式X射线系统有隐藏电子设备的装饰性覆盖物，但在打开时不允许进入机柜。除非它们</w:t>
      </w:r>
      <w:r>
        <w:rPr>
          <w:rFonts w:hint="eastAsia" w:ascii="Arial" w:hAnsi="Arial" w:eastAsia="宋体" w:cs="Arial"/>
          <w:sz w:val="24"/>
          <w:szCs w:val="24"/>
        </w:rPr>
        <w:t>可</w:t>
      </w:r>
      <w:r>
        <w:rPr>
          <w:rFonts w:ascii="Arial" w:hAnsi="Arial" w:eastAsia="宋体" w:cs="Arial"/>
          <w:sz w:val="24"/>
          <w:szCs w:val="24"/>
        </w:rPr>
        <w:t>用于防止</w:t>
      </w:r>
      <w:r>
        <w:rPr>
          <w:rFonts w:hint="eastAsia" w:ascii="Arial" w:hAnsi="Arial" w:eastAsia="宋体" w:cs="Arial"/>
          <w:sz w:val="24"/>
          <w:szCs w:val="24"/>
        </w:rPr>
        <w:t>进入</w:t>
      </w:r>
      <w:r>
        <w:rPr>
          <w:rFonts w:ascii="Arial" w:hAnsi="Arial" w:eastAsia="宋体" w:cs="Arial"/>
          <w:sz w:val="24"/>
          <w:szCs w:val="24"/>
        </w:rPr>
        <w:t>内部系统组件</w:t>
      </w:r>
      <w:r>
        <w:rPr>
          <w:rFonts w:hint="eastAsia" w:ascii="Arial" w:hAnsi="Arial" w:eastAsia="宋体" w:cs="Arial"/>
          <w:sz w:val="24"/>
          <w:szCs w:val="24"/>
        </w:rPr>
        <w:t>（允许进入机柜）</w:t>
      </w:r>
      <w:r>
        <w:rPr>
          <w:rFonts w:ascii="Arial" w:hAnsi="Arial" w:eastAsia="宋体" w:cs="Arial"/>
          <w:sz w:val="24"/>
          <w:szCs w:val="24"/>
        </w:rPr>
        <w:t>，否则这些覆盖物不属于检修面板。</w:t>
      </w:r>
    </w:p>
    <w:p w14:paraId="6B959F2E">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工具可以是钥匙或通用工具，如螺丝</w:t>
      </w:r>
      <w:r>
        <w:rPr>
          <w:rFonts w:hint="eastAsia" w:ascii="Arial" w:hAnsi="Arial" w:eastAsia="宋体" w:cs="Arial"/>
          <w:sz w:val="24"/>
          <w:szCs w:val="24"/>
        </w:rPr>
        <w:t>起子</w:t>
      </w:r>
      <w:r>
        <w:rPr>
          <w:rFonts w:ascii="Arial" w:hAnsi="Arial" w:eastAsia="宋体" w:cs="Arial"/>
          <w:sz w:val="24"/>
          <w:szCs w:val="24"/>
        </w:rPr>
        <w:t>和扳手。</w:t>
      </w:r>
    </w:p>
    <w:p w14:paraId="72FF4645">
      <w:pPr>
        <w:pStyle w:val="13"/>
        <w:numPr>
          <w:ilvl w:val="0"/>
          <w:numId w:val="8"/>
        </w:numPr>
        <w:overflowPunct w:val="0"/>
        <w:snapToGrid w:val="0"/>
        <w:spacing w:after="240" w:line="300" w:lineRule="auto"/>
        <w:ind w:left="-420" w:leftChars="-200" w:firstLineChars="0"/>
        <w:rPr>
          <w:rFonts w:ascii="Arial" w:hAnsi="Arial" w:eastAsia="宋体" w:cs="Arial"/>
          <w:i/>
          <w:sz w:val="24"/>
          <w:szCs w:val="24"/>
        </w:rPr>
      </w:pPr>
      <w:r>
        <w:rPr>
          <w:rFonts w:ascii="Arial" w:hAnsi="Arial" w:eastAsia="宋体" w:cs="Arial"/>
          <w:b/>
          <w:sz w:val="24"/>
          <w:szCs w:val="24"/>
        </w:rPr>
        <w:t>开孔</w:t>
      </w:r>
      <w:r>
        <w:rPr>
          <w:rFonts w:ascii="Arial" w:hAnsi="Arial" w:eastAsia="宋体" w:cs="Arial"/>
          <w:sz w:val="24"/>
          <w:szCs w:val="24"/>
        </w:rPr>
        <w:t>【21 CFR 1020.40（b）（2）】</w:t>
      </w:r>
      <w:r>
        <w:rPr>
          <w:rFonts w:ascii="Arial" w:hAnsi="Arial" w:eastAsia="宋体" w:cs="Arial"/>
          <w:i/>
          <w:sz w:val="24"/>
          <w:szCs w:val="24"/>
        </w:rPr>
        <w:t>表示机柜外表面上除</w:t>
      </w:r>
      <w:r>
        <w:rPr>
          <w:rFonts w:hint="eastAsia" w:ascii="Arial" w:hAnsi="Arial" w:eastAsia="宋体" w:cs="Arial"/>
          <w:i/>
          <w:sz w:val="24"/>
          <w:szCs w:val="24"/>
        </w:rPr>
        <w:t>端口</w:t>
      </w:r>
      <w:r>
        <w:rPr>
          <w:rFonts w:ascii="Arial" w:hAnsi="Arial" w:eastAsia="宋体" w:cs="Arial"/>
          <w:i/>
          <w:sz w:val="24"/>
          <w:szCs w:val="24"/>
        </w:rPr>
        <w:t>外的任何开口，且在X射线产生期间保持打开。</w:t>
      </w:r>
    </w:p>
    <w:p w14:paraId="629AF0C7">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开孔通常是常规电缆、通风或接线进出机柜的孔。</w:t>
      </w:r>
    </w:p>
    <w:p w14:paraId="300A5DD7">
      <w:pPr>
        <w:pStyle w:val="13"/>
        <w:numPr>
          <w:ilvl w:val="0"/>
          <w:numId w:val="8"/>
        </w:numPr>
        <w:overflowPunct w:val="0"/>
        <w:snapToGrid w:val="0"/>
        <w:spacing w:after="240" w:line="300" w:lineRule="auto"/>
        <w:ind w:left="-420" w:leftChars="-200" w:firstLineChars="0"/>
        <w:rPr>
          <w:rFonts w:ascii="Arial" w:hAnsi="Arial" w:eastAsia="宋体" w:cs="Arial"/>
          <w:i/>
          <w:sz w:val="24"/>
          <w:szCs w:val="24"/>
        </w:rPr>
      </w:pPr>
      <w:r>
        <w:rPr>
          <w:rFonts w:ascii="Arial" w:hAnsi="Arial" w:eastAsia="宋体" w:cs="Arial"/>
          <w:b/>
          <w:sz w:val="24"/>
          <w:szCs w:val="24"/>
        </w:rPr>
        <w:t>机柜</w:t>
      </w:r>
      <w:r>
        <w:rPr>
          <w:rFonts w:hint="eastAsia" w:ascii="Arial" w:hAnsi="Arial" w:eastAsia="宋体" w:cs="Arial"/>
          <w:sz w:val="24"/>
          <w:szCs w:val="24"/>
        </w:rPr>
        <w:t>【</w:t>
      </w:r>
      <w:r>
        <w:rPr>
          <w:rFonts w:ascii="Arial" w:hAnsi="Arial" w:eastAsia="宋体" w:cs="Arial"/>
          <w:sz w:val="24"/>
          <w:szCs w:val="24"/>
        </w:rPr>
        <w:t>由21 CFR 1020.40（b）（3）解释</w:t>
      </w:r>
      <w:r>
        <w:rPr>
          <w:rFonts w:hint="eastAsia" w:ascii="Arial" w:hAnsi="Arial" w:eastAsia="宋体" w:cs="Arial"/>
          <w:sz w:val="24"/>
          <w:szCs w:val="24"/>
        </w:rPr>
        <w:t>】</w:t>
      </w:r>
      <w:r>
        <w:rPr>
          <w:rFonts w:ascii="Arial" w:hAnsi="Arial" w:eastAsia="宋体" w:cs="Arial"/>
          <w:i/>
          <w:sz w:val="24"/>
          <w:szCs w:val="24"/>
        </w:rPr>
        <w:t>是指包含X射线管的外壳，至少可以容纳材料被辐射的部分</w:t>
      </w:r>
      <w:r>
        <w:rPr>
          <w:rFonts w:hint="eastAsia" w:ascii="Arial" w:hAnsi="Arial" w:eastAsia="宋体" w:cs="Arial"/>
          <w:i/>
          <w:sz w:val="24"/>
          <w:szCs w:val="24"/>
        </w:rPr>
        <w:t>，</w:t>
      </w:r>
      <w:r>
        <w:rPr>
          <w:rFonts w:ascii="Arial" w:hAnsi="Arial" w:eastAsia="宋体" w:cs="Arial"/>
          <w:i/>
          <w:sz w:val="24"/>
          <w:szCs w:val="24"/>
        </w:rPr>
        <w:t>提供辐射衰减、并在X射线的产生期间</w:t>
      </w:r>
      <w:r>
        <w:rPr>
          <w:rFonts w:hint="eastAsia" w:ascii="Arial" w:hAnsi="Arial" w:eastAsia="宋体" w:cs="Arial"/>
          <w:i/>
          <w:sz w:val="24"/>
          <w:szCs w:val="24"/>
        </w:rPr>
        <w:t>将人员与机柜内部隔离。</w:t>
      </w:r>
      <w:r>
        <w:rPr>
          <w:rFonts w:ascii="Arial" w:hAnsi="Arial" w:eastAsia="宋体" w:cs="Arial"/>
          <w:i/>
          <w:sz w:val="24"/>
          <w:szCs w:val="24"/>
        </w:rPr>
        <w:t>机柜是柜式X射线系统中唯一允许大于放射上限【21 CFR 1020.4(c)(1)】的空间。</w:t>
      </w:r>
    </w:p>
    <w:p w14:paraId="57753CA4">
      <w:pPr>
        <w:widowControl/>
        <w:jc w:val="left"/>
        <w:rPr>
          <w:rFonts w:ascii="Arial" w:hAnsi="Arial" w:eastAsia="宋体" w:cs="Arial"/>
          <w:sz w:val="24"/>
          <w:szCs w:val="24"/>
        </w:rPr>
      </w:pPr>
      <w:r>
        <w:rPr>
          <w:rFonts w:ascii="Arial" w:hAnsi="Arial" w:eastAsia="宋体" w:cs="Arial"/>
          <w:sz w:val="24"/>
          <w:szCs w:val="24"/>
        </w:rPr>
        <w:br w:type="page"/>
      </w:r>
    </w:p>
    <w:p w14:paraId="6C528E0D">
      <w:pPr>
        <w:pStyle w:val="13"/>
        <w:numPr>
          <w:ilvl w:val="0"/>
          <w:numId w:val="8"/>
        </w:numPr>
        <w:overflowPunct w:val="0"/>
        <w:snapToGrid w:val="0"/>
        <w:spacing w:after="240" w:line="300" w:lineRule="auto"/>
        <w:ind w:left="-420" w:leftChars="-200" w:firstLineChars="0"/>
        <w:rPr>
          <w:rFonts w:ascii="Arial" w:hAnsi="Arial" w:eastAsia="宋体" w:cs="Arial"/>
          <w:i/>
          <w:sz w:val="24"/>
          <w:szCs w:val="24"/>
        </w:rPr>
      </w:pPr>
      <w:r>
        <w:rPr>
          <w:rFonts w:ascii="Arial" w:hAnsi="Arial" w:eastAsia="宋体" w:cs="Arial"/>
          <w:b/>
          <w:sz w:val="24"/>
          <w:szCs w:val="24"/>
        </w:rPr>
        <w:t>门</w:t>
      </w:r>
      <w:r>
        <w:rPr>
          <w:rFonts w:ascii="Arial" w:hAnsi="Arial" w:eastAsia="宋体" w:cs="Arial"/>
          <w:sz w:val="24"/>
          <w:szCs w:val="24"/>
        </w:rPr>
        <w:t>【21 CFR 1020.40（b）（4）】</w:t>
      </w:r>
      <w:r>
        <w:rPr>
          <w:rFonts w:ascii="Arial" w:hAnsi="Arial" w:eastAsia="宋体" w:cs="Arial"/>
          <w:i/>
          <w:sz w:val="24"/>
          <w:szCs w:val="24"/>
        </w:rPr>
        <w:t>是指</w:t>
      </w:r>
      <w:r>
        <w:rPr>
          <w:rFonts w:hint="eastAsia" w:ascii="Arial" w:hAnsi="Arial" w:eastAsia="宋体" w:cs="Arial"/>
          <w:i/>
          <w:sz w:val="24"/>
          <w:szCs w:val="24"/>
        </w:rPr>
        <w:t>设计为可移动或打开以进行常规操作的任何屏障</w:t>
      </w:r>
      <w:r>
        <w:rPr>
          <w:rFonts w:ascii="Arial" w:hAnsi="Arial" w:eastAsia="宋体" w:cs="Arial"/>
          <w:i/>
          <w:sz w:val="24"/>
          <w:szCs w:val="24"/>
        </w:rPr>
        <w:t>，通常不需要打开工具，并允许进入机柜内部。在本部分的第（c）（4）（i）部分规定，严格固定在门上的、不能灵活移动的硬件应视为门的一部分。</w:t>
      </w:r>
    </w:p>
    <w:p w14:paraId="1582E844">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如果屏障仅</w:t>
      </w:r>
      <w:r>
        <w:rPr>
          <w:rFonts w:hint="eastAsia" w:ascii="Arial" w:hAnsi="Arial" w:eastAsia="宋体" w:cs="Arial"/>
          <w:sz w:val="24"/>
          <w:szCs w:val="24"/>
        </w:rPr>
        <w:t>在进行</w:t>
      </w:r>
      <w:r>
        <w:rPr>
          <w:rFonts w:ascii="Arial" w:hAnsi="Arial" w:eastAsia="宋体" w:cs="Arial"/>
          <w:sz w:val="24"/>
          <w:szCs w:val="24"/>
        </w:rPr>
        <w:t>维护和维修</w:t>
      </w:r>
      <w:r>
        <w:rPr>
          <w:rFonts w:hint="eastAsia" w:ascii="Arial" w:hAnsi="Arial" w:eastAsia="宋体" w:cs="Arial"/>
          <w:sz w:val="24"/>
          <w:szCs w:val="24"/>
        </w:rPr>
        <w:t>时</w:t>
      </w:r>
      <w:r>
        <w:rPr>
          <w:rFonts w:ascii="Arial" w:hAnsi="Arial" w:eastAsia="宋体" w:cs="Arial"/>
          <w:sz w:val="24"/>
          <w:szCs w:val="24"/>
        </w:rPr>
        <w:t>开启，则</w:t>
      </w:r>
      <w:r>
        <w:rPr>
          <w:rFonts w:hint="eastAsia" w:ascii="Arial" w:hAnsi="Arial" w:eastAsia="宋体" w:cs="Arial"/>
          <w:sz w:val="24"/>
          <w:szCs w:val="24"/>
        </w:rPr>
        <w:t>为</w:t>
      </w:r>
      <w:r>
        <w:rPr>
          <w:rFonts w:ascii="Arial" w:hAnsi="Arial" w:eastAsia="宋体" w:cs="Arial"/>
          <w:sz w:val="24"/>
          <w:szCs w:val="24"/>
        </w:rPr>
        <w:t>如上所述的检修面板。然而，如果在材料接受辐射时必须将屏障移除，或作为常规操作的一部分，则即使需要工具开启，该屏障也是门。</w:t>
      </w:r>
    </w:p>
    <w:p w14:paraId="7B9FB79C">
      <w:pPr>
        <w:pStyle w:val="13"/>
        <w:numPr>
          <w:ilvl w:val="0"/>
          <w:numId w:val="8"/>
        </w:numPr>
        <w:overflowPunct w:val="0"/>
        <w:snapToGrid w:val="0"/>
        <w:spacing w:after="240" w:line="300" w:lineRule="auto"/>
        <w:ind w:left="-420" w:leftChars="-200" w:firstLineChars="0"/>
        <w:rPr>
          <w:rFonts w:ascii="Arial" w:hAnsi="Arial" w:eastAsia="宋体" w:cs="Arial"/>
          <w:i/>
          <w:sz w:val="24"/>
          <w:szCs w:val="24"/>
        </w:rPr>
      </w:pPr>
      <w:r>
        <w:rPr>
          <w:rFonts w:ascii="Arial" w:hAnsi="Arial" w:eastAsia="宋体" w:cs="Arial"/>
          <w:b/>
          <w:sz w:val="24"/>
          <w:szCs w:val="24"/>
        </w:rPr>
        <w:t>暴露量</w:t>
      </w:r>
      <w:r>
        <w:rPr>
          <w:rFonts w:ascii="Arial" w:hAnsi="Arial" w:eastAsia="宋体" w:cs="Arial"/>
          <w:sz w:val="24"/>
          <w:szCs w:val="24"/>
        </w:rPr>
        <w:t>【21 CFR 1020.40（b）（5）】</w:t>
      </w:r>
      <w:r>
        <w:rPr>
          <w:rFonts w:ascii="Arial" w:hAnsi="Arial" w:eastAsia="宋体" w:cs="Arial"/>
          <w:i/>
          <w:sz w:val="24"/>
          <w:szCs w:val="24"/>
        </w:rPr>
        <w:t>表示dQ除以dm的商，其中dQ是当由光子在质量为dm的空气中所释放所有电子（负电子和正电子）完全停止时产生的离子的总电荷的绝对值。</w:t>
      </w:r>
    </w:p>
    <w:p w14:paraId="793207A2">
      <w:pPr>
        <w:pStyle w:val="13"/>
        <w:numPr>
          <w:ilvl w:val="0"/>
          <w:numId w:val="8"/>
        </w:numPr>
        <w:overflowPunct w:val="0"/>
        <w:snapToGrid w:val="0"/>
        <w:spacing w:after="240" w:line="300" w:lineRule="auto"/>
        <w:ind w:left="-420" w:leftChars="-200" w:firstLineChars="0"/>
        <w:rPr>
          <w:rFonts w:ascii="Arial" w:hAnsi="Arial" w:eastAsia="宋体" w:cs="Arial"/>
          <w:i/>
          <w:sz w:val="24"/>
          <w:szCs w:val="24"/>
        </w:rPr>
      </w:pPr>
      <w:r>
        <w:rPr>
          <w:rFonts w:ascii="Arial" w:hAnsi="Arial" w:eastAsia="宋体" w:cs="Arial"/>
          <w:b/>
          <w:sz w:val="24"/>
          <w:szCs w:val="24"/>
        </w:rPr>
        <w:t>外表面</w:t>
      </w:r>
      <w:r>
        <w:rPr>
          <w:rFonts w:ascii="Arial" w:hAnsi="Arial" w:eastAsia="宋体" w:cs="Arial"/>
          <w:sz w:val="24"/>
          <w:szCs w:val="24"/>
        </w:rPr>
        <w:t>【21 CFR 1020.40（b）（6）】</w:t>
      </w:r>
      <w:r>
        <w:rPr>
          <w:rFonts w:ascii="Arial" w:hAnsi="Arial" w:eastAsia="宋体" w:cs="Arial"/>
          <w:i/>
          <w:sz w:val="24"/>
          <w:szCs w:val="24"/>
        </w:rPr>
        <w:t>表示柜式X射线系统的外表面，包括高压发生器、门、检修面板、闩锁、控制旋钮、和其他永久安装的硬件，包括穿过任何开孔或开口的平面。</w:t>
      </w:r>
    </w:p>
    <w:p w14:paraId="0F5BBD3A">
      <w:pPr>
        <w:pStyle w:val="13"/>
        <w:numPr>
          <w:ilvl w:val="0"/>
          <w:numId w:val="8"/>
        </w:numPr>
        <w:overflowPunct w:val="0"/>
        <w:snapToGrid w:val="0"/>
        <w:spacing w:after="240" w:line="300" w:lineRule="auto"/>
        <w:ind w:left="-420" w:leftChars="-200" w:firstLineChars="0"/>
        <w:rPr>
          <w:rFonts w:ascii="Arial" w:hAnsi="Arial" w:eastAsia="宋体" w:cs="Arial"/>
          <w:sz w:val="24"/>
          <w:szCs w:val="24"/>
        </w:rPr>
      </w:pPr>
      <w:r>
        <w:rPr>
          <w:rFonts w:ascii="Arial" w:hAnsi="Arial" w:eastAsia="宋体" w:cs="Arial"/>
          <w:b/>
          <w:sz w:val="24"/>
          <w:szCs w:val="24"/>
        </w:rPr>
        <w:t>地板</w:t>
      </w:r>
      <w:r>
        <w:rPr>
          <w:rFonts w:ascii="Arial" w:hAnsi="Arial" w:eastAsia="宋体" w:cs="Arial"/>
          <w:sz w:val="24"/>
          <w:szCs w:val="24"/>
        </w:rPr>
        <w:t>【21 CFR 1020.40（b）（7）】</w:t>
      </w:r>
      <w:r>
        <w:rPr>
          <w:rFonts w:ascii="Arial" w:hAnsi="Arial" w:eastAsia="宋体" w:cs="Arial"/>
          <w:i/>
          <w:sz w:val="24"/>
          <w:szCs w:val="24"/>
        </w:rPr>
        <w:t>表示机柜的下侧外表面。</w:t>
      </w:r>
    </w:p>
    <w:p w14:paraId="6CFEB221">
      <w:pPr>
        <w:pStyle w:val="13"/>
        <w:numPr>
          <w:ilvl w:val="0"/>
          <w:numId w:val="8"/>
        </w:numPr>
        <w:overflowPunct w:val="0"/>
        <w:snapToGrid w:val="0"/>
        <w:spacing w:after="240" w:line="300" w:lineRule="auto"/>
        <w:ind w:left="-420" w:leftChars="-200" w:firstLineChars="0"/>
        <w:rPr>
          <w:rFonts w:ascii="Arial" w:hAnsi="Arial" w:eastAsia="宋体" w:cs="Arial"/>
          <w:i/>
          <w:sz w:val="24"/>
          <w:szCs w:val="24"/>
        </w:rPr>
      </w:pPr>
      <w:r>
        <w:rPr>
          <w:rFonts w:ascii="Arial" w:hAnsi="Arial" w:eastAsia="宋体" w:cs="Arial"/>
          <w:b/>
          <w:sz w:val="24"/>
          <w:szCs w:val="24"/>
        </w:rPr>
        <w:t>接地故障</w:t>
      </w:r>
      <w:r>
        <w:rPr>
          <w:rFonts w:ascii="Arial" w:hAnsi="Arial" w:eastAsia="宋体" w:cs="Arial"/>
          <w:sz w:val="24"/>
          <w:szCs w:val="24"/>
        </w:rPr>
        <w:t>【21 CFR 1020.40（b）（8）】</w:t>
      </w:r>
      <w:r>
        <w:rPr>
          <w:rFonts w:ascii="Arial" w:hAnsi="Arial" w:eastAsia="宋体" w:cs="Arial"/>
          <w:i/>
          <w:sz w:val="24"/>
          <w:szCs w:val="24"/>
        </w:rPr>
        <w:t>表示电导体意外接地。</w:t>
      </w:r>
    </w:p>
    <w:p w14:paraId="0530DDD4">
      <w:pPr>
        <w:pStyle w:val="13"/>
        <w:numPr>
          <w:ilvl w:val="0"/>
          <w:numId w:val="8"/>
        </w:numPr>
        <w:overflowPunct w:val="0"/>
        <w:snapToGrid w:val="0"/>
        <w:spacing w:after="240" w:line="300" w:lineRule="auto"/>
        <w:ind w:left="-420" w:leftChars="-200" w:firstLineChars="0"/>
        <w:rPr>
          <w:rFonts w:ascii="Arial" w:hAnsi="Arial" w:eastAsia="宋体" w:cs="Arial"/>
          <w:i/>
          <w:sz w:val="24"/>
          <w:szCs w:val="24"/>
        </w:rPr>
      </w:pPr>
      <w:r>
        <w:rPr>
          <w:rFonts w:hint="eastAsia" w:ascii="Arial" w:hAnsi="Arial" w:eastAsia="宋体" w:cs="Arial"/>
          <w:b/>
          <w:sz w:val="24"/>
          <w:szCs w:val="24"/>
        </w:rPr>
        <w:t>端口</w:t>
      </w:r>
      <w:r>
        <w:rPr>
          <w:rFonts w:ascii="Arial" w:hAnsi="Arial" w:eastAsia="宋体" w:cs="Arial"/>
          <w:sz w:val="24"/>
          <w:szCs w:val="24"/>
        </w:rPr>
        <w:t>【21 CFR 1020.40（b）（9）】</w:t>
      </w:r>
      <w:r>
        <w:rPr>
          <w:rFonts w:ascii="Arial" w:hAnsi="Arial" w:eastAsia="宋体" w:cs="Arial"/>
          <w:i/>
          <w:sz w:val="24"/>
          <w:szCs w:val="24"/>
        </w:rPr>
        <w:t>是指柜子的外表面在产生X射线期间保持</w:t>
      </w:r>
      <w:r>
        <w:rPr>
          <w:rFonts w:hint="eastAsia" w:ascii="Arial" w:hAnsi="Arial" w:eastAsia="宋体" w:cs="Arial"/>
          <w:i/>
          <w:sz w:val="24"/>
          <w:szCs w:val="24"/>
        </w:rPr>
        <w:t>打开状态</w:t>
      </w:r>
      <w:r>
        <w:rPr>
          <w:rFonts w:ascii="Arial" w:hAnsi="Arial" w:eastAsia="宋体" w:cs="Arial"/>
          <w:i/>
          <w:sz w:val="24"/>
          <w:szCs w:val="24"/>
        </w:rPr>
        <w:t>的任何开口，用于输送</w:t>
      </w:r>
      <w:r>
        <w:rPr>
          <w:rFonts w:hint="eastAsia" w:ascii="Arial" w:hAnsi="Arial" w:eastAsia="宋体" w:cs="Arial"/>
          <w:i/>
          <w:sz w:val="24"/>
          <w:szCs w:val="24"/>
        </w:rPr>
        <w:t>待</w:t>
      </w:r>
      <w:r>
        <w:rPr>
          <w:rFonts w:ascii="Arial" w:hAnsi="Arial" w:eastAsia="宋体" w:cs="Arial"/>
          <w:i/>
          <w:sz w:val="24"/>
          <w:szCs w:val="24"/>
        </w:rPr>
        <w:t>辐射材料进出机柜，或用于部分插入其尺寸不允许完全插入机柜中的物体进行辐射。</w:t>
      </w:r>
    </w:p>
    <w:p w14:paraId="1DE00478">
      <w:pPr>
        <w:pStyle w:val="13"/>
        <w:numPr>
          <w:ilvl w:val="0"/>
          <w:numId w:val="8"/>
        </w:numPr>
        <w:overflowPunct w:val="0"/>
        <w:snapToGrid w:val="0"/>
        <w:spacing w:after="240" w:line="300" w:lineRule="auto"/>
        <w:ind w:left="-420" w:leftChars="-200" w:firstLineChars="0"/>
        <w:rPr>
          <w:rFonts w:ascii="Arial" w:hAnsi="Arial" w:eastAsia="宋体" w:cs="Arial"/>
          <w:i/>
          <w:sz w:val="24"/>
          <w:szCs w:val="24"/>
        </w:rPr>
      </w:pPr>
      <w:r>
        <w:rPr>
          <w:rFonts w:ascii="Arial" w:hAnsi="Arial" w:eastAsia="宋体" w:cs="Arial"/>
          <w:b/>
          <w:sz w:val="24"/>
          <w:szCs w:val="24"/>
        </w:rPr>
        <w:t>主光束</w:t>
      </w:r>
      <w:r>
        <w:rPr>
          <w:rFonts w:ascii="Arial" w:hAnsi="Arial" w:eastAsia="宋体" w:cs="Arial"/>
          <w:sz w:val="24"/>
          <w:szCs w:val="24"/>
        </w:rPr>
        <w:t>【21 CFR 1020.40（b）中（10）】</w:t>
      </w:r>
      <w:r>
        <w:rPr>
          <w:rFonts w:ascii="Arial" w:hAnsi="Arial" w:eastAsia="宋体" w:cs="Arial"/>
          <w:i/>
          <w:sz w:val="24"/>
          <w:szCs w:val="24"/>
        </w:rPr>
        <w:t>是指直接从目标发出并穿过X射线管的窗口的X射线。</w:t>
      </w:r>
    </w:p>
    <w:p w14:paraId="5659C2F8">
      <w:pPr>
        <w:pStyle w:val="13"/>
        <w:numPr>
          <w:ilvl w:val="0"/>
          <w:numId w:val="8"/>
        </w:numPr>
        <w:overflowPunct w:val="0"/>
        <w:snapToGrid w:val="0"/>
        <w:spacing w:after="240" w:line="300" w:lineRule="auto"/>
        <w:ind w:left="-420" w:leftChars="-200" w:firstLineChars="0"/>
        <w:rPr>
          <w:rFonts w:ascii="Arial" w:hAnsi="Arial" w:eastAsia="宋体" w:cs="Arial"/>
          <w:i/>
          <w:sz w:val="24"/>
          <w:szCs w:val="24"/>
        </w:rPr>
      </w:pPr>
      <w:r>
        <w:rPr>
          <w:rFonts w:ascii="Arial" w:hAnsi="Arial" w:eastAsia="宋体" w:cs="Arial"/>
          <w:b/>
          <w:sz w:val="24"/>
          <w:szCs w:val="24"/>
        </w:rPr>
        <w:t>安全连锁</w:t>
      </w:r>
      <w:r>
        <w:rPr>
          <w:rFonts w:ascii="Arial" w:hAnsi="Arial" w:eastAsia="宋体" w:cs="Arial"/>
          <w:sz w:val="24"/>
          <w:szCs w:val="24"/>
        </w:rPr>
        <w:t>【21 CFR 1020.40（b）（11）】</w:t>
      </w:r>
      <w:r>
        <w:rPr>
          <w:rFonts w:ascii="Arial" w:hAnsi="Arial" w:eastAsia="宋体" w:cs="Arial"/>
          <w:i/>
          <w:sz w:val="24"/>
          <w:szCs w:val="24"/>
        </w:rPr>
        <w:t>是指当通过人体的任何部分通过门或</w:t>
      </w:r>
      <w:r>
        <w:rPr>
          <w:rFonts w:hint="eastAsia" w:ascii="Arial" w:hAnsi="Arial" w:eastAsia="宋体" w:cs="Arial"/>
          <w:i/>
          <w:sz w:val="24"/>
          <w:szCs w:val="24"/>
        </w:rPr>
        <w:t>检修面板</w:t>
      </w:r>
      <w:r>
        <w:rPr>
          <w:rFonts w:ascii="Arial" w:hAnsi="Arial" w:eastAsia="宋体" w:cs="Arial"/>
          <w:i/>
          <w:sz w:val="24"/>
          <w:szCs w:val="24"/>
        </w:rPr>
        <w:t>进入柜式X射线系统的内部时，用于防止产生X射线的装置。</w:t>
      </w:r>
    </w:p>
    <w:p w14:paraId="0DB2B442">
      <w:pPr>
        <w:overflowPunct w:val="0"/>
        <w:snapToGrid w:val="0"/>
        <w:spacing w:after="240" w:line="300" w:lineRule="auto"/>
        <w:rPr>
          <w:rFonts w:ascii="Arial" w:hAnsi="Arial" w:eastAsia="宋体" w:cs="Arial"/>
          <w:sz w:val="24"/>
          <w:szCs w:val="24"/>
        </w:rPr>
      </w:pPr>
      <w:r>
        <w:rPr>
          <w:rFonts w:ascii="Arial" w:hAnsi="Arial" w:eastAsia="宋体" w:cs="Arial"/>
          <w:sz w:val="24"/>
          <w:szCs w:val="24"/>
        </w:rPr>
        <w:t>每个门所需的两个连锁必须满足非常具体的要求（下文讨论）。【21 CFR 1020.40（c）（4）（i）】。</w:t>
      </w:r>
    </w:p>
    <w:p w14:paraId="1BB9F649">
      <w:pPr>
        <w:pStyle w:val="13"/>
        <w:numPr>
          <w:ilvl w:val="0"/>
          <w:numId w:val="8"/>
        </w:numPr>
        <w:overflowPunct w:val="0"/>
        <w:snapToGrid w:val="0"/>
        <w:spacing w:after="240" w:line="300" w:lineRule="auto"/>
        <w:ind w:left="-420" w:leftChars="-200" w:firstLineChars="0"/>
        <w:rPr>
          <w:rFonts w:ascii="Arial" w:hAnsi="Arial" w:eastAsia="宋体" w:cs="Arial"/>
          <w:i/>
          <w:sz w:val="24"/>
          <w:szCs w:val="24"/>
        </w:rPr>
      </w:pPr>
      <w:r>
        <w:rPr>
          <w:rFonts w:ascii="Arial" w:hAnsi="Arial" w:eastAsia="宋体" w:cs="Arial"/>
          <w:b/>
          <w:sz w:val="24"/>
          <w:szCs w:val="24"/>
        </w:rPr>
        <w:t>X射线系统</w:t>
      </w:r>
      <w:r>
        <w:rPr>
          <w:rFonts w:ascii="Arial" w:hAnsi="Arial" w:eastAsia="宋体" w:cs="Arial"/>
          <w:sz w:val="24"/>
          <w:szCs w:val="24"/>
        </w:rPr>
        <w:t>【21 CFR 1020.40（b）（12）】</w:t>
      </w:r>
      <w:r>
        <w:rPr>
          <w:rFonts w:ascii="Arial" w:hAnsi="Arial" w:eastAsia="宋体" w:cs="Arial"/>
          <w:i/>
          <w:sz w:val="24"/>
          <w:szCs w:val="24"/>
        </w:rPr>
        <w:t>表示用于在受控条件下产生X射线的部件组合。</w:t>
      </w:r>
    </w:p>
    <w:p w14:paraId="10111480">
      <w:pPr>
        <w:pStyle w:val="13"/>
        <w:numPr>
          <w:ilvl w:val="0"/>
          <w:numId w:val="8"/>
        </w:numPr>
        <w:overflowPunct w:val="0"/>
        <w:snapToGrid w:val="0"/>
        <w:spacing w:after="240" w:line="300" w:lineRule="auto"/>
        <w:ind w:left="-420" w:leftChars="-200" w:firstLineChars="0"/>
        <w:rPr>
          <w:rFonts w:ascii="Arial" w:hAnsi="Arial" w:eastAsia="宋体" w:cs="Arial"/>
          <w:i/>
          <w:sz w:val="24"/>
          <w:szCs w:val="24"/>
        </w:rPr>
      </w:pPr>
      <w:r>
        <w:rPr>
          <w:rFonts w:ascii="Arial" w:hAnsi="Arial" w:eastAsia="宋体" w:cs="Arial"/>
          <w:b/>
          <w:sz w:val="24"/>
          <w:szCs w:val="24"/>
        </w:rPr>
        <w:t>X射线管</w:t>
      </w:r>
      <w:r>
        <w:rPr>
          <w:rFonts w:ascii="Arial" w:hAnsi="Arial" w:eastAsia="宋体" w:cs="Arial"/>
          <w:sz w:val="24"/>
          <w:szCs w:val="24"/>
        </w:rPr>
        <w:t>【21 CFR 1020.40（b）（13）】</w:t>
      </w:r>
      <w:r>
        <w:rPr>
          <w:rFonts w:ascii="Arial" w:hAnsi="Arial" w:eastAsia="宋体" w:cs="Arial"/>
          <w:i/>
          <w:sz w:val="24"/>
          <w:szCs w:val="24"/>
        </w:rPr>
        <w:t>是指用于将电能转换成X射线能量的各类电子管。</w:t>
      </w:r>
    </w:p>
    <w:p w14:paraId="1BCA7952">
      <w:pPr>
        <w:widowControl/>
        <w:jc w:val="left"/>
        <w:rPr>
          <w:rFonts w:ascii="Arial" w:hAnsi="Arial" w:eastAsia="宋体" w:cs="Arial"/>
          <w:sz w:val="24"/>
          <w:szCs w:val="24"/>
        </w:rPr>
      </w:pPr>
      <w:r>
        <w:rPr>
          <w:rFonts w:ascii="Arial" w:hAnsi="Arial" w:eastAsia="宋体" w:cs="Arial"/>
          <w:sz w:val="24"/>
          <w:szCs w:val="24"/>
        </w:rPr>
        <w:br w:type="page"/>
      </w:r>
    </w:p>
    <w:p w14:paraId="767AE6FF">
      <w:pPr>
        <w:pStyle w:val="13"/>
        <w:numPr>
          <w:ilvl w:val="0"/>
          <w:numId w:val="1"/>
        </w:numPr>
        <w:overflowPunct w:val="0"/>
        <w:snapToGrid w:val="0"/>
        <w:spacing w:after="240" w:line="300" w:lineRule="auto"/>
        <w:ind w:left="357" w:hanging="357" w:firstLineChars="0"/>
        <w:outlineLvl w:val="0"/>
        <w:rPr>
          <w:rFonts w:ascii="Arial" w:hAnsi="Arial" w:eastAsia="宋体" w:cs="Arial"/>
          <w:b/>
          <w:sz w:val="32"/>
          <w:szCs w:val="32"/>
        </w:rPr>
      </w:pPr>
      <w:bookmarkStart w:id="7" w:name="_Toc496890870"/>
      <w:r>
        <w:rPr>
          <w:rFonts w:ascii="Arial" w:hAnsi="Arial" w:eastAsia="宋体" w:cs="Arial"/>
          <w:b/>
          <w:sz w:val="32"/>
          <w:szCs w:val="32"/>
        </w:rPr>
        <w:t>柜式X射线产品制造商要求概述</w:t>
      </w:r>
      <w:bookmarkEnd w:id="7"/>
    </w:p>
    <w:p w14:paraId="741DD228">
      <w:pPr>
        <w:overflowPunct w:val="0"/>
        <w:snapToGrid w:val="0"/>
        <w:spacing w:after="240" w:line="360" w:lineRule="auto"/>
        <w:rPr>
          <w:rFonts w:ascii="Arial" w:hAnsi="Arial" w:eastAsia="宋体" w:cs="Arial"/>
          <w:sz w:val="24"/>
          <w:szCs w:val="24"/>
        </w:rPr>
      </w:pPr>
      <w:r>
        <w:rPr>
          <w:rFonts w:ascii="Arial" w:hAnsi="Arial" w:eastAsia="宋体" w:cs="Arial"/>
          <w:sz w:val="24"/>
          <w:szCs w:val="24"/>
        </w:rPr>
        <w:t>为遵守法案和规定【21 CFR</w:t>
      </w:r>
      <w:r>
        <w:rPr>
          <w:rFonts w:hint="eastAsia" w:ascii="Arial" w:hAnsi="Arial" w:eastAsia="宋体" w:cs="Arial"/>
          <w:sz w:val="24"/>
          <w:szCs w:val="24"/>
        </w:rPr>
        <w:t>第</w:t>
      </w:r>
      <w:r>
        <w:rPr>
          <w:rFonts w:ascii="Arial" w:hAnsi="Arial" w:eastAsia="宋体" w:cs="Arial"/>
          <w:sz w:val="24"/>
          <w:szCs w:val="24"/>
        </w:rPr>
        <w:t>1000 – 1020</w:t>
      </w:r>
      <w:r>
        <w:rPr>
          <w:rFonts w:hint="eastAsia" w:ascii="Arial" w:hAnsi="Arial" w:eastAsia="宋体" w:cs="Arial"/>
          <w:sz w:val="24"/>
          <w:szCs w:val="24"/>
        </w:rPr>
        <w:t>部分</w:t>
      </w:r>
      <w:r>
        <w:rPr>
          <w:rFonts w:ascii="Arial" w:hAnsi="Arial" w:eastAsia="宋体" w:cs="Arial"/>
          <w:sz w:val="24"/>
          <w:szCs w:val="24"/>
        </w:rPr>
        <w:t>】，柜式X射线系统产品的制造商必须：</w:t>
      </w:r>
    </w:p>
    <w:p w14:paraId="3714387A">
      <w:pPr>
        <w:pStyle w:val="13"/>
        <w:numPr>
          <w:ilvl w:val="0"/>
          <w:numId w:val="9"/>
        </w:numPr>
        <w:overflowPunct w:val="0"/>
        <w:snapToGrid w:val="0"/>
        <w:spacing w:after="240" w:line="360" w:lineRule="auto"/>
        <w:ind w:left="851" w:hanging="425" w:firstLineChars="0"/>
        <w:rPr>
          <w:rFonts w:ascii="Arial" w:hAnsi="Arial" w:eastAsia="宋体" w:cs="Arial"/>
          <w:sz w:val="24"/>
          <w:szCs w:val="24"/>
        </w:rPr>
      </w:pPr>
      <w:r>
        <w:rPr>
          <w:rFonts w:ascii="Arial" w:hAnsi="Arial" w:eastAsia="宋体" w:cs="Arial"/>
          <w:sz w:val="24"/>
          <w:szCs w:val="24"/>
        </w:rPr>
        <w:t>设计和制造的产品符合性能标准【21 CFR 1020.40】。</w:t>
      </w:r>
    </w:p>
    <w:p w14:paraId="050E71F4">
      <w:pPr>
        <w:pStyle w:val="13"/>
        <w:numPr>
          <w:ilvl w:val="0"/>
          <w:numId w:val="9"/>
        </w:numPr>
        <w:overflowPunct w:val="0"/>
        <w:snapToGrid w:val="0"/>
        <w:spacing w:after="240" w:line="360" w:lineRule="auto"/>
        <w:ind w:left="851" w:hanging="425" w:firstLineChars="0"/>
        <w:rPr>
          <w:rFonts w:ascii="Arial" w:hAnsi="Arial" w:eastAsia="宋体" w:cs="Arial"/>
          <w:sz w:val="24"/>
          <w:szCs w:val="24"/>
        </w:rPr>
      </w:pPr>
      <w:r>
        <w:rPr>
          <w:rFonts w:ascii="Arial" w:hAnsi="Arial" w:eastAsia="宋体" w:cs="Arial"/>
          <w:sz w:val="24"/>
          <w:szCs w:val="24"/>
        </w:rPr>
        <w:t>对其产品进行测试，确保符合性能标准【21 CFR 1010.2（c）】；该测试应为符合良好生产规范的质量控制和测试计划的要素之一。</w:t>
      </w:r>
    </w:p>
    <w:p w14:paraId="3EE96584">
      <w:pPr>
        <w:pStyle w:val="13"/>
        <w:numPr>
          <w:ilvl w:val="0"/>
          <w:numId w:val="9"/>
        </w:numPr>
        <w:overflowPunct w:val="0"/>
        <w:snapToGrid w:val="0"/>
        <w:spacing w:after="240" w:line="360" w:lineRule="auto"/>
        <w:ind w:left="851" w:hanging="425" w:firstLineChars="0"/>
        <w:rPr>
          <w:rFonts w:ascii="Arial" w:hAnsi="Arial" w:eastAsia="宋体" w:cs="Arial"/>
          <w:sz w:val="24"/>
          <w:szCs w:val="24"/>
        </w:rPr>
      </w:pPr>
      <w:r>
        <w:rPr>
          <w:rFonts w:ascii="Arial" w:hAnsi="Arial" w:eastAsia="宋体" w:cs="Arial"/>
          <w:sz w:val="24"/>
          <w:szCs w:val="24"/>
        </w:rPr>
        <w:t>根据其质量控制和测试程序，证明其产品符合性能标准【21 CFR 1010.2】的要求。</w:t>
      </w:r>
    </w:p>
    <w:p w14:paraId="5DC886E6">
      <w:pPr>
        <w:pStyle w:val="13"/>
        <w:numPr>
          <w:ilvl w:val="0"/>
          <w:numId w:val="9"/>
        </w:numPr>
        <w:overflowPunct w:val="0"/>
        <w:snapToGrid w:val="0"/>
        <w:spacing w:after="240" w:line="360" w:lineRule="auto"/>
        <w:ind w:left="851" w:hanging="425" w:firstLineChars="0"/>
        <w:rPr>
          <w:rFonts w:ascii="Arial" w:hAnsi="Arial" w:eastAsia="宋体" w:cs="Arial"/>
          <w:sz w:val="24"/>
          <w:szCs w:val="24"/>
        </w:rPr>
      </w:pPr>
      <w:r>
        <w:rPr>
          <w:rFonts w:ascii="Arial" w:hAnsi="Arial" w:eastAsia="宋体" w:cs="Arial"/>
          <w:sz w:val="24"/>
          <w:szCs w:val="24"/>
        </w:rPr>
        <w:t>在柜式X射线系统产品【21 CFR 1010.2（b）和1010.3】上永久性粘贴认证和识别标签。</w:t>
      </w:r>
    </w:p>
    <w:p w14:paraId="2BE7B261">
      <w:pPr>
        <w:pStyle w:val="13"/>
        <w:numPr>
          <w:ilvl w:val="0"/>
          <w:numId w:val="9"/>
        </w:numPr>
        <w:overflowPunct w:val="0"/>
        <w:snapToGrid w:val="0"/>
        <w:spacing w:after="240" w:line="360" w:lineRule="auto"/>
        <w:ind w:left="851" w:hanging="425" w:firstLineChars="0"/>
        <w:rPr>
          <w:rFonts w:ascii="Arial" w:hAnsi="Arial" w:eastAsia="宋体" w:cs="Arial"/>
          <w:sz w:val="24"/>
          <w:szCs w:val="24"/>
        </w:rPr>
      </w:pPr>
      <w:r>
        <w:rPr>
          <w:rFonts w:ascii="Arial" w:hAnsi="Arial" w:eastAsia="宋体" w:cs="Arial"/>
          <w:sz w:val="24"/>
          <w:szCs w:val="24"/>
        </w:rPr>
        <w:t>维护和保存测试和销售记录以及关于辐射安全、安全投诉和查询的通信档案【21 CFR 1002.30和1002.31】；</w:t>
      </w:r>
    </w:p>
    <w:p w14:paraId="55D0BA90">
      <w:pPr>
        <w:pStyle w:val="13"/>
        <w:numPr>
          <w:ilvl w:val="0"/>
          <w:numId w:val="9"/>
        </w:numPr>
        <w:overflowPunct w:val="0"/>
        <w:snapToGrid w:val="0"/>
        <w:spacing w:after="240" w:line="360" w:lineRule="auto"/>
        <w:ind w:left="851" w:hanging="425" w:firstLineChars="0"/>
        <w:rPr>
          <w:rFonts w:ascii="Arial" w:hAnsi="Arial" w:eastAsia="宋体" w:cs="Arial"/>
          <w:sz w:val="24"/>
          <w:szCs w:val="24"/>
        </w:rPr>
      </w:pPr>
      <w:r>
        <w:rPr>
          <w:rFonts w:ascii="Arial" w:hAnsi="Arial" w:eastAsia="宋体" w:cs="Arial"/>
          <w:sz w:val="24"/>
          <w:szCs w:val="24"/>
        </w:rPr>
        <w:t>向器械和放射卫生中心（CDRH）提供柜式X射线产品报告【21 CFR 1002.10】，描述产品设计、质量控制和测试程序的合规性。</w:t>
      </w:r>
    </w:p>
    <w:p w14:paraId="5550107E">
      <w:pPr>
        <w:pStyle w:val="13"/>
        <w:numPr>
          <w:ilvl w:val="0"/>
          <w:numId w:val="9"/>
        </w:numPr>
        <w:overflowPunct w:val="0"/>
        <w:snapToGrid w:val="0"/>
        <w:spacing w:after="240" w:line="360" w:lineRule="auto"/>
        <w:ind w:left="851" w:hanging="425" w:firstLineChars="0"/>
        <w:rPr>
          <w:rFonts w:ascii="Arial" w:hAnsi="Arial" w:eastAsia="宋体" w:cs="Arial"/>
          <w:sz w:val="24"/>
          <w:szCs w:val="24"/>
        </w:rPr>
      </w:pPr>
      <w:r>
        <w:rPr>
          <w:rFonts w:ascii="Arial" w:hAnsi="Arial" w:eastAsia="宋体" w:cs="Arial"/>
          <w:sz w:val="24"/>
          <w:szCs w:val="24"/>
        </w:rPr>
        <w:t>向CDRH提供测试数据和记录汇总的年度报告【21 CFR 1002.13】；</w:t>
      </w:r>
    </w:p>
    <w:p w14:paraId="32B81C1B">
      <w:pPr>
        <w:pStyle w:val="13"/>
        <w:numPr>
          <w:ilvl w:val="0"/>
          <w:numId w:val="9"/>
        </w:numPr>
        <w:overflowPunct w:val="0"/>
        <w:snapToGrid w:val="0"/>
        <w:spacing w:after="240" w:line="360" w:lineRule="auto"/>
        <w:ind w:left="851" w:hanging="425" w:firstLineChars="0"/>
        <w:rPr>
          <w:rFonts w:ascii="Arial" w:hAnsi="Arial" w:eastAsia="宋体" w:cs="Arial"/>
          <w:sz w:val="24"/>
          <w:szCs w:val="24"/>
        </w:rPr>
      </w:pPr>
      <w:r>
        <w:rPr>
          <w:rFonts w:ascii="Arial" w:hAnsi="Arial" w:eastAsia="宋体" w:cs="Arial"/>
          <w:sz w:val="24"/>
          <w:szCs w:val="24"/>
        </w:rPr>
        <w:t>当有合理理由怀疑事件发生时，报告该偶然</w:t>
      </w:r>
      <w:r>
        <w:rPr>
          <w:rFonts w:hint="eastAsia" w:ascii="Arial" w:hAnsi="Arial" w:eastAsia="宋体" w:cs="Arial"/>
          <w:sz w:val="24"/>
          <w:szCs w:val="24"/>
        </w:rPr>
        <w:t>性</w:t>
      </w:r>
      <w:r>
        <w:rPr>
          <w:rFonts w:ascii="Arial" w:hAnsi="Arial" w:eastAsia="宋体" w:cs="Arial"/>
          <w:sz w:val="24"/>
          <w:szCs w:val="24"/>
        </w:rPr>
        <w:t>辐射事件（即已造成损害或可能有害的暴露情况）。【21 CFR 1000.3（a）和1002.20】；</w:t>
      </w:r>
    </w:p>
    <w:p w14:paraId="136FF6C7">
      <w:pPr>
        <w:pStyle w:val="13"/>
        <w:numPr>
          <w:ilvl w:val="0"/>
          <w:numId w:val="9"/>
        </w:numPr>
        <w:overflowPunct w:val="0"/>
        <w:snapToGrid w:val="0"/>
        <w:spacing w:after="240" w:line="360" w:lineRule="auto"/>
        <w:ind w:left="851" w:hanging="425" w:firstLineChars="0"/>
        <w:rPr>
          <w:rFonts w:ascii="Arial" w:hAnsi="Arial" w:eastAsia="宋体" w:cs="Arial"/>
          <w:sz w:val="24"/>
          <w:szCs w:val="24"/>
        </w:rPr>
      </w:pPr>
      <w:r>
        <w:rPr>
          <w:rFonts w:ascii="Arial" w:hAnsi="Arial" w:eastAsia="宋体" w:cs="Arial"/>
          <w:sz w:val="24"/>
          <w:szCs w:val="24"/>
        </w:rPr>
        <w:t>报告辐射安全缺陷或不符合性能标准的情况【21 CFR 1003.10】；</w:t>
      </w:r>
    </w:p>
    <w:p w14:paraId="3D769E89">
      <w:pPr>
        <w:pStyle w:val="13"/>
        <w:numPr>
          <w:ilvl w:val="0"/>
          <w:numId w:val="9"/>
        </w:numPr>
        <w:overflowPunct w:val="0"/>
        <w:snapToGrid w:val="0"/>
        <w:spacing w:after="240" w:line="360" w:lineRule="auto"/>
        <w:ind w:left="851" w:hanging="425" w:firstLineChars="0"/>
        <w:rPr>
          <w:rFonts w:ascii="Arial" w:hAnsi="Arial" w:eastAsia="宋体" w:cs="Arial"/>
          <w:sz w:val="24"/>
          <w:szCs w:val="24"/>
        </w:rPr>
      </w:pPr>
      <w:r>
        <w:rPr>
          <w:rFonts w:ascii="Arial" w:hAnsi="Arial" w:eastAsia="宋体" w:cs="Arial"/>
          <w:sz w:val="24"/>
          <w:szCs w:val="24"/>
        </w:rPr>
        <w:t>召回（回购/退款，修理或更换）具有辐射安全缺陷或不符合性能标准的产品【21 CFR 1004】。</w:t>
      </w:r>
    </w:p>
    <w:p w14:paraId="1EB51CE7">
      <w:pPr>
        <w:pStyle w:val="13"/>
        <w:numPr>
          <w:ilvl w:val="0"/>
          <w:numId w:val="9"/>
        </w:numPr>
        <w:overflowPunct w:val="0"/>
        <w:snapToGrid w:val="0"/>
        <w:spacing w:after="240" w:line="360" w:lineRule="auto"/>
        <w:ind w:left="851" w:hanging="425" w:firstLineChars="0"/>
        <w:rPr>
          <w:rFonts w:ascii="Arial" w:hAnsi="Arial" w:eastAsia="宋体" w:cs="Arial"/>
          <w:sz w:val="24"/>
          <w:szCs w:val="24"/>
        </w:rPr>
      </w:pPr>
      <w:r>
        <w:rPr>
          <w:rFonts w:ascii="Arial" w:hAnsi="Arial" w:eastAsia="宋体" w:cs="Arial"/>
          <w:sz w:val="24"/>
          <w:szCs w:val="24"/>
        </w:rPr>
        <w:t>所有标签、报告、数据、</w:t>
      </w:r>
      <w:r>
        <w:rPr>
          <w:rFonts w:hint="eastAsia" w:ascii="Arial" w:hAnsi="Arial" w:eastAsia="宋体" w:cs="Arial"/>
          <w:sz w:val="24"/>
          <w:szCs w:val="24"/>
        </w:rPr>
        <w:t>规范</w:t>
      </w:r>
      <w:r>
        <w:rPr>
          <w:rFonts w:ascii="Arial" w:hAnsi="Arial" w:eastAsia="宋体" w:cs="Arial"/>
          <w:sz w:val="24"/>
          <w:szCs w:val="24"/>
        </w:rPr>
        <w:t>和信件应提供英文版本【21 CFR 1010.2（b）和1010.3（a）】。</w:t>
      </w:r>
    </w:p>
    <w:p w14:paraId="3856902C">
      <w:pPr>
        <w:pStyle w:val="13"/>
        <w:numPr>
          <w:ilvl w:val="0"/>
          <w:numId w:val="9"/>
        </w:numPr>
        <w:overflowPunct w:val="0"/>
        <w:snapToGrid w:val="0"/>
        <w:spacing w:after="240" w:line="360" w:lineRule="auto"/>
        <w:ind w:left="851" w:hanging="425" w:firstLineChars="0"/>
        <w:rPr>
          <w:rFonts w:ascii="Arial" w:hAnsi="Arial" w:eastAsia="宋体" w:cs="Arial"/>
          <w:sz w:val="24"/>
          <w:szCs w:val="24"/>
        </w:rPr>
      </w:pPr>
      <w:r>
        <w:rPr>
          <w:rFonts w:ascii="Arial" w:hAnsi="Arial" w:eastAsia="宋体" w:cs="Arial"/>
          <w:sz w:val="24"/>
          <w:szCs w:val="24"/>
        </w:rPr>
        <w:t>另外，柜式X射线系统中使用的阴极射线管（CRT）视频监视器应经过认证，以符合电视接收器产品【21 CFR 1020.10】的联邦辐射安全性能标准要求。</w:t>
      </w:r>
    </w:p>
    <w:p w14:paraId="68778B41">
      <w:pPr>
        <w:pStyle w:val="13"/>
        <w:numPr>
          <w:ilvl w:val="0"/>
          <w:numId w:val="9"/>
        </w:numPr>
        <w:overflowPunct w:val="0"/>
        <w:snapToGrid w:val="0"/>
        <w:spacing w:after="240" w:line="360" w:lineRule="auto"/>
        <w:ind w:left="851" w:hanging="425" w:firstLineChars="0"/>
        <w:rPr>
          <w:rFonts w:ascii="Arial" w:hAnsi="Arial" w:eastAsia="宋体" w:cs="Arial"/>
          <w:sz w:val="24"/>
          <w:szCs w:val="24"/>
        </w:rPr>
      </w:pPr>
      <w:r>
        <w:rPr>
          <w:rFonts w:ascii="Arial" w:hAnsi="Arial" w:eastAsia="宋体" w:cs="Arial"/>
          <w:sz w:val="24"/>
          <w:szCs w:val="24"/>
        </w:rPr>
        <w:t>如果原始制造商不在美国，则应在美国指定</w:t>
      </w:r>
      <w:r>
        <w:rPr>
          <w:rFonts w:hint="eastAsia" w:ascii="Arial" w:hAnsi="Arial" w:eastAsia="宋体" w:cs="Arial"/>
          <w:sz w:val="24"/>
          <w:szCs w:val="24"/>
        </w:rPr>
        <w:t>一个</w:t>
      </w:r>
      <w:r>
        <w:rPr>
          <w:rFonts w:ascii="Arial" w:hAnsi="Arial" w:eastAsia="宋体" w:cs="Arial"/>
          <w:sz w:val="24"/>
          <w:szCs w:val="24"/>
        </w:rPr>
        <w:t>代理商【21 CFR 1005.25】</w:t>
      </w:r>
    </w:p>
    <w:p w14:paraId="58CE2840">
      <w:pPr>
        <w:overflowPunct w:val="0"/>
        <w:snapToGrid w:val="0"/>
        <w:spacing w:after="240" w:line="360" w:lineRule="auto"/>
        <w:rPr>
          <w:rFonts w:ascii="Arial" w:hAnsi="Arial" w:eastAsia="宋体" w:cs="Arial"/>
          <w:sz w:val="24"/>
          <w:szCs w:val="24"/>
        </w:rPr>
      </w:pPr>
      <w:r>
        <w:rPr>
          <w:rFonts w:ascii="Arial" w:hAnsi="Arial" w:eastAsia="宋体" w:cs="Arial"/>
          <w:sz w:val="24"/>
          <w:szCs w:val="24"/>
        </w:rPr>
        <w:t>上述要求的细节在本文件的其他部分进行了讨论。</w:t>
      </w:r>
    </w:p>
    <w:p w14:paraId="77EB170F">
      <w:pPr>
        <w:pStyle w:val="13"/>
        <w:numPr>
          <w:ilvl w:val="0"/>
          <w:numId w:val="1"/>
        </w:numPr>
        <w:overflowPunct w:val="0"/>
        <w:snapToGrid w:val="0"/>
        <w:spacing w:after="240" w:line="300" w:lineRule="auto"/>
        <w:ind w:left="357" w:hanging="357" w:firstLineChars="0"/>
        <w:outlineLvl w:val="0"/>
        <w:rPr>
          <w:rFonts w:ascii="Arial" w:hAnsi="Arial" w:eastAsia="宋体" w:cs="Arial"/>
          <w:b/>
          <w:sz w:val="32"/>
          <w:szCs w:val="32"/>
        </w:rPr>
      </w:pPr>
      <w:bookmarkStart w:id="8" w:name="_Toc496890871"/>
      <w:r>
        <w:rPr>
          <w:rFonts w:ascii="Arial" w:hAnsi="Arial" w:eastAsia="宋体" w:cs="Arial"/>
          <w:b/>
          <w:sz w:val="32"/>
          <w:szCs w:val="32"/>
        </w:rPr>
        <w:t>联邦辐射安全一般性能标准要求</w:t>
      </w:r>
      <w:bookmarkEnd w:id="8"/>
    </w:p>
    <w:p w14:paraId="10668F5A">
      <w:pPr>
        <w:overflowPunct w:val="0"/>
        <w:snapToGrid w:val="0"/>
        <w:spacing w:after="240" w:line="360" w:lineRule="auto"/>
        <w:rPr>
          <w:rFonts w:ascii="Arial" w:hAnsi="Arial" w:eastAsia="宋体" w:cs="Arial"/>
          <w:sz w:val="24"/>
          <w:szCs w:val="24"/>
        </w:rPr>
      </w:pPr>
      <w:r>
        <w:rPr>
          <w:rFonts w:ascii="Arial" w:hAnsi="Arial" w:eastAsia="宋体" w:cs="Arial"/>
          <w:sz w:val="24"/>
          <w:szCs w:val="24"/>
        </w:rPr>
        <w:t>电子产品的一般性能标准【21 CFR</w:t>
      </w:r>
      <w:r>
        <w:rPr>
          <w:rFonts w:hint="eastAsia" w:ascii="Arial" w:hAnsi="Arial" w:eastAsia="宋体" w:cs="Arial"/>
          <w:sz w:val="24"/>
          <w:szCs w:val="24"/>
        </w:rPr>
        <w:t>第</w:t>
      </w:r>
      <w:r>
        <w:rPr>
          <w:rFonts w:ascii="Arial" w:hAnsi="Arial" w:eastAsia="宋体" w:cs="Arial"/>
          <w:sz w:val="24"/>
          <w:szCs w:val="24"/>
        </w:rPr>
        <w:t>1010</w:t>
      </w:r>
      <w:r>
        <w:rPr>
          <w:rFonts w:hint="eastAsia" w:ascii="Arial" w:hAnsi="Arial" w:eastAsia="宋体" w:cs="Arial"/>
          <w:sz w:val="24"/>
          <w:szCs w:val="24"/>
        </w:rPr>
        <w:t>部分</w:t>
      </w:r>
      <w:r>
        <w:rPr>
          <w:rFonts w:ascii="Arial" w:hAnsi="Arial" w:eastAsia="宋体" w:cs="Arial"/>
          <w:sz w:val="24"/>
          <w:szCs w:val="24"/>
        </w:rPr>
        <w:t>】适用于柜式X射线系统，因为柜式X射线系统适用特定的性能标准【21 CFR 1020.40】。一般标准包含了对符合特定标准的制造商的认证要求以及产品识别要求。一般标准还包含关于具体标准的变化和豁免的规定。</w:t>
      </w:r>
    </w:p>
    <w:p w14:paraId="499621E6">
      <w:pPr>
        <w:overflowPunct w:val="0"/>
        <w:snapToGrid w:val="0"/>
        <w:spacing w:line="360" w:lineRule="auto"/>
        <w:rPr>
          <w:rFonts w:ascii="Arial" w:hAnsi="Arial" w:eastAsia="宋体" w:cs="Arial"/>
          <w:sz w:val="24"/>
          <w:szCs w:val="24"/>
        </w:rPr>
      </w:pPr>
      <w:r>
        <w:rPr>
          <w:rFonts w:ascii="Arial" w:hAnsi="Arial" w:eastAsia="宋体" w:cs="Arial"/>
          <w:b/>
          <w:sz w:val="24"/>
          <w:szCs w:val="24"/>
        </w:rPr>
        <w:t>认证</w:t>
      </w:r>
      <w:r>
        <w:rPr>
          <w:rFonts w:ascii="Arial" w:hAnsi="Arial" w:eastAsia="宋体" w:cs="Arial"/>
          <w:sz w:val="24"/>
          <w:szCs w:val="24"/>
        </w:rPr>
        <w:t>【21 CFR 1010.2】</w:t>
      </w:r>
    </w:p>
    <w:p w14:paraId="1F9F42DB">
      <w:pPr>
        <w:overflowPunct w:val="0"/>
        <w:snapToGrid w:val="0"/>
        <w:spacing w:after="240" w:line="360" w:lineRule="auto"/>
        <w:rPr>
          <w:rFonts w:ascii="Arial" w:hAnsi="Arial" w:eastAsia="宋体" w:cs="Arial"/>
          <w:i/>
          <w:sz w:val="24"/>
          <w:szCs w:val="24"/>
        </w:rPr>
      </w:pPr>
      <w:r>
        <w:rPr>
          <w:rFonts w:ascii="Arial" w:hAnsi="Arial" w:eastAsia="宋体" w:cs="Arial"/>
          <w:i/>
          <w:sz w:val="24"/>
          <w:szCs w:val="24"/>
        </w:rPr>
        <w:t>（a）适用本章节部分所颁布标准的电子产品制造商应在交付该产品时向零售商或经销商提供该产品符合本分类下的所有适用标准的认证。</w:t>
      </w:r>
    </w:p>
    <w:p w14:paraId="3BD49E48">
      <w:pPr>
        <w:overflowPunct w:val="0"/>
        <w:snapToGrid w:val="0"/>
        <w:spacing w:after="240" w:line="360" w:lineRule="auto"/>
        <w:rPr>
          <w:rFonts w:ascii="Arial" w:hAnsi="Arial" w:eastAsia="宋体" w:cs="Arial"/>
          <w:i/>
          <w:sz w:val="24"/>
          <w:szCs w:val="24"/>
        </w:rPr>
      </w:pPr>
      <w:r>
        <w:rPr>
          <w:rFonts w:ascii="Arial" w:hAnsi="Arial" w:eastAsia="宋体" w:cs="Arial"/>
          <w:i/>
          <w:sz w:val="24"/>
          <w:szCs w:val="24"/>
        </w:rPr>
        <w:t>（b）除非适用的标准规定了其他类型的认证形式，否则认证应采用永久固定在该产品上的标签或标记的形式，以便在产品组装完成提供使用时保持清晰、易读。所有这些标签或标记应使用英文。</w:t>
      </w:r>
    </w:p>
    <w:p w14:paraId="46DF6C59">
      <w:pPr>
        <w:overflowPunct w:val="0"/>
        <w:snapToGrid w:val="0"/>
        <w:spacing w:after="240" w:line="360" w:lineRule="auto"/>
        <w:rPr>
          <w:rFonts w:ascii="Arial" w:hAnsi="Arial" w:eastAsia="宋体" w:cs="Arial"/>
          <w:i/>
          <w:sz w:val="24"/>
          <w:szCs w:val="24"/>
        </w:rPr>
      </w:pPr>
      <w:r>
        <w:rPr>
          <w:rFonts w:ascii="Arial" w:hAnsi="Arial" w:eastAsia="宋体" w:cs="Arial"/>
          <w:i/>
          <w:sz w:val="24"/>
          <w:szCs w:val="24"/>
        </w:rPr>
        <w:t>（c）按照标准，此类认证应根据标签所对应的单个物品，或以符合良好生产规范的测试程序进行测试。如果某项测试不能确保对危险的电子产品辐射的安全防范，或者不能保证电子产品符合本章规定的标准，则器械和放射卫生中心主任可能不会</w:t>
      </w:r>
      <w:r>
        <w:rPr>
          <w:rFonts w:hint="eastAsia" w:ascii="Arial" w:hAnsi="Arial" w:eastAsia="宋体" w:cs="Arial"/>
          <w:i/>
          <w:sz w:val="24"/>
          <w:szCs w:val="24"/>
        </w:rPr>
        <w:t>批准</w:t>
      </w:r>
      <w:r>
        <w:rPr>
          <w:rFonts w:ascii="Arial" w:hAnsi="Arial" w:eastAsia="宋体" w:cs="Arial"/>
          <w:i/>
          <w:sz w:val="24"/>
          <w:szCs w:val="24"/>
        </w:rPr>
        <w:t>该测试计划。</w:t>
      </w:r>
    </w:p>
    <w:p w14:paraId="24241057">
      <w:pPr>
        <w:overflowPunct w:val="0"/>
        <w:snapToGrid w:val="0"/>
        <w:spacing w:after="240" w:line="360" w:lineRule="auto"/>
        <w:rPr>
          <w:rFonts w:ascii="Arial" w:hAnsi="Arial" w:eastAsia="宋体" w:cs="Arial"/>
          <w:sz w:val="24"/>
          <w:szCs w:val="24"/>
        </w:rPr>
      </w:pPr>
      <w:r>
        <w:rPr>
          <w:rFonts w:ascii="Arial" w:hAnsi="Arial" w:eastAsia="宋体" w:cs="Arial"/>
          <w:sz w:val="24"/>
          <w:szCs w:val="24"/>
        </w:rPr>
        <w:t>柜式X射线系统产品的制造商必须证明其产品符合性能标准【21 CFR 1020.40】的所有适用要求。认证必须采用永久固定在柜式X射线产品上的标签或标记的形式，并且必须清晰可读，用英文书写，并且在产品完成组装时可以方便查看。该认证必须基于按照良好生产规范实施的质量控制和测试计划。此外，必须在交货时向零售商或经销商提供认证。</w:t>
      </w:r>
      <w:r>
        <w:rPr>
          <w:rFonts w:ascii="Arial" w:hAnsi="Arial" w:eastAsia="宋体" w:cs="Arial"/>
          <w:sz w:val="24"/>
          <w:szCs w:val="24"/>
        </w:rPr>
        <w:br w:type="page"/>
      </w:r>
    </w:p>
    <w:p w14:paraId="0F9B188C">
      <w:pPr>
        <w:overflowPunct w:val="0"/>
        <w:snapToGrid w:val="0"/>
        <w:spacing w:after="240" w:line="300" w:lineRule="auto"/>
        <w:rPr>
          <w:rFonts w:ascii="Arial" w:hAnsi="Arial" w:eastAsia="宋体" w:cs="Arial"/>
          <w:sz w:val="24"/>
          <w:szCs w:val="24"/>
        </w:rPr>
      </w:pPr>
      <w:r>
        <w:rPr>
          <w:rFonts w:ascii="Arial" w:hAnsi="Arial" w:eastAsia="宋体" w:cs="Arial"/>
          <w:sz w:val="24"/>
          <w:szCs w:val="24"/>
        </w:rPr>
        <w:t>认证标签必须包含产品符合适用性能标准的声明。规定</w:t>
      </w:r>
      <w:r>
        <w:rPr>
          <w:rFonts w:hint="eastAsia" w:ascii="Arial" w:hAnsi="Arial" w:eastAsia="宋体" w:cs="Arial"/>
          <w:sz w:val="24"/>
          <w:szCs w:val="24"/>
        </w:rPr>
        <w:t>对</w:t>
      </w:r>
      <w:r>
        <w:rPr>
          <w:rFonts w:ascii="Arial" w:hAnsi="Arial" w:eastAsia="宋体" w:cs="Arial"/>
          <w:sz w:val="24"/>
          <w:szCs w:val="24"/>
        </w:rPr>
        <w:t>认证声明的具体措辞</w:t>
      </w:r>
      <w:r>
        <w:rPr>
          <w:rFonts w:hint="eastAsia" w:ascii="Arial" w:hAnsi="Arial" w:eastAsia="宋体" w:cs="Arial"/>
          <w:sz w:val="24"/>
          <w:szCs w:val="24"/>
        </w:rPr>
        <w:t>未作要求</w:t>
      </w:r>
      <w:r>
        <w:rPr>
          <w:rFonts w:ascii="Arial" w:hAnsi="Arial" w:eastAsia="宋体" w:cs="Arial"/>
          <w:sz w:val="24"/>
          <w:szCs w:val="24"/>
        </w:rPr>
        <w:t>。关于符合性能标准的标签应保持清晰。</w:t>
      </w:r>
    </w:p>
    <w:p w14:paraId="4C095EFE">
      <w:pPr>
        <w:overflowPunct w:val="0"/>
        <w:snapToGrid w:val="0"/>
        <w:spacing w:after="240" w:line="300" w:lineRule="auto"/>
        <w:rPr>
          <w:rFonts w:ascii="Arial" w:hAnsi="Arial" w:eastAsia="宋体" w:cs="Arial"/>
          <w:sz w:val="24"/>
          <w:szCs w:val="24"/>
        </w:rPr>
      </w:pPr>
      <w:r>
        <w:rPr>
          <w:rFonts w:ascii="Arial" w:hAnsi="Arial" w:eastAsia="宋体" w:cs="Arial"/>
          <w:sz w:val="24"/>
          <w:szCs w:val="24"/>
        </w:rPr>
        <w:t>FDA不负责柜式X射线产品符合性能标准的批准工作。认证是制造商针对其产品符合柜式X射线辐射安全性能标准【21 CFR 1020.40】和一般性能标准【21 CFR</w:t>
      </w:r>
      <w:r>
        <w:rPr>
          <w:rFonts w:hint="eastAsia" w:ascii="Arial" w:hAnsi="Arial" w:eastAsia="宋体" w:cs="Arial"/>
          <w:sz w:val="24"/>
          <w:szCs w:val="24"/>
        </w:rPr>
        <w:t>第</w:t>
      </w:r>
      <w:r>
        <w:rPr>
          <w:rFonts w:ascii="Arial" w:hAnsi="Arial" w:eastAsia="宋体" w:cs="Arial"/>
          <w:sz w:val="24"/>
          <w:szCs w:val="24"/>
        </w:rPr>
        <w:t>1010</w:t>
      </w:r>
      <w:r>
        <w:rPr>
          <w:rFonts w:hint="eastAsia" w:ascii="Arial" w:hAnsi="Arial" w:eastAsia="宋体" w:cs="Arial"/>
          <w:sz w:val="24"/>
          <w:szCs w:val="24"/>
        </w:rPr>
        <w:t>部分</w:t>
      </w:r>
      <w:r>
        <w:rPr>
          <w:rFonts w:ascii="Arial" w:hAnsi="Arial" w:eastAsia="宋体" w:cs="Arial"/>
          <w:sz w:val="24"/>
          <w:szCs w:val="24"/>
        </w:rPr>
        <w:t>】的所有适用要求的声明。制造商应负责确保，在其所知范围内该认证为真实的。这种认证声明必须基于质量控制和测试程序，并证明所生产的每个产品均符合适用的标准。</w:t>
      </w:r>
    </w:p>
    <w:p w14:paraId="4AF8DB1D">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如果批准制造商的质量控制和测试计划不能保证符合性能标准，则FDA可以不批准该质量控制和测试计划。因为认证必须基于能够证明该产品符合标准的测试或检测项目，因此如果其质量控制和测试程序不被批准，则制造商无法对其产品进行认证。因此，如果FDA不批准质量控制和测试计划，制造商就无法合法销售其产品。</w:t>
      </w:r>
    </w:p>
    <w:p w14:paraId="785B02BE">
      <w:pPr>
        <w:overflowPunct w:val="0"/>
        <w:snapToGrid w:val="0"/>
        <w:spacing w:after="240" w:line="300" w:lineRule="auto"/>
        <w:rPr>
          <w:rFonts w:ascii="Arial" w:hAnsi="Arial" w:eastAsia="宋体" w:cs="Arial"/>
          <w:sz w:val="24"/>
          <w:szCs w:val="24"/>
        </w:rPr>
      </w:pPr>
      <w:r>
        <w:rPr>
          <w:rFonts w:hint="eastAsia" w:ascii="Arial" w:hAnsi="Arial" w:eastAsia="宋体" w:cs="Arial"/>
          <w:b/>
          <w:sz w:val="24"/>
          <w:szCs w:val="24"/>
        </w:rPr>
        <w:t>标识</w:t>
      </w:r>
      <w:r>
        <w:rPr>
          <w:rFonts w:ascii="Arial" w:hAnsi="Arial" w:eastAsia="宋体" w:cs="Arial"/>
          <w:sz w:val="24"/>
          <w:szCs w:val="24"/>
        </w:rPr>
        <w:t>【21 CFR 1010.3】</w:t>
      </w:r>
    </w:p>
    <w:p w14:paraId="50A05782">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（a）适用本标准的电子产品的制造商应列出本节（a）（1）和（2）中规定的信息。该信息</w:t>
      </w:r>
      <w:bookmarkStart w:id="9" w:name="OLE_LINK1"/>
      <w:r>
        <w:rPr>
          <w:rFonts w:ascii="Arial" w:hAnsi="Arial" w:eastAsia="宋体" w:cs="Arial"/>
          <w:i/>
          <w:sz w:val="24"/>
          <w:szCs w:val="24"/>
        </w:rPr>
        <w:t>应以永久固定或铭刻在该产品上的标签或标记的形式</w:t>
      </w:r>
      <w:bookmarkEnd w:id="9"/>
      <w:r>
        <w:rPr>
          <w:rFonts w:ascii="Arial" w:hAnsi="Arial" w:eastAsia="宋体" w:cs="Arial"/>
          <w:i/>
          <w:sz w:val="24"/>
          <w:szCs w:val="24"/>
        </w:rPr>
        <w:t>提供，以便在产品完全组装使用时，或按照适用规定所描述的其他方式使用时，方便阅读和查看。除本条（a）（1）部分授权的外文等效缩写外，所有此类标签或标记均应为英文。</w:t>
      </w:r>
    </w:p>
    <w:p w14:paraId="58A2B852">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a）（1）产品制造商的全名和地址；可以使用诸如“Co.”“Inc.”的缩写或其他外文等效缩写，也可以使用个人的姓名或中间名缩写。如果产品以产品制造商以外的名义出售，只要该个人或公司为已有记录的经销商，且器械和放射卫生中心有足够的信息来识别该产品的制造商，则可以提供负责销售该产品的个人或公司的全名和地址。</w:t>
      </w:r>
    </w:p>
    <w:p w14:paraId="3409D382">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（a）（2）生产地点和年份：</w:t>
      </w:r>
    </w:p>
    <w:p w14:paraId="4C516531">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（i）如果制造商先前曾向器械和放射卫生中心主任提供其地区代码，则生产地点可以以代码的形式提供。</w:t>
      </w:r>
    </w:p>
    <w:p w14:paraId="3AE40341">
      <w:pPr>
        <w:widowControl/>
        <w:jc w:val="left"/>
        <w:rPr>
          <w:rFonts w:ascii="Arial" w:hAnsi="Arial" w:eastAsia="宋体" w:cs="Arial"/>
          <w:i/>
          <w:sz w:val="24"/>
          <w:szCs w:val="24"/>
        </w:rPr>
      </w:pPr>
      <w:r>
        <w:rPr>
          <w:rFonts w:ascii="Arial" w:hAnsi="Arial" w:eastAsia="宋体" w:cs="Arial"/>
          <w:i/>
          <w:sz w:val="24"/>
          <w:szCs w:val="24"/>
        </w:rPr>
        <w:br w:type="page"/>
      </w:r>
    </w:p>
    <w:p w14:paraId="4FF276F9">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（ii）应清楚明确地提供生产的月份和年份，无缩写，年份应按照以下格式的4位数字提供：</w:t>
      </w:r>
    </w:p>
    <w:p w14:paraId="3FB0D5C8">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生产日期：（插入月份和生产年份）</w:t>
      </w:r>
    </w:p>
    <w:p w14:paraId="595D744C">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（b）如果该产品不适合根据本条（a）项所规定的方式附加标识标签，则在制造商提出申请后，器械和放射卫生中心主任可以批准标识的替代方法。</w:t>
      </w:r>
    </w:p>
    <w:p w14:paraId="71435BAD">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（c）适用本标准的电子产品的制造商应向器械和放射卫生中心主任提供一份列出适用于产品的每个品牌名称，以负责该品牌下每个产品制造的个人或公司的全名和地址。</w:t>
      </w:r>
    </w:p>
    <w:p w14:paraId="4B4D1DA9">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制造商必须在其柜式X射线系统上提供应以永久固定或铭刻在该产品上的标签或标记的形式的标识信息。这些信息必须清晰可读，用英文写成，并且在产品完全组装时可以随时查看。</w:t>
      </w:r>
      <w:r>
        <w:rPr>
          <w:rFonts w:hint="eastAsia" w:ascii="Arial" w:hAnsi="Arial" w:eastAsia="宋体" w:cs="Arial"/>
          <w:sz w:val="24"/>
          <w:szCs w:val="24"/>
        </w:rPr>
        <w:t>标识</w:t>
      </w:r>
      <w:r>
        <w:rPr>
          <w:rFonts w:ascii="Arial" w:hAnsi="Arial" w:eastAsia="宋体" w:cs="Arial"/>
          <w:sz w:val="24"/>
          <w:szCs w:val="24"/>
        </w:rPr>
        <w:t>信息必须包括：</w:t>
      </w:r>
    </w:p>
    <w:p w14:paraId="5451C510">
      <w:pPr>
        <w:pStyle w:val="13"/>
        <w:numPr>
          <w:ilvl w:val="0"/>
          <w:numId w:val="10"/>
        </w:numPr>
        <w:overflowPunct w:val="0"/>
        <w:snapToGrid w:val="0"/>
        <w:spacing w:line="300" w:lineRule="auto"/>
        <w:ind w:left="784" w:hanging="406" w:firstLineChars="0"/>
        <w:rPr>
          <w:rFonts w:ascii="Arial" w:hAnsi="Arial" w:eastAsia="宋体" w:cs="Arial"/>
          <w:sz w:val="24"/>
          <w:szCs w:val="24"/>
        </w:rPr>
      </w:pPr>
      <w:r>
        <w:rPr>
          <w:rFonts w:ascii="Arial" w:hAnsi="Arial" w:eastAsia="宋体" w:cs="Arial"/>
          <w:sz w:val="24"/>
          <w:szCs w:val="24"/>
        </w:rPr>
        <w:t>制造商的全名和地址。</w:t>
      </w:r>
    </w:p>
    <w:p w14:paraId="6001D0E0">
      <w:pPr>
        <w:pStyle w:val="13"/>
        <w:numPr>
          <w:ilvl w:val="0"/>
          <w:numId w:val="11"/>
        </w:numPr>
        <w:overflowPunct w:val="0"/>
        <w:snapToGrid w:val="0"/>
        <w:spacing w:line="300" w:lineRule="auto"/>
        <w:ind w:left="1134" w:hanging="322" w:firstLineChars="0"/>
        <w:rPr>
          <w:rFonts w:ascii="Arial" w:hAnsi="Arial" w:eastAsia="宋体" w:cs="Arial"/>
          <w:sz w:val="24"/>
          <w:szCs w:val="24"/>
        </w:rPr>
      </w:pPr>
      <w:r>
        <w:rPr>
          <w:rFonts w:ascii="Arial" w:hAnsi="Arial" w:eastAsia="宋体" w:cs="Arial"/>
          <w:sz w:val="24"/>
          <w:szCs w:val="24"/>
        </w:rPr>
        <w:t>如果产品以其他公司或个人的名义出售，则如果用于识别该制造商的信息已经以产品报告【21 CFR 1002.10】或补充资料【21 CFR 1002.11】的形式提交给CDRH，那么上述内容可以替换为出售产品的个人或公司的全名和地址。</w:t>
      </w:r>
    </w:p>
    <w:p w14:paraId="40B707F4">
      <w:pPr>
        <w:pStyle w:val="13"/>
        <w:numPr>
          <w:ilvl w:val="0"/>
          <w:numId w:val="11"/>
        </w:numPr>
        <w:overflowPunct w:val="0"/>
        <w:snapToGrid w:val="0"/>
        <w:spacing w:line="300" w:lineRule="auto"/>
        <w:ind w:left="1134" w:hanging="322" w:firstLineChars="0"/>
        <w:rPr>
          <w:rFonts w:ascii="Arial" w:hAnsi="Arial" w:eastAsia="宋体" w:cs="Arial"/>
          <w:sz w:val="24"/>
          <w:szCs w:val="24"/>
        </w:rPr>
      </w:pPr>
      <w:r>
        <w:rPr>
          <w:rFonts w:ascii="Arial" w:hAnsi="Arial" w:eastAsia="宋体" w:cs="Arial"/>
          <w:sz w:val="24"/>
          <w:szCs w:val="24"/>
        </w:rPr>
        <w:t>有关制造商名称中可接受的缩写的详细信息，请参阅21 CFR 1010.3（a）（1）。</w:t>
      </w:r>
    </w:p>
    <w:p w14:paraId="48B8E8AB">
      <w:pPr>
        <w:pStyle w:val="13"/>
        <w:numPr>
          <w:ilvl w:val="0"/>
          <w:numId w:val="10"/>
        </w:numPr>
        <w:overflowPunct w:val="0"/>
        <w:snapToGrid w:val="0"/>
        <w:spacing w:line="300" w:lineRule="auto"/>
        <w:ind w:left="784" w:hanging="406" w:firstLineChars="0"/>
        <w:rPr>
          <w:rFonts w:ascii="Arial" w:hAnsi="Arial" w:eastAsia="宋体" w:cs="Arial"/>
          <w:sz w:val="24"/>
          <w:szCs w:val="24"/>
        </w:rPr>
      </w:pPr>
      <w:r>
        <w:rPr>
          <w:rFonts w:ascii="Arial" w:hAnsi="Arial" w:eastAsia="宋体" w:cs="Arial"/>
          <w:sz w:val="24"/>
          <w:szCs w:val="24"/>
        </w:rPr>
        <w:t>生产地址。</w:t>
      </w:r>
    </w:p>
    <w:p w14:paraId="78C2B778">
      <w:pPr>
        <w:pStyle w:val="13"/>
        <w:numPr>
          <w:ilvl w:val="0"/>
          <w:numId w:val="10"/>
        </w:numPr>
        <w:overflowPunct w:val="0"/>
        <w:snapToGrid w:val="0"/>
        <w:spacing w:line="300" w:lineRule="auto"/>
        <w:ind w:left="784" w:hanging="406" w:firstLineChars="0"/>
        <w:rPr>
          <w:rFonts w:ascii="Arial" w:hAnsi="Arial" w:eastAsia="宋体" w:cs="Arial"/>
          <w:sz w:val="24"/>
          <w:szCs w:val="24"/>
        </w:rPr>
      </w:pPr>
      <w:r>
        <w:rPr>
          <w:rFonts w:ascii="Arial" w:hAnsi="Arial" w:eastAsia="宋体" w:cs="Arial"/>
          <w:sz w:val="24"/>
          <w:szCs w:val="24"/>
        </w:rPr>
        <w:t>生产的月份和年份。</w:t>
      </w:r>
    </w:p>
    <w:p w14:paraId="25F98C7B">
      <w:pPr>
        <w:pStyle w:val="13"/>
        <w:numPr>
          <w:ilvl w:val="0"/>
          <w:numId w:val="12"/>
        </w:numPr>
        <w:overflowPunct w:val="0"/>
        <w:snapToGrid w:val="0"/>
        <w:spacing w:line="300" w:lineRule="auto"/>
        <w:ind w:left="1624" w:hanging="490" w:firstLineChars="0"/>
        <w:rPr>
          <w:rFonts w:ascii="Arial" w:hAnsi="Arial" w:eastAsia="宋体" w:cs="Arial"/>
          <w:sz w:val="24"/>
          <w:szCs w:val="24"/>
        </w:rPr>
      </w:pPr>
      <w:r>
        <w:rPr>
          <w:rFonts w:ascii="Arial" w:hAnsi="Arial" w:eastAsia="宋体" w:cs="Arial"/>
          <w:sz w:val="24"/>
          <w:szCs w:val="24"/>
        </w:rPr>
        <w:t>月份和年份不能缩写。</w:t>
      </w:r>
    </w:p>
    <w:p w14:paraId="718F18C2">
      <w:pPr>
        <w:pStyle w:val="13"/>
        <w:numPr>
          <w:ilvl w:val="0"/>
          <w:numId w:val="1"/>
        </w:numPr>
        <w:overflowPunct w:val="0"/>
        <w:snapToGrid w:val="0"/>
        <w:spacing w:before="156" w:beforeLines="50" w:after="240" w:line="300" w:lineRule="auto"/>
        <w:ind w:left="357" w:hanging="357" w:firstLineChars="0"/>
        <w:outlineLvl w:val="0"/>
        <w:rPr>
          <w:rFonts w:ascii="Arial" w:hAnsi="Arial" w:eastAsia="宋体" w:cs="Arial"/>
          <w:b/>
          <w:sz w:val="32"/>
          <w:szCs w:val="32"/>
        </w:rPr>
      </w:pPr>
      <w:bookmarkStart w:id="10" w:name="_Toc496890872"/>
      <w:r>
        <w:rPr>
          <w:rFonts w:ascii="Arial" w:hAnsi="Arial" w:eastAsia="宋体" w:cs="Arial"/>
          <w:b/>
          <w:sz w:val="32"/>
          <w:szCs w:val="32"/>
        </w:rPr>
        <w:t>柜式X射线系统联邦辐射安全性能标准要求</w:t>
      </w:r>
      <w:bookmarkEnd w:id="10"/>
    </w:p>
    <w:p w14:paraId="69FA3753">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制造商必须证明【21 CFR 1010.2】其在美国销售的产品符合柜式X射线系统的辐射安全性能标准【21 CFR 1020.40】。性能标准的适用性参见上文关于“柜式X射线系统”和“分析用X射线系统”的定义的讨论。</w:t>
      </w:r>
    </w:p>
    <w:p w14:paraId="2F455F0E">
      <w:pPr>
        <w:overflowPunct w:val="0"/>
        <w:snapToGrid w:val="0"/>
        <w:spacing w:after="240" w:line="300" w:lineRule="auto"/>
        <w:rPr>
          <w:rFonts w:ascii="Arial" w:hAnsi="Arial" w:eastAsia="宋体" w:cs="Arial"/>
          <w:sz w:val="24"/>
          <w:szCs w:val="24"/>
        </w:rPr>
      </w:pPr>
      <w:r>
        <w:rPr>
          <w:rFonts w:ascii="Arial" w:hAnsi="Arial" w:eastAsia="宋体" w:cs="Arial"/>
          <w:b/>
          <w:sz w:val="24"/>
          <w:szCs w:val="24"/>
        </w:rPr>
        <w:t>放射</w:t>
      </w:r>
      <w:r>
        <w:rPr>
          <w:rFonts w:hint="eastAsia" w:ascii="Arial" w:hAnsi="Arial" w:eastAsia="宋体" w:cs="Arial"/>
          <w:b/>
          <w:sz w:val="24"/>
          <w:szCs w:val="24"/>
        </w:rPr>
        <w:t>限值</w:t>
      </w:r>
      <w:r>
        <w:rPr>
          <w:rFonts w:ascii="Arial" w:hAnsi="Arial" w:eastAsia="宋体" w:cs="Arial"/>
          <w:sz w:val="24"/>
          <w:szCs w:val="24"/>
        </w:rPr>
        <w:t>【21 CFR 1020.40（c）（1）（i）】：在外表面以外0.5厘米处的任何一点，在暴露1小时后，从柜式X射线系统发射的辐射不得超过0.5微伦琴。</w:t>
      </w:r>
    </w:p>
    <w:p w14:paraId="14AB3831">
      <w:pPr>
        <w:widowControl/>
        <w:jc w:val="left"/>
        <w:rPr>
          <w:rFonts w:ascii="Arial" w:hAnsi="Arial" w:eastAsia="宋体" w:cs="Arial"/>
          <w:sz w:val="24"/>
          <w:szCs w:val="24"/>
        </w:rPr>
      </w:pPr>
      <w:r>
        <w:rPr>
          <w:rFonts w:ascii="Arial" w:hAnsi="Arial" w:eastAsia="宋体" w:cs="Arial"/>
          <w:sz w:val="24"/>
          <w:szCs w:val="24"/>
        </w:rPr>
        <w:br w:type="page"/>
      </w:r>
    </w:p>
    <w:p w14:paraId="135C74F4">
      <w:pPr>
        <w:overflowPunct w:val="0"/>
        <w:snapToGrid w:val="0"/>
        <w:spacing w:after="240" w:line="300" w:lineRule="auto"/>
        <w:rPr>
          <w:rFonts w:ascii="Arial" w:hAnsi="Arial" w:eastAsia="宋体" w:cs="Arial"/>
          <w:sz w:val="24"/>
          <w:szCs w:val="24"/>
        </w:rPr>
      </w:pPr>
      <w:r>
        <w:rPr>
          <w:rFonts w:ascii="Arial" w:hAnsi="Arial" w:eastAsia="宋体" w:cs="Arial"/>
          <w:sz w:val="24"/>
          <w:szCs w:val="24"/>
        </w:rPr>
        <w:t>这个要求并不限制X射线发射的速率。其限制的是在任何一个小时内的总放射量。请</w:t>
      </w:r>
      <w:r>
        <w:rPr>
          <w:rFonts w:hint="eastAsia" w:ascii="Arial" w:hAnsi="Arial" w:eastAsia="宋体" w:cs="Arial"/>
          <w:sz w:val="24"/>
          <w:szCs w:val="24"/>
        </w:rPr>
        <w:t>在</w:t>
      </w:r>
      <w:r>
        <w:rPr>
          <w:rFonts w:ascii="Arial" w:hAnsi="Arial" w:eastAsia="宋体" w:cs="Arial"/>
          <w:sz w:val="24"/>
          <w:szCs w:val="24"/>
        </w:rPr>
        <w:t>设计测试项目时考虑会导致产品外表面的X射线辐射量最大的因素。必须在最大放射量的设置和操作条件下进行测试，确保系统不超过此限度【21 CFR 1010.2】。</w:t>
      </w:r>
    </w:p>
    <w:p w14:paraId="4FBCBC60">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在任意一个小时的时间内，X射线开放（X射线开放时间）的时间量，即工作循环，是满足这一要求的一个因素。X射线开放的时间可以使用物理系统性能或互锁的方式进行限制。应保证即使在X射线放射量最大的时间段内，1小时的总放射量也不得超过0.5mR。</w:t>
      </w:r>
    </w:p>
    <w:p w14:paraId="38380064">
      <w:pPr>
        <w:overflowPunct w:val="0"/>
        <w:snapToGrid w:val="0"/>
        <w:spacing w:after="240" w:line="300" w:lineRule="auto"/>
        <w:rPr>
          <w:rFonts w:ascii="Arial" w:hAnsi="Arial" w:eastAsia="宋体" w:cs="Arial"/>
          <w:sz w:val="24"/>
          <w:szCs w:val="24"/>
        </w:rPr>
      </w:pPr>
      <w:r>
        <w:rPr>
          <w:rFonts w:hint="eastAsia" w:ascii="Arial" w:hAnsi="Arial" w:eastAsia="宋体" w:cs="Arial"/>
          <w:sz w:val="24"/>
          <w:szCs w:val="24"/>
        </w:rPr>
        <w:t>具有端口的柜式</w:t>
      </w:r>
      <w:r>
        <w:rPr>
          <w:rFonts w:ascii="Arial" w:hAnsi="Arial" w:eastAsia="宋体" w:cs="Arial"/>
          <w:sz w:val="24"/>
          <w:szCs w:val="24"/>
        </w:rPr>
        <w:t>X射线系统通常使用铅帘来减少辐射。大多数铅帘由多条含铅材料组成。当物品通过时，这些含铅材料条被偏转，产生间隙。具有由铅帘覆盖的</w:t>
      </w:r>
      <w:r>
        <w:rPr>
          <w:rFonts w:hint="eastAsia" w:ascii="Arial" w:hAnsi="Arial" w:eastAsia="宋体" w:cs="Arial"/>
          <w:sz w:val="24"/>
          <w:szCs w:val="24"/>
        </w:rPr>
        <w:t>端口</w:t>
      </w:r>
      <w:r>
        <w:rPr>
          <w:rFonts w:ascii="Arial" w:hAnsi="Arial" w:eastAsia="宋体" w:cs="Arial"/>
          <w:sz w:val="24"/>
          <w:szCs w:val="24"/>
        </w:rPr>
        <w:t>的柜式X射线系统必须保证所有</w:t>
      </w:r>
      <w:r>
        <w:rPr>
          <w:rFonts w:hint="eastAsia" w:ascii="Arial" w:hAnsi="Arial" w:eastAsia="宋体" w:cs="Arial"/>
          <w:sz w:val="24"/>
          <w:szCs w:val="24"/>
        </w:rPr>
        <w:t>端口</w:t>
      </w:r>
      <w:r>
        <w:rPr>
          <w:rFonts w:ascii="Arial" w:hAnsi="Arial" w:eastAsia="宋体" w:cs="Arial"/>
          <w:sz w:val="24"/>
          <w:szCs w:val="24"/>
        </w:rPr>
        <w:t>平面符合放射限值，即使在系统允许物品尽快运入系统的一小时内也应如此。在维护计划【21 CFR 1020.40（c）（9）（i）】中应包括对铅帘状态的检查，以确保系统保持符合性能标准。</w:t>
      </w:r>
    </w:p>
    <w:p w14:paraId="0FBE5A63">
      <w:pPr>
        <w:overflowPunct w:val="0"/>
        <w:snapToGrid w:val="0"/>
        <w:spacing w:after="240" w:line="300" w:lineRule="auto"/>
        <w:rPr>
          <w:rFonts w:ascii="Arial" w:hAnsi="Arial" w:eastAsia="宋体" w:cs="Arial"/>
          <w:sz w:val="24"/>
          <w:szCs w:val="24"/>
        </w:rPr>
      </w:pPr>
      <w:r>
        <w:rPr>
          <w:rFonts w:ascii="Arial" w:hAnsi="Arial" w:eastAsia="宋体" w:cs="Arial"/>
          <w:sz w:val="24"/>
          <w:szCs w:val="24"/>
        </w:rPr>
        <w:t>测试和测量【21 CFR 1020.40（c）（1）（ii）】：是否符合本部分（c）（1）（i）中的暴露量限制的测量条件为：横截面积为十平方厘米，线性尺寸均不大于5厘米，柜式X射线系统在能够在外表面产生最大X射线暴露的X射线管电位、电流、光束方向和散射辐射条件的组合下工作，其他任何可能产生X射线部位的门和检修面板保持完全关闭和固定。</w:t>
      </w:r>
    </w:p>
    <w:p w14:paraId="145E3B1B">
      <w:pPr>
        <w:overflowPunct w:val="0"/>
        <w:snapToGrid w:val="0"/>
        <w:spacing w:after="240" w:line="300" w:lineRule="auto"/>
        <w:rPr>
          <w:rFonts w:ascii="Arial" w:hAnsi="Arial" w:eastAsia="宋体" w:cs="Arial"/>
          <w:sz w:val="24"/>
          <w:szCs w:val="24"/>
        </w:rPr>
      </w:pPr>
      <w:r>
        <w:rPr>
          <w:rFonts w:ascii="Arial" w:hAnsi="Arial" w:eastAsia="宋体" w:cs="Arial"/>
          <w:sz w:val="24"/>
          <w:szCs w:val="24"/>
        </w:rPr>
        <w:t>该标准规定，应通过在10平方厘米、线性尺寸不大于5厘米的横截面积上测量的平均值来确定合规情况。这表明当FDA进行测量以确定产品是否符合放射限值时，我们的测试程序应使用满足该标准的测量尺度，或能够产生相同结果的测试程序。当选择仪器和设计测试程序时，制造商应该能够证明其结果具有等同性。</w:t>
      </w:r>
    </w:p>
    <w:p w14:paraId="039C1AF8">
      <w:pPr>
        <w:overflowPunct w:val="0"/>
        <w:snapToGrid w:val="0"/>
        <w:spacing w:after="240" w:line="300" w:lineRule="auto"/>
        <w:rPr>
          <w:rFonts w:ascii="Arial" w:hAnsi="Arial" w:eastAsia="宋体" w:cs="Arial"/>
          <w:sz w:val="24"/>
          <w:szCs w:val="24"/>
        </w:rPr>
      </w:pPr>
      <w:r>
        <w:rPr>
          <w:rFonts w:ascii="Arial" w:hAnsi="Arial" w:eastAsia="宋体" w:cs="Arial"/>
          <w:sz w:val="24"/>
          <w:szCs w:val="24"/>
        </w:rPr>
        <w:t>您应该在程序和产品报告中说明测试和后续计算中使用的任何校正因子。</w:t>
      </w:r>
    </w:p>
    <w:p w14:paraId="5C26F8DA">
      <w:pPr>
        <w:overflowPunct w:val="0"/>
        <w:snapToGrid w:val="0"/>
        <w:spacing w:after="240" w:line="300" w:lineRule="auto"/>
        <w:rPr>
          <w:rFonts w:ascii="Arial" w:hAnsi="Arial" w:eastAsia="宋体" w:cs="Arial"/>
          <w:sz w:val="24"/>
          <w:szCs w:val="24"/>
        </w:rPr>
      </w:pPr>
      <w:r>
        <w:rPr>
          <w:rFonts w:ascii="Arial" w:hAnsi="Arial" w:eastAsia="宋体" w:cs="Arial"/>
          <w:sz w:val="24"/>
          <w:szCs w:val="24"/>
        </w:rPr>
        <w:t>从最高发射读数的测量值必须小于</w:t>
      </w:r>
      <w:r>
        <w:rPr>
          <w:rFonts w:hint="eastAsia" w:ascii="Arial" w:hAnsi="Arial" w:eastAsia="宋体" w:cs="Arial"/>
          <w:sz w:val="24"/>
          <w:szCs w:val="24"/>
        </w:rPr>
        <w:t>0.</w:t>
      </w:r>
      <w:r>
        <w:rPr>
          <w:rFonts w:ascii="Arial" w:hAnsi="Arial" w:eastAsia="宋体" w:cs="Arial"/>
          <w:sz w:val="24"/>
          <w:szCs w:val="24"/>
        </w:rPr>
        <w:t>5 mR发射限值【21 CFR 1020.40（c）（1）（i）】。在一小时内小于0.5 mR的所有放射测量的平均值不足以证明符合性能标准。</w:t>
      </w:r>
    </w:p>
    <w:p w14:paraId="2305674A">
      <w:pPr>
        <w:widowControl/>
        <w:jc w:val="left"/>
        <w:rPr>
          <w:rFonts w:ascii="Arial" w:hAnsi="Arial" w:eastAsia="宋体" w:cs="Arial"/>
          <w:sz w:val="24"/>
          <w:szCs w:val="24"/>
        </w:rPr>
      </w:pPr>
      <w:r>
        <w:rPr>
          <w:rFonts w:ascii="Arial" w:hAnsi="Arial" w:eastAsia="宋体" w:cs="Arial"/>
          <w:sz w:val="24"/>
          <w:szCs w:val="24"/>
        </w:rPr>
        <w:br w:type="page"/>
      </w:r>
    </w:p>
    <w:p w14:paraId="610F8048">
      <w:pPr>
        <w:overflowPunct w:val="0"/>
        <w:snapToGrid w:val="0"/>
        <w:spacing w:after="240" w:line="300" w:lineRule="auto"/>
        <w:rPr>
          <w:rFonts w:ascii="Arial" w:hAnsi="Arial" w:eastAsia="宋体" w:cs="Arial"/>
          <w:sz w:val="24"/>
          <w:szCs w:val="24"/>
        </w:rPr>
      </w:pPr>
      <w:r>
        <w:rPr>
          <w:rFonts w:hint="eastAsia" w:ascii="Arial" w:hAnsi="Arial" w:eastAsia="宋体" w:cs="Arial"/>
          <w:sz w:val="24"/>
          <w:szCs w:val="24"/>
        </w:rPr>
        <w:t>在</w:t>
      </w:r>
      <w:r>
        <w:rPr>
          <w:rFonts w:ascii="Arial" w:hAnsi="Arial" w:eastAsia="宋体" w:cs="Arial"/>
          <w:sz w:val="24"/>
          <w:szCs w:val="24"/>
        </w:rPr>
        <w:t>确定是否符合放射</w:t>
      </w:r>
      <w:bookmarkStart w:id="11" w:name="OLE_LINK10"/>
      <w:bookmarkStart w:id="12" w:name="OLE_LINK11"/>
      <w:r>
        <w:rPr>
          <w:rFonts w:hint="eastAsia" w:ascii="Arial" w:hAnsi="Arial" w:eastAsia="宋体" w:cs="Arial"/>
          <w:sz w:val="24"/>
          <w:szCs w:val="24"/>
        </w:rPr>
        <w:t>限值</w:t>
      </w:r>
      <w:bookmarkEnd w:id="11"/>
      <w:bookmarkEnd w:id="12"/>
      <w:r>
        <w:rPr>
          <w:rFonts w:ascii="Arial" w:hAnsi="Arial" w:eastAsia="宋体" w:cs="Arial"/>
          <w:sz w:val="24"/>
          <w:szCs w:val="24"/>
        </w:rPr>
        <w:t>时，您应保守地设置测试拒绝</w:t>
      </w:r>
      <w:r>
        <w:rPr>
          <w:rFonts w:hint="eastAsia" w:ascii="Arial" w:hAnsi="Arial" w:eastAsia="宋体" w:cs="Arial"/>
          <w:sz w:val="24"/>
          <w:szCs w:val="24"/>
        </w:rPr>
        <w:t>限值</w:t>
      </w:r>
      <w:r>
        <w:rPr>
          <w:rFonts w:ascii="Arial" w:hAnsi="Arial" w:eastAsia="宋体" w:cs="Arial"/>
          <w:sz w:val="24"/>
          <w:szCs w:val="24"/>
        </w:rPr>
        <w:t>，以便容纳测量方法的</w:t>
      </w:r>
      <w:r>
        <w:rPr>
          <w:rFonts w:hint="eastAsia" w:ascii="Arial" w:hAnsi="Arial" w:eastAsia="宋体" w:cs="Arial"/>
          <w:sz w:val="24"/>
          <w:szCs w:val="24"/>
        </w:rPr>
        <w:t>固有</w:t>
      </w:r>
      <w:r>
        <w:rPr>
          <w:rFonts w:ascii="Arial" w:hAnsi="Arial" w:eastAsia="宋体" w:cs="Arial"/>
          <w:sz w:val="24"/>
          <w:szCs w:val="24"/>
        </w:rPr>
        <w:t>误差和仪器精度。如果将拒绝限制设定为放射限值，则可能会导致认证的产品性能似乎符合性能标准，但实际不符合标准。</w:t>
      </w:r>
    </w:p>
    <w:p w14:paraId="534E56A8">
      <w:pPr>
        <w:overflowPunct w:val="0"/>
        <w:snapToGrid w:val="0"/>
        <w:spacing w:after="240" w:line="300" w:lineRule="auto"/>
        <w:rPr>
          <w:rFonts w:ascii="Arial" w:hAnsi="Arial" w:cs="Arial"/>
          <w:sz w:val="24"/>
          <w:szCs w:val="24"/>
        </w:rPr>
      </w:pPr>
      <w:r>
        <w:rPr>
          <w:rFonts w:ascii="Arial" w:hAnsi="Arial" w:eastAsia="宋体" w:cs="Arial"/>
          <w:sz w:val="24"/>
          <w:szCs w:val="24"/>
        </w:rPr>
        <w:t>为方便记录，您需要以数值测量值的形式记录每个系统在最差情况下放射的测量值。您必须在年度报告中以直方图的形式提供这些测试结果的总结 【21 CFR 1002.30；见“X光成像与系统年度报告指南”（1980年7月）】。</w:t>
      </w:r>
      <w:r>
        <w:rPr>
          <w:rFonts w:hint="eastAsia"/>
          <w:sz w:val="24"/>
          <w:szCs w:val="24"/>
        </w:rPr>
        <w:br w:type="textWrapping"/>
      </w:r>
      <w:r>
        <w:rPr>
          <w:rFonts w:ascii="Arial" w:hAnsi="Arial" w:cs="Arial"/>
          <w:sz w:val="24"/>
          <w:szCs w:val="24"/>
        </w:rPr>
        <w:t>(</w:t>
      </w:r>
      <w:r>
        <w:rPr>
          <w:rFonts w:ascii="Arial" w:hAnsi="Arial" w:cs="Arial"/>
          <w:color w:val="0000FF"/>
          <w:sz w:val="24"/>
          <w:szCs w:val="24"/>
          <w:u w:val="single"/>
        </w:rPr>
        <w:t>http://www.fda.gov/cdrh/radhlth/pdf/xrcrpt0a.pdf</w:t>
      </w:r>
      <w:r>
        <w:rPr>
          <w:rFonts w:ascii="Arial" w:hAnsi="Arial" w:cs="Arial"/>
          <w:sz w:val="24"/>
          <w:szCs w:val="24"/>
        </w:rPr>
        <w:t xml:space="preserve">)】. </w:t>
      </w:r>
    </w:p>
    <w:p w14:paraId="4373C9C3">
      <w:pPr>
        <w:overflowPunct w:val="0"/>
        <w:snapToGrid w:val="0"/>
        <w:spacing w:after="240" w:line="300" w:lineRule="auto"/>
        <w:rPr>
          <w:rFonts w:ascii="Arial" w:hAnsi="Arial" w:eastAsia="宋体" w:cs="Arial"/>
          <w:b/>
          <w:sz w:val="24"/>
          <w:szCs w:val="24"/>
        </w:rPr>
      </w:pPr>
      <w:r>
        <w:rPr>
          <w:rFonts w:hint="eastAsia" w:ascii="Arial" w:hAnsi="Arial" w:eastAsia="宋体" w:cs="Arial"/>
          <w:b/>
          <w:sz w:val="24"/>
          <w:szCs w:val="24"/>
        </w:rPr>
        <w:t>仪器</w:t>
      </w:r>
    </w:p>
    <w:p w14:paraId="226EA89B">
      <w:pPr>
        <w:overflowPunct w:val="0"/>
        <w:snapToGrid w:val="0"/>
        <w:spacing w:after="240" w:line="300" w:lineRule="auto"/>
        <w:rPr>
          <w:rFonts w:ascii="Arial" w:hAnsi="Arial" w:eastAsia="宋体" w:cs="Arial"/>
          <w:sz w:val="24"/>
          <w:szCs w:val="24"/>
        </w:rPr>
      </w:pPr>
      <w:r>
        <w:rPr>
          <w:rFonts w:ascii="Arial" w:hAnsi="Arial" w:eastAsia="宋体" w:cs="Arial"/>
          <w:sz w:val="24"/>
          <w:szCs w:val="24"/>
        </w:rPr>
        <w:t>薄壁Geiger-Mueller（GM）测量仪在进行定性测量时非常有用，可以确定柜式X射线系统外表面上最大辐射量的位置。GM测量仪不适用于进行X射线发射的定量测量。X射线管会产生含有不同能量谱的辐射。GM测量仪对不同能量的辐射没有线性响应。GM测量仪可以响应测量空间内发生的电离事件数量；然而，它不产生关于每个电离事件相关能量的信息。因此，GM测量仪对来自不同能量的光子的相同暴露率和响应不同。您不应认为GM测量仪的读数单位为暴露率，则测量仪就可以准确地测量该数量。有关测量仪器选择标准的更多信息，请参见国家辐射防护和测量委员会（NCRP）报告57和112（见于</w:t>
      </w:r>
      <w:r>
        <w:rPr>
          <w:rFonts w:ascii="Arial" w:hAnsi="Arial" w:eastAsia="宋体" w:cs="Arial"/>
          <w:color w:val="0000FF"/>
          <w:sz w:val="24"/>
          <w:szCs w:val="24"/>
          <w:u w:val="single"/>
        </w:rPr>
        <w:t>http://www.ncrponline.org</w:t>
      </w:r>
      <w:r>
        <w:rPr>
          <w:rFonts w:ascii="Arial" w:hAnsi="Arial" w:eastAsia="宋体" w:cs="Arial"/>
          <w:sz w:val="24"/>
          <w:szCs w:val="24"/>
        </w:rPr>
        <w:t>）。</w:t>
      </w:r>
    </w:p>
    <w:p w14:paraId="6310067F">
      <w:pPr>
        <w:widowControl/>
        <w:numPr>
          <w:ilvl w:val="0"/>
          <w:numId w:val="13"/>
        </w:numPr>
        <w:shd w:val="clear" w:color="auto" w:fill="FFFFFF"/>
        <w:overflowPunct w:val="0"/>
        <w:snapToGrid w:val="0"/>
        <w:spacing w:after="240" w:line="300" w:lineRule="auto"/>
        <w:ind w:left="0"/>
        <w:jc w:val="left"/>
        <w:rPr>
          <w:rFonts w:ascii="Arial" w:hAnsi="Arial" w:eastAsia="宋体" w:cs="Arial"/>
          <w:sz w:val="24"/>
          <w:szCs w:val="24"/>
        </w:rPr>
      </w:pPr>
      <w:r>
        <w:rPr>
          <w:rFonts w:hint="eastAsia" w:ascii="Arial" w:hAnsi="Arial" w:eastAsia="宋体" w:cs="Arial"/>
          <w:sz w:val="24"/>
          <w:szCs w:val="24"/>
        </w:rPr>
        <w:t>离子室通常可以用于对来自柜式</w:t>
      </w:r>
      <w:r>
        <w:rPr>
          <w:rFonts w:ascii="Arial" w:hAnsi="Arial" w:eastAsia="宋体" w:cs="Arial"/>
          <w:sz w:val="24"/>
          <w:szCs w:val="24"/>
        </w:rPr>
        <w:t>X</w:t>
      </w:r>
      <w:r>
        <w:rPr>
          <w:rFonts w:hint="eastAsia" w:ascii="Arial" w:hAnsi="Arial" w:eastAsia="宋体" w:cs="Arial"/>
          <w:sz w:val="24"/>
          <w:szCs w:val="24"/>
        </w:rPr>
        <w:t>射线系统的辐射进行定量测量。您应该按照制造商的建议校准该仪器。应针对您的产品进行适当的能量范围的校准。用铯</w:t>
      </w:r>
      <w:r>
        <w:rPr>
          <w:rFonts w:ascii="Arial" w:hAnsi="Arial" w:eastAsia="宋体" w:cs="Arial"/>
          <w:sz w:val="24"/>
          <w:szCs w:val="24"/>
        </w:rPr>
        <w:t>137</w:t>
      </w:r>
      <w:r>
        <w:rPr>
          <w:rFonts w:hint="eastAsia" w:ascii="Arial" w:hAnsi="Arial" w:eastAsia="宋体" w:cs="Arial"/>
          <w:sz w:val="24"/>
          <w:szCs w:val="24"/>
        </w:rPr>
        <w:t>源（</w:t>
      </w:r>
      <w:r>
        <w:rPr>
          <w:rFonts w:ascii="Arial" w:hAnsi="Arial" w:eastAsia="宋体" w:cs="Arial"/>
          <w:sz w:val="24"/>
          <w:szCs w:val="24"/>
        </w:rPr>
        <w:t>β511 keV</w:t>
      </w:r>
      <w:r>
        <w:rPr>
          <w:rFonts w:hint="eastAsia" w:ascii="Arial" w:hAnsi="Arial" w:eastAsia="宋体" w:cs="Arial"/>
          <w:sz w:val="24"/>
          <w:szCs w:val="24"/>
        </w:rPr>
        <w:t>和</w:t>
      </w:r>
      <w:r>
        <w:rPr>
          <w:rFonts w:ascii="Arial" w:hAnsi="Arial" w:eastAsia="宋体" w:cs="Arial"/>
          <w:sz w:val="24"/>
          <w:szCs w:val="24"/>
        </w:rPr>
        <w:t>γ662 keV</w:t>
      </w:r>
      <w:r>
        <w:rPr>
          <w:rFonts w:hint="eastAsia" w:ascii="Arial" w:hAnsi="Arial" w:eastAsia="宋体" w:cs="Arial"/>
          <w:sz w:val="24"/>
          <w:szCs w:val="24"/>
        </w:rPr>
        <w:t>）校准仪表并使用它测量</w:t>
      </w:r>
      <w:r>
        <w:rPr>
          <w:rFonts w:ascii="Arial" w:hAnsi="Arial" w:eastAsia="宋体" w:cs="Arial"/>
          <w:sz w:val="24"/>
          <w:szCs w:val="24"/>
        </w:rPr>
        <w:t>120 kVp X</w:t>
      </w:r>
      <w:r>
        <w:rPr>
          <w:rFonts w:hint="eastAsia" w:ascii="Arial" w:hAnsi="Arial" w:eastAsia="宋体" w:cs="Arial"/>
          <w:sz w:val="24"/>
          <w:szCs w:val="24"/>
        </w:rPr>
        <w:t>射线谱将可能会导致严重的错误。</w:t>
      </w:r>
    </w:p>
    <w:p w14:paraId="47D0B440">
      <w:pPr>
        <w:overflowPunct w:val="0"/>
        <w:snapToGrid w:val="0"/>
        <w:spacing w:after="240" w:line="300" w:lineRule="auto"/>
        <w:rPr>
          <w:rFonts w:ascii="Arial" w:hAnsi="Arial" w:eastAsia="宋体" w:cs="Arial"/>
          <w:sz w:val="24"/>
          <w:szCs w:val="24"/>
        </w:rPr>
      </w:pPr>
      <w:r>
        <w:rPr>
          <w:rFonts w:ascii="Arial" w:hAnsi="Arial" w:eastAsia="宋体" w:cs="Arial"/>
          <w:b/>
          <w:sz w:val="24"/>
          <w:szCs w:val="24"/>
        </w:rPr>
        <w:t>地板</w:t>
      </w:r>
      <w:r>
        <w:rPr>
          <w:rFonts w:ascii="Arial" w:hAnsi="Arial" w:eastAsia="宋体" w:cs="Arial"/>
          <w:sz w:val="24"/>
          <w:szCs w:val="24"/>
        </w:rPr>
        <w:t>【21 CFR 1020.40（c）（2）】：柜式X射线系统应具有永久性的地板。柜式X射线系统永久固定的任何支撑表面都可视为系统的地板。</w:t>
      </w:r>
    </w:p>
    <w:p w14:paraId="0A9C2695">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如果柜式X射线系统所在的地板下的空间被占据，则地板可能需要额外的屏蔽，以确保地面以下的放射满足21 CFR 1020.40（c）（1）的要求。</w:t>
      </w:r>
    </w:p>
    <w:p w14:paraId="22279A9E">
      <w:pPr>
        <w:overflowPunct w:val="0"/>
        <w:snapToGrid w:val="0"/>
        <w:spacing w:after="240" w:line="300" w:lineRule="auto"/>
        <w:rPr>
          <w:rFonts w:ascii="Arial" w:hAnsi="Arial" w:eastAsia="宋体" w:cs="Arial"/>
          <w:sz w:val="24"/>
          <w:szCs w:val="24"/>
        </w:rPr>
      </w:pPr>
      <w:r>
        <w:rPr>
          <w:rFonts w:hint="eastAsia" w:ascii="Arial" w:hAnsi="Arial" w:eastAsia="宋体" w:cs="Arial"/>
          <w:b/>
          <w:sz w:val="24"/>
          <w:szCs w:val="24"/>
        </w:rPr>
        <w:t>端口</w:t>
      </w:r>
      <w:r>
        <w:rPr>
          <w:rFonts w:ascii="Arial" w:hAnsi="Arial" w:eastAsia="宋体" w:cs="Arial"/>
          <w:b/>
          <w:sz w:val="24"/>
          <w:szCs w:val="24"/>
        </w:rPr>
        <w:t>和开孔</w:t>
      </w:r>
      <w:r>
        <w:rPr>
          <w:rFonts w:ascii="Arial" w:hAnsi="Arial" w:eastAsia="宋体" w:cs="Arial"/>
          <w:sz w:val="24"/>
          <w:szCs w:val="24"/>
        </w:rPr>
        <w:t>【21 CFR 1020.40（c）（3）】：（i）不允许将人体的任何部分通过任何</w:t>
      </w:r>
      <w:r>
        <w:rPr>
          <w:rFonts w:hint="eastAsia" w:ascii="Arial" w:hAnsi="Arial" w:eastAsia="宋体" w:cs="Arial"/>
          <w:sz w:val="24"/>
          <w:szCs w:val="24"/>
        </w:rPr>
        <w:t>端口</w:t>
      </w:r>
      <w:r>
        <w:rPr>
          <w:rFonts w:ascii="Arial" w:hAnsi="Arial" w:eastAsia="宋体" w:cs="Arial"/>
          <w:sz w:val="24"/>
          <w:szCs w:val="24"/>
        </w:rPr>
        <w:t>插入主放射束。（ii）任何开孔不允许插入人体的任何部分。</w:t>
      </w:r>
    </w:p>
    <w:p w14:paraId="55A7FC6B">
      <w:pPr>
        <w:overflowPunct w:val="0"/>
        <w:snapToGrid w:val="0"/>
        <w:spacing w:after="240" w:line="300" w:lineRule="auto"/>
        <w:rPr>
          <w:rFonts w:ascii="Arial" w:hAnsi="Arial" w:eastAsia="宋体" w:cs="Arial"/>
          <w:sz w:val="24"/>
          <w:szCs w:val="24"/>
        </w:rPr>
      </w:pPr>
      <w:r>
        <w:rPr>
          <w:rFonts w:ascii="Arial" w:hAnsi="Arial" w:eastAsia="宋体" w:cs="Arial"/>
          <w:sz w:val="24"/>
          <w:szCs w:val="24"/>
        </w:rPr>
        <w:t>该要求旨在防止非常规和常规操作者暴露于主X射线束。根据这一规定，将任何身体部位</w:t>
      </w:r>
      <w:r>
        <w:rPr>
          <w:rFonts w:hint="eastAsia" w:ascii="Arial" w:hAnsi="Arial" w:eastAsia="宋体" w:cs="Arial"/>
          <w:sz w:val="24"/>
          <w:szCs w:val="24"/>
        </w:rPr>
        <w:t>插入端口</w:t>
      </w:r>
      <w:r>
        <w:rPr>
          <w:rFonts w:ascii="Arial" w:hAnsi="Arial" w:eastAsia="宋体" w:cs="Arial"/>
          <w:sz w:val="24"/>
          <w:szCs w:val="24"/>
        </w:rPr>
        <w:t>均不是标准的操作程序。该要求并不是为了防止人们故意试图破坏系统安全功能和接触主放射束。通过</w:t>
      </w:r>
      <w:r>
        <w:rPr>
          <w:rFonts w:hint="eastAsia" w:ascii="Arial" w:hAnsi="Arial" w:eastAsia="宋体" w:cs="Arial"/>
          <w:sz w:val="24"/>
          <w:szCs w:val="24"/>
        </w:rPr>
        <w:t>端口</w:t>
      </w:r>
      <w:r>
        <w:rPr>
          <w:rFonts w:ascii="Arial" w:hAnsi="Arial" w:eastAsia="宋体" w:cs="Arial"/>
          <w:sz w:val="24"/>
          <w:szCs w:val="24"/>
        </w:rPr>
        <w:t>进入系统、爬进系统、进行碰撞等均为有意破坏安全系统的例子。</w:t>
      </w:r>
    </w:p>
    <w:p w14:paraId="13FF6A51">
      <w:pPr>
        <w:overflowPunct w:val="0"/>
        <w:snapToGrid w:val="0"/>
        <w:spacing w:after="240" w:line="300" w:lineRule="auto"/>
        <w:rPr>
          <w:rFonts w:ascii="Arial" w:hAnsi="Arial" w:eastAsia="宋体" w:cs="Arial"/>
          <w:sz w:val="24"/>
          <w:szCs w:val="24"/>
        </w:rPr>
      </w:pPr>
      <w:r>
        <w:rPr>
          <w:rFonts w:ascii="Arial" w:hAnsi="Arial" w:eastAsia="宋体" w:cs="Arial"/>
          <w:sz w:val="24"/>
          <w:szCs w:val="24"/>
        </w:rPr>
        <w:t>你可以用很多方法来满足这个要求。从任意端口到主放射束的距离至少为36英寸的直通道系统即符合这一要求。从任意端口到主放射束的距离小于36英寸的直通道的系统应具有除距离之外的一些其他方式，以使主放射束难以到达。例如，结合光电传感器，在其中断时打开放射束，并且放置在以正常姿势进入机柜后较难触发的位置。另一个例子是将系统端口位置定于相比常规位置来说较低（接近地板）或较高（在头部高度）的位置。此外，将系统集成到生产线上，保证检查产品的移动速度足够快，以限制进入该端口。</w:t>
      </w:r>
    </w:p>
    <w:p w14:paraId="01B65A33">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当产品使用端口【21 CFR 1020.40（b）（9）】时，应在产品报告中描述用于防止无意中接触主放射束的方法。使用显示这些功能的柜式系统的等距视图通常是非常有帮助的。俯视图和侧视图的图纸或照片也可以更容易地解释系统的安全功能。</w:t>
      </w:r>
    </w:p>
    <w:p w14:paraId="4BAF14DE">
      <w:pPr>
        <w:overflowPunct w:val="0"/>
        <w:snapToGrid w:val="0"/>
        <w:spacing w:after="240" w:line="300" w:lineRule="auto"/>
        <w:rPr>
          <w:rFonts w:ascii="Arial" w:hAnsi="Arial" w:eastAsia="宋体" w:cs="Arial"/>
          <w:i/>
          <w:sz w:val="24"/>
          <w:szCs w:val="24"/>
        </w:rPr>
      </w:pPr>
      <w:r>
        <w:rPr>
          <w:rFonts w:ascii="Arial" w:hAnsi="Arial" w:eastAsia="宋体" w:cs="Arial"/>
          <w:b/>
          <w:sz w:val="24"/>
          <w:szCs w:val="24"/>
        </w:rPr>
        <w:t>安全联锁</w:t>
      </w:r>
      <w:r>
        <w:rPr>
          <w:rFonts w:ascii="Arial" w:hAnsi="Arial" w:eastAsia="宋体" w:cs="Arial"/>
          <w:sz w:val="24"/>
          <w:szCs w:val="24"/>
        </w:rPr>
        <w:t>【21 CFR 1020.40（c）（4）（i）】：</w:t>
      </w:r>
      <w:r>
        <w:rPr>
          <w:rFonts w:ascii="Arial" w:hAnsi="Arial" w:eastAsia="宋体" w:cs="Arial"/>
          <w:i/>
          <w:sz w:val="24"/>
          <w:szCs w:val="24"/>
        </w:rPr>
        <w:t>柜式X射线系统的每个门都应至少具有两个安全联锁。其中一个，而非两个互锁应保证门开启时可以引发能量供应电路与高压发生器的物理断开，并且这种断开不应取决于门之外的任何移动部件。【注意：安全联锁的定义见21 CFR 1020.40（b）（11）】</w:t>
      </w:r>
    </w:p>
    <w:p w14:paraId="6E4735CE">
      <w:pPr>
        <w:overflowPunct w:val="0"/>
        <w:snapToGrid w:val="0"/>
        <w:spacing w:after="240" w:line="300" w:lineRule="auto"/>
        <w:rPr>
          <w:rFonts w:ascii="Arial" w:hAnsi="Arial" w:eastAsia="宋体" w:cs="Arial"/>
          <w:sz w:val="24"/>
          <w:szCs w:val="24"/>
        </w:rPr>
      </w:pPr>
      <w:r>
        <w:rPr>
          <w:rFonts w:ascii="Arial" w:hAnsi="Arial" w:eastAsia="宋体" w:cs="Arial"/>
          <w:sz w:val="24"/>
          <w:szCs w:val="24"/>
        </w:rPr>
        <w:t>主门互锁应采用常规设计。第二个门互锁必须物理断开高压发生器的能量供应电路。物理断路意味着通过去除一个电路来打开能量供应电路。通常通过“电闸和闸口”或“插头和插座”这类连接实现。应确保主联锁在物理断开发生之前从能量供应电路中断电。继电器、微动开关和“安全开关”均包含运动部件，因此不能用于满足物理断路互锁“不依赖于门外的任何移动部件”的要求。</w:t>
      </w:r>
    </w:p>
    <w:p w14:paraId="2F6CD974">
      <w:pPr>
        <w:overflowPunct w:val="0"/>
        <w:snapToGrid w:val="0"/>
        <w:spacing w:after="240" w:line="300" w:lineRule="auto"/>
        <w:rPr>
          <w:rFonts w:ascii="Arial" w:hAnsi="Arial" w:eastAsia="宋体" w:cs="Arial"/>
          <w:i/>
          <w:sz w:val="24"/>
          <w:szCs w:val="24"/>
        </w:rPr>
      </w:pPr>
      <w:r>
        <w:rPr>
          <w:rFonts w:ascii="Arial" w:hAnsi="Arial" w:eastAsia="宋体" w:cs="Arial"/>
          <w:sz w:val="24"/>
          <w:szCs w:val="24"/>
        </w:rPr>
        <w:t>【21 CFR 1020.40（c）（4）（ii）】</w:t>
      </w:r>
      <w:r>
        <w:rPr>
          <w:rFonts w:ascii="Arial" w:hAnsi="Arial" w:eastAsia="宋体" w:cs="Arial"/>
          <w:i/>
          <w:sz w:val="24"/>
          <w:szCs w:val="24"/>
        </w:rPr>
        <w:t>每个检修面板应至少有一个安全互锁装置。</w:t>
      </w:r>
    </w:p>
    <w:p w14:paraId="7033EF05">
      <w:pPr>
        <w:overflowPunct w:val="0"/>
        <w:snapToGrid w:val="0"/>
        <w:spacing w:after="240" w:line="300" w:lineRule="auto"/>
        <w:rPr>
          <w:rFonts w:ascii="Arial" w:hAnsi="Arial" w:eastAsia="宋体" w:cs="Arial"/>
          <w:sz w:val="24"/>
          <w:szCs w:val="24"/>
        </w:rPr>
      </w:pPr>
      <w:r>
        <w:rPr>
          <w:rFonts w:ascii="Arial" w:hAnsi="Arial" w:eastAsia="宋体" w:cs="Arial"/>
          <w:sz w:val="24"/>
          <w:szCs w:val="24"/>
        </w:rPr>
        <w:t>物理断开能量供应电路不需要检修面板互锁。</w:t>
      </w:r>
    </w:p>
    <w:p w14:paraId="376D5F1A">
      <w:pPr>
        <w:overflowPunct w:val="0"/>
        <w:snapToGrid w:val="0"/>
        <w:spacing w:after="240" w:line="300" w:lineRule="auto"/>
        <w:rPr>
          <w:rFonts w:ascii="Arial" w:hAnsi="Arial" w:eastAsia="宋体" w:cs="Arial"/>
          <w:i/>
          <w:sz w:val="24"/>
          <w:szCs w:val="24"/>
        </w:rPr>
      </w:pPr>
      <w:r>
        <w:rPr>
          <w:rFonts w:ascii="Arial" w:hAnsi="Arial" w:eastAsia="宋体" w:cs="Arial"/>
          <w:sz w:val="24"/>
          <w:szCs w:val="24"/>
        </w:rPr>
        <w:t>【21 CFR 1020.40（c）（4）（iii）】</w:t>
      </w:r>
      <w:r>
        <w:rPr>
          <w:rFonts w:ascii="Arial" w:hAnsi="Arial" w:eastAsia="宋体" w:cs="Arial"/>
          <w:i/>
          <w:sz w:val="24"/>
          <w:szCs w:val="24"/>
        </w:rPr>
        <w:t>在通过任何安全互锁的功能中断X射线产生之后，在恢复X射线产生时，必须使用本节（c）（6）（ii）所规定的控制措施。</w:t>
      </w:r>
    </w:p>
    <w:p w14:paraId="4E3CF0BB">
      <w:pPr>
        <w:widowControl/>
        <w:jc w:val="left"/>
        <w:rPr>
          <w:rFonts w:ascii="Arial" w:hAnsi="Arial" w:eastAsia="宋体" w:cs="Arial"/>
          <w:sz w:val="24"/>
          <w:szCs w:val="24"/>
        </w:rPr>
      </w:pPr>
      <w:r>
        <w:rPr>
          <w:rFonts w:ascii="Arial" w:hAnsi="Arial" w:eastAsia="宋体" w:cs="Arial"/>
          <w:sz w:val="24"/>
          <w:szCs w:val="24"/>
        </w:rPr>
        <w:br w:type="page"/>
      </w:r>
    </w:p>
    <w:p w14:paraId="1295102B">
      <w:pPr>
        <w:overflowPunct w:val="0"/>
        <w:snapToGrid w:val="0"/>
        <w:spacing w:after="240" w:line="300" w:lineRule="auto"/>
        <w:rPr>
          <w:rFonts w:ascii="Arial" w:hAnsi="Arial" w:eastAsia="宋体" w:cs="Arial"/>
          <w:sz w:val="24"/>
          <w:szCs w:val="24"/>
        </w:rPr>
      </w:pPr>
      <w:r>
        <w:rPr>
          <w:rFonts w:ascii="Arial" w:hAnsi="Arial" w:eastAsia="宋体" w:cs="Arial"/>
          <w:sz w:val="24"/>
          <w:szCs w:val="24"/>
        </w:rPr>
        <w:t>触发任意互锁后，必须使用符合控制规定的控制措施恢复X射线的产生。该要求避免了使用互锁作为开关来启动X射线的产生。</w:t>
      </w:r>
    </w:p>
    <w:p w14:paraId="665072A7">
      <w:pPr>
        <w:overflowPunct w:val="0"/>
        <w:snapToGrid w:val="0"/>
        <w:spacing w:after="240" w:line="300" w:lineRule="auto"/>
        <w:rPr>
          <w:rFonts w:ascii="Arial" w:hAnsi="Arial" w:eastAsia="宋体" w:cs="Arial"/>
          <w:i/>
          <w:sz w:val="24"/>
          <w:szCs w:val="24"/>
        </w:rPr>
      </w:pPr>
      <w:r>
        <w:rPr>
          <w:rFonts w:ascii="Arial" w:hAnsi="Arial" w:eastAsia="宋体" w:cs="Arial"/>
          <w:sz w:val="24"/>
          <w:szCs w:val="24"/>
        </w:rPr>
        <w:t>【21 CFR 1020.40（c）（4）（iv）】</w:t>
      </w:r>
      <w:r>
        <w:rPr>
          <w:rFonts w:ascii="Arial" w:hAnsi="Arial" w:eastAsia="宋体" w:cs="Arial"/>
          <w:i/>
          <w:sz w:val="24"/>
          <w:szCs w:val="24"/>
        </w:rPr>
        <w:t>柜式X射线系统的任意单个部件的故障不得导致多于一个所需的安全互锁故障。</w:t>
      </w:r>
    </w:p>
    <w:p w14:paraId="374B4CD5">
      <w:pPr>
        <w:overflowPunct w:val="0"/>
        <w:snapToGrid w:val="0"/>
        <w:spacing w:after="240" w:line="300" w:lineRule="auto"/>
        <w:rPr>
          <w:rFonts w:ascii="Arial" w:hAnsi="Arial" w:eastAsia="宋体" w:cs="Arial"/>
          <w:i/>
          <w:sz w:val="24"/>
          <w:szCs w:val="24"/>
        </w:rPr>
      </w:pPr>
      <w:r>
        <w:rPr>
          <w:rFonts w:ascii="Arial" w:hAnsi="Arial" w:eastAsia="宋体" w:cs="Arial"/>
          <w:sz w:val="24"/>
          <w:szCs w:val="24"/>
        </w:rPr>
        <w:t>接地故障【21 CFR 1020.40（c）（5）】：</w:t>
      </w:r>
      <w:r>
        <w:rPr>
          <w:rFonts w:ascii="Arial" w:hAnsi="Arial" w:eastAsia="宋体" w:cs="Arial"/>
          <w:i/>
          <w:sz w:val="24"/>
          <w:szCs w:val="24"/>
        </w:rPr>
        <w:t>接地故障不会导致X射线的产生。</w:t>
      </w:r>
    </w:p>
    <w:p w14:paraId="243EF66D">
      <w:pPr>
        <w:overflowPunct w:val="0"/>
        <w:snapToGrid w:val="0"/>
        <w:spacing w:after="240" w:line="300" w:lineRule="auto"/>
        <w:rPr>
          <w:rFonts w:ascii="Arial" w:hAnsi="Arial" w:eastAsia="宋体" w:cs="Arial"/>
          <w:sz w:val="24"/>
          <w:szCs w:val="24"/>
        </w:rPr>
      </w:pPr>
      <w:r>
        <w:rPr>
          <w:rFonts w:ascii="Arial" w:hAnsi="Arial" w:eastAsia="宋体" w:cs="Arial"/>
          <w:sz w:val="24"/>
          <w:szCs w:val="24"/>
        </w:rPr>
        <w:t>通过叙述性文字描述可能的接地故障，以及描述其为什么不会导致X射线的产生是记录合规的良好方式【21 CFR 1002】。用于说明您对可能接地故障的分析的简化框图也是有帮助的。</w:t>
      </w:r>
    </w:p>
    <w:p w14:paraId="1E808546">
      <w:pPr>
        <w:overflowPunct w:val="0"/>
        <w:snapToGrid w:val="0"/>
        <w:spacing w:after="240" w:line="300" w:lineRule="auto"/>
        <w:rPr>
          <w:rFonts w:ascii="Arial" w:hAnsi="Arial" w:eastAsia="宋体" w:cs="Arial"/>
          <w:i/>
          <w:sz w:val="24"/>
          <w:szCs w:val="24"/>
        </w:rPr>
      </w:pPr>
      <w:r>
        <w:rPr>
          <w:rFonts w:ascii="Arial" w:hAnsi="Arial" w:eastAsia="宋体" w:cs="Arial"/>
          <w:b/>
          <w:sz w:val="24"/>
          <w:szCs w:val="24"/>
        </w:rPr>
        <w:t>控制和指示</w:t>
      </w:r>
      <w:r>
        <w:rPr>
          <w:rFonts w:ascii="Arial" w:hAnsi="Arial" w:eastAsia="宋体" w:cs="Arial"/>
          <w:sz w:val="24"/>
          <w:szCs w:val="24"/>
        </w:rPr>
        <w:t>【21 CFR 1020.40（c）（6）】：</w:t>
      </w:r>
      <w:r>
        <w:rPr>
          <w:rFonts w:ascii="Arial" w:hAnsi="Arial" w:eastAsia="宋体" w:cs="Arial"/>
          <w:i/>
          <w:sz w:val="24"/>
          <w:szCs w:val="24"/>
        </w:rPr>
        <w:t>对于适用本章节规定的所有系统，应提供：</w:t>
      </w:r>
    </w:p>
    <w:p w14:paraId="73C433BA">
      <w:pPr>
        <w:overflowPunct w:val="0"/>
        <w:snapToGrid w:val="0"/>
        <w:spacing w:after="240" w:line="300" w:lineRule="auto"/>
        <w:rPr>
          <w:rFonts w:ascii="Arial" w:hAnsi="Arial" w:eastAsia="宋体" w:cs="Arial"/>
          <w:i/>
          <w:sz w:val="24"/>
          <w:szCs w:val="24"/>
        </w:rPr>
      </w:pPr>
      <w:r>
        <w:rPr>
          <w:rFonts w:ascii="Arial" w:hAnsi="Arial" w:eastAsia="宋体" w:cs="Arial"/>
          <w:sz w:val="24"/>
          <w:szCs w:val="24"/>
        </w:rPr>
        <w:t xml:space="preserve">【21 CFR 1020.40（c）（6）（i）】 </w:t>
      </w:r>
      <w:r>
        <w:rPr>
          <w:rFonts w:ascii="Arial" w:hAnsi="Arial" w:eastAsia="宋体" w:cs="Arial"/>
          <w:i/>
          <w:sz w:val="24"/>
          <w:szCs w:val="24"/>
        </w:rPr>
        <w:t>一种由钥匙开动的控制，以确保在钥匙移除时不能产生X射线。</w:t>
      </w:r>
    </w:p>
    <w:p w14:paraId="53B423FD">
      <w:pPr>
        <w:overflowPunct w:val="0"/>
        <w:snapToGrid w:val="0"/>
        <w:spacing w:after="240" w:line="300" w:lineRule="auto"/>
        <w:rPr>
          <w:rFonts w:ascii="Arial" w:hAnsi="Arial" w:eastAsia="宋体" w:cs="Arial"/>
          <w:i/>
          <w:sz w:val="24"/>
          <w:szCs w:val="24"/>
        </w:rPr>
      </w:pPr>
      <w:r>
        <w:rPr>
          <w:rFonts w:ascii="Arial" w:hAnsi="Arial" w:eastAsia="宋体" w:cs="Arial"/>
          <w:sz w:val="24"/>
          <w:szCs w:val="24"/>
        </w:rPr>
        <w:t>【21 CFR 1020.40（c）（6）（ii）】</w:t>
      </w:r>
      <w:r>
        <w:rPr>
          <w:rFonts w:ascii="Arial" w:hAnsi="Arial" w:eastAsia="宋体" w:cs="Arial"/>
          <w:i/>
          <w:sz w:val="24"/>
          <w:szCs w:val="24"/>
        </w:rPr>
        <w:t>安全联锁或主电源控制方式外用于启动和终止X射线产生的控制功能。</w:t>
      </w:r>
    </w:p>
    <w:p w14:paraId="5AEC713D">
      <w:pPr>
        <w:overflowPunct w:val="0"/>
        <w:snapToGrid w:val="0"/>
        <w:spacing w:after="240" w:line="300" w:lineRule="auto"/>
        <w:rPr>
          <w:rFonts w:ascii="Arial" w:hAnsi="Arial" w:eastAsia="宋体" w:cs="Arial"/>
          <w:i/>
          <w:sz w:val="24"/>
          <w:szCs w:val="24"/>
        </w:rPr>
      </w:pPr>
      <w:r>
        <w:rPr>
          <w:rFonts w:ascii="Arial" w:hAnsi="Arial" w:eastAsia="宋体" w:cs="Arial"/>
          <w:sz w:val="24"/>
          <w:szCs w:val="24"/>
        </w:rPr>
        <w:t>【21 CFR 1020.40（c）（6）（iii）】</w:t>
      </w:r>
      <w:r>
        <w:rPr>
          <w:rFonts w:ascii="Arial" w:hAnsi="Arial" w:eastAsia="宋体" w:cs="Arial"/>
          <w:i/>
          <w:sz w:val="24"/>
          <w:szCs w:val="24"/>
        </w:rPr>
        <w:t>应存在两种独立的方式指示何时产生X射线，且应仅当生成X射线时发出指示，除非X射线产生周期小于半秒。在上述情况下，指示应激活半秒钟，并且从可能产生X射线的任何点都可以观察到。柜式X射线系统单个部件的故障不应导致两个指示灯执行其预期功能故障。规定所要求的指示器之一，但不是两者可以为指示X射线管电流的毫安表。所有其他指示均应清晰标示为</w:t>
      </w:r>
      <w:r>
        <w:rPr>
          <w:rFonts w:ascii="Arial" w:hAnsi="Arial" w:eastAsia="宋体" w:cs="Arial"/>
          <w:sz w:val="24"/>
          <w:szCs w:val="24"/>
        </w:rPr>
        <w:t>“</w:t>
      </w:r>
      <w:r>
        <w:rPr>
          <w:rFonts w:ascii="Arial" w:hAnsi="Arial" w:eastAsia="宋体" w:cs="Arial"/>
          <w:b/>
          <w:sz w:val="24"/>
          <w:szCs w:val="24"/>
        </w:rPr>
        <w:t>X-RAY ON</w:t>
      </w:r>
      <w:r>
        <w:rPr>
          <w:rFonts w:ascii="Arial" w:hAnsi="Arial" w:eastAsia="宋体" w:cs="Arial"/>
          <w:sz w:val="24"/>
          <w:szCs w:val="24"/>
        </w:rPr>
        <w:t>”</w:t>
      </w:r>
      <w:r>
        <w:rPr>
          <w:rFonts w:ascii="Arial" w:hAnsi="Arial" w:eastAsia="宋体" w:cs="Arial"/>
          <w:i/>
          <w:sz w:val="24"/>
          <w:szCs w:val="24"/>
        </w:rPr>
        <w:t>。</w:t>
      </w:r>
    </w:p>
    <w:p w14:paraId="773D3744">
      <w:pPr>
        <w:overflowPunct w:val="0"/>
        <w:snapToGrid w:val="0"/>
        <w:spacing w:after="240" w:line="300" w:lineRule="auto"/>
        <w:rPr>
          <w:rFonts w:ascii="Arial" w:hAnsi="Arial" w:eastAsia="宋体" w:cs="Arial"/>
          <w:sz w:val="24"/>
          <w:szCs w:val="24"/>
        </w:rPr>
      </w:pPr>
      <w:r>
        <w:rPr>
          <w:rFonts w:ascii="Arial" w:hAnsi="Arial" w:eastAsia="宋体" w:cs="Arial"/>
          <w:sz w:val="24"/>
          <w:szCs w:val="24"/>
        </w:rPr>
        <w:t>【21 CFR 1020.40（c）（6）（iv）】</w:t>
      </w:r>
      <w:r>
        <w:rPr>
          <w:rFonts w:ascii="Arial" w:hAnsi="Arial" w:eastAsia="宋体" w:cs="Arial"/>
          <w:i/>
          <w:sz w:val="24"/>
          <w:szCs w:val="24"/>
        </w:rPr>
        <w:t>应确保存在除毫安表之外的其他方式，指示何时产生X射线，且应仅当生成X射线时发出指示，除非X射线产生周期小于半秒，在上述情况下，指示应激活半秒钟，并且从可能产生X射线的任何点都可以观察到，以确保每个门，检修面板和端口至少有一个指示器可见，并清晰地标记为</w:t>
      </w:r>
      <w:r>
        <w:rPr>
          <w:rFonts w:ascii="Arial" w:hAnsi="Arial" w:eastAsia="宋体" w:cs="Arial"/>
          <w:b/>
          <w:sz w:val="24"/>
          <w:szCs w:val="24"/>
        </w:rPr>
        <w:t>“X-RAY ON”</w:t>
      </w:r>
      <w:r>
        <w:rPr>
          <w:rFonts w:ascii="Arial" w:hAnsi="Arial" w:eastAsia="宋体" w:cs="Arial"/>
          <w:sz w:val="24"/>
          <w:szCs w:val="24"/>
        </w:rPr>
        <w:t>。</w:t>
      </w:r>
    </w:p>
    <w:p w14:paraId="225621A0">
      <w:pPr>
        <w:overflowPunct w:val="0"/>
        <w:snapToGrid w:val="0"/>
        <w:spacing w:after="240" w:line="300" w:lineRule="auto"/>
        <w:rPr>
          <w:rFonts w:ascii="Arial" w:hAnsi="Arial" w:eastAsia="宋体" w:cs="Arial"/>
          <w:sz w:val="24"/>
          <w:szCs w:val="24"/>
        </w:rPr>
      </w:pPr>
      <w:r>
        <w:rPr>
          <w:rFonts w:ascii="Arial" w:hAnsi="Arial" w:eastAsia="宋体" w:cs="Arial"/>
          <w:sz w:val="24"/>
          <w:szCs w:val="24"/>
        </w:rPr>
        <w:t>每个门，检修面板和端口必须至少有一个指示器。这些指示器必须清晰地标记为</w:t>
      </w:r>
      <w:r>
        <w:rPr>
          <w:rFonts w:ascii="Arial" w:hAnsi="Arial" w:eastAsia="宋体" w:cs="Arial"/>
          <w:b/>
          <w:sz w:val="24"/>
          <w:szCs w:val="24"/>
        </w:rPr>
        <w:t>“X-RAY ON”</w:t>
      </w:r>
      <w:r>
        <w:rPr>
          <w:rFonts w:ascii="Arial" w:hAnsi="Arial" w:eastAsia="宋体" w:cs="Arial"/>
          <w:sz w:val="24"/>
          <w:szCs w:val="24"/>
        </w:rPr>
        <w:t>。这些其他指示器不能是毫安表。其他的指示器必须指出何时产生X射线，且应仅当生成X射线时发出指示。如果X射线产生周期小于半秒，则必须将指示器激活半秒。</w:t>
      </w:r>
    </w:p>
    <w:p w14:paraId="5D54BA8F">
      <w:pPr>
        <w:overflowPunct w:val="0"/>
        <w:snapToGrid w:val="0"/>
        <w:spacing w:after="240" w:line="300" w:lineRule="auto"/>
        <w:rPr>
          <w:rFonts w:ascii="Arial" w:hAnsi="Arial" w:eastAsia="宋体" w:cs="Arial"/>
          <w:sz w:val="24"/>
          <w:szCs w:val="24"/>
        </w:rPr>
      </w:pPr>
      <w:r>
        <w:rPr>
          <w:rFonts w:ascii="Arial" w:hAnsi="Arial" w:eastAsia="宋体" w:cs="Arial"/>
          <w:sz w:val="24"/>
          <w:szCs w:val="24"/>
        </w:rPr>
        <w:t>一些系统具有待机模式，需要向X射线管提供部分电流，并且一些使用电容器来对射线管供电。在这些情况下，X射线管没有足够的电流来产生足够的辐射用于正常操作，但是可能有足够的电流来产生一些辐射。当X射线管有任何电流可用时，指示器上应标识为X射线开放。我们还建议您使用一个额外的指示器来，用于在产生操作级别的X射线时进行指示。</w:t>
      </w:r>
    </w:p>
    <w:p w14:paraId="2ABE4C80">
      <w:pPr>
        <w:overflowPunct w:val="0"/>
        <w:snapToGrid w:val="0"/>
        <w:spacing w:after="240" w:line="300" w:lineRule="auto"/>
        <w:rPr>
          <w:rFonts w:ascii="Arial" w:hAnsi="Arial" w:eastAsia="宋体" w:cs="Arial"/>
          <w:sz w:val="24"/>
          <w:szCs w:val="24"/>
        </w:rPr>
      </w:pPr>
      <w:r>
        <w:rPr>
          <w:rFonts w:ascii="Arial" w:hAnsi="Arial" w:eastAsia="宋体" w:cs="Arial"/>
          <w:b/>
          <w:sz w:val="24"/>
          <w:szCs w:val="24"/>
        </w:rPr>
        <w:t>其他控制和指示器</w:t>
      </w:r>
      <w:r>
        <w:rPr>
          <w:rFonts w:ascii="Arial" w:hAnsi="Arial" w:eastAsia="宋体" w:cs="Arial"/>
          <w:sz w:val="24"/>
          <w:szCs w:val="24"/>
        </w:rPr>
        <w:t>【21 CFR 1020.40（c）（7）】：对于用于人体的柜式X射线系统，还应提供：</w:t>
      </w:r>
    </w:p>
    <w:p w14:paraId="3DC8A8A6">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（i）机柜内的控制装置，用于防止和终止X射线的产生，且从机柜外部无法重置、重写或绕过。</w:t>
      </w:r>
    </w:p>
    <w:p w14:paraId="55FAB242">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（ii）无法从柜内启动X射线产生。</w:t>
      </w:r>
    </w:p>
    <w:p w14:paraId="39579C1B">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（iii）在任何</w:t>
      </w:r>
      <w:r>
        <w:rPr>
          <w:rFonts w:hint="eastAsia" w:ascii="Arial" w:hAnsi="Arial" w:eastAsia="宋体" w:cs="Arial"/>
          <w:i/>
          <w:sz w:val="24"/>
          <w:szCs w:val="24"/>
        </w:rPr>
        <w:t>允许</w:t>
      </w:r>
      <w:r>
        <w:rPr>
          <w:rFonts w:ascii="Arial" w:hAnsi="Arial" w:eastAsia="宋体" w:cs="Arial"/>
          <w:i/>
          <w:sz w:val="24"/>
          <w:szCs w:val="24"/>
        </w:rPr>
        <w:t>人体</w:t>
      </w:r>
      <w:r>
        <w:rPr>
          <w:rFonts w:hint="eastAsia" w:ascii="Arial" w:hAnsi="Arial" w:eastAsia="宋体" w:cs="Arial"/>
          <w:i/>
          <w:sz w:val="24"/>
          <w:szCs w:val="24"/>
        </w:rPr>
        <w:t>进入</w:t>
      </w:r>
      <w:r>
        <w:rPr>
          <w:rFonts w:ascii="Arial" w:hAnsi="Arial" w:eastAsia="宋体" w:cs="Arial"/>
          <w:i/>
          <w:sz w:val="24"/>
          <w:szCs w:val="24"/>
        </w:rPr>
        <w:t>的门关闭后，以及首次开始X射线产生前，机柜内应发出可听见和可看见的警告信号至少10秒钟。柜式X射线系统的任何单个组件的故障不应导致可听见和可看见的警告信号的故障。</w:t>
      </w:r>
    </w:p>
    <w:p w14:paraId="081757AE">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（iv）当且仅当X射线产生时，机柜内的可见警告信号保持启动，除非X射线产生周期小于半秒，在这种情况下，指示灯应激活半秒。</w:t>
      </w:r>
    </w:p>
    <w:p w14:paraId="3B1ACCFC">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（v）应提供本节（c）（7）（iii）和（iv）部分所规定的用于指示警告信号的标志，并提供本节（c）（7）（i）部分所规定的控制措施指导。当主电源处于“开”位置时，这些标志应保证清晰易读，可以看到。</w:t>
      </w:r>
    </w:p>
    <w:p w14:paraId="153A13A0">
      <w:pPr>
        <w:overflowPunct w:val="0"/>
        <w:snapToGrid w:val="0"/>
        <w:spacing w:line="300" w:lineRule="auto"/>
        <w:rPr>
          <w:rFonts w:ascii="Arial" w:hAnsi="Arial" w:eastAsia="宋体" w:cs="Arial"/>
          <w:i/>
          <w:sz w:val="24"/>
          <w:szCs w:val="24"/>
        </w:rPr>
      </w:pPr>
      <w:r>
        <w:rPr>
          <w:rFonts w:ascii="Arial" w:hAnsi="Arial" w:eastAsia="宋体" w:cs="Arial"/>
          <w:b/>
          <w:sz w:val="24"/>
          <w:szCs w:val="24"/>
        </w:rPr>
        <w:t>警告标签</w:t>
      </w:r>
      <w:r>
        <w:rPr>
          <w:rFonts w:ascii="Arial" w:hAnsi="Arial" w:eastAsia="宋体" w:cs="Arial"/>
          <w:sz w:val="24"/>
          <w:szCs w:val="24"/>
        </w:rPr>
        <w:t>【21 CFR 1020.40（c）（8）】：</w:t>
      </w:r>
      <w:r>
        <w:rPr>
          <w:rFonts w:ascii="Arial" w:hAnsi="Arial" w:eastAsia="宋体" w:cs="Arial"/>
          <w:i/>
          <w:sz w:val="24"/>
          <w:szCs w:val="24"/>
        </w:rPr>
        <w:t>（i）在柜式X射线系统可用于启动X射线产生的任何控制的位置上，应永久地固定或刻上清晰可见的、带有下列陈述的标签：</w:t>
      </w:r>
    </w:p>
    <w:p w14:paraId="700F950C">
      <w:pPr>
        <w:overflowPunct w:val="0"/>
        <w:snapToGrid w:val="0"/>
        <w:spacing w:after="240" w:line="300" w:lineRule="auto"/>
        <w:rPr>
          <w:rFonts w:ascii="Arial" w:hAnsi="Arial" w:eastAsia="宋体" w:cs="Arial"/>
          <w:b/>
          <w:sz w:val="24"/>
          <w:szCs w:val="24"/>
        </w:rPr>
      </w:pPr>
      <w:r>
        <w:rPr>
          <w:rFonts w:ascii="Arial" w:hAnsi="Arial" w:eastAsia="宋体" w:cs="Arial"/>
          <w:b/>
          <w:sz w:val="24"/>
          <w:szCs w:val="24"/>
        </w:rPr>
        <w:t>注意：通电时产生X光</w:t>
      </w:r>
    </w:p>
    <w:p w14:paraId="49526722">
      <w:pPr>
        <w:overflowPunct w:val="0"/>
        <w:snapToGrid w:val="0"/>
        <w:spacing w:line="300" w:lineRule="auto"/>
        <w:rPr>
          <w:rFonts w:ascii="Arial" w:hAnsi="Arial" w:eastAsia="宋体" w:cs="Arial"/>
          <w:sz w:val="24"/>
          <w:szCs w:val="24"/>
        </w:rPr>
      </w:pPr>
      <w:r>
        <w:rPr>
          <w:rFonts w:ascii="Arial" w:hAnsi="Arial" w:eastAsia="宋体" w:cs="Arial"/>
          <w:sz w:val="24"/>
          <w:szCs w:val="24"/>
        </w:rPr>
        <w:t>（ii）在柜式X射线系统的每个端口附近应永久性地固定或铭刻明确清晰可见的、带有下列陈述的标签：</w:t>
      </w:r>
    </w:p>
    <w:p w14:paraId="59DBA2A3">
      <w:pPr>
        <w:overflowPunct w:val="0"/>
        <w:snapToGrid w:val="0"/>
        <w:spacing w:after="240" w:line="300" w:lineRule="auto"/>
        <w:rPr>
          <w:rFonts w:ascii="Arial" w:hAnsi="Arial" w:eastAsia="宋体" w:cs="Arial"/>
          <w:b/>
          <w:sz w:val="24"/>
          <w:szCs w:val="24"/>
        </w:rPr>
      </w:pPr>
      <w:r>
        <w:rPr>
          <w:rFonts w:ascii="Arial" w:hAnsi="Arial" w:eastAsia="宋体" w:cs="Arial"/>
          <w:b/>
          <w:sz w:val="24"/>
          <w:szCs w:val="24"/>
        </w:rPr>
        <w:t>注意：系统通电时不要将身体的任何部位伸入——X射线危害</w:t>
      </w:r>
    </w:p>
    <w:p w14:paraId="14970C16">
      <w:pPr>
        <w:overflowPunct w:val="0"/>
        <w:snapToGrid w:val="0"/>
        <w:spacing w:after="240" w:line="300" w:lineRule="auto"/>
        <w:rPr>
          <w:rFonts w:ascii="Arial" w:hAnsi="Arial" w:eastAsia="宋体" w:cs="Arial"/>
          <w:i/>
          <w:sz w:val="24"/>
          <w:szCs w:val="24"/>
        </w:rPr>
      </w:pPr>
      <w:r>
        <w:rPr>
          <w:rFonts w:ascii="Arial" w:hAnsi="Arial" w:eastAsia="宋体" w:cs="Arial"/>
          <w:b/>
          <w:sz w:val="24"/>
          <w:szCs w:val="24"/>
        </w:rPr>
        <w:t>说明书</w:t>
      </w:r>
      <w:r>
        <w:rPr>
          <w:rFonts w:ascii="Arial" w:hAnsi="Arial" w:eastAsia="宋体" w:cs="Arial"/>
          <w:sz w:val="24"/>
          <w:szCs w:val="24"/>
        </w:rPr>
        <w:t>【21 CFR 1020.40（c）（9）（i）】：</w:t>
      </w:r>
      <w:r>
        <w:rPr>
          <w:rFonts w:ascii="Arial" w:hAnsi="Arial" w:eastAsia="宋体" w:cs="Arial"/>
          <w:i/>
          <w:sz w:val="24"/>
          <w:szCs w:val="24"/>
        </w:rPr>
        <w:t>柜式X射线系统的制造商应根据要求向买方和其他付费个人（费用不得超过制作和</w:t>
      </w:r>
      <w:r>
        <w:rPr>
          <w:rFonts w:hint="eastAsia" w:ascii="Arial" w:hAnsi="Arial" w:eastAsia="宋体" w:cs="Arial"/>
          <w:i/>
          <w:sz w:val="24"/>
          <w:szCs w:val="24"/>
        </w:rPr>
        <w:t>分销</w:t>
      </w:r>
      <w:r>
        <w:rPr>
          <w:rFonts w:ascii="Arial" w:hAnsi="Arial" w:eastAsia="宋体" w:cs="Arial"/>
          <w:i/>
          <w:sz w:val="24"/>
          <w:szCs w:val="24"/>
        </w:rPr>
        <w:t>的费用）提供说明手册和说明书，应至少包括以下技术和安全信息：X射线产生设备的电势、电流和运行周期分级；由于系统的独特特征，可能需要的任何放射性安全程序和注意事项的充分说明；以及遵守本部分规定所需的维护计划。</w:t>
      </w:r>
    </w:p>
    <w:p w14:paraId="23DAF619">
      <w:pPr>
        <w:overflowPunct w:val="0"/>
        <w:snapToGrid w:val="0"/>
        <w:spacing w:after="240" w:line="300" w:lineRule="auto"/>
        <w:rPr>
          <w:rFonts w:ascii="Arial" w:hAnsi="Arial" w:eastAsia="宋体" w:cs="Arial"/>
          <w:sz w:val="24"/>
          <w:szCs w:val="24"/>
        </w:rPr>
      </w:pPr>
      <w:r>
        <w:rPr>
          <w:rFonts w:ascii="Arial" w:hAnsi="Arial" w:eastAsia="宋体" w:cs="Arial"/>
          <w:sz w:val="24"/>
          <w:szCs w:val="24"/>
        </w:rPr>
        <w:t>除重大维修外，如何时更换X光管等，维护时间表应包括系统操作人员每天、每周、每月和每年检查的项目。例如，您的维护计划可能会声明：“操作员必须至少每天检查一次所有指示灯。”再例如定期检查使用铅帘系统的铅帘的状况。该规定不要求维护计划告诉系统的拥有者如何执行所有必需的维护，只需要注明进行什么维护以及维护频率。</w:t>
      </w:r>
    </w:p>
    <w:p w14:paraId="221FDBF3">
      <w:pPr>
        <w:overflowPunct w:val="0"/>
        <w:snapToGrid w:val="0"/>
        <w:spacing w:after="240" w:line="300" w:lineRule="auto"/>
        <w:rPr>
          <w:rFonts w:ascii="Arial" w:hAnsi="Arial" w:eastAsia="宋体" w:cs="Arial"/>
          <w:sz w:val="24"/>
          <w:szCs w:val="24"/>
        </w:rPr>
      </w:pPr>
      <w:r>
        <w:rPr>
          <w:rFonts w:ascii="Arial" w:hAnsi="Arial" w:eastAsia="宋体" w:cs="Arial"/>
          <w:sz w:val="24"/>
          <w:szCs w:val="24"/>
        </w:rPr>
        <w:t>未提供必要的维护计划是一个常见的问题。如果产品真的不需要任何定期维护来</w:t>
      </w:r>
      <w:r>
        <w:rPr>
          <w:rFonts w:hint="eastAsia" w:ascii="Arial" w:hAnsi="Arial" w:eastAsia="宋体" w:cs="Arial"/>
          <w:sz w:val="24"/>
          <w:szCs w:val="24"/>
        </w:rPr>
        <w:t>保证</w:t>
      </w:r>
      <w:r>
        <w:rPr>
          <w:rFonts w:ascii="Arial" w:hAnsi="Arial" w:eastAsia="宋体" w:cs="Arial"/>
          <w:sz w:val="24"/>
          <w:szCs w:val="24"/>
        </w:rPr>
        <w:t>其符合标准，您应该在产品报告中进行解释，并提供明确的理由。</w:t>
      </w:r>
    </w:p>
    <w:p w14:paraId="6AE8A536">
      <w:pPr>
        <w:overflowPunct w:val="0"/>
        <w:snapToGrid w:val="0"/>
        <w:spacing w:after="240" w:line="300" w:lineRule="auto"/>
        <w:rPr>
          <w:rFonts w:ascii="Arial" w:hAnsi="Arial" w:eastAsia="宋体" w:cs="Arial"/>
          <w:sz w:val="24"/>
          <w:szCs w:val="24"/>
        </w:rPr>
      </w:pPr>
      <w:r>
        <w:rPr>
          <w:rFonts w:ascii="Arial" w:hAnsi="Arial" w:eastAsia="宋体" w:cs="Arial"/>
          <w:sz w:val="24"/>
          <w:szCs w:val="24"/>
        </w:rPr>
        <w:t>【21 CFR 1020.40（c）（9）（ii）】</w:t>
      </w:r>
      <w:r>
        <w:rPr>
          <w:rFonts w:ascii="Arial" w:hAnsi="Arial" w:eastAsia="宋体" w:cs="Arial"/>
          <w:i/>
          <w:sz w:val="24"/>
          <w:szCs w:val="24"/>
        </w:rPr>
        <w:t>由买方组装或安装的柜式X射线系统的制造商应提供组装、安装、调整和测试柜式X射线系统的说明，该说明应足以确保系统在按指示进行组装、安装、调整和测试时符合本节的适用规定。</w:t>
      </w:r>
    </w:p>
    <w:p w14:paraId="7A16FC87">
      <w:pPr>
        <w:overflowPunct w:val="0"/>
        <w:snapToGrid w:val="0"/>
        <w:spacing w:after="240" w:line="300" w:lineRule="auto"/>
        <w:rPr>
          <w:rFonts w:ascii="Arial" w:hAnsi="Arial" w:eastAsia="宋体" w:cs="Arial"/>
          <w:i/>
          <w:sz w:val="24"/>
          <w:szCs w:val="24"/>
        </w:rPr>
      </w:pPr>
      <w:r>
        <w:rPr>
          <w:rFonts w:ascii="Arial" w:hAnsi="Arial" w:eastAsia="宋体" w:cs="Arial"/>
          <w:sz w:val="24"/>
          <w:szCs w:val="24"/>
        </w:rPr>
        <w:t>X射线行李检查系统 【21 CFR 1020.40（c）（10）】：</w:t>
      </w:r>
      <w:r>
        <w:rPr>
          <w:rFonts w:ascii="Arial" w:hAnsi="Arial" w:eastAsia="宋体" w:cs="Arial"/>
          <w:i/>
          <w:sz w:val="24"/>
          <w:szCs w:val="24"/>
        </w:rPr>
        <w:t>根据本节（c）（10）（i）和（ii）部分的规定，主要用于机场、火车站和公交车站以及类似设施的随身行李检查的X射线系统应提供相应措施，确保操作员位于可以监测的控制区域，在产生X射线时监视端口和门的位置。</w:t>
      </w:r>
    </w:p>
    <w:p w14:paraId="3D028DA2">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（i）在暴露或预设暴露序列持续半秒或更长时间时，提供的措施应使操作者能够随时终止暴露或预设的暴露序列。</w:t>
      </w:r>
    </w:p>
    <w:p w14:paraId="484FA256">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（ii）在暴露或预设暴露序列持续不足半秒时，提供的措施应可以允许完成正在进行的暴露，但应使操作者能够防止额外的暴露。</w:t>
      </w:r>
    </w:p>
    <w:p w14:paraId="321385B3">
      <w:pPr>
        <w:overflowPunct w:val="0"/>
        <w:snapToGrid w:val="0"/>
        <w:spacing w:after="240" w:line="300" w:lineRule="auto"/>
        <w:rPr>
          <w:rFonts w:ascii="Arial" w:hAnsi="Arial" w:eastAsia="宋体" w:cs="Arial"/>
          <w:sz w:val="24"/>
          <w:szCs w:val="24"/>
        </w:rPr>
      </w:pPr>
      <w:r>
        <w:rPr>
          <w:rFonts w:ascii="Arial" w:hAnsi="Arial" w:eastAsia="宋体" w:cs="Arial"/>
          <w:sz w:val="24"/>
          <w:szCs w:val="24"/>
        </w:rPr>
        <w:t>X射线行李系统必须有某种措施来确保操作人员处于操控状态，以便操作人员能够在X射线产生期间始终清楚地观察端口和门。</w:t>
      </w:r>
    </w:p>
    <w:p w14:paraId="4F9BB6BA">
      <w:pPr>
        <w:overflowPunct w:val="0"/>
        <w:snapToGrid w:val="0"/>
        <w:spacing w:after="240" w:line="300" w:lineRule="auto"/>
        <w:rPr>
          <w:rFonts w:ascii="Arial" w:hAnsi="Arial" w:eastAsia="宋体" w:cs="Arial"/>
          <w:sz w:val="24"/>
          <w:szCs w:val="24"/>
        </w:rPr>
      </w:pPr>
      <w:r>
        <w:rPr>
          <w:rFonts w:ascii="Arial" w:hAnsi="Arial" w:eastAsia="宋体" w:cs="Arial"/>
          <w:sz w:val="24"/>
          <w:szCs w:val="24"/>
        </w:rPr>
        <w:t>“类似机场、火车站和公共汽车站的设施”一词包括任何公众人士为了检查其携带物品的安全性而进入的X射线系统。因此，办公楼、法院和学校使用的柜式X射线安全检查系统也受本节【21 CFR 1020.40（c）（10）】的约束。在控制操作区域内由经过训练的操作人员运输和卸载的柜式X射线系统不受本节的约束。</w:t>
      </w:r>
    </w:p>
    <w:p w14:paraId="3F79ECFD">
      <w:pPr>
        <w:widowControl/>
        <w:jc w:val="left"/>
        <w:rPr>
          <w:rFonts w:ascii="Arial" w:hAnsi="Arial" w:eastAsia="宋体" w:cs="Arial"/>
          <w:sz w:val="24"/>
          <w:szCs w:val="24"/>
        </w:rPr>
      </w:pPr>
      <w:r>
        <w:rPr>
          <w:rFonts w:ascii="Arial" w:hAnsi="Arial" w:eastAsia="宋体" w:cs="Arial"/>
          <w:sz w:val="24"/>
          <w:szCs w:val="24"/>
        </w:rPr>
        <w:br w:type="page"/>
      </w:r>
    </w:p>
    <w:p w14:paraId="4778EC3C">
      <w:pPr>
        <w:overflowPunct w:val="0"/>
        <w:snapToGrid w:val="0"/>
        <w:spacing w:after="240" w:line="300" w:lineRule="auto"/>
        <w:rPr>
          <w:rFonts w:ascii="Arial" w:hAnsi="Arial" w:eastAsia="宋体" w:cs="Arial"/>
          <w:i/>
          <w:sz w:val="24"/>
          <w:szCs w:val="24"/>
        </w:rPr>
      </w:pPr>
      <w:r>
        <w:rPr>
          <w:rFonts w:ascii="Arial" w:hAnsi="Arial" w:eastAsia="宋体" w:cs="Arial"/>
          <w:b/>
          <w:sz w:val="24"/>
          <w:szCs w:val="24"/>
        </w:rPr>
        <w:t>经过认证的系统的修改</w:t>
      </w:r>
      <w:r>
        <w:rPr>
          <w:rFonts w:ascii="Arial" w:hAnsi="Arial" w:eastAsia="宋体" w:cs="Arial"/>
          <w:sz w:val="24"/>
          <w:szCs w:val="24"/>
        </w:rPr>
        <w:t>【21 CFR 1020.40（d）】</w:t>
      </w:r>
      <w:r>
        <w:rPr>
          <w:rFonts w:ascii="Arial" w:hAnsi="Arial" w:eastAsia="宋体" w:cs="Arial"/>
          <w:i/>
          <w:sz w:val="24"/>
          <w:szCs w:val="24"/>
        </w:rPr>
        <w:t>根据法案规定，由任何从事生产、组装或改装柜式X射线系统业务的人员进行的，针对已经过1010.2认证的柜式X射线系统的修改，如果该修改影响了本部分适用要求下某部分的系统性能，则该修改应解释为生产行为。进行此类修改的制造商应按照本章1010.2和1010.3的规定重新认证和重新确定系统标识。</w:t>
      </w:r>
    </w:p>
    <w:p w14:paraId="70F33F88">
      <w:pPr>
        <w:pStyle w:val="13"/>
        <w:numPr>
          <w:ilvl w:val="0"/>
          <w:numId w:val="1"/>
        </w:numPr>
        <w:overflowPunct w:val="0"/>
        <w:snapToGrid w:val="0"/>
        <w:spacing w:before="156" w:beforeLines="50" w:after="240" w:line="300" w:lineRule="auto"/>
        <w:ind w:left="357" w:hanging="357" w:firstLineChars="0"/>
        <w:outlineLvl w:val="0"/>
        <w:rPr>
          <w:rFonts w:ascii="Arial" w:hAnsi="Arial" w:eastAsia="宋体" w:cs="Arial"/>
          <w:b/>
          <w:sz w:val="32"/>
          <w:szCs w:val="32"/>
        </w:rPr>
      </w:pPr>
      <w:bookmarkStart w:id="13" w:name="_Toc496890873"/>
      <w:r>
        <w:rPr>
          <w:rFonts w:ascii="Arial" w:hAnsi="Arial" w:eastAsia="宋体" w:cs="Arial"/>
          <w:b/>
          <w:sz w:val="32"/>
          <w:szCs w:val="32"/>
        </w:rPr>
        <w:t>记录和报告</w:t>
      </w:r>
      <w:bookmarkEnd w:id="13"/>
    </w:p>
    <w:p w14:paraId="3004882D">
      <w:pPr>
        <w:overflowPunct w:val="0"/>
        <w:snapToGrid w:val="0"/>
        <w:spacing w:line="300" w:lineRule="auto"/>
        <w:rPr>
          <w:rFonts w:ascii="Arial" w:hAnsi="Arial" w:eastAsia="宋体" w:cs="Arial"/>
          <w:sz w:val="24"/>
          <w:szCs w:val="24"/>
        </w:rPr>
      </w:pPr>
      <w:r>
        <w:rPr>
          <w:rFonts w:ascii="Arial" w:hAnsi="Arial" w:eastAsia="宋体" w:cs="Arial"/>
          <w:b/>
          <w:sz w:val="24"/>
          <w:szCs w:val="24"/>
        </w:rPr>
        <w:t>记录</w:t>
      </w:r>
      <w:r>
        <w:rPr>
          <w:rFonts w:ascii="Arial" w:hAnsi="Arial" w:eastAsia="宋体" w:cs="Arial"/>
          <w:sz w:val="24"/>
          <w:szCs w:val="24"/>
        </w:rPr>
        <w:t>【21 CFR 1002.30】</w:t>
      </w:r>
    </w:p>
    <w:p w14:paraId="5C4633CA">
      <w:pPr>
        <w:overflowPunct w:val="0"/>
        <w:snapToGrid w:val="0"/>
        <w:spacing w:line="300" w:lineRule="auto"/>
        <w:rPr>
          <w:rFonts w:ascii="Arial" w:hAnsi="Arial" w:eastAsia="宋体" w:cs="Arial"/>
          <w:i/>
          <w:sz w:val="24"/>
          <w:szCs w:val="24"/>
        </w:rPr>
      </w:pPr>
      <w:r>
        <w:rPr>
          <w:rFonts w:ascii="Arial" w:hAnsi="Arial" w:eastAsia="宋体" w:cs="Arial"/>
          <w:i/>
          <w:sz w:val="24"/>
          <w:szCs w:val="24"/>
        </w:rPr>
        <w:t>（a）1002.1表1所列产品的制造商应制定并维护有关产品的以下记录</w:t>
      </w:r>
    </w:p>
    <w:p w14:paraId="38FB5262">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（1）关于电子产品辐射安全的质量控制程序的说明。</w:t>
      </w:r>
    </w:p>
    <w:p w14:paraId="1C943F4A">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（2）电子产品辐射安全测试结果记录，包括不必要的、次要的、或泄漏的电子产品辐射的控制，这些测试中使用的方法，设备和程序，以及选择这些方法，设备，和程序的基础。</w:t>
      </w:r>
    </w:p>
    <w:p w14:paraId="5E363902">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（3）对于存在可能会增加电子产品辐射的老化效应的产品，应提供产品耐久性和稳定性试验结果的记录，以及选择这些试验的依据。</w:t>
      </w:r>
    </w:p>
    <w:p w14:paraId="6A9C96B1">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（4）制造商和经销商、分销商和采购商之间有关辐射安全的所有书面通信的副本，包括影响列表中产品的使用、修理、调整、维护或测试的所有投诉、调查、指导或说明。</w:t>
      </w:r>
    </w:p>
    <w:p w14:paraId="0B0214BC">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（5）有关生产和销售数量的数据（如</w:t>
      </w:r>
      <w:r>
        <w:rPr>
          <w:rFonts w:hint="eastAsia" w:ascii="Arial" w:hAnsi="Arial" w:eastAsia="宋体" w:cs="Arial"/>
          <w:i/>
          <w:sz w:val="24"/>
          <w:szCs w:val="24"/>
        </w:rPr>
        <w:t>可用</w:t>
      </w:r>
      <w:r>
        <w:rPr>
          <w:rFonts w:ascii="Arial" w:hAnsi="Arial" w:eastAsia="宋体" w:cs="Arial"/>
          <w:i/>
          <w:sz w:val="24"/>
          <w:szCs w:val="24"/>
        </w:rPr>
        <w:t>）。</w:t>
      </w:r>
    </w:p>
    <w:p w14:paraId="59BB4EF7">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（b）除本节（a）段所要求的记录外，【1002.1表1】所列出产品的制造商应制定并维护有关此类产品的以下记录：</w:t>
      </w:r>
    </w:p>
    <w:p w14:paraId="01D14089">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（1）制造商直接销售给经销商的情况下，可以追踪分销商或经销商的产品或产品特定批次的制造商分销记录。</w:t>
      </w:r>
    </w:p>
    <w:p w14:paraId="0FAC6399">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（2）按照1002.41从经销商或分销商收到的记录。</w:t>
      </w:r>
    </w:p>
    <w:p w14:paraId="31432A07">
      <w:pPr>
        <w:overflowPunct w:val="0"/>
        <w:snapToGrid w:val="0"/>
        <w:spacing w:after="240" w:line="300" w:lineRule="auto"/>
        <w:rPr>
          <w:rFonts w:ascii="Arial" w:hAnsi="Arial" w:eastAsia="宋体" w:cs="Arial"/>
          <w:sz w:val="24"/>
          <w:szCs w:val="24"/>
        </w:rPr>
      </w:pPr>
      <w:r>
        <w:rPr>
          <w:rFonts w:ascii="Arial" w:hAnsi="Arial" w:eastAsia="宋体" w:cs="Arial"/>
          <w:b/>
          <w:sz w:val="24"/>
          <w:szCs w:val="24"/>
        </w:rPr>
        <w:t>报告</w:t>
      </w:r>
      <w:r>
        <w:rPr>
          <w:rFonts w:ascii="Arial" w:hAnsi="Arial" w:eastAsia="宋体" w:cs="Arial"/>
          <w:sz w:val="24"/>
          <w:szCs w:val="24"/>
        </w:rPr>
        <w:t>【21 CFR 1002.1】</w:t>
      </w:r>
    </w:p>
    <w:p w14:paraId="3856FE5F">
      <w:pPr>
        <w:widowControl/>
        <w:jc w:val="left"/>
        <w:rPr>
          <w:rFonts w:ascii="Arial" w:hAnsi="Arial" w:eastAsia="宋体" w:cs="Arial"/>
          <w:sz w:val="24"/>
          <w:szCs w:val="24"/>
        </w:rPr>
      </w:pPr>
      <w:r>
        <w:rPr>
          <w:rFonts w:ascii="Arial" w:hAnsi="Arial" w:eastAsia="宋体" w:cs="Arial"/>
          <w:sz w:val="24"/>
          <w:szCs w:val="24"/>
        </w:rPr>
        <w:br w:type="page"/>
      </w:r>
    </w:p>
    <w:p w14:paraId="178BBA7A">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关于报告的要求及其适用性见于21 CFR 1002.1和相关表格。一般来说，柜式X射线系统的制造商都要遵守报告要求。</w:t>
      </w:r>
    </w:p>
    <w:p w14:paraId="7B4DCA6A">
      <w:pPr>
        <w:overflowPunct w:val="0"/>
        <w:snapToGrid w:val="0"/>
        <w:spacing w:line="300" w:lineRule="auto"/>
        <w:rPr>
          <w:rFonts w:ascii="Arial" w:hAnsi="Arial" w:eastAsia="宋体" w:cs="Arial"/>
          <w:sz w:val="24"/>
          <w:szCs w:val="24"/>
          <w:u w:val="single"/>
        </w:rPr>
      </w:pPr>
      <w:r>
        <w:rPr>
          <w:rFonts w:ascii="Arial" w:hAnsi="Arial" w:eastAsia="宋体" w:cs="Arial"/>
          <w:sz w:val="24"/>
          <w:szCs w:val="24"/>
          <w:u w:val="single"/>
        </w:rPr>
        <w:t>提交报告的地址</w:t>
      </w:r>
    </w:p>
    <w:p w14:paraId="30E0DD74">
      <w:pPr>
        <w:overflowPunct w:val="0"/>
        <w:snapToGrid w:val="0"/>
        <w:spacing w:line="300" w:lineRule="auto"/>
        <w:rPr>
          <w:rFonts w:ascii="Arial" w:hAnsi="Arial" w:eastAsia="宋体" w:cs="Arial"/>
          <w:sz w:val="24"/>
          <w:szCs w:val="24"/>
        </w:rPr>
      </w:pPr>
      <w:r>
        <w:rPr>
          <w:rFonts w:ascii="Arial" w:hAnsi="Arial" w:eastAsia="宋体" w:cs="Arial"/>
          <w:sz w:val="24"/>
          <w:szCs w:val="24"/>
        </w:rPr>
        <w:t>您应该将产品、补充文件和年度报告发送到：</w:t>
      </w:r>
    </w:p>
    <w:p w14:paraId="37647157">
      <w:pPr>
        <w:overflowPunct w:val="0"/>
        <w:snapToGrid w:val="0"/>
        <w:spacing w:line="300" w:lineRule="auto"/>
        <w:ind w:firstLine="708" w:firstLineChars="295"/>
        <w:rPr>
          <w:rFonts w:ascii="Arial" w:hAnsi="Arial" w:eastAsia="宋体" w:cs="Arial"/>
          <w:sz w:val="24"/>
          <w:szCs w:val="24"/>
        </w:rPr>
      </w:pPr>
      <w:bookmarkStart w:id="14" w:name="OLE_LINK2"/>
      <w:bookmarkStart w:id="15" w:name="OLE_LINK5"/>
      <w:r>
        <w:rPr>
          <w:rFonts w:ascii="Arial" w:hAnsi="Arial" w:eastAsia="宋体" w:cs="Arial"/>
          <w:sz w:val="24"/>
          <w:szCs w:val="24"/>
        </w:rPr>
        <w:t>器械和放射卫生中心</w:t>
      </w:r>
    </w:p>
    <w:p w14:paraId="235CF132">
      <w:pPr>
        <w:overflowPunct w:val="0"/>
        <w:snapToGrid w:val="0"/>
        <w:spacing w:line="300" w:lineRule="auto"/>
        <w:ind w:firstLine="708" w:firstLineChars="295"/>
        <w:rPr>
          <w:rFonts w:ascii="Arial" w:hAnsi="Arial" w:eastAsia="宋体" w:cs="Arial"/>
          <w:sz w:val="24"/>
          <w:szCs w:val="24"/>
        </w:rPr>
      </w:pPr>
      <w:r>
        <w:rPr>
          <w:rFonts w:ascii="Arial" w:hAnsi="Arial" w:eastAsia="宋体" w:cs="Arial"/>
          <w:sz w:val="24"/>
          <w:szCs w:val="24"/>
        </w:rPr>
        <w:t>ATTN：电子产品报告</w:t>
      </w:r>
    </w:p>
    <w:p w14:paraId="3F9DD5CB">
      <w:pPr>
        <w:overflowPunct w:val="0"/>
        <w:snapToGrid w:val="0"/>
        <w:spacing w:line="300" w:lineRule="auto"/>
        <w:ind w:firstLine="708" w:firstLineChars="295"/>
        <w:rPr>
          <w:rFonts w:ascii="Arial" w:hAnsi="Arial" w:eastAsia="宋体" w:cs="Arial"/>
          <w:sz w:val="24"/>
          <w:szCs w:val="24"/>
        </w:rPr>
      </w:pPr>
      <w:r>
        <w:rPr>
          <w:rFonts w:ascii="Arial" w:hAnsi="Arial" w:eastAsia="宋体" w:cs="Arial"/>
          <w:sz w:val="24"/>
          <w:szCs w:val="24"/>
        </w:rPr>
        <w:t>放射卫生文件控制（HFZ-309）</w:t>
      </w:r>
    </w:p>
    <w:p w14:paraId="251FA34A">
      <w:pPr>
        <w:overflowPunct w:val="0"/>
        <w:snapToGrid w:val="0"/>
        <w:spacing w:line="300" w:lineRule="auto"/>
        <w:ind w:firstLine="708" w:firstLineChars="295"/>
        <w:rPr>
          <w:rFonts w:ascii="Arial" w:hAnsi="Arial" w:eastAsia="宋体" w:cs="Arial"/>
          <w:sz w:val="24"/>
          <w:szCs w:val="24"/>
        </w:rPr>
      </w:pPr>
      <w:r>
        <w:rPr>
          <w:rFonts w:ascii="Arial" w:hAnsi="Arial" w:eastAsia="宋体" w:cs="Arial"/>
          <w:sz w:val="24"/>
          <w:szCs w:val="24"/>
        </w:rPr>
        <w:t>沟通、培训和辐射项目办公室</w:t>
      </w:r>
      <w:r>
        <w:rPr>
          <w:rStyle w:val="12"/>
          <w:rFonts w:ascii="Arial" w:hAnsi="Arial" w:eastAsia="宋体" w:cs="Arial"/>
          <w:sz w:val="24"/>
          <w:szCs w:val="24"/>
        </w:rPr>
        <w:footnoteReference w:id="2"/>
      </w:r>
    </w:p>
    <w:p w14:paraId="49C81FDB">
      <w:pPr>
        <w:overflowPunct w:val="0"/>
        <w:snapToGrid w:val="0"/>
        <w:spacing w:line="300" w:lineRule="auto"/>
        <w:ind w:firstLine="708" w:firstLineChars="295"/>
        <w:rPr>
          <w:rFonts w:ascii="Arial" w:hAnsi="Arial" w:eastAsia="宋体" w:cs="Arial"/>
          <w:sz w:val="24"/>
          <w:szCs w:val="24"/>
        </w:rPr>
      </w:pPr>
      <w:r>
        <w:rPr>
          <w:rFonts w:ascii="Arial" w:hAnsi="Arial" w:eastAsia="宋体" w:cs="Arial"/>
          <w:sz w:val="24"/>
          <w:szCs w:val="24"/>
        </w:rPr>
        <w:t>9200 Corporate Blvd</w:t>
      </w:r>
    </w:p>
    <w:p w14:paraId="1D7AE376">
      <w:pPr>
        <w:overflowPunct w:val="0"/>
        <w:snapToGrid w:val="0"/>
        <w:spacing w:after="240" w:line="300" w:lineRule="auto"/>
        <w:ind w:firstLine="708" w:firstLineChars="295"/>
        <w:rPr>
          <w:rFonts w:ascii="Arial" w:hAnsi="Arial" w:eastAsia="宋体" w:cs="Arial"/>
          <w:sz w:val="24"/>
          <w:szCs w:val="24"/>
        </w:rPr>
      </w:pPr>
      <w:r>
        <w:rPr>
          <w:rFonts w:ascii="Arial" w:hAnsi="Arial" w:eastAsia="宋体" w:cs="Arial"/>
          <w:sz w:val="24"/>
          <w:szCs w:val="24"/>
        </w:rPr>
        <w:t>Rockville，MD 20850</w:t>
      </w:r>
    </w:p>
    <w:bookmarkEnd w:id="14"/>
    <w:bookmarkEnd w:id="15"/>
    <w:p w14:paraId="354CA4ED">
      <w:pPr>
        <w:overflowPunct w:val="0"/>
        <w:snapToGrid w:val="0"/>
        <w:spacing w:line="300" w:lineRule="auto"/>
        <w:ind w:firstLine="708" w:firstLineChars="295"/>
        <w:rPr>
          <w:rFonts w:ascii="Arial" w:hAnsi="Arial" w:eastAsia="宋体" w:cs="Arial"/>
          <w:sz w:val="24"/>
          <w:szCs w:val="24"/>
          <w:u w:val="single"/>
        </w:rPr>
      </w:pPr>
      <w:r>
        <w:rPr>
          <w:rFonts w:ascii="Arial" w:hAnsi="Arial" w:eastAsia="宋体" w:cs="Arial"/>
          <w:sz w:val="24"/>
          <w:szCs w:val="24"/>
          <w:u w:val="single"/>
        </w:rPr>
        <w:t>电子报告选项</w:t>
      </w:r>
    </w:p>
    <w:p w14:paraId="5044A0BE">
      <w:pPr>
        <w:overflowPunct w:val="0"/>
        <w:snapToGrid w:val="0"/>
        <w:spacing w:line="300" w:lineRule="auto"/>
        <w:ind w:left="709" w:leftChars="337" w:hanging="1"/>
      </w:pPr>
      <w:r>
        <w:rPr>
          <w:rFonts w:ascii="Arial" w:hAnsi="Arial" w:eastAsia="宋体" w:cs="Arial"/>
          <w:sz w:val="24"/>
          <w:szCs w:val="24"/>
        </w:rPr>
        <w:t>制造商也可以使用CeSub eSubmitter软件以电子版形式填写和提交报告和通信。下载CeSub eSubmitter软件，并按照该软件附带的说明进行操作。有关CeSub eSubmitter软件的更多信息，请访问FDA网站。</w:t>
      </w:r>
    </w:p>
    <w:p w14:paraId="73D777CE">
      <w:pPr>
        <w:overflowPunct w:val="0"/>
        <w:snapToGrid w:val="0"/>
        <w:spacing w:line="300" w:lineRule="auto"/>
        <w:ind w:left="709" w:leftChars="337" w:hanging="1"/>
        <w:rPr>
          <w:rFonts w:ascii="Arial" w:hAnsi="Arial" w:cs="Arial"/>
          <w:color w:val="0000FF"/>
          <w:sz w:val="23"/>
          <w:szCs w:val="23"/>
          <w:u w:val="single"/>
        </w:rPr>
      </w:pPr>
      <w:r>
        <w:rPr>
          <w:rFonts w:ascii="Arial" w:hAnsi="Arial" w:cs="Arial"/>
          <w:color w:val="0000FF"/>
          <w:sz w:val="23"/>
          <w:szCs w:val="23"/>
          <w:u w:val="single"/>
        </w:rPr>
        <w:t>http://www.fda.gov/cdrh/</w:t>
      </w:r>
      <w:r>
        <w:rPr>
          <w:rFonts w:ascii="Arial" w:hAnsi="Arial" w:eastAsia="宋体" w:cs="Arial"/>
          <w:color w:val="0000FF"/>
          <w:sz w:val="24"/>
          <w:szCs w:val="24"/>
          <w:u w:val="single"/>
        </w:rPr>
        <w:t>cesub</w:t>
      </w:r>
      <w:r>
        <w:rPr>
          <w:rFonts w:ascii="Arial" w:hAnsi="Arial" w:cs="Arial"/>
          <w:color w:val="0000FF"/>
          <w:sz w:val="23"/>
          <w:szCs w:val="23"/>
          <w:u w:val="single"/>
        </w:rPr>
        <w:t>/</w:t>
      </w:r>
    </w:p>
    <w:p w14:paraId="3E942E76">
      <w:pPr>
        <w:overflowPunct w:val="0"/>
        <w:snapToGrid w:val="0"/>
        <w:spacing w:line="300" w:lineRule="auto"/>
        <w:rPr>
          <w:rFonts w:ascii="Arial" w:hAnsi="Arial" w:eastAsia="宋体" w:cs="Arial"/>
          <w:sz w:val="24"/>
          <w:szCs w:val="24"/>
        </w:rPr>
      </w:pPr>
    </w:p>
    <w:p w14:paraId="5FAF99A7">
      <w:pPr>
        <w:overflowPunct w:val="0"/>
        <w:snapToGrid w:val="0"/>
        <w:spacing w:after="240" w:line="300" w:lineRule="auto"/>
        <w:rPr>
          <w:rFonts w:ascii="Arial" w:hAnsi="Arial" w:eastAsia="宋体" w:cs="Arial"/>
          <w:sz w:val="24"/>
          <w:szCs w:val="24"/>
        </w:rPr>
      </w:pPr>
      <w:r>
        <w:rPr>
          <w:rFonts w:ascii="Arial" w:hAnsi="Arial" w:eastAsia="宋体" w:cs="Arial"/>
          <w:sz w:val="24"/>
          <w:szCs w:val="24"/>
        </w:rPr>
        <w:t>产品报告【21 CFR 1002.10】</w:t>
      </w:r>
    </w:p>
    <w:p w14:paraId="07FBB418">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在产品上市前，产品或组件的所有制造商均需要按照要求向器械和放射卫生中心提供1002.1表1所列的产品报告【ATTN：电子产品报告；放射卫生文件控制（HFZ-309）；沟通、培训和辐射项目办公室；9200 Corporate Blvd；Rockville，MD 20850】。</w:t>
      </w:r>
    </w:p>
    <w:p w14:paraId="3D1E4903">
      <w:pPr>
        <w:overflowPunct w:val="0"/>
        <w:snapToGrid w:val="0"/>
        <w:spacing w:after="240" w:line="300" w:lineRule="auto"/>
        <w:rPr>
          <w:rFonts w:ascii="Arial" w:hAnsi="Arial" w:cs="Arial"/>
          <w:sz w:val="24"/>
          <w:szCs w:val="24"/>
        </w:rPr>
      </w:pPr>
      <w:r>
        <w:rPr>
          <w:rFonts w:ascii="Arial" w:hAnsi="Arial" w:eastAsia="宋体" w:cs="Arial"/>
          <w:sz w:val="24"/>
          <w:szCs w:val="24"/>
        </w:rPr>
        <w:t>柜式X射线系统的制造商必须在产品上市前提交产品报告。产品报告旨在描述该产品、是否符合性能标准、以及用于认证产品的质量控制和测试程序【21 CFR 1002.10】。产品报告的格式和内容的相关描述见于报告指南“根据21 CFR 1020.40的要求提交柜式X射线系统报告的指南”。</w:t>
      </w:r>
      <w:r>
        <w:rPr>
          <w:rFonts w:hint="eastAsia" w:ascii="Arial" w:hAnsi="Arial" w:eastAsia="宋体" w:cs="Arial"/>
          <w:sz w:val="24"/>
          <w:szCs w:val="24"/>
        </w:rPr>
        <w:br w:type="textWrapping"/>
      </w:r>
      <w:r>
        <w:rPr>
          <w:rFonts w:ascii="Arial" w:hAnsi="Arial" w:cs="Arial"/>
          <w:sz w:val="24"/>
          <w:szCs w:val="24"/>
        </w:rPr>
        <w:t>(</w:t>
      </w:r>
      <w:r>
        <w:rPr>
          <w:rFonts w:ascii="Arial" w:hAnsi="Arial" w:cs="Arial"/>
          <w:color w:val="0000FF"/>
          <w:sz w:val="24"/>
          <w:szCs w:val="24"/>
          <w:u w:val="single"/>
        </w:rPr>
        <w:t>http://www.fda.gov/cdrh/radhlth/pdf/cabrpt01.pdf</w:t>
      </w:r>
      <w:r>
        <w:rPr>
          <w:rFonts w:ascii="Arial" w:hAnsi="Arial" w:cs="Arial"/>
          <w:sz w:val="24"/>
          <w:szCs w:val="24"/>
        </w:rPr>
        <w:t>)</w:t>
      </w:r>
    </w:p>
    <w:p w14:paraId="4DF47E5A">
      <w:pPr>
        <w:overflowPunct w:val="0"/>
        <w:snapToGrid w:val="0"/>
        <w:spacing w:line="300" w:lineRule="auto"/>
        <w:rPr>
          <w:rFonts w:ascii="Arial" w:hAnsi="Arial" w:eastAsia="宋体" w:cs="Arial"/>
          <w:i/>
          <w:sz w:val="24"/>
          <w:szCs w:val="24"/>
        </w:rPr>
      </w:pPr>
      <w:r>
        <w:rPr>
          <w:rFonts w:ascii="Arial" w:hAnsi="Arial" w:eastAsia="宋体" w:cs="Arial"/>
          <w:sz w:val="24"/>
          <w:szCs w:val="24"/>
          <w:u w:val="single"/>
        </w:rPr>
        <w:t>补充报告</w:t>
      </w:r>
      <w:r>
        <w:rPr>
          <w:rFonts w:ascii="Arial" w:hAnsi="Arial" w:eastAsia="宋体" w:cs="Arial"/>
          <w:sz w:val="24"/>
          <w:szCs w:val="24"/>
        </w:rPr>
        <w:t>【21 CFR 1002.11】</w:t>
      </w:r>
      <w:r>
        <w:rPr>
          <w:rFonts w:ascii="Arial" w:hAnsi="Arial" w:eastAsia="宋体" w:cs="Arial"/>
          <w:i/>
          <w:sz w:val="24"/>
          <w:szCs w:val="24"/>
        </w:rPr>
        <w:t>在1002.1的表1所列产品的某种型号或系列中引入新的或修改的需要1002.10报告的型号之前，所有制造商应提交关于新的或修改后模式的报告，描述已提交的产品报告中的信息是否有任何变化。需要进行以下更改的报告：</w:t>
      </w:r>
    </w:p>
    <w:p w14:paraId="155C5AF8">
      <w:pPr>
        <w:overflowPunct w:val="0"/>
        <w:snapToGrid w:val="0"/>
        <w:spacing w:line="300" w:lineRule="auto"/>
        <w:rPr>
          <w:rFonts w:ascii="Arial" w:hAnsi="Arial" w:eastAsia="宋体" w:cs="Arial"/>
          <w:i/>
          <w:sz w:val="24"/>
          <w:szCs w:val="24"/>
        </w:rPr>
      </w:pPr>
      <w:r>
        <w:rPr>
          <w:rFonts w:ascii="Arial" w:hAnsi="Arial" w:eastAsia="宋体" w:cs="Arial"/>
          <w:i/>
          <w:sz w:val="24"/>
          <w:szCs w:val="24"/>
        </w:rPr>
        <w:t>（a）影响实际或潜在的辐射发射。</w:t>
      </w:r>
    </w:p>
    <w:p w14:paraId="131A9A96">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（b）影响符合辐射安全测试标准或辐射安全性测试方式。</w:t>
      </w:r>
    </w:p>
    <w:p w14:paraId="3C0ADE6F">
      <w:pPr>
        <w:overflowPunct w:val="0"/>
        <w:snapToGrid w:val="0"/>
        <w:spacing w:after="240" w:line="300" w:lineRule="auto"/>
        <w:rPr>
          <w:rFonts w:ascii="Arial" w:hAnsi="Arial" w:eastAsia="宋体" w:cs="Arial"/>
          <w:sz w:val="24"/>
          <w:szCs w:val="24"/>
        </w:rPr>
      </w:pPr>
      <w:r>
        <w:rPr>
          <w:rFonts w:ascii="Arial" w:hAnsi="Arial" w:eastAsia="宋体" w:cs="Arial"/>
          <w:sz w:val="24"/>
          <w:szCs w:val="24"/>
        </w:rPr>
        <w:t>补充报告描述了制造商产品报告中报告的模型和/或程序的变化。补充报告的格式和内容遵循与产品报告相同的格式。</w:t>
      </w:r>
    </w:p>
    <w:p w14:paraId="2262EE23">
      <w:pPr>
        <w:overflowPunct w:val="0"/>
        <w:snapToGrid w:val="0"/>
        <w:spacing w:line="300" w:lineRule="auto"/>
        <w:rPr>
          <w:rFonts w:ascii="Arial" w:hAnsi="Arial" w:eastAsia="宋体" w:cs="Arial"/>
          <w:sz w:val="24"/>
          <w:szCs w:val="24"/>
        </w:rPr>
      </w:pPr>
      <w:r>
        <w:rPr>
          <w:rFonts w:ascii="Arial" w:hAnsi="Arial" w:eastAsia="宋体" w:cs="Arial"/>
          <w:sz w:val="24"/>
          <w:szCs w:val="24"/>
          <w:u w:val="single"/>
        </w:rPr>
        <w:t>年度报告</w:t>
      </w:r>
      <w:r>
        <w:rPr>
          <w:rFonts w:ascii="Arial" w:hAnsi="Arial" w:eastAsia="宋体" w:cs="Arial"/>
          <w:sz w:val="24"/>
          <w:szCs w:val="24"/>
        </w:rPr>
        <w:t>【21 CFR 1002.13】</w:t>
      </w:r>
    </w:p>
    <w:p w14:paraId="626C4E14">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（a）需要提交1002.1表1中所规定的年度报告的产品制造商应提交总结1002.30（a）所需记录内容的年度报告，并提供生产、销售或安装的产品数量信息。</w:t>
      </w:r>
    </w:p>
    <w:p w14:paraId="6FFC3386">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（b）报告应于9月1日前提交。此类报告应包括报告截止日期的6月30日为止的12个月期间的数据。</w:t>
      </w:r>
    </w:p>
    <w:p w14:paraId="64C19AF6">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（c）某型号系列不涉及辐射改变或性能标准要求改变的新型号在进入市场之前不需要补充报告。这些型号应在年度报告的季度更新中报告。</w:t>
      </w:r>
    </w:p>
    <w:p w14:paraId="7D0805C5">
      <w:pPr>
        <w:overflowPunct w:val="0"/>
        <w:snapToGrid w:val="0"/>
        <w:spacing w:line="300" w:lineRule="auto"/>
      </w:pPr>
      <w:r>
        <w:rPr>
          <w:rFonts w:ascii="Arial" w:hAnsi="Arial" w:eastAsia="宋体" w:cs="Arial"/>
          <w:sz w:val="24"/>
          <w:szCs w:val="24"/>
        </w:rPr>
        <w:t>柜式X射线系统制造商必须在每年的9月1日前提交年度报告。该报告应涵盖了上一年7月至提交年份6月30日期间在美国生产和认证的所有产品。年度报告的格式和内容的相关描述见于报告指南“X射线组件和系统年度报告指南”。</w:t>
      </w:r>
    </w:p>
    <w:p w14:paraId="37D243BD">
      <w:pPr>
        <w:pStyle w:val="18"/>
        <w:spacing w:after="240"/>
        <w:rPr>
          <w:rFonts w:ascii="Arial" w:hAnsi="Arial" w:cs="Arial"/>
        </w:rPr>
      </w:pPr>
      <w:r>
        <w:rPr>
          <w:rFonts w:ascii="Arial" w:hAnsi="Arial" w:cs="Arial"/>
        </w:rPr>
        <w:t>(</w:t>
      </w:r>
      <w:r>
        <w:rPr>
          <w:rFonts w:ascii="Arial" w:hAnsi="Arial" w:cs="Arial"/>
          <w:color w:val="0000FF"/>
          <w:u w:val="single"/>
        </w:rPr>
        <w:t>http://www.fda.gov/cdrh/radhlth/pdf/xrcrpt0a.pdf</w:t>
      </w:r>
      <w:r>
        <w:rPr>
          <w:rFonts w:ascii="Arial" w:hAnsi="Arial" w:cs="Arial"/>
        </w:rPr>
        <w:t>)</w:t>
      </w:r>
    </w:p>
    <w:p w14:paraId="0AF2CA3E">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年度报告指南介绍了两种测试总结格式。一般来说，您应该根据定量测量的数值结果将辐射测试结果报告为直方图。大多数其他测试和检查都可以使用已执行/未执行的方式进行报告。</w:t>
      </w:r>
    </w:p>
    <w:p w14:paraId="1F4555D0">
      <w:pPr>
        <w:pStyle w:val="13"/>
        <w:numPr>
          <w:ilvl w:val="0"/>
          <w:numId w:val="1"/>
        </w:numPr>
        <w:overflowPunct w:val="0"/>
        <w:snapToGrid w:val="0"/>
        <w:spacing w:before="156" w:beforeLines="50" w:after="240" w:line="300" w:lineRule="auto"/>
        <w:ind w:left="357" w:hanging="357" w:firstLineChars="0"/>
        <w:outlineLvl w:val="0"/>
        <w:rPr>
          <w:rFonts w:ascii="Arial" w:hAnsi="Arial" w:eastAsia="宋体" w:cs="Arial"/>
          <w:b/>
          <w:sz w:val="32"/>
          <w:szCs w:val="32"/>
        </w:rPr>
      </w:pPr>
      <w:bookmarkStart w:id="16" w:name="_Toc496890874"/>
      <w:r>
        <w:rPr>
          <w:rFonts w:ascii="Arial" w:hAnsi="Arial" w:eastAsia="宋体" w:cs="Arial"/>
          <w:b/>
          <w:sz w:val="32"/>
          <w:szCs w:val="32"/>
        </w:rPr>
        <w:t>事故报告和召回</w:t>
      </w:r>
      <w:bookmarkEnd w:id="16"/>
    </w:p>
    <w:p w14:paraId="25C4ABBF">
      <w:pPr>
        <w:overflowPunct w:val="0"/>
        <w:snapToGrid w:val="0"/>
        <w:spacing w:line="300" w:lineRule="auto"/>
        <w:rPr>
          <w:rFonts w:ascii="Arial" w:hAnsi="Arial" w:eastAsia="宋体" w:cs="Arial"/>
          <w:b/>
          <w:sz w:val="24"/>
          <w:szCs w:val="24"/>
        </w:rPr>
      </w:pPr>
      <w:r>
        <w:rPr>
          <w:rFonts w:ascii="Arial" w:hAnsi="Arial" w:eastAsia="宋体" w:cs="Arial"/>
          <w:b/>
          <w:sz w:val="24"/>
          <w:szCs w:val="24"/>
        </w:rPr>
        <w:t>事故报告</w:t>
      </w:r>
    </w:p>
    <w:p w14:paraId="04FD8007">
      <w:pPr>
        <w:overflowPunct w:val="0"/>
        <w:snapToGrid w:val="0"/>
        <w:spacing w:line="300" w:lineRule="auto"/>
        <w:rPr>
          <w:rFonts w:ascii="Arial" w:hAnsi="Arial" w:eastAsia="宋体" w:cs="Arial"/>
          <w:sz w:val="24"/>
          <w:szCs w:val="24"/>
        </w:rPr>
      </w:pPr>
      <w:r>
        <w:rPr>
          <w:rFonts w:ascii="Arial" w:hAnsi="Arial" w:eastAsia="宋体" w:cs="Arial"/>
          <w:sz w:val="24"/>
          <w:szCs w:val="24"/>
          <w:u w:val="single"/>
        </w:rPr>
        <w:t>意外辐射事件报告</w:t>
      </w:r>
      <w:r>
        <w:rPr>
          <w:rFonts w:ascii="Arial" w:hAnsi="Arial" w:eastAsia="宋体" w:cs="Arial"/>
          <w:sz w:val="24"/>
          <w:szCs w:val="24"/>
        </w:rPr>
        <w:t xml:space="preserve"> 【21 CFR 1002.20（a）】</w:t>
      </w:r>
    </w:p>
    <w:p w14:paraId="0CC249BB">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电子产品制造商应在有合理理由怀疑发生此类事件的情况下立即向器械和放射卫生中心主任报告制造商接收报告或以其他方式知道的，或在制造、测试、或使用由该制造商引入或打算引入商业的任何产品的过程中发生的所有意外辐射事件。合理理由包括但不限于专业的、科学的或医学事实，或文献记载的其他意见，得出结论或可以推导得出这种事件已经发生的结论。</w:t>
      </w:r>
    </w:p>
    <w:p w14:paraId="72ED2FDC">
      <w:pPr>
        <w:overflowPunct w:val="0"/>
        <w:snapToGrid w:val="0"/>
        <w:spacing w:after="240" w:line="300" w:lineRule="auto"/>
        <w:rPr>
          <w:rFonts w:ascii="Arial" w:hAnsi="Arial" w:eastAsia="宋体" w:cs="Arial"/>
          <w:sz w:val="24"/>
          <w:szCs w:val="24"/>
        </w:rPr>
      </w:pPr>
      <w:r>
        <w:rPr>
          <w:rFonts w:ascii="Arial" w:hAnsi="Arial" w:eastAsia="宋体" w:cs="Arial"/>
          <w:sz w:val="24"/>
          <w:szCs w:val="24"/>
        </w:rPr>
        <w:t>柜式X射线系统的制造商必须立即向器械和放射卫生中心主任报告意外辐射事件（ARO）：</w:t>
      </w:r>
    </w:p>
    <w:p w14:paraId="6AF53B03">
      <w:pPr>
        <w:overflowPunct w:val="0"/>
        <w:snapToGrid w:val="0"/>
        <w:spacing w:line="300" w:lineRule="auto"/>
        <w:ind w:firstLine="566" w:firstLineChars="236"/>
        <w:rPr>
          <w:rFonts w:ascii="Arial" w:hAnsi="Arial" w:eastAsia="宋体" w:cs="Arial"/>
          <w:sz w:val="24"/>
          <w:szCs w:val="24"/>
        </w:rPr>
      </w:pPr>
      <w:r>
        <w:rPr>
          <w:rFonts w:ascii="Arial" w:hAnsi="Arial" w:eastAsia="宋体" w:cs="Arial"/>
          <w:sz w:val="24"/>
          <w:szCs w:val="24"/>
        </w:rPr>
        <w:t>器械和放射卫生中心</w:t>
      </w:r>
    </w:p>
    <w:p w14:paraId="5CE5D76D">
      <w:pPr>
        <w:overflowPunct w:val="0"/>
        <w:snapToGrid w:val="0"/>
        <w:spacing w:line="300" w:lineRule="auto"/>
        <w:ind w:firstLine="566" w:firstLineChars="236"/>
        <w:rPr>
          <w:rFonts w:ascii="Arial" w:hAnsi="Arial" w:eastAsia="宋体" w:cs="Arial"/>
          <w:sz w:val="24"/>
          <w:szCs w:val="24"/>
        </w:rPr>
      </w:pPr>
      <w:r>
        <w:rPr>
          <w:rFonts w:ascii="Arial" w:hAnsi="Arial" w:eastAsia="宋体" w:cs="Arial"/>
          <w:sz w:val="24"/>
          <w:szCs w:val="24"/>
        </w:rPr>
        <w:t>ATTN：意外辐射事件报告</w:t>
      </w:r>
    </w:p>
    <w:p w14:paraId="78865BD1">
      <w:pPr>
        <w:overflowPunct w:val="0"/>
        <w:snapToGrid w:val="0"/>
        <w:spacing w:line="300" w:lineRule="auto"/>
        <w:ind w:firstLine="566" w:firstLineChars="236"/>
        <w:rPr>
          <w:rFonts w:ascii="Arial" w:hAnsi="Arial" w:eastAsia="宋体" w:cs="Arial"/>
          <w:sz w:val="24"/>
          <w:szCs w:val="24"/>
        </w:rPr>
      </w:pPr>
      <w:r>
        <w:rPr>
          <w:rFonts w:ascii="Arial" w:hAnsi="Arial" w:eastAsia="宋体" w:cs="Arial"/>
          <w:sz w:val="24"/>
          <w:szCs w:val="24"/>
        </w:rPr>
        <w:t>放射卫生文件控制（HFZ-240）</w:t>
      </w:r>
    </w:p>
    <w:p w14:paraId="557D5E5B">
      <w:pPr>
        <w:overflowPunct w:val="0"/>
        <w:snapToGrid w:val="0"/>
        <w:spacing w:line="300" w:lineRule="auto"/>
        <w:ind w:firstLine="566" w:firstLineChars="236"/>
        <w:rPr>
          <w:rFonts w:ascii="Arial" w:hAnsi="Arial" w:eastAsia="宋体" w:cs="Arial"/>
          <w:sz w:val="24"/>
          <w:szCs w:val="24"/>
        </w:rPr>
      </w:pPr>
      <w:r>
        <w:rPr>
          <w:rFonts w:ascii="Arial" w:hAnsi="Arial" w:eastAsia="宋体" w:cs="Arial"/>
          <w:sz w:val="24"/>
          <w:szCs w:val="24"/>
        </w:rPr>
        <w:t>沟通、培训和辐射项目办公室</w:t>
      </w:r>
      <w:r>
        <w:rPr>
          <w:rStyle w:val="12"/>
          <w:rFonts w:ascii="Arial" w:hAnsi="Arial" w:eastAsia="宋体" w:cs="Arial"/>
          <w:sz w:val="24"/>
          <w:szCs w:val="24"/>
        </w:rPr>
        <w:footnoteReference w:id="3"/>
      </w:r>
    </w:p>
    <w:p w14:paraId="4BD4E57E">
      <w:pPr>
        <w:overflowPunct w:val="0"/>
        <w:snapToGrid w:val="0"/>
        <w:spacing w:line="300" w:lineRule="auto"/>
        <w:ind w:firstLine="566" w:firstLineChars="236"/>
        <w:rPr>
          <w:rFonts w:ascii="Arial" w:hAnsi="Arial" w:eastAsia="宋体" w:cs="Arial"/>
          <w:sz w:val="24"/>
          <w:szCs w:val="24"/>
        </w:rPr>
      </w:pPr>
      <w:r>
        <w:rPr>
          <w:rFonts w:ascii="Arial" w:hAnsi="Arial" w:eastAsia="宋体" w:cs="Arial"/>
          <w:sz w:val="24"/>
          <w:szCs w:val="24"/>
        </w:rPr>
        <w:t>10903 New Hampshire Avenue</w:t>
      </w:r>
    </w:p>
    <w:p w14:paraId="42166B2A">
      <w:pPr>
        <w:overflowPunct w:val="0"/>
        <w:snapToGrid w:val="0"/>
        <w:spacing w:after="240" w:line="300" w:lineRule="auto"/>
        <w:ind w:firstLine="566" w:firstLineChars="236"/>
        <w:rPr>
          <w:rFonts w:ascii="Arial" w:hAnsi="Arial" w:eastAsia="宋体" w:cs="Arial"/>
          <w:sz w:val="24"/>
          <w:szCs w:val="24"/>
        </w:rPr>
      </w:pPr>
      <w:r>
        <w:rPr>
          <w:rFonts w:ascii="Arial" w:hAnsi="Arial" w:eastAsia="宋体" w:cs="Arial"/>
          <w:sz w:val="24"/>
          <w:szCs w:val="24"/>
        </w:rPr>
        <w:t>Silver Spring, MD 20993</w:t>
      </w:r>
    </w:p>
    <w:p w14:paraId="302CE6AE">
      <w:pPr>
        <w:overflowPunct w:val="0"/>
        <w:snapToGrid w:val="0"/>
        <w:spacing w:line="300" w:lineRule="auto"/>
        <w:rPr>
          <w:rFonts w:ascii="Arial" w:hAnsi="Arial" w:eastAsia="宋体" w:cs="Arial"/>
          <w:sz w:val="24"/>
          <w:szCs w:val="24"/>
        </w:rPr>
      </w:pPr>
      <w:r>
        <w:rPr>
          <w:rFonts w:ascii="Arial" w:hAnsi="Arial" w:eastAsia="宋体" w:cs="Arial"/>
          <w:sz w:val="24"/>
          <w:szCs w:val="24"/>
        </w:rPr>
        <w:t>制造商也可以使用CeSub eSubmitter软件以电子版形式填写和提交ARO报告和通信。下载CeSub eSubmitter软件，并按照该软件附带的说明进行操作。有关CeSub eSubmitter软件的更多信息，请访问FDA网站。</w:t>
      </w:r>
    </w:p>
    <w:p w14:paraId="5C24FA54">
      <w:pPr>
        <w:pStyle w:val="18"/>
        <w:snapToGrid w:val="0"/>
        <w:spacing w:after="240"/>
        <w:rPr>
          <w:rFonts w:ascii="Arial" w:hAnsi="Arial" w:cs="Arial"/>
          <w:color w:val="0000FF"/>
        </w:rPr>
      </w:pPr>
      <w:r>
        <w:rPr>
          <w:rFonts w:ascii="Arial" w:hAnsi="Arial" w:cs="Arial"/>
          <w:color w:val="0000FF"/>
          <w:u w:val="single"/>
        </w:rPr>
        <w:t>http://www.fda.gov/cdrh/cesub/</w:t>
      </w:r>
    </w:p>
    <w:p w14:paraId="5E78C786">
      <w:pPr>
        <w:overflowPunct w:val="0"/>
        <w:snapToGrid w:val="0"/>
        <w:spacing w:line="300" w:lineRule="auto"/>
        <w:rPr>
          <w:rFonts w:ascii="Arial" w:hAnsi="Arial" w:eastAsia="宋体" w:cs="Arial"/>
          <w:sz w:val="24"/>
          <w:szCs w:val="24"/>
        </w:rPr>
      </w:pPr>
      <w:r>
        <w:rPr>
          <w:rFonts w:ascii="Arial" w:hAnsi="Arial" w:eastAsia="宋体" w:cs="Arial"/>
          <w:sz w:val="24"/>
          <w:szCs w:val="24"/>
        </w:rPr>
        <w:t>【21 CFR 1002.20（b）】ARO报告应包含制造商已知的所有以下信息：</w:t>
      </w:r>
    </w:p>
    <w:p w14:paraId="2C4F7C4A">
      <w:pPr>
        <w:overflowPunct w:val="0"/>
        <w:snapToGrid w:val="0"/>
        <w:spacing w:line="300" w:lineRule="auto"/>
        <w:rPr>
          <w:rFonts w:ascii="Arial" w:hAnsi="Arial" w:eastAsia="宋体" w:cs="Arial"/>
          <w:sz w:val="24"/>
          <w:szCs w:val="24"/>
        </w:rPr>
      </w:pPr>
      <w:r>
        <w:rPr>
          <w:rFonts w:ascii="Arial" w:hAnsi="Arial" w:eastAsia="宋体" w:cs="Arial"/>
          <w:sz w:val="24"/>
          <w:szCs w:val="24"/>
        </w:rPr>
        <w:t>（1）意外辐射发生的性质；</w:t>
      </w:r>
    </w:p>
    <w:p w14:paraId="7A6419EC">
      <w:pPr>
        <w:overflowPunct w:val="0"/>
        <w:snapToGrid w:val="0"/>
        <w:spacing w:line="300" w:lineRule="auto"/>
        <w:rPr>
          <w:rFonts w:ascii="Arial" w:hAnsi="Arial" w:eastAsia="宋体" w:cs="Arial"/>
          <w:sz w:val="24"/>
          <w:szCs w:val="24"/>
        </w:rPr>
      </w:pPr>
      <w:r>
        <w:rPr>
          <w:rFonts w:ascii="Arial" w:hAnsi="Arial" w:eastAsia="宋体" w:cs="Arial"/>
          <w:sz w:val="24"/>
          <w:szCs w:val="24"/>
        </w:rPr>
        <w:t>（2）发生意外辐射的地点；</w:t>
      </w:r>
    </w:p>
    <w:p w14:paraId="502FDAA6">
      <w:pPr>
        <w:overflowPunct w:val="0"/>
        <w:snapToGrid w:val="0"/>
        <w:spacing w:line="300" w:lineRule="auto"/>
        <w:rPr>
          <w:rFonts w:ascii="Arial" w:hAnsi="Arial" w:eastAsia="宋体" w:cs="Arial"/>
          <w:sz w:val="24"/>
          <w:szCs w:val="24"/>
        </w:rPr>
      </w:pPr>
      <w:r>
        <w:rPr>
          <w:rFonts w:ascii="Arial" w:hAnsi="Arial" w:eastAsia="宋体" w:cs="Arial"/>
          <w:sz w:val="24"/>
          <w:szCs w:val="24"/>
        </w:rPr>
        <w:t>（3）涉及的电子产品或产品的制造商，类型和型号；</w:t>
      </w:r>
    </w:p>
    <w:p w14:paraId="07312D48">
      <w:pPr>
        <w:overflowPunct w:val="0"/>
        <w:snapToGrid w:val="0"/>
        <w:spacing w:line="300" w:lineRule="auto"/>
        <w:rPr>
          <w:rFonts w:ascii="Arial" w:hAnsi="Arial" w:eastAsia="宋体" w:cs="Arial"/>
          <w:sz w:val="24"/>
          <w:szCs w:val="24"/>
        </w:rPr>
      </w:pPr>
      <w:r>
        <w:rPr>
          <w:rFonts w:ascii="Arial" w:hAnsi="Arial" w:eastAsia="宋体" w:cs="Arial"/>
          <w:sz w:val="24"/>
          <w:szCs w:val="24"/>
        </w:rPr>
        <w:t>（4）意外辐射事件的情况，包括原因；</w:t>
      </w:r>
    </w:p>
    <w:p w14:paraId="04A2C87A">
      <w:pPr>
        <w:overflowPunct w:val="0"/>
        <w:snapToGrid w:val="0"/>
        <w:spacing w:line="300" w:lineRule="auto"/>
        <w:rPr>
          <w:rFonts w:ascii="Arial" w:hAnsi="Arial" w:eastAsia="宋体" w:cs="Arial"/>
          <w:sz w:val="24"/>
          <w:szCs w:val="24"/>
        </w:rPr>
      </w:pPr>
      <w:r>
        <w:rPr>
          <w:rFonts w:ascii="Arial" w:hAnsi="Arial" w:eastAsia="宋体" w:cs="Arial"/>
          <w:sz w:val="24"/>
          <w:szCs w:val="24"/>
        </w:rPr>
        <w:t>（5）在意外辐射事件期间涉及的、产生不利影响的、或暴露的人数，其暴露和/或伤害的性质和严重程度，如果器械和放射卫生中心主任要求，还应提供涉及人员姓名。</w:t>
      </w:r>
    </w:p>
    <w:p w14:paraId="65E0F5A5">
      <w:pPr>
        <w:overflowPunct w:val="0"/>
        <w:snapToGrid w:val="0"/>
        <w:spacing w:line="300" w:lineRule="auto"/>
        <w:rPr>
          <w:rFonts w:ascii="Arial" w:hAnsi="Arial" w:eastAsia="宋体" w:cs="Arial"/>
          <w:sz w:val="24"/>
          <w:szCs w:val="24"/>
        </w:rPr>
      </w:pPr>
      <w:r>
        <w:rPr>
          <w:rFonts w:ascii="Arial" w:hAnsi="Arial" w:eastAsia="宋体" w:cs="Arial"/>
          <w:sz w:val="24"/>
          <w:szCs w:val="24"/>
        </w:rPr>
        <w:t>（6）制造商可能采取的用于控制、纠正或消除事故原因，防止再次发生的行为；和</w:t>
      </w:r>
    </w:p>
    <w:p w14:paraId="023CB66D">
      <w:pPr>
        <w:overflowPunct w:val="0"/>
        <w:snapToGrid w:val="0"/>
        <w:spacing w:after="240" w:line="300" w:lineRule="auto"/>
        <w:rPr>
          <w:rFonts w:ascii="Arial" w:hAnsi="Arial" w:eastAsia="宋体" w:cs="Arial"/>
          <w:sz w:val="24"/>
          <w:szCs w:val="24"/>
        </w:rPr>
      </w:pPr>
      <w:r>
        <w:rPr>
          <w:rFonts w:ascii="Arial" w:hAnsi="Arial" w:eastAsia="宋体" w:cs="Arial"/>
          <w:sz w:val="24"/>
          <w:szCs w:val="24"/>
        </w:rPr>
        <w:t>（7）关于意外辐射事件的任何其他相关信息。</w:t>
      </w:r>
    </w:p>
    <w:p w14:paraId="7F49259F">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如果涉及ARO的事件与辐射安全缺陷相关或不符合性能标准，并应根据21 CFR 1003.10（见下一节）提供报告，则不需要根据21 CFR 1002.20提供独立ARO报告。</w:t>
      </w:r>
    </w:p>
    <w:p w14:paraId="343552D4">
      <w:pPr>
        <w:overflowPunct w:val="0"/>
        <w:snapToGrid w:val="0"/>
        <w:spacing w:after="240" w:line="300" w:lineRule="auto"/>
        <w:rPr>
          <w:rFonts w:ascii="Arial" w:hAnsi="Arial" w:eastAsia="宋体" w:cs="Arial"/>
          <w:sz w:val="24"/>
          <w:szCs w:val="24"/>
        </w:rPr>
      </w:pPr>
      <w:r>
        <w:rPr>
          <w:rFonts w:ascii="Arial" w:hAnsi="Arial" w:eastAsia="宋体" w:cs="Arial"/>
          <w:b/>
          <w:sz w:val="24"/>
          <w:szCs w:val="24"/>
        </w:rPr>
        <w:t>召回</w:t>
      </w:r>
      <w:r>
        <w:rPr>
          <w:rFonts w:ascii="Arial" w:hAnsi="Arial" w:eastAsia="宋体" w:cs="Arial"/>
          <w:sz w:val="24"/>
          <w:szCs w:val="24"/>
        </w:rPr>
        <w:t>【21 CFR</w:t>
      </w:r>
      <w:r>
        <w:rPr>
          <w:rFonts w:hint="eastAsia" w:ascii="Arial" w:hAnsi="Arial" w:eastAsia="宋体" w:cs="Arial"/>
          <w:sz w:val="24"/>
          <w:szCs w:val="24"/>
        </w:rPr>
        <w:t>第</w:t>
      </w:r>
      <w:r>
        <w:rPr>
          <w:rFonts w:ascii="Arial" w:hAnsi="Arial" w:eastAsia="宋体" w:cs="Arial"/>
          <w:sz w:val="24"/>
          <w:szCs w:val="24"/>
        </w:rPr>
        <w:t>1003</w:t>
      </w:r>
      <w:r>
        <w:rPr>
          <w:rFonts w:hint="eastAsia" w:ascii="Arial" w:hAnsi="Arial" w:eastAsia="宋体" w:cs="Arial"/>
          <w:sz w:val="24"/>
          <w:szCs w:val="24"/>
        </w:rPr>
        <w:t>和</w:t>
      </w:r>
      <w:r>
        <w:rPr>
          <w:rFonts w:ascii="Arial" w:hAnsi="Arial" w:eastAsia="宋体" w:cs="Arial"/>
          <w:sz w:val="24"/>
          <w:szCs w:val="24"/>
        </w:rPr>
        <w:t>1004</w:t>
      </w:r>
      <w:r>
        <w:rPr>
          <w:rFonts w:hint="eastAsia" w:ascii="Arial" w:hAnsi="Arial" w:eastAsia="宋体" w:cs="Arial"/>
          <w:sz w:val="24"/>
          <w:szCs w:val="24"/>
        </w:rPr>
        <w:t>部分</w:t>
      </w:r>
      <w:r>
        <w:rPr>
          <w:rFonts w:ascii="Arial" w:hAnsi="Arial" w:eastAsia="宋体" w:cs="Arial"/>
          <w:sz w:val="24"/>
          <w:szCs w:val="24"/>
        </w:rPr>
        <w:t>】</w:t>
      </w:r>
    </w:p>
    <w:p w14:paraId="1FBD9395">
      <w:pPr>
        <w:overflowPunct w:val="0"/>
        <w:snapToGrid w:val="0"/>
        <w:spacing w:line="300" w:lineRule="auto"/>
        <w:rPr>
          <w:rFonts w:ascii="Arial" w:hAnsi="Arial" w:eastAsia="宋体" w:cs="Arial"/>
          <w:sz w:val="24"/>
          <w:szCs w:val="24"/>
        </w:rPr>
      </w:pPr>
      <w:r>
        <w:rPr>
          <w:rFonts w:ascii="Arial" w:hAnsi="Arial" w:eastAsia="宋体" w:cs="Arial"/>
          <w:sz w:val="24"/>
          <w:szCs w:val="24"/>
          <w:u w:val="single"/>
        </w:rPr>
        <w:t>发现问题和通知</w:t>
      </w:r>
      <w:r>
        <w:rPr>
          <w:rFonts w:ascii="Arial" w:hAnsi="Arial" w:eastAsia="宋体" w:cs="Arial"/>
          <w:sz w:val="24"/>
          <w:szCs w:val="24"/>
        </w:rPr>
        <w:t>【21 CFR 1003.10】</w:t>
      </w:r>
    </w:p>
    <w:p w14:paraId="16A75F26">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如果制造商发现其生产、组装或进口的，已经离开制造商的电子产品存在缺陷或不符合适用的联邦标准：</w:t>
      </w:r>
    </w:p>
    <w:p w14:paraId="68ACB42D">
      <w:pPr>
        <w:overflowPunct w:val="0"/>
        <w:snapToGrid w:val="0"/>
        <w:spacing w:after="240" w:line="300" w:lineRule="auto"/>
        <w:rPr>
          <w:rFonts w:ascii="Arial" w:hAnsi="Arial" w:eastAsia="宋体" w:cs="Arial"/>
          <w:sz w:val="24"/>
          <w:szCs w:val="24"/>
        </w:rPr>
      </w:pPr>
      <w:r>
        <w:rPr>
          <w:rFonts w:ascii="Arial" w:hAnsi="Arial" w:eastAsia="宋体" w:cs="Arial"/>
          <w:sz w:val="24"/>
          <w:szCs w:val="24"/>
        </w:rPr>
        <w:t>（a）立即根据1003.20通知委员会</w:t>
      </w:r>
    </w:p>
    <w:p w14:paraId="4489222D">
      <w:pPr>
        <w:overflowPunct w:val="0"/>
        <w:snapToGrid w:val="0"/>
        <w:spacing w:after="240" w:line="300" w:lineRule="auto"/>
        <w:rPr>
          <w:rFonts w:ascii="Arial" w:hAnsi="Arial" w:eastAsia="宋体" w:cs="Arial"/>
          <w:sz w:val="24"/>
          <w:szCs w:val="24"/>
        </w:rPr>
      </w:pPr>
      <w:r>
        <w:rPr>
          <w:rFonts w:ascii="Arial" w:hAnsi="Arial" w:eastAsia="宋体" w:cs="Arial"/>
          <w:sz w:val="24"/>
          <w:szCs w:val="24"/>
        </w:rPr>
        <w:t xml:space="preserve">（b）除经1003.30授权之外，应及时通知以下人员：  </w:t>
      </w:r>
    </w:p>
    <w:p w14:paraId="44D5B521">
      <w:pPr>
        <w:overflowPunct w:val="0"/>
        <w:snapToGrid w:val="0"/>
        <w:spacing w:after="240" w:line="300" w:lineRule="auto"/>
        <w:rPr>
          <w:rFonts w:ascii="Arial" w:hAnsi="Arial" w:eastAsia="宋体" w:cs="Arial"/>
          <w:sz w:val="24"/>
          <w:szCs w:val="24"/>
        </w:rPr>
      </w:pPr>
      <w:r>
        <w:rPr>
          <w:rFonts w:ascii="Arial" w:hAnsi="Arial" w:eastAsia="宋体" w:cs="Arial"/>
          <w:sz w:val="24"/>
          <w:szCs w:val="24"/>
        </w:rPr>
        <w:t>（1）制造商交付此类产品的经销商或分销商；和</w:t>
      </w:r>
    </w:p>
    <w:p w14:paraId="702C09F7">
      <w:pPr>
        <w:overflowPunct w:val="0"/>
        <w:snapToGrid w:val="0"/>
        <w:spacing w:after="240" w:line="300" w:lineRule="auto"/>
        <w:rPr>
          <w:rFonts w:ascii="Arial" w:hAnsi="Arial" w:eastAsia="宋体" w:cs="Arial"/>
          <w:sz w:val="24"/>
          <w:szCs w:val="24"/>
        </w:rPr>
      </w:pPr>
      <w:r>
        <w:rPr>
          <w:rFonts w:ascii="Arial" w:hAnsi="Arial" w:eastAsia="宋体" w:cs="Arial"/>
          <w:sz w:val="24"/>
          <w:szCs w:val="24"/>
        </w:rPr>
        <w:t>（2）该产品的买方以及该产品的任何后续受让人（如果制造商知晓，或制造商通过对经销商，分销商或买方进行合理查询后可以识别当前用户）。</w:t>
      </w:r>
    </w:p>
    <w:p w14:paraId="31233752">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如果制造商发现其生产、组装或进口的，已经离开制造商的电子产品存在缺陷【21 CFR 1003.2】或不符合适用的联邦标准，则根据21 CFR 1003.20的要求制造商必须立即通知FDA。除非请求和获得批准了【21 CFR 1003.30和1003.31】的豁免，否则制造商还应按照21 CFR 1003.21的要求，及时向下列人员提供通知：</w:t>
      </w:r>
    </w:p>
    <w:p w14:paraId="7904CD38">
      <w:pPr>
        <w:pStyle w:val="13"/>
        <w:numPr>
          <w:ilvl w:val="0"/>
          <w:numId w:val="14"/>
        </w:numPr>
        <w:overflowPunct w:val="0"/>
        <w:snapToGrid w:val="0"/>
        <w:spacing w:after="240" w:line="300" w:lineRule="auto"/>
        <w:ind w:left="851" w:hanging="425" w:firstLineChars="0"/>
        <w:rPr>
          <w:rFonts w:ascii="Arial" w:hAnsi="Arial" w:eastAsia="宋体" w:cs="Arial"/>
          <w:sz w:val="24"/>
          <w:szCs w:val="24"/>
        </w:rPr>
      </w:pPr>
      <w:r>
        <w:rPr>
          <w:rFonts w:ascii="Arial" w:hAnsi="Arial" w:eastAsia="宋体" w:cs="Arial"/>
          <w:sz w:val="24"/>
          <w:szCs w:val="24"/>
        </w:rPr>
        <w:t>制造商交付此类产品的经销商或分销商；和</w:t>
      </w:r>
    </w:p>
    <w:p w14:paraId="4841D23B">
      <w:pPr>
        <w:pStyle w:val="13"/>
        <w:numPr>
          <w:ilvl w:val="0"/>
          <w:numId w:val="14"/>
        </w:numPr>
        <w:overflowPunct w:val="0"/>
        <w:snapToGrid w:val="0"/>
        <w:spacing w:after="240" w:line="300" w:lineRule="auto"/>
        <w:ind w:left="851" w:hanging="425" w:firstLineChars="0"/>
        <w:rPr>
          <w:rFonts w:ascii="Arial" w:hAnsi="Arial" w:eastAsia="宋体" w:cs="Arial"/>
          <w:sz w:val="24"/>
          <w:szCs w:val="24"/>
        </w:rPr>
      </w:pPr>
      <w:r>
        <w:rPr>
          <w:rFonts w:ascii="Arial" w:hAnsi="Arial" w:eastAsia="宋体" w:cs="Arial"/>
          <w:sz w:val="24"/>
          <w:szCs w:val="24"/>
        </w:rPr>
        <w:t>该产品的买方以及该产品的任何后续受让人（如果制造商知晓，或制造商通过对经销商，分销商或买方进行合理查询后可以识别当前用户）。</w:t>
      </w:r>
    </w:p>
    <w:p w14:paraId="36066802">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当FDA确定发生缺陷或不符合要求时，FDA将根据21 CFR 1003.11的规定通知制造商。</w:t>
      </w:r>
    </w:p>
    <w:p w14:paraId="2ED0E50D">
      <w:pPr>
        <w:overflowPunct w:val="0"/>
        <w:snapToGrid w:val="0"/>
        <w:spacing w:after="240" w:line="300" w:lineRule="auto"/>
        <w:rPr>
          <w:rFonts w:ascii="Arial" w:hAnsi="Arial" w:eastAsia="宋体" w:cs="Arial"/>
          <w:sz w:val="24"/>
          <w:szCs w:val="24"/>
          <w:u w:val="single"/>
        </w:rPr>
      </w:pPr>
      <w:r>
        <w:rPr>
          <w:rFonts w:ascii="Arial" w:hAnsi="Arial" w:eastAsia="宋体" w:cs="Arial"/>
          <w:sz w:val="24"/>
          <w:szCs w:val="24"/>
          <w:u w:val="single"/>
        </w:rPr>
        <w:t>联系以下地址处理所有辐射缺陷报告或未能遵守联邦执行标准：</w:t>
      </w:r>
    </w:p>
    <w:p w14:paraId="121E2F51">
      <w:pPr>
        <w:overflowPunct w:val="0"/>
        <w:snapToGrid w:val="0"/>
        <w:spacing w:line="300" w:lineRule="auto"/>
        <w:ind w:firstLine="566" w:firstLineChars="236"/>
        <w:rPr>
          <w:rFonts w:ascii="Arial" w:hAnsi="Arial" w:eastAsia="宋体" w:cs="Arial"/>
          <w:sz w:val="24"/>
          <w:szCs w:val="24"/>
        </w:rPr>
      </w:pPr>
      <w:bookmarkStart w:id="17" w:name="OLE_LINK6"/>
      <w:bookmarkStart w:id="18" w:name="OLE_LINK7"/>
      <w:r>
        <w:rPr>
          <w:rFonts w:ascii="Arial" w:hAnsi="Arial" w:eastAsia="宋体" w:cs="Arial"/>
          <w:sz w:val="24"/>
          <w:szCs w:val="24"/>
        </w:rPr>
        <w:t>器械和放射卫生中心</w:t>
      </w:r>
    </w:p>
    <w:p w14:paraId="39FE1AE2">
      <w:pPr>
        <w:overflowPunct w:val="0"/>
        <w:snapToGrid w:val="0"/>
        <w:spacing w:line="300" w:lineRule="auto"/>
        <w:ind w:firstLine="566" w:firstLineChars="236"/>
        <w:rPr>
          <w:rFonts w:ascii="Arial" w:hAnsi="Arial" w:eastAsia="宋体" w:cs="Arial"/>
          <w:sz w:val="24"/>
          <w:szCs w:val="24"/>
        </w:rPr>
      </w:pPr>
      <w:r>
        <w:rPr>
          <w:rFonts w:ascii="Arial" w:hAnsi="Arial" w:eastAsia="宋体" w:cs="Arial"/>
          <w:sz w:val="24"/>
          <w:szCs w:val="24"/>
        </w:rPr>
        <w:t>ATTN：缺陷或非合规通知（HFZ-240）</w:t>
      </w:r>
    </w:p>
    <w:p w14:paraId="645A23FB">
      <w:pPr>
        <w:overflowPunct w:val="0"/>
        <w:snapToGrid w:val="0"/>
        <w:spacing w:line="300" w:lineRule="auto"/>
        <w:ind w:firstLine="566" w:firstLineChars="236"/>
        <w:rPr>
          <w:rFonts w:ascii="Arial" w:hAnsi="Arial" w:eastAsia="宋体" w:cs="Arial"/>
          <w:sz w:val="24"/>
          <w:szCs w:val="24"/>
        </w:rPr>
      </w:pPr>
      <w:r>
        <w:rPr>
          <w:rFonts w:ascii="Arial" w:hAnsi="Arial" w:eastAsia="宋体" w:cs="Arial"/>
          <w:sz w:val="24"/>
          <w:szCs w:val="24"/>
        </w:rPr>
        <w:t>沟通、培训和辐射项目办公室</w:t>
      </w:r>
    </w:p>
    <w:p w14:paraId="71234E77">
      <w:pPr>
        <w:overflowPunct w:val="0"/>
        <w:snapToGrid w:val="0"/>
        <w:spacing w:line="300" w:lineRule="auto"/>
        <w:ind w:firstLine="566" w:firstLineChars="236"/>
        <w:rPr>
          <w:rFonts w:ascii="Arial" w:hAnsi="Arial" w:eastAsia="宋体" w:cs="Arial"/>
          <w:sz w:val="24"/>
          <w:szCs w:val="24"/>
        </w:rPr>
      </w:pPr>
      <w:r>
        <w:rPr>
          <w:rFonts w:ascii="Arial" w:hAnsi="Arial" w:eastAsia="宋体" w:cs="Arial"/>
          <w:sz w:val="24"/>
          <w:szCs w:val="24"/>
        </w:rPr>
        <w:t>10903 New Hampshire Avenue</w:t>
      </w:r>
    </w:p>
    <w:p w14:paraId="728615DA">
      <w:pPr>
        <w:overflowPunct w:val="0"/>
        <w:snapToGrid w:val="0"/>
        <w:spacing w:after="240" w:line="300" w:lineRule="auto"/>
        <w:ind w:firstLine="566" w:firstLineChars="236"/>
        <w:rPr>
          <w:rFonts w:ascii="Arial" w:hAnsi="Arial" w:eastAsia="宋体" w:cs="Arial"/>
          <w:sz w:val="24"/>
          <w:szCs w:val="24"/>
        </w:rPr>
      </w:pPr>
      <w:r>
        <w:rPr>
          <w:rFonts w:ascii="Arial" w:hAnsi="Arial" w:eastAsia="宋体" w:cs="Arial"/>
          <w:sz w:val="24"/>
          <w:szCs w:val="24"/>
        </w:rPr>
        <w:t>Silver Spring, MD 20993</w:t>
      </w:r>
    </w:p>
    <w:bookmarkEnd w:id="17"/>
    <w:bookmarkEnd w:id="18"/>
    <w:p w14:paraId="18AEFCAA">
      <w:pPr>
        <w:overflowPunct w:val="0"/>
        <w:snapToGrid w:val="0"/>
        <w:spacing w:line="300" w:lineRule="auto"/>
        <w:rPr>
          <w:rFonts w:ascii="Arial" w:hAnsi="Arial" w:eastAsia="宋体" w:cs="Arial"/>
          <w:sz w:val="24"/>
          <w:szCs w:val="24"/>
        </w:rPr>
      </w:pPr>
      <w:r>
        <w:rPr>
          <w:rFonts w:ascii="Arial" w:hAnsi="Arial" w:eastAsia="宋体" w:cs="Arial"/>
          <w:sz w:val="24"/>
          <w:szCs w:val="24"/>
        </w:rPr>
        <w:t>回购，维修或更换【21 CFR第1004部分】</w:t>
      </w:r>
    </w:p>
    <w:p w14:paraId="387F3F8E">
      <w:pPr>
        <w:overflowPunct w:val="0"/>
        <w:snapToGrid w:val="0"/>
        <w:spacing w:line="300" w:lineRule="auto"/>
        <w:rPr>
          <w:rFonts w:ascii="Arial" w:hAnsi="Arial" w:eastAsia="宋体" w:cs="Arial"/>
          <w:b/>
          <w:sz w:val="24"/>
          <w:szCs w:val="24"/>
        </w:rPr>
      </w:pPr>
      <w:r>
        <w:rPr>
          <w:rFonts w:ascii="Arial" w:hAnsi="Arial" w:eastAsia="宋体" w:cs="Arial"/>
          <w:b/>
          <w:sz w:val="24"/>
          <w:szCs w:val="24"/>
        </w:rPr>
        <w:t>制造商有义务修理、更换或退还电子产品的费用</w:t>
      </w:r>
    </w:p>
    <w:p w14:paraId="2B21A4B5">
      <w:pPr>
        <w:overflowPunct w:val="0"/>
        <w:snapToGrid w:val="0"/>
        <w:spacing w:line="300" w:lineRule="auto"/>
        <w:rPr>
          <w:rFonts w:ascii="Arial" w:hAnsi="Arial" w:eastAsia="宋体" w:cs="Arial"/>
          <w:i/>
          <w:sz w:val="24"/>
          <w:szCs w:val="24"/>
        </w:rPr>
      </w:pPr>
      <w:r>
        <w:rPr>
          <w:rFonts w:ascii="Arial" w:hAnsi="Arial" w:eastAsia="宋体" w:cs="Arial"/>
          <w:i/>
          <w:sz w:val="24"/>
          <w:szCs w:val="24"/>
        </w:rPr>
        <w:t>（a）如果任何电子产品不符合适用的联邦标准或有缺陷，并且必须提供本章1003.10（b）中规定的通知，则该产品的制造商应：</w:t>
      </w:r>
    </w:p>
    <w:p w14:paraId="44B86FFF">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（1）免费将产品符合该标准或者采取针对缺陷的补救措施，并对与改正相关的产品运输费用进行报销；或</w:t>
      </w:r>
    </w:p>
    <w:p w14:paraId="19EEFFA1">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（2）将产品替换为符合所有适用的联邦标准，并且没有与使用安全相关缺陷的同类或同等的产品；或</w:t>
      </w:r>
    </w:p>
    <w:p w14:paraId="00D180C9">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（3）将产品的费用退还给买方。</w:t>
      </w:r>
    </w:p>
    <w:p w14:paraId="2429BBA3">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（b）制造商应按照委员会根据1004.6批准的计划采取本节规定的行动。</w:t>
      </w:r>
    </w:p>
    <w:p w14:paraId="5A46BA93">
      <w:pPr>
        <w:widowControl/>
        <w:jc w:val="left"/>
        <w:rPr>
          <w:rFonts w:ascii="Arial" w:hAnsi="Arial" w:eastAsia="宋体" w:cs="Arial"/>
          <w:sz w:val="24"/>
          <w:szCs w:val="24"/>
        </w:rPr>
      </w:pPr>
      <w:r>
        <w:rPr>
          <w:rFonts w:ascii="Arial" w:hAnsi="Arial" w:eastAsia="宋体" w:cs="Arial"/>
          <w:sz w:val="24"/>
          <w:szCs w:val="24"/>
        </w:rPr>
        <w:br w:type="page"/>
      </w:r>
    </w:p>
    <w:p w14:paraId="34DD43D8">
      <w:pPr>
        <w:overflowPunct w:val="0"/>
        <w:snapToGrid w:val="0"/>
        <w:spacing w:after="240" w:line="300" w:lineRule="auto"/>
        <w:rPr>
          <w:rFonts w:ascii="Arial" w:hAnsi="Arial" w:eastAsia="宋体" w:cs="Arial"/>
          <w:sz w:val="24"/>
          <w:szCs w:val="24"/>
        </w:rPr>
      </w:pPr>
      <w:r>
        <w:rPr>
          <w:rFonts w:ascii="Arial" w:hAnsi="Arial" w:eastAsia="宋体" w:cs="Arial"/>
          <w:sz w:val="24"/>
          <w:szCs w:val="24"/>
        </w:rPr>
        <w:t>每种类型的改正措施的相关细节描述见于21 CFR 1004。制造商的改正措施必须按照FDA 【21 CFR 1004.6】批准的计划进行。</w:t>
      </w:r>
    </w:p>
    <w:p w14:paraId="389C80D7">
      <w:pPr>
        <w:overflowPunct w:val="0"/>
        <w:snapToGrid w:val="0"/>
        <w:spacing w:line="300" w:lineRule="auto"/>
        <w:rPr>
          <w:rFonts w:ascii="Arial" w:hAnsi="Arial" w:eastAsia="宋体" w:cs="Arial"/>
          <w:sz w:val="24"/>
          <w:szCs w:val="24"/>
          <w:u w:val="single"/>
        </w:rPr>
      </w:pPr>
      <w:r>
        <w:rPr>
          <w:rFonts w:ascii="Arial" w:hAnsi="Arial" w:eastAsia="宋体" w:cs="Arial"/>
          <w:sz w:val="24"/>
          <w:szCs w:val="24"/>
          <w:u w:val="single"/>
        </w:rPr>
        <w:t>处理所有改正行动计划：</w:t>
      </w:r>
    </w:p>
    <w:p w14:paraId="6C434D5F">
      <w:pPr>
        <w:overflowPunct w:val="0"/>
        <w:snapToGrid w:val="0"/>
        <w:spacing w:line="300" w:lineRule="auto"/>
        <w:ind w:firstLine="566" w:firstLineChars="236"/>
        <w:rPr>
          <w:rFonts w:ascii="Arial" w:hAnsi="Arial" w:eastAsia="宋体" w:cs="Arial"/>
          <w:sz w:val="24"/>
          <w:szCs w:val="24"/>
        </w:rPr>
      </w:pPr>
      <w:r>
        <w:rPr>
          <w:rFonts w:ascii="Arial" w:hAnsi="Arial" w:eastAsia="宋体" w:cs="Arial"/>
          <w:sz w:val="24"/>
          <w:szCs w:val="24"/>
        </w:rPr>
        <w:t>器械和放射卫生中心</w:t>
      </w:r>
    </w:p>
    <w:p w14:paraId="6CFC2899">
      <w:pPr>
        <w:overflowPunct w:val="0"/>
        <w:snapToGrid w:val="0"/>
        <w:spacing w:line="300" w:lineRule="auto"/>
        <w:ind w:firstLine="566" w:firstLineChars="236"/>
        <w:rPr>
          <w:rFonts w:ascii="Arial" w:hAnsi="Arial" w:eastAsia="宋体" w:cs="Arial"/>
          <w:sz w:val="24"/>
          <w:szCs w:val="24"/>
        </w:rPr>
      </w:pPr>
      <w:r>
        <w:rPr>
          <w:rFonts w:ascii="Arial" w:hAnsi="Arial" w:eastAsia="宋体" w:cs="Arial"/>
          <w:sz w:val="24"/>
          <w:szCs w:val="24"/>
        </w:rPr>
        <w:t>ATTN：缺陷或非合规通知（HFZ-240）</w:t>
      </w:r>
    </w:p>
    <w:p w14:paraId="20AE75C9">
      <w:pPr>
        <w:overflowPunct w:val="0"/>
        <w:snapToGrid w:val="0"/>
        <w:spacing w:line="300" w:lineRule="auto"/>
        <w:ind w:firstLine="566" w:firstLineChars="236"/>
        <w:rPr>
          <w:rFonts w:ascii="Arial" w:hAnsi="Arial" w:eastAsia="宋体" w:cs="Arial"/>
          <w:sz w:val="24"/>
          <w:szCs w:val="24"/>
        </w:rPr>
      </w:pPr>
      <w:r>
        <w:rPr>
          <w:rFonts w:ascii="Arial" w:hAnsi="Arial" w:eastAsia="宋体" w:cs="Arial"/>
          <w:sz w:val="24"/>
          <w:szCs w:val="24"/>
        </w:rPr>
        <w:t>沟通、培训和辐射项目办公室</w:t>
      </w:r>
    </w:p>
    <w:p w14:paraId="5FE971C4">
      <w:pPr>
        <w:overflowPunct w:val="0"/>
        <w:snapToGrid w:val="0"/>
        <w:spacing w:line="300" w:lineRule="auto"/>
        <w:ind w:firstLine="566" w:firstLineChars="236"/>
        <w:rPr>
          <w:rFonts w:ascii="Arial" w:hAnsi="Arial" w:eastAsia="宋体" w:cs="Arial"/>
          <w:sz w:val="24"/>
          <w:szCs w:val="24"/>
        </w:rPr>
      </w:pPr>
      <w:r>
        <w:rPr>
          <w:rFonts w:ascii="Arial" w:hAnsi="Arial" w:eastAsia="宋体" w:cs="Arial"/>
          <w:sz w:val="24"/>
          <w:szCs w:val="24"/>
        </w:rPr>
        <w:t>10903 New Hampshire Avenue</w:t>
      </w:r>
    </w:p>
    <w:p w14:paraId="19BE4C90">
      <w:pPr>
        <w:overflowPunct w:val="0"/>
        <w:snapToGrid w:val="0"/>
        <w:spacing w:after="240" w:line="300" w:lineRule="auto"/>
        <w:ind w:firstLine="566" w:firstLineChars="236"/>
        <w:rPr>
          <w:rFonts w:ascii="Arial" w:hAnsi="Arial" w:eastAsia="宋体" w:cs="Arial"/>
          <w:sz w:val="24"/>
          <w:szCs w:val="24"/>
        </w:rPr>
      </w:pPr>
      <w:r>
        <w:rPr>
          <w:rFonts w:ascii="Arial" w:hAnsi="Arial" w:eastAsia="宋体" w:cs="Arial"/>
          <w:sz w:val="24"/>
          <w:szCs w:val="24"/>
        </w:rPr>
        <w:t>Silver Spring, MD 20993</w:t>
      </w:r>
    </w:p>
    <w:p w14:paraId="4683076C">
      <w:pPr>
        <w:pStyle w:val="13"/>
        <w:numPr>
          <w:ilvl w:val="0"/>
          <w:numId w:val="1"/>
        </w:numPr>
        <w:overflowPunct w:val="0"/>
        <w:snapToGrid w:val="0"/>
        <w:spacing w:before="156" w:beforeLines="50" w:after="240" w:line="300" w:lineRule="auto"/>
        <w:ind w:left="357" w:hanging="357" w:firstLineChars="0"/>
        <w:outlineLvl w:val="0"/>
        <w:rPr>
          <w:rFonts w:ascii="Arial" w:hAnsi="Arial" w:eastAsia="宋体" w:cs="Arial"/>
          <w:b/>
          <w:sz w:val="32"/>
          <w:szCs w:val="32"/>
        </w:rPr>
      </w:pPr>
      <w:bookmarkStart w:id="19" w:name="_Toc496890875"/>
      <w:r>
        <w:rPr>
          <w:rFonts w:ascii="Arial" w:hAnsi="Arial" w:eastAsia="宋体" w:cs="Arial"/>
          <w:b/>
          <w:sz w:val="32"/>
          <w:szCs w:val="32"/>
        </w:rPr>
        <w:t>特殊情况和豁免</w:t>
      </w:r>
      <w:bookmarkEnd w:id="19"/>
    </w:p>
    <w:p w14:paraId="160BCDEE">
      <w:pPr>
        <w:overflowPunct w:val="0"/>
        <w:snapToGrid w:val="0"/>
        <w:spacing w:after="240" w:line="300" w:lineRule="auto"/>
        <w:rPr>
          <w:rFonts w:ascii="Arial" w:hAnsi="Arial" w:eastAsia="宋体" w:cs="Arial"/>
          <w:sz w:val="24"/>
          <w:szCs w:val="24"/>
        </w:rPr>
      </w:pPr>
      <w:r>
        <w:rPr>
          <w:rFonts w:ascii="Arial" w:hAnsi="Arial" w:eastAsia="宋体" w:cs="Arial"/>
          <w:sz w:val="24"/>
          <w:szCs w:val="24"/>
        </w:rPr>
        <w:t>特殊情况【21 CFR 1010.4】</w:t>
      </w:r>
    </w:p>
    <w:p w14:paraId="5DE7E83E">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希望生产不同于性能标准的柜式X射线系统的制造商必须在系统</w:t>
      </w:r>
      <w:r>
        <w:rPr>
          <w:rFonts w:hint="eastAsia" w:ascii="Arial" w:hAnsi="Arial" w:eastAsia="宋体" w:cs="Arial"/>
          <w:sz w:val="24"/>
          <w:szCs w:val="24"/>
        </w:rPr>
        <w:t>于</w:t>
      </w:r>
      <w:r>
        <w:rPr>
          <w:rFonts w:ascii="Arial" w:hAnsi="Arial" w:eastAsia="宋体" w:cs="Arial"/>
          <w:sz w:val="24"/>
          <w:szCs w:val="24"/>
        </w:rPr>
        <w:t>美国销售之前获得批准。获得该批准必须提交特殊情况申请。如果产品符合以下标准，则可以允许其与标准存在偏差：</w:t>
      </w:r>
    </w:p>
    <w:p w14:paraId="49250C0E">
      <w:pPr>
        <w:pStyle w:val="13"/>
        <w:numPr>
          <w:ilvl w:val="0"/>
          <w:numId w:val="15"/>
        </w:numPr>
        <w:overflowPunct w:val="0"/>
        <w:snapToGrid w:val="0"/>
        <w:spacing w:line="300" w:lineRule="auto"/>
        <w:ind w:firstLineChars="0"/>
        <w:rPr>
          <w:rFonts w:ascii="Arial" w:hAnsi="Arial" w:eastAsia="宋体" w:cs="Arial"/>
          <w:sz w:val="24"/>
          <w:szCs w:val="24"/>
        </w:rPr>
      </w:pPr>
      <w:r>
        <w:rPr>
          <w:rFonts w:ascii="Arial" w:hAnsi="Arial" w:eastAsia="宋体" w:cs="Arial"/>
          <w:sz w:val="24"/>
          <w:szCs w:val="24"/>
        </w:rPr>
        <w:t>柜式X射线系统采用替代方式提供等同于或超过符合本标准所有要求的其他机柜系统提供的辐射安全或保护，或</w:t>
      </w:r>
    </w:p>
    <w:p w14:paraId="2D4C4D21">
      <w:pPr>
        <w:pStyle w:val="13"/>
        <w:numPr>
          <w:ilvl w:val="0"/>
          <w:numId w:val="15"/>
        </w:numPr>
        <w:overflowPunct w:val="0"/>
        <w:snapToGrid w:val="0"/>
        <w:spacing w:line="300" w:lineRule="auto"/>
        <w:ind w:firstLineChars="0"/>
        <w:rPr>
          <w:rFonts w:ascii="Arial" w:hAnsi="Arial" w:eastAsia="宋体" w:cs="Arial"/>
          <w:sz w:val="24"/>
          <w:szCs w:val="24"/>
        </w:rPr>
      </w:pPr>
      <w:r>
        <w:rPr>
          <w:rFonts w:ascii="Arial" w:hAnsi="Arial" w:eastAsia="宋体" w:cs="Arial"/>
          <w:sz w:val="24"/>
          <w:szCs w:val="24"/>
        </w:rPr>
        <w:t>柜式X射线系统所执行功能或旨在用于满足目的在柜式X射线系统标准要求范围内是无法执行或完成的，并提供用于确保辐射安全或保护的合适方式，或</w:t>
      </w:r>
    </w:p>
    <w:p w14:paraId="6337AEDF">
      <w:pPr>
        <w:pStyle w:val="13"/>
        <w:numPr>
          <w:ilvl w:val="0"/>
          <w:numId w:val="15"/>
        </w:numPr>
        <w:overflowPunct w:val="0"/>
        <w:snapToGrid w:val="0"/>
        <w:spacing w:after="240" w:line="300" w:lineRule="auto"/>
        <w:ind w:firstLineChars="0"/>
        <w:rPr>
          <w:rFonts w:ascii="Arial" w:hAnsi="Arial" w:eastAsia="宋体" w:cs="Arial"/>
          <w:sz w:val="24"/>
          <w:szCs w:val="24"/>
        </w:rPr>
      </w:pPr>
      <w:r>
        <w:rPr>
          <w:rFonts w:ascii="Arial" w:hAnsi="Arial" w:eastAsia="宋体" w:cs="Arial"/>
          <w:sz w:val="24"/>
          <w:szCs w:val="24"/>
        </w:rPr>
        <w:t>标准中的某个或多个要求不适用，并且提供了用于确保辐射安全或保护的适当手段。</w:t>
      </w:r>
    </w:p>
    <w:p w14:paraId="6A3C9094">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原件和四份特殊情况申请书应提交给：</w:t>
      </w:r>
    </w:p>
    <w:p w14:paraId="3083695D">
      <w:pPr>
        <w:overflowPunct w:val="0"/>
        <w:snapToGrid w:val="0"/>
        <w:spacing w:line="300" w:lineRule="auto"/>
        <w:ind w:firstLine="566" w:firstLineChars="236"/>
        <w:rPr>
          <w:rFonts w:ascii="Arial" w:hAnsi="Arial" w:eastAsia="宋体" w:cs="Arial"/>
          <w:sz w:val="24"/>
          <w:szCs w:val="24"/>
        </w:rPr>
      </w:pPr>
      <w:r>
        <w:rPr>
          <w:rFonts w:ascii="Arial" w:hAnsi="Arial" w:eastAsia="宋体" w:cs="Arial"/>
          <w:sz w:val="24"/>
          <w:szCs w:val="24"/>
        </w:rPr>
        <w:t>案卷管理科（HFA-305）</w:t>
      </w:r>
    </w:p>
    <w:p w14:paraId="3C6DE855">
      <w:pPr>
        <w:overflowPunct w:val="0"/>
        <w:snapToGrid w:val="0"/>
        <w:spacing w:line="300" w:lineRule="auto"/>
        <w:ind w:firstLine="566" w:firstLineChars="236"/>
        <w:rPr>
          <w:rFonts w:ascii="Arial" w:hAnsi="Arial" w:eastAsia="宋体" w:cs="Arial"/>
          <w:sz w:val="24"/>
          <w:szCs w:val="24"/>
        </w:rPr>
      </w:pPr>
      <w:r>
        <w:rPr>
          <w:rFonts w:ascii="Arial" w:hAnsi="Arial" w:eastAsia="宋体" w:cs="Arial"/>
          <w:sz w:val="24"/>
          <w:szCs w:val="24"/>
        </w:rPr>
        <w:t>食品药品监督管理局</w:t>
      </w:r>
    </w:p>
    <w:p w14:paraId="5F76CCA9">
      <w:pPr>
        <w:overflowPunct w:val="0"/>
        <w:snapToGrid w:val="0"/>
        <w:spacing w:line="300" w:lineRule="auto"/>
        <w:ind w:firstLine="566" w:firstLineChars="236"/>
        <w:rPr>
          <w:rFonts w:ascii="Arial" w:hAnsi="Arial" w:eastAsia="宋体" w:cs="Arial"/>
          <w:sz w:val="24"/>
          <w:szCs w:val="24"/>
        </w:rPr>
      </w:pPr>
      <w:r>
        <w:rPr>
          <w:rFonts w:ascii="Arial" w:hAnsi="Arial" w:eastAsia="宋体" w:cs="Arial"/>
          <w:sz w:val="24"/>
          <w:szCs w:val="24"/>
        </w:rPr>
        <w:t xml:space="preserve">5630 Fishers Lane，1061 </w:t>
      </w:r>
    </w:p>
    <w:p w14:paraId="6B9649AE">
      <w:pPr>
        <w:overflowPunct w:val="0"/>
        <w:snapToGrid w:val="0"/>
        <w:spacing w:after="240" w:line="300" w:lineRule="auto"/>
        <w:ind w:firstLine="566" w:firstLineChars="236"/>
        <w:rPr>
          <w:rFonts w:ascii="Arial" w:hAnsi="Arial" w:eastAsia="宋体" w:cs="Arial"/>
          <w:sz w:val="24"/>
          <w:szCs w:val="24"/>
        </w:rPr>
      </w:pPr>
      <w:r>
        <w:rPr>
          <w:rFonts w:ascii="Arial" w:hAnsi="Arial" w:eastAsia="宋体" w:cs="Arial"/>
          <w:sz w:val="24"/>
          <w:szCs w:val="24"/>
        </w:rPr>
        <w:t>Rockwell，MD 20852</w:t>
      </w:r>
    </w:p>
    <w:p w14:paraId="284FD454">
      <w:pPr>
        <w:overflowPunct w:val="0"/>
        <w:snapToGrid w:val="0"/>
        <w:spacing w:after="240" w:line="300" w:lineRule="auto"/>
        <w:rPr>
          <w:rFonts w:ascii="Arial" w:hAnsi="Arial" w:eastAsia="宋体" w:cs="Arial"/>
          <w:sz w:val="24"/>
          <w:szCs w:val="24"/>
        </w:rPr>
      </w:pPr>
      <w:r>
        <w:rPr>
          <w:rFonts w:ascii="Arial" w:hAnsi="Arial" w:eastAsia="宋体" w:cs="Arial"/>
          <w:sz w:val="24"/>
          <w:szCs w:val="24"/>
        </w:rPr>
        <w:t>特殊情况的申请应提供21 CFR 1010.4（b）所要求的信息。从历史上看，仅有很少的柜式X射线产品差异申请通过了批准。</w:t>
      </w:r>
    </w:p>
    <w:p w14:paraId="7AC528C3">
      <w:pPr>
        <w:overflowPunct w:val="0"/>
        <w:snapToGrid w:val="0"/>
        <w:spacing w:line="300" w:lineRule="auto"/>
        <w:rPr>
          <w:rFonts w:ascii="Arial" w:hAnsi="Arial" w:eastAsia="宋体" w:cs="Arial"/>
          <w:sz w:val="24"/>
          <w:szCs w:val="24"/>
        </w:rPr>
      </w:pPr>
      <w:r>
        <w:rPr>
          <w:rFonts w:ascii="Arial" w:hAnsi="Arial" w:eastAsia="宋体" w:cs="Arial"/>
          <w:b/>
          <w:sz w:val="24"/>
          <w:szCs w:val="24"/>
        </w:rPr>
        <w:t>豁免</w:t>
      </w:r>
      <w:r>
        <w:rPr>
          <w:rFonts w:ascii="Arial" w:hAnsi="Arial" w:eastAsia="宋体" w:cs="Arial"/>
          <w:sz w:val="24"/>
          <w:szCs w:val="24"/>
        </w:rPr>
        <w:t>【21 CFR 1010.5】</w:t>
      </w:r>
    </w:p>
    <w:p w14:paraId="0AF5C050">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在某些情况下，如果确定柜式X射线系统是供美国各部门或机构使用的系统，且符合以下标准，则当申请豁免性能标准时，可以由器械和放射卫生中心主任批准：</w:t>
      </w:r>
    </w:p>
    <w:p w14:paraId="6812629C">
      <w:pPr>
        <w:pStyle w:val="13"/>
        <w:numPr>
          <w:ilvl w:val="0"/>
          <w:numId w:val="15"/>
        </w:numPr>
        <w:overflowPunct w:val="0"/>
        <w:snapToGrid w:val="0"/>
        <w:spacing w:after="240" w:line="300" w:lineRule="auto"/>
        <w:ind w:left="993" w:hanging="567" w:firstLineChars="0"/>
        <w:rPr>
          <w:rFonts w:ascii="Arial" w:hAnsi="Arial" w:eastAsia="宋体" w:cs="Arial"/>
          <w:sz w:val="24"/>
          <w:szCs w:val="24"/>
        </w:rPr>
      </w:pPr>
      <w:r>
        <w:rPr>
          <w:rFonts w:ascii="Arial" w:hAnsi="Arial" w:eastAsia="宋体" w:cs="Arial"/>
          <w:sz w:val="24"/>
          <w:szCs w:val="24"/>
        </w:rPr>
        <w:t>希望获得该产品的机构规定了用于控制柜式X射线系统辐射的柜式X射线系统的采购</w:t>
      </w:r>
      <w:r>
        <w:rPr>
          <w:rFonts w:hint="eastAsia" w:ascii="Arial" w:hAnsi="Arial" w:eastAsia="宋体" w:cs="Arial"/>
          <w:sz w:val="24"/>
          <w:szCs w:val="24"/>
        </w:rPr>
        <w:t>质量标准</w:t>
      </w:r>
      <w:r>
        <w:rPr>
          <w:rFonts w:ascii="Arial" w:hAnsi="Arial" w:eastAsia="宋体" w:cs="Arial"/>
          <w:sz w:val="24"/>
          <w:szCs w:val="24"/>
        </w:rPr>
        <w:t>，并且该柜式X射线系统应仅由或主要由美国的部门或机构使用。</w:t>
      </w:r>
    </w:p>
    <w:p w14:paraId="245DFC13">
      <w:pPr>
        <w:pStyle w:val="13"/>
        <w:numPr>
          <w:ilvl w:val="0"/>
          <w:numId w:val="15"/>
        </w:numPr>
        <w:overflowPunct w:val="0"/>
        <w:snapToGrid w:val="0"/>
        <w:spacing w:after="240" w:line="300" w:lineRule="auto"/>
        <w:ind w:left="993" w:hanging="567" w:firstLineChars="0"/>
        <w:rPr>
          <w:rFonts w:ascii="Arial" w:hAnsi="Arial" w:eastAsia="宋体" w:cs="Arial"/>
          <w:sz w:val="24"/>
          <w:szCs w:val="24"/>
        </w:rPr>
      </w:pPr>
      <w:r>
        <w:rPr>
          <w:rFonts w:ascii="Arial" w:hAnsi="Arial" w:eastAsia="宋体" w:cs="Arial"/>
          <w:sz w:val="24"/>
          <w:szCs w:val="24"/>
        </w:rPr>
        <w:t>柜式X射线系统用于研究、调查、科研、示范、培训或国家安全的目的。</w:t>
      </w:r>
    </w:p>
    <w:p w14:paraId="449C32FA">
      <w:pPr>
        <w:overflowPunct w:val="0"/>
        <w:snapToGrid w:val="0"/>
        <w:spacing w:after="240" w:line="300" w:lineRule="auto"/>
        <w:rPr>
          <w:rFonts w:ascii="Arial" w:hAnsi="Arial" w:eastAsia="宋体" w:cs="Arial"/>
          <w:sz w:val="24"/>
          <w:szCs w:val="24"/>
        </w:rPr>
      </w:pPr>
      <w:r>
        <w:rPr>
          <w:rFonts w:ascii="Arial" w:hAnsi="Arial" w:eastAsia="宋体" w:cs="Arial"/>
          <w:sz w:val="24"/>
          <w:szCs w:val="24"/>
        </w:rPr>
        <w:t>豁免申请应包括原件和两份复印件，并应提交给：</w:t>
      </w:r>
    </w:p>
    <w:p w14:paraId="70269947">
      <w:pPr>
        <w:overflowPunct w:val="0"/>
        <w:snapToGrid w:val="0"/>
        <w:spacing w:line="300" w:lineRule="auto"/>
        <w:ind w:firstLine="566" w:firstLineChars="236"/>
        <w:rPr>
          <w:rFonts w:ascii="Arial" w:hAnsi="Arial" w:eastAsia="宋体" w:cs="Arial"/>
          <w:sz w:val="24"/>
          <w:szCs w:val="24"/>
        </w:rPr>
      </w:pPr>
      <w:r>
        <w:rPr>
          <w:rFonts w:ascii="Arial" w:hAnsi="Arial" w:eastAsia="宋体" w:cs="Arial"/>
          <w:sz w:val="24"/>
          <w:szCs w:val="24"/>
        </w:rPr>
        <w:t>案卷管理科（HFA-305）</w:t>
      </w:r>
    </w:p>
    <w:p w14:paraId="13D33B19">
      <w:pPr>
        <w:overflowPunct w:val="0"/>
        <w:snapToGrid w:val="0"/>
        <w:spacing w:line="300" w:lineRule="auto"/>
        <w:ind w:firstLine="566" w:firstLineChars="236"/>
        <w:rPr>
          <w:rFonts w:ascii="Arial" w:hAnsi="Arial" w:eastAsia="宋体" w:cs="Arial"/>
          <w:sz w:val="24"/>
          <w:szCs w:val="24"/>
        </w:rPr>
      </w:pPr>
      <w:r>
        <w:rPr>
          <w:rFonts w:ascii="Arial" w:hAnsi="Arial" w:eastAsia="宋体" w:cs="Arial"/>
          <w:sz w:val="24"/>
          <w:szCs w:val="24"/>
        </w:rPr>
        <w:t>食品药品监督管理局</w:t>
      </w:r>
    </w:p>
    <w:p w14:paraId="298EDCC4">
      <w:pPr>
        <w:overflowPunct w:val="0"/>
        <w:snapToGrid w:val="0"/>
        <w:spacing w:line="300" w:lineRule="auto"/>
        <w:ind w:firstLine="566" w:firstLineChars="236"/>
        <w:rPr>
          <w:rFonts w:ascii="Arial" w:hAnsi="Arial" w:eastAsia="宋体" w:cs="Arial"/>
          <w:sz w:val="24"/>
          <w:szCs w:val="24"/>
        </w:rPr>
      </w:pPr>
      <w:r>
        <w:rPr>
          <w:rFonts w:ascii="Arial" w:hAnsi="Arial" w:eastAsia="宋体" w:cs="Arial"/>
          <w:sz w:val="24"/>
          <w:szCs w:val="24"/>
        </w:rPr>
        <w:t xml:space="preserve">5630 Fishers Lane，1061 </w:t>
      </w:r>
    </w:p>
    <w:p w14:paraId="68B804E5">
      <w:pPr>
        <w:overflowPunct w:val="0"/>
        <w:snapToGrid w:val="0"/>
        <w:spacing w:after="240" w:line="300" w:lineRule="auto"/>
        <w:ind w:firstLine="566" w:firstLineChars="236"/>
        <w:rPr>
          <w:rFonts w:ascii="Arial" w:hAnsi="Arial" w:eastAsia="宋体" w:cs="Arial"/>
          <w:sz w:val="24"/>
          <w:szCs w:val="24"/>
        </w:rPr>
      </w:pPr>
      <w:r>
        <w:rPr>
          <w:rFonts w:ascii="Arial" w:hAnsi="Arial" w:eastAsia="宋体" w:cs="Arial"/>
          <w:sz w:val="24"/>
          <w:szCs w:val="24"/>
        </w:rPr>
        <w:t>Rockwell，MD 20852</w:t>
      </w:r>
    </w:p>
    <w:p w14:paraId="79D2F801">
      <w:pPr>
        <w:overflowPunct w:val="0"/>
        <w:snapToGrid w:val="0"/>
        <w:spacing w:after="240" w:line="300" w:lineRule="auto"/>
        <w:rPr>
          <w:rFonts w:ascii="Arial" w:hAnsi="Arial" w:eastAsia="宋体" w:cs="Arial"/>
          <w:sz w:val="24"/>
          <w:szCs w:val="24"/>
        </w:rPr>
      </w:pPr>
      <w:r>
        <w:rPr>
          <w:rFonts w:ascii="Arial" w:hAnsi="Arial" w:eastAsia="宋体" w:cs="Arial"/>
          <w:sz w:val="24"/>
          <w:szCs w:val="24"/>
        </w:rPr>
        <w:t>您不应在申请中纳入关于国家安全原因的信息。申请豁免及其批准的内容和标准见21 CFR 1010.5。</w:t>
      </w:r>
    </w:p>
    <w:p w14:paraId="2D8146CF">
      <w:pPr>
        <w:overflowPunct w:val="0"/>
        <w:snapToGrid w:val="0"/>
        <w:spacing w:after="240" w:line="300" w:lineRule="auto"/>
        <w:rPr>
          <w:rFonts w:ascii="Arial" w:hAnsi="Arial" w:eastAsia="宋体" w:cs="Arial"/>
          <w:sz w:val="24"/>
          <w:szCs w:val="24"/>
        </w:rPr>
      </w:pPr>
      <w:r>
        <w:rPr>
          <w:rFonts w:ascii="Arial" w:hAnsi="Arial" w:eastAsia="宋体" w:cs="Arial"/>
          <w:sz w:val="24"/>
          <w:szCs w:val="24"/>
        </w:rPr>
        <w:t>根据信息自由法案（5 USC 552）（FOIA），FDA可能要求与豁免申请相关的信息。FDA将遵守21 CFR第20部分关于披露信息的要求。</w:t>
      </w:r>
    </w:p>
    <w:p w14:paraId="560D94DE">
      <w:pPr>
        <w:pStyle w:val="13"/>
        <w:numPr>
          <w:ilvl w:val="0"/>
          <w:numId w:val="1"/>
        </w:numPr>
        <w:overflowPunct w:val="0"/>
        <w:snapToGrid w:val="0"/>
        <w:spacing w:before="156" w:beforeLines="50" w:after="240" w:line="300" w:lineRule="auto"/>
        <w:ind w:left="357" w:hanging="357" w:firstLineChars="0"/>
        <w:outlineLvl w:val="0"/>
        <w:rPr>
          <w:rFonts w:ascii="Arial" w:hAnsi="Arial" w:eastAsia="宋体" w:cs="Arial"/>
          <w:b/>
          <w:sz w:val="32"/>
          <w:szCs w:val="32"/>
        </w:rPr>
      </w:pPr>
      <w:bookmarkStart w:id="20" w:name="_Toc496890876"/>
      <w:r>
        <w:rPr>
          <w:rFonts w:ascii="Arial" w:hAnsi="Arial" w:eastAsia="宋体" w:cs="Arial"/>
          <w:b/>
          <w:sz w:val="32"/>
          <w:szCs w:val="32"/>
        </w:rPr>
        <w:t>进出口</w:t>
      </w:r>
      <w:bookmarkEnd w:id="20"/>
    </w:p>
    <w:p w14:paraId="58EDC84D">
      <w:pPr>
        <w:overflowPunct w:val="0"/>
        <w:snapToGrid w:val="0"/>
        <w:spacing w:after="240" w:line="300" w:lineRule="auto"/>
        <w:rPr>
          <w:rFonts w:ascii="Arial" w:hAnsi="Arial" w:eastAsia="宋体" w:cs="Arial"/>
          <w:sz w:val="24"/>
          <w:szCs w:val="24"/>
        </w:rPr>
      </w:pPr>
      <w:r>
        <w:rPr>
          <w:rFonts w:ascii="Arial" w:hAnsi="Arial" w:eastAsia="宋体" w:cs="Arial"/>
          <w:sz w:val="24"/>
          <w:szCs w:val="24"/>
        </w:rPr>
        <w:t>进口【21 CFR</w:t>
      </w:r>
      <w:r>
        <w:rPr>
          <w:rFonts w:hint="eastAsia" w:ascii="Arial" w:hAnsi="Arial" w:eastAsia="宋体" w:cs="Arial"/>
          <w:sz w:val="24"/>
          <w:szCs w:val="24"/>
        </w:rPr>
        <w:t>第</w:t>
      </w:r>
      <w:r>
        <w:rPr>
          <w:rFonts w:ascii="Arial" w:hAnsi="Arial" w:eastAsia="宋体" w:cs="Arial"/>
          <w:sz w:val="24"/>
          <w:szCs w:val="24"/>
        </w:rPr>
        <w:t>1005</w:t>
      </w:r>
      <w:r>
        <w:rPr>
          <w:rFonts w:hint="eastAsia" w:ascii="Arial" w:hAnsi="Arial" w:eastAsia="宋体" w:cs="Arial"/>
          <w:sz w:val="24"/>
          <w:szCs w:val="24"/>
        </w:rPr>
        <w:t>部分</w:t>
      </w:r>
      <w:r>
        <w:rPr>
          <w:rFonts w:ascii="Arial" w:hAnsi="Arial" w:eastAsia="宋体" w:cs="Arial"/>
          <w:sz w:val="24"/>
          <w:szCs w:val="24"/>
        </w:rPr>
        <w:t>】</w:t>
      </w:r>
    </w:p>
    <w:p w14:paraId="57941FA9">
      <w:pPr>
        <w:overflowPunct w:val="0"/>
        <w:snapToGrid w:val="0"/>
        <w:spacing w:after="240" w:line="300" w:lineRule="auto"/>
        <w:rPr>
          <w:rFonts w:ascii="Arial" w:hAnsi="Arial" w:cs="Arial"/>
          <w:color w:val="0000FF"/>
          <w:sz w:val="24"/>
          <w:szCs w:val="24"/>
        </w:rPr>
      </w:pPr>
      <w:r>
        <w:rPr>
          <w:rFonts w:ascii="Arial" w:hAnsi="Arial" w:eastAsia="宋体" w:cs="Arial"/>
          <w:sz w:val="24"/>
          <w:szCs w:val="24"/>
        </w:rPr>
        <w:t>除非柜式X射线系统附有标签或标记，以证明其符合性能标准，否则该进口柜式X射线系统将被拒绝进入美国。除非及时和充分地保证使柜式X射线系统符合规定并获取许可，否则拒绝进入的所有系统将按照财政部长签署的规定予以销毁或退回。有关进口流程的更多信息，请访问FDA网站。</w:t>
      </w:r>
      <w:r>
        <w:rPr>
          <w:rFonts w:hint="eastAsia" w:ascii="Arial" w:hAnsi="Arial" w:eastAsia="宋体" w:cs="Arial"/>
          <w:sz w:val="24"/>
          <w:szCs w:val="24"/>
        </w:rPr>
        <w:br w:type="textWrapping"/>
      </w:r>
      <w:r>
        <w:rPr>
          <w:rFonts w:ascii="Arial" w:hAnsi="Arial" w:cs="Arial"/>
          <w:color w:val="0000FF"/>
          <w:sz w:val="24"/>
          <w:szCs w:val="24"/>
          <w:u w:val="single"/>
        </w:rPr>
        <w:t>http://www.fda.gov/cdrh/radhlth/eprc_imports_and_exports.html</w:t>
      </w:r>
    </w:p>
    <w:p w14:paraId="0A29BB93">
      <w:pPr>
        <w:overflowPunct w:val="0"/>
        <w:snapToGrid w:val="0"/>
        <w:spacing w:line="300" w:lineRule="auto"/>
        <w:rPr>
          <w:rFonts w:ascii="Arial" w:hAnsi="Arial" w:eastAsia="宋体" w:cs="Arial"/>
          <w:sz w:val="24"/>
          <w:szCs w:val="24"/>
        </w:rPr>
      </w:pPr>
      <w:r>
        <w:rPr>
          <w:rFonts w:ascii="Arial" w:hAnsi="Arial" w:eastAsia="宋体" w:cs="Arial"/>
          <w:sz w:val="24"/>
          <w:szCs w:val="24"/>
          <w:u w:val="single"/>
        </w:rPr>
        <w:t>制造商服务流程</w:t>
      </w:r>
      <w:r>
        <w:rPr>
          <w:rFonts w:ascii="Arial" w:hAnsi="Arial" w:eastAsia="宋体" w:cs="Arial"/>
          <w:sz w:val="24"/>
          <w:szCs w:val="24"/>
        </w:rPr>
        <w:t>【21 CFR 1005.25】</w:t>
      </w:r>
    </w:p>
    <w:p w14:paraId="6C1E5B36">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（a）电子产品制造商在提供进口美国的产品之前，应指定一名美国永久性居民作为制造商的代理人，为所有流程、通知、订单、决定和要求提供服务，以及根据1968年</w:t>
      </w:r>
      <w:r>
        <w:rPr>
          <w:rFonts w:hint="eastAsia" w:ascii="Arial" w:hAnsi="Arial" w:eastAsia="宋体" w:cs="Arial"/>
          <w:i/>
          <w:sz w:val="24"/>
          <w:szCs w:val="24"/>
        </w:rPr>
        <w:t>卫生</w:t>
      </w:r>
      <w:r>
        <w:rPr>
          <w:rFonts w:ascii="Arial" w:hAnsi="Arial" w:eastAsia="宋体" w:cs="Arial"/>
          <w:i/>
          <w:sz w:val="24"/>
          <w:szCs w:val="24"/>
        </w:rPr>
        <w:t>与安全辐射控制法案（42 USC 263h（d））和本节第360（d）条规定，代表制造商。代理人可以是个人、公司或国内公司。在本章节中，多个制造商都可以指定相同的代理。</w:t>
      </w:r>
    </w:p>
    <w:p w14:paraId="22B850AA">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（b）指定代理商的制造商必须将其指定上报至器械和放射卫生中心；ATTN：代理商名称（HFZ-240）；沟通、培训和放射项目办公室</w:t>
      </w:r>
      <w:r>
        <w:rPr>
          <w:rFonts w:hint="eastAsia" w:ascii="Arial" w:hAnsi="Arial" w:eastAsia="宋体" w:cs="Arial"/>
          <w:i/>
          <w:sz w:val="24"/>
          <w:szCs w:val="24"/>
        </w:rPr>
        <w:t>（</w:t>
      </w:r>
      <w:r>
        <w:rPr>
          <w:rFonts w:ascii="Arial" w:hAnsi="Arial" w:eastAsia="宋体" w:cs="Arial"/>
          <w:i/>
          <w:sz w:val="24"/>
          <w:szCs w:val="24"/>
        </w:rPr>
        <w:t>10903 New Hampshire Avenue, Silver Spring, MD 20993</w:t>
      </w:r>
      <w:r>
        <w:rPr>
          <w:rFonts w:hint="eastAsia" w:ascii="Arial" w:hAnsi="Arial" w:eastAsia="宋体" w:cs="Arial"/>
          <w:i/>
          <w:sz w:val="24"/>
          <w:szCs w:val="24"/>
        </w:rPr>
        <w:t>）</w:t>
      </w:r>
      <w:r>
        <w:rPr>
          <w:rFonts w:ascii="Arial" w:hAnsi="Arial" w:eastAsia="宋体" w:cs="Arial"/>
          <w:i/>
          <w:sz w:val="24"/>
          <w:szCs w:val="24"/>
        </w:rPr>
        <w:t>。必须以书面形式并注明日期；所有签名必须</w:t>
      </w:r>
      <w:r>
        <w:rPr>
          <w:rFonts w:hint="eastAsia" w:ascii="Arial" w:hAnsi="Arial" w:eastAsia="宋体" w:cs="Arial"/>
          <w:i/>
          <w:sz w:val="24"/>
          <w:szCs w:val="24"/>
        </w:rPr>
        <w:t>使用</w:t>
      </w:r>
      <w:r>
        <w:rPr>
          <w:rFonts w:ascii="Arial" w:hAnsi="Arial" w:eastAsia="宋体" w:cs="Arial"/>
          <w:i/>
          <w:sz w:val="24"/>
          <w:szCs w:val="24"/>
        </w:rPr>
        <w:t>墨水</w:t>
      </w:r>
      <w:r>
        <w:rPr>
          <w:rFonts w:hint="eastAsia" w:ascii="Arial" w:hAnsi="Arial" w:eastAsia="宋体" w:cs="Arial"/>
          <w:i/>
          <w:sz w:val="24"/>
          <w:szCs w:val="24"/>
        </w:rPr>
        <w:t>笔</w:t>
      </w:r>
      <w:r>
        <w:rPr>
          <w:rFonts w:ascii="Arial" w:hAnsi="Arial" w:eastAsia="宋体" w:cs="Arial"/>
          <w:i/>
          <w:sz w:val="24"/>
          <w:szCs w:val="24"/>
        </w:rPr>
        <w:t>。指定必须以法定形式完成，并以制造商根据法律、公司章程、或制造商在制造地点和时间进行指定的其他要求下对制造商有效并具有约束力的法定形式，并且</w:t>
      </w:r>
      <w:r>
        <w:rPr>
          <w:rFonts w:hint="eastAsia" w:ascii="Arial" w:hAnsi="Arial" w:eastAsia="宋体" w:cs="Arial"/>
          <w:i/>
          <w:sz w:val="24"/>
          <w:szCs w:val="24"/>
        </w:rPr>
        <w:t>相关人员或</w:t>
      </w:r>
      <w:r>
        <w:rPr>
          <w:rFonts w:ascii="Arial" w:hAnsi="Arial" w:eastAsia="宋体" w:cs="Arial"/>
          <w:i/>
          <w:sz w:val="24"/>
          <w:szCs w:val="24"/>
        </w:rPr>
        <w:t>签署</w:t>
      </w:r>
      <w:r>
        <w:rPr>
          <w:rFonts w:hint="eastAsia" w:ascii="Arial" w:hAnsi="Arial" w:eastAsia="宋体" w:cs="Arial"/>
          <w:i/>
          <w:sz w:val="24"/>
          <w:szCs w:val="24"/>
        </w:rPr>
        <w:t>该</w:t>
      </w:r>
      <w:r>
        <w:rPr>
          <w:rFonts w:ascii="Arial" w:hAnsi="Arial" w:eastAsia="宋体" w:cs="Arial"/>
          <w:i/>
          <w:sz w:val="24"/>
          <w:szCs w:val="24"/>
        </w:rPr>
        <w:t>指定的人</w:t>
      </w:r>
      <w:r>
        <w:rPr>
          <w:rFonts w:hint="eastAsia" w:ascii="Arial" w:hAnsi="Arial" w:eastAsia="宋体" w:cs="Arial"/>
          <w:i/>
          <w:sz w:val="24"/>
          <w:szCs w:val="24"/>
        </w:rPr>
        <w:t>员</w:t>
      </w:r>
      <w:r>
        <w:rPr>
          <w:rFonts w:ascii="Arial" w:hAnsi="Arial" w:eastAsia="宋体" w:cs="Arial"/>
          <w:i/>
          <w:sz w:val="24"/>
          <w:szCs w:val="24"/>
        </w:rPr>
        <w:t>应证明</w:t>
      </w:r>
      <w:r>
        <w:rPr>
          <w:rFonts w:hint="eastAsia" w:ascii="Arial" w:hAnsi="Arial" w:eastAsia="宋体" w:cs="Arial"/>
          <w:i/>
          <w:sz w:val="24"/>
          <w:szCs w:val="24"/>
        </w:rPr>
        <w:t>该过程</w:t>
      </w:r>
      <w:r>
        <w:rPr>
          <w:rFonts w:ascii="Arial" w:hAnsi="Arial" w:eastAsia="宋体" w:cs="Arial"/>
          <w:i/>
          <w:sz w:val="24"/>
          <w:szCs w:val="24"/>
        </w:rPr>
        <w:t>。该指定过程必须包含制造商的完整法定名称和制造商开展业务的名称（如果适用），主要营业地点和地址。如果制造商的任何产品不具有其法定名称，则该名称必须标识商标、商号、或这些产品的其他原产地名称。指定必须规定，在制造商撤回或更换之前，该规定将继续有效，并承担由指定代理人正式签署的承诺声明。必须说明代理人的完整法定名称和地址。在委员会否决之前，即使不符合本节的所有要求，指定对制造商仍具有约束力。指定代理人不应将其职能的履行分配给另一人。</w:t>
      </w:r>
    </w:p>
    <w:p w14:paraId="13FB4780">
      <w:pPr>
        <w:overflowPunct w:val="0"/>
        <w:snapToGrid w:val="0"/>
        <w:spacing w:line="300" w:lineRule="auto"/>
        <w:rPr>
          <w:rFonts w:ascii="Arial" w:hAnsi="Arial" w:eastAsia="宋体" w:cs="Arial"/>
          <w:sz w:val="24"/>
          <w:szCs w:val="24"/>
        </w:rPr>
      </w:pPr>
      <w:r>
        <w:rPr>
          <w:rFonts w:ascii="Arial" w:hAnsi="Arial" w:eastAsia="宋体" w:cs="Arial"/>
          <w:b/>
          <w:sz w:val="24"/>
          <w:szCs w:val="24"/>
          <w:u w:val="single"/>
        </w:rPr>
        <w:t>出口</w:t>
      </w:r>
      <w:r>
        <w:rPr>
          <w:rFonts w:ascii="Arial" w:hAnsi="Arial" w:eastAsia="宋体" w:cs="Arial"/>
          <w:sz w:val="24"/>
          <w:szCs w:val="24"/>
        </w:rPr>
        <w:t>【21 CFR 1010.20】</w:t>
      </w:r>
    </w:p>
    <w:p w14:paraId="61BF9801">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 xml:space="preserve">本章规定的性能标准不适用于以下情况下仅用于出口的任何电子产品：  </w:t>
      </w:r>
    </w:p>
    <w:p w14:paraId="776D83BB">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（a）此类产品或产品的任何运输集装箱外部的标签或标记表明该产品是用于出口的，和</w:t>
      </w:r>
    </w:p>
    <w:p w14:paraId="3F639857">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（b）此类产品符合该产品用于出口的国家的所有适用要求。</w:t>
      </w:r>
    </w:p>
    <w:p w14:paraId="00932B3A">
      <w:pPr>
        <w:overflowPunct w:val="0"/>
        <w:snapToGrid w:val="0"/>
        <w:spacing w:after="240" w:line="300" w:lineRule="auto"/>
        <w:rPr>
          <w:rFonts w:ascii="Arial" w:hAnsi="Arial" w:eastAsia="宋体" w:cs="Arial"/>
          <w:sz w:val="24"/>
          <w:szCs w:val="24"/>
        </w:rPr>
      </w:pPr>
      <w:r>
        <w:rPr>
          <w:rFonts w:ascii="Arial" w:hAnsi="Arial" w:eastAsia="宋体" w:cs="Arial"/>
          <w:sz w:val="24"/>
          <w:szCs w:val="24"/>
        </w:rPr>
        <w:t>一旦产品出口，可能无法将其退回到美国，即使退回也仅用于服务，然后再次出口。标记为出口的产品未经认证，因此将拒绝该产品进入美国。</w:t>
      </w:r>
    </w:p>
    <w:p w14:paraId="4DDCE59A">
      <w:pPr>
        <w:overflowPunct w:val="0"/>
        <w:snapToGrid w:val="0"/>
        <w:spacing w:after="240" w:line="300" w:lineRule="auto"/>
        <w:rPr>
          <w:rFonts w:ascii="Arial" w:hAnsi="Arial" w:eastAsia="宋体" w:cs="Arial"/>
          <w:sz w:val="24"/>
          <w:szCs w:val="24"/>
        </w:rPr>
      </w:pPr>
      <w:r>
        <w:rPr>
          <w:rFonts w:ascii="Arial" w:hAnsi="Arial" w:eastAsia="宋体" w:cs="Arial"/>
          <w:sz w:val="24"/>
          <w:szCs w:val="24"/>
        </w:rPr>
        <w:t>FDA不颁发非医用柜式X射线系统的出口证书。</w:t>
      </w:r>
    </w:p>
    <w:p w14:paraId="6C792B2E">
      <w:pPr>
        <w:pStyle w:val="13"/>
        <w:numPr>
          <w:ilvl w:val="0"/>
          <w:numId w:val="1"/>
        </w:numPr>
        <w:overflowPunct w:val="0"/>
        <w:snapToGrid w:val="0"/>
        <w:spacing w:before="156" w:beforeLines="50" w:after="240" w:line="300" w:lineRule="auto"/>
        <w:ind w:left="357" w:hanging="357" w:firstLineChars="0"/>
        <w:outlineLvl w:val="0"/>
        <w:rPr>
          <w:rFonts w:ascii="Arial" w:hAnsi="Arial" w:eastAsia="宋体" w:cs="Arial"/>
          <w:b/>
          <w:sz w:val="32"/>
          <w:szCs w:val="32"/>
        </w:rPr>
      </w:pPr>
      <w:bookmarkStart w:id="21" w:name="_Toc496890877"/>
      <w:r>
        <w:rPr>
          <w:rFonts w:ascii="Arial" w:hAnsi="Arial" w:eastAsia="宋体" w:cs="Arial"/>
          <w:b/>
          <w:sz w:val="32"/>
          <w:szCs w:val="32"/>
        </w:rPr>
        <w:t>获取更多信息</w:t>
      </w:r>
      <w:bookmarkEnd w:id="21"/>
    </w:p>
    <w:p w14:paraId="16356706">
      <w:pPr>
        <w:overflowPunct w:val="0"/>
        <w:snapToGrid w:val="0"/>
        <w:spacing w:after="240" w:line="300" w:lineRule="auto"/>
        <w:rPr>
          <w:rFonts w:ascii="Arial" w:hAnsi="Arial" w:eastAsia="宋体" w:cs="Arial"/>
          <w:sz w:val="24"/>
          <w:szCs w:val="24"/>
        </w:rPr>
      </w:pPr>
      <w:r>
        <w:rPr>
          <w:rFonts w:ascii="Arial" w:hAnsi="Arial" w:eastAsia="宋体" w:cs="Arial"/>
          <w:sz w:val="24"/>
          <w:szCs w:val="24"/>
        </w:rPr>
        <w:t>您可以从我们的电子产品辐射控制网页获取有关柜式X射线系统要求的更多信息：</w:t>
      </w:r>
      <w:r>
        <w:rPr>
          <w:rFonts w:ascii="Arial" w:hAnsi="Arial" w:eastAsia="宋体" w:cs="Arial"/>
          <w:color w:val="0000FF"/>
          <w:sz w:val="24"/>
          <w:szCs w:val="24"/>
          <w:u w:val="single"/>
        </w:rPr>
        <w:t>http://www.fda.gov/cdrh/radhealth/</w:t>
      </w:r>
      <w:r>
        <w:rPr>
          <w:rFonts w:ascii="Arial" w:hAnsi="Arial" w:eastAsia="宋体" w:cs="Arial"/>
          <w:sz w:val="24"/>
          <w:szCs w:val="24"/>
        </w:rPr>
        <w:t>。</w:t>
      </w:r>
    </w:p>
    <w:p w14:paraId="30BECDA7">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如果您对本指南有任何疑问，请联系Daniel Kassiday，器械和放射卫生中心（HFZ-240），食品药品监督管理局</w:t>
      </w:r>
      <w:r>
        <w:rPr>
          <w:rFonts w:hint="eastAsia" w:ascii="Arial" w:hAnsi="Arial" w:eastAsia="宋体" w:cs="Arial"/>
          <w:sz w:val="24"/>
          <w:szCs w:val="24"/>
        </w:rPr>
        <w:t>（</w:t>
      </w:r>
      <w:r>
        <w:rPr>
          <w:rFonts w:ascii="Arial" w:hAnsi="Arial" w:eastAsia="宋体" w:cs="Arial"/>
          <w:sz w:val="24"/>
          <w:szCs w:val="24"/>
        </w:rPr>
        <w:t>10903 New Hampshire Avenue，Silver Spring，MD 20993</w:t>
      </w:r>
      <w:r>
        <w:rPr>
          <w:rFonts w:hint="eastAsia" w:ascii="Arial" w:hAnsi="Arial" w:eastAsia="宋体" w:cs="Arial"/>
          <w:sz w:val="24"/>
          <w:szCs w:val="24"/>
        </w:rPr>
        <w:t>）</w:t>
      </w:r>
      <w:r>
        <w:rPr>
          <w:rFonts w:ascii="Arial" w:hAnsi="Arial" w:eastAsia="宋体" w:cs="Arial"/>
          <w:sz w:val="24"/>
          <w:szCs w:val="24"/>
        </w:rPr>
        <w:t>或daniel.kassiday@fda.hhs.gov。</w:t>
      </w:r>
    </w:p>
    <w:p w14:paraId="0ACF3B2B">
      <w:pPr>
        <w:pBdr>
          <w:bottom w:val="single" w:color="auto" w:sz="4" w:space="1"/>
        </w:pBdr>
        <w:snapToGrid w:val="0"/>
        <w:spacing w:line="300" w:lineRule="auto"/>
        <w:jc w:val="center"/>
        <w:rPr>
          <w:rFonts w:hint="eastAsia" w:eastAsia="等线"/>
          <w:lang w:eastAsia="zh-CN"/>
        </w:rPr>
      </w:pPr>
    </w:p>
    <w:p w14:paraId="50A2AB18">
      <w:pPr>
        <w:pBdr>
          <w:bottom w:val="single" w:color="auto" w:sz="4" w:space="1"/>
        </w:pBdr>
        <w:snapToGrid w:val="0"/>
        <w:spacing w:line="300" w:lineRule="auto"/>
        <w:jc w:val="center"/>
        <w:rPr>
          <w:rFonts w:hint="eastAsia" w:eastAsia="等线"/>
          <w:lang w:eastAsia="zh-CN"/>
        </w:rPr>
      </w:pPr>
    </w:p>
    <w:p w14:paraId="572E5862">
      <w:pPr>
        <w:pBdr>
          <w:bottom w:val="single" w:color="auto" w:sz="4" w:space="1"/>
        </w:pBdr>
        <w:snapToGrid w:val="0"/>
        <w:spacing w:line="30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1778941143"/>
      <w:docPartObj>
        <w:docPartGallery w:val="AutoText"/>
      </w:docPartObj>
    </w:sdtPr>
    <w:sdtEndPr>
      <w:rPr>
        <w:rFonts w:ascii="Arial" w:hAnsi="Arial" w:cs="Arial"/>
      </w:rPr>
    </w:sdtEndPr>
    <w:sdtContent>
      <w:p w14:paraId="1A61D048">
        <w:pPr>
          <w:pStyle w:val="4"/>
          <w:jc w:val="right"/>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24</w:t>
        </w:r>
        <w:r>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38568F52">
      <w:pPr>
        <w:pStyle w:val="7"/>
        <w:rPr>
          <w:rFonts w:ascii="Arial" w:hAnsi="Arial" w:eastAsia="宋体" w:cs="Arial"/>
          <w:highlight w:val="yellow"/>
        </w:rPr>
      </w:pPr>
      <w:r>
        <w:rPr>
          <w:rStyle w:val="12"/>
          <w:rFonts w:ascii="Arial" w:hAnsi="Arial" w:eastAsia="宋体" w:cs="Arial"/>
        </w:rPr>
        <w:footnoteRef/>
      </w:r>
      <w:r>
        <w:rPr>
          <w:rFonts w:ascii="Arial" w:hAnsi="Arial" w:eastAsia="宋体" w:cs="Arial"/>
        </w:rPr>
        <w:t xml:space="preserve"> </w:t>
      </w:r>
      <w:r>
        <w:rPr>
          <w:rFonts w:hint="eastAsia" w:ascii="Arial" w:hAnsi="Arial" w:eastAsia="宋体" w:cs="Arial"/>
        </w:rPr>
        <w:t>除了上述法规的要求外，制造商还必须遵守其他适用的法案和法规条款，包括该产品为法案（</w:t>
      </w:r>
      <w:r>
        <w:rPr>
          <w:rFonts w:ascii="Arial" w:hAnsi="Arial" w:eastAsia="宋体" w:cs="Arial"/>
        </w:rPr>
        <w:t>21 U.S.C. 301(h)</w:t>
      </w:r>
      <w:r>
        <w:rPr>
          <w:rFonts w:hint="eastAsia" w:ascii="Arial" w:hAnsi="Arial" w:eastAsia="宋体" w:cs="Arial"/>
        </w:rPr>
        <w:t>）规定下的</w:t>
      </w:r>
      <w:r>
        <w:rPr>
          <w:rFonts w:ascii="Arial" w:hAnsi="Arial" w:eastAsia="宋体" w:cs="Arial"/>
        </w:rPr>
        <w:t>“</w:t>
      </w:r>
      <w:r>
        <w:rPr>
          <w:rFonts w:hint="eastAsia" w:ascii="Arial" w:hAnsi="Arial" w:eastAsia="宋体" w:cs="Arial"/>
        </w:rPr>
        <w:t>医疗器械</w:t>
      </w:r>
      <w:r>
        <w:rPr>
          <w:rFonts w:ascii="Arial" w:hAnsi="Arial" w:eastAsia="宋体" w:cs="Arial"/>
        </w:rPr>
        <w:t>”</w:t>
      </w:r>
      <w:r>
        <w:rPr>
          <w:rFonts w:hint="eastAsia" w:ascii="Arial" w:hAnsi="Arial" w:eastAsia="宋体" w:cs="Arial"/>
        </w:rPr>
        <w:t>时、以及该产品用于食品辐射时（</w:t>
      </w:r>
      <w:r>
        <w:rPr>
          <w:rFonts w:ascii="Arial" w:hAnsi="Arial" w:eastAsia="宋体" w:cs="Arial"/>
        </w:rPr>
        <w:t>21 CFR 179</w:t>
      </w:r>
      <w:r>
        <w:rPr>
          <w:rFonts w:hint="eastAsia" w:ascii="Arial" w:hAnsi="Arial" w:eastAsia="宋体" w:cs="Arial"/>
        </w:rPr>
        <w:t>部分）的相关适用要求。对医疗器械和食品辐射条款和法规的讨论不在本文件范围内。</w:t>
      </w:r>
    </w:p>
  </w:footnote>
  <w:footnote w:id="1">
    <w:p w14:paraId="31604336">
      <w:pPr>
        <w:pStyle w:val="7"/>
        <w:rPr>
          <w:rFonts w:ascii="Arial" w:hAnsi="Arial" w:eastAsia="宋体" w:cs="Arial"/>
          <w:highlight w:val="yellow"/>
        </w:rPr>
      </w:pPr>
      <w:r>
        <w:rPr>
          <w:rFonts w:eastAsia="宋体"/>
        </w:rPr>
        <w:footnoteRef/>
      </w:r>
      <w:r>
        <w:rPr>
          <w:rFonts w:ascii="Arial" w:hAnsi="Arial" w:eastAsia="宋体" w:cs="Arial"/>
        </w:rPr>
        <w:t xml:space="preserve"> </w:t>
      </w:r>
      <w:r>
        <w:rPr>
          <w:rFonts w:hint="eastAsia" w:ascii="Arial" w:hAnsi="Arial" w:eastAsia="宋体" w:cs="Arial"/>
        </w:rPr>
        <w:t>诊断</w:t>
      </w:r>
      <w:r>
        <w:rPr>
          <w:rFonts w:ascii="Arial" w:hAnsi="Arial" w:eastAsia="宋体" w:cs="Arial"/>
        </w:rPr>
        <w:t>X</w:t>
      </w:r>
      <w:r>
        <w:rPr>
          <w:rFonts w:hint="eastAsia" w:ascii="Arial" w:hAnsi="Arial" w:eastAsia="宋体" w:cs="Arial"/>
        </w:rPr>
        <w:t>射线系统受具体性能标准约束，</w:t>
      </w:r>
      <w:r>
        <w:rPr>
          <w:rFonts w:ascii="Arial" w:hAnsi="Arial" w:eastAsia="宋体" w:cs="Arial"/>
        </w:rPr>
        <w:t>21 CFR 1020.30</w:t>
      </w:r>
      <w:r>
        <w:rPr>
          <w:rFonts w:hint="eastAsia" w:ascii="Arial" w:hAnsi="Arial" w:eastAsia="宋体" w:cs="Arial"/>
        </w:rPr>
        <w:t>。</w:t>
      </w:r>
    </w:p>
  </w:footnote>
  <w:footnote w:id="2">
    <w:p w14:paraId="69E21C15">
      <w:pPr>
        <w:pStyle w:val="7"/>
        <w:rPr>
          <w:rFonts w:ascii="Arial" w:hAnsi="Arial" w:eastAsia="宋体" w:cs="Arial"/>
          <w:highlight w:val="yellow"/>
        </w:rPr>
      </w:pPr>
      <w:r>
        <w:rPr>
          <w:rStyle w:val="12"/>
          <w:rFonts w:ascii="Arial" w:hAnsi="Arial" w:eastAsia="宋体" w:cs="Arial"/>
        </w:rPr>
        <w:footnoteRef/>
      </w:r>
      <w:r>
        <w:rPr>
          <w:rFonts w:ascii="Arial" w:hAnsi="Arial" w:eastAsia="宋体" w:cs="Arial"/>
        </w:rPr>
        <w:t xml:space="preserve"> </w:t>
      </w:r>
      <w:r>
        <w:rPr>
          <w:rFonts w:hint="eastAsia" w:ascii="Arial" w:hAnsi="Arial" w:eastAsia="宋体" w:cs="Arial"/>
        </w:rPr>
        <w:t>本指南中的报告和其他文件提交地址是指南发布时的提交地址；法规中规定的地址非当前地址。</w:t>
      </w:r>
    </w:p>
  </w:footnote>
  <w:footnote w:id="3">
    <w:p w14:paraId="723A2585">
      <w:pPr>
        <w:pStyle w:val="7"/>
        <w:rPr>
          <w:rFonts w:ascii="Arial" w:hAnsi="Arial" w:eastAsia="宋体" w:cs="Arial"/>
        </w:rPr>
      </w:pPr>
      <w:r>
        <w:rPr>
          <w:rStyle w:val="12"/>
          <w:rFonts w:ascii="Arial" w:hAnsi="Arial" w:eastAsia="宋体" w:cs="Arial"/>
        </w:rPr>
        <w:footnoteRef/>
      </w:r>
      <w:r>
        <w:rPr>
          <w:rFonts w:ascii="Arial" w:hAnsi="Arial" w:eastAsia="宋体" w:cs="Arial"/>
        </w:rPr>
        <w:t xml:space="preserve"> </w:t>
      </w:r>
      <w:r>
        <w:rPr>
          <w:rFonts w:hint="eastAsia" w:ascii="Arial" w:hAnsi="Arial" w:eastAsia="宋体" w:cs="Arial"/>
        </w:rPr>
        <w:t>本指南中的报告和其他文件提交地址是指南发布时的提交地址；法规中规定的地址非当前地址。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73EA1">
    <w:pPr>
      <w:pStyle w:val="5"/>
      <w:pBdr>
        <w:bottom w:val="none" w:color="auto" w:sz="0" w:space="0"/>
      </w:pBdr>
      <w:rPr>
        <w:rFonts w:ascii="Arial" w:hAnsi="Arial" w:cs="Arial"/>
        <w:b/>
        <w:i/>
        <w:sz w:val="21"/>
        <w:szCs w:val="21"/>
      </w:rPr>
    </w:pPr>
    <w:r>
      <w:rPr>
        <w:rFonts w:hint="eastAsia" w:ascii="Arial" w:hAnsi="Arial" w:cs="Arial"/>
        <w:b/>
        <w:i/>
        <w:sz w:val="21"/>
        <w:szCs w:val="21"/>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6017B"/>
    <w:multiLevelType w:val="multilevel"/>
    <w:tmpl w:val="01E6017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39C3489"/>
    <w:multiLevelType w:val="multilevel"/>
    <w:tmpl w:val="039C348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97F63F8"/>
    <w:multiLevelType w:val="multilevel"/>
    <w:tmpl w:val="197F63F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F0948A1"/>
    <w:multiLevelType w:val="multilevel"/>
    <w:tmpl w:val="1F0948A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72E4273"/>
    <w:multiLevelType w:val="multilevel"/>
    <w:tmpl w:val="272E427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301C686A"/>
    <w:multiLevelType w:val="multilevel"/>
    <w:tmpl w:val="301C686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AEA6E98"/>
    <w:multiLevelType w:val="multilevel"/>
    <w:tmpl w:val="3AEA6E98"/>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5051995"/>
    <w:multiLevelType w:val="multilevel"/>
    <w:tmpl w:val="4505199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9D115CA"/>
    <w:multiLevelType w:val="multilevel"/>
    <w:tmpl w:val="49D115C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04C44B1"/>
    <w:multiLevelType w:val="multilevel"/>
    <w:tmpl w:val="504C44B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53867997"/>
    <w:multiLevelType w:val="multilevel"/>
    <w:tmpl w:val="5386799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63417686"/>
    <w:multiLevelType w:val="multilevel"/>
    <w:tmpl w:val="63417686"/>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BA26799"/>
    <w:multiLevelType w:val="multilevel"/>
    <w:tmpl w:val="6BA2679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720616C4"/>
    <w:multiLevelType w:val="multilevel"/>
    <w:tmpl w:val="720616C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753305C6"/>
    <w:multiLevelType w:val="multilevel"/>
    <w:tmpl w:val="753305C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7"/>
  </w:num>
  <w:num w:numId="2">
    <w:abstractNumId w:val="10"/>
  </w:num>
  <w:num w:numId="3">
    <w:abstractNumId w:val="13"/>
  </w:num>
  <w:num w:numId="4">
    <w:abstractNumId w:val="4"/>
  </w:num>
  <w:num w:numId="5">
    <w:abstractNumId w:val="1"/>
  </w:num>
  <w:num w:numId="6">
    <w:abstractNumId w:val="5"/>
  </w:num>
  <w:num w:numId="7">
    <w:abstractNumId w:val="2"/>
  </w:num>
  <w:num w:numId="8">
    <w:abstractNumId w:val="9"/>
  </w:num>
  <w:num w:numId="9">
    <w:abstractNumId w:val="12"/>
  </w:num>
  <w:num w:numId="10">
    <w:abstractNumId w:val="8"/>
  </w:num>
  <w:num w:numId="11">
    <w:abstractNumId w:val="6"/>
  </w:num>
  <w:num w:numId="12">
    <w:abstractNumId w:val="11"/>
  </w:num>
  <w:num w:numId="13">
    <w:abstractNumId w:val="3"/>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FCB"/>
    <w:rsid w:val="00014DAC"/>
    <w:rsid w:val="00015795"/>
    <w:rsid w:val="000276D5"/>
    <w:rsid w:val="0002776A"/>
    <w:rsid w:val="00044E1E"/>
    <w:rsid w:val="000467FA"/>
    <w:rsid w:val="00055A38"/>
    <w:rsid w:val="00086D4D"/>
    <w:rsid w:val="000B3D3F"/>
    <w:rsid w:val="000C338C"/>
    <w:rsid w:val="000D1D2D"/>
    <w:rsid w:val="000D2151"/>
    <w:rsid w:val="000D2E68"/>
    <w:rsid w:val="000D78A3"/>
    <w:rsid w:val="000D79C0"/>
    <w:rsid w:val="000D7A8B"/>
    <w:rsid w:val="001001E8"/>
    <w:rsid w:val="00100E87"/>
    <w:rsid w:val="00107962"/>
    <w:rsid w:val="00164C70"/>
    <w:rsid w:val="001820FC"/>
    <w:rsid w:val="00185362"/>
    <w:rsid w:val="001900F4"/>
    <w:rsid w:val="001C1242"/>
    <w:rsid w:val="001C7D1C"/>
    <w:rsid w:val="001E4179"/>
    <w:rsid w:val="001E41C5"/>
    <w:rsid w:val="001E7160"/>
    <w:rsid w:val="001F29EB"/>
    <w:rsid w:val="001F2B16"/>
    <w:rsid w:val="00204CE6"/>
    <w:rsid w:val="002117AD"/>
    <w:rsid w:val="002207C8"/>
    <w:rsid w:val="00222C7D"/>
    <w:rsid w:val="00235637"/>
    <w:rsid w:val="00251C76"/>
    <w:rsid w:val="002538C2"/>
    <w:rsid w:val="002663F3"/>
    <w:rsid w:val="002845A5"/>
    <w:rsid w:val="00291137"/>
    <w:rsid w:val="002A12AB"/>
    <w:rsid w:val="002B3103"/>
    <w:rsid w:val="002B36FC"/>
    <w:rsid w:val="002D6013"/>
    <w:rsid w:val="002E3243"/>
    <w:rsid w:val="00303C39"/>
    <w:rsid w:val="00306E1B"/>
    <w:rsid w:val="00314C59"/>
    <w:rsid w:val="003820CC"/>
    <w:rsid w:val="0039049B"/>
    <w:rsid w:val="00390501"/>
    <w:rsid w:val="003935BC"/>
    <w:rsid w:val="00395B17"/>
    <w:rsid w:val="003B66CB"/>
    <w:rsid w:val="003C4138"/>
    <w:rsid w:val="003D46CF"/>
    <w:rsid w:val="003D493A"/>
    <w:rsid w:val="003F1160"/>
    <w:rsid w:val="003F4AC7"/>
    <w:rsid w:val="00401E42"/>
    <w:rsid w:val="004166C0"/>
    <w:rsid w:val="00417C38"/>
    <w:rsid w:val="00443A74"/>
    <w:rsid w:val="004460B5"/>
    <w:rsid w:val="0048150C"/>
    <w:rsid w:val="0049619B"/>
    <w:rsid w:val="004A6748"/>
    <w:rsid w:val="004B5EDE"/>
    <w:rsid w:val="004C16F3"/>
    <w:rsid w:val="004C3485"/>
    <w:rsid w:val="004C4A57"/>
    <w:rsid w:val="004E0F98"/>
    <w:rsid w:val="004E37D4"/>
    <w:rsid w:val="004F36A5"/>
    <w:rsid w:val="005000F9"/>
    <w:rsid w:val="005073C8"/>
    <w:rsid w:val="00523F87"/>
    <w:rsid w:val="00530C8A"/>
    <w:rsid w:val="00563F1C"/>
    <w:rsid w:val="00564835"/>
    <w:rsid w:val="005714EE"/>
    <w:rsid w:val="00572DF8"/>
    <w:rsid w:val="0058396E"/>
    <w:rsid w:val="005A0DF7"/>
    <w:rsid w:val="005A1FAA"/>
    <w:rsid w:val="005A273F"/>
    <w:rsid w:val="005B0050"/>
    <w:rsid w:val="005C3E59"/>
    <w:rsid w:val="005F1E2A"/>
    <w:rsid w:val="00611340"/>
    <w:rsid w:val="0062135E"/>
    <w:rsid w:val="00624FC4"/>
    <w:rsid w:val="0063225B"/>
    <w:rsid w:val="00641BA0"/>
    <w:rsid w:val="00662C61"/>
    <w:rsid w:val="00663830"/>
    <w:rsid w:val="00664EE4"/>
    <w:rsid w:val="006753CA"/>
    <w:rsid w:val="006849AE"/>
    <w:rsid w:val="00685DC4"/>
    <w:rsid w:val="006A6BAF"/>
    <w:rsid w:val="006F3D1A"/>
    <w:rsid w:val="007101A5"/>
    <w:rsid w:val="007339DA"/>
    <w:rsid w:val="00737E27"/>
    <w:rsid w:val="00765100"/>
    <w:rsid w:val="00773BF2"/>
    <w:rsid w:val="00773F30"/>
    <w:rsid w:val="007755F0"/>
    <w:rsid w:val="00791190"/>
    <w:rsid w:val="00791A15"/>
    <w:rsid w:val="007A4EDD"/>
    <w:rsid w:val="007B12A6"/>
    <w:rsid w:val="007B1380"/>
    <w:rsid w:val="007B3937"/>
    <w:rsid w:val="007F1AD9"/>
    <w:rsid w:val="007F3919"/>
    <w:rsid w:val="007F393A"/>
    <w:rsid w:val="008114E8"/>
    <w:rsid w:val="0082786C"/>
    <w:rsid w:val="00831F35"/>
    <w:rsid w:val="0085763A"/>
    <w:rsid w:val="00857F06"/>
    <w:rsid w:val="00881F68"/>
    <w:rsid w:val="00884152"/>
    <w:rsid w:val="00884CBF"/>
    <w:rsid w:val="008C5537"/>
    <w:rsid w:val="008D0162"/>
    <w:rsid w:val="00900DB1"/>
    <w:rsid w:val="0092393D"/>
    <w:rsid w:val="00935FFB"/>
    <w:rsid w:val="00950A0D"/>
    <w:rsid w:val="0095225F"/>
    <w:rsid w:val="00955290"/>
    <w:rsid w:val="00963D36"/>
    <w:rsid w:val="00964B68"/>
    <w:rsid w:val="00971DBB"/>
    <w:rsid w:val="00972835"/>
    <w:rsid w:val="00976882"/>
    <w:rsid w:val="009B7E6B"/>
    <w:rsid w:val="009D0861"/>
    <w:rsid w:val="009F72F7"/>
    <w:rsid w:val="00A061AA"/>
    <w:rsid w:val="00A06FE7"/>
    <w:rsid w:val="00A07089"/>
    <w:rsid w:val="00A113EF"/>
    <w:rsid w:val="00A21FD1"/>
    <w:rsid w:val="00A236C0"/>
    <w:rsid w:val="00A25095"/>
    <w:rsid w:val="00A51EC1"/>
    <w:rsid w:val="00A625EF"/>
    <w:rsid w:val="00A629CC"/>
    <w:rsid w:val="00A6433B"/>
    <w:rsid w:val="00A750C2"/>
    <w:rsid w:val="00AA314A"/>
    <w:rsid w:val="00AB130D"/>
    <w:rsid w:val="00AB1E25"/>
    <w:rsid w:val="00AC20AE"/>
    <w:rsid w:val="00AE1D84"/>
    <w:rsid w:val="00AE5788"/>
    <w:rsid w:val="00AF295A"/>
    <w:rsid w:val="00AF4128"/>
    <w:rsid w:val="00B0114A"/>
    <w:rsid w:val="00B04661"/>
    <w:rsid w:val="00B105A4"/>
    <w:rsid w:val="00B11287"/>
    <w:rsid w:val="00B1286F"/>
    <w:rsid w:val="00B36FCB"/>
    <w:rsid w:val="00B37ED7"/>
    <w:rsid w:val="00B50490"/>
    <w:rsid w:val="00B51B9C"/>
    <w:rsid w:val="00B747A4"/>
    <w:rsid w:val="00B83595"/>
    <w:rsid w:val="00BA2057"/>
    <w:rsid w:val="00BA387B"/>
    <w:rsid w:val="00BA5198"/>
    <w:rsid w:val="00BB1781"/>
    <w:rsid w:val="00BB1FE8"/>
    <w:rsid w:val="00BB5195"/>
    <w:rsid w:val="00BC34BB"/>
    <w:rsid w:val="00BD3651"/>
    <w:rsid w:val="00BF63F8"/>
    <w:rsid w:val="00BF7AE8"/>
    <w:rsid w:val="00C03037"/>
    <w:rsid w:val="00C03B88"/>
    <w:rsid w:val="00C16258"/>
    <w:rsid w:val="00C23933"/>
    <w:rsid w:val="00C241E3"/>
    <w:rsid w:val="00C247DE"/>
    <w:rsid w:val="00C35F3C"/>
    <w:rsid w:val="00C539F5"/>
    <w:rsid w:val="00C649EE"/>
    <w:rsid w:val="00C94A6D"/>
    <w:rsid w:val="00CB32F6"/>
    <w:rsid w:val="00CB76A6"/>
    <w:rsid w:val="00CC5132"/>
    <w:rsid w:val="00CD72B9"/>
    <w:rsid w:val="00D05105"/>
    <w:rsid w:val="00D1674D"/>
    <w:rsid w:val="00D20C67"/>
    <w:rsid w:val="00D23F67"/>
    <w:rsid w:val="00D7022C"/>
    <w:rsid w:val="00D71956"/>
    <w:rsid w:val="00D724E0"/>
    <w:rsid w:val="00D95F05"/>
    <w:rsid w:val="00DA6BCD"/>
    <w:rsid w:val="00DB1DA5"/>
    <w:rsid w:val="00DC459C"/>
    <w:rsid w:val="00E10E26"/>
    <w:rsid w:val="00E120ED"/>
    <w:rsid w:val="00E15C50"/>
    <w:rsid w:val="00E22E5D"/>
    <w:rsid w:val="00E34B37"/>
    <w:rsid w:val="00E6775E"/>
    <w:rsid w:val="00E728D3"/>
    <w:rsid w:val="00E923A0"/>
    <w:rsid w:val="00EA1499"/>
    <w:rsid w:val="00EB57BC"/>
    <w:rsid w:val="00EC18EE"/>
    <w:rsid w:val="00EC1C23"/>
    <w:rsid w:val="00ED785F"/>
    <w:rsid w:val="00EE6ACC"/>
    <w:rsid w:val="00F10A56"/>
    <w:rsid w:val="00F1642C"/>
    <w:rsid w:val="00F231EA"/>
    <w:rsid w:val="00F23964"/>
    <w:rsid w:val="00F54AC1"/>
    <w:rsid w:val="00FC3159"/>
    <w:rsid w:val="00FF3DFE"/>
    <w:rsid w:val="69FF3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uiPriority w:val="99"/>
    <w:rPr>
      <w:sz w:val="18"/>
      <w:szCs w:val="18"/>
    </w:rPr>
  </w:style>
  <w:style w:type="paragraph" w:styleId="4">
    <w:name w:val="footer"/>
    <w:basedOn w:val="1"/>
    <w:link w:val="16"/>
    <w:unhideWhenUsed/>
    <w:uiPriority w:val="99"/>
    <w:pPr>
      <w:tabs>
        <w:tab w:val="center" w:pos="4153"/>
        <w:tab w:val="right" w:pos="8306"/>
      </w:tabs>
      <w:snapToGrid w:val="0"/>
      <w:jc w:val="left"/>
    </w:pPr>
    <w:rPr>
      <w:sz w:val="18"/>
      <w:szCs w:val="18"/>
    </w:rPr>
  </w:style>
  <w:style w:type="paragraph" w:styleId="5">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rPr>
      <w:rFonts w:eastAsia="宋体"/>
    </w:rPr>
  </w:style>
  <w:style w:type="paragraph" w:styleId="7">
    <w:name w:val="footnote text"/>
    <w:basedOn w:val="1"/>
    <w:link w:val="14"/>
    <w:unhideWhenUsed/>
    <w:qFormat/>
    <w:uiPriority w:val="99"/>
    <w:pPr>
      <w:snapToGrid w:val="0"/>
      <w:jc w:val="left"/>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footnote reference"/>
    <w:basedOn w:val="10"/>
    <w:semiHidden/>
    <w:unhideWhenUsed/>
    <w:qFormat/>
    <w:uiPriority w:val="99"/>
    <w:rPr>
      <w:vertAlign w:val="superscript"/>
    </w:rPr>
  </w:style>
  <w:style w:type="paragraph" w:styleId="13">
    <w:name w:val="List Paragraph"/>
    <w:basedOn w:val="1"/>
    <w:qFormat/>
    <w:uiPriority w:val="34"/>
    <w:pPr>
      <w:ind w:firstLine="420" w:firstLineChars="200"/>
    </w:pPr>
  </w:style>
  <w:style w:type="character" w:customStyle="1" w:styleId="14">
    <w:name w:val="脚注文本 Char"/>
    <w:basedOn w:val="10"/>
    <w:link w:val="7"/>
    <w:qFormat/>
    <w:uiPriority w:val="99"/>
    <w:rPr>
      <w:sz w:val="18"/>
      <w:szCs w:val="18"/>
    </w:rPr>
  </w:style>
  <w:style w:type="character" w:customStyle="1" w:styleId="15">
    <w:name w:val="页眉 Char"/>
    <w:basedOn w:val="10"/>
    <w:link w:val="5"/>
    <w:uiPriority w:val="99"/>
    <w:rPr>
      <w:sz w:val="18"/>
      <w:szCs w:val="18"/>
    </w:rPr>
  </w:style>
  <w:style w:type="character" w:customStyle="1" w:styleId="16">
    <w:name w:val="页脚 Char"/>
    <w:basedOn w:val="10"/>
    <w:link w:val="4"/>
    <w:qFormat/>
    <w:uiPriority w:val="99"/>
    <w:rPr>
      <w:sz w:val="18"/>
      <w:szCs w:val="18"/>
    </w:rPr>
  </w:style>
  <w:style w:type="character" w:customStyle="1" w:styleId="17">
    <w:name w:val="批注框文本 Char"/>
    <w:basedOn w:val="10"/>
    <w:link w:val="3"/>
    <w:semiHidden/>
    <w:uiPriority w:val="99"/>
    <w:rPr>
      <w:sz w:val="18"/>
      <w:szCs w:val="18"/>
    </w:rPr>
  </w:style>
  <w:style w:type="paragraph" w:customStyle="1" w:styleId="18">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19">
    <w:name w:val="标题 1 Char"/>
    <w:basedOn w:val="10"/>
    <w:link w:val="2"/>
    <w:uiPriority w:val="9"/>
    <w:rPr>
      <w:b/>
      <w:bCs/>
      <w:kern w:val="44"/>
      <w:sz w:val="44"/>
      <w:szCs w:val="44"/>
    </w:rPr>
  </w:style>
  <w:style w:type="paragraph" w:customStyle="1" w:styleId="2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70837-D27D-4190-947C-8568626062D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16108</Words>
  <Characters>18725</Characters>
  <Lines>142</Lines>
  <Paragraphs>39</Paragraphs>
  <TotalTime>1</TotalTime>
  <ScaleCrop>false</ScaleCrop>
  <LinksUpToDate>false</LinksUpToDate>
  <CharactersWithSpaces>19109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2017-11-09T16:45:00Z</dcterms:created>
  <dc:creator>Guozhen Liu</dc:creator>
  <cp:lastModifiedBy>太极箫客</cp:lastModifiedBy>
  <dcterms:modified xsi:type="dcterms:W3CDTF">2025-08-14T06:15:43Z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C613E57B897F4FB5AF38704B3A00070C_12</vt:lpwstr>
  </property>
</Properties>
</file>