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88AC">
      <w:pPr>
        <w:rPr>
          <w:rFonts w:ascii="黑体" w:hAnsi="黑体" w:eastAsia="黑体"/>
          <w:sz w:val="32"/>
          <w:szCs w:val="32"/>
        </w:rPr>
      </w:pPr>
      <w:bookmarkStart w:id="3" w:name="_GoBack"/>
      <w:bookmarkEnd w:id="3"/>
      <w:r>
        <w:rPr>
          <w:rFonts w:hint="eastAsia" w:ascii="黑体" w:hAnsi="黑体" w:eastAsia="黑体"/>
          <w:sz w:val="32"/>
          <w:szCs w:val="32"/>
        </w:rPr>
        <w:t>附件4</w:t>
      </w:r>
    </w:p>
    <w:p w14:paraId="751F9FE0">
      <w:pPr>
        <w:jc w:val="center"/>
        <w:rPr>
          <w:rFonts w:eastAsia="方正小标宋简体"/>
          <w:sz w:val="36"/>
          <w:szCs w:val="44"/>
        </w:rPr>
      </w:pPr>
      <w:r>
        <w:rPr>
          <w:rFonts w:hint="eastAsia" w:eastAsia="方正小标宋简体"/>
          <w:sz w:val="36"/>
          <w:szCs w:val="44"/>
        </w:rPr>
        <w:t>医疗器械生产质量管理规范</w:t>
      </w:r>
    </w:p>
    <w:p w14:paraId="255B15E2">
      <w:pPr>
        <w:jc w:val="center"/>
        <w:rPr>
          <w:rFonts w:eastAsia="方正小标宋简体"/>
          <w:sz w:val="36"/>
          <w:szCs w:val="44"/>
        </w:rPr>
      </w:pPr>
      <w:r>
        <w:rPr>
          <w:rFonts w:hint="eastAsia" w:eastAsia="方正小标宋简体"/>
          <w:sz w:val="36"/>
          <w:szCs w:val="44"/>
        </w:rPr>
        <w:t>体外诊断试剂现场检查指导原则</w:t>
      </w:r>
    </w:p>
    <w:p w14:paraId="35452E65">
      <w:pPr>
        <w:jc w:val="center"/>
        <w:rPr>
          <w:rFonts w:eastAsia="方正小标宋简体"/>
          <w:sz w:val="28"/>
          <w:szCs w:val="36"/>
        </w:rPr>
      </w:pPr>
    </w:p>
    <w:tbl>
      <w:tblPr>
        <w:tblStyle w:val="7"/>
        <w:tblW w:w="54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98"/>
        <w:gridCol w:w="1253"/>
        <w:gridCol w:w="7465"/>
      </w:tblGrid>
      <w:tr w14:paraId="4005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270" w:type="pct"/>
            <w:vAlign w:val="center"/>
          </w:tcPr>
          <w:p w14:paraId="5DEBA861">
            <w:pPr>
              <w:jc w:val="left"/>
              <w:rPr>
                <w:rFonts w:eastAsia="仿宋_GB2312"/>
                <w:b/>
                <w:bCs/>
                <w:color w:val="000000"/>
                <w:sz w:val="18"/>
                <w:szCs w:val="21"/>
              </w:rPr>
            </w:pPr>
            <w:r>
              <w:rPr>
                <w:rFonts w:eastAsia="仿宋_GB2312"/>
                <w:b/>
                <w:bCs/>
                <w:color w:val="000000"/>
                <w:sz w:val="18"/>
                <w:szCs w:val="21"/>
              </w:rPr>
              <w:t>章节</w:t>
            </w:r>
          </w:p>
        </w:tc>
        <w:tc>
          <w:tcPr>
            <w:tcW w:w="680" w:type="pct"/>
            <w:shd w:val="clear" w:color="auto" w:fill="auto"/>
            <w:tcMar>
              <w:left w:w="57" w:type="dxa"/>
              <w:right w:w="57" w:type="dxa"/>
            </w:tcMar>
            <w:vAlign w:val="center"/>
          </w:tcPr>
          <w:p w14:paraId="0ECBA6EC">
            <w:pPr>
              <w:jc w:val="center"/>
              <w:rPr>
                <w:rFonts w:eastAsia="仿宋_GB2312"/>
                <w:b/>
                <w:bCs/>
                <w:color w:val="000000"/>
                <w:sz w:val="18"/>
                <w:szCs w:val="21"/>
              </w:rPr>
            </w:pPr>
            <w:r>
              <w:rPr>
                <w:rFonts w:eastAsia="仿宋_GB2312"/>
                <w:b/>
                <w:bCs/>
                <w:color w:val="000000"/>
                <w:sz w:val="18"/>
                <w:szCs w:val="21"/>
              </w:rPr>
              <w:t>条款</w:t>
            </w:r>
          </w:p>
        </w:tc>
        <w:tc>
          <w:tcPr>
            <w:tcW w:w="4050" w:type="pct"/>
            <w:shd w:val="clear" w:color="auto" w:fill="auto"/>
            <w:tcMar>
              <w:left w:w="57" w:type="dxa"/>
              <w:right w:w="57" w:type="dxa"/>
            </w:tcMar>
            <w:vAlign w:val="center"/>
          </w:tcPr>
          <w:p w14:paraId="0B1D478C">
            <w:pPr>
              <w:jc w:val="center"/>
              <w:rPr>
                <w:rFonts w:eastAsia="仿宋_GB2312"/>
                <w:b/>
                <w:bCs/>
                <w:color w:val="000000"/>
                <w:sz w:val="18"/>
                <w:szCs w:val="21"/>
              </w:rPr>
            </w:pPr>
            <w:r>
              <w:rPr>
                <w:rFonts w:eastAsia="仿宋_GB2312"/>
                <w:b/>
                <w:bCs/>
                <w:color w:val="000000"/>
                <w:sz w:val="18"/>
                <w:szCs w:val="21"/>
              </w:rPr>
              <w:t>内容</w:t>
            </w:r>
          </w:p>
        </w:tc>
      </w:tr>
      <w:tr w14:paraId="2A9F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29547E52">
            <w:pPr>
              <w:jc w:val="left"/>
              <w:rPr>
                <w:rFonts w:eastAsia="仿宋_GB2312"/>
                <w:b/>
                <w:color w:val="000000"/>
                <w:kern w:val="0"/>
                <w:sz w:val="22"/>
                <w:szCs w:val="28"/>
                <w:lang w:bidi="bn-IN"/>
              </w:rPr>
            </w:pPr>
            <w:r>
              <w:rPr>
                <w:rFonts w:eastAsia="仿宋_GB2312"/>
                <w:b/>
                <w:color w:val="000000"/>
                <w:kern w:val="0"/>
                <w:sz w:val="22"/>
                <w:szCs w:val="28"/>
                <w:lang w:bidi="bn-IN"/>
              </w:rPr>
              <w:t>机</w:t>
            </w:r>
          </w:p>
          <w:p w14:paraId="13D58466">
            <w:pPr>
              <w:jc w:val="left"/>
              <w:rPr>
                <w:rFonts w:eastAsia="仿宋_GB2312"/>
                <w:b/>
                <w:color w:val="000000"/>
                <w:kern w:val="0"/>
                <w:sz w:val="22"/>
                <w:szCs w:val="28"/>
                <w:lang w:bidi="bn-IN"/>
              </w:rPr>
            </w:pPr>
            <w:r>
              <w:rPr>
                <w:rFonts w:eastAsia="仿宋_GB2312"/>
                <w:b/>
                <w:color w:val="000000"/>
                <w:kern w:val="0"/>
                <w:sz w:val="22"/>
                <w:szCs w:val="28"/>
                <w:lang w:bidi="bn-IN"/>
              </w:rPr>
              <w:t>构</w:t>
            </w:r>
          </w:p>
          <w:p w14:paraId="38C115A7">
            <w:pPr>
              <w:jc w:val="left"/>
              <w:rPr>
                <w:rFonts w:eastAsia="仿宋_GB2312"/>
                <w:b/>
                <w:color w:val="000000"/>
                <w:kern w:val="0"/>
                <w:sz w:val="22"/>
                <w:szCs w:val="28"/>
                <w:lang w:bidi="bn-IN"/>
              </w:rPr>
            </w:pPr>
            <w:r>
              <w:rPr>
                <w:rFonts w:eastAsia="仿宋_GB2312"/>
                <w:b/>
                <w:color w:val="000000"/>
                <w:kern w:val="0"/>
                <w:sz w:val="22"/>
                <w:szCs w:val="28"/>
                <w:lang w:bidi="bn-IN"/>
              </w:rPr>
              <w:t>和</w:t>
            </w:r>
          </w:p>
          <w:p w14:paraId="0DB3506E">
            <w:pPr>
              <w:jc w:val="left"/>
              <w:rPr>
                <w:rFonts w:eastAsia="仿宋_GB2312"/>
                <w:b/>
                <w:color w:val="000000"/>
                <w:kern w:val="0"/>
                <w:sz w:val="22"/>
                <w:szCs w:val="28"/>
                <w:lang w:bidi="bn-IN"/>
              </w:rPr>
            </w:pPr>
            <w:r>
              <w:rPr>
                <w:rFonts w:eastAsia="仿宋_GB2312"/>
                <w:b/>
                <w:color w:val="000000"/>
                <w:kern w:val="0"/>
                <w:sz w:val="22"/>
                <w:szCs w:val="28"/>
                <w:lang w:bidi="bn-IN"/>
              </w:rPr>
              <w:t>人</w:t>
            </w:r>
          </w:p>
          <w:p w14:paraId="57C00700">
            <w:pPr>
              <w:jc w:val="left"/>
              <w:rPr>
                <w:rFonts w:eastAsia="仿宋_GB2312"/>
                <w:b/>
                <w:color w:val="000000"/>
                <w:kern w:val="0"/>
                <w:sz w:val="22"/>
                <w:szCs w:val="28"/>
                <w:lang w:bidi="bn-IN"/>
              </w:rPr>
            </w:pPr>
            <w:r>
              <w:rPr>
                <w:rFonts w:eastAsia="仿宋_GB2312"/>
                <w:b/>
                <w:color w:val="000000"/>
                <w:kern w:val="0"/>
                <w:sz w:val="22"/>
                <w:szCs w:val="28"/>
                <w:lang w:bidi="bn-IN"/>
              </w:rPr>
              <w:t>员</w:t>
            </w:r>
          </w:p>
        </w:tc>
        <w:tc>
          <w:tcPr>
            <w:tcW w:w="680" w:type="pct"/>
            <w:shd w:val="clear" w:color="auto" w:fill="auto"/>
            <w:tcMar>
              <w:left w:w="57" w:type="dxa"/>
              <w:right w:w="57" w:type="dxa"/>
            </w:tcMar>
            <w:vAlign w:val="center"/>
          </w:tcPr>
          <w:p w14:paraId="09D20C78">
            <w:pPr>
              <w:jc w:val="center"/>
              <w:rPr>
                <w:rFonts w:eastAsia="仿宋_GB2312"/>
                <w:color w:val="000000"/>
                <w:sz w:val="18"/>
                <w:szCs w:val="21"/>
              </w:rPr>
            </w:pPr>
            <w:r>
              <w:rPr>
                <w:rFonts w:eastAsia="仿宋_GB2312"/>
                <w:color w:val="000000"/>
                <w:sz w:val="18"/>
                <w:szCs w:val="21"/>
              </w:rPr>
              <w:t>1.1.1</w:t>
            </w:r>
          </w:p>
        </w:tc>
        <w:tc>
          <w:tcPr>
            <w:tcW w:w="4050" w:type="pct"/>
            <w:shd w:val="clear" w:color="auto" w:fill="auto"/>
            <w:tcMar>
              <w:left w:w="57" w:type="dxa"/>
              <w:right w:w="57" w:type="dxa"/>
            </w:tcMar>
            <w:vAlign w:val="center"/>
          </w:tcPr>
          <w:p w14:paraId="17C580E6">
            <w:pPr>
              <w:jc w:val="left"/>
              <w:rPr>
                <w:rFonts w:eastAsia="仿宋_GB2312"/>
                <w:color w:val="000000" w:themeColor="text1"/>
                <w:sz w:val="18"/>
                <w:szCs w:val="21"/>
              </w:rPr>
            </w:pPr>
            <w:r>
              <w:rPr>
                <w:rFonts w:eastAsia="仿宋_GB2312"/>
                <w:color w:val="000000" w:themeColor="text1"/>
                <w:sz w:val="18"/>
                <w:szCs w:val="21"/>
              </w:rPr>
              <w:t>应当建立与医疗器械生产相适应的管理机构，具备组织机构图。</w:t>
            </w:r>
          </w:p>
          <w:p w14:paraId="77FEA107">
            <w:pPr>
              <w:jc w:val="left"/>
              <w:rPr>
                <w:rFonts w:eastAsia="仿宋_GB2312"/>
                <w:b/>
                <w:color w:val="000000" w:themeColor="text1"/>
                <w:sz w:val="18"/>
                <w:szCs w:val="21"/>
              </w:rPr>
            </w:pPr>
            <w:r>
              <w:rPr>
                <w:rFonts w:eastAsia="仿宋_GB2312"/>
                <w:b/>
                <w:color w:val="000000" w:themeColor="text1"/>
                <w:sz w:val="18"/>
                <w:szCs w:val="21"/>
              </w:rPr>
              <w:t>查看提供的质量手册，是否包括企业的组织机构图，是否明确各部门的相互关系。</w:t>
            </w:r>
          </w:p>
        </w:tc>
      </w:tr>
      <w:tr w14:paraId="260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1091E79">
            <w:pPr>
              <w:jc w:val="left"/>
              <w:rPr>
                <w:rFonts w:eastAsia="仿宋_GB2312"/>
                <w:color w:val="000000"/>
                <w:sz w:val="18"/>
                <w:szCs w:val="21"/>
              </w:rPr>
            </w:pPr>
          </w:p>
        </w:tc>
        <w:tc>
          <w:tcPr>
            <w:tcW w:w="680" w:type="pct"/>
            <w:shd w:val="clear" w:color="auto" w:fill="auto"/>
            <w:tcMar>
              <w:left w:w="57" w:type="dxa"/>
              <w:right w:w="57" w:type="dxa"/>
            </w:tcMar>
            <w:vAlign w:val="center"/>
          </w:tcPr>
          <w:p w14:paraId="70F0AAB8">
            <w:pPr>
              <w:jc w:val="center"/>
              <w:rPr>
                <w:rFonts w:eastAsia="仿宋_GB2312"/>
                <w:color w:val="000000"/>
                <w:sz w:val="18"/>
                <w:szCs w:val="21"/>
              </w:rPr>
            </w:pPr>
            <w:r>
              <w:rPr>
                <w:rFonts w:eastAsia="仿宋_GB2312"/>
                <w:color w:val="000000" w:themeColor="text1"/>
                <w:kern w:val="0"/>
                <w:sz w:val="18"/>
                <w:szCs w:val="21"/>
                <w:lang w:bidi="bn-IN"/>
              </w:rPr>
              <w:t>*1.1.2</w:t>
            </w:r>
          </w:p>
        </w:tc>
        <w:tc>
          <w:tcPr>
            <w:tcW w:w="4050" w:type="pct"/>
            <w:shd w:val="clear" w:color="auto" w:fill="auto"/>
            <w:tcMar>
              <w:left w:w="57" w:type="dxa"/>
              <w:right w:w="57" w:type="dxa"/>
            </w:tcMar>
            <w:vAlign w:val="center"/>
          </w:tcPr>
          <w:p w14:paraId="4760198E">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应当明确各部门的职责和权限，明确质量管理职能。</w:t>
            </w:r>
          </w:p>
          <w:p w14:paraId="55919553">
            <w:pPr>
              <w:jc w:val="left"/>
              <w:rPr>
                <w:rFonts w:eastAsia="仿宋_GB2312"/>
                <w:b/>
                <w:iCs/>
                <w:color w:val="000000" w:themeColor="text1"/>
                <w:sz w:val="18"/>
                <w:szCs w:val="21"/>
              </w:rPr>
            </w:pPr>
            <w:r>
              <w:rPr>
                <w:rFonts w:eastAsia="仿宋_GB2312"/>
                <w:b/>
                <w:color w:val="000000" w:themeColor="text1"/>
                <w:kern w:val="0"/>
                <w:sz w:val="18"/>
                <w:szCs w:val="21"/>
                <w:lang w:bidi="bn-IN"/>
              </w:rPr>
              <w:t>查看企业的质量手册，程序文件或相关文件，是否对各部门的职责权限作出规定；质量管理部门应当能独立行使职能, 查看质量管理部门的文件，是否明确规定对产品质量的相关事宜负有决策的权利。</w:t>
            </w:r>
          </w:p>
        </w:tc>
      </w:tr>
      <w:tr w14:paraId="5C2F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CB01D15">
            <w:pPr>
              <w:jc w:val="left"/>
              <w:rPr>
                <w:rFonts w:eastAsia="仿宋_GB2312"/>
                <w:color w:val="000000"/>
                <w:sz w:val="18"/>
                <w:szCs w:val="21"/>
              </w:rPr>
            </w:pPr>
          </w:p>
        </w:tc>
        <w:tc>
          <w:tcPr>
            <w:tcW w:w="680" w:type="pct"/>
            <w:shd w:val="clear" w:color="auto" w:fill="auto"/>
            <w:tcMar>
              <w:left w:w="57" w:type="dxa"/>
              <w:right w:w="57" w:type="dxa"/>
            </w:tcMar>
            <w:vAlign w:val="center"/>
          </w:tcPr>
          <w:p w14:paraId="310C0F2A">
            <w:pPr>
              <w:jc w:val="center"/>
              <w:rPr>
                <w:rFonts w:eastAsia="仿宋_GB2312"/>
                <w:color w:val="000000"/>
                <w:sz w:val="18"/>
                <w:szCs w:val="21"/>
              </w:rPr>
            </w:pPr>
            <w:r>
              <w:rPr>
                <w:rFonts w:eastAsia="仿宋_GB2312"/>
                <w:color w:val="000000"/>
                <w:sz w:val="18"/>
                <w:szCs w:val="21"/>
              </w:rPr>
              <w:t>1.1.3</w:t>
            </w:r>
          </w:p>
        </w:tc>
        <w:tc>
          <w:tcPr>
            <w:tcW w:w="4050" w:type="pct"/>
            <w:shd w:val="clear" w:color="auto" w:fill="auto"/>
            <w:tcMar>
              <w:left w:w="57" w:type="dxa"/>
              <w:right w:w="57" w:type="dxa"/>
            </w:tcMar>
            <w:vAlign w:val="center"/>
          </w:tcPr>
          <w:p w14:paraId="7A9D1573">
            <w:pPr>
              <w:jc w:val="left"/>
              <w:rPr>
                <w:rFonts w:eastAsia="仿宋_GB2312"/>
                <w:color w:val="000000" w:themeColor="text1"/>
                <w:sz w:val="18"/>
                <w:szCs w:val="21"/>
              </w:rPr>
            </w:pPr>
            <w:r>
              <w:rPr>
                <w:rFonts w:eastAsia="仿宋_GB2312"/>
                <w:color w:val="000000" w:themeColor="text1"/>
                <w:sz w:val="18"/>
                <w:szCs w:val="21"/>
              </w:rPr>
              <w:t>生产管理部门和质量管理部门负责人不得互相兼任。</w:t>
            </w:r>
          </w:p>
          <w:p w14:paraId="4443DAE8">
            <w:pPr>
              <w:jc w:val="left"/>
              <w:rPr>
                <w:rFonts w:eastAsia="仿宋_GB2312"/>
                <w:b/>
                <w:iCs/>
                <w:color w:val="000000" w:themeColor="text1"/>
                <w:sz w:val="18"/>
                <w:szCs w:val="21"/>
              </w:rPr>
            </w:pPr>
            <w:r>
              <w:rPr>
                <w:rFonts w:eastAsia="仿宋_GB2312"/>
                <w:b/>
                <w:color w:val="000000" w:themeColor="text1"/>
                <w:sz w:val="18"/>
                <w:szCs w:val="21"/>
              </w:rPr>
              <w:t>查看公司的任职文件或授权文件并对照相关生产、检验等履行职责的记录，核实是否与授权一致。</w:t>
            </w:r>
          </w:p>
        </w:tc>
      </w:tr>
      <w:tr w14:paraId="3CCE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177FE9E">
            <w:pPr>
              <w:jc w:val="left"/>
              <w:rPr>
                <w:rFonts w:eastAsia="仿宋_GB2312"/>
                <w:color w:val="000000"/>
                <w:sz w:val="18"/>
                <w:szCs w:val="21"/>
              </w:rPr>
            </w:pPr>
          </w:p>
        </w:tc>
        <w:tc>
          <w:tcPr>
            <w:tcW w:w="680" w:type="pct"/>
            <w:shd w:val="clear" w:color="auto" w:fill="auto"/>
            <w:tcMar>
              <w:left w:w="57" w:type="dxa"/>
              <w:right w:w="57" w:type="dxa"/>
            </w:tcMar>
            <w:vAlign w:val="center"/>
          </w:tcPr>
          <w:p w14:paraId="271D891E">
            <w:pPr>
              <w:jc w:val="center"/>
              <w:rPr>
                <w:rFonts w:eastAsia="仿宋_GB2312"/>
                <w:color w:val="000000"/>
                <w:sz w:val="18"/>
                <w:szCs w:val="21"/>
              </w:rPr>
            </w:pPr>
            <w:r>
              <w:rPr>
                <w:rFonts w:eastAsia="仿宋_GB2312"/>
                <w:color w:val="000000"/>
                <w:sz w:val="18"/>
                <w:szCs w:val="21"/>
              </w:rPr>
              <w:t>1.2.1</w:t>
            </w:r>
          </w:p>
        </w:tc>
        <w:tc>
          <w:tcPr>
            <w:tcW w:w="4050" w:type="pct"/>
            <w:shd w:val="clear" w:color="auto" w:fill="auto"/>
            <w:tcMar>
              <w:left w:w="57" w:type="dxa"/>
              <w:right w:w="57" w:type="dxa"/>
            </w:tcMar>
            <w:vAlign w:val="center"/>
          </w:tcPr>
          <w:p w14:paraId="6755CDEB">
            <w:pPr>
              <w:jc w:val="left"/>
              <w:rPr>
                <w:rFonts w:eastAsia="仿宋_GB2312"/>
                <w:color w:val="000000" w:themeColor="text1"/>
                <w:sz w:val="18"/>
                <w:szCs w:val="21"/>
              </w:rPr>
            </w:pPr>
            <w:r>
              <w:rPr>
                <w:rFonts w:eastAsia="仿宋_GB2312"/>
                <w:color w:val="000000" w:themeColor="text1"/>
                <w:sz w:val="18"/>
                <w:szCs w:val="21"/>
              </w:rPr>
              <w:t>企业负责人应当是医疗器械产品质量的主要责任人。</w:t>
            </w:r>
          </w:p>
        </w:tc>
      </w:tr>
      <w:tr w14:paraId="5A53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F89DEA3">
            <w:pPr>
              <w:jc w:val="left"/>
              <w:rPr>
                <w:rFonts w:eastAsia="仿宋_GB2312"/>
                <w:color w:val="000000"/>
                <w:sz w:val="18"/>
                <w:szCs w:val="21"/>
              </w:rPr>
            </w:pPr>
          </w:p>
        </w:tc>
        <w:tc>
          <w:tcPr>
            <w:tcW w:w="680" w:type="pct"/>
            <w:shd w:val="clear" w:color="auto" w:fill="auto"/>
            <w:tcMar>
              <w:left w:w="57" w:type="dxa"/>
              <w:right w:w="57" w:type="dxa"/>
            </w:tcMar>
            <w:vAlign w:val="center"/>
          </w:tcPr>
          <w:p w14:paraId="0260614C">
            <w:pPr>
              <w:jc w:val="center"/>
              <w:rPr>
                <w:rFonts w:eastAsia="仿宋_GB2312"/>
                <w:color w:val="000000"/>
                <w:sz w:val="18"/>
                <w:szCs w:val="21"/>
              </w:rPr>
            </w:pPr>
            <w:r>
              <w:rPr>
                <w:rFonts w:eastAsia="仿宋_GB2312"/>
                <w:color w:val="000000"/>
                <w:sz w:val="18"/>
                <w:szCs w:val="21"/>
              </w:rPr>
              <w:t>1.2.2</w:t>
            </w:r>
          </w:p>
        </w:tc>
        <w:tc>
          <w:tcPr>
            <w:tcW w:w="4050" w:type="pct"/>
            <w:shd w:val="clear" w:color="auto" w:fill="auto"/>
            <w:tcMar>
              <w:left w:w="57" w:type="dxa"/>
              <w:right w:w="57" w:type="dxa"/>
            </w:tcMar>
            <w:vAlign w:val="center"/>
          </w:tcPr>
          <w:p w14:paraId="7956ACE2">
            <w:pPr>
              <w:jc w:val="left"/>
              <w:rPr>
                <w:rFonts w:eastAsia="仿宋_GB2312"/>
                <w:color w:val="000000" w:themeColor="text1"/>
                <w:sz w:val="18"/>
                <w:szCs w:val="21"/>
              </w:rPr>
            </w:pPr>
            <w:r>
              <w:rPr>
                <w:rFonts w:eastAsia="仿宋_GB2312"/>
                <w:color w:val="000000" w:themeColor="text1"/>
                <w:sz w:val="18"/>
                <w:szCs w:val="21"/>
              </w:rPr>
              <w:t>企业负责人应当组织制定质量方针和质量目标。</w:t>
            </w:r>
          </w:p>
          <w:p w14:paraId="251538B3">
            <w:pPr>
              <w:jc w:val="left"/>
              <w:rPr>
                <w:rFonts w:eastAsia="仿宋_GB2312"/>
                <w:b/>
                <w:color w:val="000000" w:themeColor="text1"/>
                <w:sz w:val="18"/>
                <w:szCs w:val="21"/>
              </w:rPr>
            </w:pPr>
            <w:r>
              <w:rPr>
                <w:rFonts w:eastAsia="仿宋_GB2312"/>
                <w:b/>
                <w:color w:val="000000" w:themeColor="text1"/>
                <w:sz w:val="18"/>
                <w:szCs w:val="21"/>
              </w:rPr>
              <w:t>查看质量方针和质量目标的制定程序、批准人员。</w:t>
            </w:r>
          </w:p>
        </w:tc>
      </w:tr>
      <w:tr w14:paraId="1C76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78A9E79">
            <w:pPr>
              <w:jc w:val="left"/>
              <w:rPr>
                <w:rFonts w:eastAsia="仿宋_GB2312"/>
                <w:color w:val="000000"/>
                <w:sz w:val="18"/>
                <w:szCs w:val="21"/>
              </w:rPr>
            </w:pPr>
          </w:p>
        </w:tc>
        <w:tc>
          <w:tcPr>
            <w:tcW w:w="680" w:type="pct"/>
            <w:shd w:val="clear" w:color="auto" w:fill="auto"/>
            <w:tcMar>
              <w:left w:w="57" w:type="dxa"/>
              <w:right w:w="57" w:type="dxa"/>
            </w:tcMar>
            <w:vAlign w:val="center"/>
          </w:tcPr>
          <w:p w14:paraId="15686B37">
            <w:pPr>
              <w:jc w:val="center"/>
              <w:rPr>
                <w:rFonts w:eastAsia="仿宋_GB2312"/>
                <w:color w:val="000000"/>
                <w:sz w:val="18"/>
                <w:szCs w:val="21"/>
              </w:rPr>
            </w:pPr>
            <w:r>
              <w:rPr>
                <w:rFonts w:eastAsia="仿宋_GB2312"/>
                <w:color w:val="000000"/>
                <w:sz w:val="18"/>
                <w:szCs w:val="21"/>
              </w:rPr>
              <w:t>1.2.3</w:t>
            </w:r>
          </w:p>
        </w:tc>
        <w:tc>
          <w:tcPr>
            <w:tcW w:w="4050" w:type="pct"/>
            <w:shd w:val="clear" w:color="auto" w:fill="auto"/>
            <w:tcMar>
              <w:left w:w="57" w:type="dxa"/>
              <w:right w:w="57" w:type="dxa"/>
            </w:tcMar>
            <w:vAlign w:val="center"/>
          </w:tcPr>
          <w:p w14:paraId="7D300B4E">
            <w:pPr>
              <w:jc w:val="left"/>
              <w:rPr>
                <w:rFonts w:eastAsia="仿宋_GB2312"/>
                <w:color w:val="000000" w:themeColor="text1"/>
                <w:sz w:val="18"/>
                <w:szCs w:val="21"/>
              </w:rPr>
            </w:pPr>
            <w:r>
              <w:rPr>
                <w:rFonts w:eastAsia="仿宋_GB2312"/>
                <w:color w:val="000000" w:themeColor="text1"/>
                <w:sz w:val="18"/>
                <w:szCs w:val="21"/>
              </w:rPr>
              <w:t>企业负责人应当确保质量管理体系有效运行所需的人力资源、基础设施和工作环境。</w:t>
            </w:r>
          </w:p>
        </w:tc>
      </w:tr>
      <w:tr w14:paraId="6F8A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36BC599">
            <w:pPr>
              <w:jc w:val="left"/>
              <w:rPr>
                <w:rFonts w:eastAsia="仿宋_GB2312"/>
                <w:color w:val="000000"/>
                <w:sz w:val="18"/>
                <w:szCs w:val="21"/>
              </w:rPr>
            </w:pPr>
          </w:p>
        </w:tc>
        <w:tc>
          <w:tcPr>
            <w:tcW w:w="680" w:type="pct"/>
            <w:shd w:val="clear" w:color="auto" w:fill="auto"/>
            <w:tcMar>
              <w:left w:w="57" w:type="dxa"/>
              <w:right w:w="57" w:type="dxa"/>
            </w:tcMar>
            <w:vAlign w:val="center"/>
          </w:tcPr>
          <w:p w14:paraId="5E4BD23D">
            <w:pPr>
              <w:jc w:val="center"/>
              <w:rPr>
                <w:rFonts w:eastAsia="仿宋_GB2312"/>
                <w:color w:val="000000"/>
                <w:sz w:val="18"/>
                <w:szCs w:val="21"/>
              </w:rPr>
            </w:pPr>
            <w:r>
              <w:rPr>
                <w:rFonts w:eastAsia="仿宋_GB2312"/>
                <w:color w:val="000000"/>
                <w:sz w:val="18"/>
                <w:szCs w:val="21"/>
              </w:rPr>
              <w:t>1.2.4</w:t>
            </w:r>
          </w:p>
        </w:tc>
        <w:tc>
          <w:tcPr>
            <w:tcW w:w="4050" w:type="pct"/>
            <w:shd w:val="clear" w:color="auto" w:fill="auto"/>
            <w:tcMar>
              <w:left w:w="57" w:type="dxa"/>
              <w:right w:w="57" w:type="dxa"/>
            </w:tcMar>
            <w:vAlign w:val="center"/>
          </w:tcPr>
          <w:p w14:paraId="42CD7A18">
            <w:pPr>
              <w:jc w:val="left"/>
              <w:rPr>
                <w:rFonts w:eastAsia="仿宋_GB2312"/>
                <w:color w:val="000000" w:themeColor="text1"/>
                <w:sz w:val="18"/>
                <w:szCs w:val="21"/>
              </w:rPr>
            </w:pPr>
            <w:r>
              <w:rPr>
                <w:rFonts w:eastAsia="仿宋_GB2312"/>
                <w:color w:val="000000" w:themeColor="text1"/>
                <w:sz w:val="18"/>
                <w:szCs w:val="21"/>
              </w:rPr>
              <w:t>企业负责人应当组织实施管理评审，定期对质量管理体系运行情况进行评估，并持续改进。</w:t>
            </w:r>
          </w:p>
          <w:p w14:paraId="056F8B63">
            <w:pPr>
              <w:jc w:val="left"/>
              <w:rPr>
                <w:rFonts w:eastAsia="仿宋_GB2312"/>
                <w:b/>
                <w:color w:val="000000" w:themeColor="text1"/>
                <w:sz w:val="18"/>
                <w:szCs w:val="21"/>
              </w:rPr>
            </w:pPr>
            <w:r>
              <w:rPr>
                <w:rFonts w:eastAsia="仿宋_GB2312"/>
                <w:b/>
                <w:color w:val="000000" w:themeColor="text1"/>
                <w:sz w:val="18"/>
                <w:szCs w:val="21"/>
              </w:rPr>
              <w:t>查看管理评审文件和记录，核实企业负责人是否组织实施管理评审。</w:t>
            </w:r>
          </w:p>
        </w:tc>
      </w:tr>
      <w:tr w14:paraId="1D7C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DDA1437">
            <w:pPr>
              <w:jc w:val="left"/>
              <w:rPr>
                <w:rFonts w:eastAsia="仿宋_GB2312"/>
                <w:color w:val="000000"/>
                <w:sz w:val="18"/>
                <w:szCs w:val="21"/>
              </w:rPr>
            </w:pPr>
          </w:p>
        </w:tc>
        <w:tc>
          <w:tcPr>
            <w:tcW w:w="680" w:type="pct"/>
            <w:shd w:val="clear" w:color="auto" w:fill="auto"/>
            <w:tcMar>
              <w:left w:w="57" w:type="dxa"/>
              <w:right w:w="57" w:type="dxa"/>
            </w:tcMar>
            <w:vAlign w:val="center"/>
          </w:tcPr>
          <w:p w14:paraId="54C30978">
            <w:pPr>
              <w:jc w:val="center"/>
              <w:rPr>
                <w:rFonts w:eastAsia="仿宋_GB2312"/>
                <w:color w:val="000000"/>
                <w:sz w:val="18"/>
                <w:szCs w:val="21"/>
              </w:rPr>
            </w:pPr>
            <w:r>
              <w:rPr>
                <w:rFonts w:eastAsia="仿宋_GB2312"/>
                <w:color w:val="000000"/>
                <w:sz w:val="18"/>
                <w:szCs w:val="21"/>
              </w:rPr>
              <w:t>*1.2.5</w:t>
            </w:r>
          </w:p>
        </w:tc>
        <w:tc>
          <w:tcPr>
            <w:tcW w:w="4050" w:type="pct"/>
            <w:shd w:val="clear" w:color="auto" w:fill="auto"/>
            <w:tcMar>
              <w:left w:w="57" w:type="dxa"/>
              <w:right w:w="57" w:type="dxa"/>
            </w:tcMar>
            <w:vAlign w:val="center"/>
          </w:tcPr>
          <w:p w14:paraId="2CBE378F">
            <w:pPr>
              <w:jc w:val="left"/>
              <w:rPr>
                <w:rFonts w:eastAsia="仿宋_GB2312"/>
                <w:color w:val="000000" w:themeColor="text1"/>
                <w:sz w:val="18"/>
                <w:szCs w:val="21"/>
              </w:rPr>
            </w:pPr>
            <w:r>
              <w:rPr>
                <w:rFonts w:eastAsia="仿宋_GB2312"/>
                <w:color w:val="000000" w:themeColor="text1"/>
                <w:sz w:val="18"/>
                <w:szCs w:val="21"/>
              </w:rPr>
              <w:t>企业负责人应当确保企业按照法律、法规和规章的要求组织生产。</w:t>
            </w:r>
          </w:p>
        </w:tc>
      </w:tr>
      <w:tr w14:paraId="1FC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453C987">
            <w:pPr>
              <w:jc w:val="left"/>
              <w:rPr>
                <w:rFonts w:eastAsia="仿宋_GB2312"/>
                <w:color w:val="000000"/>
                <w:sz w:val="18"/>
                <w:szCs w:val="21"/>
              </w:rPr>
            </w:pPr>
          </w:p>
        </w:tc>
        <w:tc>
          <w:tcPr>
            <w:tcW w:w="680" w:type="pct"/>
            <w:shd w:val="clear" w:color="auto" w:fill="auto"/>
            <w:tcMar>
              <w:left w:w="57" w:type="dxa"/>
              <w:right w:w="57" w:type="dxa"/>
            </w:tcMar>
            <w:vAlign w:val="center"/>
          </w:tcPr>
          <w:p w14:paraId="5068E058">
            <w:pPr>
              <w:jc w:val="center"/>
              <w:rPr>
                <w:rFonts w:eastAsia="仿宋_GB2312"/>
                <w:color w:val="000000"/>
                <w:sz w:val="18"/>
                <w:szCs w:val="21"/>
              </w:rPr>
            </w:pPr>
            <w:r>
              <w:rPr>
                <w:rFonts w:eastAsia="仿宋_GB2312"/>
                <w:color w:val="000000"/>
                <w:sz w:val="18"/>
                <w:szCs w:val="21"/>
              </w:rPr>
              <w:t>1.3.1</w:t>
            </w:r>
          </w:p>
        </w:tc>
        <w:tc>
          <w:tcPr>
            <w:tcW w:w="4050" w:type="pct"/>
            <w:shd w:val="clear" w:color="auto" w:fill="auto"/>
            <w:tcMar>
              <w:left w:w="57" w:type="dxa"/>
              <w:right w:w="57" w:type="dxa"/>
            </w:tcMar>
            <w:vAlign w:val="center"/>
          </w:tcPr>
          <w:p w14:paraId="12AAB5F9">
            <w:pPr>
              <w:jc w:val="left"/>
              <w:rPr>
                <w:rFonts w:eastAsia="仿宋_GB2312"/>
                <w:color w:val="000000" w:themeColor="text1"/>
                <w:sz w:val="18"/>
                <w:szCs w:val="21"/>
              </w:rPr>
            </w:pPr>
            <w:r>
              <w:rPr>
                <w:rFonts w:eastAsia="仿宋_GB2312"/>
                <w:color w:val="000000" w:themeColor="text1"/>
                <w:kern w:val="0"/>
                <w:sz w:val="18"/>
                <w:szCs w:val="21"/>
              </w:rPr>
              <w:t>企业负责人应当确定一名管理者代表。</w:t>
            </w:r>
          </w:p>
          <w:p w14:paraId="0232CC8D">
            <w:pPr>
              <w:jc w:val="left"/>
              <w:rPr>
                <w:rFonts w:eastAsia="仿宋_GB2312"/>
                <w:b/>
                <w:color w:val="000000" w:themeColor="text1"/>
                <w:sz w:val="18"/>
                <w:szCs w:val="21"/>
              </w:rPr>
            </w:pPr>
            <w:r>
              <w:rPr>
                <w:rFonts w:eastAsia="仿宋_GB2312"/>
                <w:b/>
                <w:color w:val="000000" w:themeColor="text1"/>
                <w:sz w:val="18"/>
                <w:szCs w:val="21"/>
              </w:rPr>
              <w:t xml:space="preserve">查看管理者代表的任命文件。 </w:t>
            </w:r>
          </w:p>
        </w:tc>
      </w:tr>
      <w:tr w14:paraId="70B2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9AE23B1">
            <w:pPr>
              <w:jc w:val="left"/>
              <w:rPr>
                <w:rFonts w:eastAsia="仿宋_GB2312"/>
                <w:color w:val="000000"/>
                <w:sz w:val="18"/>
                <w:szCs w:val="21"/>
              </w:rPr>
            </w:pPr>
          </w:p>
        </w:tc>
        <w:tc>
          <w:tcPr>
            <w:tcW w:w="680" w:type="pct"/>
            <w:shd w:val="clear" w:color="auto" w:fill="auto"/>
            <w:tcMar>
              <w:left w:w="57" w:type="dxa"/>
              <w:right w:w="57" w:type="dxa"/>
            </w:tcMar>
            <w:vAlign w:val="center"/>
          </w:tcPr>
          <w:p w14:paraId="1C778D61">
            <w:pPr>
              <w:jc w:val="center"/>
              <w:rPr>
                <w:rFonts w:eastAsia="仿宋_GB2312"/>
                <w:color w:val="000000"/>
                <w:sz w:val="18"/>
                <w:szCs w:val="21"/>
              </w:rPr>
            </w:pPr>
            <w:r>
              <w:rPr>
                <w:rFonts w:eastAsia="仿宋_GB2312"/>
                <w:color w:val="000000" w:themeColor="text1"/>
                <w:kern w:val="0"/>
                <w:sz w:val="18"/>
                <w:szCs w:val="21"/>
                <w:lang w:bidi="bn-IN"/>
              </w:rPr>
              <w:t>*1.3.2</w:t>
            </w:r>
          </w:p>
        </w:tc>
        <w:tc>
          <w:tcPr>
            <w:tcW w:w="4050" w:type="pct"/>
            <w:shd w:val="clear" w:color="auto" w:fill="auto"/>
            <w:tcMar>
              <w:left w:w="57" w:type="dxa"/>
              <w:right w:w="57" w:type="dxa"/>
            </w:tcMar>
            <w:vAlign w:val="center"/>
          </w:tcPr>
          <w:p w14:paraId="4FC0987F">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管理者代表应当负责建立、实施并保持质量管理体系，报告质量管理体系的运行情况和改进需求，提高员工满足法规、规章和顾客要求的意识。</w:t>
            </w:r>
          </w:p>
          <w:p w14:paraId="55EF36A4">
            <w:pPr>
              <w:jc w:val="left"/>
              <w:rPr>
                <w:rFonts w:eastAsia="仿宋_GB2312"/>
                <w:b/>
                <w:color w:val="000000" w:themeColor="text1"/>
                <w:sz w:val="18"/>
                <w:szCs w:val="21"/>
              </w:rPr>
            </w:pPr>
            <w:r>
              <w:rPr>
                <w:rFonts w:eastAsia="仿宋_GB2312"/>
                <w:b/>
                <w:color w:val="000000" w:themeColor="text1"/>
                <w:kern w:val="0"/>
                <w:sz w:val="18"/>
                <w:szCs w:val="21"/>
                <w:lang w:bidi="bn-IN"/>
              </w:rPr>
              <w:t>查看是否对上述职责作出明确规定。查看管理者代表报告质量管理体系运行情况和改进的相关记录</w:t>
            </w:r>
          </w:p>
        </w:tc>
      </w:tr>
      <w:tr w14:paraId="7241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F90C0BC">
            <w:pPr>
              <w:jc w:val="left"/>
              <w:rPr>
                <w:rFonts w:eastAsia="仿宋_GB2312"/>
                <w:color w:val="000000"/>
                <w:sz w:val="18"/>
                <w:szCs w:val="21"/>
              </w:rPr>
            </w:pPr>
          </w:p>
        </w:tc>
        <w:tc>
          <w:tcPr>
            <w:tcW w:w="680" w:type="pct"/>
            <w:shd w:val="clear" w:color="auto" w:fill="auto"/>
            <w:tcMar>
              <w:left w:w="57" w:type="dxa"/>
              <w:right w:w="57" w:type="dxa"/>
            </w:tcMar>
            <w:vAlign w:val="center"/>
          </w:tcPr>
          <w:p w14:paraId="392C4F39">
            <w:pPr>
              <w:jc w:val="center"/>
              <w:rPr>
                <w:rFonts w:eastAsia="仿宋_GB2312"/>
                <w:color w:val="000000"/>
                <w:sz w:val="18"/>
                <w:szCs w:val="21"/>
              </w:rPr>
            </w:pPr>
            <w:r>
              <w:rPr>
                <w:rFonts w:eastAsia="仿宋_GB2312"/>
                <w:color w:val="000000"/>
                <w:sz w:val="18"/>
                <w:szCs w:val="21"/>
              </w:rPr>
              <w:t>1.4.1</w:t>
            </w:r>
          </w:p>
        </w:tc>
        <w:tc>
          <w:tcPr>
            <w:tcW w:w="4050" w:type="pct"/>
            <w:shd w:val="clear" w:color="auto" w:fill="auto"/>
            <w:tcMar>
              <w:left w:w="57" w:type="dxa"/>
              <w:right w:w="57" w:type="dxa"/>
            </w:tcMar>
            <w:vAlign w:val="center"/>
          </w:tcPr>
          <w:p w14:paraId="45256A33">
            <w:pPr>
              <w:jc w:val="left"/>
              <w:rPr>
                <w:rFonts w:eastAsia="仿宋_GB2312"/>
                <w:color w:val="000000" w:themeColor="text1"/>
                <w:sz w:val="18"/>
                <w:szCs w:val="21"/>
              </w:rPr>
            </w:pPr>
            <w:r>
              <w:rPr>
                <w:rFonts w:eastAsia="仿宋_GB2312"/>
                <w:color w:val="000000" w:themeColor="text1"/>
                <w:sz w:val="18"/>
                <w:szCs w:val="21"/>
              </w:rPr>
              <w:t>技术、生产、质量管理部门负责人应当熟悉医疗器械法律法规，具有质量管理的实践经验，应当有能力对生产管理和质量管理中实际问题作出正确判断和处理。</w:t>
            </w:r>
          </w:p>
          <w:p w14:paraId="56595DA4">
            <w:pPr>
              <w:jc w:val="left"/>
              <w:rPr>
                <w:rFonts w:eastAsia="仿宋_GB2312"/>
                <w:b/>
                <w:color w:val="000000" w:themeColor="text1"/>
                <w:sz w:val="18"/>
                <w:szCs w:val="21"/>
              </w:rPr>
            </w:pPr>
            <w:r>
              <w:rPr>
                <w:rFonts w:eastAsia="仿宋_GB2312"/>
                <w:b/>
                <w:color w:val="000000" w:themeColor="text1"/>
                <w:sz w:val="18"/>
                <w:szCs w:val="21"/>
              </w:rPr>
              <w:t>查看相关部门负责人的任职资格要求，是否对专业知识、工作技能、工作经历作出规定；查看考核评价记录，现场询问，确定是否符合要求。</w:t>
            </w:r>
          </w:p>
        </w:tc>
      </w:tr>
      <w:tr w14:paraId="1F2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38240BA">
            <w:pPr>
              <w:jc w:val="left"/>
              <w:rPr>
                <w:rFonts w:eastAsia="仿宋_GB2312"/>
                <w:color w:val="000000"/>
                <w:sz w:val="18"/>
                <w:szCs w:val="21"/>
              </w:rPr>
            </w:pPr>
          </w:p>
        </w:tc>
        <w:tc>
          <w:tcPr>
            <w:tcW w:w="680" w:type="pct"/>
            <w:shd w:val="clear" w:color="auto" w:fill="auto"/>
            <w:tcMar>
              <w:left w:w="57" w:type="dxa"/>
              <w:right w:w="57" w:type="dxa"/>
            </w:tcMar>
            <w:vAlign w:val="center"/>
          </w:tcPr>
          <w:p w14:paraId="3CF5FA00">
            <w:pPr>
              <w:jc w:val="center"/>
              <w:rPr>
                <w:rFonts w:eastAsia="仿宋_GB2312"/>
                <w:color w:val="000000"/>
                <w:sz w:val="18"/>
                <w:szCs w:val="21"/>
              </w:rPr>
            </w:pPr>
            <w:r>
              <w:rPr>
                <w:rFonts w:eastAsia="仿宋_GB2312"/>
                <w:color w:val="000000"/>
                <w:sz w:val="18"/>
                <w:szCs w:val="21"/>
              </w:rPr>
              <w:t>1.5.1</w:t>
            </w:r>
          </w:p>
        </w:tc>
        <w:tc>
          <w:tcPr>
            <w:tcW w:w="4050" w:type="pct"/>
            <w:shd w:val="clear" w:color="auto" w:fill="auto"/>
            <w:tcMar>
              <w:left w:w="57" w:type="dxa"/>
              <w:right w:w="57" w:type="dxa"/>
            </w:tcMar>
            <w:vAlign w:val="center"/>
          </w:tcPr>
          <w:p w14:paraId="4AC23EDD">
            <w:pPr>
              <w:jc w:val="left"/>
              <w:rPr>
                <w:rFonts w:eastAsia="仿宋_GB2312"/>
                <w:color w:val="000000" w:themeColor="text1"/>
                <w:sz w:val="18"/>
                <w:szCs w:val="21"/>
              </w:rPr>
            </w:pPr>
            <w:r>
              <w:rPr>
                <w:rFonts w:eastAsia="仿宋_GB2312"/>
                <w:color w:val="000000" w:themeColor="text1"/>
                <w:sz w:val="18"/>
                <w:szCs w:val="21"/>
              </w:rPr>
              <w:t>应当配备与生产产品相适应的专业技术人员、管理人员和操作人员。</w:t>
            </w:r>
          </w:p>
          <w:p w14:paraId="45F45650">
            <w:pPr>
              <w:jc w:val="left"/>
              <w:rPr>
                <w:rFonts w:eastAsia="仿宋_GB2312"/>
                <w:b/>
                <w:color w:val="000000" w:themeColor="text1"/>
                <w:sz w:val="18"/>
                <w:szCs w:val="21"/>
              </w:rPr>
            </w:pPr>
            <w:r>
              <w:rPr>
                <w:rFonts w:eastAsia="仿宋_GB2312"/>
                <w:b/>
                <w:color w:val="000000" w:themeColor="text1"/>
                <w:sz w:val="18"/>
                <w:szCs w:val="21"/>
              </w:rPr>
              <w:t>查看相关人员的资格要求。</w:t>
            </w:r>
          </w:p>
        </w:tc>
      </w:tr>
      <w:tr w14:paraId="1BB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E3BB1C6">
            <w:pPr>
              <w:jc w:val="left"/>
              <w:rPr>
                <w:rFonts w:eastAsia="仿宋_GB2312"/>
                <w:color w:val="000000"/>
                <w:sz w:val="18"/>
                <w:szCs w:val="21"/>
              </w:rPr>
            </w:pPr>
          </w:p>
        </w:tc>
        <w:tc>
          <w:tcPr>
            <w:tcW w:w="680" w:type="pct"/>
            <w:shd w:val="clear" w:color="auto" w:fill="auto"/>
            <w:tcMar>
              <w:left w:w="57" w:type="dxa"/>
              <w:right w:w="57" w:type="dxa"/>
            </w:tcMar>
            <w:vAlign w:val="center"/>
          </w:tcPr>
          <w:p w14:paraId="53E5E0E2">
            <w:pPr>
              <w:jc w:val="center"/>
              <w:rPr>
                <w:rFonts w:eastAsia="仿宋_GB2312"/>
                <w:color w:val="000000"/>
                <w:sz w:val="18"/>
                <w:szCs w:val="21"/>
              </w:rPr>
            </w:pPr>
            <w:r>
              <w:rPr>
                <w:rFonts w:eastAsia="仿宋_GB2312"/>
                <w:color w:val="000000"/>
                <w:sz w:val="18"/>
                <w:szCs w:val="21"/>
              </w:rPr>
              <w:t>*1.5.2</w:t>
            </w:r>
          </w:p>
        </w:tc>
        <w:tc>
          <w:tcPr>
            <w:tcW w:w="4050" w:type="pct"/>
            <w:shd w:val="clear" w:color="auto" w:fill="auto"/>
            <w:tcMar>
              <w:left w:w="57" w:type="dxa"/>
              <w:right w:w="57" w:type="dxa"/>
            </w:tcMar>
            <w:vAlign w:val="center"/>
          </w:tcPr>
          <w:p w14:paraId="1B7A863F">
            <w:pPr>
              <w:jc w:val="left"/>
              <w:rPr>
                <w:rFonts w:eastAsia="仿宋_GB2312"/>
                <w:color w:val="000000" w:themeColor="text1"/>
                <w:sz w:val="18"/>
                <w:szCs w:val="21"/>
              </w:rPr>
            </w:pPr>
            <w:r>
              <w:rPr>
                <w:rFonts w:eastAsia="仿宋_GB2312"/>
                <w:color w:val="000000" w:themeColor="text1"/>
                <w:sz w:val="18"/>
                <w:szCs w:val="21"/>
              </w:rPr>
              <w:t>应当具有相应的质量检验机构或专职检验人员。</w:t>
            </w:r>
          </w:p>
          <w:p w14:paraId="25B288A1">
            <w:pPr>
              <w:jc w:val="left"/>
              <w:rPr>
                <w:rFonts w:eastAsia="仿宋_GB2312"/>
                <w:b/>
                <w:iCs/>
                <w:color w:val="000000" w:themeColor="text1"/>
                <w:sz w:val="18"/>
                <w:szCs w:val="21"/>
              </w:rPr>
            </w:pPr>
            <w:r>
              <w:rPr>
                <w:rFonts w:eastAsia="仿宋_GB2312"/>
                <w:b/>
                <w:iCs/>
                <w:color w:val="000000" w:themeColor="text1"/>
                <w:sz w:val="18"/>
                <w:szCs w:val="21"/>
              </w:rPr>
              <w:t>查看组织机构图、部门职责要求、岗位人员任命等文件确认是否符合要求。</w:t>
            </w:r>
          </w:p>
        </w:tc>
      </w:tr>
      <w:tr w14:paraId="75E5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19FA7F4">
            <w:pPr>
              <w:jc w:val="left"/>
              <w:rPr>
                <w:rFonts w:eastAsia="仿宋_GB2312"/>
                <w:color w:val="000000"/>
                <w:sz w:val="18"/>
                <w:szCs w:val="21"/>
              </w:rPr>
            </w:pPr>
          </w:p>
        </w:tc>
        <w:tc>
          <w:tcPr>
            <w:tcW w:w="680" w:type="pct"/>
            <w:shd w:val="clear" w:color="auto" w:fill="auto"/>
            <w:tcMar>
              <w:left w:w="57" w:type="dxa"/>
              <w:right w:w="57" w:type="dxa"/>
            </w:tcMar>
            <w:vAlign w:val="center"/>
          </w:tcPr>
          <w:p w14:paraId="503A2798">
            <w:pPr>
              <w:jc w:val="center"/>
              <w:rPr>
                <w:rFonts w:eastAsia="仿宋_GB2312"/>
                <w:i/>
                <w:iCs/>
                <w:color w:val="0070C0"/>
                <w:sz w:val="18"/>
                <w:szCs w:val="21"/>
                <w:u w:val="double"/>
              </w:rPr>
            </w:pPr>
            <w:r>
              <w:rPr>
                <w:rFonts w:eastAsia="仿宋_GB2312"/>
                <w:color w:val="000000"/>
                <w:sz w:val="18"/>
                <w:szCs w:val="21"/>
              </w:rPr>
              <w:t>*1.6.1</w:t>
            </w:r>
          </w:p>
        </w:tc>
        <w:tc>
          <w:tcPr>
            <w:tcW w:w="4050" w:type="pct"/>
            <w:shd w:val="clear" w:color="auto" w:fill="auto"/>
            <w:tcMar>
              <w:left w:w="57" w:type="dxa"/>
              <w:right w:w="57" w:type="dxa"/>
            </w:tcMar>
            <w:vAlign w:val="center"/>
          </w:tcPr>
          <w:p w14:paraId="74764122">
            <w:pPr>
              <w:jc w:val="left"/>
              <w:rPr>
                <w:rFonts w:eastAsia="仿宋_GB2312"/>
                <w:color w:val="000000" w:themeColor="text1"/>
                <w:sz w:val="18"/>
                <w:szCs w:val="21"/>
              </w:rPr>
            </w:pPr>
            <w:r>
              <w:rPr>
                <w:rFonts w:eastAsia="仿宋_GB2312"/>
                <w:color w:val="000000" w:themeColor="text1"/>
                <w:sz w:val="18"/>
                <w:szCs w:val="21"/>
              </w:rPr>
              <w:t>从事影响产品质量工作的人员，应当经过与其岗位要求相适应的培训，具有相关的理论知识和实际操作技能。</w:t>
            </w:r>
          </w:p>
          <w:p w14:paraId="1DA71E9D">
            <w:pPr>
              <w:jc w:val="left"/>
              <w:rPr>
                <w:rFonts w:eastAsia="仿宋_GB2312"/>
                <w:b/>
                <w:color w:val="000000" w:themeColor="text1"/>
                <w:sz w:val="18"/>
                <w:szCs w:val="21"/>
              </w:rPr>
            </w:pPr>
            <w:r>
              <w:rPr>
                <w:rFonts w:eastAsia="仿宋_GB2312"/>
                <w:b/>
                <w:iCs/>
                <w:color w:val="000000" w:themeColor="text1"/>
                <w:sz w:val="18"/>
                <w:szCs w:val="21"/>
              </w:rPr>
              <w:t>应当确定影响医疗器械质量的岗位，规定这些岗位人员所必须具备的专业知识水平（包括学历要求）、工作技能、工作经验。查看培训内容、培训记录和考核记录，是否符合要求。</w:t>
            </w:r>
          </w:p>
        </w:tc>
      </w:tr>
      <w:tr w14:paraId="5D46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C5691BD">
            <w:pPr>
              <w:jc w:val="left"/>
              <w:rPr>
                <w:rFonts w:eastAsia="仿宋_GB2312"/>
                <w:color w:val="000000"/>
                <w:sz w:val="18"/>
                <w:szCs w:val="21"/>
              </w:rPr>
            </w:pPr>
          </w:p>
        </w:tc>
        <w:tc>
          <w:tcPr>
            <w:tcW w:w="680" w:type="pct"/>
            <w:shd w:val="clear" w:color="auto" w:fill="auto"/>
            <w:tcMar>
              <w:left w:w="57" w:type="dxa"/>
              <w:right w:w="57" w:type="dxa"/>
            </w:tcMar>
            <w:vAlign w:val="center"/>
          </w:tcPr>
          <w:p w14:paraId="019384AC">
            <w:pPr>
              <w:jc w:val="center"/>
              <w:rPr>
                <w:rFonts w:eastAsia="仿宋_GB2312"/>
                <w:color w:val="000000"/>
                <w:sz w:val="18"/>
                <w:szCs w:val="21"/>
              </w:rPr>
            </w:pPr>
            <w:r>
              <w:rPr>
                <w:rFonts w:eastAsia="仿宋_GB2312"/>
                <w:color w:val="000000"/>
                <w:sz w:val="18"/>
                <w:szCs w:val="21"/>
              </w:rPr>
              <w:t>1.7.1</w:t>
            </w:r>
          </w:p>
        </w:tc>
        <w:tc>
          <w:tcPr>
            <w:tcW w:w="4050" w:type="pct"/>
            <w:shd w:val="clear" w:color="auto" w:fill="auto"/>
            <w:tcMar>
              <w:left w:w="57" w:type="dxa"/>
              <w:right w:w="57" w:type="dxa"/>
            </w:tcMar>
            <w:vAlign w:val="center"/>
          </w:tcPr>
          <w:p w14:paraId="2019BFC5">
            <w:pPr>
              <w:jc w:val="left"/>
              <w:rPr>
                <w:rFonts w:eastAsia="仿宋_GB2312"/>
                <w:color w:val="000000" w:themeColor="text1"/>
                <w:sz w:val="18"/>
                <w:szCs w:val="21"/>
              </w:rPr>
            </w:pPr>
            <w:r>
              <w:rPr>
                <w:rFonts w:eastAsia="仿宋_GB2312"/>
                <w:color w:val="000000" w:themeColor="text1"/>
                <w:sz w:val="18"/>
                <w:szCs w:val="21"/>
              </w:rPr>
              <w:t>体外诊断试剂生产、技术和质量管理人员应当具有医学、检验学、生物学、免疫学或药学等与所生产产品相关的专业知识，并具有相应的实践经验，以确保具备在生产、质量管理中履行职责的能力。</w:t>
            </w:r>
          </w:p>
          <w:p w14:paraId="10961A45">
            <w:pPr>
              <w:jc w:val="left"/>
              <w:rPr>
                <w:rFonts w:eastAsia="仿宋_GB2312"/>
                <w:color w:val="000000" w:themeColor="text1"/>
                <w:sz w:val="18"/>
                <w:szCs w:val="21"/>
              </w:rPr>
            </w:pPr>
            <w:r>
              <w:rPr>
                <w:rFonts w:eastAsia="仿宋_GB2312"/>
                <w:b/>
                <w:color w:val="000000" w:themeColor="text1"/>
                <w:sz w:val="18"/>
                <w:szCs w:val="21"/>
              </w:rPr>
              <w:t>查看企业对相关</w:t>
            </w:r>
            <w:r>
              <w:rPr>
                <w:rFonts w:eastAsia="仿宋_GB2312"/>
                <w:b/>
                <w:iCs/>
                <w:color w:val="000000" w:themeColor="text1"/>
                <w:sz w:val="18"/>
                <w:szCs w:val="21"/>
              </w:rPr>
              <w:t>岗位人员的任职</w:t>
            </w:r>
            <w:r>
              <w:rPr>
                <w:rFonts w:eastAsia="仿宋_GB2312"/>
                <w:b/>
                <w:color w:val="000000" w:themeColor="text1"/>
                <w:sz w:val="18"/>
                <w:szCs w:val="21"/>
              </w:rPr>
              <w:t>要求、学历证书或培训等材料，是否符合要求。</w:t>
            </w:r>
          </w:p>
        </w:tc>
      </w:tr>
      <w:tr w14:paraId="3C3B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2A5C06C">
            <w:pPr>
              <w:jc w:val="left"/>
              <w:rPr>
                <w:rFonts w:eastAsia="仿宋_GB2312"/>
                <w:color w:val="000000"/>
                <w:sz w:val="18"/>
                <w:szCs w:val="21"/>
              </w:rPr>
            </w:pPr>
          </w:p>
        </w:tc>
        <w:tc>
          <w:tcPr>
            <w:tcW w:w="680" w:type="pct"/>
            <w:tcBorders>
              <w:bottom w:val="single" w:color="008000" w:sz="4" w:space="0"/>
            </w:tcBorders>
            <w:shd w:val="clear" w:color="auto" w:fill="auto"/>
            <w:tcMar>
              <w:left w:w="57" w:type="dxa"/>
              <w:right w:w="57" w:type="dxa"/>
            </w:tcMar>
            <w:vAlign w:val="center"/>
          </w:tcPr>
          <w:p w14:paraId="7386F835">
            <w:pPr>
              <w:jc w:val="center"/>
              <w:rPr>
                <w:rFonts w:eastAsia="仿宋_GB2312"/>
                <w:color w:val="000000"/>
                <w:sz w:val="18"/>
                <w:szCs w:val="21"/>
              </w:rPr>
            </w:pPr>
            <w:r>
              <w:rPr>
                <w:rFonts w:eastAsia="仿宋_GB2312"/>
                <w:color w:val="000000"/>
                <w:sz w:val="18"/>
                <w:szCs w:val="21"/>
              </w:rPr>
              <w:t>1.8.1</w:t>
            </w:r>
          </w:p>
        </w:tc>
        <w:tc>
          <w:tcPr>
            <w:tcW w:w="4050" w:type="pct"/>
            <w:tcBorders>
              <w:bottom w:val="single" w:color="008000" w:sz="4" w:space="0"/>
            </w:tcBorders>
            <w:shd w:val="clear" w:color="auto" w:fill="auto"/>
            <w:tcMar>
              <w:left w:w="57" w:type="dxa"/>
              <w:right w:w="57" w:type="dxa"/>
            </w:tcMar>
            <w:vAlign w:val="center"/>
          </w:tcPr>
          <w:p w14:paraId="0C1B583E">
            <w:pPr>
              <w:jc w:val="left"/>
              <w:rPr>
                <w:rFonts w:eastAsia="仿宋_GB2312"/>
                <w:color w:val="000000" w:themeColor="text1"/>
                <w:sz w:val="18"/>
                <w:szCs w:val="21"/>
              </w:rPr>
            </w:pPr>
            <w:r>
              <w:rPr>
                <w:rFonts w:eastAsia="仿宋_GB2312"/>
                <w:color w:val="000000" w:themeColor="text1"/>
                <w:sz w:val="18"/>
                <w:szCs w:val="21"/>
              </w:rPr>
              <w:t>凡在洁净室（区）工作的人员应当定期进行卫生和微生物学基础知识、洁净作业等方面培训。</w:t>
            </w:r>
          </w:p>
          <w:p w14:paraId="2D7AF36D">
            <w:pPr>
              <w:jc w:val="left"/>
              <w:rPr>
                <w:rFonts w:eastAsia="仿宋_GB2312"/>
                <w:b/>
                <w:color w:val="000000" w:themeColor="text1"/>
                <w:sz w:val="18"/>
                <w:szCs w:val="21"/>
              </w:rPr>
            </w:pPr>
            <w:r>
              <w:rPr>
                <w:rFonts w:eastAsia="仿宋_GB2312"/>
                <w:b/>
                <w:color w:val="000000" w:themeColor="text1"/>
                <w:sz w:val="18"/>
                <w:szCs w:val="21"/>
              </w:rPr>
              <w:t>查看培训计划和记录,是否对在洁净室（区）工作的人员定期进行了卫生和微生物学基础知识、洁净技术等方面的培训。</w:t>
            </w:r>
          </w:p>
        </w:tc>
      </w:tr>
      <w:tr w14:paraId="5D6C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2E534F2">
            <w:pPr>
              <w:jc w:val="left"/>
              <w:rPr>
                <w:rFonts w:eastAsia="仿宋_GB2312"/>
                <w:color w:val="000000"/>
                <w:sz w:val="18"/>
                <w:szCs w:val="21"/>
              </w:rPr>
            </w:pPr>
          </w:p>
        </w:tc>
        <w:tc>
          <w:tcPr>
            <w:tcW w:w="680" w:type="pct"/>
            <w:tcBorders>
              <w:top w:val="single" w:color="008000" w:sz="4" w:space="0"/>
            </w:tcBorders>
            <w:shd w:val="clear" w:color="auto" w:fill="auto"/>
            <w:tcMar>
              <w:left w:w="57" w:type="dxa"/>
              <w:right w:w="57" w:type="dxa"/>
            </w:tcMar>
            <w:vAlign w:val="center"/>
          </w:tcPr>
          <w:p w14:paraId="2D432643">
            <w:pPr>
              <w:jc w:val="center"/>
              <w:rPr>
                <w:rFonts w:eastAsia="仿宋_GB2312"/>
                <w:color w:val="000000"/>
                <w:sz w:val="18"/>
                <w:szCs w:val="21"/>
              </w:rPr>
            </w:pPr>
            <w:r>
              <w:rPr>
                <w:rFonts w:eastAsia="仿宋_GB2312"/>
                <w:color w:val="000000"/>
                <w:sz w:val="18"/>
                <w:szCs w:val="21"/>
              </w:rPr>
              <w:t>1.8.2</w:t>
            </w:r>
          </w:p>
        </w:tc>
        <w:tc>
          <w:tcPr>
            <w:tcW w:w="4050" w:type="pct"/>
            <w:tcBorders>
              <w:top w:val="single" w:color="008000" w:sz="4" w:space="0"/>
            </w:tcBorders>
            <w:shd w:val="clear" w:color="auto" w:fill="auto"/>
            <w:tcMar>
              <w:left w:w="57" w:type="dxa"/>
              <w:right w:w="57" w:type="dxa"/>
            </w:tcMar>
            <w:vAlign w:val="center"/>
          </w:tcPr>
          <w:p w14:paraId="24E9F3BE">
            <w:pPr>
              <w:jc w:val="left"/>
              <w:rPr>
                <w:rFonts w:eastAsia="仿宋_GB2312"/>
                <w:color w:val="000000" w:themeColor="text1"/>
                <w:sz w:val="18"/>
                <w:szCs w:val="21"/>
              </w:rPr>
            </w:pPr>
            <w:r>
              <w:rPr>
                <w:rFonts w:eastAsia="仿宋_GB2312"/>
                <w:color w:val="000000" w:themeColor="text1"/>
                <w:sz w:val="18"/>
                <w:szCs w:val="21"/>
              </w:rPr>
              <w:t>临时进入洁净室（区）的人员，应当对其进行指导和监督。</w:t>
            </w:r>
          </w:p>
          <w:p w14:paraId="577515B9">
            <w:pPr>
              <w:jc w:val="left"/>
              <w:rPr>
                <w:rFonts w:eastAsia="仿宋_GB2312"/>
                <w:color w:val="000000" w:themeColor="text1"/>
                <w:sz w:val="18"/>
                <w:szCs w:val="21"/>
              </w:rPr>
            </w:pPr>
            <w:r>
              <w:rPr>
                <w:rFonts w:eastAsia="仿宋_GB2312"/>
                <w:b/>
                <w:color w:val="000000" w:themeColor="text1"/>
                <w:sz w:val="18"/>
                <w:szCs w:val="21"/>
              </w:rPr>
              <w:t>查看是否制定了相关文件，对临时进入洁净室的人员 (包括外来人员)进出洁净区的指导和监督作出了规定。</w:t>
            </w:r>
          </w:p>
        </w:tc>
      </w:tr>
      <w:tr w14:paraId="6E75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DF6C1BF">
            <w:pPr>
              <w:jc w:val="left"/>
              <w:rPr>
                <w:rFonts w:eastAsia="仿宋_GB2312"/>
                <w:color w:val="000000"/>
                <w:sz w:val="18"/>
                <w:szCs w:val="21"/>
              </w:rPr>
            </w:pPr>
          </w:p>
        </w:tc>
        <w:tc>
          <w:tcPr>
            <w:tcW w:w="680" w:type="pct"/>
            <w:shd w:val="clear" w:color="auto" w:fill="auto"/>
            <w:tcMar>
              <w:left w:w="57" w:type="dxa"/>
              <w:right w:w="57" w:type="dxa"/>
            </w:tcMar>
            <w:vAlign w:val="center"/>
          </w:tcPr>
          <w:p w14:paraId="599E742E">
            <w:pPr>
              <w:jc w:val="center"/>
              <w:rPr>
                <w:rFonts w:eastAsia="仿宋_GB2312"/>
                <w:color w:val="000000"/>
                <w:sz w:val="18"/>
                <w:szCs w:val="21"/>
              </w:rPr>
            </w:pPr>
            <w:r>
              <w:rPr>
                <w:rFonts w:eastAsia="仿宋_GB2312"/>
                <w:color w:val="000000"/>
                <w:sz w:val="18"/>
                <w:szCs w:val="21"/>
              </w:rPr>
              <w:t>1.9.1</w:t>
            </w:r>
          </w:p>
        </w:tc>
        <w:tc>
          <w:tcPr>
            <w:tcW w:w="4050" w:type="pct"/>
            <w:shd w:val="clear" w:color="auto" w:fill="auto"/>
            <w:tcMar>
              <w:left w:w="57" w:type="dxa"/>
              <w:right w:w="57" w:type="dxa"/>
            </w:tcMar>
            <w:vAlign w:val="center"/>
          </w:tcPr>
          <w:p w14:paraId="5B518F19">
            <w:pPr>
              <w:jc w:val="left"/>
              <w:rPr>
                <w:rFonts w:eastAsia="仿宋_GB2312"/>
                <w:color w:val="000000" w:themeColor="text1"/>
                <w:sz w:val="18"/>
                <w:szCs w:val="21"/>
              </w:rPr>
            </w:pPr>
            <w:r>
              <w:rPr>
                <w:rFonts w:eastAsia="仿宋_GB2312"/>
                <w:color w:val="000000" w:themeColor="text1"/>
                <w:sz w:val="18"/>
                <w:szCs w:val="21"/>
              </w:rPr>
              <w:t>从事体外诊断试剂生产的全体人员，包括清洁、维修等人员均应当根据其产品和所从事的生产操作进行专业和安全防护培训。</w:t>
            </w:r>
          </w:p>
          <w:p w14:paraId="2DDE4393">
            <w:pPr>
              <w:jc w:val="left"/>
              <w:rPr>
                <w:rFonts w:eastAsia="仿宋_GB2312"/>
                <w:b/>
                <w:color w:val="000000" w:themeColor="text1"/>
                <w:sz w:val="18"/>
                <w:szCs w:val="21"/>
              </w:rPr>
            </w:pPr>
            <w:r>
              <w:rPr>
                <w:rFonts w:eastAsia="仿宋_GB2312"/>
                <w:b/>
                <w:color w:val="000000" w:themeColor="text1"/>
                <w:sz w:val="18"/>
                <w:szCs w:val="21"/>
              </w:rPr>
              <w:t>查看培训计划和记录,是否对从事体外诊断试剂生产的全体人员，包括清洁、维修等人员根据其产品和所从事的生产操作进行了专业和安全防护培训。</w:t>
            </w:r>
          </w:p>
          <w:p w14:paraId="4F1DA54F">
            <w:pPr>
              <w:jc w:val="left"/>
              <w:rPr>
                <w:rFonts w:eastAsia="仿宋_GB2312"/>
                <w:color w:val="000000" w:themeColor="text1"/>
                <w:sz w:val="18"/>
                <w:szCs w:val="21"/>
              </w:rPr>
            </w:pPr>
            <w:r>
              <w:rPr>
                <w:rFonts w:eastAsia="仿宋_GB2312"/>
                <w:b/>
                <w:color w:val="000000" w:themeColor="text1"/>
                <w:sz w:val="18"/>
                <w:szCs w:val="21"/>
              </w:rPr>
              <w:t>企业从事高生物活性、高毒性、强传染性、强致敏性等有特殊要求产品的生产和质量检验人员应当具备相关岗位操作资格或接受相关专业技术培训和防护知识培训，合格后方可上岗。</w:t>
            </w:r>
          </w:p>
        </w:tc>
      </w:tr>
      <w:tr w14:paraId="300D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B82E437">
            <w:pPr>
              <w:jc w:val="left"/>
              <w:rPr>
                <w:rFonts w:eastAsia="仿宋_GB2312"/>
                <w:color w:val="000000"/>
                <w:sz w:val="18"/>
                <w:szCs w:val="21"/>
              </w:rPr>
            </w:pPr>
          </w:p>
        </w:tc>
        <w:tc>
          <w:tcPr>
            <w:tcW w:w="680" w:type="pct"/>
            <w:tcBorders>
              <w:bottom w:val="single" w:color="008000" w:sz="4" w:space="0"/>
            </w:tcBorders>
            <w:shd w:val="clear" w:color="auto" w:fill="auto"/>
            <w:tcMar>
              <w:left w:w="57" w:type="dxa"/>
              <w:right w:w="57" w:type="dxa"/>
            </w:tcMar>
            <w:vAlign w:val="center"/>
          </w:tcPr>
          <w:p w14:paraId="725A6B60">
            <w:pPr>
              <w:jc w:val="center"/>
              <w:rPr>
                <w:rFonts w:eastAsia="仿宋_GB2312"/>
                <w:color w:val="000000"/>
                <w:sz w:val="18"/>
                <w:szCs w:val="21"/>
              </w:rPr>
            </w:pPr>
            <w:r>
              <w:rPr>
                <w:rFonts w:eastAsia="仿宋_GB2312"/>
                <w:color w:val="000000"/>
                <w:sz w:val="18"/>
                <w:szCs w:val="21"/>
              </w:rPr>
              <w:t>1.10.1</w:t>
            </w:r>
          </w:p>
        </w:tc>
        <w:tc>
          <w:tcPr>
            <w:tcW w:w="4050" w:type="pct"/>
            <w:tcBorders>
              <w:bottom w:val="single" w:color="008000" w:sz="4" w:space="0"/>
            </w:tcBorders>
            <w:shd w:val="clear" w:color="auto" w:fill="auto"/>
            <w:tcMar>
              <w:left w:w="57" w:type="dxa"/>
              <w:right w:w="57" w:type="dxa"/>
            </w:tcMar>
            <w:vAlign w:val="center"/>
          </w:tcPr>
          <w:p w14:paraId="2F83D31D">
            <w:pPr>
              <w:jc w:val="left"/>
              <w:rPr>
                <w:rFonts w:eastAsia="仿宋_GB2312"/>
                <w:color w:val="000000" w:themeColor="text1"/>
                <w:sz w:val="18"/>
                <w:szCs w:val="21"/>
              </w:rPr>
            </w:pPr>
            <w:r>
              <w:rPr>
                <w:rFonts w:eastAsia="仿宋_GB2312"/>
                <w:color w:val="000000" w:themeColor="text1"/>
                <w:sz w:val="18"/>
                <w:szCs w:val="21"/>
              </w:rPr>
              <w:t>应当建立对人员的清洁要求，制定洁净室（区）工作人员卫生守则。</w:t>
            </w:r>
          </w:p>
          <w:p w14:paraId="7561201E">
            <w:pPr>
              <w:jc w:val="left"/>
              <w:rPr>
                <w:rFonts w:eastAsia="仿宋_GB2312"/>
                <w:b/>
                <w:color w:val="000000" w:themeColor="text1"/>
                <w:sz w:val="18"/>
                <w:szCs w:val="21"/>
              </w:rPr>
            </w:pPr>
            <w:r>
              <w:rPr>
                <w:rFonts w:eastAsia="仿宋_GB2312"/>
                <w:b/>
                <w:color w:val="000000" w:themeColor="text1"/>
                <w:sz w:val="18"/>
                <w:szCs w:val="21"/>
              </w:rPr>
              <w:t>查看工作人员卫生守则,是否对人员清洁、进出程序、洁净服的穿戴作出规定。</w:t>
            </w:r>
          </w:p>
        </w:tc>
      </w:tr>
      <w:tr w14:paraId="6B72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B49DB7A">
            <w:pPr>
              <w:jc w:val="left"/>
              <w:rPr>
                <w:rFonts w:eastAsia="仿宋_GB2312"/>
                <w:color w:val="000000"/>
                <w:sz w:val="18"/>
                <w:szCs w:val="21"/>
              </w:rPr>
            </w:pPr>
          </w:p>
        </w:tc>
        <w:tc>
          <w:tcPr>
            <w:tcW w:w="680" w:type="pct"/>
            <w:tcBorders>
              <w:top w:val="single" w:color="008000" w:sz="4" w:space="0"/>
              <w:bottom w:val="single" w:color="008000" w:sz="4" w:space="0"/>
            </w:tcBorders>
            <w:shd w:val="clear" w:color="auto" w:fill="auto"/>
            <w:tcMar>
              <w:left w:w="57" w:type="dxa"/>
              <w:right w:w="57" w:type="dxa"/>
            </w:tcMar>
            <w:vAlign w:val="center"/>
          </w:tcPr>
          <w:p w14:paraId="6F7BE77A">
            <w:pPr>
              <w:jc w:val="center"/>
              <w:rPr>
                <w:rFonts w:eastAsia="仿宋_GB2312"/>
                <w:color w:val="000000"/>
                <w:sz w:val="18"/>
                <w:szCs w:val="21"/>
              </w:rPr>
            </w:pPr>
            <w:r>
              <w:rPr>
                <w:rFonts w:eastAsia="仿宋_GB2312"/>
                <w:color w:val="000000"/>
                <w:sz w:val="18"/>
                <w:szCs w:val="21"/>
              </w:rPr>
              <w:t>1.10.2</w:t>
            </w:r>
          </w:p>
        </w:tc>
        <w:tc>
          <w:tcPr>
            <w:tcW w:w="4050" w:type="pct"/>
            <w:tcBorders>
              <w:top w:val="single" w:color="008000" w:sz="4" w:space="0"/>
              <w:bottom w:val="single" w:color="008000" w:sz="4" w:space="0"/>
            </w:tcBorders>
            <w:shd w:val="clear" w:color="auto" w:fill="auto"/>
            <w:tcMar>
              <w:left w:w="57" w:type="dxa"/>
              <w:right w:w="57" w:type="dxa"/>
            </w:tcMar>
            <w:vAlign w:val="center"/>
          </w:tcPr>
          <w:p w14:paraId="134B7976">
            <w:pPr>
              <w:jc w:val="left"/>
              <w:rPr>
                <w:rFonts w:eastAsia="仿宋_GB2312"/>
                <w:color w:val="000000" w:themeColor="text1"/>
                <w:sz w:val="18"/>
                <w:szCs w:val="21"/>
              </w:rPr>
            </w:pPr>
            <w:r>
              <w:rPr>
                <w:rFonts w:eastAsia="仿宋_GB2312"/>
                <w:color w:val="000000" w:themeColor="text1"/>
                <w:sz w:val="18"/>
                <w:szCs w:val="21"/>
              </w:rPr>
              <w:t>人员进入洁净室（区）应当按照程序进行净化，并穿戴工作帽、口罩、洁净工作服、工作鞋。</w:t>
            </w:r>
          </w:p>
          <w:p w14:paraId="34FEC7BF">
            <w:pPr>
              <w:jc w:val="left"/>
              <w:rPr>
                <w:rFonts w:eastAsia="仿宋_GB2312"/>
                <w:color w:val="000000" w:themeColor="text1"/>
                <w:sz w:val="18"/>
                <w:szCs w:val="21"/>
              </w:rPr>
            </w:pPr>
            <w:r>
              <w:rPr>
                <w:rFonts w:eastAsia="仿宋_GB2312"/>
                <w:b/>
                <w:color w:val="000000" w:themeColor="text1"/>
                <w:sz w:val="18"/>
                <w:szCs w:val="21"/>
              </w:rPr>
              <w:t>现场观察人员进入洁净室（区）是否按照程序进行净化，并按规定正确穿戴工作帽、口罩、洁净工作服、工作鞋或鞋套。</w:t>
            </w:r>
          </w:p>
        </w:tc>
      </w:tr>
      <w:tr w14:paraId="5AB1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6D1B0B2">
            <w:pPr>
              <w:jc w:val="left"/>
              <w:rPr>
                <w:rFonts w:eastAsia="仿宋_GB2312"/>
                <w:color w:val="000000"/>
                <w:sz w:val="18"/>
                <w:szCs w:val="21"/>
              </w:rPr>
            </w:pPr>
          </w:p>
        </w:tc>
        <w:tc>
          <w:tcPr>
            <w:tcW w:w="680" w:type="pct"/>
            <w:tcBorders>
              <w:top w:val="single" w:color="008000" w:sz="4" w:space="0"/>
            </w:tcBorders>
            <w:shd w:val="clear" w:color="auto" w:fill="auto"/>
            <w:tcMar>
              <w:left w:w="57" w:type="dxa"/>
              <w:right w:w="57" w:type="dxa"/>
            </w:tcMar>
            <w:vAlign w:val="center"/>
          </w:tcPr>
          <w:p w14:paraId="29812D94">
            <w:pPr>
              <w:jc w:val="center"/>
              <w:rPr>
                <w:rFonts w:eastAsia="仿宋_GB2312"/>
                <w:color w:val="000000"/>
                <w:sz w:val="18"/>
                <w:szCs w:val="21"/>
              </w:rPr>
            </w:pPr>
            <w:r>
              <w:rPr>
                <w:rFonts w:eastAsia="仿宋_GB2312"/>
                <w:color w:val="000000"/>
                <w:sz w:val="18"/>
                <w:szCs w:val="21"/>
              </w:rPr>
              <w:t>1.10.3</w:t>
            </w:r>
          </w:p>
        </w:tc>
        <w:tc>
          <w:tcPr>
            <w:tcW w:w="4050" w:type="pct"/>
            <w:tcBorders>
              <w:top w:val="single" w:color="008000" w:sz="4" w:space="0"/>
            </w:tcBorders>
            <w:shd w:val="clear" w:color="auto" w:fill="auto"/>
            <w:tcMar>
              <w:left w:w="57" w:type="dxa"/>
              <w:right w:w="57" w:type="dxa"/>
            </w:tcMar>
            <w:vAlign w:val="center"/>
          </w:tcPr>
          <w:p w14:paraId="43A98AED">
            <w:pPr>
              <w:jc w:val="left"/>
              <w:rPr>
                <w:rFonts w:eastAsia="仿宋_GB2312"/>
                <w:color w:val="000000" w:themeColor="text1"/>
                <w:sz w:val="18"/>
                <w:szCs w:val="21"/>
              </w:rPr>
            </w:pPr>
            <w:r>
              <w:rPr>
                <w:rFonts w:eastAsia="仿宋_GB2312"/>
                <w:color w:val="000000" w:themeColor="text1"/>
                <w:sz w:val="18"/>
                <w:szCs w:val="21"/>
              </w:rPr>
              <w:t>裸手接触产品的操作人员每隔一定时间应当对手再次进行消毒。裸手消毒剂的种类应当定期更换。</w:t>
            </w:r>
          </w:p>
          <w:p w14:paraId="19CFB268">
            <w:pPr>
              <w:jc w:val="left"/>
              <w:rPr>
                <w:rFonts w:eastAsia="仿宋_GB2312"/>
                <w:color w:val="000000" w:themeColor="text1"/>
                <w:sz w:val="18"/>
                <w:szCs w:val="21"/>
              </w:rPr>
            </w:pPr>
            <w:r>
              <w:rPr>
                <w:rFonts w:eastAsia="仿宋_GB2312"/>
                <w:b/>
                <w:color w:val="000000" w:themeColor="text1"/>
                <w:sz w:val="18"/>
                <w:szCs w:val="21"/>
              </w:rPr>
              <w:t>查看消毒剂配制或领用记录，是否按要求定期更换裸手消毒剂的种类。</w:t>
            </w:r>
          </w:p>
        </w:tc>
      </w:tr>
      <w:tr w14:paraId="6A7F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AC37046">
            <w:pPr>
              <w:jc w:val="left"/>
              <w:rPr>
                <w:rFonts w:eastAsia="仿宋_GB2312"/>
                <w:color w:val="000000"/>
                <w:sz w:val="18"/>
                <w:szCs w:val="21"/>
              </w:rPr>
            </w:pPr>
          </w:p>
        </w:tc>
        <w:tc>
          <w:tcPr>
            <w:tcW w:w="680" w:type="pct"/>
            <w:tcBorders>
              <w:bottom w:val="single" w:color="008000" w:sz="4" w:space="0"/>
            </w:tcBorders>
            <w:shd w:val="clear" w:color="auto" w:fill="auto"/>
            <w:tcMar>
              <w:left w:w="57" w:type="dxa"/>
              <w:right w:w="57" w:type="dxa"/>
            </w:tcMar>
            <w:vAlign w:val="center"/>
          </w:tcPr>
          <w:p w14:paraId="05D1CD46">
            <w:pPr>
              <w:jc w:val="center"/>
              <w:rPr>
                <w:rFonts w:eastAsia="仿宋_GB2312"/>
                <w:color w:val="000000"/>
                <w:sz w:val="18"/>
                <w:szCs w:val="21"/>
              </w:rPr>
            </w:pPr>
            <w:r>
              <w:rPr>
                <w:rFonts w:eastAsia="仿宋_GB2312"/>
                <w:color w:val="000000"/>
                <w:sz w:val="18"/>
                <w:szCs w:val="21"/>
              </w:rPr>
              <w:t>1.11.1</w:t>
            </w:r>
          </w:p>
        </w:tc>
        <w:tc>
          <w:tcPr>
            <w:tcW w:w="4050" w:type="pct"/>
            <w:tcBorders>
              <w:bottom w:val="single" w:color="008000" w:sz="4" w:space="0"/>
            </w:tcBorders>
            <w:shd w:val="clear" w:color="auto" w:fill="auto"/>
            <w:tcMar>
              <w:left w:w="57" w:type="dxa"/>
              <w:right w:w="57" w:type="dxa"/>
            </w:tcMar>
            <w:vAlign w:val="center"/>
          </w:tcPr>
          <w:p w14:paraId="521B9127">
            <w:pPr>
              <w:jc w:val="left"/>
              <w:rPr>
                <w:rFonts w:eastAsia="仿宋_GB2312"/>
                <w:color w:val="000000" w:themeColor="text1"/>
                <w:sz w:val="18"/>
                <w:szCs w:val="21"/>
              </w:rPr>
            </w:pPr>
            <w:r>
              <w:rPr>
                <w:rFonts w:eastAsia="仿宋_GB2312"/>
                <w:color w:val="000000" w:themeColor="text1"/>
                <w:sz w:val="18"/>
                <w:szCs w:val="21"/>
              </w:rPr>
              <w:t>应当制定人员健康要求，建立人员健康档案。</w:t>
            </w:r>
          </w:p>
          <w:p w14:paraId="7BA414D1">
            <w:pPr>
              <w:jc w:val="left"/>
              <w:rPr>
                <w:rFonts w:eastAsia="仿宋_GB2312"/>
                <w:color w:val="000000" w:themeColor="text1"/>
                <w:sz w:val="18"/>
                <w:szCs w:val="21"/>
              </w:rPr>
            </w:pPr>
            <w:r>
              <w:rPr>
                <w:rFonts w:eastAsia="仿宋_GB2312"/>
                <w:b/>
                <w:color w:val="000000" w:themeColor="text1"/>
                <w:sz w:val="18"/>
                <w:szCs w:val="21"/>
              </w:rPr>
              <w:t>查看人员健康要求的文件，是否对人员健康要求作出规定，并建立人员健康档案。</w:t>
            </w:r>
          </w:p>
        </w:tc>
      </w:tr>
      <w:tr w14:paraId="61F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3D7F9D7">
            <w:pPr>
              <w:jc w:val="left"/>
              <w:rPr>
                <w:rFonts w:eastAsia="仿宋_GB2312"/>
                <w:color w:val="000000"/>
                <w:sz w:val="18"/>
                <w:szCs w:val="21"/>
              </w:rPr>
            </w:pPr>
          </w:p>
        </w:tc>
        <w:tc>
          <w:tcPr>
            <w:tcW w:w="680" w:type="pct"/>
            <w:tcBorders>
              <w:top w:val="single" w:color="008000" w:sz="4" w:space="0"/>
            </w:tcBorders>
            <w:shd w:val="clear" w:color="auto" w:fill="auto"/>
            <w:tcMar>
              <w:left w:w="57" w:type="dxa"/>
              <w:right w:w="57" w:type="dxa"/>
            </w:tcMar>
            <w:vAlign w:val="center"/>
          </w:tcPr>
          <w:p w14:paraId="5A5CFC53">
            <w:pPr>
              <w:jc w:val="center"/>
              <w:rPr>
                <w:rFonts w:eastAsia="仿宋_GB2312"/>
                <w:color w:val="000000"/>
                <w:sz w:val="18"/>
                <w:szCs w:val="21"/>
              </w:rPr>
            </w:pPr>
            <w:r>
              <w:rPr>
                <w:rFonts w:eastAsia="仿宋_GB2312"/>
                <w:color w:val="000000"/>
                <w:sz w:val="18"/>
                <w:szCs w:val="21"/>
              </w:rPr>
              <w:t>1.11.2</w:t>
            </w:r>
          </w:p>
        </w:tc>
        <w:tc>
          <w:tcPr>
            <w:tcW w:w="4050" w:type="pct"/>
            <w:tcBorders>
              <w:top w:val="single" w:color="008000" w:sz="4" w:space="0"/>
            </w:tcBorders>
            <w:shd w:val="clear" w:color="auto" w:fill="auto"/>
            <w:tcMar>
              <w:left w:w="57" w:type="dxa"/>
              <w:right w:w="57" w:type="dxa"/>
            </w:tcMar>
            <w:vAlign w:val="center"/>
          </w:tcPr>
          <w:p w14:paraId="6B31B4C3">
            <w:pPr>
              <w:jc w:val="left"/>
              <w:rPr>
                <w:rFonts w:eastAsia="仿宋_GB2312"/>
                <w:color w:val="000000" w:themeColor="text1"/>
                <w:sz w:val="18"/>
                <w:szCs w:val="21"/>
              </w:rPr>
            </w:pPr>
            <w:r>
              <w:rPr>
                <w:rFonts w:eastAsia="仿宋_GB2312"/>
                <w:color w:val="000000" w:themeColor="text1"/>
                <w:sz w:val="18"/>
                <w:szCs w:val="21"/>
              </w:rPr>
              <w:t>直接接触物料和产品的操作人员每年至少体检一次。患有传染性和感染性疾病的人员不得从事直接接触产品的工作。</w:t>
            </w:r>
          </w:p>
          <w:p w14:paraId="3D90C6BF">
            <w:pPr>
              <w:jc w:val="left"/>
              <w:rPr>
                <w:rFonts w:eastAsia="仿宋_GB2312"/>
                <w:color w:val="000000" w:themeColor="text1"/>
                <w:sz w:val="18"/>
                <w:szCs w:val="21"/>
              </w:rPr>
            </w:pPr>
            <w:r>
              <w:rPr>
                <w:rFonts w:eastAsia="仿宋_GB2312"/>
                <w:b/>
                <w:color w:val="000000" w:themeColor="text1"/>
                <w:sz w:val="18"/>
                <w:szCs w:val="21"/>
              </w:rPr>
              <w:t>查看洁净间直接接触物料和产品的人员的体检报告或健康证明,是否按规定时间进行体检，患有传染性和感染性疾病的人员未从事直接接触产品的工作。</w:t>
            </w:r>
          </w:p>
        </w:tc>
      </w:tr>
      <w:tr w14:paraId="7832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771B163">
            <w:pPr>
              <w:jc w:val="left"/>
              <w:rPr>
                <w:rFonts w:eastAsia="仿宋_GB2312"/>
                <w:color w:val="000000"/>
                <w:sz w:val="18"/>
                <w:szCs w:val="21"/>
              </w:rPr>
            </w:pPr>
          </w:p>
        </w:tc>
        <w:tc>
          <w:tcPr>
            <w:tcW w:w="680" w:type="pct"/>
            <w:shd w:val="clear" w:color="auto" w:fill="auto"/>
            <w:tcMar>
              <w:left w:w="57" w:type="dxa"/>
              <w:right w:w="57" w:type="dxa"/>
            </w:tcMar>
            <w:vAlign w:val="center"/>
          </w:tcPr>
          <w:p w14:paraId="5A5B34CC">
            <w:pPr>
              <w:jc w:val="center"/>
              <w:rPr>
                <w:rFonts w:eastAsia="仿宋_GB2312"/>
                <w:color w:val="000000"/>
                <w:sz w:val="18"/>
                <w:szCs w:val="21"/>
              </w:rPr>
            </w:pPr>
            <w:r>
              <w:rPr>
                <w:rFonts w:eastAsia="仿宋_GB2312"/>
                <w:color w:val="000000"/>
                <w:sz w:val="18"/>
                <w:szCs w:val="21"/>
              </w:rPr>
              <w:t>1.12.1</w:t>
            </w:r>
          </w:p>
        </w:tc>
        <w:tc>
          <w:tcPr>
            <w:tcW w:w="4050" w:type="pct"/>
            <w:shd w:val="clear" w:color="auto" w:fill="auto"/>
            <w:tcMar>
              <w:left w:w="57" w:type="dxa"/>
              <w:right w:w="57" w:type="dxa"/>
            </w:tcMar>
            <w:vAlign w:val="center"/>
          </w:tcPr>
          <w:p w14:paraId="0ECC1C6A">
            <w:pPr>
              <w:jc w:val="left"/>
              <w:rPr>
                <w:rFonts w:eastAsia="仿宋_GB2312"/>
                <w:color w:val="000000" w:themeColor="text1"/>
                <w:sz w:val="18"/>
                <w:szCs w:val="21"/>
              </w:rPr>
            </w:pPr>
            <w:r>
              <w:rPr>
                <w:rFonts w:eastAsia="仿宋_GB2312"/>
                <w:color w:val="000000" w:themeColor="text1"/>
                <w:sz w:val="18"/>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14:paraId="2AF89E05">
            <w:pPr>
              <w:jc w:val="left"/>
              <w:rPr>
                <w:rFonts w:eastAsia="仿宋_GB2312"/>
                <w:color w:val="000000" w:themeColor="text1"/>
                <w:sz w:val="18"/>
                <w:szCs w:val="21"/>
              </w:rPr>
            </w:pPr>
            <w:r>
              <w:rPr>
                <w:rFonts w:eastAsia="仿宋_GB2312"/>
                <w:b/>
                <w:color w:val="000000" w:themeColor="text1"/>
                <w:sz w:val="18"/>
                <w:szCs w:val="21"/>
              </w:rPr>
              <w:t>查看洁净和无菌工作服的管理规定；现场观察服装的符合性及人员穿戴的符合性。</w:t>
            </w:r>
          </w:p>
        </w:tc>
      </w:tr>
      <w:tr w14:paraId="789D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8AC305A">
            <w:pPr>
              <w:jc w:val="left"/>
              <w:rPr>
                <w:rFonts w:eastAsia="仿宋_GB2312"/>
                <w:color w:val="000000"/>
                <w:sz w:val="18"/>
                <w:szCs w:val="21"/>
              </w:rPr>
            </w:pPr>
          </w:p>
        </w:tc>
        <w:tc>
          <w:tcPr>
            <w:tcW w:w="680" w:type="pct"/>
            <w:shd w:val="clear" w:color="auto" w:fill="auto"/>
            <w:tcMar>
              <w:left w:w="57" w:type="dxa"/>
              <w:right w:w="57" w:type="dxa"/>
            </w:tcMar>
            <w:vAlign w:val="center"/>
          </w:tcPr>
          <w:p w14:paraId="7A3CAF62">
            <w:pPr>
              <w:jc w:val="center"/>
              <w:rPr>
                <w:rFonts w:eastAsia="仿宋_GB2312"/>
                <w:color w:val="000000"/>
                <w:sz w:val="18"/>
                <w:szCs w:val="21"/>
              </w:rPr>
            </w:pPr>
            <w:r>
              <w:rPr>
                <w:rFonts w:eastAsia="仿宋_GB2312"/>
                <w:color w:val="000000"/>
                <w:sz w:val="18"/>
                <w:szCs w:val="21"/>
              </w:rPr>
              <w:t>1.12.2</w:t>
            </w:r>
          </w:p>
        </w:tc>
        <w:tc>
          <w:tcPr>
            <w:tcW w:w="4050" w:type="pct"/>
            <w:shd w:val="clear" w:color="auto" w:fill="auto"/>
            <w:tcMar>
              <w:left w:w="57" w:type="dxa"/>
              <w:right w:w="57" w:type="dxa"/>
            </w:tcMar>
            <w:vAlign w:val="center"/>
          </w:tcPr>
          <w:p w14:paraId="55BEE2D1">
            <w:pPr>
              <w:jc w:val="left"/>
              <w:rPr>
                <w:rFonts w:eastAsia="仿宋_GB2312"/>
                <w:b/>
                <w:bCs/>
                <w:iCs/>
                <w:color w:val="000000" w:themeColor="text1"/>
                <w:sz w:val="18"/>
                <w:szCs w:val="21"/>
              </w:rPr>
            </w:pPr>
            <w:r>
              <w:rPr>
                <w:rFonts w:eastAsia="仿宋_GB2312"/>
                <w:color w:val="000000" w:themeColor="text1"/>
                <w:sz w:val="18"/>
                <w:szCs w:val="21"/>
              </w:rPr>
              <w:t>洁净工作服和无菌工作服不得脱落纤维和颗粒性物质。</w:t>
            </w:r>
          </w:p>
          <w:p w14:paraId="4BE31C3E">
            <w:pPr>
              <w:jc w:val="left"/>
              <w:rPr>
                <w:rFonts w:eastAsia="仿宋_GB2312"/>
                <w:b/>
                <w:bCs/>
                <w:iCs/>
                <w:color w:val="000000" w:themeColor="text1"/>
                <w:sz w:val="18"/>
                <w:szCs w:val="21"/>
              </w:rPr>
            </w:pPr>
            <w:r>
              <w:rPr>
                <w:rFonts w:eastAsia="仿宋_GB2312"/>
                <w:b/>
                <w:bCs/>
                <w:iCs/>
                <w:color w:val="000000" w:themeColor="text1"/>
                <w:sz w:val="18"/>
                <w:szCs w:val="21"/>
              </w:rPr>
              <w:t>查看洁净工作服和无菌工作服是否选择质地光滑、不易产生静电、不脱落纤维和颗粒性物质的材料制作。</w:t>
            </w:r>
          </w:p>
        </w:tc>
      </w:tr>
      <w:tr w14:paraId="0777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75439669">
            <w:pPr>
              <w:jc w:val="left"/>
              <w:rPr>
                <w:rFonts w:eastAsia="仿宋_GB2312"/>
                <w:b/>
                <w:color w:val="000000"/>
                <w:kern w:val="0"/>
                <w:sz w:val="22"/>
                <w:szCs w:val="28"/>
                <w:lang w:bidi="bn-IN"/>
              </w:rPr>
            </w:pPr>
            <w:r>
              <w:rPr>
                <w:rFonts w:eastAsia="仿宋_GB2312"/>
                <w:b/>
                <w:color w:val="000000"/>
                <w:kern w:val="0"/>
                <w:sz w:val="22"/>
                <w:szCs w:val="28"/>
                <w:lang w:bidi="bn-IN"/>
              </w:rPr>
              <w:t>厂房与设施</w:t>
            </w:r>
          </w:p>
          <w:p w14:paraId="13530365">
            <w:pPr>
              <w:jc w:val="left"/>
              <w:rPr>
                <w:rFonts w:eastAsia="仿宋_GB2312"/>
                <w:b/>
                <w:bCs/>
                <w:color w:val="000000"/>
                <w:sz w:val="18"/>
                <w:szCs w:val="21"/>
              </w:rPr>
            </w:pPr>
          </w:p>
        </w:tc>
        <w:tc>
          <w:tcPr>
            <w:tcW w:w="680" w:type="pct"/>
            <w:shd w:val="clear" w:color="auto" w:fill="auto"/>
            <w:tcMar>
              <w:left w:w="57" w:type="dxa"/>
              <w:right w:w="57" w:type="dxa"/>
            </w:tcMar>
            <w:vAlign w:val="center"/>
          </w:tcPr>
          <w:p w14:paraId="0F3ACED9">
            <w:pPr>
              <w:jc w:val="center"/>
              <w:rPr>
                <w:rFonts w:eastAsia="仿宋_GB2312"/>
                <w:color w:val="000000"/>
                <w:sz w:val="18"/>
                <w:szCs w:val="21"/>
              </w:rPr>
            </w:pPr>
            <w:r>
              <w:rPr>
                <w:rFonts w:eastAsia="仿宋_GB2312"/>
                <w:color w:val="000000"/>
                <w:sz w:val="18"/>
                <w:szCs w:val="21"/>
              </w:rPr>
              <w:t>2.1.1</w:t>
            </w:r>
          </w:p>
        </w:tc>
        <w:tc>
          <w:tcPr>
            <w:tcW w:w="4050" w:type="pct"/>
            <w:shd w:val="clear" w:color="auto" w:fill="auto"/>
            <w:tcMar>
              <w:left w:w="57" w:type="dxa"/>
              <w:right w:w="57" w:type="dxa"/>
            </w:tcMar>
            <w:vAlign w:val="center"/>
          </w:tcPr>
          <w:p w14:paraId="6CB3D8F0">
            <w:pPr>
              <w:jc w:val="left"/>
              <w:rPr>
                <w:rFonts w:eastAsia="仿宋_GB2312"/>
                <w:color w:val="000000" w:themeColor="text1"/>
                <w:sz w:val="18"/>
                <w:szCs w:val="21"/>
              </w:rPr>
            </w:pPr>
            <w:r>
              <w:rPr>
                <w:rFonts w:eastAsia="仿宋_GB2312"/>
                <w:color w:val="000000" w:themeColor="text1"/>
                <w:sz w:val="18"/>
                <w:szCs w:val="21"/>
              </w:rPr>
              <w:t>厂房与设施应当符合产品的生产要求。</w:t>
            </w:r>
          </w:p>
        </w:tc>
      </w:tr>
      <w:tr w14:paraId="7B19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DFDC611">
            <w:pPr>
              <w:jc w:val="left"/>
              <w:rPr>
                <w:rFonts w:eastAsia="仿宋_GB2312"/>
                <w:b/>
                <w:color w:val="000000"/>
                <w:sz w:val="18"/>
                <w:szCs w:val="21"/>
              </w:rPr>
            </w:pPr>
          </w:p>
        </w:tc>
        <w:tc>
          <w:tcPr>
            <w:tcW w:w="680" w:type="pct"/>
            <w:shd w:val="clear" w:color="auto" w:fill="auto"/>
            <w:tcMar>
              <w:left w:w="57" w:type="dxa"/>
              <w:right w:w="57" w:type="dxa"/>
            </w:tcMar>
            <w:vAlign w:val="center"/>
          </w:tcPr>
          <w:p w14:paraId="16DAAC44">
            <w:pPr>
              <w:jc w:val="center"/>
              <w:rPr>
                <w:rFonts w:eastAsia="仿宋_GB2312"/>
                <w:color w:val="000000"/>
                <w:sz w:val="18"/>
                <w:szCs w:val="21"/>
              </w:rPr>
            </w:pPr>
            <w:r>
              <w:rPr>
                <w:rFonts w:eastAsia="仿宋_GB2312"/>
                <w:color w:val="000000"/>
                <w:sz w:val="18"/>
                <w:szCs w:val="21"/>
              </w:rPr>
              <w:t>2.1.2</w:t>
            </w:r>
          </w:p>
        </w:tc>
        <w:tc>
          <w:tcPr>
            <w:tcW w:w="4050" w:type="pct"/>
            <w:shd w:val="clear" w:color="auto" w:fill="auto"/>
            <w:tcMar>
              <w:left w:w="57" w:type="dxa"/>
              <w:right w:w="57" w:type="dxa"/>
            </w:tcMar>
            <w:vAlign w:val="center"/>
          </w:tcPr>
          <w:p w14:paraId="75B13D39">
            <w:pPr>
              <w:jc w:val="left"/>
              <w:rPr>
                <w:rFonts w:eastAsia="仿宋_GB2312"/>
                <w:color w:val="000000" w:themeColor="text1"/>
                <w:sz w:val="18"/>
                <w:szCs w:val="21"/>
              </w:rPr>
            </w:pPr>
            <w:r>
              <w:rPr>
                <w:rFonts w:eastAsia="仿宋_GB2312"/>
                <w:color w:val="000000" w:themeColor="text1"/>
                <w:sz w:val="18"/>
                <w:szCs w:val="21"/>
              </w:rPr>
              <w:t>生产、行政和辅助区的总体布局应当合理，不得互相妨碍。</w:t>
            </w:r>
          </w:p>
        </w:tc>
      </w:tr>
      <w:tr w14:paraId="6680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65D51C7">
            <w:pPr>
              <w:jc w:val="left"/>
              <w:rPr>
                <w:rFonts w:eastAsia="仿宋_GB2312"/>
                <w:color w:val="000000"/>
                <w:sz w:val="18"/>
                <w:szCs w:val="21"/>
              </w:rPr>
            </w:pPr>
          </w:p>
        </w:tc>
        <w:tc>
          <w:tcPr>
            <w:tcW w:w="680" w:type="pct"/>
            <w:shd w:val="clear" w:color="auto" w:fill="auto"/>
            <w:tcMar>
              <w:left w:w="57" w:type="dxa"/>
              <w:right w:w="57" w:type="dxa"/>
            </w:tcMar>
            <w:vAlign w:val="center"/>
          </w:tcPr>
          <w:p w14:paraId="3CB7F5DE">
            <w:pPr>
              <w:jc w:val="center"/>
              <w:rPr>
                <w:rFonts w:eastAsia="仿宋_GB2312"/>
                <w:color w:val="000000"/>
                <w:sz w:val="18"/>
                <w:szCs w:val="21"/>
              </w:rPr>
            </w:pPr>
            <w:r>
              <w:rPr>
                <w:rFonts w:eastAsia="仿宋_GB2312"/>
                <w:color w:val="000000"/>
                <w:sz w:val="18"/>
                <w:szCs w:val="21"/>
              </w:rPr>
              <w:t>*2.2.1</w:t>
            </w:r>
          </w:p>
        </w:tc>
        <w:tc>
          <w:tcPr>
            <w:tcW w:w="4050" w:type="pct"/>
            <w:shd w:val="clear" w:color="auto" w:fill="auto"/>
            <w:tcMar>
              <w:left w:w="57" w:type="dxa"/>
              <w:right w:w="57" w:type="dxa"/>
            </w:tcMar>
            <w:vAlign w:val="center"/>
          </w:tcPr>
          <w:p w14:paraId="33B96376">
            <w:pPr>
              <w:jc w:val="left"/>
              <w:rPr>
                <w:rFonts w:eastAsia="仿宋_GB2312"/>
                <w:color w:val="000000" w:themeColor="text1"/>
                <w:sz w:val="18"/>
                <w:szCs w:val="21"/>
              </w:rPr>
            </w:pPr>
            <w:r>
              <w:rPr>
                <w:rFonts w:eastAsia="仿宋_GB2312"/>
                <w:color w:val="000000" w:themeColor="text1"/>
                <w:sz w:val="18"/>
                <w:szCs w:val="21"/>
              </w:rPr>
              <w:t>厂房与设施应当根据所生产产品的特性、工艺流程及相应的洁净级别要求进行合理设计、布局和使用。</w:t>
            </w:r>
          </w:p>
        </w:tc>
      </w:tr>
      <w:tr w14:paraId="78ED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A76F102">
            <w:pPr>
              <w:jc w:val="left"/>
              <w:rPr>
                <w:rFonts w:eastAsia="仿宋_GB2312"/>
                <w:color w:val="000000"/>
                <w:sz w:val="18"/>
                <w:szCs w:val="21"/>
              </w:rPr>
            </w:pPr>
          </w:p>
        </w:tc>
        <w:tc>
          <w:tcPr>
            <w:tcW w:w="680" w:type="pct"/>
            <w:shd w:val="clear" w:color="auto" w:fill="auto"/>
            <w:tcMar>
              <w:left w:w="57" w:type="dxa"/>
              <w:right w:w="57" w:type="dxa"/>
            </w:tcMar>
            <w:vAlign w:val="center"/>
          </w:tcPr>
          <w:p w14:paraId="09919083">
            <w:pPr>
              <w:jc w:val="center"/>
              <w:rPr>
                <w:rFonts w:eastAsia="仿宋_GB2312"/>
                <w:color w:val="000000"/>
                <w:sz w:val="18"/>
                <w:szCs w:val="21"/>
              </w:rPr>
            </w:pPr>
            <w:r>
              <w:rPr>
                <w:rFonts w:eastAsia="仿宋_GB2312"/>
                <w:color w:val="000000"/>
                <w:sz w:val="18"/>
                <w:szCs w:val="21"/>
              </w:rPr>
              <w:t>2.2.2</w:t>
            </w:r>
          </w:p>
        </w:tc>
        <w:tc>
          <w:tcPr>
            <w:tcW w:w="4050" w:type="pct"/>
            <w:shd w:val="clear" w:color="auto" w:fill="auto"/>
            <w:tcMar>
              <w:left w:w="57" w:type="dxa"/>
              <w:right w:w="57" w:type="dxa"/>
            </w:tcMar>
            <w:vAlign w:val="center"/>
          </w:tcPr>
          <w:p w14:paraId="29B51227">
            <w:pPr>
              <w:jc w:val="left"/>
              <w:rPr>
                <w:rFonts w:eastAsia="仿宋_GB2312"/>
                <w:color w:val="000000" w:themeColor="text1"/>
                <w:sz w:val="18"/>
                <w:szCs w:val="21"/>
              </w:rPr>
            </w:pPr>
            <w:r>
              <w:rPr>
                <w:rFonts w:eastAsia="仿宋_GB2312"/>
                <w:color w:val="000000" w:themeColor="text1"/>
                <w:sz w:val="18"/>
                <w:szCs w:val="21"/>
              </w:rPr>
              <w:t>生产环境应当整洁、符合产品质量需要及相关技术标准的要求。</w:t>
            </w:r>
          </w:p>
        </w:tc>
      </w:tr>
      <w:tr w14:paraId="52E7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CCEB777">
            <w:pPr>
              <w:jc w:val="left"/>
              <w:rPr>
                <w:rFonts w:eastAsia="仿宋_GB2312"/>
                <w:color w:val="000000"/>
                <w:sz w:val="18"/>
                <w:szCs w:val="21"/>
              </w:rPr>
            </w:pPr>
          </w:p>
        </w:tc>
        <w:tc>
          <w:tcPr>
            <w:tcW w:w="680" w:type="pct"/>
            <w:shd w:val="clear" w:color="auto" w:fill="auto"/>
            <w:tcMar>
              <w:left w:w="57" w:type="dxa"/>
              <w:right w:w="57" w:type="dxa"/>
            </w:tcMar>
            <w:vAlign w:val="center"/>
          </w:tcPr>
          <w:p w14:paraId="5D699AFD">
            <w:pPr>
              <w:jc w:val="center"/>
              <w:rPr>
                <w:rFonts w:eastAsia="仿宋_GB2312"/>
                <w:color w:val="000000"/>
                <w:sz w:val="18"/>
                <w:szCs w:val="21"/>
              </w:rPr>
            </w:pPr>
            <w:r>
              <w:rPr>
                <w:rFonts w:eastAsia="仿宋_GB2312"/>
                <w:color w:val="000000"/>
                <w:sz w:val="18"/>
                <w:szCs w:val="21"/>
              </w:rPr>
              <w:t>2.2.3</w:t>
            </w:r>
          </w:p>
        </w:tc>
        <w:tc>
          <w:tcPr>
            <w:tcW w:w="4050" w:type="pct"/>
            <w:shd w:val="clear" w:color="auto" w:fill="auto"/>
            <w:tcMar>
              <w:left w:w="57" w:type="dxa"/>
              <w:right w:w="57" w:type="dxa"/>
            </w:tcMar>
            <w:vAlign w:val="center"/>
          </w:tcPr>
          <w:p w14:paraId="5B4E8BFE">
            <w:pPr>
              <w:jc w:val="left"/>
              <w:rPr>
                <w:rFonts w:eastAsia="仿宋_GB2312"/>
                <w:color w:val="000000" w:themeColor="text1"/>
                <w:sz w:val="18"/>
                <w:szCs w:val="21"/>
              </w:rPr>
            </w:pPr>
            <w:r>
              <w:rPr>
                <w:rFonts w:eastAsia="仿宋_GB2312"/>
                <w:color w:val="000000" w:themeColor="text1"/>
                <w:sz w:val="18"/>
                <w:szCs w:val="21"/>
              </w:rPr>
              <w:t>产品有特殊要求的，应当确保厂房的外部环境不能对产品质量产生影响，必要时应当进行验证。</w:t>
            </w:r>
          </w:p>
        </w:tc>
      </w:tr>
      <w:tr w14:paraId="7DA9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F4E026F">
            <w:pPr>
              <w:jc w:val="left"/>
              <w:rPr>
                <w:rFonts w:eastAsia="仿宋_GB2312"/>
                <w:color w:val="000000"/>
                <w:sz w:val="18"/>
                <w:szCs w:val="21"/>
              </w:rPr>
            </w:pPr>
          </w:p>
        </w:tc>
        <w:tc>
          <w:tcPr>
            <w:tcW w:w="680" w:type="pct"/>
            <w:shd w:val="clear" w:color="auto" w:fill="auto"/>
            <w:tcMar>
              <w:left w:w="57" w:type="dxa"/>
              <w:right w:w="57" w:type="dxa"/>
            </w:tcMar>
            <w:vAlign w:val="center"/>
          </w:tcPr>
          <w:p w14:paraId="5F564E9B">
            <w:pPr>
              <w:jc w:val="center"/>
              <w:rPr>
                <w:rFonts w:eastAsia="仿宋_GB2312"/>
                <w:color w:val="000000"/>
                <w:sz w:val="18"/>
                <w:szCs w:val="21"/>
              </w:rPr>
            </w:pPr>
            <w:r>
              <w:rPr>
                <w:rFonts w:eastAsia="仿宋_GB2312"/>
                <w:color w:val="000000"/>
                <w:sz w:val="18"/>
                <w:szCs w:val="21"/>
              </w:rPr>
              <w:t>2.3.1</w:t>
            </w:r>
          </w:p>
        </w:tc>
        <w:tc>
          <w:tcPr>
            <w:tcW w:w="4050" w:type="pct"/>
            <w:shd w:val="clear" w:color="auto" w:fill="auto"/>
            <w:tcMar>
              <w:left w:w="57" w:type="dxa"/>
              <w:right w:w="57" w:type="dxa"/>
            </w:tcMar>
            <w:vAlign w:val="center"/>
          </w:tcPr>
          <w:p w14:paraId="22520E0A">
            <w:pPr>
              <w:jc w:val="left"/>
              <w:rPr>
                <w:rFonts w:eastAsia="仿宋_GB2312"/>
                <w:color w:val="000000" w:themeColor="text1"/>
                <w:sz w:val="18"/>
                <w:szCs w:val="21"/>
              </w:rPr>
            </w:pPr>
            <w:r>
              <w:rPr>
                <w:rFonts w:eastAsia="仿宋_GB2312"/>
                <w:color w:val="000000" w:themeColor="text1"/>
                <w:sz w:val="18"/>
                <w:szCs w:val="21"/>
              </w:rPr>
              <w:t>厂房应当确保生产和贮存产品质量以及相关设备性能不会直接或间接地受到影响。</w:t>
            </w:r>
          </w:p>
        </w:tc>
      </w:tr>
      <w:tr w14:paraId="47F3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A68E946">
            <w:pPr>
              <w:jc w:val="left"/>
              <w:rPr>
                <w:rFonts w:eastAsia="仿宋_GB2312"/>
                <w:color w:val="000000"/>
                <w:sz w:val="18"/>
                <w:szCs w:val="21"/>
              </w:rPr>
            </w:pPr>
          </w:p>
        </w:tc>
        <w:tc>
          <w:tcPr>
            <w:tcW w:w="680" w:type="pct"/>
            <w:shd w:val="clear" w:color="auto" w:fill="auto"/>
            <w:tcMar>
              <w:left w:w="57" w:type="dxa"/>
              <w:right w:w="57" w:type="dxa"/>
            </w:tcMar>
            <w:vAlign w:val="center"/>
          </w:tcPr>
          <w:p w14:paraId="50D4541B">
            <w:pPr>
              <w:jc w:val="center"/>
              <w:rPr>
                <w:rFonts w:eastAsia="仿宋_GB2312"/>
                <w:color w:val="000000"/>
                <w:sz w:val="18"/>
                <w:szCs w:val="21"/>
              </w:rPr>
            </w:pPr>
            <w:r>
              <w:rPr>
                <w:rFonts w:eastAsia="仿宋_GB2312"/>
                <w:color w:val="000000"/>
                <w:sz w:val="18"/>
                <w:szCs w:val="21"/>
              </w:rPr>
              <w:t>2.3.2</w:t>
            </w:r>
          </w:p>
        </w:tc>
        <w:tc>
          <w:tcPr>
            <w:tcW w:w="4050" w:type="pct"/>
            <w:shd w:val="clear" w:color="auto" w:fill="auto"/>
            <w:tcMar>
              <w:left w:w="57" w:type="dxa"/>
              <w:right w:w="57" w:type="dxa"/>
            </w:tcMar>
            <w:vAlign w:val="center"/>
          </w:tcPr>
          <w:p w14:paraId="6FD65D45">
            <w:pPr>
              <w:jc w:val="left"/>
              <w:rPr>
                <w:rFonts w:eastAsia="仿宋_GB2312"/>
                <w:color w:val="000000" w:themeColor="text1"/>
                <w:sz w:val="18"/>
                <w:szCs w:val="21"/>
              </w:rPr>
            </w:pPr>
            <w:r>
              <w:rPr>
                <w:rFonts w:eastAsia="仿宋_GB2312"/>
                <w:color w:val="000000" w:themeColor="text1"/>
                <w:sz w:val="18"/>
                <w:szCs w:val="21"/>
              </w:rPr>
              <w:t>厂房应当有适当的照明、温度、湿度和通风控制条件。</w:t>
            </w:r>
          </w:p>
        </w:tc>
      </w:tr>
      <w:tr w14:paraId="7917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54AD113">
            <w:pPr>
              <w:jc w:val="left"/>
              <w:rPr>
                <w:rFonts w:eastAsia="仿宋_GB2312"/>
                <w:color w:val="000000"/>
                <w:sz w:val="18"/>
                <w:szCs w:val="21"/>
              </w:rPr>
            </w:pPr>
          </w:p>
        </w:tc>
        <w:tc>
          <w:tcPr>
            <w:tcW w:w="680" w:type="pct"/>
            <w:shd w:val="clear" w:color="auto" w:fill="auto"/>
            <w:tcMar>
              <w:left w:w="57" w:type="dxa"/>
              <w:right w:w="57" w:type="dxa"/>
            </w:tcMar>
            <w:vAlign w:val="center"/>
          </w:tcPr>
          <w:p w14:paraId="0078F336">
            <w:pPr>
              <w:jc w:val="center"/>
              <w:rPr>
                <w:rFonts w:eastAsia="仿宋_GB2312"/>
                <w:color w:val="000000"/>
                <w:sz w:val="18"/>
                <w:szCs w:val="21"/>
              </w:rPr>
            </w:pPr>
            <w:r>
              <w:rPr>
                <w:rFonts w:eastAsia="仿宋_GB2312"/>
                <w:color w:val="000000"/>
                <w:sz w:val="18"/>
                <w:szCs w:val="21"/>
              </w:rPr>
              <w:t>2.4.1</w:t>
            </w:r>
          </w:p>
        </w:tc>
        <w:tc>
          <w:tcPr>
            <w:tcW w:w="4050" w:type="pct"/>
            <w:shd w:val="clear" w:color="auto" w:fill="auto"/>
            <w:tcMar>
              <w:left w:w="57" w:type="dxa"/>
              <w:right w:w="57" w:type="dxa"/>
            </w:tcMar>
            <w:vAlign w:val="center"/>
          </w:tcPr>
          <w:p w14:paraId="50155165">
            <w:pPr>
              <w:jc w:val="left"/>
              <w:rPr>
                <w:rFonts w:eastAsia="仿宋_GB2312"/>
                <w:color w:val="000000" w:themeColor="text1"/>
                <w:sz w:val="18"/>
                <w:szCs w:val="21"/>
              </w:rPr>
            </w:pPr>
            <w:r>
              <w:rPr>
                <w:rFonts w:eastAsia="仿宋_GB2312"/>
                <w:color w:val="000000" w:themeColor="text1"/>
                <w:sz w:val="18"/>
                <w:szCs w:val="21"/>
              </w:rPr>
              <w:t>厂房与设施的设计和安装应当根据产品特性采取必要措施，有效防止昆虫或其他动物进入。</w:t>
            </w:r>
          </w:p>
          <w:p w14:paraId="3B0F8806">
            <w:pPr>
              <w:jc w:val="left"/>
              <w:rPr>
                <w:rFonts w:eastAsia="仿宋_GB2312"/>
                <w:b/>
                <w:iCs/>
                <w:color w:val="000000" w:themeColor="text1"/>
                <w:sz w:val="18"/>
                <w:szCs w:val="21"/>
              </w:rPr>
            </w:pPr>
            <w:r>
              <w:rPr>
                <w:rFonts w:eastAsia="仿宋_GB2312"/>
                <w:b/>
                <w:iCs/>
                <w:color w:val="000000" w:themeColor="text1"/>
                <w:sz w:val="18"/>
                <w:szCs w:val="21"/>
              </w:rPr>
              <w:t>现场查看是否配备了相关设施。</w:t>
            </w:r>
          </w:p>
        </w:tc>
      </w:tr>
      <w:tr w14:paraId="0C90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21DDD96">
            <w:pPr>
              <w:jc w:val="left"/>
              <w:rPr>
                <w:rFonts w:eastAsia="仿宋_GB2312"/>
                <w:color w:val="000000"/>
                <w:sz w:val="18"/>
                <w:szCs w:val="21"/>
              </w:rPr>
            </w:pPr>
          </w:p>
        </w:tc>
        <w:tc>
          <w:tcPr>
            <w:tcW w:w="680" w:type="pct"/>
            <w:shd w:val="clear" w:color="auto" w:fill="auto"/>
            <w:tcMar>
              <w:left w:w="57" w:type="dxa"/>
              <w:right w:w="57" w:type="dxa"/>
            </w:tcMar>
            <w:vAlign w:val="center"/>
          </w:tcPr>
          <w:p w14:paraId="06C98859">
            <w:pPr>
              <w:jc w:val="center"/>
              <w:rPr>
                <w:rFonts w:eastAsia="仿宋_GB2312"/>
                <w:color w:val="000000"/>
                <w:sz w:val="18"/>
                <w:szCs w:val="21"/>
              </w:rPr>
            </w:pPr>
            <w:r>
              <w:rPr>
                <w:rFonts w:eastAsia="仿宋_GB2312"/>
                <w:color w:val="000000"/>
                <w:sz w:val="18"/>
                <w:szCs w:val="21"/>
              </w:rPr>
              <w:t>2.4.2</w:t>
            </w:r>
          </w:p>
        </w:tc>
        <w:tc>
          <w:tcPr>
            <w:tcW w:w="4050" w:type="pct"/>
            <w:shd w:val="clear" w:color="auto" w:fill="auto"/>
            <w:tcMar>
              <w:left w:w="57" w:type="dxa"/>
              <w:right w:w="57" w:type="dxa"/>
            </w:tcMar>
            <w:vAlign w:val="center"/>
          </w:tcPr>
          <w:p w14:paraId="783200C3">
            <w:pPr>
              <w:jc w:val="left"/>
              <w:rPr>
                <w:rFonts w:eastAsia="仿宋_GB2312"/>
                <w:color w:val="000000" w:themeColor="text1"/>
                <w:sz w:val="18"/>
                <w:szCs w:val="21"/>
              </w:rPr>
            </w:pPr>
            <w:r>
              <w:rPr>
                <w:rFonts w:eastAsia="仿宋_GB2312"/>
                <w:color w:val="000000" w:themeColor="text1"/>
                <w:sz w:val="18"/>
                <w:szCs w:val="21"/>
              </w:rPr>
              <w:t>对厂房与设施的维护和维修不应影响产品质量。</w:t>
            </w:r>
          </w:p>
        </w:tc>
      </w:tr>
      <w:tr w14:paraId="5DB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CFBF8AD">
            <w:pPr>
              <w:jc w:val="left"/>
              <w:rPr>
                <w:rFonts w:eastAsia="仿宋_GB2312"/>
                <w:color w:val="000000"/>
                <w:sz w:val="18"/>
                <w:szCs w:val="21"/>
              </w:rPr>
            </w:pPr>
          </w:p>
        </w:tc>
        <w:tc>
          <w:tcPr>
            <w:tcW w:w="680" w:type="pct"/>
            <w:shd w:val="clear" w:color="auto" w:fill="auto"/>
            <w:tcMar>
              <w:left w:w="57" w:type="dxa"/>
              <w:right w:w="57" w:type="dxa"/>
            </w:tcMar>
            <w:vAlign w:val="center"/>
          </w:tcPr>
          <w:p w14:paraId="14B06300">
            <w:pPr>
              <w:jc w:val="center"/>
              <w:rPr>
                <w:rFonts w:eastAsia="仿宋_GB2312"/>
                <w:color w:val="000000"/>
                <w:sz w:val="18"/>
                <w:szCs w:val="21"/>
              </w:rPr>
            </w:pPr>
            <w:r>
              <w:rPr>
                <w:rFonts w:eastAsia="仿宋_GB2312"/>
                <w:color w:val="000000"/>
                <w:sz w:val="18"/>
                <w:szCs w:val="21"/>
              </w:rPr>
              <w:t>2.5.1</w:t>
            </w:r>
          </w:p>
        </w:tc>
        <w:tc>
          <w:tcPr>
            <w:tcW w:w="4050" w:type="pct"/>
            <w:shd w:val="clear" w:color="auto" w:fill="auto"/>
            <w:tcMar>
              <w:left w:w="57" w:type="dxa"/>
              <w:right w:w="57" w:type="dxa"/>
            </w:tcMar>
            <w:vAlign w:val="center"/>
          </w:tcPr>
          <w:p w14:paraId="4115E4FF">
            <w:pPr>
              <w:jc w:val="left"/>
              <w:rPr>
                <w:rFonts w:eastAsia="仿宋_GB2312"/>
                <w:color w:val="000000" w:themeColor="text1"/>
                <w:sz w:val="18"/>
                <w:szCs w:val="21"/>
              </w:rPr>
            </w:pPr>
            <w:r>
              <w:rPr>
                <w:rFonts w:eastAsia="仿宋_GB2312"/>
                <w:color w:val="000000" w:themeColor="text1"/>
                <w:sz w:val="18"/>
                <w:szCs w:val="21"/>
              </w:rPr>
              <w:t>生产区应当有足够空间，并与产品生产规模、品种相适应。</w:t>
            </w:r>
          </w:p>
        </w:tc>
      </w:tr>
      <w:tr w14:paraId="5157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68B4ED4">
            <w:pPr>
              <w:jc w:val="left"/>
              <w:rPr>
                <w:rFonts w:eastAsia="仿宋_GB2312"/>
                <w:color w:val="000000"/>
                <w:sz w:val="18"/>
                <w:szCs w:val="21"/>
              </w:rPr>
            </w:pPr>
          </w:p>
        </w:tc>
        <w:tc>
          <w:tcPr>
            <w:tcW w:w="680" w:type="pct"/>
            <w:shd w:val="clear" w:color="auto" w:fill="auto"/>
            <w:tcMar>
              <w:left w:w="57" w:type="dxa"/>
              <w:right w:w="57" w:type="dxa"/>
            </w:tcMar>
            <w:vAlign w:val="center"/>
          </w:tcPr>
          <w:p w14:paraId="2E80B74E">
            <w:pPr>
              <w:jc w:val="center"/>
              <w:rPr>
                <w:rFonts w:eastAsia="仿宋_GB2312"/>
                <w:color w:val="000000"/>
                <w:sz w:val="18"/>
                <w:szCs w:val="21"/>
              </w:rPr>
            </w:pPr>
            <w:r>
              <w:rPr>
                <w:rFonts w:eastAsia="仿宋_GB2312"/>
                <w:color w:val="000000" w:themeColor="text1"/>
                <w:kern w:val="0"/>
                <w:sz w:val="18"/>
                <w:szCs w:val="21"/>
                <w:lang w:bidi="bn-IN"/>
              </w:rPr>
              <w:t>2.6.1</w:t>
            </w:r>
          </w:p>
        </w:tc>
        <w:tc>
          <w:tcPr>
            <w:tcW w:w="4050" w:type="pct"/>
            <w:shd w:val="clear" w:color="auto" w:fill="auto"/>
            <w:tcMar>
              <w:left w:w="57" w:type="dxa"/>
              <w:right w:w="57" w:type="dxa"/>
            </w:tcMar>
            <w:vAlign w:val="center"/>
          </w:tcPr>
          <w:p w14:paraId="58895D4D">
            <w:pPr>
              <w:widowControl/>
              <w:adjustRightInd w:val="0"/>
              <w:snapToGrid w:val="0"/>
              <w:rPr>
                <w:rFonts w:eastAsia="仿宋_GB2312"/>
                <w:color w:val="000000" w:themeColor="text1"/>
                <w:sz w:val="18"/>
                <w:szCs w:val="21"/>
              </w:rPr>
            </w:pPr>
            <w:r>
              <w:rPr>
                <w:rFonts w:eastAsia="仿宋_GB2312"/>
                <w:color w:val="000000" w:themeColor="text1"/>
                <w:sz w:val="18"/>
                <w:szCs w:val="21"/>
              </w:rPr>
              <w:t>仓储区应当能够满足原材料、包装材料、中间品、产品等贮存条件和要求。</w:t>
            </w:r>
          </w:p>
          <w:p w14:paraId="08F8232B">
            <w:pPr>
              <w:jc w:val="left"/>
              <w:rPr>
                <w:rFonts w:eastAsia="仿宋_GB2312"/>
                <w:b/>
                <w:iCs/>
                <w:color w:val="000000" w:themeColor="text1"/>
                <w:sz w:val="18"/>
                <w:szCs w:val="21"/>
                <w:u w:val="double"/>
              </w:rPr>
            </w:pPr>
          </w:p>
        </w:tc>
      </w:tr>
      <w:tr w14:paraId="755C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B000333">
            <w:pPr>
              <w:jc w:val="left"/>
              <w:rPr>
                <w:rFonts w:eastAsia="仿宋_GB2312"/>
                <w:color w:val="000000"/>
                <w:sz w:val="18"/>
                <w:szCs w:val="21"/>
              </w:rPr>
            </w:pPr>
          </w:p>
        </w:tc>
        <w:tc>
          <w:tcPr>
            <w:tcW w:w="680" w:type="pct"/>
            <w:shd w:val="clear" w:color="auto" w:fill="auto"/>
            <w:tcMar>
              <w:left w:w="57" w:type="dxa"/>
              <w:right w:w="57" w:type="dxa"/>
            </w:tcMar>
            <w:vAlign w:val="center"/>
          </w:tcPr>
          <w:p w14:paraId="31783577">
            <w:pPr>
              <w:jc w:val="center"/>
              <w:rPr>
                <w:rFonts w:eastAsia="仿宋_GB2312"/>
                <w:color w:val="000000"/>
                <w:sz w:val="18"/>
                <w:szCs w:val="21"/>
              </w:rPr>
            </w:pPr>
            <w:r>
              <w:rPr>
                <w:rFonts w:eastAsia="仿宋_GB2312"/>
                <w:color w:val="000000" w:themeColor="text1"/>
                <w:kern w:val="0"/>
                <w:sz w:val="18"/>
                <w:szCs w:val="21"/>
                <w:lang w:bidi="bn-IN"/>
              </w:rPr>
              <w:t>2.6.2</w:t>
            </w:r>
          </w:p>
        </w:tc>
        <w:tc>
          <w:tcPr>
            <w:tcW w:w="4050" w:type="pct"/>
            <w:shd w:val="clear" w:color="auto" w:fill="auto"/>
            <w:tcMar>
              <w:left w:w="57" w:type="dxa"/>
              <w:right w:w="57" w:type="dxa"/>
            </w:tcMar>
            <w:vAlign w:val="center"/>
          </w:tcPr>
          <w:p w14:paraId="2D212391">
            <w:pPr>
              <w:widowControl/>
              <w:adjustRightInd w:val="0"/>
              <w:snapToGrid w:val="0"/>
              <w:rPr>
                <w:rFonts w:eastAsia="仿宋_GB2312"/>
                <w:color w:val="000000" w:themeColor="text1"/>
                <w:sz w:val="18"/>
                <w:szCs w:val="21"/>
              </w:rPr>
            </w:pPr>
            <w:r>
              <w:rPr>
                <w:rFonts w:eastAsia="仿宋_GB2312"/>
                <w:color w:val="000000" w:themeColor="text1"/>
                <w:sz w:val="18"/>
                <w:szCs w:val="21"/>
              </w:rPr>
              <w:t>仓储区应当按照待验、合格、不合格、退货或召回等进行有序、分区存放各类材料和产品，便于检查和监控。</w:t>
            </w:r>
          </w:p>
          <w:p w14:paraId="71CC277E">
            <w:pPr>
              <w:jc w:val="left"/>
              <w:rPr>
                <w:rFonts w:eastAsia="仿宋_GB2312"/>
                <w:b/>
                <w:iCs/>
                <w:color w:val="000000" w:themeColor="text1"/>
                <w:sz w:val="18"/>
                <w:szCs w:val="21"/>
              </w:rPr>
            </w:pPr>
            <w:r>
              <w:rPr>
                <w:rStyle w:val="15"/>
                <w:rFonts w:eastAsia="仿宋_GB2312"/>
                <w:b/>
                <w:i w:val="0"/>
                <w:color w:val="000000" w:themeColor="text1"/>
                <w:sz w:val="18"/>
              </w:rPr>
              <w:t>现场查看是否设置了相关区域并进行了标识，对各类物料是否按规定区域存放，</w:t>
            </w:r>
            <w:r>
              <w:rPr>
                <w:rFonts w:eastAsia="仿宋_GB2312"/>
                <w:b/>
                <w:color w:val="000000" w:themeColor="text1"/>
                <w:sz w:val="18"/>
                <w:szCs w:val="21"/>
              </w:rPr>
              <w:t>应当有各类物品的贮存记录。</w:t>
            </w:r>
          </w:p>
        </w:tc>
      </w:tr>
      <w:tr w14:paraId="35A9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B68F56A">
            <w:pPr>
              <w:jc w:val="left"/>
              <w:rPr>
                <w:rFonts w:eastAsia="仿宋_GB2312"/>
                <w:color w:val="000000"/>
                <w:sz w:val="18"/>
                <w:szCs w:val="21"/>
              </w:rPr>
            </w:pPr>
          </w:p>
        </w:tc>
        <w:tc>
          <w:tcPr>
            <w:tcW w:w="680" w:type="pct"/>
            <w:shd w:val="clear" w:color="auto" w:fill="auto"/>
            <w:tcMar>
              <w:left w:w="57" w:type="dxa"/>
              <w:right w:w="57" w:type="dxa"/>
            </w:tcMar>
            <w:vAlign w:val="center"/>
          </w:tcPr>
          <w:p w14:paraId="33B83D2E">
            <w:pPr>
              <w:jc w:val="center"/>
              <w:rPr>
                <w:rFonts w:eastAsia="仿宋_GB2312"/>
                <w:color w:val="000000"/>
                <w:sz w:val="18"/>
                <w:szCs w:val="21"/>
              </w:rPr>
            </w:pPr>
            <w:r>
              <w:rPr>
                <w:rFonts w:eastAsia="仿宋_GB2312"/>
                <w:color w:val="000000"/>
                <w:sz w:val="18"/>
                <w:szCs w:val="21"/>
              </w:rPr>
              <w:t>*2.7.1</w:t>
            </w:r>
          </w:p>
        </w:tc>
        <w:tc>
          <w:tcPr>
            <w:tcW w:w="4050" w:type="pct"/>
            <w:shd w:val="clear" w:color="auto" w:fill="auto"/>
            <w:tcMar>
              <w:left w:w="57" w:type="dxa"/>
              <w:right w:w="57" w:type="dxa"/>
            </w:tcMar>
            <w:vAlign w:val="center"/>
          </w:tcPr>
          <w:p w14:paraId="7199D3DB">
            <w:pPr>
              <w:jc w:val="left"/>
              <w:rPr>
                <w:rFonts w:eastAsia="仿宋_GB2312"/>
                <w:color w:val="000000" w:themeColor="text1"/>
                <w:sz w:val="18"/>
                <w:szCs w:val="21"/>
              </w:rPr>
            </w:pPr>
            <w:r>
              <w:rPr>
                <w:rFonts w:eastAsia="仿宋_GB2312"/>
                <w:color w:val="000000" w:themeColor="text1"/>
                <w:sz w:val="18"/>
                <w:szCs w:val="21"/>
              </w:rPr>
              <w:t>应当配备与产品生产规模、品种、检验要求相适应的检验场所和设施。</w:t>
            </w:r>
          </w:p>
          <w:p w14:paraId="22F6886D">
            <w:pPr>
              <w:jc w:val="left"/>
              <w:rPr>
                <w:rFonts w:eastAsia="仿宋_GB2312"/>
                <w:b/>
                <w:iCs/>
                <w:color w:val="000000" w:themeColor="text1"/>
                <w:sz w:val="18"/>
                <w:szCs w:val="21"/>
              </w:rPr>
            </w:pPr>
            <w:r>
              <w:rPr>
                <w:rFonts w:eastAsia="仿宋_GB2312"/>
                <w:b/>
                <w:iCs/>
                <w:color w:val="000000" w:themeColor="text1"/>
                <w:sz w:val="18"/>
                <w:szCs w:val="21"/>
              </w:rPr>
              <w:t>对照产品生产工艺的要求和产品检验要求以及检验方法，核实企业是否具备相关检测条件。</w:t>
            </w:r>
          </w:p>
        </w:tc>
      </w:tr>
      <w:tr w14:paraId="19DD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06B2326">
            <w:pPr>
              <w:jc w:val="left"/>
              <w:rPr>
                <w:rFonts w:eastAsia="仿宋_GB2312"/>
                <w:color w:val="000000"/>
                <w:sz w:val="18"/>
                <w:szCs w:val="21"/>
              </w:rPr>
            </w:pPr>
          </w:p>
        </w:tc>
        <w:tc>
          <w:tcPr>
            <w:tcW w:w="680" w:type="pct"/>
            <w:shd w:val="clear" w:color="auto" w:fill="auto"/>
            <w:tcMar>
              <w:left w:w="57" w:type="dxa"/>
              <w:right w:w="57" w:type="dxa"/>
            </w:tcMar>
            <w:vAlign w:val="center"/>
          </w:tcPr>
          <w:p w14:paraId="7CDEAF46">
            <w:pPr>
              <w:jc w:val="center"/>
              <w:rPr>
                <w:rFonts w:eastAsia="仿宋_GB2312"/>
                <w:color w:val="000000"/>
                <w:sz w:val="18"/>
                <w:szCs w:val="21"/>
              </w:rPr>
            </w:pPr>
            <w:r>
              <w:rPr>
                <w:rFonts w:eastAsia="仿宋_GB2312"/>
                <w:color w:val="000000"/>
                <w:sz w:val="18"/>
                <w:szCs w:val="21"/>
              </w:rPr>
              <w:t>2.8.1</w:t>
            </w:r>
          </w:p>
        </w:tc>
        <w:tc>
          <w:tcPr>
            <w:tcW w:w="4050" w:type="pct"/>
            <w:shd w:val="clear" w:color="auto" w:fill="auto"/>
            <w:tcMar>
              <w:left w:w="57" w:type="dxa"/>
              <w:right w:w="57" w:type="dxa"/>
            </w:tcMar>
            <w:vAlign w:val="center"/>
          </w:tcPr>
          <w:p w14:paraId="3212312A">
            <w:pPr>
              <w:jc w:val="left"/>
              <w:rPr>
                <w:rFonts w:eastAsia="仿宋_GB2312"/>
                <w:color w:val="000000" w:themeColor="text1"/>
                <w:sz w:val="18"/>
                <w:szCs w:val="21"/>
              </w:rPr>
            </w:pPr>
            <w:r>
              <w:rPr>
                <w:rFonts w:eastAsia="仿宋_GB2312"/>
                <w:color w:val="000000" w:themeColor="text1"/>
                <w:sz w:val="18"/>
                <w:szCs w:val="21"/>
              </w:rPr>
              <w:t>应当有整洁的生产环境。厂区的地面、路面周围环境及运输等不应对产品的生产造成污染。厂区应当远离有污染的空气和水等污染源的区域。</w:t>
            </w:r>
          </w:p>
          <w:p w14:paraId="7D587830">
            <w:pPr>
              <w:jc w:val="left"/>
              <w:rPr>
                <w:rFonts w:eastAsia="仿宋_GB2312"/>
                <w:color w:val="000000" w:themeColor="text1"/>
                <w:sz w:val="18"/>
                <w:szCs w:val="21"/>
              </w:rPr>
            </w:pPr>
            <w:r>
              <w:rPr>
                <w:rFonts w:eastAsia="仿宋_GB2312"/>
                <w:b/>
                <w:bCs/>
                <w:iCs/>
                <w:color w:val="000000" w:themeColor="text1"/>
                <w:sz w:val="18"/>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14:paraId="6236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79F8BC6">
            <w:pPr>
              <w:jc w:val="left"/>
              <w:rPr>
                <w:rFonts w:eastAsia="仿宋_GB2312"/>
                <w:color w:val="000000"/>
                <w:sz w:val="18"/>
                <w:szCs w:val="21"/>
              </w:rPr>
            </w:pPr>
          </w:p>
        </w:tc>
        <w:tc>
          <w:tcPr>
            <w:tcW w:w="680" w:type="pct"/>
            <w:shd w:val="clear" w:color="auto" w:fill="auto"/>
            <w:tcMar>
              <w:left w:w="57" w:type="dxa"/>
              <w:right w:w="57" w:type="dxa"/>
            </w:tcMar>
            <w:vAlign w:val="center"/>
          </w:tcPr>
          <w:p w14:paraId="4C19C8AF">
            <w:pPr>
              <w:jc w:val="center"/>
              <w:rPr>
                <w:rFonts w:eastAsia="仿宋_GB2312"/>
                <w:color w:val="000000"/>
                <w:sz w:val="18"/>
                <w:szCs w:val="21"/>
              </w:rPr>
            </w:pPr>
            <w:r>
              <w:rPr>
                <w:rFonts w:eastAsia="仿宋_GB2312"/>
                <w:color w:val="000000"/>
                <w:sz w:val="18"/>
                <w:szCs w:val="21"/>
              </w:rPr>
              <w:t>2.8.2</w:t>
            </w:r>
          </w:p>
        </w:tc>
        <w:tc>
          <w:tcPr>
            <w:tcW w:w="4050" w:type="pct"/>
            <w:shd w:val="clear" w:color="auto" w:fill="auto"/>
            <w:tcMar>
              <w:left w:w="57" w:type="dxa"/>
              <w:right w:w="57" w:type="dxa"/>
            </w:tcMar>
            <w:vAlign w:val="center"/>
          </w:tcPr>
          <w:p w14:paraId="03F0F941">
            <w:pPr>
              <w:jc w:val="left"/>
              <w:rPr>
                <w:rFonts w:eastAsia="仿宋_GB2312"/>
                <w:color w:val="000000" w:themeColor="text1"/>
                <w:sz w:val="18"/>
                <w:szCs w:val="21"/>
              </w:rPr>
            </w:pPr>
            <w:r>
              <w:rPr>
                <w:rFonts w:eastAsia="仿宋_GB2312"/>
                <w:color w:val="000000" w:themeColor="text1"/>
                <w:sz w:val="18"/>
                <w:szCs w:val="21"/>
              </w:rPr>
              <w:t>行政区、生活区和辅助区的总体布局合理，不得对生产区有不良影响。</w:t>
            </w:r>
          </w:p>
        </w:tc>
      </w:tr>
      <w:tr w14:paraId="717B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CB605B6">
            <w:pPr>
              <w:jc w:val="left"/>
              <w:rPr>
                <w:rFonts w:eastAsia="仿宋_GB2312"/>
                <w:color w:val="000000"/>
                <w:sz w:val="18"/>
                <w:szCs w:val="21"/>
              </w:rPr>
            </w:pPr>
          </w:p>
        </w:tc>
        <w:tc>
          <w:tcPr>
            <w:tcW w:w="680" w:type="pct"/>
            <w:shd w:val="clear" w:color="auto" w:fill="auto"/>
            <w:tcMar>
              <w:left w:w="57" w:type="dxa"/>
              <w:right w:w="57" w:type="dxa"/>
            </w:tcMar>
            <w:vAlign w:val="center"/>
          </w:tcPr>
          <w:p w14:paraId="5FE76663">
            <w:pPr>
              <w:jc w:val="center"/>
              <w:rPr>
                <w:rFonts w:eastAsia="仿宋_GB2312"/>
                <w:color w:val="000000"/>
                <w:sz w:val="18"/>
                <w:szCs w:val="21"/>
              </w:rPr>
            </w:pPr>
            <w:r>
              <w:rPr>
                <w:rFonts w:eastAsia="仿宋_GB2312"/>
                <w:color w:val="000000"/>
                <w:sz w:val="18"/>
                <w:szCs w:val="21"/>
              </w:rPr>
              <w:t>2.9.1</w:t>
            </w:r>
          </w:p>
        </w:tc>
        <w:tc>
          <w:tcPr>
            <w:tcW w:w="4050" w:type="pct"/>
            <w:shd w:val="clear" w:color="auto" w:fill="auto"/>
            <w:tcMar>
              <w:left w:w="57" w:type="dxa"/>
              <w:right w:w="57" w:type="dxa"/>
            </w:tcMar>
            <w:vAlign w:val="center"/>
          </w:tcPr>
          <w:p w14:paraId="31A1F7EB">
            <w:pPr>
              <w:jc w:val="left"/>
              <w:rPr>
                <w:rFonts w:eastAsia="仿宋_GB2312"/>
                <w:color w:val="000000" w:themeColor="text1"/>
                <w:sz w:val="18"/>
                <w:szCs w:val="21"/>
              </w:rPr>
            </w:pPr>
            <w:r>
              <w:rPr>
                <w:rFonts w:eastAsia="仿宋_GB2312"/>
                <w:color w:val="000000" w:themeColor="text1"/>
                <w:sz w:val="18"/>
                <w:szCs w:val="21"/>
              </w:rPr>
              <w:t>生产厂房应当设置防尘、防止昆虫和其他动物进入的设施。洁净室（区）的门、窗及安全门应当密闭，洁净室（区）的门应当向洁净度高的方向开启。</w:t>
            </w:r>
          </w:p>
        </w:tc>
      </w:tr>
      <w:tr w14:paraId="6B8B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B6E2074">
            <w:pPr>
              <w:jc w:val="left"/>
              <w:rPr>
                <w:rFonts w:eastAsia="仿宋_GB2312"/>
                <w:color w:val="000000"/>
                <w:sz w:val="18"/>
                <w:szCs w:val="21"/>
              </w:rPr>
            </w:pPr>
          </w:p>
        </w:tc>
        <w:tc>
          <w:tcPr>
            <w:tcW w:w="680" w:type="pct"/>
            <w:shd w:val="clear" w:color="auto" w:fill="auto"/>
            <w:tcMar>
              <w:left w:w="57" w:type="dxa"/>
              <w:right w:w="57" w:type="dxa"/>
            </w:tcMar>
            <w:vAlign w:val="center"/>
          </w:tcPr>
          <w:p w14:paraId="019F7199">
            <w:pPr>
              <w:jc w:val="center"/>
              <w:rPr>
                <w:rFonts w:eastAsia="仿宋_GB2312"/>
                <w:color w:val="000000"/>
                <w:sz w:val="18"/>
                <w:szCs w:val="21"/>
              </w:rPr>
            </w:pPr>
            <w:r>
              <w:rPr>
                <w:rFonts w:eastAsia="仿宋_GB2312"/>
                <w:color w:val="000000"/>
                <w:sz w:val="18"/>
                <w:szCs w:val="21"/>
              </w:rPr>
              <w:t>2.10.1</w:t>
            </w:r>
          </w:p>
        </w:tc>
        <w:tc>
          <w:tcPr>
            <w:tcW w:w="4050" w:type="pct"/>
            <w:shd w:val="clear" w:color="auto" w:fill="auto"/>
            <w:tcMar>
              <w:left w:w="57" w:type="dxa"/>
              <w:right w:w="57" w:type="dxa"/>
            </w:tcMar>
            <w:vAlign w:val="center"/>
          </w:tcPr>
          <w:p w14:paraId="0BAC0CF2">
            <w:pPr>
              <w:jc w:val="left"/>
              <w:rPr>
                <w:rFonts w:eastAsia="仿宋_GB2312"/>
                <w:color w:val="000000" w:themeColor="text1"/>
                <w:sz w:val="18"/>
                <w:szCs w:val="21"/>
              </w:rPr>
            </w:pPr>
            <w:r>
              <w:rPr>
                <w:rFonts w:eastAsia="仿宋_GB2312"/>
                <w:color w:val="000000" w:themeColor="text1"/>
                <w:sz w:val="18"/>
                <w:szCs w:val="21"/>
              </w:rPr>
              <w:t>应当根据体外诊断试剂的生产过程控制，确定在相应级别的洁净室（区）内进行生产的过程，避免生产中的污染。</w:t>
            </w:r>
          </w:p>
          <w:p w14:paraId="1362F3D3">
            <w:pPr>
              <w:jc w:val="left"/>
              <w:rPr>
                <w:rFonts w:eastAsia="仿宋_GB2312"/>
                <w:color w:val="000000" w:themeColor="text1"/>
                <w:sz w:val="18"/>
                <w:szCs w:val="21"/>
              </w:rPr>
            </w:pPr>
            <w:r>
              <w:rPr>
                <w:rFonts w:eastAsia="仿宋_GB2312"/>
                <w:b/>
                <w:color w:val="000000" w:themeColor="text1"/>
                <w:sz w:val="18"/>
                <w:szCs w:val="21"/>
              </w:rPr>
              <w:t>查看相关文件，是否明确了生产过程的洁净度级别；现场查看是否在相应级别洁净室（区）内进行生产，是否能避免生产中的污染。</w:t>
            </w:r>
          </w:p>
        </w:tc>
      </w:tr>
      <w:tr w14:paraId="56D6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070FA7A">
            <w:pPr>
              <w:jc w:val="left"/>
              <w:rPr>
                <w:rFonts w:eastAsia="仿宋_GB2312"/>
                <w:color w:val="000000"/>
                <w:sz w:val="18"/>
                <w:szCs w:val="21"/>
              </w:rPr>
            </w:pPr>
          </w:p>
        </w:tc>
        <w:tc>
          <w:tcPr>
            <w:tcW w:w="680" w:type="pct"/>
            <w:shd w:val="clear" w:color="auto" w:fill="auto"/>
            <w:tcMar>
              <w:left w:w="57" w:type="dxa"/>
              <w:right w:w="57" w:type="dxa"/>
            </w:tcMar>
            <w:vAlign w:val="center"/>
          </w:tcPr>
          <w:p w14:paraId="3FB76A44">
            <w:pPr>
              <w:jc w:val="center"/>
              <w:rPr>
                <w:rFonts w:eastAsia="仿宋_GB2312"/>
                <w:color w:val="000000"/>
                <w:sz w:val="18"/>
                <w:szCs w:val="21"/>
              </w:rPr>
            </w:pPr>
            <w:r>
              <w:rPr>
                <w:rFonts w:eastAsia="仿宋_GB2312"/>
                <w:color w:val="000000"/>
                <w:sz w:val="18"/>
                <w:szCs w:val="21"/>
              </w:rPr>
              <w:t>2.10.2</w:t>
            </w:r>
          </w:p>
        </w:tc>
        <w:tc>
          <w:tcPr>
            <w:tcW w:w="4050" w:type="pct"/>
            <w:shd w:val="clear" w:color="auto" w:fill="auto"/>
            <w:tcMar>
              <w:left w:w="57" w:type="dxa"/>
              <w:right w:w="57" w:type="dxa"/>
            </w:tcMar>
            <w:vAlign w:val="center"/>
          </w:tcPr>
          <w:p w14:paraId="3D8C002F">
            <w:pPr>
              <w:jc w:val="left"/>
              <w:rPr>
                <w:rFonts w:eastAsia="仿宋_GB2312"/>
                <w:color w:val="000000" w:themeColor="text1"/>
                <w:sz w:val="18"/>
                <w:szCs w:val="21"/>
              </w:rPr>
            </w:pPr>
            <w:r>
              <w:rPr>
                <w:rFonts w:eastAsia="仿宋_GB2312"/>
                <w:color w:val="000000" w:themeColor="text1"/>
                <w:sz w:val="18"/>
                <w:szCs w:val="21"/>
              </w:rPr>
              <w:t>空气洁净级别不同的洁净室（区）之间的静压差应当大于5帕，洁净室（区）与室外大气的静压差应大于10帕，并应当有指示压差的装置。</w:t>
            </w:r>
          </w:p>
          <w:p w14:paraId="4B97D099">
            <w:pPr>
              <w:jc w:val="left"/>
              <w:rPr>
                <w:rFonts w:eastAsia="仿宋_GB2312"/>
                <w:b/>
                <w:color w:val="000000" w:themeColor="text1"/>
                <w:sz w:val="18"/>
                <w:szCs w:val="21"/>
              </w:rPr>
            </w:pPr>
            <w:r>
              <w:rPr>
                <w:rFonts w:eastAsia="仿宋_GB2312"/>
                <w:b/>
                <w:color w:val="000000" w:themeColor="text1"/>
                <w:sz w:val="18"/>
                <w:szCs w:val="21"/>
              </w:rPr>
              <w:t>现场查看是否配备了指示压差的装置，空气洁净级别不同的洁净室（区）之间以及洁净室（区）与室外大气的静压差是否符合要求。</w:t>
            </w:r>
          </w:p>
        </w:tc>
      </w:tr>
      <w:tr w14:paraId="1FD6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6573CD0">
            <w:pPr>
              <w:jc w:val="left"/>
              <w:rPr>
                <w:rFonts w:eastAsia="仿宋_GB2312"/>
                <w:color w:val="000000"/>
                <w:sz w:val="18"/>
                <w:szCs w:val="21"/>
              </w:rPr>
            </w:pPr>
          </w:p>
        </w:tc>
        <w:tc>
          <w:tcPr>
            <w:tcW w:w="680" w:type="pct"/>
            <w:shd w:val="clear" w:color="auto" w:fill="auto"/>
            <w:tcMar>
              <w:left w:w="57" w:type="dxa"/>
              <w:right w:w="57" w:type="dxa"/>
            </w:tcMar>
            <w:vAlign w:val="center"/>
          </w:tcPr>
          <w:p w14:paraId="15E55146">
            <w:pPr>
              <w:jc w:val="center"/>
              <w:rPr>
                <w:rFonts w:eastAsia="仿宋_GB2312"/>
                <w:color w:val="000000"/>
                <w:sz w:val="18"/>
                <w:szCs w:val="21"/>
              </w:rPr>
            </w:pPr>
            <w:r>
              <w:rPr>
                <w:rFonts w:eastAsia="仿宋_GB2312"/>
                <w:color w:val="000000"/>
                <w:sz w:val="18"/>
                <w:szCs w:val="21"/>
              </w:rPr>
              <w:t>2.10.3</w:t>
            </w:r>
          </w:p>
        </w:tc>
        <w:tc>
          <w:tcPr>
            <w:tcW w:w="4050" w:type="pct"/>
            <w:shd w:val="clear" w:color="auto" w:fill="auto"/>
            <w:tcMar>
              <w:left w:w="57" w:type="dxa"/>
              <w:right w:w="57" w:type="dxa"/>
            </w:tcMar>
            <w:vAlign w:val="center"/>
          </w:tcPr>
          <w:p w14:paraId="2E6D05D8">
            <w:pPr>
              <w:jc w:val="left"/>
              <w:rPr>
                <w:rFonts w:eastAsia="仿宋_GB2312"/>
                <w:color w:val="000000" w:themeColor="text1"/>
                <w:sz w:val="18"/>
                <w:szCs w:val="21"/>
              </w:rPr>
            </w:pPr>
            <w:r>
              <w:rPr>
                <w:rFonts w:eastAsia="仿宋_GB2312"/>
                <w:color w:val="000000" w:themeColor="text1"/>
                <w:sz w:val="18"/>
                <w:szCs w:val="21"/>
              </w:rPr>
              <w:t>相同级别洁净室间的压差梯度应当合理。</w:t>
            </w:r>
          </w:p>
          <w:p w14:paraId="2E164932">
            <w:pPr>
              <w:jc w:val="left"/>
              <w:rPr>
                <w:rFonts w:eastAsia="仿宋_GB2312"/>
                <w:color w:val="000000" w:themeColor="text1"/>
                <w:sz w:val="18"/>
                <w:szCs w:val="21"/>
              </w:rPr>
            </w:pPr>
            <w:r>
              <w:rPr>
                <w:rFonts w:eastAsia="仿宋_GB2312"/>
                <w:b/>
                <w:color w:val="000000" w:themeColor="text1"/>
                <w:sz w:val="18"/>
                <w:szCs w:val="21"/>
              </w:rPr>
              <w:t>查看相关文件，是否明确相同级别洁净室间的压差梯度，现场查看是否符合要求。</w:t>
            </w:r>
          </w:p>
        </w:tc>
      </w:tr>
      <w:tr w14:paraId="2512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C6675BF">
            <w:pPr>
              <w:jc w:val="left"/>
              <w:rPr>
                <w:rFonts w:eastAsia="仿宋_GB2312"/>
                <w:color w:val="000000"/>
                <w:sz w:val="18"/>
                <w:szCs w:val="21"/>
              </w:rPr>
            </w:pPr>
          </w:p>
        </w:tc>
        <w:tc>
          <w:tcPr>
            <w:tcW w:w="680" w:type="pct"/>
            <w:shd w:val="clear" w:color="auto" w:fill="auto"/>
            <w:tcMar>
              <w:left w:w="57" w:type="dxa"/>
              <w:right w:w="57" w:type="dxa"/>
            </w:tcMar>
            <w:vAlign w:val="center"/>
          </w:tcPr>
          <w:p w14:paraId="038B0155">
            <w:pPr>
              <w:jc w:val="center"/>
              <w:rPr>
                <w:rFonts w:eastAsia="仿宋_GB2312"/>
                <w:color w:val="000000"/>
                <w:sz w:val="18"/>
                <w:szCs w:val="21"/>
              </w:rPr>
            </w:pPr>
            <w:r>
              <w:rPr>
                <w:rFonts w:eastAsia="仿宋_GB2312"/>
                <w:color w:val="000000"/>
                <w:sz w:val="18"/>
                <w:szCs w:val="21"/>
              </w:rPr>
              <w:t>2.11.1</w:t>
            </w:r>
          </w:p>
        </w:tc>
        <w:tc>
          <w:tcPr>
            <w:tcW w:w="4050" w:type="pct"/>
            <w:shd w:val="clear" w:color="auto" w:fill="auto"/>
            <w:tcMar>
              <w:left w:w="57" w:type="dxa"/>
              <w:right w:w="57" w:type="dxa"/>
            </w:tcMar>
            <w:vAlign w:val="center"/>
          </w:tcPr>
          <w:p w14:paraId="1F415052">
            <w:pPr>
              <w:jc w:val="left"/>
              <w:rPr>
                <w:rFonts w:eastAsia="仿宋_GB2312"/>
                <w:color w:val="000000" w:themeColor="text1"/>
                <w:sz w:val="18"/>
                <w:szCs w:val="21"/>
              </w:rPr>
            </w:pPr>
            <w:r>
              <w:rPr>
                <w:rFonts w:eastAsia="仿宋_GB2312"/>
                <w:color w:val="000000" w:themeColor="text1"/>
                <w:sz w:val="18"/>
                <w:szCs w:val="21"/>
              </w:rPr>
              <w:t>酶联免疫吸附试验试剂、免疫荧光试剂、免疫发光试剂、聚合酶链反应（PCR）试剂、金标试剂、干化学法试剂、细胞培养基、校准品与质控品、酶类、抗原、抗体和其他活性类组分的配制及分装等产品的配液、包被、分装、点膜、干燥、切割、贴膜以及内包装等，生产区域应当不低于100,000级洁净度级别。</w:t>
            </w:r>
          </w:p>
        </w:tc>
      </w:tr>
      <w:tr w14:paraId="35AA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6C582E1">
            <w:pPr>
              <w:jc w:val="left"/>
              <w:rPr>
                <w:rFonts w:eastAsia="仿宋_GB2312"/>
                <w:color w:val="000000"/>
                <w:sz w:val="18"/>
                <w:szCs w:val="21"/>
              </w:rPr>
            </w:pPr>
          </w:p>
        </w:tc>
        <w:tc>
          <w:tcPr>
            <w:tcW w:w="680" w:type="pct"/>
            <w:shd w:val="clear" w:color="auto" w:fill="auto"/>
            <w:tcMar>
              <w:left w:w="57" w:type="dxa"/>
              <w:right w:w="57" w:type="dxa"/>
            </w:tcMar>
            <w:vAlign w:val="center"/>
          </w:tcPr>
          <w:p w14:paraId="645AF0E1">
            <w:pPr>
              <w:jc w:val="center"/>
              <w:rPr>
                <w:rFonts w:eastAsia="仿宋_GB2312"/>
                <w:color w:val="000000"/>
                <w:sz w:val="18"/>
                <w:szCs w:val="21"/>
              </w:rPr>
            </w:pPr>
            <w:r>
              <w:rPr>
                <w:rFonts w:eastAsia="仿宋_GB2312"/>
                <w:color w:val="000000"/>
                <w:sz w:val="18"/>
                <w:szCs w:val="21"/>
              </w:rPr>
              <w:t>2.12.1</w:t>
            </w:r>
          </w:p>
        </w:tc>
        <w:tc>
          <w:tcPr>
            <w:tcW w:w="4050" w:type="pct"/>
            <w:shd w:val="clear" w:color="auto" w:fill="auto"/>
            <w:tcMar>
              <w:left w:w="57" w:type="dxa"/>
              <w:right w:w="57" w:type="dxa"/>
            </w:tcMar>
            <w:vAlign w:val="center"/>
          </w:tcPr>
          <w:p w14:paraId="3341D05E">
            <w:pPr>
              <w:jc w:val="left"/>
              <w:rPr>
                <w:rFonts w:eastAsia="仿宋_GB2312"/>
                <w:color w:val="000000" w:themeColor="text1"/>
                <w:sz w:val="18"/>
                <w:szCs w:val="21"/>
              </w:rPr>
            </w:pPr>
            <w:r>
              <w:rPr>
                <w:rFonts w:eastAsia="仿宋_GB2312"/>
                <w:color w:val="000000" w:themeColor="text1"/>
                <w:sz w:val="18"/>
                <w:szCs w:val="21"/>
              </w:rPr>
              <w:t>阴性或阳性血清、质粒或血液制品等的处理操作，生产区域应当不低于10，000级洁净度级别，并应当与相邻区域保持相对负压。</w:t>
            </w:r>
          </w:p>
        </w:tc>
      </w:tr>
      <w:tr w14:paraId="0AC1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AB8789E">
            <w:pPr>
              <w:jc w:val="left"/>
              <w:rPr>
                <w:rFonts w:eastAsia="仿宋_GB2312"/>
                <w:color w:val="000000"/>
                <w:sz w:val="18"/>
                <w:szCs w:val="21"/>
              </w:rPr>
            </w:pPr>
          </w:p>
        </w:tc>
        <w:tc>
          <w:tcPr>
            <w:tcW w:w="680" w:type="pct"/>
            <w:shd w:val="clear" w:color="auto" w:fill="auto"/>
            <w:tcMar>
              <w:left w:w="57" w:type="dxa"/>
              <w:right w:w="57" w:type="dxa"/>
            </w:tcMar>
            <w:vAlign w:val="center"/>
          </w:tcPr>
          <w:p w14:paraId="18386181">
            <w:pPr>
              <w:jc w:val="center"/>
              <w:rPr>
                <w:rFonts w:eastAsia="仿宋_GB2312"/>
                <w:color w:val="000000"/>
                <w:sz w:val="18"/>
                <w:szCs w:val="21"/>
              </w:rPr>
            </w:pPr>
            <w:r>
              <w:rPr>
                <w:rFonts w:eastAsia="仿宋_GB2312"/>
                <w:color w:val="000000"/>
                <w:sz w:val="18"/>
                <w:szCs w:val="21"/>
              </w:rPr>
              <w:t>2.13.1</w:t>
            </w:r>
          </w:p>
        </w:tc>
        <w:tc>
          <w:tcPr>
            <w:tcW w:w="4050" w:type="pct"/>
            <w:shd w:val="clear" w:color="auto" w:fill="auto"/>
            <w:tcMar>
              <w:left w:w="57" w:type="dxa"/>
              <w:right w:w="57" w:type="dxa"/>
            </w:tcMar>
            <w:vAlign w:val="center"/>
          </w:tcPr>
          <w:p w14:paraId="78340F74">
            <w:pPr>
              <w:jc w:val="left"/>
              <w:rPr>
                <w:rFonts w:eastAsia="仿宋_GB2312"/>
                <w:color w:val="000000" w:themeColor="text1"/>
                <w:sz w:val="18"/>
                <w:szCs w:val="21"/>
              </w:rPr>
            </w:pPr>
            <w:r>
              <w:rPr>
                <w:rFonts w:eastAsia="仿宋_GB2312"/>
                <w:color w:val="000000" w:themeColor="text1"/>
                <w:sz w:val="18"/>
                <w:szCs w:val="21"/>
              </w:rPr>
              <w:t>无菌物料等分装处理操作，操作区域应当符合局部100级洁净度级别。</w:t>
            </w:r>
          </w:p>
        </w:tc>
      </w:tr>
      <w:tr w14:paraId="15C0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EBB5F6D">
            <w:pPr>
              <w:jc w:val="left"/>
              <w:rPr>
                <w:rFonts w:eastAsia="仿宋_GB2312"/>
                <w:color w:val="000000"/>
                <w:sz w:val="18"/>
                <w:szCs w:val="21"/>
              </w:rPr>
            </w:pPr>
          </w:p>
        </w:tc>
        <w:tc>
          <w:tcPr>
            <w:tcW w:w="680" w:type="pct"/>
            <w:shd w:val="clear" w:color="auto" w:fill="auto"/>
            <w:tcMar>
              <w:left w:w="57" w:type="dxa"/>
              <w:right w:w="57" w:type="dxa"/>
            </w:tcMar>
            <w:vAlign w:val="center"/>
          </w:tcPr>
          <w:p w14:paraId="3D50565C">
            <w:pPr>
              <w:jc w:val="center"/>
              <w:rPr>
                <w:rFonts w:eastAsia="仿宋_GB2312"/>
                <w:color w:val="000000"/>
                <w:sz w:val="18"/>
                <w:szCs w:val="21"/>
              </w:rPr>
            </w:pPr>
            <w:r>
              <w:rPr>
                <w:rFonts w:eastAsia="仿宋_GB2312"/>
                <w:color w:val="000000"/>
                <w:sz w:val="18"/>
                <w:szCs w:val="21"/>
              </w:rPr>
              <w:t>2.14.1</w:t>
            </w:r>
          </w:p>
        </w:tc>
        <w:tc>
          <w:tcPr>
            <w:tcW w:w="4050" w:type="pct"/>
            <w:shd w:val="clear" w:color="auto" w:fill="auto"/>
            <w:tcMar>
              <w:left w:w="57" w:type="dxa"/>
              <w:right w:w="57" w:type="dxa"/>
            </w:tcMar>
            <w:vAlign w:val="center"/>
          </w:tcPr>
          <w:p w14:paraId="227BF13E">
            <w:pPr>
              <w:jc w:val="left"/>
              <w:rPr>
                <w:rFonts w:eastAsia="仿宋_GB2312"/>
                <w:color w:val="000000" w:themeColor="text1"/>
                <w:sz w:val="18"/>
                <w:szCs w:val="21"/>
              </w:rPr>
            </w:pPr>
            <w:r>
              <w:rPr>
                <w:rFonts w:eastAsia="仿宋_GB2312"/>
                <w:color w:val="000000" w:themeColor="text1"/>
                <w:sz w:val="18"/>
                <w:szCs w:val="21"/>
              </w:rPr>
              <w:t xml:space="preserve">  普通类化学试剂的生产应当在清洁环境中进行。</w:t>
            </w:r>
          </w:p>
        </w:tc>
      </w:tr>
      <w:tr w14:paraId="5CAD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71" w:hRule="atLeast"/>
          <w:jc w:val="center"/>
        </w:trPr>
        <w:tc>
          <w:tcPr>
            <w:tcW w:w="270" w:type="pct"/>
            <w:vMerge w:val="continue"/>
            <w:shd w:val="clear" w:color="auto" w:fill="auto"/>
            <w:vAlign w:val="center"/>
          </w:tcPr>
          <w:p w14:paraId="33BEDB69">
            <w:pPr>
              <w:jc w:val="left"/>
              <w:rPr>
                <w:rFonts w:eastAsia="仿宋_GB2312"/>
                <w:color w:val="000000"/>
                <w:sz w:val="18"/>
                <w:szCs w:val="21"/>
              </w:rPr>
            </w:pPr>
          </w:p>
        </w:tc>
        <w:tc>
          <w:tcPr>
            <w:tcW w:w="680" w:type="pct"/>
            <w:shd w:val="clear" w:color="auto" w:fill="auto"/>
            <w:tcMar>
              <w:left w:w="57" w:type="dxa"/>
              <w:right w:w="57" w:type="dxa"/>
            </w:tcMar>
            <w:vAlign w:val="center"/>
          </w:tcPr>
          <w:p w14:paraId="7271F371">
            <w:pPr>
              <w:jc w:val="center"/>
              <w:rPr>
                <w:rFonts w:eastAsia="仿宋_GB2312"/>
                <w:color w:val="000000"/>
                <w:sz w:val="18"/>
                <w:szCs w:val="21"/>
              </w:rPr>
            </w:pPr>
            <w:r>
              <w:rPr>
                <w:rFonts w:eastAsia="仿宋_GB2312"/>
                <w:color w:val="000000"/>
                <w:sz w:val="18"/>
                <w:szCs w:val="21"/>
              </w:rPr>
              <w:t>2.15.1</w:t>
            </w:r>
          </w:p>
        </w:tc>
        <w:tc>
          <w:tcPr>
            <w:tcW w:w="4050" w:type="pct"/>
            <w:shd w:val="clear" w:color="auto" w:fill="auto"/>
            <w:tcMar>
              <w:left w:w="57" w:type="dxa"/>
              <w:right w:w="57" w:type="dxa"/>
            </w:tcMar>
            <w:vAlign w:val="center"/>
          </w:tcPr>
          <w:p w14:paraId="651ECE57">
            <w:pPr>
              <w:jc w:val="left"/>
              <w:rPr>
                <w:rFonts w:eastAsia="仿宋_GB2312"/>
                <w:color w:val="000000" w:themeColor="text1"/>
                <w:sz w:val="18"/>
                <w:szCs w:val="21"/>
              </w:rPr>
            </w:pPr>
            <w:r>
              <w:rPr>
                <w:rFonts w:eastAsia="仿宋_GB2312"/>
                <w:color w:val="000000" w:themeColor="text1"/>
                <w:sz w:val="18"/>
                <w:szCs w:val="21"/>
              </w:rPr>
              <w:t xml:space="preserve">  洁净室（区）空气洁净度级别应当符合下表规定:</w:t>
            </w:r>
          </w:p>
          <w:p w14:paraId="3EA25CEB">
            <w:pPr>
              <w:jc w:val="center"/>
              <w:rPr>
                <w:rFonts w:eastAsia="仿宋_GB2312"/>
                <w:color w:val="000000" w:themeColor="text1"/>
                <w:sz w:val="18"/>
                <w:szCs w:val="21"/>
              </w:rPr>
            </w:pPr>
            <w:r>
              <w:rPr>
                <w:rFonts w:eastAsia="仿宋_GB2312"/>
                <w:color w:val="000000" w:themeColor="text1"/>
                <w:sz w:val="18"/>
                <w:szCs w:val="21"/>
              </w:rPr>
              <w:t>洁净室（区）空气洁净度级别表</w:t>
            </w:r>
          </w:p>
          <w:tbl>
            <w:tblPr>
              <w:tblStyle w:val="7"/>
              <w:tblW w:w="7289" w:type="dxa"/>
              <w:jc w:val="center"/>
              <w:tblLayout w:type="autofit"/>
              <w:tblCellMar>
                <w:top w:w="0" w:type="dxa"/>
                <w:left w:w="0" w:type="dxa"/>
                <w:bottom w:w="0" w:type="dxa"/>
                <w:right w:w="0" w:type="dxa"/>
              </w:tblCellMar>
            </w:tblPr>
            <w:tblGrid>
              <w:gridCol w:w="1283"/>
              <w:gridCol w:w="1501"/>
              <w:gridCol w:w="1502"/>
              <w:gridCol w:w="1501"/>
              <w:gridCol w:w="1502"/>
            </w:tblGrid>
            <w:tr w14:paraId="254EE826">
              <w:tblPrEx>
                <w:tblCellMar>
                  <w:top w:w="0" w:type="dxa"/>
                  <w:left w:w="0" w:type="dxa"/>
                  <w:bottom w:w="0" w:type="dxa"/>
                  <w:right w:w="0" w:type="dxa"/>
                </w:tblCellMar>
              </w:tblPrEx>
              <w:trPr>
                <w:trHeight w:val="348" w:hRule="atLeast"/>
                <w:jc w:val="center"/>
              </w:trPr>
              <w:tc>
                <w:tcPr>
                  <w:tcW w:w="128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B4AED1">
                  <w:pPr>
                    <w:jc w:val="center"/>
                    <w:rPr>
                      <w:rFonts w:eastAsia="仿宋_GB2312"/>
                      <w:color w:val="000000" w:themeColor="text1"/>
                      <w:sz w:val="18"/>
                      <w:szCs w:val="21"/>
                    </w:rPr>
                  </w:pPr>
                  <w:r>
                    <w:rPr>
                      <w:rFonts w:eastAsia="仿宋_GB2312"/>
                      <w:color w:val="000000" w:themeColor="text1"/>
                      <w:sz w:val="18"/>
                      <w:szCs w:val="21"/>
                    </w:rPr>
                    <w:t>洁净度级 别</w:t>
                  </w:r>
                </w:p>
              </w:tc>
              <w:tc>
                <w:tcPr>
                  <w:tcW w:w="300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748B8C">
                  <w:pPr>
                    <w:jc w:val="center"/>
                    <w:rPr>
                      <w:rFonts w:eastAsia="仿宋_GB2312"/>
                      <w:color w:val="000000" w:themeColor="text1"/>
                      <w:sz w:val="18"/>
                      <w:szCs w:val="21"/>
                    </w:rPr>
                  </w:pPr>
                  <w:r>
                    <w:rPr>
                      <w:rFonts w:eastAsia="仿宋_GB2312"/>
                      <w:color w:val="000000" w:themeColor="text1"/>
                      <w:sz w:val="18"/>
                      <w:szCs w:val="21"/>
                    </w:rPr>
                    <w:t>尘粒最大允许数／m</w:t>
                  </w:r>
                  <w:r>
                    <w:rPr>
                      <w:rFonts w:eastAsia="仿宋_GB2312"/>
                      <w:color w:val="000000" w:themeColor="text1"/>
                      <w:sz w:val="18"/>
                      <w:szCs w:val="21"/>
                      <w:vertAlign w:val="superscript"/>
                    </w:rPr>
                    <w:t>3</w:t>
                  </w:r>
                </w:p>
              </w:tc>
              <w:tc>
                <w:tcPr>
                  <w:tcW w:w="300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AF5107">
                  <w:pPr>
                    <w:jc w:val="center"/>
                    <w:rPr>
                      <w:rFonts w:eastAsia="仿宋_GB2312"/>
                      <w:color w:val="000000" w:themeColor="text1"/>
                      <w:sz w:val="18"/>
                      <w:szCs w:val="21"/>
                    </w:rPr>
                  </w:pPr>
                  <w:r>
                    <w:rPr>
                      <w:rFonts w:eastAsia="仿宋_GB2312"/>
                      <w:color w:val="000000" w:themeColor="text1"/>
                      <w:sz w:val="18"/>
                      <w:szCs w:val="21"/>
                    </w:rPr>
                    <w:t>微生物最大允许数</w:t>
                  </w:r>
                </w:p>
              </w:tc>
            </w:tr>
            <w:tr w14:paraId="2155D25E">
              <w:tblPrEx>
                <w:tblCellMar>
                  <w:top w:w="0" w:type="dxa"/>
                  <w:left w:w="0" w:type="dxa"/>
                  <w:bottom w:w="0" w:type="dxa"/>
                  <w:right w:w="0" w:type="dxa"/>
                </w:tblCellMar>
              </w:tblPrEx>
              <w:trPr>
                <w:trHeight w:val="348" w:hRule="atLeast"/>
                <w:jc w:val="center"/>
              </w:trPr>
              <w:tc>
                <w:tcPr>
                  <w:tcW w:w="1283" w:type="dxa"/>
                  <w:vMerge w:val="continue"/>
                  <w:tcBorders>
                    <w:top w:val="single" w:color="auto" w:sz="8" w:space="0"/>
                    <w:left w:val="single" w:color="auto" w:sz="8" w:space="0"/>
                    <w:bottom w:val="single" w:color="auto" w:sz="8" w:space="0"/>
                    <w:right w:val="single" w:color="auto" w:sz="8" w:space="0"/>
                  </w:tcBorders>
                  <w:vAlign w:val="center"/>
                </w:tcPr>
                <w:p w14:paraId="0338B434">
                  <w:pPr>
                    <w:jc w:val="center"/>
                    <w:rPr>
                      <w:rFonts w:eastAsia="仿宋_GB2312"/>
                      <w:color w:val="000000" w:themeColor="text1"/>
                      <w:sz w:val="18"/>
                      <w:szCs w:val="21"/>
                    </w:rPr>
                  </w:pP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BFD3AC">
                  <w:pPr>
                    <w:jc w:val="center"/>
                    <w:rPr>
                      <w:rFonts w:eastAsia="仿宋_GB2312"/>
                      <w:color w:val="000000" w:themeColor="text1"/>
                      <w:sz w:val="18"/>
                      <w:szCs w:val="21"/>
                    </w:rPr>
                  </w:pPr>
                  <w:r>
                    <w:rPr>
                      <w:rFonts w:eastAsia="仿宋_GB2312"/>
                      <w:color w:val="000000" w:themeColor="text1"/>
                      <w:sz w:val="18"/>
                      <w:szCs w:val="21"/>
                    </w:rPr>
                    <w:t>≥0.5μm</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769A50CD">
                  <w:pPr>
                    <w:jc w:val="center"/>
                    <w:rPr>
                      <w:rFonts w:eastAsia="仿宋_GB2312"/>
                      <w:color w:val="000000" w:themeColor="text1"/>
                      <w:sz w:val="18"/>
                      <w:szCs w:val="21"/>
                    </w:rPr>
                  </w:pPr>
                  <w:r>
                    <w:rPr>
                      <w:rFonts w:eastAsia="仿宋_GB2312"/>
                      <w:color w:val="000000" w:themeColor="text1"/>
                      <w:sz w:val="18"/>
                      <w:szCs w:val="21"/>
                    </w:rPr>
                    <w:t>≥5μm</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6767A5">
                  <w:pPr>
                    <w:jc w:val="center"/>
                    <w:rPr>
                      <w:rFonts w:eastAsia="仿宋_GB2312"/>
                      <w:color w:val="000000" w:themeColor="text1"/>
                      <w:sz w:val="18"/>
                      <w:szCs w:val="21"/>
                    </w:rPr>
                  </w:pPr>
                  <w:r>
                    <w:rPr>
                      <w:rFonts w:eastAsia="仿宋_GB2312"/>
                      <w:color w:val="000000" w:themeColor="text1"/>
                      <w:sz w:val="18"/>
                      <w:szCs w:val="21"/>
                    </w:rPr>
                    <w:t>浮游菌／m</w:t>
                  </w:r>
                  <w:r>
                    <w:rPr>
                      <w:rFonts w:eastAsia="仿宋_GB2312"/>
                      <w:color w:val="000000" w:themeColor="text1"/>
                      <w:sz w:val="18"/>
                      <w:szCs w:val="21"/>
                      <w:vertAlign w:val="superscript"/>
                    </w:rPr>
                    <w:t>3</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1956638F">
                  <w:pPr>
                    <w:jc w:val="center"/>
                    <w:rPr>
                      <w:rFonts w:eastAsia="仿宋_GB2312"/>
                      <w:color w:val="000000" w:themeColor="text1"/>
                      <w:sz w:val="18"/>
                      <w:szCs w:val="21"/>
                    </w:rPr>
                  </w:pPr>
                  <w:r>
                    <w:rPr>
                      <w:rFonts w:eastAsia="仿宋_GB2312"/>
                      <w:color w:val="000000" w:themeColor="text1"/>
                      <w:sz w:val="18"/>
                      <w:szCs w:val="21"/>
                    </w:rPr>
                    <w:t>沉降菌／皿</w:t>
                  </w:r>
                </w:p>
              </w:tc>
            </w:tr>
            <w:tr w14:paraId="7CE39211">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vAlign w:val="center"/>
                </w:tcPr>
                <w:p w14:paraId="201691FD">
                  <w:pPr>
                    <w:jc w:val="center"/>
                    <w:rPr>
                      <w:rFonts w:eastAsia="仿宋_GB2312"/>
                      <w:color w:val="000000" w:themeColor="text1"/>
                      <w:sz w:val="18"/>
                      <w:szCs w:val="21"/>
                    </w:rPr>
                  </w:pPr>
                  <w:r>
                    <w:rPr>
                      <w:rFonts w:eastAsia="仿宋_GB2312"/>
                      <w:color w:val="000000" w:themeColor="text1"/>
                      <w:sz w:val="18"/>
                      <w:szCs w:val="21"/>
                    </w:rPr>
                    <w:t>100级</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B67862">
                  <w:pPr>
                    <w:jc w:val="center"/>
                    <w:rPr>
                      <w:rFonts w:eastAsia="仿宋_GB2312"/>
                      <w:color w:val="000000" w:themeColor="text1"/>
                      <w:sz w:val="18"/>
                      <w:szCs w:val="21"/>
                    </w:rPr>
                  </w:pPr>
                  <w:r>
                    <w:rPr>
                      <w:rFonts w:eastAsia="仿宋_GB2312"/>
                      <w:color w:val="000000" w:themeColor="text1"/>
                      <w:sz w:val="18"/>
                      <w:szCs w:val="21"/>
                    </w:rPr>
                    <w:t>3,500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696A2CA">
                  <w:pPr>
                    <w:jc w:val="center"/>
                    <w:rPr>
                      <w:rFonts w:eastAsia="仿宋_GB2312"/>
                      <w:color w:val="000000" w:themeColor="text1"/>
                      <w:sz w:val="18"/>
                      <w:szCs w:val="21"/>
                    </w:rPr>
                  </w:pPr>
                  <w:r>
                    <w:rPr>
                      <w:rFonts w:eastAsia="仿宋_GB2312"/>
                      <w:color w:val="000000" w:themeColor="text1"/>
                      <w:sz w:val="18"/>
                      <w:szCs w:val="21"/>
                    </w:rPr>
                    <w:t>0</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8FCF8C">
                  <w:pPr>
                    <w:jc w:val="center"/>
                    <w:rPr>
                      <w:rFonts w:eastAsia="仿宋_GB2312"/>
                      <w:color w:val="000000" w:themeColor="text1"/>
                      <w:sz w:val="18"/>
                      <w:szCs w:val="21"/>
                    </w:rPr>
                  </w:pPr>
                  <w:r>
                    <w:rPr>
                      <w:rFonts w:eastAsia="仿宋_GB2312"/>
                      <w:color w:val="000000" w:themeColor="text1"/>
                      <w:sz w:val="18"/>
                      <w:szCs w:val="21"/>
                    </w:rPr>
                    <w:t>5</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7515EA7">
                  <w:pPr>
                    <w:jc w:val="center"/>
                    <w:rPr>
                      <w:rFonts w:eastAsia="仿宋_GB2312"/>
                      <w:color w:val="000000" w:themeColor="text1"/>
                      <w:sz w:val="18"/>
                      <w:szCs w:val="21"/>
                    </w:rPr>
                  </w:pPr>
                  <w:r>
                    <w:rPr>
                      <w:rFonts w:eastAsia="仿宋_GB2312"/>
                      <w:color w:val="000000" w:themeColor="text1"/>
                      <w:sz w:val="18"/>
                      <w:szCs w:val="21"/>
                    </w:rPr>
                    <w:t>l</w:t>
                  </w:r>
                </w:p>
              </w:tc>
            </w:tr>
            <w:tr w14:paraId="41B3528F">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vAlign w:val="center"/>
                </w:tcPr>
                <w:p w14:paraId="7D58C36D">
                  <w:pPr>
                    <w:jc w:val="center"/>
                    <w:rPr>
                      <w:rFonts w:eastAsia="仿宋_GB2312"/>
                      <w:color w:val="000000" w:themeColor="text1"/>
                      <w:sz w:val="18"/>
                      <w:szCs w:val="21"/>
                    </w:rPr>
                  </w:pPr>
                  <w:r>
                    <w:rPr>
                      <w:rFonts w:eastAsia="仿宋_GB2312"/>
                      <w:color w:val="000000" w:themeColor="text1"/>
                      <w:sz w:val="18"/>
                      <w:szCs w:val="21"/>
                    </w:rPr>
                    <w:t>10,000级</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61DFFA">
                  <w:pPr>
                    <w:jc w:val="center"/>
                    <w:rPr>
                      <w:rFonts w:eastAsia="仿宋_GB2312"/>
                      <w:color w:val="000000" w:themeColor="text1"/>
                      <w:sz w:val="18"/>
                      <w:szCs w:val="21"/>
                    </w:rPr>
                  </w:pPr>
                  <w:r>
                    <w:rPr>
                      <w:rFonts w:eastAsia="仿宋_GB2312"/>
                      <w:color w:val="000000" w:themeColor="text1"/>
                      <w:sz w:val="18"/>
                      <w:szCs w:val="21"/>
                    </w:rPr>
                    <w:t>350,0O0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75121C14">
                  <w:pPr>
                    <w:jc w:val="center"/>
                    <w:rPr>
                      <w:rFonts w:eastAsia="仿宋_GB2312"/>
                      <w:color w:val="000000" w:themeColor="text1"/>
                      <w:sz w:val="18"/>
                      <w:szCs w:val="21"/>
                    </w:rPr>
                  </w:pPr>
                  <w:r>
                    <w:rPr>
                      <w:rFonts w:eastAsia="仿宋_GB2312"/>
                      <w:color w:val="000000" w:themeColor="text1"/>
                      <w:sz w:val="18"/>
                      <w:szCs w:val="21"/>
                    </w:rPr>
                    <w:t>2,000</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42101F">
                  <w:pPr>
                    <w:jc w:val="center"/>
                    <w:rPr>
                      <w:rFonts w:eastAsia="仿宋_GB2312"/>
                      <w:color w:val="000000" w:themeColor="text1"/>
                      <w:sz w:val="18"/>
                      <w:szCs w:val="21"/>
                    </w:rPr>
                  </w:pPr>
                  <w:r>
                    <w:rPr>
                      <w:rFonts w:eastAsia="仿宋_GB2312"/>
                      <w:color w:val="000000" w:themeColor="text1"/>
                      <w:sz w:val="18"/>
                      <w:szCs w:val="21"/>
                    </w:rPr>
                    <w:t>100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1124CD8C">
                  <w:pPr>
                    <w:jc w:val="center"/>
                    <w:rPr>
                      <w:rFonts w:eastAsia="仿宋_GB2312"/>
                      <w:color w:val="000000" w:themeColor="text1"/>
                      <w:sz w:val="18"/>
                      <w:szCs w:val="21"/>
                    </w:rPr>
                  </w:pPr>
                  <w:r>
                    <w:rPr>
                      <w:rFonts w:eastAsia="仿宋_GB2312"/>
                      <w:color w:val="000000" w:themeColor="text1"/>
                      <w:sz w:val="18"/>
                      <w:szCs w:val="21"/>
                    </w:rPr>
                    <w:t>3</w:t>
                  </w:r>
                </w:p>
              </w:tc>
            </w:tr>
            <w:tr w14:paraId="24E08DA9">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vAlign w:val="center"/>
                </w:tcPr>
                <w:p w14:paraId="6275EAED">
                  <w:pPr>
                    <w:jc w:val="center"/>
                    <w:rPr>
                      <w:rFonts w:eastAsia="仿宋_GB2312"/>
                      <w:color w:val="000000" w:themeColor="text1"/>
                      <w:sz w:val="18"/>
                      <w:szCs w:val="21"/>
                    </w:rPr>
                  </w:pPr>
                  <w:r>
                    <w:rPr>
                      <w:rFonts w:eastAsia="仿宋_GB2312"/>
                      <w:color w:val="000000" w:themeColor="text1"/>
                      <w:sz w:val="18"/>
                      <w:szCs w:val="21"/>
                    </w:rPr>
                    <w:t>1OO,000级</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8038DC">
                  <w:pPr>
                    <w:jc w:val="center"/>
                    <w:rPr>
                      <w:rFonts w:eastAsia="仿宋_GB2312"/>
                      <w:color w:val="000000" w:themeColor="text1"/>
                      <w:sz w:val="18"/>
                      <w:szCs w:val="21"/>
                    </w:rPr>
                  </w:pPr>
                  <w:r>
                    <w:rPr>
                      <w:rFonts w:eastAsia="仿宋_GB2312"/>
                      <w:color w:val="000000" w:themeColor="text1"/>
                      <w:sz w:val="18"/>
                      <w:szCs w:val="21"/>
                    </w:rPr>
                    <w:t>3,500,000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91C6311">
                  <w:pPr>
                    <w:jc w:val="center"/>
                    <w:rPr>
                      <w:rFonts w:eastAsia="仿宋_GB2312"/>
                      <w:color w:val="000000" w:themeColor="text1"/>
                      <w:sz w:val="18"/>
                      <w:szCs w:val="21"/>
                    </w:rPr>
                  </w:pPr>
                  <w:r>
                    <w:rPr>
                      <w:rFonts w:eastAsia="仿宋_GB2312"/>
                      <w:color w:val="000000" w:themeColor="text1"/>
                      <w:sz w:val="18"/>
                      <w:szCs w:val="21"/>
                    </w:rPr>
                    <w:t>20,000</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CCF98B">
                  <w:pPr>
                    <w:jc w:val="center"/>
                    <w:rPr>
                      <w:rFonts w:eastAsia="仿宋_GB2312"/>
                      <w:color w:val="000000" w:themeColor="text1"/>
                      <w:sz w:val="18"/>
                      <w:szCs w:val="21"/>
                    </w:rPr>
                  </w:pPr>
                  <w:r>
                    <w:rPr>
                      <w:rFonts w:eastAsia="仿宋_GB2312"/>
                      <w:color w:val="000000" w:themeColor="text1"/>
                      <w:sz w:val="18"/>
                      <w:szCs w:val="21"/>
                    </w:rPr>
                    <w:t>500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4B8CDAA6">
                  <w:pPr>
                    <w:jc w:val="center"/>
                    <w:rPr>
                      <w:rFonts w:eastAsia="仿宋_GB2312"/>
                      <w:color w:val="000000" w:themeColor="text1"/>
                      <w:sz w:val="18"/>
                      <w:szCs w:val="21"/>
                    </w:rPr>
                  </w:pPr>
                  <w:r>
                    <w:rPr>
                      <w:rFonts w:eastAsia="仿宋_GB2312"/>
                      <w:color w:val="000000" w:themeColor="text1"/>
                      <w:sz w:val="18"/>
                      <w:szCs w:val="21"/>
                    </w:rPr>
                    <w:t>10</w:t>
                  </w:r>
                </w:p>
              </w:tc>
            </w:tr>
          </w:tbl>
          <w:p w14:paraId="27829483">
            <w:pPr>
              <w:jc w:val="left"/>
              <w:rPr>
                <w:rFonts w:eastAsia="仿宋_GB2312"/>
                <w:color w:val="000000" w:themeColor="text1"/>
                <w:sz w:val="18"/>
                <w:szCs w:val="21"/>
              </w:rPr>
            </w:pPr>
          </w:p>
        </w:tc>
      </w:tr>
      <w:tr w14:paraId="105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CBA070A">
            <w:pPr>
              <w:jc w:val="left"/>
              <w:rPr>
                <w:rFonts w:eastAsia="仿宋_GB2312"/>
                <w:color w:val="000000"/>
                <w:sz w:val="18"/>
                <w:szCs w:val="21"/>
              </w:rPr>
            </w:pPr>
          </w:p>
        </w:tc>
        <w:tc>
          <w:tcPr>
            <w:tcW w:w="680" w:type="pct"/>
            <w:shd w:val="clear" w:color="auto" w:fill="auto"/>
            <w:tcMar>
              <w:left w:w="57" w:type="dxa"/>
              <w:right w:w="57" w:type="dxa"/>
            </w:tcMar>
            <w:vAlign w:val="center"/>
          </w:tcPr>
          <w:p w14:paraId="367897E6">
            <w:pPr>
              <w:jc w:val="center"/>
              <w:rPr>
                <w:rFonts w:eastAsia="仿宋_GB2312"/>
                <w:color w:val="000000"/>
                <w:sz w:val="18"/>
                <w:szCs w:val="21"/>
              </w:rPr>
            </w:pPr>
            <w:r>
              <w:rPr>
                <w:rFonts w:eastAsia="仿宋_GB2312"/>
                <w:color w:val="000000"/>
                <w:sz w:val="18"/>
                <w:szCs w:val="21"/>
              </w:rPr>
              <w:t>2.16.1</w:t>
            </w:r>
          </w:p>
        </w:tc>
        <w:tc>
          <w:tcPr>
            <w:tcW w:w="4050" w:type="pct"/>
            <w:shd w:val="clear" w:color="auto" w:fill="auto"/>
            <w:tcMar>
              <w:left w:w="57" w:type="dxa"/>
              <w:right w:w="57" w:type="dxa"/>
            </w:tcMar>
            <w:vAlign w:val="center"/>
          </w:tcPr>
          <w:p w14:paraId="579B5A5D">
            <w:pPr>
              <w:jc w:val="left"/>
              <w:rPr>
                <w:rFonts w:eastAsia="仿宋_GB2312"/>
                <w:color w:val="000000" w:themeColor="text1"/>
                <w:sz w:val="18"/>
                <w:szCs w:val="21"/>
              </w:rPr>
            </w:pPr>
            <w:r>
              <w:rPr>
                <w:rFonts w:eastAsia="仿宋_GB2312"/>
                <w:color w:val="000000" w:themeColor="text1"/>
                <w:sz w:val="18"/>
                <w:szCs w:val="21"/>
              </w:rPr>
              <w:t>洁净室（区）应当按照体外诊断试剂的生产工艺流程及所要求的空气洁净度级别进行合理布局，人流、物流走向应当合理。同一洁净室（区）内或相邻洁净室（区）间的生产操作不得互相交叉污染。</w:t>
            </w:r>
          </w:p>
          <w:p w14:paraId="4D5B1351">
            <w:pPr>
              <w:jc w:val="left"/>
              <w:rPr>
                <w:rFonts w:eastAsia="仿宋_GB2312"/>
                <w:color w:val="000000" w:themeColor="text1"/>
                <w:sz w:val="18"/>
                <w:szCs w:val="21"/>
              </w:rPr>
            </w:pPr>
            <w:r>
              <w:rPr>
                <w:rFonts w:eastAsia="仿宋_GB2312"/>
                <w:b/>
                <w:bCs/>
                <w:iCs/>
                <w:color w:val="000000" w:themeColor="text1"/>
                <w:sz w:val="18"/>
                <w:szCs w:val="21"/>
              </w:rPr>
              <w:t>现场查看洁净室（区）的人流、物流走向是否合理，是否能够避免交叉污染。</w:t>
            </w:r>
          </w:p>
        </w:tc>
      </w:tr>
      <w:tr w14:paraId="4E72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C8E12B3">
            <w:pPr>
              <w:jc w:val="left"/>
              <w:rPr>
                <w:rFonts w:eastAsia="仿宋_GB2312"/>
                <w:color w:val="000000"/>
                <w:sz w:val="18"/>
                <w:szCs w:val="21"/>
              </w:rPr>
            </w:pPr>
          </w:p>
        </w:tc>
        <w:tc>
          <w:tcPr>
            <w:tcW w:w="680" w:type="pct"/>
            <w:shd w:val="clear" w:color="auto" w:fill="auto"/>
            <w:tcMar>
              <w:left w:w="57" w:type="dxa"/>
              <w:right w:w="57" w:type="dxa"/>
            </w:tcMar>
            <w:vAlign w:val="center"/>
          </w:tcPr>
          <w:p w14:paraId="07897641">
            <w:pPr>
              <w:jc w:val="center"/>
              <w:rPr>
                <w:rFonts w:eastAsia="仿宋_GB2312"/>
                <w:color w:val="000000"/>
                <w:sz w:val="18"/>
                <w:szCs w:val="21"/>
              </w:rPr>
            </w:pPr>
            <w:r>
              <w:rPr>
                <w:rFonts w:eastAsia="仿宋_GB2312"/>
                <w:color w:val="000000"/>
                <w:sz w:val="18"/>
                <w:szCs w:val="21"/>
              </w:rPr>
              <w:t>2.17.1</w:t>
            </w:r>
          </w:p>
        </w:tc>
        <w:tc>
          <w:tcPr>
            <w:tcW w:w="4050" w:type="pct"/>
            <w:shd w:val="clear" w:color="auto" w:fill="auto"/>
            <w:tcMar>
              <w:left w:w="57" w:type="dxa"/>
              <w:right w:w="57" w:type="dxa"/>
            </w:tcMar>
            <w:vAlign w:val="center"/>
          </w:tcPr>
          <w:p w14:paraId="2289322D">
            <w:pPr>
              <w:jc w:val="left"/>
              <w:rPr>
                <w:rFonts w:eastAsia="仿宋_GB2312"/>
                <w:color w:val="000000" w:themeColor="text1"/>
                <w:sz w:val="18"/>
                <w:szCs w:val="21"/>
              </w:rPr>
            </w:pPr>
            <w:r>
              <w:rPr>
                <w:rFonts w:eastAsia="仿宋_GB2312"/>
                <w:color w:val="000000" w:themeColor="text1"/>
                <w:sz w:val="18"/>
                <w:szCs w:val="21"/>
              </w:rPr>
              <w:t>进入洁净室（区）的管道、进回风口布局应当合理，水、电、气输送线路与墙体接口处应当可靠密封，照明灯具不得悬吊。</w:t>
            </w:r>
          </w:p>
        </w:tc>
      </w:tr>
      <w:tr w14:paraId="4A8F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FAF1AC2">
            <w:pPr>
              <w:jc w:val="left"/>
              <w:rPr>
                <w:rFonts w:eastAsia="仿宋_GB2312"/>
                <w:color w:val="000000"/>
                <w:sz w:val="18"/>
                <w:szCs w:val="21"/>
              </w:rPr>
            </w:pPr>
          </w:p>
        </w:tc>
        <w:tc>
          <w:tcPr>
            <w:tcW w:w="680" w:type="pct"/>
            <w:shd w:val="clear" w:color="auto" w:fill="auto"/>
            <w:tcMar>
              <w:left w:w="57" w:type="dxa"/>
              <w:right w:w="57" w:type="dxa"/>
            </w:tcMar>
            <w:vAlign w:val="center"/>
          </w:tcPr>
          <w:p w14:paraId="6D555F98">
            <w:pPr>
              <w:jc w:val="center"/>
              <w:rPr>
                <w:rFonts w:eastAsia="仿宋_GB2312"/>
                <w:color w:val="000000"/>
                <w:sz w:val="18"/>
                <w:szCs w:val="21"/>
              </w:rPr>
            </w:pPr>
            <w:r>
              <w:rPr>
                <w:rFonts w:eastAsia="仿宋_GB2312"/>
                <w:color w:val="000000"/>
                <w:sz w:val="18"/>
                <w:szCs w:val="21"/>
              </w:rPr>
              <w:t>2.18.1</w:t>
            </w:r>
          </w:p>
        </w:tc>
        <w:tc>
          <w:tcPr>
            <w:tcW w:w="4050" w:type="pct"/>
            <w:shd w:val="clear" w:color="auto" w:fill="auto"/>
            <w:tcMar>
              <w:left w:w="57" w:type="dxa"/>
              <w:right w:w="57" w:type="dxa"/>
            </w:tcMar>
            <w:vAlign w:val="center"/>
          </w:tcPr>
          <w:p w14:paraId="0724B095">
            <w:pPr>
              <w:jc w:val="left"/>
              <w:rPr>
                <w:rFonts w:eastAsia="仿宋_GB2312"/>
                <w:color w:val="000000" w:themeColor="text1"/>
                <w:sz w:val="18"/>
                <w:szCs w:val="21"/>
              </w:rPr>
            </w:pPr>
            <w:r>
              <w:rPr>
                <w:rFonts w:eastAsia="仿宋_GB2312"/>
                <w:color w:val="000000" w:themeColor="text1"/>
                <w:sz w:val="18"/>
                <w:szCs w:val="21"/>
              </w:rPr>
              <w:t>洁净室（区）的温度和相对湿度应当与产品生产工艺要求相适应。无特殊要求时，温度应当控制在18～28</w:t>
            </w:r>
            <w:r>
              <w:rPr>
                <w:rFonts w:hint="eastAsia" w:ascii="宋体" w:hAnsi="宋体" w:cs="宋体"/>
                <w:color w:val="000000" w:themeColor="text1"/>
                <w:sz w:val="18"/>
                <w:szCs w:val="21"/>
              </w:rPr>
              <w:t>℃</w:t>
            </w:r>
            <w:r>
              <w:rPr>
                <w:rFonts w:eastAsia="仿宋_GB2312"/>
                <w:color w:val="000000" w:themeColor="text1"/>
                <w:sz w:val="18"/>
                <w:szCs w:val="21"/>
              </w:rPr>
              <w:t>，相对湿度控制在45%～65%。</w:t>
            </w:r>
          </w:p>
          <w:p w14:paraId="3A69E945">
            <w:pPr>
              <w:jc w:val="left"/>
              <w:rPr>
                <w:rFonts w:eastAsia="仿宋_GB2312"/>
                <w:b/>
                <w:bCs/>
                <w:iCs/>
                <w:color w:val="000000" w:themeColor="text1"/>
                <w:sz w:val="18"/>
                <w:szCs w:val="21"/>
              </w:rPr>
            </w:pPr>
            <w:r>
              <w:rPr>
                <w:rFonts w:eastAsia="仿宋_GB2312"/>
                <w:b/>
                <w:color w:val="000000" w:themeColor="text1"/>
                <w:sz w:val="18"/>
                <w:szCs w:val="21"/>
              </w:rPr>
              <w:t>现场查看温湿度装置及记录，是否符合要求。</w:t>
            </w:r>
          </w:p>
        </w:tc>
      </w:tr>
      <w:tr w14:paraId="3FB2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E7FF4CD">
            <w:pPr>
              <w:jc w:val="left"/>
              <w:rPr>
                <w:rFonts w:eastAsia="仿宋_GB2312"/>
                <w:color w:val="000000"/>
                <w:sz w:val="18"/>
                <w:szCs w:val="21"/>
              </w:rPr>
            </w:pPr>
          </w:p>
        </w:tc>
        <w:tc>
          <w:tcPr>
            <w:tcW w:w="680" w:type="pct"/>
            <w:shd w:val="clear" w:color="auto" w:fill="auto"/>
            <w:tcMar>
              <w:left w:w="57" w:type="dxa"/>
              <w:right w:w="57" w:type="dxa"/>
            </w:tcMar>
            <w:vAlign w:val="center"/>
          </w:tcPr>
          <w:p w14:paraId="7FB95A7D">
            <w:pPr>
              <w:jc w:val="center"/>
              <w:rPr>
                <w:rFonts w:eastAsia="仿宋_GB2312"/>
                <w:color w:val="000000"/>
                <w:sz w:val="18"/>
                <w:szCs w:val="21"/>
              </w:rPr>
            </w:pPr>
            <w:r>
              <w:rPr>
                <w:rFonts w:eastAsia="仿宋_GB2312"/>
                <w:color w:val="000000"/>
                <w:sz w:val="18"/>
                <w:szCs w:val="21"/>
              </w:rPr>
              <w:t>2.19.1</w:t>
            </w:r>
          </w:p>
        </w:tc>
        <w:tc>
          <w:tcPr>
            <w:tcW w:w="4050" w:type="pct"/>
            <w:shd w:val="clear" w:color="auto" w:fill="auto"/>
            <w:tcMar>
              <w:left w:w="57" w:type="dxa"/>
              <w:right w:w="57" w:type="dxa"/>
            </w:tcMar>
            <w:vAlign w:val="center"/>
          </w:tcPr>
          <w:p w14:paraId="678CB4CA">
            <w:pPr>
              <w:jc w:val="left"/>
              <w:rPr>
                <w:rFonts w:eastAsia="仿宋_GB2312"/>
                <w:color w:val="000000" w:themeColor="text1"/>
                <w:sz w:val="18"/>
                <w:szCs w:val="21"/>
              </w:rPr>
            </w:pPr>
            <w:r>
              <w:rPr>
                <w:rFonts w:eastAsia="仿宋_GB2312"/>
                <w:color w:val="000000" w:themeColor="text1"/>
                <w:sz w:val="18"/>
                <w:szCs w:val="21"/>
              </w:rPr>
              <w:t>洁净室（区）和非洁净室（区）之间应有缓冲设施。</w:t>
            </w:r>
          </w:p>
        </w:tc>
      </w:tr>
      <w:tr w14:paraId="5CE3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3F37508">
            <w:pPr>
              <w:jc w:val="left"/>
              <w:rPr>
                <w:rFonts w:eastAsia="仿宋_GB2312"/>
                <w:color w:val="000000"/>
                <w:sz w:val="18"/>
                <w:szCs w:val="21"/>
              </w:rPr>
            </w:pPr>
          </w:p>
        </w:tc>
        <w:tc>
          <w:tcPr>
            <w:tcW w:w="680" w:type="pct"/>
            <w:shd w:val="clear" w:color="auto" w:fill="auto"/>
            <w:tcMar>
              <w:left w:w="57" w:type="dxa"/>
              <w:right w:w="57" w:type="dxa"/>
            </w:tcMar>
            <w:vAlign w:val="center"/>
          </w:tcPr>
          <w:p w14:paraId="50BB5030">
            <w:pPr>
              <w:jc w:val="center"/>
              <w:rPr>
                <w:rFonts w:eastAsia="仿宋_GB2312"/>
                <w:color w:val="000000"/>
                <w:sz w:val="18"/>
                <w:szCs w:val="21"/>
              </w:rPr>
            </w:pPr>
            <w:r>
              <w:rPr>
                <w:rFonts w:eastAsia="仿宋_GB2312"/>
                <w:color w:val="000000"/>
                <w:sz w:val="18"/>
                <w:szCs w:val="21"/>
              </w:rPr>
              <w:t>2.20.1</w:t>
            </w:r>
          </w:p>
        </w:tc>
        <w:tc>
          <w:tcPr>
            <w:tcW w:w="4050" w:type="pct"/>
            <w:shd w:val="clear" w:color="auto" w:fill="auto"/>
            <w:tcMar>
              <w:left w:w="57" w:type="dxa"/>
              <w:right w:w="57" w:type="dxa"/>
            </w:tcMar>
            <w:vAlign w:val="center"/>
          </w:tcPr>
          <w:p w14:paraId="6944E59C">
            <w:pPr>
              <w:jc w:val="left"/>
              <w:rPr>
                <w:rFonts w:eastAsia="仿宋_GB2312"/>
                <w:color w:val="000000" w:themeColor="text1"/>
                <w:sz w:val="18"/>
                <w:szCs w:val="21"/>
              </w:rPr>
            </w:pPr>
            <w:r>
              <w:rPr>
                <w:rFonts w:eastAsia="仿宋_GB2312"/>
                <w:color w:val="000000" w:themeColor="text1"/>
                <w:sz w:val="18"/>
                <w:szCs w:val="21"/>
              </w:rPr>
              <w:t>洁净室（区）的内表面（墙面、地面、天棚、操作台等）应当平整光滑、无裂缝、接口严密、无颗粒物脱落，避免积尘，并便于清洁处理和消毒。</w:t>
            </w:r>
          </w:p>
        </w:tc>
      </w:tr>
      <w:tr w14:paraId="285C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134479C">
            <w:pPr>
              <w:jc w:val="left"/>
              <w:rPr>
                <w:rFonts w:eastAsia="仿宋_GB2312"/>
                <w:color w:val="000000"/>
                <w:sz w:val="18"/>
                <w:szCs w:val="21"/>
              </w:rPr>
            </w:pPr>
          </w:p>
        </w:tc>
        <w:tc>
          <w:tcPr>
            <w:tcW w:w="680" w:type="pct"/>
            <w:shd w:val="clear" w:color="auto" w:fill="auto"/>
            <w:tcMar>
              <w:left w:w="57" w:type="dxa"/>
              <w:right w:w="57" w:type="dxa"/>
            </w:tcMar>
            <w:vAlign w:val="center"/>
          </w:tcPr>
          <w:p w14:paraId="2B621793">
            <w:pPr>
              <w:jc w:val="center"/>
              <w:rPr>
                <w:rFonts w:eastAsia="仿宋_GB2312"/>
                <w:color w:val="000000"/>
                <w:sz w:val="18"/>
                <w:szCs w:val="21"/>
              </w:rPr>
            </w:pPr>
            <w:r>
              <w:rPr>
                <w:rFonts w:eastAsia="仿宋_GB2312"/>
                <w:color w:val="000000"/>
                <w:sz w:val="18"/>
                <w:szCs w:val="21"/>
              </w:rPr>
              <w:t>2.21.1</w:t>
            </w:r>
          </w:p>
        </w:tc>
        <w:tc>
          <w:tcPr>
            <w:tcW w:w="4050" w:type="pct"/>
            <w:shd w:val="clear" w:color="auto" w:fill="auto"/>
            <w:tcMar>
              <w:left w:w="57" w:type="dxa"/>
              <w:right w:w="57" w:type="dxa"/>
            </w:tcMar>
            <w:vAlign w:val="center"/>
          </w:tcPr>
          <w:p w14:paraId="03DB5378">
            <w:pPr>
              <w:jc w:val="left"/>
              <w:rPr>
                <w:rFonts w:eastAsia="仿宋_GB2312"/>
                <w:color w:val="000000" w:themeColor="text1"/>
                <w:sz w:val="18"/>
                <w:szCs w:val="21"/>
              </w:rPr>
            </w:pPr>
            <w:r>
              <w:rPr>
                <w:rFonts w:eastAsia="仿宋_GB2312"/>
                <w:color w:val="000000" w:themeColor="text1"/>
                <w:sz w:val="18"/>
                <w:szCs w:val="21"/>
              </w:rPr>
              <w:t>洁净室（区）的空气如循环使用应当采取有效措施避免污染和交叉污染。</w:t>
            </w:r>
          </w:p>
          <w:p w14:paraId="6FA56965">
            <w:pPr>
              <w:jc w:val="left"/>
              <w:rPr>
                <w:rFonts w:eastAsia="仿宋_GB2312"/>
                <w:color w:val="000000" w:themeColor="text1"/>
                <w:sz w:val="18"/>
                <w:szCs w:val="21"/>
              </w:rPr>
            </w:pPr>
            <w:r>
              <w:rPr>
                <w:rFonts w:eastAsia="仿宋_GB2312"/>
                <w:b/>
                <w:bCs/>
                <w:iCs/>
                <w:color w:val="000000" w:themeColor="text1"/>
                <w:sz w:val="18"/>
                <w:szCs w:val="21"/>
              </w:rPr>
              <w:t>查看空调净化系统送、回、排风相关图纸，空气如循环使用的，核实控制措施是否有效。</w:t>
            </w:r>
          </w:p>
        </w:tc>
      </w:tr>
      <w:tr w14:paraId="5B4F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DE7AA38">
            <w:pPr>
              <w:jc w:val="left"/>
              <w:rPr>
                <w:rFonts w:eastAsia="仿宋_GB2312"/>
                <w:color w:val="000000"/>
                <w:sz w:val="18"/>
                <w:szCs w:val="21"/>
              </w:rPr>
            </w:pPr>
          </w:p>
        </w:tc>
        <w:tc>
          <w:tcPr>
            <w:tcW w:w="680" w:type="pct"/>
            <w:shd w:val="clear" w:color="auto" w:fill="auto"/>
            <w:tcMar>
              <w:left w:w="57" w:type="dxa"/>
              <w:right w:w="57" w:type="dxa"/>
            </w:tcMar>
            <w:vAlign w:val="center"/>
          </w:tcPr>
          <w:p w14:paraId="4E52AFE9">
            <w:pPr>
              <w:jc w:val="center"/>
              <w:rPr>
                <w:rFonts w:eastAsia="仿宋_GB2312"/>
                <w:color w:val="000000"/>
                <w:sz w:val="18"/>
                <w:szCs w:val="21"/>
              </w:rPr>
            </w:pPr>
            <w:r>
              <w:rPr>
                <w:rFonts w:eastAsia="仿宋_GB2312"/>
                <w:color w:val="000000"/>
                <w:sz w:val="18"/>
                <w:szCs w:val="21"/>
              </w:rPr>
              <w:t>2.22.1</w:t>
            </w:r>
          </w:p>
        </w:tc>
        <w:tc>
          <w:tcPr>
            <w:tcW w:w="4050" w:type="pct"/>
            <w:shd w:val="clear" w:color="auto" w:fill="auto"/>
            <w:tcMar>
              <w:left w:w="57" w:type="dxa"/>
              <w:right w:w="57" w:type="dxa"/>
            </w:tcMar>
            <w:vAlign w:val="center"/>
          </w:tcPr>
          <w:p w14:paraId="57533410">
            <w:pPr>
              <w:jc w:val="left"/>
              <w:rPr>
                <w:rFonts w:eastAsia="仿宋_GB2312"/>
                <w:color w:val="000000" w:themeColor="text1"/>
                <w:sz w:val="18"/>
                <w:szCs w:val="21"/>
              </w:rPr>
            </w:pPr>
            <w:r>
              <w:rPr>
                <w:rFonts w:eastAsia="仿宋_GB2312"/>
                <w:color w:val="000000" w:themeColor="text1"/>
                <w:sz w:val="18"/>
                <w:szCs w:val="21"/>
              </w:rPr>
              <w:t>洁净室（区）内的水池、地漏应安装防止倒灌的装置，避免对环境和物料造成污染。</w:t>
            </w:r>
          </w:p>
        </w:tc>
      </w:tr>
      <w:tr w14:paraId="47E9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32D9E31">
            <w:pPr>
              <w:jc w:val="left"/>
              <w:rPr>
                <w:rFonts w:eastAsia="仿宋_GB2312"/>
                <w:color w:val="000000"/>
                <w:sz w:val="18"/>
                <w:szCs w:val="21"/>
              </w:rPr>
            </w:pPr>
          </w:p>
        </w:tc>
        <w:tc>
          <w:tcPr>
            <w:tcW w:w="680" w:type="pct"/>
            <w:shd w:val="clear" w:color="auto" w:fill="auto"/>
            <w:tcMar>
              <w:left w:w="57" w:type="dxa"/>
              <w:right w:w="57" w:type="dxa"/>
            </w:tcMar>
            <w:vAlign w:val="center"/>
          </w:tcPr>
          <w:p w14:paraId="31C2D7BE">
            <w:pPr>
              <w:jc w:val="center"/>
              <w:rPr>
                <w:rFonts w:eastAsia="仿宋_GB2312"/>
                <w:color w:val="000000"/>
                <w:sz w:val="18"/>
                <w:szCs w:val="21"/>
              </w:rPr>
            </w:pPr>
            <w:r>
              <w:rPr>
                <w:rFonts w:eastAsia="仿宋_GB2312"/>
                <w:color w:val="000000"/>
                <w:sz w:val="18"/>
                <w:szCs w:val="21"/>
              </w:rPr>
              <w:t>2.22.2</w:t>
            </w:r>
          </w:p>
        </w:tc>
        <w:tc>
          <w:tcPr>
            <w:tcW w:w="4050" w:type="pct"/>
            <w:shd w:val="clear" w:color="auto" w:fill="auto"/>
            <w:tcMar>
              <w:left w:w="57" w:type="dxa"/>
              <w:right w:w="57" w:type="dxa"/>
            </w:tcMar>
            <w:vAlign w:val="center"/>
          </w:tcPr>
          <w:p w14:paraId="108DCC8D">
            <w:pPr>
              <w:jc w:val="left"/>
              <w:rPr>
                <w:rFonts w:eastAsia="仿宋_GB2312"/>
                <w:color w:val="000000" w:themeColor="text1"/>
                <w:sz w:val="18"/>
                <w:szCs w:val="21"/>
              </w:rPr>
            </w:pPr>
            <w:r>
              <w:rPr>
                <w:rFonts w:eastAsia="仿宋_GB2312"/>
                <w:color w:val="000000" w:themeColor="text1"/>
                <w:sz w:val="18"/>
                <w:szCs w:val="21"/>
              </w:rPr>
              <w:t>100级的洁净室（区）内不得设置地漏。</w:t>
            </w:r>
          </w:p>
        </w:tc>
      </w:tr>
      <w:tr w14:paraId="4DC1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FBD133C">
            <w:pPr>
              <w:jc w:val="left"/>
              <w:rPr>
                <w:rFonts w:eastAsia="仿宋_GB2312"/>
                <w:color w:val="000000"/>
                <w:sz w:val="18"/>
                <w:szCs w:val="21"/>
              </w:rPr>
            </w:pPr>
          </w:p>
        </w:tc>
        <w:tc>
          <w:tcPr>
            <w:tcW w:w="680" w:type="pct"/>
            <w:shd w:val="clear" w:color="auto" w:fill="auto"/>
            <w:tcMar>
              <w:left w:w="57" w:type="dxa"/>
              <w:right w:w="57" w:type="dxa"/>
            </w:tcMar>
            <w:vAlign w:val="center"/>
          </w:tcPr>
          <w:p w14:paraId="0E4E16A9">
            <w:pPr>
              <w:jc w:val="center"/>
              <w:rPr>
                <w:rFonts w:eastAsia="仿宋_GB2312"/>
                <w:color w:val="000000"/>
                <w:sz w:val="18"/>
                <w:szCs w:val="21"/>
              </w:rPr>
            </w:pPr>
            <w:r>
              <w:rPr>
                <w:rFonts w:eastAsia="仿宋_GB2312"/>
                <w:color w:val="000000"/>
                <w:sz w:val="18"/>
                <w:szCs w:val="21"/>
              </w:rPr>
              <w:t>2.23.1</w:t>
            </w:r>
          </w:p>
        </w:tc>
        <w:tc>
          <w:tcPr>
            <w:tcW w:w="4050" w:type="pct"/>
            <w:shd w:val="clear" w:color="auto" w:fill="auto"/>
            <w:tcMar>
              <w:left w:w="57" w:type="dxa"/>
              <w:right w:w="57" w:type="dxa"/>
            </w:tcMar>
            <w:vAlign w:val="center"/>
          </w:tcPr>
          <w:p w14:paraId="06B64B18">
            <w:pPr>
              <w:jc w:val="left"/>
              <w:rPr>
                <w:rFonts w:eastAsia="仿宋_GB2312"/>
                <w:color w:val="000000" w:themeColor="text1"/>
                <w:sz w:val="18"/>
                <w:szCs w:val="21"/>
              </w:rPr>
            </w:pPr>
            <w:r>
              <w:rPr>
                <w:rFonts w:eastAsia="仿宋_GB2312"/>
                <w:color w:val="000000" w:themeColor="text1"/>
                <w:sz w:val="18"/>
                <w:szCs w:val="21"/>
              </w:rPr>
              <w:t>产尘操作间应当保持相对负压或采取有效措施，防止粉尘扩散，避免交叉污染。</w:t>
            </w:r>
          </w:p>
        </w:tc>
      </w:tr>
      <w:tr w14:paraId="707C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67B0176">
            <w:pPr>
              <w:jc w:val="left"/>
              <w:rPr>
                <w:rFonts w:eastAsia="仿宋_GB2312"/>
                <w:color w:val="000000"/>
                <w:sz w:val="18"/>
                <w:szCs w:val="21"/>
              </w:rPr>
            </w:pPr>
          </w:p>
        </w:tc>
        <w:tc>
          <w:tcPr>
            <w:tcW w:w="680" w:type="pct"/>
            <w:shd w:val="clear" w:color="auto" w:fill="auto"/>
            <w:tcMar>
              <w:left w:w="57" w:type="dxa"/>
              <w:right w:w="57" w:type="dxa"/>
            </w:tcMar>
            <w:vAlign w:val="center"/>
          </w:tcPr>
          <w:p w14:paraId="172AAC68">
            <w:pPr>
              <w:jc w:val="center"/>
              <w:rPr>
                <w:rFonts w:eastAsia="仿宋_GB2312"/>
                <w:color w:val="000000"/>
                <w:sz w:val="18"/>
                <w:szCs w:val="21"/>
              </w:rPr>
            </w:pPr>
            <w:r>
              <w:rPr>
                <w:rFonts w:eastAsia="仿宋_GB2312"/>
                <w:color w:val="000000"/>
                <w:sz w:val="18"/>
                <w:szCs w:val="21"/>
              </w:rPr>
              <w:t>*2.24.1</w:t>
            </w:r>
          </w:p>
        </w:tc>
        <w:tc>
          <w:tcPr>
            <w:tcW w:w="4050" w:type="pct"/>
            <w:shd w:val="clear" w:color="auto" w:fill="auto"/>
            <w:tcMar>
              <w:left w:w="57" w:type="dxa"/>
              <w:right w:w="57" w:type="dxa"/>
            </w:tcMar>
            <w:vAlign w:val="center"/>
          </w:tcPr>
          <w:p w14:paraId="5116A880">
            <w:pPr>
              <w:jc w:val="left"/>
              <w:rPr>
                <w:rFonts w:eastAsia="仿宋_GB2312"/>
                <w:color w:val="000000" w:themeColor="text1"/>
                <w:sz w:val="18"/>
                <w:szCs w:val="21"/>
              </w:rPr>
            </w:pPr>
            <w:r>
              <w:rPr>
                <w:rFonts w:eastAsia="仿宋_GB2312"/>
                <w:color w:val="000000" w:themeColor="text1"/>
                <w:sz w:val="18"/>
                <w:szCs w:val="21"/>
              </w:rPr>
              <w:t>对具有污染性、传染性和高生物活性的物料应当在受控条件下进行处理，避免造成传染、污染或泄漏等。</w:t>
            </w:r>
          </w:p>
        </w:tc>
      </w:tr>
      <w:tr w14:paraId="5A38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2CD90A4">
            <w:pPr>
              <w:jc w:val="left"/>
              <w:rPr>
                <w:rFonts w:eastAsia="仿宋_GB2312"/>
                <w:color w:val="000000"/>
                <w:sz w:val="18"/>
                <w:szCs w:val="21"/>
              </w:rPr>
            </w:pPr>
          </w:p>
        </w:tc>
        <w:tc>
          <w:tcPr>
            <w:tcW w:w="680" w:type="pct"/>
            <w:shd w:val="clear" w:color="auto" w:fill="auto"/>
            <w:tcMar>
              <w:left w:w="57" w:type="dxa"/>
              <w:right w:w="57" w:type="dxa"/>
            </w:tcMar>
            <w:vAlign w:val="center"/>
          </w:tcPr>
          <w:p w14:paraId="4751A331">
            <w:pPr>
              <w:jc w:val="center"/>
              <w:rPr>
                <w:rFonts w:eastAsia="仿宋_GB2312"/>
                <w:color w:val="000000"/>
                <w:sz w:val="18"/>
                <w:szCs w:val="21"/>
              </w:rPr>
            </w:pPr>
            <w:r>
              <w:rPr>
                <w:rFonts w:eastAsia="仿宋_GB2312"/>
                <w:color w:val="000000"/>
                <w:sz w:val="18"/>
                <w:szCs w:val="21"/>
              </w:rPr>
              <w:t>*2.25.1</w:t>
            </w:r>
          </w:p>
        </w:tc>
        <w:tc>
          <w:tcPr>
            <w:tcW w:w="4050" w:type="pct"/>
            <w:shd w:val="clear" w:color="auto" w:fill="auto"/>
            <w:tcMar>
              <w:left w:w="57" w:type="dxa"/>
              <w:right w:w="57" w:type="dxa"/>
            </w:tcMar>
            <w:vAlign w:val="center"/>
          </w:tcPr>
          <w:p w14:paraId="4AF6B94B">
            <w:pPr>
              <w:jc w:val="left"/>
              <w:rPr>
                <w:rFonts w:eastAsia="仿宋_GB2312"/>
                <w:color w:val="000000" w:themeColor="text1"/>
                <w:sz w:val="18"/>
                <w:szCs w:val="21"/>
              </w:rPr>
            </w:pPr>
            <w:r>
              <w:rPr>
                <w:rFonts w:eastAsia="仿宋_GB2312"/>
                <w:color w:val="000000" w:themeColor="text1"/>
                <w:sz w:val="18"/>
                <w:szCs w:val="21"/>
              </w:rPr>
              <w:t>生产激素类、操作有致病性病原体或芽胞菌制品的，应当使用单独的空气净化系统，与相邻区域保持负压，排出的空气不能循环使用。</w:t>
            </w:r>
          </w:p>
          <w:p w14:paraId="0482E43A">
            <w:pPr>
              <w:jc w:val="left"/>
              <w:rPr>
                <w:rFonts w:eastAsia="仿宋_GB2312"/>
                <w:b/>
                <w:bCs/>
                <w:iCs/>
                <w:color w:val="000000" w:themeColor="text1"/>
                <w:sz w:val="18"/>
                <w:szCs w:val="21"/>
              </w:rPr>
            </w:pPr>
            <w:r>
              <w:rPr>
                <w:rFonts w:eastAsia="仿宋_GB2312"/>
                <w:b/>
                <w:bCs/>
                <w:iCs/>
                <w:color w:val="000000" w:themeColor="text1"/>
                <w:sz w:val="18"/>
                <w:szCs w:val="21"/>
              </w:rPr>
              <w:t>现场查看生产激素类、操作有致病性病原体、芽胞菌制品的区域与其他类产品生产区域是否严格分开。如系多楼层建筑，在同一生产层面与其他一般品种的生产线不能共用物料通道、人员通道、包装线等，防止产品交叉污染。</w:t>
            </w:r>
          </w:p>
          <w:p w14:paraId="48E60023">
            <w:pPr>
              <w:jc w:val="left"/>
              <w:rPr>
                <w:rFonts w:eastAsia="仿宋_GB2312"/>
                <w:b/>
                <w:bCs/>
                <w:iCs/>
                <w:color w:val="000000" w:themeColor="text1"/>
                <w:sz w:val="18"/>
                <w:szCs w:val="21"/>
              </w:rPr>
            </w:pPr>
            <w:r>
              <w:rPr>
                <w:rFonts w:eastAsia="仿宋_GB2312"/>
                <w:b/>
                <w:bCs/>
                <w:iCs/>
                <w:color w:val="000000" w:themeColor="text1"/>
                <w:sz w:val="18"/>
                <w:szCs w:val="21"/>
              </w:rPr>
              <w:t>现场查看是否为独立的空气净化系统，排出的空气不能循环使用。</w:t>
            </w:r>
          </w:p>
          <w:p w14:paraId="31B3D066">
            <w:pPr>
              <w:jc w:val="left"/>
              <w:rPr>
                <w:rFonts w:eastAsia="仿宋_GB2312"/>
                <w:b/>
                <w:bCs/>
                <w:iCs/>
                <w:color w:val="000000" w:themeColor="text1"/>
                <w:sz w:val="18"/>
                <w:szCs w:val="21"/>
              </w:rPr>
            </w:pPr>
            <w:r>
              <w:rPr>
                <w:rFonts w:eastAsia="仿宋_GB2312"/>
                <w:b/>
                <w:bCs/>
                <w:iCs/>
                <w:color w:val="000000" w:themeColor="text1"/>
                <w:sz w:val="18"/>
                <w:szCs w:val="21"/>
              </w:rPr>
              <w:t>现场查看压差表，是否与相邻区域保持负压。</w:t>
            </w:r>
          </w:p>
        </w:tc>
      </w:tr>
      <w:tr w14:paraId="6A3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9D33F9B">
            <w:pPr>
              <w:jc w:val="left"/>
              <w:rPr>
                <w:rFonts w:eastAsia="仿宋_GB2312"/>
                <w:color w:val="000000"/>
                <w:sz w:val="18"/>
                <w:szCs w:val="21"/>
              </w:rPr>
            </w:pPr>
          </w:p>
        </w:tc>
        <w:tc>
          <w:tcPr>
            <w:tcW w:w="680" w:type="pct"/>
            <w:shd w:val="clear" w:color="auto" w:fill="auto"/>
            <w:tcMar>
              <w:left w:w="57" w:type="dxa"/>
              <w:right w:w="57" w:type="dxa"/>
            </w:tcMar>
            <w:vAlign w:val="center"/>
          </w:tcPr>
          <w:p w14:paraId="4A5AFD19">
            <w:pPr>
              <w:jc w:val="center"/>
              <w:rPr>
                <w:rFonts w:eastAsia="仿宋_GB2312"/>
                <w:color w:val="000000"/>
                <w:sz w:val="18"/>
                <w:szCs w:val="21"/>
              </w:rPr>
            </w:pPr>
            <w:r>
              <w:rPr>
                <w:rFonts w:eastAsia="仿宋_GB2312"/>
                <w:color w:val="000000"/>
                <w:sz w:val="18"/>
                <w:szCs w:val="21"/>
              </w:rPr>
              <w:t>2.26.1</w:t>
            </w:r>
          </w:p>
        </w:tc>
        <w:tc>
          <w:tcPr>
            <w:tcW w:w="4050" w:type="pct"/>
            <w:shd w:val="clear" w:color="auto" w:fill="auto"/>
            <w:tcMar>
              <w:left w:w="57" w:type="dxa"/>
              <w:right w:w="57" w:type="dxa"/>
            </w:tcMar>
            <w:vAlign w:val="center"/>
          </w:tcPr>
          <w:p w14:paraId="50F57F5E">
            <w:pPr>
              <w:jc w:val="left"/>
              <w:rPr>
                <w:rFonts w:eastAsia="仿宋_GB2312"/>
                <w:color w:val="000000" w:themeColor="text1"/>
                <w:sz w:val="18"/>
                <w:szCs w:val="21"/>
              </w:rPr>
            </w:pPr>
            <w:r>
              <w:rPr>
                <w:rFonts w:eastAsia="仿宋_GB2312"/>
                <w:color w:val="000000" w:themeColor="text1"/>
                <w:sz w:val="18"/>
                <w:szCs w:val="21"/>
              </w:rPr>
              <w:t>进行危险度二级及以上的病原体操作应当配备生物安全柜，空气应当进行过滤处理后方可排出。</w:t>
            </w:r>
          </w:p>
        </w:tc>
      </w:tr>
      <w:tr w14:paraId="6A29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4617E62">
            <w:pPr>
              <w:jc w:val="left"/>
              <w:rPr>
                <w:rFonts w:eastAsia="仿宋_GB2312"/>
                <w:color w:val="000000"/>
                <w:sz w:val="18"/>
                <w:szCs w:val="21"/>
              </w:rPr>
            </w:pPr>
          </w:p>
        </w:tc>
        <w:tc>
          <w:tcPr>
            <w:tcW w:w="680" w:type="pct"/>
            <w:shd w:val="clear" w:color="auto" w:fill="auto"/>
            <w:tcMar>
              <w:left w:w="57" w:type="dxa"/>
              <w:right w:w="57" w:type="dxa"/>
            </w:tcMar>
            <w:vAlign w:val="center"/>
          </w:tcPr>
          <w:p w14:paraId="3F5724A6">
            <w:pPr>
              <w:jc w:val="center"/>
              <w:rPr>
                <w:rFonts w:eastAsia="仿宋_GB2312"/>
                <w:color w:val="000000"/>
                <w:sz w:val="18"/>
                <w:szCs w:val="21"/>
              </w:rPr>
            </w:pPr>
            <w:r>
              <w:rPr>
                <w:rFonts w:eastAsia="仿宋_GB2312"/>
                <w:color w:val="000000"/>
                <w:sz w:val="18"/>
                <w:szCs w:val="21"/>
              </w:rPr>
              <w:t>2.26.2</w:t>
            </w:r>
          </w:p>
        </w:tc>
        <w:tc>
          <w:tcPr>
            <w:tcW w:w="4050" w:type="pct"/>
            <w:shd w:val="clear" w:color="auto" w:fill="auto"/>
            <w:tcMar>
              <w:left w:w="57" w:type="dxa"/>
              <w:right w:w="57" w:type="dxa"/>
            </w:tcMar>
            <w:vAlign w:val="center"/>
          </w:tcPr>
          <w:p w14:paraId="5336A908">
            <w:pPr>
              <w:jc w:val="left"/>
              <w:rPr>
                <w:rFonts w:eastAsia="仿宋_GB2312"/>
                <w:color w:val="000000" w:themeColor="text1"/>
                <w:sz w:val="18"/>
                <w:szCs w:val="21"/>
              </w:rPr>
            </w:pPr>
            <w:r>
              <w:rPr>
                <w:rFonts w:eastAsia="仿宋_GB2312"/>
                <w:color w:val="000000" w:themeColor="text1"/>
                <w:sz w:val="18"/>
                <w:szCs w:val="21"/>
              </w:rPr>
              <w:t>应当对过滤器的性能进行定期检查以保证其有效性。</w:t>
            </w:r>
          </w:p>
          <w:p w14:paraId="32683DBC">
            <w:pPr>
              <w:jc w:val="left"/>
              <w:rPr>
                <w:rFonts w:eastAsia="仿宋_GB2312"/>
                <w:b/>
                <w:bCs/>
                <w:iCs/>
                <w:color w:val="000000" w:themeColor="text1"/>
                <w:sz w:val="18"/>
                <w:szCs w:val="21"/>
              </w:rPr>
            </w:pPr>
            <w:r>
              <w:rPr>
                <w:rFonts w:eastAsia="仿宋_GB2312"/>
                <w:b/>
                <w:bCs/>
                <w:iCs/>
                <w:color w:val="000000" w:themeColor="text1"/>
                <w:sz w:val="18"/>
                <w:szCs w:val="21"/>
              </w:rPr>
              <w:t>查看维护保养记录，是否进行定期检查。</w:t>
            </w:r>
          </w:p>
        </w:tc>
      </w:tr>
      <w:tr w14:paraId="5DFF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E79CC52">
            <w:pPr>
              <w:jc w:val="left"/>
              <w:rPr>
                <w:rFonts w:eastAsia="仿宋_GB2312"/>
                <w:color w:val="000000"/>
                <w:sz w:val="18"/>
                <w:szCs w:val="21"/>
              </w:rPr>
            </w:pPr>
          </w:p>
        </w:tc>
        <w:tc>
          <w:tcPr>
            <w:tcW w:w="680" w:type="pct"/>
            <w:shd w:val="clear" w:color="auto" w:fill="auto"/>
            <w:tcMar>
              <w:left w:w="57" w:type="dxa"/>
              <w:right w:w="57" w:type="dxa"/>
            </w:tcMar>
            <w:vAlign w:val="center"/>
          </w:tcPr>
          <w:p w14:paraId="6F201683">
            <w:pPr>
              <w:jc w:val="center"/>
              <w:rPr>
                <w:rFonts w:eastAsia="仿宋_GB2312"/>
                <w:color w:val="000000"/>
                <w:sz w:val="18"/>
                <w:szCs w:val="21"/>
              </w:rPr>
            </w:pPr>
            <w:r>
              <w:rPr>
                <w:rFonts w:eastAsia="仿宋_GB2312"/>
                <w:color w:val="000000"/>
                <w:sz w:val="18"/>
                <w:szCs w:val="21"/>
              </w:rPr>
              <w:t>2.26.3</w:t>
            </w:r>
          </w:p>
        </w:tc>
        <w:tc>
          <w:tcPr>
            <w:tcW w:w="4050" w:type="pct"/>
            <w:shd w:val="clear" w:color="auto" w:fill="auto"/>
            <w:tcMar>
              <w:left w:w="57" w:type="dxa"/>
              <w:right w:w="57" w:type="dxa"/>
            </w:tcMar>
            <w:vAlign w:val="center"/>
          </w:tcPr>
          <w:p w14:paraId="71A1460A">
            <w:pPr>
              <w:jc w:val="left"/>
              <w:rPr>
                <w:rFonts w:eastAsia="仿宋_GB2312"/>
                <w:color w:val="000000" w:themeColor="text1"/>
                <w:sz w:val="18"/>
                <w:szCs w:val="21"/>
              </w:rPr>
            </w:pPr>
            <w:r>
              <w:rPr>
                <w:rFonts w:eastAsia="仿宋_GB2312"/>
                <w:color w:val="000000" w:themeColor="text1"/>
                <w:sz w:val="18"/>
                <w:szCs w:val="21"/>
              </w:rPr>
              <w:t>使用病原体类检测试剂的阳性血清应当有相应的防护措施。</w:t>
            </w:r>
          </w:p>
          <w:p w14:paraId="1DC2CAD4">
            <w:pPr>
              <w:jc w:val="left"/>
              <w:rPr>
                <w:rFonts w:eastAsia="仿宋_GB2312"/>
                <w:b/>
                <w:bCs/>
                <w:iCs/>
                <w:color w:val="000000" w:themeColor="text1"/>
                <w:sz w:val="18"/>
                <w:szCs w:val="21"/>
              </w:rPr>
            </w:pPr>
            <w:r>
              <w:rPr>
                <w:rFonts w:eastAsia="仿宋_GB2312"/>
                <w:b/>
                <w:bCs/>
                <w:iCs/>
                <w:color w:val="000000" w:themeColor="text1"/>
                <w:sz w:val="18"/>
                <w:szCs w:val="21"/>
              </w:rPr>
              <w:t>查看相关文件，是否明确了防护措施。</w:t>
            </w:r>
          </w:p>
          <w:p w14:paraId="656AFFEB">
            <w:pPr>
              <w:jc w:val="left"/>
              <w:rPr>
                <w:rFonts w:eastAsia="仿宋_GB2312"/>
                <w:color w:val="000000" w:themeColor="text1"/>
                <w:sz w:val="18"/>
                <w:szCs w:val="21"/>
              </w:rPr>
            </w:pPr>
            <w:r>
              <w:rPr>
                <w:rFonts w:eastAsia="仿宋_GB2312"/>
                <w:b/>
                <w:bCs/>
                <w:iCs/>
                <w:color w:val="000000" w:themeColor="text1"/>
                <w:sz w:val="18"/>
                <w:szCs w:val="21"/>
              </w:rPr>
              <w:t>现场查看阳性血清的保存条件及使用记录。</w:t>
            </w:r>
          </w:p>
        </w:tc>
      </w:tr>
      <w:tr w14:paraId="5767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66B2981">
            <w:pPr>
              <w:jc w:val="left"/>
              <w:rPr>
                <w:rFonts w:eastAsia="仿宋_GB2312"/>
                <w:color w:val="000000"/>
                <w:sz w:val="18"/>
                <w:szCs w:val="21"/>
              </w:rPr>
            </w:pPr>
          </w:p>
        </w:tc>
        <w:tc>
          <w:tcPr>
            <w:tcW w:w="680" w:type="pct"/>
            <w:shd w:val="clear" w:color="auto" w:fill="auto"/>
            <w:tcMar>
              <w:left w:w="57" w:type="dxa"/>
              <w:right w:w="57" w:type="dxa"/>
            </w:tcMar>
            <w:vAlign w:val="center"/>
          </w:tcPr>
          <w:p w14:paraId="06D80067">
            <w:pPr>
              <w:jc w:val="center"/>
              <w:rPr>
                <w:rFonts w:eastAsia="仿宋_GB2312"/>
                <w:color w:val="000000"/>
                <w:sz w:val="18"/>
                <w:szCs w:val="21"/>
              </w:rPr>
            </w:pPr>
            <w:r>
              <w:rPr>
                <w:rFonts w:eastAsia="仿宋_GB2312"/>
                <w:color w:val="000000"/>
                <w:sz w:val="18"/>
                <w:szCs w:val="21"/>
              </w:rPr>
              <w:t>*2.27.1</w:t>
            </w:r>
          </w:p>
        </w:tc>
        <w:tc>
          <w:tcPr>
            <w:tcW w:w="4050" w:type="pct"/>
            <w:shd w:val="clear" w:color="auto" w:fill="auto"/>
            <w:tcMar>
              <w:left w:w="57" w:type="dxa"/>
              <w:right w:w="57" w:type="dxa"/>
            </w:tcMar>
            <w:vAlign w:val="center"/>
          </w:tcPr>
          <w:p w14:paraId="4DB30B4C">
            <w:pPr>
              <w:jc w:val="left"/>
              <w:rPr>
                <w:rFonts w:eastAsia="仿宋_GB2312"/>
                <w:color w:val="000000" w:themeColor="text1"/>
                <w:sz w:val="18"/>
                <w:szCs w:val="21"/>
              </w:rPr>
            </w:pPr>
            <w:r>
              <w:rPr>
                <w:rFonts w:eastAsia="仿宋_GB2312"/>
                <w:color w:val="000000" w:themeColor="text1"/>
                <w:sz w:val="18"/>
                <w:szCs w:val="21"/>
              </w:rPr>
              <w:t>对于特殊的高致病性病原体的采集、制备，应当按照有关部门颁布的行业标准如人间传染病微生物名录、微生物和生物医学实验室生物安全通用准则、实验室生物安全通用要求等相关规定，配备相应的生物安全设施。</w:t>
            </w:r>
          </w:p>
          <w:p w14:paraId="04BDEC5F">
            <w:pPr>
              <w:jc w:val="left"/>
              <w:rPr>
                <w:rFonts w:eastAsia="仿宋_GB2312"/>
                <w:b/>
                <w:bCs/>
                <w:iCs/>
                <w:color w:val="000000" w:themeColor="text1"/>
                <w:sz w:val="18"/>
                <w:szCs w:val="21"/>
              </w:rPr>
            </w:pPr>
            <w:r>
              <w:rPr>
                <w:rFonts w:eastAsia="仿宋_GB2312"/>
                <w:b/>
                <w:bCs/>
                <w:iCs/>
                <w:color w:val="000000" w:themeColor="text1"/>
                <w:sz w:val="18"/>
                <w:szCs w:val="21"/>
              </w:rPr>
              <w:t>查看相应文件，是否明确病原体的危险等级，生物安全防护要求是否符合相关规定。</w:t>
            </w:r>
          </w:p>
          <w:p w14:paraId="52739AA2">
            <w:pPr>
              <w:jc w:val="left"/>
              <w:rPr>
                <w:rFonts w:eastAsia="仿宋_GB2312"/>
                <w:color w:val="000000" w:themeColor="text1"/>
                <w:sz w:val="18"/>
                <w:szCs w:val="21"/>
              </w:rPr>
            </w:pPr>
            <w:r>
              <w:rPr>
                <w:rFonts w:eastAsia="仿宋_GB2312"/>
                <w:b/>
                <w:bCs/>
                <w:iCs/>
                <w:color w:val="000000" w:themeColor="text1"/>
                <w:sz w:val="18"/>
                <w:szCs w:val="21"/>
              </w:rPr>
              <w:t>现场查看是否配备生物安全设施，是否符合防护要求。</w:t>
            </w:r>
          </w:p>
        </w:tc>
      </w:tr>
      <w:tr w14:paraId="566F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773B1A2">
            <w:pPr>
              <w:jc w:val="left"/>
              <w:rPr>
                <w:rFonts w:eastAsia="仿宋_GB2312"/>
                <w:color w:val="000000"/>
                <w:sz w:val="18"/>
                <w:szCs w:val="21"/>
              </w:rPr>
            </w:pPr>
          </w:p>
        </w:tc>
        <w:tc>
          <w:tcPr>
            <w:tcW w:w="680" w:type="pct"/>
            <w:shd w:val="clear" w:color="auto" w:fill="auto"/>
            <w:tcMar>
              <w:left w:w="57" w:type="dxa"/>
              <w:right w:w="57" w:type="dxa"/>
            </w:tcMar>
            <w:vAlign w:val="center"/>
          </w:tcPr>
          <w:p w14:paraId="774D58AF">
            <w:pPr>
              <w:jc w:val="center"/>
              <w:rPr>
                <w:rFonts w:eastAsia="仿宋_GB2312"/>
                <w:color w:val="000000"/>
                <w:sz w:val="18"/>
                <w:szCs w:val="21"/>
              </w:rPr>
            </w:pPr>
            <w:r>
              <w:rPr>
                <w:rFonts w:eastAsia="仿宋_GB2312"/>
                <w:color w:val="000000"/>
                <w:sz w:val="18"/>
                <w:szCs w:val="21"/>
              </w:rPr>
              <w:t>*2.28.1</w:t>
            </w:r>
          </w:p>
        </w:tc>
        <w:tc>
          <w:tcPr>
            <w:tcW w:w="4050" w:type="pct"/>
            <w:shd w:val="clear" w:color="auto" w:fill="auto"/>
            <w:tcMar>
              <w:left w:w="57" w:type="dxa"/>
              <w:right w:w="57" w:type="dxa"/>
            </w:tcMar>
            <w:vAlign w:val="center"/>
          </w:tcPr>
          <w:p w14:paraId="3CE2347C">
            <w:pPr>
              <w:jc w:val="left"/>
              <w:rPr>
                <w:rFonts w:eastAsia="仿宋_GB2312"/>
                <w:color w:val="000000" w:themeColor="text1"/>
                <w:sz w:val="18"/>
                <w:szCs w:val="21"/>
              </w:rPr>
            </w:pPr>
            <w:r>
              <w:rPr>
                <w:rFonts w:eastAsia="仿宋_GB2312"/>
                <w:color w:val="000000" w:themeColor="text1"/>
                <w:sz w:val="18"/>
                <w:szCs w:val="21"/>
              </w:rPr>
              <w:t>生产聚合酶链反应（PCR）试剂的，其生产和检验应当在独立的建筑物或空间内，保证空气不直接联通，防止扩增时形成的气溶胶造成交叉污染。生产聚合酶链反应（PCR）试剂的，其生产和质检的器具不得混用，用后应严格清洗和消毒。</w:t>
            </w:r>
          </w:p>
        </w:tc>
      </w:tr>
      <w:tr w14:paraId="60B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3E5725A">
            <w:pPr>
              <w:jc w:val="left"/>
              <w:rPr>
                <w:rFonts w:eastAsia="仿宋_GB2312"/>
                <w:color w:val="000000"/>
                <w:sz w:val="18"/>
                <w:szCs w:val="21"/>
              </w:rPr>
            </w:pPr>
          </w:p>
        </w:tc>
        <w:tc>
          <w:tcPr>
            <w:tcW w:w="680" w:type="pct"/>
            <w:shd w:val="clear" w:color="auto" w:fill="auto"/>
            <w:tcMar>
              <w:left w:w="57" w:type="dxa"/>
              <w:right w:w="57" w:type="dxa"/>
            </w:tcMar>
            <w:vAlign w:val="center"/>
          </w:tcPr>
          <w:p w14:paraId="5D8C11CD">
            <w:pPr>
              <w:jc w:val="center"/>
              <w:rPr>
                <w:rFonts w:eastAsia="仿宋_GB2312"/>
                <w:color w:val="000000"/>
                <w:sz w:val="18"/>
                <w:szCs w:val="21"/>
              </w:rPr>
            </w:pPr>
            <w:r>
              <w:rPr>
                <w:rFonts w:eastAsia="仿宋_GB2312"/>
                <w:color w:val="000000"/>
                <w:sz w:val="18"/>
                <w:szCs w:val="21"/>
              </w:rPr>
              <w:t>2.29.1</w:t>
            </w:r>
          </w:p>
        </w:tc>
        <w:tc>
          <w:tcPr>
            <w:tcW w:w="4050" w:type="pct"/>
            <w:shd w:val="clear" w:color="auto" w:fill="auto"/>
            <w:tcMar>
              <w:left w:w="57" w:type="dxa"/>
              <w:right w:w="57" w:type="dxa"/>
            </w:tcMar>
            <w:vAlign w:val="center"/>
          </w:tcPr>
          <w:p w14:paraId="6AC576F0">
            <w:pPr>
              <w:jc w:val="left"/>
              <w:rPr>
                <w:rFonts w:eastAsia="仿宋_GB2312"/>
                <w:color w:val="000000" w:themeColor="text1"/>
                <w:sz w:val="18"/>
                <w:szCs w:val="21"/>
              </w:rPr>
            </w:pPr>
            <w:r>
              <w:rPr>
                <w:rFonts w:eastAsia="仿宋_GB2312"/>
                <w:color w:val="000000" w:themeColor="text1"/>
                <w:sz w:val="18"/>
                <w:szCs w:val="21"/>
              </w:rPr>
              <w:t>洁净室（区）内的人数应当与洁净室（区）面积相适应。</w:t>
            </w:r>
          </w:p>
          <w:p w14:paraId="416ADE94">
            <w:pPr>
              <w:jc w:val="left"/>
              <w:rPr>
                <w:rFonts w:eastAsia="仿宋_GB2312"/>
                <w:color w:val="000000" w:themeColor="text1"/>
                <w:sz w:val="18"/>
                <w:szCs w:val="21"/>
              </w:rPr>
            </w:pPr>
            <w:r>
              <w:rPr>
                <w:rFonts w:eastAsia="仿宋_GB2312"/>
                <w:b/>
                <w:color w:val="000000" w:themeColor="text1"/>
                <w:sz w:val="18"/>
                <w:szCs w:val="21"/>
              </w:rPr>
              <w:t>查看验证记录，是否对现场工作人员数量上限进行验证，确认能够满足洁净控制要求。核实现场工作人员数量，查看相关记录，不应超过验证时所确认的现场工作人员数量上限。</w:t>
            </w:r>
          </w:p>
        </w:tc>
      </w:tr>
      <w:tr w14:paraId="044E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BFB883D">
            <w:pPr>
              <w:jc w:val="left"/>
              <w:rPr>
                <w:rFonts w:eastAsia="仿宋_GB2312"/>
                <w:color w:val="000000"/>
                <w:sz w:val="18"/>
                <w:szCs w:val="21"/>
              </w:rPr>
            </w:pPr>
          </w:p>
        </w:tc>
        <w:tc>
          <w:tcPr>
            <w:tcW w:w="680" w:type="pct"/>
            <w:shd w:val="clear" w:color="auto" w:fill="auto"/>
            <w:tcMar>
              <w:left w:w="57" w:type="dxa"/>
              <w:right w:w="57" w:type="dxa"/>
            </w:tcMar>
            <w:vAlign w:val="center"/>
          </w:tcPr>
          <w:p w14:paraId="5E247278">
            <w:pPr>
              <w:jc w:val="center"/>
              <w:rPr>
                <w:rFonts w:eastAsia="仿宋_GB2312"/>
                <w:color w:val="000000"/>
                <w:sz w:val="18"/>
                <w:szCs w:val="21"/>
              </w:rPr>
            </w:pPr>
            <w:r>
              <w:rPr>
                <w:rFonts w:eastAsia="仿宋_GB2312"/>
                <w:color w:val="000000"/>
                <w:sz w:val="18"/>
                <w:szCs w:val="21"/>
              </w:rPr>
              <w:t>2.30.1</w:t>
            </w:r>
          </w:p>
        </w:tc>
        <w:tc>
          <w:tcPr>
            <w:tcW w:w="4050" w:type="pct"/>
            <w:shd w:val="clear" w:color="auto" w:fill="auto"/>
            <w:tcMar>
              <w:left w:w="57" w:type="dxa"/>
              <w:right w:w="57" w:type="dxa"/>
            </w:tcMar>
            <w:vAlign w:val="center"/>
          </w:tcPr>
          <w:p w14:paraId="19E3EED9">
            <w:pPr>
              <w:jc w:val="left"/>
              <w:rPr>
                <w:rFonts w:eastAsia="仿宋_GB2312"/>
                <w:color w:val="000000" w:themeColor="text1"/>
                <w:sz w:val="18"/>
                <w:szCs w:val="21"/>
              </w:rPr>
            </w:pPr>
            <w:r>
              <w:rPr>
                <w:rFonts w:eastAsia="仿宋_GB2312"/>
                <w:color w:val="000000" w:themeColor="text1"/>
                <w:sz w:val="18"/>
                <w:szCs w:val="21"/>
              </w:rPr>
              <w:t>对生产环境没有空气净化要求的体外诊断试剂，应当在清洁环境内进行生产。</w:t>
            </w:r>
          </w:p>
          <w:p w14:paraId="036CBC03">
            <w:pPr>
              <w:jc w:val="left"/>
              <w:rPr>
                <w:rFonts w:eastAsia="仿宋_GB2312"/>
                <w:color w:val="000000" w:themeColor="text1"/>
                <w:sz w:val="18"/>
                <w:szCs w:val="21"/>
              </w:rPr>
            </w:pPr>
            <w:r>
              <w:rPr>
                <w:rFonts w:eastAsia="仿宋_GB2312"/>
                <w:color w:val="000000" w:themeColor="text1"/>
                <w:sz w:val="18"/>
                <w:szCs w:val="21"/>
              </w:rPr>
              <w:t>清洁条件的基本要求：要有防尘、通风、防止昆虫或其他动物以及异物混入等措施；人流、物流分开，人员进入生产车间前应当有换鞋、更衣、佩戴口罩和帽子、洗手、手消毒等清洁措施；生产场地的地面应当便于清洁，墙、顶部应平整、光滑，无颗粒物脱落；操作台应当光滑、平整、无缝隙、耐腐蚀，便于清洗、消毒；应当对生产区域进行定期清洁、清洗和消毒；应当根据生产要求对生产车间的温湿度进行控制。</w:t>
            </w:r>
          </w:p>
        </w:tc>
      </w:tr>
      <w:tr w14:paraId="2B58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EF614FC">
            <w:pPr>
              <w:jc w:val="left"/>
              <w:rPr>
                <w:rFonts w:eastAsia="仿宋_GB2312"/>
                <w:color w:val="000000"/>
                <w:sz w:val="18"/>
                <w:szCs w:val="21"/>
              </w:rPr>
            </w:pPr>
          </w:p>
        </w:tc>
        <w:tc>
          <w:tcPr>
            <w:tcW w:w="680" w:type="pct"/>
            <w:shd w:val="clear" w:color="auto" w:fill="auto"/>
            <w:tcMar>
              <w:left w:w="57" w:type="dxa"/>
              <w:right w:w="57" w:type="dxa"/>
            </w:tcMar>
            <w:vAlign w:val="center"/>
          </w:tcPr>
          <w:p w14:paraId="5505FAFB">
            <w:pPr>
              <w:jc w:val="center"/>
              <w:rPr>
                <w:rFonts w:eastAsia="仿宋_GB2312"/>
                <w:color w:val="000000"/>
                <w:sz w:val="18"/>
                <w:szCs w:val="21"/>
              </w:rPr>
            </w:pPr>
            <w:r>
              <w:rPr>
                <w:rFonts w:eastAsia="仿宋_GB2312"/>
                <w:color w:val="000000"/>
                <w:sz w:val="18"/>
                <w:szCs w:val="21"/>
              </w:rPr>
              <w:t>*2.31.1</w:t>
            </w:r>
          </w:p>
        </w:tc>
        <w:tc>
          <w:tcPr>
            <w:tcW w:w="4050" w:type="pct"/>
            <w:shd w:val="clear" w:color="auto" w:fill="auto"/>
            <w:tcMar>
              <w:left w:w="57" w:type="dxa"/>
              <w:right w:w="57" w:type="dxa"/>
            </w:tcMar>
            <w:vAlign w:val="center"/>
          </w:tcPr>
          <w:p w14:paraId="7795317B">
            <w:pPr>
              <w:jc w:val="left"/>
              <w:rPr>
                <w:rFonts w:eastAsia="仿宋_GB2312"/>
                <w:color w:val="000000" w:themeColor="text1"/>
                <w:sz w:val="18"/>
                <w:szCs w:val="21"/>
              </w:rPr>
            </w:pPr>
            <w:r>
              <w:rPr>
                <w:rFonts w:eastAsia="仿宋_GB2312"/>
                <w:color w:val="000000" w:themeColor="text1"/>
                <w:sz w:val="18"/>
                <w:szCs w:val="21"/>
              </w:rPr>
              <w:t>易燃、易爆、有毒、有害、具有污染性或传染性、具有生物活性或来源于生物体的物料的管理应当符合国家相关规定。所涉及的物料应当列出清单，专区存放、专人保管和发放，并制定相应的防护规程。</w:t>
            </w:r>
          </w:p>
          <w:p w14:paraId="4ADB1A02">
            <w:pPr>
              <w:jc w:val="left"/>
              <w:rPr>
                <w:rFonts w:eastAsia="仿宋_GB2312"/>
                <w:b/>
                <w:color w:val="000000" w:themeColor="text1"/>
                <w:sz w:val="18"/>
                <w:szCs w:val="21"/>
              </w:rPr>
            </w:pPr>
            <w:r>
              <w:rPr>
                <w:rFonts w:eastAsia="仿宋_GB2312"/>
                <w:b/>
                <w:color w:val="000000" w:themeColor="text1"/>
                <w:sz w:val="18"/>
                <w:szCs w:val="21"/>
              </w:rPr>
              <w:t>查看清单，是否将易燃、易爆、有毒、有害、具有污染性或传染性、具有生物活性或来源于生物体的物料均已纳入。</w:t>
            </w:r>
          </w:p>
          <w:p w14:paraId="52C205C5">
            <w:pPr>
              <w:jc w:val="left"/>
              <w:rPr>
                <w:rFonts w:eastAsia="仿宋_GB2312"/>
                <w:b/>
                <w:color w:val="000000" w:themeColor="text1"/>
                <w:sz w:val="18"/>
                <w:szCs w:val="21"/>
              </w:rPr>
            </w:pPr>
            <w:r>
              <w:rPr>
                <w:rFonts w:eastAsia="仿宋_GB2312"/>
                <w:b/>
                <w:color w:val="000000" w:themeColor="text1"/>
                <w:sz w:val="18"/>
                <w:szCs w:val="21"/>
              </w:rPr>
              <w:t>查看防护规程，是否明确管理、防护要求。</w:t>
            </w:r>
          </w:p>
          <w:p w14:paraId="67D6FFED">
            <w:pPr>
              <w:jc w:val="left"/>
              <w:rPr>
                <w:rFonts w:eastAsia="仿宋_GB2312"/>
                <w:color w:val="000000" w:themeColor="text1"/>
                <w:sz w:val="18"/>
                <w:szCs w:val="21"/>
              </w:rPr>
            </w:pPr>
            <w:r>
              <w:rPr>
                <w:rFonts w:eastAsia="仿宋_GB2312"/>
                <w:b/>
                <w:color w:val="000000" w:themeColor="text1"/>
                <w:sz w:val="18"/>
                <w:szCs w:val="21"/>
              </w:rPr>
              <w:t>现场查看是否专区、专人管理，是否有发放记录。</w:t>
            </w:r>
          </w:p>
        </w:tc>
      </w:tr>
      <w:tr w14:paraId="3223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EF34602">
            <w:pPr>
              <w:jc w:val="left"/>
              <w:rPr>
                <w:rFonts w:eastAsia="仿宋_GB2312"/>
                <w:color w:val="000000"/>
                <w:sz w:val="18"/>
                <w:szCs w:val="21"/>
              </w:rPr>
            </w:pPr>
          </w:p>
        </w:tc>
        <w:tc>
          <w:tcPr>
            <w:tcW w:w="680" w:type="pct"/>
            <w:shd w:val="clear" w:color="auto" w:fill="auto"/>
            <w:tcMar>
              <w:left w:w="57" w:type="dxa"/>
              <w:right w:w="57" w:type="dxa"/>
            </w:tcMar>
            <w:vAlign w:val="center"/>
          </w:tcPr>
          <w:p w14:paraId="495C3D03">
            <w:pPr>
              <w:jc w:val="center"/>
              <w:rPr>
                <w:rFonts w:eastAsia="仿宋_GB2312"/>
                <w:color w:val="000000"/>
                <w:sz w:val="18"/>
                <w:szCs w:val="21"/>
              </w:rPr>
            </w:pPr>
            <w:r>
              <w:rPr>
                <w:rFonts w:eastAsia="仿宋_GB2312"/>
                <w:color w:val="000000"/>
                <w:sz w:val="18"/>
                <w:szCs w:val="21"/>
              </w:rPr>
              <w:t>2.32.1</w:t>
            </w:r>
          </w:p>
        </w:tc>
        <w:tc>
          <w:tcPr>
            <w:tcW w:w="4050" w:type="pct"/>
            <w:shd w:val="clear" w:color="auto" w:fill="auto"/>
            <w:tcMar>
              <w:left w:w="57" w:type="dxa"/>
              <w:right w:w="57" w:type="dxa"/>
            </w:tcMar>
            <w:vAlign w:val="center"/>
          </w:tcPr>
          <w:p w14:paraId="07137D2F">
            <w:pPr>
              <w:jc w:val="left"/>
              <w:rPr>
                <w:rFonts w:eastAsia="仿宋_GB2312"/>
                <w:b/>
                <w:color w:val="000000" w:themeColor="text1"/>
                <w:sz w:val="18"/>
                <w:szCs w:val="21"/>
              </w:rPr>
            </w:pPr>
            <w:r>
              <w:rPr>
                <w:rFonts w:eastAsia="仿宋_GB2312"/>
                <w:color w:val="000000" w:themeColor="text1"/>
                <w:sz w:val="18"/>
                <w:szCs w:val="21"/>
              </w:rPr>
              <w:t>动物室应当在隔离良好的建筑体内，与生产、质检区分开，不得对生产造成污染。</w:t>
            </w:r>
          </w:p>
        </w:tc>
      </w:tr>
      <w:tr w14:paraId="6B1D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727D032A">
            <w:pPr>
              <w:jc w:val="left"/>
              <w:rPr>
                <w:rFonts w:eastAsia="仿宋_GB2312"/>
                <w:b/>
                <w:color w:val="000000"/>
                <w:kern w:val="0"/>
                <w:sz w:val="22"/>
                <w:szCs w:val="28"/>
                <w:lang w:bidi="bn-IN"/>
              </w:rPr>
            </w:pPr>
            <w:r>
              <w:rPr>
                <w:rFonts w:eastAsia="仿宋_GB2312"/>
                <w:b/>
                <w:color w:val="000000"/>
                <w:kern w:val="0"/>
                <w:sz w:val="22"/>
                <w:szCs w:val="28"/>
                <w:lang w:bidi="bn-IN"/>
              </w:rPr>
              <w:t>设</w:t>
            </w:r>
          </w:p>
          <w:p w14:paraId="22F2A0FC">
            <w:pPr>
              <w:jc w:val="left"/>
              <w:rPr>
                <w:rFonts w:eastAsia="仿宋_GB2312"/>
                <w:b/>
                <w:color w:val="000000"/>
                <w:kern w:val="0"/>
                <w:sz w:val="22"/>
                <w:szCs w:val="28"/>
                <w:lang w:bidi="bn-IN"/>
              </w:rPr>
            </w:pPr>
          </w:p>
          <w:p w14:paraId="6DB7A508">
            <w:pPr>
              <w:jc w:val="left"/>
              <w:rPr>
                <w:rFonts w:eastAsia="仿宋_GB2312"/>
                <w:b/>
                <w:color w:val="000000"/>
                <w:kern w:val="0"/>
                <w:sz w:val="22"/>
                <w:szCs w:val="28"/>
                <w:lang w:bidi="bn-IN"/>
              </w:rPr>
            </w:pPr>
          </w:p>
          <w:p w14:paraId="4AC5FD30">
            <w:pPr>
              <w:jc w:val="left"/>
              <w:rPr>
                <w:rFonts w:eastAsia="仿宋_GB2312"/>
                <w:b/>
                <w:color w:val="000000"/>
                <w:sz w:val="18"/>
                <w:szCs w:val="21"/>
              </w:rPr>
            </w:pPr>
            <w:r>
              <w:rPr>
                <w:rFonts w:eastAsia="仿宋_GB2312"/>
                <w:b/>
                <w:color w:val="000000"/>
                <w:kern w:val="0"/>
                <w:sz w:val="22"/>
                <w:szCs w:val="28"/>
                <w:lang w:bidi="bn-IN"/>
              </w:rPr>
              <w:t>备</w:t>
            </w:r>
          </w:p>
          <w:p w14:paraId="4C217DB6">
            <w:pPr>
              <w:jc w:val="left"/>
              <w:rPr>
                <w:rFonts w:eastAsia="仿宋_GB2312"/>
                <w:b/>
                <w:bCs/>
                <w:color w:val="000000"/>
                <w:sz w:val="18"/>
                <w:szCs w:val="21"/>
              </w:rPr>
            </w:pPr>
          </w:p>
        </w:tc>
        <w:tc>
          <w:tcPr>
            <w:tcW w:w="680" w:type="pct"/>
            <w:shd w:val="clear" w:color="auto" w:fill="auto"/>
            <w:tcMar>
              <w:left w:w="57" w:type="dxa"/>
              <w:right w:w="57" w:type="dxa"/>
            </w:tcMar>
            <w:vAlign w:val="center"/>
          </w:tcPr>
          <w:p w14:paraId="3416476F">
            <w:pPr>
              <w:jc w:val="center"/>
              <w:rPr>
                <w:rFonts w:eastAsia="仿宋_GB2312"/>
                <w:color w:val="000000"/>
                <w:sz w:val="18"/>
                <w:szCs w:val="21"/>
              </w:rPr>
            </w:pPr>
            <w:r>
              <w:rPr>
                <w:rFonts w:eastAsia="仿宋_GB2312"/>
                <w:color w:val="000000" w:themeColor="text1"/>
                <w:kern w:val="0"/>
                <w:sz w:val="18"/>
                <w:szCs w:val="21"/>
                <w:lang w:bidi="bn-IN"/>
              </w:rPr>
              <w:t>*3.1.1</w:t>
            </w:r>
          </w:p>
        </w:tc>
        <w:tc>
          <w:tcPr>
            <w:tcW w:w="4050" w:type="pct"/>
            <w:shd w:val="clear" w:color="auto" w:fill="auto"/>
            <w:tcMar>
              <w:left w:w="57" w:type="dxa"/>
              <w:right w:w="57" w:type="dxa"/>
            </w:tcMar>
          </w:tcPr>
          <w:p w14:paraId="00F10D3F">
            <w:pPr>
              <w:adjustRightInd w:val="0"/>
              <w:snapToGrid w:val="0"/>
              <w:rPr>
                <w:rFonts w:eastAsia="仿宋_GB2312"/>
                <w:color w:val="000000" w:themeColor="text1"/>
                <w:sz w:val="18"/>
                <w:szCs w:val="21"/>
              </w:rPr>
            </w:pPr>
            <w:r>
              <w:rPr>
                <w:rFonts w:eastAsia="仿宋_GB2312"/>
                <w:color w:val="000000" w:themeColor="text1"/>
                <w:sz w:val="18"/>
                <w:szCs w:val="21"/>
              </w:rPr>
              <w:t>应当配备与所生产产品和规模相匹配的生产设备、工艺装备，应当确保有效运行。</w:t>
            </w:r>
          </w:p>
          <w:p w14:paraId="4AF719B5">
            <w:pPr>
              <w:jc w:val="left"/>
              <w:rPr>
                <w:rFonts w:eastAsia="仿宋_GB2312"/>
                <w:b/>
                <w:iCs/>
                <w:color w:val="000000" w:themeColor="text1"/>
                <w:sz w:val="18"/>
                <w:szCs w:val="21"/>
              </w:rPr>
            </w:pPr>
            <w:r>
              <w:rPr>
                <w:rFonts w:eastAsia="仿宋_GB2312"/>
                <w:b/>
                <w:color w:val="000000" w:themeColor="text1"/>
                <w:sz w:val="18"/>
                <w:szCs w:val="21"/>
              </w:rPr>
              <w:t>对照生产工艺流程图，查看设备清单，所列设备是否满足生产需要；核查现场设备是否与设备清单相关内容一致；应当制定设备管理制度。</w:t>
            </w:r>
          </w:p>
        </w:tc>
      </w:tr>
      <w:tr w14:paraId="6CC3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529AA88">
            <w:pPr>
              <w:jc w:val="left"/>
              <w:rPr>
                <w:rFonts w:eastAsia="仿宋_GB2312"/>
                <w:color w:val="000000"/>
                <w:sz w:val="18"/>
                <w:szCs w:val="21"/>
              </w:rPr>
            </w:pPr>
          </w:p>
        </w:tc>
        <w:tc>
          <w:tcPr>
            <w:tcW w:w="680" w:type="pct"/>
            <w:shd w:val="clear" w:color="auto" w:fill="auto"/>
            <w:tcMar>
              <w:left w:w="57" w:type="dxa"/>
              <w:right w:w="57" w:type="dxa"/>
            </w:tcMar>
            <w:vAlign w:val="center"/>
          </w:tcPr>
          <w:p w14:paraId="478AD8EC">
            <w:pPr>
              <w:jc w:val="center"/>
              <w:rPr>
                <w:rFonts w:eastAsia="仿宋_GB2312"/>
                <w:color w:val="000000"/>
                <w:sz w:val="18"/>
                <w:szCs w:val="21"/>
              </w:rPr>
            </w:pPr>
            <w:r>
              <w:rPr>
                <w:rFonts w:eastAsia="仿宋_GB2312"/>
                <w:color w:val="000000"/>
                <w:sz w:val="18"/>
                <w:szCs w:val="21"/>
              </w:rPr>
              <w:t>3.2.1</w:t>
            </w:r>
          </w:p>
        </w:tc>
        <w:tc>
          <w:tcPr>
            <w:tcW w:w="4050" w:type="pct"/>
            <w:shd w:val="clear" w:color="auto" w:fill="auto"/>
            <w:tcMar>
              <w:left w:w="57" w:type="dxa"/>
              <w:right w:w="57" w:type="dxa"/>
            </w:tcMar>
            <w:vAlign w:val="center"/>
          </w:tcPr>
          <w:p w14:paraId="165DD6C1">
            <w:pPr>
              <w:jc w:val="left"/>
              <w:rPr>
                <w:rFonts w:eastAsia="仿宋_GB2312"/>
                <w:color w:val="000000" w:themeColor="text1"/>
                <w:sz w:val="18"/>
                <w:szCs w:val="21"/>
              </w:rPr>
            </w:pPr>
            <w:r>
              <w:rPr>
                <w:rFonts w:eastAsia="仿宋_GB2312"/>
                <w:color w:val="000000" w:themeColor="text1"/>
                <w:sz w:val="18"/>
                <w:szCs w:val="21"/>
              </w:rPr>
              <w:t>生产设备的设计、选型、安装、维修和维护应当符合预定用途，便于操作、清洁和维护。</w:t>
            </w:r>
          </w:p>
          <w:p w14:paraId="46ECD8B2">
            <w:pPr>
              <w:jc w:val="left"/>
              <w:rPr>
                <w:rFonts w:eastAsia="仿宋_GB2312"/>
                <w:b/>
                <w:bCs/>
                <w:iCs/>
                <w:color w:val="000000" w:themeColor="text1"/>
                <w:sz w:val="18"/>
                <w:szCs w:val="21"/>
              </w:rPr>
            </w:pPr>
            <w:r>
              <w:rPr>
                <w:rFonts w:eastAsia="仿宋_GB2312"/>
                <w:b/>
                <w:bCs/>
                <w:iCs/>
                <w:color w:val="000000" w:themeColor="text1"/>
                <w:sz w:val="18"/>
                <w:szCs w:val="21"/>
              </w:rPr>
              <w:t>查看生产设备验证记录，确认是否满足预定要求。现场查看生产设备是否便于操作、清洁和维护。</w:t>
            </w:r>
          </w:p>
        </w:tc>
      </w:tr>
      <w:tr w14:paraId="3EE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B75417F">
            <w:pPr>
              <w:jc w:val="left"/>
              <w:rPr>
                <w:rFonts w:eastAsia="仿宋_GB2312"/>
                <w:color w:val="000000"/>
                <w:sz w:val="18"/>
                <w:szCs w:val="21"/>
              </w:rPr>
            </w:pPr>
          </w:p>
        </w:tc>
        <w:tc>
          <w:tcPr>
            <w:tcW w:w="680" w:type="pct"/>
            <w:shd w:val="clear" w:color="auto" w:fill="auto"/>
            <w:tcMar>
              <w:left w:w="57" w:type="dxa"/>
              <w:right w:w="57" w:type="dxa"/>
            </w:tcMar>
            <w:vAlign w:val="center"/>
          </w:tcPr>
          <w:p w14:paraId="0CE9E4C5">
            <w:pPr>
              <w:jc w:val="center"/>
              <w:rPr>
                <w:rFonts w:eastAsia="仿宋_GB2312"/>
                <w:color w:val="000000"/>
                <w:sz w:val="18"/>
                <w:szCs w:val="21"/>
              </w:rPr>
            </w:pPr>
            <w:r>
              <w:rPr>
                <w:rFonts w:eastAsia="仿宋_GB2312"/>
                <w:color w:val="000000"/>
                <w:sz w:val="18"/>
                <w:szCs w:val="21"/>
              </w:rPr>
              <w:t>3.2.2</w:t>
            </w:r>
          </w:p>
        </w:tc>
        <w:tc>
          <w:tcPr>
            <w:tcW w:w="4050" w:type="pct"/>
            <w:shd w:val="clear" w:color="auto" w:fill="auto"/>
            <w:tcMar>
              <w:left w:w="57" w:type="dxa"/>
              <w:right w:w="57" w:type="dxa"/>
            </w:tcMar>
            <w:vAlign w:val="center"/>
          </w:tcPr>
          <w:p w14:paraId="0688E40E">
            <w:pPr>
              <w:jc w:val="left"/>
              <w:rPr>
                <w:rFonts w:eastAsia="仿宋_GB2312"/>
                <w:color w:val="000000" w:themeColor="text1"/>
                <w:sz w:val="18"/>
                <w:szCs w:val="21"/>
              </w:rPr>
            </w:pPr>
            <w:r>
              <w:rPr>
                <w:rFonts w:eastAsia="仿宋_GB2312"/>
                <w:color w:val="000000" w:themeColor="text1"/>
                <w:sz w:val="18"/>
                <w:szCs w:val="21"/>
              </w:rPr>
              <w:t>生产设备应当有明显的状态标识，防止非预期使用。</w:t>
            </w:r>
          </w:p>
          <w:p w14:paraId="48BF90FF">
            <w:pPr>
              <w:jc w:val="left"/>
              <w:rPr>
                <w:rFonts w:eastAsia="仿宋_GB2312"/>
                <w:b/>
                <w:bCs/>
                <w:iCs/>
                <w:color w:val="000000" w:themeColor="text1"/>
                <w:sz w:val="18"/>
                <w:szCs w:val="21"/>
              </w:rPr>
            </w:pPr>
            <w:r>
              <w:rPr>
                <w:rFonts w:eastAsia="仿宋_GB2312"/>
                <w:b/>
                <w:bCs/>
                <w:iCs/>
                <w:color w:val="000000" w:themeColor="text1"/>
                <w:sz w:val="18"/>
                <w:szCs w:val="21"/>
              </w:rPr>
              <w:t>现场查看生产设备标识。</w:t>
            </w:r>
            <w:r>
              <w:rPr>
                <w:rFonts w:eastAsia="仿宋_GB2312"/>
                <w:b/>
                <w:bCs/>
                <w:iCs/>
                <w:color w:val="000000" w:themeColor="text1"/>
                <w:sz w:val="18"/>
                <w:szCs w:val="21"/>
              </w:rPr>
              <w:tab/>
            </w:r>
          </w:p>
        </w:tc>
      </w:tr>
      <w:tr w14:paraId="41AF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E84CFBC">
            <w:pPr>
              <w:jc w:val="left"/>
              <w:rPr>
                <w:rFonts w:eastAsia="仿宋_GB2312"/>
                <w:color w:val="000000"/>
                <w:sz w:val="18"/>
                <w:szCs w:val="21"/>
              </w:rPr>
            </w:pPr>
          </w:p>
        </w:tc>
        <w:tc>
          <w:tcPr>
            <w:tcW w:w="680" w:type="pct"/>
            <w:shd w:val="clear" w:color="auto" w:fill="auto"/>
            <w:tcMar>
              <w:left w:w="57" w:type="dxa"/>
              <w:right w:w="57" w:type="dxa"/>
            </w:tcMar>
            <w:vAlign w:val="center"/>
          </w:tcPr>
          <w:p w14:paraId="67765B06">
            <w:pPr>
              <w:jc w:val="center"/>
              <w:rPr>
                <w:rFonts w:eastAsia="仿宋_GB2312"/>
                <w:color w:val="000000"/>
                <w:sz w:val="18"/>
                <w:szCs w:val="21"/>
              </w:rPr>
            </w:pPr>
            <w:r>
              <w:rPr>
                <w:rFonts w:eastAsia="仿宋_GB2312"/>
                <w:color w:val="000000"/>
                <w:sz w:val="18"/>
                <w:szCs w:val="21"/>
              </w:rPr>
              <w:t>3.2.3</w:t>
            </w:r>
          </w:p>
        </w:tc>
        <w:tc>
          <w:tcPr>
            <w:tcW w:w="4050" w:type="pct"/>
            <w:shd w:val="clear" w:color="auto" w:fill="auto"/>
            <w:tcMar>
              <w:left w:w="57" w:type="dxa"/>
              <w:right w:w="57" w:type="dxa"/>
            </w:tcMar>
            <w:vAlign w:val="center"/>
          </w:tcPr>
          <w:p w14:paraId="27E8BE4A">
            <w:pPr>
              <w:jc w:val="left"/>
              <w:rPr>
                <w:rFonts w:eastAsia="仿宋_GB2312"/>
                <w:iCs/>
                <w:color w:val="000000" w:themeColor="text1"/>
                <w:sz w:val="18"/>
                <w:szCs w:val="21"/>
              </w:rPr>
            </w:pPr>
            <w:r>
              <w:rPr>
                <w:rFonts w:eastAsia="仿宋_GB2312"/>
                <w:color w:val="000000" w:themeColor="text1"/>
                <w:sz w:val="18"/>
                <w:szCs w:val="21"/>
              </w:rPr>
              <w:t>应当建立生产设备使用、清洁、维护和维修的操作规程，并保存相应的设备操作记录。</w:t>
            </w:r>
          </w:p>
        </w:tc>
      </w:tr>
      <w:tr w14:paraId="49CE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55B5155">
            <w:pPr>
              <w:jc w:val="left"/>
              <w:rPr>
                <w:rFonts w:eastAsia="仿宋_GB2312"/>
                <w:color w:val="000000"/>
                <w:sz w:val="18"/>
                <w:szCs w:val="21"/>
              </w:rPr>
            </w:pPr>
          </w:p>
        </w:tc>
        <w:tc>
          <w:tcPr>
            <w:tcW w:w="680" w:type="pct"/>
            <w:shd w:val="clear" w:color="auto" w:fill="auto"/>
            <w:tcMar>
              <w:left w:w="57" w:type="dxa"/>
              <w:right w:w="57" w:type="dxa"/>
            </w:tcMar>
            <w:vAlign w:val="center"/>
          </w:tcPr>
          <w:p w14:paraId="66691A2C">
            <w:pPr>
              <w:jc w:val="center"/>
              <w:rPr>
                <w:rFonts w:eastAsia="仿宋_GB2312"/>
                <w:color w:val="000000"/>
                <w:sz w:val="18"/>
                <w:szCs w:val="21"/>
              </w:rPr>
            </w:pPr>
            <w:r>
              <w:rPr>
                <w:rFonts w:eastAsia="仿宋_GB2312"/>
                <w:color w:val="000000"/>
                <w:sz w:val="18"/>
                <w:szCs w:val="21"/>
              </w:rPr>
              <w:t>*3.3.1</w:t>
            </w:r>
          </w:p>
        </w:tc>
        <w:tc>
          <w:tcPr>
            <w:tcW w:w="4050" w:type="pct"/>
            <w:shd w:val="clear" w:color="auto" w:fill="auto"/>
            <w:tcMar>
              <w:left w:w="57" w:type="dxa"/>
              <w:right w:w="57" w:type="dxa"/>
            </w:tcMar>
            <w:vAlign w:val="center"/>
          </w:tcPr>
          <w:p w14:paraId="70F04C5E">
            <w:pPr>
              <w:jc w:val="left"/>
              <w:rPr>
                <w:rFonts w:eastAsia="仿宋_GB2312"/>
                <w:color w:val="000000" w:themeColor="text1"/>
                <w:sz w:val="18"/>
                <w:szCs w:val="21"/>
              </w:rPr>
            </w:pPr>
            <w:r>
              <w:rPr>
                <w:rFonts w:eastAsia="仿宋_GB2312"/>
                <w:color w:val="000000" w:themeColor="text1"/>
                <w:sz w:val="18"/>
                <w:szCs w:val="21"/>
              </w:rPr>
              <w:t>应当配备与产品检验要求相适应的检验仪器和设备，主要检验仪器和设备应当具有明确的操作规程。</w:t>
            </w:r>
          </w:p>
          <w:p w14:paraId="5A6A3729">
            <w:pPr>
              <w:jc w:val="left"/>
              <w:rPr>
                <w:rFonts w:eastAsia="仿宋_GB2312"/>
                <w:b/>
                <w:bCs/>
                <w:iCs/>
                <w:color w:val="000000" w:themeColor="text1"/>
                <w:sz w:val="18"/>
                <w:szCs w:val="21"/>
              </w:rPr>
            </w:pPr>
            <w:r>
              <w:rPr>
                <w:rFonts w:eastAsia="仿宋_GB2312"/>
                <w:b/>
                <w:bCs/>
                <w:iCs/>
                <w:color w:val="000000" w:themeColor="text1"/>
                <w:sz w:val="18"/>
                <w:szCs w:val="21"/>
              </w:rPr>
              <w:t>对照产品检验要求和检验方法，核实企业是否具备相关检测设备。主要检测设备是否制定的了操作规程。</w:t>
            </w:r>
          </w:p>
        </w:tc>
      </w:tr>
      <w:tr w14:paraId="0C73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BA735D9">
            <w:pPr>
              <w:jc w:val="left"/>
              <w:rPr>
                <w:rFonts w:eastAsia="仿宋_GB2312"/>
                <w:color w:val="000000"/>
                <w:sz w:val="18"/>
                <w:szCs w:val="21"/>
              </w:rPr>
            </w:pPr>
          </w:p>
        </w:tc>
        <w:tc>
          <w:tcPr>
            <w:tcW w:w="680" w:type="pct"/>
            <w:shd w:val="clear" w:color="auto" w:fill="auto"/>
            <w:tcMar>
              <w:left w:w="57" w:type="dxa"/>
              <w:right w:w="57" w:type="dxa"/>
            </w:tcMar>
            <w:vAlign w:val="center"/>
          </w:tcPr>
          <w:p w14:paraId="49F4C086">
            <w:pPr>
              <w:jc w:val="center"/>
              <w:rPr>
                <w:rFonts w:eastAsia="仿宋_GB2312"/>
                <w:color w:val="000000"/>
                <w:sz w:val="18"/>
                <w:szCs w:val="21"/>
              </w:rPr>
            </w:pPr>
            <w:r>
              <w:rPr>
                <w:rFonts w:eastAsia="仿宋_GB2312"/>
                <w:color w:val="000000"/>
                <w:sz w:val="18"/>
                <w:szCs w:val="21"/>
              </w:rPr>
              <w:t>3.4.1</w:t>
            </w:r>
          </w:p>
        </w:tc>
        <w:tc>
          <w:tcPr>
            <w:tcW w:w="4050" w:type="pct"/>
            <w:shd w:val="clear" w:color="auto" w:fill="auto"/>
            <w:tcMar>
              <w:left w:w="57" w:type="dxa"/>
              <w:right w:w="57" w:type="dxa"/>
            </w:tcMar>
            <w:vAlign w:val="center"/>
          </w:tcPr>
          <w:p w14:paraId="436A2B3A">
            <w:pPr>
              <w:jc w:val="left"/>
              <w:rPr>
                <w:rFonts w:eastAsia="仿宋_GB2312"/>
                <w:iCs/>
                <w:color w:val="000000" w:themeColor="text1"/>
                <w:sz w:val="18"/>
                <w:szCs w:val="21"/>
              </w:rPr>
            </w:pPr>
            <w:r>
              <w:rPr>
                <w:rFonts w:eastAsia="仿宋_GB2312"/>
                <w:color w:val="000000" w:themeColor="text1"/>
                <w:sz w:val="18"/>
                <w:szCs w:val="21"/>
              </w:rPr>
              <w:t>应当建立检验仪器和设备的使用记录，记录内容应当包括使用、校准、维护和维修等情况。</w:t>
            </w:r>
          </w:p>
        </w:tc>
      </w:tr>
      <w:tr w14:paraId="53F4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116CBD1">
            <w:pPr>
              <w:jc w:val="left"/>
              <w:rPr>
                <w:rFonts w:eastAsia="仿宋_GB2312"/>
                <w:color w:val="000000"/>
                <w:sz w:val="18"/>
                <w:szCs w:val="21"/>
              </w:rPr>
            </w:pPr>
          </w:p>
        </w:tc>
        <w:tc>
          <w:tcPr>
            <w:tcW w:w="680" w:type="pct"/>
            <w:shd w:val="clear" w:color="auto" w:fill="auto"/>
            <w:tcMar>
              <w:left w:w="57" w:type="dxa"/>
              <w:right w:w="57" w:type="dxa"/>
            </w:tcMar>
            <w:vAlign w:val="center"/>
          </w:tcPr>
          <w:p w14:paraId="483F4E58">
            <w:pPr>
              <w:jc w:val="center"/>
              <w:rPr>
                <w:rFonts w:eastAsia="仿宋_GB2312"/>
                <w:color w:val="000000"/>
                <w:sz w:val="18"/>
                <w:szCs w:val="21"/>
              </w:rPr>
            </w:pPr>
            <w:r>
              <w:rPr>
                <w:rFonts w:eastAsia="仿宋_GB2312"/>
                <w:color w:val="000000"/>
                <w:sz w:val="18"/>
                <w:szCs w:val="21"/>
              </w:rPr>
              <w:t>3.5.1</w:t>
            </w:r>
          </w:p>
        </w:tc>
        <w:tc>
          <w:tcPr>
            <w:tcW w:w="4050" w:type="pct"/>
            <w:shd w:val="clear" w:color="auto" w:fill="auto"/>
            <w:tcMar>
              <w:left w:w="57" w:type="dxa"/>
              <w:right w:w="57" w:type="dxa"/>
            </w:tcMar>
            <w:vAlign w:val="center"/>
          </w:tcPr>
          <w:p w14:paraId="3E68CB25">
            <w:pPr>
              <w:jc w:val="left"/>
              <w:rPr>
                <w:rFonts w:eastAsia="仿宋_GB2312"/>
                <w:color w:val="000000" w:themeColor="text1"/>
                <w:sz w:val="18"/>
                <w:szCs w:val="21"/>
              </w:rPr>
            </w:pPr>
            <w:r>
              <w:rPr>
                <w:rFonts w:eastAsia="仿宋_GB2312"/>
                <w:color w:val="000000" w:themeColor="text1"/>
                <w:sz w:val="18"/>
                <w:szCs w:val="21"/>
              </w:rPr>
              <w:t>应当配备适当的计量器具，计量器具的量程和精度应当满足使用要求，计量器具应当标明其校准有效期，保存相应记录。</w:t>
            </w:r>
          </w:p>
          <w:p w14:paraId="79F20551">
            <w:pPr>
              <w:jc w:val="left"/>
              <w:rPr>
                <w:rFonts w:eastAsia="仿宋_GB2312"/>
                <w:b/>
                <w:bCs/>
                <w:iCs/>
                <w:color w:val="000000" w:themeColor="text1"/>
                <w:sz w:val="18"/>
                <w:szCs w:val="21"/>
              </w:rPr>
            </w:pPr>
            <w:r>
              <w:rPr>
                <w:rFonts w:eastAsia="仿宋_GB2312"/>
                <w:b/>
                <w:bCs/>
                <w:iCs/>
                <w:color w:val="000000" w:themeColor="text1"/>
                <w:sz w:val="18"/>
                <w:szCs w:val="21"/>
              </w:rPr>
              <w:t>查看计量器具的校准记录，确定是否在有效期内使用。</w:t>
            </w:r>
          </w:p>
        </w:tc>
      </w:tr>
      <w:tr w14:paraId="5222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7AFEB46">
            <w:pPr>
              <w:jc w:val="left"/>
              <w:rPr>
                <w:rFonts w:eastAsia="仿宋_GB2312"/>
                <w:color w:val="000000"/>
                <w:sz w:val="18"/>
                <w:szCs w:val="21"/>
              </w:rPr>
            </w:pPr>
          </w:p>
        </w:tc>
        <w:tc>
          <w:tcPr>
            <w:tcW w:w="680" w:type="pct"/>
            <w:shd w:val="clear" w:color="auto" w:fill="auto"/>
            <w:tcMar>
              <w:left w:w="57" w:type="dxa"/>
              <w:right w:w="57" w:type="dxa"/>
            </w:tcMar>
            <w:vAlign w:val="center"/>
          </w:tcPr>
          <w:p w14:paraId="1E5906F8">
            <w:pPr>
              <w:jc w:val="center"/>
              <w:rPr>
                <w:rFonts w:eastAsia="仿宋_GB2312"/>
                <w:color w:val="000000"/>
                <w:sz w:val="18"/>
                <w:szCs w:val="21"/>
              </w:rPr>
            </w:pPr>
            <w:r>
              <w:rPr>
                <w:rFonts w:eastAsia="仿宋_GB2312"/>
                <w:color w:val="000000"/>
                <w:sz w:val="18"/>
                <w:szCs w:val="21"/>
              </w:rPr>
              <w:t>3.6.1</w:t>
            </w:r>
          </w:p>
        </w:tc>
        <w:tc>
          <w:tcPr>
            <w:tcW w:w="4050" w:type="pct"/>
            <w:shd w:val="clear" w:color="auto" w:fill="auto"/>
            <w:tcMar>
              <w:left w:w="57" w:type="dxa"/>
              <w:right w:w="57" w:type="dxa"/>
            </w:tcMar>
            <w:vAlign w:val="center"/>
          </w:tcPr>
          <w:p w14:paraId="07A86B22">
            <w:pPr>
              <w:jc w:val="left"/>
              <w:rPr>
                <w:rFonts w:eastAsia="仿宋_GB2312"/>
                <w:color w:val="000000" w:themeColor="text1"/>
                <w:sz w:val="18"/>
                <w:szCs w:val="21"/>
              </w:rPr>
            </w:pPr>
            <w:r>
              <w:rPr>
                <w:rFonts w:eastAsia="仿宋_GB2312"/>
                <w:color w:val="000000" w:themeColor="text1"/>
                <w:sz w:val="18"/>
                <w:szCs w:val="21"/>
              </w:rPr>
              <w:t>洁净室（区）空气净化系统应当经过确认并保持连续运行，维持相应的洁净度级别，并在一定周期后进行再确认。</w:t>
            </w:r>
          </w:p>
          <w:p w14:paraId="6B50D254">
            <w:pPr>
              <w:jc w:val="left"/>
              <w:rPr>
                <w:rFonts w:eastAsia="仿宋_GB2312"/>
                <w:color w:val="000000" w:themeColor="text1"/>
                <w:sz w:val="18"/>
                <w:szCs w:val="21"/>
              </w:rPr>
            </w:pPr>
            <w:r>
              <w:rPr>
                <w:rFonts w:eastAsia="仿宋_GB2312"/>
                <w:b/>
                <w:bCs/>
                <w:iCs/>
                <w:color w:val="000000" w:themeColor="text1"/>
                <w:sz w:val="18"/>
                <w:szCs w:val="21"/>
              </w:rPr>
              <w:t>查看洁净室（区）空气净化系统的确认和再确认记录。</w:t>
            </w:r>
          </w:p>
        </w:tc>
      </w:tr>
      <w:tr w14:paraId="76C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47FCCF8">
            <w:pPr>
              <w:jc w:val="left"/>
              <w:rPr>
                <w:rFonts w:eastAsia="仿宋_GB2312"/>
                <w:color w:val="000000"/>
                <w:sz w:val="18"/>
                <w:szCs w:val="21"/>
              </w:rPr>
            </w:pPr>
          </w:p>
        </w:tc>
        <w:tc>
          <w:tcPr>
            <w:tcW w:w="680" w:type="pct"/>
            <w:shd w:val="clear" w:color="auto" w:fill="auto"/>
            <w:tcMar>
              <w:left w:w="57" w:type="dxa"/>
              <w:right w:w="57" w:type="dxa"/>
            </w:tcMar>
            <w:vAlign w:val="center"/>
          </w:tcPr>
          <w:p w14:paraId="2B63B106">
            <w:pPr>
              <w:jc w:val="center"/>
              <w:rPr>
                <w:rFonts w:eastAsia="仿宋_GB2312"/>
                <w:color w:val="000000"/>
                <w:sz w:val="18"/>
                <w:szCs w:val="21"/>
              </w:rPr>
            </w:pPr>
            <w:r>
              <w:rPr>
                <w:rFonts w:eastAsia="仿宋_GB2312"/>
                <w:color w:val="000000"/>
                <w:sz w:val="18"/>
                <w:szCs w:val="21"/>
              </w:rPr>
              <w:t>3.6.2</w:t>
            </w:r>
          </w:p>
        </w:tc>
        <w:tc>
          <w:tcPr>
            <w:tcW w:w="4050" w:type="pct"/>
            <w:shd w:val="clear" w:color="auto" w:fill="auto"/>
            <w:tcMar>
              <w:left w:w="57" w:type="dxa"/>
              <w:right w:w="57" w:type="dxa"/>
            </w:tcMar>
            <w:vAlign w:val="center"/>
          </w:tcPr>
          <w:p w14:paraId="2FB3FCA4">
            <w:pPr>
              <w:jc w:val="left"/>
              <w:rPr>
                <w:rFonts w:eastAsia="仿宋_GB2312"/>
                <w:color w:val="000000" w:themeColor="text1"/>
                <w:sz w:val="18"/>
                <w:szCs w:val="21"/>
              </w:rPr>
            </w:pPr>
            <w:r>
              <w:rPr>
                <w:rFonts w:eastAsia="仿宋_GB2312"/>
                <w:color w:val="000000" w:themeColor="text1"/>
                <w:sz w:val="18"/>
                <w:szCs w:val="21"/>
              </w:rPr>
              <w:t>若停机后再次开启空气净化系统，应当进行必要的测试或验证，以确认仍能达到规定的洁净度级别要求。</w:t>
            </w:r>
          </w:p>
          <w:p w14:paraId="719BAB9B">
            <w:pPr>
              <w:jc w:val="left"/>
              <w:rPr>
                <w:rFonts w:eastAsia="仿宋_GB2312"/>
                <w:b/>
                <w:bCs/>
                <w:iCs/>
                <w:color w:val="000000" w:themeColor="text1"/>
                <w:sz w:val="18"/>
                <w:szCs w:val="21"/>
              </w:rPr>
            </w:pPr>
            <w:r>
              <w:rPr>
                <w:rFonts w:eastAsia="仿宋_GB2312"/>
                <w:b/>
                <w:bCs/>
                <w:iCs/>
                <w:color w:val="000000" w:themeColor="text1"/>
                <w:sz w:val="18"/>
                <w:szCs w:val="21"/>
              </w:rPr>
              <w:t>如果洁净室（区）空气净化系统不连续使用，应当通过验证明确洁净室（区）空气净化系统重新启用的要求，并查看每次启用空气净化系统前的操作记录是否符合控制要求。</w:t>
            </w:r>
          </w:p>
          <w:p w14:paraId="5D29EFFB">
            <w:pPr>
              <w:jc w:val="left"/>
              <w:rPr>
                <w:rFonts w:eastAsia="仿宋_GB2312"/>
                <w:color w:val="000000" w:themeColor="text1"/>
                <w:sz w:val="18"/>
                <w:szCs w:val="21"/>
              </w:rPr>
            </w:pPr>
            <w:r>
              <w:rPr>
                <w:rFonts w:eastAsia="仿宋_GB2312"/>
                <w:b/>
                <w:bCs/>
                <w:iCs/>
                <w:color w:val="000000" w:themeColor="text1"/>
                <w:sz w:val="18"/>
                <w:szCs w:val="21"/>
              </w:rPr>
              <w:t>如果未进行验证，在停机后再次开始生产前应当对洁净室（区）的环境参数进行检测，确认达到相关标准要求。</w:t>
            </w:r>
          </w:p>
        </w:tc>
      </w:tr>
      <w:tr w14:paraId="755F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21" w:hRule="atLeast"/>
          <w:jc w:val="center"/>
        </w:trPr>
        <w:tc>
          <w:tcPr>
            <w:tcW w:w="270" w:type="pct"/>
            <w:vMerge w:val="continue"/>
            <w:shd w:val="clear" w:color="auto" w:fill="auto"/>
            <w:vAlign w:val="center"/>
          </w:tcPr>
          <w:p w14:paraId="6F5DB09E">
            <w:pPr>
              <w:jc w:val="left"/>
              <w:rPr>
                <w:rFonts w:eastAsia="仿宋_GB2312"/>
                <w:color w:val="000000"/>
                <w:sz w:val="18"/>
                <w:szCs w:val="21"/>
              </w:rPr>
            </w:pPr>
          </w:p>
        </w:tc>
        <w:tc>
          <w:tcPr>
            <w:tcW w:w="680" w:type="pct"/>
            <w:shd w:val="clear" w:color="auto" w:fill="auto"/>
            <w:tcMar>
              <w:left w:w="57" w:type="dxa"/>
              <w:right w:w="57" w:type="dxa"/>
            </w:tcMar>
            <w:vAlign w:val="center"/>
          </w:tcPr>
          <w:p w14:paraId="3A5DA45A">
            <w:pPr>
              <w:jc w:val="center"/>
              <w:rPr>
                <w:rFonts w:eastAsia="仿宋_GB2312"/>
                <w:color w:val="000000"/>
                <w:sz w:val="18"/>
                <w:szCs w:val="21"/>
              </w:rPr>
            </w:pPr>
            <w:r>
              <w:rPr>
                <w:rFonts w:eastAsia="仿宋_GB2312"/>
                <w:color w:val="000000"/>
                <w:sz w:val="18"/>
                <w:szCs w:val="21"/>
              </w:rPr>
              <w:t>3.7.1</w:t>
            </w:r>
          </w:p>
        </w:tc>
        <w:tc>
          <w:tcPr>
            <w:tcW w:w="4050" w:type="pct"/>
            <w:shd w:val="clear" w:color="auto" w:fill="auto"/>
            <w:tcMar>
              <w:left w:w="57" w:type="dxa"/>
              <w:right w:w="57" w:type="dxa"/>
            </w:tcMar>
            <w:vAlign w:val="center"/>
          </w:tcPr>
          <w:p w14:paraId="4B75D7FE">
            <w:pPr>
              <w:jc w:val="left"/>
              <w:rPr>
                <w:rFonts w:eastAsia="仿宋_GB2312"/>
                <w:color w:val="000000" w:themeColor="text1"/>
                <w:sz w:val="18"/>
                <w:szCs w:val="21"/>
              </w:rPr>
            </w:pPr>
            <w:r>
              <w:rPr>
                <w:rFonts w:eastAsia="仿宋_GB2312"/>
                <w:color w:val="000000" w:themeColor="text1"/>
                <w:sz w:val="18"/>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14:paraId="714ABF2A">
            <w:pPr>
              <w:jc w:val="left"/>
              <w:rPr>
                <w:rFonts w:eastAsia="仿宋_GB2312"/>
                <w:color w:val="000000" w:themeColor="text1"/>
                <w:sz w:val="18"/>
                <w:szCs w:val="21"/>
              </w:rPr>
            </w:pPr>
            <w:r>
              <w:rPr>
                <w:rFonts w:eastAsia="仿宋_GB2312"/>
                <w:b/>
                <w:bCs/>
                <w:iCs/>
                <w:color w:val="000000" w:themeColor="text1"/>
                <w:sz w:val="18"/>
                <w:szCs w:val="21"/>
              </w:rPr>
              <w:t>现场查看制水设备是否满足用水要求；是否具有防止污染的措施。</w:t>
            </w:r>
          </w:p>
        </w:tc>
      </w:tr>
      <w:tr w14:paraId="201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C2F24AE">
            <w:pPr>
              <w:jc w:val="left"/>
              <w:rPr>
                <w:rFonts w:eastAsia="仿宋_GB2312"/>
                <w:color w:val="000000"/>
                <w:sz w:val="18"/>
                <w:szCs w:val="21"/>
              </w:rPr>
            </w:pPr>
          </w:p>
        </w:tc>
        <w:tc>
          <w:tcPr>
            <w:tcW w:w="680" w:type="pct"/>
            <w:shd w:val="clear" w:color="auto" w:fill="auto"/>
            <w:tcMar>
              <w:left w:w="57" w:type="dxa"/>
              <w:right w:w="57" w:type="dxa"/>
            </w:tcMar>
            <w:vAlign w:val="center"/>
          </w:tcPr>
          <w:p w14:paraId="07971C3E">
            <w:pPr>
              <w:jc w:val="center"/>
              <w:rPr>
                <w:rFonts w:eastAsia="仿宋_GB2312"/>
                <w:color w:val="000000"/>
                <w:sz w:val="18"/>
                <w:szCs w:val="21"/>
              </w:rPr>
            </w:pPr>
            <w:r>
              <w:rPr>
                <w:rFonts w:eastAsia="仿宋_GB2312"/>
                <w:color w:val="000000"/>
                <w:sz w:val="18"/>
                <w:szCs w:val="21"/>
              </w:rPr>
              <w:t>3.8.1</w:t>
            </w:r>
          </w:p>
        </w:tc>
        <w:tc>
          <w:tcPr>
            <w:tcW w:w="4050" w:type="pct"/>
            <w:shd w:val="clear" w:color="auto" w:fill="auto"/>
            <w:tcMar>
              <w:left w:w="57" w:type="dxa"/>
              <w:right w:w="57" w:type="dxa"/>
            </w:tcMar>
            <w:vAlign w:val="center"/>
          </w:tcPr>
          <w:p w14:paraId="1C96310B">
            <w:pPr>
              <w:jc w:val="left"/>
              <w:rPr>
                <w:rFonts w:eastAsia="仿宋_GB2312"/>
                <w:color w:val="000000" w:themeColor="text1"/>
                <w:sz w:val="18"/>
                <w:szCs w:val="21"/>
              </w:rPr>
            </w:pPr>
            <w:r>
              <w:rPr>
                <w:rFonts w:eastAsia="仿宋_GB2312"/>
                <w:color w:val="000000" w:themeColor="text1"/>
                <w:sz w:val="18"/>
                <w:szCs w:val="21"/>
              </w:rPr>
              <w:t>应当制定工艺用水的管理文件。</w:t>
            </w:r>
          </w:p>
          <w:p w14:paraId="6C6982C9">
            <w:pPr>
              <w:jc w:val="left"/>
              <w:rPr>
                <w:rFonts w:eastAsia="仿宋_GB2312"/>
                <w:b/>
                <w:bCs/>
                <w:iCs/>
                <w:color w:val="000000" w:themeColor="text1"/>
                <w:sz w:val="18"/>
                <w:szCs w:val="21"/>
              </w:rPr>
            </w:pPr>
            <w:r>
              <w:rPr>
                <w:rFonts w:eastAsia="仿宋_GB2312"/>
                <w:b/>
                <w:bCs/>
                <w:iCs/>
                <w:color w:val="000000" w:themeColor="text1"/>
                <w:sz w:val="18"/>
                <w:szCs w:val="21"/>
              </w:rPr>
              <w:t>查看工艺用水的管理文件，是否明确工艺用水种类是否符合《药典》或GB/T6682或YY/T1244等标准要求。是否包括设备维护、保养、清洗、消毒，水质监测、检测的要求。</w:t>
            </w:r>
          </w:p>
        </w:tc>
      </w:tr>
      <w:tr w14:paraId="7FDE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2ED269D">
            <w:pPr>
              <w:jc w:val="left"/>
              <w:rPr>
                <w:rFonts w:eastAsia="仿宋_GB2312"/>
                <w:color w:val="000000"/>
                <w:sz w:val="18"/>
                <w:szCs w:val="21"/>
              </w:rPr>
            </w:pPr>
          </w:p>
        </w:tc>
        <w:tc>
          <w:tcPr>
            <w:tcW w:w="680" w:type="pct"/>
            <w:shd w:val="clear" w:color="auto" w:fill="auto"/>
            <w:tcMar>
              <w:left w:w="57" w:type="dxa"/>
              <w:right w:w="57" w:type="dxa"/>
            </w:tcMar>
            <w:vAlign w:val="center"/>
          </w:tcPr>
          <w:p w14:paraId="60B781CE">
            <w:pPr>
              <w:jc w:val="center"/>
              <w:rPr>
                <w:rFonts w:eastAsia="仿宋_GB2312"/>
                <w:color w:val="000000"/>
                <w:sz w:val="18"/>
                <w:szCs w:val="21"/>
              </w:rPr>
            </w:pPr>
            <w:r>
              <w:rPr>
                <w:rFonts w:eastAsia="仿宋_GB2312"/>
                <w:color w:val="000000"/>
                <w:sz w:val="18"/>
                <w:szCs w:val="21"/>
              </w:rPr>
              <w:t>3.8.2</w:t>
            </w:r>
          </w:p>
        </w:tc>
        <w:tc>
          <w:tcPr>
            <w:tcW w:w="4050" w:type="pct"/>
            <w:shd w:val="clear" w:color="auto" w:fill="auto"/>
            <w:tcMar>
              <w:left w:w="57" w:type="dxa"/>
              <w:right w:w="57" w:type="dxa"/>
            </w:tcMar>
            <w:vAlign w:val="center"/>
          </w:tcPr>
          <w:p w14:paraId="327ED5EA">
            <w:pPr>
              <w:jc w:val="left"/>
              <w:rPr>
                <w:rFonts w:eastAsia="仿宋_GB2312"/>
                <w:color w:val="000000" w:themeColor="text1"/>
                <w:sz w:val="18"/>
                <w:szCs w:val="21"/>
              </w:rPr>
            </w:pPr>
            <w:r>
              <w:rPr>
                <w:rFonts w:eastAsia="仿宋_GB2312"/>
                <w:color w:val="000000" w:themeColor="text1"/>
                <w:sz w:val="18"/>
                <w:szCs w:val="21"/>
              </w:rPr>
              <w:t>工艺用水的储罐和输送管道应当满足所生产的产品对于水质的要求，并定期清洗、消毒。</w:t>
            </w:r>
          </w:p>
          <w:p w14:paraId="3A1032BB">
            <w:pPr>
              <w:jc w:val="left"/>
              <w:rPr>
                <w:rFonts w:eastAsia="仿宋_GB2312"/>
                <w:b/>
                <w:iCs/>
                <w:color w:val="000000" w:themeColor="text1"/>
                <w:sz w:val="18"/>
                <w:szCs w:val="21"/>
              </w:rPr>
            </w:pPr>
            <w:r>
              <w:rPr>
                <w:rFonts w:eastAsia="仿宋_GB2312"/>
                <w:b/>
                <w:bCs/>
                <w:iCs/>
                <w:color w:val="000000" w:themeColor="text1"/>
                <w:sz w:val="18"/>
                <w:szCs w:val="21"/>
              </w:rPr>
              <w:t>现场查看工艺用水的储罐和输送管道应当用不锈钢或其他无毒材料制成，应当定期清洗、消毒并进行记录。</w:t>
            </w:r>
          </w:p>
        </w:tc>
      </w:tr>
      <w:tr w14:paraId="0B57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5C4E4CF">
            <w:pPr>
              <w:jc w:val="left"/>
              <w:rPr>
                <w:rFonts w:eastAsia="仿宋_GB2312"/>
                <w:color w:val="000000"/>
                <w:sz w:val="18"/>
                <w:szCs w:val="21"/>
              </w:rPr>
            </w:pPr>
          </w:p>
        </w:tc>
        <w:tc>
          <w:tcPr>
            <w:tcW w:w="680" w:type="pct"/>
            <w:shd w:val="clear" w:color="auto" w:fill="auto"/>
            <w:tcMar>
              <w:left w:w="57" w:type="dxa"/>
              <w:right w:w="57" w:type="dxa"/>
            </w:tcMar>
            <w:vAlign w:val="center"/>
          </w:tcPr>
          <w:p w14:paraId="7C2E7C8B">
            <w:pPr>
              <w:jc w:val="center"/>
              <w:rPr>
                <w:rFonts w:eastAsia="仿宋_GB2312"/>
                <w:color w:val="000000"/>
                <w:sz w:val="18"/>
                <w:szCs w:val="21"/>
              </w:rPr>
            </w:pPr>
            <w:r>
              <w:rPr>
                <w:rFonts w:eastAsia="仿宋_GB2312"/>
                <w:color w:val="000000"/>
                <w:sz w:val="18"/>
                <w:szCs w:val="21"/>
              </w:rPr>
              <w:t>3.9.1</w:t>
            </w:r>
          </w:p>
        </w:tc>
        <w:tc>
          <w:tcPr>
            <w:tcW w:w="4050" w:type="pct"/>
            <w:shd w:val="clear" w:color="auto" w:fill="auto"/>
            <w:tcMar>
              <w:left w:w="57" w:type="dxa"/>
              <w:right w:w="57" w:type="dxa"/>
            </w:tcMar>
            <w:vAlign w:val="center"/>
          </w:tcPr>
          <w:p w14:paraId="28984D57">
            <w:pPr>
              <w:jc w:val="left"/>
              <w:rPr>
                <w:rFonts w:eastAsia="仿宋_GB2312"/>
                <w:color w:val="000000" w:themeColor="text1"/>
                <w:sz w:val="18"/>
                <w:szCs w:val="21"/>
              </w:rPr>
            </w:pPr>
            <w:r>
              <w:rPr>
                <w:rFonts w:eastAsia="仿宋_GB2312"/>
                <w:color w:val="000000" w:themeColor="text1"/>
                <w:sz w:val="18"/>
                <w:szCs w:val="21"/>
              </w:rPr>
              <w:t>配料罐容器与设备连接的主要固定管道应当标明内存的物料名称、流向，定期清洗和维护，并标明设备运行状态。</w:t>
            </w:r>
          </w:p>
          <w:p w14:paraId="41F57A22">
            <w:pPr>
              <w:jc w:val="left"/>
              <w:rPr>
                <w:rFonts w:eastAsia="仿宋_GB2312"/>
                <w:b/>
                <w:bCs/>
                <w:iCs/>
                <w:color w:val="000000" w:themeColor="text1"/>
                <w:sz w:val="18"/>
                <w:szCs w:val="21"/>
              </w:rPr>
            </w:pPr>
            <w:r>
              <w:rPr>
                <w:rFonts w:eastAsia="仿宋_GB2312"/>
                <w:b/>
                <w:bCs/>
                <w:iCs/>
                <w:color w:val="000000" w:themeColor="text1"/>
                <w:sz w:val="18"/>
                <w:szCs w:val="21"/>
              </w:rPr>
              <w:t>现场查看主要固定管道标识是否清晰、是否包含物料名称和流向，与其连接的设备是否标识了设备运行状态。</w:t>
            </w:r>
          </w:p>
          <w:p w14:paraId="44730D9A">
            <w:pPr>
              <w:jc w:val="left"/>
              <w:rPr>
                <w:rFonts w:eastAsia="仿宋_GB2312"/>
                <w:color w:val="000000" w:themeColor="text1"/>
                <w:sz w:val="18"/>
                <w:szCs w:val="21"/>
              </w:rPr>
            </w:pPr>
            <w:r>
              <w:rPr>
                <w:rFonts w:eastAsia="仿宋_GB2312"/>
                <w:b/>
                <w:bCs/>
                <w:iCs/>
                <w:color w:val="000000" w:themeColor="text1"/>
                <w:sz w:val="18"/>
                <w:szCs w:val="21"/>
              </w:rPr>
              <w:t>查看主要固定管道的清洗和维护记录。</w:t>
            </w:r>
          </w:p>
        </w:tc>
      </w:tr>
      <w:tr w14:paraId="2F60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7DCBEF6">
            <w:pPr>
              <w:jc w:val="left"/>
              <w:rPr>
                <w:rFonts w:eastAsia="仿宋_GB2312"/>
                <w:color w:val="000000"/>
                <w:sz w:val="18"/>
                <w:szCs w:val="21"/>
              </w:rPr>
            </w:pPr>
          </w:p>
        </w:tc>
        <w:tc>
          <w:tcPr>
            <w:tcW w:w="680" w:type="pct"/>
            <w:shd w:val="clear" w:color="auto" w:fill="auto"/>
            <w:tcMar>
              <w:left w:w="57" w:type="dxa"/>
              <w:right w:w="57" w:type="dxa"/>
            </w:tcMar>
            <w:vAlign w:val="center"/>
          </w:tcPr>
          <w:p w14:paraId="7CD248C7">
            <w:pPr>
              <w:jc w:val="center"/>
              <w:rPr>
                <w:rFonts w:eastAsia="仿宋_GB2312"/>
                <w:color w:val="000000"/>
                <w:sz w:val="18"/>
                <w:szCs w:val="21"/>
              </w:rPr>
            </w:pPr>
            <w:r>
              <w:rPr>
                <w:rFonts w:eastAsia="仿宋_GB2312"/>
                <w:color w:val="000000"/>
                <w:sz w:val="18"/>
                <w:szCs w:val="21"/>
              </w:rPr>
              <w:t>3.10.1</w:t>
            </w:r>
          </w:p>
        </w:tc>
        <w:tc>
          <w:tcPr>
            <w:tcW w:w="4050" w:type="pct"/>
            <w:shd w:val="clear" w:color="auto" w:fill="auto"/>
            <w:tcMar>
              <w:left w:w="57" w:type="dxa"/>
              <w:right w:w="57" w:type="dxa"/>
            </w:tcMar>
            <w:vAlign w:val="center"/>
          </w:tcPr>
          <w:p w14:paraId="0FF00765">
            <w:pPr>
              <w:jc w:val="left"/>
              <w:rPr>
                <w:rFonts w:eastAsia="仿宋_GB2312"/>
                <w:color w:val="000000" w:themeColor="text1"/>
                <w:sz w:val="18"/>
                <w:szCs w:val="21"/>
              </w:rPr>
            </w:pPr>
            <w:r>
              <w:rPr>
                <w:rFonts w:eastAsia="仿宋_GB2312"/>
                <w:color w:val="000000" w:themeColor="text1"/>
                <w:sz w:val="18"/>
                <w:szCs w:val="21"/>
              </w:rPr>
              <w:t>与物料或产品直接接触的设备、容器具及管道表面应当光洁、平整、无颗粒物质脱落、无毒、耐腐蚀，不与物料或产品发生化学反应和粘连，易于清洁处理和消毒或灭菌。</w:t>
            </w:r>
          </w:p>
        </w:tc>
      </w:tr>
      <w:tr w14:paraId="3CA8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105BF53">
            <w:pPr>
              <w:jc w:val="left"/>
              <w:rPr>
                <w:rFonts w:eastAsia="仿宋_GB2312"/>
                <w:color w:val="000000"/>
                <w:sz w:val="18"/>
                <w:szCs w:val="21"/>
              </w:rPr>
            </w:pPr>
          </w:p>
        </w:tc>
        <w:tc>
          <w:tcPr>
            <w:tcW w:w="680" w:type="pct"/>
            <w:shd w:val="clear" w:color="auto" w:fill="auto"/>
            <w:tcMar>
              <w:left w:w="57" w:type="dxa"/>
              <w:right w:w="57" w:type="dxa"/>
            </w:tcMar>
            <w:vAlign w:val="center"/>
          </w:tcPr>
          <w:p w14:paraId="65B350FF">
            <w:pPr>
              <w:jc w:val="center"/>
              <w:rPr>
                <w:rFonts w:eastAsia="仿宋_GB2312"/>
                <w:color w:val="000000"/>
                <w:sz w:val="18"/>
                <w:szCs w:val="21"/>
              </w:rPr>
            </w:pPr>
            <w:r>
              <w:rPr>
                <w:rFonts w:eastAsia="仿宋_GB2312"/>
                <w:color w:val="000000"/>
                <w:sz w:val="18"/>
                <w:szCs w:val="21"/>
              </w:rPr>
              <w:t>3.11.1</w:t>
            </w:r>
          </w:p>
        </w:tc>
        <w:tc>
          <w:tcPr>
            <w:tcW w:w="4050" w:type="pct"/>
            <w:shd w:val="clear" w:color="auto" w:fill="auto"/>
            <w:tcMar>
              <w:left w:w="57" w:type="dxa"/>
              <w:right w:w="57" w:type="dxa"/>
            </w:tcMar>
            <w:vAlign w:val="center"/>
          </w:tcPr>
          <w:p w14:paraId="252C5243">
            <w:pPr>
              <w:jc w:val="left"/>
              <w:rPr>
                <w:rFonts w:eastAsia="仿宋_GB2312"/>
                <w:color w:val="000000" w:themeColor="text1"/>
                <w:sz w:val="18"/>
                <w:szCs w:val="21"/>
              </w:rPr>
            </w:pPr>
            <w:r>
              <w:rPr>
                <w:rFonts w:eastAsia="仿宋_GB2312"/>
                <w:color w:val="000000" w:themeColor="text1"/>
                <w:sz w:val="18"/>
                <w:szCs w:val="21"/>
              </w:rPr>
              <w:t>需要冷藏、冷冻的原料、半成品、成品，应当配备相应的冷藏、冷冻储存设备，并按规定监测设备运行状况、记录储存温度。</w:t>
            </w:r>
          </w:p>
          <w:p w14:paraId="7E2D621B">
            <w:pPr>
              <w:jc w:val="left"/>
              <w:rPr>
                <w:rFonts w:eastAsia="仿宋_GB2312"/>
                <w:b/>
                <w:bCs/>
                <w:iCs/>
                <w:color w:val="000000" w:themeColor="text1"/>
                <w:sz w:val="18"/>
                <w:szCs w:val="21"/>
              </w:rPr>
            </w:pPr>
            <w:r>
              <w:rPr>
                <w:rFonts w:eastAsia="仿宋_GB2312"/>
                <w:b/>
                <w:bCs/>
                <w:iCs/>
                <w:color w:val="000000" w:themeColor="text1"/>
                <w:sz w:val="18"/>
                <w:szCs w:val="21"/>
              </w:rPr>
              <w:t>查看相关文件，是否明确需要冷藏、冷冻的原料、半成品和成品的储存条件。</w:t>
            </w:r>
          </w:p>
          <w:p w14:paraId="00732214">
            <w:pPr>
              <w:jc w:val="left"/>
              <w:rPr>
                <w:rFonts w:eastAsia="仿宋_GB2312"/>
                <w:b/>
                <w:bCs/>
                <w:iCs/>
                <w:color w:val="000000" w:themeColor="text1"/>
                <w:sz w:val="18"/>
                <w:szCs w:val="21"/>
              </w:rPr>
            </w:pPr>
            <w:r>
              <w:rPr>
                <w:rFonts w:eastAsia="仿宋_GB2312"/>
                <w:b/>
                <w:bCs/>
                <w:iCs/>
                <w:color w:val="000000" w:themeColor="text1"/>
                <w:sz w:val="18"/>
                <w:szCs w:val="21"/>
              </w:rPr>
              <w:t>现场查看是否配备冷藏、冷冻的设施设备，如有冷库，查看冷库是否有温度显示、是否有报警功能、如冷库断电是否有应急措施。</w:t>
            </w:r>
          </w:p>
          <w:p w14:paraId="45B39AC4">
            <w:pPr>
              <w:jc w:val="left"/>
              <w:rPr>
                <w:rFonts w:eastAsia="仿宋_GB2312"/>
                <w:color w:val="000000" w:themeColor="text1"/>
                <w:sz w:val="18"/>
                <w:szCs w:val="21"/>
              </w:rPr>
            </w:pPr>
            <w:r>
              <w:rPr>
                <w:rFonts w:eastAsia="仿宋_GB2312"/>
                <w:b/>
                <w:bCs/>
                <w:iCs/>
                <w:color w:val="000000" w:themeColor="text1"/>
                <w:sz w:val="18"/>
                <w:szCs w:val="21"/>
              </w:rPr>
              <w:t>查看储存环境的温度记录，是否持续满足产品的储存要求。</w:t>
            </w:r>
          </w:p>
        </w:tc>
      </w:tr>
      <w:tr w14:paraId="0992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AC4FB55">
            <w:pPr>
              <w:jc w:val="left"/>
              <w:rPr>
                <w:rFonts w:eastAsia="仿宋_GB2312"/>
                <w:color w:val="000000"/>
                <w:sz w:val="18"/>
                <w:szCs w:val="21"/>
              </w:rPr>
            </w:pPr>
          </w:p>
        </w:tc>
        <w:tc>
          <w:tcPr>
            <w:tcW w:w="680" w:type="pct"/>
            <w:shd w:val="clear" w:color="auto" w:fill="auto"/>
            <w:tcMar>
              <w:left w:w="57" w:type="dxa"/>
              <w:right w:w="57" w:type="dxa"/>
            </w:tcMar>
            <w:vAlign w:val="center"/>
          </w:tcPr>
          <w:p w14:paraId="2B6095E5">
            <w:pPr>
              <w:jc w:val="center"/>
              <w:rPr>
                <w:rFonts w:eastAsia="仿宋_GB2312"/>
                <w:color w:val="000000"/>
                <w:sz w:val="18"/>
                <w:szCs w:val="21"/>
              </w:rPr>
            </w:pPr>
            <w:r>
              <w:rPr>
                <w:rFonts w:eastAsia="仿宋_GB2312"/>
                <w:color w:val="000000"/>
                <w:sz w:val="18"/>
                <w:szCs w:val="21"/>
              </w:rPr>
              <w:t>3.11.2</w:t>
            </w:r>
          </w:p>
        </w:tc>
        <w:tc>
          <w:tcPr>
            <w:tcW w:w="4050" w:type="pct"/>
            <w:shd w:val="clear" w:color="auto" w:fill="auto"/>
            <w:tcMar>
              <w:left w:w="57" w:type="dxa"/>
              <w:right w:w="57" w:type="dxa"/>
            </w:tcMar>
            <w:vAlign w:val="center"/>
          </w:tcPr>
          <w:p w14:paraId="7212BAD6">
            <w:pPr>
              <w:jc w:val="left"/>
              <w:rPr>
                <w:rFonts w:eastAsia="仿宋_GB2312"/>
                <w:color w:val="000000" w:themeColor="text1"/>
                <w:sz w:val="18"/>
                <w:szCs w:val="21"/>
              </w:rPr>
            </w:pPr>
            <w:r>
              <w:rPr>
                <w:rFonts w:eastAsia="仿宋_GB2312"/>
                <w:color w:val="000000" w:themeColor="text1"/>
                <w:sz w:val="18"/>
                <w:szCs w:val="21"/>
              </w:rPr>
              <w:t>冷藏、冷冻体外诊断试剂应当配备符合其温度要求的运输设施设备;</w:t>
            </w:r>
          </w:p>
          <w:p w14:paraId="3B0F8AAC">
            <w:pPr>
              <w:jc w:val="left"/>
              <w:rPr>
                <w:rFonts w:eastAsia="仿宋_GB2312"/>
                <w:b/>
                <w:bCs/>
                <w:iCs/>
                <w:color w:val="000000" w:themeColor="text1"/>
                <w:sz w:val="18"/>
                <w:szCs w:val="21"/>
              </w:rPr>
            </w:pPr>
            <w:r>
              <w:rPr>
                <w:rFonts w:eastAsia="仿宋_GB2312"/>
                <w:b/>
                <w:bCs/>
                <w:iCs/>
                <w:color w:val="000000" w:themeColor="text1"/>
                <w:sz w:val="18"/>
                <w:szCs w:val="21"/>
              </w:rPr>
              <w:t>查看冷藏、冷冻体外诊断试剂运输管理文件，是否明确试剂运输过程中的防护要求和方法。</w:t>
            </w:r>
          </w:p>
          <w:p w14:paraId="17EA9D90">
            <w:pPr>
              <w:jc w:val="left"/>
              <w:rPr>
                <w:rFonts w:eastAsia="仿宋_GB2312"/>
                <w:color w:val="000000" w:themeColor="text1"/>
                <w:sz w:val="18"/>
                <w:szCs w:val="21"/>
              </w:rPr>
            </w:pPr>
            <w:r>
              <w:rPr>
                <w:rFonts w:eastAsia="仿宋_GB2312"/>
                <w:b/>
                <w:bCs/>
                <w:iCs/>
                <w:color w:val="000000" w:themeColor="text1"/>
                <w:sz w:val="18"/>
                <w:szCs w:val="21"/>
              </w:rPr>
              <w:t>查看现场，是否具有相应的运输设施设备，是否符合储存运输的温度要求。</w:t>
            </w:r>
          </w:p>
        </w:tc>
      </w:tr>
      <w:tr w14:paraId="03F7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65458343">
            <w:pPr>
              <w:jc w:val="left"/>
              <w:rPr>
                <w:rFonts w:eastAsia="仿宋_GB2312"/>
                <w:b/>
                <w:color w:val="000000"/>
                <w:kern w:val="0"/>
                <w:sz w:val="22"/>
                <w:szCs w:val="28"/>
                <w:lang w:bidi="bn-IN"/>
              </w:rPr>
            </w:pPr>
            <w:r>
              <w:rPr>
                <w:rFonts w:eastAsia="仿宋_GB2312"/>
                <w:b/>
                <w:color w:val="000000"/>
                <w:kern w:val="0"/>
                <w:sz w:val="22"/>
                <w:szCs w:val="28"/>
                <w:lang w:bidi="bn-IN"/>
              </w:rPr>
              <w:t>文</w:t>
            </w:r>
          </w:p>
          <w:p w14:paraId="371D6292">
            <w:pPr>
              <w:jc w:val="left"/>
              <w:rPr>
                <w:rFonts w:eastAsia="仿宋_GB2312"/>
                <w:b/>
                <w:color w:val="000000"/>
                <w:kern w:val="0"/>
                <w:sz w:val="22"/>
                <w:szCs w:val="28"/>
                <w:lang w:bidi="bn-IN"/>
              </w:rPr>
            </w:pPr>
            <w:r>
              <w:rPr>
                <w:rFonts w:eastAsia="仿宋_GB2312"/>
                <w:b/>
                <w:color w:val="000000"/>
                <w:kern w:val="0"/>
                <w:sz w:val="22"/>
                <w:szCs w:val="28"/>
                <w:lang w:bidi="bn-IN"/>
              </w:rPr>
              <w:t>件</w:t>
            </w:r>
          </w:p>
          <w:p w14:paraId="0E6F8D99">
            <w:pPr>
              <w:jc w:val="left"/>
              <w:rPr>
                <w:rFonts w:eastAsia="仿宋_GB2312"/>
                <w:b/>
                <w:color w:val="000000"/>
                <w:sz w:val="18"/>
                <w:szCs w:val="21"/>
              </w:rPr>
            </w:pPr>
            <w:r>
              <w:rPr>
                <w:rFonts w:eastAsia="仿宋_GB2312"/>
                <w:b/>
                <w:color w:val="000000"/>
                <w:kern w:val="0"/>
                <w:sz w:val="22"/>
                <w:szCs w:val="28"/>
                <w:lang w:bidi="bn-IN"/>
              </w:rPr>
              <w:t>管理</w:t>
            </w:r>
          </w:p>
        </w:tc>
        <w:tc>
          <w:tcPr>
            <w:tcW w:w="680" w:type="pct"/>
            <w:shd w:val="clear" w:color="auto" w:fill="auto"/>
            <w:tcMar>
              <w:left w:w="57" w:type="dxa"/>
              <w:right w:w="57" w:type="dxa"/>
            </w:tcMar>
            <w:vAlign w:val="center"/>
          </w:tcPr>
          <w:p w14:paraId="332CB720">
            <w:pPr>
              <w:jc w:val="center"/>
              <w:rPr>
                <w:rFonts w:eastAsia="仿宋_GB2312"/>
                <w:color w:val="000000"/>
                <w:sz w:val="18"/>
                <w:szCs w:val="21"/>
              </w:rPr>
            </w:pPr>
            <w:r>
              <w:rPr>
                <w:rFonts w:eastAsia="仿宋_GB2312"/>
                <w:color w:val="000000"/>
                <w:sz w:val="18"/>
                <w:szCs w:val="21"/>
              </w:rPr>
              <w:t>*4.1.1</w:t>
            </w:r>
          </w:p>
        </w:tc>
        <w:tc>
          <w:tcPr>
            <w:tcW w:w="4050" w:type="pct"/>
            <w:shd w:val="clear" w:color="auto" w:fill="auto"/>
            <w:tcMar>
              <w:left w:w="57" w:type="dxa"/>
              <w:right w:w="57" w:type="dxa"/>
            </w:tcMar>
            <w:vAlign w:val="center"/>
          </w:tcPr>
          <w:p w14:paraId="3F86CD2D">
            <w:pPr>
              <w:jc w:val="left"/>
              <w:rPr>
                <w:rFonts w:eastAsia="仿宋_GB2312"/>
                <w:color w:val="000000" w:themeColor="text1"/>
                <w:sz w:val="18"/>
                <w:szCs w:val="21"/>
              </w:rPr>
            </w:pPr>
            <w:r>
              <w:rPr>
                <w:rFonts w:eastAsia="仿宋_GB2312"/>
                <w:color w:val="000000" w:themeColor="text1"/>
                <w:sz w:val="18"/>
                <w:szCs w:val="21"/>
              </w:rPr>
              <w:t>应当建立健全质量管理体系文件，包括质量方针和质量目标、质量手册、程序文件、技术文件和记录，以及法规要求的其他文件。</w:t>
            </w:r>
          </w:p>
          <w:p w14:paraId="41AD5C05">
            <w:pPr>
              <w:jc w:val="left"/>
              <w:rPr>
                <w:rFonts w:eastAsia="仿宋_GB2312"/>
                <w:b/>
                <w:iCs/>
                <w:color w:val="000000" w:themeColor="text1"/>
                <w:sz w:val="18"/>
                <w:szCs w:val="21"/>
              </w:rPr>
            </w:pPr>
            <w:r>
              <w:rPr>
                <w:rFonts w:eastAsia="仿宋_GB2312"/>
                <w:b/>
                <w:color w:val="000000" w:themeColor="text1"/>
                <w:sz w:val="18"/>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14:paraId="599D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2DBC98B">
            <w:pPr>
              <w:jc w:val="left"/>
              <w:rPr>
                <w:rFonts w:eastAsia="仿宋_GB2312"/>
                <w:color w:val="000000"/>
                <w:sz w:val="18"/>
                <w:szCs w:val="21"/>
              </w:rPr>
            </w:pPr>
          </w:p>
        </w:tc>
        <w:tc>
          <w:tcPr>
            <w:tcW w:w="680" w:type="pct"/>
            <w:shd w:val="clear" w:color="auto" w:fill="auto"/>
            <w:tcMar>
              <w:left w:w="57" w:type="dxa"/>
              <w:right w:w="57" w:type="dxa"/>
            </w:tcMar>
            <w:vAlign w:val="center"/>
          </w:tcPr>
          <w:p w14:paraId="382E1A3F">
            <w:pPr>
              <w:jc w:val="center"/>
              <w:rPr>
                <w:rFonts w:eastAsia="仿宋_GB2312"/>
                <w:color w:val="000000"/>
                <w:sz w:val="18"/>
                <w:szCs w:val="21"/>
              </w:rPr>
            </w:pPr>
            <w:r>
              <w:rPr>
                <w:rFonts w:eastAsia="仿宋_GB2312"/>
                <w:color w:val="000000"/>
                <w:sz w:val="18"/>
                <w:szCs w:val="21"/>
              </w:rPr>
              <w:t>4.1.2</w:t>
            </w:r>
          </w:p>
        </w:tc>
        <w:tc>
          <w:tcPr>
            <w:tcW w:w="4050" w:type="pct"/>
            <w:shd w:val="clear" w:color="auto" w:fill="auto"/>
            <w:tcMar>
              <w:left w:w="57" w:type="dxa"/>
              <w:right w:w="57" w:type="dxa"/>
            </w:tcMar>
            <w:vAlign w:val="center"/>
          </w:tcPr>
          <w:p w14:paraId="46AA0155">
            <w:pPr>
              <w:jc w:val="left"/>
              <w:rPr>
                <w:rFonts w:eastAsia="仿宋_GB2312"/>
                <w:color w:val="000000" w:themeColor="text1"/>
                <w:sz w:val="18"/>
                <w:szCs w:val="21"/>
              </w:rPr>
            </w:pPr>
            <w:r>
              <w:rPr>
                <w:rFonts w:eastAsia="仿宋_GB2312"/>
                <w:color w:val="000000" w:themeColor="text1"/>
                <w:sz w:val="18"/>
                <w:szCs w:val="21"/>
              </w:rPr>
              <w:t>质量手册应当对质量管理体系作出规定。</w:t>
            </w:r>
          </w:p>
          <w:p w14:paraId="23DF51F1">
            <w:pPr>
              <w:jc w:val="left"/>
              <w:rPr>
                <w:rFonts w:eastAsia="仿宋_GB2312"/>
                <w:b/>
                <w:bCs/>
                <w:iCs/>
                <w:color w:val="000000" w:themeColor="text1"/>
                <w:sz w:val="18"/>
                <w:szCs w:val="21"/>
              </w:rPr>
            </w:pPr>
            <w:r>
              <w:rPr>
                <w:rFonts w:eastAsia="仿宋_GB2312"/>
                <w:b/>
                <w:bCs/>
                <w:iCs/>
                <w:color w:val="000000" w:themeColor="text1"/>
                <w:sz w:val="18"/>
                <w:szCs w:val="21"/>
              </w:rPr>
              <w:t>查看企业的质量手册，应当包括企业质量目标、组织机构及职责、质量体系的适用范围和要求。</w:t>
            </w:r>
          </w:p>
        </w:tc>
      </w:tr>
      <w:tr w14:paraId="0F5B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9E9F8F9">
            <w:pPr>
              <w:jc w:val="left"/>
              <w:rPr>
                <w:rFonts w:eastAsia="仿宋_GB2312"/>
                <w:color w:val="000000"/>
                <w:sz w:val="18"/>
                <w:szCs w:val="21"/>
              </w:rPr>
            </w:pPr>
          </w:p>
        </w:tc>
        <w:tc>
          <w:tcPr>
            <w:tcW w:w="680" w:type="pct"/>
            <w:shd w:val="clear" w:color="auto" w:fill="auto"/>
            <w:tcMar>
              <w:left w:w="57" w:type="dxa"/>
              <w:right w:w="57" w:type="dxa"/>
            </w:tcMar>
            <w:vAlign w:val="center"/>
          </w:tcPr>
          <w:p w14:paraId="0C5BA129">
            <w:pPr>
              <w:jc w:val="center"/>
              <w:rPr>
                <w:rFonts w:eastAsia="仿宋_GB2312"/>
                <w:color w:val="000000"/>
                <w:sz w:val="18"/>
                <w:szCs w:val="21"/>
              </w:rPr>
            </w:pPr>
            <w:r>
              <w:rPr>
                <w:rFonts w:eastAsia="仿宋_GB2312"/>
                <w:color w:val="000000"/>
                <w:sz w:val="18"/>
                <w:szCs w:val="21"/>
              </w:rPr>
              <w:t>4.1.3</w:t>
            </w:r>
          </w:p>
        </w:tc>
        <w:tc>
          <w:tcPr>
            <w:tcW w:w="4050" w:type="pct"/>
            <w:shd w:val="clear" w:color="auto" w:fill="auto"/>
            <w:tcMar>
              <w:left w:w="57" w:type="dxa"/>
              <w:right w:w="57" w:type="dxa"/>
            </w:tcMar>
            <w:vAlign w:val="center"/>
          </w:tcPr>
          <w:p w14:paraId="0C296DEE">
            <w:pPr>
              <w:jc w:val="left"/>
              <w:rPr>
                <w:rFonts w:eastAsia="仿宋_GB2312"/>
                <w:iCs/>
                <w:color w:val="000000" w:themeColor="text1"/>
                <w:sz w:val="18"/>
                <w:szCs w:val="21"/>
              </w:rPr>
            </w:pPr>
            <w:r>
              <w:rPr>
                <w:rFonts w:eastAsia="仿宋_GB2312"/>
                <w:color w:val="000000" w:themeColor="text1"/>
                <w:sz w:val="18"/>
                <w:szCs w:val="21"/>
              </w:rPr>
              <w:t>程序文件应当根据产品生产和质量管理过程中需要建立的各种工作程序而制定，包含本规范所规定的各项程序文件。</w:t>
            </w:r>
          </w:p>
        </w:tc>
      </w:tr>
      <w:tr w14:paraId="76EC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44C2920">
            <w:pPr>
              <w:jc w:val="left"/>
              <w:rPr>
                <w:rFonts w:eastAsia="仿宋_GB2312"/>
                <w:color w:val="000000"/>
                <w:sz w:val="18"/>
                <w:szCs w:val="21"/>
              </w:rPr>
            </w:pPr>
          </w:p>
        </w:tc>
        <w:tc>
          <w:tcPr>
            <w:tcW w:w="680" w:type="pct"/>
            <w:shd w:val="clear" w:color="auto" w:fill="auto"/>
            <w:tcMar>
              <w:left w:w="57" w:type="dxa"/>
              <w:right w:w="57" w:type="dxa"/>
            </w:tcMar>
            <w:vAlign w:val="center"/>
          </w:tcPr>
          <w:p w14:paraId="74D43D96">
            <w:pPr>
              <w:jc w:val="center"/>
              <w:rPr>
                <w:rFonts w:eastAsia="仿宋_GB2312"/>
                <w:color w:val="000000"/>
                <w:sz w:val="18"/>
                <w:szCs w:val="21"/>
              </w:rPr>
            </w:pPr>
            <w:r>
              <w:rPr>
                <w:rFonts w:eastAsia="仿宋_GB2312"/>
                <w:color w:val="000000"/>
                <w:sz w:val="18"/>
                <w:szCs w:val="21"/>
              </w:rPr>
              <w:t>*4.1.4</w:t>
            </w:r>
          </w:p>
        </w:tc>
        <w:tc>
          <w:tcPr>
            <w:tcW w:w="4050" w:type="pct"/>
            <w:shd w:val="clear" w:color="auto" w:fill="auto"/>
            <w:tcMar>
              <w:left w:w="57" w:type="dxa"/>
              <w:right w:w="57" w:type="dxa"/>
            </w:tcMar>
            <w:vAlign w:val="center"/>
          </w:tcPr>
          <w:p w14:paraId="33C827D9">
            <w:pPr>
              <w:jc w:val="left"/>
              <w:rPr>
                <w:rFonts w:eastAsia="仿宋_GB2312"/>
                <w:iCs/>
                <w:color w:val="000000" w:themeColor="text1"/>
                <w:sz w:val="18"/>
                <w:szCs w:val="21"/>
              </w:rPr>
            </w:pPr>
            <w:r>
              <w:rPr>
                <w:rFonts w:eastAsia="仿宋_GB2312"/>
                <w:color w:val="000000" w:themeColor="text1"/>
                <w:sz w:val="18"/>
                <w:szCs w:val="21"/>
              </w:rPr>
              <w:t>技术文件应当包括产品技术要求及相关标准、生产工艺规程、作业指导书、检验和试验操作规程、安装和服务操作规程等相关文件。</w:t>
            </w:r>
          </w:p>
        </w:tc>
      </w:tr>
      <w:tr w14:paraId="1172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C538E85">
            <w:pPr>
              <w:jc w:val="left"/>
              <w:rPr>
                <w:rFonts w:eastAsia="仿宋_GB2312"/>
                <w:color w:val="000000"/>
                <w:sz w:val="18"/>
                <w:szCs w:val="21"/>
              </w:rPr>
            </w:pPr>
          </w:p>
        </w:tc>
        <w:tc>
          <w:tcPr>
            <w:tcW w:w="680" w:type="pct"/>
            <w:shd w:val="clear" w:color="auto" w:fill="auto"/>
            <w:tcMar>
              <w:left w:w="57" w:type="dxa"/>
              <w:right w:w="57" w:type="dxa"/>
            </w:tcMar>
            <w:vAlign w:val="center"/>
          </w:tcPr>
          <w:p w14:paraId="06DD6565">
            <w:pPr>
              <w:jc w:val="center"/>
              <w:rPr>
                <w:rFonts w:eastAsia="仿宋_GB2312"/>
                <w:color w:val="000000"/>
                <w:sz w:val="18"/>
                <w:szCs w:val="21"/>
              </w:rPr>
            </w:pPr>
            <w:r>
              <w:rPr>
                <w:rFonts w:eastAsia="仿宋_GB2312"/>
                <w:color w:val="000000"/>
                <w:sz w:val="18"/>
                <w:szCs w:val="21"/>
              </w:rPr>
              <w:t>4.2.1</w:t>
            </w:r>
          </w:p>
        </w:tc>
        <w:tc>
          <w:tcPr>
            <w:tcW w:w="4050" w:type="pct"/>
            <w:shd w:val="clear" w:color="auto" w:fill="auto"/>
            <w:tcMar>
              <w:left w:w="57" w:type="dxa"/>
              <w:right w:w="57" w:type="dxa"/>
            </w:tcMar>
            <w:vAlign w:val="center"/>
          </w:tcPr>
          <w:p w14:paraId="24D3CBAE">
            <w:pPr>
              <w:jc w:val="left"/>
              <w:rPr>
                <w:rFonts w:eastAsia="仿宋_GB2312"/>
                <w:color w:val="000000" w:themeColor="text1"/>
                <w:sz w:val="18"/>
                <w:szCs w:val="21"/>
              </w:rPr>
            </w:pPr>
            <w:r>
              <w:rPr>
                <w:rFonts w:eastAsia="仿宋_GB2312"/>
                <w:color w:val="000000" w:themeColor="text1"/>
                <w:sz w:val="18"/>
                <w:szCs w:val="21"/>
              </w:rPr>
              <w:t>应当建立文件控制程序，系统地设计、制定、审核、批准和发放质量管理体系文件。</w:t>
            </w:r>
          </w:p>
        </w:tc>
      </w:tr>
      <w:tr w14:paraId="16E6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CB86BBC">
            <w:pPr>
              <w:jc w:val="left"/>
              <w:rPr>
                <w:rFonts w:eastAsia="仿宋_GB2312"/>
                <w:color w:val="000000"/>
                <w:sz w:val="18"/>
                <w:szCs w:val="21"/>
              </w:rPr>
            </w:pPr>
          </w:p>
        </w:tc>
        <w:tc>
          <w:tcPr>
            <w:tcW w:w="680" w:type="pct"/>
            <w:shd w:val="clear" w:color="auto" w:fill="auto"/>
            <w:tcMar>
              <w:left w:w="57" w:type="dxa"/>
              <w:right w:w="57" w:type="dxa"/>
            </w:tcMar>
            <w:vAlign w:val="center"/>
          </w:tcPr>
          <w:p w14:paraId="61916F60">
            <w:pPr>
              <w:jc w:val="center"/>
              <w:rPr>
                <w:rFonts w:eastAsia="仿宋_GB2312"/>
                <w:color w:val="000000"/>
                <w:sz w:val="18"/>
                <w:szCs w:val="21"/>
              </w:rPr>
            </w:pPr>
            <w:r>
              <w:rPr>
                <w:rFonts w:eastAsia="仿宋_GB2312"/>
                <w:color w:val="000000"/>
                <w:sz w:val="18"/>
                <w:szCs w:val="21"/>
              </w:rPr>
              <w:t>4.2.2</w:t>
            </w:r>
          </w:p>
        </w:tc>
        <w:tc>
          <w:tcPr>
            <w:tcW w:w="4050" w:type="pct"/>
            <w:shd w:val="clear" w:color="auto" w:fill="auto"/>
            <w:tcMar>
              <w:left w:w="57" w:type="dxa"/>
              <w:right w:w="57" w:type="dxa"/>
            </w:tcMar>
            <w:vAlign w:val="center"/>
          </w:tcPr>
          <w:p w14:paraId="322EC2CD">
            <w:pPr>
              <w:jc w:val="left"/>
              <w:rPr>
                <w:rFonts w:eastAsia="仿宋_GB2312"/>
                <w:iCs/>
                <w:color w:val="000000" w:themeColor="text1"/>
                <w:sz w:val="18"/>
                <w:szCs w:val="21"/>
              </w:rPr>
            </w:pPr>
            <w:r>
              <w:rPr>
                <w:rFonts w:eastAsia="仿宋_GB2312"/>
                <w:color w:val="000000" w:themeColor="text1"/>
                <w:sz w:val="18"/>
                <w:szCs w:val="21"/>
              </w:rPr>
              <w:t>文件的起草、修订、审核、批准、替换或撤销、复制、保管和销毁等应当按照控制程序管理，并有相应的文件分发、撤销、复制和销毁记录。</w:t>
            </w:r>
          </w:p>
        </w:tc>
      </w:tr>
      <w:tr w14:paraId="345D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58CEAD1">
            <w:pPr>
              <w:jc w:val="left"/>
              <w:rPr>
                <w:rFonts w:eastAsia="仿宋_GB2312"/>
                <w:color w:val="000000"/>
                <w:sz w:val="18"/>
                <w:szCs w:val="21"/>
              </w:rPr>
            </w:pPr>
          </w:p>
        </w:tc>
        <w:tc>
          <w:tcPr>
            <w:tcW w:w="680" w:type="pct"/>
            <w:shd w:val="clear" w:color="auto" w:fill="auto"/>
            <w:tcMar>
              <w:left w:w="57" w:type="dxa"/>
              <w:right w:w="57" w:type="dxa"/>
            </w:tcMar>
            <w:vAlign w:val="center"/>
          </w:tcPr>
          <w:p w14:paraId="7A77E94D">
            <w:pPr>
              <w:jc w:val="center"/>
              <w:rPr>
                <w:rFonts w:eastAsia="仿宋_GB2312"/>
                <w:i/>
                <w:iCs/>
                <w:color w:val="0070C0"/>
                <w:sz w:val="18"/>
                <w:szCs w:val="21"/>
              </w:rPr>
            </w:pPr>
            <w:r>
              <w:rPr>
                <w:rFonts w:eastAsia="仿宋_GB2312"/>
                <w:color w:val="000000"/>
                <w:sz w:val="18"/>
                <w:szCs w:val="21"/>
              </w:rPr>
              <w:t>4.2.</w:t>
            </w:r>
            <w:r>
              <w:rPr>
                <w:rFonts w:eastAsia="仿宋_GB2312"/>
                <w:iCs/>
                <w:color w:val="000000"/>
                <w:sz w:val="18"/>
                <w:szCs w:val="21"/>
              </w:rPr>
              <w:t>3</w:t>
            </w:r>
          </w:p>
        </w:tc>
        <w:tc>
          <w:tcPr>
            <w:tcW w:w="4050" w:type="pct"/>
            <w:shd w:val="clear" w:color="auto" w:fill="auto"/>
            <w:tcMar>
              <w:left w:w="57" w:type="dxa"/>
              <w:right w:w="57" w:type="dxa"/>
            </w:tcMar>
            <w:vAlign w:val="center"/>
          </w:tcPr>
          <w:p w14:paraId="0AF0E029">
            <w:pPr>
              <w:jc w:val="left"/>
              <w:rPr>
                <w:rFonts w:eastAsia="仿宋_GB2312"/>
                <w:color w:val="000000" w:themeColor="text1"/>
                <w:sz w:val="18"/>
                <w:szCs w:val="21"/>
              </w:rPr>
            </w:pPr>
            <w:r>
              <w:rPr>
                <w:rFonts w:eastAsia="仿宋_GB2312"/>
                <w:color w:val="000000" w:themeColor="text1"/>
                <w:sz w:val="18"/>
                <w:szCs w:val="21"/>
              </w:rPr>
              <w:t>文件更新或修订时应当按规定评审和批准，能够识别文件的更改和修订状态。</w:t>
            </w:r>
          </w:p>
          <w:p w14:paraId="4B465EC3">
            <w:pPr>
              <w:jc w:val="left"/>
              <w:rPr>
                <w:rFonts w:eastAsia="仿宋_GB2312"/>
                <w:b/>
                <w:bCs/>
                <w:iCs/>
                <w:color w:val="000000" w:themeColor="text1"/>
                <w:sz w:val="18"/>
                <w:szCs w:val="21"/>
              </w:rPr>
            </w:pPr>
            <w:r>
              <w:rPr>
                <w:rFonts w:eastAsia="仿宋_GB2312"/>
                <w:b/>
                <w:bCs/>
                <w:iCs/>
                <w:color w:val="000000" w:themeColor="text1"/>
                <w:sz w:val="18"/>
                <w:szCs w:val="21"/>
              </w:rPr>
              <w:t>查看相关记录确认文件的更新或修订是否经过评审和批准；其更改和修订状态是否能够得到识别。</w:t>
            </w:r>
          </w:p>
        </w:tc>
      </w:tr>
      <w:tr w14:paraId="0A2B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6B1992A">
            <w:pPr>
              <w:jc w:val="left"/>
              <w:rPr>
                <w:rFonts w:eastAsia="仿宋_GB2312"/>
                <w:color w:val="000000"/>
                <w:sz w:val="18"/>
                <w:szCs w:val="21"/>
              </w:rPr>
            </w:pPr>
          </w:p>
        </w:tc>
        <w:tc>
          <w:tcPr>
            <w:tcW w:w="680" w:type="pct"/>
            <w:shd w:val="clear" w:color="auto" w:fill="auto"/>
            <w:tcMar>
              <w:left w:w="57" w:type="dxa"/>
              <w:right w:w="57" w:type="dxa"/>
            </w:tcMar>
            <w:vAlign w:val="center"/>
          </w:tcPr>
          <w:p w14:paraId="701B4F98">
            <w:pPr>
              <w:jc w:val="center"/>
              <w:rPr>
                <w:rFonts w:eastAsia="仿宋_GB2312"/>
                <w:color w:val="000000"/>
                <w:sz w:val="18"/>
                <w:szCs w:val="21"/>
              </w:rPr>
            </w:pPr>
            <w:r>
              <w:rPr>
                <w:rFonts w:eastAsia="仿宋_GB2312"/>
                <w:color w:val="000000"/>
                <w:sz w:val="18"/>
                <w:szCs w:val="21"/>
              </w:rPr>
              <w:t>4.2.4</w:t>
            </w:r>
          </w:p>
        </w:tc>
        <w:tc>
          <w:tcPr>
            <w:tcW w:w="4050" w:type="pct"/>
            <w:shd w:val="clear" w:color="auto" w:fill="auto"/>
            <w:tcMar>
              <w:left w:w="57" w:type="dxa"/>
              <w:right w:w="57" w:type="dxa"/>
            </w:tcMar>
            <w:vAlign w:val="center"/>
          </w:tcPr>
          <w:p w14:paraId="48990FC7">
            <w:pPr>
              <w:jc w:val="left"/>
              <w:rPr>
                <w:rFonts w:eastAsia="仿宋_GB2312"/>
                <w:color w:val="000000" w:themeColor="text1"/>
                <w:sz w:val="18"/>
                <w:szCs w:val="21"/>
              </w:rPr>
            </w:pPr>
            <w:r>
              <w:rPr>
                <w:rFonts w:eastAsia="仿宋_GB2312"/>
                <w:color w:val="000000" w:themeColor="text1"/>
                <w:sz w:val="18"/>
                <w:szCs w:val="21"/>
              </w:rPr>
              <w:t>分发和使用的文件应当为适宜的文本，已撤销或作废的文件应当进行标识，防止误用。</w:t>
            </w:r>
          </w:p>
          <w:p w14:paraId="1BA4B40B">
            <w:pPr>
              <w:jc w:val="left"/>
              <w:rPr>
                <w:rFonts w:eastAsia="仿宋_GB2312"/>
                <w:b/>
                <w:bCs/>
                <w:iCs/>
                <w:color w:val="000000" w:themeColor="text1"/>
                <w:sz w:val="18"/>
                <w:szCs w:val="21"/>
              </w:rPr>
            </w:pPr>
            <w:r>
              <w:rPr>
                <w:rFonts w:eastAsia="仿宋_GB2312"/>
                <w:b/>
                <w:bCs/>
                <w:iCs/>
                <w:color w:val="000000" w:themeColor="text1"/>
                <w:sz w:val="18"/>
                <w:szCs w:val="21"/>
              </w:rPr>
              <w:t>到工作现场抽查现场使用的文件，确认是否是有效版本。作废文件是否明确标识。</w:t>
            </w:r>
          </w:p>
        </w:tc>
      </w:tr>
      <w:tr w14:paraId="2174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73054ED">
            <w:pPr>
              <w:jc w:val="left"/>
              <w:rPr>
                <w:rFonts w:eastAsia="仿宋_GB2312"/>
                <w:color w:val="000000"/>
                <w:sz w:val="18"/>
                <w:szCs w:val="21"/>
              </w:rPr>
            </w:pPr>
          </w:p>
        </w:tc>
        <w:tc>
          <w:tcPr>
            <w:tcW w:w="680" w:type="pct"/>
            <w:shd w:val="clear" w:color="auto" w:fill="auto"/>
            <w:tcMar>
              <w:left w:w="57" w:type="dxa"/>
              <w:right w:w="57" w:type="dxa"/>
            </w:tcMar>
            <w:vAlign w:val="center"/>
          </w:tcPr>
          <w:p w14:paraId="3554CAF0">
            <w:pPr>
              <w:jc w:val="center"/>
              <w:rPr>
                <w:rFonts w:eastAsia="仿宋_GB2312"/>
                <w:color w:val="000000"/>
                <w:sz w:val="18"/>
                <w:szCs w:val="21"/>
              </w:rPr>
            </w:pPr>
            <w:r>
              <w:rPr>
                <w:rFonts w:eastAsia="仿宋_GB2312"/>
                <w:color w:val="000000" w:themeColor="text1"/>
                <w:kern w:val="0"/>
                <w:sz w:val="18"/>
                <w:szCs w:val="21"/>
                <w:lang w:bidi="bn-IN"/>
              </w:rPr>
              <w:t>4.3.1</w:t>
            </w:r>
          </w:p>
        </w:tc>
        <w:tc>
          <w:tcPr>
            <w:tcW w:w="4050" w:type="pct"/>
            <w:shd w:val="clear" w:color="auto" w:fill="auto"/>
            <w:tcMar>
              <w:left w:w="57" w:type="dxa"/>
              <w:right w:w="57" w:type="dxa"/>
            </w:tcMar>
            <w:vAlign w:val="center"/>
          </w:tcPr>
          <w:p w14:paraId="4EF171F7">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lang w:bidi="bn-IN"/>
              </w:rPr>
              <w:t>应当确定作废的技术文件等必要的质量管理体系文件的保存期限，满足产品维修和产品质量责任追溯等需要。</w:t>
            </w:r>
          </w:p>
          <w:p w14:paraId="251D6E11">
            <w:pPr>
              <w:jc w:val="left"/>
              <w:rPr>
                <w:rFonts w:eastAsia="仿宋_GB2312"/>
                <w:b/>
                <w:bCs/>
                <w:iCs/>
                <w:color w:val="000000" w:themeColor="text1"/>
                <w:sz w:val="18"/>
                <w:szCs w:val="21"/>
              </w:rPr>
            </w:pPr>
            <w:r>
              <w:rPr>
                <w:rFonts w:eastAsia="仿宋_GB2312"/>
                <w:b/>
                <w:color w:val="000000" w:themeColor="text1"/>
                <w:kern w:val="0"/>
                <w:sz w:val="18"/>
                <w:szCs w:val="21"/>
                <w:lang w:bidi="bn-IN"/>
              </w:rPr>
              <w:t>保存</w:t>
            </w:r>
            <w:r>
              <w:rPr>
                <w:rFonts w:eastAsia="仿宋_GB2312"/>
                <w:b/>
                <w:color w:val="000000" w:themeColor="text1"/>
                <w:kern w:val="0"/>
                <w:sz w:val="18"/>
                <w:szCs w:val="21"/>
              </w:rPr>
              <w:t>期限应当不少于企业所规定的医疗器械寿命期。</w:t>
            </w:r>
          </w:p>
        </w:tc>
      </w:tr>
      <w:tr w14:paraId="6D82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6B00BD9">
            <w:pPr>
              <w:jc w:val="left"/>
              <w:rPr>
                <w:rFonts w:eastAsia="仿宋_GB2312"/>
                <w:color w:val="000000"/>
                <w:sz w:val="18"/>
                <w:szCs w:val="21"/>
              </w:rPr>
            </w:pPr>
          </w:p>
        </w:tc>
        <w:tc>
          <w:tcPr>
            <w:tcW w:w="680" w:type="pct"/>
            <w:shd w:val="clear" w:color="auto" w:fill="auto"/>
            <w:tcMar>
              <w:left w:w="57" w:type="dxa"/>
              <w:right w:w="57" w:type="dxa"/>
            </w:tcMar>
            <w:vAlign w:val="center"/>
          </w:tcPr>
          <w:p w14:paraId="4082A6EA">
            <w:pPr>
              <w:jc w:val="center"/>
              <w:rPr>
                <w:rFonts w:eastAsia="仿宋_GB2312"/>
                <w:i/>
                <w:iCs/>
                <w:color w:val="0070C0"/>
                <w:sz w:val="18"/>
                <w:szCs w:val="21"/>
              </w:rPr>
            </w:pPr>
            <w:r>
              <w:rPr>
                <w:rFonts w:eastAsia="仿宋_GB2312"/>
                <w:color w:val="000000"/>
                <w:sz w:val="18"/>
                <w:szCs w:val="21"/>
              </w:rPr>
              <w:t>4.</w:t>
            </w:r>
            <w:r>
              <w:rPr>
                <w:rFonts w:eastAsia="仿宋_GB2312"/>
                <w:iCs/>
                <w:color w:val="000000"/>
                <w:sz w:val="18"/>
                <w:szCs w:val="21"/>
              </w:rPr>
              <w:t>4.1</w:t>
            </w:r>
          </w:p>
        </w:tc>
        <w:tc>
          <w:tcPr>
            <w:tcW w:w="4050" w:type="pct"/>
            <w:shd w:val="clear" w:color="auto" w:fill="auto"/>
            <w:tcMar>
              <w:left w:w="57" w:type="dxa"/>
              <w:right w:w="57" w:type="dxa"/>
            </w:tcMar>
            <w:vAlign w:val="center"/>
          </w:tcPr>
          <w:p w14:paraId="40656782">
            <w:pPr>
              <w:jc w:val="left"/>
              <w:rPr>
                <w:rFonts w:eastAsia="仿宋_GB2312"/>
                <w:color w:val="000000" w:themeColor="text1"/>
                <w:sz w:val="18"/>
                <w:szCs w:val="21"/>
              </w:rPr>
            </w:pPr>
            <w:r>
              <w:rPr>
                <w:rFonts w:eastAsia="仿宋_GB2312"/>
                <w:color w:val="000000" w:themeColor="text1"/>
                <w:sz w:val="18"/>
                <w:szCs w:val="21"/>
              </w:rPr>
              <w:t>应当建立记录控制程序，包括记录的标识、保管、检索、保存期限和处置要求等。</w:t>
            </w:r>
          </w:p>
        </w:tc>
      </w:tr>
      <w:tr w14:paraId="103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F9D2110">
            <w:pPr>
              <w:jc w:val="left"/>
              <w:rPr>
                <w:rFonts w:eastAsia="仿宋_GB2312"/>
                <w:color w:val="000000"/>
                <w:sz w:val="18"/>
                <w:szCs w:val="21"/>
              </w:rPr>
            </w:pPr>
          </w:p>
        </w:tc>
        <w:tc>
          <w:tcPr>
            <w:tcW w:w="680" w:type="pct"/>
            <w:shd w:val="clear" w:color="auto" w:fill="auto"/>
            <w:tcMar>
              <w:left w:w="57" w:type="dxa"/>
              <w:right w:w="57" w:type="dxa"/>
            </w:tcMar>
            <w:vAlign w:val="center"/>
          </w:tcPr>
          <w:p w14:paraId="55E45F50">
            <w:pPr>
              <w:jc w:val="center"/>
              <w:rPr>
                <w:rFonts w:eastAsia="仿宋_GB2312"/>
                <w:color w:val="000000"/>
                <w:sz w:val="18"/>
                <w:szCs w:val="21"/>
              </w:rPr>
            </w:pPr>
            <w:r>
              <w:rPr>
                <w:rFonts w:eastAsia="仿宋_GB2312"/>
                <w:color w:val="000000"/>
                <w:sz w:val="18"/>
                <w:szCs w:val="21"/>
              </w:rPr>
              <w:t>4.4.2</w:t>
            </w:r>
          </w:p>
        </w:tc>
        <w:tc>
          <w:tcPr>
            <w:tcW w:w="4050" w:type="pct"/>
            <w:shd w:val="clear" w:color="auto" w:fill="auto"/>
            <w:tcMar>
              <w:left w:w="57" w:type="dxa"/>
              <w:right w:w="57" w:type="dxa"/>
            </w:tcMar>
            <w:vAlign w:val="center"/>
          </w:tcPr>
          <w:p w14:paraId="0523AE62">
            <w:pPr>
              <w:jc w:val="left"/>
              <w:rPr>
                <w:rFonts w:eastAsia="仿宋_GB2312"/>
                <w:iCs/>
                <w:color w:val="000000" w:themeColor="text1"/>
                <w:sz w:val="18"/>
                <w:szCs w:val="21"/>
              </w:rPr>
            </w:pPr>
            <w:r>
              <w:rPr>
                <w:rFonts w:eastAsia="仿宋_GB2312"/>
                <w:color w:val="000000" w:themeColor="text1"/>
                <w:sz w:val="18"/>
                <w:szCs w:val="21"/>
              </w:rPr>
              <w:t>记录应当保证产品生产、质量控制等活动可追溯性。</w:t>
            </w:r>
          </w:p>
        </w:tc>
      </w:tr>
      <w:tr w14:paraId="0DBB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D8022CC">
            <w:pPr>
              <w:jc w:val="left"/>
              <w:rPr>
                <w:rFonts w:eastAsia="仿宋_GB2312"/>
                <w:color w:val="000000"/>
                <w:sz w:val="18"/>
                <w:szCs w:val="21"/>
              </w:rPr>
            </w:pPr>
          </w:p>
        </w:tc>
        <w:tc>
          <w:tcPr>
            <w:tcW w:w="680" w:type="pct"/>
            <w:shd w:val="clear" w:color="auto" w:fill="auto"/>
            <w:tcMar>
              <w:left w:w="57" w:type="dxa"/>
              <w:right w:w="57" w:type="dxa"/>
            </w:tcMar>
            <w:vAlign w:val="center"/>
          </w:tcPr>
          <w:p w14:paraId="639C64B9">
            <w:pPr>
              <w:jc w:val="center"/>
              <w:rPr>
                <w:rFonts w:eastAsia="仿宋_GB2312"/>
                <w:color w:val="000000"/>
                <w:sz w:val="18"/>
                <w:szCs w:val="21"/>
              </w:rPr>
            </w:pPr>
            <w:r>
              <w:rPr>
                <w:rFonts w:eastAsia="仿宋_GB2312"/>
                <w:color w:val="000000"/>
                <w:sz w:val="18"/>
                <w:szCs w:val="21"/>
              </w:rPr>
              <w:t>4.4.3</w:t>
            </w:r>
          </w:p>
        </w:tc>
        <w:tc>
          <w:tcPr>
            <w:tcW w:w="4050" w:type="pct"/>
            <w:shd w:val="clear" w:color="auto" w:fill="auto"/>
            <w:tcMar>
              <w:left w:w="57" w:type="dxa"/>
              <w:right w:w="57" w:type="dxa"/>
            </w:tcMar>
            <w:vAlign w:val="center"/>
          </w:tcPr>
          <w:p w14:paraId="26C34E02">
            <w:pPr>
              <w:jc w:val="left"/>
              <w:rPr>
                <w:rFonts w:eastAsia="仿宋_GB2312"/>
                <w:iCs/>
                <w:color w:val="000000" w:themeColor="text1"/>
                <w:sz w:val="18"/>
                <w:szCs w:val="21"/>
              </w:rPr>
            </w:pPr>
            <w:r>
              <w:rPr>
                <w:rFonts w:eastAsia="仿宋_GB2312"/>
                <w:color w:val="000000" w:themeColor="text1"/>
                <w:sz w:val="18"/>
                <w:szCs w:val="21"/>
              </w:rPr>
              <w:t>记录应当清晰、完整，易于识别和检索，防止破损和丢失。</w:t>
            </w:r>
          </w:p>
        </w:tc>
      </w:tr>
      <w:tr w14:paraId="418F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B084706">
            <w:pPr>
              <w:jc w:val="left"/>
              <w:rPr>
                <w:rFonts w:eastAsia="仿宋_GB2312"/>
                <w:color w:val="000000"/>
                <w:sz w:val="18"/>
                <w:szCs w:val="21"/>
              </w:rPr>
            </w:pPr>
          </w:p>
        </w:tc>
        <w:tc>
          <w:tcPr>
            <w:tcW w:w="680" w:type="pct"/>
            <w:shd w:val="clear" w:color="auto" w:fill="auto"/>
            <w:tcMar>
              <w:left w:w="57" w:type="dxa"/>
              <w:right w:w="57" w:type="dxa"/>
            </w:tcMar>
            <w:vAlign w:val="center"/>
          </w:tcPr>
          <w:p w14:paraId="5F4AF2DF">
            <w:pPr>
              <w:jc w:val="center"/>
              <w:rPr>
                <w:rFonts w:eastAsia="仿宋_GB2312"/>
                <w:color w:val="000000"/>
                <w:sz w:val="18"/>
                <w:szCs w:val="21"/>
              </w:rPr>
            </w:pPr>
            <w:r>
              <w:rPr>
                <w:rFonts w:eastAsia="仿宋_GB2312"/>
                <w:color w:val="000000"/>
                <w:sz w:val="18"/>
                <w:szCs w:val="21"/>
              </w:rPr>
              <w:t>4.4.4</w:t>
            </w:r>
          </w:p>
        </w:tc>
        <w:tc>
          <w:tcPr>
            <w:tcW w:w="4050" w:type="pct"/>
            <w:shd w:val="clear" w:color="auto" w:fill="auto"/>
            <w:tcMar>
              <w:left w:w="57" w:type="dxa"/>
              <w:right w:w="57" w:type="dxa"/>
            </w:tcMar>
            <w:vAlign w:val="center"/>
          </w:tcPr>
          <w:p w14:paraId="7030FBEC">
            <w:pPr>
              <w:jc w:val="left"/>
              <w:rPr>
                <w:rFonts w:eastAsia="仿宋_GB2312"/>
                <w:color w:val="000000" w:themeColor="text1"/>
                <w:sz w:val="18"/>
                <w:szCs w:val="21"/>
              </w:rPr>
            </w:pPr>
            <w:r>
              <w:rPr>
                <w:rFonts w:eastAsia="仿宋_GB2312"/>
                <w:color w:val="000000" w:themeColor="text1"/>
                <w:sz w:val="18"/>
                <w:szCs w:val="21"/>
              </w:rPr>
              <w:t>记录不得随意涂改或销毁，更改记录应当签注姓名和日期，并使原有信息仍清晰可辨，必要时，应当说明更改的理由。</w:t>
            </w:r>
          </w:p>
        </w:tc>
      </w:tr>
      <w:tr w14:paraId="5278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F94F4EA">
            <w:pPr>
              <w:jc w:val="left"/>
              <w:rPr>
                <w:rFonts w:eastAsia="仿宋_GB2312"/>
                <w:color w:val="000000"/>
                <w:sz w:val="18"/>
                <w:szCs w:val="21"/>
              </w:rPr>
            </w:pPr>
          </w:p>
        </w:tc>
        <w:tc>
          <w:tcPr>
            <w:tcW w:w="680" w:type="pct"/>
            <w:shd w:val="clear" w:color="auto" w:fill="auto"/>
            <w:tcMar>
              <w:left w:w="57" w:type="dxa"/>
              <w:right w:w="57" w:type="dxa"/>
            </w:tcMar>
            <w:vAlign w:val="center"/>
          </w:tcPr>
          <w:p w14:paraId="2A3DE80E">
            <w:pPr>
              <w:jc w:val="center"/>
              <w:rPr>
                <w:rFonts w:eastAsia="仿宋_GB2312"/>
                <w:color w:val="000000"/>
                <w:sz w:val="18"/>
                <w:szCs w:val="21"/>
              </w:rPr>
            </w:pPr>
            <w:r>
              <w:rPr>
                <w:rFonts w:eastAsia="仿宋_GB2312"/>
                <w:color w:val="000000"/>
                <w:sz w:val="18"/>
                <w:szCs w:val="21"/>
              </w:rPr>
              <w:t>4.4.5</w:t>
            </w:r>
          </w:p>
        </w:tc>
        <w:tc>
          <w:tcPr>
            <w:tcW w:w="4050" w:type="pct"/>
            <w:shd w:val="clear" w:color="auto" w:fill="auto"/>
            <w:tcMar>
              <w:left w:w="57" w:type="dxa"/>
              <w:right w:w="57" w:type="dxa"/>
            </w:tcMar>
            <w:vAlign w:val="center"/>
          </w:tcPr>
          <w:p w14:paraId="27F03863">
            <w:pPr>
              <w:jc w:val="left"/>
              <w:rPr>
                <w:rFonts w:eastAsia="仿宋_GB2312"/>
                <w:color w:val="000000" w:themeColor="text1"/>
                <w:sz w:val="18"/>
                <w:szCs w:val="21"/>
              </w:rPr>
            </w:pPr>
            <w:r>
              <w:rPr>
                <w:rFonts w:eastAsia="仿宋_GB2312"/>
                <w:color w:val="000000" w:themeColor="text1"/>
                <w:sz w:val="18"/>
                <w:szCs w:val="21"/>
              </w:rPr>
              <w:t>记录的保存期限至少相当于生产企业所规定的医疗器械的寿命期，但从放行产品的日期起不少于2年，或符合相关法规要求，并可追溯。</w:t>
            </w:r>
          </w:p>
        </w:tc>
      </w:tr>
      <w:tr w14:paraId="3188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154C69CB">
            <w:pPr>
              <w:jc w:val="left"/>
              <w:rPr>
                <w:rFonts w:eastAsia="仿宋_GB2312"/>
                <w:b/>
                <w:color w:val="000000"/>
                <w:sz w:val="18"/>
                <w:szCs w:val="21"/>
              </w:rPr>
            </w:pPr>
            <w:r>
              <w:rPr>
                <w:rFonts w:eastAsia="仿宋_GB2312"/>
                <w:b/>
                <w:color w:val="000000"/>
                <w:kern w:val="0"/>
                <w:sz w:val="22"/>
                <w:szCs w:val="28"/>
                <w:lang w:bidi="bn-IN"/>
              </w:rPr>
              <w:t>设计开发</w:t>
            </w:r>
          </w:p>
        </w:tc>
        <w:tc>
          <w:tcPr>
            <w:tcW w:w="680" w:type="pct"/>
            <w:shd w:val="clear" w:color="auto" w:fill="auto"/>
            <w:tcMar>
              <w:left w:w="57" w:type="dxa"/>
              <w:right w:w="57" w:type="dxa"/>
            </w:tcMar>
            <w:vAlign w:val="center"/>
          </w:tcPr>
          <w:p w14:paraId="4998B92A">
            <w:pPr>
              <w:jc w:val="center"/>
              <w:rPr>
                <w:rFonts w:eastAsia="仿宋_GB2312"/>
                <w:color w:val="000000"/>
                <w:sz w:val="18"/>
                <w:szCs w:val="21"/>
              </w:rPr>
            </w:pPr>
            <w:r>
              <w:rPr>
                <w:rFonts w:eastAsia="仿宋_GB2312"/>
                <w:color w:val="000000"/>
                <w:sz w:val="18"/>
                <w:szCs w:val="21"/>
              </w:rPr>
              <w:t>5.1.1</w:t>
            </w:r>
          </w:p>
        </w:tc>
        <w:tc>
          <w:tcPr>
            <w:tcW w:w="4050" w:type="pct"/>
            <w:shd w:val="clear" w:color="auto" w:fill="auto"/>
            <w:tcMar>
              <w:left w:w="57" w:type="dxa"/>
              <w:right w:w="57" w:type="dxa"/>
            </w:tcMar>
            <w:vAlign w:val="center"/>
          </w:tcPr>
          <w:p w14:paraId="0C0B8B81">
            <w:pPr>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应当建立设计控制程序并形成文件，对医疗器械的设计和开发过程实施策划和控制。</w:t>
            </w:r>
          </w:p>
          <w:p w14:paraId="4C887D3D">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查看设计控制程序文件，应当清晰、可操作，能控制设计开发过程，至少包括以下内容：</w:t>
            </w:r>
          </w:p>
          <w:p w14:paraId="31A94CCB">
            <w:pPr>
              <w:adjustRightInd w:val="0"/>
              <w:snapToGrid w:val="0"/>
              <w:rPr>
                <w:rFonts w:eastAsia="仿宋_GB2312"/>
                <w:color w:val="000000" w:themeColor="text1"/>
                <w:kern w:val="0"/>
                <w:sz w:val="18"/>
                <w:szCs w:val="21"/>
                <w:lang w:bidi="bn-IN"/>
              </w:rPr>
            </w:pPr>
            <w:r>
              <w:rPr>
                <w:rFonts w:eastAsia="仿宋_GB2312"/>
                <w:b/>
                <w:color w:val="000000" w:themeColor="text1"/>
                <w:kern w:val="0"/>
                <w:sz w:val="18"/>
                <w:szCs w:val="21"/>
                <w:lang w:bidi="bn-IN"/>
              </w:rPr>
              <w:t>1.设计和开发的各个阶段的划分；</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2.适合于每个设计和开发阶段的评审、验证、确认和设计转换活动;</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3.设计和开发各阶段人员和部门的职责、权限和沟通；</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4.风险管理要求。</w:t>
            </w:r>
          </w:p>
        </w:tc>
      </w:tr>
      <w:tr w14:paraId="55CB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5215A7B">
            <w:pPr>
              <w:jc w:val="left"/>
              <w:rPr>
                <w:rFonts w:eastAsia="仿宋_GB2312"/>
                <w:color w:val="000000"/>
                <w:sz w:val="18"/>
                <w:szCs w:val="21"/>
              </w:rPr>
            </w:pPr>
          </w:p>
        </w:tc>
        <w:tc>
          <w:tcPr>
            <w:tcW w:w="680" w:type="pct"/>
            <w:shd w:val="clear" w:color="auto" w:fill="auto"/>
            <w:tcMar>
              <w:left w:w="57" w:type="dxa"/>
              <w:right w:w="57" w:type="dxa"/>
            </w:tcMar>
            <w:vAlign w:val="center"/>
          </w:tcPr>
          <w:p w14:paraId="2A82AD9B">
            <w:pPr>
              <w:jc w:val="center"/>
              <w:rPr>
                <w:rFonts w:eastAsia="仿宋_GB2312"/>
                <w:color w:val="000000"/>
                <w:sz w:val="18"/>
                <w:szCs w:val="21"/>
              </w:rPr>
            </w:pPr>
            <w:r>
              <w:rPr>
                <w:rFonts w:eastAsia="仿宋_GB2312"/>
                <w:color w:val="000000" w:themeColor="text1"/>
                <w:kern w:val="0"/>
                <w:sz w:val="18"/>
                <w:szCs w:val="21"/>
                <w:lang w:bidi="bn-IN"/>
              </w:rPr>
              <w:t>5.2.1</w:t>
            </w:r>
          </w:p>
        </w:tc>
        <w:tc>
          <w:tcPr>
            <w:tcW w:w="4050" w:type="pct"/>
            <w:shd w:val="clear" w:color="auto" w:fill="auto"/>
            <w:tcMar>
              <w:left w:w="57" w:type="dxa"/>
              <w:right w:w="57" w:type="dxa"/>
            </w:tcMar>
            <w:vAlign w:val="center"/>
          </w:tcPr>
          <w:p w14:paraId="47E39C8C">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在进行设计和开发策划时，应当确定设计和开发的阶段及对各阶段的评审、验证、确认和设计转换等活动，应当识别和确定各个部门设计和开发的活动和接口，明确职责和分工。</w:t>
            </w:r>
          </w:p>
          <w:p w14:paraId="77732DC4">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查看设计和开发策划资料，应当根据产品的特点，对设计开发活动进行策划，并将策划结果形成文件。至少包括以下内容：</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1.设计和开发项目的目标和意义的描述，技术指标分析；</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2.确定了设计和开发各阶段，以及适合于每个设计和开发阶段的评审、验证、确认和设计转换活动；</w:t>
            </w:r>
          </w:p>
          <w:p w14:paraId="19C44367">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3．应当识别和确定各个部门设计和开发的活动和接口，明确各阶段的人员或组织的职责、评审人员的组成，以及各阶段预期的输出结果；</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4.主要任务和阶段性任务的策划安排与整个项目的一致；</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5.确定产品技术要求的制定、验证、确认和生产活动所需的测量装置；</w:t>
            </w:r>
            <w:r>
              <w:rPr>
                <w:rFonts w:eastAsia="仿宋_GB2312"/>
                <w:b/>
                <w:color w:val="000000" w:themeColor="text1"/>
                <w:kern w:val="0"/>
                <w:sz w:val="18"/>
                <w:szCs w:val="21"/>
                <w:lang w:bidi="bn-IN"/>
              </w:rPr>
              <w:br w:type="textWrapping"/>
            </w:r>
            <w:r>
              <w:rPr>
                <w:rFonts w:eastAsia="仿宋_GB2312"/>
                <w:b/>
                <w:color w:val="000000" w:themeColor="text1"/>
                <w:kern w:val="0"/>
                <w:sz w:val="18"/>
                <w:szCs w:val="21"/>
                <w:lang w:bidi="bn-IN"/>
              </w:rPr>
              <w:t>6.风险管理活动。</w:t>
            </w:r>
          </w:p>
          <w:p w14:paraId="036D9332">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应当按照策划实施设计和开发，当偏离计划而需要修改计划时，应当对计划重新评审和批准。</w:t>
            </w:r>
          </w:p>
        </w:tc>
      </w:tr>
      <w:tr w14:paraId="5BB3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523A285">
            <w:pPr>
              <w:jc w:val="left"/>
              <w:rPr>
                <w:rFonts w:eastAsia="仿宋_GB2312"/>
                <w:color w:val="000000"/>
                <w:sz w:val="18"/>
                <w:szCs w:val="21"/>
              </w:rPr>
            </w:pPr>
          </w:p>
        </w:tc>
        <w:tc>
          <w:tcPr>
            <w:tcW w:w="680" w:type="pct"/>
            <w:shd w:val="clear" w:color="auto" w:fill="auto"/>
            <w:tcMar>
              <w:left w:w="57" w:type="dxa"/>
              <w:right w:w="57" w:type="dxa"/>
            </w:tcMar>
            <w:vAlign w:val="center"/>
          </w:tcPr>
          <w:p w14:paraId="15DBE5A9">
            <w:pPr>
              <w:jc w:val="center"/>
              <w:rPr>
                <w:rFonts w:eastAsia="仿宋_GB2312"/>
                <w:color w:val="000000"/>
                <w:sz w:val="18"/>
                <w:szCs w:val="21"/>
              </w:rPr>
            </w:pPr>
            <w:r>
              <w:rPr>
                <w:rFonts w:eastAsia="仿宋_GB2312"/>
                <w:color w:val="000000"/>
                <w:sz w:val="18"/>
                <w:szCs w:val="21"/>
              </w:rPr>
              <w:t>5.3.1</w:t>
            </w:r>
          </w:p>
        </w:tc>
        <w:tc>
          <w:tcPr>
            <w:tcW w:w="4050" w:type="pct"/>
            <w:shd w:val="clear" w:color="auto" w:fill="auto"/>
            <w:tcMar>
              <w:left w:w="57" w:type="dxa"/>
              <w:right w:w="57" w:type="dxa"/>
            </w:tcMar>
            <w:vAlign w:val="center"/>
          </w:tcPr>
          <w:p w14:paraId="68F649DE">
            <w:pPr>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设计和开发输入应当包括预期用途规定的功能、性能和安全要求、法规要求、风险管理控制措施和其他要求。</w:t>
            </w:r>
          </w:p>
        </w:tc>
      </w:tr>
      <w:tr w14:paraId="3B08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D7C25E3">
            <w:pPr>
              <w:jc w:val="left"/>
              <w:rPr>
                <w:rFonts w:eastAsia="仿宋_GB2312"/>
                <w:color w:val="000000"/>
                <w:sz w:val="18"/>
                <w:szCs w:val="21"/>
              </w:rPr>
            </w:pPr>
          </w:p>
        </w:tc>
        <w:tc>
          <w:tcPr>
            <w:tcW w:w="680" w:type="pct"/>
            <w:shd w:val="clear" w:color="auto" w:fill="auto"/>
            <w:tcMar>
              <w:left w:w="57" w:type="dxa"/>
              <w:right w:w="57" w:type="dxa"/>
            </w:tcMar>
            <w:vAlign w:val="center"/>
          </w:tcPr>
          <w:p w14:paraId="06690F16">
            <w:pPr>
              <w:jc w:val="center"/>
              <w:rPr>
                <w:rFonts w:eastAsia="仿宋_GB2312"/>
                <w:color w:val="000000"/>
                <w:sz w:val="18"/>
                <w:szCs w:val="21"/>
              </w:rPr>
            </w:pPr>
            <w:r>
              <w:rPr>
                <w:rFonts w:eastAsia="仿宋_GB2312"/>
                <w:color w:val="000000"/>
                <w:sz w:val="18"/>
                <w:szCs w:val="21"/>
              </w:rPr>
              <w:t>5.3.2</w:t>
            </w:r>
          </w:p>
        </w:tc>
        <w:tc>
          <w:tcPr>
            <w:tcW w:w="4050" w:type="pct"/>
            <w:shd w:val="clear" w:color="auto" w:fill="auto"/>
            <w:tcMar>
              <w:left w:w="57" w:type="dxa"/>
              <w:right w:w="57" w:type="dxa"/>
            </w:tcMar>
            <w:vAlign w:val="center"/>
          </w:tcPr>
          <w:p w14:paraId="13898386">
            <w:pPr>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应当对设计和开发输入进行评审并得到批准，保持相关记录。</w:t>
            </w:r>
          </w:p>
        </w:tc>
      </w:tr>
      <w:tr w14:paraId="5474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DCACB93">
            <w:pPr>
              <w:jc w:val="left"/>
              <w:rPr>
                <w:rFonts w:eastAsia="仿宋_GB2312"/>
                <w:color w:val="000000"/>
                <w:sz w:val="18"/>
                <w:szCs w:val="21"/>
              </w:rPr>
            </w:pPr>
          </w:p>
        </w:tc>
        <w:tc>
          <w:tcPr>
            <w:tcW w:w="680" w:type="pct"/>
            <w:shd w:val="clear" w:color="auto" w:fill="auto"/>
            <w:tcMar>
              <w:left w:w="57" w:type="dxa"/>
              <w:right w:w="57" w:type="dxa"/>
            </w:tcMar>
            <w:vAlign w:val="center"/>
          </w:tcPr>
          <w:p w14:paraId="521B71F6">
            <w:pPr>
              <w:jc w:val="center"/>
              <w:rPr>
                <w:rFonts w:eastAsia="仿宋_GB2312"/>
                <w:color w:val="000000"/>
                <w:sz w:val="18"/>
                <w:szCs w:val="21"/>
              </w:rPr>
            </w:pPr>
            <w:r>
              <w:rPr>
                <w:rFonts w:eastAsia="仿宋_GB2312"/>
                <w:color w:val="000000" w:themeColor="text1"/>
                <w:kern w:val="0"/>
                <w:sz w:val="18"/>
                <w:szCs w:val="21"/>
                <w:lang w:bidi="bn-IN"/>
              </w:rPr>
              <w:t>*5.4.1</w:t>
            </w:r>
          </w:p>
        </w:tc>
        <w:tc>
          <w:tcPr>
            <w:tcW w:w="4050" w:type="pct"/>
            <w:shd w:val="clear" w:color="auto" w:fill="auto"/>
            <w:tcMar>
              <w:left w:w="57" w:type="dxa"/>
              <w:right w:w="57" w:type="dxa"/>
            </w:tcMar>
            <w:vAlign w:val="center"/>
          </w:tcPr>
          <w:p w14:paraId="1A4A1E03">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设计和开发输出应当满足输入要求，包括采购、生产和服务所需的相关信息、产品技术要求等。</w:t>
            </w:r>
          </w:p>
          <w:p w14:paraId="404C3EAF">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查看设计和开发输出资料，至少符合以下要求：</w:t>
            </w:r>
          </w:p>
          <w:p w14:paraId="53314318">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1.采购信息，如原材料、包装材料、组件和部件技术要求；</w:t>
            </w:r>
          </w:p>
          <w:p w14:paraId="095067FF">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2.生产和服务所需的信息，如产品图纸（包括零部件图纸）、工艺配方、作业指导书、环境要求等；</w:t>
            </w:r>
          </w:p>
          <w:p w14:paraId="65A44680">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3.产品技术要求；</w:t>
            </w:r>
          </w:p>
          <w:p w14:paraId="252CAA54">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4.产品检验规程或指导书；</w:t>
            </w:r>
          </w:p>
          <w:p w14:paraId="612D6EF7">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5.规定产品的安全和正常使用所必须的产品特性，如产品使用说明书、包装和标签要求等。产品使用说明书是否与注册申报和批准的一致；</w:t>
            </w:r>
          </w:p>
          <w:p w14:paraId="2F9CA8B6">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6.标识和可追溯性要求；</w:t>
            </w:r>
          </w:p>
          <w:p w14:paraId="661BC0A3">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7.提交给注册审批部门的文件，如研究资料、产品技术要求、注册检验报告、临床评价资料（如有）、医疗器械安全有效基本要求清单等；</w:t>
            </w:r>
          </w:p>
          <w:p w14:paraId="2FDAF95C">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8.样机或样品；</w:t>
            </w:r>
          </w:p>
          <w:p w14:paraId="049CFE30">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9.生物学评价结果和记录，包括材料的主要性能要求。</w:t>
            </w:r>
          </w:p>
        </w:tc>
      </w:tr>
      <w:tr w14:paraId="53CD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225E216">
            <w:pPr>
              <w:jc w:val="left"/>
              <w:rPr>
                <w:rFonts w:eastAsia="仿宋_GB2312"/>
                <w:color w:val="000000"/>
                <w:sz w:val="18"/>
                <w:szCs w:val="21"/>
              </w:rPr>
            </w:pPr>
          </w:p>
        </w:tc>
        <w:tc>
          <w:tcPr>
            <w:tcW w:w="680" w:type="pct"/>
            <w:shd w:val="clear" w:color="auto" w:fill="auto"/>
            <w:tcMar>
              <w:left w:w="57" w:type="dxa"/>
              <w:right w:w="57" w:type="dxa"/>
            </w:tcMar>
            <w:vAlign w:val="center"/>
          </w:tcPr>
          <w:p w14:paraId="19B2A2F0">
            <w:pPr>
              <w:jc w:val="center"/>
              <w:rPr>
                <w:rFonts w:eastAsia="仿宋_GB2312"/>
                <w:color w:val="000000"/>
                <w:sz w:val="18"/>
                <w:szCs w:val="21"/>
              </w:rPr>
            </w:pPr>
            <w:r>
              <w:rPr>
                <w:rFonts w:eastAsia="仿宋_GB2312"/>
                <w:color w:val="000000"/>
                <w:sz w:val="18"/>
                <w:szCs w:val="21"/>
              </w:rPr>
              <w:t>5.4.2</w:t>
            </w:r>
          </w:p>
        </w:tc>
        <w:tc>
          <w:tcPr>
            <w:tcW w:w="4050" w:type="pct"/>
            <w:shd w:val="clear" w:color="auto" w:fill="auto"/>
            <w:tcMar>
              <w:left w:w="57" w:type="dxa"/>
              <w:right w:w="57" w:type="dxa"/>
            </w:tcMar>
            <w:vAlign w:val="center"/>
          </w:tcPr>
          <w:p w14:paraId="151D2D38">
            <w:pPr>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设计和开发输出应当得到批准，保持相关记录。</w:t>
            </w:r>
          </w:p>
        </w:tc>
      </w:tr>
      <w:tr w14:paraId="540E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BDA84F6">
            <w:pPr>
              <w:jc w:val="left"/>
              <w:rPr>
                <w:rFonts w:eastAsia="仿宋_GB2312"/>
                <w:color w:val="000000"/>
                <w:sz w:val="18"/>
                <w:szCs w:val="21"/>
              </w:rPr>
            </w:pPr>
          </w:p>
        </w:tc>
        <w:tc>
          <w:tcPr>
            <w:tcW w:w="680" w:type="pct"/>
            <w:shd w:val="clear" w:color="auto" w:fill="auto"/>
            <w:tcMar>
              <w:left w:w="57" w:type="dxa"/>
              <w:right w:w="57" w:type="dxa"/>
            </w:tcMar>
            <w:vAlign w:val="center"/>
          </w:tcPr>
          <w:p w14:paraId="4B26CA69">
            <w:pPr>
              <w:jc w:val="center"/>
              <w:rPr>
                <w:rFonts w:eastAsia="仿宋_GB2312"/>
                <w:color w:val="000000"/>
                <w:sz w:val="18"/>
                <w:szCs w:val="21"/>
              </w:rPr>
            </w:pPr>
            <w:r>
              <w:rPr>
                <w:rFonts w:eastAsia="仿宋_GB2312"/>
                <w:color w:val="000000" w:themeColor="text1"/>
                <w:kern w:val="0"/>
                <w:sz w:val="18"/>
                <w:szCs w:val="21"/>
                <w:lang w:bidi="bn-IN"/>
              </w:rPr>
              <w:t>5.5.1</w:t>
            </w:r>
          </w:p>
        </w:tc>
        <w:tc>
          <w:tcPr>
            <w:tcW w:w="4050" w:type="pct"/>
            <w:shd w:val="clear" w:color="auto" w:fill="auto"/>
            <w:tcMar>
              <w:left w:w="57" w:type="dxa"/>
              <w:right w:w="57" w:type="dxa"/>
            </w:tcMar>
          </w:tcPr>
          <w:p w14:paraId="69DB9A83">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应当在设计和开发过程中开展设计和开发到生产的转换活动，以使设计和开发的输出在成为最终产品规范前得以验证，确保设计和开发输出适用于生产。</w:t>
            </w:r>
          </w:p>
          <w:p w14:paraId="4A2F6DF9">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查看相关文件，至少符合以下要求：</w:t>
            </w:r>
          </w:p>
          <w:p w14:paraId="59E2A6CF">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1.应当在设计和开发过程中开展设计转换活动以解决可生产性、部件及材料的可获得性、所需的生产设备、操作人员的培训等；</w:t>
            </w:r>
          </w:p>
          <w:p w14:paraId="41C91E38">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2.设计转换活动应当将产品的每一技术要求正确转化成与产品实现相关的具体过程或程序；</w:t>
            </w:r>
          </w:p>
          <w:p w14:paraId="08B2A756">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3.设计转换活动的记录应当表明设计和开发输出在成为最终产品规范前得到验证，并保留验证记录，以确保设计和开发的输出适于生产；</w:t>
            </w:r>
          </w:p>
          <w:p w14:paraId="5B476022">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4. 应当对特殊过程的转换进行确认，确保其结果适用于生产，并保留确认记录。</w:t>
            </w:r>
          </w:p>
        </w:tc>
      </w:tr>
      <w:tr w14:paraId="24CB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96" w:hRule="atLeast"/>
          <w:jc w:val="center"/>
        </w:trPr>
        <w:tc>
          <w:tcPr>
            <w:tcW w:w="270" w:type="pct"/>
            <w:vMerge w:val="continue"/>
            <w:shd w:val="clear" w:color="auto" w:fill="auto"/>
            <w:vAlign w:val="center"/>
          </w:tcPr>
          <w:p w14:paraId="23621651">
            <w:pPr>
              <w:jc w:val="left"/>
              <w:rPr>
                <w:rFonts w:eastAsia="仿宋_GB2312"/>
                <w:color w:val="000000"/>
                <w:sz w:val="18"/>
                <w:szCs w:val="21"/>
              </w:rPr>
            </w:pPr>
          </w:p>
        </w:tc>
        <w:tc>
          <w:tcPr>
            <w:tcW w:w="680" w:type="pct"/>
            <w:shd w:val="clear" w:color="auto" w:fill="auto"/>
            <w:tcMar>
              <w:left w:w="57" w:type="dxa"/>
              <w:right w:w="57" w:type="dxa"/>
            </w:tcMar>
            <w:vAlign w:val="center"/>
          </w:tcPr>
          <w:p w14:paraId="1EA08BBE">
            <w:pPr>
              <w:jc w:val="center"/>
              <w:rPr>
                <w:rFonts w:eastAsia="仿宋_GB2312"/>
                <w:color w:val="000000"/>
                <w:sz w:val="18"/>
                <w:szCs w:val="21"/>
              </w:rPr>
            </w:pPr>
            <w:r>
              <w:rPr>
                <w:rFonts w:eastAsia="仿宋_GB2312"/>
                <w:color w:val="000000" w:themeColor="text1"/>
                <w:kern w:val="0"/>
                <w:sz w:val="18"/>
                <w:szCs w:val="21"/>
                <w:lang w:bidi="bn-IN"/>
              </w:rPr>
              <w:t>5.6.1</w:t>
            </w:r>
          </w:p>
        </w:tc>
        <w:tc>
          <w:tcPr>
            <w:tcW w:w="4050" w:type="pct"/>
            <w:shd w:val="clear" w:color="auto" w:fill="auto"/>
            <w:tcMar>
              <w:left w:w="57" w:type="dxa"/>
              <w:right w:w="57" w:type="dxa"/>
            </w:tcMar>
            <w:vAlign w:val="center"/>
          </w:tcPr>
          <w:p w14:paraId="2BEF5F15">
            <w:pPr>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应当在设计和开发的适宜阶段安排评审，保持评审结果及任何必要措施的记录。</w:t>
            </w:r>
          </w:p>
          <w:p w14:paraId="7F4996A2">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查看相关文件和记录，至少符合以下要求：</w:t>
            </w:r>
          </w:p>
          <w:p w14:paraId="0C473F91">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1.应当按设计开发策划的结果，在适宜的阶段进行设计和开发评审；</w:t>
            </w:r>
          </w:p>
          <w:p w14:paraId="20353FCB">
            <w:pPr>
              <w:widowControl/>
              <w:adjustRightInd w:val="0"/>
              <w:snapToGrid w:val="0"/>
              <w:rPr>
                <w:rFonts w:eastAsia="仿宋_GB2312"/>
                <w:color w:val="000000" w:themeColor="text1"/>
                <w:kern w:val="0"/>
                <w:sz w:val="18"/>
                <w:szCs w:val="21"/>
                <w:lang w:bidi="bn-IN"/>
              </w:rPr>
            </w:pPr>
            <w:r>
              <w:rPr>
                <w:rFonts w:eastAsia="仿宋_GB2312"/>
                <w:b/>
                <w:color w:val="000000" w:themeColor="text1"/>
                <w:kern w:val="0"/>
                <w:sz w:val="18"/>
                <w:szCs w:val="21"/>
                <w:lang w:bidi="bn-IN"/>
              </w:rPr>
              <w:t>2.应当保持设计和开发评审记录，包括评审结果和评审所采取必要措施的记录。</w:t>
            </w:r>
          </w:p>
        </w:tc>
      </w:tr>
      <w:tr w14:paraId="2407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9D260F0">
            <w:pPr>
              <w:jc w:val="left"/>
              <w:rPr>
                <w:rFonts w:eastAsia="仿宋_GB2312"/>
                <w:color w:val="000000"/>
                <w:sz w:val="18"/>
                <w:szCs w:val="21"/>
              </w:rPr>
            </w:pPr>
          </w:p>
        </w:tc>
        <w:tc>
          <w:tcPr>
            <w:tcW w:w="680" w:type="pct"/>
            <w:shd w:val="clear" w:color="auto" w:fill="auto"/>
            <w:tcMar>
              <w:left w:w="57" w:type="dxa"/>
              <w:right w:w="57" w:type="dxa"/>
            </w:tcMar>
            <w:vAlign w:val="center"/>
          </w:tcPr>
          <w:p w14:paraId="32B8F5EE">
            <w:pPr>
              <w:jc w:val="center"/>
              <w:rPr>
                <w:rFonts w:eastAsia="仿宋_GB2312"/>
                <w:color w:val="000000"/>
                <w:sz w:val="18"/>
                <w:szCs w:val="21"/>
              </w:rPr>
            </w:pPr>
            <w:r>
              <w:rPr>
                <w:rFonts w:eastAsia="仿宋_GB2312"/>
                <w:color w:val="000000" w:themeColor="text1"/>
                <w:kern w:val="0"/>
                <w:sz w:val="18"/>
                <w:szCs w:val="21"/>
                <w:lang w:bidi="bn-IN"/>
              </w:rPr>
              <w:t>5.7.1</w:t>
            </w:r>
          </w:p>
        </w:tc>
        <w:tc>
          <w:tcPr>
            <w:tcW w:w="4050" w:type="pct"/>
            <w:shd w:val="clear" w:color="auto" w:fill="auto"/>
            <w:tcMar>
              <w:left w:w="57" w:type="dxa"/>
              <w:right w:w="57" w:type="dxa"/>
            </w:tcMar>
            <w:vAlign w:val="center"/>
          </w:tcPr>
          <w:p w14:paraId="7119ECC7">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应当对设计和开发进行验证，以确保设计和开发输出满足输入的要求，并保持验证结果和任何必要措施的记录。</w:t>
            </w:r>
          </w:p>
          <w:p w14:paraId="45EDE057">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查看相关文件和记录，至少符合以下要求：</w:t>
            </w:r>
          </w:p>
          <w:p w14:paraId="0AEEBDA4">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1.应当结合策划的结果，在适宜的阶段进行设计和开发验证，确保设计开发输出满足输入的要求；</w:t>
            </w:r>
          </w:p>
          <w:p w14:paraId="0CC07603">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2.应当保持设计和开发验证记录、验证结果和任何必要措施的记录；</w:t>
            </w:r>
          </w:p>
          <w:p w14:paraId="1DDF0F87">
            <w:pPr>
              <w:widowControl/>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3.若设计和开发验证采用的是可供选择的计算方法或经证实的设计进行比较的方法，应当评审所用的方法的适宜性，确认方法是否科学和有效。</w:t>
            </w:r>
          </w:p>
        </w:tc>
      </w:tr>
      <w:tr w14:paraId="05B4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068A3CE">
            <w:pPr>
              <w:jc w:val="left"/>
              <w:rPr>
                <w:rFonts w:eastAsia="仿宋_GB2312"/>
                <w:color w:val="000000"/>
                <w:sz w:val="18"/>
                <w:szCs w:val="21"/>
              </w:rPr>
            </w:pPr>
          </w:p>
        </w:tc>
        <w:tc>
          <w:tcPr>
            <w:tcW w:w="680" w:type="pct"/>
            <w:shd w:val="clear" w:color="auto" w:fill="auto"/>
            <w:tcMar>
              <w:left w:w="57" w:type="dxa"/>
              <w:right w:w="57" w:type="dxa"/>
            </w:tcMar>
            <w:vAlign w:val="center"/>
          </w:tcPr>
          <w:p w14:paraId="06758FE1">
            <w:pPr>
              <w:jc w:val="center"/>
              <w:rPr>
                <w:rFonts w:eastAsia="仿宋_GB2312"/>
                <w:color w:val="000000"/>
                <w:sz w:val="18"/>
                <w:szCs w:val="21"/>
              </w:rPr>
            </w:pPr>
            <w:r>
              <w:rPr>
                <w:rFonts w:eastAsia="仿宋_GB2312"/>
                <w:color w:val="000000" w:themeColor="text1"/>
                <w:kern w:val="0"/>
                <w:sz w:val="18"/>
                <w:szCs w:val="21"/>
                <w:lang w:bidi="bn-IN"/>
              </w:rPr>
              <w:t>5.8.1</w:t>
            </w:r>
          </w:p>
        </w:tc>
        <w:tc>
          <w:tcPr>
            <w:tcW w:w="4050" w:type="pct"/>
            <w:shd w:val="clear" w:color="auto" w:fill="auto"/>
            <w:tcMar>
              <w:left w:w="57" w:type="dxa"/>
              <w:right w:w="57" w:type="dxa"/>
            </w:tcMar>
            <w:vAlign w:val="center"/>
          </w:tcPr>
          <w:p w14:paraId="107DFC47">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应当对设计和开发进行确认，以确保产品满足规定的使用要求或者预期用途的要求，并保持确认结果和任何必要措施的记录。</w:t>
            </w:r>
          </w:p>
          <w:p w14:paraId="48C4B70F">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查看相关文件和记录，至少符合以下要求：</w:t>
            </w:r>
          </w:p>
          <w:p w14:paraId="188E10C5">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1.应当在适宜阶段进行设计和开发确认，确保产品满足规定的使用要求或预期用途的要求；</w:t>
            </w:r>
          </w:p>
          <w:p w14:paraId="3E9BF346">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2.设计和开发确认活动应当在产品交付和实施之前进行；</w:t>
            </w:r>
          </w:p>
          <w:p w14:paraId="36045F28">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3.应当保持设计和开发确认记录，包括临床评价或临床试验的记录，保持确认结果和任何必要措施的记录。</w:t>
            </w:r>
          </w:p>
        </w:tc>
      </w:tr>
      <w:tr w14:paraId="2B9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BC22BF5">
            <w:pPr>
              <w:jc w:val="left"/>
              <w:rPr>
                <w:rFonts w:eastAsia="仿宋_GB2312"/>
                <w:color w:val="000000"/>
                <w:sz w:val="18"/>
                <w:szCs w:val="21"/>
              </w:rPr>
            </w:pPr>
          </w:p>
        </w:tc>
        <w:tc>
          <w:tcPr>
            <w:tcW w:w="680" w:type="pct"/>
            <w:shd w:val="clear" w:color="auto" w:fill="auto"/>
            <w:tcMar>
              <w:left w:w="57" w:type="dxa"/>
              <w:right w:w="57" w:type="dxa"/>
            </w:tcMar>
            <w:vAlign w:val="center"/>
          </w:tcPr>
          <w:p w14:paraId="79E7C53F">
            <w:pPr>
              <w:jc w:val="center"/>
              <w:rPr>
                <w:rFonts w:eastAsia="仿宋_GB2312"/>
                <w:color w:val="000000"/>
                <w:sz w:val="18"/>
                <w:szCs w:val="21"/>
              </w:rPr>
            </w:pPr>
            <w:r>
              <w:rPr>
                <w:rFonts w:eastAsia="仿宋_GB2312"/>
                <w:color w:val="000000"/>
                <w:sz w:val="18"/>
                <w:szCs w:val="21"/>
              </w:rPr>
              <w:t>5.9.1</w:t>
            </w:r>
          </w:p>
        </w:tc>
        <w:tc>
          <w:tcPr>
            <w:tcW w:w="4050" w:type="pct"/>
            <w:shd w:val="clear" w:color="auto" w:fill="auto"/>
            <w:tcMar>
              <w:left w:w="57" w:type="dxa"/>
              <w:right w:w="57" w:type="dxa"/>
            </w:tcMar>
            <w:vAlign w:val="center"/>
          </w:tcPr>
          <w:p w14:paraId="600D1117">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确认可采用临床评价或者性能评价。进行临床试验时应当符合医疗器械临床试验法规的要求。</w:t>
            </w:r>
          </w:p>
          <w:p w14:paraId="05F93076">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r>
      <w:tr w14:paraId="00C9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67D5EC4">
            <w:pPr>
              <w:jc w:val="left"/>
              <w:rPr>
                <w:rFonts w:eastAsia="仿宋_GB2312"/>
                <w:color w:val="000000"/>
                <w:sz w:val="18"/>
                <w:szCs w:val="21"/>
              </w:rPr>
            </w:pPr>
          </w:p>
        </w:tc>
        <w:tc>
          <w:tcPr>
            <w:tcW w:w="680" w:type="pct"/>
            <w:shd w:val="clear" w:color="auto" w:fill="auto"/>
            <w:tcMar>
              <w:left w:w="57" w:type="dxa"/>
              <w:right w:w="57" w:type="dxa"/>
            </w:tcMar>
            <w:vAlign w:val="center"/>
          </w:tcPr>
          <w:p w14:paraId="112CDDE7">
            <w:pPr>
              <w:jc w:val="center"/>
              <w:rPr>
                <w:rFonts w:eastAsia="仿宋_GB2312"/>
                <w:color w:val="000000"/>
                <w:sz w:val="18"/>
                <w:szCs w:val="21"/>
              </w:rPr>
            </w:pPr>
            <w:r>
              <w:rPr>
                <w:rFonts w:eastAsia="仿宋_GB2312"/>
                <w:color w:val="000000"/>
                <w:sz w:val="18"/>
                <w:szCs w:val="21"/>
              </w:rPr>
              <w:t>5.10.1</w:t>
            </w:r>
          </w:p>
        </w:tc>
        <w:tc>
          <w:tcPr>
            <w:tcW w:w="4050" w:type="pct"/>
            <w:shd w:val="clear" w:color="auto" w:fill="auto"/>
            <w:tcMar>
              <w:left w:w="57" w:type="dxa"/>
              <w:right w:w="57" w:type="dxa"/>
            </w:tcMar>
            <w:vAlign w:val="center"/>
          </w:tcPr>
          <w:p w14:paraId="544F3527">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应当对设计和开发的更改进行识别并保持记录。</w:t>
            </w:r>
          </w:p>
        </w:tc>
      </w:tr>
      <w:tr w14:paraId="42CC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637567A">
            <w:pPr>
              <w:jc w:val="left"/>
              <w:rPr>
                <w:rFonts w:eastAsia="仿宋_GB2312"/>
                <w:color w:val="000000"/>
                <w:sz w:val="18"/>
                <w:szCs w:val="21"/>
              </w:rPr>
            </w:pPr>
          </w:p>
        </w:tc>
        <w:tc>
          <w:tcPr>
            <w:tcW w:w="680" w:type="pct"/>
            <w:shd w:val="clear" w:color="auto" w:fill="auto"/>
            <w:tcMar>
              <w:left w:w="57" w:type="dxa"/>
              <w:right w:w="57" w:type="dxa"/>
            </w:tcMar>
            <w:vAlign w:val="center"/>
          </w:tcPr>
          <w:p w14:paraId="1987DFFA">
            <w:pPr>
              <w:jc w:val="center"/>
              <w:rPr>
                <w:rFonts w:eastAsia="仿宋_GB2312"/>
                <w:color w:val="000000"/>
                <w:sz w:val="18"/>
                <w:szCs w:val="21"/>
              </w:rPr>
            </w:pPr>
            <w:r>
              <w:rPr>
                <w:rFonts w:eastAsia="仿宋_GB2312"/>
                <w:color w:val="000000"/>
                <w:sz w:val="18"/>
                <w:szCs w:val="21"/>
              </w:rPr>
              <w:t>5.10.2</w:t>
            </w:r>
          </w:p>
        </w:tc>
        <w:tc>
          <w:tcPr>
            <w:tcW w:w="4050" w:type="pct"/>
            <w:shd w:val="clear" w:color="auto" w:fill="auto"/>
            <w:tcMar>
              <w:left w:w="57" w:type="dxa"/>
              <w:right w:w="57" w:type="dxa"/>
            </w:tcMar>
            <w:vAlign w:val="center"/>
          </w:tcPr>
          <w:p w14:paraId="45F3B7A6">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必要时，应当对设计和开发更改进行评审、验证和确认，并在实施前得到批准。</w:t>
            </w:r>
          </w:p>
          <w:p w14:paraId="6B735282">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查看设计和开发更改的评审记录，至少符合以下要求：</w:t>
            </w:r>
          </w:p>
          <w:p w14:paraId="4884169F">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1.应当包括更改对产品组成部分和已交付产品的影响；</w:t>
            </w:r>
          </w:p>
          <w:p w14:paraId="63BC8E4C">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2.设计和开发更改的实施应符合医疗器械产品注册的有关规定；</w:t>
            </w:r>
          </w:p>
          <w:p w14:paraId="67EA2396">
            <w:pPr>
              <w:pStyle w:val="26"/>
              <w:widowControl/>
              <w:adjustRightInd w:val="0"/>
              <w:snapToGrid w:val="0"/>
              <w:ind w:firstLine="0" w:firstLineChars="0"/>
              <w:rPr>
                <w:rFonts w:eastAsia="仿宋_GB2312"/>
                <w:b/>
                <w:color w:val="000000" w:themeColor="text1"/>
                <w:kern w:val="0"/>
                <w:sz w:val="18"/>
                <w:szCs w:val="21"/>
                <w:lang w:bidi="bn-IN"/>
              </w:rPr>
            </w:pPr>
            <w:r>
              <w:rPr>
                <w:rFonts w:eastAsia="仿宋_GB2312"/>
                <w:b/>
                <w:color w:val="000000" w:themeColor="text1"/>
                <w:kern w:val="0"/>
                <w:sz w:val="18"/>
                <w:szCs w:val="21"/>
                <w:lang w:bidi="bn-IN"/>
              </w:rPr>
              <w:t>3.设计更改的内容和结果涉及到改变医疗器械产品注册证（备案凭证）所载明的内容时，企业应当进行风险分析，并按照相关法规的规定，申请变更注册（备案），以满足法规的要求。</w:t>
            </w:r>
          </w:p>
        </w:tc>
      </w:tr>
      <w:tr w14:paraId="120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2F7B154">
            <w:pPr>
              <w:jc w:val="left"/>
              <w:rPr>
                <w:rFonts w:eastAsia="仿宋_GB2312"/>
                <w:color w:val="000000"/>
                <w:sz w:val="18"/>
                <w:szCs w:val="21"/>
              </w:rPr>
            </w:pPr>
          </w:p>
        </w:tc>
        <w:tc>
          <w:tcPr>
            <w:tcW w:w="680" w:type="pct"/>
            <w:shd w:val="clear" w:color="auto" w:fill="auto"/>
            <w:tcMar>
              <w:left w:w="57" w:type="dxa"/>
              <w:right w:w="57" w:type="dxa"/>
            </w:tcMar>
            <w:vAlign w:val="center"/>
          </w:tcPr>
          <w:p w14:paraId="5C3D62A1">
            <w:pPr>
              <w:jc w:val="center"/>
              <w:rPr>
                <w:rFonts w:eastAsia="仿宋_GB2312"/>
                <w:color w:val="000000"/>
                <w:sz w:val="18"/>
                <w:szCs w:val="21"/>
              </w:rPr>
            </w:pPr>
            <w:r>
              <w:rPr>
                <w:rFonts w:eastAsia="仿宋_GB2312"/>
                <w:color w:val="000000"/>
                <w:sz w:val="18"/>
                <w:szCs w:val="21"/>
              </w:rPr>
              <w:t>*5.10.3</w:t>
            </w:r>
          </w:p>
        </w:tc>
        <w:tc>
          <w:tcPr>
            <w:tcW w:w="4050" w:type="pct"/>
            <w:shd w:val="clear" w:color="auto" w:fill="auto"/>
            <w:tcMar>
              <w:left w:w="57" w:type="dxa"/>
              <w:right w:w="57" w:type="dxa"/>
            </w:tcMar>
            <w:vAlign w:val="center"/>
          </w:tcPr>
          <w:p w14:paraId="5FCA245A">
            <w:pPr>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14:paraId="114C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D626761">
            <w:pPr>
              <w:jc w:val="left"/>
              <w:rPr>
                <w:rFonts w:eastAsia="仿宋_GB2312"/>
                <w:color w:val="000000"/>
                <w:sz w:val="18"/>
                <w:szCs w:val="21"/>
              </w:rPr>
            </w:pPr>
          </w:p>
        </w:tc>
        <w:tc>
          <w:tcPr>
            <w:tcW w:w="680" w:type="pct"/>
            <w:shd w:val="clear" w:color="auto" w:fill="auto"/>
            <w:tcMar>
              <w:left w:w="57" w:type="dxa"/>
              <w:right w:w="57" w:type="dxa"/>
            </w:tcMar>
            <w:vAlign w:val="center"/>
          </w:tcPr>
          <w:p w14:paraId="38205089">
            <w:pPr>
              <w:jc w:val="center"/>
              <w:rPr>
                <w:rFonts w:eastAsia="仿宋_GB2312"/>
                <w:color w:val="000000"/>
                <w:sz w:val="18"/>
                <w:szCs w:val="21"/>
              </w:rPr>
            </w:pPr>
            <w:r>
              <w:rPr>
                <w:rFonts w:eastAsia="仿宋_GB2312"/>
                <w:color w:val="000000"/>
                <w:sz w:val="18"/>
                <w:szCs w:val="21"/>
              </w:rPr>
              <w:t>5.11.1</w:t>
            </w:r>
          </w:p>
        </w:tc>
        <w:tc>
          <w:tcPr>
            <w:tcW w:w="4050" w:type="pct"/>
            <w:shd w:val="clear" w:color="auto" w:fill="auto"/>
            <w:tcMar>
              <w:left w:w="57" w:type="dxa"/>
              <w:right w:w="57" w:type="dxa"/>
            </w:tcMar>
            <w:vAlign w:val="center"/>
          </w:tcPr>
          <w:p w14:paraId="5CE5FA41">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应当在包括设计和开发在内的产品实现全过程中，制定风险管理的要求并形成文件，保持相关记录。</w:t>
            </w:r>
          </w:p>
          <w:p w14:paraId="7627805F">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查看风险管理文件和记录，至少符合以下要求：</w:t>
            </w:r>
          </w:p>
          <w:p w14:paraId="0EA69213">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1.风险管理应当覆盖企业开发的产品实现的全过程。</w:t>
            </w:r>
          </w:p>
          <w:p w14:paraId="2EDD11DB">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2.应当建立对医疗器械进行风险管理的文件，保持相关记录，以确定实施的证据。</w:t>
            </w:r>
          </w:p>
          <w:p w14:paraId="407883FE">
            <w:pPr>
              <w:adjustRightInd w:val="0"/>
              <w:snapToGrid w:val="0"/>
              <w:rPr>
                <w:rFonts w:eastAsia="仿宋_GB2312"/>
                <w:b/>
                <w:color w:val="000000" w:themeColor="text1"/>
                <w:kern w:val="0"/>
                <w:sz w:val="18"/>
                <w:szCs w:val="21"/>
                <w:lang w:bidi="bn-IN"/>
              </w:rPr>
            </w:pPr>
            <w:r>
              <w:rPr>
                <w:rFonts w:eastAsia="仿宋_GB2312"/>
                <w:b/>
                <w:color w:val="000000" w:themeColor="text1"/>
                <w:kern w:val="0"/>
                <w:sz w:val="18"/>
                <w:szCs w:val="21"/>
                <w:lang w:bidi="bn-IN"/>
              </w:rPr>
              <w:t>3.应当将医疗器械产品的风险控制在可接受水平。</w:t>
            </w:r>
          </w:p>
        </w:tc>
      </w:tr>
      <w:tr w14:paraId="6C1E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3D79F55">
            <w:pPr>
              <w:jc w:val="left"/>
              <w:rPr>
                <w:rFonts w:eastAsia="仿宋_GB2312"/>
                <w:color w:val="000000"/>
                <w:sz w:val="18"/>
                <w:szCs w:val="21"/>
              </w:rPr>
            </w:pPr>
          </w:p>
        </w:tc>
        <w:tc>
          <w:tcPr>
            <w:tcW w:w="680" w:type="pct"/>
            <w:shd w:val="clear" w:color="auto" w:fill="auto"/>
            <w:tcMar>
              <w:left w:w="57" w:type="dxa"/>
              <w:right w:w="57" w:type="dxa"/>
            </w:tcMar>
            <w:vAlign w:val="center"/>
          </w:tcPr>
          <w:p w14:paraId="61E8288E">
            <w:pPr>
              <w:jc w:val="center"/>
              <w:rPr>
                <w:rFonts w:eastAsia="仿宋_GB2312"/>
                <w:color w:val="000000"/>
                <w:sz w:val="18"/>
                <w:szCs w:val="21"/>
              </w:rPr>
            </w:pPr>
            <w:r>
              <w:rPr>
                <w:rFonts w:eastAsia="仿宋_GB2312"/>
                <w:color w:val="000000"/>
                <w:sz w:val="18"/>
                <w:szCs w:val="21"/>
              </w:rPr>
              <w:t>5.12.1</w:t>
            </w:r>
          </w:p>
        </w:tc>
        <w:tc>
          <w:tcPr>
            <w:tcW w:w="4050" w:type="pct"/>
            <w:shd w:val="clear" w:color="auto" w:fill="auto"/>
            <w:tcMar>
              <w:left w:w="57" w:type="dxa"/>
              <w:right w:w="57" w:type="dxa"/>
            </w:tcMar>
            <w:vAlign w:val="center"/>
          </w:tcPr>
          <w:p w14:paraId="592E134C">
            <w:pPr>
              <w:jc w:val="left"/>
              <w:rPr>
                <w:rFonts w:eastAsia="仿宋_GB2312"/>
                <w:b/>
                <w:color w:val="000000" w:themeColor="text1"/>
                <w:sz w:val="18"/>
                <w:szCs w:val="21"/>
              </w:rPr>
            </w:pPr>
            <w:r>
              <w:rPr>
                <w:rFonts w:eastAsia="仿宋_GB2312"/>
                <w:color w:val="000000" w:themeColor="text1"/>
                <w:sz w:val="18"/>
                <w:szCs w:val="21"/>
              </w:rPr>
              <w:t>研制条件，包括配合使用的设备、仪器和试剂应当满足研究所需，研制所用的设备、仪器和试剂应当保存使用记录。</w:t>
            </w:r>
          </w:p>
        </w:tc>
      </w:tr>
      <w:tr w14:paraId="6047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1577BCD">
            <w:pPr>
              <w:jc w:val="left"/>
              <w:rPr>
                <w:rFonts w:eastAsia="仿宋_GB2312"/>
                <w:color w:val="000000"/>
                <w:sz w:val="18"/>
                <w:szCs w:val="21"/>
              </w:rPr>
            </w:pPr>
          </w:p>
        </w:tc>
        <w:tc>
          <w:tcPr>
            <w:tcW w:w="680" w:type="pct"/>
            <w:shd w:val="clear" w:color="auto" w:fill="auto"/>
            <w:tcMar>
              <w:left w:w="57" w:type="dxa"/>
              <w:right w:w="57" w:type="dxa"/>
            </w:tcMar>
            <w:vAlign w:val="center"/>
          </w:tcPr>
          <w:p w14:paraId="723AC915">
            <w:pPr>
              <w:jc w:val="center"/>
              <w:rPr>
                <w:rFonts w:eastAsia="仿宋_GB2312"/>
                <w:color w:val="000000"/>
                <w:sz w:val="18"/>
                <w:szCs w:val="21"/>
              </w:rPr>
            </w:pPr>
            <w:r>
              <w:rPr>
                <w:rFonts w:eastAsia="仿宋_GB2312"/>
                <w:color w:val="000000"/>
                <w:sz w:val="18"/>
                <w:szCs w:val="21"/>
              </w:rPr>
              <w:t>5.12.2</w:t>
            </w:r>
          </w:p>
        </w:tc>
        <w:tc>
          <w:tcPr>
            <w:tcW w:w="4050" w:type="pct"/>
            <w:shd w:val="clear" w:color="auto" w:fill="auto"/>
            <w:tcMar>
              <w:left w:w="57" w:type="dxa"/>
              <w:right w:w="57" w:type="dxa"/>
            </w:tcMar>
            <w:vAlign w:val="center"/>
          </w:tcPr>
          <w:p w14:paraId="0D2DF1A7">
            <w:pPr>
              <w:jc w:val="left"/>
              <w:rPr>
                <w:rFonts w:eastAsia="仿宋_GB2312"/>
                <w:b/>
                <w:color w:val="000000" w:themeColor="text1"/>
                <w:sz w:val="18"/>
                <w:szCs w:val="21"/>
              </w:rPr>
            </w:pPr>
            <w:r>
              <w:rPr>
                <w:rFonts w:eastAsia="仿宋_GB2312"/>
                <w:color w:val="000000" w:themeColor="text1"/>
                <w:sz w:val="18"/>
                <w:szCs w:val="21"/>
              </w:rPr>
              <w:t>研制过程中主要原料、中间体、重要辅料应当明确来源，其数量、使用量及其剩余量应当保存记录。</w:t>
            </w:r>
          </w:p>
        </w:tc>
      </w:tr>
      <w:tr w14:paraId="379F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A99E4F4">
            <w:pPr>
              <w:jc w:val="left"/>
              <w:rPr>
                <w:rFonts w:eastAsia="仿宋_GB2312"/>
                <w:color w:val="000000"/>
                <w:sz w:val="18"/>
                <w:szCs w:val="21"/>
              </w:rPr>
            </w:pPr>
          </w:p>
        </w:tc>
        <w:tc>
          <w:tcPr>
            <w:tcW w:w="680" w:type="pct"/>
            <w:shd w:val="clear" w:color="auto" w:fill="auto"/>
            <w:tcMar>
              <w:left w:w="57" w:type="dxa"/>
              <w:right w:w="57" w:type="dxa"/>
            </w:tcMar>
            <w:vAlign w:val="center"/>
          </w:tcPr>
          <w:p w14:paraId="25304A94">
            <w:pPr>
              <w:jc w:val="center"/>
              <w:rPr>
                <w:rFonts w:eastAsia="仿宋_GB2312"/>
                <w:color w:val="000000"/>
                <w:sz w:val="18"/>
                <w:szCs w:val="21"/>
              </w:rPr>
            </w:pPr>
            <w:r>
              <w:rPr>
                <w:rFonts w:eastAsia="仿宋_GB2312"/>
                <w:color w:val="000000"/>
                <w:sz w:val="18"/>
                <w:szCs w:val="21"/>
              </w:rPr>
              <w:t>5.12.3</w:t>
            </w:r>
          </w:p>
        </w:tc>
        <w:tc>
          <w:tcPr>
            <w:tcW w:w="4050" w:type="pct"/>
            <w:shd w:val="clear" w:color="auto" w:fill="auto"/>
            <w:tcMar>
              <w:left w:w="57" w:type="dxa"/>
              <w:right w:w="57" w:type="dxa"/>
            </w:tcMar>
            <w:vAlign w:val="center"/>
          </w:tcPr>
          <w:p w14:paraId="6CE5D91D">
            <w:pPr>
              <w:jc w:val="left"/>
              <w:rPr>
                <w:rFonts w:eastAsia="仿宋_GB2312"/>
                <w:b/>
                <w:color w:val="000000" w:themeColor="text1"/>
                <w:sz w:val="18"/>
                <w:szCs w:val="21"/>
              </w:rPr>
            </w:pPr>
            <w:r>
              <w:rPr>
                <w:rFonts w:eastAsia="仿宋_GB2312"/>
                <w:color w:val="000000" w:themeColor="text1"/>
                <w:sz w:val="18"/>
                <w:szCs w:val="21"/>
              </w:rPr>
              <w:t>工艺研究、技术要求/分析性能研究、稳定性研究、检验、临床试验/评价（包括预实验）研究、参考值研究等各个阶段的样品数量、贮存条件、留样、使用或销毁情况应当保存记录，样品试制量应当满足从事研究所需要的数量。</w:t>
            </w:r>
          </w:p>
        </w:tc>
      </w:tr>
      <w:tr w14:paraId="6F4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2D50D3F9">
            <w:pPr>
              <w:jc w:val="left"/>
              <w:rPr>
                <w:rFonts w:eastAsia="仿宋_GB2312"/>
                <w:b/>
                <w:color w:val="000000"/>
                <w:kern w:val="0"/>
                <w:sz w:val="22"/>
                <w:szCs w:val="28"/>
                <w:lang w:bidi="bn-IN"/>
              </w:rPr>
            </w:pPr>
            <w:r>
              <w:rPr>
                <w:rFonts w:eastAsia="仿宋_GB2312"/>
                <w:b/>
                <w:color w:val="000000"/>
                <w:kern w:val="0"/>
                <w:sz w:val="22"/>
                <w:szCs w:val="28"/>
                <w:lang w:bidi="bn-IN"/>
              </w:rPr>
              <w:t>采</w:t>
            </w:r>
          </w:p>
          <w:p w14:paraId="16629EB6">
            <w:pPr>
              <w:jc w:val="left"/>
              <w:rPr>
                <w:rFonts w:eastAsia="仿宋_GB2312"/>
                <w:b/>
                <w:color w:val="000000"/>
                <w:kern w:val="0"/>
                <w:sz w:val="22"/>
                <w:szCs w:val="28"/>
                <w:lang w:bidi="bn-IN"/>
              </w:rPr>
            </w:pPr>
          </w:p>
          <w:p w14:paraId="4860B2A4">
            <w:pPr>
              <w:jc w:val="left"/>
              <w:rPr>
                <w:rFonts w:eastAsia="仿宋_GB2312"/>
                <w:b/>
                <w:color w:val="000000"/>
                <w:kern w:val="0"/>
                <w:sz w:val="22"/>
                <w:szCs w:val="28"/>
                <w:lang w:bidi="bn-IN"/>
              </w:rPr>
            </w:pPr>
          </w:p>
          <w:p w14:paraId="75010C66">
            <w:pPr>
              <w:jc w:val="left"/>
              <w:rPr>
                <w:rFonts w:eastAsia="仿宋_GB2312"/>
                <w:b/>
                <w:bCs/>
                <w:color w:val="000000"/>
                <w:sz w:val="18"/>
                <w:szCs w:val="21"/>
              </w:rPr>
            </w:pPr>
            <w:r>
              <w:rPr>
                <w:rFonts w:eastAsia="仿宋_GB2312"/>
                <w:b/>
                <w:color w:val="000000"/>
                <w:kern w:val="0"/>
                <w:sz w:val="22"/>
                <w:szCs w:val="28"/>
                <w:lang w:bidi="bn-IN"/>
              </w:rPr>
              <w:t>购</w:t>
            </w:r>
          </w:p>
        </w:tc>
        <w:tc>
          <w:tcPr>
            <w:tcW w:w="680" w:type="pct"/>
            <w:shd w:val="clear" w:color="auto" w:fill="auto"/>
            <w:tcMar>
              <w:left w:w="57" w:type="dxa"/>
              <w:right w:w="57" w:type="dxa"/>
            </w:tcMar>
            <w:vAlign w:val="center"/>
          </w:tcPr>
          <w:p w14:paraId="53D580D4">
            <w:pPr>
              <w:jc w:val="center"/>
              <w:rPr>
                <w:rFonts w:eastAsia="仿宋_GB2312"/>
                <w:i/>
                <w:iCs/>
                <w:color w:val="0070C0"/>
                <w:sz w:val="18"/>
                <w:szCs w:val="21"/>
              </w:rPr>
            </w:pPr>
            <w:r>
              <w:rPr>
                <w:rFonts w:eastAsia="仿宋_GB2312"/>
                <w:iCs/>
                <w:color w:val="000000" w:themeColor="text1"/>
                <w:kern w:val="0"/>
                <w:sz w:val="18"/>
                <w:szCs w:val="21"/>
                <w:lang w:bidi="bn-IN"/>
              </w:rPr>
              <w:t>*</w:t>
            </w:r>
            <w:r>
              <w:rPr>
                <w:rFonts w:eastAsia="仿宋_GB2312"/>
                <w:color w:val="000000" w:themeColor="text1"/>
                <w:kern w:val="0"/>
                <w:sz w:val="18"/>
                <w:szCs w:val="21"/>
                <w:lang w:bidi="bn-IN"/>
              </w:rPr>
              <w:t>6.</w:t>
            </w:r>
            <w:r>
              <w:rPr>
                <w:rFonts w:eastAsia="仿宋_GB2312"/>
                <w:iCs/>
                <w:color w:val="000000" w:themeColor="text1"/>
                <w:kern w:val="0"/>
                <w:sz w:val="18"/>
                <w:szCs w:val="21"/>
                <w:lang w:bidi="bn-IN"/>
              </w:rPr>
              <w:t>1.1</w:t>
            </w:r>
          </w:p>
        </w:tc>
        <w:tc>
          <w:tcPr>
            <w:tcW w:w="4050" w:type="pct"/>
            <w:shd w:val="clear" w:color="auto" w:fill="auto"/>
            <w:tcMar>
              <w:left w:w="57" w:type="dxa"/>
              <w:right w:w="57" w:type="dxa"/>
            </w:tcMar>
            <w:vAlign w:val="center"/>
          </w:tcPr>
          <w:p w14:paraId="062695AF">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lang w:bidi="bn-IN"/>
              </w:rPr>
              <w:t>应当建立采购控制程序。</w:t>
            </w:r>
          </w:p>
          <w:p w14:paraId="657BAB5B">
            <w:pPr>
              <w:jc w:val="left"/>
              <w:rPr>
                <w:rFonts w:eastAsia="仿宋_GB2312"/>
                <w:b/>
                <w:bCs/>
                <w:iCs/>
                <w:color w:val="000000" w:themeColor="text1"/>
                <w:sz w:val="18"/>
                <w:szCs w:val="21"/>
              </w:rPr>
            </w:pPr>
            <w:r>
              <w:rPr>
                <w:rStyle w:val="15"/>
                <w:rFonts w:eastAsia="仿宋_GB2312"/>
                <w:b/>
                <w:i w:val="0"/>
                <w:color w:val="000000" w:themeColor="text1"/>
                <w:sz w:val="18"/>
              </w:rPr>
              <w:t>采购程序内容至少包括：采购流程、合格供应商的选择、评价和再评价规定、采购物品检验或验证的要求、采购记录的要求。</w:t>
            </w:r>
          </w:p>
        </w:tc>
      </w:tr>
      <w:tr w14:paraId="2120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5AAD903">
            <w:pPr>
              <w:jc w:val="left"/>
              <w:rPr>
                <w:rFonts w:eastAsia="仿宋_GB2312"/>
                <w:b/>
                <w:color w:val="000000"/>
                <w:sz w:val="18"/>
                <w:szCs w:val="21"/>
              </w:rPr>
            </w:pPr>
          </w:p>
        </w:tc>
        <w:tc>
          <w:tcPr>
            <w:tcW w:w="680" w:type="pct"/>
            <w:shd w:val="clear" w:color="auto" w:fill="auto"/>
            <w:tcMar>
              <w:left w:w="57" w:type="dxa"/>
              <w:right w:w="57" w:type="dxa"/>
            </w:tcMar>
            <w:vAlign w:val="center"/>
          </w:tcPr>
          <w:p w14:paraId="4B0B956F">
            <w:pPr>
              <w:jc w:val="center"/>
              <w:rPr>
                <w:rFonts w:eastAsia="仿宋_GB2312"/>
                <w:color w:val="000000"/>
                <w:sz w:val="18"/>
                <w:szCs w:val="21"/>
              </w:rPr>
            </w:pPr>
            <w:r>
              <w:rPr>
                <w:rFonts w:eastAsia="仿宋_GB2312"/>
                <w:color w:val="000000" w:themeColor="text1"/>
                <w:kern w:val="0"/>
                <w:sz w:val="18"/>
                <w:szCs w:val="21"/>
                <w:lang w:bidi="bn-IN"/>
              </w:rPr>
              <w:t>*6.1.2</w:t>
            </w:r>
          </w:p>
        </w:tc>
        <w:tc>
          <w:tcPr>
            <w:tcW w:w="4050" w:type="pct"/>
            <w:shd w:val="clear" w:color="auto" w:fill="auto"/>
            <w:tcMar>
              <w:left w:w="57" w:type="dxa"/>
              <w:right w:w="57" w:type="dxa"/>
            </w:tcMar>
            <w:vAlign w:val="center"/>
          </w:tcPr>
          <w:p w14:paraId="2AA72F4D">
            <w:pPr>
              <w:jc w:val="left"/>
              <w:rPr>
                <w:rFonts w:eastAsia="仿宋_GB2312"/>
                <w:iCs/>
                <w:color w:val="000000" w:themeColor="text1"/>
                <w:sz w:val="18"/>
                <w:szCs w:val="21"/>
              </w:rPr>
            </w:pPr>
            <w:r>
              <w:rPr>
                <w:rFonts w:eastAsia="仿宋_GB2312"/>
                <w:color w:val="000000" w:themeColor="text1"/>
                <w:kern w:val="0"/>
                <w:sz w:val="18"/>
                <w:szCs w:val="21"/>
                <w:lang w:bidi="bn-IN"/>
              </w:rPr>
              <w:t>应当确保采购物品符合规定的要求，且</w:t>
            </w:r>
            <w:r>
              <w:rPr>
                <w:rFonts w:eastAsia="仿宋_GB2312"/>
                <w:color w:val="000000" w:themeColor="text1"/>
                <w:kern w:val="0"/>
                <w:sz w:val="18"/>
                <w:szCs w:val="21"/>
              </w:rPr>
              <w:t>不低于</w:t>
            </w:r>
            <w:r>
              <w:rPr>
                <w:rFonts w:eastAsia="仿宋_GB2312"/>
                <w:color w:val="000000" w:themeColor="text1"/>
                <w:kern w:val="0"/>
                <w:sz w:val="18"/>
                <w:szCs w:val="21"/>
                <w:lang w:bidi="bn-IN"/>
              </w:rPr>
              <w:t>法律法规的相关规定和国家强制性标准的相关要求。</w:t>
            </w:r>
          </w:p>
        </w:tc>
      </w:tr>
      <w:tr w14:paraId="5C59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2B49F77">
            <w:pPr>
              <w:jc w:val="left"/>
              <w:rPr>
                <w:rFonts w:eastAsia="仿宋_GB2312"/>
                <w:color w:val="000000"/>
                <w:sz w:val="18"/>
                <w:szCs w:val="21"/>
              </w:rPr>
            </w:pPr>
          </w:p>
        </w:tc>
        <w:tc>
          <w:tcPr>
            <w:tcW w:w="680" w:type="pct"/>
            <w:shd w:val="clear" w:color="auto" w:fill="auto"/>
            <w:tcMar>
              <w:left w:w="57" w:type="dxa"/>
              <w:right w:w="57" w:type="dxa"/>
            </w:tcMar>
            <w:vAlign w:val="center"/>
          </w:tcPr>
          <w:p w14:paraId="522D99C6">
            <w:pPr>
              <w:jc w:val="center"/>
              <w:rPr>
                <w:rFonts w:eastAsia="仿宋_GB2312"/>
                <w:color w:val="000000"/>
                <w:sz w:val="18"/>
                <w:szCs w:val="21"/>
              </w:rPr>
            </w:pPr>
            <w:r>
              <w:rPr>
                <w:rFonts w:eastAsia="仿宋_GB2312"/>
                <w:iCs/>
                <w:color w:val="000000"/>
                <w:sz w:val="18"/>
                <w:szCs w:val="21"/>
              </w:rPr>
              <w:t>6.</w:t>
            </w:r>
            <w:r>
              <w:rPr>
                <w:rFonts w:eastAsia="仿宋_GB2312"/>
                <w:color w:val="000000"/>
                <w:sz w:val="18"/>
                <w:szCs w:val="21"/>
              </w:rPr>
              <w:t>2.1</w:t>
            </w:r>
          </w:p>
        </w:tc>
        <w:tc>
          <w:tcPr>
            <w:tcW w:w="4050" w:type="pct"/>
            <w:shd w:val="clear" w:color="auto" w:fill="auto"/>
            <w:tcMar>
              <w:left w:w="57" w:type="dxa"/>
              <w:right w:w="57" w:type="dxa"/>
            </w:tcMar>
            <w:vAlign w:val="center"/>
          </w:tcPr>
          <w:p w14:paraId="4CEAFF25">
            <w:pPr>
              <w:jc w:val="left"/>
              <w:rPr>
                <w:rFonts w:eastAsia="仿宋_GB2312"/>
                <w:color w:val="000000" w:themeColor="text1"/>
                <w:sz w:val="18"/>
                <w:szCs w:val="21"/>
              </w:rPr>
            </w:pPr>
            <w:r>
              <w:rPr>
                <w:rFonts w:eastAsia="仿宋_GB2312"/>
                <w:color w:val="000000" w:themeColor="text1"/>
                <w:sz w:val="18"/>
                <w:szCs w:val="21"/>
              </w:rPr>
              <w:t>应当根据采购物品对产品的影响，确定对采购物品实行控制的方式和程度。</w:t>
            </w:r>
          </w:p>
          <w:p w14:paraId="4AECA9E5">
            <w:pPr>
              <w:jc w:val="left"/>
              <w:rPr>
                <w:rFonts w:eastAsia="仿宋_GB2312"/>
                <w:b/>
                <w:bCs/>
                <w:iCs/>
                <w:color w:val="000000" w:themeColor="text1"/>
                <w:sz w:val="18"/>
                <w:szCs w:val="21"/>
              </w:rPr>
            </w:pPr>
            <w:r>
              <w:rPr>
                <w:rFonts w:eastAsia="仿宋_GB2312"/>
                <w:b/>
                <w:bCs/>
                <w:iCs/>
                <w:color w:val="000000" w:themeColor="text1"/>
                <w:sz w:val="18"/>
                <w:szCs w:val="21"/>
              </w:rPr>
              <w:t>查看对采购物品实施控制方式和程度的规定，核实控制方式和程度能够满足产品要求。</w:t>
            </w:r>
          </w:p>
        </w:tc>
      </w:tr>
      <w:tr w14:paraId="48D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0C2113A">
            <w:pPr>
              <w:jc w:val="left"/>
              <w:rPr>
                <w:rFonts w:eastAsia="仿宋_GB2312"/>
                <w:color w:val="000000"/>
                <w:sz w:val="18"/>
                <w:szCs w:val="21"/>
              </w:rPr>
            </w:pPr>
          </w:p>
        </w:tc>
        <w:tc>
          <w:tcPr>
            <w:tcW w:w="680" w:type="pct"/>
            <w:shd w:val="clear" w:color="auto" w:fill="auto"/>
            <w:tcMar>
              <w:left w:w="57" w:type="dxa"/>
              <w:right w:w="57" w:type="dxa"/>
            </w:tcMar>
            <w:vAlign w:val="center"/>
          </w:tcPr>
          <w:p w14:paraId="54366335">
            <w:pPr>
              <w:jc w:val="center"/>
              <w:rPr>
                <w:rFonts w:eastAsia="仿宋_GB2312"/>
                <w:color w:val="000000"/>
                <w:sz w:val="18"/>
                <w:szCs w:val="21"/>
              </w:rPr>
            </w:pPr>
            <w:r>
              <w:rPr>
                <w:rFonts w:eastAsia="仿宋_GB2312"/>
                <w:color w:val="000000" w:themeColor="text1"/>
                <w:kern w:val="0"/>
                <w:sz w:val="18"/>
                <w:szCs w:val="21"/>
                <w:lang w:bidi="bn-IN"/>
              </w:rPr>
              <w:t>6.3.1</w:t>
            </w:r>
          </w:p>
        </w:tc>
        <w:tc>
          <w:tcPr>
            <w:tcW w:w="4050" w:type="pct"/>
            <w:shd w:val="clear" w:color="auto" w:fill="auto"/>
            <w:tcMar>
              <w:left w:w="57" w:type="dxa"/>
              <w:right w:w="57" w:type="dxa"/>
            </w:tcMar>
            <w:vAlign w:val="center"/>
          </w:tcPr>
          <w:p w14:paraId="046257E5">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lang w:bidi="bn-IN"/>
              </w:rPr>
              <w:t>应当建立供应商审核制度，对供应商进行审核评价。必要时，应当进行现场审核。</w:t>
            </w:r>
          </w:p>
          <w:p w14:paraId="10D1F783">
            <w:pPr>
              <w:jc w:val="left"/>
              <w:rPr>
                <w:rFonts w:eastAsia="仿宋_GB2312"/>
                <w:b/>
                <w:bCs/>
                <w:iCs/>
                <w:color w:val="000000" w:themeColor="text1"/>
                <w:sz w:val="18"/>
                <w:szCs w:val="21"/>
              </w:rPr>
            </w:pPr>
            <w:r>
              <w:rPr>
                <w:rStyle w:val="15"/>
                <w:rFonts w:eastAsia="仿宋_GB2312"/>
                <w:b/>
                <w:i w:val="0"/>
                <w:color w:val="000000" w:themeColor="text1"/>
                <w:sz w:val="18"/>
              </w:rPr>
              <w:t>是否符合《</w:t>
            </w:r>
            <w:r>
              <w:rPr>
                <w:rFonts w:eastAsia="仿宋_GB2312"/>
                <w:b/>
                <w:iCs/>
                <w:color w:val="000000" w:themeColor="text1"/>
                <w:sz w:val="18"/>
              </w:rPr>
              <w:t>医疗器械生产企业供应商审核指南</w:t>
            </w:r>
            <w:r>
              <w:rPr>
                <w:rStyle w:val="15"/>
                <w:rFonts w:eastAsia="仿宋_GB2312"/>
                <w:b/>
                <w:i w:val="0"/>
                <w:color w:val="000000" w:themeColor="text1"/>
                <w:sz w:val="18"/>
              </w:rPr>
              <w:t>》的要求。</w:t>
            </w:r>
          </w:p>
        </w:tc>
      </w:tr>
      <w:tr w14:paraId="74F2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E5EE450">
            <w:pPr>
              <w:jc w:val="left"/>
              <w:rPr>
                <w:rFonts w:eastAsia="仿宋_GB2312"/>
                <w:color w:val="000000"/>
                <w:sz w:val="18"/>
                <w:szCs w:val="21"/>
              </w:rPr>
            </w:pPr>
          </w:p>
        </w:tc>
        <w:tc>
          <w:tcPr>
            <w:tcW w:w="680" w:type="pct"/>
            <w:shd w:val="clear" w:color="auto" w:fill="auto"/>
            <w:tcMar>
              <w:left w:w="57" w:type="dxa"/>
              <w:right w:w="57" w:type="dxa"/>
            </w:tcMar>
            <w:vAlign w:val="center"/>
          </w:tcPr>
          <w:p w14:paraId="36E99639">
            <w:pPr>
              <w:jc w:val="center"/>
              <w:rPr>
                <w:rFonts w:eastAsia="仿宋_GB2312"/>
                <w:color w:val="000000"/>
                <w:sz w:val="18"/>
                <w:szCs w:val="21"/>
              </w:rPr>
            </w:pPr>
            <w:r>
              <w:rPr>
                <w:rFonts w:eastAsia="仿宋_GB2312"/>
                <w:iCs/>
                <w:color w:val="000000"/>
                <w:sz w:val="18"/>
                <w:szCs w:val="21"/>
              </w:rPr>
              <w:t>6.</w:t>
            </w:r>
            <w:r>
              <w:rPr>
                <w:rFonts w:eastAsia="仿宋_GB2312"/>
                <w:color w:val="000000"/>
                <w:sz w:val="18"/>
                <w:szCs w:val="21"/>
              </w:rPr>
              <w:t>3.2</w:t>
            </w:r>
          </w:p>
        </w:tc>
        <w:tc>
          <w:tcPr>
            <w:tcW w:w="4050" w:type="pct"/>
            <w:shd w:val="clear" w:color="auto" w:fill="auto"/>
            <w:tcMar>
              <w:left w:w="57" w:type="dxa"/>
              <w:right w:w="57" w:type="dxa"/>
            </w:tcMar>
            <w:vAlign w:val="center"/>
          </w:tcPr>
          <w:p w14:paraId="286A1763">
            <w:pPr>
              <w:jc w:val="left"/>
              <w:rPr>
                <w:rFonts w:eastAsia="仿宋_GB2312"/>
                <w:iCs/>
                <w:color w:val="000000" w:themeColor="text1"/>
                <w:sz w:val="18"/>
                <w:szCs w:val="21"/>
              </w:rPr>
            </w:pPr>
            <w:r>
              <w:rPr>
                <w:rFonts w:eastAsia="仿宋_GB2312"/>
                <w:color w:val="000000" w:themeColor="text1"/>
                <w:sz w:val="18"/>
                <w:szCs w:val="21"/>
              </w:rPr>
              <w:t>应当保留供方评价的结果和评价过程的记录。</w:t>
            </w:r>
          </w:p>
        </w:tc>
      </w:tr>
      <w:tr w14:paraId="369C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ECEB76E">
            <w:pPr>
              <w:jc w:val="left"/>
              <w:rPr>
                <w:rFonts w:eastAsia="仿宋_GB2312"/>
                <w:color w:val="000000"/>
                <w:sz w:val="18"/>
                <w:szCs w:val="21"/>
              </w:rPr>
            </w:pPr>
          </w:p>
        </w:tc>
        <w:tc>
          <w:tcPr>
            <w:tcW w:w="680" w:type="pct"/>
            <w:shd w:val="clear" w:color="auto" w:fill="auto"/>
            <w:tcMar>
              <w:left w:w="57" w:type="dxa"/>
              <w:right w:w="57" w:type="dxa"/>
            </w:tcMar>
            <w:vAlign w:val="center"/>
          </w:tcPr>
          <w:p w14:paraId="34228480">
            <w:pPr>
              <w:jc w:val="center"/>
              <w:rPr>
                <w:rFonts w:eastAsia="仿宋_GB2312"/>
                <w:color w:val="000000"/>
                <w:sz w:val="18"/>
                <w:szCs w:val="21"/>
              </w:rPr>
            </w:pPr>
            <w:r>
              <w:rPr>
                <w:rFonts w:eastAsia="仿宋_GB2312"/>
                <w:color w:val="000000" w:themeColor="text1"/>
                <w:kern w:val="0"/>
                <w:sz w:val="18"/>
                <w:szCs w:val="21"/>
                <w:lang w:bidi="bn-IN"/>
              </w:rPr>
              <w:t>*6.4.1</w:t>
            </w:r>
          </w:p>
        </w:tc>
        <w:tc>
          <w:tcPr>
            <w:tcW w:w="4050" w:type="pct"/>
            <w:shd w:val="clear" w:color="auto" w:fill="auto"/>
            <w:tcMar>
              <w:left w:w="57" w:type="dxa"/>
              <w:right w:w="57" w:type="dxa"/>
            </w:tcMar>
            <w:vAlign w:val="center"/>
          </w:tcPr>
          <w:p w14:paraId="104008D0">
            <w:pPr>
              <w:jc w:val="left"/>
              <w:rPr>
                <w:rFonts w:eastAsia="仿宋_GB2312"/>
                <w:iCs/>
                <w:color w:val="000000" w:themeColor="text1"/>
                <w:sz w:val="18"/>
                <w:szCs w:val="21"/>
              </w:rPr>
            </w:pPr>
            <w:r>
              <w:rPr>
                <w:rFonts w:eastAsia="仿宋_GB2312"/>
                <w:color w:val="000000" w:themeColor="text1"/>
                <w:kern w:val="0"/>
                <w:sz w:val="18"/>
                <w:szCs w:val="21"/>
                <w:lang w:bidi="bn-IN"/>
              </w:rPr>
              <w:t>应当与主要原材料供应商签订质量协议，明确双方所承担的质量责任。</w:t>
            </w:r>
          </w:p>
        </w:tc>
      </w:tr>
      <w:tr w14:paraId="6DF6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0505D15">
            <w:pPr>
              <w:jc w:val="left"/>
              <w:rPr>
                <w:rFonts w:eastAsia="仿宋_GB2312"/>
                <w:color w:val="000000"/>
                <w:sz w:val="18"/>
                <w:szCs w:val="21"/>
              </w:rPr>
            </w:pPr>
          </w:p>
        </w:tc>
        <w:tc>
          <w:tcPr>
            <w:tcW w:w="680" w:type="pct"/>
            <w:shd w:val="clear" w:color="auto" w:fill="auto"/>
            <w:tcMar>
              <w:left w:w="57" w:type="dxa"/>
              <w:right w:w="57" w:type="dxa"/>
            </w:tcMar>
            <w:vAlign w:val="center"/>
          </w:tcPr>
          <w:p w14:paraId="4504C9A9">
            <w:pPr>
              <w:jc w:val="center"/>
              <w:rPr>
                <w:rFonts w:eastAsia="仿宋_GB2312"/>
                <w:color w:val="000000"/>
                <w:sz w:val="18"/>
                <w:szCs w:val="21"/>
              </w:rPr>
            </w:pPr>
            <w:r>
              <w:rPr>
                <w:rFonts w:eastAsia="仿宋_GB2312"/>
                <w:iCs/>
                <w:color w:val="000000"/>
                <w:sz w:val="18"/>
                <w:szCs w:val="21"/>
              </w:rPr>
              <w:t>6.</w:t>
            </w:r>
            <w:r>
              <w:rPr>
                <w:rFonts w:eastAsia="仿宋_GB2312"/>
                <w:color w:val="000000"/>
                <w:sz w:val="18"/>
                <w:szCs w:val="21"/>
              </w:rPr>
              <w:t>5.1</w:t>
            </w:r>
          </w:p>
        </w:tc>
        <w:tc>
          <w:tcPr>
            <w:tcW w:w="4050" w:type="pct"/>
            <w:shd w:val="clear" w:color="auto" w:fill="auto"/>
            <w:tcMar>
              <w:left w:w="57" w:type="dxa"/>
              <w:right w:w="57" w:type="dxa"/>
            </w:tcMar>
            <w:vAlign w:val="center"/>
          </w:tcPr>
          <w:p w14:paraId="55A7A24B">
            <w:pPr>
              <w:jc w:val="left"/>
              <w:rPr>
                <w:rFonts w:eastAsia="仿宋_GB2312"/>
                <w:color w:val="000000" w:themeColor="text1"/>
                <w:sz w:val="18"/>
                <w:szCs w:val="21"/>
              </w:rPr>
            </w:pPr>
            <w:r>
              <w:rPr>
                <w:rFonts w:eastAsia="仿宋_GB2312"/>
                <w:color w:val="000000" w:themeColor="text1"/>
                <w:sz w:val="18"/>
                <w:szCs w:val="21"/>
              </w:rPr>
              <w:t>采购时应当明确采购信息，清晰表述采购要求，包括采购物品类别、验收准则、规格型号、规程、图样等内容。</w:t>
            </w:r>
          </w:p>
          <w:p w14:paraId="26A725C2">
            <w:pPr>
              <w:jc w:val="left"/>
              <w:rPr>
                <w:rFonts w:eastAsia="仿宋_GB2312"/>
                <w:b/>
                <w:bCs/>
                <w:iCs/>
                <w:color w:val="000000" w:themeColor="text1"/>
                <w:sz w:val="18"/>
                <w:szCs w:val="21"/>
              </w:rPr>
            </w:pPr>
            <w:r>
              <w:rPr>
                <w:rFonts w:eastAsia="仿宋_GB2312"/>
                <w:b/>
                <w:bCs/>
                <w:iCs/>
                <w:color w:val="000000" w:themeColor="text1"/>
                <w:sz w:val="18"/>
                <w:szCs w:val="21"/>
              </w:rPr>
              <w:t>从采购清单中抽查相关采购物品的采购要求，确认是否符合本条要求。</w:t>
            </w:r>
          </w:p>
        </w:tc>
      </w:tr>
      <w:tr w14:paraId="5701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E759E10">
            <w:pPr>
              <w:jc w:val="left"/>
              <w:rPr>
                <w:rFonts w:eastAsia="仿宋_GB2312"/>
                <w:color w:val="000000"/>
                <w:sz w:val="18"/>
                <w:szCs w:val="21"/>
              </w:rPr>
            </w:pPr>
          </w:p>
        </w:tc>
        <w:tc>
          <w:tcPr>
            <w:tcW w:w="680" w:type="pct"/>
            <w:shd w:val="clear" w:color="auto" w:fill="auto"/>
            <w:tcMar>
              <w:left w:w="57" w:type="dxa"/>
              <w:right w:w="57" w:type="dxa"/>
            </w:tcMar>
            <w:vAlign w:val="center"/>
          </w:tcPr>
          <w:p w14:paraId="24E0492C">
            <w:pPr>
              <w:jc w:val="center"/>
              <w:rPr>
                <w:rFonts w:eastAsia="仿宋_GB2312"/>
                <w:color w:val="000000"/>
                <w:sz w:val="18"/>
                <w:szCs w:val="21"/>
              </w:rPr>
            </w:pPr>
            <w:r>
              <w:rPr>
                <w:rFonts w:eastAsia="仿宋_GB2312"/>
                <w:iCs/>
                <w:color w:val="000000"/>
                <w:sz w:val="18"/>
                <w:szCs w:val="21"/>
              </w:rPr>
              <w:t>6.</w:t>
            </w:r>
            <w:r>
              <w:rPr>
                <w:rFonts w:eastAsia="仿宋_GB2312"/>
                <w:color w:val="000000"/>
                <w:sz w:val="18"/>
                <w:szCs w:val="21"/>
              </w:rPr>
              <w:t>5.2</w:t>
            </w:r>
          </w:p>
        </w:tc>
        <w:tc>
          <w:tcPr>
            <w:tcW w:w="4050" w:type="pct"/>
            <w:shd w:val="clear" w:color="auto" w:fill="auto"/>
            <w:tcMar>
              <w:left w:w="57" w:type="dxa"/>
              <w:right w:w="57" w:type="dxa"/>
            </w:tcMar>
            <w:vAlign w:val="center"/>
          </w:tcPr>
          <w:p w14:paraId="1406E6CA">
            <w:pPr>
              <w:jc w:val="left"/>
              <w:rPr>
                <w:rFonts w:eastAsia="仿宋_GB2312"/>
                <w:iCs/>
                <w:color w:val="000000" w:themeColor="text1"/>
                <w:sz w:val="18"/>
                <w:szCs w:val="21"/>
              </w:rPr>
            </w:pPr>
            <w:r>
              <w:rPr>
                <w:rFonts w:eastAsia="仿宋_GB2312"/>
                <w:color w:val="000000" w:themeColor="text1"/>
                <w:sz w:val="18"/>
                <w:szCs w:val="21"/>
              </w:rPr>
              <w:t>应当建立采购记录，包括采购合同、原材料清单、供应商资质证明文件、质量标准、检验报告及验收标准等。</w:t>
            </w:r>
          </w:p>
        </w:tc>
      </w:tr>
      <w:tr w14:paraId="1885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45D43E2">
            <w:pPr>
              <w:jc w:val="left"/>
              <w:rPr>
                <w:rFonts w:eastAsia="仿宋_GB2312"/>
                <w:color w:val="000000"/>
                <w:sz w:val="18"/>
                <w:szCs w:val="21"/>
              </w:rPr>
            </w:pPr>
          </w:p>
        </w:tc>
        <w:tc>
          <w:tcPr>
            <w:tcW w:w="680" w:type="pct"/>
            <w:shd w:val="clear" w:color="auto" w:fill="auto"/>
            <w:tcMar>
              <w:left w:w="57" w:type="dxa"/>
              <w:right w:w="57" w:type="dxa"/>
            </w:tcMar>
            <w:vAlign w:val="center"/>
          </w:tcPr>
          <w:p w14:paraId="6DE5631F">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6.</w:t>
            </w:r>
            <w:r>
              <w:rPr>
                <w:rFonts w:eastAsia="仿宋_GB2312"/>
                <w:color w:val="000000"/>
                <w:sz w:val="18"/>
                <w:szCs w:val="21"/>
              </w:rPr>
              <w:t>5.3</w:t>
            </w:r>
          </w:p>
        </w:tc>
        <w:tc>
          <w:tcPr>
            <w:tcW w:w="4050" w:type="pct"/>
            <w:shd w:val="clear" w:color="auto" w:fill="auto"/>
            <w:tcMar>
              <w:left w:w="57" w:type="dxa"/>
              <w:right w:w="57" w:type="dxa"/>
            </w:tcMar>
            <w:vAlign w:val="center"/>
          </w:tcPr>
          <w:p w14:paraId="69203B15">
            <w:pPr>
              <w:jc w:val="left"/>
              <w:rPr>
                <w:rFonts w:eastAsia="仿宋_GB2312"/>
                <w:color w:val="000000" w:themeColor="text1"/>
                <w:sz w:val="18"/>
                <w:szCs w:val="21"/>
              </w:rPr>
            </w:pPr>
            <w:r>
              <w:rPr>
                <w:rFonts w:eastAsia="仿宋_GB2312"/>
                <w:color w:val="000000" w:themeColor="text1"/>
                <w:sz w:val="18"/>
                <w:szCs w:val="21"/>
              </w:rPr>
              <w:t>采购记录应当满足可追溯要求。</w:t>
            </w:r>
          </w:p>
        </w:tc>
      </w:tr>
      <w:tr w14:paraId="03C5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5692FCD">
            <w:pPr>
              <w:jc w:val="left"/>
              <w:rPr>
                <w:rFonts w:eastAsia="仿宋_GB2312"/>
                <w:color w:val="000000"/>
                <w:sz w:val="18"/>
                <w:szCs w:val="21"/>
              </w:rPr>
            </w:pPr>
          </w:p>
        </w:tc>
        <w:tc>
          <w:tcPr>
            <w:tcW w:w="680" w:type="pct"/>
            <w:shd w:val="clear" w:color="auto" w:fill="auto"/>
            <w:tcMar>
              <w:left w:w="57" w:type="dxa"/>
              <w:right w:w="57" w:type="dxa"/>
            </w:tcMar>
            <w:vAlign w:val="center"/>
          </w:tcPr>
          <w:p w14:paraId="2D45EF3B">
            <w:pPr>
              <w:jc w:val="center"/>
              <w:rPr>
                <w:rFonts w:eastAsia="仿宋_GB2312"/>
                <w:color w:val="000000"/>
                <w:sz w:val="18"/>
                <w:szCs w:val="21"/>
              </w:rPr>
            </w:pPr>
            <w:r>
              <w:rPr>
                <w:rFonts w:eastAsia="仿宋_GB2312"/>
                <w:iCs/>
                <w:color w:val="000000"/>
                <w:sz w:val="18"/>
                <w:szCs w:val="21"/>
              </w:rPr>
              <w:t>6.</w:t>
            </w:r>
            <w:r>
              <w:rPr>
                <w:rFonts w:eastAsia="仿宋_GB2312"/>
                <w:color w:val="000000"/>
                <w:sz w:val="18"/>
                <w:szCs w:val="21"/>
              </w:rPr>
              <w:t>6.1</w:t>
            </w:r>
          </w:p>
        </w:tc>
        <w:tc>
          <w:tcPr>
            <w:tcW w:w="4050" w:type="pct"/>
            <w:shd w:val="clear" w:color="auto" w:fill="auto"/>
            <w:tcMar>
              <w:left w:w="57" w:type="dxa"/>
              <w:right w:w="57" w:type="dxa"/>
            </w:tcMar>
            <w:vAlign w:val="center"/>
          </w:tcPr>
          <w:p w14:paraId="7B96ECE4">
            <w:pPr>
              <w:jc w:val="left"/>
              <w:rPr>
                <w:rFonts w:eastAsia="仿宋_GB2312"/>
                <w:color w:val="000000" w:themeColor="text1"/>
                <w:sz w:val="18"/>
                <w:szCs w:val="21"/>
              </w:rPr>
            </w:pPr>
            <w:r>
              <w:rPr>
                <w:rFonts w:eastAsia="仿宋_GB2312"/>
                <w:color w:val="000000" w:themeColor="text1"/>
                <w:sz w:val="18"/>
                <w:szCs w:val="21"/>
              </w:rPr>
              <w:t>应当对采购物品进行检验或验证，确保满足生产要求。</w:t>
            </w:r>
          </w:p>
          <w:p w14:paraId="64F7C182">
            <w:pPr>
              <w:jc w:val="left"/>
              <w:rPr>
                <w:rFonts w:eastAsia="仿宋_GB2312"/>
                <w:b/>
                <w:bCs/>
                <w:iCs/>
                <w:color w:val="000000" w:themeColor="text1"/>
                <w:sz w:val="18"/>
                <w:szCs w:val="21"/>
              </w:rPr>
            </w:pPr>
            <w:r>
              <w:rPr>
                <w:rFonts w:eastAsia="仿宋_GB2312"/>
                <w:b/>
                <w:bCs/>
                <w:iCs/>
                <w:color w:val="000000" w:themeColor="text1"/>
                <w:sz w:val="18"/>
                <w:szCs w:val="21"/>
              </w:rPr>
              <w:t>查看采购物品的检验或验证记录。</w:t>
            </w:r>
          </w:p>
        </w:tc>
      </w:tr>
      <w:tr w14:paraId="1859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5228219">
            <w:pPr>
              <w:jc w:val="left"/>
              <w:rPr>
                <w:rFonts w:eastAsia="仿宋_GB2312"/>
                <w:color w:val="000000"/>
                <w:sz w:val="18"/>
                <w:szCs w:val="21"/>
              </w:rPr>
            </w:pPr>
          </w:p>
        </w:tc>
        <w:tc>
          <w:tcPr>
            <w:tcW w:w="680" w:type="pct"/>
            <w:shd w:val="clear" w:color="auto" w:fill="auto"/>
            <w:tcMar>
              <w:left w:w="57" w:type="dxa"/>
              <w:right w:w="57" w:type="dxa"/>
            </w:tcMar>
            <w:vAlign w:val="center"/>
          </w:tcPr>
          <w:p w14:paraId="7421616F">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6.</w:t>
            </w:r>
            <w:r>
              <w:rPr>
                <w:rFonts w:eastAsia="仿宋_GB2312"/>
                <w:color w:val="000000"/>
                <w:sz w:val="18"/>
                <w:szCs w:val="21"/>
              </w:rPr>
              <w:t>7.1</w:t>
            </w:r>
          </w:p>
        </w:tc>
        <w:tc>
          <w:tcPr>
            <w:tcW w:w="4050" w:type="pct"/>
            <w:shd w:val="clear" w:color="auto" w:fill="auto"/>
            <w:tcMar>
              <w:left w:w="57" w:type="dxa"/>
              <w:right w:w="57" w:type="dxa"/>
            </w:tcMar>
            <w:vAlign w:val="center"/>
          </w:tcPr>
          <w:p w14:paraId="2A69BB7B">
            <w:pPr>
              <w:jc w:val="left"/>
              <w:rPr>
                <w:rFonts w:eastAsia="仿宋_GB2312"/>
                <w:color w:val="000000" w:themeColor="text1"/>
                <w:sz w:val="18"/>
                <w:szCs w:val="21"/>
              </w:rPr>
            </w:pPr>
            <w:r>
              <w:rPr>
                <w:rFonts w:eastAsia="仿宋_GB2312"/>
                <w:color w:val="000000" w:themeColor="text1"/>
                <w:sz w:val="18"/>
                <w:szCs w:val="21"/>
              </w:rPr>
              <w:t>外购的标准品、校准品、质控品、生产用或质控用血液的采购应满足可追溯要求。</w:t>
            </w:r>
          </w:p>
        </w:tc>
      </w:tr>
      <w:tr w14:paraId="049C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tcBorders>
              <w:bottom w:val="single" w:color="auto" w:sz="4" w:space="0"/>
            </w:tcBorders>
            <w:shd w:val="clear" w:color="auto" w:fill="auto"/>
            <w:vAlign w:val="center"/>
          </w:tcPr>
          <w:p w14:paraId="5B51549D">
            <w:pPr>
              <w:jc w:val="left"/>
              <w:rPr>
                <w:rFonts w:eastAsia="仿宋_GB2312"/>
                <w:color w:val="000000"/>
                <w:sz w:val="18"/>
                <w:szCs w:val="21"/>
              </w:rPr>
            </w:pPr>
          </w:p>
        </w:tc>
        <w:tc>
          <w:tcPr>
            <w:tcW w:w="680" w:type="pct"/>
            <w:tcBorders>
              <w:bottom w:val="single" w:color="auto" w:sz="4" w:space="0"/>
            </w:tcBorders>
            <w:shd w:val="clear" w:color="auto" w:fill="auto"/>
            <w:tcMar>
              <w:left w:w="57" w:type="dxa"/>
              <w:right w:w="57" w:type="dxa"/>
            </w:tcMar>
            <w:vAlign w:val="center"/>
          </w:tcPr>
          <w:p w14:paraId="5B46020F">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6.</w:t>
            </w:r>
            <w:r>
              <w:rPr>
                <w:rFonts w:eastAsia="仿宋_GB2312"/>
                <w:color w:val="000000"/>
                <w:sz w:val="18"/>
                <w:szCs w:val="21"/>
              </w:rPr>
              <w:t>7.2</w:t>
            </w:r>
          </w:p>
        </w:tc>
        <w:tc>
          <w:tcPr>
            <w:tcW w:w="4050" w:type="pct"/>
            <w:tcBorders>
              <w:bottom w:val="single" w:color="auto" w:sz="4" w:space="0"/>
            </w:tcBorders>
            <w:shd w:val="clear" w:color="auto" w:fill="auto"/>
            <w:tcMar>
              <w:left w:w="57" w:type="dxa"/>
              <w:right w:w="57" w:type="dxa"/>
            </w:tcMar>
            <w:vAlign w:val="center"/>
          </w:tcPr>
          <w:p w14:paraId="4175016D">
            <w:pPr>
              <w:jc w:val="left"/>
              <w:rPr>
                <w:rFonts w:eastAsia="仿宋_GB2312"/>
                <w:color w:val="000000" w:themeColor="text1"/>
                <w:sz w:val="18"/>
                <w:szCs w:val="21"/>
              </w:rPr>
            </w:pPr>
            <w:r>
              <w:rPr>
                <w:rFonts w:eastAsia="仿宋_GB2312"/>
                <w:color w:val="000000" w:themeColor="text1"/>
                <w:sz w:val="18"/>
                <w:szCs w:val="21"/>
              </w:rPr>
              <w:t>应当由企业或提供机构测定病原微生物及明确定值范围；应当对其来源地、定值范围、灭活状态、数量、保存、使用状态等信息有明确记录，并由专人负责。</w:t>
            </w:r>
          </w:p>
          <w:p w14:paraId="4261712F">
            <w:pPr>
              <w:jc w:val="left"/>
              <w:rPr>
                <w:rFonts w:eastAsia="仿宋_GB2312"/>
                <w:b/>
                <w:bCs/>
                <w:iCs/>
                <w:color w:val="000000" w:themeColor="text1"/>
                <w:sz w:val="18"/>
                <w:szCs w:val="21"/>
              </w:rPr>
            </w:pPr>
            <w:r>
              <w:rPr>
                <w:rFonts w:eastAsia="仿宋_GB2312"/>
                <w:b/>
                <w:bCs/>
                <w:iCs/>
                <w:color w:val="000000" w:themeColor="text1"/>
                <w:sz w:val="18"/>
                <w:szCs w:val="21"/>
              </w:rPr>
              <w:t>查看相应文件，是否明确记录的要求和专人负责的要求。</w:t>
            </w:r>
          </w:p>
          <w:p w14:paraId="373C0923">
            <w:pPr>
              <w:jc w:val="left"/>
              <w:rPr>
                <w:rFonts w:eastAsia="仿宋_GB2312"/>
                <w:b/>
                <w:bCs/>
                <w:iCs/>
                <w:color w:val="000000" w:themeColor="text1"/>
                <w:sz w:val="18"/>
                <w:szCs w:val="21"/>
              </w:rPr>
            </w:pPr>
            <w:r>
              <w:rPr>
                <w:rFonts w:eastAsia="仿宋_GB2312"/>
                <w:b/>
                <w:bCs/>
                <w:iCs/>
                <w:color w:val="000000" w:themeColor="text1"/>
                <w:sz w:val="18"/>
                <w:szCs w:val="21"/>
              </w:rPr>
              <w:t>查看病原微生物的相关记录，是否符合要求。</w:t>
            </w:r>
          </w:p>
        </w:tc>
      </w:tr>
      <w:tr w14:paraId="705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7579F4FC">
            <w:pPr>
              <w:jc w:val="left"/>
              <w:rPr>
                <w:rFonts w:eastAsia="仿宋_GB2312"/>
                <w:b/>
                <w:color w:val="000000"/>
                <w:kern w:val="0"/>
                <w:sz w:val="22"/>
                <w:szCs w:val="28"/>
                <w:lang w:bidi="bn-IN"/>
              </w:rPr>
            </w:pPr>
          </w:p>
          <w:p w14:paraId="7DC9A89D">
            <w:pPr>
              <w:jc w:val="left"/>
              <w:rPr>
                <w:rFonts w:eastAsia="仿宋_GB2312"/>
                <w:b/>
                <w:color w:val="000000"/>
                <w:kern w:val="0"/>
                <w:sz w:val="22"/>
                <w:szCs w:val="28"/>
                <w:lang w:bidi="bn-IN"/>
              </w:rPr>
            </w:pPr>
          </w:p>
          <w:p w14:paraId="6E883595">
            <w:pPr>
              <w:jc w:val="left"/>
              <w:rPr>
                <w:rFonts w:eastAsia="仿宋_GB2312"/>
                <w:b/>
                <w:color w:val="000000"/>
                <w:kern w:val="0"/>
                <w:sz w:val="22"/>
                <w:szCs w:val="28"/>
                <w:lang w:bidi="bn-IN"/>
              </w:rPr>
            </w:pPr>
          </w:p>
          <w:p w14:paraId="07935E27">
            <w:pPr>
              <w:jc w:val="left"/>
              <w:rPr>
                <w:rFonts w:eastAsia="仿宋_GB2312"/>
                <w:b/>
                <w:color w:val="000000"/>
                <w:kern w:val="0"/>
                <w:sz w:val="22"/>
                <w:szCs w:val="28"/>
                <w:lang w:bidi="bn-IN"/>
              </w:rPr>
            </w:pPr>
          </w:p>
          <w:p w14:paraId="1805FD44">
            <w:pPr>
              <w:jc w:val="left"/>
              <w:rPr>
                <w:rFonts w:eastAsia="仿宋_GB2312"/>
                <w:b/>
                <w:color w:val="000000"/>
                <w:kern w:val="0"/>
                <w:sz w:val="22"/>
                <w:szCs w:val="28"/>
                <w:lang w:bidi="bn-IN"/>
              </w:rPr>
            </w:pPr>
          </w:p>
          <w:p w14:paraId="3E7E698B">
            <w:pPr>
              <w:jc w:val="left"/>
              <w:rPr>
                <w:rFonts w:eastAsia="仿宋_GB2312"/>
                <w:b/>
                <w:color w:val="000000"/>
                <w:kern w:val="0"/>
                <w:sz w:val="22"/>
                <w:szCs w:val="28"/>
                <w:lang w:bidi="bn-IN"/>
              </w:rPr>
            </w:pPr>
          </w:p>
          <w:p w14:paraId="02EB2EA4">
            <w:pPr>
              <w:jc w:val="left"/>
              <w:rPr>
                <w:rFonts w:eastAsia="仿宋_GB2312"/>
                <w:b/>
                <w:color w:val="000000"/>
                <w:kern w:val="0"/>
                <w:sz w:val="22"/>
                <w:szCs w:val="28"/>
                <w:lang w:bidi="bn-IN"/>
              </w:rPr>
            </w:pPr>
          </w:p>
          <w:p w14:paraId="445AC007">
            <w:pPr>
              <w:jc w:val="left"/>
              <w:rPr>
                <w:rFonts w:eastAsia="仿宋_GB2312"/>
                <w:b/>
                <w:color w:val="000000"/>
                <w:kern w:val="0"/>
                <w:sz w:val="22"/>
                <w:szCs w:val="28"/>
                <w:lang w:bidi="bn-IN"/>
              </w:rPr>
            </w:pPr>
          </w:p>
          <w:p w14:paraId="2F099CFF">
            <w:pPr>
              <w:jc w:val="left"/>
              <w:rPr>
                <w:rFonts w:eastAsia="仿宋_GB2312"/>
                <w:b/>
                <w:color w:val="000000"/>
                <w:kern w:val="0"/>
                <w:sz w:val="22"/>
                <w:szCs w:val="28"/>
                <w:lang w:bidi="bn-IN"/>
              </w:rPr>
            </w:pPr>
          </w:p>
          <w:p w14:paraId="366B1674">
            <w:pPr>
              <w:jc w:val="left"/>
              <w:rPr>
                <w:rFonts w:eastAsia="仿宋_GB2312"/>
                <w:b/>
                <w:color w:val="000000"/>
                <w:kern w:val="0"/>
                <w:sz w:val="22"/>
                <w:szCs w:val="28"/>
                <w:lang w:bidi="bn-IN"/>
              </w:rPr>
            </w:pPr>
            <w:r>
              <w:rPr>
                <w:rFonts w:eastAsia="仿宋_GB2312"/>
                <w:b/>
                <w:color w:val="000000"/>
                <w:kern w:val="0"/>
                <w:sz w:val="22"/>
                <w:szCs w:val="28"/>
                <w:lang w:bidi="bn-IN"/>
              </w:rPr>
              <w:t>生</w:t>
            </w:r>
          </w:p>
          <w:p w14:paraId="78C85A71">
            <w:pPr>
              <w:jc w:val="left"/>
              <w:rPr>
                <w:rFonts w:eastAsia="仿宋_GB2312"/>
                <w:b/>
                <w:color w:val="000000"/>
                <w:kern w:val="0"/>
                <w:sz w:val="22"/>
                <w:szCs w:val="28"/>
                <w:lang w:bidi="bn-IN"/>
              </w:rPr>
            </w:pPr>
            <w:r>
              <w:rPr>
                <w:rFonts w:eastAsia="仿宋_GB2312"/>
                <w:b/>
                <w:color w:val="000000"/>
                <w:kern w:val="0"/>
                <w:sz w:val="22"/>
                <w:szCs w:val="28"/>
                <w:lang w:bidi="bn-IN"/>
              </w:rPr>
              <w:t>产</w:t>
            </w:r>
          </w:p>
          <w:p w14:paraId="16C40D25">
            <w:pPr>
              <w:jc w:val="left"/>
              <w:rPr>
                <w:rFonts w:eastAsia="仿宋_GB2312"/>
                <w:b/>
                <w:color w:val="000000"/>
                <w:kern w:val="0"/>
                <w:sz w:val="22"/>
                <w:szCs w:val="28"/>
                <w:lang w:bidi="bn-IN"/>
              </w:rPr>
            </w:pPr>
            <w:r>
              <w:rPr>
                <w:rFonts w:eastAsia="仿宋_GB2312"/>
                <w:b/>
                <w:color w:val="000000"/>
                <w:kern w:val="0"/>
                <w:sz w:val="22"/>
                <w:szCs w:val="28"/>
                <w:lang w:bidi="bn-IN"/>
              </w:rPr>
              <w:t>管</w:t>
            </w:r>
          </w:p>
          <w:p w14:paraId="7292DD76">
            <w:pPr>
              <w:jc w:val="left"/>
              <w:rPr>
                <w:rFonts w:eastAsia="仿宋_GB2312"/>
                <w:b/>
                <w:color w:val="000000"/>
                <w:kern w:val="0"/>
                <w:sz w:val="22"/>
                <w:szCs w:val="28"/>
                <w:lang w:bidi="bn-IN"/>
              </w:rPr>
            </w:pPr>
            <w:r>
              <w:rPr>
                <w:rFonts w:eastAsia="仿宋_GB2312"/>
                <w:b/>
                <w:color w:val="000000"/>
                <w:kern w:val="0"/>
                <w:sz w:val="22"/>
                <w:szCs w:val="28"/>
                <w:lang w:bidi="bn-IN"/>
              </w:rPr>
              <w:t>理</w:t>
            </w:r>
          </w:p>
          <w:p w14:paraId="51A00AC6">
            <w:pPr>
              <w:jc w:val="left"/>
              <w:rPr>
                <w:rFonts w:eastAsia="仿宋_GB2312"/>
                <w:color w:val="000000"/>
                <w:sz w:val="18"/>
                <w:szCs w:val="21"/>
              </w:rPr>
            </w:pPr>
          </w:p>
        </w:tc>
        <w:tc>
          <w:tcPr>
            <w:tcW w:w="680" w:type="pct"/>
            <w:shd w:val="clear" w:color="auto" w:fill="auto"/>
            <w:tcMar>
              <w:left w:w="57" w:type="dxa"/>
              <w:right w:w="57" w:type="dxa"/>
            </w:tcMar>
            <w:vAlign w:val="center"/>
          </w:tcPr>
          <w:p w14:paraId="4D9DB32B">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7.</w:t>
            </w:r>
            <w:r>
              <w:rPr>
                <w:rFonts w:eastAsia="仿宋_GB2312"/>
                <w:color w:val="000000"/>
                <w:sz w:val="18"/>
                <w:szCs w:val="21"/>
              </w:rPr>
              <w:t>1.1</w:t>
            </w:r>
          </w:p>
        </w:tc>
        <w:tc>
          <w:tcPr>
            <w:tcW w:w="4050" w:type="pct"/>
            <w:shd w:val="clear" w:color="auto" w:fill="auto"/>
            <w:tcMar>
              <w:left w:w="57" w:type="dxa"/>
              <w:right w:w="57" w:type="dxa"/>
            </w:tcMar>
            <w:vAlign w:val="center"/>
          </w:tcPr>
          <w:p w14:paraId="6AB1F06D">
            <w:pPr>
              <w:jc w:val="left"/>
              <w:rPr>
                <w:rFonts w:eastAsia="仿宋_GB2312"/>
                <w:color w:val="000000" w:themeColor="text1"/>
                <w:sz w:val="18"/>
                <w:szCs w:val="21"/>
              </w:rPr>
            </w:pPr>
            <w:r>
              <w:rPr>
                <w:rFonts w:eastAsia="仿宋_GB2312"/>
                <w:color w:val="000000" w:themeColor="text1"/>
                <w:sz w:val="18"/>
                <w:szCs w:val="21"/>
              </w:rPr>
              <w:t>应当按照建立的质量管理体系进行生产，以保证产品符合强制性标准和经注册或者备案的产品技术要求。</w:t>
            </w:r>
          </w:p>
        </w:tc>
      </w:tr>
      <w:tr w14:paraId="4125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6755456">
            <w:pPr>
              <w:jc w:val="left"/>
              <w:rPr>
                <w:rFonts w:eastAsia="仿宋_GB2312"/>
                <w:color w:val="000000"/>
                <w:sz w:val="18"/>
                <w:szCs w:val="21"/>
              </w:rPr>
            </w:pPr>
          </w:p>
        </w:tc>
        <w:tc>
          <w:tcPr>
            <w:tcW w:w="680" w:type="pct"/>
            <w:shd w:val="clear" w:color="auto" w:fill="auto"/>
            <w:tcMar>
              <w:left w:w="57" w:type="dxa"/>
              <w:right w:w="57" w:type="dxa"/>
            </w:tcMar>
            <w:vAlign w:val="center"/>
          </w:tcPr>
          <w:p w14:paraId="597D2B8C">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7.</w:t>
            </w:r>
            <w:r>
              <w:rPr>
                <w:rFonts w:eastAsia="仿宋_GB2312"/>
                <w:color w:val="000000"/>
                <w:sz w:val="18"/>
                <w:szCs w:val="21"/>
              </w:rPr>
              <w:t>2.1</w:t>
            </w:r>
          </w:p>
        </w:tc>
        <w:tc>
          <w:tcPr>
            <w:tcW w:w="4050" w:type="pct"/>
            <w:shd w:val="clear" w:color="auto" w:fill="auto"/>
            <w:tcMar>
              <w:left w:w="57" w:type="dxa"/>
              <w:right w:w="57" w:type="dxa"/>
            </w:tcMar>
            <w:vAlign w:val="center"/>
          </w:tcPr>
          <w:p w14:paraId="07A3A4C9">
            <w:pPr>
              <w:jc w:val="left"/>
              <w:rPr>
                <w:rFonts w:eastAsia="仿宋_GB2312"/>
                <w:color w:val="000000" w:themeColor="text1"/>
                <w:sz w:val="18"/>
                <w:szCs w:val="21"/>
              </w:rPr>
            </w:pPr>
            <w:r>
              <w:rPr>
                <w:rFonts w:eastAsia="仿宋_GB2312"/>
                <w:color w:val="000000" w:themeColor="text1"/>
                <w:sz w:val="18"/>
                <w:szCs w:val="21"/>
              </w:rPr>
              <w:t>应当编制生产工艺规程、作业指导书等，明确关键工序和特殊过程。</w:t>
            </w:r>
          </w:p>
          <w:p w14:paraId="44592062">
            <w:pPr>
              <w:jc w:val="left"/>
              <w:rPr>
                <w:rFonts w:eastAsia="仿宋_GB2312"/>
                <w:b/>
                <w:bCs/>
                <w:iCs/>
                <w:color w:val="000000" w:themeColor="text1"/>
                <w:sz w:val="18"/>
                <w:szCs w:val="21"/>
              </w:rPr>
            </w:pPr>
            <w:r>
              <w:rPr>
                <w:rFonts w:eastAsia="仿宋_GB2312"/>
                <w:b/>
                <w:bCs/>
                <w:iCs/>
                <w:color w:val="000000" w:themeColor="text1"/>
                <w:sz w:val="18"/>
                <w:szCs w:val="21"/>
              </w:rPr>
              <w:t>查看相关文件；是否明确关键工序和特殊过程，对关键工序和特殊过程的重要参数是否做验证或确认的规定。</w:t>
            </w:r>
          </w:p>
        </w:tc>
      </w:tr>
      <w:tr w14:paraId="2973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A7C94F7">
            <w:pPr>
              <w:jc w:val="left"/>
              <w:rPr>
                <w:rFonts w:eastAsia="仿宋_GB2312"/>
                <w:color w:val="000000"/>
                <w:sz w:val="18"/>
                <w:szCs w:val="21"/>
              </w:rPr>
            </w:pPr>
          </w:p>
        </w:tc>
        <w:tc>
          <w:tcPr>
            <w:tcW w:w="680" w:type="pct"/>
            <w:shd w:val="clear" w:color="auto" w:fill="auto"/>
            <w:tcMar>
              <w:left w:w="57" w:type="dxa"/>
              <w:right w:w="57" w:type="dxa"/>
            </w:tcMar>
            <w:vAlign w:val="center"/>
          </w:tcPr>
          <w:p w14:paraId="7BD316D1">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3.1</w:t>
            </w:r>
          </w:p>
        </w:tc>
        <w:tc>
          <w:tcPr>
            <w:tcW w:w="4050" w:type="pct"/>
            <w:shd w:val="clear" w:color="auto" w:fill="auto"/>
            <w:tcMar>
              <w:left w:w="57" w:type="dxa"/>
              <w:right w:w="57" w:type="dxa"/>
            </w:tcMar>
            <w:vAlign w:val="center"/>
          </w:tcPr>
          <w:p w14:paraId="49114EDE">
            <w:pPr>
              <w:jc w:val="left"/>
              <w:rPr>
                <w:rFonts w:eastAsia="仿宋_GB2312"/>
                <w:color w:val="000000" w:themeColor="text1"/>
                <w:sz w:val="18"/>
                <w:szCs w:val="21"/>
              </w:rPr>
            </w:pPr>
            <w:r>
              <w:rPr>
                <w:rFonts w:eastAsia="仿宋_GB2312"/>
                <w:color w:val="000000" w:themeColor="text1"/>
                <w:sz w:val="18"/>
                <w:szCs w:val="21"/>
              </w:rPr>
              <w:t>在生产过程中需要对原材料、中间品等进行清洁处理的，应当明确清洁方法和要求，并对清洁效果进行验证。</w:t>
            </w:r>
          </w:p>
        </w:tc>
      </w:tr>
      <w:tr w14:paraId="2584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2C87AC7">
            <w:pPr>
              <w:jc w:val="left"/>
              <w:rPr>
                <w:rFonts w:eastAsia="仿宋_GB2312"/>
                <w:color w:val="000000"/>
                <w:sz w:val="18"/>
                <w:szCs w:val="21"/>
              </w:rPr>
            </w:pPr>
          </w:p>
        </w:tc>
        <w:tc>
          <w:tcPr>
            <w:tcW w:w="680" w:type="pct"/>
            <w:shd w:val="clear" w:color="auto" w:fill="auto"/>
            <w:tcMar>
              <w:left w:w="57" w:type="dxa"/>
              <w:right w:w="57" w:type="dxa"/>
            </w:tcMar>
            <w:vAlign w:val="center"/>
          </w:tcPr>
          <w:p w14:paraId="4C7488B2">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4.1</w:t>
            </w:r>
          </w:p>
        </w:tc>
        <w:tc>
          <w:tcPr>
            <w:tcW w:w="4050" w:type="pct"/>
            <w:shd w:val="clear" w:color="auto" w:fill="auto"/>
            <w:tcMar>
              <w:left w:w="57" w:type="dxa"/>
              <w:right w:w="57" w:type="dxa"/>
            </w:tcMar>
            <w:vAlign w:val="center"/>
          </w:tcPr>
          <w:p w14:paraId="4D317614">
            <w:pPr>
              <w:jc w:val="left"/>
              <w:rPr>
                <w:rFonts w:eastAsia="仿宋_GB2312"/>
                <w:color w:val="000000" w:themeColor="text1"/>
                <w:sz w:val="18"/>
                <w:szCs w:val="21"/>
              </w:rPr>
            </w:pPr>
            <w:r>
              <w:rPr>
                <w:rFonts w:eastAsia="仿宋_GB2312"/>
                <w:color w:val="000000" w:themeColor="text1"/>
                <w:sz w:val="18"/>
                <w:szCs w:val="21"/>
              </w:rPr>
              <w:t>应当根据生产工艺特点对环境进行监测，并保存记录。</w:t>
            </w:r>
          </w:p>
        </w:tc>
      </w:tr>
      <w:tr w14:paraId="790D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DD9F9FD">
            <w:pPr>
              <w:jc w:val="left"/>
              <w:rPr>
                <w:rFonts w:eastAsia="仿宋_GB2312"/>
                <w:color w:val="000000"/>
                <w:sz w:val="18"/>
                <w:szCs w:val="21"/>
              </w:rPr>
            </w:pPr>
          </w:p>
        </w:tc>
        <w:tc>
          <w:tcPr>
            <w:tcW w:w="680" w:type="pct"/>
            <w:shd w:val="clear" w:color="auto" w:fill="auto"/>
            <w:tcMar>
              <w:left w:w="57" w:type="dxa"/>
              <w:right w:w="57" w:type="dxa"/>
            </w:tcMar>
            <w:vAlign w:val="center"/>
          </w:tcPr>
          <w:p w14:paraId="5F3B59F0">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5.1</w:t>
            </w:r>
          </w:p>
        </w:tc>
        <w:tc>
          <w:tcPr>
            <w:tcW w:w="4050" w:type="pct"/>
            <w:shd w:val="clear" w:color="auto" w:fill="auto"/>
            <w:tcMar>
              <w:left w:w="57" w:type="dxa"/>
              <w:right w:w="57" w:type="dxa"/>
            </w:tcMar>
            <w:vAlign w:val="center"/>
          </w:tcPr>
          <w:p w14:paraId="36953E92">
            <w:pPr>
              <w:jc w:val="left"/>
              <w:rPr>
                <w:rFonts w:eastAsia="仿宋_GB2312"/>
                <w:iCs/>
                <w:color w:val="000000" w:themeColor="text1"/>
                <w:sz w:val="18"/>
                <w:szCs w:val="21"/>
              </w:rPr>
            </w:pPr>
            <w:r>
              <w:rPr>
                <w:rFonts w:eastAsia="仿宋_GB2312"/>
                <w:color w:val="000000" w:themeColor="text1"/>
                <w:sz w:val="18"/>
                <w:szCs w:val="21"/>
              </w:rPr>
              <w:t>应当对生产的特殊过程进行确认，并保存记录，包括确认方案，确认方法、操作人员、结果评价、再确认等内容。</w:t>
            </w:r>
          </w:p>
        </w:tc>
      </w:tr>
      <w:tr w14:paraId="0A9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73E83C7">
            <w:pPr>
              <w:jc w:val="left"/>
              <w:rPr>
                <w:rFonts w:eastAsia="仿宋_GB2312"/>
                <w:color w:val="000000"/>
                <w:sz w:val="18"/>
                <w:szCs w:val="21"/>
              </w:rPr>
            </w:pPr>
          </w:p>
        </w:tc>
        <w:tc>
          <w:tcPr>
            <w:tcW w:w="680" w:type="pct"/>
            <w:shd w:val="clear" w:color="auto" w:fill="auto"/>
            <w:tcMar>
              <w:left w:w="57" w:type="dxa"/>
              <w:right w:w="57" w:type="dxa"/>
            </w:tcMar>
            <w:vAlign w:val="center"/>
          </w:tcPr>
          <w:p w14:paraId="6655600A">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5.2</w:t>
            </w:r>
          </w:p>
        </w:tc>
        <w:tc>
          <w:tcPr>
            <w:tcW w:w="4050" w:type="pct"/>
            <w:shd w:val="clear" w:color="auto" w:fill="auto"/>
            <w:tcMar>
              <w:left w:w="57" w:type="dxa"/>
              <w:right w:w="57" w:type="dxa"/>
            </w:tcMar>
            <w:vAlign w:val="center"/>
          </w:tcPr>
          <w:p w14:paraId="351F2A93">
            <w:pPr>
              <w:jc w:val="left"/>
              <w:rPr>
                <w:rFonts w:eastAsia="仿宋_GB2312"/>
                <w:color w:val="000000" w:themeColor="text1"/>
                <w:sz w:val="18"/>
                <w:szCs w:val="21"/>
              </w:rPr>
            </w:pPr>
            <w:r>
              <w:rPr>
                <w:rFonts w:eastAsia="仿宋_GB2312"/>
                <w:color w:val="000000" w:themeColor="text1"/>
                <w:sz w:val="18"/>
                <w:szCs w:val="21"/>
              </w:rPr>
              <w:t>生产过程中采用的计算机软件对产品质量有影响的，应当进行验证或确认。</w:t>
            </w:r>
          </w:p>
        </w:tc>
      </w:tr>
      <w:tr w14:paraId="4E3A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BC73146">
            <w:pPr>
              <w:jc w:val="left"/>
              <w:rPr>
                <w:rFonts w:eastAsia="仿宋_GB2312"/>
                <w:color w:val="000000"/>
                <w:sz w:val="18"/>
                <w:szCs w:val="21"/>
              </w:rPr>
            </w:pPr>
          </w:p>
        </w:tc>
        <w:tc>
          <w:tcPr>
            <w:tcW w:w="680" w:type="pct"/>
            <w:shd w:val="clear" w:color="auto" w:fill="auto"/>
            <w:tcMar>
              <w:left w:w="57" w:type="dxa"/>
              <w:right w:w="57" w:type="dxa"/>
            </w:tcMar>
            <w:vAlign w:val="center"/>
          </w:tcPr>
          <w:p w14:paraId="5E225E80">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7.</w:t>
            </w:r>
            <w:r>
              <w:rPr>
                <w:rFonts w:eastAsia="仿宋_GB2312"/>
                <w:color w:val="000000"/>
                <w:sz w:val="18"/>
                <w:szCs w:val="21"/>
              </w:rPr>
              <w:t>6.1</w:t>
            </w:r>
          </w:p>
        </w:tc>
        <w:tc>
          <w:tcPr>
            <w:tcW w:w="4050" w:type="pct"/>
            <w:shd w:val="clear" w:color="auto" w:fill="auto"/>
            <w:tcMar>
              <w:left w:w="57" w:type="dxa"/>
              <w:right w:w="57" w:type="dxa"/>
            </w:tcMar>
            <w:vAlign w:val="center"/>
          </w:tcPr>
          <w:p w14:paraId="4F6C8AF3">
            <w:pPr>
              <w:jc w:val="left"/>
              <w:rPr>
                <w:rFonts w:eastAsia="仿宋_GB2312"/>
                <w:color w:val="000000" w:themeColor="text1"/>
                <w:sz w:val="18"/>
                <w:szCs w:val="21"/>
              </w:rPr>
            </w:pPr>
            <w:r>
              <w:rPr>
                <w:rFonts w:eastAsia="仿宋_GB2312"/>
                <w:color w:val="000000" w:themeColor="text1"/>
                <w:sz w:val="18"/>
                <w:szCs w:val="21"/>
              </w:rPr>
              <w:t xml:space="preserve">每批（台）产品均应当有生产记录，并满足可追溯的要求。 </w:t>
            </w:r>
          </w:p>
        </w:tc>
      </w:tr>
      <w:tr w14:paraId="723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D1DAC17">
            <w:pPr>
              <w:jc w:val="left"/>
              <w:rPr>
                <w:rFonts w:eastAsia="仿宋_GB2312"/>
                <w:color w:val="000000"/>
                <w:sz w:val="18"/>
                <w:szCs w:val="21"/>
              </w:rPr>
            </w:pPr>
          </w:p>
        </w:tc>
        <w:tc>
          <w:tcPr>
            <w:tcW w:w="680" w:type="pct"/>
            <w:shd w:val="clear" w:color="auto" w:fill="auto"/>
            <w:tcMar>
              <w:left w:w="57" w:type="dxa"/>
              <w:right w:w="57" w:type="dxa"/>
            </w:tcMar>
            <w:vAlign w:val="center"/>
          </w:tcPr>
          <w:p w14:paraId="7A06E7D6">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6.2</w:t>
            </w:r>
          </w:p>
        </w:tc>
        <w:tc>
          <w:tcPr>
            <w:tcW w:w="4050" w:type="pct"/>
            <w:shd w:val="clear" w:color="auto" w:fill="auto"/>
            <w:tcMar>
              <w:left w:w="57" w:type="dxa"/>
              <w:right w:w="57" w:type="dxa"/>
            </w:tcMar>
            <w:vAlign w:val="center"/>
          </w:tcPr>
          <w:p w14:paraId="565BA992">
            <w:pPr>
              <w:jc w:val="left"/>
              <w:rPr>
                <w:rFonts w:eastAsia="仿宋_GB2312"/>
                <w:iCs/>
                <w:color w:val="000000" w:themeColor="text1"/>
                <w:sz w:val="18"/>
                <w:szCs w:val="21"/>
              </w:rPr>
            </w:pPr>
            <w:r>
              <w:rPr>
                <w:rFonts w:eastAsia="仿宋_GB2312"/>
                <w:color w:val="000000" w:themeColor="text1"/>
                <w:sz w:val="18"/>
                <w:szCs w:val="21"/>
              </w:rPr>
              <w:t>生产记录应当包括：产品名称、规格型号、原材料批号、生产批号或产品编号、生产日期、数量、主要设备、工艺参数、操作人员等内容。</w:t>
            </w:r>
          </w:p>
        </w:tc>
      </w:tr>
      <w:tr w14:paraId="5AEB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7E84C86">
            <w:pPr>
              <w:jc w:val="left"/>
              <w:rPr>
                <w:rFonts w:eastAsia="仿宋_GB2312"/>
                <w:color w:val="000000"/>
                <w:sz w:val="18"/>
                <w:szCs w:val="21"/>
              </w:rPr>
            </w:pPr>
          </w:p>
        </w:tc>
        <w:tc>
          <w:tcPr>
            <w:tcW w:w="680" w:type="pct"/>
            <w:shd w:val="clear" w:color="auto" w:fill="auto"/>
            <w:tcMar>
              <w:left w:w="57" w:type="dxa"/>
              <w:right w:w="57" w:type="dxa"/>
            </w:tcMar>
            <w:vAlign w:val="center"/>
          </w:tcPr>
          <w:p w14:paraId="3A967671">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7.1</w:t>
            </w:r>
          </w:p>
        </w:tc>
        <w:tc>
          <w:tcPr>
            <w:tcW w:w="4050" w:type="pct"/>
            <w:shd w:val="clear" w:color="auto" w:fill="auto"/>
            <w:tcMar>
              <w:left w:w="57" w:type="dxa"/>
              <w:right w:w="57" w:type="dxa"/>
            </w:tcMar>
            <w:vAlign w:val="center"/>
          </w:tcPr>
          <w:p w14:paraId="3110F581">
            <w:pPr>
              <w:jc w:val="left"/>
              <w:rPr>
                <w:rFonts w:eastAsia="仿宋_GB2312"/>
                <w:iCs/>
                <w:color w:val="000000" w:themeColor="text1"/>
                <w:sz w:val="18"/>
                <w:szCs w:val="21"/>
              </w:rPr>
            </w:pPr>
            <w:r>
              <w:rPr>
                <w:rFonts w:eastAsia="仿宋_GB2312"/>
                <w:color w:val="000000" w:themeColor="text1"/>
                <w:sz w:val="18"/>
                <w:szCs w:val="21"/>
              </w:rPr>
              <w:t>应当建立产品标识控制程序，用适宜的方法对产品进行标识，以便识别，防止混用和错用。</w:t>
            </w:r>
          </w:p>
        </w:tc>
      </w:tr>
      <w:tr w14:paraId="0D29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A98D6E0">
            <w:pPr>
              <w:jc w:val="left"/>
              <w:rPr>
                <w:rFonts w:eastAsia="仿宋_GB2312"/>
                <w:color w:val="000000"/>
                <w:sz w:val="18"/>
                <w:szCs w:val="21"/>
              </w:rPr>
            </w:pPr>
          </w:p>
        </w:tc>
        <w:tc>
          <w:tcPr>
            <w:tcW w:w="680" w:type="pct"/>
            <w:shd w:val="clear" w:color="auto" w:fill="auto"/>
            <w:tcMar>
              <w:left w:w="57" w:type="dxa"/>
              <w:right w:w="57" w:type="dxa"/>
            </w:tcMar>
            <w:vAlign w:val="center"/>
          </w:tcPr>
          <w:p w14:paraId="3BF04637">
            <w:pPr>
              <w:jc w:val="center"/>
              <w:rPr>
                <w:rFonts w:eastAsia="仿宋_GB2312"/>
                <w:color w:val="000000"/>
                <w:sz w:val="18"/>
                <w:szCs w:val="21"/>
              </w:rPr>
            </w:pPr>
            <w:r>
              <w:rPr>
                <w:rFonts w:eastAsia="仿宋_GB2312"/>
                <w:color w:val="000000" w:themeColor="text1"/>
                <w:kern w:val="0"/>
                <w:sz w:val="18"/>
                <w:szCs w:val="21"/>
                <w:lang w:bidi="bn-IN"/>
              </w:rPr>
              <w:t>*7.8.1</w:t>
            </w:r>
          </w:p>
        </w:tc>
        <w:tc>
          <w:tcPr>
            <w:tcW w:w="4050" w:type="pct"/>
            <w:shd w:val="clear" w:color="auto" w:fill="auto"/>
            <w:tcMar>
              <w:left w:w="57" w:type="dxa"/>
              <w:right w:w="57" w:type="dxa"/>
            </w:tcMar>
            <w:vAlign w:val="center"/>
          </w:tcPr>
          <w:p w14:paraId="3AE7D97C">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lang w:bidi="bn-IN"/>
              </w:rPr>
              <w:t>应当在生产过程中标识产品的检验状态，防止不合格中间产品流向下道工序。</w:t>
            </w:r>
          </w:p>
          <w:p w14:paraId="3B0ACAB6">
            <w:pPr>
              <w:jc w:val="left"/>
              <w:rPr>
                <w:rFonts w:eastAsia="仿宋_GB2312"/>
                <w:b/>
                <w:bCs/>
                <w:iCs/>
                <w:color w:val="000000" w:themeColor="text1"/>
                <w:sz w:val="18"/>
                <w:szCs w:val="21"/>
              </w:rPr>
            </w:pPr>
            <w:r>
              <w:rPr>
                <w:rStyle w:val="15"/>
                <w:rFonts w:eastAsia="仿宋_GB2312"/>
                <w:b/>
                <w:i w:val="0"/>
                <w:color w:val="000000" w:themeColor="text1"/>
                <w:sz w:val="18"/>
              </w:rPr>
              <w:t>查看是否对检验状态标识方法作出规定，现场查看生产过程中的检验状态标识，是否符合文件规定。</w:t>
            </w:r>
          </w:p>
        </w:tc>
      </w:tr>
      <w:tr w14:paraId="1B34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B4436D2">
            <w:pPr>
              <w:jc w:val="left"/>
              <w:rPr>
                <w:rFonts w:eastAsia="仿宋_GB2312"/>
                <w:color w:val="000000"/>
                <w:sz w:val="18"/>
                <w:szCs w:val="21"/>
              </w:rPr>
            </w:pPr>
          </w:p>
        </w:tc>
        <w:tc>
          <w:tcPr>
            <w:tcW w:w="680" w:type="pct"/>
            <w:shd w:val="clear" w:color="auto" w:fill="auto"/>
            <w:tcMar>
              <w:left w:w="57" w:type="dxa"/>
              <w:right w:w="57" w:type="dxa"/>
            </w:tcMar>
            <w:vAlign w:val="center"/>
          </w:tcPr>
          <w:p w14:paraId="011684DF">
            <w:pPr>
              <w:jc w:val="center"/>
              <w:rPr>
                <w:rFonts w:eastAsia="仿宋_GB2312"/>
                <w:iCs/>
                <w:color w:val="000000"/>
                <w:sz w:val="18"/>
                <w:szCs w:val="21"/>
              </w:rPr>
            </w:pPr>
            <w:r>
              <w:rPr>
                <w:rFonts w:eastAsia="仿宋_GB2312"/>
                <w:color w:val="000000"/>
                <w:sz w:val="18"/>
                <w:szCs w:val="21"/>
              </w:rPr>
              <w:t>*</w:t>
            </w:r>
            <w:r>
              <w:rPr>
                <w:rFonts w:eastAsia="仿宋_GB2312"/>
                <w:iCs/>
                <w:color w:val="000000"/>
                <w:sz w:val="18"/>
                <w:szCs w:val="21"/>
              </w:rPr>
              <w:t>7.</w:t>
            </w:r>
            <w:r>
              <w:rPr>
                <w:rFonts w:eastAsia="仿宋_GB2312"/>
                <w:color w:val="000000"/>
                <w:sz w:val="18"/>
                <w:szCs w:val="21"/>
              </w:rPr>
              <w:t>9.1</w:t>
            </w:r>
          </w:p>
        </w:tc>
        <w:tc>
          <w:tcPr>
            <w:tcW w:w="4050" w:type="pct"/>
            <w:shd w:val="clear" w:color="auto" w:fill="auto"/>
            <w:tcMar>
              <w:left w:w="57" w:type="dxa"/>
              <w:right w:w="57" w:type="dxa"/>
            </w:tcMar>
            <w:vAlign w:val="center"/>
          </w:tcPr>
          <w:p w14:paraId="61C31BE0">
            <w:pPr>
              <w:jc w:val="left"/>
              <w:rPr>
                <w:rFonts w:eastAsia="仿宋_GB2312"/>
                <w:color w:val="000000" w:themeColor="text1"/>
                <w:sz w:val="18"/>
                <w:szCs w:val="21"/>
              </w:rPr>
            </w:pPr>
            <w:r>
              <w:rPr>
                <w:rFonts w:eastAsia="仿宋_GB2312"/>
                <w:color w:val="000000" w:themeColor="text1"/>
                <w:sz w:val="18"/>
                <w:szCs w:val="21"/>
              </w:rPr>
              <w:t>应当建立产品的可追溯性程序，规定产品追溯范围、程度、标识和必要的记录。</w:t>
            </w:r>
          </w:p>
        </w:tc>
      </w:tr>
      <w:tr w14:paraId="641E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BA56444">
            <w:pPr>
              <w:jc w:val="left"/>
              <w:rPr>
                <w:rFonts w:eastAsia="仿宋_GB2312"/>
                <w:color w:val="000000"/>
                <w:sz w:val="18"/>
                <w:szCs w:val="21"/>
              </w:rPr>
            </w:pPr>
          </w:p>
        </w:tc>
        <w:tc>
          <w:tcPr>
            <w:tcW w:w="680" w:type="pct"/>
            <w:shd w:val="clear" w:color="auto" w:fill="auto"/>
            <w:tcMar>
              <w:left w:w="57" w:type="dxa"/>
              <w:right w:w="57" w:type="dxa"/>
            </w:tcMar>
            <w:vAlign w:val="center"/>
          </w:tcPr>
          <w:p w14:paraId="03FE3332">
            <w:pPr>
              <w:jc w:val="center"/>
              <w:rPr>
                <w:rFonts w:eastAsia="仿宋_GB2312"/>
                <w:color w:val="000000"/>
                <w:sz w:val="18"/>
                <w:szCs w:val="21"/>
              </w:rPr>
            </w:pPr>
            <w:r>
              <w:rPr>
                <w:rFonts w:eastAsia="仿宋_GB2312"/>
                <w:iCs/>
                <w:color w:val="000000" w:themeColor="text1"/>
                <w:kern w:val="0"/>
                <w:sz w:val="18"/>
                <w:szCs w:val="21"/>
                <w:lang w:bidi="bn-IN"/>
              </w:rPr>
              <w:t>*</w:t>
            </w:r>
            <w:r>
              <w:rPr>
                <w:rFonts w:eastAsia="仿宋_GB2312"/>
                <w:color w:val="000000" w:themeColor="text1"/>
                <w:kern w:val="0"/>
                <w:sz w:val="18"/>
                <w:szCs w:val="21"/>
                <w:lang w:bidi="bn-IN"/>
              </w:rPr>
              <w:t>7.10.1</w:t>
            </w:r>
          </w:p>
        </w:tc>
        <w:tc>
          <w:tcPr>
            <w:tcW w:w="4050" w:type="pct"/>
            <w:shd w:val="clear" w:color="auto" w:fill="auto"/>
            <w:tcMar>
              <w:left w:w="57" w:type="dxa"/>
              <w:right w:w="57" w:type="dxa"/>
            </w:tcMar>
            <w:vAlign w:val="center"/>
          </w:tcPr>
          <w:p w14:paraId="72783506">
            <w:pPr>
              <w:jc w:val="left"/>
              <w:rPr>
                <w:rFonts w:eastAsia="仿宋_GB2312"/>
                <w:color w:val="000000" w:themeColor="text1"/>
                <w:sz w:val="18"/>
                <w:szCs w:val="21"/>
              </w:rPr>
            </w:pPr>
            <w:r>
              <w:rPr>
                <w:rFonts w:eastAsia="仿宋_GB2312"/>
                <w:color w:val="000000" w:themeColor="text1"/>
                <w:kern w:val="0"/>
                <w:sz w:val="18"/>
                <w:szCs w:val="21"/>
                <w:lang w:bidi="bn-IN"/>
              </w:rPr>
              <w:t>产品的说明书、标签应当符合相关法律法规及标准要求。</w:t>
            </w:r>
          </w:p>
        </w:tc>
      </w:tr>
      <w:tr w14:paraId="6BB8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C649EC7">
            <w:pPr>
              <w:jc w:val="left"/>
              <w:rPr>
                <w:rFonts w:eastAsia="仿宋_GB2312"/>
                <w:color w:val="000000"/>
                <w:sz w:val="18"/>
                <w:szCs w:val="21"/>
              </w:rPr>
            </w:pPr>
          </w:p>
        </w:tc>
        <w:tc>
          <w:tcPr>
            <w:tcW w:w="680" w:type="pct"/>
            <w:shd w:val="clear" w:color="auto" w:fill="auto"/>
            <w:tcMar>
              <w:left w:w="57" w:type="dxa"/>
              <w:right w:w="57" w:type="dxa"/>
            </w:tcMar>
            <w:vAlign w:val="center"/>
          </w:tcPr>
          <w:p w14:paraId="381C7A71">
            <w:pPr>
              <w:jc w:val="center"/>
              <w:rPr>
                <w:rFonts w:eastAsia="仿宋_GB2312"/>
                <w:color w:val="000000"/>
                <w:sz w:val="18"/>
                <w:szCs w:val="21"/>
              </w:rPr>
            </w:pPr>
            <w:r>
              <w:rPr>
                <w:rFonts w:eastAsia="仿宋_GB2312"/>
                <w:color w:val="000000" w:themeColor="text1"/>
                <w:kern w:val="0"/>
                <w:sz w:val="18"/>
                <w:szCs w:val="21"/>
                <w:lang w:bidi="bn-IN"/>
              </w:rPr>
              <w:t>7.11.1</w:t>
            </w:r>
          </w:p>
        </w:tc>
        <w:tc>
          <w:tcPr>
            <w:tcW w:w="4050" w:type="pct"/>
            <w:shd w:val="clear" w:color="auto" w:fill="auto"/>
            <w:tcMar>
              <w:left w:w="57" w:type="dxa"/>
              <w:right w:w="57" w:type="dxa"/>
            </w:tcMar>
            <w:vAlign w:val="center"/>
          </w:tcPr>
          <w:p w14:paraId="3C2FB9DE">
            <w:pPr>
              <w:widowControl/>
              <w:adjustRightInd w:val="0"/>
              <w:snapToGrid w:val="0"/>
              <w:rPr>
                <w:rStyle w:val="15"/>
                <w:rFonts w:eastAsia="仿宋_GB2312"/>
                <w:b/>
                <w:i w:val="0"/>
                <w:color w:val="000000" w:themeColor="text1"/>
                <w:sz w:val="18"/>
              </w:rPr>
            </w:pPr>
            <w:r>
              <w:rPr>
                <w:rFonts w:eastAsia="仿宋_GB2312"/>
                <w:color w:val="000000" w:themeColor="text1"/>
                <w:kern w:val="0"/>
                <w:sz w:val="18"/>
                <w:szCs w:val="21"/>
                <w:lang w:bidi="bn-IN"/>
              </w:rPr>
              <w:t>应当建立产品防护程序，规定产品及其组成部分的防护要求，包括污染防护、静电防护、粉尘防护、腐蚀防护、运输防护等要求。防护应当包括标识、搬运、包装、贮存和保护等。</w:t>
            </w:r>
          </w:p>
          <w:p w14:paraId="4CD5090B">
            <w:pPr>
              <w:jc w:val="left"/>
              <w:rPr>
                <w:rFonts w:eastAsia="仿宋_GB2312"/>
                <w:b/>
                <w:bCs/>
                <w:iCs/>
                <w:color w:val="000000" w:themeColor="text1"/>
                <w:sz w:val="18"/>
                <w:szCs w:val="21"/>
              </w:rPr>
            </w:pPr>
            <w:r>
              <w:rPr>
                <w:rStyle w:val="15"/>
                <w:rFonts w:eastAsia="仿宋_GB2312"/>
                <w:b/>
                <w:i w:val="0"/>
                <w:color w:val="000000" w:themeColor="text1"/>
                <w:sz w:val="18"/>
              </w:rPr>
              <w:t>现场查看产品防护程序是否符合规范要求；现场查看并抽查相关记录，确认产品防护符合要求。</w:t>
            </w:r>
          </w:p>
        </w:tc>
      </w:tr>
      <w:tr w14:paraId="7363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D86AED3">
            <w:pPr>
              <w:jc w:val="left"/>
              <w:rPr>
                <w:rFonts w:eastAsia="仿宋_GB2312"/>
                <w:color w:val="000000"/>
                <w:sz w:val="18"/>
                <w:szCs w:val="21"/>
              </w:rPr>
            </w:pPr>
          </w:p>
        </w:tc>
        <w:tc>
          <w:tcPr>
            <w:tcW w:w="680" w:type="pct"/>
            <w:shd w:val="clear" w:color="auto" w:fill="auto"/>
            <w:tcMar>
              <w:left w:w="57" w:type="dxa"/>
              <w:right w:w="57" w:type="dxa"/>
            </w:tcMar>
            <w:vAlign w:val="center"/>
          </w:tcPr>
          <w:p w14:paraId="4C055658">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12.1</w:t>
            </w:r>
          </w:p>
        </w:tc>
        <w:tc>
          <w:tcPr>
            <w:tcW w:w="4050" w:type="pct"/>
            <w:shd w:val="clear" w:color="auto" w:fill="auto"/>
            <w:tcMar>
              <w:left w:w="57" w:type="dxa"/>
              <w:right w:w="57" w:type="dxa"/>
            </w:tcMar>
            <w:vAlign w:val="center"/>
          </w:tcPr>
          <w:p w14:paraId="54A4CADB">
            <w:pPr>
              <w:jc w:val="left"/>
              <w:rPr>
                <w:rFonts w:eastAsia="仿宋_GB2312"/>
                <w:color w:val="000000" w:themeColor="text1"/>
                <w:sz w:val="18"/>
                <w:szCs w:val="21"/>
              </w:rPr>
            </w:pPr>
            <w:r>
              <w:rPr>
                <w:rFonts w:eastAsia="仿宋_GB2312"/>
                <w:color w:val="000000" w:themeColor="text1"/>
                <w:sz w:val="18"/>
                <w:szCs w:val="21"/>
              </w:rPr>
              <w:t>洁净室（区）内使用的压缩空气等工艺用气均应当经过净化处理。</w:t>
            </w:r>
          </w:p>
          <w:p w14:paraId="3827F6D4">
            <w:pPr>
              <w:jc w:val="left"/>
              <w:rPr>
                <w:rFonts w:eastAsia="仿宋_GB2312"/>
                <w:b/>
                <w:bCs/>
                <w:iCs/>
                <w:color w:val="000000" w:themeColor="text1"/>
                <w:sz w:val="18"/>
                <w:szCs w:val="21"/>
              </w:rPr>
            </w:pPr>
            <w:r>
              <w:rPr>
                <w:rFonts w:eastAsia="仿宋_GB2312"/>
                <w:b/>
                <w:bCs/>
                <w:iCs/>
                <w:color w:val="000000" w:themeColor="text1"/>
                <w:sz w:val="18"/>
                <w:szCs w:val="21"/>
              </w:rPr>
              <w:t>现场查看工艺用气的净化处理装置及管路设置,工艺用气是否经过净化处理。</w:t>
            </w:r>
          </w:p>
        </w:tc>
      </w:tr>
      <w:tr w14:paraId="6B37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5009A29">
            <w:pPr>
              <w:jc w:val="left"/>
              <w:rPr>
                <w:rFonts w:eastAsia="仿宋_GB2312"/>
                <w:color w:val="000000"/>
                <w:sz w:val="18"/>
                <w:szCs w:val="21"/>
              </w:rPr>
            </w:pPr>
          </w:p>
        </w:tc>
        <w:tc>
          <w:tcPr>
            <w:tcW w:w="680" w:type="pct"/>
            <w:shd w:val="clear" w:color="auto" w:fill="auto"/>
            <w:tcMar>
              <w:left w:w="57" w:type="dxa"/>
              <w:right w:w="57" w:type="dxa"/>
            </w:tcMar>
            <w:vAlign w:val="center"/>
          </w:tcPr>
          <w:p w14:paraId="6C80EED5">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12.2</w:t>
            </w:r>
          </w:p>
        </w:tc>
        <w:tc>
          <w:tcPr>
            <w:tcW w:w="4050" w:type="pct"/>
            <w:shd w:val="clear" w:color="auto" w:fill="auto"/>
            <w:tcMar>
              <w:left w:w="57" w:type="dxa"/>
              <w:right w:w="57" w:type="dxa"/>
            </w:tcMar>
            <w:vAlign w:val="center"/>
          </w:tcPr>
          <w:p w14:paraId="1D7839F5">
            <w:pPr>
              <w:jc w:val="left"/>
              <w:rPr>
                <w:rFonts w:eastAsia="仿宋_GB2312"/>
                <w:color w:val="000000" w:themeColor="text1"/>
                <w:sz w:val="18"/>
                <w:szCs w:val="21"/>
              </w:rPr>
            </w:pPr>
            <w:r>
              <w:rPr>
                <w:rFonts w:eastAsia="仿宋_GB2312"/>
                <w:color w:val="000000" w:themeColor="text1"/>
                <w:sz w:val="18"/>
                <w:szCs w:val="21"/>
              </w:rPr>
              <w:t>与产品使用表面直接接触的气体，其对产品的影响程度应当进行验证和控制，以适应所生产产品的要求。</w:t>
            </w:r>
          </w:p>
          <w:p w14:paraId="63B46C77">
            <w:pPr>
              <w:jc w:val="left"/>
              <w:rPr>
                <w:rFonts w:eastAsia="仿宋_GB2312"/>
                <w:color w:val="000000" w:themeColor="text1"/>
                <w:sz w:val="18"/>
                <w:szCs w:val="21"/>
              </w:rPr>
            </w:pPr>
            <w:r>
              <w:rPr>
                <w:rFonts w:eastAsia="仿宋_GB2312"/>
                <w:b/>
                <w:color w:val="000000" w:themeColor="text1"/>
                <w:sz w:val="18"/>
                <w:szCs w:val="21"/>
              </w:rPr>
              <w:t>查看对与产品使用表面直接接触的气体对产品所造成的影响进行评价和验证的记录，是否根据评价和验证的结果规定了控制措施并实施。</w:t>
            </w:r>
          </w:p>
        </w:tc>
      </w:tr>
      <w:tr w14:paraId="63D5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E4D5337">
            <w:pPr>
              <w:jc w:val="left"/>
              <w:rPr>
                <w:rFonts w:eastAsia="仿宋_GB2312"/>
                <w:color w:val="000000"/>
                <w:sz w:val="18"/>
                <w:szCs w:val="21"/>
              </w:rPr>
            </w:pPr>
          </w:p>
        </w:tc>
        <w:tc>
          <w:tcPr>
            <w:tcW w:w="680" w:type="pct"/>
            <w:shd w:val="clear" w:color="auto" w:fill="auto"/>
            <w:tcMar>
              <w:left w:w="57" w:type="dxa"/>
              <w:right w:w="57" w:type="dxa"/>
            </w:tcMar>
            <w:vAlign w:val="center"/>
          </w:tcPr>
          <w:p w14:paraId="1A07929A">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13.1</w:t>
            </w:r>
          </w:p>
        </w:tc>
        <w:tc>
          <w:tcPr>
            <w:tcW w:w="4050" w:type="pct"/>
            <w:shd w:val="clear" w:color="auto" w:fill="auto"/>
            <w:tcMar>
              <w:left w:w="57" w:type="dxa"/>
              <w:right w:w="57" w:type="dxa"/>
            </w:tcMar>
            <w:vAlign w:val="center"/>
          </w:tcPr>
          <w:p w14:paraId="56344515">
            <w:pPr>
              <w:jc w:val="left"/>
              <w:rPr>
                <w:rFonts w:eastAsia="仿宋_GB2312"/>
                <w:color w:val="000000" w:themeColor="text1"/>
                <w:sz w:val="18"/>
                <w:szCs w:val="21"/>
              </w:rPr>
            </w:pPr>
            <w:r>
              <w:rPr>
                <w:rFonts w:eastAsia="仿宋_GB2312"/>
                <w:color w:val="000000" w:themeColor="text1"/>
                <w:sz w:val="18"/>
                <w:szCs w:val="21"/>
              </w:rPr>
              <w:t>生产设备、容器具等应当符合洁净环境控制和工艺文件的要求。</w:t>
            </w:r>
          </w:p>
          <w:p w14:paraId="7199270C">
            <w:pPr>
              <w:jc w:val="left"/>
              <w:rPr>
                <w:rFonts w:eastAsia="仿宋_GB2312"/>
                <w:b/>
                <w:bCs/>
                <w:iCs/>
                <w:color w:val="000000" w:themeColor="text1"/>
                <w:sz w:val="18"/>
                <w:szCs w:val="21"/>
              </w:rPr>
            </w:pPr>
            <w:r>
              <w:rPr>
                <w:rFonts w:eastAsia="仿宋_GB2312"/>
                <w:b/>
                <w:bCs/>
                <w:iCs/>
                <w:color w:val="000000" w:themeColor="text1"/>
                <w:sz w:val="18"/>
                <w:szCs w:val="21"/>
              </w:rPr>
              <w:t>查看生产设备和容器具的相关文件，是否明确其净化要求，符合环境控制和工艺文件的要求。</w:t>
            </w:r>
          </w:p>
        </w:tc>
      </w:tr>
      <w:tr w14:paraId="236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E9A97A9">
            <w:pPr>
              <w:jc w:val="left"/>
              <w:rPr>
                <w:rFonts w:eastAsia="仿宋_GB2312"/>
                <w:color w:val="000000"/>
                <w:sz w:val="18"/>
                <w:szCs w:val="21"/>
              </w:rPr>
            </w:pPr>
          </w:p>
        </w:tc>
        <w:tc>
          <w:tcPr>
            <w:tcW w:w="680" w:type="pct"/>
            <w:shd w:val="clear" w:color="auto" w:fill="auto"/>
            <w:tcMar>
              <w:left w:w="57" w:type="dxa"/>
              <w:right w:w="57" w:type="dxa"/>
            </w:tcMar>
            <w:vAlign w:val="center"/>
          </w:tcPr>
          <w:p w14:paraId="3BF8AB1D">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14.1</w:t>
            </w:r>
          </w:p>
        </w:tc>
        <w:tc>
          <w:tcPr>
            <w:tcW w:w="4050" w:type="pct"/>
            <w:shd w:val="clear" w:color="auto" w:fill="auto"/>
            <w:tcMar>
              <w:left w:w="57" w:type="dxa"/>
              <w:right w:w="57" w:type="dxa"/>
            </w:tcMar>
            <w:vAlign w:val="center"/>
          </w:tcPr>
          <w:p w14:paraId="58F4E94E">
            <w:pPr>
              <w:jc w:val="left"/>
              <w:rPr>
                <w:rFonts w:eastAsia="仿宋_GB2312"/>
                <w:color w:val="000000" w:themeColor="text1"/>
                <w:sz w:val="18"/>
                <w:szCs w:val="21"/>
              </w:rPr>
            </w:pPr>
            <w:r>
              <w:rPr>
                <w:rFonts w:eastAsia="仿宋_GB2312"/>
                <w:color w:val="000000" w:themeColor="text1"/>
                <w:sz w:val="18"/>
                <w:szCs w:val="21"/>
              </w:rPr>
              <w:t>应当按照物料的性状和储存要求进行分类存放管理，应当明确规定中间品的储存条件和期限。</w:t>
            </w:r>
          </w:p>
          <w:p w14:paraId="56BD9CEA">
            <w:pPr>
              <w:jc w:val="left"/>
              <w:rPr>
                <w:rFonts w:eastAsia="仿宋_GB2312"/>
                <w:b/>
                <w:color w:val="000000" w:themeColor="text1"/>
                <w:sz w:val="18"/>
                <w:szCs w:val="21"/>
              </w:rPr>
            </w:pPr>
            <w:r>
              <w:rPr>
                <w:rFonts w:eastAsia="仿宋_GB2312"/>
                <w:b/>
                <w:color w:val="000000" w:themeColor="text1"/>
                <w:sz w:val="18"/>
                <w:szCs w:val="21"/>
              </w:rPr>
              <w:t>查看相关文件，是否对物料进行分类，明确分类存放的要求和中间品储存条件、期限。</w:t>
            </w:r>
          </w:p>
          <w:p w14:paraId="58591FF4">
            <w:pPr>
              <w:jc w:val="left"/>
              <w:rPr>
                <w:rFonts w:eastAsia="仿宋_GB2312"/>
                <w:b/>
                <w:color w:val="000000" w:themeColor="text1"/>
                <w:sz w:val="18"/>
                <w:szCs w:val="21"/>
              </w:rPr>
            </w:pPr>
            <w:r>
              <w:rPr>
                <w:rFonts w:eastAsia="仿宋_GB2312"/>
                <w:b/>
                <w:color w:val="000000" w:themeColor="text1"/>
                <w:sz w:val="18"/>
                <w:szCs w:val="21"/>
              </w:rPr>
              <w:t>现场查看物料存放是否分类存放，满足其储存要求。</w:t>
            </w:r>
          </w:p>
          <w:p w14:paraId="6BB0D837">
            <w:pPr>
              <w:jc w:val="left"/>
              <w:rPr>
                <w:rFonts w:eastAsia="仿宋_GB2312"/>
                <w:color w:val="000000" w:themeColor="text1"/>
                <w:sz w:val="18"/>
                <w:szCs w:val="21"/>
              </w:rPr>
            </w:pPr>
            <w:r>
              <w:rPr>
                <w:rFonts w:eastAsia="仿宋_GB2312"/>
                <w:b/>
                <w:color w:val="000000" w:themeColor="text1"/>
                <w:sz w:val="18"/>
                <w:szCs w:val="21"/>
              </w:rPr>
              <w:t>现场查看中间品的储存条件和期限是否符合规定。</w:t>
            </w:r>
          </w:p>
        </w:tc>
      </w:tr>
      <w:tr w14:paraId="1DFA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5B9CB84">
            <w:pPr>
              <w:jc w:val="left"/>
              <w:rPr>
                <w:rFonts w:eastAsia="仿宋_GB2312"/>
                <w:color w:val="000000"/>
                <w:sz w:val="18"/>
                <w:szCs w:val="21"/>
              </w:rPr>
            </w:pPr>
          </w:p>
        </w:tc>
        <w:tc>
          <w:tcPr>
            <w:tcW w:w="680" w:type="pct"/>
            <w:shd w:val="clear" w:color="auto" w:fill="auto"/>
            <w:tcMar>
              <w:left w:w="57" w:type="dxa"/>
              <w:right w:w="57" w:type="dxa"/>
            </w:tcMar>
            <w:vAlign w:val="center"/>
          </w:tcPr>
          <w:p w14:paraId="6D8762E7">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14.2</w:t>
            </w:r>
          </w:p>
        </w:tc>
        <w:tc>
          <w:tcPr>
            <w:tcW w:w="4050" w:type="pct"/>
            <w:shd w:val="clear" w:color="auto" w:fill="auto"/>
            <w:tcMar>
              <w:left w:w="57" w:type="dxa"/>
              <w:right w:w="57" w:type="dxa"/>
            </w:tcMar>
            <w:vAlign w:val="center"/>
          </w:tcPr>
          <w:p w14:paraId="4C5FE358">
            <w:pPr>
              <w:jc w:val="left"/>
              <w:rPr>
                <w:rFonts w:eastAsia="仿宋_GB2312"/>
                <w:color w:val="000000" w:themeColor="text1"/>
                <w:sz w:val="18"/>
                <w:szCs w:val="21"/>
              </w:rPr>
            </w:pPr>
            <w:r>
              <w:rPr>
                <w:rFonts w:eastAsia="仿宋_GB2312"/>
                <w:color w:val="000000" w:themeColor="text1"/>
                <w:sz w:val="18"/>
                <w:szCs w:val="21"/>
              </w:rPr>
              <w:t>物料应当在规定的使用期限内、按照先进先出的原则使用，无规定使用期限的，应当根据物料的稳定性数据确定储存期限。</w:t>
            </w:r>
          </w:p>
          <w:p w14:paraId="00698748">
            <w:pPr>
              <w:jc w:val="left"/>
              <w:rPr>
                <w:rFonts w:eastAsia="仿宋_GB2312"/>
                <w:b/>
                <w:color w:val="000000" w:themeColor="text1"/>
                <w:sz w:val="18"/>
                <w:szCs w:val="21"/>
              </w:rPr>
            </w:pPr>
            <w:r>
              <w:rPr>
                <w:rFonts w:eastAsia="仿宋_GB2312"/>
                <w:b/>
                <w:color w:val="000000" w:themeColor="text1"/>
                <w:sz w:val="18"/>
                <w:szCs w:val="21"/>
              </w:rPr>
              <w:t>查看物料管理相关文件，是否明确先进先出的使用原则，是否对无规定使用期限的物料明确根据物料的稳定性数据确定储存期限。</w:t>
            </w:r>
          </w:p>
          <w:p w14:paraId="7DB47600">
            <w:pPr>
              <w:jc w:val="left"/>
              <w:rPr>
                <w:rFonts w:eastAsia="仿宋_GB2312"/>
                <w:color w:val="000000" w:themeColor="text1"/>
                <w:sz w:val="18"/>
                <w:szCs w:val="21"/>
              </w:rPr>
            </w:pPr>
            <w:r>
              <w:rPr>
                <w:rFonts w:eastAsia="仿宋_GB2312"/>
                <w:b/>
                <w:color w:val="000000" w:themeColor="text1"/>
                <w:sz w:val="18"/>
                <w:szCs w:val="21"/>
              </w:rPr>
              <w:t>查看物料领用记录，是否符合先进先出的要求。对无规定使用期限的物料，查看物料的稳定性数据。</w:t>
            </w:r>
          </w:p>
        </w:tc>
      </w:tr>
      <w:tr w14:paraId="065D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F51E66E">
            <w:pPr>
              <w:jc w:val="left"/>
              <w:rPr>
                <w:rFonts w:eastAsia="仿宋_GB2312"/>
                <w:color w:val="000000"/>
                <w:sz w:val="18"/>
                <w:szCs w:val="21"/>
              </w:rPr>
            </w:pPr>
          </w:p>
        </w:tc>
        <w:tc>
          <w:tcPr>
            <w:tcW w:w="680" w:type="pct"/>
            <w:shd w:val="clear" w:color="auto" w:fill="auto"/>
            <w:tcMar>
              <w:left w:w="57" w:type="dxa"/>
              <w:right w:w="57" w:type="dxa"/>
            </w:tcMar>
            <w:vAlign w:val="center"/>
          </w:tcPr>
          <w:p w14:paraId="5B4FF902">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14.3</w:t>
            </w:r>
          </w:p>
        </w:tc>
        <w:tc>
          <w:tcPr>
            <w:tcW w:w="4050" w:type="pct"/>
            <w:shd w:val="clear" w:color="auto" w:fill="auto"/>
            <w:tcMar>
              <w:left w:w="57" w:type="dxa"/>
              <w:right w:w="57" w:type="dxa"/>
            </w:tcMar>
            <w:vAlign w:val="center"/>
          </w:tcPr>
          <w:p w14:paraId="731E1A65">
            <w:pPr>
              <w:jc w:val="left"/>
              <w:rPr>
                <w:rFonts w:eastAsia="仿宋_GB2312"/>
                <w:color w:val="000000" w:themeColor="text1"/>
                <w:sz w:val="18"/>
                <w:szCs w:val="21"/>
              </w:rPr>
            </w:pPr>
            <w:r>
              <w:rPr>
                <w:rFonts w:eastAsia="仿宋_GB2312"/>
                <w:color w:val="000000" w:themeColor="text1"/>
                <w:sz w:val="18"/>
                <w:szCs w:val="21"/>
              </w:rPr>
              <w:t>储存期内发现存储条件变化且可能影响产品质量时，应及时进行复验。</w:t>
            </w:r>
          </w:p>
          <w:p w14:paraId="42B90D97">
            <w:pPr>
              <w:jc w:val="left"/>
              <w:rPr>
                <w:rFonts w:eastAsia="仿宋_GB2312"/>
                <w:b/>
                <w:color w:val="000000" w:themeColor="text1"/>
                <w:sz w:val="18"/>
                <w:szCs w:val="21"/>
              </w:rPr>
            </w:pPr>
            <w:r>
              <w:rPr>
                <w:rFonts w:eastAsia="仿宋_GB2312"/>
                <w:b/>
                <w:color w:val="000000" w:themeColor="text1"/>
                <w:sz w:val="18"/>
                <w:szCs w:val="21"/>
              </w:rPr>
              <w:t>查看物料储存环境记录，对不符合储存要求的，查看复验记录。</w:t>
            </w:r>
          </w:p>
        </w:tc>
      </w:tr>
      <w:tr w14:paraId="293C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2296211">
            <w:pPr>
              <w:jc w:val="left"/>
              <w:rPr>
                <w:rFonts w:eastAsia="仿宋_GB2312"/>
                <w:color w:val="000000"/>
                <w:sz w:val="18"/>
                <w:szCs w:val="21"/>
              </w:rPr>
            </w:pPr>
          </w:p>
        </w:tc>
        <w:tc>
          <w:tcPr>
            <w:tcW w:w="680" w:type="pct"/>
            <w:shd w:val="clear" w:color="auto" w:fill="auto"/>
            <w:tcMar>
              <w:left w:w="57" w:type="dxa"/>
              <w:right w:w="57" w:type="dxa"/>
            </w:tcMar>
            <w:vAlign w:val="center"/>
          </w:tcPr>
          <w:p w14:paraId="00DA6890">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15.1</w:t>
            </w:r>
          </w:p>
        </w:tc>
        <w:tc>
          <w:tcPr>
            <w:tcW w:w="4050" w:type="pct"/>
            <w:shd w:val="clear" w:color="auto" w:fill="auto"/>
            <w:tcMar>
              <w:left w:w="57" w:type="dxa"/>
              <w:right w:w="57" w:type="dxa"/>
            </w:tcMar>
            <w:vAlign w:val="center"/>
          </w:tcPr>
          <w:p w14:paraId="59242F2E">
            <w:pPr>
              <w:jc w:val="left"/>
              <w:rPr>
                <w:rFonts w:eastAsia="仿宋_GB2312"/>
                <w:color w:val="000000" w:themeColor="text1"/>
                <w:sz w:val="18"/>
                <w:szCs w:val="21"/>
              </w:rPr>
            </w:pPr>
            <w:r>
              <w:rPr>
                <w:rFonts w:eastAsia="仿宋_GB2312"/>
                <w:color w:val="000000" w:themeColor="text1"/>
                <w:sz w:val="18"/>
                <w:szCs w:val="21"/>
              </w:rPr>
              <w:t>进入洁净室（区）的物品应当按程序进行净化处理。</w:t>
            </w:r>
          </w:p>
          <w:p w14:paraId="620B0224">
            <w:pPr>
              <w:jc w:val="left"/>
              <w:rPr>
                <w:rFonts w:eastAsia="仿宋_GB2312"/>
                <w:b/>
                <w:color w:val="000000" w:themeColor="text1"/>
                <w:sz w:val="18"/>
                <w:szCs w:val="21"/>
              </w:rPr>
            </w:pPr>
            <w:r>
              <w:rPr>
                <w:rFonts w:eastAsia="仿宋_GB2312"/>
                <w:b/>
                <w:color w:val="000000" w:themeColor="text1"/>
                <w:sz w:val="18"/>
                <w:szCs w:val="21"/>
              </w:rPr>
              <w:t>查看相关文件，是否明确物品进入洁净室（区）的相关程序。</w:t>
            </w:r>
          </w:p>
          <w:p w14:paraId="0D97A1DA">
            <w:pPr>
              <w:jc w:val="left"/>
              <w:rPr>
                <w:rFonts w:eastAsia="仿宋_GB2312"/>
                <w:color w:val="000000" w:themeColor="text1"/>
                <w:sz w:val="18"/>
                <w:szCs w:val="21"/>
              </w:rPr>
            </w:pPr>
            <w:r>
              <w:rPr>
                <w:rFonts w:eastAsia="仿宋_GB2312"/>
                <w:b/>
                <w:color w:val="000000" w:themeColor="text1"/>
                <w:sz w:val="18"/>
                <w:szCs w:val="21"/>
              </w:rPr>
              <w:t>现场查看进入洁净室（区）物品的净化程序是否符合规定要求。</w:t>
            </w:r>
          </w:p>
        </w:tc>
      </w:tr>
      <w:tr w14:paraId="77C3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5E935EA">
            <w:pPr>
              <w:jc w:val="left"/>
              <w:rPr>
                <w:rFonts w:eastAsia="仿宋_GB2312"/>
                <w:color w:val="000000"/>
                <w:sz w:val="18"/>
                <w:szCs w:val="21"/>
              </w:rPr>
            </w:pPr>
          </w:p>
        </w:tc>
        <w:tc>
          <w:tcPr>
            <w:tcW w:w="680" w:type="pct"/>
            <w:shd w:val="clear" w:color="auto" w:fill="auto"/>
            <w:tcMar>
              <w:left w:w="57" w:type="dxa"/>
              <w:right w:w="57" w:type="dxa"/>
            </w:tcMar>
            <w:vAlign w:val="center"/>
          </w:tcPr>
          <w:p w14:paraId="15C42C0F">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16.1</w:t>
            </w:r>
          </w:p>
        </w:tc>
        <w:tc>
          <w:tcPr>
            <w:tcW w:w="4050" w:type="pct"/>
            <w:shd w:val="clear" w:color="auto" w:fill="auto"/>
            <w:tcMar>
              <w:left w:w="57" w:type="dxa"/>
              <w:right w:w="57" w:type="dxa"/>
            </w:tcMar>
            <w:vAlign w:val="center"/>
          </w:tcPr>
          <w:p w14:paraId="3858364E">
            <w:pPr>
              <w:jc w:val="left"/>
              <w:rPr>
                <w:rFonts w:eastAsia="仿宋_GB2312"/>
                <w:color w:val="000000" w:themeColor="text1"/>
                <w:sz w:val="18"/>
                <w:szCs w:val="21"/>
              </w:rPr>
            </w:pPr>
            <w:r>
              <w:rPr>
                <w:rFonts w:eastAsia="仿宋_GB2312"/>
                <w:color w:val="000000" w:themeColor="text1"/>
                <w:sz w:val="18"/>
                <w:szCs w:val="21"/>
              </w:rPr>
              <w:t>在生产过程中，应当建立产品标识和生产状态标识控制程序。</w:t>
            </w:r>
          </w:p>
        </w:tc>
      </w:tr>
      <w:tr w14:paraId="70C4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D2EF9D1">
            <w:pPr>
              <w:jc w:val="left"/>
              <w:rPr>
                <w:rFonts w:eastAsia="仿宋_GB2312"/>
                <w:color w:val="000000"/>
                <w:sz w:val="18"/>
                <w:szCs w:val="21"/>
              </w:rPr>
            </w:pPr>
          </w:p>
        </w:tc>
        <w:tc>
          <w:tcPr>
            <w:tcW w:w="680" w:type="pct"/>
            <w:shd w:val="clear" w:color="auto" w:fill="auto"/>
            <w:tcMar>
              <w:left w:w="57" w:type="dxa"/>
              <w:right w:w="57" w:type="dxa"/>
            </w:tcMar>
            <w:vAlign w:val="center"/>
          </w:tcPr>
          <w:p w14:paraId="6D7B6458">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16.2</w:t>
            </w:r>
          </w:p>
        </w:tc>
        <w:tc>
          <w:tcPr>
            <w:tcW w:w="4050" w:type="pct"/>
            <w:shd w:val="clear" w:color="auto" w:fill="auto"/>
            <w:tcMar>
              <w:left w:w="57" w:type="dxa"/>
              <w:right w:w="57" w:type="dxa"/>
            </w:tcMar>
            <w:vAlign w:val="center"/>
          </w:tcPr>
          <w:p w14:paraId="638D3824">
            <w:pPr>
              <w:jc w:val="left"/>
              <w:rPr>
                <w:rFonts w:eastAsia="仿宋_GB2312"/>
                <w:color w:val="000000" w:themeColor="text1"/>
                <w:sz w:val="18"/>
                <w:szCs w:val="21"/>
              </w:rPr>
            </w:pPr>
            <w:r>
              <w:rPr>
                <w:rFonts w:eastAsia="仿宋_GB2312"/>
                <w:color w:val="000000" w:themeColor="text1"/>
                <w:sz w:val="18"/>
                <w:szCs w:val="21"/>
              </w:rPr>
              <w:t>对现场各类物料和生产区域、设备、管路的状态进行识别和管理。</w:t>
            </w:r>
          </w:p>
        </w:tc>
      </w:tr>
      <w:tr w14:paraId="073D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AF18015">
            <w:pPr>
              <w:jc w:val="left"/>
              <w:rPr>
                <w:rFonts w:eastAsia="仿宋_GB2312"/>
                <w:color w:val="000000"/>
                <w:sz w:val="18"/>
                <w:szCs w:val="21"/>
              </w:rPr>
            </w:pPr>
          </w:p>
        </w:tc>
        <w:tc>
          <w:tcPr>
            <w:tcW w:w="680" w:type="pct"/>
            <w:shd w:val="clear" w:color="auto" w:fill="auto"/>
            <w:tcMar>
              <w:left w:w="57" w:type="dxa"/>
              <w:right w:w="57" w:type="dxa"/>
            </w:tcMar>
            <w:vAlign w:val="center"/>
          </w:tcPr>
          <w:p w14:paraId="14241B7A">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17.1</w:t>
            </w:r>
          </w:p>
        </w:tc>
        <w:tc>
          <w:tcPr>
            <w:tcW w:w="4050" w:type="pct"/>
            <w:shd w:val="clear" w:color="auto" w:fill="auto"/>
            <w:tcMar>
              <w:left w:w="57" w:type="dxa"/>
              <w:right w:w="57" w:type="dxa"/>
            </w:tcMar>
            <w:vAlign w:val="center"/>
          </w:tcPr>
          <w:p w14:paraId="4C4ECB40">
            <w:pPr>
              <w:jc w:val="left"/>
              <w:rPr>
                <w:rFonts w:eastAsia="仿宋_GB2312"/>
                <w:color w:val="000000" w:themeColor="text1"/>
                <w:sz w:val="18"/>
                <w:szCs w:val="21"/>
              </w:rPr>
            </w:pPr>
            <w:r>
              <w:rPr>
                <w:rFonts w:eastAsia="仿宋_GB2312"/>
                <w:color w:val="000000" w:themeColor="text1"/>
                <w:sz w:val="18"/>
                <w:szCs w:val="21"/>
              </w:rPr>
              <w:t>应当对每批产品中关键物料进行物料平衡核查。如有显著差异，必须查明原因，在得出合理解释，确认无潜在质量事故后，方可按正常产品处理。</w:t>
            </w:r>
          </w:p>
        </w:tc>
      </w:tr>
      <w:tr w14:paraId="7B4B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16F8D17">
            <w:pPr>
              <w:jc w:val="left"/>
              <w:rPr>
                <w:rFonts w:eastAsia="仿宋_GB2312"/>
                <w:color w:val="000000"/>
                <w:sz w:val="18"/>
                <w:szCs w:val="21"/>
              </w:rPr>
            </w:pPr>
          </w:p>
        </w:tc>
        <w:tc>
          <w:tcPr>
            <w:tcW w:w="680" w:type="pct"/>
            <w:shd w:val="clear" w:color="auto" w:fill="auto"/>
            <w:tcMar>
              <w:left w:w="57" w:type="dxa"/>
              <w:right w:w="57" w:type="dxa"/>
            </w:tcMar>
            <w:vAlign w:val="center"/>
          </w:tcPr>
          <w:p w14:paraId="161880EE">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18.1</w:t>
            </w:r>
          </w:p>
        </w:tc>
        <w:tc>
          <w:tcPr>
            <w:tcW w:w="4050" w:type="pct"/>
            <w:shd w:val="clear" w:color="auto" w:fill="auto"/>
            <w:tcMar>
              <w:left w:w="57" w:type="dxa"/>
              <w:right w:w="57" w:type="dxa"/>
            </w:tcMar>
            <w:vAlign w:val="center"/>
          </w:tcPr>
          <w:p w14:paraId="1E5AADBC">
            <w:pPr>
              <w:jc w:val="left"/>
              <w:rPr>
                <w:rFonts w:eastAsia="仿宋_GB2312"/>
                <w:color w:val="000000" w:themeColor="text1"/>
                <w:sz w:val="18"/>
                <w:szCs w:val="21"/>
              </w:rPr>
            </w:pPr>
            <w:r>
              <w:rPr>
                <w:rFonts w:eastAsia="仿宋_GB2312"/>
                <w:color w:val="000000" w:themeColor="text1"/>
                <w:sz w:val="18"/>
                <w:szCs w:val="21"/>
              </w:rPr>
              <w:t>应当制定批号管理制度，对主要物料、中间品和成品按规定进行批号管理，并保存和提供可追溯的记录。</w:t>
            </w:r>
          </w:p>
          <w:p w14:paraId="566546AA">
            <w:pPr>
              <w:jc w:val="left"/>
              <w:rPr>
                <w:rFonts w:eastAsia="仿宋_GB2312"/>
                <w:b/>
                <w:color w:val="000000" w:themeColor="text1"/>
                <w:sz w:val="18"/>
                <w:szCs w:val="21"/>
              </w:rPr>
            </w:pPr>
            <w:r>
              <w:rPr>
                <w:rFonts w:eastAsia="仿宋_GB2312"/>
                <w:b/>
                <w:color w:val="000000" w:themeColor="text1"/>
                <w:sz w:val="18"/>
                <w:szCs w:val="21"/>
              </w:rPr>
              <w:t>查看批号管理制度，是否明确主要物料、中间品和成品的批号编制方法。</w:t>
            </w:r>
          </w:p>
          <w:p w14:paraId="2B8BC4B0">
            <w:pPr>
              <w:jc w:val="left"/>
              <w:rPr>
                <w:rFonts w:eastAsia="仿宋_GB2312"/>
                <w:b/>
                <w:color w:val="000000" w:themeColor="text1"/>
                <w:sz w:val="18"/>
                <w:szCs w:val="21"/>
              </w:rPr>
            </w:pPr>
            <w:r>
              <w:rPr>
                <w:rFonts w:eastAsia="仿宋_GB2312"/>
                <w:b/>
                <w:color w:val="000000" w:themeColor="text1"/>
                <w:sz w:val="18"/>
                <w:szCs w:val="21"/>
              </w:rPr>
              <w:t>查看相关记录，是否可追溯到主要物料、中间品。</w:t>
            </w:r>
          </w:p>
        </w:tc>
      </w:tr>
      <w:tr w14:paraId="6AEA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61D0334">
            <w:pPr>
              <w:jc w:val="left"/>
              <w:rPr>
                <w:rFonts w:eastAsia="仿宋_GB2312"/>
                <w:color w:val="000000"/>
                <w:sz w:val="18"/>
                <w:szCs w:val="21"/>
              </w:rPr>
            </w:pPr>
          </w:p>
        </w:tc>
        <w:tc>
          <w:tcPr>
            <w:tcW w:w="680" w:type="pct"/>
            <w:shd w:val="clear" w:color="auto" w:fill="auto"/>
            <w:tcMar>
              <w:left w:w="57" w:type="dxa"/>
              <w:right w:w="57" w:type="dxa"/>
            </w:tcMar>
            <w:vAlign w:val="center"/>
          </w:tcPr>
          <w:p w14:paraId="24BDBE5E">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18.2</w:t>
            </w:r>
          </w:p>
        </w:tc>
        <w:tc>
          <w:tcPr>
            <w:tcW w:w="4050" w:type="pct"/>
            <w:shd w:val="clear" w:color="auto" w:fill="auto"/>
            <w:tcMar>
              <w:left w:w="57" w:type="dxa"/>
              <w:right w:w="57" w:type="dxa"/>
            </w:tcMar>
            <w:vAlign w:val="center"/>
          </w:tcPr>
          <w:p w14:paraId="09AA0592">
            <w:pPr>
              <w:jc w:val="left"/>
              <w:rPr>
                <w:rFonts w:eastAsia="仿宋_GB2312"/>
                <w:color w:val="000000" w:themeColor="text1"/>
                <w:sz w:val="18"/>
                <w:szCs w:val="21"/>
              </w:rPr>
            </w:pPr>
            <w:r>
              <w:rPr>
                <w:rFonts w:eastAsia="仿宋_GB2312"/>
                <w:color w:val="000000" w:themeColor="text1"/>
                <w:sz w:val="18"/>
                <w:szCs w:val="21"/>
              </w:rPr>
              <w:t>同一试剂盒内各组分批号不同时应尽量将生产日期接近的组分进行组合，应当在每个组分的容器上均标明各自的批号和有效期。</w:t>
            </w:r>
          </w:p>
        </w:tc>
      </w:tr>
      <w:tr w14:paraId="568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1BD90C4">
            <w:pPr>
              <w:jc w:val="left"/>
              <w:rPr>
                <w:rFonts w:eastAsia="仿宋_GB2312"/>
                <w:color w:val="000000"/>
                <w:sz w:val="18"/>
                <w:szCs w:val="21"/>
              </w:rPr>
            </w:pPr>
          </w:p>
        </w:tc>
        <w:tc>
          <w:tcPr>
            <w:tcW w:w="680" w:type="pct"/>
            <w:shd w:val="clear" w:color="auto" w:fill="auto"/>
            <w:tcMar>
              <w:left w:w="57" w:type="dxa"/>
              <w:right w:w="57" w:type="dxa"/>
            </w:tcMar>
            <w:vAlign w:val="center"/>
          </w:tcPr>
          <w:p w14:paraId="2AB4E2AC">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18.3</w:t>
            </w:r>
          </w:p>
        </w:tc>
        <w:tc>
          <w:tcPr>
            <w:tcW w:w="4050" w:type="pct"/>
            <w:shd w:val="clear" w:color="auto" w:fill="auto"/>
            <w:tcMar>
              <w:left w:w="57" w:type="dxa"/>
              <w:right w:w="57" w:type="dxa"/>
            </w:tcMar>
            <w:vAlign w:val="center"/>
          </w:tcPr>
          <w:p w14:paraId="6324C3A8">
            <w:pPr>
              <w:jc w:val="left"/>
              <w:rPr>
                <w:rFonts w:eastAsia="仿宋_GB2312"/>
                <w:color w:val="000000" w:themeColor="text1"/>
                <w:sz w:val="18"/>
                <w:szCs w:val="21"/>
              </w:rPr>
            </w:pPr>
            <w:r>
              <w:rPr>
                <w:rFonts w:eastAsia="仿宋_GB2312"/>
                <w:color w:val="000000" w:themeColor="text1"/>
                <w:sz w:val="18"/>
                <w:szCs w:val="21"/>
              </w:rPr>
              <w:t>整个试剂盒的有效期应以最先到有效期的组分的效期为准。</w:t>
            </w:r>
          </w:p>
        </w:tc>
      </w:tr>
      <w:tr w14:paraId="6961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86E6AA7">
            <w:pPr>
              <w:jc w:val="left"/>
              <w:rPr>
                <w:rFonts w:eastAsia="仿宋_GB2312"/>
                <w:color w:val="000000"/>
                <w:sz w:val="18"/>
                <w:szCs w:val="21"/>
              </w:rPr>
            </w:pPr>
          </w:p>
        </w:tc>
        <w:tc>
          <w:tcPr>
            <w:tcW w:w="680" w:type="pct"/>
            <w:shd w:val="clear" w:color="auto" w:fill="auto"/>
            <w:tcMar>
              <w:left w:w="57" w:type="dxa"/>
              <w:right w:w="57" w:type="dxa"/>
            </w:tcMar>
            <w:vAlign w:val="center"/>
          </w:tcPr>
          <w:p w14:paraId="74311B32">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19.1</w:t>
            </w:r>
          </w:p>
        </w:tc>
        <w:tc>
          <w:tcPr>
            <w:tcW w:w="4050" w:type="pct"/>
            <w:shd w:val="clear" w:color="auto" w:fill="auto"/>
            <w:tcMar>
              <w:left w:w="57" w:type="dxa"/>
              <w:right w:w="57" w:type="dxa"/>
            </w:tcMar>
            <w:vAlign w:val="center"/>
          </w:tcPr>
          <w:p w14:paraId="21692977">
            <w:pPr>
              <w:jc w:val="left"/>
              <w:rPr>
                <w:rFonts w:eastAsia="仿宋_GB2312"/>
                <w:color w:val="000000" w:themeColor="text1"/>
                <w:sz w:val="18"/>
                <w:szCs w:val="21"/>
              </w:rPr>
            </w:pPr>
            <w:r>
              <w:rPr>
                <w:rFonts w:eastAsia="仿宋_GB2312"/>
                <w:color w:val="000000" w:themeColor="text1"/>
                <w:sz w:val="18"/>
                <w:szCs w:val="21"/>
              </w:rPr>
              <w:t>不同品种产品的生产应当做到有效隔离，以避免相互混淆和污染。</w:t>
            </w:r>
          </w:p>
        </w:tc>
      </w:tr>
      <w:tr w14:paraId="3A71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3B81A24">
            <w:pPr>
              <w:jc w:val="left"/>
              <w:rPr>
                <w:rFonts w:eastAsia="仿宋_GB2312"/>
                <w:color w:val="000000"/>
                <w:sz w:val="18"/>
                <w:szCs w:val="21"/>
              </w:rPr>
            </w:pPr>
          </w:p>
        </w:tc>
        <w:tc>
          <w:tcPr>
            <w:tcW w:w="680" w:type="pct"/>
            <w:shd w:val="clear" w:color="auto" w:fill="auto"/>
            <w:tcMar>
              <w:left w:w="57" w:type="dxa"/>
              <w:right w:w="57" w:type="dxa"/>
            </w:tcMar>
            <w:vAlign w:val="center"/>
          </w:tcPr>
          <w:p w14:paraId="0952888F">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19.2</w:t>
            </w:r>
          </w:p>
        </w:tc>
        <w:tc>
          <w:tcPr>
            <w:tcW w:w="4050" w:type="pct"/>
            <w:shd w:val="clear" w:color="auto" w:fill="auto"/>
            <w:tcMar>
              <w:left w:w="57" w:type="dxa"/>
              <w:right w:w="57" w:type="dxa"/>
            </w:tcMar>
            <w:vAlign w:val="center"/>
          </w:tcPr>
          <w:p w14:paraId="311B63FD">
            <w:pPr>
              <w:jc w:val="left"/>
              <w:rPr>
                <w:rFonts w:eastAsia="仿宋_GB2312"/>
                <w:color w:val="000000" w:themeColor="text1"/>
                <w:sz w:val="18"/>
                <w:szCs w:val="21"/>
              </w:rPr>
            </w:pPr>
            <w:r>
              <w:rPr>
                <w:rFonts w:eastAsia="仿宋_GB2312"/>
                <w:color w:val="000000" w:themeColor="text1"/>
                <w:sz w:val="18"/>
                <w:szCs w:val="21"/>
              </w:rPr>
              <w:t>有数条包装线同时进行包装时，应当采取隔离或其他有效防止混淆的措施。</w:t>
            </w:r>
          </w:p>
        </w:tc>
      </w:tr>
      <w:tr w14:paraId="31A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FB6E75C">
            <w:pPr>
              <w:jc w:val="left"/>
              <w:rPr>
                <w:rFonts w:eastAsia="仿宋_GB2312"/>
                <w:color w:val="000000"/>
                <w:sz w:val="18"/>
                <w:szCs w:val="21"/>
              </w:rPr>
            </w:pPr>
          </w:p>
        </w:tc>
        <w:tc>
          <w:tcPr>
            <w:tcW w:w="680" w:type="pct"/>
            <w:shd w:val="clear" w:color="auto" w:fill="auto"/>
            <w:tcMar>
              <w:left w:w="57" w:type="dxa"/>
              <w:right w:w="57" w:type="dxa"/>
            </w:tcMar>
            <w:vAlign w:val="center"/>
          </w:tcPr>
          <w:p w14:paraId="752460FA">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20.1</w:t>
            </w:r>
          </w:p>
        </w:tc>
        <w:tc>
          <w:tcPr>
            <w:tcW w:w="4050" w:type="pct"/>
            <w:shd w:val="clear" w:color="auto" w:fill="auto"/>
            <w:tcMar>
              <w:left w:w="57" w:type="dxa"/>
              <w:right w:w="57" w:type="dxa"/>
            </w:tcMar>
            <w:vAlign w:val="center"/>
          </w:tcPr>
          <w:p w14:paraId="508058BA">
            <w:pPr>
              <w:jc w:val="left"/>
              <w:rPr>
                <w:rFonts w:eastAsia="仿宋_GB2312"/>
                <w:bCs/>
                <w:iCs/>
                <w:color w:val="000000" w:themeColor="text1"/>
                <w:sz w:val="18"/>
                <w:szCs w:val="21"/>
              </w:rPr>
            </w:pPr>
            <w:r>
              <w:rPr>
                <w:rFonts w:eastAsia="仿宋_GB2312"/>
                <w:bCs/>
                <w:iCs/>
                <w:color w:val="000000" w:themeColor="text1"/>
                <w:sz w:val="18"/>
                <w:szCs w:val="21"/>
              </w:rPr>
              <w:t>应当制定洁净室（区）的卫生管理文件。按照规定对洁净室（区）进行清洁处理和消毒，并作好记录。</w:t>
            </w:r>
          </w:p>
          <w:p w14:paraId="1327AC29">
            <w:pPr>
              <w:jc w:val="left"/>
              <w:rPr>
                <w:rFonts w:eastAsia="仿宋_GB2312"/>
                <w:b/>
                <w:bCs/>
                <w:iCs/>
                <w:color w:val="000000" w:themeColor="text1"/>
                <w:sz w:val="18"/>
                <w:szCs w:val="21"/>
              </w:rPr>
            </w:pPr>
            <w:r>
              <w:rPr>
                <w:rFonts w:eastAsia="仿宋_GB2312"/>
                <w:b/>
                <w:bCs/>
                <w:iCs/>
                <w:color w:val="000000" w:themeColor="text1"/>
                <w:sz w:val="18"/>
                <w:szCs w:val="21"/>
              </w:rPr>
              <w:t>查看洁净室（区）工艺卫生管理文件和记录，工艺卫生管理文件是否包含下列内容：1.设备清洁规定；2.工位器具（容器具、管路、储罐等）清洁规定；3.物料清洁规定；4.操作台、场地、墙壁、顶棚清洁规定；5.清洁工具的清洁及存放规定；6.洁净室（区）空气消毒规定；7.消毒剂选择、使用的管理规定。</w:t>
            </w:r>
          </w:p>
          <w:p w14:paraId="3597C98F">
            <w:pPr>
              <w:jc w:val="left"/>
              <w:rPr>
                <w:rFonts w:eastAsia="仿宋_GB2312"/>
                <w:b/>
                <w:bCs/>
                <w:iCs/>
                <w:color w:val="000000" w:themeColor="text1"/>
                <w:sz w:val="18"/>
                <w:szCs w:val="21"/>
              </w:rPr>
            </w:pPr>
            <w:r>
              <w:rPr>
                <w:rFonts w:eastAsia="仿宋_GB2312"/>
                <w:b/>
                <w:bCs/>
                <w:iCs/>
                <w:color w:val="000000" w:themeColor="text1"/>
                <w:sz w:val="18"/>
                <w:szCs w:val="21"/>
              </w:rPr>
              <w:t>现场查看洁净室（区）内的清洁卫生工具，是否使用无脱落物、易清洗、易消毒，是否按用途分类使用，不同洁净室（区）的清洁工具不得跨区使用。</w:t>
            </w:r>
          </w:p>
        </w:tc>
      </w:tr>
      <w:tr w14:paraId="4D43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73933D2">
            <w:pPr>
              <w:jc w:val="left"/>
              <w:rPr>
                <w:rFonts w:eastAsia="仿宋_GB2312"/>
                <w:color w:val="000000"/>
                <w:sz w:val="18"/>
                <w:szCs w:val="21"/>
              </w:rPr>
            </w:pPr>
          </w:p>
        </w:tc>
        <w:tc>
          <w:tcPr>
            <w:tcW w:w="680" w:type="pct"/>
            <w:shd w:val="clear" w:color="auto" w:fill="auto"/>
            <w:tcMar>
              <w:left w:w="57" w:type="dxa"/>
              <w:right w:w="57" w:type="dxa"/>
            </w:tcMar>
            <w:vAlign w:val="center"/>
          </w:tcPr>
          <w:p w14:paraId="3CE6F36E">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20.2</w:t>
            </w:r>
          </w:p>
        </w:tc>
        <w:tc>
          <w:tcPr>
            <w:tcW w:w="4050" w:type="pct"/>
            <w:shd w:val="clear" w:color="auto" w:fill="auto"/>
            <w:tcMar>
              <w:left w:w="57" w:type="dxa"/>
              <w:right w:w="57" w:type="dxa"/>
            </w:tcMar>
            <w:vAlign w:val="center"/>
          </w:tcPr>
          <w:p w14:paraId="2637290C">
            <w:pPr>
              <w:jc w:val="left"/>
              <w:rPr>
                <w:rFonts w:eastAsia="仿宋_GB2312"/>
                <w:color w:val="000000" w:themeColor="text1"/>
                <w:sz w:val="18"/>
                <w:szCs w:val="21"/>
              </w:rPr>
            </w:pPr>
            <w:r>
              <w:rPr>
                <w:rFonts w:eastAsia="仿宋_GB2312"/>
                <w:color w:val="000000" w:themeColor="text1"/>
                <w:sz w:val="18"/>
                <w:szCs w:val="21"/>
              </w:rPr>
              <w:t>所用的消毒剂或消毒方法不得对设备、容器具、物料和产品造成污染。</w:t>
            </w:r>
          </w:p>
          <w:p w14:paraId="0A6AEEC0">
            <w:pPr>
              <w:jc w:val="left"/>
              <w:rPr>
                <w:rFonts w:eastAsia="仿宋_GB2312"/>
                <w:b/>
                <w:iCs/>
                <w:color w:val="000000" w:themeColor="text1"/>
                <w:sz w:val="18"/>
                <w:szCs w:val="21"/>
              </w:rPr>
            </w:pPr>
            <w:r>
              <w:rPr>
                <w:rFonts w:eastAsia="仿宋_GB2312"/>
                <w:b/>
                <w:iCs/>
                <w:color w:val="000000" w:themeColor="text1"/>
                <w:sz w:val="18"/>
                <w:szCs w:val="21"/>
              </w:rPr>
              <w:t>查看相关文件，是否对消毒剂或消毒方法作出规定,应包括消毒剂品种、使用时间、频次、更换周期等内容，应保留相关的记录。</w:t>
            </w:r>
          </w:p>
          <w:p w14:paraId="2FAF9F09">
            <w:pPr>
              <w:jc w:val="left"/>
              <w:rPr>
                <w:rFonts w:eastAsia="仿宋_GB2312"/>
                <w:b/>
                <w:iCs/>
                <w:color w:val="000000" w:themeColor="text1"/>
                <w:sz w:val="18"/>
                <w:szCs w:val="21"/>
              </w:rPr>
            </w:pPr>
            <w:r>
              <w:rPr>
                <w:rFonts w:eastAsia="仿宋_GB2312"/>
                <w:b/>
                <w:iCs/>
                <w:color w:val="000000" w:themeColor="text1"/>
                <w:sz w:val="18"/>
                <w:szCs w:val="21"/>
              </w:rPr>
              <w:t>应当对所选择的消毒方法、选用的消毒剂进行效果评价或验证；所用的消毒剂或消毒方法不应当对设备、容器具、物料和产品造成污染。</w:t>
            </w:r>
          </w:p>
        </w:tc>
      </w:tr>
      <w:tr w14:paraId="487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1DCFD68C">
            <w:pPr>
              <w:jc w:val="left"/>
              <w:rPr>
                <w:rFonts w:eastAsia="仿宋_GB2312"/>
                <w:color w:val="000000"/>
                <w:sz w:val="18"/>
                <w:szCs w:val="21"/>
              </w:rPr>
            </w:pPr>
          </w:p>
        </w:tc>
        <w:tc>
          <w:tcPr>
            <w:tcW w:w="680" w:type="pct"/>
            <w:shd w:val="clear" w:color="auto" w:fill="auto"/>
            <w:tcMar>
              <w:left w:w="57" w:type="dxa"/>
              <w:right w:w="57" w:type="dxa"/>
            </w:tcMar>
            <w:vAlign w:val="center"/>
          </w:tcPr>
          <w:p w14:paraId="27F6D099">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20.3</w:t>
            </w:r>
          </w:p>
        </w:tc>
        <w:tc>
          <w:tcPr>
            <w:tcW w:w="4050" w:type="pct"/>
            <w:shd w:val="clear" w:color="auto" w:fill="auto"/>
            <w:tcMar>
              <w:left w:w="57" w:type="dxa"/>
              <w:right w:w="57" w:type="dxa"/>
            </w:tcMar>
            <w:vAlign w:val="center"/>
          </w:tcPr>
          <w:p w14:paraId="2BBDCB19">
            <w:pPr>
              <w:jc w:val="left"/>
              <w:rPr>
                <w:rFonts w:eastAsia="仿宋_GB2312"/>
                <w:color w:val="000000" w:themeColor="text1"/>
                <w:sz w:val="18"/>
                <w:szCs w:val="21"/>
              </w:rPr>
            </w:pPr>
            <w:r>
              <w:rPr>
                <w:rFonts w:eastAsia="仿宋_GB2312"/>
                <w:color w:val="000000" w:themeColor="text1"/>
                <w:sz w:val="18"/>
                <w:szCs w:val="21"/>
              </w:rPr>
              <w:t>消毒剂品种应当定期更换，防止产生耐药菌株。</w:t>
            </w:r>
          </w:p>
          <w:p w14:paraId="6397A92C">
            <w:pPr>
              <w:jc w:val="left"/>
              <w:rPr>
                <w:rFonts w:eastAsia="仿宋_GB2312"/>
                <w:color w:val="000000" w:themeColor="text1"/>
                <w:sz w:val="18"/>
                <w:szCs w:val="21"/>
              </w:rPr>
            </w:pPr>
            <w:r>
              <w:rPr>
                <w:rFonts w:eastAsia="仿宋_GB2312"/>
                <w:b/>
                <w:iCs/>
                <w:color w:val="000000" w:themeColor="text1"/>
                <w:sz w:val="18"/>
                <w:szCs w:val="21"/>
              </w:rPr>
              <w:t>现场查看所使用的消毒剂是否符合文件规定，是否按期进行更换。</w:t>
            </w:r>
          </w:p>
        </w:tc>
      </w:tr>
      <w:tr w14:paraId="46A4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57B5C4F">
            <w:pPr>
              <w:jc w:val="left"/>
              <w:rPr>
                <w:rFonts w:eastAsia="仿宋_GB2312"/>
                <w:color w:val="000000"/>
                <w:sz w:val="18"/>
                <w:szCs w:val="21"/>
              </w:rPr>
            </w:pPr>
          </w:p>
        </w:tc>
        <w:tc>
          <w:tcPr>
            <w:tcW w:w="680" w:type="pct"/>
            <w:shd w:val="clear" w:color="auto" w:fill="auto"/>
            <w:tcMar>
              <w:left w:w="57" w:type="dxa"/>
              <w:right w:w="57" w:type="dxa"/>
            </w:tcMar>
            <w:vAlign w:val="center"/>
          </w:tcPr>
          <w:p w14:paraId="57DA533D">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21.1</w:t>
            </w:r>
          </w:p>
        </w:tc>
        <w:tc>
          <w:tcPr>
            <w:tcW w:w="4050" w:type="pct"/>
            <w:shd w:val="clear" w:color="auto" w:fill="auto"/>
            <w:tcMar>
              <w:left w:w="57" w:type="dxa"/>
              <w:right w:w="57" w:type="dxa"/>
            </w:tcMar>
            <w:vAlign w:val="center"/>
          </w:tcPr>
          <w:p w14:paraId="6E0BAD0B">
            <w:pPr>
              <w:jc w:val="left"/>
              <w:rPr>
                <w:rFonts w:eastAsia="仿宋_GB2312"/>
                <w:color w:val="000000" w:themeColor="text1"/>
                <w:sz w:val="18"/>
                <w:szCs w:val="21"/>
              </w:rPr>
            </w:pPr>
            <w:r>
              <w:rPr>
                <w:rFonts w:eastAsia="仿宋_GB2312"/>
                <w:color w:val="000000" w:themeColor="text1"/>
                <w:sz w:val="18"/>
                <w:szCs w:val="21"/>
              </w:rPr>
              <w:t>生产设备所用的润滑剂、清洗剂均不得对产品造成污染。</w:t>
            </w:r>
          </w:p>
          <w:p w14:paraId="036039C1">
            <w:pPr>
              <w:jc w:val="left"/>
              <w:rPr>
                <w:rFonts w:eastAsia="仿宋_GB2312"/>
                <w:b/>
                <w:iCs/>
                <w:color w:val="000000" w:themeColor="text1"/>
                <w:sz w:val="18"/>
                <w:szCs w:val="21"/>
              </w:rPr>
            </w:pPr>
            <w:r>
              <w:rPr>
                <w:rFonts w:eastAsia="仿宋_GB2312"/>
                <w:b/>
                <w:iCs/>
                <w:color w:val="000000" w:themeColor="text1"/>
                <w:sz w:val="18"/>
                <w:szCs w:val="21"/>
              </w:rPr>
              <w:t>查看验证报告，所使用的润滑剂、清洗剂等不会对产品造成污染，或有相应措施消除污染的影响。</w:t>
            </w:r>
          </w:p>
        </w:tc>
      </w:tr>
      <w:tr w14:paraId="77F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657C1BF">
            <w:pPr>
              <w:jc w:val="left"/>
              <w:rPr>
                <w:rFonts w:eastAsia="仿宋_GB2312"/>
                <w:color w:val="000000"/>
                <w:sz w:val="18"/>
                <w:szCs w:val="21"/>
              </w:rPr>
            </w:pPr>
          </w:p>
        </w:tc>
        <w:tc>
          <w:tcPr>
            <w:tcW w:w="680" w:type="pct"/>
            <w:shd w:val="clear" w:color="auto" w:fill="auto"/>
            <w:tcMar>
              <w:left w:w="57" w:type="dxa"/>
              <w:right w:w="57" w:type="dxa"/>
            </w:tcMar>
            <w:vAlign w:val="center"/>
          </w:tcPr>
          <w:p w14:paraId="0D16B21C">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22.1</w:t>
            </w:r>
          </w:p>
        </w:tc>
        <w:tc>
          <w:tcPr>
            <w:tcW w:w="4050" w:type="pct"/>
            <w:shd w:val="clear" w:color="auto" w:fill="auto"/>
            <w:tcMar>
              <w:left w:w="57" w:type="dxa"/>
              <w:right w:w="57" w:type="dxa"/>
            </w:tcMar>
            <w:vAlign w:val="center"/>
          </w:tcPr>
          <w:p w14:paraId="274BF67B">
            <w:pPr>
              <w:jc w:val="left"/>
              <w:rPr>
                <w:rFonts w:eastAsia="仿宋_GB2312"/>
                <w:color w:val="000000" w:themeColor="text1"/>
                <w:sz w:val="18"/>
                <w:szCs w:val="21"/>
              </w:rPr>
            </w:pPr>
            <w:r>
              <w:rPr>
                <w:rFonts w:eastAsia="仿宋_GB2312"/>
                <w:color w:val="000000" w:themeColor="text1"/>
                <w:sz w:val="18"/>
                <w:szCs w:val="21"/>
              </w:rPr>
              <w:t>应当建立清场的管理规定。</w:t>
            </w:r>
          </w:p>
          <w:p w14:paraId="1B9EEA2C">
            <w:pPr>
              <w:jc w:val="left"/>
              <w:rPr>
                <w:rFonts w:eastAsia="仿宋_GB2312"/>
                <w:b/>
                <w:color w:val="000000" w:themeColor="text1"/>
                <w:sz w:val="18"/>
                <w:szCs w:val="21"/>
              </w:rPr>
            </w:pPr>
            <w:r>
              <w:rPr>
                <w:rFonts w:eastAsia="仿宋_GB2312"/>
                <w:b/>
                <w:color w:val="000000" w:themeColor="text1"/>
                <w:sz w:val="18"/>
                <w:szCs w:val="21"/>
              </w:rPr>
              <w:t>是否根据生产工艺制定清场的管理规定及记录。</w:t>
            </w:r>
          </w:p>
        </w:tc>
      </w:tr>
      <w:tr w14:paraId="099F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ACF7438">
            <w:pPr>
              <w:jc w:val="left"/>
              <w:rPr>
                <w:rFonts w:eastAsia="仿宋_GB2312"/>
                <w:color w:val="000000"/>
                <w:sz w:val="18"/>
                <w:szCs w:val="21"/>
              </w:rPr>
            </w:pPr>
          </w:p>
        </w:tc>
        <w:tc>
          <w:tcPr>
            <w:tcW w:w="680" w:type="pct"/>
            <w:shd w:val="clear" w:color="auto" w:fill="auto"/>
            <w:tcMar>
              <w:left w:w="57" w:type="dxa"/>
              <w:right w:w="57" w:type="dxa"/>
            </w:tcMar>
            <w:vAlign w:val="center"/>
          </w:tcPr>
          <w:p w14:paraId="1460C2AA">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22.2</w:t>
            </w:r>
          </w:p>
        </w:tc>
        <w:tc>
          <w:tcPr>
            <w:tcW w:w="4050" w:type="pct"/>
            <w:shd w:val="clear" w:color="auto" w:fill="auto"/>
            <w:tcMar>
              <w:left w:w="57" w:type="dxa"/>
              <w:right w:w="57" w:type="dxa"/>
            </w:tcMar>
            <w:vAlign w:val="center"/>
          </w:tcPr>
          <w:p w14:paraId="044FB046">
            <w:pPr>
              <w:jc w:val="left"/>
              <w:rPr>
                <w:rFonts w:eastAsia="仿宋_GB2312"/>
                <w:color w:val="000000" w:themeColor="text1"/>
                <w:sz w:val="18"/>
                <w:szCs w:val="21"/>
              </w:rPr>
            </w:pPr>
            <w:r>
              <w:rPr>
                <w:rFonts w:eastAsia="仿宋_GB2312"/>
                <w:color w:val="000000" w:themeColor="text1"/>
                <w:sz w:val="18"/>
                <w:szCs w:val="21"/>
              </w:rPr>
              <w:t>前一道工艺结束后或前一种产品生产结束后必须进行清场，确认合格后才可以入场进行其他生产，并保存清场记录。</w:t>
            </w:r>
          </w:p>
          <w:p w14:paraId="1693143E">
            <w:pPr>
              <w:jc w:val="left"/>
              <w:rPr>
                <w:rFonts w:eastAsia="仿宋_GB2312"/>
                <w:b/>
                <w:color w:val="000000" w:themeColor="text1"/>
                <w:sz w:val="18"/>
                <w:szCs w:val="21"/>
              </w:rPr>
            </w:pPr>
            <w:r>
              <w:rPr>
                <w:rFonts w:eastAsia="仿宋_GB2312"/>
                <w:b/>
                <w:iCs/>
                <w:color w:val="000000" w:themeColor="text1"/>
                <w:sz w:val="18"/>
                <w:szCs w:val="21"/>
              </w:rPr>
              <w:t>现场查看上次生产遗留物的处理是否符合规定，查看清场记录。</w:t>
            </w:r>
          </w:p>
        </w:tc>
      </w:tr>
      <w:tr w14:paraId="48BC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C00A11B">
            <w:pPr>
              <w:jc w:val="left"/>
              <w:rPr>
                <w:rFonts w:eastAsia="仿宋_GB2312"/>
                <w:color w:val="000000"/>
                <w:sz w:val="18"/>
                <w:szCs w:val="21"/>
              </w:rPr>
            </w:pPr>
          </w:p>
        </w:tc>
        <w:tc>
          <w:tcPr>
            <w:tcW w:w="680" w:type="pct"/>
            <w:shd w:val="clear" w:color="auto" w:fill="auto"/>
            <w:tcMar>
              <w:left w:w="57" w:type="dxa"/>
              <w:right w:w="57" w:type="dxa"/>
            </w:tcMar>
            <w:vAlign w:val="center"/>
          </w:tcPr>
          <w:p w14:paraId="548EB9EF">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22.3</w:t>
            </w:r>
          </w:p>
        </w:tc>
        <w:tc>
          <w:tcPr>
            <w:tcW w:w="4050" w:type="pct"/>
            <w:shd w:val="clear" w:color="auto" w:fill="auto"/>
            <w:tcMar>
              <w:left w:w="57" w:type="dxa"/>
              <w:right w:w="57" w:type="dxa"/>
            </w:tcMar>
            <w:vAlign w:val="center"/>
          </w:tcPr>
          <w:p w14:paraId="4D5FD038">
            <w:pPr>
              <w:jc w:val="left"/>
              <w:rPr>
                <w:rFonts w:eastAsia="仿宋_GB2312"/>
                <w:color w:val="000000" w:themeColor="text1"/>
                <w:sz w:val="18"/>
                <w:szCs w:val="21"/>
              </w:rPr>
            </w:pPr>
            <w:r>
              <w:rPr>
                <w:rFonts w:eastAsia="仿宋_GB2312"/>
                <w:color w:val="000000" w:themeColor="text1"/>
                <w:sz w:val="18"/>
                <w:szCs w:val="21"/>
              </w:rPr>
              <w:t>相关的配制和分装器具必须专用，使用后进行清洗、干燥等洁净处理。</w:t>
            </w:r>
          </w:p>
        </w:tc>
      </w:tr>
      <w:tr w14:paraId="5C03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CAC12C7">
            <w:pPr>
              <w:jc w:val="left"/>
              <w:rPr>
                <w:rFonts w:eastAsia="仿宋_GB2312"/>
                <w:color w:val="000000"/>
                <w:sz w:val="18"/>
                <w:szCs w:val="21"/>
              </w:rPr>
            </w:pPr>
          </w:p>
        </w:tc>
        <w:tc>
          <w:tcPr>
            <w:tcW w:w="680" w:type="pct"/>
            <w:shd w:val="clear" w:color="auto" w:fill="auto"/>
            <w:tcMar>
              <w:left w:w="57" w:type="dxa"/>
              <w:right w:w="57" w:type="dxa"/>
            </w:tcMar>
            <w:vAlign w:val="center"/>
          </w:tcPr>
          <w:p w14:paraId="56DD51F3">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23.1</w:t>
            </w:r>
          </w:p>
        </w:tc>
        <w:tc>
          <w:tcPr>
            <w:tcW w:w="4050" w:type="pct"/>
            <w:shd w:val="clear" w:color="auto" w:fill="auto"/>
            <w:tcMar>
              <w:left w:w="57" w:type="dxa"/>
              <w:right w:w="57" w:type="dxa"/>
            </w:tcMar>
            <w:vAlign w:val="center"/>
          </w:tcPr>
          <w:p w14:paraId="1E5FDF3F">
            <w:pPr>
              <w:jc w:val="left"/>
              <w:rPr>
                <w:rFonts w:eastAsia="仿宋_GB2312"/>
                <w:color w:val="000000" w:themeColor="text1"/>
                <w:sz w:val="18"/>
                <w:szCs w:val="21"/>
              </w:rPr>
            </w:pPr>
            <w:r>
              <w:rPr>
                <w:rFonts w:eastAsia="仿宋_GB2312"/>
                <w:color w:val="000000" w:themeColor="text1"/>
                <w:sz w:val="18"/>
                <w:szCs w:val="21"/>
              </w:rPr>
              <w:t>应当建立可追溯性程序并形成文件，应当规定可追溯性的范围、程度、标识和记录。</w:t>
            </w:r>
          </w:p>
        </w:tc>
      </w:tr>
      <w:tr w14:paraId="625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A88F80C">
            <w:pPr>
              <w:jc w:val="left"/>
              <w:rPr>
                <w:rFonts w:eastAsia="仿宋_GB2312"/>
                <w:color w:val="000000"/>
                <w:sz w:val="18"/>
                <w:szCs w:val="21"/>
              </w:rPr>
            </w:pPr>
          </w:p>
        </w:tc>
        <w:tc>
          <w:tcPr>
            <w:tcW w:w="680" w:type="pct"/>
            <w:shd w:val="clear" w:color="auto" w:fill="auto"/>
            <w:tcMar>
              <w:left w:w="57" w:type="dxa"/>
              <w:right w:w="57" w:type="dxa"/>
            </w:tcMar>
            <w:vAlign w:val="center"/>
          </w:tcPr>
          <w:p w14:paraId="3A297473">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23.2</w:t>
            </w:r>
          </w:p>
        </w:tc>
        <w:tc>
          <w:tcPr>
            <w:tcW w:w="4050" w:type="pct"/>
            <w:shd w:val="clear" w:color="auto" w:fill="auto"/>
            <w:tcMar>
              <w:left w:w="57" w:type="dxa"/>
              <w:right w:w="57" w:type="dxa"/>
            </w:tcMar>
            <w:vAlign w:val="center"/>
          </w:tcPr>
          <w:p w14:paraId="521B6481">
            <w:pPr>
              <w:jc w:val="left"/>
              <w:rPr>
                <w:rFonts w:eastAsia="仿宋_GB2312"/>
                <w:color w:val="000000" w:themeColor="text1"/>
                <w:sz w:val="18"/>
                <w:szCs w:val="21"/>
              </w:rPr>
            </w:pPr>
            <w:r>
              <w:rPr>
                <w:rFonts w:eastAsia="仿宋_GB2312"/>
                <w:color w:val="000000" w:themeColor="text1"/>
                <w:sz w:val="18"/>
                <w:szCs w:val="21"/>
              </w:rPr>
              <w:t>记录应当包括生产过程所用的原材料、生产过程、生产设备、操作人员和生产环境等内容。</w:t>
            </w:r>
          </w:p>
        </w:tc>
      </w:tr>
      <w:tr w14:paraId="0799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D72DD56">
            <w:pPr>
              <w:jc w:val="left"/>
              <w:rPr>
                <w:rFonts w:eastAsia="仿宋_GB2312"/>
                <w:color w:val="000000"/>
                <w:sz w:val="18"/>
                <w:szCs w:val="21"/>
              </w:rPr>
            </w:pPr>
          </w:p>
        </w:tc>
        <w:tc>
          <w:tcPr>
            <w:tcW w:w="680" w:type="pct"/>
            <w:shd w:val="clear" w:color="auto" w:fill="auto"/>
            <w:tcMar>
              <w:left w:w="57" w:type="dxa"/>
              <w:right w:w="57" w:type="dxa"/>
            </w:tcMar>
            <w:vAlign w:val="center"/>
          </w:tcPr>
          <w:p w14:paraId="1807B197">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24.1</w:t>
            </w:r>
          </w:p>
        </w:tc>
        <w:tc>
          <w:tcPr>
            <w:tcW w:w="4050" w:type="pct"/>
            <w:shd w:val="clear" w:color="auto" w:fill="auto"/>
            <w:tcMar>
              <w:left w:w="57" w:type="dxa"/>
              <w:right w:w="57" w:type="dxa"/>
            </w:tcMar>
            <w:vAlign w:val="center"/>
          </w:tcPr>
          <w:p w14:paraId="66F225B0">
            <w:pPr>
              <w:jc w:val="left"/>
              <w:rPr>
                <w:rFonts w:eastAsia="仿宋_GB2312"/>
                <w:color w:val="000000" w:themeColor="text1"/>
                <w:sz w:val="18"/>
                <w:szCs w:val="21"/>
              </w:rPr>
            </w:pPr>
            <w:r>
              <w:rPr>
                <w:rFonts w:eastAsia="仿宋_GB2312"/>
                <w:color w:val="000000" w:themeColor="text1"/>
                <w:sz w:val="18"/>
                <w:szCs w:val="21"/>
              </w:rPr>
              <w:t>生产一定周期后，应当对关键项目进行再验证。</w:t>
            </w:r>
          </w:p>
          <w:p w14:paraId="370374E0">
            <w:pPr>
              <w:jc w:val="left"/>
              <w:rPr>
                <w:rFonts w:eastAsia="仿宋_GB2312"/>
                <w:b/>
                <w:bCs/>
                <w:iCs/>
                <w:color w:val="000000" w:themeColor="text1"/>
                <w:sz w:val="18"/>
                <w:szCs w:val="21"/>
              </w:rPr>
            </w:pPr>
            <w:r>
              <w:rPr>
                <w:rFonts w:eastAsia="仿宋_GB2312"/>
                <w:b/>
                <w:bCs/>
                <w:iCs/>
                <w:color w:val="000000" w:themeColor="text1"/>
                <w:sz w:val="18"/>
                <w:szCs w:val="21"/>
              </w:rPr>
              <w:t>查看验证相关文件，是否明确关键项目再验证的要求，查看相关记录。</w:t>
            </w:r>
          </w:p>
        </w:tc>
      </w:tr>
      <w:tr w14:paraId="347E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C805F71">
            <w:pPr>
              <w:jc w:val="left"/>
              <w:rPr>
                <w:rFonts w:eastAsia="仿宋_GB2312"/>
                <w:color w:val="000000"/>
                <w:sz w:val="18"/>
                <w:szCs w:val="21"/>
              </w:rPr>
            </w:pPr>
          </w:p>
        </w:tc>
        <w:tc>
          <w:tcPr>
            <w:tcW w:w="680" w:type="pct"/>
            <w:shd w:val="clear" w:color="auto" w:fill="auto"/>
            <w:tcMar>
              <w:left w:w="57" w:type="dxa"/>
              <w:right w:w="57" w:type="dxa"/>
            </w:tcMar>
            <w:vAlign w:val="center"/>
          </w:tcPr>
          <w:p w14:paraId="1EF2F6CB">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24.2</w:t>
            </w:r>
          </w:p>
        </w:tc>
        <w:tc>
          <w:tcPr>
            <w:tcW w:w="4050" w:type="pct"/>
            <w:shd w:val="clear" w:color="auto" w:fill="auto"/>
            <w:tcMar>
              <w:left w:w="57" w:type="dxa"/>
              <w:right w:w="57" w:type="dxa"/>
            </w:tcMar>
            <w:vAlign w:val="center"/>
          </w:tcPr>
          <w:p w14:paraId="007FEFA2">
            <w:pPr>
              <w:jc w:val="left"/>
              <w:rPr>
                <w:rFonts w:eastAsia="仿宋_GB2312"/>
                <w:color w:val="000000" w:themeColor="text1"/>
                <w:sz w:val="18"/>
                <w:szCs w:val="21"/>
              </w:rPr>
            </w:pPr>
            <w:r>
              <w:rPr>
                <w:rFonts w:eastAsia="仿宋_GB2312"/>
                <w:color w:val="000000" w:themeColor="text1"/>
                <w:sz w:val="18"/>
                <w:szCs w:val="21"/>
              </w:rPr>
              <w:t>当影响产品质量的主要因素，如工艺、质量控制方法、主要原辅料、主要生产设备等需要开展重新验证的条件发生改变时，应当进行相关内容的重新验证。</w:t>
            </w:r>
          </w:p>
          <w:p w14:paraId="12E568A9">
            <w:pPr>
              <w:jc w:val="left"/>
              <w:rPr>
                <w:rFonts w:eastAsia="仿宋_GB2312"/>
                <w:b/>
                <w:bCs/>
                <w:iCs/>
                <w:color w:val="000000" w:themeColor="text1"/>
                <w:sz w:val="18"/>
                <w:szCs w:val="21"/>
              </w:rPr>
            </w:pPr>
            <w:r>
              <w:rPr>
                <w:rFonts w:eastAsia="仿宋_GB2312"/>
                <w:b/>
                <w:bCs/>
                <w:iCs/>
                <w:color w:val="000000" w:themeColor="text1"/>
                <w:sz w:val="18"/>
                <w:szCs w:val="21"/>
              </w:rPr>
              <w:t>查看验证相关文件，是否明确上述因素发生改变时再验证的要求，查看相关记录。</w:t>
            </w:r>
          </w:p>
        </w:tc>
      </w:tr>
      <w:tr w14:paraId="2C33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2AF9B10">
            <w:pPr>
              <w:jc w:val="left"/>
              <w:rPr>
                <w:rFonts w:eastAsia="仿宋_GB2312"/>
                <w:color w:val="000000"/>
                <w:sz w:val="18"/>
                <w:szCs w:val="21"/>
              </w:rPr>
            </w:pPr>
          </w:p>
        </w:tc>
        <w:tc>
          <w:tcPr>
            <w:tcW w:w="680" w:type="pct"/>
            <w:shd w:val="clear" w:color="auto" w:fill="auto"/>
            <w:tcMar>
              <w:left w:w="57" w:type="dxa"/>
              <w:right w:w="57" w:type="dxa"/>
            </w:tcMar>
            <w:vAlign w:val="center"/>
          </w:tcPr>
          <w:p w14:paraId="1E7F58F3">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24.3</w:t>
            </w:r>
          </w:p>
        </w:tc>
        <w:tc>
          <w:tcPr>
            <w:tcW w:w="4050" w:type="pct"/>
            <w:shd w:val="clear" w:color="auto" w:fill="auto"/>
            <w:tcMar>
              <w:left w:w="57" w:type="dxa"/>
              <w:right w:w="57" w:type="dxa"/>
            </w:tcMar>
            <w:vAlign w:val="center"/>
          </w:tcPr>
          <w:p w14:paraId="43F24F63">
            <w:pPr>
              <w:jc w:val="left"/>
              <w:rPr>
                <w:rFonts w:eastAsia="仿宋_GB2312"/>
                <w:color w:val="000000" w:themeColor="text1"/>
                <w:sz w:val="18"/>
                <w:szCs w:val="21"/>
              </w:rPr>
            </w:pPr>
            <w:r>
              <w:rPr>
                <w:rFonts w:eastAsia="仿宋_GB2312"/>
                <w:color w:val="000000" w:themeColor="text1"/>
                <w:sz w:val="18"/>
                <w:szCs w:val="21"/>
              </w:rPr>
              <w:t>企业应当根据不同产品特性提出验证的时间。</w:t>
            </w:r>
          </w:p>
        </w:tc>
      </w:tr>
      <w:tr w14:paraId="26B5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987CCFB">
            <w:pPr>
              <w:jc w:val="left"/>
              <w:rPr>
                <w:rFonts w:eastAsia="仿宋_GB2312"/>
                <w:color w:val="000000"/>
                <w:sz w:val="18"/>
                <w:szCs w:val="21"/>
              </w:rPr>
            </w:pPr>
          </w:p>
        </w:tc>
        <w:tc>
          <w:tcPr>
            <w:tcW w:w="680" w:type="pct"/>
            <w:shd w:val="clear" w:color="auto" w:fill="auto"/>
            <w:tcMar>
              <w:left w:w="57" w:type="dxa"/>
              <w:right w:w="57" w:type="dxa"/>
            </w:tcMar>
            <w:vAlign w:val="center"/>
          </w:tcPr>
          <w:p w14:paraId="32A06CB3">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25.1</w:t>
            </w:r>
          </w:p>
        </w:tc>
        <w:tc>
          <w:tcPr>
            <w:tcW w:w="4050" w:type="pct"/>
            <w:shd w:val="clear" w:color="auto" w:fill="auto"/>
            <w:tcMar>
              <w:left w:w="57" w:type="dxa"/>
              <w:right w:w="57" w:type="dxa"/>
            </w:tcMar>
            <w:vAlign w:val="center"/>
          </w:tcPr>
          <w:p w14:paraId="048DE17F">
            <w:pPr>
              <w:jc w:val="left"/>
              <w:rPr>
                <w:rFonts w:eastAsia="仿宋_GB2312"/>
                <w:color w:val="000000" w:themeColor="text1"/>
                <w:sz w:val="18"/>
                <w:szCs w:val="21"/>
              </w:rPr>
            </w:pPr>
            <w:r>
              <w:rPr>
                <w:rFonts w:eastAsia="仿宋_GB2312"/>
                <w:color w:val="000000" w:themeColor="text1"/>
                <w:sz w:val="18"/>
                <w:szCs w:val="21"/>
              </w:rPr>
              <w:t>生产车间停产超过十二个月，重新组织生产前应当对生产环境及设施设备、主要原辅材料、关键工序、检验设备及质量控制方法等重新进行验证。</w:t>
            </w:r>
          </w:p>
          <w:p w14:paraId="4021DCFF">
            <w:pPr>
              <w:jc w:val="left"/>
              <w:rPr>
                <w:rFonts w:eastAsia="仿宋_GB2312"/>
                <w:b/>
                <w:bCs/>
                <w:iCs/>
                <w:color w:val="000000" w:themeColor="text1"/>
                <w:sz w:val="18"/>
                <w:szCs w:val="21"/>
              </w:rPr>
            </w:pPr>
            <w:r>
              <w:rPr>
                <w:rFonts w:eastAsia="仿宋_GB2312"/>
                <w:b/>
                <w:bCs/>
                <w:iCs/>
                <w:color w:val="000000" w:themeColor="text1"/>
                <w:sz w:val="18"/>
                <w:szCs w:val="21"/>
              </w:rPr>
              <w:t>查看相关文件和记录，是否符合要求。</w:t>
            </w:r>
          </w:p>
        </w:tc>
      </w:tr>
      <w:tr w14:paraId="67B8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C935302">
            <w:pPr>
              <w:jc w:val="left"/>
              <w:rPr>
                <w:rFonts w:eastAsia="仿宋_GB2312"/>
                <w:color w:val="000000"/>
                <w:sz w:val="18"/>
                <w:szCs w:val="21"/>
              </w:rPr>
            </w:pPr>
          </w:p>
        </w:tc>
        <w:tc>
          <w:tcPr>
            <w:tcW w:w="680" w:type="pct"/>
            <w:shd w:val="clear" w:color="auto" w:fill="auto"/>
            <w:tcMar>
              <w:left w:w="57" w:type="dxa"/>
              <w:right w:w="57" w:type="dxa"/>
            </w:tcMar>
            <w:vAlign w:val="center"/>
          </w:tcPr>
          <w:p w14:paraId="74B27FAD">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25.2</w:t>
            </w:r>
          </w:p>
        </w:tc>
        <w:tc>
          <w:tcPr>
            <w:tcW w:w="4050" w:type="pct"/>
            <w:shd w:val="clear" w:color="auto" w:fill="auto"/>
            <w:tcMar>
              <w:left w:w="57" w:type="dxa"/>
              <w:right w:w="57" w:type="dxa"/>
            </w:tcMar>
            <w:vAlign w:val="center"/>
          </w:tcPr>
          <w:p w14:paraId="07A4F7B3">
            <w:pPr>
              <w:jc w:val="left"/>
              <w:rPr>
                <w:rFonts w:eastAsia="仿宋_GB2312"/>
                <w:color w:val="000000" w:themeColor="text1"/>
                <w:sz w:val="18"/>
                <w:szCs w:val="21"/>
              </w:rPr>
            </w:pPr>
            <w:r>
              <w:rPr>
                <w:rFonts w:eastAsia="仿宋_GB2312"/>
                <w:color w:val="000000" w:themeColor="text1"/>
                <w:sz w:val="18"/>
                <w:szCs w:val="21"/>
              </w:rPr>
              <w:t>不足十二个月时，如有必要，企业也应当重新对生产环境和设施设备进行验证。</w:t>
            </w:r>
          </w:p>
        </w:tc>
      </w:tr>
      <w:tr w14:paraId="2FDF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1C431D5">
            <w:pPr>
              <w:jc w:val="left"/>
              <w:rPr>
                <w:rFonts w:eastAsia="仿宋_GB2312"/>
                <w:color w:val="000000"/>
                <w:sz w:val="18"/>
                <w:szCs w:val="21"/>
              </w:rPr>
            </w:pPr>
          </w:p>
        </w:tc>
        <w:tc>
          <w:tcPr>
            <w:tcW w:w="680" w:type="pct"/>
            <w:shd w:val="clear" w:color="auto" w:fill="auto"/>
            <w:tcMar>
              <w:left w:w="57" w:type="dxa"/>
              <w:right w:w="57" w:type="dxa"/>
            </w:tcMar>
            <w:vAlign w:val="center"/>
          </w:tcPr>
          <w:p w14:paraId="26843B46">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26.1</w:t>
            </w:r>
          </w:p>
        </w:tc>
        <w:tc>
          <w:tcPr>
            <w:tcW w:w="4050" w:type="pct"/>
            <w:shd w:val="clear" w:color="auto" w:fill="auto"/>
            <w:tcMar>
              <w:left w:w="57" w:type="dxa"/>
              <w:right w:w="57" w:type="dxa"/>
            </w:tcMar>
            <w:vAlign w:val="center"/>
          </w:tcPr>
          <w:p w14:paraId="68CDE156">
            <w:pPr>
              <w:jc w:val="left"/>
              <w:rPr>
                <w:rFonts w:eastAsia="仿宋_GB2312"/>
                <w:color w:val="000000" w:themeColor="text1"/>
                <w:sz w:val="18"/>
                <w:szCs w:val="21"/>
              </w:rPr>
            </w:pPr>
            <w:r>
              <w:rPr>
                <w:rFonts w:eastAsia="仿宋_GB2312"/>
                <w:color w:val="000000" w:themeColor="text1"/>
                <w:sz w:val="18"/>
                <w:szCs w:val="21"/>
              </w:rPr>
              <w:t>应当对生产用需要灭活的血清或血浆建立灭活处理的操作规程。</w:t>
            </w:r>
          </w:p>
          <w:p w14:paraId="58F66B44">
            <w:pPr>
              <w:jc w:val="left"/>
              <w:rPr>
                <w:rFonts w:eastAsia="仿宋_GB2312"/>
                <w:b/>
                <w:bCs/>
                <w:iCs/>
                <w:color w:val="000000" w:themeColor="text1"/>
                <w:sz w:val="18"/>
                <w:szCs w:val="21"/>
              </w:rPr>
            </w:pPr>
            <w:r>
              <w:rPr>
                <w:rFonts w:eastAsia="仿宋_GB2312"/>
                <w:b/>
                <w:bCs/>
                <w:iCs/>
                <w:color w:val="000000" w:themeColor="text1"/>
                <w:sz w:val="18"/>
                <w:szCs w:val="21"/>
              </w:rPr>
              <w:t>查看灭活处理的操作规程，是否明确生产用需要灭活的血清或血浆的种类，灭活的方法，操作过程中的防护措施、灭活前后物料的隔离和标识要求。</w:t>
            </w:r>
          </w:p>
          <w:p w14:paraId="3DA4B9E6">
            <w:pPr>
              <w:jc w:val="left"/>
              <w:rPr>
                <w:rFonts w:eastAsia="仿宋_GB2312"/>
                <w:b/>
                <w:color w:val="000000" w:themeColor="text1"/>
                <w:sz w:val="18"/>
                <w:szCs w:val="21"/>
              </w:rPr>
            </w:pPr>
            <w:r>
              <w:rPr>
                <w:rFonts w:eastAsia="仿宋_GB2312"/>
                <w:b/>
                <w:bCs/>
                <w:iCs/>
                <w:color w:val="000000" w:themeColor="text1"/>
                <w:sz w:val="18"/>
                <w:szCs w:val="21"/>
              </w:rPr>
              <w:t>查看灭活记录。</w:t>
            </w:r>
          </w:p>
        </w:tc>
      </w:tr>
      <w:tr w14:paraId="1965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DBCADD9">
            <w:pPr>
              <w:jc w:val="left"/>
              <w:rPr>
                <w:rFonts w:eastAsia="仿宋_GB2312"/>
                <w:color w:val="000000"/>
                <w:sz w:val="18"/>
                <w:szCs w:val="21"/>
              </w:rPr>
            </w:pPr>
          </w:p>
        </w:tc>
        <w:tc>
          <w:tcPr>
            <w:tcW w:w="680" w:type="pct"/>
            <w:shd w:val="clear" w:color="auto" w:fill="auto"/>
            <w:tcMar>
              <w:left w:w="57" w:type="dxa"/>
              <w:right w:w="57" w:type="dxa"/>
            </w:tcMar>
            <w:vAlign w:val="center"/>
          </w:tcPr>
          <w:p w14:paraId="27EA5B73">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26.2</w:t>
            </w:r>
          </w:p>
        </w:tc>
        <w:tc>
          <w:tcPr>
            <w:tcW w:w="4050" w:type="pct"/>
            <w:shd w:val="clear" w:color="auto" w:fill="auto"/>
            <w:tcMar>
              <w:left w:w="57" w:type="dxa"/>
              <w:right w:w="57" w:type="dxa"/>
            </w:tcMar>
            <w:vAlign w:val="center"/>
          </w:tcPr>
          <w:p w14:paraId="4459F80C">
            <w:pPr>
              <w:jc w:val="left"/>
              <w:rPr>
                <w:rFonts w:eastAsia="仿宋_GB2312"/>
                <w:color w:val="000000" w:themeColor="text1"/>
                <w:sz w:val="18"/>
                <w:szCs w:val="21"/>
              </w:rPr>
            </w:pPr>
            <w:r>
              <w:rPr>
                <w:rFonts w:eastAsia="仿宋_GB2312"/>
                <w:color w:val="000000" w:themeColor="text1"/>
                <w:sz w:val="18"/>
                <w:szCs w:val="21"/>
              </w:rPr>
              <w:t>按照操作规程的要求，对生产用灭活前后的血清或血浆状态进行明显的区分和标识。</w:t>
            </w:r>
          </w:p>
          <w:p w14:paraId="45E7EA49">
            <w:pPr>
              <w:jc w:val="left"/>
              <w:rPr>
                <w:rFonts w:eastAsia="仿宋_GB2312"/>
                <w:b/>
                <w:bCs/>
                <w:iCs/>
                <w:color w:val="000000" w:themeColor="text1"/>
                <w:sz w:val="18"/>
                <w:szCs w:val="21"/>
              </w:rPr>
            </w:pPr>
            <w:r>
              <w:rPr>
                <w:rFonts w:eastAsia="仿宋_GB2312"/>
                <w:b/>
                <w:bCs/>
                <w:iCs/>
                <w:color w:val="000000" w:themeColor="text1"/>
                <w:sz w:val="18"/>
                <w:szCs w:val="21"/>
              </w:rPr>
              <w:t>现场查看是否对灭活前后的血清或血浆进行区分和标识，标识应有血清或血浆的名称、批号、是否灭活、灭活日期等。</w:t>
            </w:r>
          </w:p>
        </w:tc>
      </w:tr>
      <w:tr w14:paraId="1EC7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5B2ABEA9">
            <w:pPr>
              <w:jc w:val="left"/>
              <w:rPr>
                <w:rFonts w:eastAsia="仿宋_GB2312"/>
                <w:color w:val="000000"/>
                <w:sz w:val="18"/>
                <w:szCs w:val="21"/>
              </w:rPr>
            </w:pPr>
          </w:p>
        </w:tc>
        <w:tc>
          <w:tcPr>
            <w:tcW w:w="680" w:type="pct"/>
            <w:shd w:val="clear" w:color="auto" w:fill="auto"/>
            <w:tcMar>
              <w:left w:w="57" w:type="dxa"/>
              <w:right w:w="57" w:type="dxa"/>
            </w:tcMar>
            <w:vAlign w:val="center"/>
          </w:tcPr>
          <w:p w14:paraId="2299E9AA">
            <w:pPr>
              <w:jc w:val="center"/>
              <w:rPr>
                <w:rFonts w:eastAsia="仿宋_GB2312"/>
                <w:color w:val="000000"/>
                <w:sz w:val="18"/>
                <w:szCs w:val="21"/>
              </w:rPr>
            </w:pPr>
            <w:r>
              <w:rPr>
                <w:rFonts w:eastAsia="仿宋_GB2312"/>
                <w:iCs/>
                <w:color w:val="000000"/>
                <w:sz w:val="18"/>
                <w:szCs w:val="21"/>
              </w:rPr>
              <w:t>7.</w:t>
            </w:r>
            <w:r>
              <w:rPr>
                <w:rFonts w:eastAsia="仿宋_GB2312"/>
                <w:color w:val="000000"/>
                <w:sz w:val="18"/>
                <w:szCs w:val="21"/>
              </w:rPr>
              <w:t>27.1</w:t>
            </w:r>
          </w:p>
        </w:tc>
        <w:tc>
          <w:tcPr>
            <w:tcW w:w="4050" w:type="pct"/>
            <w:shd w:val="clear" w:color="auto" w:fill="auto"/>
            <w:tcMar>
              <w:left w:w="57" w:type="dxa"/>
              <w:right w:w="57" w:type="dxa"/>
            </w:tcMar>
            <w:vAlign w:val="center"/>
          </w:tcPr>
          <w:p w14:paraId="05EBC149">
            <w:pPr>
              <w:jc w:val="left"/>
              <w:rPr>
                <w:rFonts w:eastAsia="仿宋_GB2312"/>
                <w:color w:val="000000" w:themeColor="text1"/>
                <w:sz w:val="18"/>
                <w:szCs w:val="21"/>
              </w:rPr>
            </w:pPr>
            <w:r>
              <w:rPr>
                <w:rFonts w:eastAsia="仿宋_GB2312"/>
                <w:color w:val="000000" w:themeColor="text1"/>
                <w:sz w:val="18"/>
                <w:szCs w:val="21"/>
              </w:rPr>
              <w:t>生产中的废液、废物等应当进行无害化处理，并符合相关的环保要求。</w:t>
            </w:r>
          </w:p>
        </w:tc>
      </w:tr>
      <w:tr w14:paraId="56B3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shd w:val="clear" w:color="auto" w:fill="auto"/>
            <w:vAlign w:val="center"/>
          </w:tcPr>
          <w:p w14:paraId="5747F9AF">
            <w:pPr>
              <w:jc w:val="left"/>
              <w:rPr>
                <w:rFonts w:eastAsia="仿宋_GB2312"/>
                <w:b/>
                <w:color w:val="000000"/>
                <w:kern w:val="0"/>
                <w:sz w:val="22"/>
                <w:szCs w:val="28"/>
                <w:lang w:bidi="bn-IN"/>
              </w:rPr>
            </w:pPr>
            <w:r>
              <w:rPr>
                <w:rFonts w:eastAsia="仿宋_GB2312"/>
                <w:b/>
                <w:color w:val="000000"/>
                <w:kern w:val="0"/>
                <w:sz w:val="22"/>
                <w:szCs w:val="28"/>
                <w:lang w:bidi="bn-IN"/>
              </w:rPr>
              <w:t>质量控制</w:t>
            </w:r>
          </w:p>
        </w:tc>
        <w:tc>
          <w:tcPr>
            <w:tcW w:w="680" w:type="pct"/>
            <w:shd w:val="clear" w:color="auto" w:fill="auto"/>
            <w:tcMar>
              <w:left w:w="57" w:type="dxa"/>
              <w:right w:w="57" w:type="dxa"/>
            </w:tcMar>
            <w:vAlign w:val="center"/>
          </w:tcPr>
          <w:p w14:paraId="4C9C2419">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1.1</w:t>
            </w:r>
          </w:p>
        </w:tc>
        <w:tc>
          <w:tcPr>
            <w:tcW w:w="4050" w:type="pct"/>
            <w:shd w:val="clear" w:color="auto" w:fill="auto"/>
            <w:tcMar>
              <w:left w:w="57" w:type="dxa"/>
              <w:right w:w="57" w:type="dxa"/>
            </w:tcMar>
            <w:vAlign w:val="center"/>
          </w:tcPr>
          <w:p w14:paraId="359B5FAF">
            <w:pPr>
              <w:jc w:val="left"/>
              <w:rPr>
                <w:rFonts w:eastAsia="仿宋_GB2312"/>
                <w:color w:val="000000" w:themeColor="text1"/>
                <w:sz w:val="18"/>
                <w:szCs w:val="21"/>
              </w:rPr>
            </w:pPr>
            <w:r>
              <w:rPr>
                <w:rFonts w:eastAsia="仿宋_GB2312"/>
                <w:color w:val="000000" w:themeColor="text1"/>
                <w:sz w:val="18"/>
                <w:szCs w:val="21"/>
              </w:rPr>
              <w:t>应当建立质量控制程序，规定产品检验部门、人员、操作等要求。</w:t>
            </w:r>
          </w:p>
          <w:p w14:paraId="58F36DA1">
            <w:pPr>
              <w:jc w:val="left"/>
              <w:rPr>
                <w:rFonts w:eastAsia="仿宋_GB2312"/>
                <w:b/>
                <w:color w:val="000000" w:themeColor="text1"/>
                <w:sz w:val="18"/>
                <w:szCs w:val="21"/>
              </w:rPr>
            </w:pPr>
            <w:r>
              <w:rPr>
                <w:rFonts w:eastAsia="仿宋_GB2312"/>
                <w:b/>
                <w:iCs/>
                <w:color w:val="000000" w:themeColor="text1"/>
                <w:sz w:val="18"/>
                <w:szCs w:val="21"/>
              </w:rPr>
              <w:t>查看质量控制程序，是否对产品的检验部门职责、人员资质、检验操作规程等作出规定。</w:t>
            </w:r>
          </w:p>
        </w:tc>
      </w:tr>
      <w:tr w14:paraId="76FE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C700DA5">
            <w:pPr>
              <w:jc w:val="left"/>
              <w:rPr>
                <w:rFonts w:eastAsia="仿宋_GB2312"/>
                <w:b/>
                <w:color w:val="000000"/>
                <w:sz w:val="18"/>
                <w:szCs w:val="21"/>
              </w:rPr>
            </w:pPr>
          </w:p>
        </w:tc>
        <w:tc>
          <w:tcPr>
            <w:tcW w:w="680" w:type="pct"/>
            <w:shd w:val="clear" w:color="auto" w:fill="auto"/>
            <w:tcMar>
              <w:left w:w="57" w:type="dxa"/>
              <w:right w:w="57" w:type="dxa"/>
            </w:tcMar>
            <w:vAlign w:val="center"/>
          </w:tcPr>
          <w:p w14:paraId="66FB0823">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1.2</w:t>
            </w:r>
          </w:p>
        </w:tc>
        <w:tc>
          <w:tcPr>
            <w:tcW w:w="4050" w:type="pct"/>
            <w:shd w:val="clear" w:color="auto" w:fill="auto"/>
            <w:tcMar>
              <w:left w:w="57" w:type="dxa"/>
              <w:right w:w="57" w:type="dxa"/>
            </w:tcMar>
            <w:vAlign w:val="center"/>
          </w:tcPr>
          <w:p w14:paraId="268E6B5F">
            <w:pPr>
              <w:jc w:val="left"/>
              <w:rPr>
                <w:rFonts w:eastAsia="仿宋_GB2312"/>
                <w:color w:val="000000" w:themeColor="text1"/>
                <w:sz w:val="18"/>
                <w:szCs w:val="21"/>
              </w:rPr>
            </w:pPr>
            <w:r>
              <w:rPr>
                <w:rFonts w:eastAsia="仿宋_GB2312"/>
                <w:color w:val="000000" w:themeColor="text1"/>
                <w:sz w:val="18"/>
                <w:szCs w:val="21"/>
              </w:rPr>
              <w:t>应当规定检验仪器和设备的使用、校准等要求，以及产品放行的程序。</w:t>
            </w:r>
          </w:p>
          <w:p w14:paraId="5A643D65">
            <w:pPr>
              <w:jc w:val="left"/>
              <w:rPr>
                <w:rFonts w:eastAsia="仿宋_GB2312"/>
                <w:b/>
                <w:iCs/>
                <w:color w:val="000000" w:themeColor="text1"/>
                <w:sz w:val="18"/>
                <w:szCs w:val="21"/>
              </w:rPr>
            </w:pPr>
            <w:r>
              <w:rPr>
                <w:rFonts w:eastAsia="仿宋_GB2312"/>
                <w:b/>
                <w:iCs/>
                <w:color w:val="000000" w:themeColor="text1"/>
                <w:sz w:val="18"/>
                <w:szCs w:val="21"/>
              </w:rPr>
              <w:t>查看质量控制程序，是否对检验仪器、设备的使用和校准作出规定。</w:t>
            </w:r>
          </w:p>
        </w:tc>
      </w:tr>
      <w:tr w14:paraId="3881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B2A71F1">
            <w:pPr>
              <w:jc w:val="left"/>
              <w:rPr>
                <w:rFonts w:eastAsia="仿宋_GB2312"/>
                <w:color w:val="000000"/>
                <w:sz w:val="18"/>
                <w:szCs w:val="21"/>
              </w:rPr>
            </w:pPr>
          </w:p>
        </w:tc>
        <w:tc>
          <w:tcPr>
            <w:tcW w:w="680" w:type="pct"/>
            <w:shd w:val="clear" w:color="auto" w:fill="auto"/>
            <w:tcMar>
              <w:left w:w="57" w:type="dxa"/>
              <w:right w:w="57" w:type="dxa"/>
            </w:tcMar>
            <w:vAlign w:val="center"/>
          </w:tcPr>
          <w:p w14:paraId="24874FF1">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2.1</w:t>
            </w:r>
          </w:p>
        </w:tc>
        <w:tc>
          <w:tcPr>
            <w:tcW w:w="4050" w:type="pct"/>
            <w:shd w:val="clear" w:color="auto" w:fill="auto"/>
            <w:tcMar>
              <w:left w:w="57" w:type="dxa"/>
              <w:right w:w="57" w:type="dxa"/>
            </w:tcMar>
            <w:vAlign w:val="center"/>
          </w:tcPr>
          <w:p w14:paraId="1DDE43BE">
            <w:pPr>
              <w:jc w:val="left"/>
              <w:rPr>
                <w:rFonts w:eastAsia="仿宋_GB2312"/>
                <w:bCs/>
                <w:color w:val="000000" w:themeColor="text1"/>
                <w:sz w:val="18"/>
                <w:szCs w:val="21"/>
              </w:rPr>
            </w:pPr>
            <w:r>
              <w:rPr>
                <w:rFonts w:eastAsia="仿宋_GB2312"/>
                <w:bCs/>
                <w:color w:val="000000" w:themeColor="text1"/>
                <w:sz w:val="18"/>
                <w:szCs w:val="21"/>
              </w:rPr>
              <w:t>应当定期对检验仪器和设备进行校准或检定，并予以标识。</w:t>
            </w:r>
          </w:p>
          <w:p w14:paraId="6D8A2AE5">
            <w:pPr>
              <w:jc w:val="left"/>
              <w:rPr>
                <w:rFonts w:eastAsia="仿宋_GB2312"/>
                <w:b/>
                <w:iCs/>
                <w:color w:val="000000" w:themeColor="text1"/>
                <w:sz w:val="18"/>
                <w:szCs w:val="21"/>
              </w:rPr>
            </w:pPr>
            <w:r>
              <w:rPr>
                <w:rFonts w:eastAsia="仿宋_GB2312"/>
                <w:b/>
                <w:iCs/>
                <w:color w:val="000000" w:themeColor="text1"/>
                <w:sz w:val="18"/>
                <w:szCs w:val="21"/>
              </w:rPr>
              <w:t>查看检验仪器和设备是否按规定实施了校准或检定，是否进行了标识。</w:t>
            </w:r>
          </w:p>
        </w:tc>
      </w:tr>
      <w:tr w14:paraId="78F8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3749ADBF">
            <w:pPr>
              <w:jc w:val="left"/>
              <w:rPr>
                <w:rFonts w:eastAsia="仿宋_GB2312"/>
                <w:color w:val="000000"/>
                <w:sz w:val="18"/>
                <w:szCs w:val="21"/>
              </w:rPr>
            </w:pPr>
          </w:p>
        </w:tc>
        <w:tc>
          <w:tcPr>
            <w:tcW w:w="680" w:type="pct"/>
            <w:shd w:val="clear" w:color="auto" w:fill="auto"/>
            <w:tcMar>
              <w:left w:w="57" w:type="dxa"/>
              <w:right w:w="57" w:type="dxa"/>
            </w:tcMar>
            <w:vAlign w:val="center"/>
          </w:tcPr>
          <w:p w14:paraId="70B0D285">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2.2</w:t>
            </w:r>
          </w:p>
        </w:tc>
        <w:tc>
          <w:tcPr>
            <w:tcW w:w="4050" w:type="pct"/>
            <w:shd w:val="clear" w:color="auto" w:fill="auto"/>
            <w:tcMar>
              <w:left w:w="57" w:type="dxa"/>
              <w:right w:w="57" w:type="dxa"/>
            </w:tcMar>
            <w:vAlign w:val="center"/>
          </w:tcPr>
          <w:p w14:paraId="7C7A0A79">
            <w:pPr>
              <w:jc w:val="left"/>
              <w:rPr>
                <w:rFonts w:eastAsia="仿宋_GB2312"/>
                <w:iCs/>
                <w:color w:val="000000" w:themeColor="text1"/>
                <w:sz w:val="18"/>
                <w:szCs w:val="21"/>
              </w:rPr>
            </w:pPr>
            <w:r>
              <w:rPr>
                <w:rFonts w:eastAsia="仿宋_GB2312"/>
                <w:bCs/>
                <w:color w:val="000000" w:themeColor="text1"/>
                <w:sz w:val="18"/>
                <w:szCs w:val="21"/>
              </w:rPr>
              <w:t>应当规定检验仪器和设备在搬运、维护、贮存期间的防护要求，防止检验结果失准。</w:t>
            </w:r>
          </w:p>
        </w:tc>
      </w:tr>
      <w:tr w14:paraId="70DB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34D996F">
            <w:pPr>
              <w:jc w:val="left"/>
              <w:rPr>
                <w:rFonts w:eastAsia="仿宋_GB2312"/>
                <w:color w:val="000000"/>
                <w:sz w:val="18"/>
                <w:szCs w:val="21"/>
              </w:rPr>
            </w:pPr>
          </w:p>
        </w:tc>
        <w:tc>
          <w:tcPr>
            <w:tcW w:w="680" w:type="pct"/>
            <w:shd w:val="clear" w:color="auto" w:fill="auto"/>
            <w:tcMar>
              <w:left w:w="57" w:type="dxa"/>
              <w:right w:w="57" w:type="dxa"/>
            </w:tcMar>
            <w:vAlign w:val="center"/>
          </w:tcPr>
          <w:p w14:paraId="7E20CAC3">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2.3</w:t>
            </w:r>
          </w:p>
        </w:tc>
        <w:tc>
          <w:tcPr>
            <w:tcW w:w="4050" w:type="pct"/>
            <w:shd w:val="clear" w:color="auto" w:fill="auto"/>
            <w:tcMar>
              <w:left w:w="57" w:type="dxa"/>
              <w:right w:w="57" w:type="dxa"/>
            </w:tcMar>
            <w:vAlign w:val="center"/>
          </w:tcPr>
          <w:p w14:paraId="6EEEF47A">
            <w:pPr>
              <w:jc w:val="left"/>
              <w:rPr>
                <w:rFonts w:eastAsia="仿宋_GB2312"/>
                <w:bCs/>
                <w:color w:val="000000" w:themeColor="text1"/>
                <w:sz w:val="18"/>
                <w:szCs w:val="21"/>
              </w:rPr>
            </w:pPr>
            <w:r>
              <w:rPr>
                <w:rFonts w:eastAsia="仿宋_GB2312"/>
                <w:bCs/>
                <w:color w:val="000000" w:themeColor="text1"/>
                <w:sz w:val="18"/>
                <w:szCs w:val="21"/>
              </w:rPr>
              <w:t>当发现检验仪器和设备不符合要求时，应当对以往检验结果进行评价，并保存验证记录。</w:t>
            </w:r>
          </w:p>
          <w:p w14:paraId="2100536F">
            <w:pPr>
              <w:jc w:val="left"/>
              <w:rPr>
                <w:rFonts w:eastAsia="仿宋_GB2312"/>
                <w:b/>
                <w:iCs/>
                <w:color w:val="000000" w:themeColor="text1"/>
                <w:sz w:val="18"/>
                <w:szCs w:val="21"/>
              </w:rPr>
            </w:pPr>
            <w:r>
              <w:rPr>
                <w:rFonts w:eastAsia="仿宋_GB2312"/>
                <w:b/>
                <w:bCs/>
                <w:iCs/>
                <w:color w:val="000000" w:themeColor="text1"/>
                <w:sz w:val="18"/>
                <w:szCs w:val="21"/>
              </w:rPr>
              <w:t>查看设备使用、维护记录，当检验仪器设备不符合要求的情况，是否对以往检测的结果进行了评价，并保存相关记录</w:t>
            </w:r>
            <w:r>
              <w:rPr>
                <w:rFonts w:eastAsia="仿宋_GB2312"/>
                <w:b/>
                <w:iCs/>
                <w:color w:val="000000" w:themeColor="text1"/>
                <w:sz w:val="18"/>
                <w:szCs w:val="21"/>
              </w:rPr>
              <w:t>。</w:t>
            </w:r>
          </w:p>
        </w:tc>
      </w:tr>
      <w:tr w14:paraId="41D4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A4018E5">
            <w:pPr>
              <w:jc w:val="left"/>
              <w:rPr>
                <w:rFonts w:eastAsia="仿宋_GB2312"/>
                <w:color w:val="000000"/>
                <w:sz w:val="18"/>
                <w:szCs w:val="21"/>
              </w:rPr>
            </w:pPr>
          </w:p>
        </w:tc>
        <w:tc>
          <w:tcPr>
            <w:tcW w:w="680" w:type="pct"/>
            <w:shd w:val="clear" w:color="auto" w:fill="auto"/>
            <w:tcMar>
              <w:left w:w="57" w:type="dxa"/>
              <w:right w:w="57" w:type="dxa"/>
            </w:tcMar>
            <w:vAlign w:val="center"/>
          </w:tcPr>
          <w:p w14:paraId="5192629E">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2.4</w:t>
            </w:r>
          </w:p>
        </w:tc>
        <w:tc>
          <w:tcPr>
            <w:tcW w:w="4050" w:type="pct"/>
            <w:shd w:val="clear" w:color="auto" w:fill="auto"/>
            <w:tcMar>
              <w:left w:w="57" w:type="dxa"/>
              <w:right w:w="57" w:type="dxa"/>
            </w:tcMar>
            <w:vAlign w:val="center"/>
          </w:tcPr>
          <w:p w14:paraId="5214CE10">
            <w:pPr>
              <w:jc w:val="left"/>
              <w:rPr>
                <w:rFonts w:eastAsia="仿宋_GB2312"/>
                <w:color w:val="000000" w:themeColor="text1"/>
                <w:sz w:val="18"/>
                <w:szCs w:val="21"/>
              </w:rPr>
            </w:pPr>
            <w:r>
              <w:rPr>
                <w:rFonts w:eastAsia="仿宋_GB2312"/>
                <w:color w:val="000000" w:themeColor="text1"/>
                <w:sz w:val="18"/>
                <w:szCs w:val="21"/>
              </w:rPr>
              <w:t>对用于检验的计算机软件，应当进行确认。</w:t>
            </w:r>
          </w:p>
        </w:tc>
      </w:tr>
      <w:tr w14:paraId="1C56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9897F3E">
            <w:pPr>
              <w:jc w:val="left"/>
              <w:rPr>
                <w:rFonts w:eastAsia="仿宋_GB2312"/>
                <w:color w:val="000000"/>
                <w:sz w:val="18"/>
                <w:szCs w:val="21"/>
              </w:rPr>
            </w:pPr>
          </w:p>
        </w:tc>
        <w:tc>
          <w:tcPr>
            <w:tcW w:w="680" w:type="pct"/>
            <w:shd w:val="clear" w:color="auto" w:fill="auto"/>
            <w:tcMar>
              <w:left w:w="57" w:type="dxa"/>
              <w:right w:w="57" w:type="dxa"/>
            </w:tcMar>
            <w:vAlign w:val="center"/>
          </w:tcPr>
          <w:p w14:paraId="52671453">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8.</w:t>
            </w:r>
            <w:r>
              <w:rPr>
                <w:rFonts w:eastAsia="仿宋_GB2312"/>
                <w:color w:val="000000"/>
                <w:sz w:val="18"/>
                <w:szCs w:val="21"/>
              </w:rPr>
              <w:t>3.1</w:t>
            </w:r>
          </w:p>
        </w:tc>
        <w:tc>
          <w:tcPr>
            <w:tcW w:w="4050" w:type="pct"/>
            <w:shd w:val="clear" w:color="auto" w:fill="auto"/>
            <w:tcMar>
              <w:left w:w="57" w:type="dxa"/>
              <w:right w:w="57" w:type="dxa"/>
            </w:tcMar>
            <w:vAlign w:val="center"/>
          </w:tcPr>
          <w:p w14:paraId="25CF197F">
            <w:pPr>
              <w:jc w:val="left"/>
              <w:rPr>
                <w:rFonts w:eastAsia="仿宋_GB2312"/>
                <w:iCs/>
                <w:color w:val="000000" w:themeColor="text1"/>
                <w:sz w:val="18"/>
                <w:szCs w:val="21"/>
              </w:rPr>
            </w:pPr>
            <w:r>
              <w:rPr>
                <w:rFonts w:eastAsia="仿宋_GB2312"/>
                <w:iCs/>
                <w:color w:val="000000" w:themeColor="text1"/>
                <w:sz w:val="18"/>
                <w:szCs w:val="21"/>
              </w:rPr>
              <w:t>应当根据强制性标准以及经注册或者备案的产品技术要求制定产品的检验规程</w:t>
            </w:r>
            <w:r>
              <w:rPr>
                <w:rFonts w:eastAsia="仿宋_GB2312"/>
                <w:color w:val="000000" w:themeColor="text1"/>
                <w:sz w:val="18"/>
                <w:szCs w:val="21"/>
              </w:rPr>
              <w:t>，并出具相应的检验报告或证书</w:t>
            </w:r>
            <w:r>
              <w:rPr>
                <w:rFonts w:eastAsia="仿宋_GB2312"/>
                <w:iCs/>
                <w:color w:val="000000" w:themeColor="text1"/>
                <w:sz w:val="18"/>
                <w:szCs w:val="21"/>
              </w:rPr>
              <w:t>。</w:t>
            </w:r>
          </w:p>
          <w:p w14:paraId="34F8002A">
            <w:pPr>
              <w:jc w:val="left"/>
              <w:rPr>
                <w:rFonts w:eastAsia="仿宋_GB2312"/>
                <w:b/>
                <w:bCs/>
                <w:iCs/>
                <w:color w:val="000000" w:themeColor="text1"/>
                <w:sz w:val="18"/>
                <w:szCs w:val="21"/>
              </w:rPr>
            </w:pPr>
            <w:r>
              <w:rPr>
                <w:rFonts w:eastAsia="仿宋_GB2312"/>
                <w:b/>
                <w:bCs/>
                <w:iCs/>
                <w:color w:val="000000" w:themeColor="text1"/>
                <w:sz w:val="18"/>
                <w:szCs w:val="21"/>
              </w:rPr>
              <w:t>查看产品检验规程是否涵盖强制性标准以及经注册或者备案的产品技术要求的性能指标；确认检验记录是否能够证实产品符合要求；查看是否根据检验规程及检验结果出具相应的检验报告或证书。</w:t>
            </w:r>
          </w:p>
        </w:tc>
      </w:tr>
      <w:tr w14:paraId="7CC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A24080C">
            <w:pPr>
              <w:jc w:val="left"/>
              <w:rPr>
                <w:rFonts w:eastAsia="仿宋_GB2312"/>
                <w:color w:val="000000"/>
                <w:sz w:val="18"/>
                <w:szCs w:val="21"/>
              </w:rPr>
            </w:pPr>
          </w:p>
        </w:tc>
        <w:tc>
          <w:tcPr>
            <w:tcW w:w="680" w:type="pct"/>
            <w:shd w:val="clear" w:color="auto" w:fill="auto"/>
            <w:tcMar>
              <w:left w:w="57" w:type="dxa"/>
              <w:right w:w="57" w:type="dxa"/>
            </w:tcMar>
            <w:vAlign w:val="center"/>
          </w:tcPr>
          <w:p w14:paraId="40820454">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3.2</w:t>
            </w:r>
          </w:p>
        </w:tc>
        <w:tc>
          <w:tcPr>
            <w:tcW w:w="4050" w:type="pct"/>
            <w:shd w:val="clear" w:color="auto" w:fill="auto"/>
            <w:tcMar>
              <w:left w:w="57" w:type="dxa"/>
              <w:right w:w="57" w:type="dxa"/>
            </w:tcMar>
            <w:vAlign w:val="center"/>
          </w:tcPr>
          <w:p w14:paraId="2A6E952E">
            <w:pPr>
              <w:jc w:val="left"/>
              <w:rPr>
                <w:rFonts w:eastAsia="仿宋_GB2312"/>
                <w:color w:val="000000" w:themeColor="text1"/>
                <w:sz w:val="18"/>
                <w:szCs w:val="21"/>
              </w:rPr>
            </w:pPr>
            <w:r>
              <w:rPr>
                <w:rFonts w:eastAsia="仿宋_GB2312"/>
                <w:color w:val="000000" w:themeColor="text1"/>
                <w:sz w:val="18"/>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14:paraId="4C43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56EBFF3">
            <w:pPr>
              <w:jc w:val="left"/>
              <w:rPr>
                <w:rFonts w:eastAsia="仿宋_GB2312"/>
                <w:color w:val="000000"/>
                <w:sz w:val="18"/>
                <w:szCs w:val="21"/>
              </w:rPr>
            </w:pPr>
          </w:p>
        </w:tc>
        <w:tc>
          <w:tcPr>
            <w:tcW w:w="680" w:type="pct"/>
            <w:shd w:val="clear" w:color="auto" w:fill="auto"/>
            <w:tcMar>
              <w:left w:w="57" w:type="dxa"/>
              <w:right w:w="57" w:type="dxa"/>
            </w:tcMar>
            <w:vAlign w:val="center"/>
          </w:tcPr>
          <w:p w14:paraId="64EAD035">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8.</w:t>
            </w:r>
            <w:r>
              <w:rPr>
                <w:rFonts w:eastAsia="仿宋_GB2312"/>
                <w:color w:val="000000"/>
                <w:sz w:val="18"/>
                <w:szCs w:val="21"/>
              </w:rPr>
              <w:t>4.1</w:t>
            </w:r>
          </w:p>
        </w:tc>
        <w:tc>
          <w:tcPr>
            <w:tcW w:w="4050" w:type="pct"/>
            <w:shd w:val="clear" w:color="auto" w:fill="auto"/>
            <w:tcMar>
              <w:left w:w="57" w:type="dxa"/>
              <w:right w:w="57" w:type="dxa"/>
            </w:tcMar>
            <w:vAlign w:val="center"/>
          </w:tcPr>
          <w:p w14:paraId="22075381">
            <w:pPr>
              <w:jc w:val="left"/>
              <w:rPr>
                <w:rFonts w:eastAsia="仿宋_GB2312"/>
                <w:color w:val="000000" w:themeColor="text1"/>
                <w:sz w:val="18"/>
                <w:szCs w:val="21"/>
              </w:rPr>
            </w:pPr>
            <w:r>
              <w:rPr>
                <w:rFonts w:eastAsia="仿宋_GB2312"/>
                <w:color w:val="000000" w:themeColor="text1"/>
                <w:sz w:val="18"/>
                <w:szCs w:val="21"/>
              </w:rPr>
              <w:t>每批（台）产品均应当有批检验记录，并满足可追溯要求。</w:t>
            </w:r>
          </w:p>
        </w:tc>
      </w:tr>
      <w:tr w14:paraId="6078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7ED5EA7D">
            <w:pPr>
              <w:jc w:val="left"/>
              <w:rPr>
                <w:rFonts w:eastAsia="仿宋_GB2312"/>
                <w:color w:val="000000"/>
                <w:sz w:val="18"/>
                <w:szCs w:val="21"/>
              </w:rPr>
            </w:pPr>
          </w:p>
        </w:tc>
        <w:tc>
          <w:tcPr>
            <w:tcW w:w="680" w:type="pct"/>
            <w:shd w:val="clear" w:color="auto" w:fill="auto"/>
            <w:tcMar>
              <w:left w:w="57" w:type="dxa"/>
              <w:right w:w="57" w:type="dxa"/>
            </w:tcMar>
            <w:vAlign w:val="center"/>
          </w:tcPr>
          <w:p w14:paraId="5D2B1CDE">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4.2</w:t>
            </w:r>
          </w:p>
        </w:tc>
        <w:tc>
          <w:tcPr>
            <w:tcW w:w="4050" w:type="pct"/>
            <w:shd w:val="clear" w:color="auto" w:fill="auto"/>
            <w:tcMar>
              <w:left w:w="57" w:type="dxa"/>
              <w:right w:w="57" w:type="dxa"/>
            </w:tcMar>
            <w:vAlign w:val="center"/>
          </w:tcPr>
          <w:p w14:paraId="679F537F">
            <w:pPr>
              <w:jc w:val="left"/>
              <w:rPr>
                <w:rFonts w:eastAsia="仿宋_GB2312"/>
                <w:color w:val="000000" w:themeColor="text1"/>
                <w:sz w:val="18"/>
                <w:szCs w:val="21"/>
              </w:rPr>
            </w:pPr>
            <w:r>
              <w:rPr>
                <w:rFonts w:eastAsia="仿宋_GB2312"/>
                <w:color w:val="000000" w:themeColor="text1"/>
                <w:sz w:val="18"/>
                <w:szCs w:val="21"/>
              </w:rPr>
              <w:t>检验记录应当包括进货检验、过程检验和成品检验的检验记录、检验报告或证书等。</w:t>
            </w:r>
          </w:p>
        </w:tc>
      </w:tr>
      <w:tr w14:paraId="5BE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4" w:hRule="atLeast"/>
          <w:jc w:val="center"/>
        </w:trPr>
        <w:tc>
          <w:tcPr>
            <w:tcW w:w="270" w:type="pct"/>
            <w:vMerge w:val="continue"/>
            <w:shd w:val="clear" w:color="auto" w:fill="auto"/>
            <w:vAlign w:val="center"/>
          </w:tcPr>
          <w:p w14:paraId="48436F0B">
            <w:pPr>
              <w:jc w:val="left"/>
              <w:rPr>
                <w:rFonts w:eastAsia="仿宋_GB2312"/>
                <w:color w:val="000000"/>
                <w:sz w:val="18"/>
                <w:szCs w:val="21"/>
              </w:rPr>
            </w:pPr>
          </w:p>
        </w:tc>
        <w:tc>
          <w:tcPr>
            <w:tcW w:w="680" w:type="pct"/>
            <w:shd w:val="clear" w:color="auto" w:fill="auto"/>
            <w:tcMar>
              <w:left w:w="57" w:type="dxa"/>
              <w:right w:w="57" w:type="dxa"/>
            </w:tcMar>
            <w:vAlign w:val="center"/>
          </w:tcPr>
          <w:p w14:paraId="2DCDD864">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8.</w:t>
            </w:r>
            <w:r>
              <w:rPr>
                <w:rFonts w:eastAsia="仿宋_GB2312"/>
                <w:color w:val="000000"/>
                <w:sz w:val="18"/>
                <w:szCs w:val="21"/>
              </w:rPr>
              <w:t>5.1</w:t>
            </w:r>
          </w:p>
        </w:tc>
        <w:tc>
          <w:tcPr>
            <w:tcW w:w="4050" w:type="pct"/>
            <w:shd w:val="clear" w:color="auto" w:fill="auto"/>
            <w:tcMar>
              <w:left w:w="57" w:type="dxa"/>
              <w:right w:w="57" w:type="dxa"/>
            </w:tcMar>
            <w:vAlign w:val="center"/>
          </w:tcPr>
          <w:p w14:paraId="6C66A6F9">
            <w:pPr>
              <w:jc w:val="left"/>
              <w:rPr>
                <w:rFonts w:eastAsia="仿宋_GB2312"/>
                <w:color w:val="000000" w:themeColor="text1"/>
                <w:sz w:val="18"/>
                <w:szCs w:val="21"/>
              </w:rPr>
            </w:pPr>
            <w:r>
              <w:rPr>
                <w:rFonts w:eastAsia="仿宋_GB2312"/>
                <w:color w:val="000000" w:themeColor="text1"/>
                <w:sz w:val="18"/>
                <w:szCs w:val="21"/>
              </w:rPr>
              <w:t>应当规定产品放行程序、条件和放行批准要求。</w:t>
            </w:r>
          </w:p>
          <w:p w14:paraId="51AAF33A">
            <w:pPr>
              <w:jc w:val="left"/>
              <w:rPr>
                <w:rFonts w:eastAsia="仿宋_GB2312"/>
                <w:b/>
                <w:bCs/>
                <w:iCs/>
                <w:color w:val="000000" w:themeColor="text1"/>
                <w:sz w:val="18"/>
                <w:szCs w:val="21"/>
              </w:rPr>
            </w:pPr>
            <w:r>
              <w:rPr>
                <w:rFonts w:eastAsia="仿宋_GB2312"/>
                <w:b/>
                <w:bCs/>
                <w:iCs/>
                <w:color w:val="000000" w:themeColor="text1"/>
                <w:sz w:val="18"/>
                <w:szCs w:val="21"/>
              </w:rPr>
              <w:t>查看产品放行程序，是否明确了放行的条件和放行批准的要求。应当规定有权放行产品人员及其职责权限，并应当保持批准的记录。</w:t>
            </w:r>
          </w:p>
        </w:tc>
      </w:tr>
      <w:tr w14:paraId="25B2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270" w:type="pct"/>
            <w:vMerge w:val="continue"/>
            <w:shd w:val="clear" w:color="auto" w:fill="auto"/>
            <w:vAlign w:val="center"/>
          </w:tcPr>
          <w:p w14:paraId="5AEC5C6A">
            <w:pPr>
              <w:jc w:val="left"/>
              <w:rPr>
                <w:rFonts w:eastAsia="仿宋_GB2312"/>
                <w:color w:val="000000"/>
                <w:sz w:val="18"/>
                <w:szCs w:val="21"/>
              </w:rPr>
            </w:pPr>
          </w:p>
        </w:tc>
        <w:tc>
          <w:tcPr>
            <w:tcW w:w="680" w:type="pct"/>
            <w:shd w:val="clear" w:color="auto" w:fill="auto"/>
            <w:tcMar>
              <w:left w:w="57" w:type="dxa"/>
              <w:right w:w="57" w:type="dxa"/>
            </w:tcMar>
            <w:vAlign w:val="center"/>
          </w:tcPr>
          <w:p w14:paraId="71F3974C">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5.2</w:t>
            </w:r>
          </w:p>
        </w:tc>
        <w:tc>
          <w:tcPr>
            <w:tcW w:w="4050" w:type="pct"/>
            <w:shd w:val="clear" w:color="auto" w:fill="auto"/>
            <w:tcMar>
              <w:left w:w="57" w:type="dxa"/>
              <w:right w:w="57" w:type="dxa"/>
            </w:tcMar>
            <w:vAlign w:val="center"/>
          </w:tcPr>
          <w:p w14:paraId="7946A996">
            <w:pPr>
              <w:jc w:val="left"/>
              <w:rPr>
                <w:rFonts w:eastAsia="仿宋_GB2312"/>
                <w:color w:val="000000" w:themeColor="text1"/>
                <w:sz w:val="18"/>
                <w:szCs w:val="21"/>
              </w:rPr>
            </w:pPr>
            <w:r>
              <w:rPr>
                <w:rFonts w:eastAsia="仿宋_GB2312"/>
                <w:color w:val="000000" w:themeColor="text1"/>
                <w:sz w:val="18"/>
                <w:szCs w:val="21"/>
              </w:rPr>
              <w:t>放行的产品应当附有合格证明。</w:t>
            </w:r>
          </w:p>
        </w:tc>
      </w:tr>
      <w:tr w14:paraId="4F18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4E30CA43">
            <w:pPr>
              <w:jc w:val="left"/>
              <w:rPr>
                <w:rFonts w:eastAsia="仿宋_GB2312"/>
                <w:color w:val="000000"/>
                <w:sz w:val="18"/>
                <w:szCs w:val="21"/>
              </w:rPr>
            </w:pPr>
          </w:p>
        </w:tc>
        <w:tc>
          <w:tcPr>
            <w:tcW w:w="680" w:type="pct"/>
            <w:shd w:val="clear" w:color="auto" w:fill="auto"/>
            <w:tcMar>
              <w:left w:w="57" w:type="dxa"/>
              <w:right w:w="57" w:type="dxa"/>
            </w:tcMar>
            <w:vAlign w:val="center"/>
          </w:tcPr>
          <w:p w14:paraId="1EC21B8E">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6.1</w:t>
            </w:r>
          </w:p>
        </w:tc>
        <w:tc>
          <w:tcPr>
            <w:tcW w:w="4050" w:type="pct"/>
            <w:shd w:val="clear" w:color="auto" w:fill="auto"/>
            <w:tcMar>
              <w:left w:w="57" w:type="dxa"/>
              <w:right w:w="57" w:type="dxa"/>
            </w:tcMar>
            <w:vAlign w:val="center"/>
          </w:tcPr>
          <w:p w14:paraId="714ABA01">
            <w:pPr>
              <w:jc w:val="left"/>
              <w:rPr>
                <w:rFonts w:eastAsia="仿宋_GB2312"/>
                <w:color w:val="000000" w:themeColor="text1"/>
                <w:sz w:val="18"/>
                <w:szCs w:val="21"/>
              </w:rPr>
            </w:pPr>
            <w:r>
              <w:rPr>
                <w:rFonts w:eastAsia="仿宋_GB2312"/>
                <w:color w:val="000000" w:themeColor="text1"/>
                <w:sz w:val="18"/>
                <w:szCs w:val="21"/>
              </w:rPr>
              <w:t>应当根据产品和工艺特点制定留样管理规定，按规定进行留样，并保持留样观察记录。</w:t>
            </w:r>
          </w:p>
        </w:tc>
      </w:tr>
      <w:tr w14:paraId="74CE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86" w:hRule="atLeast"/>
          <w:jc w:val="center"/>
        </w:trPr>
        <w:tc>
          <w:tcPr>
            <w:tcW w:w="270" w:type="pct"/>
            <w:vMerge w:val="continue"/>
            <w:shd w:val="clear" w:color="auto" w:fill="auto"/>
            <w:vAlign w:val="center"/>
          </w:tcPr>
          <w:p w14:paraId="167B8691">
            <w:pPr>
              <w:jc w:val="left"/>
              <w:rPr>
                <w:rFonts w:eastAsia="仿宋_GB2312"/>
                <w:color w:val="000000"/>
                <w:sz w:val="18"/>
                <w:szCs w:val="21"/>
              </w:rPr>
            </w:pPr>
          </w:p>
        </w:tc>
        <w:tc>
          <w:tcPr>
            <w:tcW w:w="680" w:type="pct"/>
            <w:shd w:val="clear" w:color="auto" w:fill="auto"/>
            <w:tcMar>
              <w:left w:w="57" w:type="dxa"/>
              <w:right w:w="57" w:type="dxa"/>
            </w:tcMar>
            <w:vAlign w:val="center"/>
          </w:tcPr>
          <w:p w14:paraId="640D82D2">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7.1</w:t>
            </w:r>
          </w:p>
        </w:tc>
        <w:tc>
          <w:tcPr>
            <w:tcW w:w="4050" w:type="pct"/>
            <w:shd w:val="clear" w:color="auto" w:fill="auto"/>
            <w:tcMar>
              <w:left w:w="57" w:type="dxa"/>
              <w:right w:w="57" w:type="dxa"/>
            </w:tcMar>
            <w:vAlign w:val="center"/>
          </w:tcPr>
          <w:p w14:paraId="563359B3">
            <w:pPr>
              <w:jc w:val="left"/>
              <w:rPr>
                <w:rFonts w:eastAsia="仿宋_GB2312"/>
                <w:color w:val="000000" w:themeColor="text1"/>
                <w:sz w:val="18"/>
                <w:szCs w:val="21"/>
              </w:rPr>
            </w:pPr>
            <w:r>
              <w:rPr>
                <w:rFonts w:eastAsia="仿宋_GB2312"/>
                <w:color w:val="000000" w:themeColor="text1"/>
                <w:sz w:val="18"/>
                <w:szCs w:val="21"/>
              </w:rPr>
              <w:t>应当建立校准品、参考品量值溯源程序。对每批生产的校准品、参考品进行赋值。</w:t>
            </w:r>
          </w:p>
          <w:p w14:paraId="0F8D7F0F">
            <w:pPr>
              <w:jc w:val="left"/>
              <w:rPr>
                <w:rFonts w:eastAsia="仿宋_GB2312"/>
                <w:b/>
                <w:bCs/>
                <w:iCs/>
                <w:color w:val="000000" w:themeColor="text1"/>
                <w:sz w:val="18"/>
                <w:szCs w:val="21"/>
              </w:rPr>
            </w:pPr>
            <w:r>
              <w:rPr>
                <w:rFonts w:eastAsia="仿宋_GB2312"/>
                <w:b/>
                <w:bCs/>
                <w:iCs/>
                <w:color w:val="000000" w:themeColor="text1"/>
                <w:sz w:val="18"/>
                <w:szCs w:val="21"/>
              </w:rPr>
              <w:t>查看校准品、参考品量值溯源程序（参见ISO17511）和校准品、参考品的赋值记录。</w:t>
            </w:r>
          </w:p>
        </w:tc>
      </w:tr>
      <w:tr w14:paraId="6B81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36" w:hRule="atLeast"/>
          <w:jc w:val="center"/>
        </w:trPr>
        <w:tc>
          <w:tcPr>
            <w:tcW w:w="270" w:type="pct"/>
            <w:vMerge w:val="continue"/>
            <w:shd w:val="clear" w:color="auto" w:fill="auto"/>
            <w:vAlign w:val="center"/>
          </w:tcPr>
          <w:p w14:paraId="2FE4BFF4">
            <w:pPr>
              <w:jc w:val="left"/>
              <w:rPr>
                <w:rFonts w:eastAsia="仿宋_GB2312"/>
                <w:color w:val="000000"/>
                <w:sz w:val="18"/>
                <w:szCs w:val="21"/>
              </w:rPr>
            </w:pPr>
          </w:p>
        </w:tc>
        <w:tc>
          <w:tcPr>
            <w:tcW w:w="680" w:type="pct"/>
            <w:shd w:val="clear" w:color="auto" w:fill="auto"/>
            <w:tcMar>
              <w:left w:w="57" w:type="dxa"/>
              <w:right w:w="57" w:type="dxa"/>
            </w:tcMar>
            <w:vAlign w:val="center"/>
          </w:tcPr>
          <w:p w14:paraId="54A1C0C7">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8.</w:t>
            </w:r>
            <w:r>
              <w:rPr>
                <w:rFonts w:eastAsia="仿宋_GB2312"/>
                <w:color w:val="000000"/>
                <w:sz w:val="18"/>
                <w:szCs w:val="21"/>
              </w:rPr>
              <w:t>8.1</w:t>
            </w:r>
          </w:p>
        </w:tc>
        <w:tc>
          <w:tcPr>
            <w:tcW w:w="4050" w:type="pct"/>
            <w:shd w:val="clear" w:color="auto" w:fill="auto"/>
            <w:tcMar>
              <w:left w:w="57" w:type="dxa"/>
              <w:right w:w="57" w:type="dxa"/>
            </w:tcMar>
            <w:vAlign w:val="center"/>
          </w:tcPr>
          <w:p w14:paraId="1F32AAA3">
            <w:pPr>
              <w:jc w:val="left"/>
              <w:rPr>
                <w:rFonts w:eastAsia="仿宋_GB2312"/>
                <w:color w:val="000000" w:themeColor="text1"/>
                <w:sz w:val="18"/>
                <w:szCs w:val="21"/>
              </w:rPr>
            </w:pPr>
            <w:r>
              <w:rPr>
                <w:rFonts w:eastAsia="仿宋_GB2312"/>
                <w:color w:val="000000" w:themeColor="text1"/>
                <w:sz w:val="18"/>
                <w:szCs w:val="21"/>
              </w:rPr>
              <w:t>生产和检验用的菌毒种应当标明来源，验收、储存、保管、使用、销毁应执行国家有关医学微生物菌种保管的规定和病原微生物实验室生物安全管理条例。应当建立生产用菌毒种的原始种子批、主代种子批和工作种子批系统。</w:t>
            </w:r>
          </w:p>
        </w:tc>
      </w:tr>
      <w:tr w14:paraId="39EB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05" w:hRule="atLeast"/>
          <w:jc w:val="center"/>
        </w:trPr>
        <w:tc>
          <w:tcPr>
            <w:tcW w:w="270" w:type="pct"/>
            <w:vMerge w:val="continue"/>
            <w:shd w:val="clear" w:color="auto" w:fill="auto"/>
            <w:vAlign w:val="center"/>
          </w:tcPr>
          <w:p w14:paraId="55E5F88B">
            <w:pPr>
              <w:jc w:val="left"/>
              <w:rPr>
                <w:rFonts w:eastAsia="仿宋_GB2312"/>
                <w:color w:val="000000"/>
                <w:sz w:val="18"/>
                <w:szCs w:val="21"/>
              </w:rPr>
            </w:pPr>
          </w:p>
        </w:tc>
        <w:tc>
          <w:tcPr>
            <w:tcW w:w="680" w:type="pct"/>
            <w:shd w:val="clear" w:color="auto" w:fill="auto"/>
            <w:tcMar>
              <w:left w:w="57" w:type="dxa"/>
              <w:right w:w="57" w:type="dxa"/>
            </w:tcMar>
            <w:vAlign w:val="center"/>
          </w:tcPr>
          <w:p w14:paraId="724E2206">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8.</w:t>
            </w:r>
            <w:r>
              <w:rPr>
                <w:rFonts w:eastAsia="仿宋_GB2312"/>
                <w:color w:val="000000"/>
                <w:sz w:val="18"/>
                <w:szCs w:val="21"/>
              </w:rPr>
              <w:t>9.1</w:t>
            </w:r>
          </w:p>
        </w:tc>
        <w:tc>
          <w:tcPr>
            <w:tcW w:w="4050" w:type="pct"/>
            <w:shd w:val="clear" w:color="auto" w:fill="auto"/>
            <w:tcMar>
              <w:left w:w="57" w:type="dxa"/>
              <w:right w:w="57" w:type="dxa"/>
            </w:tcMar>
            <w:vAlign w:val="center"/>
          </w:tcPr>
          <w:p w14:paraId="66EA52EB">
            <w:pPr>
              <w:jc w:val="left"/>
              <w:rPr>
                <w:rFonts w:eastAsia="仿宋_GB2312"/>
                <w:color w:val="000000" w:themeColor="text1"/>
                <w:sz w:val="18"/>
                <w:szCs w:val="21"/>
              </w:rPr>
            </w:pPr>
            <w:r>
              <w:rPr>
                <w:rFonts w:eastAsia="仿宋_GB2312"/>
                <w:color w:val="000000" w:themeColor="text1"/>
                <w:sz w:val="18"/>
                <w:szCs w:val="21"/>
              </w:rPr>
              <w:t>生产用细胞应当建立原始细胞库、主代细胞库、工作细胞库。应当建立细胞库档案资料和细胞操作日志。</w:t>
            </w:r>
          </w:p>
        </w:tc>
      </w:tr>
      <w:tr w14:paraId="3E0E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270" w:type="pct"/>
            <w:vMerge w:val="continue"/>
            <w:shd w:val="clear" w:color="auto" w:fill="auto"/>
            <w:vAlign w:val="center"/>
          </w:tcPr>
          <w:p w14:paraId="13A53F56">
            <w:pPr>
              <w:jc w:val="left"/>
              <w:rPr>
                <w:rFonts w:eastAsia="仿宋_GB2312"/>
                <w:color w:val="000000"/>
                <w:sz w:val="18"/>
                <w:szCs w:val="21"/>
              </w:rPr>
            </w:pPr>
          </w:p>
        </w:tc>
        <w:tc>
          <w:tcPr>
            <w:tcW w:w="680" w:type="pct"/>
            <w:shd w:val="clear" w:color="auto" w:fill="auto"/>
            <w:tcMar>
              <w:left w:w="57" w:type="dxa"/>
              <w:right w:w="57" w:type="dxa"/>
            </w:tcMar>
            <w:vAlign w:val="center"/>
          </w:tcPr>
          <w:p w14:paraId="0C077711">
            <w:pPr>
              <w:jc w:val="center"/>
              <w:rPr>
                <w:rFonts w:eastAsia="仿宋_GB2312"/>
                <w:color w:val="000000"/>
                <w:sz w:val="18"/>
                <w:szCs w:val="21"/>
              </w:rPr>
            </w:pPr>
            <w:r>
              <w:rPr>
                <w:rFonts w:eastAsia="仿宋_GB2312"/>
                <w:color w:val="000000"/>
                <w:sz w:val="18"/>
                <w:szCs w:val="21"/>
              </w:rPr>
              <w:t>*</w:t>
            </w:r>
            <w:r>
              <w:rPr>
                <w:rFonts w:eastAsia="仿宋_GB2312"/>
                <w:iCs/>
                <w:color w:val="000000"/>
                <w:sz w:val="18"/>
                <w:szCs w:val="21"/>
              </w:rPr>
              <w:t>8.</w:t>
            </w:r>
            <w:r>
              <w:rPr>
                <w:rFonts w:eastAsia="仿宋_GB2312"/>
                <w:color w:val="000000"/>
                <w:sz w:val="18"/>
                <w:szCs w:val="21"/>
              </w:rPr>
              <w:t>9.2</w:t>
            </w:r>
          </w:p>
        </w:tc>
        <w:tc>
          <w:tcPr>
            <w:tcW w:w="4050" w:type="pct"/>
            <w:shd w:val="clear" w:color="auto" w:fill="auto"/>
            <w:tcMar>
              <w:left w:w="57" w:type="dxa"/>
              <w:right w:w="57" w:type="dxa"/>
            </w:tcMar>
            <w:vAlign w:val="center"/>
          </w:tcPr>
          <w:p w14:paraId="47A24FD3">
            <w:pPr>
              <w:jc w:val="left"/>
              <w:rPr>
                <w:rFonts w:eastAsia="仿宋_GB2312"/>
                <w:color w:val="000000" w:themeColor="text1"/>
                <w:sz w:val="18"/>
                <w:szCs w:val="21"/>
              </w:rPr>
            </w:pPr>
            <w:r>
              <w:rPr>
                <w:rFonts w:eastAsia="仿宋_GB2312"/>
                <w:color w:val="000000" w:themeColor="text1"/>
                <w:sz w:val="18"/>
                <w:szCs w:val="21"/>
              </w:rPr>
              <w:t>自行制备抗原或抗体，应当对所用原料的来源和性质有详细的记录并可追溯。</w:t>
            </w:r>
          </w:p>
        </w:tc>
      </w:tr>
      <w:tr w14:paraId="264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1" w:hRule="atLeast"/>
          <w:jc w:val="center"/>
        </w:trPr>
        <w:tc>
          <w:tcPr>
            <w:tcW w:w="270" w:type="pct"/>
            <w:vMerge w:val="continue"/>
            <w:shd w:val="clear" w:color="auto" w:fill="auto"/>
            <w:vAlign w:val="center"/>
          </w:tcPr>
          <w:p w14:paraId="0B95B974">
            <w:pPr>
              <w:jc w:val="left"/>
              <w:rPr>
                <w:rFonts w:eastAsia="仿宋_GB2312"/>
                <w:color w:val="000000"/>
                <w:sz w:val="18"/>
                <w:szCs w:val="21"/>
              </w:rPr>
            </w:pPr>
          </w:p>
        </w:tc>
        <w:tc>
          <w:tcPr>
            <w:tcW w:w="680" w:type="pct"/>
            <w:shd w:val="clear" w:color="auto" w:fill="auto"/>
            <w:tcMar>
              <w:left w:w="57" w:type="dxa"/>
              <w:right w:w="57" w:type="dxa"/>
            </w:tcMar>
            <w:vAlign w:val="center"/>
          </w:tcPr>
          <w:p w14:paraId="3B611869">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10.1</w:t>
            </w:r>
          </w:p>
        </w:tc>
        <w:tc>
          <w:tcPr>
            <w:tcW w:w="4050" w:type="pct"/>
            <w:shd w:val="clear" w:color="auto" w:fill="auto"/>
            <w:tcMar>
              <w:left w:w="57" w:type="dxa"/>
              <w:right w:w="57" w:type="dxa"/>
            </w:tcMar>
            <w:vAlign w:val="center"/>
          </w:tcPr>
          <w:p w14:paraId="65C7362C">
            <w:pPr>
              <w:jc w:val="left"/>
              <w:rPr>
                <w:rFonts w:eastAsia="仿宋_GB2312"/>
                <w:color w:val="000000" w:themeColor="text1"/>
                <w:sz w:val="18"/>
                <w:szCs w:val="21"/>
              </w:rPr>
            </w:pPr>
            <w:r>
              <w:rPr>
                <w:rFonts w:eastAsia="仿宋_GB2312"/>
                <w:color w:val="000000" w:themeColor="text1"/>
                <w:sz w:val="18"/>
                <w:szCs w:val="21"/>
              </w:rPr>
              <w:t>应当对检验过程中使用的标准品、校准品、质控品建立台帐及使用记录。应当记录其来源、批号、效期、溯源途径、主要技术指标、保存状态等信息。</w:t>
            </w:r>
          </w:p>
        </w:tc>
      </w:tr>
      <w:tr w14:paraId="21B4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07" w:hRule="atLeast"/>
          <w:jc w:val="center"/>
        </w:trPr>
        <w:tc>
          <w:tcPr>
            <w:tcW w:w="270" w:type="pct"/>
            <w:vMerge w:val="continue"/>
            <w:shd w:val="clear" w:color="auto" w:fill="auto"/>
            <w:vAlign w:val="center"/>
          </w:tcPr>
          <w:p w14:paraId="7006902B">
            <w:pPr>
              <w:jc w:val="left"/>
              <w:rPr>
                <w:rFonts w:eastAsia="仿宋_GB2312"/>
                <w:color w:val="000000"/>
                <w:sz w:val="18"/>
                <w:szCs w:val="21"/>
              </w:rPr>
            </w:pPr>
          </w:p>
        </w:tc>
        <w:tc>
          <w:tcPr>
            <w:tcW w:w="680" w:type="pct"/>
            <w:shd w:val="clear" w:color="auto" w:fill="auto"/>
            <w:tcMar>
              <w:left w:w="57" w:type="dxa"/>
              <w:right w:w="57" w:type="dxa"/>
            </w:tcMar>
            <w:vAlign w:val="center"/>
          </w:tcPr>
          <w:p w14:paraId="12698E8C">
            <w:pPr>
              <w:jc w:val="center"/>
              <w:rPr>
                <w:rFonts w:eastAsia="仿宋_GB2312"/>
                <w:color w:val="000000"/>
                <w:sz w:val="18"/>
                <w:szCs w:val="21"/>
              </w:rPr>
            </w:pPr>
            <w:r>
              <w:rPr>
                <w:rFonts w:eastAsia="仿宋_GB2312"/>
                <w:iCs/>
                <w:color w:val="000000"/>
                <w:sz w:val="18"/>
                <w:szCs w:val="21"/>
              </w:rPr>
              <w:t>8.</w:t>
            </w:r>
            <w:r>
              <w:rPr>
                <w:rFonts w:eastAsia="仿宋_GB2312"/>
                <w:color w:val="000000"/>
                <w:sz w:val="18"/>
                <w:szCs w:val="21"/>
              </w:rPr>
              <w:t>10.2</w:t>
            </w:r>
          </w:p>
        </w:tc>
        <w:tc>
          <w:tcPr>
            <w:tcW w:w="4050" w:type="pct"/>
            <w:shd w:val="clear" w:color="auto" w:fill="auto"/>
            <w:tcMar>
              <w:left w:w="57" w:type="dxa"/>
              <w:right w:w="57" w:type="dxa"/>
            </w:tcMar>
            <w:vAlign w:val="center"/>
          </w:tcPr>
          <w:p w14:paraId="78C000BA">
            <w:pPr>
              <w:jc w:val="left"/>
              <w:rPr>
                <w:rFonts w:eastAsia="仿宋_GB2312"/>
                <w:color w:val="000000" w:themeColor="text1"/>
                <w:sz w:val="18"/>
                <w:szCs w:val="21"/>
              </w:rPr>
            </w:pPr>
            <w:r>
              <w:rPr>
                <w:rFonts w:eastAsia="仿宋_GB2312"/>
                <w:color w:val="000000" w:themeColor="text1"/>
                <w:sz w:val="18"/>
                <w:szCs w:val="21"/>
              </w:rPr>
              <w:t>按照规定进行标准品、校准品、质控品复验并保存记录。</w:t>
            </w:r>
          </w:p>
        </w:tc>
      </w:tr>
      <w:tr w14:paraId="37FA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222CF4AB">
            <w:pPr>
              <w:jc w:val="left"/>
              <w:rPr>
                <w:rFonts w:eastAsia="仿宋_GB2312"/>
                <w:color w:val="000000"/>
                <w:sz w:val="18"/>
                <w:szCs w:val="21"/>
              </w:rPr>
            </w:pPr>
          </w:p>
        </w:tc>
        <w:tc>
          <w:tcPr>
            <w:tcW w:w="680" w:type="pct"/>
            <w:shd w:val="clear" w:color="auto" w:fill="auto"/>
            <w:tcMar>
              <w:left w:w="57" w:type="dxa"/>
              <w:right w:w="57" w:type="dxa"/>
            </w:tcMar>
            <w:vAlign w:val="center"/>
          </w:tcPr>
          <w:p w14:paraId="173E546B">
            <w:pPr>
              <w:jc w:val="center"/>
              <w:rPr>
                <w:rFonts w:eastAsia="仿宋_GB2312"/>
                <w:color w:val="000000"/>
                <w:sz w:val="18"/>
                <w:szCs w:val="21"/>
              </w:rPr>
            </w:pPr>
            <w:r>
              <w:rPr>
                <w:rFonts w:eastAsia="仿宋_GB2312"/>
                <w:color w:val="000000"/>
                <w:sz w:val="18"/>
                <w:szCs w:val="21"/>
              </w:rPr>
              <w:t>*8.11.1</w:t>
            </w:r>
          </w:p>
        </w:tc>
        <w:tc>
          <w:tcPr>
            <w:tcW w:w="4050" w:type="pct"/>
            <w:shd w:val="clear" w:color="auto" w:fill="auto"/>
            <w:tcMar>
              <w:left w:w="57" w:type="dxa"/>
              <w:right w:w="57" w:type="dxa"/>
            </w:tcMar>
            <w:vAlign w:val="center"/>
          </w:tcPr>
          <w:p w14:paraId="48FA1D03">
            <w:pPr>
              <w:jc w:val="left"/>
              <w:rPr>
                <w:rFonts w:eastAsia="仿宋_GB2312"/>
                <w:color w:val="000000" w:themeColor="text1"/>
                <w:sz w:val="18"/>
                <w:szCs w:val="21"/>
              </w:rPr>
            </w:pPr>
            <w:r>
              <w:rPr>
                <w:rFonts w:eastAsia="仿宋_GB2312"/>
                <w:color w:val="000000" w:themeColor="text1"/>
                <w:sz w:val="18"/>
                <w:szCs w:val="21"/>
              </w:rPr>
              <w:t>留样应当在规定条件下储存。应当建立留样台帐，及时记录留样检验信息，留样检验报告应当注明留样批号、效期、检验日期、检验人、检验结果等。</w:t>
            </w:r>
          </w:p>
          <w:p w14:paraId="6CEFB0A2">
            <w:pPr>
              <w:jc w:val="left"/>
              <w:rPr>
                <w:rFonts w:eastAsia="仿宋_GB2312"/>
                <w:b/>
                <w:bCs/>
                <w:iCs/>
                <w:color w:val="000000" w:themeColor="text1"/>
                <w:sz w:val="18"/>
                <w:szCs w:val="21"/>
              </w:rPr>
            </w:pPr>
            <w:r>
              <w:rPr>
                <w:rFonts w:eastAsia="仿宋_GB2312"/>
                <w:b/>
                <w:bCs/>
                <w:iCs/>
                <w:color w:val="000000" w:themeColor="text1"/>
                <w:sz w:val="18"/>
                <w:szCs w:val="21"/>
              </w:rPr>
              <w:t>查看是否制定了留样管理制度，是否明确了留样的数量、规格、、储存条件、检验要求等。</w:t>
            </w:r>
          </w:p>
          <w:p w14:paraId="47454F84">
            <w:pPr>
              <w:jc w:val="left"/>
              <w:rPr>
                <w:rFonts w:eastAsia="仿宋_GB2312"/>
                <w:b/>
                <w:bCs/>
                <w:iCs/>
                <w:color w:val="000000" w:themeColor="text1"/>
                <w:sz w:val="18"/>
                <w:szCs w:val="21"/>
              </w:rPr>
            </w:pPr>
            <w:r>
              <w:rPr>
                <w:rFonts w:eastAsia="仿宋_GB2312"/>
                <w:b/>
                <w:bCs/>
                <w:iCs/>
                <w:color w:val="000000" w:themeColor="text1"/>
                <w:sz w:val="18"/>
                <w:szCs w:val="21"/>
              </w:rPr>
              <w:t>现场查看留样室（区）的环境是否满足留样产品的要求，是否配备所需的环境监测设备是否有记录。</w:t>
            </w:r>
          </w:p>
          <w:p w14:paraId="5D2FDE1F">
            <w:pPr>
              <w:jc w:val="left"/>
              <w:rPr>
                <w:rFonts w:eastAsia="仿宋_GB2312"/>
                <w:b/>
                <w:bCs/>
                <w:iCs/>
                <w:color w:val="000000" w:themeColor="text1"/>
                <w:sz w:val="18"/>
                <w:szCs w:val="21"/>
              </w:rPr>
            </w:pPr>
            <w:r>
              <w:rPr>
                <w:rFonts w:eastAsia="仿宋_GB2312"/>
                <w:b/>
                <w:bCs/>
                <w:iCs/>
                <w:color w:val="000000" w:themeColor="text1"/>
                <w:sz w:val="18"/>
                <w:szCs w:val="21"/>
              </w:rPr>
              <w:t>查看留样台账和留样检验报告，是否符合要求。</w:t>
            </w:r>
          </w:p>
        </w:tc>
      </w:tr>
      <w:tr w14:paraId="459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4" w:hRule="atLeast"/>
          <w:jc w:val="center"/>
        </w:trPr>
        <w:tc>
          <w:tcPr>
            <w:tcW w:w="270" w:type="pct"/>
            <w:vMerge w:val="continue"/>
            <w:shd w:val="clear" w:color="auto" w:fill="auto"/>
            <w:vAlign w:val="center"/>
          </w:tcPr>
          <w:p w14:paraId="7032D67C">
            <w:pPr>
              <w:jc w:val="left"/>
              <w:rPr>
                <w:rFonts w:eastAsia="仿宋_GB2312"/>
                <w:color w:val="000000"/>
                <w:sz w:val="18"/>
                <w:szCs w:val="21"/>
              </w:rPr>
            </w:pPr>
          </w:p>
        </w:tc>
        <w:tc>
          <w:tcPr>
            <w:tcW w:w="680" w:type="pct"/>
            <w:shd w:val="clear" w:color="auto" w:fill="auto"/>
            <w:tcMar>
              <w:left w:w="57" w:type="dxa"/>
              <w:right w:w="57" w:type="dxa"/>
            </w:tcMar>
            <w:vAlign w:val="center"/>
          </w:tcPr>
          <w:p w14:paraId="0BA4CDD4">
            <w:pPr>
              <w:jc w:val="center"/>
              <w:rPr>
                <w:rFonts w:eastAsia="仿宋_GB2312"/>
                <w:color w:val="000000"/>
                <w:sz w:val="18"/>
                <w:szCs w:val="21"/>
              </w:rPr>
            </w:pPr>
            <w:r>
              <w:rPr>
                <w:rFonts w:eastAsia="仿宋_GB2312"/>
                <w:color w:val="000000"/>
                <w:sz w:val="18"/>
                <w:szCs w:val="21"/>
              </w:rPr>
              <w:t>8.11.2</w:t>
            </w:r>
          </w:p>
        </w:tc>
        <w:tc>
          <w:tcPr>
            <w:tcW w:w="4050" w:type="pct"/>
            <w:shd w:val="clear" w:color="auto" w:fill="auto"/>
            <w:tcMar>
              <w:left w:w="57" w:type="dxa"/>
              <w:right w:w="57" w:type="dxa"/>
            </w:tcMar>
            <w:vAlign w:val="center"/>
          </w:tcPr>
          <w:p w14:paraId="3E78B144">
            <w:pPr>
              <w:jc w:val="left"/>
              <w:rPr>
                <w:rFonts w:eastAsia="仿宋_GB2312"/>
                <w:color w:val="000000" w:themeColor="text1"/>
                <w:sz w:val="18"/>
                <w:szCs w:val="21"/>
              </w:rPr>
            </w:pPr>
            <w:r>
              <w:rPr>
                <w:rFonts w:eastAsia="仿宋_GB2312"/>
                <w:color w:val="000000" w:themeColor="text1"/>
                <w:sz w:val="18"/>
                <w:szCs w:val="21"/>
              </w:rPr>
              <w:t>留样期满后应当对留样检验报告进行汇总、分析并归档。</w:t>
            </w:r>
          </w:p>
        </w:tc>
      </w:tr>
      <w:tr w14:paraId="5427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2" w:hRule="atLeast"/>
          <w:jc w:val="center"/>
        </w:trPr>
        <w:tc>
          <w:tcPr>
            <w:tcW w:w="270" w:type="pct"/>
            <w:vMerge w:val="restart"/>
            <w:vAlign w:val="center"/>
          </w:tcPr>
          <w:p w14:paraId="3FD22CF8">
            <w:pPr>
              <w:jc w:val="left"/>
              <w:rPr>
                <w:rFonts w:eastAsia="仿宋_GB2312"/>
                <w:b/>
                <w:color w:val="000000"/>
                <w:spacing w:val="-6"/>
                <w:kern w:val="0"/>
                <w:sz w:val="22"/>
                <w:szCs w:val="28"/>
                <w:lang w:bidi="bn-IN"/>
              </w:rPr>
            </w:pPr>
            <w:r>
              <w:rPr>
                <w:rFonts w:eastAsia="仿宋_GB2312"/>
                <w:b/>
                <w:color w:val="000000"/>
                <w:spacing w:val="-6"/>
                <w:kern w:val="0"/>
                <w:sz w:val="22"/>
                <w:szCs w:val="28"/>
                <w:lang w:bidi="bn-IN"/>
              </w:rPr>
              <w:t>销售</w:t>
            </w:r>
          </w:p>
          <w:p w14:paraId="508D674D">
            <w:pPr>
              <w:jc w:val="left"/>
              <w:rPr>
                <w:rFonts w:eastAsia="仿宋_GB2312"/>
                <w:b/>
                <w:color w:val="000000"/>
                <w:spacing w:val="-6"/>
                <w:kern w:val="0"/>
                <w:sz w:val="22"/>
                <w:szCs w:val="28"/>
                <w:lang w:bidi="bn-IN"/>
              </w:rPr>
            </w:pPr>
            <w:r>
              <w:rPr>
                <w:rFonts w:eastAsia="仿宋_GB2312"/>
                <w:b/>
                <w:color w:val="000000"/>
                <w:spacing w:val="-6"/>
                <w:kern w:val="0"/>
                <w:sz w:val="22"/>
                <w:szCs w:val="28"/>
                <w:lang w:bidi="bn-IN"/>
              </w:rPr>
              <w:t>和售后</w:t>
            </w:r>
          </w:p>
          <w:p w14:paraId="0C317CFC">
            <w:pPr>
              <w:jc w:val="left"/>
              <w:rPr>
                <w:rFonts w:eastAsia="仿宋_GB2312"/>
                <w:b/>
                <w:color w:val="000000"/>
                <w:spacing w:val="-6"/>
                <w:kern w:val="0"/>
                <w:sz w:val="22"/>
                <w:szCs w:val="28"/>
                <w:lang w:bidi="bn-IN"/>
              </w:rPr>
            </w:pPr>
            <w:r>
              <w:rPr>
                <w:rFonts w:eastAsia="仿宋_GB2312"/>
                <w:b/>
                <w:color w:val="000000"/>
                <w:spacing w:val="-6"/>
                <w:kern w:val="0"/>
                <w:sz w:val="22"/>
                <w:szCs w:val="28"/>
                <w:lang w:bidi="bn-IN"/>
              </w:rPr>
              <w:t>服</w:t>
            </w:r>
          </w:p>
          <w:p w14:paraId="2DEA6E99">
            <w:pPr>
              <w:jc w:val="left"/>
              <w:rPr>
                <w:rFonts w:eastAsia="仿宋_GB2312"/>
                <w:b/>
                <w:color w:val="000000"/>
                <w:spacing w:val="-6"/>
                <w:kern w:val="0"/>
                <w:sz w:val="22"/>
                <w:szCs w:val="28"/>
                <w:lang w:bidi="bn-IN"/>
              </w:rPr>
            </w:pPr>
            <w:r>
              <w:rPr>
                <w:rFonts w:eastAsia="仿宋_GB2312"/>
                <w:b/>
                <w:color w:val="000000"/>
                <w:spacing w:val="-6"/>
                <w:kern w:val="0"/>
                <w:sz w:val="22"/>
                <w:szCs w:val="28"/>
                <w:lang w:bidi="bn-IN"/>
              </w:rPr>
              <w:t>务</w:t>
            </w:r>
          </w:p>
          <w:p w14:paraId="1BB627B7">
            <w:pPr>
              <w:jc w:val="left"/>
              <w:rPr>
                <w:rFonts w:eastAsia="仿宋_GB2312"/>
                <w:b/>
                <w:color w:val="000000"/>
                <w:spacing w:val="-6"/>
                <w:sz w:val="18"/>
                <w:szCs w:val="21"/>
              </w:rPr>
            </w:pPr>
          </w:p>
        </w:tc>
        <w:tc>
          <w:tcPr>
            <w:tcW w:w="680" w:type="pct"/>
            <w:shd w:val="clear" w:color="auto" w:fill="auto"/>
            <w:tcMar>
              <w:left w:w="57" w:type="dxa"/>
              <w:right w:w="57" w:type="dxa"/>
            </w:tcMar>
            <w:vAlign w:val="center"/>
          </w:tcPr>
          <w:p w14:paraId="381785E8">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*9.1.1</w:t>
            </w:r>
          </w:p>
        </w:tc>
        <w:tc>
          <w:tcPr>
            <w:tcW w:w="4050" w:type="pct"/>
            <w:shd w:val="clear" w:color="auto" w:fill="auto"/>
            <w:tcMar>
              <w:left w:w="57" w:type="dxa"/>
              <w:right w:w="57" w:type="dxa"/>
            </w:tcMar>
            <w:vAlign w:val="center"/>
          </w:tcPr>
          <w:p w14:paraId="43724394">
            <w:pPr>
              <w:jc w:val="left"/>
              <w:rPr>
                <w:rFonts w:eastAsia="仿宋_GB2312"/>
                <w:color w:val="000000" w:themeColor="text1"/>
                <w:sz w:val="18"/>
                <w:szCs w:val="21"/>
              </w:rPr>
            </w:pPr>
            <w:r>
              <w:rPr>
                <w:rFonts w:eastAsia="仿宋_GB2312"/>
                <w:color w:val="000000" w:themeColor="text1"/>
                <w:sz w:val="18"/>
                <w:szCs w:val="21"/>
              </w:rPr>
              <w:t>应当建立产品销售记录，并满足可追溯要求。</w:t>
            </w:r>
          </w:p>
        </w:tc>
      </w:tr>
      <w:tr w14:paraId="4BF3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5" w:hRule="atLeast"/>
          <w:jc w:val="center"/>
        </w:trPr>
        <w:tc>
          <w:tcPr>
            <w:tcW w:w="270" w:type="pct"/>
            <w:vMerge w:val="continue"/>
            <w:vAlign w:val="center"/>
          </w:tcPr>
          <w:p w14:paraId="5C72098D">
            <w:pPr>
              <w:jc w:val="left"/>
              <w:rPr>
                <w:rFonts w:eastAsia="仿宋_GB2312"/>
                <w:b/>
                <w:color w:val="000000"/>
                <w:sz w:val="18"/>
                <w:szCs w:val="21"/>
              </w:rPr>
            </w:pPr>
          </w:p>
        </w:tc>
        <w:tc>
          <w:tcPr>
            <w:tcW w:w="680" w:type="pct"/>
            <w:shd w:val="clear" w:color="auto" w:fill="auto"/>
            <w:tcMar>
              <w:left w:w="57" w:type="dxa"/>
              <w:right w:w="57" w:type="dxa"/>
            </w:tcMar>
            <w:vAlign w:val="center"/>
          </w:tcPr>
          <w:p w14:paraId="2A5F4D51">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9.1.2</w:t>
            </w:r>
          </w:p>
        </w:tc>
        <w:tc>
          <w:tcPr>
            <w:tcW w:w="4050" w:type="pct"/>
            <w:shd w:val="clear" w:color="auto" w:fill="auto"/>
            <w:tcMar>
              <w:left w:w="57" w:type="dxa"/>
              <w:right w:w="57" w:type="dxa"/>
            </w:tcMar>
            <w:vAlign w:val="center"/>
          </w:tcPr>
          <w:p w14:paraId="5D8A813B">
            <w:pPr>
              <w:jc w:val="left"/>
              <w:rPr>
                <w:rFonts w:eastAsia="仿宋_GB2312"/>
                <w:iCs/>
                <w:color w:val="000000" w:themeColor="text1"/>
                <w:sz w:val="18"/>
                <w:szCs w:val="21"/>
              </w:rPr>
            </w:pPr>
            <w:r>
              <w:rPr>
                <w:rFonts w:eastAsia="仿宋_GB2312"/>
                <w:color w:val="000000" w:themeColor="text1"/>
                <w:sz w:val="18"/>
                <w:szCs w:val="21"/>
              </w:rPr>
              <w:t>销售记录至少应当包括：医疗器械名称、规格、型号、数量、生产批号、有效期、销售日期、购货单位名称、地址、联系方式等内容。</w:t>
            </w:r>
          </w:p>
        </w:tc>
      </w:tr>
      <w:tr w14:paraId="0B7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76CD13C9">
            <w:pPr>
              <w:jc w:val="left"/>
              <w:rPr>
                <w:rFonts w:eastAsia="仿宋_GB2312"/>
                <w:color w:val="000000"/>
                <w:sz w:val="18"/>
                <w:szCs w:val="21"/>
              </w:rPr>
            </w:pPr>
          </w:p>
        </w:tc>
        <w:tc>
          <w:tcPr>
            <w:tcW w:w="680" w:type="pct"/>
            <w:shd w:val="clear" w:color="auto" w:fill="auto"/>
            <w:tcMar>
              <w:left w:w="57" w:type="dxa"/>
              <w:right w:w="57" w:type="dxa"/>
            </w:tcMar>
            <w:vAlign w:val="center"/>
          </w:tcPr>
          <w:p w14:paraId="68DD6CA5">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9.2.1</w:t>
            </w:r>
          </w:p>
        </w:tc>
        <w:tc>
          <w:tcPr>
            <w:tcW w:w="4050" w:type="pct"/>
            <w:shd w:val="clear" w:color="auto" w:fill="auto"/>
            <w:tcMar>
              <w:left w:w="57" w:type="dxa"/>
              <w:right w:w="57" w:type="dxa"/>
            </w:tcMar>
            <w:vAlign w:val="center"/>
          </w:tcPr>
          <w:p w14:paraId="697C4116">
            <w:pPr>
              <w:jc w:val="left"/>
              <w:rPr>
                <w:rFonts w:eastAsia="仿宋_GB2312"/>
                <w:iCs/>
                <w:color w:val="000000" w:themeColor="text1"/>
                <w:sz w:val="18"/>
                <w:szCs w:val="21"/>
              </w:rPr>
            </w:pPr>
            <w:r>
              <w:rPr>
                <w:rFonts w:eastAsia="仿宋_GB2312"/>
                <w:color w:val="000000" w:themeColor="text1"/>
                <w:sz w:val="18"/>
                <w:szCs w:val="21"/>
              </w:rPr>
              <w:t>直接销售自产产品或者选择医疗器械经营企业，应当符合医疗器械相关法规和规范要求。</w:t>
            </w:r>
          </w:p>
        </w:tc>
      </w:tr>
      <w:tr w14:paraId="5F17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05" w:hRule="atLeast"/>
          <w:jc w:val="center"/>
        </w:trPr>
        <w:tc>
          <w:tcPr>
            <w:tcW w:w="270" w:type="pct"/>
            <w:vMerge w:val="continue"/>
            <w:vAlign w:val="center"/>
          </w:tcPr>
          <w:p w14:paraId="58233754">
            <w:pPr>
              <w:jc w:val="left"/>
              <w:rPr>
                <w:rFonts w:eastAsia="仿宋_GB2312"/>
                <w:color w:val="000000"/>
                <w:sz w:val="18"/>
                <w:szCs w:val="21"/>
              </w:rPr>
            </w:pPr>
          </w:p>
        </w:tc>
        <w:tc>
          <w:tcPr>
            <w:tcW w:w="680" w:type="pct"/>
            <w:shd w:val="clear" w:color="auto" w:fill="auto"/>
            <w:tcMar>
              <w:left w:w="57" w:type="dxa"/>
              <w:right w:w="57" w:type="dxa"/>
            </w:tcMar>
            <w:vAlign w:val="center"/>
          </w:tcPr>
          <w:p w14:paraId="4B4F13B7">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9.2.2</w:t>
            </w:r>
          </w:p>
        </w:tc>
        <w:tc>
          <w:tcPr>
            <w:tcW w:w="4050" w:type="pct"/>
            <w:shd w:val="clear" w:color="auto" w:fill="auto"/>
            <w:tcMar>
              <w:left w:w="57" w:type="dxa"/>
              <w:right w:w="57" w:type="dxa"/>
            </w:tcMar>
            <w:vAlign w:val="center"/>
          </w:tcPr>
          <w:p w14:paraId="69BCFE99">
            <w:pPr>
              <w:jc w:val="left"/>
              <w:rPr>
                <w:rFonts w:eastAsia="仿宋_GB2312"/>
                <w:color w:val="000000" w:themeColor="text1"/>
                <w:sz w:val="18"/>
                <w:szCs w:val="21"/>
              </w:rPr>
            </w:pPr>
            <w:r>
              <w:rPr>
                <w:rFonts w:eastAsia="仿宋_GB2312"/>
                <w:color w:val="000000" w:themeColor="text1"/>
                <w:sz w:val="18"/>
                <w:szCs w:val="21"/>
              </w:rPr>
              <w:t>发现医疗器械经营企业存在违法违规经营行为时，应当及时向当地食品药品监督管理部门报告。</w:t>
            </w:r>
          </w:p>
        </w:tc>
      </w:tr>
      <w:tr w14:paraId="5563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7" w:hRule="atLeast"/>
          <w:jc w:val="center"/>
        </w:trPr>
        <w:tc>
          <w:tcPr>
            <w:tcW w:w="270" w:type="pct"/>
            <w:vMerge w:val="continue"/>
            <w:vAlign w:val="center"/>
          </w:tcPr>
          <w:p w14:paraId="60DB887B">
            <w:pPr>
              <w:jc w:val="left"/>
              <w:rPr>
                <w:rFonts w:eastAsia="仿宋_GB2312"/>
                <w:color w:val="000000"/>
                <w:sz w:val="18"/>
                <w:szCs w:val="21"/>
              </w:rPr>
            </w:pPr>
          </w:p>
        </w:tc>
        <w:tc>
          <w:tcPr>
            <w:tcW w:w="680" w:type="pct"/>
            <w:shd w:val="clear" w:color="auto" w:fill="auto"/>
            <w:tcMar>
              <w:left w:w="57" w:type="dxa"/>
              <w:right w:w="57" w:type="dxa"/>
            </w:tcMar>
            <w:vAlign w:val="center"/>
          </w:tcPr>
          <w:p w14:paraId="147B14FD">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9.3.1</w:t>
            </w:r>
          </w:p>
        </w:tc>
        <w:tc>
          <w:tcPr>
            <w:tcW w:w="4050" w:type="pct"/>
            <w:shd w:val="clear" w:color="auto" w:fill="auto"/>
            <w:tcMar>
              <w:left w:w="57" w:type="dxa"/>
              <w:right w:w="57" w:type="dxa"/>
            </w:tcMar>
            <w:vAlign w:val="center"/>
          </w:tcPr>
          <w:p w14:paraId="394E0CFA">
            <w:pPr>
              <w:jc w:val="left"/>
              <w:rPr>
                <w:rFonts w:eastAsia="仿宋_GB2312"/>
                <w:iCs/>
                <w:color w:val="000000" w:themeColor="text1"/>
                <w:sz w:val="18"/>
                <w:szCs w:val="21"/>
              </w:rPr>
            </w:pPr>
            <w:r>
              <w:rPr>
                <w:rFonts w:eastAsia="仿宋_GB2312"/>
                <w:color w:val="000000" w:themeColor="text1"/>
                <w:sz w:val="18"/>
                <w:szCs w:val="21"/>
              </w:rPr>
              <w:t>应当具备与所生产产品相适应的售后服务能力，建立健全售后服务制度。</w:t>
            </w:r>
          </w:p>
        </w:tc>
      </w:tr>
      <w:tr w14:paraId="37C5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07C0178F">
            <w:pPr>
              <w:jc w:val="left"/>
              <w:rPr>
                <w:rFonts w:eastAsia="仿宋_GB2312"/>
                <w:color w:val="000000"/>
                <w:sz w:val="18"/>
                <w:szCs w:val="21"/>
              </w:rPr>
            </w:pPr>
          </w:p>
        </w:tc>
        <w:tc>
          <w:tcPr>
            <w:tcW w:w="680" w:type="pct"/>
            <w:shd w:val="clear" w:color="auto" w:fill="auto"/>
            <w:tcMar>
              <w:left w:w="57" w:type="dxa"/>
              <w:right w:w="57" w:type="dxa"/>
            </w:tcMar>
            <w:vAlign w:val="center"/>
          </w:tcPr>
          <w:p w14:paraId="346F2B37">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9.3.2</w:t>
            </w:r>
          </w:p>
        </w:tc>
        <w:tc>
          <w:tcPr>
            <w:tcW w:w="4050" w:type="pct"/>
            <w:shd w:val="clear" w:color="auto" w:fill="auto"/>
            <w:tcMar>
              <w:left w:w="57" w:type="dxa"/>
              <w:right w:w="57" w:type="dxa"/>
            </w:tcMar>
            <w:vAlign w:val="center"/>
          </w:tcPr>
          <w:p w14:paraId="35676867">
            <w:pPr>
              <w:jc w:val="left"/>
              <w:rPr>
                <w:rFonts w:eastAsia="仿宋_GB2312"/>
                <w:color w:val="000000" w:themeColor="text1"/>
                <w:sz w:val="18"/>
                <w:szCs w:val="21"/>
              </w:rPr>
            </w:pPr>
            <w:r>
              <w:rPr>
                <w:rFonts w:eastAsia="仿宋_GB2312"/>
                <w:color w:val="000000" w:themeColor="text1"/>
                <w:sz w:val="18"/>
                <w:szCs w:val="21"/>
              </w:rPr>
              <w:t>应当规定售后服务要求并建立售后服务记录，并满足可追溯的要求。</w:t>
            </w:r>
          </w:p>
        </w:tc>
      </w:tr>
      <w:tr w14:paraId="0A23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0189CC18">
            <w:pPr>
              <w:jc w:val="left"/>
              <w:rPr>
                <w:rFonts w:eastAsia="仿宋_GB2312"/>
                <w:color w:val="000000"/>
                <w:sz w:val="18"/>
                <w:szCs w:val="21"/>
              </w:rPr>
            </w:pPr>
          </w:p>
        </w:tc>
        <w:tc>
          <w:tcPr>
            <w:tcW w:w="680" w:type="pct"/>
            <w:shd w:val="clear" w:color="auto" w:fill="auto"/>
            <w:tcMar>
              <w:left w:w="57" w:type="dxa"/>
              <w:right w:w="57" w:type="dxa"/>
            </w:tcMar>
            <w:vAlign w:val="center"/>
          </w:tcPr>
          <w:p w14:paraId="63DF9074">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9.4.1</w:t>
            </w:r>
          </w:p>
        </w:tc>
        <w:tc>
          <w:tcPr>
            <w:tcW w:w="4050" w:type="pct"/>
            <w:shd w:val="clear" w:color="auto" w:fill="auto"/>
            <w:tcMar>
              <w:left w:w="57" w:type="dxa"/>
              <w:right w:w="57" w:type="dxa"/>
            </w:tcMar>
            <w:vAlign w:val="center"/>
          </w:tcPr>
          <w:p w14:paraId="56DA92C5">
            <w:pPr>
              <w:jc w:val="left"/>
              <w:rPr>
                <w:rFonts w:eastAsia="仿宋_GB2312"/>
                <w:color w:val="000000" w:themeColor="text1"/>
                <w:sz w:val="18"/>
                <w:szCs w:val="21"/>
              </w:rPr>
            </w:pPr>
            <w:r>
              <w:rPr>
                <w:rFonts w:eastAsia="仿宋_GB2312"/>
                <w:color w:val="000000" w:themeColor="text1"/>
                <w:sz w:val="18"/>
                <w:szCs w:val="21"/>
              </w:rPr>
              <w:t>需要由企业安装的医疗器械，应当确定安装要求和安装验证的接收标准，建立安装和验收记录。</w:t>
            </w:r>
          </w:p>
        </w:tc>
      </w:tr>
      <w:tr w14:paraId="632F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04806A81">
            <w:pPr>
              <w:jc w:val="left"/>
              <w:rPr>
                <w:rFonts w:eastAsia="仿宋_GB2312"/>
                <w:color w:val="000000"/>
                <w:sz w:val="18"/>
                <w:szCs w:val="21"/>
              </w:rPr>
            </w:pPr>
          </w:p>
        </w:tc>
        <w:tc>
          <w:tcPr>
            <w:tcW w:w="680" w:type="pct"/>
            <w:shd w:val="clear" w:color="auto" w:fill="auto"/>
            <w:tcMar>
              <w:left w:w="57" w:type="dxa"/>
              <w:right w:w="57" w:type="dxa"/>
            </w:tcMar>
            <w:vAlign w:val="center"/>
          </w:tcPr>
          <w:p w14:paraId="38C7B256">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9.4.2</w:t>
            </w:r>
          </w:p>
        </w:tc>
        <w:tc>
          <w:tcPr>
            <w:tcW w:w="4050" w:type="pct"/>
            <w:shd w:val="clear" w:color="auto" w:fill="auto"/>
            <w:tcMar>
              <w:left w:w="57" w:type="dxa"/>
              <w:right w:w="57" w:type="dxa"/>
            </w:tcMar>
            <w:vAlign w:val="center"/>
          </w:tcPr>
          <w:p w14:paraId="026C4DB9">
            <w:pPr>
              <w:jc w:val="left"/>
              <w:rPr>
                <w:rFonts w:eastAsia="仿宋_GB2312"/>
                <w:color w:val="000000" w:themeColor="text1"/>
                <w:sz w:val="18"/>
                <w:szCs w:val="21"/>
              </w:rPr>
            </w:pPr>
            <w:r>
              <w:rPr>
                <w:rFonts w:eastAsia="仿宋_GB2312"/>
                <w:color w:val="000000" w:themeColor="text1"/>
                <w:sz w:val="18"/>
                <w:szCs w:val="21"/>
              </w:rPr>
              <w:t>由使用单位或其他企业进行安装、维修的，应当提供安装要求、标准和维修零部件、资料、密码等，并进行指导。</w:t>
            </w:r>
          </w:p>
        </w:tc>
      </w:tr>
      <w:tr w14:paraId="2374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347DB76D">
            <w:pPr>
              <w:jc w:val="left"/>
              <w:rPr>
                <w:rFonts w:eastAsia="仿宋_GB2312"/>
                <w:color w:val="000000"/>
                <w:sz w:val="18"/>
                <w:szCs w:val="21"/>
              </w:rPr>
            </w:pPr>
          </w:p>
        </w:tc>
        <w:tc>
          <w:tcPr>
            <w:tcW w:w="680" w:type="pct"/>
            <w:shd w:val="clear" w:color="auto" w:fill="auto"/>
            <w:tcMar>
              <w:left w:w="57" w:type="dxa"/>
              <w:right w:w="57" w:type="dxa"/>
            </w:tcMar>
            <w:vAlign w:val="center"/>
          </w:tcPr>
          <w:p w14:paraId="5CB8F3F1">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9.5.1</w:t>
            </w:r>
          </w:p>
        </w:tc>
        <w:tc>
          <w:tcPr>
            <w:tcW w:w="4050" w:type="pct"/>
            <w:shd w:val="clear" w:color="auto" w:fill="auto"/>
            <w:tcMar>
              <w:left w:w="57" w:type="dxa"/>
              <w:right w:w="57" w:type="dxa"/>
            </w:tcMar>
            <w:vAlign w:val="center"/>
          </w:tcPr>
          <w:p w14:paraId="644E483D">
            <w:pPr>
              <w:jc w:val="left"/>
              <w:rPr>
                <w:rFonts w:eastAsia="仿宋_GB2312"/>
                <w:color w:val="000000" w:themeColor="text1"/>
                <w:sz w:val="18"/>
                <w:szCs w:val="21"/>
              </w:rPr>
            </w:pPr>
            <w:r>
              <w:rPr>
                <w:rFonts w:eastAsia="仿宋_GB2312"/>
                <w:color w:val="000000" w:themeColor="text1"/>
                <w:sz w:val="18"/>
                <w:szCs w:val="21"/>
              </w:rPr>
              <w:t>应当建立顾客反馈处理程序，对顾客反馈信息进行跟踪分析。</w:t>
            </w:r>
          </w:p>
          <w:p w14:paraId="1E4EAC17">
            <w:pPr>
              <w:jc w:val="left"/>
              <w:rPr>
                <w:rFonts w:eastAsia="仿宋_GB2312"/>
                <w:b/>
                <w:bCs/>
                <w:iCs/>
                <w:color w:val="000000" w:themeColor="text1"/>
                <w:sz w:val="18"/>
                <w:szCs w:val="21"/>
              </w:rPr>
            </w:pPr>
            <w:r>
              <w:rPr>
                <w:rFonts w:eastAsia="仿宋_GB2312"/>
                <w:b/>
                <w:bCs/>
                <w:iCs/>
                <w:color w:val="000000" w:themeColor="text1"/>
                <w:sz w:val="18"/>
                <w:szCs w:val="21"/>
              </w:rPr>
              <w:t>查看程序文件是否对上述活动的实施作出了规定，并对顾客反馈信息进行了跟踪和分析。</w:t>
            </w:r>
          </w:p>
        </w:tc>
      </w:tr>
      <w:tr w14:paraId="122A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0" w:hRule="atLeast"/>
          <w:jc w:val="center"/>
        </w:trPr>
        <w:tc>
          <w:tcPr>
            <w:tcW w:w="270" w:type="pct"/>
            <w:vMerge w:val="restart"/>
            <w:shd w:val="clear" w:color="auto" w:fill="auto"/>
            <w:vAlign w:val="center"/>
          </w:tcPr>
          <w:p w14:paraId="571C422A">
            <w:pPr>
              <w:jc w:val="left"/>
              <w:rPr>
                <w:rFonts w:eastAsia="仿宋_GB2312"/>
                <w:b/>
                <w:color w:val="000000"/>
                <w:kern w:val="0"/>
                <w:sz w:val="22"/>
                <w:szCs w:val="28"/>
                <w:lang w:bidi="bn-IN"/>
              </w:rPr>
            </w:pPr>
            <w:r>
              <w:rPr>
                <w:rFonts w:eastAsia="仿宋_GB2312"/>
                <w:b/>
                <w:color w:val="000000"/>
                <w:kern w:val="0"/>
                <w:sz w:val="22"/>
                <w:szCs w:val="28"/>
                <w:lang w:bidi="bn-IN"/>
              </w:rPr>
              <w:t>不</w:t>
            </w:r>
          </w:p>
          <w:p w14:paraId="15A3A6A0">
            <w:pPr>
              <w:jc w:val="left"/>
              <w:rPr>
                <w:rFonts w:eastAsia="仿宋_GB2312"/>
                <w:b/>
                <w:color w:val="000000"/>
                <w:kern w:val="0"/>
                <w:sz w:val="22"/>
                <w:szCs w:val="28"/>
                <w:lang w:bidi="bn-IN"/>
              </w:rPr>
            </w:pPr>
            <w:r>
              <w:rPr>
                <w:rFonts w:eastAsia="仿宋_GB2312"/>
                <w:b/>
                <w:color w:val="000000"/>
                <w:kern w:val="0"/>
                <w:sz w:val="22"/>
                <w:szCs w:val="28"/>
                <w:lang w:bidi="bn-IN"/>
              </w:rPr>
              <w:t>合</w:t>
            </w:r>
          </w:p>
          <w:p w14:paraId="0CF94B86">
            <w:pPr>
              <w:jc w:val="left"/>
              <w:rPr>
                <w:rFonts w:eastAsia="仿宋_GB2312"/>
                <w:b/>
                <w:color w:val="000000"/>
                <w:kern w:val="0"/>
                <w:sz w:val="22"/>
                <w:szCs w:val="28"/>
                <w:lang w:bidi="bn-IN"/>
              </w:rPr>
            </w:pPr>
            <w:r>
              <w:rPr>
                <w:rFonts w:eastAsia="仿宋_GB2312"/>
                <w:b/>
                <w:color w:val="000000"/>
                <w:kern w:val="0"/>
                <w:sz w:val="22"/>
                <w:szCs w:val="28"/>
                <w:lang w:bidi="bn-IN"/>
              </w:rPr>
              <w:t>格</w:t>
            </w:r>
          </w:p>
          <w:p w14:paraId="3CA55D56">
            <w:pPr>
              <w:jc w:val="left"/>
              <w:rPr>
                <w:rFonts w:eastAsia="仿宋_GB2312"/>
                <w:b/>
                <w:color w:val="000000"/>
                <w:kern w:val="0"/>
                <w:sz w:val="22"/>
                <w:szCs w:val="28"/>
                <w:lang w:bidi="bn-IN"/>
              </w:rPr>
            </w:pPr>
            <w:r>
              <w:rPr>
                <w:rFonts w:eastAsia="仿宋_GB2312"/>
                <w:b/>
                <w:color w:val="000000"/>
                <w:kern w:val="0"/>
                <w:sz w:val="22"/>
                <w:szCs w:val="28"/>
                <w:lang w:bidi="bn-IN"/>
              </w:rPr>
              <w:t>品</w:t>
            </w:r>
          </w:p>
          <w:p w14:paraId="5BFA3431">
            <w:pPr>
              <w:jc w:val="left"/>
              <w:rPr>
                <w:rFonts w:eastAsia="仿宋_GB2312"/>
                <w:b/>
                <w:color w:val="000000"/>
                <w:kern w:val="0"/>
                <w:sz w:val="22"/>
                <w:szCs w:val="28"/>
                <w:lang w:bidi="bn-IN"/>
              </w:rPr>
            </w:pPr>
            <w:r>
              <w:rPr>
                <w:rFonts w:eastAsia="仿宋_GB2312"/>
                <w:b/>
                <w:color w:val="000000"/>
                <w:kern w:val="0"/>
                <w:sz w:val="22"/>
                <w:szCs w:val="28"/>
                <w:lang w:bidi="bn-IN"/>
              </w:rPr>
              <w:t>控</w:t>
            </w:r>
          </w:p>
          <w:p w14:paraId="4A2DB30C">
            <w:pPr>
              <w:jc w:val="left"/>
              <w:rPr>
                <w:rFonts w:eastAsia="仿宋_GB2312"/>
                <w:b/>
                <w:color w:val="000000"/>
                <w:kern w:val="0"/>
                <w:sz w:val="22"/>
                <w:szCs w:val="28"/>
                <w:lang w:bidi="bn-IN"/>
              </w:rPr>
            </w:pPr>
            <w:r>
              <w:rPr>
                <w:rFonts w:eastAsia="仿宋_GB2312"/>
                <w:b/>
                <w:color w:val="000000"/>
                <w:kern w:val="0"/>
                <w:sz w:val="22"/>
                <w:szCs w:val="28"/>
                <w:lang w:bidi="bn-IN"/>
              </w:rPr>
              <w:t>制</w:t>
            </w:r>
          </w:p>
          <w:p w14:paraId="4A360BC9">
            <w:pPr>
              <w:jc w:val="left"/>
              <w:rPr>
                <w:rFonts w:eastAsia="仿宋_GB2312"/>
                <w:color w:val="000000"/>
                <w:sz w:val="18"/>
                <w:szCs w:val="21"/>
              </w:rPr>
            </w:pPr>
          </w:p>
        </w:tc>
        <w:tc>
          <w:tcPr>
            <w:tcW w:w="680" w:type="pct"/>
            <w:shd w:val="clear" w:color="auto" w:fill="auto"/>
            <w:tcMar>
              <w:left w:w="57" w:type="dxa"/>
              <w:right w:w="57" w:type="dxa"/>
            </w:tcMar>
            <w:vAlign w:val="center"/>
          </w:tcPr>
          <w:p w14:paraId="24151F27">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10.1.1</w:t>
            </w:r>
          </w:p>
        </w:tc>
        <w:tc>
          <w:tcPr>
            <w:tcW w:w="4050" w:type="pct"/>
            <w:shd w:val="clear" w:color="auto" w:fill="auto"/>
            <w:tcMar>
              <w:left w:w="57" w:type="dxa"/>
              <w:right w:w="57" w:type="dxa"/>
            </w:tcMar>
            <w:vAlign w:val="center"/>
          </w:tcPr>
          <w:p w14:paraId="6BE03B9D">
            <w:pPr>
              <w:jc w:val="left"/>
              <w:rPr>
                <w:rFonts w:eastAsia="仿宋_GB2312"/>
                <w:iCs/>
                <w:color w:val="000000" w:themeColor="text1"/>
                <w:sz w:val="18"/>
                <w:szCs w:val="21"/>
              </w:rPr>
            </w:pPr>
            <w:r>
              <w:rPr>
                <w:rFonts w:eastAsia="仿宋_GB2312"/>
                <w:color w:val="000000" w:themeColor="text1"/>
                <w:sz w:val="18"/>
                <w:szCs w:val="21"/>
              </w:rPr>
              <w:t>应当建立不合格品控制程序，规定不合格品控制的部门和人员的职责与权限。</w:t>
            </w:r>
          </w:p>
        </w:tc>
      </w:tr>
      <w:tr w14:paraId="6D6A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2" w:hRule="atLeast"/>
          <w:jc w:val="center"/>
        </w:trPr>
        <w:tc>
          <w:tcPr>
            <w:tcW w:w="270" w:type="pct"/>
            <w:vMerge w:val="continue"/>
            <w:shd w:val="clear" w:color="auto" w:fill="auto"/>
            <w:vAlign w:val="center"/>
          </w:tcPr>
          <w:p w14:paraId="1BDF28F7">
            <w:pPr>
              <w:jc w:val="left"/>
              <w:rPr>
                <w:rFonts w:eastAsia="仿宋_GB2312"/>
                <w:color w:val="000000"/>
                <w:sz w:val="18"/>
                <w:szCs w:val="21"/>
              </w:rPr>
            </w:pPr>
          </w:p>
        </w:tc>
        <w:tc>
          <w:tcPr>
            <w:tcW w:w="680" w:type="pct"/>
            <w:shd w:val="clear" w:color="auto" w:fill="auto"/>
            <w:tcMar>
              <w:left w:w="57" w:type="dxa"/>
              <w:right w:w="57" w:type="dxa"/>
            </w:tcMar>
            <w:vAlign w:val="center"/>
          </w:tcPr>
          <w:p w14:paraId="0A27AD73">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*10.2.1</w:t>
            </w:r>
          </w:p>
        </w:tc>
        <w:tc>
          <w:tcPr>
            <w:tcW w:w="4050" w:type="pct"/>
            <w:shd w:val="clear" w:color="auto" w:fill="auto"/>
            <w:tcMar>
              <w:left w:w="57" w:type="dxa"/>
              <w:right w:w="57" w:type="dxa"/>
            </w:tcMar>
            <w:vAlign w:val="center"/>
          </w:tcPr>
          <w:p w14:paraId="4C017A78">
            <w:pPr>
              <w:widowControl/>
              <w:adjustRightInd w:val="0"/>
              <w:snapToGrid w:val="0"/>
              <w:rPr>
                <w:rFonts w:eastAsia="仿宋_GB2312"/>
                <w:color w:val="000000" w:themeColor="text1"/>
                <w:kern w:val="0"/>
                <w:sz w:val="18"/>
                <w:szCs w:val="21"/>
              </w:rPr>
            </w:pPr>
            <w:r>
              <w:rPr>
                <w:rFonts w:eastAsia="仿宋_GB2312"/>
                <w:color w:val="000000" w:themeColor="text1"/>
                <w:kern w:val="0"/>
                <w:sz w:val="18"/>
                <w:szCs w:val="21"/>
              </w:rPr>
              <w:t>应当对不合格品进行标识、记录、隔离、评审，根据评审结果，应当对不合格品采取相应的处置措施。</w:t>
            </w:r>
          </w:p>
          <w:p w14:paraId="1C216889">
            <w:pPr>
              <w:jc w:val="left"/>
              <w:rPr>
                <w:rFonts w:eastAsia="仿宋_GB2312"/>
                <w:b/>
                <w:bCs/>
                <w:iCs/>
                <w:color w:val="000000" w:themeColor="text1"/>
                <w:sz w:val="18"/>
                <w:szCs w:val="21"/>
              </w:rPr>
            </w:pPr>
            <w:r>
              <w:rPr>
                <w:rStyle w:val="15"/>
                <w:rFonts w:eastAsia="仿宋_GB2312"/>
                <w:b/>
                <w:i w:val="0"/>
                <w:color w:val="000000" w:themeColor="text1"/>
                <w:sz w:val="18"/>
              </w:rPr>
              <w:t>现场查看不合格品的标识、隔离是否符合程序文件的规定，抽查不合格品处理记录，是否按文件的规定进行评审。</w:t>
            </w:r>
          </w:p>
        </w:tc>
      </w:tr>
      <w:tr w14:paraId="3290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0301CB5D">
            <w:pPr>
              <w:jc w:val="left"/>
              <w:rPr>
                <w:rFonts w:eastAsia="仿宋_GB2312"/>
                <w:color w:val="000000"/>
                <w:sz w:val="18"/>
                <w:szCs w:val="21"/>
              </w:rPr>
            </w:pPr>
          </w:p>
        </w:tc>
        <w:tc>
          <w:tcPr>
            <w:tcW w:w="680" w:type="pct"/>
            <w:shd w:val="clear" w:color="auto" w:fill="auto"/>
            <w:tcMar>
              <w:left w:w="57" w:type="dxa"/>
              <w:right w:w="57" w:type="dxa"/>
            </w:tcMar>
            <w:vAlign w:val="center"/>
          </w:tcPr>
          <w:p w14:paraId="25145572">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10.3.1</w:t>
            </w:r>
          </w:p>
        </w:tc>
        <w:tc>
          <w:tcPr>
            <w:tcW w:w="4050" w:type="pct"/>
            <w:shd w:val="clear" w:color="auto" w:fill="auto"/>
            <w:tcMar>
              <w:left w:w="57" w:type="dxa"/>
              <w:right w:w="57" w:type="dxa"/>
            </w:tcMar>
            <w:vAlign w:val="center"/>
          </w:tcPr>
          <w:p w14:paraId="1D464374">
            <w:pPr>
              <w:jc w:val="left"/>
              <w:rPr>
                <w:rFonts w:eastAsia="仿宋_GB2312"/>
                <w:color w:val="000000" w:themeColor="text1"/>
                <w:sz w:val="18"/>
                <w:szCs w:val="21"/>
              </w:rPr>
            </w:pPr>
            <w:r>
              <w:rPr>
                <w:rFonts w:eastAsia="仿宋_GB2312"/>
                <w:color w:val="000000" w:themeColor="text1"/>
                <w:sz w:val="18"/>
                <w:szCs w:val="21"/>
              </w:rPr>
              <w:t>在产品销售后发现产品不合格时，应及时采取相应措施，如召回、销毁等措施。现场查看在产品销售后发现不合格时的处置措施，是否召回和销毁等。</w:t>
            </w:r>
          </w:p>
        </w:tc>
      </w:tr>
      <w:tr w14:paraId="0B40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4" w:hRule="atLeast"/>
          <w:jc w:val="center"/>
        </w:trPr>
        <w:tc>
          <w:tcPr>
            <w:tcW w:w="270" w:type="pct"/>
            <w:vMerge w:val="continue"/>
            <w:shd w:val="clear" w:color="auto" w:fill="auto"/>
            <w:vAlign w:val="center"/>
          </w:tcPr>
          <w:p w14:paraId="576C7078">
            <w:pPr>
              <w:jc w:val="left"/>
              <w:rPr>
                <w:rFonts w:eastAsia="仿宋_GB2312"/>
                <w:color w:val="000000"/>
                <w:sz w:val="18"/>
                <w:szCs w:val="21"/>
              </w:rPr>
            </w:pPr>
          </w:p>
        </w:tc>
        <w:tc>
          <w:tcPr>
            <w:tcW w:w="680" w:type="pct"/>
            <w:shd w:val="clear" w:color="auto" w:fill="auto"/>
            <w:tcMar>
              <w:left w:w="57" w:type="dxa"/>
              <w:right w:w="57" w:type="dxa"/>
            </w:tcMar>
            <w:vAlign w:val="center"/>
          </w:tcPr>
          <w:p w14:paraId="6F97ED93">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10.4.1</w:t>
            </w:r>
          </w:p>
        </w:tc>
        <w:tc>
          <w:tcPr>
            <w:tcW w:w="4050" w:type="pct"/>
            <w:shd w:val="clear" w:color="auto" w:fill="auto"/>
            <w:tcMar>
              <w:left w:w="57" w:type="dxa"/>
              <w:right w:w="57" w:type="dxa"/>
            </w:tcMar>
            <w:vAlign w:val="center"/>
          </w:tcPr>
          <w:p w14:paraId="6229D7A6">
            <w:pPr>
              <w:jc w:val="left"/>
              <w:rPr>
                <w:rFonts w:eastAsia="仿宋_GB2312"/>
                <w:color w:val="000000" w:themeColor="text1"/>
                <w:sz w:val="18"/>
                <w:szCs w:val="21"/>
              </w:rPr>
            </w:pPr>
            <w:r>
              <w:rPr>
                <w:rFonts w:eastAsia="仿宋_GB2312"/>
                <w:color w:val="000000" w:themeColor="text1"/>
                <w:sz w:val="18"/>
                <w:szCs w:val="21"/>
              </w:rPr>
              <w:t>不合格品可以返工的，企业应当编制返工控制文件。返工控制文件应当包括作业指导书、重新检验和重新验证等内容。</w:t>
            </w:r>
          </w:p>
          <w:p w14:paraId="179683E1">
            <w:pPr>
              <w:jc w:val="left"/>
              <w:rPr>
                <w:rFonts w:eastAsia="仿宋_GB2312"/>
                <w:b/>
                <w:bCs/>
                <w:iCs/>
                <w:color w:val="000000" w:themeColor="text1"/>
                <w:sz w:val="18"/>
                <w:szCs w:val="21"/>
              </w:rPr>
            </w:pPr>
            <w:r>
              <w:rPr>
                <w:rFonts w:eastAsia="仿宋_GB2312"/>
                <w:b/>
                <w:bCs/>
                <w:iCs/>
                <w:color w:val="000000" w:themeColor="text1"/>
                <w:sz w:val="18"/>
                <w:szCs w:val="21"/>
              </w:rPr>
              <w:t>查看返工控制文件，是否对可以返工的不合格品作出规定；抽查返工活动记录，确认是否符合返工控制文件的要求。</w:t>
            </w:r>
          </w:p>
        </w:tc>
      </w:tr>
      <w:tr w14:paraId="3C98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shd w:val="clear" w:color="auto" w:fill="auto"/>
            <w:vAlign w:val="center"/>
          </w:tcPr>
          <w:p w14:paraId="6D17C539">
            <w:pPr>
              <w:jc w:val="left"/>
              <w:rPr>
                <w:rFonts w:eastAsia="仿宋_GB2312"/>
                <w:color w:val="000000"/>
                <w:sz w:val="18"/>
                <w:szCs w:val="21"/>
              </w:rPr>
            </w:pPr>
          </w:p>
        </w:tc>
        <w:tc>
          <w:tcPr>
            <w:tcW w:w="680" w:type="pct"/>
            <w:shd w:val="clear" w:color="auto" w:fill="auto"/>
            <w:tcMar>
              <w:left w:w="57" w:type="dxa"/>
              <w:right w:w="57" w:type="dxa"/>
            </w:tcMar>
            <w:vAlign w:val="center"/>
          </w:tcPr>
          <w:p w14:paraId="7B56E422">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10.4.2</w:t>
            </w:r>
          </w:p>
        </w:tc>
        <w:tc>
          <w:tcPr>
            <w:tcW w:w="4050" w:type="pct"/>
            <w:shd w:val="clear" w:color="auto" w:fill="auto"/>
            <w:tcMar>
              <w:left w:w="57" w:type="dxa"/>
              <w:right w:w="57" w:type="dxa"/>
            </w:tcMar>
            <w:vAlign w:val="center"/>
          </w:tcPr>
          <w:p w14:paraId="6FE1D3D5">
            <w:pPr>
              <w:jc w:val="left"/>
              <w:rPr>
                <w:rFonts w:eastAsia="仿宋_GB2312"/>
                <w:iCs/>
                <w:color w:val="000000" w:themeColor="text1"/>
                <w:sz w:val="18"/>
                <w:szCs w:val="21"/>
              </w:rPr>
            </w:pPr>
            <w:r>
              <w:rPr>
                <w:rFonts w:eastAsia="仿宋_GB2312"/>
                <w:color w:val="000000" w:themeColor="text1"/>
                <w:sz w:val="18"/>
                <w:szCs w:val="21"/>
              </w:rPr>
              <w:t>不能返工的，应当建立相关处置制度。</w:t>
            </w:r>
          </w:p>
        </w:tc>
      </w:tr>
      <w:tr w14:paraId="2FE6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restart"/>
            <w:vAlign w:val="center"/>
          </w:tcPr>
          <w:p w14:paraId="2C38D57F">
            <w:pPr>
              <w:jc w:val="left"/>
              <w:rPr>
                <w:rFonts w:eastAsia="仿宋_GB2312"/>
                <w:b/>
                <w:color w:val="000000"/>
                <w:kern w:val="0"/>
                <w:sz w:val="22"/>
                <w:szCs w:val="28"/>
                <w:lang w:bidi="bn-IN"/>
              </w:rPr>
            </w:pPr>
            <w:r>
              <w:rPr>
                <w:rFonts w:eastAsia="仿宋_GB2312"/>
                <w:b/>
                <w:color w:val="000000"/>
                <w:kern w:val="0"/>
                <w:sz w:val="22"/>
                <w:szCs w:val="28"/>
                <w:lang w:bidi="bn-IN"/>
              </w:rPr>
              <w:t>不良事件监测</w:t>
            </w:r>
          </w:p>
          <w:p w14:paraId="37A343D8">
            <w:pPr>
              <w:jc w:val="left"/>
              <w:rPr>
                <w:rFonts w:eastAsia="仿宋_GB2312"/>
                <w:b/>
                <w:color w:val="000000"/>
                <w:kern w:val="0"/>
                <w:sz w:val="22"/>
                <w:szCs w:val="28"/>
                <w:lang w:bidi="bn-IN"/>
              </w:rPr>
            </w:pPr>
            <w:r>
              <w:rPr>
                <w:rFonts w:eastAsia="仿宋_GB2312"/>
                <w:b/>
                <w:color w:val="000000"/>
                <w:kern w:val="0"/>
                <w:sz w:val="22"/>
                <w:szCs w:val="28"/>
                <w:lang w:bidi="bn-IN"/>
              </w:rPr>
              <w:t>、</w:t>
            </w:r>
          </w:p>
          <w:p w14:paraId="720A5740">
            <w:pPr>
              <w:jc w:val="left"/>
              <w:rPr>
                <w:rFonts w:eastAsia="仿宋_GB2312"/>
                <w:b/>
                <w:color w:val="000000"/>
                <w:kern w:val="0"/>
                <w:sz w:val="22"/>
                <w:szCs w:val="28"/>
                <w:lang w:bidi="bn-IN"/>
              </w:rPr>
            </w:pPr>
            <w:r>
              <w:rPr>
                <w:rFonts w:eastAsia="仿宋_GB2312"/>
                <w:b/>
                <w:color w:val="000000"/>
                <w:kern w:val="0"/>
                <w:sz w:val="22"/>
                <w:szCs w:val="28"/>
                <w:lang w:bidi="bn-IN"/>
              </w:rPr>
              <w:t>分</w:t>
            </w:r>
          </w:p>
          <w:p w14:paraId="68366E9D">
            <w:pPr>
              <w:jc w:val="left"/>
              <w:rPr>
                <w:rFonts w:eastAsia="仿宋_GB2312"/>
                <w:b/>
                <w:color w:val="000000"/>
                <w:kern w:val="0"/>
                <w:sz w:val="22"/>
                <w:szCs w:val="28"/>
                <w:lang w:bidi="bn-IN"/>
              </w:rPr>
            </w:pPr>
            <w:r>
              <w:rPr>
                <w:rFonts w:eastAsia="仿宋_GB2312"/>
                <w:b/>
                <w:color w:val="000000"/>
                <w:kern w:val="0"/>
                <w:sz w:val="22"/>
                <w:szCs w:val="28"/>
                <w:lang w:bidi="bn-IN"/>
              </w:rPr>
              <w:t>析</w:t>
            </w:r>
          </w:p>
          <w:p w14:paraId="6A3F321C">
            <w:pPr>
              <w:jc w:val="left"/>
              <w:rPr>
                <w:rFonts w:eastAsia="仿宋_GB2312"/>
                <w:b/>
                <w:color w:val="000000"/>
                <w:kern w:val="0"/>
                <w:sz w:val="22"/>
                <w:szCs w:val="28"/>
                <w:lang w:bidi="bn-IN"/>
              </w:rPr>
            </w:pPr>
            <w:r>
              <w:rPr>
                <w:rFonts w:eastAsia="仿宋_GB2312"/>
                <w:b/>
                <w:color w:val="000000"/>
                <w:kern w:val="0"/>
                <w:sz w:val="22"/>
                <w:szCs w:val="28"/>
                <w:lang w:bidi="bn-IN"/>
              </w:rPr>
              <w:t>和</w:t>
            </w:r>
          </w:p>
          <w:p w14:paraId="241F35A0">
            <w:pPr>
              <w:jc w:val="left"/>
              <w:rPr>
                <w:rFonts w:eastAsia="仿宋_GB2312"/>
                <w:b/>
                <w:color w:val="000000"/>
                <w:kern w:val="0"/>
                <w:sz w:val="22"/>
                <w:szCs w:val="28"/>
                <w:lang w:bidi="bn-IN"/>
              </w:rPr>
            </w:pPr>
            <w:r>
              <w:rPr>
                <w:rFonts w:eastAsia="仿宋_GB2312"/>
                <w:b/>
                <w:color w:val="000000"/>
                <w:kern w:val="0"/>
                <w:sz w:val="22"/>
                <w:szCs w:val="28"/>
                <w:lang w:bidi="bn-IN"/>
              </w:rPr>
              <w:t>改</w:t>
            </w:r>
          </w:p>
          <w:p w14:paraId="65496831">
            <w:pPr>
              <w:jc w:val="left"/>
              <w:rPr>
                <w:rFonts w:eastAsia="仿宋_GB2312"/>
                <w:color w:val="000000"/>
                <w:sz w:val="18"/>
                <w:szCs w:val="21"/>
              </w:rPr>
            </w:pPr>
            <w:r>
              <w:rPr>
                <w:rFonts w:eastAsia="仿宋_GB2312"/>
                <w:b/>
                <w:color w:val="000000"/>
                <w:kern w:val="0"/>
                <w:sz w:val="22"/>
                <w:szCs w:val="28"/>
                <w:lang w:bidi="bn-IN"/>
              </w:rPr>
              <w:t>进</w:t>
            </w:r>
          </w:p>
        </w:tc>
        <w:tc>
          <w:tcPr>
            <w:tcW w:w="680" w:type="pct"/>
            <w:shd w:val="clear" w:color="auto" w:fill="auto"/>
            <w:tcMar>
              <w:left w:w="57" w:type="dxa"/>
              <w:right w:w="57" w:type="dxa"/>
            </w:tcMar>
            <w:vAlign w:val="center"/>
          </w:tcPr>
          <w:p w14:paraId="2F831B52">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11.1.1</w:t>
            </w:r>
          </w:p>
        </w:tc>
        <w:tc>
          <w:tcPr>
            <w:tcW w:w="4050" w:type="pct"/>
            <w:shd w:val="clear" w:color="auto" w:fill="auto"/>
            <w:tcMar>
              <w:left w:w="57" w:type="dxa"/>
              <w:right w:w="57" w:type="dxa"/>
            </w:tcMar>
            <w:vAlign w:val="center"/>
          </w:tcPr>
          <w:p w14:paraId="4373ED88">
            <w:pPr>
              <w:jc w:val="left"/>
              <w:rPr>
                <w:rFonts w:eastAsia="仿宋_GB2312"/>
                <w:color w:val="000000" w:themeColor="text1"/>
                <w:sz w:val="18"/>
                <w:szCs w:val="21"/>
              </w:rPr>
            </w:pPr>
            <w:r>
              <w:rPr>
                <w:rFonts w:eastAsia="仿宋_GB2312"/>
                <w:color w:val="000000" w:themeColor="text1"/>
                <w:sz w:val="18"/>
                <w:szCs w:val="21"/>
              </w:rPr>
              <w:t>应当指定相关部门负责接收、调查、评价和处理顾客投诉，并保持相关记录。</w:t>
            </w:r>
          </w:p>
          <w:p w14:paraId="1064E3D2">
            <w:pPr>
              <w:jc w:val="left"/>
              <w:rPr>
                <w:rFonts w:eastAsia="仿宋_GB2312"/>
                <w:b/>
                <w:bCs/>
                <w:iCs/>
                <w:color w:val="000000" w:themeColor="text1"/>
                <w:sz w:val="18"/>
                <w:szCs w:val="21"/>
              </w:rPr>
            </w:pPr>
            <w:r>
              <w:rPr>
                <w:rFonts w:eastAsia="仿宋_GB2312"/>
                <w:b/>
                <w:bCs/>
                <w:iCs/>
                <w:color w:val="000000" w:themeColor="text1"/>
                <w:sz w:val="18"/>
                <w:szCs w:val="21"/>
              </w:rPr>
              <w:t>查看有关职责权限的文件，确定是否对上述活动作出规定。</w:t>
            </w:r>
          </w:p>
        </w:tc>
      </w:tr>
      <w:tr w14:paraId="08E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6095222E">
            <w:pPr>
              <w:jc w:val="left"/>
              <w:rPr>
                <w:rFonts w:eastAsia="仿宋_GB2312"/>
                <w:color w:val="000000"/>
                <w:sz w:val="18"/>
                <w:szCs w:val="21"/>
              </w:rPr>
            </w:pPr>
          </w:p>
        </w:tc>
        <w:tc>
          <w:tcPr>
            <w:tcW w:w="680" w:type="pct"/>
            <w:shd w:val="clear" w:color="auto" w:fill="auto"/>
            <w:tcMar>
              <w:left w:w="57" w:type="dxa"/>
              <w:right w:w="57" w:type="dxa"/>
            </w:tcMar>
            <w:vAlign w:val="center"/>
          </w:tcPr>
          <w:p w14:paraId="5BD0D373">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*11.2.1</w:t>
            </w:r>
          </w:p>
        </w:tc>
        <w:tc>
          <w:tcPr>
            <w:tcW w:w="4050" w:type="pct"/>
            <w:shd w:val="clear" w:color="auto" w:fill="auto"/>
            <w:tcMar>
              <w:left w:w="57" w:type="dxa"/>
              <w:right w:w="57" w:type="dxa"/>
            </w:tcMar>
            <w:vAlign w:val="center"/>
          </w:tcPr>
          <w:p w14:paraId="2AFA85C8">
            <w:pPr>
              <w:widowControl/>
              <w:adjustRightInd w:val="0"/>
              <w:snapToGrid w:val="0"/>
              <w:rPr>
                <w:rFonts w:eastAsia="仿宋_GB2312"/>
                <w:color w:val="000000" w:themeColor="text1"/>
                <w:kern w:val="0"/>
                <w:sz w:val="18"/>
                <w:szCs w:val="21"/>
                <w:lang w:bidi="bn-IN"/>
              </w:rPr>
            </w:pPr>
            <w:r>
              <w:rPr>
                <w:rFonts w:eastAsia="仿宋_GB2312"/>
                <w:color w:val="000000" w:themeColor="text1"/>
                <w:kern w:val="0"/>
                <w:sz w:val="18"/>
                <w:szCs w:val="21"/>
                <w:lang w:bidi="bn-IN"/>
              </w:rPr>
              <w:t>应当按照有关法规要求建立医疗器械不良事件监测制度，开展不良事件监测和再评价工作，保持相关记录。</w:t>
            </w:r>
          </w:p>
          <w:p w14:paraId="54F3A5A1">
            <w:pPr>
              <w:jc w:val="left"/>
              <w:rPr>
                <w:rFonts w:eastAsia="仿宋_GB2312"/>
                <w:b/>
                <w:bCs/>
                <w:iCs/>
                <w:color w:val="000000" w:themeColor="text1"/>
                <w:sz w:val="18"/>
                <w:szCs w:val="21"/>
              </w:rPr>
            </w:pPr>
            <w:r>
              <w:rPr>
                <w:rStyle w:val="15"/>
                <w:rFonts w:eastAsia="仿宋_GB2312"/>
                <w:b/>
                <w:i w:val="0"/>
                <w:color w:val="000000" w:themeColor="text1"/>
                <w:sz w:val="18"/>
              </w:rPr>
              <w:t>查看企业建立的不良事件的监测制度，是否</w:t>
            </w:r>
            <w:r>
              <w:rPr>
                <w:rFonts w:eastAsia="仿宋_GB2312"/>
                <w:b/>
                <w:color w:val="000000" w:themeColor="text1"/>
                <w:kern w:val="0"/>
                <w:sz w:val="18"/>
                <w:szCs w:val="21"/>
              </w:rPr>
              <w:t>规定了可疑不良事件管理人员的职责、报告原则、上报程序、上报时限，制定了启动实施医疗器械再评价的程序和文件等，并符合法规要求。</w:t>
            </w:r>
            <w:r>
              <w:rPr>
                <w:rStyle w:val="15"/>
                <w:rFonts w:eastAsia="仿宋_GB2312"/>
                <w:b/>
                <w:i w:val="0"/>
                <w:color w:val="000000" w:themeColor="text1"/>
                <w:sz w:val="18"/>
              </w:rPr>
              <w:t>查看相关记录，确认是否存在不良事件，并按规定要求实施。</w:t>
            </w:r>
          </w:p>
        </w:tc>
      </w:tr>
      <w:tr w14:paraId="7E56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7EED5C47">
            <w:pPr>
              <w:jc w:val="left"/>
              <w:rPr>
                <w:rFonts w:eastAsia="仿宋_GB2312"/>
                <w:color w:val="000000"/>
                <w:sz w:val="18"/>
                <w:szCs w:val="21"/>
              </w:rPr>
            </w:pPr>
          </w:p>
        </w:tc>
        <w:tc>
          <w:tcPr>
            <w:tcW w:w="680" w:type="pct"/>
            <w:shd w:val="clear" w:color="auto" w:fill="auto"/>
            <w:tcMar>
              <w:left w:w="57" w:type="dxa"/>
              <w:right w:w="57" w:type="dxa"/>
            </w:tcMar>
            <w:vAlign w:val="center"/>
          </w:tcPr>
          <w:p w14:paraId="09F85D73">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11.3.1</w:t>
            </w:r>
          </w:p>
        </w:tc>
        <w:tc>
          <w:tcPr>
            <w:tcW w:w="4050" w:type="pct"/>
            <w:shd w:val="clear" w:color="auto" w:fill="auto"/>
            <w:tcMar>
              <w:left w:w="57" w:type="dxa"/>
              <w:right w:w="57" w:type="dxa"/>
            </w:tcMar>
            <w:vAlign w:val="center"/>
          </w:tcPr>
          <w:p w14:paraId="4F3D397B">
            <w:pPr>
              <w:jc w:val="left"/>
              <w:rPr>
                <w:rFonts w:eastAsia="仿宋_GB2312"/>
                <w:color w:val="000000" w:themeColor="text1"/>
                <w:sz w:val="18"/>
                <w:szCs w:val="21"/>
              </w:rPr>
            </w:pPr>
            <w:r>
              <w:rPr>
                <w:rFonts w:eastAsia="仿宋_GB2312"/>
                <w:color w:val="000000" w:themeColor="text1"/>
                <w:sz w:val="18"/>
                <w:szCs w:val="21"/>
              </w:rPr>
              <w:t>应当建立数据分析程序，收集分析与产品质量、不良事件、顾客反馈和质量管理体系运行有关的数据，验证产品安全性和有效性，并保持相关记录。</w:t>
            </w:r>
          </w:p>
          <w:p w14:paraId="5B699738">
            <w:pPr>
              <w:jc w:val="left"/>
              <w:rPr>
                <w:rFonts w:eastAsia="仿宋_GB2312"/>
                <w:b/>
                <w:color w:val="000000" w:themeColor="text1"/>
                <w:sz w:val="18"/>
                <w:szCs w:val="21"/>
              </w:rPr>
            </w:pPr>
            <w:r>
              <w:rPr>
                <w:rFonts w:eastAsia="仿宋_GB2312"/>
                <w:b/>
                <w:iCs/>
                <w:color w:val="000000" w:themeColor="text1"/>
                <w:sz w:val="18"/>
                <w:szCs w:val="21"/>
              </w:rPr>
              <w:t>查看数据分析的实施记录，是否按程序规定进行，是否应用了统计技术并保留了数据分析结果的记录。</w:t>
            </w:r>
          </w:p>
        </w:tc>
      </w:tr>
      <w:tr w14:paraId="6F8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2F0407A3">
            <w:pPr>
              <w:jc w:val="left"/>
              <w:rPr>
                <w:rFonts w:eastAsia="仿宋_GB2312"/>
                <w:color w:val="000000"/>
                <w:sz w:val="18"/>
                <w:szCs w:val="21"/>
              </w:rPr>
            </w:pPr>
          </w:p>
        </w:tc>
        <w:tc>
          <w:tcPr>
            <w:tcW w:w="680" w:type="pct"/>
            <w:shd w:val="clear" w:color="auto" w:fill="auto"/>
            <w:tcMar>
              <w:left w:w="57" w:type="dxa"/>
              <w:right w:w="57" w:type="dxa"/>
            </w:tcMar>
            <w:vAlign w:val="center"/>
          </w:tcPr>
          <w:p w14:paraId="2E30DEFD">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11.4.1</w:t>
            </w:r>
          </w:p>
        </w:tc>
        <w:tc>
          <w:tcPr>
            <w:tcW w:w="4050" w:type="pct"/>
            <w:shd w:val="clear" w:color="auto" w:fill="auto"/>
            <w:tcMar>
              <w:left w:w="57" w:type="dxa"/>
              <w:right w:w="57" w:type="dxa"/>
            </w:tcMar>
            <w:vAlign w:val="center"/>
          </w:tcPr>
          <w:p w14:paraId="373A1EC3">
            <w:pPr>
              <w:jc w:val="left"/>
              <w:rPr>
                <w:rFonts w:eastAsia="仿宋_GB2312"/>
                <w:color w:val="000000" w:themeColor="text1"/>
                <w:sz w:val="18"/>
                <w:szCs w:val="21"/>
              </w:rPr>
            </w:pPr>
            <w:r>
              <w:rPr>
                <w:rFonts w:eastAsia="仿宋_GB2312"/>
                <w:color w:val="000000" w:themeColor="text1"/>
                <w:sz w:val="18"/>
                <w:szCs w:val="21"/>
              </w:rPr>
              <w:t>应当建立纠正措施程序，确定产生问题的原因，采取有效措施，防止相关问题再次发生。</w:t>
            </w:r>
          </w:p>
        </w:tc>
      </w:tr>
      <w:tr w14:paraId="131A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06B78283">
            <w:pPr>
              <w:jc w:val="left"/>
              <w:rPr>
                <w:rFonts w:eastAsia="仿宋_GB2312"/>
                <w:color w:val="000000"/>
                <w:sz w:val="18"/>
                <w:szCs w:val="21"/>
              </w:rPr>
            </w:pPr>
          </w:p>
        </w:tc>
        <w:tc>
          <w:tcPr>
            <w:tcW w:w="680" w:type="pct"/>
            <w:shd w:val="clear" w:color="auto" w:fill="auto"/>
            <w:tcMar>
              <w:left w:w="57" w:type="dxa"/>
              <w:right w:w="57" w:type="dxa"/>
            </w:tcMar>
            <w:vAlign w:val="center"/>
          </w:tcPr>
          <w:p w14:paraId="1222FDDD">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11.4.2</w:t>
            </w:r>
          </w:p>
        </w:tc>
        <w:tc>
          <w:tcPr>
            <w:tcW w:w="4050" w:type="pct"/>
            <w:shd w:val="clear" w:color="auto" w:fill="auto"/>
            <w:tcMar>
              <w:left w:w="57" w:type="dxa"/>
              <w:right w:w="57" w:type="dxa"/>
            </w:tcMar>
            <w:vAlign w:val="center"/>
          </w:tcPr>
          <w:p w14:paraId="711491E5">
            <w:pPr>
              <w:jc w:val="left"/>
              <w:rPr>
                <w:rFonts w:eastAsia="仿宋_GB2312"/>
                <w:iCs/>
                <w:color w:val="000000" w:themeColor="text1"/>
                <w:sz w:val="18"/>
                <w:szCs w:val="21"/>
              </w:rPr>
            </w:pPr>
            <w:r>
              <w:rPr>
                <w:rFonts w:eastAsia="仿宋_GB2312"/>
                <w:color w:val="000000" w:themeColor="text1"/>
                <w:sz w:val="18"/>
                <w:szCs w:val="21"/>
              </w:rPr>
              <w:t>应当建立预防措施程序，确定潜在问题的原因，采取有效措施，防止问题发生。</w:t>
            </w:r>
          </w:p>
        </w:tc>
      </w:tr>
      <w:tr w14:paraId="68BE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7F610238">
            <w:pPr>
              <w:jc w:val="left"/>
              <w:rPr>
                <w:rFonts w:eastAsia="仿宋_GB2312"/>
                <w:color w:val="000000"/>
                <w:sz w:val="18"/>
                <w:szCs w:val="21"/>
              </w:rPr>
            </w:pPr>
          </w:p>
        </w:tc>
        <w:tc>
          <w:tcPr>
            <w:tcW w:w="680" w:type="pct"/>
            <w:shd w:val="clear" w:color="auto" w:fill="auto"/>
            <w:tcMar>
              <w:left w:w="57" w:type="dxa"/>
              <w:right w:w="57" w:type="dxa"/>
            </w:tcMar>
            <w:vAlign w:val="center"/>
          </w:tcPr>
          <w:p w14:paraId="539433ED">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*11.5.1</w:t>
            </w:r>
          </w:p>
        </w:tc>
        <w:tc>
          <w:tcPr>
            <w:tcW w:w="4050" w:type="pct"/>
            <w:shd w:val="clear" w:color="auto" w:fill="auto"/>
            <w:tcMar>
              <w:left w:w="57" w:type="dxa"/>
              <w:right w:w="57" w:type="dxa"/>
            </w:tcMar>
            <w:vAlign w:val="center"/>
          </w:tcPr>
          <w:p w14:paraId="34B53FF3">
            <w:pPr>
              <w:jc w:val="left"/>
              <w:rPr>
                <w:rFonts w:eastAsia="仿宋_GB2312"/>
                <w:iCs/>
                <w:color w:val="000000" w:themeColor="text1"/>
                <w:sz w:val="18"/>
                <w:szCs w:val="21"/>
              </w:rPr>
            </w:pPr>
            <w:r>
              <w:rPr>
                <w:rFonts w:eastAsia="仿宋_GB2312"/>
                <w:color w:val="000000" w:themeColor="text1"/>
                <w:sz w:val="18"/>
                <w:szCs w:val="21"/>
              </w:rPr>
              <w:t>对存在安全隐患的医疗器械，应当按照有关法规要求采取召回等措施，并按规定向有关部门报告。</w:t>
            </w:r>
          </w:p>
        </w:tc>
      </w:tr>
      <w:tr w14:paraId="74E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4987541A">
            <w:pPr>
              <w:jc w:val="left"/>
              <w:rPr>
                <w:rFonts w:eastAsia="仿宋_GB2312"/>
                <w:color w:val="000000"/>
                <w:sz w:val="18"/>
                <w:szCs w:val="21"/>
              </w:rPr>
            </w:pPr>
          </w:p>
        </w:tc>
        <w:tc>
          <w:tcPr>
            <w:tcW w:w="680" w:type="pct"/>
            <w:shd w:val="clear" w:color="auto" w:fill="auto"/>
            <w:tcMar>
              <w:left w:w="57" w:type="dxa"/>
              <w:right w:w="57" w:type="dxa"/>
            </w:tcMar>
            <w:vAlign w:val="center"/>
          </w:tcPr>
          <w:p w14:paraId="186F397F">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11.6.1</w:t>
            </w:r>
          </w:p>
        </w:tc>
        <w:tc>
          <w:tcPr>
            <w:tcW w:w="4050" w:type="pct"/>
            <w:shd w:val="clear" w:color="auto" w:fill="auto"/>
            <w:tcMar>
              <w:left w:w="57" w:type="dxa"/>
              <w:right w:w="57" w:type="dxa"/>
            </w:tcMar>
            <w:vAlign w:val="center"/>
          </w:tcPr>
          <w:p w14:paraId="569A6D3E">
            <w:pPr>
              <w:jc w:val="left"/>
              <w:rPr>
                <w:rFonts w:eastAsia="仿宋_GB2312"/>
                <w:iCs/>
                <w:color w:val="000000" w:themeColor="text1"/>
                <w:sz w:val="18"/>
                <w:szCs w:val="21"/>
              </w:rPr>
            </w:pPr>
            <w:r>
              <w:rPr>
                <w:rFonts w:eastAsia="仿宋_GB2312"/>
                <w:color w:val="000000" w:themeColor="text1"/>
                <w:sz w:val="18"/>
                <w:szCs w:val="21"/>
              </w:rPr>
              <w:t>应当建立产品信息告知程序，及时将产品变动、使用等补充信息通知使用单位、相关企业或消费者。</w:t>
            </w:r>
          </w:p>
        </w:tc>
      </w:tr>
      <w:tr w14:paraId="2C17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70" w:type="pct"/>
            <w:vMerge w:val="continue"/>
            <w:vAlign w:val="center"/>
          </w:tcPr>
          <w:p w14:paraId="0CAFE06F">
            <w:pPr>
              <w:jc w:val="left"/>
              <w:rPr>
                <w:rFonts w:eastAsia="仿宋_GB2312"/>
                <w:color w:val="000000"/>
                <w:sz w:val="18"/>
                <w:szCs w:val="21"/>
              </w:rPr>
            </w:pPr>
          </w:p>
        </w:tc>
        <w:tc>
          <w:tcPr>
            <w:tcW w:w="680" w:type="pct"/>
            <w:shd w:val="clear" w:color="auto" w:fill="auto"/>
            <w:tcMar>
              <w:left w:w="57" w:type="dxa"/>
              <w:right w:w="57" w:type="dxa"/>
            </w:tcMar>
            <w:vAlign w:val="center"/>
          </w:tcPr>
          <w:p w14:paraId="0B422347">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11.7.1</w:t>
            </w:r>
          </w:p>
        </w:tc>
        <w:tc>
          <w:tcPr>
            <w:tcW w:w="4050" w:type="pct"/>
            <w:shd w:val="clear" w:color="auto" w:fill="auto"/>
            <w:tcMar>
              <w:left w:w="57" w:type="dxa"/>
              <w:right w:w="57" w:type="dxa"/>
            </w:tcMar>
            <w:vAlign w:val="center"/>
          </w:tcPr>
          <w:p w14:paraId="7F63447F">
            <w:pPr>
              <w:jc w:val="left"/>
              <w:rPr>
                <w:rFonts w:eastAsia="仿宋_GB2312"/>
                <w:color w:val="000000" w:themeColor="text1"/>
                <w:sz w:val="18"/>
                <w:szCs w:val="21"/>
              </w:rPr>
            </w:pPr>
            <w:r>
              <w:rPr>
                <w:rFonts w:eastAsia="仿宋_GB2312"/>
                <w:color w:val="000000" w:themeColor="text1"/>
                <w:sz w:val="18"/>
                <w:szCs w:val="21"/>
              </w:rPr>
              <w:t>应当建立质量管理体系内部审核程序，规定审核的准则、范围、频次、参加人员、方法、记录要求、纠正预防措施有效性的评定等内容，以确保质量管理体系符合本规范的要求。</w:t>
            </w:r>
          </w:p>
          <w:p w14:paraId="3FA165E6">
            <w:pPr>
              <w:jc w:val="left"/>
              <w:rPr>
                <w:rFonts w:eastAsia="仿宋_GB2312"/>
                <w:b/>
                <w:bCs/>
                <w:iCs/>
                <w:color w:val="000000" w:themeColor="text1"/>
                <w:sz w:val="18"/>
                <w:szCs w:val="21"/>
              </w:rPr>
            </w:pPr>
            <w:r>
              <w:rPr>
                <w:rFonts w:eastAsia="仿宋_GB2312"/>
                <w:b/>
                <w:bCs/>
                <w:iCs/>
                <w:color w:val="000000" w:themeColor="text1"/>
                <w:sz w:val="18"/>
                <w:szCs w:val="21"/>
              </w:rPr>
              <w:t>查看内部审核程序是否包括了上述内容。查看内审资料，实施内审的人员是否经过培训，内审的记录是否符合要求，针对内审发现的问题是否采取了纠正措施，是否有效。</w:t>
            </w:r>
          </w:p>
        </w:tc>
      </w:tr>
      <w:tr w14:paraId="4E3E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270" w:type="pct"/>
            <w:vMerge w:val="continue"/>
            <w:vAlign w:val="center"/>
          </w:tcPr>
          <w:p w14:paraId="52F77D34">
            <w:pPr>
              <w:jc w:val="left"/>
              <w:rPr>
                <w:rFonts w:eastAsia="仿宋_GB2312"/>
                <w:color w:val="000000"/>
                <w:sz w:val="18"/>
                <w:szCs w:val="21"/>
              </w:rPr>
            </w:pPr>
          </w:p>
        </w:tc>
        <w:tc>
          <w:tcPr>
            <w:tcW w:w="680" w:type="pct"/>
            <w:shd w:val="clear" w:color="auto" w:fill="auto"/>
            <w:tcMar>
              <w:left w:w="57" w:type="dxa"/>
              <w:right w:w="57" w:type="dxa"/>
            </w:tcMar>
            <w:vAlign w:val="center"/>
          </w:tcPr>
          <w:p w14:paraId="7EA820C4">
            <w:pPr>
              <w:widowControl/>
              <w:adjustRightInd w:val="0"/>
              <w:snapToGrid w:val="0"/>
              <w:jc w:val="center"/>
              <w:rPr>
                <w:rFonts w:eastAsia="仿宋_GB2312"/>
                <w:color w:val="000000" w:themeColor="text1"/>
                <w:kern w:val="0"/>
                <w:sz w:val="18"/>
                <w:szCs w:val="21"/>
                <w:lang w:bidi="bn-IN"/>
              </w:rPr>
            </w:pPr>
            <w:r>
              <w:rPr>
                <w:rFonts w:eastAsia="仿宋_GB2312"/>
                <w:color w:val="000000" w:themeColor="text1"/>
                <w:kern w:val="0"/>
                <w:sz w:val="18"/>
                <w:szCs w:val="21"/>
                <w:lang w:bidi="bn-IN"/>
              </w:rPr>
              <w:t>*11.8.1</w:t>
            </w:r>
          </w:p>
        </w:tc>
        <w:tc>
          <w:tcPr>
            <w:tcW w:w="4050" w:type="pct"/>
            <w:shd w:val="clear" w:color="auto" w:fill="auto"/>
            <w:tcMar>
              <w:left w:w="57" w:type="dxa"/>
              <w:right w:w="57" w:type="dxa"/>
            </w:tcMar>
            <w:vAlign w:val="center"/>
          </w:tcPr>
          <w:p w14:paraId="508252E6">
            <w:pPr>
              <w:jc w:val="left"/>
              <w:rPr>
                <w:rFonts w:eastAsia="仿宋_GB2312"/>
                <w:iCs/>
                <w:color w:val="000000" w:themeColor="text1"/>
                <w:sz w:val="18"/>
                <w:szCs w:val="21"/>
              </w:rPr>
            </w:pPr>
            <w:r>
              <w:rPr>
                <w:rFonts w:eastAsia="仿宋_GB2312"/>
                <w:color w:val="000000" w:themeColor="text1"/>
                <w:sz w:val="18"/>
                <w:szCs w:val="21"/>
              </w:rPr>
              <w:t>应当定期开展管理评审，对质量管理体系进行评价和审核，以确保其</w:t>
            </w:r>
            <w:r>
              <w:rPr>
                <w:rFonts w:eastAsia="仿宋_GB2312"/>
                <w:iCs/>
                <w:color w:val="000000" w:themeColor="text1"/>
                <w:sz w:val="18"/>
                <w:szCs w:val="21"/>
              </w:rPr>
              <w:t>持续的适宜性、充分性和有效性。</w:t>
            </w:r>
          </w:p>
          <w:p w14:paraId="44B7BF73">
            <w:pPr>
              <w:jc w:val="left"/>
              <w:rPr>
                <w:rFonts w:eastAsia="仿宋_GB2312"/>
                <w:b/>
                <w:bCs/>
                <w:iCs/>
                <w:color w:val="000000" w:themeColor="text1"/>
                <w:sz w:val="18"/>
                <w:szCs w:val="21"/>
              </w:rPr>
            </w:pPr>
            <w:r>
              <w:rPr>
                <w:rFonts w:eastAsia="仿宋_GB2312"/>
                <w:b/>
                <w:bCs/>
                <w:iCs/>
                <w:color w:val="000000" w:themeColor="text1"/>
                <w:sz w:val="18"/>
                <w:szCs w:val="21"/>
              </w:rPr>
              <w:t>查看管理评审文件和记录，应包括管理评审计划、管理评审报告以及相关改进措施，管理评审报告中是否包括了对法规符合性的评价。是否在规定时间内进行了管理评审，是否提出了改进措施并落实具体职责和要求，是否按计划实施。</w:t>
            </w:r>
          </w:p>
        </w:tc>
      </w:tr>
    </w:tbl>
    <w:p w14:paraId="1A22EA69">
      <w:pPr>
        <w:ind w:firstLine="220" w:firstLineChars="100"/>
        <w:jc w:val="left"/>
        <w:rPr>
          <w:rFonts w:ascii="仿宋_GB2312" w:eastAsia="仿宋_GB2312"/>
          <w:sz w:val="22"/>
          <w:szCs w:val="28"/>
        </w:rPr>
      </w:pPr>
    </w:p>
    <w:p w14:paraId="5DCC1E22">
      <w:pPr>
        <w:ind w:firstLine="453" w:firstLineChars="189"/>
        <w:rPr>
          <w:rFonts w:ascii="黑体" w:hAnsi="黑体" w:eastAsia="黑体"/>
          <w:sz w:val="24"/>
          <w:szCs w:val="30"/>
        </w:rPr>
      </w:pPr>
      <w:r>
        <w:rPr>
          <w:rFonts w:hint="eastAsia" w:ascii="黑体" w:hAnsi="黑体" w:eastAsia="黑体"/>
          <w:sz w:val="24"/>
          <w:szCs w:val="30"/>
        </w:rPr>
        <w:t>注解：</w:t>
      </w:r>
    </w:p>
    <w:p w14:paraId="719AFC19">
      <w:pPr>
        <w:ind w:firstLine="440" w:firstLineChars="200"/>
        <w:rPr>
          <w:rFonts w:eastAsia="仿宋_GB2312"/>
          <w:sz w:val="22"/>
          <w:szCs w:val="28"/>
        </w:rPr>
      </w:pPr>
      <w:r>
        <w:rPr>
          <w:rFonts w:eastAsia="仿宋_GB2312"/>
          <w:sz w:val="22"/>
          <w:szCs w:val="28"/>
        </w:rPr>
        <w:t>1.本指导原则条款编号的编排方式为：X</w:t>
      </w:r>
      <w:r>
        <w:rPr>
          <w:rFonts w:eastAsia="仿宋_GB2312"/>
          <w:sz w:val="22"/>
          <w:szCs w:val="28"/>
          <w:vertAlign w:val="subscript"/>
        </w:rPr>
        <w:t>1</w:t>
      </w:r>
      <w:r>
        <w:rPr>
          <w:rFonts w:eastAsia="仿宋_GB2312"/>
          <w:sz w:val="22"/>
          <w:szCs w:val="28"/>
        </w:rPr>
        <w:t>.X</w:t>
      </w:r>
      <w:r>
        <w:rPr>
          <w:rFonts w:eastAsia="仿宋_GB2312"/>
          <w:sz w:val="22"/>
          <w:szCs w:val="28"/>
          <w:vertAlign w:val="subscript"/>
        </w:rPr>
        <w:t>2</w:t>
      </w:r>
      <w:r>
        <w:rPr>
          <w:rFonts w:eastAsia="仿宋_GB2312"/>
          <w:sz w:val="22"/>
          <w:szCs w:val="28"/>
        </w:rPr>
        <w:t>.X</w:t>
      </w:r>
      <w:r>
        <w:rPr>
          <w:rFonts w:eastAsia="仿宋_GB2312"/>
          <w:sz w:val="22"/>
          <w:szCs w:val="28"/>
          <w:vertAlign w:val="subscript"/>
        </w:rPr>
        <w:t>3</w:t>
      </w:r>
      <w:r>
        <w:rPr>
          <w:rFonts w:eastAsia="仿宋_GB2312"/>
          <w:sz w:val="22"/>
          <w:szCs w:val="28"/>
        </w:rPr>
        <w:t>，其中X</w:t>
      </w:r>
      <w:r>
        <w:rPr>
          <w:rFonts w:eastAsia="仿宋_GB2312"/>
          <w:sz w:val="22"/>
          <w:szCs w:val="28"/>
          <w:vertAlign w:val="subscript"/>
        </w:rPr>
        <w:t>1</w:t>
      </w:r>
      <w:r>
        <w:rPr>
          <w:rFonts w:eastAsia="仿宋_GB2312"/>
          <w:sz w:val="22"/>
          <w:szCs w:val="28"/>
        </w:rPr>
        <w:t>为章节的顺序号，如1.1.1的第一位X</w:t>
      </w:r>
      <w:r>
        <w:rPr>
          <w:rFonts w:eastAsia="仿宋_GB2312"/>
          <w:sz w:val="22"/>
          <w:szCs w:val="28"/>
          <w:vertAlign w:val="subscript"/>
        </w:rPr>
        <w:t>1</w:t>
      </w:r>
      <w:r>
        <w:rPr>
          <w:rFonts w:eastAsia="仿宋_GB2312"/>
          <w:sz w:val="22"/>
          <w:szCs w:val="28"/>
        </w:rPr>
        <w:t>表示“机构与人员”章节，2.1.1的第一位X</w:t>
      </w:r>
      <w:r>
        <w:rPr>
          <w:rFonts w:eastAsia="仿宋_GB2312"/>
          <w:sz w:val="22"/>
          <w:szCs w:val="28"/>
          <w:vertAlign w:val="subscript"/>
        </w:rPr>
        <w:t>1</w:t>
      </w:r>
      <w:r>
        <w:rPr>
          <w:rFonts w:eastAsia="仿宋_GB2312"/>
          <w:sz w:val="22"/>
          <w:szCs w:val="28"/>
        </w:rPr>
        <w:t>表示“厂房与设施”章节；X</w:t>
      </w:r>
      <w:r>
        <w:rPr>
          <w:rFonts w:eastAsia="仿宋_GB2312"/>
          <w:sz w:val="22"/>
          <w:szCs w:val="28"/>
          <w:vertAlign w:val="subscript"/>
        </w:rPr>
        <w:t>2</w:t>
      </w:r>
      <w:r>
        <w:rPr>
          <w:rFonts w:eastAsia="仿宋_GB2312"/>
          <w:sz w:val="22"/>
          <w:szCs w:val="28"/>
        </w:rPr>
        <w:t>为同一章节内条款的顺序号，如1.1.1的第二位X</w:t>
      </w:r>
      <w:r>
        <w:rPr>
          <w:rFonts w:eastAsia="仿宋_GB2312"/>
          <w:sz w:val="22"/>
          <w:szCs w:val="28"/>
          <w:vertAlign w:val="subscript"/>
        </w:rPr>
        <w:t>2</w:t>
      </w:r>
      <w:r>
        <w:rPr>
          <w:rFonts w:eastAsia="仿宋_GB2312"/>
          <w:sz w:val="22"/>
          <w:szCs w:val="28"/>
        </w:rPr>
        <w:t>表示“机构与人员”章节第一条要求，1.2.1的第二位X</w:t>
      </w:r>
      <w:r>
        <w:rPr>
          <w:rFonts w:eastAsia="仿宋_GB2312"/>
          <w:sz w:val="22"/>
          <w:szCs w:val="28"/>
          <w:vertAlign w:val="subscript"/>
        </w:rPr>
        <w:t>2</w:t>
      </w:r>
      <w:r>
        <w:rPr>
          <w:rFonts w:eastAsia="仿宋_GB2312"/>
          <w:sz w:val="22"/>
          <w:szCs w:val="28"/>
        </w:rPr>
        <w:t>表示“机构与人员”章节第二条要求；X</w:t>
      </w:r>
      <w:r>
        <w:rPr>
          <w:rFonts w:eastAsia="仿宋_GB2312"/>
          <w:sz w:val="22"/>
          <w:szCs w:val="28"/>
          <w:vertAlign w:val="subscript"/>
        </w:rPr>
        <w:t>3</w:t>
      </w:r>
      <w:r>
        <w:rPr>
          <w:rFonts w:eastAsia="仿宋_GB2312"/>
          <w:sz w:val="22"/>
          <w:szCs w:val="28"/>
        </w:rPr>
        <w:t>为同一条款内细化的检查指导的顺序号，如1.1.1的第三位X</w:t>
      </w:r>
      <w:r>
        <w:rPr>
          <w:rFonts w:eastAsia="仿宋_GB2312"/>
          <w:sz w:val="22"/>
          <w:szCs w:val="28"/>
          <w:vertAlign w:val="subscript"/>
        </w:rPr>
        <w:t>3</w:t>
      </w:r>
      <w:r>
        <w:rPr>
          <w:rFonts w:eastAsia="仿宋_GB2312"/>
          <w:sz w:val="22"/>
          <w:szCs w:val="28"/>
        </w:rPr>
        <w:t>表示“机构与人员”章节对第一条要求细化的第一个检查要点，1.1.2的第三位X</w:t>
      </w:r>
      <w:r>
        <w:rPr>
          <w:rFonts w:eastAsia="仿宋_GB2312"/>
          <w:sz w:val="22"/>
          <w:szCs w:val="28"/>
          <w:vertAlign w:val="subscript"/>
        </w:rPr>
        <w:t>3</w:t>
      </w:r>
      <w:r>
        <w:rPr>
          <w:rFonts w:eastAsia="仿宋_GB2312"/>
          <w:sz w:val="22"/>
          <w:szCs w:val="28"/>
        </w:rPr>
        <w:t>表示“机构与人员”章节对第一条要求细化的第二个检查要点。</w:t>
      </w:r>
    </w:p>
    <w:p w14:paraId="618E71C6">
      <w:pPr>
        <w:ind w:firstLine="440" w:firstLineChars="200"/>
        <w:rPr>
          <w:rFonts w:eastAsia="仿宋_GB2312"/>
          <w:sz w:val="24"/>
          <w:szCs w:val="30"/>
        </w:rPr>
      </w:pPr>
      <w:r>
        <w:rPr>
          <w:rFonts w:eastAsia="仿宋_GB2312"/>
          <w:sz w:val="22"/>
          <w:szCs w:val="28"/>
        </w:rPr>
        <w:t>其他章节编号规则相同。</w:t>
      </w:r>
    </w:p>
    <w:p w14:paraId="62041DE3">
      <w:pPr>
        <w:ind w:firstLine="440" w:firstLineChars="200"/>
        <w:rPr>
          <w:rFonts w:eastAsia="仿宋_GB2312"/>
          <w:sz w:val="22"/>
          <w:szCs w:val="28"/>
        </w:rPr>
      </w:pPr>
      <w:r>
        <w:rPr>
          <w:rFonts w:eastAsia="仿宋_GB2312"/>
          <w:sz w:val="22"/>
          <w:szCs w:val="28"/>
        </w:rPr>
        <w:t>2.每一章节的检查指导原则由前后两部分组成，每章的前半部分是按照《医疗器械生产质量规范》所规定条款制定的检查指导，每章的后半部是按照《医疗器械生产质量规范附录体外诊断试剂》所规定条款制定的检查指导。</w:t>
      </w:r>
    </w:p>
    <w:p w14:paraId="0458174E">
      <w:pPr>
        <w:ind w:firstLine="440" w:firstLineChars="200"/>
        <w:rPr>
          <w:rFonts w:eastAsia="仿宋_GB2312"/>
          <w:sz w:val="22"/>
          <w:szCs w:val="28"/>
        </w:rPr>
      </w:pPr>
    </w:p>
    <w:p w14:paraId="7C6C0490">
      <w:pPr>
        <w:ind w:firstLine="440" w:firstLineChars="200"/>
        <w:rPr>
          <w:rFonts w:eastAsia="仿宋_GB2312"/>
          <w:sz w:val="22"/>
          <w:szCs w:val="28"/>
        </w:rPr>
      </w:pPr>
    </w:p>
    <w:p w14:paraId="23EEEE5C">
      <w:pPr>
        <w:rPr>
          <w:rFonts w:eastAsia="仿宋_GB2312"/>
          <w:sz w:val="22"/>
          <w:szCs w:val="28"/>
        </w:rPr>
      </w:pPr>
    </w:p>
    <w:p w14:paraId="756B22E3">
      <w:pPr>
        <w:rPr>
          <w:rFonts w:ascii="仿宋" w:hAnsi="仿宋" w:eastAsia="仿宋"/>
          <w:sz w:val="24"/>
          <w:szCs w:val="30"/>
        </w:rPr>
      </w:pPr>
    </w:p>
    <w:p w14:paraId="56CFA93A">
      <w:pPr>
        <w:ind w:firstLine="220" w:firstLineChars="100"/>
        <w:rPr>
          <w:rFonts w:eastAsia="仿宋_GB2312"/>
          <w:sz w:val="22"/>
          <w:szCs w:val="28"/>
        </w:rPr>
      </w:pPr>
      <w:r>
        <w:rPr>
          <w:rFonts w:eastAsia="仿宋_GB2312"/>
          <w:color w:val="FFFFFF"/>
          <w:sz w:val="22"/>
          <w:szCs w:val="28"/>
        </w:rPr>
        <w:pict>
          <v:shape id="_x0000_s1028" o:spid="_x0000_s1028" o:spt="202" type="#_x0000_t202" style="position:absolute;left:0pt;margin-left:-8.3pt;margin-top:38.65pt;height:26.25pt;width:119.25pt;z-index:251661312;mso-width-relative:page;mso-height-relative:page;" stroked="t" coordsize="21600,21600">
            <v:path/>
            <v:fill focussize="0,0"/>
            <v:stroke color="#FFFFFF" joinstyle="miter"/>
            <v:imagedata o:title=""/>
            <o:lock v:ext="edit"/>
            <v:textbox>
              <w:txbxContent>
                <w:p w14:paraId="2B3A7236"/>
              </w:txbxContent>
            </v:textbox>
          </v:shape>
        </w:pict>
      </w:r>
      <w:r>
        <w:rPr>
          <w:rFonts w:eastAsia="仿宋_GB2312"/>
          <w:color w:val="FFFFFF"/>
          <w:sz w:val="22"/>
          <w:szCs w:val="28"/>
        </w:rPr>
        <w:pict>
          <v:line id="_x0000_s1026" o:spid="_x0000_s1026" o:spt="20" style="position:absolute;left:0pt;margin-left:0pt;margin-top:0pt;height:0pt;width:442.2pt;z-index:251659264;mso-width-relative:page;mso-height-relative:page;" coordsize="21600,21600">
            <v:path arrowok="t"/>
            <v:fill focussize="0,0"/>
            <v:stroke weight="1pt"/>
            <v:imagedata o:title=""/>
            <o:lock v:ext="edit"/>
          </v:line>
        </w:pict>
      </w:r>
      <w:bookmarkStart w:id="0" w:name="ChaoSongΩ1"/>
      <w:bookmarkEnd w:id="0"/>
      <w:bookmarkStart w:id="1" w:name="YinFaJiGuanΩ1"/>
      <w:r>
        <w:rPr>
          <w:rFonts w:eastAsia="仿宋_GB2312"/>
          <w:sz w:val="22"/>
          <w:szCs w:val="28"/>
        </w:rPr>
        <w:t>国家食品药品监督管理总局</w:t>
      </w:r>
      <w:bookmarkEnd w:id="1"/>
      <w:r>
        <w:rPr>
          <w:rFonts w:eastAsia="仿宋_GB2312"/>
          <w:sz w:val="22"/>
          <w:szCs w:val="28"/>
        </w:rPr>
        <w:pict>
          <v:line id="_x0000_s1027" o:spid="_x0000_s1027" o:spt="20" style="position:absolute;left:0pt;margin-left:0pt;margin-top:31.2pt;height:0pt;width:442.2pt;z-index:251660288;mso-width-relative:page;mso-height-relative:page;" coordsize="21600,21600">
            <v:path arrowok="t"/>
            <v:fill focussize="0,0"/>
            <v:stroke weight="1pt"/>
            <v:imagedata o:title=""/>
            <o:lock v:ext="edit"/>
          </v:line>
        </w:pict>
      </w:r>
      <w:r>
        <w:rPr>
          <w:rFonts w:eastAsia="仿宋_GB2312"/>
          <w:sz w:val="22"/>
          <w:szCs w:val="28"/>
        </w:rPr>
        <w:t xml:space="preserve">办公厅      </w:t>
      </w:r>
      <w:bookmarkStart w:id="2" w:name="YinFaRiQiΩ1"/>
      <w:bookmarkEnd w:id="2"/>
      <w:r>
        <w:rPr>
          <w:rFonts w:eastAsia="仿宋_GB2312"/>
          <w:sz w:val="24"/>
          <w:szCs w:val="32"/>
        </w:rPr>
        <w:t>2015年9月25日</w:t>
      </w:r>
      <w:r>
        <w:rPr>
          <w:rFonts w:eastAsia="仿宋_GB2312"/>
          <w:sz w:val="22"/>
          <w:szCs w:val="28"/>
        </w:rPr>
        <w:t>印发</w:t>
      </w:r>
    </w:p>
    <w:p w14:paraId="200E9ECA">
      <w:pPr>
        <w:rPr>
          <w:rFonts w:hint="eastAsia" w:eastAsia="宋体"/>
          <w:lang w:eastAsia="zh-CN"/>
        </w:rPr>
      </w:pPr>
    </w:p>
    <w:p w14:paraId="4F50D141">
      <w:pPr>
        <w:jc w:val="center"/>
        <w:rPr>
          <w:rFonts w:hint="eastAsia" w:eastAsia="宋体"/>
          <w:lang w:eastAsia="zh-CN"/>
        </w:rPr>
      </w:pPr>
    </w:p>
    <w:p w14:paraId="06FAF3C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22203"/>
      <w:docPartObj>
        <w:docPartGallery w:val="AutoText"/>
      </w:docPartObj>
    </w:sdtPr>
    <w:sdtContent>
      <w:sdt>
        <w:sdtPr>
          <w:id w:val="1728636285"/>
          <w:docPartObj>
            <w:docPartGallery w:val="AutoText"/>
          </w:docPartObj>
        </w:sdtPr>
        <w:sdtContent>
          <w:p w14:paraId="01AA17C5">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p w14:paraId="5F215D4B">
    <w:pPr>
      <w:pStyle w:val="5"/>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12CF">
    <w:pPr>
      <w:pStyle w:val="5"/>
      <w:rPr>
        <w:sz w:val="28"/>
        <w:szCs w:val="28"/>
      </w:rPr>
    </w:pPr>
    <w:r>
      <w:rPr>
        <w:rFonts w:hint="eastAsia"/>
        <w:color w:val="FFFFFF" w:themeColor="background1"/>
        <w:sz w:val="28"/>
        <w:szCs w:val="28"/>
      </w:rPr>
      <w:t>—</w:t>
    </w:r>
    <w:r>
      <w:rPr>
        <w:rFonts w:hint="eastAsia"/>
        <w:sz w:val="28"/>
        <w:szCs w:val="28"/>
      </w:rPr>
      <w:t>—</w:t>
    </w:r>
    <w:sdt>
      <w:sdtPr>
        <w:rPr>
          <w:sz w:val="28"/>
          <w:szCs w:val="28"/>
        </w:rPr>
        <w:id w:val="80797579"/>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72</w:t>
        </w:r>
        <w:r>
          <w:rPr>
            <w:sz w:val="28"/>
            <w:szCs w:val="28"/>
          </w:rPr>
          <w:fldChar w:fldCharType="end"/>
        </w:r>
        <w:r>
          <w:rPr>
            <w:rFonts w:hint="eastAsia"/>
            <w:sz w:val="28"/>
            <w:szCs w:val="28"/>
          </w:rPr>
          <w:t xml:space="preserve"> —</w:t>
        </w:r>
      </w:sdtContent>
    </w:sdt>
  </w:p>
  <w:p w14:paraId="40A512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3585">
    <w:pPr>
      <w:pStyle w:val="6"/>
    </w:pPr>
    <w:r>
      <w:rPr>
        <w:rFonts w:hint="eastAsia"/>
      </w:rPr>
      <w:t xml:space="preserve">医疗器械生产质量管理规范 </w:t>
    </w:r>
    <w:r>
      <w:t xml:space="preserve"> </w:t>
    </w:r>
    <w:r>
      <w:rPr>
        <w:rFonts w:hint="eastAsia"/>
      </w:rPr>
      <w:t>体外诊断试剂现场检查指导原则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1296A"/>
    <w:rsid w:val="000210A0"/>
    <w:rsid w:val="00022E92"/>
    <w:rsid w:val="000326EC"/>
    <w:rsid w:val="000342B8"/>
    <w:rsid w:val="00035B1D"/>
    <w:rsid w:val="00036CEF"/>
    <w:rsid w:val="00037547"/>
    <w:rsid w:val="00045861"/>
    <w:rsid w:val="0005211C"/>
    <w:rsid w:val="00054C3D"/>
    <w:rsid w:val="000621DE"/>
    <w:rsid w:val="00066193"/>
    <w:rsid w:val="00072748"/>
    <w:rsid w:val="00081A3C"/>
    <w:rsid w:val="000843F4"/>
    <w:rsid w:val="000949EC"/>
    <w:rsid w:val="00095D22"/>
    <w:rsid w:val="000A32AF"/>
    <w:rsid w:val="000A33DB"/>
    <w:rsid w:val="000A361C"/>
    <w:rsid w:val="000A43E4"/>
    <w:rsid w:val="000A4E32"/>
    <w:rsid w:val="000A708A"/>
    <w:rsid w:val="000B2799"/>
    <w:rsid w:val="000B5B65"/>
    <w:rsid w:val="000C2BAE"/>
    <w:rsid w:val="000D486E"/>
    <w:rsid w:val="000D6108"/>
    <w:rsid w:val="000E2DC9"/>
    <w:rsid w:val="000E7E73"/>
    <w:rsid w:val="001038D9"/>
    <w:rsid w:val="0010732F"/>
    <w:rsid w:val="001149AC"/>
    <w:rsid w:val="0011781F"/>
    <w:rsid w:val="00124E7F"/>
    <w:rsid w:val="00131C3E"/>
    <w:rsid w:val="0013580E"/>
    <w:rsid w:val="00137F18"/>
    <w:rsid w:val="00143BB7"/>
    <w:rsid w:val="00146E05"/>
    <w:rsid w:val="00155899"/>
    <w:rsid w:val="00162CAB"/>
    <w:rsid w:val="00165DC1"/>
    <w:rsid w:val="0016602B"/>
    <w:rsid w:val="00166336"/>
    <w:rsid w:val="00175929"/>
    <w:rsid w:val="00175C29"/>
    <w:rsid w:val="0017678A"/>
    <w:rsid w:val="00180E5A"/>
    <w:rsid w:val="0018280E"/>
    <w:rsid w:val="00184AA7"/>
    <w:rsid w:val="0018609E"/>
    <w:rsid w:val="0019044B"/>
    <w:rsid w:val="00195C93"/>
    <w:rsid w:val="001A1054"/>
    <w:rsid w:val="001A7718"/>
    <w:rsid w:val="001B2082"/>
    <w:rsid w:val="001B74C1"/>
    <w:rsid w:val="001C060C"/>
    <w:rsid w:val="001C1D02"/>
    <w:rsid w:val="001C485A"/>
    <w:rsid w:val="001D6412"/>
    <w:rsid w:val="001E74E0"/>
    <w:rsid w:val="001F2A17"/>
    <w:rsid w:val="001F6C17"/>
    <w:rsid w:val="00201761"/>
    <w:rsid w:val="00202042"/>
    <w:rsid w:val="002021EA"/>
    <w:rsid w:val="00216671"/>
    <w:rsid w:val="0022203D"/>
    <w:rsid w:val="0022417B"/>
    <w:rsid w:val="00233490"/>
    <w:rsid w:val="00234185"/>
    <w:rsid w:val="002418ED"/>
    <w:rsid w:val="00242ACC"/>
    <w:rsid w:val="00245568"/>
    <w:rsid w:val="00247991"/>
    <w:rsid w:val="00263B3D"/>
    <w:rsid w:val="002712CE"/>
    <w:rsid w:val="00271C3D"/>
    <w:rsid w:val="00272D88"/>
    <w:rsid w:val="00273829"/>
    <w:rsid w:val="00274356"/>
    <w:rsid w:val="00274CDF"/>
    <w:rsid w:val="002815ED"/>
    <w:rsid w:val="00284987"/>
    <w:rsid w:val="00285F06"/>
    <w:rsid w:val="00294344"/>
    <w:rsid w:val="002966B7"/>
    <w:rsid w:val="00297FD0"/>
    <w:rsid w:val="002A1A30"/>
    <w:rsid w:val="002A51A9"/>
    <w:rsid w:val="002B172C"/>
    <w:rsid w:val="002B1F00"/>
    <w:rsid w:val="002B2EC4"/>
    <w:rsid w:val="002B67B7"/>
    <w:rsid w:val="002D4D11"/>
    <w:rsid w:val="002D73E0"/>
    <w:rsid w:val="002E155E"/>
    <w:rsid w:val="002E1A38"/>
    <w:rsid w:val="002E5240"/>
    <w:rsid w:val="002E70DD"/>
    <w:rsid w:val="002E7691"/>
    <w:rsid w:val="002F3CB9"/>
    <w:rsid w:val="002F45D0"/>
    <w:rsid w:val="002F5BB3"/>
    <w:rsid w:val="00301ACC"/>
    <w:rsid w:val="00306462"/>
    <w:rsid w:val="003111AC"/>
    <w:rsid w:val="00317BFF"/>
    <w:rsid w:val="0032104C"/>
    <w:rsid w:val="003250CF"/>
    <w:rsid w:val="00326E52"/>
    <w:rsid w:val="0033205A"/>
    <w:rsid w:val="00336CCC"/>
    <w:rsid w:val="003409A7"/>
    <w:rsid w:val="0034160D"/>
    <w:rsid w:val="003427BC"/>
    <w:rsid w:val="00342A55"/>
    <w:rsid w:val="00345CEF"/>
    <w:rsid w:val="00351ACA"/>
    <w:rsid w:val="00351C9B"/>
    <w:rsid w:val="003629AB"/>
    <w:rsid w:val="00363E26"/>
    <w:rsid w:val="00365F32"/>
    <w:rsid w:val="00367B41"/>
    <w:rsid w:val="00372B39"/>
    <w:rsid w:val="00374ED6"/>
    <w:rsid w:val="00382CEC"/>
    <w:rsid w:val="00383FD7"/>
    <w:rsid w:val="0039046C"/>
    <w:rsid w:val="00397B3F"/>
    <w:rsid w:val="003B1302"/>
    <w:rsid w:val="003B39E5"/>
    <w:rsid w:val="003B4D03"/>
    <w:rsid w:val="003B5CE2"/>
    <w:rsid w:val="003C24B6"/>
    <w:rsid w:val="003C2D47"/>
    <w:rsid w:val="003C67E0"/>
    <w:rsid w:val="003C6F14"/>
    <w:rsid w:val="003D1F83"/>
    <w:rsid w:val="003D42E4"/>
    <w:rsid w:val="003D5049"/>
    <w:rsid w:val="003D74C8"/>
    <w:rsid w:val="003F025C"/>
    <w:rsid w:val="003F3127"/>
    <w:rsid w:val="003F4362"/>
    <w:rsid w:val="003F7B5A"/>
    <w:rsid w:val="00402227"/>
    <w:rsid w:val="004030DF"/>
    <w:rsid w:val="00405A21"/>
    <w:rsid w:val="00412589"/>
    <w:rsid w:val="00415FFC"/>
    <w:rsid w:val="00431AEC"/>
    <w:rsid w:val="00437041"/>
    <w:rsid w:val="00437341"/>
    <w:rsid w:val="00451CDC"/>
    <w:rsid w:val="004554A5"/>
    <w:rsid w:val="00463CE1"/>
    <w:rsid w:val="0046537B"/>
    <w:rsid w:val="004750F0"/>
    <w:rsid w:val="00475DC3"/>
    <w:rsid w:val="0049038D"/>
    <w:rsid w:val="00493E16"/>
    <w:rsid w:val="00496845"/>
    <w:rsid w:val="004A4AAD"/>
    <w:rsid w:val="004A4D00"/>
    <w:rsid w:val="004A5157"/>
    <w:rsid w:val="004B033E"/>
    <w:rsid w:val="004B0E6F"/>
    <w:rsid w:val="004B2E52"/>
    <w:rsid w:val="004D110A"/>
    <w:rsid w:val="004D3A5A"/>
    <w:rsid w:val="004E5F5D"/>
    <w:rsid w:val="004F1704"/>
    <w:rsid w:val="004F1873"/>
    <w:rsid w:val="004F49C1"/>
    <w:rsid w:val="004F6A65"/>
    <w:rsid w:val="00503E9C"/>
    <w:rsid w:val="00505129"/>
    <w:rsid w:val="005109A1"/>
    <w:rsid w:val="00515025"/>
    <w:rsid w:val="00515F47"/>
    <w:rsid w:val="00516DA9"/>
    <w:rsid w:val="005227A7"/>
    <w:rsid w:val="00522AB8"/>
    <w:rsid w:val="00527233"/>
    <w:rsid w:val="0053020E"/>
    <w:rsid w:val="00535B1C"/>
    <w:rsid w:val="005360FB"/>
    <w:rsid w:val="0053701D"/>
    <w:rsid w:val="00537B73"/>
    <w:rsid w:val="00545DC4"/>
    <w:rsid w:val="0056011C"/>
    <w:rsid w:val="005651A0"/>
    <w:rsid w:val="0057435B"/>
    <w:rsid w:val="00580046"/>
    <w:rsid w:val="00581561"/>
    <w:rsid w:val="005816D1"/>
    <w:rsid w:val="0058263C"/>
    <w:rsid w:val="00587324"/>
    <w:rsid w:val="00593519"/>
    <w:rsid w:val="005B4C5C"/>
    <w:rsid w:val="005B5E70"/>
    <w:rsid w:val="005B7290"/>
    <w:rsid w:val="005C0263"/>
    <w:rsid w:val="005C13A2"/>
    <w:rsid w:val="005C1501"/>
    <w:rsid w:val="005C51D9"/>
    <w:rsid w:val="005C5337"/>
    <w:rsid w:val="005D20FE"/>
    <w:rsid w:val="005D7703"/>
    <w:rsid w:val="005E32DA"/>
    <w:rsid w:val="005E4787"/>
    <w:rsid w:val="005E71BE"/>
    <w:rsid w:val="005F1092"/>
    <w:rsid w:val="005F279A"/>
    <w:rsid w:val="005F64C4"/>
    <w:rsid w:val="00604071"/>
    <w:rsid w:val="0060556C"/>
    <w:rsid w:val="00613A2D"/>
    <w:rsid w:val="00617DEC"/>
    <w:rsid w:val="00620A4F"/>
    <w:rsid w:val="006211E5"/>
    <w:rsid w:val="00622691"/>
    <w:rsid w:val="006236E7"/>
    <w:rsid w:val="00624B99"/>
    <w:rsid w:val="00624C7D"/>
    <w:rsid w:val="00625121"/>
    <w:rsid w:val="006263F7"/>
    <w:rsid w:val="00631F40"/>
    <w:rsid w:val="00633EFD"/>
    <w:rsid w:val="006353DD"/>
    <w:rsid w:val="00641E77"/>
    <w:rsid w:val="0064332C"/>
    <w:rsid w:val="006531C9"/>
    <w:rsid w:val="00663211"/>
    <w:rsid w:val="00663B22"/>
    <w:rsid w:val="00663CED"/>
    <w:rsid w:val="00665330"/>
    <w:rsid w:val="00675B30"/>
    <w:rsid w:val="00684C33"/>
    <w:rsid w:val="00694402"/>
    <w:rsid w:val="00695F57"/>
    <w:rsid w:val="00696ECA"/>
    <w:rsid w:val="006A2FC3"/>
    <w:rsid w:val="006A3468"/>
    <w:rsid w:val="006A4E52"/>
    <w:rsid w:val="006A64B2"/>
    <w:rsid w:val="006A7CC4"/>
    <w:rsid w:val="006B732D"/>
    <w:rsid w:val="006C41CC"/>
    <w:rsid w:val="006D2866"/>
    <w:rsid w:val="006D30BC"/>
    <w:rsid w:val="006D382E"/>
    <w:rsid w:val="006E056B"/>
    <w:rsid w:val="006E3D48"/>
    <w:rsid w:val="006E67BA"/>
    <w:rsid w:val="006F23EE"/>
    <w:rsid w:val="006F29E3"/>
    <w:rsid w:val="006F34BC"/>
    <w:rsid w:val="00704297"/>
    <w:rsid w:val="007068C9"/>
    <w:rsid w:val="00711241"/>
    <w:rsid w:val="00711C1B"/>
    <w:rsid w:val="0073065D"/>
    <w:rsid w:val="00730A05"/>
    <w:rsid w:val="00730CE2"/>
    <w:rsid w:val="007368C0"/>
    <w:rsid w:val="0074180E"/>
    <w:rsid w:val="00741FA7"/>
    <w:rsid w:val="00750216"/>
    <w:rsid w:val="00753B87"/>
    <w:rsid w:val="00756D6D"/>
    <w:rsid w:val="0076373E"/>
    <w:rsid w:val="0077240A"/>
    <w:rsid w:val="007842A0"/>
    <w:rsid w:val="00790223"/>
    <w:rsid w:val="00791D27"/>
    <w:rsid w:val="007A04D8"/>
    <w:rsid w:val="007A6575"/>
    <w:rsid w:val="007B1046"/>
    <w:rsid w:val="007B7237"/>
    <w:rsid w:val="007B7F2C"/>
    <w:rsid w:val="007C5DA7"/>
    <w:rsid w:val="007C76DB"/>
    <w:rsid w:val="007D0F83"/>
    <w:rsid w:val="007D4BAC"/>
    <w:rsid w:val="007D5B9B"/>
    <w:rsid w:val="007E5B2C"/>
    <w:rsid w:val="007E6C31"/>
    <w:rsid w:val="00803CA8"/>
    <w:rsid w:val="0080427F"/>
    <w:rsid w:val="00805A8F"/>
    <w:rsid w:val="00805DD2"/>
    <w:rsid w:val="008078A2"/>
    <w:rsid w:val="00807BF6"/>
    <w:rsid w:val="0081281A"/>
    <w:rsid w:val="0081695D"/>
    <w:rsid w:val="008229E9"/>
    <w:rsid w:val="00823AC7"/>
    <w:rsid w:val="00825FC6"/>
    <w:rsid w:val="008330E5"/>
    <w:rsid w:val="008341DB"/>
    <w:rsid w:val="0083653A"/>
    <w:rsid w:val="00841E4C"/>
    <w:rsid w:val="008501D6"/>
    <w:rsid w:val="00850A24"/>
    <w:rsid w:val="00854007"/>
    <w:rsid w:val="008635A4"/>
    <w:rsid w:val="00863659"/>
    <w:rsid w:val="008637C7"/>
    <w:rsid w:val="0086568C"/>
    <w:rsid w:val="00867341"/>
    <w:rsid w:val="00867ED4"/>
    <w:rsid w:val="00875F97"/>
    <w:rsid w:val="0087650F"/>
    <w:rsid w:val="0087720A"/>
    <w:rsid w:val="008779D8"/>
    <w:rsid w:val="00882AD2"/>
    <w:rsid w:val="0089020C"/>
    <w:rsid w:val="00893A74"/>
    <w:rsid w:val="00893B9F"/>
    <w:rsid w:val="00896771"/>
    <w:rsid w:val="008973DC"/>
    <w:rsid w:val="008A2BE6"/>
    <w:rsid w:val="008A6261"/>
    <w:rsid w:val="008A6B66"/>
    <w:rsid w:val="008A6F4B"/>
    <w:rsid w:val="008A7D10"/>
    <w:rsid w:val="008B6D49"/>
    <w:rsid w:val="008C0236"/>
    <w:rsid w:val="008C6545"/>
    <w:rsid w:val="008D31B3"/>
    <w:rsid w:val="008D4AE4"/>
    <w:rsid w:val="008D5796"/>
    <w:rsid w:val="008E0545"/>
    <w:rsid w:val="008E2000"/>
    <w:rsid w:val="008E3FAD"/>
    <w:rsid w:val="008E6444"/>
    <w:rsid w:val="008E7284"/>
    <w:rsid w:val="008E7529"/>
    <w:rsid w:val="008F1982"/>
    <w:rsid w:val="008F1D6E"/>
    <w:rsid w:val="008F5033"/>
    <w:rsid w:val="009051D5"/>
    <w:rsid w:val="00911746"/>
    <w:rsid w:val="00911966"/>
    <w:rsid w:val="00911B82"/>
    <w:rsid w:val="00911E21"/>
    <w:rsid w:val="0091467E"/>
    <w:rsid w:val="00920BEA"/>
    <w:rsid w:val="00942A7B"/>
    <w:rsid w:val="00943A58"/>
    <w:rsid w:val="009441FA"/>
    <w:rsid w:val="00951B82"/>
    <w:rsid w:val="00951F2B"/>
    <w:rsid w:val="009528A3"/>
    <w:rsid w:val="009577BA"/>
    <w:rsid w:val="00973B7F"/>
    <w:rsid w:val="00974283"/>
    <w:rsid w:val="00977202"/>
    <w:rsid w:val="009803C6"/>
    <w:rsid w:val="0098785B"/>
    <w:rsid w:val="00987CAA"/>
    <w:rsid w:val="00995545"/>
    <w:rsid w:val="009961AC"/>
    <w:rsid w:val="00997143"/>
    <w:rsid w:val="0099760E"/>
    <w:rsid w:val="0099787C"/>
    <w:rsid w:val="009A688F"/>
    <w:rsid w:val="009A7386"/>
    <w:rsid w:val="009B1477"/>
    <w:rsid w:val="009B178D"/>
    <w:rsid w:val="009B7E73"/>
    <w:rsid w:val="009C3980"/>
    <w:rsid w:val="009C3A17"/>
    <w:rsid w:val="009C3B4F"/>
    <w:rsid w:val="009C7ABE"/>
    <w:rsid w:val="009D2BC1"/>
    <w:rsid w:val="009E5412"/>
    <w:rsid w:val="009E5F3F"/>
    <w:rsid w:val="00A02E13"/>
    <w:rsid w:val="00A050ED"/>
    <w:rsid w:val="00A05BA2"/>
    <w:rsid w:val="00A0735F"/>
    <w:rsid w:val="00A10542"/>
    <w:rsid w:val="00A11008"/>
    <w:rsid w:val="00A11CD7"/>
    <w:rsid w:val="00A14293"/>
    <w:rsid w:val="00A2188B"/>
    <w:rsid w:val="00A22E17"/>
    <w:rsid w:val="00A24FBF"/>
    <w:rsid w:val="00A25299"/>
    <w:rsid w:val="00A25AC2"/>
    <w:rsid w:val="00A2670B"/>
    <w:rsid w:val="00A2777C"/>
    <w:rsid w:val="00A30AC1"/>
    <w:rsid w:val="00A3170A"/>
    <w:rsid w:val="00A37C09"/>
    <w:rsid w:val="00A42019"/>
    <w:rsid w:val="00A42178"/>
    <w:rsid w:val="00A469F0"/>
    <w:rsid w:val="00A47308"/>
    <w:rsid w:val="00A50852"/>
    <w:rsid w:val="00A528FA"/>
    <w:rsid w:val="00A5758F"/>
    <w:rsid w:val="00A66456"/>
    <w:rsid w:val="00A66AEA"/>
    <w:rsid w:val="00A66E87"/>
    <w:rsid w:val="00A72A9E"/>
    <w:rsid w:val="00A72D85"/>
    <w:rsid w:val="00A74778"/>
    <w:rsid w:val="00A775CF"/>
    <w:rsid w:val="00A80ADA"/>
    <w:rsid w:val="00A8132F"/>
    <w:rsid w:val="00A87E08"/>
    <w:rsid w:val="00A915E3"/>
    <w:rsid w:val="00A92F15"/>
    <w:rsid w:val="00AA504F"/>
    <w:rsid w:val="00AA7FD2"/>
    <w:rsid w:val="00AB6E60"/>
    <w:rsid w:val="00AC00B1"/>
    <w:rsid w:val="00AC2148"/>
    <w:rsid w:val="00AC53E5"/>
    <w:rsid w:val="00AC604E"/>
    <w:rsid w:val="00AC7A11"/>
    <w:rsid w:val="00AE1128"/>
    <w:rsid w:val="00AE1C59"/>
    <w:rsid w:val="00AE6BDF"/>
    <w:rsid w:val="00AF4A36"/>
    <w:rsid w:val="00B03A43"/>
    <w:rsid w:val="00B0411C"/>
    <w:rsid w:val="00B05831"/>
    <w:rsid w:val="00B071E2"/>
    <w:rsid w:val="00B07ACF"/>
    <w:rsid w:val="00B109AB"/>
    <w:rsid w:val="00B12FBD"/>
    <w:rsid w:val="00B17905"/>
    <w:rsid w:val="00B3179C"/>
    <w:rsid w:val="00B34851"/>
    <w:rsid w:val="00B36783"/>
    <w:rsid w:val="00B55C96"/>
    <w:rsid w:val="00B57565"/>
    <w:rsid w:val="00B64CBC"/>
    <w:rsid w:val="00B64D43"/>
    <w:rsid w:val="00B72A15"/>
    <w:rsid w:val="00B74746"/>
    <w:rsid w:val="00B748BD"/>
    <w:rsid w:val="00B81697"/>
    <w:rsid w:val="00B914FC"/>
    <w:rsid w:val="00B945A1"/>
    <w:rsid w:val="00BA287E"/>
    <w:rsid w:val="00BA3AB0"/>
    <w:rsid w:val="00BA432A"/>
    <w:rsid w:val="00BA7011"/>
    <w:rsid w:val="00BB354C"/>
    <w:rsid w:val="00BB3EA6"/>
    <w:rsid w:val="00BB66C9"/>
    <w:rsid w:val="00BB790F"/>
    <w:rsid w:val="00BD476A"/>
    <w:rsid w:val="00BE192E"/>
    <w:rsid w:val="00BE7A1D"/>
    <w:rsid w:val="00BF4CD7"/>
    <w:rsid w:val="00BF54F5"/>
    <w:rsid w:val="00BF5501"/>
    <w:rsid w:val="00C03A61"/>
    <w:rsid w:val="00C04321"/>
    <w:rsid w:val="00C0512A"/>
    <w:rsid w:val="00C11DED"/>
    <w:rsid w:val="00C11EB3"/>
    <w:rsid w:val="00C21C30"/>
    <w:rsid w:val="00C278E2"/>
    <w:rsid w:val="00C31E88"/>
    <w:rsid w:val="00C33EFD"/>
    <w:rsid w:val="00C35DD0"/>
    <w:rsid w:val="00C3715F"/>
    <w:rsid w:val="00C40E14"/>
    <w:rsid w:val="00C432F9"/>
    <w:rsid w:val="00C5111A"/>
    <w:rsid w:val="00C51D82"/>
    <w:rsid w:val="00C53902"/>
    <w:rsid w:val="00C55837"/>
    <w:rsid w:val="00C55BB0"/>
    <w:rsid w:val="00C573E1"/>
    <w:rsid w:val="00C6778B"/>
    <w:rsid w:val="00C82501"/>
    <w:rsid w:val="00C8543E"/>
    <w:rsid w:val="00C93DC9"/>
    <w:rsid w:val="00C951D7"/>
    <w:rsid w:val="00C95612"/>
    <w:rsid w:val="00C96CFC"/>
    <w:rsid w:val="00C979BC"/>
    <w:rsid w:val="00C97BD3"/>
    <w:rsid w:val="00CB2313"/>
    <w:rsid w:val="00CB423F"/>
    <w:rsid w:val="00CC7CBA"/>
    <w:rsid w:val="00CD3971"/>
    <w:rsid w:val="00CD4476"/>
    <w:rsid w:val="00CD7861"/>
    <w:rsid w:val="00CE27BC"/>
    <w:rsid w:val="00CE33DB"/>
    <w:rsid w:val="00CE3B0D"/>
    <w:rsid w:val="00CE7BB0"/>
    <w:rsid w:val="00CF7D9D"/>
    <w:rsid w:val="00D0042C"/>
    <w:rsid w:val="00D01510"/>
    <w:rsid w:val="00D05FA9"/>
    <w:rsid w:val="00D139FA"/>
    <w:rsid w:val="00D1761F"/>
    <w:rsid w:val="00D206EB"/>
    <w:rsid w:val="00D21A12"/>
    <w:rsid w:val="00D27237"/>
    <w:rsid w:val="00D27D38"/>
    <w:rsid w:val="00D30422"/>
    <w:rsid w:val="00D43BA0"/>
    <w:rsid w:val="00D43F3F"/>
    <w:rsid w:val="00D479F5"/>
    <w:rsid w:val="00D54010"/>
    <w:rsid w:val="00D55EA1"/>
    <w:rsid w:val="00D6031B"/>
    <w:rsid w:val="00D60A4B"/>
    <w:rsid w:val="00D648CE"/>
    <w:rsid w:val="00D66058"/>
    <w:rsid w:val="00D701DB"/>
    <w:rsid w:val="00D7122F"/>
    <w:rsid w:val="00D823E8"/>
    <w:rsid w:val="00D837E4"/>
    <w:rsid w:val="00D966B2"/>
    <w:rsid w:val="00DA4A16"/>
    <w:rsid w:val="00DA4BBF"/>
    <w:rsid w:val="00DC5ACF"/>
    <w:rsid w:val="00DC7C44"/>
    <w:rsid w:val="00DD1288"/>
    <w:rsid w:val="00DD2779"/>
    <w:rsid w:val="00DD6747"/>
    <w:rsid w:val="00DD7A0B"/>
    <w:rsid w:val="00DE4670"/>
    <w:rsid w:val="00DE479F"/>
    <w:rsid w:val="00DE49DF"/>
    <w:rsid w:val="00DF1C80"/>
    <w:rsid w:val="00DF308D"/>
    <w:rsid w:val="00E00A92"/>
    <w:rsid w:val="00E02D53"/>
    <w:rsid w:val="00E04E52"/>
    <w:rsid w:val="00E10807"/>
    <w:rsid w:val="00E1121B"/>
    <w:rsid w:val="00E16634"/>
    <w:rsid w:val="00E31828"/>
    <w:rsid w:val="00E31EC0"/>
    <w:rsid w:val="00E32224"/>
    <w:rsid w:val="00E42D67"/>
    <w:rsid w:val="00E51478"/>
    <w:rsid w:val="00E63F44"/>
    <w:rsid w:val="00E64F33"/>
    <w:rsid w:val="00E70ADC"/>
    <w:rsid w:val="00E70D21"/>
    <w:rsid w:val="00E73BCF"/>
    <w:rsid w:val="00E7468B"/>
    <w:rsid w:val="00E765AA"/>
    <w:rsid w:val="00E81E1A"/>
    <w:rsid w:val="00E832C3"/>
    <w:rsid w:val="00E92432"/>
    <w:rsid w:val="00E933C8"/>
    <w:rsid w:val="00E9564B"/>
    <w:rsid w:val="00EA0012"/>
    <w:rsid w:val="00EA094A"/>
    <w:rsid w:val="00EA7F21"/>
    <w:rsid w:val="00EC22AD"/>
    <w:rsid w:val="00EC764D"/>
    <w:rsid w:val="00ED6656"/>
    <w:rsid w:val="00EE3AE9"/>
    <w:rsid w:val="00EE4672"/>
    <w:rsid w:val="00EE552C"/>
    <w:rsid w:val="00EF06C2"/>
    <w:rsid w:val="00EF1C8C"/>
    <w:rsid w:val="00EF210E"/>
    <w:rsid w:val="00F04FC6"/>
    <w:rsid w:val="00F11BF5"/>
    <w:rsid w:val="00F149F0"/>
    <w:rsid w:val="00F15FE7"/>
    <w:rsid w:val="00F21D86"/>
    <w:rsid w:val="00F230DD"/>
    <w:rsid w:val="00F246E2"/>
    <w:rsid w:val="00F276A8"/>
    <w:rsid w:val="00F31B7A"/>
    <w:rsid w:val="00F362DA"/>
    <w:rsid w:val="00F41858"/>
    <w:rsid w:val="00F43A20"/>
    <w:rsid w:val="00F443B1"/>
    <w:rsid w:val="00F44499"/>
    <w:rsid w:val="00F46879"/>
    <w:rsid w:val="00F4785A"/>
    <w:rsid w:val="00F50379"/>
    <w:rsid w:val="00F51221"/>
    <w:rsid w:val="00F556B4"/>
    <w:rsid w:val="00F60CB0"/>
    <w:rsid w:val="00F623D9"/>
    <w:rsid w:val="00F62E1E"/>
    <w:rsid w:val="00F708B9"/>
    <w:rsid w:val="00F76236"/>
    <w:rsid w:val="00F77BFD"/>
    <w:rsid w:val="00F77E81"/>
    <w:rsid w:val="00F83EA2"/>
    <w:rsid w:val="00F91338"/>
    <w:rsid w:val="00F965D1"/>
    <w:rsid w:val="00F975DD"/>
    <w:rsid w:val="00F97BE4"/>
    <w:rsid w:val="00FA1EAD"/>
    <w:rsid w:val="00FA32F9"/>
    <w:rsid w:val="00FA3DF9"/>
    <w:rsid w:val="00FA5ECB"/>
    <w:rsid w:val="00FB04D4"/>
    <w:rsid w:val="00FB1735"/>
    <w:rsid w:val="00FB1A35"/>
    <w:rsid w:val="00FB5A25"/>
    <w:rsid w:val="00FB6AFE"/>
    <w:rsid w:val="00FB707C"/>
    <w:rsid w:val="00FB7F30"/>
    <w:rsid w:val="00FC0649"/>
    <w:rsid w:val="00FD3782"/>
    <w:rsid w:val="00FD4AB3"/>
    <w:rsid w:val="00FD6219"/>
    <w:rsid w:val="00FE29D4"/>
    <w:rsid w:val="00FE2BF1"/>
    <w:rsid w:val="00FE5A6E"/>
    <w:rsid w:val="00FF37C9"/>
    <w:rsid w:val="00FF49A9"/>
    <w:rsid w:val="3DBB7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link w:val="29"/>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8"/>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styleId="10">
    <w:name w:val="Emphasis"/>
    <w:qFormat/>
    <w:uiPriority w:val="20"/>
    <w:rPr>
      <w:i/>
      <w:iCs/>
    </w:rPr>
  </w:style>
  <w:style w:type="character" w:customStyle="1" w:styleId="11">
    <w:name w:val="页眉 Char"/>
    <w:link w:val="6"/>
    <w:uiPriority w:val="99"/>
    <w:rPr>
      <w:rFonts w:ascii="Times New Roman" w:hAnsi="Times New Roman"/>
      <w:kern w:val="2"/>
      <w:sz w:val="18"/>
      <w:szCs w:val="18"/>
    </w:rPr>
  </w:style>
  <w:style w:type="character" w:customStyle="1" w:styleId="12">
    <w:name w:val="页脚 Char"/>
    <w:link w:val="5"/>
    <w:uiPriority w:val="99"/>
    <w:rPr>
      <w:rFonts w:ascii="Times New Roman" w:hAnsi="Times New Roman"/>
      <w:kern w:val="2"/>
      <w:sz w:val="18"/>
      <w:szCs w:val="18"/>
    </w:rPr>
  </w:style>
  <w:style w:type="character" w:customStyle="1" w:styleId="13">
    <w:name w:val="批注框文本 Char"/>
    <w:link w:val="4"/>
    <w:semiHidden/>
    <w:qFormat/>
    <w:uiPriority w:val="99"/>
    <w:rPr>
      <w:rFonts w:ascii="Times New Roman" w:hAnsi="Times New Roman"/>
      <w:kern w:val="2"/>
      <w:sz w:val="18"/>
      <w:szCs w:val="18"/>
    </w:rPr>
  </w:style>
  <w:style w:type="character" w:customStyle="1" w:styleId="14">
    <w:name w:val="Intense Emphasis"/>
    <w:qFormat/>
    <w:uiPriority w:val="21"/>
    <w:rPr>
      <w:rFonts w:eastAsia="宋体"/>
      <w:b/>
      <w:bCs/>
      <w:i/>
      <w:iCs/>
      <w:color w:val="0070C0"/>
      <w:sz w:val="24"/>
    </w:rPr>
  </w:style>
  <w:style w:type="character" w:customStyle="1" w:styleId="15">
    <w:name w:val="Subtle Emphasis"/>
    <w:qFormat/>
    <w:uiPriority w:val="19"/>
    <w:rPr>
      <w:i/>
      <w:iCs/>
      <w:color w:val="548DD4"/>
    </w:rPr>
  </w:style>
  <w:style w:type="paragraph" w:customStyle="1" w:styleId="16">
    <w:name w:val="删除修改"/>
    <w:basedOn w:val="1"/>
    <w:link w:val="17"/>
    <w:qFormat/>
    <w:uiPriority w:val="0"/>
    <w:pPr>
      <w:widowControl/>
      <w:adjustRightInd w:val="0"/>
      <w:snapToGrid w:val="0"/>
      <w:spacing w:line="360" w:lineRule="exact"/>
      <w:jc w:val="left"/>
    </w:pPr>
    <w:rPr>
      <w:i/>
      <w:dstrike/>
      <w:color w:val="FF0000"/>
    </w:rPr>
  </w:style>
  <w:style w:type="character" w:customStyle="1" w:styleId="17">
    <w:name w:val="删除修改 Char"/>
    <w:link w:val="16"/>
    <w:uiPriority w:val="0"/>
    <w:rPr>
      <w:rFonts w:ascii="Times New Roman" w:hAnsi="Times New Roman"/>
      <w:i/>
      <w:dstrike/>
      <w:color w:val="FF0000"/>
      <w:kern w:val="2"/>
      <w:sz w:val="21"/>
      <w:szCs w:val="24"/>
    </w:rPr>
  </w:style>
  <w:style w:type="character" w:customStyle="1" w:styleId="18">
    <w:name w:val="讨论疑问"/>
    <w:qFormat/>
    <w:uiPriority w:val="1"/>
    <w:rPr>
      <w:i/>
      <w:iCs/>
      <w:color w:val="1F497D"/>
      <w:u w:val="double" w:color="FF0000"/>
    </w:rPr>
  </w:style>
  <w:style w:type="paragraph" w:styleId="19">
    <w:name w:val="Quote"/>
    <w:basedOn w:val="1"/>
    <w:next w:val="1"/>
    <w:link w:val="20"/>
    <w:qFormat/>
    <w:uiPriority w:val="29"/>
    <w:rPr>
      <w:i/>
      <w:iCs/>
      <w:color w:val="000000"/>
    </w:rPr>
  </w:style>
  <w:style w:type="character" w:customStyle="1" w:styleId="20">
    <w:name w:val="引用 Char"/>
    <w:link w:val="19"/>
    <w:qFormat/>
    <w:uiPriority w:val="29"/>
    <w:rPr>
      <w:rFonts w:ascii="Times New Roman" w:hAnsi="Times New Roman"/>
      <w:i/>
      <w:iCs/>
      <w:color w:val="000000"/>
      <w:kern w:val="2"/>
      <w:sz w:val="21"/>
      <w:szCs w:val="24"/>
    </w:rPr>
  </w:style>
  <w:style w:type="paragraph" w:styleId="21">
    <w:name w:val="Intense Quote"/>
    <w:basedOn w:val="1"/>
    <w:next w:val="1"/>
    <w:link w:val="22"/>
    <w:qFormat/>
    <w:uiPriority w:val="30"/>
    <w:pPr>
      <w:pBdr>
        <w:bottom w:val="single" w:color="4F81BD" w:sz="4" w:space="4"/>
      </w:pBdr>
      <w:spacing w:before="200" w:after="280"/>
      <w:ind w:left="936" w:right="936"/>
    </w:pPr>
    <w:rPr>
      <w:b/>
      <w:bCs/>
      <w:i/>
      <w:iCs/>
      <w:color w:val="4F81BD"/>
    </w:rPr>
  </w:style>
  <w:style w:type="character" w:customStyle="1" w:styleId="22">
    <w:name w:val="明显引用 Char"/>
    <w:link w:val="21"/>
    <w:uiPriority w:val="30"/>
    <w:rPr>
      <w:rFonts w:ascii="Times New Roman" w:hAnsi="Times New Roman"/>
      <w:b/>
      <w:bCs/>
      <w:i/>
      <w:iCs/>
      <w:color w:val="4F81BD"/>
      <w:kern w:val="2"/>
      <w:sz w:val="21"/>
      <w:szCs w:val="24"/>
    </w:rPr>
  </w:style>
  <w:style w:type="character" w:customStyle="1" w:styleId="23">
    <w:name w:val="Subtle Reference"/>
    <w:qFormat/>
    <w:uiPriority w:val="31"/>
    <w:rPr>
      <w:smallCaps/>
      <w:color w:val="C0504D"/>
      <w:u w:val="single"/>
    </w:rPr>
  </w:style>
  <w:style w:type="character" w:customStyle="1" w:styleId="24">
    <w:name w:val="Intense Reference"/>
    <w:qFormat/>
    <w:uiPriority w:val="32"/>
    <w:rPr>
      <w:b/>
      <w:bCs/>
      <w:smallCaps/>
      <w:color w:val="C0504D"/>
      <w:spacing w:val="5"/>
      <w:u w:val="single"/>
    </w:rPr>
  </w:style>
  <w:style w:type="character" w:customStyle="1" w:styleId="25">
    <w:name w:val="Book Title"/>
    <w:qFormat/>
    <w:uiPriority w:val="33"/>
    <w:rPr>
      <w:b/>
      <w:bCs/>
      <w:smallCaps/>
      <w:spacing w:val="5"/>
    </w:rPr>
  </w:style>
  <w:style w:type="paragraph" w:styleId="26">
    <w:name w:val="List Paragraph"/>
    <w:basedOn w:val="1"/>
    <w:qFormat/>
    <w:uiPriority w:val="34"/>
    <w:pPr>
      <w:ind w:firstLine="420" w:firstLineChars="200"/>
    </w:pPr>
  </w:style>
  <w:style w:type="character" w:customStyle="1" w:styleId="27">
    <w:name w:val="修改标记"/>
    <w:qFormat/>
    <w:uiPriority w:val="1"/>
    <w:rPr>
      <w:rFonts w:ascii="宋体" w:hAnsi="宋体" w:cs="宋体"/>
      <w:i/>
      <w:color w:val="auto"/>
      <w:kern w:val="0"/>
      <w:szCs w:val="21"/>
      <w:u w:val="double" w:color="FFFF00"/>
      <w:shd w:val="clear" w:color="auto" w:fill="FABF8F" w:themeFill="accent6" w:themeFillTint="99"/>
      <w:vertAlign w:val="baseline"/>
      <w:lang w:bidi="bn-IN"/>
    </w:rPr>
  </w:style>
  <w:style w:type="character" w:customStyle="1" w:styleId="28">
    <w:name w:val="正文文本 Char"/>
    <w:basedOn w:val="8"/>
    <w:link w:val="3"/>
    <w:qFormat/>
    <w:uiPriority w:val="0"/>
    <w:rPr>
      <w:rFonts w:ascii="Times New Roman" w:hAnsi="Times New Roman"/>
      <w:kern w:val="2"/>
      <w:sz w:val="21"/>
      <w:szCs w:val="24"/>
    </w:rPr>
  </w:style>
  <w:style w:type="character" w:customStyle="1" w:styleId="29">
    <w:name w:val="标题 4 Char"/>
    <w:basedOn w:val="8"/>
    <w:link w:val="2"/>
    <w:qFormat/>
    <w:uiPriority w:val="9"/>
    <w:rPr>
      <w:rFonts w:ascii="宋体" w:hAnsi="宋体" w:cs="宋体"/>
      <w:b/>
      <w:bCs/>
      <w:sz w:val="24"/>
      <w:szCs w:val="24"/>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C47CC-A5B3-4849-9C9E-8ED03BCD5267}">
  <ds:schemaRefs/>
</ds:datastoreItem>
</file>

<file path=docProps/app.xml><?xml version="1.0" encoding="utf-8"?>
<Properties xmlns="http://schemas.openxmlformats.org/officeDocument/2006/extended-properties" xmlns:vt="http://schemas.openxmlformats.org/officeDocument/2006/docPropsVTypes">
  <Template>Normal.dotm</Template>
  <Company>LENOVO CUSTOMER</Company>
  <Pages>18</Pages>
  <Words>16937</Words>
  <Characters>18139</Characters>
  <Lines>136</Lines>
  <Paragraphs>38</Paragraphs>
  <TotalTime>146</TotalTime>
  <ScaleCrop>false</ScaleCrop>
  <LinksUpToDate>false</LinksUpToDate>
  <CharactersWithSpaces>18156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2015-08-28T07:33:00Z</dcterms:created>
  <dc:creator>LENOVO USER</dc:creator>
  <cp:lastModifiedBy>太极箫客</cp:lastModifiedBy>
  <cp:lastPrinted>2020-12-14T01:17:00Z</cp:lastPrinted>
  <dcterms:modified xsi:type="dcterms:W3CDTF">2025-08-14T06:15:38Z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A72F6006375C4F98908400316D6E892A_12</vt:lpwstr>
  </property>
</Properties>
</file>