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E849F">
      <w:pPr>
        <w:widowControl/>
        <w:shd w:val="clear" w:color="auto" w:fill="FFFFFF"/>
        <w:spacing w:before="236" w:after="118"/>
        <w:jc w:val="left"/>
        <w:outlineLvl w:val="0"/>
        <w:rPr>
          <w:rFonts w:ascii="Arial" w:hAnsi="Arial" w:eastAsia="宋体" w:cs="Arial"/>
          <w:b/>
          <w:bCs/>
          <w:color w:val="000000"/>
          <w:kern w:val="36"/>
          <w:sz w:val="55"/>
          <w:szCs w:val="55"/>
        </w:rPr>
      </w:pPr>
      <w:bookmarkStart w:id="0" w:name="_GoBack"/>
      <w:bookmarkEnd w:id="0"/>
      <w:r>
        <w:rPr>
          <w:rFonts w:ascii="Arial" w:hAnsi="Arial" w:eastAsia="宋体" w:cs="Arial"/>
          <w:b/>
          <w:bCs/>
          <w:color w:val="000000"/>
          <w:kern w:val="36"/>
          <w:sz w:val="55"/>
          <w:szCs w:val="55"/>
        </w:rPr>
        <w:t>行业和FDA员工指南-II类特殊控制指导性文件：计算机化分娩监测系统</w:t>
      </w:r>
    </w:p>
    <w:p w14:paraId="4B7A0551">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"https://www.facebook.com/sharer/sharer.php?u=https%3a%2f%2fwww.fda.gov%3a80%2fFDAgov%2fmedicaldevices%2fdeviceregulationandguidance%2fguidancedocuments%2fucm071414.htm" \t "_blank" </w:instrText>
      </w:r>
      <w:r>
        <w:fldChar w:fldCharType="separate"/>
      </w:r>
      <w:r>
        <w:rPr>
          <w:rFonts w:ascii="Arial" w:hAnsi="Arial" w:eastAsia="宋体" w:cs="Arial"/>
          <w:b/>
          <w:bCs/>
          <w:caps/>
          <w:color w:val="0000CC"/>
          <w:kern w:val="0"/>
          <w:sz w:val="15"/>
          <w:u w:val="single"/>
        </w:rPr>
        <w:t>Share</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63551B13">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twitter.com/intent/tweet/?text=Guidance%20for%20Industry%20and%20FDA%20Staff%20-%20Class%20II%20Special%20Controls%20Guidance%20Document%3a%20Computerized%20Labor%20Monitoring%20Systems&amp;url=https%3a%2f%2fwww.fda.gov%3a80%2fFDAgov%2fmedicaldevices%2fdeviceregulationandguidance%2fguidancedocuments%2fucm071414.htm" \t "_blank" </w:instrText>
      </w:r>
      <w:r>
        <w:fldChar w:fldCharType="separate"/>
      </w:r>
      <w:r>
        <w:rPr>
          <w:rFonts w:ascii="Arial" w:hAnsi="Arial" w:eastAsia="宋体" w:cs="Arial"/>
          <w:b/>
          <w:bCs/>
          <w:caps/>
          <w:color w:val="0000CC"/>
          <w:kern w:val="0"/>
          <w:sz w:val="15"/>
          <w:u w:val="single"/>
        </w:rPr>
        <w:t>Tweet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3DFA1AC">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 "_blank" </w:instrText>
      </w:r>
      <w:r>
        <w:fldChar w:fldCharType="separate"/>
      </w:r>
      <w:r>
        <w:rPr>
          <w:rFonts w:ascii="Arial" w:hAnsi="Arial" w:eastAsia="宋体" w:cs="Arial"/>
          <w:b/>
          <w:bCs/>
          <w:caps/>
          <w:color w:val="0000CC"/>
          <w:kern w:val="0"/>
          <w:sz w:val="15"/>
          <w:u w:val="single"/>
        </w:rPr>
        <w:t>Linkedin</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58B90802">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 "_blank" </w:instrText>
      </w:r>
      <w:r>
        <w:fldChar w:fldCharType="separate"/>
      </w:r>
      <w:r>
        <w:rPr>
          <w:rFonts w:ascii="Arial" w:hAnsi="Arial" w:eastAsia="宋体" w:cs="Arial"/>
          <w:b/>
          <w:bCs/>
          <w:caps/>
          <w:color w:val="0000CC"/>
          <w:kern w:val="0"/>
          <w:sz w:val="15"/>
          <w:u w:val="single"/>
        </w:rPr>
        <w:t>Pin it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DAAB2B2">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"https://www.fda.gov/medicaldevices/deviceregulationandguidance/guidancedocuments/ucm071414.htm" \l "more-shares" </w:instrText>
      </w:r>
      <w:r>
        <w:fldChar w:fldCharType="separate"/>
      </w:r>
      <w:r>
        <w:rPr>
          <w:rFonts w:ascii="Arial" w:hAnsi="Arial" w:eastAsia="宋体" w:cs="Arial"/>
          <w:b/>
          <w:bCs/>
          <w:caps/>
          <w:vanish/>
          <w:color w:val="000000"/>
          <w:kern w:val="0"/>
          <w:sz w:val="15"/>
          <w:u w:val="single"/>
        </w:rPr>
        <w:t>More sharing options</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66408B15">
      <w:pPr>
        <w:widowControl/>
        <w:numPr>
          <w:ilvl w:val="1"/>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 "_blank" </w:instrText>
      </w:r>
      <w:r>
        <w:fldChar w:fldCharType="separate"/>
      </w:r>
      <w:r>
        <w:rPr>
          <w:rFonts w:ascii="Arial" w:hAnsi="Arial" w:eastAsia="宋体" w:cs="Arial"/>
          <w:b/>
          <w:bCs/>
          <w:caps/>
          <w:vanish/>
          <w:color w:val="000000"/>
          <w:kern w:val="0"/>
          <w:sz w:val="15"/>
          <w:u w:val="single"/>
        </w:rPr>
        <w:t>Linkedin</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6AC33B60">
      <w:pPr>
        <w:widowControl/>
        <w:numPr>
          <w:ilvl w:val="1"/>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 "_blank" </w:instrText>
      </w:r>
      <w:r>
        <w:fldChar w:fldCharType="separate"/>
      </w:r>
      <w:r>
        <w:rPr>
          <w:rFonts w:ascii="Arial" w:hAnsi="Arial" w:eastAsia="宋体" w:cs="Arial"/>
          <w:b/>
          <w:bCs/>
          <w:caps/>
          <w:vanish/>
          <w:color w:val="000000"/>
          <w:kern w:val="0"/>
          <w:sz w:val="15"/>
          <w:u w:val="single"/>
        </w:rPr>
        <w:t>Pin it</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5BEEBB73">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mailto:?subject=Guidance%20for%20Industry%20and%20FDA%20Staff%20-%20Class%20II%20Special%20Controls%20Guidance%20Document%3a%20Computerized%20Labor%20Monitoring%20Systems&amp;body=https%3a%2f%2fwww.fda.gov%3a80%2fFDAgov%2fmedicaldevices%2fdeviceregulationandguidance%2fguidancedocuments%2fucm071414.htm" </w:instrText>
      </w:r>
      <w:r>
        <w:fldChar w:fldCharType="separate"/>
      </w:r>
      <w:r>
        <w:rPr>
          <w:rFonts w:ascii="Arial" w:hAnsi="Arial" w:eastAsia="宋体" w:cs="Arial"/>
          <w:b/>
          <w:bCs/>
          <w:caps/>
          <w:color w:val="0000CC"/>
          <w:kern w:val="0"/>
          <w:sz w:val="15"/>
          <w:u w:val="single"/>
        </w:rPr>
        <w:t>Email</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47A2F954">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"javascript:window.print();" \o "Print this page" </w:instrText>
      </w:r>
      <w:r>
        <w:fldChar w:fldCharType="separate"/>
      </w:r>
      <w:r>
        <w:rPr>
          <w:rFonts w:ascii="Arial" w:hAnsi="Arial" w:eastAsia="宋体" w:cs="Arial"/>
          <w:b/>
          <w:bCs/>
          <w:caps/>
          <w:color w:val="0000CC"/>
          <w:kern w:val="0"/>
          <w:sz w:val="15"/>
          <w:szCs w:val="15"/>
          <w:u w:val="single"/>
        </w:rPr>
        <w:t>Print</w:t>
      </w:r>
      <w:r>
        <w:rPr>
          <w:rFonts w:ascii="Arial" w:hAnsi="Arial" w:eastAsia="宋体" w:cs="Arial"/>
          <w:b/>
          <w:bCs/>
          <w:caps/>
          <w:color w:val="0000CC"/>
          <w:kern w:val="0"/>
          <w:sz w:val="15"/>
          <w:szCs w:val="15"/>
          <w:u w:val="single"/>
        </w:rPr>
        <w:fldChar w:fldCharType="end"/>
      </w:r>
      <w:r>
        <w:rPr>
          <w:rFonts w:ascii="Arial" w:hAnsi="Arial" w:eastAsia="宋体" w:cs="Arial"/>
          <w:vanish/>
          <w:color w:val="000000"/>
          <w:kern w:val="0"/>
          <w:sz w:val="22"/>
        </w:rPr>
        <w:t xml:space="preserve"> </w:t>
      </w:r>
    </w:p>
    <w:p w14:paraId="3CAC7275">
      <w:pPr>
        <w:widowControl/>
        <w:shd w:val="clear" w:color="auto" w:fill="FFFFFF"/>
        <w:snapToGrid w:val="0"/>
        <w:spacing w:line="300" w:lineRule="auto"/>
        <w:ind w:left="809" w:leftChars="378" w:hanging="15" w:hangingChars="7"/>
        <w:rPr>
          <w:rFonts w:ascii="Arial" w:hAnsi="Arial" w:eastAsia="宋体" w:cs="Arial"/>
          <w:color w:val="000000"/>
          <w:kern w:val="0"/>
          <w:szCs w:val="21"/>
        </w:rPr>
      </w:pPr>
      <w:r>
        <w:rPr>
          <w:rFonts w:ascii="Arial" w:hAnsi="Arial" w:eastAsia="宋体" w:cs="Arial"/>
          <w:b/>
          <w:bCs/>
          <w:color w:val="000000"/>
          <w:kern w:val="0"/>
          <w:szCs w:val="21"/>
        </w:rPr>
        <w:t>文件发布日期：2007年4月24日</w:t>
      </w:r>
    </w:p>
    <w:p w14:paraId="3A3FE1D7">
      <w:pPr>
        <w:widowControl/>
        <w:shd w:val="clear" w:color="auto" w:fill="FFFFFF"/>
        <w:snapToGrid w:val="0"/>
        <w:spacing w:line="300" w:lineRule="auto"/>
        <w:ind w:left="808" w:leftChars="378" w:hanging="14" w:hangingChars="7"/>
        <w:rPr>
          <w:rFonts w:ascii="Arial" w:hAnsi="Arial" w:eastAsia="宋体" w:cs="Arial"/>
          <w:color w:val="000000"/>
          <w:kern w:val="0"/>
          <w:szCs w:val="21"/>
        </w:rPr>
      </w:pPr>
      <w:r>
        <w:rPr>
          <w:rFonts w:ascii="Arial" w:hAnsi="Arial" w:eastAsia="宋体" w:cs="Arial"/>
          <w:color w:val="000000"/>
          <w:kern w:val="0"/>
          <w:szCs w:val="21"/>
        </w:rPr>
        <w:t>有关本文件的问题，请致电301-796-6531或发送电子邮件至</w:t>
      </w:r>
      <w:r>
        <w:rPr>
          <w:rFonts w:ascii="Arial" w:hAnsi="Arial" w:eastAsia="宋体" w:cs="Arial"/>
          <w:color w:val="0000FF"/>
          <w:kern w:val="0"/>
          <w:szCs w:val="21"/>
          <w:u w:val="single"/>
        </w:rPr>
        <w:t>glenn.bell@fda.hhs.gov</w:t>
      </w:r>
      <w:r>
        <w:rPr>
          <w:rFonts w:ascii="Arial" w:hAnsi="Arial" w:eastAsia="宋体" w:cs="Arial"/>
          <w:color w:val="000000"/>
          <w:kern w:val="0"/>
          <w:szCs w:val="21"/>
        </w:rPr>
        <w:t>联系Glenn Bell。</w:t>
      </w:r>
    </w:p>
    <w:p w14:paraId="5F660E4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srcRect/>
                    <a:stretch>
                      <a:fillRect/>
                    </a:stretch>
                  </pic:blipFill>
                  <pic:spPr>
                    <a:xfrm>
                      <a:off x="0" y="0"/>
                      <a:ext cx="921385" cy="948690"/>
                    </a:xfrm>
                    <a:prstGeom prst="rect">
                      <a:avLst/>
                    </a:prstGeom>
                    <a:noFill/>
                    <a:ln w="9525">
                      <a:noFill/>
                      <a:miter lim="800000"/>
                      <a:headEnd/>
                      <a:tailEnd/>
                    </a:ln>
                  </pic:spPr>
                </pic:pic>
              </a:graphicData>
            </a:graphic>
          </wp:inline>
        </w:drawing>
      </w:r>
    </w:p>
    <w:p w14:paraId="6D3F6613">
      <w:pPr>
        <w:widowControl/>
        <w:shd w:val="clear" w:color="auto" w:fill="FFFFFF"/>
        <w:snapToGrid w:val="0"/>
        <w:spacing w:line="300" w:lineRule="auto"/>
        <w:jc w:val="right"/>
        <w:rPr>
          <w:rFonts w:ascii="Arial" w:hAnsi="Arial" w:eastAsia="宋体" w:cs="Arial"/>
          <w:b/>
          <w:bCs/>
          <w:color w:val="000000"/>
          <w:kern w:val="0"/>
          <w:szCs w:val="21"/>
        </w:rPr>
      </w:pPr>
      <w:r>
        <w:rPr>
          <w:rFonts w:ascii="Arial" w:hAnsi="Arial" w:eastAsia="宋体" w:cs="Arial"/>
          <w:b/>
          <w:bCs/>
          <w:color w:val="000000"/>
          <w:kern w:val="0"/>
          <w:szCs w:val="21"/>
        </w:rPr>
        <w:t>美国卫生与公众服务部</w:t>
      </w:r>
      <w:r>
        <w:rPr>
          <w:rFonts w:ascii="Arial" w:hAnsi="Arial" w:eastAsia="宋体" w:cs="Arial"/>
          <w:b/>
          <w:bCs/>
          <w:color w:val="000000"/>
          <w:kern w:val="0"/>
          <w:szCs w:val="21"/>
        </w:rPr>
        <w:br w:type="textWrapping"/>
      </w:r>
      <w:r>
        <w:rPr>
          <w:rFonts w:ascii="Arial" w:hAnsi="Arial" w:eastAsia="宋体" w:cs="Arial"/>
          <w:b/>
          <w:bCs/>
          <w:color w:val="000000"/>
          <w:kern w:val="0"/>
          <w:szCs w:val="21"/>
        </w:rPr>
        <w:t>食品药品监督管理局</w:t>
      </w:r>
      <w:r>
        <w:rPr>
          <w:rFonts w:ascii="Arial" w:hAnsi="Arial" w:eastAsia="宋体" w:cs="Arial"/>
          <w:b/>
          <w:bCs/>
          <w:color w:val="000000"/>
          <w:kern w:val="0"/>
          <w:szCs w:val="21"/>
        </w:rPr>
        <w:br w:type="textWrapping"/>
      </w:r>
      <w:r>
        <w:rPr>
          <w:rFonts w:ascii="Arial" w:hAnsi="Arial" w:eastAsia="宋体" w:cs="Arial"/>
          <w:b/>
          <w:bCs/>
          <w:color w:val="000000"/>
          <w:kern w:val="0"/>
          <w:szCs w:val="21"/>
        </w:rPr>
        <w:t>器械</w:t>
      </w:r>
      <w:r>
        <w:rPr>
          <w:rFonts w:hint="eastAsia" w:ascii="Arial" w:hAnsi="Arial" w:eastAsia="宋体" w:cs="Arial"/>
          <w:b/>
          <w:bCs/>
          <w:color w:val="000000"/>
          <w:kern w:val="0"/>
          <w:szCs w:val="21"/>
        </w:rPr>
        <w:t>和放射卫生</w:t>
      </w:r>
      <w:r>
        <w:rPr>
          <w:rFonts w:ascii="Arial" w:hAnsi="Arial" w:eastAsia="宋体" w:cs="Arial"/>
          <w:b/>
          <w:bCs/>
          <w:color w:val="000000"/>
          <w:kern w:val="0"/>
          <w:szCs w:val="21"/>
        </w:rPr>
        <w:t>中心</w:t>
      </w:r>
    </w:p>
    <w:p w14:paraId="5B79882D">
      <w:pPr>
        <w:widowControl/>
        <w:shd w:val="clear" w:color="auto" w:fill="FFFFFF"/>
        <w:snapToGrid w:val="0"/>
        <w:spacing w:line="300" w:lineRule="auto"/>
        <w:jc w:val="right"/>
        <w:rPr>
          <w:rFonts w:ascii="Arial" w:hAnsi="Arial" w:eastAsia="宋体" w:cs="Arial"/>
          <w:b/>
          <w:bCs/>
          <w:color w:val="000000"/>
          <w:kern w:val="0"/>
          <w:szCs w:val="21"/>
        </w:rPr>
      </w:pPr>
      <w:r>
        <w:rPr>
          <w:rFonts w:ascii="Arial" w:hAnsi="Arial" w:eastAsia="宋体" w:cs="Arial"/>
          <w:b/>
          <w:bCs/>
          <w:color w:val="000000"/>
          <w:kern w:val="0"/>
          <w:szCs w:val="21"/>
        </w:rPr>
        <w:t>妇产科器械科</w:t>
      </w:r>
      <w:r>
        <w:rPr>
          <w:rFonts w:ascii="Arial" w:hAnsi="Arial" w:eastAsia="宋体" w:cs="Arial"/>
          <w:b/>
          <w:bCs/>
          <w:color w:val="000000"/>
          <w:kern w:val="0"/>
          <w:szCs w:val="21"/>
        </w:rPr>
        <w:br w:type="textWrapping"/>
      </w:r>
      <w:r>
        <w:rPr>
          <w:rFonts w:ascii="Arial" w:hAnsi="Arial" w:eastAsia="宋体" w:cs="Arial"/>
          <w:b/>
          <w:bCs/>
          <w:color w:val="000000"/>
          <w:kern w:val="0"/>
          <w:szCs w:val="21"/>
        </w:rPr>
        <w:t>生殖、腹部和放射器械司</w:t>
      </w:r>
      <w:r>
        <w:rPr>
          <w:rFonts w:ascii="Arial" w:hAnsi="Arial" w:eastAsia="宋体" w:cs="Arial"/>
          <w:b/>
          <w:bCs/>
          <w:color w:val="000000"/>
          <w:kern w:val="0"/>
          <w:szCs w:val="21"/>
        </w:rPr>
        <w:br w:type="textWrapping"/>
      </w:r>
      <w:r>
        <w:rPr>
          <w:rFonts w:ascii="Arial" w:hAnsi="Arial" w:eastAsia="宋体" w:cs="Arial"/>
          <w:b/>
          <w:bCs/>
          <w:color w:val="000000"/>
          <w:kern w:val="0"/>
          <w:szCs w:val="21"/>
        </w:rPr>
        <w:t>器械评价办公室</w:t>
      </w:r>
    </w:p>
    <w:p w14:paraId="468CE821">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5" o:spt="1" style="height:0pt;width:0pt;" fillcolor="#A0A0A0" filled="t" stroked="f" coordsize="21600,21600" o:hr="t" o:hrstd="t" o:hralign="center">
            <v:path/>
            <v:fill on="t" focussize="0,0"/>
            <v:stroke on="f"/>
            <v:imagedata o:title=""/>
            <o:lock v:ext="edit"/>
            <w10:wrap type="none"/>
            <w10:anchorlock/>
          </v:rect>
        </w:pict>
      </w:r>
    </w:p>
    <w:p w14:paraId="1AA9B514">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2159937E">
      <w:pPr>
        <w:shd w:val="clear" w:color="auto" w:fill="FFFFFF"/>
        <w:snapToGrid w:val="0"/>
        <w:spacing w:before="236" w:after="118" w:line="300" w:lineRule="auto"/>
        <w:jc w:val="center"/>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前言</w:t>
      </w:r>
    </w:p>
    <w:p w14:paraId="6AD4D78E">
      <w:pPr>
        <w:widowControl/>
        <w:shd w:val="clear" w:color="auto" w:fill="FFFFFF"/>
        <w:snapToGrid w:val="0"/>
        <w:spacing w:before="236" w:after="118" w:line="300" w:lineRule="auto"/>
        <w:outlineLvl w:val="3"/>
        <w:rPr>
          <w:rFonts w:ascii="Arial" w:hAnsi="Arial" w:eastAsia="宋体" w:cs="Arial"/>
          <w:b/>
          <w:bCs/>
          <w:color w:val="000000"/>
          <w:kern w:val="0"/>
          <w:szCs w:val="21"/>
        </w:rPr>
      </w:pPr>
      <w:r>
        <w:rPr>
          <w:rFonts w:ascii="Arial" w:hAnsi="Arial" w:eastAsia="宋体" w:cs="Arial"/>
          <w:b/>
          <w:bCs/>
          <w:color w:val="000000"/>
          <w:kern w:val="0"/>
          <w:szCs w:val="21"/>
        </w:rPr>
        <w:t>公共评论</w:t>
      </w:r>
    </w:p>
    <w:p w14:paraId="38ABF7E8">
      <w:pPr>
        <w:pStyle w:val="7"/>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贵公司可以随时提交书面评论和建议至食品药品监督管理局，文档管理部（5630 Fishers Lane，Room 1061，（HFA-305），Rockville，MD，20852），供部门审议。此外，电子文档请提交至</w:t>
      </w:r>
      <w:r>
        <w:rPr>
          <w:rFonts w:ascii="Arial" w:hAnsi="Arial" w:eastAsia="宋体" w:cs="Arial"/>
          <w:bCs/>
          <w:color w:val="0000FF"/>
          <w:sz w:val="21"/>
          <w:szCs w:val="21"/>
          <w:u w:val="single"/>
          <w:lang w:eastAsia="zh-CN"/>
        </w:rPr>
        <w:t>Regulations.gov</w:t>
      </w:r>
      <w:r>
        <w:rPr>
          <w:rFonts w:ascii="Arial" w:hAnsi="Arial" w:eastAsia="宋体" w:cs="Arial"/>
          <w:sz w:val="21"/>
          <w:szCs w:val="21"/>
          <w:lang w:eastAsia="zh-CN"/>
        </w:rPr>
        <w:t>。请在提供本指导性文件时提供贵公司的评论。可能直到文件下次修订或更新时，评论才会被机构受理。</w:t>
      </w:r>
    </w:p>
    <w:p w14:paraId="01370A58">
      <w:pPr>
        <w:widowControl/>
        <w:shd w:val="clear" w:color="auto" w:fill="FFFFFF"/>
        <w:snapToGrid w:val="0"/>
        <w:spacing w:line="300" w:lineRule="auto"/>
        <w:rPr>
          <w:rFonts w:ascii="Arial" w:hAnsi="Arial" w:eastAsia="宋体" w:cs="Arial"/>
          <w:color w:val="000000"/>
          <w:kern w:val="0"/>
          <w:szCs w:val="21"/>
        </w:rPr>
      </w:pPr>
    </w:p>
    <w:p w14:paraId="6CFE637C">
      <w:pPr>
        <w:widowControl/>
        <w:shd w:val="clear" w:color="auto" w:fill="FFFFFF"/>
        <w:snapToGrid w:val="0"/>
        <w:spacing w:before="236" w:after="118" w:line="300" w:lineRule="auto"/>
        <w:outlineLvl w:val="3"/>
        <w:rPr>
          <w:rFonts w:ascii="Arial" w:hAnsi="Arial" w:eastAsia="宋体" w:cs="Arial"/>
          <w:b/>
          <w:bCs/>
          <w:color w:val="000000"/>
          <w:kern w:val="0"/>
          <w:szCs w:val="21"/>
        </w:rPr>
      </w:pPr>
      <w:r>
        <w:rPr>
          <w:rFonts w:ascii="Arial" w:hAnsi="Arial" w:eastAsia="宋体" w:cs="Arial"/>
          <w:b/>
          <w:bCs/>
          <w:color w:val="000000"/>
          <w:kern w:val="0"/>
          <w:szCs w:val="21"/>
        </w:rPr>
        <w:t>其他副本</w:t>
      </w:r>
    </w:p>
    <w:p w14:paraId="1359406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其他副本可从互联网获得。贵公司还可以向</w:t>
      </w:r>
      <w:r>
        <w:rPr>
          <w:rFonts w:ascii="Arial" w:hAnsi="Arial" w:eastAsia="宋体" w:cs="Arial"/>
          <w:color w:val="0000FF"/>
          <w:kern w:val="0"/>
          <w:szCs w:val="21"/>
          <w:u w:val="single"/>
        </w:rPr>
        <w:t>CDRH-Guidance@fda.hhs.gov</w:t>
      </w:r>
      <w:r>
        <w:rPr>
          <w:rFonts w:ascii="Arial" w:hAnsi="Arial" w:eastAsia="宋体" w:cs="Arial"/>
          <w:color w:val="000000"/>
          <w:kern w:val="0"/>
          <w:szCs w:val="21"/>
        </w:rPr>
        <w:t>发送电子邮件请求，以接收本指南的副本。请使用文件编号1625来标识贵公司要求获得的指南。</w:t>
      </w:r>
    </w:p>
    <w:p w14:paraId="0B1F136D">
      <w:pPr>
        <w:shd w:val="clear" w:color="auto" w:fill="FFFFFF"/>
        <w:snapToGrid w:val="0"/>
        <w:spacing w:before="236" w:after="118" w:line="300" w:lineRule="auto"/>
        <w:jc w:val="center"/>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目录</w:t>
      </w:r>
    </w:p>
    <w:p w14:paraId="4D4E845B">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前言</w:t>
      </w:r>
      <w:r>
        <w:rPr>
          <w:rFonts w:ascii="Arial" w:hAnsi="Arial" w:eastAsia="宋体" w:cs="Arial"/>
          <w:b/>
          <w:bCs/>
          <w:color w:val="0000CC"/>
          <w:kern w:val="0"/>
          <w:szCs w:val="21"/>
          <w:u w:val="single"/>
        </w:rPr>
        <w:br w:type="textWrapping"/>
      </w:r>
      <w:r>
        <w:rPr>
          <w:rFonts w:ascii="Arial" w:hAnsi="Arial" w:eastAsia="宋体" w:cs="Arial"/>
          <w:b/>
          <w:bCs/>
          <w:color w:val="0000CC"/>
          <w:kern w:val="0"/>
          <w:szCs w:val="21"/>
          <w:u w:val="single"/>
        </w:rPr>
        <w:t>最小负担法</w:t>
      </w:r>
    </w:p>
    <w:p w14:paraId="6B0020C1">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背景</w:t>
      </w:r>
    </w:p>
    <w:p w14:paraId="46FF228C">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fldChar w:fldCharType="begin"/>
      </w:r>
      <w:r>
        <w:instrText xml:space="preserve"> HYPERLINK "http://www.fda.gov/MedicalDevices/DeviceRegulationandGuidance/GuidanceDocuments/ucm076925.htm" \l "3" </w:instrText>
      </w:r>
      <w:r>
        <w:fldChar w:fldCharType="separate"/>
      </w:r>
      <w:r>
        <w:rPr>
          <w:rFonts w:ascii="Arial" w:hAnsi="Arial" w:eastAsia="宋体" w:cs="Arial"/>
          <w:b/>
          <w:bCs/>
          <w:color w:val="0000CC"/>
          <w:kern w:val="0"/>
          <w:szCs w:val="21"/>
          <w:u w:val="single"/>
        </w:rPr>
        <w:t>简化510（k）提交</w:t>
      </w:r>
      <w:r>
        <w:rPr>
          <w:rFonts w:ascii="Arial" w:hAnsi="Arial" w:eastAsia="宋体" w:cs="Arial"/>
          <w:b/>
          <w:bCs/>
          <w:color w:val="0000CC"/>
          <w:kern w:val="0"/>
          <w:szCs w:val="21"/>
          <w:u w:val="single"/>
        </w:rPr>
        <w:fldChar w:fldCharType="end"/>
      </w:r>
      <w:r>
        <w:rPr>
          <w:rFonts w:ascii="Arial" w:hAnsi="Arial" w:eastAsia="宋体" w:cs="Arial"/>
          <w:b/>
          <w:bCs/>
          <w:color w:val="0000CC"/>
          <w:kern w:val="0"/>
          <w:szCs w:val="21"/>
          <w:u w:val="single"/>
        </w:rPr>
        <w:t>材料</w:t>
      </w:r>
    </w:p>
    <w:p w14:paraId="44866CF3">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范围</w:t>
      </w:r>
    </w:p>
    <w:p w14:paraId="6338DC3A">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器械描述</w:t>
      </w:r>
    </w:p>
    <w:p w14:paraId="3DD96E74">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健康风险</w:t>
      </w:r>
    </w:p>
    <w:p w14:paraId="22536AA2">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非临床分析和试验</w:t>
      </w:r>
    </w:p>
    <w:p w14:paraId="2C9864BB">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"https://www.fda.gov/medicaldevices/deviceregulationandguidance/guidancedocuments/ucm071414.htm" \l "8" </w:instrText>
      </w:r>
      <w:r>
        <w:fldChar w:fldCharType="separate"/>
      </w:r>
      <w:r>
        <w:rPr>
          <w:rFonts w:ascii="Arial" w:hAnsi="Arial" w:eastAsia="宋体" w:cs="Arial"/>
          <w:b/>
          <w:bCs/>
          <w:color w:val="0000CC"/>
          <w:kern w:val="0"/>
          <w:szCs w:val="21"/>
          <w:u w:val="single"/>
        </w:rPr>
        <w:t xml:space="preserve">电气安全 </w:t>
      </w:r>
      <w:r>
        <w:rPr>
          <w:rFonts w:ascii="Arial" w:hAnsi="Arial" w:eastAsia="宋体" w:cs="Arial"/>
          <w:b/>
          <w:bCs/>
          <w:color w:val="0000CC"/>
          <w:kern w:val="0"/>
          <w:szCs w:val="21"/>
          <w:u w:val="single"/>
        </w:rPr>
        <w:fldChar w:fldCharType="end"/>
      </w:r>
    </w:p>
    <w:p w14:paraId="12606C6B">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"https://www.fda.gov/medicaldevices/deviceregulationandguidance/guidancedocuments/ucm071414.htm" \l "9" </w:instrText>
      </w:r>
      <w:r>
        <w:fldChar w:fldCharType="separate"/>
      </w:r>
      <w:r>
        <w:rPr>
          <w:rFonts w:ascii="Arial" w:hAnsi="Arial" w:eastAsia="宋体" w:cs="Arial"/>
          <w:b/>
          <w:bCs/>
          <w:color w:val="0000CC"/>
          <w:kern w:val="0"/>
          <w:szCs w:val="21"/>
          <w:u w:val="single"/>
        </w:rPr>
        <w:t xml:space="preserve">超声安全 </w:t>
      </w:r>
      <w:r>
        <w:rPr>
          <w:rFonts w:ascii="Arial" w:hAnsi="Arial" w:eastAsia="宋体" w:cs="Arial"/>
          <w:b/>
          <w:bCs/>
          <w:color w:val="0000CC"/>
          <w:kern w:val="0"/>
          <w:szCs w:val="21"/>
          <w:u w:val="single"/>
        </w:rPr>
        <w:fldChar w:fldCharType="end"/>
      </w:r>
    </w:p>
    <w:p w14:paraId="2D8CB5EF">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电磁兼容性</w:t>
      </w:r>
    </w:p>
    <w:p w14:paraId="38A0328C">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软件</w:t>
      </w:r>
    </w:p>
    <w:p w14:paraId="71D2E31A">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生物相容性</w:t>
      </w:r>
    </w:p>
    <w:p w14:paraId="480525E6">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灭菌信息</w:t>
      </w:r>
    </w:p>
    <w:p w14:paraId="4184173B">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临床信息</w:t>
      </w:r>
    </w:p>
    <w:p w14:paraId="0EE6E9CA">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标签</w:t>
      </w:r>
    </w:p>
    <w:p w14:paraId="079B14F3">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6" o:spt="1" style="height:0pt;width:0pt;" fillcolor="#A0A0A0" filled="t" stroked="f" coordsize="21600,21600" o:hr="t" o:hrstd="t" o:hralign="center">
            <v:path/>
            <v:fill on="t" focussize="0,0"/>
            <v:stroke on="f"/>
            <v:imagedata o:title=""/>
            <o:lock v:ext="edit"/>
            <w10:wrap type="none"/>
            <w10:anchorlock/>
          </v:rect>
        </w:pict>
      </w:r>
    </w:p>
    <w:p w14:paraId="7A580CEF">
      <w:pPr>
        <w:shd w:val="clear" w:color="auto" w:fill="FFFFFF"/>
        <w:snapToGrid w:val="0"/>
        <w:spacing w:before="236" w:after="118" w:line="300" w:lineRule="auto"/>
        <w:jc w:val="center"/>
        <w:outlineLvl w:val="1"/>
        <w:rPr>
          <w:rFonts w:ascii="Arial" w:hAnsi="Arial" w:eastAsia="宋体" w:cs="Arial"/>
          <w:b/>
          <w:bCs/>
          <w:color w:val="000000"/>
          <w:kern w:val="0"/>
          <w:sz w:val="32"/>
          <w:szCs w:val="32"/>
        </w:rPr>
      </w:pPr>
      <w:r>
        <w:rPr>
          <w:rFonts w:ascii="Arial" w:hAnsi="Arial" w:eastAsia="宋体" w:cs="Arial"/>
          <w:b/>
          <w:bCs/>
          <w:color w:val="000000"/>
          <w:kern w:val="0"/>
          <w:sz w:val="32"/>
          <w:szCs w:val="32"/>
        </w:rPr>
        <w:t>行业和FDA人员指南-II类特殊控制指导性文件：</w:t>
      </w:r>
      <w:r>
        <w:rPr>
          <w:rFonts w:ascii="Arial" w:hAnsi="Arial" w:eastAsia="宋体" w:cs="Arial"/>
          <w:b/>
          <w:bCs/>
          <w:color w:val="000000"/>
          <w:kern w:val="0"/>
          <w:sz w:val="32"/>
          <w:szCs w:val="32"/>
        </w:rPr>
        <w:br w:type="textWrapping"/>
      </w:r>
      <w:r>
        <w:rPr>
          <w:rFonts w:ascii="Arial" w:hAnsi="Arial" w:eastAsia="宋体" w:cs="Arial"/>
          <w:b/>
          <w:bCs/>
          <w:color w:val="000000"/>
          <w:kern w:val="0"/>
          <w:sz w:val="32"/>
          <w:szCs w:val="32"/>
        </w:rPr>
        <w:t>计算机化分娩监测系统</w:t>
      </w:r>
    </w:p>
    <w:p w14:paraId="3651251E">
      <w:pPr>
        <w:shd w:val="clear" w:color="auto" w:fill="FFFFFF"/>
        <w:snapToGrid w:val="0"/>
        <w:spacing w:before="236" w:after="118" w:line="300" w:lineRule="auto"/>
        <w:outlineLvl w:val="1"/>
        <w:rPr>
          <w:rFonts w:ascii="Arial" w:hAnsi="Arial" w:eastAsia="宋体" w:cs="Arial"/>
          <w:b/>
          <w:bCs/>
          <w:color w:val="000000"/>
          <w:kern w:val="0"/>
          <w:szCs w:val="21"/>
        </w:rPr>
      </w:pPr>
    </w:p>
    <w:p w14:paraId="7FF345D4">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0AC1AAEE">
      <w:pPr>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1.前言</w:t>
      </w:r>
    </w:p>
    <w:p w14:paraId="7464243E">
      <w:p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编制本指导性文件的目的在于支持将计算机化分娩监测系统分类为II类（特殊控制）。计算机化分娩监测系统旨在持续测量子宫颈扩张和胎头下降，并提供分娩进度的显示。计算机化分娩监测系统包括监视器和超声换能器。将超声换能器放置在母体腹部和子宫颈上以及胎儿头皮上，提供用于产生显示的测量矩阵。本指南与联邦公告通告一起发布，宣布计算机化分娩监测系统的分类。</w:t>
      </w:r>
    </w:p>
    <w:p w14:paraId="3D8E8A3F">
      <w:pPr>
        <w:widowControl/>
        <w:shd w:val="clear" w:color="auto" w:fill="FFFFFF"/>
        <w:snapToGrid w:val="0"/>
        <w:spacing w:line="300" w:lineRule="auto"/>
        <w:rPr>
          <w:rFonts w:ascii="Arial" w:hAnsi="Arial" w:eastAsia="宋体" w:cs="Arial"/>
          <w:color w:val="000000"/>
          <w:kern w:val="0"/>
          <w:szCs w:val="21"/>
        </w:rPr>
      </w:pPr>
    </w:p>
    <w:p w14:paraId="2BDCA17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在对器械进行分类的最终规则生效之后，任何为计算机化分娩监测系统提交510（k）上市前通告的公司都需要解决本特殊控制指南中涉及的问题。该公司必须表明，其器械已通过满足本指南的建议或通过提供等同的安全性和有效性保证的其他方法，解决了本指南中确定的安全性和有效性问题。</w:t>
      </w:r>
    </w:p>
    <w:p w14:paraId="6E56C3A8">
      <w:pPr>
        <w:widowControl/>
        <w:shd w:val="clear" w:color="auto" w:fill="FFFFFF"/>
        <w:snapToGrid w:val="0"/>
        <w:spacing w:before="236" w:after="118" w:line="300" w:lineRule="auto"/>
        <w:outlineLvl w:val="3"/>
        <w:rPr>
          <w:rFonts w:ascii="Arial" w:hAnsi="Arial" w:eastAsia="宋体" w:cs="Arial"/>
          <w:b/>
          <w:bCs/>
          <w:color w:val="000000"/>
          <w:kern w:val="0"/>
          <w:szCs w:val="21"/>
        </w:rPr>
      </w:pPr>
      <w:r>
        <w:rPr>
          <w:rFonts w:ascii="Arial" w:hAnsi="Arial" w:eastAsia="宋体" w:cs="Arial"/>
          <w:b/>
          <w:bCs/>
          <w:color w:val="000000"/>
          <w:kern w:val="0"/>
          <w:szCs w:val="21"/>
        </w:rPr>
        <w:t>最小负担法</w:t>
      </w:r>
    </w:p>
    <w:p w14:paraId="175B928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本指导性文件中确定的问题代表我们认为在贵公司的器械可上市之前需要解决的问题。在制定本指南时，我们仔细考虑了相关法定标准以便于本审查机构做出决定。我们还考虑了贵公司尝试遵守本指南并解决我们确定的问题时可能产生的负担。我们认为，我们已采用了最小负担法来解决本指导性文件中提出的问题。但是，如果贵公司认为有负担更小的方式可解决这些问题，则贵公司应遵循文件“解决最小负担问题的建议方法”中概述的程序。</w:t>
      </w:r>
      <w:r>
        <w:fldChar w:fldCharType="begin"/>
      </w:r>
      <w:r>
        <w:instrText xml:space="preserve"> HYPERLINK "https://www.fda.gov/medicaldevices/deviceregulationandguidance/guidancedocuments/ucm071414.htm" \l "ft1" </w:instrText>
      </w:r>
      <w:r>
        <w:fldChar w:fldCharType="separate"/>
      </w:r>
      <w:r>
        <w:rPr>
          <w:rFonts w:ascii="Arial" w:hAnsi="Arial" w:eastAsia="宋体" w:cs="Arial"/>
          <w:b/>
          <w:bCs/>
          <w:color w:val="0000CC"/>
          <w:kern w:val="0"/>
          <w:szCs w:val="21"/>
          <w:u w:val="single"/>
          <w:vertAlign w:val="superscript"/>
        </w:rPr>
        <w:t>1</w:t>
      </w:r>
      <w:r>
        <w:rPr>
          <w:rFonts w:ascii="Arial" w:hAnsi="Arial" w:eastAsia="宋体" w:cs="Arial"/>
          <w:b/>
          <w:bCs/>
          <w:color w:val="0000CC"/>
          <w:kern w:val="0"/>
          <w:szCs w:val="21"/>
          <w:u w:val="single"/>
          <w:vertAlign w:val="superscript"/>
        </w:rPr>
        <w:fldChar w:fldCharType="end"/>
      </w:r>
    </w:p>
    <w:p w14:paraId="49CDA4ED">
      <w:pPr>
        <w:widowControl/>
        <w:shd w:val="clear" w:color="auto" w:fill="FFFFFF"/>
        <w:snapToGrid w:val="0"/>
        <w:spacing w:line="300" w:lineRule="auto"/>
        <w:rPr>
          <w:rFonts w:ascii="Arial" w:hAnsi="Arial" w:eastAsia="宋体" w:cs="Arial"/>
          <w:color w:val="000000"/>
          <w:kern w:val="0"/>
          <w:szCs w:val="21"/>
        </w:rPr>
      </w:pPr>
    </w:p>
    <w:p w14:paraId="74A90EA3">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7EED362D">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7" o:spt="1" style="height:0pt;width:0pt;" fillcolor="#A0A0A0" filled="t" stroked="f" coordsize="21600,21600" o:hr="t" o:hrstd="t" o:hralign="center">
            <v:path/>
            <v:fill on="t" focussize="0,0"/>
            <v:stroke on="f"/>
            <v:imagedata o:title=""/>
            <o:lock v:ext="edit"/>
            <w10:wrap type="none"/>
            <w10:anchorlock/>
          </v:rect>
        </w:pict>
      </w:r>
    </w:p>
    <w:p w14:paraId="31286D24">
      <w:pPr>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2.背景</w:t>
      </w:r>
    </w:p>
    <w:p w14:paraId="2B64A2F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FDA认为，与一般控制组合时，特殊控制将足以对计算机化分娩监测系统的安全性和有效性提供合理保证。因此，拟上市此类器械的制造商应（1）遵守联邦食品，药品和化妆品法案（法案）的一般控制，包括21 CFR 807子部分E中所述的上市前通告要求，（2）处理与计算机化分娩监测系统相关的特定健康风险，以及（3）在该器械上市前从FDA获得实质等同性</w:t>
      </w:r>
      <w:r>
        <w:rPr>
          <w:rFonts w:hint="eastAsia" w:ascii="Arial" w:hAnsi="Arial" w:eastAsia="宋体" w:cs="Arial"/>
          <w:color w:val="000000"/>
          <w:kern w:val="0"/>
          <w:szCs w:val="21"/>
        </w:rPr>
        <w:t>确认</w:t>
      </w:r>
      <w:r>
        <w:rPr>
          <w:rFonts w:ascii="Arial" w:hAnsi="Arial" w:eastAsia="宋体" w:cs="Arial"/>
          <w:color w:val="000000"/>
          <w:kern w:val="0"/>
          <w:szCs w:val="21"/>
        </w:rPr>
        <w:t>（另请参见21 CFR 807.85）。</w:t>
      </w:r>
    </w:p>
    <w:p w14:paraId="41DE72BB">
      <w:pPr>
        <w:widowControl/>
        <w:shd w:val="clear" w:color="auto" w:fill="FFFFFF"/>
        <w:snapToGrid w:val="0"/>
        <w:spacing w:line="300" w:lineRule="auto"/>
        <w:rPr>
          <w:rFonts w:ascii="Arial" w:hAnsi="Arial" w:eastAsia="宋体" w:cs="Arial"/>
          <w:color w:val="000000"/>
          <w:kern w:val="0"/>
          <w:szCs w:val="21"/>
        </w:rPr>
      </w:pPr>
    </w:p>
    <w:p w14:paraId="7AAEA02B">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15ECB3F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本特殊控制指导性文件确定了用于监测分娩活跃期进展的系统的分类法规和产品代码。（请参见</w:t>
      </w:r>
      <w:r>
        <w:rPr>
          <w:rFonts w:hint="eastAsia" w:ascii="Arial" w:hAnsi="Arial" w:eastAsia="宋体" w:cs="Arial"/>
          <w:b/>
          <w:color w:val="0000FF"/>
          <w:kern w:val="0"/>
          <w:szCs w:val="21"/>
        </w:rPr>
        <w:t>第</w:t>
      </w:r>
      <w:r>
        <w:rPr>
          <w:rFonts w:ascii="Arial" w:hAnsi="Arial" w:eastAsia="宋体" w:cs="Arial"/>
          <w:b/>
          <w:color w:val="0000FF"/>
          <w:kern w:val="0"/>
          <w:szCs w:val="21"/>
        </w:rPr>
        <w:t>4</w:t>
      </w:r>
      <w:r>
        <w:rPr>
          <w:rFonts w:hint="eastAsia" w:ascii="Arial" w:hAnsi="Arial" w:eastAsia="宋体" w:cs="Arial"/>
          <w:b/>
          <w:color w:val="0000FF"/>
          <w:kern w:val="0"/>
          <w:szCs w:val="21"/>
        </w:rPr>
        <w:t>节</w:t>
      </w:r>
      <w:r>
        <w:rPr>
          <w:rFonts w:ascii="Arial" w:hAnsi="Arial" w:eastAsia="宋体" w:cs="Arial"/>
          <w:b/>
          <w:color w:val="0000FF"/>
          <w:kern w:val="0"/>
          <w:szCs w:val="21"/>
        </w:rPr>
        <w:t>-</w:t>
      </w:r>
      <w:r>
        <w:rPr>
          <w:rFonts w:hint="eastAsia" w:ascii="Arial" w:hAnsi="Arial" w:eastAsia="宋体" w:cs="Arial"/>
          <w:b/>
          <w:color w:val="0000FF"/>
          <w:kern w:val="0"/>
          <w:szCs w:val="21"/>
        </w:rPr>
        <w:t>范围</w:t>
      </w:r>
      <w:r>
        <w:rPr>
          <w:rFonts w:ascii="Arial" w:hAnsi="Arial" w:eastAsia="宋体" w:cs="Arial"/>
          <w:color w:val="000000"/>
          <w:kern w:val="0"/>
          <w:szCs w:val="21"/>
        </w:rPr>
        <w:t>）。本指导性文件的其他部分列出了FDA确定的健康风险，并说明了关于制造商遵守并结合一般控制措施通常可解决与计算机化分娩监测系统相关的风险并可及时进行上市前通告【510（k）】审查和许可的措施。本文件补充有关【510（k）】提交资料的内容要求的其他FDA文件。在准备贵公司的提交资料时，贵公司还应参考CDRH的器械建议</w:t>
      </w:r>
      <w:r>
        <w:fldChar w:fldCharType="begin"/>
      </w:r>
      <w:r>
        <w:instrText xml:space="preserve"> HYPERLINK "https://www.fda.gov/medicaldevices/deviceregulationandguidance/guidancedocuments/ucm071414.htm" \l "ft2" </w:instrText>
      </w:r>
      <w:r>
        <w:fldChar w:fldCharType="separate"/>
      </w:r>
      <w:r>
        <w:rPr>
          <w:rFonts w:ascii="Arial" w:hAnsi="Arial" w:eastAsia="宋体" w:cs="Arial"/>
          <w:b/>
          <w:bCs/>
          <w:color w:val="0000CC"/>
          <w:kern w:val="0"/>
          <w:szCs w:val="21"/>
          <w:u w:val="single"/>
          <w:vertAlign w:val="superscript"/>
        </w:rPr>
        <w:t>2</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，21 CFR 807.87和其行业与FDA员工指南：传统和简化510（k）的格式。</w:t>
      </w:r>
      <w:r>
        <w:fldChar w:fldCharType="begin"/>
      </w:r>
      <w:r>
        <w:instrText xml:space="preserve"> HYPERLINK "https://www.fda.gov/medicaldevices/deviceregulationandguidance/guidancedocuments/ucm071414.htm" \l "ft3" </w:instrText>
      </w:r>
      <w:r>
        <w:fldChar w:fldCharType="separate"/>
      </w:r>
      <w:r>
        <w:rPr>
          <w:rFonts w:ascii="Arial" w:hAnsi="Arial" w:eastAsia="宋体" w:cs="Arial"/>
          <w:b/>
          <w:bCs/>
          <w:color w:val="0000CC"/>
          <w:kern w:val="0"/>
          <w:szCs w:val="21"/>
          <w:u w:val="single"/>
          <w:vertAlign w:val="superscript"/>
        </w:rPr>
        <w:t>3</w:t>
      </w:r>
      <w:r>
        <w:rPr>
          <w:rFonts w:ascii="Arial" w:hAnsi="Arial" w:eastAsia="宋体" w:cs="Arial"/>
          <w:b/>
          <w:bCs/>
          <w:color w:val="0000CC"/>
          <w:kern w:val="0"/>
          <w:szCs w:val="21"/>
          <w:u w:val="single"/>
          <w:vertAlign w:val="superscript"/>
        </w:rPr>
        <w:fldChar w:fldCharType="end"/>
      </w:r>
    </w:p>
    <w:p w14:paraId="53A25B33">
      <w:pPr>
        <w:widowControl/>
        <w:shd w:val="clear" w:color="auto" w:fill="FFFFFF"/>
        <w:snapToGrid w:val="0"/>
        <w:spacing w:line="300" w:lineRule="auto"/>
        <w:rPr>
          <w:rFonts w:ascii="Arial" w:hAnsi="Arial" w:eastAsia="宋体" w:cs="Arial"/>
          <w:color w:val="000000"/>
          <w:kern w:val="0"/>
          <w:szCs w:val="21"/>
        </w:rPr>
      </w:pPr>
    </w:p>
    <w:p w14:paraId="148A9C9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根据《新版510（k）范式-在上市前通告中证明实质等同性的替代方法-最终指南》</w:t>
      </w:r>
      <w:r>
        <w:fldChar w:fldCharType="begin"/>
      </w:r>
      <w:r>
        <w:instrText xml:space="preserve"> HYPERLINK "https://www.fda.gov/medicaldevices/deviceregulationandguidance/guidancedocuments/ucm071414.htm" \l "ft4" </w:instrText>
      </w:r>
      <w:r>
        <w:fldChar w:fldCharType="separate"/>
      </w:r>
      <w:r>
        <w:rPr>
          <w:rFonts w:ascii="Arial" w:hAnsi="Arial" w:eastAsia="宋体" w:cs="Arial"/>
          <w:b/>
          <w:bCs/>
          <w:color w:val="0000CC"/>
          <w:kern w:val="0"/>
          <w:szCs w:val="21"/>
          <w:u w:val="single"/>
          <w:vertAlign w:val="superscript"/>
        </w:rPr>
        <w:t>4</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贵公司可以提交传统510（k）或可以选择提交简化510（k）或特殊510（k）。FDA认为，简化510（k）提供了可用于证明新器械实质等同性且负担最小的手段，特别是在II类特殊控制指导性文件发布后。如果贵公司打算修改贵公司自己已许可器械，则贵公司可以通过提交特殊510（k）来减轻监管负担。</w:t>
      </w:r>
    </w:p>
    <w:p w14:paraId="12BE08D9">
      <w:pPr>
        <w:widowControl/>
        <w:shd w:val="clear" w:color="auto" w:fill="FFFFFF"/>
        <w:snapToGrid w:val="0"/>
        <w:spacing w:line="300" w:lineRule="auto"/>
        <w:rPr>
          <w:rFonts w:ascii="Arial" w:hAnsi="Arial" w:eastAsia="宋体" w:cs="Arial"/>
          <w:color w:val="000000"/>
          <w:kern w:val="0"/>
          <w:szCs w:val="21"/>
        </w:rPr>
      </w:pPr>
    </w:p>
    <w:p w14:paraId="2463F205">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215821EA">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8" o:spt="1" style="height:0pt;width:0pt;" fillcolor="#A0A0A0" filled="t" stroked="f" coordsize="21600,21600" o:hr="t" o:hrstd="t" o:hralign="center">
            <v:path/>
            <v:fill on="t" focussize="0,0"/>
            <v:stroke on="f"/>
            <v:imagedata o:title=""/>
            <o:lock v:ext="edit"/>
            <w10:wrap type="none"/>
            <w10:anchorlock/>
          </v:rect>
        </w:pict>
      </w:r>
    </w:p>
    <w:p w14:paraId="78A21C1D">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3.简化510（k）提交资料的内容和格式</w:t>
      </w:r>
    </w:p>
    <w:p w14:paraId="6BB51D8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简化510（k）提交资料必须含有21 CFR 807.87中确定的所需成分，包括用于描述器械、其预期用途及其使用说明的拟定器械标签。在简化510（k）中，FDA可以将总结报告的内容视为21 CFR 807.87（f）或（g）所指的适当支持性数据；因此，我们建议贵公司提供总结报告，其中应说明：</w:t>
      </w:r>
    </w:p>
    <w:p w14:paraId="0C6ABC63">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在器械开发和试验过程中如何使用此指导性文件</w:t>
      </w:r>
    </w:p>
    <w:p w14:paraId="55DC784A">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所使用的方法或试验（简要说明）</w:t>
      </w:r>
    </w:p>
    <w:p w14:paraId="7D6F7E0A">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试验数据总结或适用于解决本文件中已确定风险的验收标准的描述</w:t>
      </w:r>
    </w:p>
    <w:p w14:paraId="0EB6B219">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贵公司器械特有的任何其他风险。</w:t>
      </w:r>
    </w:p>
    <w:p w14:paraId="22632B04">
      <w:pPr>
        <w:widowControl/>
        <w:shd w:val="clear" w:color="auto" w:fill="FFFFFF"/>
        <w:snapToGrid w:val="0"/>
        <w:spacing w:line="300" w:lineRule="auto"/>
        <w:ind w:left="433" w:leftChars="205" w:hanging="3"/>
        <w:rPr>
          <w:rFonts w:ascii="Arial" w:hAnsi="Arial" w:eastAsia="宋体" w:cs="Arial"/>
          <w:color w:val="000000"/>
          <w:kern w:val="0"/>
          <w:szCs w:val="21"/>
        </w:rPr>
      </w:pPr>
      <w:r>
        <w:rPr>
          <w:rFonts w:ascii="Arial" w:hAnsi="Arial" w:eastAsia="宋体" w:cs="Arial"/>
          <w:color w:val="000000"/>
          <w:kern w:val="0"/>
          <w:szCs w:val="21"/>
        </w:rPr>
        <w:t>本节将对用于满足21 CFR 807.87的一些要求和我们建议贵公司纳入简化510（k）中的其他项目提供建议。</w:t>
      </w:r>
    </w:p>
    <w:p w14:paraId="4010F476">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0F13D856">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封面</w:t>
      </w:r>
    </w:p>
    <w:p w14:paraId="549B63F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封面应明确将提交资料标注为简化510（k），并引用本指导性文件的标题。</w:t>
      </w:r>
    </w:p>
    <w:p w14:paraId="53D1AD8F">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拟定标签</w:t>
      </w:r>
    </w:p>
    <w:p w14:paraId="5B5CA28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拟定标签应足以说明器械、其预期用途及其使用说明。（有关用于本指导性文件涵盖的器械标签中应包含的具体信息，请参见</w:t>
      </w:r>
      <w:r>
        <w:rPr>
          <w:rFonts w:hint="eastAsia" w:ascii="Arial" w:hAnsi="Arial" w:eastAsia="宋体" w:cs="Arial"/>
          <w:color w:val="0000FF"/>
          <w:kern w:val="0"/>
          <w:szCs w:val="21"/>
          <w:u w:val="single"/>
        </w:rPr>
        <w:t>第</w:t>
      </w:r>
      <w:r>
        <w:rPr>
          <w:rFonts w:ascii="Arial" w:hAnsi="Arial" w:eastAsia="宋体" w:cs="Arial"/>
          <w:color w:val="0000FF"/>
          <w:kern w:val="0"/>
          <w:szCs w:val="21"/>
          <w:u w:val="single"/>
        </w:rPr>
        <w:t>14</w:t>
      </w:r>
      <w:r>
        <w:rPr>
          <w:rFonts w:hint="eastAsia" w:ascii="Arial" w:hAnsi="Arial" w:eastAsia="宋体" w:cs="Arial"/>
          <w:color w:val="0000FF"/>
          <w:kern w:val="0"/>
          <w:szCs w:val="21"/>
          <w:u w:val="single"/>
        </w:rPr>
        <w:t>节</w:t>
      </w:r>
      <w:r>
        <w:rPr>
          <w:rFonts w:ascii="Arial" w:hAnsi="Arial" w:eastAsia="宋体" w:cs="Arial"/>
          <w:color w:val="0000FF"/>
          <w:kern w:val="0"/>
          <w:szCs w:val="21"/>
          <w:u w:val="single"/>
        </w:rPr>
        <w:t>“</w:t>
      </w:r>
      <w:r>
        <w:rPr>
          <w:rFonts w:hint="eastAsia" w:ascii="Arial" w:hAnsi="Arial" w:eastAsia="宋体" w:cs="Arial"/>
          <w:color w:val="0000FF"/>
          <w:kern w:val="0"/>
          <w:szCs w:val="21"/>
          <w:u w:val="single"/>
        </w:rPr>
        <w:t>标签</w:t>
      </w:r>
      <w:r>
        <w:rPr>
          <w:rFonts w:ascii="Arial" w:hAnsi="Arial" w:eastAsia="宋体" w:cs="Arial"/>
          <w:color w:val="0000FF"/>
          <w:kern w:val="0"/>
          <w:szCs w:val="21"/>
          <w:u w:val="single"/>
        </w:rPr>
        <w:t>”</w:t>
      </w:r>
      <w:r>
        <w:rPr>
          <w:rFonts w:ascii="Arial" w:hAnsi="Arial" w:eastAsia="宋体" w:cs="Arial"/>
          <w:color w:val="000000"/>
          <w:kern w:val="0"/>
          <w:szCs w:val="21"/>
        </w:rPr>
        <w:t>。）</w:t>
      </w:r>
    </w:p>
    <w:p w14:paraId="19459263">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color w:val="333333"/>
          <w:kern w:val="0"/>
          <w:szCs w:val="21"/>
          <w:lang w:val="en"/>
        </w:rPr>
        <w:t>总结报告</w:t>
      </w:r>
    </w:p>
    <w:p w14:paraId="12F9D358">
      <w:pPr>
        <w:widowControl/>
        <w:shd w:val="clear" w:color="auto" w:fill="FFFFFF"/>
        <w:snapToGrid w:val="0"/>
        <w:spacing w:line="300" w:lineRule="auto"/>
        <w:rPr>
          <w:rFonts w:ascii="Arial" w:hAnsi="Arial" w:eastAsia="宋体" w:cs="Arial"/>
          <w:color w:val="000000"/>
          <w:kern w:val="0"/>
          <w:szCs w:val="21"/>
        </w:rPr>
      </w:pPr>
      <w:r>
        <w:rPr>
          <w:rFonts w:hint="eastAsia" w:ascii="Arial" w:hAnsi="Arial" w:eastAsia="宋体" w:cs="Arial"/>
          <w:color w:val="000000"/>
          <w:kern w:val="0"/>
          <w:szCs w:val="21"/>
        </w:rPr>
        <w:t>我们建议总结报告包含以下内</w:t>
      </w:r>
      <w:r>
        <w:rPr>
          <w:rFonts w:ascii="Arial" w:hAnsi="Arial" w:eastAsia="宋体" w:cs="Arial"/>
          <w:color w:val="000000"/>
          <w:kern w:val="0"/>
          <w:szCs w:val="21"/>
        </w:rPr>
        <w:t>容</w:t>
      </w:r>
      <w:r>
        <w:rPr>
          <w:rFonts w:hint="eastAsia" w:ascii="Arial" w:hAnsi="Arial" w:eastAsia="宋体" w:cs="Arial"/>
          <w:color w:val="000000"/>
          <w:kern w:val="0"/>
          <w:szCs w:val="21"/>
        </w:rPr>
        <w:t>：</w:t>
      </w:r>
    </w:p>
    <w:p w14:paraId="54CF7881">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333333"/>
          <w:kern w:val="0"/>
          <w:szCs w:val="21"/>
          <w:lang w:val="en"/>
        </w:rPr>
        <w:t>器械及其预期用途说明</w:t>
      </w:r>
    </w:p>
    <w:p w14:paraId="75E14547">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我们建议说明应包括对性能规格的完整讨论，以及详细标记的器械图纸（如果适用）。有关我们建议贵公司纳入贵公司的器械描述的具体信息，请参见</w:t>
      </w:r>
      <w:r>
        <w:rPr>
          <w:rFonts w:hint="eastAsia" w:ascii="Arial" w:hAnsi="Arial" w:eastAsia="宋体" w:cs="Arial"/>
          <w:color w:val="0000FF"/>
          <w:kern w:val="0"/>
          <w:szCs w:val="21"/>
          <w:u w:val="single"/>
        </w:rPr>
        <w:t>第</w:t>
      </w:r>
      <w:r>
        <w:rPr>
          <w:rFonts w:ascii="Arial" w:hAnsi="Arial" w:eastAsia="宋体" w:cs="Arial"/>
          <w:color w:val="0000FF"/>
          <w:kern w:val="0"/>
          <w:szCs w:val="21"/>
          <w:u w:val="single"/>
        </w:rPr>
        <w:t>5</w:t>
      </w:r>
      <w:r>
        <w:rPr>
          <w:rFonts w:hint="eastAsia" w:ascii="Arial" w:hAnsi="Arial" w:eastAsia="宋体" w:cs="Arial"/>
          <w:color w:val="0000FF"/>
          <w:kern w:val="0"/>
          <w:szCs w:val="21"/>
          <w:u w:val="single"/>
        </w:rPr>
        <w:t>节</w:t>
      </w:r>
      <w:r>
        <w:rPr>
          <w:rFonts w:ascii="Arial" w:hAnsi="Arial" w:eastAsia="宋体" w:cs="Arial"/>
          <w:color w:val="0000FF"/>
          <w:kern w:val="0"/>
          <w:szCs w:val="21"/>
          <w:u w:val="single"/>
        </w:rPr>
        <w:t>“</w:t>
      </w:r>
      <w:r>
        <w:rPr>
          <w:rFonts w:hint="eastAsia" w:ascii="Arial" w:hAnsi="Arial" w:eastAsia="宋体" w:cs="Arial"/>
          <w:color w:val="0000FF"/>
          <w:kern w:val="0"/>
          <w:szCs w:val="21"/>
          <w:u w:val="single"/>
        </w:rPr>
        <w:t>器械描述</w:t>
      </w:r>
      <w:r>
        <w:rPr>
          <w:rFonts w:ascii="Arial" w:hAnsi="Arial" w:eastAsia="宋体" w:cs="Arial"/>
          <w:color w:val="0000FF"/>
          <w:kern w:val="0"/>
          <w:szCs w:val="21"/>
          <w:u w:val="single"/>
        </w:rPr>
        <w:t>”</w:t>
      </w:r>
      <w:r>
        <w:rPr>
          <w:rFonts w:ascii="Arial" w:hAnsi="Arial" w:eastAsia="宋体" w:cs="Arial"/>
          <w:color w:val="000000"/>
          <w:kern w:val="0"/>
          <w:szCs w:val="21"/>
        </w:rPr>
        <w:t>。FDA还建议贵公司提交“适应症”附件。</w:t>
      </w:r>
      <w:r>
        <w:fldChar w:fldCharType="begin"/>
      </w:r>
      <w:r>
        <w:instrText xml:space="preserve"> HYPERLINK "https://www.fda.gov/medicaldevices/deviceregulationandguidance/guidancedocuments/ucm071414.htm" \l "ft5" </w:instrText>
      </w:r>
      <w:r>
        <w:fldChar w:fldCharType="separate"/>
      </w:r>
      <w:r>
        <w:rPr>
          <w:rFonts w:ascii="Arial" w:hAnsi="Arial" w:eastAsia="宋体" w:cs="Arial"/>
          <w:b/>
          <w:bCs/>
          <w:color w:val="0000CC"/>
          <w:kern w:val="0"/>
          <w:szCs w:val="21"/>
          <w:u w:val="single"/>
          <w:vertAlign w:val="superscript"/>
        </w:rPr>
        <w:t>5</w:t>
      </w:r>
      <w:r>
        <w:rPr>
          <w:rFonts w:ascii="Arial" w:hAnsi="Arial" w:eastAsia="宋体" w:cs="Arial"/>
          <w:b/>
          <w:bCs/>
          <w:color w:val="0000CC"/>
          <w:kern w:val="0"/>
          <w:szCs w:val="21"/>
          <w:u w:val="single"/>
          <w:vertAlign w:val="superscript"/>
        </w:rPr>
        <w:fldChar w:fldCharType="end"/>
      </w:r>
    </w:p>
    <w:p w14:paraId="03A8AFD1">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器械设计要求的说明</w:t>
      </w:r>
    </w:p>
    <w:p w14:paraId="4EBCEE7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我们建议贵公司简要说明器械设计要求。</w:t>
      </w:r>
    </w:p>
    <w:p w14:paraId="104D7FF5">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333333"/>
          <w:kern w:val="0"/>
          <w:szCs w:val="21"/>
          <w:lang w:val="en"/>
        </w:rPr>
        <w:t>确定风险分析方法</w:t>
      </w:r>
    </w:p>
    <w:p w14:paraId="6DF5980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我们建议贵公司确定用于评估一般风险概况的风险分析方法、贵公司的具体器械设计以及此分析的结果。有关FDA已确定通常与使用本器械相关的健康风险，请参阅第6节：健康风险。</w:t>
      </w:r>
    </w:p>
    <w:p w14:paraId="4A7B0057">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color w:val="333333"/>
          <w:kern w:val="0"/>
          <w:szCs w:val="21"/>
          <w:lang w:val="en"/>
        </w:rPr>
        <w:t>讨论器械特性</w:t>
      </w:r>
    </w:p>
    <w:p w14:paraId="2F31A7B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我们建议贵公司讨论涉及本指导性文件中确定的风险以及贵公司的风险分析中确定的任何其他风险的器械特性。</w:t>
      </w:r>
    </w:p>
    <w:p w14:paraId="1A30C160">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333333"/>
          <w:kern w:val="0"/>
          <w:szCs w:val="21"/>
          <w:lang w:val="en"/>
        </w:rPr>
        <w:t>性能方面的说明</w:t>
      </w:r>
    </w:p>
    <w:p w14:paraId="5774F35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我们建议贵公司提供贵公司已用于或打算用于解决本指导性文件</w:t>
      </w:r>
      <w:r>
        <w:rPr>
          <w:rFonts w:hint="eastAsia" w:ascii="Arial" w:hAnsi="Arial" w:eastAsia="宋体" w:cs="Arial"/>
          <w:b/>
          <w:color w:val="333333"/>
          <w:kern w:val="0"/>
          <w:szCs w:val="21"/>
          <w:lang w:val="en"/>
        </w:rPr>
        <w:t>第</w:t>
      </w:r>
      <w:r>
        <w:rPr>
          <w:rFonts w:ascii="Arial" w:hAnsi="Arial" w:eastAsia="宋体" w:cs="Arial"/>
          <w:b/>
          <w:color w:val="333333"/>
          <w:kern w:val="0"/>
          <w:szCs w:val="21"/>
          <w:lang w:val="en"/>
        </w:rPr>
        <w:t>7</w:t>
      </w:r>
      <w:r>
        <w:rPr>
          <w:rFonts w:hint="eastAsia" w:ascii="Arial" w:hAnsi="Arial" w:eastAsia="宋体" w:cs="Arial"/>
          <w:b/>
          <w:color w:val="333333"/>
          <w:kern w:val="0"/>
          <w:szCs w:val="21"/>
          <w:lang w:val="en"/>
        </w:rPr>
        <w:t>节至第</w:t>
      </w:r>
      <w:r>
        <w:rPr>
          <w:rFonts w:ascii="Arial" w:hAnsi="Arial" w:eastAsia="宋体" w:cs="Arial"/>
          <w:b/>
          <w:color w:val="333333"/>
          <w:kern w:val="0"/>
          <w:szCs w:val="21"/>
          <w:lang w:val="en"/>
        </w:rPr>
        <w:t>13</w:t>
      </w:r>
      <w:r>
        <w:rPr>
          <w:rFonts w:hint="eastAsia" w:ascii="Arial" w:hAnsi="Arial" w:eastAsia="宋体" w:cs="Arial"/>
          <w:b/>
          <w:color w:val="333333"/>
          <w:kern w:val="0"/>
          <w:szCs w:val="21"/>
          <w:lang w:val="en"/>
        </w:rPr>
        <w:t>节</w:t>
      </w:r>
      <w:r>
        <w:rPr>
          <w:rFonts w:ascii="Arial" w:hAnsi="Arial" w:eastAsia="宋体" w:cs="Arial"/>
          <w:color w:val="333333"/>
          <w:kern w:val="0"/>
          <w:szCs w:val="21"/>
          <w:lang w:val="en"/>
        </w:rPr>
        <w:t>中确定的每个性能方面的试验方法的简要说明。如果贵公司遵循了所建议的试验方法，贵公司可以引用该方法而不是对其进行说明。如果贵公司修改了所建议的试验方法，贵公司可以引用该方法，但我们建议贵公司应提供足够的信息来说明修改的性质和原因。对于每个试验，贵公司可以（1）以清晰简洁的形式简要介绍试验得出的数据，例如表格，或（2）说明贵公司将应用于试验结果的验收标准</w:t>
      </w:r>
      <w:r>
        <w:fldChar w:fldCharType="begin"/>
      </w:r>
      <w:r>
        <w:instrText xml:space="preserve"> HYPERLINK "https://www.fda.gov/medicaldevices/deviceregulationandguidance/guidancedocuments/ucm071414.htm" \l "ft6" </w:instrText>
      </w:r>
      <w:r>
        <w:fldChar w:fldCharType="separate"/>
      </w:r>
      <w:r>
        <w:rPr>
          <w:rFonts w:ascii="Arial" w:hAnsi="Arial" w:eastAsia="宋体" w:cs="Arial"/>
          <w:b/>
          <w:bCs/>
          <w:color w:val="0000CC"/>
          <w:kern w:val="0"/>
          <w:szCs w:val="21"/>
          <w:u w:val="single"/>
          <w:vertAlign w:val="superscript"/>
        </w:rPr>
        <w:t>6</w:t>
      </w:r>
      <w:r>
        <w:rPr>
          <w:rFonts w:ascii="Arial" w:hAnsi="Arial" w:eastAsia="宋体" w:cs="Arial"/>
          <w:b/>
          <w:bCs/>
          <w:color w:val="0000CC"/>
          <w:kern w:val="0"/>
          <w:szCs w:val="21"/>
          <w:u w:val="single"/>
          <w:vertAlign w:val="superscript"/>
        </w:rPr>
        <w:fldChar w:fldCharType="end"/>
      </w:r>
      <w:r>
        <w:rPr>
          <w:rFonts w:ascii="Arial" w:hAnsi="Arial" w:eastAsia="宋体" w:cs="Arial"/>
          <w:color w:val="333333"/>
          <w:kern w:val="0"/>
          <w:szCs w:val="21"/>
          <w:lang w:val="en"/>
        </w:rPr>
        <w:t>。（另请参阅21 CFR 820.30，子部分C -</w:t>
      </w:r>
      <w:r>
        <w:rPr>
          <w:rFonts w:hint="eastAsia" w:ascii="Arial" w:hAnsi="Arial" w:eastAsia="宋体" w:cs="Arial"/>
          <w:b/>
          <w:color w:val="333333"/>
          <w:kern w:val="0"/>
          <w:szCs w:val="21"/>
          <w:lang w:val="en"/>
        </w:rPr>
        <w:t>质量体系法规的设计控制</w:t>
      </w:r>
      <w:r>
        <w:rPr>
          <w:rFonts w:ascii="Arial" w:hAnsi="Arial" w:eastAsia="宋体" w:cs="Arial"/>
          <w:color w:val="333333"/>
          <w:kern w:val="0"/>
          <w:szCs w:val="21"/>
          <w:lang w:val="en"/>
        </w:rPr>
        <w:t>。）</w:t>
      </w:r>
    </w:p>
    <w:p w14:paraId="4A737C25">
      <w:pPr>
        <w:widowControl/>
        <w:shd w:val="clear" w:color="auto" w:fill="FFFFFF"/>
        <w:snapToGrid w:val="0"/>
        <w:spacing w:line="300" w:lineRule="auto"/>
        <w:rPr>
          <w:rFonts w:ascii="Arial" w:hAnsi="Arial" w:eastAsia="宋体" w:cs="Arial"/>
          <w:color w:val="000000"/>
          <w:kern w:val="0"/>
          <w:szCs w:val="21"/>
        </w:rPr>
      </w:pPr>
    </w:p>
    <w:p w14:paraId="2C9CD128">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1DAE29FD">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依从标准</w:t>
      </w:r>
    </w:p>
    <w:p w14:paraId="6240EF8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如果贵公司选择将器械设计或试验的任何部分依从于公认标准，则贵公司应提供以下内容：</w:t>
      </w:r>
    </w:p>
    <w:p w14:paraId="012F4FFD">
      <w:pPr>
        <w:widowControl/>
        <w:numPr>
          <w:ilvl w:val="0"/>
          <w:numId w:val="4"/>
        </w:numPr>
        <w:shd w:val="clear" w:color="auto" w:fill="FFFFFF"/>
        <w:snapToGrid w:val="0"/>
        <w:spacing w:line="300" w:lineRule="auto"/>
        <w:ind w:left="448" w:hanging="476"/>
        <w:rPr>
          <w:rFonts w:ascii="Arial" w:hAnsi="Arial" w:eastAsia="宋体" w:cs="Arial"/>
          <w:color w:val="000000"/>
          <w:kern w:val="0"/>
          <w:szCs w:val="21"/>
        </w:rPr>
      </w:pPr>
      <w:r>
        <w:rPr>
          <w:rFonts w:ascii="Arial" w:hAnsi="Arial" w:eastAsia="宋体" w:cs="Arial"/>
          <w:color w:val="333333"/>
          <w:kern w:val="0"/>
          <w:szCs w:val="21"/>
          <w:lang w:val="en"/>
        </w:rPr>
        <w:t>一项声明，即对既定验收标准的符合性评估将在器械上市前进行；或者</w:t>
      </w:r>
    </w:p>
    <w:p w14:paraId="23E2747C">
      <w:pPr>
        <w:widowControl/>
        <w:numPr>
          <w:ilvl w:val="0"/>
          <w:numId w:val="4"/>
        </w:numPr>
        <w:shd w:val="clear" w:color="auto" w:fill="FFFFFF"/>
        <w:snapToGrid w:val="0"/>
        <w:spacing w:line="300" w:lineRule="auto"/>
        <w:ind w:left="448" w:hanging="476"/>
        <w:rPr>
          <w:rFonts w:ascii="Arial" w:hAnsi="Arial" w:eastAsia="宋体" w:cs="Arial"/>
          <w:color w:val="000000"/>
          <w:kern w:val="0"/>
          <w:szCs w:val="21"/>
        </w:rPr>
      </w:pPr>
      <w:r>
        <w:rPr>
          <w:rFonts w:ascii="Arial" w:hAnsi="Arial" w:eastAsia="宋体" w:cs="Arial"/>
          <w:color w:val="333333"/>
          <w:kern w:val="0"/>
          <w:szCs w:val="21"/>
          <w:lang w:val="en"/>
        </w:rPr>
        <w:t>符合标准的声明</w:t>
      </w:r>
      <w:r>
        <w:fldChar w:fldCharType="begin"/>
      </w:r>
      <w:r>
        <w:instrText xml:space="preserve"> HYPERLINK "https://www.fda.gov/medicaldevices/deviceregulationandguidance/guidancedocuments/ucm071414.htm" \l "ft7" </w:instrText>
      </w:r>
      <w:r>
        <w:fldChar w:fldCharType="separate"/>
      </w:r>
      <w:r>
        <w:rPr>
          <w:rFonts w:ascii="Arial" w:hAnsi="Arial" w:eastAsia="宋体" w:cs="Arial"/>
          <w:b/>
          <w:bCs/>
          <w:color w:val="0000CC"/>
          <w:kern w:val="0"/>
          <w:szCs w:val="21"/>
          <w:u w:val="single"/>
          <w:vertAlign w:val="superscript"/>
        </w:rPr>
        <w:t>7</w:t>
      </w:r>
      <w:r>
        <w:rPr>
          <w:rFonts w:ascii="Arial" w:hAnsi="Arial" w:eastAsia="宋体" w:cs="Arial"/>
          <w:b/>
          <w:bCs/>
          <w:color w:val="0000CC"/>
          <w:kern w:val="0"/>
          <w:szCs w:val="21"/>
          <w:u w:val="single"/>
          <w:vertAlign w:val="superscript"/>
        </w:rPr>
        <w:fldChar w:fldCharType="end"/>
      </w:r>
      <w:r>
        <w:rPr>
          <w:rFonts w:ascii="Arial" w:hAnsi="Arial" w:eastAsia="宋体" w:cs="Arial"/>
          <w:color w:val="333333"/>
          <w:kern w:val="0"/>
          <w:szCs w:val="21"/>
          <w:lang w:val="en"/>
        </w:rPr>
        <w:t>。</w:t>
      </w:r>
    </w:p>
    <w:p w14:paraId="6931064B">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333333"/>
          <w:kern w:val="0"/>
          <w:szCs w:val="21"/>
          <w:lang w:val="en"/>
        </w:rPr>
        <w:t>因为符合性声明基于符合性评估的结果，所以我们认为贵公司在完成该标准描述的试验之前，无法正确提交符合性声明。有关更多信息，请参考该法案第514（c）（1）（B）节和实质等同性测定中的FDA标准指南使用。</w:t>
      </w:r>
      <w:r>
        <w:fldChar w:fldCharType="begin"/>
      </w:r>
      <w:r>
        <w:instrText xml:space="preserve"> HYPERLINK "https://www.fda.gov/medicaldevices/deviceregulationandguidance/guidancedocuments/ucm071414.htm" \l "ft8" </w:instrText>
      </w:r>
      <w:r>
        <w:fldChar w:fldCharType="separate"/>
      </w:r>
      <w:r>
        <w:rPr>
          <w:rFonts w:ascii="Arial" w:hAnsi="Arial" w:eastAsia="宋体" w:cs="Arial"/>
          <w:b/>
          <w:bCs/>
          <w:color w:val="0000CC"/>
          <w:kern w:val="0"/>
          <w:szCs w:val="21"/>
          <w:u w:val="single"/>
          <w:vertAlign w:val="superscript"/>
        </w:rPr>
        <w:t>8</w:t>
      </w:r>
      <w:r>
        <w:rPr>
          <w:rFonts w:ascii="Arial" w:hAnsi="Arial" w:eastAsia="宋体" w:cs="Arial"/>
          <w:b/>
          <w:bCs/>
          <w:color w:val="0000CC"/>
          <w:kern w:val="0"/>
          <w:szCs w:val="21"/>
          <w:u w:val="single"/>
          <w:vertAlign w:val="superscript"/>
        </w:rPr>
        <w:fldChar w:fldCharType="end"/>
      </w:r>
    </w:p>
    <w:p w14:paraId="37FF91D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如果我们不清楚贵公司如何解决FDA所确定的风险或通过贵公司的风险分析确定的其他风险，我们可能会要求贵公司提供有关器械性能特征方面的其他信息。如果我们需要使用其他信息来评估贵公司的验收标准是否充分，我们也可能会要求贵公司提供其他信息。（根据21 CFR 807.87（l）），我们可能会要求提供任何必要的其他信息，完成与实质等同性相关的测定）。</w:t>
      </w:r>
    </w:p>
    <w:p w14:paraId="27CD19D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作为提交简化510（k）的替代方案，贵公司可以提交传统510（k），其中应提供21 CFR 807.87中所需的以及在本指南中所述的所有信息和数据。传统510（k）应涵盖贵公司的所有方法、数据、验收标准和结论。如果贵公司打算修改贵公司自己已许可器械，则贵公司应提交特殊510（k）。</w:t>
      </w:r>
    </w:p>
    <w:p w14:paraId="677B2441">
      <w:pPr>
        <w:widowControl/>
        <w:shd w:val="clear" w:color="auto" w:fill="FFFFFF"/>
        <w:snapToGrid w:val="0"/>
        <w:spacing w:line="300" w:lineRule="auto"/>
        <w:rPr>
          <w:rFonts w:ascii="Arial" w:hAnsi="Arial" w:eastAsia="宋体" w:cs="Arial"/>
          <w:color w:val="000000"/>
          <w:kern w:val="0"/>
          <w:szCs w:val="21"/>
        </w:rPr>
      </w:pPr>
    </w:p>
    <w:p w14:paraId="68C82C47">
      <w:pPr>
        <w:widowControl/>
        <w:shd w:val="clear" w:color="auto" w:fill="FFFFFF"/>
        <w:snapToGrid w:val="0"/>
        <w:spacing w:line="300" w:lineRule="auto"/>
        <w:rPr>
          <w:rFonts w:ascii="Arial" w:hAnsi="Arial" w:eastAsia="宋体" w:cs="Arial"/>
          <w:color w:val="333333"/>
          <w:kern w:val="0"/>
          <w:szCs w:val="21"/>
          <w:lang w:val="en"/>
        </w:rPr>
      </w:pPr>
      <w:r>
        <w:rPr>
          <w:rFonts w:ascii="Arial" w:hAnsi="Arial" w:eastAsia="宋体" w:cs="Arial"/>
          <w:color w:val="333333"/>
          <w:kern w:val="0"/>
          <w:szCs w:val="21"/>
          <w:lang w:val="en"/>
        </w:rPr>
        <w:t>上述一般讨论适用于受特殊控制指导性文件约束的所有器械。有关我们建议贵公司如何将本指导性文件应用于计算机化分娩监测系统上市前通告提交资料的具体讨论，如下所示。</w:t>
      </w:r>
    </w:p>
    <w:p w14:paraId="04E2C344">
      <w:pPr>
        <w:widowControl/>
        <w:shd w:val="clear" w:color="auto" w:fill="FFFFFF"/>
        <w:snapToGrid w:val="0"/>
        <w:spacing w:line="300" w:lineRule="auto"/>
        <w:rPr>
          <w:rFonts w:ascii="Arial" w:hAnsi="Arial" w:eastAsia="宋体" w:cs="Arial"/>
          <w:color w:val="000000"/>
          <w:kern w:val="0"/>
          <w:szCs w:val="21"/>
        </w:rPr>
      </w:pPr>
    </w:p>
    <w:p w14:paraId="33E982B1">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175CBAD3">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9" o:spt="1" style="height:0pt;width:0pt;" fillcolor="#A0A0A0" filled="t" stroked="f" coordsize="21600,21600" o:hr="t" o:hrstd="t" o:hralign="center">
            <v:path/>
            <v:fill on="t" focussize="0,0"/>
            <v:stroke on="f"/>
            <v:imagedata o:title=""/>
            <o:lock v:ext="edit"/>
            <w10:wrap type="none"/>
            <w10:anchorlock/>
          </v:rect>
        </w:pict>
      </w:r>
    </w:p>
    <w:p w14:paraId="1F32586E">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4.范围</w:t>
      </w:r>
    </w:p>
    <w:p w14:paraId="206E8FC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本文件的范围仅限于21 CFR 884.2800中所述的II类器械，产品代码，NPB。</w:t>
      </w:r>
    </w:p>
    <w:p w14:paraId="57179BDC">
      <w:pPr>
        <w:widowControl/>
        <w:shd w:val="clear" w:color="auto" w:fill="FFFFFF"/>
        <w:snapToGrid w:val="0"/>
        <w:spacing w:line="300" w:lineRule="auto"/>
        <w:rPr>
          <w:rFonts w:ascii="Arial" w:hAnsi="Arial" w:eastAsia="宋体" w:cs="Arial"/>
          <w:b/>
          <w:color w:val="000000"/>
          <w:kern w:val="0"/>
          <w:szCs w:val="21"/>
        </w:rPr>
      </w:pPr>
      <w:r>
        <w:rPr>
          <w:rFonts w:ascii="Arial" w:hAnsi="Arial" w:eastAsia="宋体" w:cs="Arial"/>
          <w:b/>
          <w:color w:val="000000"/>
          <w:kern w:val="0"/>
          <w:szCs w:val="21"/>
        </w:rPr>
        <w:t>21 CFR 884.2800</w:t>
      </w:r>
      <w:r>
        <w:rPr>
          <w:rFonts w:hint="eastAsia" w:ascii="Arial" w:hAnsi="Arial" w:eastAsia="宋体" w:cs="Arial"/>
          <w:b/>
          <w:color w:val="000000"/>
          <w:kern w:val="0"/>
          <w:szCs w:val="21"/>
        </w:rPr>
        <w:t>计算机化分娩监测系统</w:t>
      </w:r>
    </w:p>
    <w:p w14:paraId="52C7C436">
      <w:pPr>
        <w:widowControl/>
        <w:shd w:val="clear" w:color="auto" w:fill="FFFFFF"/>
        <w:snapToGrid w:val="0"/>
        <w:spacing w:line="300" w:lineRule="auto"/>
        <w:rPr>
          <w:rFonts w:ascii="Arial" w:hAnsi="Arial" w:eastAsia="宋体" w:cs="Arial"/>
          <w:color w:val="000000"/>
          <w:kern w:val="0"/>
          <w:szCs w:val="21"/>
        </w:rPr>
      </w:pPr>
      <w:r>
        <w:rPr>
          <w:rFonts w:hint="eastAsia" w:ascii="Arial" w:hAnsi="Arial" w:eastAsia="宋体" w:cs="Arial"/>
          <w:i/>
          <w:color w:val="000000"/>
          <w:kern w:val="0"/>
          <w:szCs w:val="21"/>
        </w:rPr>
        <w:t>标识。</w:t>
      </w:r>
      <w:r>
        <w:rPr>
          <w:rFonts w:ascii="Arial" w:hAnsi="Arial" w:eastAsia="宋体" w:cs="Arial"/>
          <w:color w:val="000000"/>
          <w:kern w:val="0"/>
          <w:szCs w:val="21"/>
        </w:rPr>
        <w:t>计算机化分娩监测系统是一种旨在持续测量子宫颈扩张和胎头下降的系统，并提供表明分娩进度的显示。计算机化分娩监测系统包括监视器和超声换能器。将超声换能器放置在母体腹部和子宫颈上以及胎儿头皮上，提供用于产生显示的测量矩阵。</w:t>
      </w:r>
    </w:p>
    <w:p w14:paraId="7C9FBB4E">
      <w:pPr>
        <w:widowControl/>
        <w:shd w:val="clear" w:color="auto" w:fill="FFFFFF"/>
        <w:snapToGrid w:val="0"/>
        <w:spacing w:line="300" w:lineRule="auto"/>
        <w:rPr>
          <w:rFonts w:ascii="Arial" w:hAnsi="Arial" w:eastAsia="宋体" w:cs="Arial"/>
          <w:i/>
          <w:iCs/>
          <w:color w:val="000000"/>
          <w:kern w:val="0"/>
          <w:szCs w:val="21"/>
        </w:rPr>
      </w:pPr>
    </w:p>
    <w:p w14:paraId="4DEF62F1">
      <w:pPr>
        <w:widowControl/>
        <w:jc w:val="left"/>
        <w:rPr>
          <w:rFonts w:ascii="Arial" w:hAnsi="Arial" w:eastAsia="宋体" w:cs="Arial"/>
          <w:i/>
          <w:color w:val="000000"/>
          <w:kern w:val="0"/>
          <w:szCs w:val="21"/>
        </w:rPr>
      </w:pPr>
      <w:r>
        <w:rPr>
          <w:rFonts w:ascii="Arial" w:hAnsi="Arial" w:eastAsia="宋体" w:cs="Arial"/>
          <w:i/>
          <w:color w:val="000000"/>
          <w:kern w:val="0"/>
          <w:szCs w:val="21"/>
        </w:rPr>
        <w:br w:type="page"/>
      </w:r>
    </w:p>
    <w:p w14:paraId="60914501">
      <w:pPr>
        <w:widowControl/>
        <w:shd w:val="clear" w:color="auto" w:fill="FFFFFF"/>
        <w:snapToGrid w:val="0"/>
        <w:spacing w:line="300" w:lineRule="auto"/>
        <w:rPr>
          <w:rFonts w:ascii="Arial" w:hAnsi="Arial" w:eastAsia="宋体" w:cs="Arial"/>
          <w:color w:val="000000"/>
          <w:kern w:val="0"/>
          <w:szCs w:val="21"/>
        </w:rPr>
      </w:pPr>
      <w:r>
        <w:rPr>
          <w:rFonts w:hint="eastAsia" w:ascii="Arial" w:hAnsi="Arial" w:eastAsia="宋体" w:cs="Arial"/>
          <w:i/>
          <w:color w:val="000000"/>
          <w:kern w:val="0"/>
          <w:szCs w:val="21"/>
        </w:rPr>
        <w:t>分类。</w:t>
      </w:r>
      <w:r>
        <w:rPr>
          <w:rFonts w:ascii="Arial" w:hAnsi="Arial" w:eastAsia="宋体" w:cs="Arial"/>
          <w:color w:val="000000"/>
          <w:kern w:val="0"/>
          <w:szCs w:val="21"/>
        </w:rPr>
        <w:t>二级（特殊控制）。本特别控制是FDA指导性文件II类特殊控制指导性文件计算机化分娩监测系统。有关本指导性文件的可用性，请参见21 CFR 884.1（e））。</w:t>
      </w:r>
    </w:p>
    <w:p w14:paraId="7A56AECC">
      <w:pPr>
        <w:widowControl/>
        <w:shd w:val="clear" w:color="auto" w:fill="FFFFFF"/>
        <w:snapToGrid w:val="0"/>
        <w:spacing w:line="300" w:lineRule="auto"/>
        <w:rPr>
          <w:rFonts w:ascii="Arial" w:hAnsi="Arial" w:eastAsia="宋体" w:cs="Arial"/>
          <w:color w:val="000000"/>
          <w:kern w:val="0"/>
          <w:szCs w:val="21"/>
        </w:rPr>
      </w:pPr>
    </w:p>
    <w:p w14:paraId="10678832">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FF"/>
          <w:kern w:val="0"/>
          <w:szCs w:val="21"/>
          <w:u w:val="single"/>
        </w:rPr>
        <w:t>回到顶部</w:t>
      </w:r>
    </w:p>
    <w:p w14:paraId="21DD1422">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0" o:spt="1" style="height:0pt;width:0pt;" fillcolor="#A0A0A0" filled="t" stroked="f" coordsize="21600,21600" o:hr="t" o:hrstd="t" o:hralign="center">
            <v:path/>
            <v:fill on="t" focussize="0,0"/>
            <v:stroke on="f"/>
            <v:imagedata o:title=""/>
            <o:lock v:ext="edit"/>
            <w10:wrap type="none"/>
            <w10:anchorlock/>
          </v:rect>
        </w:pict>
      </w:r>
    </w:p>
    <w:p w14:paraId="302DB61E">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5. 器械描述</w:t>
      </w:r>
    </w:p>
    <w:p w14:paraId="0AB513C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我们建议贵公司使用</w:t>
      </w:r>
      <w:r>
        <w:rPr>
          <w:rFonts w:hint="eastAsia" w:ascii="Arial" w:hAnsi="Arial" w:eastAsia="宋体" w:cs="Arial"/>
          <w:color w:val="0000FF"/>
          <w:kern w:val="0"/>
          <w:szCs w:val="21"/>
          <w:u w:val="single"/>
        </w:rPr>
        <w:t>第</w:t>
      </w:r>
      <w:r>
        <w:rPr>
          <w:rFonts w:ascii="Arial" w:hAnsi="Arial" w:eastAsia="宋体" w:cs="Arial"/>
          <w:color w:val="0000FF"/>
          <w:kern w:val="0"/>
          <w:szCs w:val="21"/>
          <w:u w:val="single"/>
        </w:rPr>
        <w:t>4</w:t>
      </w:r>
      <w:r>
        <w:rPr>
          <w:rFonts w:hint="eastAsia" w:ascii="Arial" w:hAnsi="Arial" w:eastAsia="宋体" w:cs="Arial"/>
          <w:color w:val="0000FF"/>
          <w:kern w:val="0"/>
          <w:szCs w:val="21"/>
          <w:u w:val="single"/>
        </w:rPr>
        <w:t>节“范围”</w:t>
      </w:r>
      <w:r>
        <w:rPr>
          <w:rFonts w:ascii="Arial" w:hAnsi="Arial" w:eastAsia="宋体" w:cs="Arial"/>
          <w:color w:val="000000"/>
          <w:kern w:val="0"/>
          <w:szCs w:val="21"/>
        </w:rPr>
        <w:t>中所述的法规和产品代码标识贵公司的器械并包括以下内容：</w:t>
      </w:r>
    </w:p>
    <w:p w14:paraId="5AEA7BA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b/>
          <w:bCs/>
          <w:color w:val="000000"/>
          <w:kern w:val="0"/>
          <w:szCs w:val="21"/>
        </w:rPr>
        <w:t>器械组件和工作原理</w:t>
      </w:r>
      <w:r>
        <w:rPr>
          <w:rFonts w:ascii="Arial" w:hAnsi="Arial" w:eastAsia="宋体" w:cs="Arial"/>
          <w:color w:val="000000"/>
          <w:kern w:val="0"/>
          <w:szCs w:val="21"/>
        </w:rPr>
        <w:br w:type="textWrapping"/>
      </w:r>
    </w:p>
    <w:p w14:paraId="366D721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我们建议贵公司确定510（k）范围内的所有组件、系统软件和附件以及可与显示器连接或使用的任何附属器械（例如个人电脑、打印机）。我们建议贵公司提供：</w:t>
      </w:r>
    </w:p>
    <w:p w14:paraId="768B196E">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能量输出（例如，用于超声波：控制设置、输出参数、波束参数、波形参数）</w:t>
      </w:r>
    </w:p>
    <w:p w14:paraId="1B1FA068">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设计特性（例如，电路图、传输模式、采集周期、信号和数据处理）</w:t>
      </w:r>
    </w:p>
    <w:p w14:paraId="23600C26">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附件器械及其确认</w:t>
      </w:r>
    </w:p>
    <w:p w14:paraId="348A2620">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软件算法</w:t>
      </w:r>
    </w:p>
    <w:p w14:paraId="5E582AE9">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内部换能器及其角敏感性的描述</w:t>
      </w:r>
    </w:p>
    <w:p w14:paraId="2A804689">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器械能量传输、接收和切换模式的试验和确认程序的描述</w:t>
      </w:r>
    </w:p>
    <w:p w14:paraId="0FAA7629">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器械测量准确性的试验和确认程序的描述。</w:t>
      </w:r>
    </w:p>
    <w:p w14:paraId="73FAA07D">
      <w:pPr>
        <w:widowControl/>
        <w:shd w:val="clear" w:color="auto" w:fill="FFFFFF"/>
        <w:snapToGrid w:val="0"/>
        <w:spacing w:line="300" w:lineRule="auto"/>
        <w:ind w:left="-161"/>
        <w:rPr>
          <w:rFonts w:ascii="Arial" w:hAnsi="Arial" w:eastAsia="宋体" w:cs="Arial"/>
          <w:color w:val="000000"/>
          <w:kern w:val="0"/>
          <w:szCs w:val="21"/>
        </w:rPr>
      </w:pPr>
    </w:p>
    <w:p w14:paraId="23FFEF3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b/>
          <w:bCs/>
          <w:color w:val="000000"/>
          <w:kern w:val="0"/>
          <w:szCs w:val="21"/>
        </w:rPr>
        <w:t>器械的照片或图纸</w:t>
      </w:r>
    </w:p>
    <w:p w14:paraId="0C2E901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我们建议贵公司提供器械的照片或图纸。我们还建议贵公司提供功能框图（包括所有附件）。</w:t>
      </w:r>
    </w:p>
    <w:p w14:paraId="14E3962B">
      <w:pPr>
        <w:widowControl/>
        <w:shd w:val="clear" w:color="auto" w:fill="FFFFFF"/>
        <w:snapToGrid w:val="0"/>
        <w:spacing w:line="300" w:lineRule="auto"/>
        <w:rPr>
          <w:rFonts w:ascii="Arial" w:hAnsi="Arial" w:eastAsia="宋体" w:cs="Arial"/>
          <w:b/>
          <w:bCs/>
          <w:color w:val="000000"/>
          <w:kern w:val="0"/>
          <w:szCs w:val="21"/>
        </w:rPr>
      </w:pPr>
    </w:p>
    <w:p w14:paraId="4C5CC608">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功能性能特性</w:t>
      </w:r>
    </w:p>
    <w:p w14:paraId="3843AD34">
      <w:pPr>
        <w:widowControl/>
        <w:shd w:val="clear" w:color="auto" w:fill="FFFFFF"/>
        <w:snapToGrid w:val="0"/>
        <w:spacing w:line="300" w:lineRule="auto"/>
        <w:rPr>
          <w:rFonts w:ascii="Arial" w:hAnsi="Arial" w:eastAsia="宋体" w:cs="Arial"/>
          <w:color w:val="000000"/>
          <w:kern w:val="0"/>
          <w:szCs w:val="21"/>
        </w:rPr>
      </w:pPr>
    </w:p>
    <w:p w14:paraId="12A55BE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我们建议贵公司描述器械的功能性能特性。</w:t>
      </w:r>
    </w:p>
    <w:p w14:paraId="17E4D627">
      <w:pPr>
        <w:widowControl/>
        <w:shd w:val="clear" w:color="auto" w:fill="FFFFFF"/>
        <w:snapToGrid w:val="0"/>
        <w:spacing w:line="300" w:lineRule="auto"/>
        <w:rPr>
          <w:rFonts w:ascii="Arial" w:hAnsi="Arial" w:eastAsia="宋体" w:cs="Arial"/>
          <w:b/>
          <w:bCs/>
          <w:color w:val="000000"/>
          <w:kern w:val="0"/>
          <w:szCs w:val="21"/>
        </w:rPr>
      </w:pPr>
    </w:p>
    <w:p w14:paraId="598C90E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b/>
          <w:bCs/>
          <w:color w:val="000000"/>
          <w:kern w:val="0"/>
          <w:szCs w:val="21"/>
        </w:rPr>
        <w:t>患者接触材料</w:t>
      </w:r>
      <w:r>
        <w:rPr>
          <w:rFonts w:ascii="Arial" w:hAnsi="Arial" w:eastAsia="宋体" w:cs="Arial"/>
          <w:b/>
          <w:bCs/>
          <w:color w:val="000000"/>
          <w:kern w:val="0"/>
          <w:szCs w:val="21"/>
        </w:rPr>
        <w:br w:type="textWrapping"/>
      </w:r>
    </w:p>
    <w:p w14:paraId="2A1C8C2D">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我们建议贵公司确定与患者接触的器械组件中的所有材料。</w:t>
      </w:r>
    </w:p>
    <w:p w14:paraId="16B462A5">
      <w:pPr>
        <w:widowControl/>
        <w:shd w:val="clear" w:color="auto" w:fill="FFFFFF"/>
        <w:snapToGrid w:val="0"/>
        <w:spacing w:line="300" w:lineRule="auto"/>
        <w:rPr>
          <w:rFonts w:ascii="Arial" w:hAnsi="Arial" w:eastAsia="宋体" w:cs="Arial"/>
          <w:color w:val="000000"/>
          <w:kern w:val="0"/>
          <w:szCs w:val="21"/>
        </w:rPr>
      </w:pPr>
    </w:p>
    <w:p w14:paraId="39F3D700">
      <w:pPr>
        <w:widowControl/>
        <w:shd w:val="clear" w:color="auto" w:fill="FFFFFF"/>
        <w:snapToGrid w:val="0"/>
        <w:spacing w:line="300" w:lineRule="auto"/>
        <w:rPr>
          <w:rFonts w:ascii="Arial" w:hAnsi="Arial" w:eastAsia="宋体" w:cs="Arial"/>
          <w:color w:val="000000"/>
          <w:kern w:val="0"/>
          <w:szCs w:val="21"/>
        </w:rPr>
      </w:pPr>
    </w:p>
    <w:p w14:paraId="7D6688E8">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与类似器械的比较</w:t>
      </w:r>
      <w:r>
        <w:rPr>
          <w:rFonts w:ascii="Arial" w:hAnsi="Arial" w:eastAsia="宋体" w:cs="Arial"/>
          <w:b/>
          <w:color w:val="000000"/>
          <w:kern w:val="0"/>
          <w:szCs w:val="21"/>
        </w:rPr>
        <w:br w:type="textWrapping"/>
      </w:r>
    </w:p>
    <w:p w14:paraId="6F2CE83D">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w:t>
      </w:r>
    </w:p>
    <w:p w14:paraId="291463AE">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确定合法上市的比较器械</w:t>
      </w:r>
    </w:p>
    <w:p w14:paraId="6FA6AEE8">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解释贵公司的器械和比较器械在适应症和技术特性方面的相似性。</w:t>
      </w:r>
    </w:p>
    <w:p w14:paraId="797096A1">
      <w:pPr>
        <w:widowControl/>
        <w:shd w:val="clear" w:color="auto" w:fill="FFFFFF"/>
        <w:snapToGrid w:val="0"/>
        <w:spacing w:line="300" w:lineRule="auto"/>
        <w:ind w:left="-161"/>
        <w:rPr>
          <w:rFonts w:ascii="Arial" w:hAnsi="Arial" w:eastAsia="宋体" w:cs="Arial"/>
          <w:color w:val="000000"/>
          <w:kern w:val="0"/>
          <w:szCs w:val="21"/>
        </w:rPr>
      </w:pPr>
    </w:p>
    <w:p w14:paraId="2D3C903B">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35EA7435">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1" o:spt="1" style="height:0pt;width:0pt;" fillcolor="#A0A0A0" filled="t" stroked="f" coordsize="21600,21600" o:hr="t" o:hrstd="t" o:hralign="center">
            <v:path/>
            <v:fill on="t" focussize="0,0"/>
            <v:stroke on="f"/>
            <v:imagedata o:title=""/>
            <o:lock v:ext="edit"/>
            <w10:wrap type="none"/>
            <w10:anchorlock/>
          </v:rect>
        </w:pict>
      </w:r>
    </w:p>
    <w:p w14:paraId="66CA63AC">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6.健康风险</w:t>
      </w:r>
    </w:p>
    <w:p w14:paraId="16983CD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在下表中，FDA已经确定了本文件中涉及的、通常与使用计算机化分娩监测系统相关的健康风险。建议用于缓解这些已确定风险的措施已在本指导性文件中给出，如下表所示。贵公司也应该在提交上市前通告之前进行风险分析，以确定贵公司器械所特有的其他任何风险。我们建议上市前通告应说明风险分析方法并提供结果。如果贵公司选择使用替代方法来解决本指导性文件中确定的风险，或已发现本指南未涵盖的风险，则贵公司应提供足够的详细信息以支持贵公司用于解决该风险的方法。</w:t>
      </w:r>
    </w:p>
    <w:tbl>
      <w:tblPr>
        <w:tblStyle w:val="12"/>
        <w:tblW w:w="5000" w:type="pct"/>
        <w:tblInd w:w="0" w:type="dxa"/>
        <w:tblLayout w:type="autofit"/>
        <w:tblCellMar>
          <w:top w:w="15" w:type="dxa"/>
          <w:left w:w="15" w:type="dxa"/>
          <w:bottom w:w="15" w:type="dxa"/>
          <w:right w:w="15" w:type="dxa"/>
        </w:tblCellMar>
      </w:tblPr>
      <w:tblGrid>
        <w:gridCol w:w="4716"/>
        <w:gridCol w:w="4952"/>
      </w:tblGrid>
      <w:tr w14:paraId="33F2A746">
        <w:tblPrEx>
          <w:tblCellMar>
            <w:top w:w="15" w:type="dxa"/>
            <w:left w:w="15" w:type="dxa"/>
            <w:bottom w:w="15" w:type="dxa"/>
            <w:right w:w="15" w:type="dxa"/>
          </w:tblCellMar>
        </w:tblPrEx>
        <w:trPr>
          <w:cantSplit/>
          <w:tblHeader/>
        </w:trPr>
        <w:tc>
          <w:tcPr>
            <w:tcW w:w="0" w:type="auto"/>
            <w:shd w:val="clear" w:color="auto" w:fill="auto"/>
            <w:vAlign w:val="center"/>
          </w:tcPr>
          <w:p w14:paraId="6C79F040">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已确定风险</w:t>
            </w:r>
          </w:p>
        </w:tc>
        <w:tc>
          <w:tcPr>
            <w:tcW w:w="0" w:type="auto"/>
            <w:shd w:val="clear" w:color="auto" w:fill="auto"/>
            <w:vAlign w:val="center"/>
          </w:tcPr>
          <w:p w14:paraId="05943933">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建议缓解措施</w:t>
            </w:r>
          </w:p>
        </w:tc>
      </w:tr>
      <w:tr w14:paraId="76C13F53">
        <w:tblPrEx>
          <w:tblCellMar>
            <w:top w:w="15" w:type="dxa"/>
            <w:left w:w="15" w:type="dxa"/>
            <w:bottom w:w="15" w:type="dxa"/>
            <w:right w:w="15" w:type="dxa"/>
          </w:tblCellMar>
        </w:tblPrEx>
        <w:trPr>
          <w:cantSplit/>
        </w:trPr>
        <w:tc>
          <w:tcPr>
            <w:tcW w:w="0" w:type="auto"/>
            <w:shd w:val="clear" w:color="auto" w:fill="auto"/>
          </w:tcPr>
          <w:p w14:paraId="488D42EB">
            <w:pPr>
              <w:snapToGrid w:val="0"/>
              <w:spacing w:line="300" w:lineRule="auto"/>
              <w:rPr>
                <w:rFonts w:ascii="Arial" w:hAnsi="Arial" w:eastAsia="宋体" w:cs="Arial"/>
                <w:szCs w:val="21"/>
              </w:rPr>
            </w:pPr>
            <w:r>
              <w:rPr>
                <w:rFonts w:ascii="Arial" w:hAnsi="Arial" w:eastAsia="宋体" w:cs="Arial"/>
                <w:szCs w:val="21"/>
              </w:rPr>
              <w:t>患者损伤</w:t>
            </w:r>
          </w:p>
        </w:tc>
        <w:tc>
          <w:tcPr>
            <w:tcW w:w="0" w:type="auto"/>
            <w:shd w:val="clear" w:color="auto" w:fill="auto"/>
            <w:vAlign w:val="center"/>
          </w:tcPr>
          <w:p w14:paraId="6B47D7CC">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p>
          <w:p w14:paraId="164D0883">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第11节 软件</w:t>
            </w:r>
          </w:p>
          <w:p w14:paraId="7227C93E">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第14节 临床信息</w:t>
            </w:r>
          </w:p>
          <w:p w14:paraId="2A6B3A27">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第15节 标签</w:t>
            </w:r>
          </w:p>
        </w:tc>
      </w:tr>
      <w:tr w14:paraId="7AA55C77">
        <w:tblPrEx>
          <w:tblCellMar>
            <w:top w:w="15" w:type="dxa"/>
            <w:left w:w="15" w:type="dxa"/>
            <w:bottom w:w="15" w:type="dxa"/>
            <w:right w:w="15" w:type="dxa"/>
          </w:tblCellMar>
        </w:tblPrEx>
        <w:trPr>
          <w:cantSplit/>
        </w:trPr>
        <w:tc>
          <w:tcPr>
            <w:tcW w:w="0" w:type="auto"/>
            <w:shd w:val="clear" w:color="auto" w:fill="auto"/>
          </w:tcPr>
          <w:p w14:paraId="009E1F45">
            <w:pPr>
              <w:snapToGrid w:val="0"/>
              <w:spacing w:line="300" w:lineRule="auto"/>
              <w:rPr>
                <w:rFonts w:ascii="Arial" w:hAnsi="Arial" w:eastAsia="宋体" w:cs="Arial"/>
                <w:szCs w:val="21"/>
              </w:rPr>
            </w:pPr>
            <w:r>
              <w:rPr>
                <w:rFonts w:ascii="Arial" w:hAnsi="Arial" w:eastAsia="宋体" w:cs="Arial"/>
                <w:szCs w:val="21"/>
              </w:rPr>
              <w:t>电气危害</w:t>
            </w:r>
          </w:p>
        </w:tc>
        <w:tc>
          <w:tcPr>
            <w:tcW w:w="0" w:type="auto"/>
            <w:shd w:val="clear" w:color="auto" w:fill="auto"/>
            <w:vAlign w:val="center"/>
          </w:tcPr>
          <w:p w14:paraId="5D0F56A8">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r>
              <w:rPr>
                <w:rFonts w:ascii="Arial" w:hAnsi="Arial" w:eastAsia="宋体" w:cs="Arial"/>
                <w:color w:val="000000"/>
                <w:kern w:val="0"/>
                <w:szCs w:val="21"/>
              </w:rPr>
              <w:br w:type="textWrapping"/>
            </w:r>
            <w:r>
              <w:rPr>
                <w:rFonts w:ascii="Arial" w:hAnsi="Arial" w:eastAsia="宋体" w:cs="Arial"/>
                <w:color w:val="000000"/>
                <w:kern w:val="0"/>
                <w:szCs w:val="21"/>
              </w:rPr>
              <w:t>第8节 电气安全</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60CB808F">
        <w:tblPrEx>
          <w:tblCellMar>
            <w:top w:w="15" w:type="dxa"/>
            <w:left w:w="15" w:type="dxa"/>
            <w:bottom w:w="15" w:type="dxa"/>
            <w:right w:w="15" w:type="dxa"/>
          </w:tblCellMar>
        </w:tblPrEx>
        <w:trPr>
          <w:cantSplit/>
        </w:trPr>
        <w:tc>
          <w:tcPr>
            <w:tcW w:w="0" w:type="auto"/>
            <w:shd w:val="clear" w:color="auto" w:fill="auto"/>
          </w:tcPr>
          <w:p w14:paraId="47723CD3">
            <w:pPr>
              <w:snapToGrid w:val="0"/>
              <w:spacing w:line="300" w:lineRule="auto"/>
              <w:rPr>
                <w:rFonts w:ascii="Arial" w:hAnsi="Arial" w:eastAsia="宋体" w:cs="Arial"/>
                <w:szCs w:val="21"/>
              </w:rPr>
            </w:pPr>
            <w:r>
              <w:rPr>
                <w:rFonts w:ascii="Arial" w:hAnsi="Arial" w:eastAsia="宋体" w:cs="Arial"/>
                <w:szCs w:val="21"/>
              </w:rPr>
              <w:t>声学（超声）组织损伤</w:t>
            </w:r>
          </w:p>
        </w:tc>
        <w:tc>
          <w:tcPr>
            <w:tcW w:w="0" w:type="auto"/>
            <w:shd w:val="clear" w:color="auto" w:fill="auto"/>
            <w:vAlign w:val="center"/>
          </w:tcPr>
          <w:p w14:paraId="3743CD56">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r>
              <w:rPr>
                <w:rFonts w:ascii="Arial" w:hAnsi="Arial" w:eastAsia="宋体" w:cs="Arial"/>
                <w:color w:val="000000"/>
                <w:kern w:val="0"/>
                <w:szCs w:val="21"/>
              </w:rPr>
              <w:br w:type="textWrapping"/>
            </w:r>
            <w:r>
              <w:rPr>
                <w:rFonts w:ascii="Arial" w:hAnsi="Arial" w:eastAsia="宋体" w:cs="Arial"/>
                <w:color w:val="000000"/>
                <w:kern w:val="0"/>
                <w:szCs w:val="21"/>
              </w:rPr>
              <w:t>第8节 超声安全</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145598DA">
        <w:tblPrEx>
          <w:tblCellMar>
            <w:top w:w="15" w:type="dxa"/>
            <w:left w:w="15" w:type="dxa"/>
            <w:bottom w:w="15" w:type="dxa"/>
            <w:right w:w="15" w:type="dxa"/>
          </w:tblCellMar>
        </w:tblPrEx>
        <w:trPr>
          <w:cantSplit/>
        </w:trPr>
        <w:tc>
          <w:tcPr>
            <w:tcW w:w="0" w:type="auto"/>
            <w:shd w:val="clear" w:color="auto" w:fill="auto"/>
          </w:tcPr>
          <w:p w14:paraId="30F23CAC">
            <w:pPr>
              <w:snapToGrid w:val="0"/>
              <w:spacing w:line="300" w:lineRule="auto"/>
              <w:rPr>
                <w:rFonts w:ascii="Arial" w:hAnsi="Arial" w:eastAsia="宋体" w:cs="Arial"/>
                <w:szCs w:val="21"/>
              </w:rPr>
            </w:pPr>
            <w:r>
              <w:rPr>
                <w:rFonts w:ascii="Arial" w:hAnsi="Arial" w:eastAsia="宋体" w:cs="Arial"/>
                <w:szCs w:val="21"/>
              </w:rPr>
              <w:t>电磁干扰和静电放电危害</w:t>
            </w:r>
          </w:p>
        </w:tc>
        <w:tc>
          <w:tcPr>
            <w:tcW w:w="0" w:type="auto"/>
            <w:shd w:val="clear" w:color="auto" w:fill="auto"/>
            <w:vAlign w:val="center"/>
          </w:tcPr>
          <w:p w14:paraId="338D8B24">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第10节 电磁兼容性</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32D80771">
        <w:tblPrEx>
          <w:tblCellMar>
            <w:top w:w="15" w:type="dxa"/>
            <w:left w:w="15" w:type="dxa"/>
            <w:bottom w:w="15" w:type="dxa"/>
            <w:right w:w="15" w:type="dxa"/>
          </w:tblCellMar>
        </w:tblPrEx>
        <w:trPr>
          <w:cantSplit/>
        </w:trPr>
        <w:tc>
          <w:tcPr>
            <w:tcW w:w="0" w:type="auto"/>
            <w:shd w:val="clear" w:color="auto" w:fill="auto"/>
          </w:tcPr>
          <w:p w14:paraId="0FF9F17D">
            <w:pPr>
              <w:snapToGrid w:val="0"/>
              <w:spacing w:line="300" w:lineRule="auto"/>
              <w:rPr>
                <w:rFonts w:ascii="Arial" w:hAnsi="Arial" w:eastAsia="宋体" w:cs="Arial"/>
                <w:szCs w:val="21"/>
              </w:rPr>
            </w:pPr>
            <w:r>
              <w:rPr>
                <w:rFonts w:ascii="Arial" w:hAnsi="Arial" w:eastAsia="宋体" w:cs="Arial"/>
                <w:szCs w:val="21"/>
              </w:rPr>
              <w:t>患者的管理不善</w:t>
            </w:r>
          </w:p>
        </w:tc>
        <w:tc>
          <w:tcPr>
            <w:tcW w:w="0" w:type="auto"/>
            <w:shd w:val="clear" w:color="auto" w:fill="auto"/>
            <w:vAlign w:val="center"/>
          </w:tcPr>
          <w:p w14:paraId="2752F962">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r>
              <w:rPr>
                <w:rFonts w:ascii="Arial" w:hAnsi="Arial" w:eastAsia="宋体" w:cs="Arial"/>
                <w:color w:val="000000"/>
                <w:kern w:val="0"/>
                <w:szCs w:val="21"/>
              </w:rPr>
              <w:br w:type="textWrapping"/>
            </w:r>
            <w:r>
              <w:rPr>
                <w:rFonts w:ascii="Arial" w:hAnsi="Arial" w:eastAsia="宋体" w:cs="Arial"/>
                <w:color w:val="000000"/>
                <w:kern w:val="0"/>
                <w:szCs w:val="21"/>
              </w:rPr>
              <w:t>第11节 软件</w:t>
            </w:r>
          </w:p>
          <w:p w14:paraId="08177110">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第14节 临床信息</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603B9A5E">
        <w:tblPrEx>
          <w:tblCellMar>
            <w:top w:w="15" w:type="dxa"/>
            <w:left w:w="15" w:type="dxa"/>
            <w:bottom w:w="15" w:type="dxa"/>
            <w:right w:w="15" w:type="dxa"/>
          </w:tblCellMar>
        </w:tblPrEx>
        <w:trPr>
          <w:cantSplit/>
        </w:trPr>
        <w:tc>
          <w:tcPr>
            <w:tcW w:w="0" w:type="auto"/>
            <w:shd w:val="clear" w:color="auto" w:fill="auto"/>
          </w:tcPr>
          <w:p w14:paraId="68C0130F">
            <w:pPr>
              <w:snapToGrid w:val="0"/>
              <w:spacing w:line="300" w:lineRule="auto"/>
              <w:rPr>
                <w:rFonts w:ascii="Arial" w:hAnsi="Arial" w:eastAsia="宋体" w:cs="Arial"/>
                <w:szCs w:val="21"/>
              </w:rPr>
            </w:pPr>
            <w:r>
              <w:rPr>
                <w:rFonts w:ascii="Arial" w:hAnsi="Arial" w:eastAsia="宋体" w:cs="Arial"/>
                <w:szCs w:val="21"/>
              </w:rPr>
              <w:t>不良组织反应</w:t>
            </w:r>
          </w:p>
        </w:tc>
        <w:tc>
          <w:tcPr>
            <w:tcW w:w="0" w:type="auto"/>
            <w:shd w:val="clear" w:color="auto" w:fill="auto"/>
          </w:tcPr>
          <w:p w14:paraId="40667790">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第12节 生物相容性</w:t>
            </w:r>
          </w:p>
        </w:tc>
      </w:tr>
      <w:tr w14:paraId="41959CE2">
        <w:tblPrEx>
          <w:tblCellMar>
            <w:top w:w="15" w:type="dxa"/>
            <w:left w:w="15" w:type="dxa"/>
            <w:bottom w:w="15" w:type="dxa"/>
            <w:right w:w="15" w:type="dxa"/>
          </w:tblCellMar>
        </w:tblPrEx>
        <w:trPr>
          <w:cantSplit/>
        </w:trPr>
        <w:tc>
          <w:tcPr>
            <w:tcW w:w="0" w:type="auto"/>
            <w:shd w:val="clear" w:color="auto" w:fill="auto"/>
          </w:tcPr>
          <w:p w14:paraId="7412418C">
            <w:pPr>
              <w:snapToGrid w:val="0"/>
              <w:spacing w:line="300" w:lineRule="auto"/>
              <w:rPr>
                <w:rFonts w:ascii="Arial" w:hAnsi="Arial" w:eastAsia="宋体" w:cs="Arial"/>
                <w:szCs w:val="21"/>
              </w:rPr>
            </w:pPr>
            <w:r>
              <w:rPr>
                <w:rFonts w:ascii="Arial" w:hAnsi="Arial" w:eastAsia="宋体" w:cs="Arial"/>
                <w:szCs w:val="21"/>
              </w:rPr>
              <w:t>感染</w:t>
            </w:r>
          </w:p>
        </w:tc>
        <w:tc>
          <w:tcPr>
            <w:tcW w:w="0" w:type="auto"/>
            <w:shd w:val="clear" w:color="auto" w:fill="auto"/>
          </w:tcPr>
          <w:p w14:paraId="265FA714">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第13节 灭菌信息</w:t>
            </w:r>
          </w:p>
        </w:tc>
      </w:tr>
      <w:tr w14:paraId="63689792">
        <w:tblPrEx>
          <w:tblCellMar>
            <w:top w:w="15" w:type="dxa"/>
            <w:left w:w="15" w:type="dxa"/>
            <w:bottom w:w="15" w:type="dxa"/>
            <w:right w:w="15" w:type="dxa"/>
          </w:tblCellMar>
        </w:tblPrEx>
        <w:trPr>
          <w:cantSplit/>
        </w:trPr>
        <w:tc>
          <w:tcPr>
            <w:tcW w:w="0" w:type="auto"/>
            <w:shd w:val="clear" w:color="auto" w:fill="auto"/>
          </w:tcPr>
          <w:p w14:paraId="257ADA85">
            <w:pPr>
              <w:snapToGrid w:val="0"/>
              <w:spacing w:line="300" w:lineRule="auto"/>
              <w:rPr>
                <w:rFonts w:ascii="Arial" w:hAnsi="Arial" w:eastAsia="宋体" w:cs="Arial"/>
                <w:szCs w:val="21"/>
              </w:rPr>
            </w:pPr>
          </w:p>
        </w:tc>
        <w:tc>
          <w:tcPr>
            <w:tcW w:w="0" w:type="auto"/>
            <w:shd w:val="clear" w:color="auto" w:fill="auto"/>
          </w:tcPr>
          <w:p w14:paraId="61A25E9E">
            <w:pPr>
              <w:widowControl/>
              <w:snapToGrid w:val="0"/>
              <w:spacing w:line="300" w:lineRule="auto"/>
              <w:rPr>
                <w:rFonts w:ascii="Arial" w:hAnsi="Arial" w:eastAsia="宋体" w:cs="Arial"/>
                <w:color w:val="000000"/>
                <w:kern w:val="0"/>
                <w:szCs w:val="21"/>
              </w:rPr>
            </w:pPr>
          </w:p>
        </w:tc>
      </w:tr>
    </w:tbl>
    <w:p w14:paraId="1FFD5A99">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29D66D52">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2" o:spt="1" style="height:0pt;width:0pt;" fillcolor="#A0A0A0" filled="t" stroked="f" coordsize="21600,21600" o:hr="t" o:hrstd="t" o:hralign="center">
            <v:path/>
            <v:fill on="t" focussize="0,0"/>
            <v:stroke on="f"/>
            <v:imagedata o:title=""/>
            <o:lock v:ext="edit"/>
            <w10:wrap type="none"/>
            <w10:anchorlock/>
          </v:rect>
        </w:pict>
      </w:r>
    </w:p>
    <w:p w14:paraId="555A1B2A">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7E377CE6">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7.</w:t>
      </w:r>
      <w:r>
        <w:rPr>
          <w:rFonts w:hint="eastAsia" w:ascii="Arial" w:hAnsi="Arial" w:eastAsia="宋体" w:cs="Arial"/>
          <w:b/>
          <w:bCs/>
          <w:color w:val="000000"/>
          <w:kern w:val="0"/>
          <w:sz w:val="30"/>
          <w:szCs w:val="30"/>
        </w:rPr>
        <w:t>非</w:t>
      </w:r>
      <w:r>
        <w:rPr>
          <w:rFonts w:ascii="Arial" w:hAnsi="Arial" w:eastAsia="宋体" w:cs="Arial"/>
          <w:b/>
          <w:bCs/>
          <w:color w:val="000000"/>
          <w:kern w:val="0"/>
          <w:sz w:val="30"/>
          <w:szCs w:val="30"/>
        </w:rPr>
        <w:t>临床分析和试验</w:t>
      </w:r>
    </w:p>
    <w:p w14:paraId="4CB961B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我们建议贵公司提供计算机化分娩监测系统特定的下述信息。</w:t>
      </w:r>
    </w:p>
    <w:p w14:paraId="2C9E3E53">
      <w:pPr>
        <w:widowControl/>
        <w:shd w:val="clear" w:color="auto" w:fill="FFFFFF"/>
        <w:snapToGrid w:val="0"/>
        <w:spacing w:line="300" w:lineRule="auto"/>
        <w:rPr>
          <w:rFonts w:ascii="Arial" w:hAnsi="Arial" w:eastAsia="宋体" w:cs="Arial"/>
          <w:b/>
          <w:bCs/>
          <w:color w:val="000000"/>
          <w:kern w:val="0"/>
          <w:szCs w:val="21"/>
        </w:rPr>
      </w:pPr>
    </w:p>
    <w:p w14:paraId="001AC722">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超声特性</w:t>
      </w:r>
      <w:r>
        <w:rPr>
          <w:rFonts w:ascii="Arial" w:hAnsi="Arial" w:eastAsia="宋体" w:cs="Arial"/>
          <w:b/>
          <w:color w:val="000000"/>
          <w:kern w:val="0"/>
          <w:szCs w:val="21"/>
        </w:rPr>
        <w:br w:type="textWrapping"/>
      </w:r>
    </w:p>
    <w:p w14:paraId="01A2527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我们建议贵公司提供以下内容：</w:t>
      </w:r>
    </w:p>
    <w:p w14:paraId="7486C6BF">
      <w:pPr>
        <w:widowControl/>
        <w:shd w:val="clear" w:color="auto" w:fill="FFFFFF"/>
        <w:snapToGrid w:val="0"/>
        <w:spacing w:line="300" w:lineRule="auto"/>
        <w:rPr>
          <w:rFonts w:ascii="Arial" w:hAnsi="Arial" w:eastAsia="宋体" w:cs="Arial"/>
          <w:i/>
          <w:iCs/>
          <w:color w:val="000000"/>
          <w:kern w:val="0"/>
          <w:szCs w:val="21"/>
        </w:rPr>
      </w:pPr>
    </w:p>
    <w:p w14:paraId="11C8D04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控制设置</w:t>
      </w:r>
    </w:p>
    <w:p w14:paraId="041A26D5">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功率（例如固定）</w:t>
      </w:r>
    </w:p>
    <w:p w14:paraId="38C3DE3A">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波形（例如，单脉冲，500 ns，200 Vp）。</w:t>
      </w:r>
    </w:p>
    <w:p w14:paraId="0E8098F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输出参数</w:t>
      </w:r>
    </w:p>
    <w:p w14:paraId="115B5354">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最大正声压</w:t>
      </w:r>
    </w:p>
    <w:p w14:paraId="24D2C9A4">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最大负声压</w:t>
      </w:r>
    </w:p>
    <w:p w14:paraId="713970F1">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空间峰值时间平均强度</w:t>
      </w:r>
    </w:p>
    <w:p w14:paraId="02D174F8">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空间峰值脉冲平均强度</w:t>
      </w:r>
    </w:p>
    <w:p w14:paraId="741F5F39">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空间平均时间平均强度</w:t>
      </w:r>
    </w:p>
    <w:p w14:paraId="30A3609B">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功率。</w:t>
      </w:r>
    </w:p>
    <w:p w14:paraId="57B19D4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光束参数</w:t>
      </w:r>
    </w:p>
    <w:p w14:paraId="4D0AE620">
      <w:pPr>
        <w:widowControl/>
        <w:numPr>
          <w:ilvl w:val="0"/>
          <w:numId w:val="7"/>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入射光束尺寸（圆形）</w:t>
      </w:r>
    </w:p>
    <w:p w14:paraId="4B9D83E6">
      <w:pPr>
        <w:widowControl/>
        <w:numPr>
          <w:ilvl w:val="0"/>
          <w:numId w:val="7"/>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光束宽度</w:t>
      </w:r>
    </w:p>
    <w:p w14:paraId="03A01410">
      <w:pPr>
        <w:widowControl/>
        <w:numPr>
          <w:ilvl w:val="0"/>
          <w:numId w:val="7"/>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z：面 - 最大脉压平方积分。</w:t>
      </w:r>
    </w:p>
    <w:p w14:paraId="66DB191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波形参数</w:t>
      </w:r>
    </w:p>
    <w:p w14:paraId="09285C89">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中心频率</w:t>
      </w:r>
    </w:p>
    <w:p w14:paraId="50BEC3CC">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脉冲重复频率</w:t>
      </w:r>
    </w:p>
    <w:p w14:paraId="3080FFAC">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每次重复的脉冲数</w:t>
      </w:r>
    </w:p>
    <w:p w14:paraId="44A4D547">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脉冲持续时间。</w:t>
      </w:r>
    </w:p>
    <w:p w14:paraId="76E6322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我们还建议贵公司提供光束和波形特性的图形，包括：</w:t>
      </w:r>
    </w:p>
    <w:p w14:paraId="6F1C6C92">
      <w:pPr>
        <w:widowControl/>
        <w:numPr>
          <w:ilvl w:val="0"/>
          <w:numId w:val="9"/>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外侧和横向光束剖面</w:t>
      </w:r>
    </w:p>
    <w:p w14:paraId="319B63C2">
      <w:pPr>
        <w:widowControl/>
        <w:numPr>
          <w:ilvl w:val="0"/>
          <w:numId w:val="9"/>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最大声压点处的声脉冲波形</w:t>
      </w:r>
    </w:p>
    <w:p w14:paraId="78F4A376">
      <w:pPr>
        <w:widowControl/>
        <w:numPr>
          <w:ilvl w:val="0"/>
          <w:numId w:val="9"/>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沿着声轴的声压分布。</w:t>
      </w:r>
    </w:p>
    <w:p w14:paraId="170B6BE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我们建议贵公司为以下方面提供全局最大值：</w:t>
      </w:r>
    </w:p>
    <w:p w14:paraId="17E5E4D5">
      <w:pPr>
        <w:widowControl/>
        <w:numPr>
          <w:ilvl w:val="0"/>
          <w:numId w:val="10"/>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力学指数</w:t>
      </w:r>
    </w:p>
    <w:p w14:paraId="498E5E9B">
      <w:pPr>
        <w:widowControl/>
        <w:numPr>
          <w:ilvl w:val="0"/>
          <w:numId w:val="10"/>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空间峰值时间平均强度</w:t>
      </w:r>
    </w:p>
    <w:p w14:paraId="2333B279">
      <w:pPr>
        <w:widowControl/>
        <w:numPr>
          <w:ilvl w:val="0"/>
          <w:numId w:val="10"/>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空间峰值脉冲平均强度。</w:t>
      </w:r>
    </w:p>
    <w:p w14:paraId="0F934BA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最好采用表格格式。</w:t>
      </w:r>
    </w:p>
    <w:p w14:paraId="3672129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按照IEC 60601-2-37或等同方法，我们建议贵公司测量和分析：</w:t>
      </w:r>
    </w:p>
    <w:p w14:paraId="4ABF8F7D">
      <w:pPr>
        <w:widowControl/>
        <w:numPr>
          <w:ilvl w:val="0"/>
          <w:numId w:val="11"/>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空气中和模拟使用条件下的表面温升</w:t>
      </w:r>
    </w:p>
    <w:p w14:paraId="0D049E13">
      <w:pPr>
        <w:widowControl/>
        <w:numPr>
          <w:ilvl w:val="0"/>
          <w:numId w:val="11"/>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与安全相关的参数的标记和控制以及指示；即计算骨骼、软组织和颅骨的力学指数和热指数。</w:t>
      </w:r>
    </w:p>
    <w:p w14:paraId="0E774F5C">
      <w:pPr>
        <w:widowControl/>
        <w:shd w:val="clear" w:color="auto" w:fill="FFFFFF"/>
        <w:snapToGrid w:val="0"/>
        <w:spacing w:line="300" w:lineRule="auto"/>
        <w:rPr>
          <w:rFonts w:ascii="Arial" w:hAnsi="Arial" w:eastAsia="宋体" w:cs="Arial"/>
          <w:b/>
          <w:bCs/>
          <w:color w:val="000000"/>
          <w:kern w:val="0"/>
          <w:szCs w:val="21"/>
        </w:rPr>
      </w:pPr>
    </w:p>
    <w:p w14:paraId="716DAF1C">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角敏感性</w:t>
      </w:r>
    </w:p>
    <w:p w14:paraId="55E3350D">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我们建议贵公司以极坐标图的形式提供对内部换能器的角敏感性的分析。</w:t>
      </w:r>
    </w:p>
    <w:p w14:paraId="03343855">
      <w:pPr>
        <w:widowControl/>
        <w:shd w:val="clear" w:color="auto" w:fill="FFFFFF"/>
        <w:snapToGrid w:val="0"/>
        <w:spacing w:line="300" w:lineRule="auto"/>
        <w:rPr>
          <w:rFonts w:ascii="Arial" w:hAnsi="Arial" w:eastAsia="宋体" w:cs="Arial"/>
          <w:b/>
          <w:bCs/>
          <w:color w:val="000000"/>
          <w:kern w:val="0"/>
          <w:szCs w:val="21"/>
        </w:rPr>
      </w:pPr>
    </w:p>
    <w:p w14:paraId="0250C98C">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测量准确性</w:t>
      </w:r>
    </w:p>
    <w:p w14:paraId="66FACB1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我们建议贵公司在模拟实际条件和几何形状的体模中评估器械在实验室环境中的准确性。</w:t>
      </w:r>
    </w:p>
    <w:p w14:paraId="1ED74344">
      <w:pPr>
        <w:widowControl/>
        <w:shd w:val="clear" w:color="auto" w:fill="FFFFFF"/>
        <w:snapToGrid w:val="0"/>
        <w:spacing w:line="300" w:lineRule="auto"/>
        <w:rPr>
          <w:rFonts w:ascii="Arial" w:hAnsi="Arial" w:eastAsia="宋体" w:cs="Arial"/>
          <w:b/>
          <w:bCs/>
          <w:color w:val="000000"/>
          <w:kern w:val="0"/>
          <w:szCs w:val="21"/>
        </w:rPr>
      </w:pPr>
    </w:p>
    <w:p w14:paraId="2F308420">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宫颈扩张的准确性</w:t>
      </w:r>
    </w:p>
    <w:p w14:paraId="2BE63A9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我们建议贵公司测量器械读数（3厘米至10厘米之间）并通过分析以下参数来评估子宫颈扩张测量的准确性：</w:t>
      </w:r>
    </w:p>
    <w:p w14:paraId="7A415FE5">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器械读数与实际值之间的平均差值；</w:t>
      </w:r>
    </w:p>
    <w:p w14:paraId="2265AC8C">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器械读数与实际值之间的标准偏差；以及</w:t>
      </w:r>
    </w:p>
    <w:p w14:paraId="173805DD">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器械读数与实际值之间的最大差值。</w:t>
      </w:r>
    </w:p>
    <w:p w14:paraId="6D7F2E4A">
      <w:pPr>
        <w:widowControl/>
        <w:shd w:val="clear" w:color="auto" w:fill="FFFFFF"/>
        <w:snapToGrid w:val="0"/>
        <w:spacing w:line="300" w:lineRule="auto"/>
        <w:rPr>
          <w:rFonts w:ascii="Arial" w:hAnsi="Arial" w:eastAsia="宋体" w:cs="Arial"/>
          <w:b/>
          <w:bCs/>
          <w:color w:val="000000"/>
          <w:kern w:val="0"/>
          <w:szCs w:val="21"/>
        </w:rPr>
      </w:pPr>
    </w:p>
    <w:p w14:paraId="7C06B355">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胎头位置准确性</w:t>
      </w:r>
    </w:p>
    <w:p w14:paraId="455113F7">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我们建议贵公司测量器械读数（-4厘米至+4厘米之间），并通过分析以下内容评估子宫颈扩张测量的准确性：</w:t>
      </w:r>
    </w:p>
    <w:p w14:paraId="349A48F5">
      <w:pPr>
        <w:widowControl/>
        <w:shd w:val="clear" w:color="auto" w:fill="FFFFFF"/>
        <w:snapToGrid w:val="0"/>
        <w:spacing w:line="300" w:lineRule="auto"/>
        <w:rPr>
          <w:rFonts w:ascii="Arial" w:hAnsi="Arial" w:eastAsia="宋体" w:cs="Arial"/>
          <w:color w:val="000000"/>
          <w:kern w:val="0"/>
          <w:szCs w:val="21"/>
        </w:rPr>
      </w:pPr>
    </w:p>
    <w:p w14:paraId="4B9DBEF1">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器械读数与实际值之间的平均差值；</w:t>
      </w:r>
    </w:p>
    <w:p w14:paraId="460230CD">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器械读数与实际值之间的标准偏差；以及</w:t>
      </w:r>
    </w:p>
    <w:p w14:paraId="3B160076">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器械读数与实际值之间的最大差值。</w:t>
      </w:r>
    </w:p>
    <w:p w14:paraId="6D31C1A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如果贵公司器械贴标为可与其他分娩监测系统一起使用，我们建议贵公司确认贵公司的系统与其他系统的兼容性。</w:t>
      </w:r>
    </w:p>
    <w:p w14:paraId="678579E5">
      <w:pPr>
        <w:widowControl/>
        <w:shd w:val="clear" w:color="auto" w:fill="FFFFFF"/>
        <w:snapToGrid w:val="0"/>
        <w:spacing w:line="300" w:lineRule="auto"/>
        <w:rPr>
          <w:rFonts w:ascii="Arial" w:hAnsi="Arial" w:eastAsia="宋体" w:cs="Arial"/>
          <w:b/>
          <w:bCs/>
          <w:color w:val="000000"/>
          <w:kern w:val="0"/>
          <w:szCs w:val="21"/>
        </w:rPr>
      </w:pPr>
    </w:p>
    <w:p w14:paraId="770BF766">
      <w:pPr>
        <w:widowControl/>
        <w:shd w:val="clear" w:color="auto" w:fill="FFFFFF"/>
        <w:snapToGrid w:val="0"/>
        <w:spacing w:line="300" w:lineRule="auto"/>
        <w:rPr>
          <w:rFonts w:ascii="Arial" w:hAnsi="Arial" w:eastAsia="宋体" w:cs="Arial"/>
          <w:b/>
          <w:color w:val="000000"/>
          <w:kern w:val="0"/>
          <w:szCs w:val="21"/>
        </w:rPr>
      </w:pPr>
      <w:r>
        <w:rPr>
          <w:rFonts w:ascii="Arial" w:hAnsi="Arial" w:eastAsia="宋体" w:cs="Arial"/>
          <w:b/>
          <w:bCs/>
          <w:color w:val="000000"/>
          <w:kern w:val="0"/>
          <w:szCs w:val="21"/>
        </w:rPr>
        <w:t>力学</w:t>
      </w:r>
      <w:r>
        <w:rPr>
          <w:rFonts w:hint="eastAsia" w:ascii="Arial" w:hAnsi="Arial" w:eastAsia="宋体" w:cs="Arial"/>
          <w:b/>
          <w:color w:val="000000"/>
          <w:kern w:val="0"/>
          <w:szCs w:val="21"/>
        </w:rPr>
        <w:t>特性</w:t>
      </w:r>
    </w:p>
    <w:p w14:paraId="33F3A12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w:t>
      </w:r>
    </w:p>
    <w:p w14:paraId="16E18F8C">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换能器和布线的力学描述，包括换能器、电缆和接口的拉伸试验；</w:t>
      </w:r>
    </w:p>
    <w:p w14:paraId="4E248653">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换能器-患者附件机制的描述，包括断裂和故障分析；</w:t>
      </w:r>
    </w:p>
    <w:p w14:paraId="2572924E">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所有运动系统组件（例如电缆、接头、换能器、监测器）的描述以及每个组件相关的断裂和故障分析；以及</w:t>
      </w:r>
    </w:p>
    <w:p w14:paraId="2FA1970D">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运动系统组件在最坏情况力学应力下的功能试验结果。</w:t>
      </w:r>
    </w:p>
    <w:p w14:paraId="7FA43B06">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55ABCEA5">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3" o:spt="1" style="height:0pt;width:0pt;" fillcolor="#A0A0A0" filled="t" stroked="f" coordsize="21600,21600" o:hr="t" o:hrstd="t" o:hralign="center">
            <v:path/>
            <v:fill on="t" focussize="0,0"/>
            <v:stroke on="f"/>
            <v:imagedata o:title=""/>
            <o:lock v:ext="edit"/>
            <w10:wrap type="none"/>
            <w10:anchorlock/>
          </v:rect>
        </w:pict>
      </w:r>
    </w:p>
    <w:p w14:paraId="5DA0C9E1">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8. 电气安全</w:t>
      </w:r>
    </w:p>
    <w:p w14:paraId="599B2D0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我们建议贵公司解决电气设备的安全性；例如，贵公司器械的电气安全应符合以下一个或多个标准或通过等同方法测定。</w:t>
      </w:r>
    </w:p>
    <w:p w14:paraId="22D12F43">
      <w:pPr>
        <w:widowControl/>
        <w:numPr>
          <w:ilvl w:val="0"/>
          <w:numId w:val="13"/>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国际电工委员会（IEC）60601-1医疗电气设备-第一部分：一般安全要求</w:t>
      </w:r>
    </w:p>
    <w:p w14:paraId="0658F773">
      <w:pPr>
        <w:widowControl/>
        <w:numPr>
          <w:ilvl w:val="0"/>
          <w:numId w:val="13"/>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美国国家标准学会（ANSI）/医疗器械促进协会（AAMI）ES-1电子医疗装置的安全电流限值（仅限电气安全）</w:t>
      </w:r>
    </w:p>
    <w:p w14:paraId="7EA18EE0">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54CF0566">
      <w:pPr>
        <w:widowControl/>
        <w:numPr>
          <w:ilvl w:val="0"/>
          <w:numId w:val="13"/>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保险商实验室（UL）2601-1修订版1医疗电气器械：一般安全要求</w:t>
      </w:r>
    </w:p>
    <w:p w14:paraId="5D756073">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137A737E">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4" o:spt="1" style="height:0pt;width:0pt;" fillcolor="#A0A0A0" filled="t" stroked="f" coordsize="21600,21600" o:hr="t" o:hrstd="t" o:hralign="center">
            <v:path/>
            <v:fill on="t" focussize="0,0"/>
            <v:stroke on="f"/>
            <v:imagedata o:title=""/>
            <o:lock v:ext="edit"/>
            <w10:wrap type="none"/>
            <w10:anchorlock/>
          </v:rect>
        </w:pict>
      </w:r>
    </w:p>
    <w:p w14:paraId="264D36C6">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9. 超声安全</w:t>
      </w:r>
    </w:p>
    <w:p w14:paraId="7B07B5F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我们建议贵公司通过遵循本指导性文件：给寻求诊断超声系统和换能器上市许可的制造商的信息</w:t>
      </w:r>
      <w:r>
        <w:fldChar w:fldCharType="begin"/>
      </w:r>
      <w:r>
        <w:instrText xml:space="preserve"> HYPERLINK "https://www.fda.gov/medicaldevices/deviceregulationandguidance/guidancedocuments/ucm071414.htm" \l "ft9" </w:instrText>
      </w:r>
      <w:r>
        <w:fldChar w:fldCharType="separate"/>
      </w:r>
      <w:r>
        <w:rPr>
          <w:rFonts w:ascii="Arial" w:hAnsi="Arial" w:eastAsia="宋体" w:cs="Arial"/>
          <w:b/>
          <w:bCs/>
          <w:color w:val="0000CC"/>
          <w:kern w:val="0"/>
          <w:szCs w:val="21"/>
          <w:u w:val="single"/>
          <w:vertAlign w:val="superscript"/>
        </w:rPr>
        <w:t>9</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有关Track 1器械的章节来处理超声安全性；也就是说，不包含IEC 60601-2-7中定义的实时声输出显示的那些器械适用。</w:t>
      </w:r>
    </w:p>
    <w:p w14:paraId="6EE77942">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妇产科器械科可以回答任何有关适用于贵公司器械功能和设计的标准的问题。</w:t>
      </w:r>
    </w:p>
    <w:p w14:paraId="35D2E0E6">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11295485">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5" o:spt="1" style="height:0pt;width:0pt;" fillcolor="#A0A0A0" filled="t" stroked="f" coordsize="21600,21600" o:hr="t" o:hrstd="t" o:hralign="center">
            <v:path/>
            <v:fill on="t" focussize="0,0"/>
            <v:stroke on="f"/>
            <v:imagedata o:title=""/>
            <o:lock v:ext="edit"/>
            <w10:wrap type="none"/>
            <w10:anchorlock/>
          </v:rect>
        </w:pict>
      </w:r>
    </w:p>
    <w:p w14:paraId="21796708">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10.电磁兼容性</w:t>
      </w:r>
    </w:p>
    <w:p w14:paraId="16C2ADF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电磁兼容性（EMC）包括放射（干扰其他电子器械）和抗扰性（因来自其他电子器械的放射而造成的器械性能干扰）。我们建议贵公司评估贵公司器械的EMC，如下所述。</w:t>
      </w:r>
    </w:p>
    <w:p w14:paraId="2EB64744">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放射</w:t>
      </w:r>
    </w:p>
    <w:p w14:paraId="0683397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FDA建议EMC试验应证明该器械不会对其他电子器械的性能产生不利干扰，包括：</w:t>
      </w:r>
    </w:p>
    <w:p w14:paraId="24636A60">
      <w:pPr>
        <w:widowControl/>
        <w:numPr>
          <w:ilvl w:val="0"/>
          <w:numId w:val="14"/>
        </w:numPr>
        <w:shd w:val="clear" w:color="auto" w:fill="FFFFFF"/>
        <w:snapToGrid w:val="0"/>
        <w:spacing w:line="300" w:lineRule="auto"/>
        <w:ind w:left="420" w:leftChars="7" w:hanging="405"/>
        <w:rPr>
          <w:rFonts w:ascii="Arial" w:hAnsi="Arial" w:eastAsia="宋体" w:cs="Arial"/>
          <w:color w:val="000000"/>
          <w:kern w:val="0"/>
          <w:szCs w:val="21"/>
        </w:rPr>
      </w:pPr>
      <w:r>
        <w:rPr>
          <w:rFonts w:ascii="Arial" w:hAnsi="Arial" w:eastAsia="宋体" w:cs="Arial"/>
          <w:color w:val="000000"/>
          <w:kern w:val="0"/>
          <w:szCs w:val="21"/>
        </w:rPr>
        <w:t>应急无线电业务</w:t>
      </w:r>
    </w:p>
    <w:p w14:paraId="1A33A816">
      <w:pPr>
        <w:widowControl/>
        <w:numPr>
          <w:ilvl w:val="0"/>
          <w:numId w:val="14"/>
        </w:numPr>
        <w:shd w:val="clear" w:color="auto" w:fill="FFFFFF"/>
        <w:snapToGrid w:val="0"/>
        <w:spacing w:line="300" w:lineRule="auto"/>
        <w:ind w:left="420" w:leftChars="7" w:hanging="405"/>
        <w:rPr>
          <w:rFonts w:ascii="Arial" w:hAnsi="Arial" w:eastAsia="宋体" w:cs="Arial"/>
          <w:color w:val="000000"/>
          <w:kern w:val="0"/>
          <w:szCs w:val="21"/>
        </w:rPr>
      </w:pPr>
      <w:r>
        <w:rPr>
          <w:rFonts w:ascii="Arial" w:hAnsi="Arial" w:eastAsia="宋体" w:cs="Arial"/>
          <w:color w:val="000000"/>
          <w:kern w:val="0"/>
          <w:szCs w:val="21"/>
        </w:rPr>
        <w:t>诊断器械</w:t>
      </w:r>
    </w:p>
    <w:p w14:paraId="7C81439B">
      <w:pPr>
        <w:widowControl/>
        <w:numPr>
          <w:ilvl w:val="0"/>
          <w:numId w:val="14"/>
        </w:numPr>
        <w:shd w:val="clear" w:color="auto" w:fill="FFFFFF"/>
        <w:snapToGrid w:val="0"/>
        <w:spacing w:line="300" w:lineRule="auto"/>
        <w:ind w:left="420" w:leftChars="7" w:hanging="405"/>
        <w:rPr>
          <w:rFonts w:ascii="Arial" w:hAnsi="Arial" w:eastAsia="宋体" w:cs="Arial"/>
          <w:color w:val="000000"/>
          <w:kern w:val="0"/>
          <w:szCs w:val="21"/>
        </w:rPr>
      </w:pPr>
      <w:r>
        <w:rPr>
          <w:rFonts w:ascii="Arial" w:hAnsi="Arial" w:eastAsia="宋体" w:cs="Arial"/>
          <w:color w:val="000000"/>
          <w:kern w:val="0"/>
          <w:szCs w:val="21"/>
        </w:rPr>
        <w:t>有源植入性器械；例如起搏器、除颤器。</w:t>
      </w:r>
    </w:p>
    <w:p w14:paraId="60D474B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我们建议试验包括对电磁和传导放射的测量。</w:t>
      </w:r>
    </w:p>
    <w:p w14:paraId="17242DD6">
      <w:pPr>
        <w:widowControl/>
        <w:shd w:val="clear" w:color="auto" w:fill="FFFFFF"/>
        <w:snapToGrid w:val="0"/>
        <w:spacing w:line="300" w:lineRule="auto"/>
        <w:rPr>
          <w:rFonts w:ascii="Arial" w:hAnsi="Arial" w:eastAsia="宋体" w:cs="Arial"/>
          <w:color w:val="000000"/>
          <w:kern w:val="0"/>
          <w:szCs w:val="21"/>
        </w:rPr>
      </w:pPr>
    </w:p>
    <w:p w14:paraId="7EF25AD3">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抗扰性</w:t>
      </w:r>
    </w:p>
    <w:p w14:paraId="7D48F6E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建议，EMC试验还应证明，如果在预期使用环境（抗扰性）中存在其他电气和电子器械或其他电磁干扰源，器械将按预期运行。在暴露于各种形式的电磁干扰期间和之后，器械应以可接受的方式运行。FDA建议试验应包括暴露于以下环境：</w:t>
      </w:r>
    </w:p>
    <w:p w14:paraId="1FAA7323">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静电放电（ESD）</w:t>
      </w:r>
    </w:p>
    <w:p w14:paraId="71D8C793">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5FA171B8">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辐射电磁场</w:t>
      </w:r>
    </w:p>
    <w:p w14:paraId="246EBCBD">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电快速瞬变脉冲群和脉冲串</w:t>
      </w:r>
    </w:p>
    <w:p w14:paraId="302D7DDD">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激增</w:t>
      </w:r>
    </w:p>
    <w:p w14:paraId="0285FEC6">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传导电磁能量</w:t>
      </w:r>
    </w:p>
    <w:p w14:paraId="4DDF6A58">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电源输入线上的电压骤降、短暂中断和电压变化</w:t>
      </w:r>
    </w:p>
    <w:p w14:paraId="389C88A8">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低频磁场。</w:t>
      </w:r>
    </w:p>
    <w:p w14:paraId="519DE0CD">
      <w:pPr>
        <w:widowControl/>
        <w:shd w:val="clear" w:color="auto" w:fill="FFFFFF"/>
        <w:snapToGrid w:val="0"/>
        <w:spacing w:line="300" w:lineRule="auto"/>
        <w:ind w:firstLine="714" w:firstLineChars="340"/>
        <w:rPr>
          <w:rFonts w:ascii="Arial" w:hAnsi="Arial" w:eastAsia="宋体" w:cs="Arial"/>
          <w:color w:val="000000"/>
          <w:kern w:val="0"/>
          <w:szCs w:val="21"/>
        </w:rPr>
      </w:pPr>
      <w:r>
        <w:rPr>
          <w:rFonts w:ascii="Arial" w:hAnsi="Arial" w:eastAsia="宋体" w:cs="Arial"/>
          <w:color w:val="000000"/>
          <w:kern w:val="0"/>
          <w:szCs w:val="21"/>
        </w:rPr>
        <w:t>我们建议贵公司通过遵循以下标准或通过等同方法来对贵公司器械的EMC进行处理。</w:t>
      </w:r>
    </w:p>
    <w:p w14:paraId="0342C355">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IEC 60601-1-2医疗电气器械-第1部分：一般安全要求；电磁兼容性-要求和试验</w:t>
      </w:r>
    </w:p>
    <w:p w14:paraId="1BD9489E">
      <w:pPr>
        <w:widowControl/>
        <w:shd w:val="clear" w:color="auto" w:fill="FFFFFF"/>
        <w:snapToGrid w:val="0"/>
        <w:spacing w:line="300" w:lineRule="auto"/>
        <w:ind w:firstLine="699" w:firstLineChars="333"/>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3031416C">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6" o:spt="1" style="height:0pt;width:0pt;" fillcolor="#A0A0A0" filled="t" stroked="f" coordsize="21600,21600" o:hr="t" o:hrstd="t" o:hralign="center">
            <v:path/>
            <v:fill on="t" focussize="0,0"/>
            <v:stroke on="f"/>
            <v:imagedata o:title=""/>
            <o:lock v:ext="edit"/>
            <w10:wrap type="none"/>
            <w10:anchorlock/>
          </v:rect>
        </w:pict>
      </w:r>
    </w:p>
    <w:p w14:paraId="1C17D581">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11.软件</w:t>
      </w:r>
    </w:p>
    <w:p w14:paraId="6353A947">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我们建议贵公司提交有关软件控制器械的信息，这些信息包含在用于医疗器械中包含的软件上市前提交资料内容的指南</w:t>
      </w:r>
      <w:r>
        <w:fldChar w:fldCharType="begin"/>
      </w:r>
      <w:r>
        <w:instrText xml:space="preserve"> HYPERLINK "https://www.fda.gov/medicaldevices/deviceregulationandguidance/guidancedocuments/ucm071414.htm" \l "ft10" </w:instrText>
      </w:r>
      <w:r>
        <w:fldChar w:fldCharType="separate"/>
      </w:r>
      <w:r>
        <w:rPr>
          <w:rFonts w:ascii="Arial" w:hAnsi="Arial" w:eastAsia="宋体" w:cs="Arial"/>
          <w:b/>
          <w:bCs/>
          <w:color w:val="0000CC"/>
          <w:kern w:val="0"/>
          <w:szCs w:val="21"/>
          <w:u w:val="single"/>
          <w:vertAlign w:val="superscript"/>
        </w:rPr>
        <w:t>10</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我们建议贵公司提交的信息类型由与软件故障相关风险相关的“关切程度”决定。器械的关切程度可能为轻微、中度或严重程度。计算机化分娩监测系统的关切程度很可能是“中度关注程度”，这是因为未能获得准确信息可能会导致需要进行更频繁的阴道检查，从而导致绒毛膜羊膜炎或患者管理不善。</w:t>
      </w:r>
    </w:p>
    <w:p w14:paraId="48732928">
      <w:pPr>
        <w:widowControl/>
        <w:shd w:val="clear" w:color="auto" w:fill="FFFFFF"/>
        <w:snapToGrid w:val="0"/>
        <w:spacing w:line="300" w:lineRule="auto"/>
        <w:rPr>
          <w:rFonts w:ascii="Arial" w:hAnsi="Arial" w:eastAsia="宋体" w:cs="Arial"/>
          <w:color w:val="000000"/>
          <w:kern w:val="0"/>
          <w:szCs w:val="21"/>
        </w:rPr>
      </w:pPr>
    </w:p>
    <w:p w14:paraId="25781CD1">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31F04701">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7" o:spt="1" style="height:0pt;width:0pt;" fillcolor="#A0A0A0" filled="t" stroked="f" coordsize="21600,21600" o:hr="t" o:hrstd="t" o:hralign="center">
            <v:path/>
            <v:fill on="t" focussize="0,0"/>
            <v:stroke on="f"/>
            <v:imagedata o:title=""/>
            <o:lock v:ext="edit"/>
            <w10:wrap type="none"/>
            <w10:anchorlock/>
          </v:rect>
        </w:pict>
      </w:r>
    </w:p>
    <w:p w14:paraId="2464A77F">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12.生物相容性</w:t>
      </w:r>
    </w:p>
    <w:p w14:paraId="3F29EB8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我们建议贵公司评价患者接触部件材料的生物相容性，如本指南《使用国际标准化组织（ISO）标准ISO 10933，医疗器械的生物学评价第1部分：评估和试验》中所述。</w:t>
      </w:r>
      <w:r>
        <w:rPr>
          <w:rFonts w:ascii="Arial" w:hAnsi="Arial" w:eastAsia="宋体" w:cs="Arial"/>
          <w:color w:val="000000"/>
          <w:kern w:val="0"/>
          <w:szCs w:val="21"/>
          <w:vertAlign w:val="superscript"/>
        </w:rPr>
        <w:t>11</w:t>
      </w:r>
      <w:r>
        <w:rPr>
          <w:rFonts w:ascii="Arial" w:hAnsi="Arial" w:eastAsia="宋体" w:cs="Arial"/>
          <w:color w:val="000000"/>
          <w:kern w:val="0"/>
          <w:szCs w:val="21"/>
        </w:rPr>
        <w:t>我们建议贵公司选择适用于有限持续时间（少于24小时）和与破裂或受损表面接触的表面器械的生物相容性试验。如果在患者接触类型和持续时间相同的比较器械中使用了相同的材料和相同的材料加工，贵公司可以确认比较器械而无需提供生物相容性试验。</w:t>
      </w:r>
    </w:p>
    <w:p w14:paraId="1AA5D09F">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3584BB02">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8" o:spt="1" style="height:0pt;width:0pt;" fillcolor="#A0A0A0" filled="t" stroked="f" coordsize="21600,21600" o:hr="t" o:hrstd="t" o:hralign="center">
            <v:path/>
            <v:fill on="t" focussize="0,0"/>
            <v:stroke on="f"/>
            <v:imagedata o:title=""/>
            <o:lock v:ext="edit"/>
            <w10:wrap type="none"/>
            <w10:anchorlock/>
          </v:rect>
        </w:pict>
      </w:r>
    </w:p>
    <w:p w14:paraId="2A5770D5">
      <w:pPr>
        <w:widowControl/>
        <w:jc w:val="left"/>
        <w:rPr>
          <w:rFonts w:ascii="Arial" w:hAnsi="Arial" w:eastAsia="宋体" w:cs="Arial"/>
          <w:b/>
          <w:bCs/>
          <w:color w:val="000000"/>
          <w:kern w:val="0"/>
          <w:sz w:val="30"/>
          <w:szCs w:val="30"/>
        </w:rPr>
      </w:pPr>
      <w:r>
        <w:rPr>
          <w:rFonts w:ascii="Arial" w:hAnsi="Arial" w:eastAsia="宋体" w:cs="Arial"/>
          <w:b/>
          <w:bCs/>
          <w:color w:val="000000"/>
          <w:kern w:val="0"/>
          <w:sz w:val="30"/>
          <w:szCs w:val="30"/>
        </w:rPr>
        <w:br w:type="page"/>
      </w:r>
    </w:p>
    <w:p w14:paraId="47319828">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13.灭菌信息</w:t>
      </w:r>
    </w:p>
    <w:p w14:paraId="4F82950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对于以无菌形式上市的器械，FDA建议贵公司根据“更新510（k）无菌审查指南K90-1；行业和FDA最终指南”提供灭菌信息。</w:t>
      </w:r>
      <w:r>
        <w:fldChar w:fldCharType="begin"/>
      </w:r>
      <w:r>
        <w:instrText xml:space="preserve"> HYPERLINK "https://www.fda.gov/medicaldevices/deviceregulationandguidance/guidancedocuments/ucm071414.htm" \l "ft12" </w:instrText>
      </w:r>
      <w:r>
        <w:fldChar w:fldCharType="separate"/>
      </w:r>
      <w:r>
        <w:rPr>
          <w:rFonts w:ascii="Arial" w:hAnsi="Arial" w:eastAsia="宋体" w:cs="Arial"/>
          <w:b/>
          <w:bCs/>
          <w:color w:val="0000CC"/>
          <w:kern w:val="0"/>
          <w:szCs w:val="21"/>
          <w:u w:val="single"/>
          <w:vertAlign w:val="superscript"/>
        </w:rPr>
        <w:t>12</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贵公司应该使用已根据“21 CFR第820部分质量体系法规”确认的灭菌循环对器械进行灭菌，使其达至1 x 10</w:t>
      </w:r>
      <w:r>
        <w:rPr>
          <w:rFonts w:ascii="Arial" w:hAnsi="Arial" w:eastAsia="宋体" w:cs="Arial"/>
          <w:color w:val="000000"/>
          <w:kern w:val="0"/>
          <w:szCs w:val="21"/>
          <w:vertAlign w:val="superscript"/>
        </w:rPr>
        <w:t>-6</w:t>
      </w:r>
      <w:r>
        <w:rPr>
          <w:rFonts w:ascii="Arial" w:hAnsi="Arial" w:eastAsia="宋体" w:cs="Arial"/>
          <w:color w:val="000000"/>
          <w:kern w:val="0"/>
          <w:szCs w:val="21"/>
        </w:rPr>
        <w:t>的无菌保证水平（SAL）。</w:t>
      </w:r>
    </w:p>
    <w:p w14:paraId="576F356E">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2A061F96">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9" o:spt="1" style="height:0pt;width:0pt;" fillcolor="#A0A0A0" filled="t" stroked="f" coordsize="21600,21600" o:hr="t" o:hrstd="t" o:hralign="center">
            <v:path/>
            <v:fill on="t" focussize="0,0"/>
            <v:stroke on="f"/>
            <v:imagedata o:title=""/>
            <o:lock v:ext="edit"/>
            <w10:wrap type="none"/>
            <w10:anchorlock/>
          </v:rect>
        </w:pict>
      </w:r>
    </w:p>
    <w:p w14:paraId="1A632962">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14.临床信息</w:t>
      </w:r>
    </w:p>
    <w:p w14:paraId="5415EF2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根据该法案，FDA将依从设计良好的新器械台架和临床研究，除非有特定的理由要求提供临床信息以支持实质等同性的测定。虽然一般来说，大多数计算机化分娩监测系统并不需要临床研究，但FDA建议贵公司为具有以下特性的计算机化分娩监测系统收集临床数据：</w:t>
      </w:r>
    </w:p>
    <w:p w14:paraId="54DBABAA">
      <w:pPr>
        <w:pStyle w:val="28"/>
        <w:widowControl/>
        <w:numPr>
          <w:ilvl w:val="0"/>
          <w:numId w:val="16"/>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设计与以前已根据上市前通告获得许可的设计不同</w:t>
      </w:r>
    </w:p>
    <w:p w14:paraId="1A934D76">
      <w:pPr>
        <w:pStyle w:val="28"/>
        <w:widowControl/>
        <w:numPr>
          <w:ilvl w:val="0"/>
          <w:numId w:val="16"/>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新技术；即与合法上市的计算机化分娩监测系统中使用技术不同的技术</w:t>
      </w:r>
    </w:p>
    <w:p w14:paraId="33E79236">
      <w:pPr>
        <w:pStyle w:val="28"/>
        <w:widowControl/>
        <w:numPr>
          <w:ilvl w:val="0"/>
          <w:numId w:val="16"/>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不同于相同类型的计算机化分娩监测系统的适应症。</w:t>
      </w:r>
    </w:p>
    <w:p w14:paraId="1E5CD386">
      <w:pPr>
        <w:widowControl/>
        <w:shd w:val="clear" w:color="auto" w:fill="FFFFFF"/>
        <w:snapToGrid w:val="0"/>
        <w:spacing w:line="300" w:lineRule="auto"/>
        <w:rPr>
          <w:rFonts w:ascii="Arial" w:hAnsi="Arial" w:eastAsia="宋体" w:cs="Arial"/>
          <w:color w:val="000000"/>
          <w:kern w:val="0"/>
          <w:szCs w:val="21"/>
        </w:rPr>
      </w:pPr>
    </w:p>
    <w:p w14:paraId="7746153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拟定替代方案得到充分的科学依据支持时，FDA将考虑临床试验的替代方案。</w:t>
      </w:r>
    </w:p>
    <w:p w14:paraId="16356591">
      <w:pPr>
        <w:widowControl/>
        <w:shd w:val="clear" w:color="auto" w:fill="FFFFFF"/>
        <w:snapToGrid w:val="0"/>
        <w:spacing w:line="300" w:lineRule="auto"/>
        <w:rPr>
          <w:rFonts w:ascii="Arial" w:hAnsi="Arial" w:eastAsia="宋体" w:cs="Arial"/>
          <w:color w:val="000000"/>
          <w:kern w:val="0"/>
          <w:szCs w:val="21"/>
        </w:rPr>
      </w:pPr>
    </w:p>
    <w:p w14:paraId="3DDD4BD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我们建议进行一项临床研究，我们建议贵公司设计贵公司的研究，以在按“适应症”声明所述进行使用时证明器械的实质等同性（例如，给定结果对两位经验丰富的护理人员的等同性）。在得到充分科学依据的支持下，依赖文献或使用元分析的替代方法可能适用。我们在下面列出了我们的建议。</w:t>
      </w:r>
    </w:p>
    <w:p w14:paraId="26AC9D2A">
      <w:pPr>
        <w:widowControl/>
        <w:shd w:val="clear" w:color="auto" w:fill="FFFFFF"/>
        <w:snapToGrid w:val="0"/>
        <w:spacing w:line="300" w:lineRule="auto"/>
        <w:rPr>
          <w:rFonts w:ascii="Arial" w:hAnsi="Arial" w:eastAsia="宋体" w:cs="Arial"/>
          <w:color w:val="000000"/>
          <w:kern w:val="0"/>
          <w:szCs w:val="21"/>
        </w:rPr>
      </w:pPr>
    </w:p>
    <w:p w14:paraId="4EDC06A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就统计而言，我们建议研究假设根据相对于此类合法上市比较器械的性能或护理医师测量标准的等同性、非劣效性或优效性来描述研究问题。我们还建议贵公司咨询熟悉医疗器械研究的统计学家。</w:t>
      </w:r>
    </w:p>
    <w:p w14:paraId="5C01CA10">
      <w:pPr>
        <w:widowControl/>
        <w:shd w:val="clear" w:color="auto" w:fill="FFFFFF"/>
        <w:snapToGrid w:val="0"/>
        <w:spacing w:line="300" w:lineRule="auto"/>
        <w:rPr>
          <w:rFonts w:ascii="Arial" w:hAnsi="Arial" w:eastAsia="宋体" w:cs="Arial"/>
          <w:color w:val="000000"/>
          <w:kern w:val="0"/>
          <w:szCs w:val="21"/>
        </w:rPr>
      </w:pPr>
    </w:p>
    <w:p w14:paraId="3D54B954">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贵公司临床研究结果</w:t>
      </w:r>
      <w:r>
        <w:rPr>
          <w:rFonts w:ascii="Arial" w:hAnsi="Arial" w:eastAsia="宋体" w:cs="Arial"/>
          <w:b/>
          <w:color w:val="000000"/>
          <w:kern w:val="0"/>
          <w:szCs w:val="21"/>
        </w:rPr>
        <w:t>的</w:t>
      </w:r>
      <w:r>
        <w:rPr>
          <w:rFonts w:hint="eastAsia" w:ascii="Arial" w:hAnsi="Arial" w:eastAsia="宋体" w:cs="Arial"/>
          <w:b/>
          <w:color w:val="000000"/>
          <w:kern w:val="0"/>
          <w:szCs w:val="21"/>
        </w:rPr>
        <w:t>上市前通告中的统计报告</w:t>
      </w:r>
    </w:p>
    <w:p w14:paraId="4EE86F8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如果贵公司进行临床研究，我们建议贵公司定义：</w:t>
      </w:r>
    </w:p>
    <w:p w14:paraId="6C553F79">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主要临床有效性终点</w:t>
      </w:r>
    </w:p>
    <w:p w14:paraId="09D3C454">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安全终点</w:t>
      </w:r>
    </w:p>
    <w:p w14:paraId="4B48151C">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无效和替代假设（以言语和数学形式）</w:t>
      </w:r>
    </w:p>
    <w:p w14:paraId="1CA19676">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1DA8A0C1">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估算系统测量与临床（手动）测量之间差异的方法。该方法应估计（i）平均差异（偏差）和（ii）平均绝对差异（绝对偏差），并纳入至少两名独立的、经验丰富的主治医师或护理人员的结果。</w:t>
      </w:r>
    </w:p>
    <w:p w14:paraId="017BA3BD">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样本量。</w:t>
      </w:r>
    </w:p>
    <w:p w14:paraId="73B0E7D1">
      <w:pPr>
        <w:widowControl/>
        <w:shd w:val="clear" w:color="auto" w:fill="FFFFFF"/>
        <w:snapToGrid w:val="0"/>
        <w:spacing w:line="300" w:lineRule="auto"/>
        <w:ind w:firstLine="714" w:firstLineChars="340"/>
        <w:rPr>
          <w:rFonts w:ascii="Arial" w:hAnsi="Arial" w:eastAsia="宋体" w:cs="Arial"/>
          <w:color w:val="000000"/>
          <w:kern w:val="0"/>
          <w:szCs w:val="21"/>
        </w:rPr>
      </w:pPr>
      <w:r>
        <w:rPr>
          <w:rFonts w:ascii="Arial" w:hAnsi="Arial" w:eastAsia="宋体" w:cs="Arial"/>
          <w:color w:val="000000"/>
          <w:kern w:val="0"/>
          <w:szCs w:val="21"/>
        </w:rPr>
        <w:t>我们还建议贵公司描述：</w:t>
      </w:r>
    </w:p>
    <w:p w14:paraId="01F2FF64">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随访时间长短</w:t>
      </w:r>
    </w:p>
    <w:p w14:paraId="7FEFB514">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盲法和随机化程序</w:t>
      </w:r>
    </w:p>
    <w:p w14:paraId="3CDC0F08">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用于分析临床数据的统计方法。</w:t>
      </w:r>
    </w:p>
    <w:p w14:paraId="4933EC0C">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如果采用多中心研究，我们建议50％以上的研究应在美国进行。我们还建议贵公司讨论主要汇总统计（比率差异、相对风险、优势比或手段等其他方面）。</w:t>
      </w:r>
    </w:p>
    <w:p w14:paraId="315ABA3E">
      <w:pPr>
        <w:widowControl/>
        <w:shd w:val="clear" w:color="auto" w:fill="FFFFFF"/>
        <w:snapToGrid w:val="0"/>
        <w:spacing w:line="300" w:lineRule="auto"/>
        <w:rPr>
          <w:rFonts w:ascii="Arial" w:hAnsi="Arial" w:eastAsia="宋体" w:cs="Arial"/>
          <w:b/>
          <w:bCs/>
          <w:color w:val="000000"/>
          <w:kern w:val="0"/>
          <w:szCs w:val="21"/>
        </w:rPr>
      </w:pPr>
    </w:p>
    <w:p w14:paraId="1D1C8DE5">
      <w:pPr>
        <w:widowControl/>
        <w:shd w:val="clear" w:color="auto" w:fill="FFFFFF"/>
        <w:snapToGrid w:val="0"/>
        <w:spacing w:line="300" w:lineRule="auto"/>
        <w:ind w:firstLine="717" w:firstLineChars="340"/>
        <w:rPr>
          <w:rFonts w:ascii="Arial" w:hAnsi="Arial" w:eastAsia="宋体" w:cs="Arial"/>
          <w:b/>
          <w:color w:val="000000"/>
          <w:kern w:val="0"/>
          <w:szCs w:val="21"/>
        </w:rPr>
      </w:pPr>
      <w:r>
        <w:rPr>
          <w:rFonts w:hint="eastAsia" w:ascii="Arial" w:hAnsi="Arial" w:eastAsia="宋体" w:cs="Arial"/>
          <w:b/>
          <w:color w:val="000000"/>
          <w:kern w:val="0"/>
          <w:szCs w:val="21"/>
        </w:rPr>
        <w:t>来自期刊文章的报告结果</w:t>
      </w:r>
    </w:p>
    <w:p w14:paraId="225E2AA3">
      <w:pPr>
        <w:widowControl/>
        <w:shd w:val="clear" w:color="auto" w:fill="FFFFFF"/>
        <w:snapToGrid w:val="0"/>
        <w:spacing w:line="300" w:lineRule="auto"/>
        <w:ind w:left="699" w:leftChars="333" w:firstLine="12" w:firstLineChars="6"/>
        <w:rPr>
          <w:rFonts w:ascii="Arial" w:hAnsi="Arial" w:eastAsia="宋体" w:cs="Arial"/>
          <w:color w:val="000000"/>
          <w:kern w:val="0"/>
          <w:szCs w:val="21"/>
        </w:rPr>
      </w:pPr>
      <w:r>
        <w:rPr>
          <w:rFonts w:ascii="Arial" w:hAnsi="Arial" w:eastAsia="宋体" w:cs="Arial"/>
          <w:color w:val="000000"/>
          <w:kern w:val="0"/>
          <w:szCs w:val="21"/>
        </w:rPr>
        <w:t>如果贵公司报告了来自期刊文章的结果，我们建议贵公司评价各种研究中研究设计的一致性，例如：</w:t>
      </w:r>
    </w:p>
    <w:p w14:paraId="3876C367">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随机化程序</w:t>
      </w:r>
    </w:p>
    <w:p w14:paraId="4D8C88A9">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成功和失败的标准</w:t>
      </w:r>
    </w:p>
    <w:p w14:paraId="427EB417">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盲法</w:t>
      </w:r>
    </w:p>
    <w:p w14:paraId="0C53E1AC">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研究设计类型（例如，前瞻性、回顾性、代表性）</w:t>
      </w:r>
    </w:p>
    <w:p w14:paraId="0C133090">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患者随访的持续时间</w:t>
      </w:r>
    </w:p>
    <w:p w14:paraId="619C5A0C">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患者人口统计特性和临床上较为重要的患者协变量（如果已知）</w:t>
      </w:r>
    </w:p>
    <w:p w14:paraId="672D2F0D">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患者责任</w:t>
      </w:r>
    </w:p>
    <w:p w14:paraId="37AFAAC7">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数据质量（例如，获得并审核数据的人员、设盲、受试者保密）</w:t>
      </w:r>
    </w:p>
    <w:p w14:paraId="043DC68E">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临床中心类型</w:t>
      </w:r>
    </w:p>
    <w:p w14:paraId="31A2773F">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患者入选和排除标准</w:t>
      </w:r>
    </w:p>
    <w:p w14:paraId="3556CC94">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医师经验</w:t>
      </w:r>
    </w:p>
    <w:p w14:paraId="07EEF0D8">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任何其他相关因素。</w:t>
      </w:r>
    </w:p>
    <w:p w14:paraId="6E5F440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我们还建议贵公司评价任何潜在的出版物偏倚。</w:t>
      </w:r>
    </w:p>
    <w:p w14:paraId="0180963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我们建议贵公司在汇总统计中准备同质性试验，并提供统计理由来说明来自文献的多中心研究合并。</w:t>
      </w:r>
    </w:p>
    <w:p w14:paraId="61543C3D">
      <w:pPr>
        <w:widowControl/>
        <w:shd w:val="clear" w:color="auto" w:fill="FFFFFF"/>
        <w:snapToGrid w:val="0"/>
        <w:spacing w:line="300" w:lineRule="auto"/>
        <w:rPr>
          <w:rFonts w:ascii="Arial" w:hAnsi="Arial" w:eastAsia="宋体" w:cs="Arial"/>
          <w:color w:val="000000"/>
          <w:kern w:val="0"/>
          <w:szCs w:val="21"/>
        </w:rPr>
      </w:pPr>
    </w:p>
    <w:p w14:paraId="432BB3A6">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报告元分析（原始临床研究和期刊文章）</w:t>
      </w:r>
    </w:p>
    <w:p w14:paraId="5F26251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如果来自个别研究的汇总数据可用，我们建议贵公司为每个中心或每个研究以及所选汇总统计以图形方式展示以下内容：</w:t>
      </w:r>
    </w:p>
    <w:p w14:paraId="53A920A9">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点估计</w:t>
      </w:r>
    </w:p>
    <w:p w14:paraId="2D5704DD">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95％置信区间</w:t>
      </w:r>
    </w:p>
    <w:p w14:paraId="786C7179">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95％置信区间的宽度。</w:t>
      </w:r>
    </w:p>
    <w:p w14:paraId="06DE9FB3">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器械和对照组的样本比例。</w:t>
      </w:r>
    </w:p>
    <w:p w14:paraId="7498279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我们还建议贵公司从各种适当选择的研究中计算汇总统计的适当汇总平均估计值和相关的95％置信区间。</w:t>
      </w:r>
    </w:p>
    <w:p w14:paraId="01D2BD01">
      <w:pPr>
        <w:widowControl/>
        <w:shd w:val="clear" w:color="auto" w:fill="FFFFFF"/>
        <w:snapToGrid w:val="0"/>
        <w:spacing w:line="300" w:lineRule="auto"/>
        <w:rPr>
          <w:rFonts w:ascii="Arial" w:hAnsi="Arial" w:eastAsia="宋体" w:cs="Arial"/>
          <w:color w:val="000000"/>
          <w:kern w:val="0"/>
          <w:szCs w:val="21"/>
        </w:rPr>
      </w:pPr>
    </w:p>
    <w:p w14:paraId="212D7908">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073B6D9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如果需要进行临床研究来证明实质等同性，则研究必须根据“</w:t>
      </w:r>
      <w:r>
        <w:rPr>
          <w:rFonts w:hint="eastAsia" w:ascii="Arial" w:hAnsi="Arial" w:eastAsia="宋体" w:cs="Arial"/>
          <w:color w:val="000000"/>
          <w:kern w:val="0"/>
          <w:szCs w:val="21"/>
        </w:rPr>
        <w:t>试验用器械豁免</w:t>
      </w:r>
      <w:r>
        <w:rPr>
          <w:rFonts w:ascii="Arial" w:hAnsi="Arial" w:eastAsia="宋体" w:cs="Arial"/>
          <w:color w:val="000000"/>
          <w:kern w:val="0"/>
          <w:szCs w:val="21"/>
        </w:rPr>
        <w:t>（IDE）”规定21 CFR第812部分进行。如果在研究过程中没有使用来自监测器的信息来管理患者，FDA通常认为本指导性文件所涉及的计算机化分娩监测系统是非重大风险器械。因此，该研究须符合21 CFR 812.2（b）的简要要求。</w:t>
      </w:r>
      <w:r>
        <w:fldChar w:fldCharType="begin"/>
      </w:r>
      <w:r>
        <w:instrText xml:space="preserve"> HYPERLINK "https://www.fda.gov/medicaldevices/deviceregulationandguidance/guidancedocuments/ucm071414.htm" \l "ft13" </w:instrText>
      </w:r>
      <w:r>
        <w:fldChar w:fldCharType="separate"/>
      </w:r>
      <w:r>
        <w:rPr>
          <w:rFonts w:ascii="Arial" w:hAnsi="Arial" w:eastAsia="宋体" w:cs="Arial"/>
          <w:b/>
          <w:bCs/>
          <w:color w:val="0000CC"/>
          <w:kern w:val="0"/>
          <w:szCs w:val="21"/>
          <w:u w:val="single"/>
          <w:vertAlign w:val="superscript"/>
        </w:rPr>
        <w:t>13</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除了21CFR 812.2（b）部分的要求外，此类试验的申办方必须遵守有关机构审查委员会（21 CFR 第56部分）和知情同意（21 CFR第50部分）的规定。</w:t>
      </w:r>
    </w:p>
    <w:p w14:paraId="21D6487B">
      <w:pPr>
        <w:widowControl/>
        <w:shd w:val="clear" w:color="auto" w:fill="FFFFFF"/>
        <w:snapToGrid w:val="0"/>
        <w:spacing w:line="300" w:lineRule="auto"/>
        <w:rPr>
          <w:rFonts w:ascii="Arial" w:hAnsi="Arial" w:eastAsia="宋体" w:cs="Arial"/>
          <w:color w:val="000000"/>
          <w:kern w:val="0"/>
          <w:szCs w:val="21"/>
        </w:rPr>
      </w:pPr>
    </w:p>
    <w:p w14:paraId="2B659426">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725946CD">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40" o:spt="1" style="height:0pt;width:0pt;" fillcolor="#A0A0A0" filled="t" stroked="f" coordsize="21600,21600" o:hr="t" o:hrstd="t" o:hralign="center">
            <v:path/>
            <v:fill on="t" focussize="0,0"/>
            <v:stroke on="f"/>
            <v:imagedata o:title=""/>
            <o:lock v:ext="edit"/>
            <w10:wrap type="none"/>
            <w10:anchorlock/>
          </v:rect>
        </w:pict>
      </w:r>
    </w:p>
    <w:p w14:paraId="03AE78FB">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15.标签</w:t>
      </w:r>
    </w:p>
    <w:p w14:paraId="3A43675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上市前通告必须包含足够详细的标签，以满足21 CFR 807.87（e）的要求。以下建议将有助于贵公司准备符合21 CFR第801.14部分要求的标签。</w:t>
      </w:r>
      <w:r>
        <w:fldChar w:fldCharType="begin"/>
      </w:r>
      <w:r>
        <w:instrText xml:space="preserve"> HYPERLINK "https://www.fda.gov/medicaldevices/deviceregulationandguidance/guidancedocuments/ucm071414.htm" \l "ft14" </w:instrText>
      </w:r>
      <w:r>
        <w:fldChar w:fldCharType="separate"/>
      </w:r>
      <w:r>
        <w:rPr>
          <w:rFonts w:ascii="Arial" w:hAnsi="Arial" w:eastAsia="宋体" w:cs="Arial"/>
          <w:b/>
          <w:bCs/>
          <w:color w:val="0000CC"/>
          <w:kern w:val="0"/>
          <w:szCs w:val="21"/>
          <w:u w:val="single"/>
          <w:vertAlign w:val="superscript"/>
        </w:rPr>
        <w:t>14</w:t>
      </w:r>
      <w:r>
        <w:rPr>
          <w:rFonts w:ascii="Arial" w:hAnsi="Arial" w:eastAsia="宋体" w:cs="Arial"/>
          <w:b/>
          <w:bCs/>
          <w:color w:val="0000CC"/>
          <w:kern w:val="0"/>
          <w:szCs w:val="21"/>
          <w:u w:val="single"/>
          <w:vertAlign w:val="superscript"/>
        </w:rPr>
        <w:fldChar w:fldCharType="end"/>
      </w:r>
    </w:p>
    <w:p w14:paraId="57AEFD0F">
      <w:pPr>
        <w:widowControl/>
        <w:shd w:val="clear" w:color="auto" w:fill="FFFFFF"/>
        <w:snapToGrid w:val="0"/>
        <w:spacing w:line="300" w:lineRule="auto"/>
        <w:rPr>
          <w:rFonts w:ascii="Arial" w:hAnsi="Arial" w:eastAsia="宋体" w:cs="Arial"/>
          <w:b/>
          <w:bCs/>
          <w:color w:val="000000"/>
          <w:kern w:val="0"/>
          <w:szCs w:val="21"/>
        </w:rPr>
      </w:pPr>
    </w:p>
    <w:p w14:paraId="0B38884F">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使用说明</w:t>
      </w:r>
    </w:p>
    <w:p w14:paraId="781918B0">
      <w:pPr>
        <w:widowControl/>
        <w:shd w:val="clear" w:color="auto" w:fill="FFFFFF"/>
        <w:snapToGrid w:val="0"/>
        <w:spacing w:line="300" w:lineRule="auto"/>
        <w:rPr>
          <w:rFonts w:ascii="Arial" w:hAnsi="Arial" w:eastAsia="宋体" w:cs="Arial"/>
          <w:b/>
          <w:bCs/>
          <w:color w:val="000000"/>
          <w:kern w:val="0"/>
          <w:szCs w:val="21"/>
        </w:rPr>
      </w:pPr>
      <w:r>
        <w:rPr>
          <w:rFonts w:ascii="Arial" w:hAnsi="Arial" w:eastAsia="宋体" w:cs="Arial"/>
          <w:color w:val="000000"/>
          <w:kern w:val="0"/>
          <w:szCs w:val="21"/>
        </w:rPr>
        <w:t>我们建议贵公司提交清晰简明的说明，描述特定器械的技术特性以及器械的使用方式。我们还建议说明应描述测量子宫颈扩张和胎头位置的程序。</w:t>
      </w:r>
    </w:p>
    <w:p w14:paraId="08F07B12">
      <w:pPr>
        <w:widowControl/>
        <w:shd w:val="clear" w:color="auto" w:fill="FFFFFF"/>
        <w:snapToGrid w:val="0"/>
        <w:spacing w:line="300" w:lineRule="auto"/>
        <w:rPr>
          <w:rFonts w:ascii="Arial" w:hAnsi="Arial" w:eastAsia="宋体" w:cs="Arial"/>
          <w:color w:val="000000"/>
          <w:kern w:val="0"/>
          <w:szCs w:val="21"/>
        </w:rPr>
      </w:pPr>
    </w:p>
    <w:p w14:paraId="629087D6">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警告</w:t>
      </w:r>
    </w:p>
    <w:p w14:paraId="1A131BD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我们建议，除进行监测外，贵公司的操作员手册的警告部分还需要涉及进行阴道检查的需要，防止患者管理不善。以下是一个示例：</w:t>
      </w:r>
    </w:p>
    <w:p w14:paraId="3F4C1D1C">
      <w:pPr>
        <w:widowControl/>
        <w:shd w:val="clear" w:color="auto" w:fill="FFFFFF"/>
        <w:snapToGrid w:val="0"/>
        <w:spacing w:line="300" w:lineRule="auto"/>
        <w:rPr>
          <w:rFonts w:ascii="Arial" w:hAnsi="Arial" w:eastAsia="宋体" w:cs="Arial"/>
          <w:color w:val="000000"/>
          <w:kern w:val="0"/>
          <w:szCs w:val="21"/>
        </w:rPr>
      </w:pPr>
    </w:p>
    <w:p w14:paraId="625BCDEC">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该器械仅监测设备，且如果在决策前未进行阴道检查，不得依赖于该器械来进行临床决策。</w:t>
      </w:r>
    </w:p>
    <w:p w14:paraId="0561752C">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此外，警告应设计适当的专业培训和适当的器械使用，例如：</w:t>
      </w:r>
    </w:p>
    <w:p w14:paraId="254B39AA">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该器械提供了用于评估分娩进度的所选临床参数。该器械不能替代由负责进行临床管理决策的合格护理人员对母亲和胎儿的观察和评估。该器械供专业人士使用，这些专业人士应该了解监测分娩妇女所需的医疗程序、做法和术语并受过系统使用所有方面的培训。</w:t>
      </w:r>
    </w:p>
    <w:p w14:paraId="49184C4A">
      <w:pPr>
        <w:widowControl/>
        <w:shd w:val="clear" w:color="auto" w:fill="FFFFFF"/>
        <w:snapToGrid w:val="0"/>
        <w:spacing w:line="300" w:lineRule="auto"/>
        <w:ind w:left="439"/>
        <w:rPr>
          <w:rFonts w:ascii="Arial" w:hAnsi="Arial" w:eastAsia="宋体" w:cs="Arial"/>
          <w:color w:val="000000"/>
          <w:kern w:val="0"/>
          <w:szCs w:val="21"/>
        </w:rPr>
      </w:pPr>
    </w:p>
    <w:p w14:paraId="2A15DF9F">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我们还建议警告涉及有关患者受伤的危险，例如：</w:t>
      </w:r>
    </w:p>
    <w:p w14:paraId="1167901D">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在真空抽吸、镊子输送或剖腹产时，不得安装内置换能器。否则可能导致患者受伤。</w:t>
      </w:r>
    </w:p>
    <w:p w14:paraId="0056A40C">
      <w:pPr>
        <w:widowControl/>
        <w:shd w:val="clear" w:color="auto" w:fill="FFFFFF"/>
        <w:snapToGrid w:val="0"/>
        <w:spacing w:line="300" w:lineRule="auto"/>
        <w:rPr>
          <w:rFonts w:ascii="Arial" w:hAnsi="Arial" w:eastAsia="宋体" w:cs="Arial"/>
          <w:color w:val="000000"/>
          <w:kern w:val="0"/>
          <w:szCs w:val="21"/>
        </w:rPr>
      </w:pPr>
    </w:p>
    <w:p w14:paraId="5F58C405">
      <w:pPr>
        <w:widowControl/>
        <w:shd w:val="clear" w:color="auto" w:fill="FFFFFF"/>
        <w:snapToGrid w:val="0"/>
        <w:spacing w:line="300" w:lineRule="auto"/>
        <w:rPr>
          <w:rFonts w:ascii="Arial" w:hAnsi="Arial" w:eastAsia="宋体" w:cs="Arial"/>
          <w:b/>
          <w:color w:val="000000"/>
          <w:kern w:val="0"/>
          <w:szCs w:val="21"/>
        </w:rPr>
      </w:pPr>
      <w:r>
        <w:rPr>
          <w:rFonts w:ascii="Arial" w:hAnsi="Arial" w:eastAsia="宋体" w:cs="Arial"/>
          <w:b/>
          <w:color w:val="000000"/>
          <w:kern w:val="0"/>
          <w:szCs w:val="21"/>
        </w:rPr>
        <w:t>适应症</w:t>
      </w:r>
    </w:p>
    <w:p w14:paraId="694D7CB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FDA建议贵公司的适应症应涉及：</w:t>
      </w:r>
    </w:p>
    <w:p w14:paraId="7A3B52C9">
      <w:pPr>
        <w:pStyle w:val="28"/>
        <w:widowControl/>
        <w:numPr>
          <w:ilvl w:val="0"/>
          <w:numId w:val="18"/>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器械的功能</w:t>
      </w:r>
    </w:p>
    <w:p w14:paraId="08509EC6">
      <w:pPr>
        <w:pStyle w:val="28"/>
        <w:widowControl/>
        <w:numPr>
          <w:ilvl w:val="0"/>
          <w:numId w:val="18"/>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器械测量和显示的内容</w:t>
      </w:r>
    </w:p>
    <w:p w14:paraId="4536C21C">
      <w:pPr>
        <w:pStyle w:val="28"/>
        <w:widowControl/>
        <w:numPr>
          <w:ilvl w:val="0"/>
          <w:numId w:val="18"/>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使用器械的时间。</w:t>
      </w:r>
    </w:p>
    <w:p w14:paraId="14C9E00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例如：</w:t>
      </w:r>
    </w:p>
    <w:p w14:paraId="620FB083">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3F02EE1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计算机化分娩监测系统旨在监测晚期妊娠、顶点先露和薄膜破裂的妇女分娩的活跃期。当子宫颈扩张在3厘米到7厘米之间时，应将其置入。该器械将用超声换能器连接到母体腹部和子宫颈以及胎儿头皮，连续测量子宫颈扩张和胎儿头部。这些测量以数字和图形方式按时间显示，显示分娩进度。</w:t>
      </w:r>
    </w:p>
    <w:p w14:paraId="62472E82">
      <w:pPr>
        <w:widowControl/>
        <w:shd w:val="clear" w:color="auto" w:fill="FFFFFF"/>
        <w:snapToGrid w:val="0"/>
        <w:spacing w:line="300" w:lineRule="auto"/>
        <w:rPr>
          <w:rFonts w:ascii="Arial" w:hAnsi="Arial" w:eastAsia="宋体" w:cs="Arial"/>
          <w:color w:val="000000"/>
          <w:kern w:val="0"/>
          <w:szCs w:val="21"/>
        </w:rPr>
      </w:pPr>
    </w:p>
    <w:p w14:paraId="6D6DB366">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446DB664">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41" o:spt="1" style="height:0pt;width:0pt;" fillcolor="#A0A0A0" filled="t" stroked="f" coordsize="21600,21600" o:hr="t" o:hrstd="t" o:hralign="center">
            <v:path/>
            <v:fill on="t" focussize="0,0"/>
            <v:stroke on="f"/>
            <v:imagedata o:title=""/>
            <o:lock v:ext="edit"/>
            <w10:wrap type="none"/>
            <w10:anchorlock/>
          </v:rect>
        </w:pict>
      </w:r>
    </w:p>
    <w:p w14:paraId="2FCCA046">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b/>
          <w:bCs/>
          <w:color w:val="0000CC"/>
          <w:kern w:val="0"/>
          <w:szCs w:val="21"/>
          <w:u w:val="single"/>
        </w:rPr>
        <w:t>最小负担条款 – 与实施相关的活动</w:t>
      </w:r>
    </w:p>
    <w:p w14:paraId="2FC41503">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b/>
          <w:bCs/>
          <w:color w:val="0000CC"/>
          <w:kern w:val="0"/>
          <w:szCs w:val="21"/>
          <w:u w:val="single"/>
        </w:rPr>
        <w:t>器械建议</w:t>
      </w:r>
    </w:p>
    <w:p w14:paraId="64A5FE9D">
      <w:pPr>
        <w:pStyle w:val="28"/>
        <w:widowControl/>
        <w:numPr>
          <w:ilvl w:val="0"/>
          <w:numId w:val="19"/>
        </w:numPr>
        <w:shd w:val="clear" w:color="auto" w:fill="FFFFFF"/>
        <w:snapToGrid w:val="0"/>
        <w:spacing w:line="300" w:lineRule="auto"/>
        <w:ind w:firstLineChars="0"/>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"https://www.fda.gov/MedicalDevices/DeviceRegulationandGuidance/GuidanceDocuments/ucm084365.htm" </w:instrText>
      </w:r>
      <w:r>
        <w:fldChar w:fldCharType="separate"/>
      </w:r>
      <w:r>
        <w:rPr>
          <w:rFonts w:ascii="Arial" w:hAnsi="Arial" w:eastAsia="宋体" w:cs="Arial"/>
          <w:b/>
          <w:bCs/>
          <w:color w:val="0000CC"/>
          <w:kern w:val="0"/>
          <w:szCs w:val="21"/>
          <w:u w:val="single"/>
        </w:rPr>
        <w:t>传统和简化510(k)的格式</w:t>
      </w:r>
      <w:r>
        <w:rPr>
          <w:rFonts w:ascii="Arial" w:hAnsi="Arial" w:eastAsia="宋体" w:cs="Arial"/>
          <w:b/>
          <w:bCs/>
          <w:color w:val="0000CC"/>
          <w:kern w:val="0"/>
          <w:szCs w:val="21"/>
          <w:u w:val="single"/>
        </w:rPr>
        <w:fldChar w:fldCharType="end"/>
      </w:r>
    </w:p>
    <w:p w14:paraId="5CFA6775">
      <w:pPr>
        <w:pStyle w:val="28"/>
        <w:widowControl/>
        <w:numPr>
          <w:ilvl w:val="0"/>
          <w:numId w:val="19"/>
        </w:numPr>
        <w:shd w:val="clear" w:color="auto" w:fill="FFFFFF"/>
        <w:snapToGrid w:val="0"/>
        <w:spacing w:line="300" w:lineRule="auto"/>
        <w:ind w:firstLineChars="0"/>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"https://www.fda.gov/MedicalDevices/DeviceRegulationandGuidance/GuidanceDocuments/ucm080187.htm" </w:instrText>
      </w:r>
      <w:r>
        <w:fldChar w:fldCharType="separate"/>
      </w:r>
      <w:r>
        <w:rPr>
          <w:rFonts w:ascii="Arial" w:hAnsi="Arial" w:eastAsia="宋体" w:cs="Arial"/>
          <w:b/>
          <w:bCs/>
          <w:color w:val="0000CC"/>
          <w:kern w:val="0"/>
          <w:szCs w:val="21"/>
          <w:u w:val="single"/>
        </w:rPr>
        <w:t>新版510(k) 范式</w:t>
      </w:r>
      <w:r>
        <w:rPr>
          <w:rFonts w:ascii="Arial" w:hAnsi="Arial" w:eastAsia="宋体" w:cs="Arial"/>
          <w:b/>
          <w:bCs/>
          <w:color w:val="0000CC"/>
          <w:kern w:val="0"/>
          <w:szCs w:val="21"/>
          <w:u w:val="single"/>
        </w:rPr>
        <w:fldChar w:fldCharType="end"/>
      </w:r>
    </w:p>
    <w:p w14:paraId="0376DE52">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关于建议格式，请参考</w:t>
      </w:r>
      <w:r>
        <w:rPr>
          <w:rFonts w:hint="eastAsia" w:ascii="Arial" w:hAnsi="Arial" w:eastAsia="宋体" w:cs="Arial"/>
          <w:b/>
          <w:bCs/>
          <w:color w:val="0000CC"/>
          <w:kern w:val="0"/>
          <w:szCs w:val="21"/>
          <w:u w:val="single"/>
        </w:rPr>
        <w:t>适应症表</w:t>
      </w:r>
      <w:r>
        <w:rPr>
          <w:rFonts w:ascii="Arial" w:hAnsi="Arial" w:eastAsia="宋体" w:cs="Arial"/>
          <w:color w:val="000000"/>
          <w:kern w:val="0"/>
          <w:szCs w:val="21"/>
        </w:rPr>
        <w:t>（PDF文件大小：1.03MB）。</w:t>
      </w:r>
    </w:p>
    <w:p w14:paraId="00E0A332">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如果FDA根据验收标准进行了实质等同性测定，则我们建议在引入州际贸易之前，应对主题器械进行测试且应显示其已符合这些验收标准。如果成品器械不符合验收标准，并因此与已许可的510（k）中所述的器械不同，则FDA建议贵公司应使用与用于评估对合法上市器械的修改相同的标准（21 CFR 807.81（a）（3））来确定成品器械的上市是否需要获得新的510（k）许可。</w:t>
      </w:r>
    </w:p>
    <w:p w14:paraId="59E2EB52">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请参见</w:t>
      </w:r>
      <w:r>
        <w:rPr>
          <w:rFonts w:hint="eastAsia" w:ascii="Arial" w:hAnsi="Arial" w:eastAsia="宋体" w:cs="Arial"/>
          <w:b/>
          <w:bCs/>
          <w:color w:val="0000CC"/>
          <w:kern w:val="0"/>
          <w:szCs w:val="21"/>
          <w:u w:val="single"/>
        </w:rPr>
        <w:t>符合公认标准声明的所需成分</w:t>
      </w:r>
      <w:r>
        <w:rPr>
          <w:rFonts w:ascii="Arial" w:hAnsi="Arial" w:eastAsia="宋体" w:cs="Arial"/>
          <w:color w:val="000000"/>
          <w:kern w:val="0"/>
          <w:szCs w:val="21"/>
        </w:rPr>
        <w:t>（所有上市前通告【510（K）】提交资料的筛选清单）。</w:t>
      </w:r>
    </w:p>
    <w:p w14:paraId="36198FB3">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实质等同性测定中的标准使用；行业和</w:t>
      </w:r>
      <w:r>
        <w:rPr>
          <w:rFonts w:ascii="Arial" w:hAnsi="Arial" w:eastAsia="宋体" w:cs="Arial"/>
          <w:b/>
          <w:bCs/>
          <w:color w:val="0000CC"/>
          <w:kern w:val="0"/>
          <w:szCs w:val="21"/>
          <w:u w:val="single"/>
        </w:rPr>
        <w:t>FDA</w:t>
      </w:r>
      <w:r>
        <w:rPr>
          <w:rFonts w:hint="eastAsia" w:ascii="Arial" w:hAnsi="Arial" w:eastAsia="宋体" w:cs="Arial"/>
          <w:b/>
          <w:bCs/>
          <w:color w:val="0000CC"/>
          <w:kern w:val="0"/>
          <w:szCs w:val="21"/>
          <w:u w:val="single"/>
        </w:rPr>
        <w:t>最终指南</w:t>
      </w:r>
    </w:p>
    <w:p w14:paraId="36A7BBC6">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给寻求诊断超声系统和换能器的上市许可的制造商的信息</w:t>
      </w:r>
    </w:p>
    <w:p w14:paraId="2EA1AD32">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有关用于医疗器械中</w:t>
      </w:r>
      <w:r>
        <w:rPr>
          <w:rFonts w:ascii="Arial" w:hAnsi="Arial" w:eastAsia="宋体" w:cs="Arial"/>
          <w:b/>
          <w:bCs/>
          <w:color w:val="0000CC"/>
          <w:kern w:val="0"/>
          <w:szCs w:val="21"/>
          <w:u w:val="single"/>
        </w:rPr>
        <w:t>包含</w:t>
      </w:r>
      <w:r>
        <w:rPr>
          <w:rFonts w:hint="eastAsia" w:ascii="Arial" w:hAnsi="Arial" w:eastAsia="宋体" w:cs="Arial"/>
          <w:b/>
          <w:bCs/>
          <w:color w:val="0000CC"/>
          <w:kern w:val="0"/>
          <w:szCs w:val="21"/>
          <w:u w:val="single"/>
        </w:rPr>
        <w:t>的软件上市前提交资料内容的指南</w:t>
      </w:r>
    </w:p>
    <w:p w14:paraId="0563D45A">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医疗器械评价的所需生物相容性培训和毒理学特性</w:t>
      </w:r>
      <w:r>
        <w:rPr>
          <w:rFonts w:ascii="Arial" w:hAnsi="Arial" w:eastAsia="宋体" w:cs="Arial"/>
          <w:b/>
          <w:bCs/>
          <w:color w:val="0000CC"/>
          <w:kern w:val="0"/>
          <w:szCs w:val="21"/>
          <w:u w:val="single"/>
        </w:rPr>
        <w:t>，1995</w:t>
      </w:r>
      <w:r>
        <w:rPr>
          <w:rFonts w:hint="eastAsia" w:ascii="Arial" w:hAnsi="Arial" w:eastAsia="宋体" w:cs="Arial"/>
          <w:b/>
          <w:bCs/>
          <w:color w:val="0000CC"/>
          <w:kern w:val="0"/>
          <w:szCs w:val="21"/>
          <w:u w:val="single"/>
        </w:rPr>
        <w:t>年</w:t>
      </w:r>
      <w:r>
        <w:rPr>
          <w:rFonts w:ascii="Arial" w:hAnsi="Arial" w:eastAsia="宋体" w:cs="Arial"/>
          <w:b/>
          <w:bCs/>
          <w:color w:val="0000CC"/>
          <w:kern w:val="0"/>
          <w:szCs w:val="21"/>
          <w:u w:val="single"/>
        </w:rPr>
        <w:t>5</w:t>
      </w:r>
      <w:r>
        <w:rPr>
          <w:rFonts w:hint="eastAsia" w:ascii="Arial" w:hAnsi="Arial" w:eastAsia="宋体" w:cs="Arial"/>
          <w:b/>
          <w:bCs/>
          <w:color w:val="0000CC"/>
          <w:kern w:val="0"/>
          <w:szCs w:val="21"/>
          <w:u w:val="single"/>
        </w:rPr>
        <w:t>月</w:t>
      </w:r>
      <w:r>
        <w:rPr>
          <w:rFonts w:ascii="Arial" w:hAnsi="Arial" w:eastAsia="宋体" w:cs="Arial"/>
          <w:b/>
          <w:bCs/>
          <w:color w:val="0000CC"/>
          <w:kern w:val="0"/>
          <w:szCs w:val="21"/>
          <w:u w:val="single"/>
        </w:rPr>
        <w:t>1</w:t>
      </w:r>
      <w:r>
        <w:rPr>
          <w:rFonts w:hint="eastAsia" w:ascii="Arial" w:hAnsi="Arial" w:eastAsia="宋体" w:cs="Arial"/>
          <w:b/>
          <w:bCs/>
          <w:color w:val="0000CC"/>
          <w:kern w:val="0"/>
          <w:szCs w:val="21"/>
          <w:u w:val="single"/>
        </w:rPr>
        <w:t>日（</w:t>
      </w:r>
      <w:r>
        <w:rPr>
          <w:rFonts w:ascii="Arial" w:hAnsi="Arial" w:eastAsia="宋体" w:cs="Arial"/>
          <w:b/>
          <w:bCs/>
          <w:color w:val="0000CC"/>
          <w:kern w:val="0"/>
          <w:szCs w:val="21"/>
          <w:u w:val="single"/>
        </w:rPr>
        <w:t>G95-1</w:t>
      </w:r>
      <w:r>
        <w:rPr>
          <w:rFonts w:hint="eastAsia" w:ascii="Arial" w:hAnsi="Arial" w:eastAsia="宋体" w:cs="Arial"/>
          <w:b/>
          <w:bCs/>
          <w:color w:val="0000CC"/>
          <w:kern w:val="0"/>
          <w:szCs w:val="21"/>
          <w:u w:val="single"/>
        </w:rPr>
        <w:t>）</w:t>
      </w:r>
    </w:p>
    <w:p w14:paraId="57938847">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更新</w:t>
      </w:r>
      <w:r>
        <w:rPr>
          <w:rFonts w:ascii="Arial" w:hAnsi="Arial" w:eastAsia="宋体" w:cs="Arial"/>
          <w:b/>
          <w:bCs/>
          <w:color w:val="0000CC"/>
          <w:kern w:val="0"/>
          <w:szCs w:val="21"/>
          <w:u w:val="single"/>
        </w:rPr>
        <w:t>510</w:t>
      </w:r>
      <w:r>
        <w:rPr>
          <w:rFonts w:hint="eastAsia" w:ascii="Arial" w:hAnsi="Arial" w:eastAsia="宋体" w:cs="Arial"/>
          <w:b/>
          <w:bCs/>
          <w:color w:val="0000CC"/>
          <w:kern w:val="0"/>
          <w:szCs w:val="21"/>
          <w:u w:val="single"/>
        </w:rPr>
        <w:t>（</w:t>
      </w:r>
      <w:r>
        <w:rPr>
          <w:rFonts w:ascii="Arial" w:hAnsi="Arial" w:eastAsia="宋体" w:cs="Arial"/>
          <w:b/>
          <w:bCs/>
          <w:color w:val="0000CC"/>
          <w:kern w:val="0"/>
          <w:szCs w:val="21"/>
          <w:u w:val="single"/>
        </w:rPr>
        <w:t>k</w:t>
      </w:r>
      <w:r>
        <w:rPr>
          <w:rFonts w:hint="eastAsia" w:ascii="Arial" w:hAnsi="Arial" w:eastAsia="宋体" w:cs="Arial"/>
          <w:b/>
          <w:bCs/>
          <w:color w:val="0000CC"/>
          <w:kern w:val="0"/>
          <w:szCs w:val="21"/>
          <w:u w:val="single"/>
        </w:rPr>
        <w:t>）灭菌审查指南</w:t>
      </w:r>
      <w:r>
        <w:rPr>
          <w:rFonts w:ascii="Arial" w:hAnsi="Arial" w:eastAsia="宋体" w:cs="Arial"/>
          <w:b/>
          <w:bCs/>
          <w:color w:val="0000CC"/>
          <w:kern w:val="0"/>
          <w:szCs w:val="21"/>
          <w:u w:val="single"/>
        </w:rPr>
        <w:t>K90-1</w:t>
      </w:r>
    </w:p>
    <w:p w14:paraId="08D12160">
      <w:pPr>
        <w:pStyle w:val="28"/>
        <w:widowControl/>
        <w:numPr>
          <w:ilvl w:val="0"/>
          <w:numId w:val="19"/>
        </w:numPr>
        <w:shd w:val="clear" w:color="auto" w:fill="FFFFFF"/>
        <w:snapToGrid w:val="0"/>
        <w:spacing w:line="300" w:lineRule="auto"/>
        <w:ind w:firstLineChars="0"/>
        <w:rPr>
          <w:rFonts w:ascii="Arial" w:hAnsi="Arial" w:eastAsia="宋体" w:cs="Arial"/>
          <w:b/>
          <w:bCs/>
          <w:color w:val="0000CC"/>
          <w:kern w:val="0"/>
          <w:szCs w:val="21"/>
          <w:u w:val="single"/>
        </w:rPr>
      </w:pPr>
      <w:r>
        <w:rPr>
          <w:rFonts w:hint="eastAsia" w:ascii="Arial" w:hAnsi="Arial" w:eastAsia="宋体" w:cs="Arial"/>
          <w:b/>
          <w:bCs/>
          <w:color w:val="0000CC"/>
          <w:kern w:val="0"/>
          <w:szCs w:val="21"/>
          <w:u w:val="single"/>
        </w:rPr>
        <w:t>重大风险和非重大风险的医疗器械研究</w:t>
      </w:r>
    </w:p>
    <w:p w14:paraId="220D17B1">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333333"/>
          <w:kern w:val="0"/>
          <w:szCs w:val="21"/>
          <w:lang w:val="en"/>
        </w:rPr>
        <w:t>尽管510（k）许可不要求提供最终标签，但在将医疗器械引入州际贸易之前，最终标签必须符合21 CFR 第801部分的要求。此外，处方医疗器械的最终标签必须符合21 CFR 801.109的要求。本指导性文件中的标签建议符合第801部分的要求。</w:t>
      </w:r>
    </w:p>
    <w:p w14:paraId="1EEB7825">
      <w:pPr>
        <w:snapToGrid w:val="0"/>
        <w:spacing w:line="300" w:lineRule="auto"/>
        <w:rPr>
          <w:rFonts w:ascii="Arial" w:hAnsi="Arial" w:eastAsia="宋体" w:cs="Arial"/>
          <w:szCs w:val="21"/>
        </w:rPr>
      </w:pPr>
    </w:p>
    <w:p w14:paraId="4FE5CDDB">
      <w:pPr>
        <w:widowControl/>
        <w:shd w:val="clear" w:color="auto" w:fill="FFFFFF"/>
        <w:spacing w:before="236" w:after="118"/>
        <w:jc w:val="left"/>
        <w:outlineLvl w:val="0"/>
        <w:rPr>
          <w:rFonts w:hint="eastAsia" w:eastAsia="宋体"/>
          <w:lang w:eastAsia="zh-CN"/>
        </w:rPr>
      </w:pPr>
    </w:p>
    <w:p w14:paraId="0ABA5FC4">
      <w:pPr>
        <w:widowControl/>
        <w:shd w:val="clear" w:color="auto" w:fill="FFFFFF"/>
        <w:spacing w:before="236" w:after="118"/>
        <w:jc w:val="center"/>
        <w:outlineLvl w:val="0"/>
        <w:rPr>
          <w:rFonts w:hint="eastAsia" w:eastAsia="宋体"/>
          <w:lang w:eastAsia="zh-CN"/>
        </w:rPr>
      </w:pPr>
    </w:p>
    <w:p w14:paraId="275D12C2">
      <w:pPr>
        <w:widowControl/>
        <w:shd w:val="clear" w:color="auto" w:fill="FFFFFF"/>
        <w:spacing w:before="236" w:after="118"/>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4DC8"/>
    <w:multiLevelType w:val="multilevel"/>
    <w:tmpl w:val="03D64D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80E2595"/>
    <w:multiLevelType w:val="multilevel"/>
    <w:tmpl w:val="080E259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D20D07"/>
    <w:multiLevelType w:val="multilevel"/>
    <w:tmpl w:val="10D20D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242D6A"/>
    <w:multiLevelType w:val="multilevel"/>
    <w:tmpl w:val="12242D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58B20F7"/>
    <w:multiLevelType w:val="multilevel"/>
    <w:tmpl w:val="158B20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3943055"/>
    <w:multiLevelType w:val="multilevel"/>
    <w:tmpl w:val="239430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A2756D3"/>
    <w:multiLevelType w:val="multilevel"/>
    <w:tmpl w:val="2A2756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BF22BC8"/>
    <w:multiLevelType w:val="multilevel"/>
    <w:tmpl w:val="2BF22B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E233BEA"/>
    <w:multiLevelType w:val="multilevel"/>
    <w:tmpl w:val="2E233BE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BE50366"/>
    <w:multiLevelType w:val="multilevel"/>
    <w:tmpl w:val="3BE50366"/>
    <w:lvl w:ilvl="0" w:tentative="0">
      <w:start w:val="1"/>
      <w:numFmt w:val="decimal"/>
      <w:lvlText w:val="%1."/>
      <w:lvlJc w:val="left"/>
      <w:pPr>
        <w:tabs>
          <w:tab w:val="left" w:pos="720"/>
        </w:tabs>
        <w:ind w:left="720" w:hanging="36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8C72C78"/>
    <w:multiLevelType w:val="multilevel"/>
    <w:tmpl w:val="48C72C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A1B26E5"/>
    <w:multiLevelType w:val="multilevel"/>
    <w:tmpl w:val="4A1B26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DD535AB"/>
    <w:multiLevelType w:val="multilevel"/>
    <w:tmpl w:val="4DD535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2B033EB"/>
    <w:multiLevelType w:val="multilevel"/>
    <w:tmpl w:val="62B033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ACF5723"/>
    <w:multiLevelType w:val="multilevel"/>
    <w:tmpl w:val="6ACF5723"/>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EFE49EC"/>
    <w:multiLevelType w:val="multilevel"/>
    <w:tmpl w:val="6EFE49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3E143C9"/>
    <w:multiLevelType w:val="multilevel"/>
    <w:tmpl w:val="73E143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8117A96"/>
    <w:multiLevelType w:val="multilevel"/>
    <w:tmpl w:val="78117A96"/>
    <w:lvl w:ilvl="0" w:tentative="0">
      <w:start w:val="1"/>
      <w:numFmt w:val="decimal"/>
      <w:lvlText w:val="%1."/>
      <w:lvlJc w:val="left"/>
      <w:pPr>
        <w:ind w:left="420" w:hanging="420"/>
      </w:pPr>
      <w:rPr>
        <w:color w:val="005F9F"/>
        <w:u w:val="single"/>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96B4044"/>
    <w:multiLevelType w:val="multilevel"/>
    <w:tmpl w:val="796B40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2"/>
  </w:num>
  <w:num w:numId="2">
    <w:abstractNumId w:val="9"/>
  </w:num>
  <w:num w:numId="3">
    <w:abstractNumId w:val="8"/>
  </w:num>
  <w:num w:numId="4">
    <w:abstractNumId w:val="0"/>
  </w:num>
  <w:num w:numId="5">
    <w:abstractNumId w:val="11"/>
  </w:num>
  <w:num w:numId="6">
    <w:abstractNumId w:val="5"/>
  </w:num>
  <w:num w:numId="7">
    <w:abstractNumId w:val="18"/>
  </w:num>
  <w:num w:numId="8">
    <w:abstractNumId w:val="13"/>
  </w:num>
  <w:num w:numId="9">
    <w:abstractNumId w:val="16"/>
  </w:num>
  <w:num w:numId="10">
    <w:abstractNumId w:val="6"/>
  </w:num>
  <w:num w:numId="11">
    <w:abstractNumId w:val="15"/>
  </w:num>
  <w:num w:numId="12">
    <w:abstractNumId w:val="10"/>
  </w:num>
  <w:num w:numId="13">
    <w:abstractNumId w:val="4"/>
  </w:num>
  <w:num w:numId="14">
    <w:abstractNumId w:val="3"/>
  </w:num>
  <w:num w:numId="15">
    <w:abstractNumId w:val="7"/>
  </w:num>
  <w:num w:numId="16">
    <w:abstractNumId w:val="1"/>
  </w:num>
  <w:num w:numId="17">
    <w:abstractNumId w:val="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18"/>
    <w:rsid w:val="000008E1"/>
    <w:rsid w:val="00072EE9"/>
    <w:rsid w:val="000757C9"/>
    <w:rsid w:val="0009078F"/>
    <w:rsid w:val="0009433E"/>
    <w:rsid w:val="00095ACD"/>
    <w:rsid w:val="000F1503"/>
    <w:rsid w:val="0015132E"/>
    <w:rsid w:val="0015642C"/>
    <w:rsid w:val="00174493"/>
    <w:rsid w:val="00186B09"/>
    <w:rsid w:val="00197E36"/>
    <w:rsid w:val="001B5D67"/>
    <w:rsid w:val="001E6D81"/>
    <w:rsid w:val="002229BC"/>
    <w:rsid w:val="00254FD8"/>
    <w:rsid w:val="00256009"/>
    <w:rsid w:val="00262693"/>
    <w:rsid w:val="00276A14"/>
    <w:rsid w:val="00284FB7"/>
    <w:rsid w:val="002E00D6"/>
    <w:rsid w:val="00320A8C"/>
    <w:rsid w:val="00324DC2"/>
    <w:rsid w:val="00342AEA"/>
    <w:rsid w:val="003461C6"/>
    <w:rsid w:val="00370F6E"/>
    <w:rsid w:val="003C0F18"/>
    <w:rsid w:val="003E1A80"/>
    <w:rsid w:val="0041419D"/>
    <w:rsid w:val="00414500"/>
    <w:rsid w:val="00431DF5"/>
    <w:rsid w:val="00467962"/>
    <w:rsid w:val="00496AEA"/>
    <w:rsid w:val="004B5992"/>
    <w:rsid w:val="004B730D"/>
    <w:rsid w:val="004F4FBF"/>
    <w:rsid w:val="00500170"/>
    <w:rsid w:val="00525A95"/>
    <w:rsid w:val="005628AD"/>
    <w:rsid w:val="005736BF"/>
    <w:rsid w:val="0059469B"/>
    <w:rsid w:val="005A5CAD"/>
    <w:rsid w:val="005B4126"/>
    <w:rsid w:val="005D76DE"/>
    <w:rsid w:val="005F753B"/>
    <w:rsid w:val="00645EC5"/>
    <w:rsid w:val="00660CA1"/>
    <w:rsid w:val="00674CCB"/>
    <w:rsid w:val="00690749"/>
    <w:rsid w:val="006A2496"/>
    <w:rsid w:val="006F3714"/>
    <w:rsid w:val="00701B4C"/>
    <w:rsid w:val="0073673E"/>
    <w:rsid w:val="0074055D"/>
    <w:rsid w:val="00760350"/>
    <w:rsid w:val="00771054"/>
    <w:rsid w:val="007A322E"/>
    <w:rsid w:val="007A447C"/>
    <w:rsid w:val="007D291D"/>
    <w:rsid w:val="00852DE1"/>
    <w:rsid w:val="008641E1"/>
    <w:rsid w:val="008A52AB"/>
    <w:rsid w:val="008B2EC0"/>
    <w:rsid w:val="008C2FFA"/>
    <w:rsid w:val="008F06D2"/>
    <w:rsid w:val="0092538A"/>
    <w:rsid w:val="0093371E"/>
    <w:rsid w:val="0095717D"/>
    <w:rsid w:val="00973EA5"/>
    <w:rsid w:val="00A2573E"/>
    <w:rsid w:val="00A3636E"/>
    <w:rsid w:val="00AA04D1"/>
    <w:rsid w:val="00AA193E"/>
    <w:rsid w:val="00AC5E92"/>
    <w:rsid w:val="00AD50BA"/>
    <w:rsid w:val="00B25EFB"/>
    <w:rsid w:val="00B26468"/>
    <w:rsid w:val="00B61159"/>
    <w:rsid w:val="00B62F16"/>
    <w:rsid w:val="00B63C3B"/>
    <w:rsid w:val="00B64EF3"/>
    <w:rsid w:val="00B816B4"/>
    <w:rsid w:val="00B93F08"/>
    <w:rsid w:val="00BE0967"/>
    <w:rsid w:val="00BE4984"/>
    <w:rsid w:val="00CB5E03"/>
    <w:rsid w:val="00D12049"/>
    <w:rsid w:val="00D1380D"/>
    <w:rsid w:val="00D16864"/>
    <w:rsid w:val="00D3071E"/>
    <w:rsid w:val="00D63DDE"/>
    <w:rsid w:val="00D81A45"/>
    <w:rsid w:val="00DD20F5"/>
    <w:rsid w:val="00DD79B8"/>
    <w:rsid w:val="00DE7863"/>
    <w:rsid w:val="00DF4685"/>
    <w:rsid w:val="00E0701B"/>
    <w:rsid w:val="00E1182D"/>
    <w:rsid w:val="00E15031"/>
    <w:rsid w:val="00E33BEB"/>
    <w:rsid w:val="00E431D7"/>
    <w:rsid w:val="00E73898"/>
    <w:rsid w:val="00E74E4A"/>
    <w:rsid w:val="00EC57F6"/>
    <w:rsid w:val="00ED7D0C"/>
    <w:rsid w:val="00EE4882"/>
    <w:rsid w:val="00F003A3"/>
    <w:rsid w:val="00F14657"/>
    <w:rsid w:val="00F22FB4"/>
    <w:rsid w:val="00F8362E"/>
    <w:rsid w:val="00F90B0D"/>
    <w:rsid w:val="00FC34FC"/>
    <w:rsid w:val="0E6A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236" w:after="118"/>
      <w:jc w:val="left"/>
      <w:outlineLvl w:val="0"/>
    </w:pPr>
    <w:rPr>
      <w:rFonts w:ascii="Helvetica" w:hAnsi="Helvetica" w:eastAsia="宋体" w:cs="Helvetica"/>
      <w:b/>
      <w:bCs/>
      <w:color w:val="000000"/>
      <w:kern w:val="36"/>
      <w:sz w:val="60"/>
      <w:szCs w:val="60"/>
    </w:rPr>
  </w:style>
  <w:style w:type="paragraph" w:styleId="3">
    <w:name w:val="heading 2"/>
    <w:basedOn w:val="1"/>
    <w:link w:val="20"/>
    <w:qFormat/>
    <w:uiPriority w:val="9"/>
    <w:pPr>
      <w:keepNext/>
      <w:widowControl/>
      <w:spacing w:before="236" w:after="118"/>
      <w:jc w:val="left"/>
      <w:outlineLvl w:val="1"/>
    </w:pPr>
    <w:rPr>
      <w:rFonts w:ascii="Helvetica" w:hAnsi="Helvetica" w:eastAsia="宋体" w:cs="Helvetica"/>
      <w:b/>
      <w:bCs/>
      <w:color w:val="000000"/>
      <w:kern w:val="0"/>
      <w:sz w:val="42"/>
      <w:szCs w:val="42"/>
    </w:rPr>
  </w:style>
  <w:style w:type="paragraph" w:styleId="4">
    <w:name w:val="heading 3"/>
    <w:basedOn w:val="1"/>
    <w:link w:val="21"/>
    <w:qFormat/>
    <w:uiPriority w:val="9"/>
    <w:pPr>
      <w:keepNext/>
      <w:widowControl/>
      <w:spacing w:before="236" w:after="118"/>
      <w:jc w:val="left"/>
      <w:outlineLvl w:val="2"/>
    </w:pPr>
    <w:rPr>
      <w:rFonts w:ascii="Helvetica" w:hAnsi="Helvetica" w:eastAsia="宋体" w:cs="Helvetica"/>
      <w:b/>
      <w:bCs/>
      <w:color w:val="000000"/>
      <w:kern w:val="0"/>
      <w:sz w:val="32"/>
      <w:szCs w:val="32"/>
    </w:rPr>
  </w:style>
  <w:style w:type="paragraph" w:styleId="5">
    <w:name w:val="heading 4"/>
    <w:basedOn w:val="1"/>
    <w:link w:val="22"/>
    <w:qFormat/>
    <w:uiPriority w:val="9"/>
    <w:pPr>
      <w:widowControl/>
      <w:spacing w:before="236" w:after="118"/>
      <w:jc w:val="left"/>
      <w:outlineLvl w:val="3"/>
    </w:pPr>
    <w:rPr>
      <w:rFonts w:ascii="Helvetica" w:hAnsi="Helvetica" w:eastAsia="宋体" w:cs="Helvetica"/>
      <w:b/>
      <w:bCs/>
      <w:color w:val="000000"/>
      <w:kern w:val="0"/>
      <w:sz w:val="24"/>
      <w:szCs w:val="24"/>
    </w:rPr>
  </w:style>
  <w:style w:type="paragraph" w:styleId="6">
    <w:name w:val="heading 5"/>
    <w:basedOn w:val="1"/>
    <w:link w:val="23"/>
    <w:qFormat/>
    <w:uiPriority w:val="9"/>
    <w:pPr>
      <w:widowControl/>
      <w:spacing w:before="236" w:after="118"/>
      <w:jc w:val="left"/>
      <w:outlineLvl w:val="4"/>
    </w:pPr>
    <w:rPr>
      <w:rFonts w:ascii="Helvetica" w:hAnsi="Helvetica" w:eastAsia="宋体" w:cs="Helvetica"/>
      <w:b/>
      <w:bCs/>
      <w:color w:val="000000"/>
      <w:kern w:val="0"/>
      <w:sz w:val="24"/>
      <w:szCs w:val="2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Body Text"/>
    <w:basedOn w:val="1"/>
    <w:link w:val="29"/>
    <w:qFormat/>
    <w:uiPriority w:val="1"/>
    <w:pPr>
      <w:ind w:left="119"/>
      <w:jc w:val="left"/>
    </w:pPr>
    <w:rPr>
      <w:rFonts w:ascii="Times New Roman" w:hAnsi="Times New Roman" w:eastAsia="Times New Roman"/>
      <w:kern w:val="0"/>
      <w:sz w:val="24"/>
      <w:szCs w:val="24"/>
      <w:lang w:eastAsia="en-US"/>
    </w:rPr>
  </w:style>
  <w:style w:type="paragraph" w:styleId="8">
    <w:name w:val="Balloon Text"/>
    <w:basedOn w:val="1"/>
    <w:link w:val="27"/>
    <w:semiHidden/>
    <w:unhideWhenUsed/>
    <w:uiPriority w:val="99"/>
    <w:rPr>
      <w:sz w:val="18"/>
      <w:szCs w:val="18"/>
    </w:rPr>
  </w:style>
  <w:style w:type="paragraph" w:styleId="9">
    <w:name w:val="footer"/>
    <w:basedOn w:val="1"/>
    <w:link w:val="18"/>
    <w:semiHidden/>
    <w:unhideWhenUsed/>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widowControl/>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qFormat/>
    <w:uiPriority w:val="99"/>
    <w:rPr>
      <w:b/>
      <w:bCs/>
      <w:color w:val="0000CC"/>
      <w:u w:val="single"/>
    </w:rPr>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uiPriority w:val="99"/>
    <w:rPr>
      <w:sz w:val="18"/>
      <w:szCs w:val="18"/>
    </w:rPr>
  </w:style>
  <w:style w:type="character" w:customStyle="1" w:styleId="19">
    <w:name w:val="标题 1 Char"/>
    <w:basedOn w:val="13"/>
    <w:link w:val="2"/>
    <w:uiPriority w:val="9"/>
    <w:rPr>
      <w:rFonts w:ascii="Helvetica" w:hAnsi="Helvetica" w:eastAsia="宋体" w:cs="Helvetica"/>
      <w:b/>
      <w:bCs/>
      <w:color w:val="000000"/>
      <w:kern w:val="36"/>
      <w:sz w:val="60"/>
      <w:szCs w:val="60"/>
    </w:rPr>
  </w:style>
  <w:style w:type="character" w:customStyle="1" w:styleId="20">
    <w:name w:val="标题 2 Char"/>
    <w:basedOn w:val="13"/>
    <w:link w:val="3"/>
    <w:uiPriority w:val="9"/>
    <w:rPr>
      <w:rFonts w:ascii="Helvetica" w:hAnsi="Helvetica" w:eastAsia="宋体" w:cs="Helvetica"/>
      <w:b/>
      <w:bCs/>
      <w:color w:val="000000"/>
      <w:kern w:val="0"/>
      <w:sz w:val="42"/>
      <w:szCs w:val="42"/>
    </w:rPr>
  </w:style>
  <w:style w:type="character" w:customStyle="1" w:styleId="21">
    <w:name w:val="标题 3 Char"/>
    <w:basedOn w:val="13"/>
    <w:link w:val="4"/>
    <w:uiPriority w:val="9"/>
    <w:rPr>
      <w:rFonts w:ascii="Helvetica" w:hAnsi="Helvetica" w:eastAsia="宋体" w:cs="Helvetica"/>
      <w:b/>
      <w:bCs/>
      <w:color w:val="000000"/>
      <w:kern w:val="0"/>
      <w:sz w:val="32"/>
      <w:szCs w:val="32"/>
    </w:rPr>
  </w:style>
  <w:style w:type="character" w:customStyle="1" w:styleId="22">
    <w:name w:val="标题 4 Char"/>
    <w:basedOn w:val="13"/>
    <w:link w:val="5"/>
    <w:uiPriority w:val="9"/>
    <w:rPr>
      <w:rFonts w:ascii="Helvetica" w:hAnsi="Helvetica" w:eastAsia="宋体" w:cs="Helvetica"/>
      <w:b/>
      <w:bCs/>
      <w:color w:val="000000"/>
      <w:kern w:val="0"/>
      <w:sz w:val="24"/>
      <w:szCs w:val="24"/>
    </w:rPr>
  </w:style>
  <w:style w:type="character" w:customStyle="1" w:styleId="23">
    <w:name w:val="标题 5 Char"/>
    <w:basedOn w:val="13"/>
    <w:link w:val="6"/>
    <w:uiPriority w:val="9"/>
    <w:rPr>
      <w:rFonts w:ascii="Helvetica" w:hAnsi="Helvetica" w:eastAsia="宋体" w:cs="Helvetica"/>
      <w:b/>
      <w:bCs/>
      <w:color w:val="000000"/>
      <w:kern w:val="0"/>
      <w:sz w:val="24"/>
      <w:szCs w:val="24"/>
    </w:rPr>
  </w:style>
  <w:style w:type="paragraph" w:customStyle="1" w:styleId="24">
    <w:name w:val="text-right"/>
    <w:basedOn w:val="1"/>
    <w:qFormat/>
    <w:uiPriority w:val="0"/>
    <w:pPr>
      <w:widowControl/>
      <w:jc w:val="right"/>
    </w:pPr>
    <w:rPr>
      <w:rFonts w:ascii="宋体" w:hAnsi="宋体" w:eastAsia="宋体" w:cs="宋体"/>
      <w:kern w:val="0"/>
      <w:sz w:val="24"/>
      <w:szCs w:val="24"/>
    </w:rPr>
  </w:style>
  <w:style w:type="paragraph" w:customStyle="1" w:styleId="25">
    <w:name w:val="nudge-right"/>
    <w:basedOn w:val="1"/>
    <w:uiPriority w:val="0"/>
    <w:pPr>
      <w:widowControl/>
      <w:ind w:left="600"/>
      <w:jc w:val="left"/>
    </w:pPr>
    <w:rPr>
      <w:rFonts w:ascii="宋体" w:hAnsi="宋体" w:eastAsia="宋体" w:cs="宋体"/>
      <w:kern w:val="0"/>
      <w:sz w:val="24"/>
      <w:szCs w:val="24"/>
    </w:rPr>
  </w:style>
  <w:style w:type="character" w:customStyle="1" w:styleId="26">
    <w:name w:val="sr-only1"/>
    <w:basedOn w:val="13"/>
    <w:uiPriority w:val="0"/>
    <w:rPr>
      <w:vanish/>
      <w:color w:val="000000"/>
    </w:rPr>
  </w:style>
  <w:style w:type="character" w:customStyle="1" w:styleId="27">
    <w:name w:val="批注框文本 Char"/>
    <w:basedOn w:val="13"/>
    <w:link w:val="8"/>
    <w:semiHidden/>
    <w:uiPriority w:val="99"/>
    <w:rPr>
      <w:sz w:val="18"/>
      <w:szCs w:val="18"/>
    </w:rPr>
  </w:style>
  <w:style w:type="paragraph" w:styleId="28">
    <w:name w:val="List Paragraph"/>
    <w:basedOn w:val="1"/>
    <w:qFormat/>
    <w:uiPriority w:val="34"/>
    <w:pPr>
      <w:ind w:firstLine="420" w:firstLineChars="200"/>
    </w:pPr>
  </w:style>
  <w:style w:type="character" w:customStyle="1" w:styleId="29">
    <w:name w:val="正文文本 Char"/>
    <w:basedOn w:val="13"/>
    <w:link w:val="7"/>
    <w:uiPriority w:val="1"/>
    <w:rPr>
      <w:rFonts w:ascii="Times New Roman" w:hAnsi="Times New Roman" w:eastAsia="Times New Roman"/>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8495</Words>
  <Characters>9307</Characters>
  <Lines>110</Lines>
  <Paragraphs>31</Paragraphs>
  <TotalTime>1</TotalTime>
  <ScaleCrop>false</ScaleCrop>
  <LinksUpToDate>false</LinksUpToDate>
  <CharactersWithSpaces>9403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2017-06-08T08:35:00Z</dcterms:created>
  <dc:creator>Windows 用户</dc:creator>
  <cp:lastModifiedBy>太极箫客</cp:lastModifiedBy>
  <dcterms:modified xsi:type="dcterms:W3CDTF">2025-08-14T06:15:08Z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2BCF7A40DE75462EAD2AEAD71125A76A_12</vt:lpwstr>
  </property>
</Properties>
</file>