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9C27">
      <w:pPr>
        <w:spacing w:line="312" w:lineRule="auto"/>
        <w:jc w:val="center"/>
        <w:rPr>
          <w:rFonts w:ascii="Arial" w:hAnsi="Arial" w:eastAsia="宋体" w:cs="Arial"/>
          <w:b/>
          <w:sz w:val="72"/>
          <w:szCs w:val="72"/>
        </w:rPr>
      </w:pPr>
      <w:bookmarkStart w:id="68" w:name="_GoBack"/>
      <w:bookmarkEnd w:id="68"/>
      <w:r>
        <w:rPr>
          <w:rFonts w:hint="eastAsia" w:ascii="Arial" w:hAnsi="Arial" w:eastAsia="宋体" w:cs="Arial"/>
          <w:b/>
          <w:sz w:val="72"/>
          <w:szCs w:val="72"/>
        </w:rPr>
        <w:t>一般外科用电外科设备上市前</w:t>
      </w:r>
      <w:r>
        <w:rPr>
          <w:rFonts w:ascii="Arial" w:hAnsi="Arial" w:eastAsia="宋体" w:cs="Arial"/>
          <w:b/>
          <w:sz w:val="72"/>
          <w:szCs w:val="72"/>
        </w:rPr>
        <w:br w:type="textWrapping"/>
      </w:r>
      <w:r>
        <w:rPr>
          <w:rFonts w:hint="eastAsia" w:ascii="Arial" w:hAnsi="Arial" w:eastAsia="宋体" w:cs="Arial"/>
          <w:b/>
          <w:sz w:val="72"/>
          <w:szCs w:val="72"/>
        </w:rPr>
        <w:t>通知</w:t>
      </w:r>
      <w:r>
        <w:rPr>
          <w:rFonts w:ascii="Arial" w:hAnsi="Arial" w:eastAsia="宋体" w:cs="Arial"/>
          <w:b/>
          <w:sz w:val="72"/>
          <w:szCs w:val="72"/>
        </w:rPr>
        <w:t>510(k)</w:t>
      </w:r>
      <w:r>
        <w:rPr>
          <w:rFonts w:hint="eastAsia" w:ascii="Arial" w:hAnsi="Arial" w:eastAsia="宋体" w:cs="Arial"/>
          <w:b/>
          <w:sz w:val="72"/>
          <w:szCs w:val="72"/>
        </w:rPr>
        <w:t>递交要求</w:t>
      </w:r>
    </w:p>
    <w:p w14:paraId="62048F8C">
      <w:pPr>
        <w:spacing w:line="312" w:lineRule="auto"/>
        <w:jc w:val="center"/>
        <w:rPr>
          <w:rFonts w:ascii="Arial" w:hAnsi="Arial" w:eastAsia="宋体" w:cs="Arial"/>
          <w:b/>
          <w:sz w:val="48"/>
          <w:szCs w:val="48"/>
        </w:rPr>
      </w:pPr>
      <w:r>
        <w:rPr>
          <w:rFonts w:ascii="Arial" w:hAnsi="Arial" w:eastAsia="宋体" w:cs="Arial"/>
          <w:b/>
          <w:sz w:val="48"/>
          <w:szCs w:val="4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287655</wp:posOffset>
                </wp:positionV>
                <wp:extent cx="60579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22.65pt;height:0pt;width:477pt;z-index:251659264;mso-width-relative:page;mso-height-relative:page;" filled="f" stroked="t" coordsize="21600,21600" o:gfxdata="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udRP1AAAAAcBAAAPAAAA&#10;AAAAAAEAIAAAACIAAABkcnMvZG93bnJldi54bWxQSwECFAAUAAAACACHTuJAY4pH4uABAACxAwAA&#10;DgAAAAAAAAABACAAAAAjAQAAZHJzL2Uyb0RvYy54bWxQSwUGAAAAAAYABgBZAQAAdQUAAAAA&#10;">
                <v:fill on="f" focussize="0,0"/>
                <v:stroke weight="0.5pt" color="#000000 [3213]" miterlimit="8" joinstyle="miter"/>
                <v:imagedata o:title=""/>
                <o:lock v:ext="edit" aspectratio="f"/>
              </v:line>
            </w:pict>
          </mc:Fallback>
        </mc:AlternateContent>
      </w:r>
    </w:p>
    <w:p w14:paraId="627F3C35">
      <w:pPr>
        <w:spacing w:line="312" w:lineRule="auto"/>
        <w:jc w:val="center"/>
        <w:rPr>
          <w:rFonts w:ascii="Arial" w:hAnsi="Arial" w:eastAsia="宋体" w:cs="Arial"/>
          <w:b/>
          <w:sz w:val="48"/>
          <w:szCs w:val="48"/>
        </w:rPr>
      </w:pPr>
      <w:r>
        <w:rPr>
          <w:rFonts w:ascii="Arial" w:hAnsi="Arial" w:eastAsia="宋体" w:cs="Arial"/>
          <w:b/>
          <w:sz w:val="48"/>
          <w:szCs w:val="48"/>
        </w:rPr>
        <w:t>行业与FDA工作人员指南</w:t>
      </w:r>
    </w:p>
    <w:p w14:paraId="2D99F26C">
      <w:pPr>
        <w:spacing w:line="312" w:lineRule="auto"/>
        <w:rPr>
          <w:rFonts w:ascii="Arial" w:hAnsi="Arial" w:eastAsia="宋体" w:cs="Arial"/>
        </w:rPr>
      </w:pPr>
    </w:p>
    <w:p w14:paraId="3069FE6B">
      <w:pPr>
        <w:tabs>
          <w:tab w:val="left" w:pos="6521"/>
        </w:tabs>
        <w:spacing w:after="156" w:afterLines="50" w:line="312" w:lineRule="auto"/>
        <w:jc w:val="center"/>
        <w:rPr>
          <w:rFonts w:ascii="Arial" w:hAnsi="Arial" w:eastAsia="宋体" w:cs="Arial"/>
        </w:rPr>
      </w:pPr>
      <w:r>
        <w:rPr>
          <w:rFonts w:ascii="Arial" w:hAnsi="Arial" w:eastAsia="宋体" w:cs="Arial"/>
        </w:rPr>
        <w:t>文件发布于2016年8月15日</w:t>
      </w:r>
    </w:p>
    <w:p w14:paraId="2F5DAD0F">
      <w:pPr>
        <w:tabs>
          <w:tab w:val="left" w:pos="6521"/>
        </w:tabs>
        <w:spacing w:after="156" w:afterLines="50" w:line="312" w:lineRule="auto"/>
        <w:jc w:val="center"/>
        <w:rPr>
          <w:rFonts w:ascii="Arial" w:hAnsi="Arial" w:eastAsia="宋体" w:cs="Arial"/>
        </w:rPr>
      </w:pPr>
      <w:r>
        <w:rPr>
          <w:rFonts w:ascii="Arial" w:hAnsi="Arial" w:eastAsia="宋体" w:cs="Arial"/>
        </w:rPr>
        <w:t>本文件草案发布于2014年3月24日</w:t>
      </w:r>
    </w:p>
    <w:p w14:paraId="6FB23D43">
      <w:pPr>
        <w:spacing w:line="312" w:lineRule="auto"/>
        <w:jc w:val="center"/>
        <w:rPr>
          <w:rFonts w:ascii="Arial" w:hAnsi="Arial" w:eastAsia="宋体" w:cs="Arial"/>
        </w:rPr>
      </w:pPr>
    </w:p>
    <w:p w14:paraId="742F0B7B">
      <w:pPr>
        <w:spacing w:line="312" w:lineRule="auto"/>
        <w:jc w:val="center"/>
        <w:rPr>
          <w:rFonts w:ascii="Arial" w:hAnsi="Arial" w:eastAsia="宋体" w:cs="Arial"/>
        </w:rPr>
      </w:pPr>
      <w:r>
        <w:rPr>
          <w:rFonts w:ascii="Arial" w:hAnsi="Arial" w:eastAsia="宋体" w:cs="Arial"/>
        </w:rPr>
        <w:t>关于本文件中的问题，请联系一般外科器械2部，电话：301-796-6970</w:t>
      </w:r>
    </w:p>
    <w:p w14:paraId="68AE50CF">
      <w:pPr>
        <w:spacing w:line="312" w:lineRule="auto"/>
        <w:rPr>
          <w:rFonts w:ascii="Arial" w:hAnsi="Arial" w:eastAsia="宋体" w:cs="Arial"/>
        </w:rPr>
      </w:pPr>
    </w:p>
    <w:p w14:paraId="0707166B">
      <w:pPr>
        <w:spacing w:line="312" w:lineRule="auto"/>
        <w:rPr>
          <w:rFonts w:ascii="Arial" w:hAnsi="Arial" w:eastAsia="宋体" w:cs="Arial"/>
        </w:rPr>
      </w:pPr>
    </w:p>
    <w:p w14:paraId="0EE1005E">
      <w:pPr>
        <w:spacing w:line="312" w:lineRule="auto"/>
        <w:rPr>
          <w:rFonts w:ascii="Arial" w:hAnsi="Arial" w:eastAsia="宋体" w:cs="Arial"/>
        </w:rPr>
      </w:pPr>
    </w:p>
    <w:p w14:paraId="06A95A53">
      <w:pPr>
        <w:spacing w:line="312" w:lineRule="auto"/>
        <w:rPr>
          <w:rFonts w:ascii="Arial" w:hAnsi="Arial" w:eastAsia="宋体" w:cs="Arial"/>
        </w:rPr>
      </w:pPr>
    </w:p>
    <w:p w14:paraId="0D2D0640">
      <w:pPr>
        <w:spacing w:line="312" w:lineRule="auto"/>
        <w:rPr>
          <w:rFonts w:ascii="Arial" w:hAnsi="Arial" w:eastAsia="宋体" w:cs="Arial"/>
        </w:rPr>
      </w:pPr>
    </w:p>
    <w:p w14:paraId="254D11FB">
      <w:pPr>
        <w:spacing w:line="312" w:lineRule="auto"/>
        <w:rPr>
          <w:rFonts w:ascii="Arial" w:hAnsi="Arial" w:eastAsia="宋体" w:cs="Arial"/>
        </w:rPr>
      </w:pPr>
    </w:p>
    <w:p w14:paraId="6DE9C3D8">
      <w:pPr>
        <w:spacing w:line="312" w:lineRule="auto"/>
        <w:rPr>
          <w:rFonts w:ascii="Arial" w:hAnsi="Arial" w:eastAsia="宋体" w:cs="Arial"/>
        </w:rPr>
      </w:pPr>
    </w:p>
    <w:p w14:paraId="7E7DAEF1">
      <w:pPr>
        <w:spacing w:line="312" w:lineRule="auto"/>
        <w:rPr>
          <w:rFonts w:ascii="Arial" w:hAnsi="Arial" w:eastAsia="宋体" w:cs="Arial"/>
        </w:rPr>
      </w:pPr>
    </w:p>
    <w:p w14:paraId="5ADD3562">
      <w:pPr>
        <w:spacing w:line="312" w:lineRule="auto"/>
        <w:rPr>
          <w:rFonts w:ascii="Arial" w:hAnsi="Arial" w:eastAsia="宋体" w:cs="Arial"/>
        </w:rPr>
      </w:pPr>
    </w:p>
    <w:p w14:paraId="53D5A062">
      <w:pPr>
        <w:spacing w:line="312" w:lineRule="auto"/>
        <w:rPr>
          <w:rFonts w:ascii="Arial" w:hAnsi="Arial" w:eastAsia="宋体" w:cs="Arial"/>
        </w:rPr>
      </w:pPr>
    </w:p>
    <w:p w14:paraId="3A2E0259">
      <w:pPr>
        <w:spacing w:line="312" w:lineRule="auto"/>
        <w:rPr>
          <w:rFonts w:ascii="Arial" w:hAnsi="Arial" w:eastAsia="宋体" w:cs="Arial"/>
        </w:rPr>
      </w:pPr>
    </w:p>
    <w:p w14:paraId="72937626">
      <w:pPr>
        <w:spacing w:line="312" w:lineRule="auto"/>
        <w:rPr>
          <w:rFonts w:ascii="Arial" w:hAnsi="Arial" w:eastAsia="宋体" w:cs="Arial"/>
        </w:rPr>
      </w:pPr>
    </w:p>
    <w:p w14:paraId="783AD0D8">
      <w:pPr>
        <w:spacing w:line="312" w:lineRule="auto"/>
        <w:rPr>
          <w:rFonts w:ascii="Arial" w:hAnsi="Arial" w:eastAsia="宋体" w:cs="Arial"/>
        </w:rPr>
      </w:pPr>
    </w:p>
    <w:p w14:paraId="3E0FF228">
      <w:pPr>
        <w:spacing w:line="312" w:lineRule="auto"/>
        <w:rPr>
          <w:rFonts w:ascii="Arial" w:hAnsi="Arial" w:eastAsia="宋体" w:cs="Arial"/>
        </w:rPr>
      </w:pPr>
    </w:p>
    <w:p w14:paraId="6402DE62">
      <w:pPr>
        <w:spacing w:line="312" w:lineRule="auto"/>
        <w:rPr>
          <w:rFonts w:ascii="Arial" w:hAnsi="Arial" w:eastAsia="宋体" w:cs="Arial"/>
        </w:rPr>
      </w:pPr>
    </w:p>
    <w:p w14:paraId="4191D419">
      <w:pPr>
        <w:spacing w:line="312" w:lineRule="auto"/>
        <w:rPr>
          <w:rFonts w:ascii="Arial" w:hAnsi="Arial" w:eastAsia="宋体" w:cs="Arial"/>
        </w:rPr>
      </w:pPr>
    </w:p>
    <w:p w14:paraId="30FCACA6">
      <w:pPr>
        <w:spacing w:line="312" w:lineRule="auto"/>
        <w:jc w:val="right"/>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97155</wp:posOffset>
                </wp:positionV>
                <wp:extent cx="1781175" cy="1114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81175"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BCDE5A">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7.65pt;height:87.75pt;width:140.25pt;z-index:251660288;mso-width-relative:page;mso-height-relative:page;" filled="f" stroked="f" coordsize="21600,21600" o:gfxdata="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wySftoAAAAJAQAADwAAAAAAAAABACAAAAAi&#10;AAAAZHJzL2Rvd25yZXYueG1sUEsBAhQAFAAAAAgAh07iQHasuy1BAgAAdQQAAA4AAAAAAAAAAQAg&#10;AAAAKQEAAGRycy9lMm9Eb2MueG1sUEsFBgAAAAAGAAYAWQEAANwFAAAAAA==&#10;">
                <v:fill on="f" focussize="0,0"/>
                <v:stroke on="f" weight="0.5pt"/>
                <v:imagedata o:title=""/>
                <o:lock v:ext="edit" aspectratio="f"/>
                <v:textbox>
                  <w:txbxContent>
                    <w:p w14:paraId="42BCDE5A">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v:textbox>
              </v:shape>
            </w:pict>
          </mc:Fallback>
        </mc:AlternateContent>
      </w:r>
      <w:r>
        <w:rPr>
          <w:rFonts w:ascii="Arial" w:hAnsi="Arial" w:eastAsia="宋体" w:cs="Arial"/>
        </w:rPr>
        <w:t>美国健康与人类服务署</w:t>
      </w:r>
    </w:p>
    <w:p w14:paraId="2459616D">
      <w:pPr>
        <w:spacing w:line="312" w:lineRule="auto"/>
        <w:jc w:val="right"/>
        <w:rPr>
          <w:rFonts w:ascii="Arial" w:hAnsi="Arial" w:eastAsia="宋体" w:cs="Arial"/>
        </w:rPr>
      </w:pPr>
      <w:r>
        <w:rPr>
          <w:rFonts w:ascii="Arial" w:hAnsi="Arial" w:eastAsia="宋体" w:cs="Arial"/>
        </w:rPr>
        <w:t>食品与药品监督管理局</w:t>
      </w:r>
    </w:p>
    <w:p w14:paraId="16D8B727">
      <w:pPr>
        <w:spacing w:line="312" w:lineRule="auto"/>
        <w:jc w:val="right"/>
        <w:rPr>
          <w:rFonts w:ascii="Arial" w:hAnsi="Arial" w:eastAsia="宋体" w:cs="Arial"/>
        </w:rPr>
      </w:pPr>
      <w:r>
        <w:rPr>
          <w:rFonts w:ascii="Arial" w:hAnsi="Arial" w:eastAsia="宋体" w:cs="Arial"/>
        </w:rPr>
        <w:t>医疗器械与辐射健康中心</w:t>
      </w:r>
    </w:p>
    <w:p w14:paraId="0C0E3BC9">
      <w:pPr>
        <w:spacing w:line="312" w:lineRule="auto"/>
        <w:jc w:val="right"/>
        <w:rPr>
          <w:rFonts w:ascii="Arial" w:hAnsi="Arial" w:eastAsia="宋体" w:cs="Arial"/>
        </w:rPr>
      </w:pPr>
      <w:r>
        <w:rPr>
          <w:rFonts w:ascii="Arial" w:hAnsi="Arial" w:eastAsia="宋体" w:cs="Arial"/>
        </w:rPr>
        <w:t>医疗器械评估办公室</w:t>
      </w:r>
    </w:p>
    <w:p w14:paraId="180491AB">
      <w:pPr>
        <w:spacing w:line="312" w:lineRule="auto"/>
        <w:jc w:val="right"/>
        <w:rPr>
          <w:rFonts w:ascii="Arial" w:hAnsi="Arial" w:eastAsia="宋体" w:cs="Arial"/>
        </w:rPr>
      </w:pPr>
      <w:r>
        <w:rPr>
          <w:rFonts w:ascii="Arial" w:hAnsi="Arial" w:eastAsia="宋体" w:cs="Arial"/>
        </w:rPr>
        <w:t>手术器械部</w:t>
      </w:r>
    </w:p>
    <w:p w14:paraId="400447FC">
      <w:pPr>
        <w:spacing w:line="312" w:lineRule="auto"/>
        <w:jc w:val="right"/>
        <w:rPr>
          <w:rFonts w:ascii="Arial" w:hAnsi="Arial" w:eastAsia="宋体" w:cs="Arial"/>
        </w:rPr>
        <w:sectPr>
          <w:footerReference r:id="rId3" w:type="default"/>
          <w:pgSz w:w="11906" w:h="16838"/>
          <w:pgMar w:top="1134" w:right="1134" w:bottom="1134" w:left="1134" w:header="720" w:footer="720" w:gutter="0"/>
          <w:pgNumType w:fmt="lowerRoman"/>
          <w:cols w:space="720" w:num="1"/>
          <w:docGrid w:type="lines" w:linePitch="312" w:charSpace="0"/>
        </w:sectPr>
      </w:pPr>
      <w:bookmarkStart w:id="0" w:name="OLE_LINK23"/>
      <w:bookmarkStart w:id="1" w:name="OLE_LINK24"/>
      <w:r>
        <w:rPr>
          <w:rFonts w:ascii="Arial" w:hAnsi="Arial" w:eastAsia="宋体" w:cs="Arial"/>
        </w:rPr>
        <w:t>一般外科手术2部</w:t>
      </w:r>
    </w:p>
    <w:bookmarkEnd w:id="0"/>
    <w:bookmarkEnd w:id="1"/>
    <w:p w14:paraId="0136FAD2">
      <w:pPr>
        <w:spacing w:line="312" w:lineRule="auto"/>
        <w:rPr>
          <w:rFonts w:ascii="Arial" w:hAnsi="Arial" w:eastAsia="宋体" w:cs="Arial"/>
          <w:b/>
          <w:sz w:val="36"/>
          <w:szCs w:val="36"/>
        </w:rPr>
      </w:pPr>
      <w:r>
        <w:rPr>
          <w:rFonts w:ascii="Arial" w:hAnsi="Arial" w:eastAsia="宋体" w:cs="Arial"/>
          <w:b/>
          <w:sz w:val="36"/>
          <w:szCs w:val="36"/>
        </w:rPr>
        <w:t>前言</w:t>
      </w:r>
    </w:p>
    <w:p w14:paraId="4AAAAC29">
      <w:pPr>
        <w:spacing w:line="312" w:lineRule="auto"/>
        <w:rPr>
          <w:rFonts w:ascii="Arial" w:hAnsi="Arial" w:eastAsia="宋体" w:cs="Arial"/>
        </w:rPr>
      </w:pPr>
    </w:p>
    <w:p w14:paraId="1CA22E88">
      <w:pPr>
        <w:spacing w:line="312" w:lineRule="auto"/>
        <w:rPr>
          <w:rFonts w:ascii="Arial" w:hAnsi="Arial" w:eastAsia="宋体" w:cs="Arial"/>
          <w:b/>
          <w:sz w:val="24"/>
          <w:szCs w:val="24"/>
        </w:rPr>
      </w:pPr>
      <w:r>
        <w:rPr>
          <w:rFonts w:ascii="Arial" w:hAnsi="Arial" w:eastAsia="宋体" w:cs="Arial"/>
          <w:b/>
          <w:sz w:val="24"/>
          <w:szCs w:val="24"/>
        </w:rPr>
        <w:t>公众评论</w:t>
      </w:r>
    </w:p>
    <w:p w14:paraId="28EE6DA5">
      <w:pPr>
        <w:spacing w:line="312" w:lineRule="auto"/>
        <w:rPr>
          <w:rFonts w:ascii="Arial" w:hAnsi="Arial" w:eastAsia="宋体" w:cs="Arial"/>
          <w:szCs w:val="21"/>
        </w:rPr>
      </w:pPr>
      <w:r>
        <w:rPr>
          <w:rFonts w:ascii="Arial" w:hAnsi="Arial" w:eastAsia="宋体" w:cs="Arial"/>
          <w:szCs w:val="21"/>
        </w:rPr>
        <w:t>您可以在任何时间通过网站</w:t>
      </w:r>
      <w:r>
        <w:rPr>
          <w:color w:val="0000FF"/>
          <w:szCs w:val="21"/>
          <w:u w:val="single"/>
        </w:rPr>
        <w:t>http://www.regulations.gov</w:t>
      </w:r>
      <w:r>
        <w:rPr>
          <w:rFonts w:ascii="Arial" w:hAnsi="Arial" w:eastAsia="宋体" w:cs="Arial"/>
          <w:szCs w:val="21"/>
        </w:rPr>
        <w:t>向机构提交评论或建议。书面评论请寄至食品与药品监督管理局文件管理部（5630 Fishers Lane, Room 1061, (HFA-305), Rockville, MD 20852）。所有的评论请标记文件编号为FDA-2014-D-0218。在文件下次修订或更新前机构不会针对评论作出回应。</w:t>
      </w:r>
    </w:p>
    <w:p w14:paraId="515C5E9E">
      <w:pPr>
        <w:spacing w:line="312" w:lineRule="auto"/>
        <w:rPr>
          <w:rFonts w:ascii="Arial" w:hAnsi="Arial" w:eastAsia="宋体" w:cs="Arial"/>
        </w:rPr>
      </w:pPr>
    </w:p>
    <w:p w14:paraId="5777EA68">
      <w:pPr>
        <w:spacing w:line="312" w:lineRule="auto"/>
        <w:rPr>
          <w:rFonts w:ascii="Arial" w:hAnsi="Arial" w:eastAsia="宋体" w:cs="Arial"/>
          <w:b/>
          <w:sz w:val="24"/>
          <w:szCs w:val="24"/>
        </w:rPr>
      </w:pPr>
      <w:r>
        <w:rPr>
          <w:rFonts w:ascii="Arial" w:hAnsi="Arial" w:eastAsia="宋体" w:cs="Arial"/>
          <w:b/>
          <w:sz w:val="24"/>
          <w:szCs w:val="24"/>
        </w:rPr>
        <w:t>其他副本</w:t>
      </w:r>
    </w:p>
    <w:p w14:paraId="16933EDB">
      <w:pPr>
        <w:spacing w:line="312" w:lineRule="auto"/>
        <w:rPr>
          <w:rFonts w:ascii="Arial" w:hAnsi="Arial" w:eastAsia="宋体" w:cs="Arial"/>
          <w:szCs w:val="21"/>
        </w:rPr>
        <w:sectPr>
          <w:headerReference r:id="rId4" w:type="default"/>
          <w:footerReference r:id="rId5" w:type="default"/>
          <w:pgSz w:w="11906" w:h="16838"/>
          <w:pgMar w:top="1134" w:right="1134" w:bottom="1134" w:left="1134" w:header="720" w:footer="720" w:gutter="0"/>
          <w:pgNumType w:fmt="lowerRoman"/>
          <w:cols w:space="720" w:num="1"/>
          <w:docGrid w:type="lines" w:linePitch="312" w:charSpace="0"/>
        </w:sectPr>
      </w:pPr>
      <w:r>
        <w:rPr>
          <w:rFonts w:ascii="Arial" w:hAnsi="Arial" w:eastAsia="宋体" w:cs="Arial"/>
          <w:szCs w:val="21"/>
        </w:rPr>
        <w:t>其他副本可从网上下载。你也可以发送请求邮件至</w:t>
      </w:r>
      <w:r>
        <w:rPr>
          <w:color w:val="0070C0"/>
          <w:szCs w:val="21"/>
          <w:u w:val="single"/>
        </w:rPr>
        <w:t>CDRH-Guidance@fda.hhs.gov</w:t>
      </w:r>
      <w:r>
        <w:rPr>
          <w:rFonts w:ascii="Arial" w:hAnsi="Arial" w:eastAsia="宋体" w:cs="Arial"/>
          <w:szCs w:val="21"/>
        </w:rPr>
        <w:t>以获取指导文件副本。请使用文件编号1300048以确认您请求的指南。</w:t>
      </w:r>
    </w:p>
    <w:sdt>
      <w:sdtPr>
        <w:rPr>
          <w:rFonts w:ascii="宋体" w:hAnsi="宋体" w:eastAsia="宋体" w:cstheme="minorBidi"/>
          <w:b/>
          <w:color w:val="auto"/>
          <w:kern w:val="2"/>
          <w:sz w:val="36"/>
          <w:szCs w:val="36"/>
          <w:lang w:val="zh-CN"/>
        </w:rPr>
        <w:id w:val="-198006366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469D646">
          <w:pPr>
            <w:pStyle w:val="19"/>
            <w:jc w:val="center"/>
            <w:rPr>
              <w:rFonts w:ascii="宋体" w:hAnsi="宋体" w:eastAsia="宋体"/>
              <w:b/>
              <w:color w:val="auto"/>
              <w:sz w:val="36"/>
              <w:szCs w:val="36"/>
            </w:rPr>
          </w:pPr>
          <w:r>
            <w:rPr>
              <w:rFonts w:ascii="宋体" w:hAnsi="宋体" w:eastAsia="宋体"/>
              <w:b/>
              <w:color w:val="auto"/>
              <w:sz w:val="36"/>
              <w:szCs w:val="36"/>
              <w:lang w:val="zh-CN"/>
            </w:rPr>
            <w:t>目录</w:t>
          </w:r>
        </w:p>
        <w:p w14:paraId="063430CB">
          <w:pPr>
            <w:pStyle w:val="7"/>
            <w:rPr>
              <w:rFonts w:cstheme="minorBidi"/>
              <w:kern w:val="2"/>
              <w:sz w:val="21"/>
            </w:rPr>
          </w:pPr>
          <w:r>
            <w:fldChar w:fldCharType="begin"/>
          </w:r>
          <w:r>
            <w:instrText xml:space="preserve"> TOC \o "1-3" \h \z \u </w:instrText>
          </w:r>
          <w:r>
            <w:fldChar w:fldCharType="separate"/>
          </w:r>
          <w:r>
            <w:fldChar w:fldCharType="begin"/>
          </w:r>
          <w:r>
            <w:instrText xml:space="preserve"> HYPERLINK \l "_Toc478210059" </w:instrText>
          </w:r>
          <w:r>
            <w:fldChar w:fldCharType="separate"/>
          </w:r>
          <w:r>
            <w:rPr>
              <w:rStyle w:val="12"/>
              <w:rFonts w:ascii="Arial" w:hAnsi="Arial" w:eastAsia="宋体" w:cs="Arial"/>
              <w:b/>
            </w:rPr>
            <w:t>I.</w:t>
          </w:r>
          <w:r>
            <w:rPr>
              <w:rFonts w:cstheme="minorBidi"/>
              <w:kern w:val="2"/>
              <w:sz w:val="21"/>
            </w:rPr>
            <w:tab/>
          </w:r>
          <w:r>
            <w:rPr>
              <w:rStyle w:val="12"/>
              <w:rFonts w:hint="eastAsia" w:ascii="Arial" w:hAnsi="Arial" w:eastAsia="宋体" w:cs="Arial"/>
              <w:b/>
            </w:rPr>
            <w:t>前言</w:t>
          </w:r>
          <w:r>
            <w:tab/>
          </w:r>
          <w:r>
            <w:fldChar w:fldCharType="begin"/>
          </w:r>
          <w:r>
            <w:instrText xml:space="preserve"> PAGEREF _Toc478210059 \h </w:instrText>
          </w:r>
          <w:r>
            <w:fldChar w:fldCharType="separate"/>
          </w:r>
          <w:r>
            <w:t>2</w:t>
          </w:r>
          <w:r>
            <w:fldChar w:fldCharType="end"/>
          </w:r>
          <w:r>
            <w:fldChar w:fldCharType="end"/>
          </w:r>
        </w:p>
        <w:p w14:paraId="6B1E3914">
          <w:pPr>
            <w:pStyle w:val="7"/>
            <w:rPr>
              <w:rFonts w:cstheme="minorBidi"/>
              <w:kern w:val="2"/>
              <w:sz w:val="21"/>
            </w:rPr>
          </w:pPr>
          <w:r>
            <w:fldChar w:fldCharType="begin"/>
          </w:r>
          <w:r>
            <w:instrText xml:space="preserve"> HYPERLINK \l "_Toc478210060" </w:instrText>
          </w:r>
          <w:r>
            <w:fldChar w:fldCharType="separate"/>
          </w:r>
          <w:r>
            <w:rPr>
              <w:rStyle w:val="12"/>
              <w:rFonts w:ascii="Arial" w:hAnsi="Arial" w:eastAsia="宋体" w:cs="Arial"/>
              <w:b/>
            </w:rPr>
            <w:t>II.</w:t>
          </w:r>
          <w:r>
            <w:rPr>
              <w:rFonts w:cstheme="minorBidi"/>
              <w:kern w:val="2"/>
              <w:sz w:val="21"/>
            </w:rPr>
            <w:tab/>
          </w:r>
          <w:r>
            <w:rPr>
              <w:rStyle w:val="12"/>
              <w:rFonts w:hint="eastAsia" w:ascii="Arial" w:hAnsi="Arial" w:eastAsia="宋体" w:cs="Arial"/>
              <w:b/>
            </w:rPr>
            <w:t>范围</w:t>
          </w:r>
          <w:r>
            <w:tab/>
          </w:r>
          <w:r>
            <w:fldChar w:fldCharType="begin"/>
          </w:r>
          <w:r>
            <w:instrText xml:space="preserve"> PAGEREF _Toc478210060 \h </w:instrText>
          </w:r>
          <w:r>
            <w:fldChar w:fldCharType="separate"/>
          </w:r>
          <w:r>
            <w:t>3</w:t>
          </w:r>
          <w:r>
            <w:fldChar w:fldCharType="end"/>
          </w:r>
          <w:r>
            <w:fldChar w:fldCharType="end"/>
          </w:r>
        </w:p>
        <w:p w14:paraId="7C66B5CA">
          <w:pPr>
            <w:pStyle w:val="7"/>
            <w:rPr>
              <w:rFonts w:cstheme="minorBidi"/>
              <w:kern w:val="2"/>
              <w:sz w:val="21"/>
            </w:rPr>
          </w:pPr>
          <w:r>
            <w:fldChar w:fldCharType="begin"/>
          </w:r>
          <w:r>
            <w:instrText xml:space="preserve"> HYPERLINK \l "_Toc478210061" </w:instrText>
          </w:r>
          <w:r>
            <w:fldChar w:fldCharType="separate"/>
          </w:r>
          <w:r>
            <w:rPr>
              <w:rStyle w:val="12"/>
              <w:rFonts w:ascii="Arial" w:hAnsi="Arial" w:eastAsia="宋体" w:cs="Arial"/>
              <w:b/>
            </w:rPr>
            <w:t>III.</w:t>
          </w:r>
          <w:r>
            <w:rPr>
              <w:rFonts w:cstheme="minorBidi"/>
              <w:kern w:val="2"/>
              <w:sz w:val="21"/>
            </w:rPr>
            <w:tab/>
          </w:r>
          <w:r>
            <w:rPr>
              <w:rStyle w:val="12"/>
              <w:rFonts w:hint="eastAsia" w:ascii="Arial" w:hAnsi="Arial" w:eastAsia="宋体" w:cs="Arial"/>
              <w:b/>
            </w:rPr>
            <w:t>器械描述</w:t>
          </w:r>
          <w:r>
            <w:tab/>
          </w:r>
          <w:r>
            <w:fldChar w:fldCharType="begin"/>
          </w:r>
          <w:r>
            <w:instrText xml:space="preserve"> PAGEREF _Toc478210061 \h </w:instrText>
          </w:r>
          <w:r>
            <w:fldChar w:fldCharType="separate"/>
          </w:r>
          <w:r>
            <w:t>4</w:t>
          </w:r>
          <w:r>
            <w:fldChar w:fldCharType="end"/>
          </w:r>
          <w:r>
            <w:fldChar w:fldCharType="end"/>
          </w:r>
        </w:p>
        <w:p w14:paraId="51D8C6C7">
          <w:pPr>
            <w:pStyle w:val="8"/>
            <w:tabs>
              <w:tab w:val="left" w:pos="840"/>
              <w:tab w:val="right" w:leader="dot" w:pos="9628"/>
            </w:tabs>
            <w:rPr>
              <w:rFonts w:cstheme="minorBidi"/>
              <w:kern w:val="2"/>
              <w:sz w:val="21"/>
            </w:rPr>
          </w:pPr>
          <w:r>
            <w:fldChar w:fldCharType="begin"/>
          </w:r>
          <w:r>
            <w:instrText xml:space="preserve"> HYPERLINK \l "_Toc478210062" </w:instrText>
          </w:r>
          <w:r>
            <w:fldChar w:fldCharType="separate"/>
          </w:r>
          <w:r>
            <w:rPr>
              <w:rStyle w:val="12"/>
              <w:rFonts w:ascii="Arial" w:hAnsi="Arial" w:eastAsia="宋体" w:cs="Arial"/>
              <w:b/>
            </w:rPr>
            <w:t>A.</w:t>
          </w:r>
          <w:r>
            <w:rPr>
              <w:rFonts w:cstheme="minorBidi"/>
              <w:kern w:val="2"/>
              <w:sz w:val="21"/>
            </w:rPr>
            <w:tab/>
          </w:r>
          <w:r>
            <w:rPr>
              <w:rStyle w:val="12"/>
              <w:rFonts w:hint="eastAsia" w:ascii="Arial" w:hAnsi="Arial" w:eastAsia="宋体" w:cs="Arial"/>
              <w:b/>
            </w:rPr>
            <w:t>使用适应症</w:t>
          </w:r>
          <w:r>
            <w:tab/>
          </w:r>
          <w:r>
            <w:fldChar w:fldCharType="begin"/>
          </w:r>
          <w:r>
            <w:instrText xml:space="preserve"> PAGEREF _Toc478210062 \h </w:instrText>
          </w:r>
          <w:r>
            <w:fldChar w:fldCharType="separate"/>
          </w:r>
          <w:r>
            <w:t>4</w:t>
          </w:r>
          <w:r>
            <w:fldChar w:fldCharType="end"/>
          </w:r>
          <w:r>
            <w:fldChar w:fldCharType="end"/>
          </w:r>
        </w:p>
        <w:p w14:paraId="262F8FDD">
          <w:pPr>
            <w:pStyle w:val="8"/>
            <w:tabs>
              <w:tab w:val="left" w:pos="840"/>
              <w:tab w:val="right" w:leader="dot" w:pos="9628"/>
            </w:tabs>
            <w:rPr>
              <w:rFonts w:cstheme="minorBidi"/>
              <w:kern w:val="2"/>
              <w:sz w:val="21"/>
            </w:rPr>
          </w:pPr>
          <w:r>
            <w:fldChar w:fldCharType="begin"/>
          </w:r>
          <w:r>
            <w:instrText xml:space="preserve"> HYPERLINK \l "_Toc478210063" </w:instrText>
          </w:r>
          <w:r>
            <w:fldChar w:fldCharType="separate"/>
          </w:r>
          <w:r>
            <w:rPr>
              <w:rStyle w:val="12"/>
              <w:rFonts w:ascii="Arial" w:hAnsi="Arial" w:eastAsia="宋体" w:cs="Arial"/>
              <w:b/>
            </w:rPr>
            <w:t>B.</w:t>
          </w:r>
          <w:r>
            <w:rPr>
              <w:rFonts w:cstheme="minorBidi"/>
              <w:kern w:val="2"/>
              <w:sz w:val="21"/>
            </w:rPr>
            <w:tab/>
          </w:r>
          <w:r>
            <w:rPr>
              <w:rStyle w:val="12"/>
              <w:rFonts w:hint="eastAsia" w:ascii="Arial" w:hAnsi="Arial" w:eastAsia="宋体" w:cs="Arial"/>
              <w:b/>
            </w:rPr>
            <w:t>器械设计</w:t>
          </w:r>
          <w:r>
            <w:tab/>
          </w:r>
          <w:r>
            <w:fldChar w:fldCharType="begin"/>
          </w:r>
          <w:r>
            <w:instrText xml:space="preserve"> PAGEREF _Toc478210063 \h </w:instrText>
          </w:r>
          <w:r>
            <w:fldChar w:fldCharType="separate"/>
          </w:r>
          <w:r>
            <w:t>4</w:t>
          </w:r>
          <w:r>
            <w:fldChar w:fldCharType="end"/>
          </w:r>
          <w:r>
            <w:fldChar w:fldCharType="end"/>
          </w:r>
        </w:p>
        <w:p w14:paraId="12548A32">
          <w:pPr>
            <w:pStyle w:val="7"/>
            <w:rPr>
              <w:rFonts w:cstheme="minorBidi"/>
              <w:kern w:val="2"/>
              <w:sz w:val="21"/>
            </w:rPr>
          </w:pPr>
          <w:r>
            <w:fldChar w:fldCharType="begin"/>
          </w:r>
          <w:r>
            <w:instrText xml:space="preserve"> HYPERLINK \l "_Toc478210064" </w:instrText>
          </w:r>
          <w:r>
            <w:fldChar w:fldCharType="separate"/>
          </w:r>
          <w:r>
            <w:rPr>
              <w:rStyle w:val="12"/>
              <w:rFonts w:ascii="Arial" w:hAnsi="Arial" w:eastAsia="宋体" w:cs="Arial"/>
              <w:b/>
            </w:rPr>
            <w:t>IV.</w:t>
          </w:r>
          <w:r>
            <w:rPr>
              <w:rFonts w:cstheme="minorBidi"/>
              <w:kern w:val="2"/>
              <w:sz w:val="21"/>
            </w:rPr>
            <w:tab/>
          </w:r>
          <w:r>
            <w:rPr>
              <w:rStyle w:val="12"/>
              <w:rFonts w:hint="eastAsia" w:ascii="Arial" w:hAnsi="Arial" w:eastAsia="宋体" w:cs="Arial"/>
              <w:b/>
            </w:rPr>
            <w:t>实质等同性比较</w:t>
          </w:r>
          <w:r>
            <w:tab/>
          </w:r>
          <w:r>
            <w:fldChar w:fldCharType="begin"/>
          </w:r>
          <w:r>
            <w:instrText xml:space="preserve"> PAGEREF _Toc478210064 \h </w:instrText>
          </w:r>
          <w:r>
            <w:fldChar w:fldCharType="separate"/>
          </w:r>
          <w:r>
            <w:t>5</w:t>
          </w:r>
          <w:r>
            <w:fldChar w:fldCharType="end"/>
          </w:r>
          <w:r>
            <w:fldChar w:fldCharType="end"/>
          </w:r>
        </w:p>
        <w:p w14:paraId="157A589C">
          <w:pPr>
            <w:pStyle w:val="7"/>
            <w:rPr>
              <w:rFonts w:cstheme="minorBidi"/>
              <w:kern w:val="2"/>
              <w:sz w:val="21"/>
            </w:rPr>
          </w:pPr>
          <w:r>
            <w:fldChar w:fldCharType="begin"/>
          </w:r>
          <w:r>
            <w:instrText xml:space="preserve"> HYPERLINK \l "_Toc478210065" </w:instrText>
          </w:r>
          <w:r>
            <w:fldChar w:fldCharType="separate"/>
          </w:r>
          <w:r>
            <w:rPr>
              <w:rStyle w:val="12"/>
              <w:rFonts w:ascii="Arial" w:hAnsi="Arial" w:eastAsia="宋体" w:cs="Arial"/>
              <w:b/>
            </w:rPr>
            <w:t>V.</w:t>
          </w:r>
          <w:r>
            <w:rPr>
              <w:rFonts w:cstheme="minorBidi"/>
              <w:kern w:val="2"/>
              <w:sz w:val="21"/>
            </w:rPr>
            <w:tab/>
          </w:r>
          <w:r>
            <w:rPr>
              <w:rStyle w:val="12"/>
              <w:rFonts w:hint="eastAsia" w:ascii="Arial" w:hAnsi="Arial" w:eastAsia="宋体" w:cs="Arial"/>
              <w:b/>
            </w:rPr>
            <w:t>软件</w:t>
          </w:r>
          <w:r>
            <w:tab/>
          </w:r>
          <w:r>
            <w:fldChar w:fldCharType="begin"/>
          </w:r>
          <w:r>
            <w:instrText xml:space="preserve"> PAGEREF _Toc478210065 \h </w:instrText>
          </w:r>
          <w:r>
            <w:fldChar w:fldCharType="separate"/>
          </w:r>
          <w:r>
            <w:t>6</w:t>
          </w:r>
          <w:r>
            <w:fldChar w:fldCharType="end"/>
          </w:r>
          <w:r>
            <w:fldChar w:fldCharType="end"/>
          </w:r>
        </w:p>
        <w:p w14:paraId="7EBF1989">
          <w:pPr>
            <w:pStyle w:val="7"/>
            <w:rPr>
              <w:rFonts w:cstheme="minorBidi"/>
              <w:kern w:val="2"/>
              <w:sz w:val="21"/>
            </w:rPr>
          </w:pPr>
          <w:r>
            <w:fldChar w:fldCharType="begin"/>
          </w:r>
          <w:r>
            <w:instrText xml:space="preserve"> HYPERLINK \l "_Toc478210066" </w:instrText>
          </w:r>
          <w:r>
            <w:fldChar w:fldCharType="separate"/>
          </w:r>
          <w:r>
            <w:rPr>
              <w:rStyle w:val="12"/>
              <w:rFonts w:ascii="Arial" w:hAnsi="Arial" w:eastAsia="宋体" w:cs="Arial"/>
              <w:b/>
            </w:rPr>
            <w:t>VI.</w:t>
          </w:r>
          <w:r>
            <w:rPr>
              <w:rFonts w:cstheme="minorBidi"/>
              <w:kern w:val="2"/>
              <w:sz w:val="21"/>
            </w:rPr>
            <w:tab/>
          </w:r>
          <w:r>
            <w:rPr>
              <w:rStyle w:val="12"/>
              <w:rFonts w:hint="eastAsia" w:ascii="Arial" w:hAnsi="Arial" w:eastAsia="宋体" w:cs="Arial"/>
              <w:b/>
            </w:rPr>
            <w:t>生物相容性</w:t>
          </w:r>
          <w:r>
            <w:tab/>
          </w:r>
          <w:r>
            <w:fldChar w:fldCharType="begin"/>
          </w:r>
          <w:r>
            <w:instrText xml:space="preserve"> PAGEREF _Toc478210066 \h </w:instrText>
          </w:r>
          <w:r>
            <w:fldChar w:fldCharType="separate"/>
          </w:r>
          <w:r>
            <w:t>7</w:t>
          </w:r>
          <w:r>
            <w:fldChar w:fldCharType="end"/>
          </w:r>
          <w:r>
            <w:fldChar w:fldCharType="end"/>
          </w:r>
        </w:p>
        <w:p w14:paraId="510A8252">
          <w:pPr>
            <w:pStyle w:val="7"/>
            <w:rPr>
              <w:rFonts w:cstheme="minorBidi"/>
              <w:kern w:val="2"/>
              <w:sz w:val="21"/>
            </w:rPr>
          </w:pPr>
          <w:r>
            <w:fldChar w:fldCharType="begin"/>
          </w:r>
          <w:r>
            <w:instrText xml:space="preserve"> HYPERLINK \l "_Toc478210067" </w:instrText>
          </w:r>
          <w:r>
            <w:fldChar w:fldCharType="separate"/>
          </w:r>
          <w:r>
            <w:rPr>
              <w:rStyle w:val="12"/>
              <w:rFonts w:ascii="Arial" w:hAnsi="Arial" w:eastAsia="宋体" w:cs="Arial"/>
              <w:b/>
            </w:rPr>
            <w:t>VII.</w:t>
          </w:r>
          <w:r>
            <w:rPr>
              <w:rFonts w:cstheme="minorBidi"/>
              <w:kern w:val="2"/>
              <w:sz w:val="21"/>
            </w:rPr>
            <w:tab/>
          </w:r>
          <w:r>
            <w:rPr>
              <w:rStyle w:val="12"/>
              <w:rFonts w:hint="eastAsia" w:ascii="Arial" w:hAnsi="Arial" w:eastAsia="宋体" w:cs="Arial"/>
              <w:b/>
            </w:rPr>
            <w:t>灭菌</w:t>
          </w:r>
          <w:r>
            <w:tab/>
          </w:r>
          <w:r>
            <w:fldChar w:fldCharType="begin"/>
          </w:r>
          <w:r>
            <w:instrText xml:space="preserve"> PAGEREF _Toc478210067 \h </w:instrText>
          </w:r>
          <w:r>
            <w:fldChar w:fldCharType="separate"/>
          </w:r>
          <w:r>
            <w:t>8</w:t>
          </w:r>
          <w:r>
            <w:fldChar w:fldCharType="end"/>
          </w:r>
          <w:r>
            <w:fldChar w:fldCharType="end"/>
          </w:r>
        </w:p>
        <w:p w14:paraId="18A92930">
          <w:pPr>
            <w:pStyle w:val="7"/>
            <w:rPr>
              <w:rFonts w:cstheme="minorBidi"/>
              <w:kern w:val="2"/>
              <w:sz w:val="21"/>
            </w:rPr>
          </w:pPr>
          <w:r>
            <w:fldChar w:fldCharType="begin"/>
          </w:r>
          <w:r>
            <w:instrText xml:space="preserve"> HYPERLINK \l "_Toc478210068" </w:instrText>
          </w:r>
          <w:r>
            <w:fldChar w:fldCharType="separate"/>
          </w:r>
          <w:r>
            <w:rPr>
              <w:rStyle w:val="12"/>
              <w:rFonts w:ascii="Arial" w:hAnsi="Arial" w:eastAsia="宋体" w:cs="Arial"/>
              <w:b/>
            </w:rPr>
            <w:t>VIII.</w:t>
          </w:r>
          <w:r>
            <w:rPr>
              <w:rFonts w:cstheme="minorBidi"/>
              <w:kern w:val="2"/>
              <w:sz w:val="21"/>
            </w:rPr>
            <w:tab/>
          </w:r>
          <w:r>
            <w:rPr>
              <w:rStyle w:val="12"/>
              <w:rFonts w:hint="eastAsia" w:ascii="Arial" w:hAnsi="Arial" w:eastAsia="宋体" w:cs="Arial"/>
              <w:b/>
            </w:rPr>
            <w:t>再次处理</w:t>
          </w:r>
          <w:r>
            <w:tab/>
          </w:r>
          <w:r>
            <w:fldChar w:fldCharType="begin"/>
          </w:r>
          <w:r>
            <w:instrText xml:space="preserve"> PAGEREF _Toc478210068 \h </w:instrText>
          </w:r>
          <w:r>
            <w:fldChar w:fldCharType="separate"/>
          </w:r>
          <w:r>
            <w:t>8</w:t>
          </w:r>
          <w:r>
            <w:fldChar w:fldCharType="end"/>
          </w:r>
          <w:r>
            <w:fldChar w:fldCharType="end"/>
          </w:r>
        </w:p>
        <w:p w14:paraId="2C9E2F1C">
          <w:pPr>
            <w:pStyle w:val="7"/>
            <w:rPr>
              <w:rFonts w:cstheme="minorBidi"/>
              <w:kern w:val="2"/>
              <w:sz w:val="21"/>
            </w:rPr>
          </w:pPr>
          <w:r>
            <w:fldChar w:fldCharType="begin"/>
          </w:r>
          <w:r>
            <w:instrText xml:space="preserve"> HYPERLINK \l "_Toc478210069" </w:instrText>
          </w:r>
          <w:r>
            <w:fldChar w:fldCharType="separate"/>
          </w:r>
          <w:r>
            <w:rPr>
              <w:rStyle w:val="12"/>
              <w:rFonts w:ascii="Arial" w:hAnsi="Arial" w:eastAsia="宋体" w:cs="Arial"/>
              <w:b/>
            </w:rPr>
            <w:t>IX.</w:t>
          </w:r>
          <w:r>
            <w:rPr>
              <w:rFonts w:cstheme="minorBidi"/>
              <w:kern w:val="2"/>
              <w:sz w:val="21"/>
            </w:rPr>
            <w:tab/>
          </w:r>
          <w:r>
            <w:rPr>
              <w:rStyle w:val="12"/>
              <w:rFonts w:hint="eastAsia" w:ascii="Arial" w:hAnsi="Arial" w:eastAsia="宋体" w:cs="Arial"/>
              <w:b/>
            </w:rPr>
            <w:t>致热源性</w:t>
          </w:r>
          <w:r>
            <w:tab/>
          </w:r>
          <w:r>
            <w:fldChar w:fldCharType="begin"/>
          </w:r>
          <w:r>
            <w:instrText xml:space="preserve"> PAGEREF _Toc478210069 \h </w:instrText>
          </w:r>
          <w:r>
            <w:fldChar w:fldCharType="separate"/>
          </w:r>
          <w:r>
            <w:t>9</w:t>
          </w:r>
          <w:r>
            <w:fldChar w:fldCharType="end"/>
          </w:r>
          <w:r>
            <w:fldChar w:fldCharType="end"/>
          </w:r>
        </w:p>
        <w:p w14:paraId="545F38BB">
          <w:pPr>
            <w:pStyle w:val="7"/>
            <w:rPr>
              <w:rFonts w:cstheme="minorBidi"/>
              <w:kern w:val="2"/>
              <w:sz w:val="21"/>
            </w:rPr>
          </w:pPr>
          <w:r>
            <w:fldChar w:fldCharType="begin"/>
          </w:r>
          <w:r>
            <w:instrText xml:space="preserve"> HYPERLINK \l "_Toc478210070" </w:instrText>
          </w:r>
          <w:r>
            <w:fldChar w:fldCharType="separate"/>
          </w:r>
          <w:r>
            <w:rPr>
              <w:rStyle w:val="12"/>
              <w:rFonts w:ascii="Arial" w:hAnsi="Arial" w:eastAsia="宋体" w:cs="Arial"/>
              <w:b/>
            </w:rPr>
            <w:t>X.</w:t>
          </w:r>
          <w:r>
            <w:rPr>
              <w:rFonts w:cstheme="minorBidi"/>
              <w:kern w:val="2"/>
              <w:sz w:val="21"/>
            </w:rPr>
            <w:tab/>
          </w:r>
          <w:r>
            <w:rPr>
              <w:rStyle w:val="12"/>
              <w:rFonts w:hint="eastAsia" w:ascii="Arial" w:hAnsi="Arial" w:eastAsia="宋体" w:cs="Arial"/>
              <w:b/>
            </w:rPr>
            <w:t>使用期限</w:t>
          </w:r>
          <w:r>
            <w:tab/>
          </w:r>
          <w:r>
            <w:fldChar w:fldCharType="begin"/>
          </w:r>
          <w:r>
            <w:instrText xml:space="preserve"> PAGEREF _Toc478210070 \h </w:instrText>
          </w:r>
          <w:r>
            <w:fldChar w:fldCharType="separate"/>
          </w:r>
          <w:r>
            <w:t>9</w:t>
          </w:r>
          <w:r>
            <w:fldChar w:fldCharType="end"/>
          </w:r>
          <w:r>
            <w:fldChar w:fldCharType="end"/>
          </w:r>
        </w:p>
        <w:p w14:paraId="5CB2B197">
          <w:pPr>
            <w:pStyle w:val="7"/>
            <w:rPr>
              <w:rFonts w:cstheme="minorBidi"/>
              <w:kern w:val="2"/>
              <w:sz w:val="21"/>
            </w:rPr>
          </w:pPr>
          <w:r>
            <w:fldChar w:fldCharType="begin"/>
          </w:r>
          <w:r>
            <w:instrText xml:space="preserve"> HYPERLINK \l "_Toc478210071" </w:instrText>
          </w:r>
          <w:r>
            <w:fldChar w:fldCharType="separate"/>
          </w:r>
          <w:r>
            <w:rPr>
              <w:rStyle w:val="12"/>
              <w:rFonts w:ascii="Arial" w:hAnsi="Arial" w:eastAsia="宋体" w:cs="Arial"/>
              <w:b/>
            </w:rPr>
            <w:t>XI.</w:t>
          </w:r>
          <w:r>
            <w:rPr>
              <w:rFonts w:cstheme="minorBidi"/>
              <w:kern w:val="2"/>
              <w:sz w:val="21"/>
            </w:rPr>
            <w:tab/>
          </w:r>
          <w:r>
            <w:rPr>
              <w:rStyle w:val="12"/>
              <w:rFonts w:hint="eastAsia" w:ascii="Arial" w:hAnsi="Arial" w:eastAsia="宋体" w:cs="Arial"/>
              <w:b/>
            </w:rPr>
            <w:t>性能数据</w:t>
          </w:r>
          <w:r>
            <w:tab/>
          </w:r>
          <w:r>
            <w:fldChar w:fldCharType="begin"/>
          </w:r>
          <w:r>
            <w:instrText xml:space="preserve"> PAGEREF _Toc478210071 \h </w:instrText>
          </w:r>
          <w:r>
            <w:fldChar w:fldCharType="separate"/>
          </w:r>
          <w:r>
            <w:t>10</w:t>
          </w:r>
          <w:r>
            <w:fldChar w:fldCharType="end"/>
          </w:r>
          <w:r>
            <w:fldChar w:fldCharType="end"/>
          </w:r>
        </w:p>
        <w:p w14:paraId="251DBD51">
          <w:pPr>
            <w:pStyle w:val="8"/>
            <w:tabs>
              <w:tab w:val="left" w:pos="840"/>
              <w:tab w:val="right" w:leader="dot" w:pos="9628"/>
            </w:tabs>
            <w:rPr>
              <w:rFonts w:cstheme="minorBidi"/>
              <w:kern w:val="2"/>
              <w:sz w:val="21"/>
            </w:rPr>
          </w:pPr>
          <w:r>
            <w:fldChar w:fldCharType="begin"/>
          </w:r>
          <w:r>
            <w:instrText xml:space="preserve"> HYPERLINK \l "_Toc478210072" </w:instrText>
          </w:r>
          <w:r>
            <w:fldChar w:fldCharType="separate"/>
          </w:r>
          <w:r>
            <w:rPr>
              <w:rStyle w:val="12"/>
              <w:rFonts w:ascii="Arial" w:hAnsi="Arial" w:eastAsia="宋体" w:cs="Arial"/>
              <w:b/>
            </w:rPr>
            <w:t>A.</w:t>
          </w:r>
          <w:r>
            <w:rPr>
              <w:rFonts w:cstheme="minorBidi"/>
              <w:kern w:val="2"/>
              <w:sz w:val="21"/>
            </w:rPr>
            <w:tab/>
          </w:r>
          <w:r>
            <w:rPr>
              <w:rStyle w:val="12"/>
              <w:rFonts w:ascii="Arial" w:hAnsi="Arial" w:eastAsia="宋体" w:cs="Arial"/>
              <w:b/>
            </w:rPr>
            <w:t>ESU</w:t>
          </w:r>
          <w:r>
            <w:tab/>
          </w:r>
          <w:r>
            <w:fldChar w:fldCharType="begin"/>
          </w:r>
          <w:r>
            <w:instrText xml:space="preserve"> PAGEREF _Toc478210072 \h </w:instrText>
          </w:r>
          <w:r>
            <w:fldChar w:fldCharType="separate"/>
          </w:r>
          <w:r>
            <w:t>10</w:t>
          </w:r>
          <w:r>
            <w:fldChar w:fldCharType="end"/>
          </w:r>
          <w:r>
            <w:fldChar w:fldCharType="end"/>
          </w:r>
        </w:p>
        <w:p w14:paraId="2CE1FBA0">
          <w:pPr>
            <w:pStyle w:val="8"/>
            <w:tabs>
              <w:tab w:val="left" w:pos="840"/>
              <w:tab w:val="right" w:leader="dot" w:pos="9628"/>
            </w:tabs>
            <w:rPr>
              <w:rFonts w:cstheme="minorBidi"/>
              <w:kern w:val="2"/>
              <w:sz w:val="21"/>
            </w:rPr>
          </w:pPr>
          <w:r>
            <w:fldChar w:fldCharType="begin"/>
          </w:r>
          <w:r>
            <w:instrText xml:space="preserve"> HYPERLINK \l "_Toc478210073" </w:instrText>
          </w:r>
          <w:r>
            <w:fldChar w:fldCharType="separate"/>
          </w:r>
          <w:r>
            <w:rPr>
              <w:rStyle w:val="12"/>
              <w:rFonts w:ascii="Arial" w:hAnsi="Arial" w:eastAsia="宋体" w:cs="Arial"/>
              <w:b/>
            </w:rPr>
            <w:t>B.</w:t>
          </w:r>
          <w:r>
            <w:rPr>
              <w:rFonts w:cstheme="minorBidi"/>
              <w:kern w:val="2"/>
              <w:sz w:val="21"/>
            </w:rPr>
            <w:tab/>
          </w:r>
          <w:r>
            <w:rPr>
              <w:rStyle w:val="12"/>
              <w:rFonts w:hint="eastAsia" w:ascii="Arial" w:hAnsi="Arial" w:eastAsia="宋体" w:cs="Arial"/>
              <w:b/>
            </w:rPr>
            <w:t>有源部件</w:t>
          </w:r>
          <w:r>
            <w:rPr>
              <w:rStyle w:val="12"/>
              <w:rFonts w:ascii="Arial" w:hAnsi="Arial" w:eastAsia="宋体" w:cs="Arial"/>
              <w:b/>
            </w:rPr>
            <w:t>/</w:t>
          </w:r>
          <w:r>
            <w:rPr>
              <w:rStyle w:val="12"/>
              <w:rFonts w:hint="eastAsia" w:ascii="Arial" w:hAnsi="Arial" w:eastAsia="宋体" w:cs="Arial"/>
              <w:b/>
            </w:rPr>
            <w:t>附件</w:t>
          </w:r>
          <w:r>
            <w:tab/>
          </w:r>
          <w:r>
            <w:fldChar w:fldCharType="begin"/>
          </w:r>
          <w:r>
            <w:instrText xml:space="preserve"> PAGEREF _Toc478210073 \h </w:instrText>
          </w:r>
          <w:r>
            <w:fldChar w:fldCharType="separate"/>
          </w:r>
          <w:r>
            <w:t>10</w:t>
          </w:r>
          <w:r>
            <w:fldChar w:fldCharType="end"/>
          </w:r>
          <w:r>
            <w:fldChar w:fldCharType="end"/>
          </w:r>
        </w:p>
        <w:p w14:paraId="30118BAC">
          <w:pPr>
            <w:pStyle w:val="8"/>
            <w:tabs>
              <w:tab w:val="left" w:pos="840"/>
              <w:tab w:val="right" w:leader="dot" w:pos="9628"/>
            </w:tabs>
            <w:rPr>
              <w:rFonts w:cstheme="minorBidi"/>
              <w:kern w:val="2"/>
              <w:sz w:val="21"/>
            </w:rPr>
          </w:pPr>
          <w:r>
            <w:fldChar w:fldCharType="begin"/>
          </w:r>
          <w:r>
            <w:instrText xml:space="preserve"> HYPERLINK \l "_Toc478210074" </w:instrText>
          </w:r>
          <w:r>
            <w:fldChar w:fldCharType="separate"/>
          </w:r>
          <w:r>
            <w:rPr>
              <w:rStyle w:val="12"/>
              <w:rFonts w:ascii="Arial" w:hAnsi="Arial" w:eastAsia="宋体" w:cs="Arial"/>
              <w:b/>
            </w:rPr>
            <w:t>C.</w:t>
          </w:r>
          <w:r>
            <w:rPr>
              <w:rFonts w:cstheme="minorBidi"/>
              <w:kern w:val="2"/>
              <w:sz w:val="21"/>
            </w:rPr>
            <w:tab/>
          </w:r>
          <w:r>
            <w:rPr>
              <w:rStyle w:val="12"/>
              <w:rFonts w:hint="eastAsia" w:ascii="Arial" w:hAnsi="Arial" w:eastAsia="宋体" w:cs="Arial"/>
              <w:b/>
            </w:rPr>
            <w:t>中性电极</w:t>
          </w:r>
          <w:r>
            <w:tab/>
          </w:r>
          <w:r>
            <w:fldChar w:fldCharType="begin"/>
          </w:r>
          <w:r>
            <w:instrText xml:space="preserve"> PAGEREF _Toc478210074 \h </w:instrText>
          </w:r>
          <w:r>
            <w:fldChar w:fldCharType="separate"/>
          </w:r>
          <w:r>
            <w:t>10</w:t>
          </w:r>
          <w:r>
            <w:fldChar w:fldCharType="end"/>
          </w:r>
          <w:r>
            <w:fldChar w:fldCharType="end"/>
          </w:r>
        </w:p>
        <w:p w14:paraId="728500F8">
          <w:pPr>
            <w:pStyle w:val="8"/>
            <w:tabs>
              <w:tab w:val="left" w:pos="840"/>
              <w:tab w:val="right" w:leader="dot" w:pos="9628"/>
            </w:tabs>
            <w:rPr>
              <w:rFonts w:cstheme="minorBidi"/>
              <w:kern w:val="2"/>
              <w:sz w:val="21"/>
            </w:rPr>
          </w:pPr>
          <w:r>
            <w:fldChar w:fldCharType="begin"/>
          </w:r>
          <w:r>
            <w:instrText xml:space="preserve"> HYPERLINK \l "_Toc478210075" </w:instrText>
          </w:r>
          <w:r>
            <w:fldChar w:fldCharType="separate"/>
          </w:r>
          <w:r>
            <w:rPr>
              <w:rStyle w:val="12"/>
              <w:rFonts w:ascii="Arial" w:hAnsi="Arial" w:eastAsia="宋体" w:cs="Arial"/>
              <w:b/>
            </w:rPr>
            <w:t>D.</w:t>
          </w:r>
          <w:r>
            <w:rPr>
              <w:rFonts w:cstheme="minorBidi"/>
              <w:kern w:val="2"/>
              <w:sz w:val="21"/>
            </w:rPr>
            <w:tab/>
          </w:r>
          <w:r>
            <w:rPr>
              <w:rStyle w:val="12"/>
              <w:rFonts w:hint="eastAsia" w:ascii="Arial" w:hAnsi="Arial" w:eastAsia="宋体" w:cs="Arial"/>
              <w:b/>
            </w:rPr>
            <w:t>各种部件</w:t>
          </w:r>
          <w:r>
            <w:rPr>
              <w:rStyle w:val="12"/>
              <w:rFonts w:ascii="Arial" w:hAnsi="Arial" w:eastAsia="宋体" w:cs="Arial"/>
              <w:b/>
            </w:rPr>
            <w:t>/</w:t>
          </w:r>
          <w:r>
            <w:rPr>
              <w:rStyle w:val="12"/>
              <w:rFonts w:hint="eastAsia" w:ascii="Arial" w:hAnsi="Arial" w:eastAsia="宋体" w:cs="Arial"/>
              <w:b/>
            </w:rPr>
            <w:t>附件</w:t>
          </w:r>
          <w:r>
            <w:tab/>
          </w:r>
          <w:r>
            <w:fldChar w:fldCharType="begin"/>
          </w:r>
          <w:r>
            <w:instrText xml:space="preserve"> PAGEREF _Toc478210075 \h </w:instrText>
          </w:r>
          <w:r>
            <w:fldChar w:fldCharType="separate"/>
          </w:r>
          <w:r>
            <w:t>11</w:t>
          </w:r>
          <w:r>
            <w:fldChar w:fldCharType="end"/>
          </w:r>
          <w:r>
            <w:fldChar w:fldCharType="end"/>
          </w:r>
        </w:p>
        <w:p w14:paraId="48A1BEC1">
          <w:pPr>
            <w:pStyle w:val="8"/>
            <w:tabs>
              <w:tab w:val="left" w:pos="840"/>
              <w:tab w:val="right" w:leader="dot" w:pos="9628"/>
            </w:tabs>
            <w:rPr>
              <w:rFonts w:cstheme="minorBidi"/>
              <w:kern w:val="2"/>
              <w:sz w:val="21"/>
            </w:rPr>
          </w:pPr>
          <w:r>
            <w:fldChar w:fldCharType="begin"/>
          </w:r>
          <w:r>
            <w:instrText xml:space="preserve"> HYPERLINK \l "_Toc478210076" </w:instrText>
          </w:r>
          <w:r>
            <w:fldChar w:fldCharType="separate"/>
          </w:r>
          <w:r>
            <w:rPr>
              <w:rStyle w:val="12"/>
              <w:rFonts w:ascii="Arial" w:hAnsi="Arial" w:eastAsia="宋体" w:cs="Arial"/>
              <w:b/>
            </w:rPr>
            <w:t>E.</w:t>
          </w:r>
          <w:r>
            <w:rPr>
              <w:rFonts w:cstheme="minorBidi"/>
              <w:kern w:val="2"/>
              <w:sz w:val="21"/>
            </w:rPr>
            <w:tab/>
          </w:r>
          <w:r>
            <w:rPr>
              <w:rStyle w:val="12"/>
              <w:rFonts w:hint="eastAsia" w:ascii="Arial" w:hAnsi="Arial" w:eastAsia="宋体" w:cs="Arial"/>
              <w:b/>
            </w:rPr>
            <w:t>系统测试</w:t>
          </w:r>
          <w:r>
            <w:tab/>
          </w:r>
          <w:r>
            <w:fldChar w:fldCharType="begin"/>
          </w:r>
          <w:r>
            <w:instrText xml:space="preserve"> PAGEREF _Toc478210076 \h </w:instrText>
          </w:r>
          <w:r>
            <w:fldChar w:fldCharType="separate"/>
          </w:r>
          <w:r>
            <w:t>11</w:t>
          </w:r>
          <w:r>
            <w:fldChar w:fldCharType="end"/>
          </w:r>
          <w:r>
            <w:fldChar w:fldCharType="end"/>
          </w:r>
        </w:p>
        <w:p w14:paraId="07CEFEC2">
          <w:pPr>
            <w:pStyle w:val="7"/>
            <w:rPr>
              <w:rFonts w:cstheme="minorBidi"/>
              <w:kern w:val="2"/>
              <w:sz w:val="21"/>
            </w:rPr>
          </w:pPr>
          <w:r>
            <w:fldChar w:fldCharType="begin"/>
          </w:r>
          <w:r>
            <w:instrText xml:space="preserve"> HYPERLINK \l "_Toc478210077" </w:instrText>
          </w:r>
          <w:r>
            <w:fldChar w:fldCharType="separate"/>
          </w:r>
          <w:r>
            <w:rPr>
              <w:rStyle w:val="12"/>
              <w:rFonts w:ascii="Arial" w:hAnsi="Arial" w:eastAsia="宋体" w:cs="Arial"/>
              <w:b/>
            </w:rPr>
            <w:t>XII.</w:t>
          </w:r>
          <w:r>
            <w:rPr>
              <w:rFonts w:cstheme="minorBidi"/>
              <w:kern w:val="2"/>
              <w:sz w:val="21"/>
            </w:rPr>
            <w:tab/>
          </w:r>
          <w:r>
            <w:rPr>
              <w:rStyle w:val="12"/>
              <w:rFonts w:hint="eastAsia" w:ascii="Arial" w:hAnsi="Arial" w:eastAsia="宋体" w:cs="Arial"/>
              <w:b/>
            </w:rPr>
            <w:t>电气安全与电磁相容性</w:t>
          </w:r>
          <w:r>
            <w:tab/>
          </w:r>
          <w:r>
            <w:fldChar w:fldCharType="begin"/>
          </w:r>
          <w:r>
            <w:instrText xml:space="preserve"> PAGEREF _Toc478210077 \h </w:instrText>
          </w:r>
          <w:r>
            <w:fldChar w:fldCharType="separate"/>
          </w:r>
          <w:r>
            <w:t>12</w:t>
          </w:r>
          <w:r>
            <w:fldChar w:fldCharType="end"/>
          </w:r>
          <w:r>
            <w:fldChar w:fldCharType="end"/>
          </w:r>
        </w:p>
        <w:p w14:paraId="01C2B4F5">
          <w:pPr>
            <w:pStyle w:val="7"/>
            <w:rPr>
              <w:rFonts w:cstheme="minorBidi"/>
              <w:kern w:val="2"/>
              <w:sz w:val="21"/>
            </w:rPr>
          </w:pPr>
          <w:r>
            <w:fldChar w:fldCharType="begin"/>
          </w:r>
          <w:r>
            <w:instrText xml:space="preserve"> HYPERLINK \l "_Toc478210078" </w:instrText>
          </w:r>
          <w:r>
            <w:fldChar w:fldCharType="separate"/>
          </w:r>
          <w:r>
            <w:rPr>
              <w:rStyle w:val="12"/>
              <w:rFonts w:ascii="Arial" w:hAnsi="Arial" w:eastAsia="宋体" w:cs="Arial"/>
              <w:b/>
            </w:rPr>
            <w:t>XIII.</w:t>
          </w:r>
          <w:r>
            <w:rPr>
              <w:rFonts w:cstheme="minorBidi"/>
              <w:kern w:val="2"/>
              <w:sz w:val="21"/>
            </w:rPr>
            <w:tab/>
          </w:r>
          <w:r>
            <w:rPr>
              <w:rStyle w:val="12"/>
              <w:rFonts w:hint="eastAsia" w:ascii="Arial" w:hAnsi="Arial" w:eastAsia="宋体" w:cs="Arial"/>
              <w:b/>
            </w:rPr>
            <w:t>临床测试</w:t>
          </w:r>
          <w:r>
            <w:tab/>
          </w:r>
          <w:r>
            <w:fldChar w:fldCharType="begin"/>
          </w:r>
          <w:r>
            <w:instrText xml:space="preserve"> PAGEREF _Toc478210078 \h </w:instrText>
          </w:r>
          <w:r>
            <w:fldChar w:fldCharType="separate"/>
          </w:r>
          <w:r>
            <w:t>13</w:t>
          </w:r>
          <w:r>
            <w:fldChar w:fldCharType="end"/>
          </w:r>
          <w:r>
            <w:fldChar w:fldCharType="end"/>
          </w:r>
        </w:p>
        <w:p w14:paraId="180C2FF2">
          <w:pPr>
            <w:pStyle w:val="7"/>
            <w:rPr>
              <w:rFonts w:cstheme="minorBidi"/>
              <w:kern w:val="2"/>
              <w:sz w:val="21"/>
            </w:rPr>
          </w:pPr>
          <w:r>
            <w:fldChar w:fldCharType="begin"/>
          </w:r>
          <w:r>
            <w:instrText xml:space="preserve"> HYPERLINK \l "_Toc478210079" </w:instrText>
          </w:r>
          <w:r>
            <w:fldChar w:fldCharType="separate"/>
          </w:r>
          <w:r>
            <w:rPr>
              <w:rStyle w:val="12"/>
              <w:rFonts w:ascii="Arial" w:hAnsi="Arial" w:eastAsia="宋体" w:cs="Arial"/>
              <w:b/>
            </w:rPr>
            <w:t>XIV.</w:t>
          </w:r>
          <w:r>
            <w:rPr>
              <w:rFonts w:cstheme="minorBidi"/>
              <w:kern w:val="2"/>
              <w:sz w:val="21"/>
            </w:rPr>
            <w:tab/>
          </w:r>
          <w:r>
            <w:rPr>
              <w:rStyle w:val="12"/>
              <w:rFonts w:hint="eastAsia" w:ascii="Arial" w:hAnsi="Arial" w:eastAsia="宋体" w:cs="Arial"/>
              <w:b/>
            </w:rPr>
            <w:t>标签</w:t>
          </w:r>
          <w:r>
            <w:tab/>
          </w:r>
          <w:r>
            <w:fldChar w:fldCharType="begin"/>
          </w:r>
          <w:r>
            <w:instrText xml:space="preserve"> PAGEREF _Toc478210079 \h </w:instrText>
          </w:r>
          <w:r>
            <w:fldChar w:fldCharType="separate"/>
          </w:r>
          <w:r>
            <w:t>13</w:t>
          </w:r>
          <w:r>
            <w:fldChar w:fldCharType="end"/>
          </w:r>
          <w:r>
            <w:fldChar w:fldCharType="end"/>
          </w:r>
        </w:p>
        <w:p w14:paraId="3993C1F7">
          <w:pPr>
            <w:pStyle w:val="8"/>
            <w:tabs>
              <w:tab w:val="left" w:pos="840"/>
              <w:tab w:val="right" w:leader="dot" w:pos="9628"/>
            </w:tabs>
            <w:rPr>
              <w:rFonts w:cstheme="minorBidi"/>
              <w:kern w:val="2"/>
              <w:sz w:val="21"/>
            </w:rPr>
          </w:pPr>
          <w:r>
            <w:fldChar w:fldCharType="begin"/>
          </w:r>
          <w:r>
            <w:instrText xml:space="preserve"> HYPERLINK \l "_Toc478210080" </w:instrText>
          </w:r>
          <w:r>
            <w:fldChar w:fldCharType="separate"/>
          </w:r>
          <w:r>
            <w:rPr>
              <w:rStyle w:val="12"/>
              <w:rFonts w:ascii="Arial" w:hAnsi="Arial" w:eastAsia="宋体" w:cs="Arial"/>
              <w:b/>
            </w:rPr>
            <w:t>A.</w:t>
          </w:r>
          <w:r>
            <w:rPr>
              <w:rFonts w:cstheme="minorBidi"/>
              <w:kern w:val="2"/>
              <w:sz w:val="21"/>
            </w:rPr>
            <w:tab/>
          </w:r>
          <w:r>
            <w:rPr>
              <w:rStyle w:val="12"/>
              <w:rFonts w:hint="eastAsia" w:ascii="Arial" w:hAnsi="Arial" w:eastAsia="宋体" w:cs="Arial"/>
              <w:b/>
            </w:rPr>
            <w:t>适应症（使用手册）</w:t>
          </w:r>
          <w:r>
            <w:tab/>
          </w:r>
          <w:r>
            <w:fldChar w:fldCharType="begin"/>
          </w:r>
          <w:r>
            <w:instrText xml:space="preserve"> PAGEREF _Toc478210080 \h </w:instrText>
          </w:r>
          <w:r>
            <w:fldChar w:fldCharType="separate"/>
          </w:r>
          <w:r>
            <w:t>14</w:t>
          </w:r>
          <w:r>
            <w:fldChar w:fldCharType="end"/>
          </w:r>
          <w:r>
            <w:fldChar w:fldCharType="end"/>
          </w:r>
        </w:p>
        <w:p w14:paraId="1AF77C05">
          <w:pPr>
            <w:pStyle w:val="8"/>
            <w:tabs>
              <w:tab w:val="left" w:pos="840"/>
              <w:tab w:val="right" w:leader="dot" w:pos="9628"/>
            </w:tabs>
            <w:rPr>
              <w:rFonts w:cstheme="minorBidi"/>
              <w:kern w:val="2"/>
              <w:sz w:val="21"/>
            </w:rPr>
          </w:pPr>
          <w:r>
            <w:fldChar w:fldCharType="begin"/>
          </w:r>
          <w:r>
            <w:instrText xml:space="preserve"> HYPERLINK \l "_Toc478210081" </w:instrText>
          </w:r>
          <w:r>
            <w:fldChar w:fldCharType="separate"/>
          </w:r>
          <w:r>
            <w:rPr>
              <w:rStyle w:val="12"/>
              <w:rFonts w:ascii="Arial" w:hAnsi="Arial" w:eastAsia="宋体" w:cs="Arial"/>
              <w:b/>
            </w:rPr>
            <w:t>B.</w:t>
          </w:r>
          <w:r>
            <w:rPr>
              <w:rFonts w:cstheme="minorBidi"/>
              <w:kern w:val="2"/>
              <w:sz w:val="21"/>
            </w:rPr>
            <w:tab/>
          </w:r>
          <w:r>
            <w:rPr>
              <w:rStyle w:val="12"/>
              <w:rFonts w:hint="eastAsia" w:ascii="Arial" w:hAnsi="Arial" w:eastAsia="宋体" w:cs="Arial"/>
              <w:b/>
            </w:rPr>
            <w:t>器械标签</w:t>
          </w:r>
          <w:r>
            <w:tab/>
          </w:r>
          <w:r>
            <w:fldChar w:fldCharType="begin"/>
          </w:r>
          <w:r>
            <w:instrText xml:space="preserve"> PAGEREF _Toc478210081 \h </w:instrText>
          </w:r>
          <w:r>
            <w:fldChar w:fldCharType="separate"/>
          </w:r>
          <w:r>
            <w:t>16</w:t>
          </w:r>
          <w:r>
            <w:fldChar w:fldCharType="end"/>
          </w:r>
          <w:r>
            <w:fldChar w:fldCharType="end"/>
          </w:r>
        </w:p>
        <w:p w14:paraId="4E8E7DC4">
          <w:pPr>
            <w:pStyle w:val="8"/>
            <w:tabs>
              <w:tab w:val="left" w:pos="840"/>
              <w:tab w:val="right" w:leader="dot" w:pos="9628"/>
            </w:tabs>
            <w:rPr>
              <w:rFonts w:cstheme="minorBidi"/>
              <w:kern w:val="2"/>
              <w:sz w:val="21"/>
            </w:rPr>
          </w:pPr>
          <w:r>
            <w:fldChar w:fldCharType="begin"/>
          </w:r>
          <w:r>
            <w:instrText xml:space="preserve"> HYPERLINK \l "_Toc478210082" </w:instrText>
          </w:r>
          <w:r>
            <w:fldChar w:fldCharType="separate"/>
          </w:r>
          <w:r>
            <w:rPr>
              <w:rStyle w:val="12"/>
              <w:rFonts w:ascii="Arial" w:hAnsi="Arial" w:eastAsia="宋体" w:cs="Arial"/>
              <w:b/>
            </w:rPr>
            <w:t>C.</w:t>
          </w:r>
          <w:r>
            <w:rPr>
              <w:rFonts w:cstheme="minorBidi"/>
              <w:kern w:val="2"/>
              <w:sz w:val="21"/>
            </w:rPr>
            <w:tab/>
          </w:r>
          <w:r>
            <w:rPr>
              <w:rStyle w:val="12"/>
              <w:rFonts w:hint="eastAsia" w:ascii="Arial" w:hAnsi="Arial" w:eastAsia="宋体" w:cs="Arial"/>
              <w:b/>
            </w:rPr>
            <w:t>包装标签</w:t>
          </w:r>
          <w:r>
            <w:tab/>
          </w:r>
          <w:r>
            <w:fldChar w:fldCharType="begin"/>
          </w:r>
          <w:r>
            <w:instrText xml:space="preserve"> PAGEREF _Toc478210082 \h </w:instrText>
          </w:r>
          <w:r>
            <w:fldChar w:fldCharType="separate"/>
          </w:r>
          <w:r>
            <w:t>16</w:t>
          </w:r>
          <w:r>
            <w:fldChar w:fldCharType="end"/>
          </w:r>
          <w:r>
            <w:fldChar w:fldCharType="end"/>
          </w:r>
        </w:p>
        <w:p w14:paraId="5F823D8F">
          <w:pPr>
            <w:pStyle w:val="8"/>
            <w:tabs>
              <w:tab w:val="left" w:pos="840"/>
              <w:tab w:val="right" w:leader="dot" w:pos="9628"/>
            </w:tabs>
            <w:rPr>
              <w:rFonts w:cstheme="minorBidi"/>
              <w:kern w:val="2"/>
              <w:sz w:val="21"/>
            </w:rPr>
          </w:pPr>
          <w:r>
            <w:fldChar w:fldCharType="begin"/>
          </w:r>
          <w:r>
            <w:instrText xml:space="preserve"> HYPERLINK \l "_Toc478210083" </w:instrText>
          </w:r>
          <w:r>
            <w:fldChar w:fldCharType="separate"/>
          </w:r>
          <w:r>
            <w:rPr>
              <w:rStyle w:val="12"/>
              <w:rFonts w:ascii="Arial" w:hAnsi="Arial" w:eastAsia="宋体" w:cs="Arial"/>
              <w:b/>
            </w:rPr>
            <w:t>D.</w:t>
          </w:r>
          <w:r>
            <w:rPr>
              <w:rFonts w:cstheme="minorBidi"/>
              <w:kern w:val="2"/>
              <w:sz w:val="21"/>
            </w:rPr>
            <w:tab/>
          </w:r>
          <w:r>
            <w:rPr>
              <w:rStyle w:val="12"/>
              <w:rFonts w:hint="eastAsia" w:ascii="Arial" w:hAnsi="Arial" w:eastAsia="宋体" w:cs="Arial"/>
              <w:b/>
            </w:rPr>
            <w:t>特殊部件的标签</w:t>
          </w:r>
          <w:r>
            <w:tab/>
          </w:r>
          <w:r>
            <w:fldChar w:fldCharType="begin"/>
          </w:r>
          <w:r>
            <w:instrText xml:space="preserve"> PAGEREF _Toc478210083 \h </w:instrText>
          </w:r>
          <w:r>
            <w:fldChar w:fldCharType="separate"/>
          </w:r>
          <w:r>
            <w:t>16</w:t>
          </w:r>
          <w:r>
            <w:fldChar w:fldCharType="end"/>
          </w:r>
          <w:r>
            <w:fldChar w:fldCharType="end"/>
          </w:r>
        </w:p>
        <w:p w14:paraId="6F60AF19">
          <w:pPr>
            <w:pStyle w:val="7"/>
            <w:rPr>
              <w:rFonts w:cstheme="minorBidi"/>
              <w:kern w:val="2"/>
              <w:sz w:val="21"/>
            </w:rPr>
          </w:pPr>
          <w:r>
            <w:fldChar w:fldCharType="begin"/>
          </w:r>
          <w:r>
            <w:instrText xml:space="preserve"> HYPERLINK \l "_Toc478210084" </w:instrText>
          </w:r>
          <w:r>
            <w:fldChar w:fldCharType="separate"/>
          </w:r>
          <w:r>
            <w:rPr>
              <w:rStyle w:val="12"/>
              <w:rFonts w:hint="eastAsia" w:ascii="Arial" w:hAnsi="Arial" w:eastAsia="宋体" w:cs="Arial"/>
              <w:b/>
            </w:rPr>
            <w:t>附录</w:t>
          </w:r>
          <w:r>
            <w:rPr>
              <w:rStyle w:val="12"/>
              <w:rFonts w:ascii="Arial" w:hAnsi="Arial" w:eastAsia="宋体" w:cs="Arial"/>
              <w:b/>
            </w:rPr>
            <w:t xml:space="preserve">A. </w:t>
          </w:r>
          <w:r>
            <w:rPr>
              <w:rStyle w:val="12"/>
              <w:rFonts w:hint="eastAsia" w:ascii="Arial" w:hAnsi="Arial" w:eastAsia="宋体" w:cs="Arial"/>
              <w:b/>
            </w:rPr>
            <w:t>术语表</w:t>
          </w:r>
          <w:r>
            <w:tab/>
          </w:r>
          <w:r>
            <w:fldChar w:fldCharType="begin"/>
          </w:r>
          <w:r>
            <w:instrText xml:space="preserve"> PAGEREF _Toc478210084 \h </w:instrText>
          </w:r>
          <w:r>
            <w:fldChar w:fldCharType="separate"/>
          </w:r>
          <w:r>
            <w:t>18</w:t>
          </w:r>
          <w:r>
            <w:fldChar w:fldCharType="end"/>
          </w:r>
          <w:r>
            <w:fldChar w:fldCharType="end"/>
          </w:r>
        </w:p>
        <w:p w14:paraId="44FEBCBA">
          <w:r>
            <w:rPr>
              <w:b/>
              <w:bCs/>
              <w:lang w:val="zh-CN"/>
            </w:rPr>
            <w:fldChar w:fldCharType="end"/>
          </w:r>
        </w:p>
      </w:sdtContent>
    </w:sdt>
    <w:p w14:paraId="0E94EF64">
      <w:pPr>
        <w:spacing w:line="312" w:lineRule="auto"/>
        <w:rPr>
          <w:rFonts w:ascii="Arial" w:hAnsi="Arial" w:eastAsia="宋体" w:cs="Arial"/>
          <w:szCs w:val="21"/>
        </w:rPr>
        <w:sectPr>
          <w:pgSz w:w="11906" w:h="16838"/>
          <w:pgMar w:top="1134" w:right="1134" w:bottom="1134" w:left="1134" w:header="720" w:footer="720" w:gutter="0"/>
          <w:pgNumType w:fmt="lowerRoman" w:start="3"/>
          <w:cols w:space="720" w:num="1"/>
          <w:docGrid w:type="lines" w:linePitch="312" w:charSpace="0"/>
        </w:sectPr>
      </w:pPr>
    </w:p>
    <w:p w14:paraId="26776322">
      <w:pPr>
        <w:spacing w:line="312" w:lineRule="auto"/>
        <w:jc w:val="center"/>
        <w:rPr>
          <w:rFonts w:ascii="Arial" w:hAnsi="Arial" w:eastAsia="宋体" w:cs="Arial"/>
          <w:b/>
          <w:sz w:val="48"/>
          <w:szCs w:val="48"/>
        </w:rPr>
      </w:pPr>
      <w:bookmarkStart w:id="2" w:name="OLE_LINK54"/>
      <w:bookmarkStart w:id="3" w:name="OLE_LINK53"/>
      <w:r>
        <w:rPr>
          <w:rFonts w:ascii="Arial" w:hAnsi="Arial" w:eastAsia="宋体" w:cs="Arial"/>
          <w:b/>
          <w:sz w:val="48"/>
          <w:szCs w:val="4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1014730</wp:posOffset>
                </wp:positionV>
                <wp:extent cx="60579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9.9pt;height:0pt;width:477pt;z-index:251661312;mso-width-relative:page;mso-height-relative:page;" filled="f" stroked="t" coordsize="21600,21600" o:gfxdata="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qTyCtQAAAAIAQAADwAA&#10;AAAAAAABACAAAAAiAAAAZHJzL2Rvd25yZXYueG1sUEsBAhQAFAAAAAgAh07iQAk73hjhAQAAsQMA&#10;AA4AAAAAAAAAAQAgAAAAIwEAAGRycy9lMm9Eb2MueG1sUEsFBgAAAAAGAAYAWQEAAHYFAAAAAA==&#10;">
                <v:fill on="f" focussize="0,0"/>
                <v:stroke weight="0.5pt" color="#000000 [3213]" miterlimit="8" joinstyle="miter"/>
                <v:imagedata o:title=""/>
                <o:lock v:ext="edit" aspectratio="f"/>
              </v:line>
            </w:pict>
          </mc:Fallback>
        </mc:AlternateContent>
      </w:r>
      <w:r>
        <w:rPr>
          <w:rFonts w:ascii="Arial" w:hAnsi="Arial" w:eastAsia="宋体" w:cs="Arial"/>
          <w:b/>
          <w:sz w:val="48"/>
          <w:szCs w:val="48"/>
        </w:rPr>
        <w:t>一般外科用</w:t>
      </w:r>
      <w:bookmarkStart w:id="4" w:name="OLE_LINK4"/>
      <w:bookmarkStart w:id="5" w:name="OLE_LINK3"/>
      <w:r>
        <w:rPr>
          <w:rFonts w:ascii="Arial" w:hAnsi="Arial" w:eastAsia="宋体" w:cs="Arial"/>
          <w:b/>
          <w:sz w:val="48"/>
          <w:szCs w:val="48"/>
        </w:rPr>
        <w:t>电外科</w:t>
      </w:r>
      <w:bookmarkEnd w:id="4"/>
      <w:bookmarkEnd w:id="5"/>
      <w:r>
        <w:rPr>
          <w:rFonts w:ascii="Arial" w:hAnsi="Arial" w:eastAsia="宋体" w:cs="Arial"/>
          <w:b/>
          <w:sz w:val="48"/>
          <w:szCs w:val="48"/>
        </w:rPr>
        <w:t>设备上市前</w:t>
      </w:r>
      <w:r>
        <w:rPr>
          <w:rFonts w:ascii="Arial" w:hAnsi="Arial" w:eastAsia="宋体" w:cs="Arial"/>
          <w:b/>
          <w:sz w:val="48"/>
          <w:szCs w:val="48"/>
        </w:rPr>
        <w:br w:type="textWrapping"/>
      </w:r>
      <w:r>
        <w:rPr>
          <w:rFonts w:ascii="Arial" w:hAnsi="Arial" w:eastAsia="宋体" w:cs="Arial"/>
          <w:b/>
          <w:sz w:val="48"/>
          <w:szCs w:val="48"/>
        </w:rPr>
        <w:t>通知510(k)递交</w:t>
      </w:r>
      <w:bookmarkEnd w:id="2"/>
      <w:bookmarkEnd w:id="3"/>
      <w:r>
        <w:rPr>
          <w:rFonts w:ascii="Arial" w:hAnsi="Arial" w:eastAsia="宋体" w:cs="Arial"/>
          <w:b/>
          <w:sz w:val="48"/>
          <w:szCs w:val="48"/>
        </w:rPr>
        <w:t>要求</w:t>
      </w:r>
      <w:r>
        <w:rPr>
          <w:rFonts w:ascii="Arial" w:hAnsi="Arial" w:eastAsia="宋体" w:cs="Arial"/>
          <w:b/>
          <w:sz w:val="48"/>
          <w:szCs w:val="48"/>
        </w:rPr>
        <w:br w:type="textWrapping"/>
      </w:r>
    </w:p>
    <w:p w14:paraId="11495A79">
      <w:pPr>
        <w:spacing w:line="312" w:lineRule="auto"/>
        <w:jc w:val="center"/>
        <w:rPr>
          <w:rFonts w:ascii="Arial" w:hAnsi="Arial" w:eastAsia="宋体" w:cs="Arial"/>
          <w:b/>
          <w:sz w:val="48"/>
          <w:szCs w:val="48"/>
        </w:rPr>
      </w:pPr>
      <w:r>
        <w:rPr>
          <w:rFonts w:ascii="Arial" w:hAnsi="Arial" w:eastAsia="宋体" w:cs="Arial"/>
          <w:b/>
          <w:sz w:val="48"/>
          <w:szCs w:val="48"/>
        </w:rPr>
        <w:t>行业与FDA工作人员指南</w:t>
      </w:r>
    </w:p>
    <w:p w14:paraId="38727D7E">
      <w:pPr>
        <w:spacing w:line="312" w:lineRule="auto"/>
        <w:rPr>
          <w:rFonts w:ascii="Arial" w:hAnsi="Arial" w:eastAsia="宋体" w:cs="Arial"/>
        </w:rPr>
      </w:pPr>
    </w:p>
    <w:p w14:paraId="58A2814D">
      <w:pPr>
        <w:pBdr>
          <w:top w:val="single" w:color="auto" w:sz="24" w:space="1"/>
          <w:left w:val="single" w:color="auto" w:sz="24" w:space="4"/>
          <w:bottom w:val="single" w:color="auto" w:sz="24" w:space="1"/>
          <w:right w:val="single" w:color="auto" w:sz="24" w:space="4"/>
          <w:between w:val="single" w:color="auto" w:sz="24" w:space="1"/>
        </w:pBdr>
        <w:spacing w:line="312" w:lineRule="auto"/>
        <w:rPr>
          <w:rFonts w:ascii="Arial" w:hAnsi="Arial" w:eastAsia="宋体" w:cs="Arial"/>
        </w:rPr>
      </w:pPr>
      <w:r>
        <w:rPr>
          <w:rFonts w:ascii="Arial" w:hAnsi="Arial" w:eastAsia="宋体" w:cs="Arial"/>
        </w:rPr>
        <w:t>本指导文件代表了食品与药品监督管理局（FDA）针对本问题的当前的思考。其不赋予任何人任何权利，也不对FDA或公众产生任何约束。您也可以选择其他能够满足适用的法律法规的方法。如要讨论其他可行的方法，如要讨论其他方法，请联系按照指南页列出FDA工作人员或负责本指南的办公室。</w:t>
      </w:r>
    </w:p>
    <w:p w14:paraId="04103E28">
      <w:pPr>
        <w:spacing w:line="312" w:lineRule="auto"/>
        <w:rPr>
          <w:rFonts w:ascii="Arial" w:hAnsi="Arial" w:eastAsia="宋体" w:cs="Arial"/>
        </w:rPr>
      </w:pPr>
    </w:p>
    <w:p w14:paraId="72AA3921">
      <w:pPr>
        <w:pStyle w:val="13"/>
        <w:numPr>
          <w:ilvl w:val="0"/>
          <w:numId w:val="1"/>
        </w:numPr>
        <w:spacing w:line="312" w:lineRule="auto"/>
        <w:ind w:firstLineChars="0"/>
        <w:outlineLvl w:val="0"/>
        <w:rPr>
          <w:rFonts w:ascii="Arial" w:hAnsi="Arial" w:eastAsia="宋体" w:cs="Arial"/>
          <w:b/>
          <w:sz w:val="28"/>
          <w:szCs w:val="28"/>
        </w:rPr>
      </w:pPr>
      <w:bookmarkStart w:id="6" w:name="_Toc478210059"/>
      <w:r>
        <w:rPr>
          <w:rFonts w:ascii="Arial" w:hAnsi="Arial" w:eastAsia="宋体" w:cs="Arial"/>
          <w:b/>
          <w:sz w:val="28"/>
          <w:szCs w:val="28"/>
        </w:rPr>
        <w:t>前言</w:t>
      </w:r>
      <w:bookmarkEnd w:id="6"/>
    </w:p>
    <w:p w14:paraId="66B4AD13">
      <w:pPr>
        <w:spacing w:before="156" w:beforeLines="50" w:after="156" w:afterLines="50" w:line="312" w:lineRule="auto"/>
        <w:rPr>
          <w:rFonts w:ascii="Arial" w:hAnsi="Arial" w:eastAsia="宋体" w:cs="Arial"/>
        </w:rPr>
      </w:pPr>
      <w:r>
        <w:rPr>
          <w:rFonts w:ascii="Arial" w:hAnsi="Arial" w:eastAsia="宋体" w:cs="Arial"/>
        </w:rPr>
        <w:t>FDA发布本指南文件旨在协助行业人员完成普通外科用电外科器械上市前通告510(k)的递交。这些器械用于组织的切割和/或切除，同时使用高频电流止血。在本指南中，电外科器械也可能被称作射频（RF）器械或高频（HF）器械。</w:t>
      </w:r>
    </w:p>
    <w:p w14:paraId="7883CE88">
      <w:pPr>
        <w:spacing w:before="156" w:beforeLines="50" w:after="156" w:afterLines="50" w:line="312" w:lineRule="auto"/>
        <w:rPr>
          <w:rFonts w:ascii="Arial" w:hAnsi="Arial" w:eastAsia="宋体" w:cs="Arial"/>
        </w:rPr>
      </w:pPr>
      <w:r>
        <w:rPr>
          <w:rFonts w:ascii="Arial" w:hAnsi="Arial" w:eastAsia="宋体" w:cs="Arial"/>
        </w:rPr>
        <w:t>本文件</w:t>
      </w:r>
      <w:r>
        <w:rPr>
          <w:rFonts w:hint="eastAsia" w:ascii="Arial" w:hAnsi="Arial" w:eastAsia="宋体" w:cs="Arial"/>
        </w:rPr>
        <w:t>参考的</w:t>
      </w:r>
      <w:r>
        <w:rPr>
          <w:rFonts w:ascii="Arial" w:hAnsi="Arial" w:eastAsia="宋体" w:cs="Arial"/>
        </w:rPr>
        <w:t>FDA</w:t>
      </w:r>
      <w:r>
        <w:rPr>
          <w:rFonts w:hint="eastAsia" w:ascii="Arial" w:hAnsi="Arial" w:eastAsia="宋体" w:cs="Arial"/>
        </w:rPr>
        <w:t>认可标准的现行版本，请参见</w:t>
      </w:r>
      <w:r>
        <w:rPr>
          <w:rFonts w:ascii="Arial" w:hAnsi="Arial" w:eastAsia="宋体" w:cs="Arial"/>
        </w:rPr>
        <w:t>FDA</w:t>
      </w:r>
      <w:r>
        <w:rPr>
          <w:rFonts w:hint="eastAsia" w:ascii="Arial" w:hAnsi="Arial" w:eastAsia="宋体" w:cs="Arial"/>
        </w:rPr>
        <w:t>认可的统一标准数据库，网址为</w:t>
      </w:r>
      <w:r>
        <w:rPr>
          <w:rFonts w:ascii="Arial" w:hAnsi="Arial" w:cs="Arial"/>
          <w:color w:val="0000FF"/>
          <w:sz w:val="23"/>
          <w:szCs w:val="23"/>
          <w:u w:val="single"/>
        </w:rPr>
        <w:t>http://www.accessdata.fda.gov/scripts/cdrh/cfdocs/cfStandards/search.cfm</w:t>
      </w:r>
      <w:r>
        <w:rPr>
          <w:rFonts w:ascii="Arial" w:hAnsi="Arial" w:eastAsia="宋体" w:cs="Arial"/>
        </w:rPr>
        <w:t>。关于在医疗器械的上市前申请评估中如何识别和使用</w:t>
      </w:r>
      <w:r>
        <w:rPr>
          <w:rFonts w:hint="eastAsia" w:ascii="Arial" w:hAnsi="Arial" w:eastAsia="宋体" w:cs="Arial"/>
        </w:rPr>
        <w:t>国内外统一标准的更多信息，请参考</w:t>
      </w:r>
      <w:r>
        <w:rPr>
          <w:rFonts w:ascii="Arial" w:hAnsi="Arial" w:eastAsia="宋体" w:cs="Arial"/>
        </w:rPr>
        <w:t>FDA</w:t>
      </w:r>
      <w:r>
        <w:rPr>
          <w:rFonts w:hint="eastAsia" w:ascii="Arial" w:hAnsi="Arial" w:eastAsia="宋体" w:cs="Arial"/>
        </w:rPr>
        <w:t>文件</w:t>
      </w:r>
      <w:r>
        <w:rPr>
          <w:rFonts w:ascii="Arial" w:hAnsi="Arial" w:eastAsia="宋体" w:cs="Arial"/>
        </w:rPr>
        <w:t>“</w:t>
      </w:r>
      <w:r>
        <w:rPr>
          <w:rFonts w:hint="eastAsia" w:ascii="Arial" w:hAnsi="Arial" w:eastAsia="宋体" w:cs="Arial"/>
          <w:u w:val="single"/>
        </w:rPr>
        <w:t>行业和</w:t>
      </w:r>
      <w:r>
        <w:rPr>
          <w:rFonts w:ascii="Arial" w:hAnsi="Arial" w:eastAsia="宋体" w:cs="Arial"/>
          <w:u w:val="single"/>
        </w:rPr>
        <w:t>FDA</w:t>
      </w:r>
      <w:r>
        <w:rPr>
          <w:rFonts w:hint="eastAsia" w:ascii="Arial" w:hAnsi="Arial" w:eastAsia="宋体" w:cs="Arial"/>
          <w:u w:val="single"/>
        </w:rPr>
        <w:t>工作人员指南</w:t>
      </w:r>
      <w:r>
        <w:rPr>
          <w:rFonts w:ascii="Arial" w:hAnsi="Arial" w:eastAsia="宋体" w:cs="Arial"/>
          <w:u w:val="single"/>
        </w:rPr>
        <w:t>—</w:t>
      </w:r>
      <w:r>
        <w:rPr>
          <w:rFonts w:hint="eastAsia" w:ascii="Arial" w:hAnsi="Arial" w:eastAsia="宋体" w:cs="Arial"/>
          <w:u w:val="single"/>
        </w:rPr>
        <w:t>识别和使用统一标准。</w:t>
      </w:r>
      <w:r>
        <w:rPr>
          <w:rFonts w:ascii="Arial" w:hAnsi="Arial" w:eastAsia="宋体" w:cs="Arial"/>
        </w:rPr>
        <w:t>”</w:t>
      </w:r>
    </w:p>
    <w:p w14:paraId="429D3E8C">
      <w:pPr>
        <w:spacing w:before="156" w:beforeLines="50" w:after="156" w:afterLines="50" w:line="312" w:lineRule="auto"/>
        <w:rPr>
          <w:rFonts w:ascii="Arial" w:hAnsi="Arial" w:eastAsia="宋体" w:cs="Arial"/>
        </w:rPr>
      </w:pPr>
      <w:r>
        <w:rPr>
          <w:rFonts w:ascii="Arial" w:hAnsi="Arial" w:eastAsia="宋体" w:cs="Arial"/>
        </w:rPr>
        <w:t>FDA的指导性文件，包括本指南在内，均不产生法律上强制执行的责任。然而，指南文件体现了机构对某一问题的当前考虑情况，并应仅视为建议，除引用的特定法规或法律要求外。机构指导文件中的“应当”表示建议或建议，而非要求。</w:t>
      </w:r>
    </w:p>
    <w:p w14:paraId="4E245C13">
      <w:pPr>
        <w:spacing w:before="156" w:beforeLines="50" w:after="156" w:afterLines="50" w:line="312" w:lineRule="auto"/>
        <w:rPr>
          <w:rFonts w:ascii="Arial" w:hAnsi="Arial" w:eastAsia="宋体" w:cs="Arial"/>
        </w:rPr>
      </w:pPr>
    </w:p>
    <w:p w14:paraId="2C56A85F">
      <w:pPr>
        <w:widowControl/>
        <w:rPr>
          <w:rFonts w:ascii="Arial" w:hAnsi="Arial" w:eastAsia="宋体" w:cs="Arial"/>
          <w:b/>
          <w:sz w:val="28"/>
          <w:szCs w:val="28"/>
        </w:rPr>
      </w:pPr>
      <w:r>
        <w:rPr>
          <w:rFonts w:ascii="Arial" w:hAnsi="Arial" w:eastAsia="宋体" w:cs="Arial"/>
          <w:b/>
          <w:sz w:val="28"/>
          <w:szCs w:val="28"/>
        </w:rPr>
        <w:br w:type="page"/>
      </w:r>
    </w:p>
    <w:p w14:paraId="25339805">
      <w:pPr>
        <w:pStyle w:val="13"/>
        <w:numPr>
          <w:ilvl w:val="0"/>
          <w:numId w:val="1"/>
        </w:numPr>
        <w:spacing w:line="312" w:lineRule="auto"/>
        <w:ind w:firstLineChars="0"/>
        <w:outlineLvl w:val="0"/>
        <w:rPr>
          <w:rFonts w:ascii="Arial" w:hAnsi="Arial" w:eastAsia="宋体" w:cs="Arial"/>
          <w:b/>
          <w:sz w:val="28"/>
          <w:szCs w:val="28"/>
        </w:rPr>
      </w:pPr>
      <w:bookmarkStart w:id="7" w:name="_Toc478210060"/>
      <w:r>
        <w:rPr>
          <w:rFonts w:ascii="Arial" w:hAnsi="Arial" w:eastAsia="宋体" w:cs="Arial"/>
          <w:b/>
          <w:sz w:val="28"/>
          <w:szCs w:val="28"/>
        </w:rPr>
        <w:t>范围</w:t>
      </w:r>
      <w:bookmarkEnd w:id="7"/>
    </w:p>
    <w:p w14:paraId="4E812741">
      <w:pPr>
        <w:spacing w:before="156" w:beforeLines="50" w:after="156" w:afterLines="50" w:line="312" w:lineRule="auto"/>
        <w:rPr>
          <w:rFonts w:ascii="Arial" w:hAnsi="Arial" w:eastAsia="宋体" w:cs="Arial"/>
        </w:rPr>
      </w:pPr>
      <w:r>
        <w:rPr>
          <w:rFonts w:ascii="Arial" w:hAnsi="Arial" w:eastAsia="宋体" w:cs="Arial"/>
        </w:rPr>
        <w:t>本指导文件的范围仅限于按照以下规定编号分类的II类电外科设备和附件：</w:t>
      </w:r>
    </w:p>
    <w:p w14:paraId="18B882FE">
      <w:pPr>
        <w:spacing w:before="156" w:beforeLines="50" w:after="156" w:afterLines="50" w:line="312" w:lineRule="auto"/>
        <w:ind w:firstLine="462" w:firstLineChars="220"/>
        <w:rPr>
          <w:rFonts w:ascii="Arial" w:hAnsi="Arial" w:eastAsia="宋体" w:cs="Arial"/>
        </w:rPr>
      </w:pPr>
      <w:r>
        <w:rPr>
          <w:rFonts w:hint="eastAsia" w:ascii="Arial" w:hAnsi="Arial" w:eastAsia="宋体" w:cs="Arial"/>
        </w:rPr>
        <w:t>第</w:t>
      </w:r>
      <w:r>
        <w:rPr>
          <w:rFonts w:ascii="Arial" w:hAnsi="Arial" w:eastAsia="宋体" w:cs="Arial"/>
        </w:rPr>
        <w:t>878.4400</w:t>
      </w:r>
      <w:r>
        <w:rPr>
          <w:rFonts w:hint="eastAsia" w:ascii="Arial" w:hAnsi="Arial" w:eastAsia="宋体" w:cs="Arial"/>
        </w:rPr>
        <w:t>节，电外科切割与凝血器械与附件。</w:t>
      </w:r>
    </w:p>
    <w:p w14:paraId="4CD619CD">
      <w:pPr>
        <w:spacing w:before="156" w:beforeLines="50" w:after="156" w:afterLines="50" w:line="312" w:lineRule="auto"/>
        <w:ind w:firstLine="462" w:firstLineChars="220"/>
        <w:rPr>
          <w:rFonts w:ascii="Arial" w:hAnsi="Arial" w:eastAsia="宋体" w:cs="Arial"/>
        </w:rPr>
      </w:pPr>
      <w:r>
        <w:rPr>
          <w:rFonts w:hint="eastAsia" w:ascii="Arial" w:hAnsi="Arial" w:eastAsia="宋体" w:cs="Arial"/>
        </w:rPr>
        <w:t>电外科切割与凝血器械与附件旨在使用高频电流进行组织切除和止血。</w:t>
      </w:r>
    </w:p>
    <w:p w14:paraId="0590A4BD">
      <w:pPr>
        <w:spacing w:before="156" w:beforeLines="50" w:after="156" w:afterLines="50" w:line="312" w:lineRule="auto"/>
        <w:rPr>
          <w:rFonts w:ascii="Arial" w:hAnsi="Arial" w:eastAsia="宋体" w:cs="Arial"/>
        </w:rPr>
      </w:pPr>
      <w:r>
        <w:rPr>
          <w:rFonts w:ascii="Arial" w:hAnsi="Arial" w:eastAsia="宋体" w:cs="Arial"/>
        </w:rPr>
        <w:t>本指南仅针对用于一般的组织切割和/或切除的电外科器械。如果您的器械用于特殊适应症，则可能会需要其他的信息（如其他的工作台和/或临床数据）或发现新的适应症。关于此问题的更多信息请参考FDA文件“</w:t>
      </w:r>
      <w:r>
        <w:rPr>
          <w:rFonts w:ascii="Arial" w:hAnsi="Arial" w:eastAsia="宋体" w:cs="Arial"/>
          <w:color w:val="0000FF"/>
          <w:u w:val="single"/>
        </w:rPr>
        <w:t>行业指南：一般性/特殊性适应症。</w:t>
      </w:r>
      <w:r>
        <w:rPr>
          <w:rFonts w:ascii="Arial" w:hAnsi="Arial" w:eastAsia="宋体" w:cs="Arial"/>
        </w:rPr>
        <w:t>”</w:t>
      </w:r>
    </w:p>
    <w:p w14:paraId="6D2A5FAB">
      <w:pPr>
        <w:spacing w:before="156" w:beforeLines="50" w:after="156" w:afterLines="50" w:line="312" w:lineRule="auto"/>
        <w:rPr>
          <w:rFonts w:ascii="Arial" w:hAnsi="Arial" w:eastAsia="宋体" w:cs="Arial"/>
        </w:rPr>
      </w:pPr>
      <w:r>
        <w:rPr>
          <w:rFonts w:ascii="Arial" w:hAnsi="Arial" w:eastAsia="宋体" w:cs="Arial"/>
        </w:rPr>
        <w:t>也有电外科器械位于其他的医学分类（如21 CFR 872部分，牙科器械）本指南不适用于按以下规定分类的器械：</w:t>
      </w:r>
    </w:p>
    <w:p w14:paraId="560958C7">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第872.4920节牙科电外科单元及附件</w:t>
      </w:r>
    </w:p>
    <w:p w14:paraId="6034DA16">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第876.4300 节内窥镜电外科单元机附件</w:t>
      </w:r>
    </w:p>
    <w:p w14:paraId="069D127C">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第882.4400 节射频切口产生器</w:t>
      </w:r>
    </w:p>
    <w:p w14:paraId="3AE3AA2F">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第882.4725 节射频切口探针</w:t>
      </w:r>
    </w:p>
    <w:p w14:paraId="27F89937">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 xml:space="preserve">第884.4150节 </w:t>
      </w:r>
      <w:bookmarkStart w:id="8" w:name="OLE_LINK21"/>
      <w:bookmarkStart w:id="9" w:name="OLE_LINK22"/>
      <w:r>
        <w:rPr>
          <w:rFonts w:ascii="Arial" w:hAnsi="Arial" w:eastAsia="宋体" w:cs="Arial"/>
        </w:rPr>
        <w:t>双极内窥镜电凝切割刀片及</w:t>
      </w:r>
      <w:bookmarkEnd w:id="8"/>
      <w:bookmarkEnd w:id="9"/>
      <w:r>
        <w:rPr>
          <w:rFonts w:ascii="Arial" w:hAnsi="Arial" w:eastAsia="宋体" w:cs="Arial"/>
        </w:rPr>
        <w:t>附件</w:t>
      </w:r>
    </w:p>
    <w:p w14:paraId="1B733F90">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第884.4160 节单极内窥镜电凝切割刀片及附件</w:t>
      </w:r>
    </w:p>
    <w:p w14:paraId="318A7ED0">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第886.4100节 射频电外科烧灼器</w:t>
      </w:r>
    </w:p>
    <w:p w14:paraId="6590D3A2">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第886.4115节热烧灼单元</w:t>
      </w:r>
    </w:p>
    <w:p w14:paraId="787DD37D">
      <w:pPr>
        <w:spacing w:before="156" w:beforeLines="50" w:after="156" w:afterLines="50" w:line="312" w:lineRule="auto"/>
        <w:rPr>
          <w:rFonts w:ascii="Arial" w:hAnsi="Arial" w:eastAsia="宋体" w:cs="Arial"/>
        </w:rPr>
      </w:pPr>
      <w:r>
        <w:rPr>
          <w:rFonts w:ascii="Arial" w:hAnsi="Arial" w:eastAsia="宋体" w:cs="Arial"/>
        </w:rPr>
        <w:t>本指南适用于除组织切割和/或凝结之外还可能有多种使用方式或适应症的电外科器械。另外一些电外科器械可能同时用于开放手术和微创手术；在这些情况下本指南文件也适用。本指南也适用于关节镜检查器械。本指南不适用于腹腔电动切除器。</w:t>
      </w:r>
    </w:p>
    <w:p w14:paraId="73E77FE3">
      <w:pPr>
        <w:spacing w:before="156" w:beforeLines="50" w:after="156" w:afterLines="50" w:line="312" w:lineRule="auto"/>
        <w:rPr>
          <w:rFonts w:ascii="Arial" w:hAnsi="Arial" w:eastAsia="宋体" w:cs="Arial"/>
        </w:rPr>
      </w:pPr>
      <w:r>
        <w:rPr>
          <w:rFonts w:ascii="Arial" w:hAnsi="Arial" w:eastAsia="宋体" w:cs="Arial"/>
        </w:rPr>
        <w:t>另外，请注意，对于其他特定的适应症的电外科器械，我们提供了补充指南（如射频血管闭合器械）。在这些情况下，补充指南可能提供了其他的建议，或取代了本指南。我们建议您使用</w:t>
      </w:r>
      <w:r>
        <w:rPr>
          <w:rFonts w:ascii="Arial" w:hAnsi="Arial" w:eastAsia="宋体" w:cs="Arial"/>
          <w:color w:val="0000FF"/>
          <w:u w:val="single"/>
        </w:rPr>
        <w:t>FDA指南数据库</w:t>
      </w:r>
      <w:r>
        <w:rPr>
          <w:rFonts w:ascii="Arial" w:hAnsi="Arial" w:eastAsia="宋体" w:cs="Arial"/>
        </w:rPr>
        <w:t>对特定器械的补充指南进行搜索，或联系普通外科手术2部获取更多信息。</w:t>
      </w:r>
    </w:p>
    <w:p w14:paraId="6FC9DEDB">
      <w:pPr>
        <w:spacing w:before="156" w:beforeLines="50" w:after="156" w:afterLines="50" w:line="312" w:lineRule="auto"/>
        <w:rPr>
          <w:rFonts w:ascii="Arial" w:hAnsi="Arial" w:eastAsia="宋体" w:cs="Arial"/>
        </w:rPr>
      </w:pPr>
      <w:r>
        <w:rPr>
          <w:rFonts w:ascii="Arial" w:hAnsi="Arial" w:eastAsia="宋体" w:cs="Arial"/>
        </w:rPr>
        <w:t>如果一台新的器械将电外科器械与其他器械（如机械按摩器或低亮度光源）进行结合，成为一个统一的系统，并且不同器械需要同时运行或依次运行来达到理想的组织临床效应，则通常需要其他数据以证明新的器械与比较器械单独运行的情况具有实质等同性。我们建议您通过提交前流程与机构取得联系，以获取进一步的数据建议指南。有关提交前过程的信息，请参见FDA指南“</w:t>
      </w:r>
      <w:r>
        <w:rPr>
          <w:rFonts w:ascii="Arial" w:hAnsi="Arial" w:eastAsia="宋体" w:cs="Arial"/>
          <w:color w:val="0000FF"/>
          <w:u w:val="single"/>
        </w:rPr>
        <w:t>医疗器械申请的反馈需求：提交前项目以及与食品和药品监督管理局的工作人员进行会见。</w:t>
      </w:r>
      <w:r>
        <w:rPr>
          <w:rFonts w:ascii="Arial" w:hAnsi="Arial" w:eastAsia="宋体" w:cs="Arial"/>
        </w:rPr>
        <w:t>”</w:t>
      </w:r>
    </w:p>
    <w:p w14:paraId="034BF902">
      <w:pPr>
        <w:pStyle w:val="13"/>
        <w:numPr>
          <w:ilvl w:val="0"/>
          <w:numId w:val="1"/>
        </w:numPr>
        <w:spacing w:line="312" w:lineRule="auto"/>
        <w:ind w:firstLineChars="0"/>
        <w:outlineLvl w:val="0"/>
        <w:rPr>
          <w:rFonts w:ascii="Arial" w:hAnsi="Arial" w:eastAsia="宋体" w:cs="Arial"/>
          <w:b/>
          <w:sz w:val="28"/>
          <w:szCs w:val="28"/>
        </w:rPr>
      </w:pPr>
      <w:bookmarkStart w:id="10" w:name="_Toc478210061"/>
      <w:r>
        <w:rPr>
          <w:rFonts w:ascii="Arial" w:hAnsi="Arial" w:eastAsia="宋体" w:cs="Arial"/>
          <w:b/>
          <w:sz w:val="28"/>
          <w:szCs w:val="28"/>
        </w:rPr>
        <w:t>器械描述</w:t>
      </w:r>
      <w:bookmarkEnd w:id="10"/>
    </w:p>
    <w:p w14:paraId="2F0D5A33">
      <w:pPr>
        <w:spacing w:before="156" w:beforeLines="50" w:after="156" w:afterLines="50" w:line="312" w:lineRule="auto"/>
        <w:rPr>
          <w:rFonts w:ascii="Arial" w:hAnsi="Arial" w:eastAsia="宋体" w:cs="Arial"/>
        </w:rPr>
      </w:pPr>
      <w:r>
        <w:rPr>
          <w:rFonts w:ascii="Arial" w:hAnsi="Arial" w:eastAsia="宋体" w:cs="Arial"/>
        </w:rPr>
        <w:t>我们建议通过第II节中描述的适用法规编号来确定您的器械，并包含下列信息：</w:t>
      </w:r>
    </w:p>
    <w:p w14:paraId="5D37B724">
      <w:pPr>
        <w:pStyle w:val="13"/>
        <w:numPr>
          <w:ilvl w:val="0"/>
          <w:numId w:val="3"/>
        </w:numPr>
        <w:spacing w:before="156" w:beforeLines="50" w:after="156" w:afterLines="50" w:line="312" w:lineRule="auto"/>
        <w:ind w:left="851" w:hanging="425" w:firstLineChars="0"/>
        <w:outlineLvl w:val="1"/>
        <w:rPr>
          <w:rFonts w:ascii="Arial" w:hAnsi="Arial" w:eastAsia="宋体" w:cs="Arial"/>
          <w:b/>
          <w:sz w:val="24"/>
          <w:szCs w:val="24"/>
        </w:rPr>
      </w:pPr>
      <w:bookmarkStart w:id="11" w:name="_Toc478210062"/>
      <w:r>
        <w:rPr>
          <w:rFonts w:ascii="Arial" w:hAnsi="Arial" w:eastAsia="宋体" w:cs="Arial"/>
          <w:b/>
          <w:sz w:val="24"/>
          <w:szCs w:val="24"/>
        </w:rPr>
        <w:t>使用适应症</w:t>
      </w:r>
      <w:bookmarkEnd w:id="11"/>
    </w:p>
    <w:p w14:paraId="30370140">
      <w:pPr>
        <w:spacing w:before="156" w:beforeLines="50" w:after="156" w:afterLines="50" w:line="312" w:lineRule="auto"/>
        <w:ind w:left="851"/>
        <w:rPr>
          <w:rFonts w:ascii="Arial" w:hAnsi="Arial" w:eastAsia="宋体" w:cs="Arial"/>
        </w:rPr>
      </w:pPr>
      <w:r>
        <w:rPr>
          <w:rFonts w:ascii="Arial" w:hAnsi="Arial" w:eastAsia="宋体" w:cs="Arial"/>
        </w:rPr>
        <w:t>您应该提供器械使用适应症的清晰说明。使用说明书页对适应症陈述的使用适应症应当与510（k）总结（如果在510（k）声明中包含了该部分）的陈述以及器械标签的陈述相一致。您还应说明该器械为处方用器械（包括家用）还是非处方（OTC）器械，并相应地在使用说明书页的适应症中说明。</w:t>
      </w:r>
    </w:p>
    <w:p w14:paraId="14BC0DD7">
      <w:pPr>
        <w:pStyle w:val="13"/>
        <w:numPr>
          <w:ilvl w:val="0"/>
          <w:numId w:val="3"/>
        </w:numPr>
        <w:spacing w:before="156" w:beforeLines="50" w:after="156" w:afterLines="50" w:line="312" w:lineRule="auto"/>
        <w:ind w:left="851" w:hanging="425" w:firstLineChars="0"/>
        <w:outlineLvl w:val="1"/>
        <w:rPr>
          <w:rFonts w:ascii="Arial" w:hAnsi="Arial" w:eastAsia="宋体" w:cs="Arial"/>
          <w:b/>
          <w:sz w:val="24"/>
          <w:szCs w:val="24"/>
        </w:rPr>
      </w:pPr>
      <w:bookmarkStart w:id="12" w:name="_Toc478210063"/>
      <w:r>
        <w:rPr>
          <w:rFonts w:ascii="Arial" w:hAnsi="Arial" w:eastAsia="宋体" w:cs="Arial"/>
          <w:b/>
          <w:sz w:val="24"/>
          <w:szCs w:val="24"/>
        </w:rPr>
        <w:t>器械设计</w:t>
      </w:r>
      <w:bookmarkEnd w:id="12"/>
    </w:p>
    <w:p w14:paraId="37D761B5">
      <w:pPr>
        <w:spacing w:before="156" w:beforeLines="50" w:after="156" w:afterLines="50" w:line="312" w:lineRule="auto"/>
        <w:ind w:left="851"/>
        <w:rPr>
          <w:rFonts w:ascii="Arial" w:hAnsi="Arial" w:eastAsia="宋体" w:cs="Arial"/>
        </w:rPr>
      </w:pPr>
      <w:r>
        <w:rPr>
          <w:rFonts w:ascii="Arial" w:hAnsi="Arial" w:eastAsia="宋体" w:cs="Arial"/>
        </w:rPr>
        <w:t>您应该针对器械的运行原理及执行机制如何实现预期的效果提供一个简要的描述。如果器械包含多个部件或附件，并且部件/附件为申请的一部分，则需要提供一个所有部件/附件的清单，并给出相应的模型编号和/或部件号。在本指南中，电外科器械的部件/附件指的是电外科单元（ESU），有源部件/有源附件，中性电极，以及其他部件/附件。如果有的部件/附件已经获得了510（k）批准或豁免，则需要分别提供510（k）编号或标明豁免状态。</w:t>
      </w:r>
    </w:p>
    <w:p w14:paraId="5240B56D">
      <w:pPr>
        <w:spacing w:before="156" w:beforeLines="50" w:after="156" w:afterLines="50" w:line="312" w:lineRule="auto"/>
        <w:ind w:left="851" w:hanging="425"/>
        <w:rPr>
          <w:rFonts w:ascii="Arial" w:hAnsi="Arial" w:eastAsia="宋体" w:cs="Arial"/>
        </w:rPr>
      </w:pPr>
      <w:r>
        <w:rPr>
          <w:rFonts w:ascii="Arial" w:hAnsi="Arial" w:eastAsia="宋体" w:cs="Arial"/>
        </w:rPr>
        <w:t>关于器械设计您至少需要提供以下信息：</w:t>
      </w:r>
    </w:p>
    <w:p w14:paraId="2AE6509A">
      <w:pPr>
        <w:pStyle w:val="13"/>
        <w:numPr>
          <w:ilvl w:val="0"/>
          <w:numId w:val="4"/>
        </w:numPr>
        <w:spacing w:before="156" w:beforeLines="50" w:after="156" w:afterLines="50" w:line="312" w:lineRule="auto"/>
        <w:ind w:left="851" w:hanging="425" w:firstLineChars="0"/>
        <w:rPr>
          <w:rFonts w:ascii="Arial" w:hAnsi="Arial" w:eastAsia="宋体" w:cs="Arial"/>
          <w:b/>
        </w:rPr>
      </w:pPr>
      <w:r>
        <w:rPr>
          <w:rFonts w:ascii="Arial" w:hAnsi="Arial" w:eastAsia="宋体" w:cs="Arial"/>
          <w:b/>
        </w:rPr>
        <w:t>器械部件</w:t>
      </w:r>
    </w:p>
    <w:p w14:paraId="1DBB11B3">
      <w:pPr>
        <w:spacing w:before="156" w:beforeLines="50" w:after="156" w:afterLines="50" w:line="312" w:lineRule="auto"/>
        <w:ind w:left="851" w:hanging="425"/>
        <w:rPr>
          <w:rFonts w:ascii="Arial" w:hAnsi="Arial" w:eastAsia="宋体" w:cs="Arial"/>
        </w:rPr>
      </w:pPr>
      <w:r>
        <w:rPr>
          <w:rFonts w:ascii="Arial" w:hAnsi="Arial" w:eastAsia="宋体" w:cs="Arial"/>
        </w:rPr>
        <w:t>我们建议您提供一份包含所有适用于您申请的主要部件或附件的简要描述：</w:t>
      </w:r>
    </w:p>
    <w:p w14:paraId="02FA2BE3">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ESU（即发电机和控制台）主要功能，性能规格参数，以及物理规格。</w:t>
      </w:r>
    </w:p>
    <w:p w14:paraId="354F8714">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有源部件/附件（通常由一个或多个有源电极，有源接头或线缆，以及有源手柄或机头）</w:t>
      </w:r>
      <w:bookmarkStart w:id="13" w:name="OLE_LINK27"/>
      <w:bookmarkStart w:id="14" w:name="OLE_LINK28"/>
      <w:r>
        <w:rPr>
          <w:rFonts w:ascii="Arial" w:hAnsi="Arial" w:eastAsia="宋体" w:cs="Arial"/>
        </w:rPr>
        <w:t>设计，物理规格，以及与患者接触的材料。</w:t>
      </w:r>
      <w:bookmarkEnd w:id="13"/>
      <w:bookmarkEnd w:id="14"/>
    </w:p>
    <w:p w14:paraId="2B9A92E5">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中性电极（也常称为</w:t>
      </w:r>
      <w:bookmarkStart w:id="15" w:name="OLE_LINK43"/>
      <w:bookmarkStart w:id="16" w:name="OLE_LINK42"/>
      <w:r>
        <w:rPr>
          <w:rFonts w:ascii="Arial" w:hAnsi="Arial" w:eastAsia="宋体" w:cs="Arial"/>
        </w:rPr>
        <w:t>扩散电极、接地端、患者反馈电极，或被动/板状电极</w:t>
      </w:r>
      <w:bookmarkEnd w:id="15"/>
      <w:bookmarkEnd w:id="16"/>
      <w:r>
        <w:rPr>
          <w:rFonts w:ascii="Arial" w:hAnsi="Arial" w:eastAsia="宋体" w:cs="Arial"/>
        </w:rPr>
        <w:t>）设计，物理规格，以及与患者接触的材料。</w:t>
      </w:r>
    </w:p>
    <w:p w14:paraId="0B38CA57">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其他附件如脚踏开关，灌溉泵，吸引器或排烟器械等。</w:t>
      </w:r>
    </w:p>
    <w:p w14:paraId="1E5DEC1D">
      <w:pPr>
        <w:pStyle w:val="13"/>
        <w:numPr>
          <w:ilvl w:val="0"/>
          <w:numId w:val="4"/>
        </w:numPr>
        <w:spacing w:before="156" w:beforeLines="50" w:after="156" w:afterLines="50" w:line="312" w:lineRule="auto"/>
        <w:ind w:left="851" w:hanging="425" w:firstLineChars="0"/>
        <w:rPr>
          <w:rFonts w:ascii="Arial" w:hAnsi="Arial" w:eastAsia="宋体" w:cs="Arial"/>
          <w:b/>
        </w:rPr>
      </w:pPr>
      <w:r>
        <w:rPr>
          <w:rFonts w:ascii="Arial" w:hAnsi="Arial" w:eastAsia="宋体" w:cs="Arial"/>
          <w:b/>
        </w:rPr>
        <w:t>特殊部件/附件的申请</w:t>
      </w:r>
    </w:p>
    <w:p w14:paraId="186A28FC">
      <w:pPr>
        <w:spacing w:before="156" w:beforeLines="50" w:after="156" w:afterLines="50" w:line="312" w:lineRule="auto"/>
        <w:ind w:left="851"/>
        <w:rPr>
          <w:rFonts w:ascii="Arial" w:hAnsi="Arial" w:eastAsia="宋体" w:cs="Arial"/>
        </w:rPr>
      </w:pPr>
      <w:r>
        <w:rPr>
          <w:rFonts w:ascii="Arial" w:hAnsi="Arial" w:eastAsia="宋体" w:cs="Arial"/>
        </w:rPr>
        <w:t>如果您申请批准某一特定的部件或附件而非整个血管封闭器械，则您应该对该部件/附件进行描述。您应该讨论该部件/附件如何进行使用。例如，如果申请的器械为有源电极，并且该电极仅标识为与已经上市的某款器械共同使用，则您应该提供性能测试数据（见第XI部分，性能数据）来证明其与您已上市的器械相容。同时，您应该解决该有源部件与其他生产厂商的ESU配合使用的情况，并确定相关的风险。在风险评估中，您应该指明是否在器械设计的过程中引入了特殊的机制来防止该有源部件与其他厂商产品共同使用，因为在这种情况下生物相容性情况并不明确。在风险评估的基础上，您还需要提供其他的性能测试，以证明与其他制造商的器械共同使用时，该部件安全且有效。</w:t>
      </w:r>
    </w:p>
    <w:p w14:paraId="185E03D7">
      <w:pPr>
        <w:pStyle w:val="13"/>
        <w:numPr>
          <w:ilvl w:val="0"/>
          <w:numId w:val="4"/>
        </w:numPr>
        <w:spacing w:before="156" w:beforeLines="50" w:after="156" w:afterLines="50" w:line="312" w:lineRule="auto"/>
        <w:ind w:left="993" w:firstLineChars="0"/>
        <w:rPr>
          <w:rFonts w:ascii="Arial" w:hAnsi="Arial" w:eastAsia="宋体" w:cs="Arial"/>
          <w:b/>
        </w:rPr>
      </w:pPr>
      <w:r>
        <w:rPr>
          <w:rFonts w:ascii="Arial" w:hAnsi="Arial" w:eastAsia="宋体" w:cs="Arial"/>
          <w:b/>
        </w:rPr>
        <w:t>器械的图片和/或示意图</w:t>
      </w:r>
    </w:p>
    <w:p w14:paraId="0475F85E">
      <w:pPr>
        <w:spacing w:before="156" w:beforeLines="50" w:after="156" w:afterLines="50" w:line="312" w:lineRule="auto"/>
        <w:ind w:left="993"/>
        <w:rPr>
          <w:rFonts w:ascii="Arial" w:hAnsi="Arial" w:eastAsia="宋体" w:cs="Arial"/>
        </w:rPr>
      </w:pPr>
      <w:r>
        <w:rPr>
          <w:rFonts w:ascii="Arial" w:hAnsi="Arial" w:eastAsia="宋体" w:cs="Arial"/>
        </w:rPr>
        <w:t>我们建议您提供器械的高清图像、示意图和/或照片，其有助于解释功能和特征。我们还建议您提供器械的分解或各组成部件的示意图或连接图，并清晰地标出所有组成部件。</w:t>
      </w:r>
    </w:p>
    <w:p w14:paraId="6C78344F">
      <w:pPr>
        <w:spacing w:before="156" w:beforeLines="50" w:after="156" w:afterLines="50" w:line="312" w:lineRule="auto"/>
        <w:rPr>
          <w:rFonts w:ascii="Arial" w:hAnsi="Arial" w:eastAsia="宋体" w:cs="Arial"/>
        </w:rPr>
      </w:pPr>
    </w:p>
    <w:p w14:paraId="7A8C2E2D">
      <w:pPr>
        <w:pStyle w:val="13"/>
        <w:numPr>
          <w:ilvl w:val="0"/>
          <w:numId w:val="1"/>
        </w:numPr>
        <w:spacing w:line="312" w:lineRule="auto"/>
        <w:ind w:firstLineChars="0"/>
        <w:outlineLvl w:val="0"/>
        <w:rPr>
          <w:rFonts w:ascii="Arial" w:hAnsi="Arial" w:eastAsia="宋体" w:cs="Arial"/>
          <w:b/>
          <w:sz w:val="28"/>
          <w:szCs w:val="28"/>
        </w:rPr>
      </w:pPr>
      <w:bookmarkStart w:id="17" w:name="_Toc478210064"/>
      <w:r>
        <w:rPr>
          <w:rFonts w:ascii="Arial" w:hAnsi="Arial" w:eastAsia="宋体" w:cs="Arial"/>
          <w:b/>
          <w:sz w:val="28"/>
          <w:szCs w:val="28"/>
        </w:rPr>
        <w:t>实质等同性比较</w:t>
      </w:r>
      <w:bookmarkEnd w:id="17"/>
    </w:p>
    <w:p w14:paraId="1FB0A98D">
      <w:pPr>
        <w:spacing w:before="156" w:beforeLines="50" w:after="156" w:afterLines="50" w:line="312" w:lineRule="auto"/>
        <w:rPr>
          <w:rFonts w:ascii="Arial" w:hAnsi="Arial" w:eastAsia="宋体" w:cs="Arial"/>
        </w:rPr>
      </w:pPr>
      <w:r>
        <w:rPr>
          <w:rFonts w:ascii="Arial" w:hAnsi="Arial" w:eastAsia="宋体" w:cs="Arial"/>
        </w:rPr>
        <w:t>我们建议您根据21 CFR 807.87（f）的相关要求选择一种您认为在适应症和技术特性方面与您的器械实质等同的合法上市器械来进行比较。尽量使用表1所示的表格的形式对器械的每个部分进行比较。对于发现的差异，则需要对与比较器械差异进行进一步的讨论，说明为什么这种差异不会影响安全性与有效性。您应该提供性能信息来证明，即使存在显著差异，该器械仍然具有与比较器械相同的安全性和有效性。</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1"/>
        <w:gridCol w:w="1134"/>
        <w:gridCol w:w="1071"/>
      </w:tblGrid>
      <w:tr w14:paraId="2A1C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30FB0FCE">
            <w:pPr>
              <w:spacing w:before="31" w:beforeLines="10" w:after="31" w:afterLines="10" w:line="312" w:lineRule="auto"/>
              <w:rPr>
                <w:rFonts w:ascii="Arial" w:hAnsi="Arial" w:eastAsia="宋体" w:cs="Arial"/>
                <w:b/>
              </w:rPr>
            </w:pPr>
            <w:r>
              <w:rPr>
                <w:rFonts w:ascii="Arial" w:hAnsi="Arial" w:eastAsia="宋体" w:cs="Arial"/>
                <w:b/>
              </w:rPr>
              <w:t>描述</w:t>
            </w:r>
          </w:p>
        </w:tc>
        <w:tc>
          <w:tcPr>
            <w:tcW w:w="1134" w:type="dxa"/>
            <w:vAlign w:val="center"/>
          </w:tcPr>
          <w:p w14:paraId="6058B28C">
            <w:pPr>
              <w:spacing w:before="31" w:beforeLines="10" w:after="31" w:afterLines="10" w:line="312" w:lineRule="auto"/>
              <w:rPr>
                <w:rFonts w:ascii="Arial" w:hAnsi="Arial" w:eastAsia="宋体" w:cs="Arial"/>
                <w:b/>
              </w:rPr>
            </w:pPr>
            <w:r>
              <w:rPr>
                <w:rFonts w:ascii="Arial" w:hAnsi="Arial" w:eastAsia="宋体" w:cs="Arial"/>
                <w:b/>
              </w:rPr>
              <w:t>您的器械</w:t>
            </w:r>
          </w:p>
        </w:tc>
        <w:tc>
          <w:tcPr>
            <w:tcW w:w="1071" w:type="dxa"/>
            <w:vAlign w:val="center"/>
          </w:tcPr>
          <w:p w14:paraId="3C7FD7E2">
            <w:pPr>
              <w:spacing w:before="31" w:beforeLines="10" w:after="31" w:afterLines="10" w:line="312" w:lineRule="auto"/>
              <w:rPr>
                <w:rFonts w:ascii="Arial" w:hAnsi="Arial" w:eastAsia="宋体" w:cs="Arial"/>
                <w:b/>
              </w:rPr>
            </w:pPr>
            <w:r>
              <w:rPr>
                <w:rFonts w:ascii="Arial" w:hAnsi="Arial" w:eastAsia="宋体" w:cs="Arial"/>
                <w:b/>
              </w:rPr>
              <w:t>比较器械</w:t>
            </w:r>
          </w:p>
        </w:tc>
      </w:tr>
      <w:tr w14:paraId="05C5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41956BCA">
            <w:pPr>
              <w:spacing w:before="31" w:beforeLines="10" w:after="31" w:afterLines="10" w:line="312" w:lineRule="auto"/>
              <w:rPr>
                <w:rFonts w:ascii="Arial" w:hAnsi="Arial" w:eastAsia="宋体" w:cs="Arial"/>
              </w:rPr>
            </w:pPr>
            <w:r>
              <w:rPr>
                <w:rFonts w:ascii="Arial" w:hAnsi="Arial" w:eastAsia="宋体" w:cs="Arial"/>
              </w:rPr>
              <w:t>适应症</w:t>
            </w:r>
          </w:p>
        </w:tc>
        <w:tc>
          <w:tcPr>
            <w:tcW w:w="1134" w:type="dxa"/>
            <w:vAlign w:val="center"/>
          </w:tcPr>
          <w:p w14:paraId="4999B482">
            <w:pPr>
              <w:spacing w:before="31" w:beforeLines="10" w:after="31" w:afterLines="10" w:line="312" w:lineRule="auto"/>
              <w:rPr>
                <w:rFonts w:ascii="Arial" w:hAnsi="Arial" w:eastAsia="宋体" w:cs="Arial"/>
              </w:rPr>
            </w:pPr>
          </w:p>
        </w:tc>
        <w:tc>
          <w:tcPr>
            <w:tcW w:w="1071" w:type="dxa"/>
            <w:vAlign w:val="center"/>
          </w:tcPr>
          <w:p w14:paraId="52EBE0C9">
            <w:pPr>
              <w:spacing w:before="31" w:beforeLines="10" w:after="31" w:afterLines="10" w:line="312" w:lineRule="auto"/>
              <w:rPr>
                <w:rFonts w:ascii="Arial" w:hAnsi="Arial" w:eastAsia="宋体" w:cs="Arial"/>
              </w:rPr>
            </w:pPr>
          </w:p>
        </w:tc>
      </w:tr>
      <w:tr w14:paraId="5B98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7EBDA584">
            <w:pPr>
              <w:spacing w:before="31" w:beforeLines="10" w:after="31" w:afterLines="10" w:line="312" w:lineRule="auto"/>
              <w:rPr>
                <w:rFonts w:ascii="Arial" w:hAnsi="Arial" w:eastAsia="宋体" w:cs="Arial"/>
              </w:rPr>
            </w:pPr>
            <w:r>
              <w:rPr>
                <w:rFonts w:ascii="Arial" w:hAnsi="Arial" w:eastAsia="宋体" w:cs="Arial"/>
              </w:rPr>
              <w:t>处方类或非处方类</w:t>
            </w:r>
          </w:p>
        </w:tc>
        <w:tc>
          <w:tcPr>
            <w:tcW w:w="1134" w:type="dxa"/>
            <w:vAlign w:val="center"/>
          </w:tcPr>
          <w:p w14:paraId="1A650614">
            <w:pPr>
              <w:spacing w:before="31" w:beforeLines="10" w:after="31" w:afterLines="10" w:line="312" w:lineRule="auto"/>
              <w:rPr>
                <w:rFonts w:ascii="Arial" w:hAnsi="Arial" w:eastAsia="宋体" w:cs="Arial"/>
              </w:rPr>
            </w:pPr>
          </w:p>
        </w:tc>
        <w:tc>
          <w:tcPr>
            <w:tcW w:w="1071" w:type="dxa"/>
            <w:vAlign w:val="center"/>
          </w:tcPr>
          <w:p w14:paraId="2E566E34">
            <w:pPr>
              <w:spacing w:before="31" w:beforeLines="10" w:after="31" w:afterLines="10" w:line="312" w:lineRule="auto"/>
              <w:rPr>
                <w:rFonts w:ascii="Arial" w:hAnsi="Arial" w:eastAsia="宋体" w:cs="Arial"/>
              </w:rPr>
            </w:pPr>
          </w:p>
        </w:tc>
      </w:tr>
      <w:tr w14:paraId="0E68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430A65F1">
            <w:pPr>
              <w:spacing w:before="31" w:beforeLines="10" w:after="31" w:afterLines="10" w:line="312" w:lineRule="auto"/>
              <w:rPr>
                <w:rFonts w:ascii="Arial" w:hAnsi="Arial" w:eastAsia="宋体" w:cs="Arial"/>
              </w:rPr>
            </w:pPr>
            <w:r>
              <w:rPr>
                <w:rFonts w:ascii="Arial" w:hAnsi="Arial" w:eastAsia="宋体" w:cs="Arial"/>
              </w:rPr>
              <w:t>ESU</w:t>
            </w:r>
          </w:p>
          <w:p w14:paraId="166229B8">
            <w:pPr>
              <w:pStyle w:val="13"/>
              <w:numPr>
                <w:ilvl w:val="0"/>
                <w:numId w:val="6"/>
              </w:numPr>
              <w:spacing w:before="31" w:beforeLines="10" w:after="31" w:afterLines="10" w:line="312" w:lineRule="auto"/>
              <w:ind w:left="0" w:firstLine="0" w:firstLineChars="0"/>
              <w:rPr>
                <w:rFonts w:ascii="Arial" w:hAnsi="Arial" w:eastAsia="宋体" w:cs="Arial"/>
              </w:rPr>
            </w:pPr>
            <w:r>
              <w:rPr>
                <w:rFonts w:ascii="Arial" w:hAnsi="Arial" w:eastAsia="宋体" w:cs="Arial"/>
              </w:rPr>
              <w:t>主要功能（如双电极，单电极，温度感受器，阻抗监测，连续性检测）</w:t>
            </w:r>
          </w:p>
          <w:p w14:paraId="4E5DA81E">
            <w:pPr>
              <w:pStyle w:val="13"/>
              <w:numPr>
                <w:ilvl w:val="0"/>
                <w:numId w:val="6"/>
              </w:numPr>
              <w:spacing w:before="31" w:beforeLines="10" w:after="31" w:afterLines="10" w:line="312" w:lineRule="auto"/>
              <w:ind w:left="0" w:firstLine="0" w:firstLineChars="0"/>
              <w:rPr>
                <w:rFonts w:ascii="Arial" w:hAnsi="Arial" w:eastAsia="宋体" w:cs="Arial"/>
              </w:rPr>
            </w:pPr>
            <w:r>
              <w:rPr>
                <w:rFonts w:ascii="Arial" w:hAnsi="Arial" w:eastAsia="宋体" w:cs="Arial"/>
              </w:rPr>
              <w:t>性能参数（如输出频率，波形，输出电压，输出功率，峰值因数）</w:t>
            </w:r>
          </w:p>
          <w:p w14:paraId="5BC6234B">
            <w:pPr>
              <w:pStyle w:val="13"/>
              <w:numPr>
                <w:ilvl w:val="0"/>
                <w:numId w:val="6"/>
              </w:numPr>
              <w:spacing w:before="31" w:beforeLines="10" w:after="31" w:afterLines="10" w:line="312" w:lineRule="auto"/>
              <w:ind w:left="0" w:firstLine="0" w:firstLineChars="0"/>
              <w:rPr>
                <w:rFonts w:ascii="Arial" w:hAnsi="Arial" w:eastAsia="宋体" w:cs="Arial"/>
              </w:rPr>
            </w:pPr>
            <w:r>
              <w:rPr>
                <w:rFonts w:ascii="Arial" w:hAnsi="Arial" w:eastAsia="宋体" w:cs="Arial"/>
              </w:rPr>
              <w:t>物理参数</w:t>
            </w:r>
          </w:p>
        </w:tc>
        <w:tc>
          <w:tcPr>
            <w:tcW w:w="1134" w:type="dxa"/>
            <w:vAlign w:val="center"/>
          </w:tcPr>
          <w:p w14:paraId="6B313DEF">
            <w:pPr>
              <w:spacing w:before="31" w:beforeLines="10" w:after="31" w:afterLines="10" w:line="312" w:lineRule="auto"/>
              <w:rPr>
                <w:rFonts w:ascii="Arial" w:hAnsi="Arial" w:eastAsia="宋体" w:cs="Arial"/>
              </w:rPr>
            </w:pPr>
          </w:p>
        </w:tc>
        <w:tc>
          <w:tcPr>
            <w:tcW w:w="1071" w:type="dxa"/>
            <w:vAlign w:val="center"/>
          </w:tcPr>
          <w:p w14:paraId="086C87C0">
            <w:pPr>
              <w:spacing w:before="31" w:beforeLines="10" w:after="31" w:afterLines="10" w:line="312" w:lineRule="auto"/>
              <w:rPr>
                <w:rFonts w:ascii="Arial" w:hAnsi="Arial" w:eastAsia="宋体" w:cs="Arial"/>
              </w:rPr>
            </w:pPr>
          </w:p>
        </w:tc>
      </w:tr>
      <w:tr w14:paraId="6EB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32021D4B">
            <w:pPr>
              <w:spacing w:before="31" w:beforeLines="10" w:after="31" w:afterLines="10" w:line="312" w:lineRule="auto"/>
              <w:rPr>
                <w:rFonts w:ascii="Arial" w:hAnsi="Arial" w:eastAsia="宋体" w:cs="Arial"/>
              </w:rPr>
            </w:pPr>
            <w:r>
              <w:rPr>
                <w:rFonts w:ascii="Arial" w:hAnsi="Arial" w:eastAsia="宋体" w:cs="Arial"/>
              </w:rPr>
              <w:t>有源部件/附件</w:t>
            </w:r>
          </w:p>
          <w:p w14:paraId="6BB4D867">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单电极或双电极</w:t>
            </w:r>
          </w:p>
          <w:p w14:paraId="2F7E0993">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物理尺寸和设计（如尺寸，长度，接口类型）</w:t>
            </w:r>
          </w:p>
          <w:p w14:paraId="03BE339A">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额定电压</w:t>
            </w:r>
          </w:p>
          <w:p w14:paraId="5405BF7D">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材料（电极，绝缘材料，涂层等）</w:t>
            </w:r>
          </w:p>
        </w:tc>
        <w:tc>
          <w:tcPr>
            <w:tcW w:w="1134" w:type="dxa"/>
            <w:vAlign w:val="center"/>
          </w:tcPr>
          <w:p w14:paraId="1BCAC6E9">
            <w:pPr>
              <w:spacing w:before="31" w:beforeLines="10" w:after="31" w:afterLines="10" w:line="312" w:lineRule="auto"/>
              <w:rPr>
                <w:rFonts w:ascii="Arial" w:hAnsi="Arial" w:eastAsia="宋体" w:cs="Arial"/>
              </w:rPr>
            </w:pPr>
          </w:p>
        </w:tc>
        <w:tc>
          <w:tcPr>
            <w:tcW w:w="1071" w:type="dxa"/>
            <w:vAlign w:val="center"/>
          </w:tcPr>
          <w:p w14:paraId="67F829E4">
            <w:pPr>
              <w:spacing w:before="31" w:beforeLines="10" w:after="31" w:afterLines="10" w:line="312" w:lineRule="auto"/>
              <w:rPr>
                <w:rFonts w:ascii="Arial" w:hAnsi="Arial" w:eastAsia="宋体" w:cs="Arial"/>
              </w:rPr>
            </w:pPr>
          </w:p>
        </w:tc>
      </w:tr>
      <w:tr w14:paraId="23EF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385A4EDD">
            <w:pPr>
              <w:spacing w:before="31" w:beforeLines="10" w:after="31" w:afterLines="10" w:line="312" w:lineRule="auto"/>
              <w:rPr>
                <w:rFonts w:ascii="Arial" w:hAnsi="Arial" w:eastAsia="宋体" w:cs="Arial"/>
              </w:rPr>
            </w:pPr>
            <w:r>
              <w:rPr>
                <w:rFonts w:ascii="Arial" w:hAnsi="Arial" w:eastAsia="宋体" w:cs="Arial"/>
              </w:rPr>
              <w:t>中性电极</w:t>
            </w:r>
          </w:p>
          <w:p w14:paraId="3084CC12">
            <w:pPr>
              <w:pStyle w:val="13"/>
              <w:numPr>
                <w:ilvl w:val="0"/>
                <w:numId w:val="8"/>
              </w:numPr>
              <w:spacing w:before="31" w:beforeLines="10" w:after="31" w:afterLines="10" w:line="312" w:lineRule="auto"/>
              <w:ind w:left="0" w:firstLine="0" w:firstLineChars="0"/>
              <w:rPr>
                <w:rFonts w:ascii="Arial" w:hAnsi="Arial" w:eastAsia="宋体" w:cs="Arial"/>
              </w:rPr>
            </w:pPr>
            <w:r>
              <w:rPr>
                <w:rFonts w:ascii="Arial" w:hAnsi="Arial" w:eastAsia="宋体" w:cs="Arial"/>
              </w:rPr>
              <w:t>导电式或电容式</w:t>
            </w:r>
          </w:p>
          <w:p w14:paraId="65E29120">
            <w:pPr>
              <w:pStyle w:val="13"/>
              <w:numPr>
                <w:ilvl w:val="0"/>
                <w:numId w:val="8"/>
              </w:numPr>
              <w:spacing w:before="31" w:beforeLines="10" w:after="31" w:afterLines="10" w:line="312" w:lineRule="auto"/>
              <w:ind w:left="0" w:firstLine="0" w:firstLineChars="0"/>
              <w:rPr>
                <w:rFonts w:ascii="Arial" w:hAnsi="Arial" w:eastAsia="宋体" w:cs="Arial"/>
              </w:rPr>
            </w:pPr>
            <w:r>
              <w:rPr>
                <w:rFonts w:ascii="Arial" w:hAnsi="Arial" w:eastAsia="宋体" w:cs="Arial"/>
              </w:rPr>
              <w:t>物理参数</w:t>
            </w:r>
          </w:p>
          <w:p w14:paraId="0206908A">
            <w:pPr>
              <w:pStyle w:val="13"/>
              <w:numPr>
                <w:ilvl w:val="0"/>
                <w:numId w:val="8"/>
              </w:numPr>
              <w:spacing w:before="31" w:beforeLines="10" w:after="31" w:afterLines="10" w:line="312" w:lineRule="auto"/>
              <w:ind w:left="0" w:firstLine="0" w:firstLineChars="0"/>
              <w:rPr>
                <w:rFonts w:ascii="Arial" w:hAnsi="Arial" w:eastAsia="宋体" w:cs="Arial"/>
              </w:rPr>
            </w:pPr>
            <w:r>
              <w:rPr>
                <w:rFonts w:ascii="Arial" w:hAnsi="Arial" w:eastAsia="宋体" w:cs="Arial"/>
              </w:rPr>
              <w:t>材料</w:t>
            </w:r>
          </w:p>
        </w:tc>
        <w:tc>
          <w:tcPr>
            <w:tcW w:w="1134" w:type="dxa"/>
            <w:vAlign w:val="center"/>
          </w:tcPr>
          <w:p w14:paraId="2F901441">
            <w:pPr>
              <w:spacing w:before="31" w:beforeLines="10" w:after="31" w:afterLines="10" w:line="312" w:lineRule="auto"/>
              <w:rPr>
                <w:rFonts w:ascii="Arial" w:hAnsi="Arial" w:eastAsia="宋体" w:cs="Arial"/>
              </w:rPr>
            </w:pPr>
          </w:p>
        </w:tc>
        <w:tc>
          <w:tcPr>
            <w:tcW w:w="1071" w:type="dxa"/>
            <w:vAlign w:val="center"/>
          </w:tcPr>
          <w:p w14:paraId="7B1A9750">
            <w:pPr>
              <w:spacing w:before="31" w:beforeLines="10" w:after="31" w:afterLines="10" w:line="312" w:lineRule="auto"/>
              <w:rPr>
                <w:rFonts w:ascii="Arial" w:hAnsi="Arial" w:eastAsia="宋体" w:cs="Arial"/>
              </w:rPr>
            </w:pPr>
          </w:p>
        </w:tc>
      </w:tr>
      <w:tr w14:paraId="72DB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3CB48D2A">
            <w:pPr>
              <w:spacing w:before="31" w:beforeLines="10" w:after="31" w:afterLines="10" w:line="312" w:lineRule="auto"/>
              <w:rPr>
                <w:rFonts w:ascii="Arial" w:hAnsi="Arial" w:eastAsia="宋体" w:cs="Arial"/>
              </w:rPr>
            </w:pPr>
            <w:r>
              <w:rPr>
                <w:rFonts w:ascii="Arial" w:hAnsi="Arial" w:eastAsia="宋体" w:cs="Arial"/>
              </w:rPr>
              <w:t>各种附件</w:t>
            </w:r>
          </w:p>
          <w:p w14:paraId="0D45D8F5">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功能</w:t>
            </w:r>
          </w:p>
          <w:p w14:paraId="769B7C5B">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性能规格参数</w:t>
            </w:r>
          </w:p>
          <w:p w14:paraId="3F9B5F67">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物理规格参数</w:t>
            </w:r>
          </w:p>
          <w:p w14:paraId="5ACAB5B4">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材料</w:t>
            </w:r>
          </w:p>
        </w:tc>
        <w:tc>
          <w:tcPr>
            <w:tcW w:w="1134" w:type="dxa"/>
            <w:vAlign w:val="center"/>
          </w:tcPr>
          <w:p w14:paraId="492FD1CE">
            <w:pPr>
              <w:spacing w:before="31" w:beforeLines="10" w:after="31" w:afterLines="10" w:line="312" w:lineRule="auto"/>
              <w:rPr>
                <w:rFonts w:ascii="Arial" w:hAnsi="Arial" w:eastAsia="宋体" w:cs="Arial"/>
              </w:rPr>
            </w:pPr>
          </w:p>
        </w:tc>
        <w:tc>
          <w:tcPr>
            <w:tcW w:w="1071" w:type="dxa"/>
            <w:vAlign w:val="center"/>
          </w:tcPr>
          <w:p w14:paraId="698C36C2">
            <w:pPr>
              <w:spacing w:before="31" w:beforeLines="10" w:after="31" w:afterLines="10" w:line="312" w:lineRule="auto"/>
              <w:rPr>
                <w:rFonts w:ascii="Arial" w:hAnsi="Arial" w:eastAsia="宋体" w:cs="Arial"/>
              </w:rPr>
            </w:pPr>
          </w:p>
        </w:tc>
      </w:tr>
    </w:tbl>
    <w:p w14:paraId="1B8A3C0E">
      <w:pPr>
        <w:spacing w:before="156" w:beforeLines="50" w:after="156" w:afterLines="50" w:line="312" w:lineRule="auto"/>
        <w:rPr>
          <w:rFonts w:ascii="Arial" w:hAnsi="Arial" w:eastAsia="宋体" w:cs="Arial"/>
        </w:rPr>
      </w:pPr>
      <w:r>
        <w:rPr>
          <w:rFonts w:ascii="Arial" w:hAnsi="Arial" w:eastAsia="宋体" w:cs="Arial"/>
        </w:rPr>
        <w:t>如果与您的器械进行实质等同性比较的其他器械不止一个，则您应该对每一个\比较器械给出选择说明。您应该证明不同的比较器械的不同特征和/功能组合到一台器械上后不会引起新的安全性和有效性的问题。一个可以使用多个比较器械的例子是，如果一台器械涉及多种不同的技术，这些技术可以单独使用，但同时也可以一起用于血管封闭。如果每一种技术均有一种比较器械，则假设功能之间不会相互干扰的话，可以认为这些技术的组合是实质等同的。在这种情况下，您应该提供性能数据来支持您的论断。涉及多个比较器械的使用的更多信息，请参考FDA指南“</w:t>
      </w:r>
      <w:r>
        <w:rPr>
          <w:rFonts w:ascii="Arial" w:hAnsi="Arial" w:eastAsia="宋体" w:cs="Arial"/>
          <w:color w:val="0000FF"/>
          <w:u w:val="single"/>
        </w:rPr>
        <w:t>510（k）项目：上市前通告[510（k）]中的实质等同性评估。</w:t>
      </w:r>
      <w:r>
        <w:rPr>
          <w:rFonts w:ascii="Arial" w:hAnsi="Arial" w:eastAsia="宋体" w:cs="Arial"/>
        </w:rPr>
        <w:t>”</w:t>
      </w:r>
    </w:p>
    <w:p w14:paraId="62E1C11C">
      <w:pPr>
        <w:pStyle w:val="13"/>
        <w:numPr>
          <w:ilvl w:val="0"/>
          <w:numId w:val="1"/>
        </w:numPr>
        <w:spacing w:line="312" w:lineRule="auto"/>
        <w:ind w:firstLineChars="0"/>
        <w:outlineLvl w:val="0"/>
        <w:rPr>
          <w:rFonts w:ascii="Arial" w:hAnsi="Arial" w:eastAsia="宋体" w:cs="Arial"/>
          <w:b/>
          <w:sz w:val="28"/>
          <w:szCs w:val="28"/>
        </w:rPr>
      </w:pPr>
      <w:bookmarkStart w:id="18" w:name="_Toc478210065"/>
      <w:r>
        <w:rPr>
          <w:rFonts w:ascii="Arial" w:hAnsi="Arial" w:eastAsia="宋体" w:cs="Arial"/>
          <w:b/>
          <w:sz w:val="28"/>
          <w:szCs w:val="28"/>
        </w:rPr>
        <w:t>软件</w:t>
      </w:r>
      <w:bookmarkEnd w:id="18"/>
    </w:p>
    <w:p w14:paraId="1E3EF8AB">
      <w:pPr>
        <w:spacing w:before="156" w:beforeLines="50" w:after="156" w:afterLines="50" w:line="312" w:lineRule="auto"/>
        <w:rPr>
          <w:rFonts w:ascii="Arial" w:hAnsi="Arial" w:eastAsia="宋体" w:cs="Arial"/>
        </w:rPr>
      </w:pPr>
      <w:r>
        <w:rPr>
          <w:rFonts w:ascii="Arial" w:hAnsi="Arial" w:eastAsia="宋体" w:cs="Arial"/>
        </w:rPr>
        <w:t>重要性：电外科发电机的软件能够确保传输给患者的能量是适当的。充分的软件性能测试能够保证器械以安全的参数运行。</w:t>
      </w:r>
    </w:p>
    <w:p w14:paraId="316B9B6C">
      <w:pPr>
        <w:spacing w:before="156" w:beforeLines="50" w:after="156" w:afterLines="50" w:line="312" w:lineRule="auto"/>
        <w:rPr>
          <w:rFonts w:ascii="Arial" w:hAnsi="Arial" w:eastAsia="宋体" w:cs="Arial"/>
        </w:rPr>
      </w:pPr>
      <w:r>
        <w:rPr>
          <w:rFonts w:ascii="Arial" w:hAnsi="Arial" w:eastAsia="宋体" w:cs="Arial"/>
        </w:rPr>
        <w:t>建议：关于应在提交的申请中提供的软件文档的讨论，请参考FDA指南“医疗器械内置软件的上市前申请内容指南”。软件指南根据与器械相关的“关注级别”明确了软件文档的类型。FDA一般认为用于普通外科的电外科器械发电机的软件为“高”关注等级。如果您认为您器械的软件为软件指南中所描述的更低的关注等级（如“中等”或“低”），则您应该针对您所认为的关注等级提供一个基于软件故障可能引发的结果的科学合理的解释。</w:t>
      </w:r>
    </w:p>
    <w:p w14:paraId="0DEECC07">
      <w:pPr>
        <w:widowControl/>
        <w:jc w:val="left"/>
        <w:rPr>
          <w:rFonts w:ascii="Arial" w:hAnsi="Arial" w:eastAsia="宋体" w:cs="Arial"/>
        </w:rPr>
      </w:pPr>
      <w:r>
        <w:rPr>
          <w:rFonts w:ascii="Arial" w:hAnsi="Arial" w:eastAsia="宋体" w:cs="Arial"/>
        </w:rPr>
        <w:br w:type="page"/>
      </w:r>
    </w:p>
    <w:p w14:paraId="355E74A7">
      <w:pPr>
        <w:spacing w:before="156" w:beforeLines="50" w:after="156" w:afterLines="50" w:line="312" w:lineRule="auto"/>
        <w:rPr>
          <w:rFonts w:ascii="Arial" w:hAnsi="Arial" w:eastAsia="宋体" w:cs="Arial"/>
        </w:rPr>
      </w:pPr>
    </w:p>
    <w:p w14:paraId="547D6607">
      <w:pPr>
        <w:spacing w:before="156" w:beforeLines="50" w:after="156" w:afterLines="50" w:line="312" w:lineRule="auto"/>
        <w:rPr>
          <w:rFonts w:ascii="Arial" w:hAnsi="Arial" w:eastAsia="宋体" w:cs="Arial"/>
        </w:rPr>
      </w:pPr>
      <w:r>
        <w:rPr>
          <w:rFonts w:ascii="Arial" w:hAnsi="Arial" w:eastAsia="宋体" w:cs="Arial"/>
        </w:rPr>
        <w:t>我们建议您根据软件指南以及相应的关注等级，提供一份支持器械操作的软件/固件的整体描述。这一建议适用于初始版本的器械/系统，也适用于已上市器械的软件/固件修改。软件的变更必须依据21CFR 820.30（i）的设计控制要求，以及设计历史文件（见21 CFR 820.30（j））的内容进行再次验证和确认。软件的某些变更可能需要重新提交510（k）申请。在这种情况下建议您参考FDA指南“对已有器械的变更需要何时提交510（k）申请（K97-1）”。</w:t>
      </w:r>
    </w:p>
    <w:p w14:paraId="5FA7E3AF">
      <w:pPr>
        <w:spacing w:before="156" w:beforeLines="50" w:after="156" w:afterLines="50" w:line="312" w:lineRule="auto"/>
        <w:rPr>
          <w:rFonts w:ascii="Arial" w:hAnsi="Arial" w:eastAsia="宋体" w:cs="Arial"/>
        </w:rPr>
      </w:pPr>
      <w:r>
        <w:rPr>
          <w:rFonts w:ascii="Arial" w:hAnsi="Arial" w:eastAsia="宋体" w:cs="Arial"/>
        </w:rPr>
        <w:t>如果器械包含现成的软件，则您应该按照FDA指南“在医疗器械中使用现成软件的行业、FDA评估人员及合规指南”的建议提供其他信息。</w:t>
      </w:r>
    </w:p>
    <w:p w14:paraId="59BAE8F8">
      <w:pPr>
        <w:spacing w:before="156" w:beforeLines="50" w:after="156" w:afterLines="50" w:line="312" w:lineRule="auto"/>
        <w:rPr>
          <w:rFonts w:ascii="Arial" w:hAnsi="Arial" w:eastAsia="宋体" w:cs="Arial"/>
        </w:rPr>
      </w:pPr>
      <w:r>
        <w:rPr>
          <w:rFonts w:ascii="Arial" w:hAnsi="Arial" w:eastAsia="宋体" w:cs="Arial"/>
        </w:rPr>
        <w:t>您还应酌情提供关于您的器械的网络安全方面的信息，包括但不限于下列涉及器械的通信方式及相关软件的信息安全：机密性、完整性、可用性和责任性。</w:t>
      </w:r>
    </w:p>
    <w:p w14:paraId="67F26879">
      <w:pPr>
        <w:spacing w:before="156" w:beforeLines="50" w:after="156" w:afterLines="50" w:line="312" w:lineRule="auto"/>
        <w:rPr>
          <w:rFonts w:ascii="Arial" w:hAnsi="Arial" w:eastAsia="宋体" w:cs="Arial"/>
        </w:rPr>
      </w:pPr>
      <w:r>
        <w:rPr>
          <w:rFonts w:ascii="Arial" w:hAnsi="Arial" w:eastAsia="宋体" w:cs="Arial"/>
        </w:rPr>
        <w:t>机密性确保非授权用户无法获取信息。</w:t>
      </w:r>
    </w:p>
    <w:p w14:paraId="327420EE">
      <w:pPr>
        <w:spacing w:before="156" w:beforeLines="50" w:after="156" w:afterLines="50" w:line="312" w:lineRule="auto"/>
        <w:rPr>
          <w:rFonts w:ascii="Arial" w:hAnsi="Arial" w:eastAsia="宋体" w:cs="Arial"/>
        </w:rPr>
      </w:pPr>
      <w:r>
        <w:rPr>
          <w:rFonts w:ascii="Arial" w:hAnsi="Arial" w:eastAsia="宋体" w:cs="Arial"/>
        </w:rPr>
        <w:t>完整性能够保证信息准确——即不会以不恰当的方式修改。</w:t>
      </w:r>
    </w:p>
    <w:p w14:paraId="603D975E">
      <w:pPr>
        <w:spacing w:before="156" w:beforeLines="50" w:after="156" w:afterLines="50" w:line="312" w:lineRule="auto"/>
        <w:rPr>
          <w:rFonts w:ascii="Arial" w:hAnsi="Arial" w:eastAsia="宋体" w:cs="Arial"/>
        </w:rPr>
      </w:pPr>
      <w:r>
        <w:rPr>
          <w:rFonts w:ascii="Arial" w:hAnsi="Arial" w:eastAsia="宋体" w:cs="Arial"/>
        </w:rPr>
        <w:t>可用性指在需要的时信息可用。</w:t>
      </w:r>
    </w:p>
    <w:p w14:paraId="74E9ABD7">
      <w:pPr>
        <w:spacing w:before="156" w:beforeLines="50" w:after="156" w:afterLines="50" w:line="312" w:lineRule="auto"/>
        <w:rPr>
          <w:rFonts w:ascii="Arial" w:hAnsi="Arial" w:eastAsia="宋体" w:cs="Arial"/>
        </w:rPr>
      </w:pPr>
      <w:r>
        <w:rPr>
          <w:rFonts w:ascii="Arial" w:hAnsi="Arial" w:eastAsia="宋体" w:cs="Arial"/>
        </w:rPr>
        <w:t>责任性指应用识别和授权机制，确保使用过程由授权用户进行。</w:t>
      </w:r>
    </w:p>
    <w:p w14:paraId="30AFC658">
      <w:pPr>
        <w:spacing w:before="156" w:beforeLines="50" w:after="156" w:afterLines="50" w:line="312" w:lineRule="auto"/>
        <w:rPr>
          <w:rFonts w:ascii="Arial" w:hAnsi="Arial" w:eastAsia="宋体" w:cs="Arial"/>
        </w:rPr>
      </w:pPr>
      <w:r>
        <w:rPr>
          <w:rFonts w:ascii="Arial" w:hAnsi="Arial" w:eastAsia="宋体" w:cs="Arial"/>
        </w:rPr>
        <w:t>FDA指南“医疗器械网络安全管理的上市前申请内容”提供了关于网络安全和医疗器械方面的其他信息。</w:t>
      </w:r>
    </w:p>
    <w:p w14:paraId="0C4ECE6C">
      <w:pPr>
        <w:spacing w:before="156" w:beforeLines="50" w:after="156" w:afterLines="50" w:line="312" w:lineRule="auto"/>
        <w:rPr>
          <w:rFonts w:ascii="Arial" w:hAnsi="Arial" w:eastAsia="宋体" w:cs="Arial"/>
        </w:rPr>
      </w:pPr>
      <w:r>
        <w:rPr>
          <w:rFonts w:ascii="Arial" w:hAnsi="Arial" w:eastAsia="宋体" w:cs="Arial"/>
        </w:rPr>
        <w:t>总体来说，医疗器械中与软件相关的文件应当提供充足的证据，来描述器械内置软件的功能，以及性能测试的信息，来展示与设计一致的软件功能。</w:t>
      </w:r>
    </w:p>
    <w:p w14:paraId="197D0FAB">
      <w:pPr>
        <w:pStyle w:val="13"/>
        <w:numPr>
          <w:ilvl w:val="0"/>
          <w:numId w:val="1"/>
        </w:numPr>
        <w:spacing w:line="312" w:lineRule="auto"/>
        <w:ind w:firstLineChars="0"/>
        <w:outlineLvl w:val="0"/>
        <w:rPr>
          <w:rFonts w:ascii="Arial" w:hAnsi="Arial" w:eastAsia="宋体" w:cs="Arial"/>
          <w:b/>
          <w:sz w:val="28"/>
          <w:szCs w:val="28"/>
        </w:rPr>
      </w:pPr>
      <w:bookmarkStart w:id="19" w:name="_Toc478210066"/>
      <w:r>
        <w:rPr>
          <w:rFonts w:ascii="Arial" w:hAnsi="Arial" w:eastAsia="宋体" w:cs="Arial"/>
          <w:b/>
          <w:sz w:val="28"/>
          <w:szCs w:val="28"/>
        </w:rPr>
        <w:t>生物相容性</w:t>
      </w:r>
      <w:bookmarkEnd w:id="19"/>
    </w:p>
    <w:p w14:paraId="761F92F1">
      <w:pPr>
        <w:spacing w:before="156" w:beforeLines="50" w:after="156" w:afterLines="50" w:line="312" w:lineRule="auto"/>
        <w:rPr>
          <w:rFonts w:ascii="Arial" w:hAnsi="Arial" w:eastAsia="宋体" w:cs="Arial"/>
        </w:rPr>
      </w:pPr>
      <w:r>
        <w:rPr>
          <w:rFonts w:ascii="Arial" w:hAnsi="Arial" w:eastAsia="宋体" w:cs="Arial"/>
          <w:u w:val="single"/>
        </w:rPr>
        <w:t>重要性：</w:t>
      </w:r>
      <w:r>
        <w:rPr>
          <w:rFonts w:ascii="Arial" w:hAnsi="Arial" w:eastAsia="宋体" w:cs="Arial"/>
        </w:rPr>
        <w:t>按照设计用途，电外科器械包含与患者相接触的材料，特定的接触类型和时长可能会产生危害性的生物学反应。</w:t>
      </w:r>
    </w:p>
    <w:p w14:paraId="6DE9E160">
      <w:pPr>
        <w:spacing w:before="156" w:beforeLines="50" w:after="156" w:afterLines="50" w:line="312" w:lineRule="auto"/>
        <w:rPr>
          <w:rFonts w:ascii="Arial" w:hAnsi="Arial" w:eastAsia="宋体" w:cs="Arial"/>
        </w:rPr>
      </w:pPr>
      <w:r>
        <w:rPr>
          <w:rFonts w:ascii="Arial" w:hAnsi="Arial" w:eastAsia="宋体" w:cs="Arial"/>
          <w:u w:val="single"/>
        </w:rPr>
        <w:t>建议：</w:t>
      </w:r>
      <w:r>
        <w:rPr>
          <w:rFonts w:ascii="Arial" w:hAnsi="Arial" w:eastAsia="宋体" w:cs="Arial"/>
        </w:rPr>
        <w:t>您应该确定器械中所有与患者接触的材料的生物相容性。对于聚合材料，您应该按照商品名和制造商确定每种材料。如果您的材料在组成和材料的处理方法上与比较器械或其它在电外科手术应用中具有相同的接触类型和时长（如组织接触，少于24小时），则可引用先前的检测数据信息，不必再进行新的测试。</w:t>
      </w:r>
    </w:p>
    <w:p w14:paraId="32D367AB">
      <w:pPr>
        <w:widowControl/>
        <w:jc w:val="left"/>
        <w:rPr>
          <w:rFonts w:ascii="Arial" w:hAnsi="Arial" w:eastAsia="宋体" w:cs="Arial"/>
        </w:rPr>
      </w:pPr>
      <w:r>
        <w:rPr>
          <w:rFonts w:ascii="Arial" w:hAnsi="Arial" w:eastAsia="宋体" w:cs="Arial"/>
        </w:rPr>
        <w:br w:type="page"/>
      </w:r>
    </w:p>
    <w:p w14:paraId="662038C5">
      <w:pPr>
        <w:spacing w:before="156" w:beforeLines="50" w:after="156" w:afterLines="50" w:line="312" w:lineRule="auto"/>
        <w:rPr>
          <w:rFonts w:ascii="Arial" w:hAnsi="Arial" w:eastAsia="宋体" w:cs="Arial"/>
        </w:rPr>
      </w:pPr>
      <w:r>
        <w:rPr>
          <w:rFonts w:ascii="Arial" w:hAnsi="Arial" w:eastAsia="宋体" w:cs="Arial"/>
        </w:rPr>
        <w:t>如果依据ISO 10993进行生物相容性评估，</w:t>
      </w:r>
      <w:bookmarkStart w:id="20" w:name="OLE_LINK30"/>
      <w:bookmarkStart w:id="21" w:name="OLE_LINK29"/>
      <w:r>
        <w:rPr>
          <w:rFonts w:ascii="Arial" w:hAnsi="Arial" w:eastAsia="宋体" w:cs="Arial"/>
        </w:rPr>
        <w:t>则医疗器械的生物学评估——第I部分：风险管理流程内的评估和检测</w:t>
      </w:r>
      <w:bookmarkEnd w:id="20"/>
      <w:bookmarkEnd w:id="21"/>
      <w:r>
        <w:rPr>
          <w:rFonts w:ascii="Arial" w:hAnsi="Arial" w:eastAsia="宋体" w:cs="Arial"/>
        </w:rPr>
        <w:t>，则我们建议您遵循FDA指南“</w:t>
      </w:r>
      <w:bookmarkStart w:id="22" w:name="OLE_LINK39"/>
      <w:r>
        <w:rPr>
          <w:rFonts w:ascii="Arial" w:hAnsi="Arial" w:eastAsia="宋体" w:cs="Arial"/>
        </w:rPr>
        <w:t>使用国际标准ISO-10993-1，‘医疗器械的生物学评估——第I部分：风险管理流程内的评估和检测’。</w:t>
      </w:r>
      <w:bookmarkEnd w:id="22"/>
      <w:r>
        <w:rPr>
          <w:rFonts w:ascii="Arial" w:hAnsi="Arial" w:eastAsia="宋体" w:cs="Arial"/>
        </w:rPr>
        <w:t>”</w:t>
      </w:r>
    </w:p>
    <w:p w14:paraId="41ED9469">
      <w:pPr>
        <w:spacing w:before="156" w:beforeLines="50" w:after="156" w:afterLines="50" w:line="312" w:lineRule="auto"/>
        <w:rPr>
          <w:rFonts w:ascii="Arial" w:hAnsi="Arial" w:eastAsia="宋体" w:cs="Arial"/>
        </w:rPr>
      </w:pPr>
      <w:r>
        <w:rPr>
          <w:rFonts w:ascii="Arial" w:hAnsi="Arial" w:eastAsia="宋体" w:cs="Arial"/>
        </w:rPr>
        <w:t>如果存在可能影响最终产品的生物相容性的配方、处理、灭菌或器械表面特性等方面的差异，则可能需要进行其他生物相容性测试。</w:t>
      </w:r>
    </w:p>
    <w:p w14:paraId="0BF86DB8">
      <w:pPr>
        <w:spacing w:before="156" w:beforeLines="50" w:after="156" w:afterLines="50" w:line="312" w:lineRule="auto"/>
        <w:rPr>
          <w:rFonts w:ascii="Arial" w:hAnsi="Arial" w:eastAsia="宋体" w:cs="Arial"/>
        </w:rPr>
      </w:pPr>
      <w:r>
        <w:rPr>
          <w:rFonts w:ascii="Arial" w:hAnsi="Arial" w:eastAsia="宋体" w:cs="Arial"/>
        </w:rPr>
        <w:t>认为大多数的有源电极是与组织/骨/牙质短期接触（少于24小时）的外部器械。因此，我们建议评估下列内容：</w:t>
      </w:r>
    </w:p>
    <w:p w14:paraId="24B1124B">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细胞毒性（参见</w:t>
      </w:r>
      <w:bookmarkStart w:id="23" w:name="OLE_LINK31"/>
      <w:bookmarkStart w:id="24" w:name="OLE_LINK32"/>
      <w:r>
        <w:rPr>
          <w:rFonts w:ascii="Arial" w:hAnsi="Arial" w:eastAsia="宋体" w:cs="Arial"/>
        </w:rPr>
        <w:t>ISO 10993-5，医疗器械的生物学评估——第5部分：体外细胞毒性测试</w:t>
      </w:r>
      <w:bookmarkEnd w:id="23"/>
      <w:bookmarkEnd w:id="24"/>
      <w:r>
        <w:rPr>
          <w:rFonts w:ascii="Arial" w:hAnsi="Arial" w:eastAsia="宋体" w:cs="Arial"/>
        </w:rPr>
        <w:t>）；</w:t>
      </w:r>
    </w:p>
    <w:p w14:paraId="4C7B0F22">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皮内刺激反应（</w:t>
      </w:r>
      <w:bookmarkStart w:id="25" w:name="OLE_LINK34"/>
      <w:bookmarkStart w:id="26" w:name="OLE_LINK33"/>
      <w:r>
        <w:rPr>
          <w:rFonts w:ascii="Arial" w:hAnsi="Arial" w:eastAsia="宋体" w:cs="Arial"/>
        </w:rPr>
        <w:t>参见ISO 10993-10，医疗器械的生物学评估——第10部分：刺激和皮肤敏感性测试</w:t>
      </w:r>
      <w:bookmarkEnd w:id="25"/>
      <w:bookmarkEnd w:id="26"/>
      <w:r>
        <w:rPr>
          <w:rFonts w:ascii="Arial" w:hAnsi="Arial" w:eastAsia="宋体" w:cs="Arial"/>
        </w:rPr>
        <w:t>）；</w:t>
      </w:r>
    </w:p>
    <w:p w14:paraId="1DB41AC8">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延迟型的敏感性（参见ISO 10993-10，医疗器械的生物学评估——第10部分：刺激和皮肤敏感性测试）；</w:t>
      </w:r>
    </w:p>
    <w:p w14:paraId="3DF26DD1">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急性系统毒性测试的考虑，纳入该检测或提供不进行检测的理由（参</w:t>
      </w:r>
      <w:r>
        <w:rPr>
          <w:rFonts w:ascii="Arial" w:hAnsi="Arial" w:eastAsia="宋体" w:cs="Arial"/>
          <w:kern w:val="0"/>
        </w:rPr>
        <w:t>见ISO 10993-11，医疗器械的生物学评估——第11部分：系统毒性测试</w:t>
      </w:r>
      <w:r>
        <w:rPr>
          <w:rFonts w:ascii="Arial" w:hAnsi="Arial" w:eastAsia="宋体" w:cs="Arial"/>
        </w:rPr>
        <w:t>）。</w:t>
      </w:r>
    </w:p>
    <w:p w14:paraId="4559FC6A">
      <w:pPr>
        <w:spacing w:before="156" w:beforeLines="50" w:after="156" w:afterLines="50" w:line="312" w:lineRule="auto"/>
        <w:rPr>
          <w:rFonts w:ascii="Arial" w:hAnsi="Arial" w:eastAsia="宋体" w:cs="Arial"/>
        </w:rPr>
      </w:pPr>
      <w:r>
        <w:rPr>
          <w:rFonts w:ascii="Arial" w:hAnsi="Arial" w:eastAsia="宋体" w:cs="Arial"/>
        </w:rPr>
        <w:t>认为大多数的中性电极是仅与完整皮肤</w:t>
      </w:r>
      <w:r>
        <w:rPr>
          <w:rFonts w:hint="eastAsia" w:ascii="Arial" w:hAnsi="Arial" w:eastAsia="宋体" w:cs="Arial"/>
        </w:rPr>
        <w:t>短期</w:t>
      </w:r>
      <w:r>
        <w:rPr>
          <w:rFonts w:ascii="Arial" w:hAnsi="Arial" w:eastAsia="宋体" w:cs="Arial"/>
        </w:rPr>
        <w:t>接触（少于24小时）的表面器械。因此，我们建议评估下列内容：</w:t>
      </w:r>
    </w:p>
    <w:p w14:paraId="6819C53B">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细胞毒性（参见ISO 10993-5，医疗器械的生物学评估——第5部分：体外细胞毒性测试）；</w:t>
      </w:r>
    </w:p>
    <w:p w14:paraId="53E800B7">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皮内刺激反应（参见ISO 10993-10，医疗器械的生物学评估——第10部分：刺激和皮肤敏感性测试）；</w:t>
      </w:r>
    </w:p>
    <w:p w14:paraId="27C2A752">
      <w:pPr>
        <w:pStyle w:val="13"/>
        <w:numPr>
          <w:ilvl w:val="0"/>
          <w:numId w:val="10"/>
        </w:numPr>
        <w:spacing w:before="62" w:beforeLines="20" w:after="62" w:afterLines="20" w:line="312" w:lineRule="auto"/>
        <w:ind w:left="840" w:leftChars="227" w:hanging="363" w:hangingChars="173"/>
        <w:rPr>
          <w:rFonts w:hint="eastAsia" w:ascii="Arial" w:hAnsi="Arial" w:eastAsia="宋体" w:cs="Arial"/>
        </w:rPr>
      </w:pPr>
      <w:r>
        <w:rPr>
          <w:rFonts w:ascii="Arial" w:hAnsi="Arial" w:eastAsia="宋体" w:cs="Arial"/>
        </w:rPr>
        <w:t>延迟型的敏感性（见I</w:t>
      </w:r>
      <w:bookmarkStart w:id="27" w:name="OLE_LINK35"/>
      <w:bookmarkStart w:id="28" w:name="OLE_LINK36"/>
      <w:r>
        <w:rPr>
          <w:rFonts w:ascii="Arial" w:hAnsi="Arial" w:eastAsia="宋体" w:cs="Arial"/>
        </w:rPr>
        <w:t>SO 10993-10，医疗器械的生物学评估——第10部分：</w:t>
      </w:r>
      <w:bookmarkEnd w:id="27"/>
      <w:bookmarkEnd w:id="28"/>
      <w:r>
        <w:rPr>
          <w:rFonts w:ascii="Arial" w:hAnsi="Arial" w:eastAsia="宋体" w:cs="Arial"/>
        </w:rPr>
        <w:t>刺激和皮肤敏感性测试）；</w:t>
      </w:r>
    </w:p>
    <w:p w14:paraId="3D47779D">
      <w:pPr>
        <w:spacing w:before="156" w:beforeLines="50" w:after="156" w:afterLines="50" w:line="312" w:lineRule="auto"/>
        <w:rPr>
          <w:rFonts w:ascii="Arial" w:hAnsi="Arial" w:eastAsia="宋体" w:cs="Arial"/>
        </w:rPr>
      </w:pPr>
      <w:r>
        <w:rPr>
          <w:rFonts w:ascii="Arial" w:hAnsi="Arial" w:eastAsia="宋体" w:cs="Arial"/>
        </w:rPr>
        <w:t>对于使用提取的样本进行的生物相容性检测，我们建议您：</w:t>
      </w:r>
    </w:p>
    <w:p w14:paraId="6AE0E295">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根据SO 10993-12，医疗器械的生物学评估——第12部分：样本制备及标准参考样本或等价的方法，使用表面积与</w:t>
      </w:r>
      <w:bookmarkStart w:id="29" w:name="OLE_LINK37"/>
      <w:bookmarkStart w:id="30" w:name="OLE_LINK38"/>
      <w:r>
        <w:rPr>
          <w:rFonts w:ascii="Arial" w:hAnsi="Arial" w:eastAsia="宋体" w:cs="Arial"/>
        </w:rPr>
        <w:t>萃取剂体积的比率</w:t>
      </w:r>
      <w:bookmarkEnd w:id="29"/>
      <w:bookmarkEnd w:id="30"/>
      <w:r>
        <w:rPr>
          <w:rFonts w:ascii="Arial" w:hAnsi="Arial" w:eastAsia="宋体" w:cs="Arial"/>
        </w:rPr>
        <w:t>（如果无法计算表面积则使用质量与萃取剂体积的比率）以确定合适的检测材料数量；</w:t>
      </w:r>
    </w:p>
    <w:p w14:paraId="66BEC229">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使用极性和非极性萃取剂；</w:t>
      </w:r>
    </w:p>
    <w:p w14:paraId="3CE63025">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描述萃取剂状态（如颜色，是否存在某些粒子等）；</w:t>
      </w:r>
    </w:p>
    <w:p w14:paraId="1E3B736C">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解释萃取后介质（与萃取前相比）的变化；以及</w:t>
      </w:r>
    </w:p>
    <w:p w14:paraId="5CD54C01">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如适用，请描述存储状态的细节。</w:t>
      </w:r>
    </w:p>
    <w:p w14:paraId="2AE75B5E">
      <w:pPr>
        <w:pStyle w:val="13"/>
        <w:spacing w:before="62" w:beforeLines="20" w:after="62" w:afterLines="20" w:line="312" w:lineRule="auto"/>
        <w:ind w:left="840" w:firstLine="0" w:firstLineChars="0"/>
        <w:rPr>
          <w:rFonts w:ascii="Arial" w:hAnsi="Arial" w:eastAsia="宋体" w:cs="Arial"/>
        </w:rPr>
      </w:pPr>
    </w:p>
    <w:p w14:paraId="239A5E8A">
      <w:pPr>
        <w:widowControl/>
        <w:jc w:val="left"/>
        <w:rPr>
          <w:rFonts w:ascii="Arial" w:hAnsi="Arial" w:eastAsia="宋体" w:cs="Arial"/>
        </w:rPr>
      </w:pPr>
      <w:r>
        <w:rPr>
          <w:rFonts w:ascii="Arial" w:hAnsi="Arial" w:eastAsia="宋体" w:cs="Arial"/>
        </w:rPr>
        <w:br w:type="page"/>
      </w:r>
    </w:p>
    <w:p w14:paraId="651B4C6F">
      <w:pPr>
        <w:spacing w:before="156" w:beforeLines="50" w:after="156" w:afterLines="50" w:line="312" w:lineRule="auto"/>
        <w:rPr>
          <w:rFonts w:ascii="Arial" w:hAnsi="Arial" w:eastAsia="宋体" w:cs="Arial"/>
        </w:rPr>
      </w:pPr>
    </w:p>
    <w:p w14:paraId="4FEF8D60">
      <w:pPr>
        <w:pStyle w:val="13"/>
        <w:numPr>
          <w:ilvl w:val="0"/>
          <w:numId w:val="1"/>
        </w:numPr>
        <w:spacing w:line="312" w:lineRule="auto"/>
        <w:ind w:firstLineChars="0"/>
        <w:outlineLvl w:val="0"/>
        <w:rPr>
          <w:rFonts w:ascii="Arial" w:hAnsi="Arial" w:eastAsia="宋体" w:cs="Arial"/>
          <w:b/>
          <w:sz w:val="28"/>
          <w:szCs w:val="28"/>
        </w:rPr>
      </w:pPr>
      <w:bookmarkStart w:id="31" w:name="_Toc478210067"/>
      <w:r>
        <w:rPr>
          <w:rFonts w:ascii="Arial" w:hAnsi="Arial" w:eastAsia="宋体" w:cs="Arial"/>
          <w:b/>
          <w:sz w:val="28"/>
          <w:szCs w:val="28"/>
        </w:rPr>
        <w:t>灭菌</w:t>
      </w:r>
      <w:bookmarkEnd w:id="31"/>
    </w:p>
    <w:p w14:paraId="2A615175">
      <w:pPr>
        <w:spacing w:before="156" w:beforeLines="50" w:after="156" w:afterLines="50" w:line="312" w:lineRule="auto"/>
        <w:rPr>
          <w:rFonts w:ascii="Arial" w:hAnsi="Arial" w:eastAsia="宋体" w:cs="Arial"/>
        </w:rPr>
      </w:pPr>
      <w:r>
        <w:rPr>
          <w:rFonts w:ascii="Arial" w:hAnsi="Arial" w:eastAsia="宋体" w:cs="Arial"/>
        </w:rPr>
        <w:t>重要性：普通外科用电外科器械与血液和身体组织直接接触，需要充分灭菌避免感染和相关并发症。</w:t>
      </w:r>
    </w:p>
    <w:p w14:paraId="6787DC41">
      <w:pPr>
        <w:spacing w:before="156" w:beforeLines="50" w:after="156" w:afterLines="50" w:line="312" w:lineRule="auto"/>
        <w:rPr>
          <w:rFonts w:ascii="Arial" w:hAnsi="Arial" w:eastAsia="宋体" w:cs="Arial"/>
        </w:rPr>
      </w:pPr>
      <w:r>
        <w:rPr>
          <w:rFonts w:ascii="Arial" w:hAnsi="Arial" w:eastAsia="宋体" w:cs="Arial"/>
        </w:rPr>
        <w:t>建议：对于标为无菌的电外科器械，我们建议您提供最终器械的灭菌信息。关于标为无菌的器械的510（k）申请的信息，请参见FDA指南“标为无菌的器械上市前通告（510（k））申请中的灭菌信息的提交和审查。”您应该对器械进行灭菌，并达到无菌保障等级（SAL）为1×10</w:t>
      </w:r>
      <w:r>
        <w:rPr>
          <w:rFonts w:ascii="Arial" w:hAnsi="Arial" w:eastAsia="宋体" w:cs="Arial"/>
          <w:vertAlign w:val="superscript"/>
        </w:rPr>
        <w:t>-6</w:t>
      </w:r>
      <w:r>
        <w:rPr>
          <w:rFonts w:ascii="Arial" w:hAnsi="Arial" w:eastAsia="宋体" w:cs="Arial"/>
        </w:rPr>
        <w:t>。请注意，您的灭菌流程必须依据质量体系规范（21 CFR第 820部分）进行确认。</w:t>
      </w:r>
    </w:p>
    <w:p w14:paraId="04B35C51">
      <w:pPr>
        <w:spacing w:before="156" w:beforeLines="50" w:after="156" w:afterLines="50" w:line="312" w:lineRule="auto"/>
        <w:rPr>
          <w:rFonts w:ascii="Arial" w:hAnsi="Arial" w:eastAsia="宋体" w:cs="Arial"/>
        </w:rPr>
      </w:pPr>
    </w:p>
    <w:p w14:paraId="7664340D">
      <w:pPr>
        <w:pStyle w:val="13"/>
        <w:numPr>
          <w:ilvl w:val="0"/>
          <w:numId w:val="1"/>
        </w:numPr>
        <w:spacing w:line="312" w:lineRule="auto"/>
        <w:ind w:firstLineChars="0"/>
        <w:outlineLvl w:val="0"/>
        <w:rPr>
          <w:rFonts w:ascii="Arial" w:hAnsi="Arial" w:eastAsia="宋体" w:cs="Arial"/>
          <w:b/>
          <w:sz w:val="28"/>
          <w:szCs w:val="28"/>
        </w:rPr>
      </w:pPr>
      <w:bookmarkStart w:id="32" w:name="_Toc478210068"/>
      <w:r>
        <w:rPr>
          <w:rFonts w:ascii="Arial" w:hAnsi="Arial" w:eastAsia="宋体" w:cs="Arial"/>
          <w:b/>
          <w:sz w:val="28"/>
          <w:szCs w:val="28"/>
        </w:rPr>
        <w:t>再次处理</w:t>
      </w:r>
      <w:bookmarkEnd w:id="32"/>
    </w:p>
    <w:p w14:paraId="1793476B">
      <w:pPr>
        <w:spacing w:before="156" w:beforeLines="50" w:after="156" w:afterLines="50" w:line="312" w:lineRule="auto"/>
        <w:rPr>
          <w:rFonts w:ascii="Arial" w:hAnsi="Arial" w:eastAsia="宋体" w:cs="Arial"/>
        </w:rPr>
      </w:pPr>
      <w:r>
        <w:rPr>
          <w:rFonts w:ascii="Arial" w:hAnsi="Arial" w:eastAsia="宋体" w:cs="Arial"/>
        </w:rPr>
        <w:t>重要性：电外科手术中与患者接触的部件重复使用过程中需要进行充分的清洁、消毒和灭菌，以降低感染，防止器械退化。</w:t>
      </w:r>
    </w:p>
    <w:p w14:paraId="0E7D14CA">
      <w:pPr>
        <w:spacing w:before="156" w:beforeLines="50" w:after="156" w:afterLines="50" w:line="312" w:lineRule="auto"/>
        <w:rPr>
          <w:rFonts w:hint="eastAsia" w:ascii="Arial" w:hAnsi="Arial" w:eastAsia="宋体" w:cs="Arial"/>
        </w:rPr>
      </w:pPr>
      <w:r>
        <w:rPr>
          <w:rFonts w:ascii="Arial" w:hAnsi="Arial" w:eastAsia="宋体" w:cs="Arial"/>
        </w:rPr>
        <w:t>建议：根据FDA标签的规定（21 CFR 第801部分），器械必须有足够的使用说明，其中包括器械使用准备的指导。针对如何对可再重复使用的器械或一次性使用无菌器械进行消毒的指导十分重要，能够确保器械的初次/再次使用过程中准备恰当。关于申请器械标签的再次处理指导的开发和确认信息，请参见FDA指南“医疗环境下医疗器械再次处理：确认方法与标签。”</w:t>
      </w:r>
    </w:p>
    <w:p w14:paraId="06158A5D">
      <w:pPr>
        <w:pStyle w:val="13"/>
        <w:numPr>
          <w:ilvl w:val="0"/>
          <w:numId w:val="1"/>
        </w:numPr>
        <w:spacing w:line="312" w:lineRule="auto"/>
        <w:ind w:firstLineChars="0"/>
        <w:outlineLvl w:val="0"/>
        <w:rPr>
          <w:rFonts w:ascii="Arial" w:hAnsi="Arial" w:eastAsia="宋体" w:cs="Arial"/>
          <w:b/>
          <w:sz w:val="28"/>
          <w:szCs w:val="28"/>
        </w:rPr>
      </w:pPr>
      <w:bookmarkStart w:id="33" w:name="_Toc478210069"/>
      <w:r>
        <w:rPr>
          <w:rFonts w:ascii="Arial" w:hAnsi="Arial" w:eastAsia="宋体" w:cs="Arial"/>
          <w:b/>
          <w:sz w:val="28"/>
          <w:szCs w:val="28"/>
        </w:rPr>
        <w:t>致热源性</w:t>
      </w:r>
      <w:bookmarkEnd w:id="33"/>
    </w:p>
    <w:p w14:paraId="2B347AC9">
      <w:pPr>
        <w:spacing w:before="156" w:beforeLines="50" w:after="156" w:afterLines="50" w:line="312" w:lineRule="auto"/>
        <w:rPr>
          <w:rFonts w:ascii="Arial" w:hAnsi="Arial" w:eastAsia="宋体" w:cs="Arial"/>
        </w:rPr>
      </w:pPr>
      <w:r>
        <w:rPr>
          <w:rFonts w:ascii="Arial" w:hAnsi="Arial" w:eastAsia="宋体" w:cs="Arial"/>
          <w:u w:val="single"/>
        </w:rPr>
        <w:t>重要性：</w:t>
      </w:r>
      <w:r>
        <w:rPr>
          <w:rFonts w:ascii="Arial" w:hAnsi="Arial" w:eastAsia="宋体" w:cs="Arial"/>
        </w:rPr>
        <w:t>致热源性检测有助于保护患者避免由于革兰氏阴性菌内毒素和/或一些器械漏出的化学物质（如与材料相关的致热源）而产生的发热反应。</w:t>
      </w:r>
    </w:p>
    <w:p w14:paraId="55F95D22">
      <w:pPr>
        <w:spacing w:before="156" w:beforeLines="50" w:after="156" w:afterLines="50" w:line="312" w:lineRule="auto"/>
        <w:rPr>
          <w:rFonts w:ascii="Arial" w:hAnsi="Arial" w:eastAsia="宋体" w:cs="Arial"/>
        </w:rPr>
      </w:pPr>
      <w:r>
        <w:rPr>
          <w:rFonts w:ascii="Arial" w:hAnsi="Arial" w:eastAsia="宋体" w:cs="Arial"/>
          <w:u w:val="single"/>
        </w:rPr>
        <w:t>建议：</w:t>
      </w:r>
      <w:r>
        <w:rPr>
          <w:rFonts w:ascii="Arial" w:hAnsi="Arial" w:eastAsia="宋体" w:cs="Arial"/>
        </w:rPr>
        <w:t>为了消除与细菌内毒素相关的风险，标为“非致热源性”的电外科器械应当遵循第VII章，灭菌中的建议。建议的致热源限制见FDA指南“标为无菌的器械上市前通告（510（k））申请中的灭菌信息的提交和审查。”</w:t>
      </w:r>
    </w:p>
    <w:p w14:paraId="00C2BE6D">
      <w:pPr>
        <w:spacing w:before="156" w:beforeLines="50" w:after="156" w:afterLines="50" w:line="312" w:lineRule="auto"/>
        <w:rPr>
          <w:rFonts w:ascii="Arial" w:hAnsi="Arial" w:eastAsia="宋体" w:cs="Arial"/>
        </w:rPr>
      </w:pPr>
      <w:r>
        <w:rPr>
          <w:rFonts w:ascii="Arial" w:hAnsi="Arial" w:eastAsia="宋体" w:cs="Arial"/>
        </w:rPr>
        <w:t>为了消除与材料介导的内毒素相关的风险，建议您遵循FDA指南“使用国际标准ISO-10993-1，‘医疗器械的生物学评估——第I部分：风险管理流程内的评估和检测’。”</w:t>
      </w:r>
    </w:p>
    <w:p w14:paraId="371501FF">
      <w:pPr>
        <w:spacing w:before="156" w:beforeLines="50" w:after="156" w:afterLines="50" w:line="312" w:lineRule="auto"/>
        <w:rPr>
          <w:rFonts w:ascii="Arial" w:hAnsi="Arial" w:eastAsia="宋体" w:cs="Arial"/>
        </w:rPr>
      </w:pPr>
      <w:r>
        <w:rPr>
          <w:rFonts w:ascii="Arial" w:hAnsi="Arial" w:eastAsia="宋体" w:cs="Arial"/>
        </w:rPr>
        <w:t>对于拟标为“非致热源性”的器械，我们建议同时进行细菌毒性和材料介导的致热源性检测。</w:t>
      </w:r>
    </w:p>
    <w:p w14:paraId="7C3C16BE">
      <w:pPr>
        <w:spacing w:before="156" w:beforeLines="50" w:after="156" w:afterLines="50" w:line="312" w:lineRule="auto"/>
        <w:rPr>
          <w:rFonts w:ascii="Arial" w:hAnsi="Arial" w:eastAsia="宋体" w:cs="Arial"/>
        </w:rPr>
      </w:pPr>
    </w:p>
    <w:p w14:paraId="236B8C0D">
      <w:pPr>
        <w:widowControl/>
        <w:jc w:val="left"/>
        <w:rPr>
          <w:rFonts w:ascii="Arial" w:hAnsi="Arial" w:eastAsia="宋体" w:cs="Arial"/>
        </w:rPr>
      </w:pPr>
      <w:r>
        <w:rPr>
          <w:rFonts w:ascii="Arial" w:hAnsi="Arial" w:eastAsia="宋体" w:cs="Arial"/>
        </w:rPr>
        <w:br w:type="page"/>
      </w:r>
    </w:p>
    <w:p w14:paraId="3BE85367">
      <w:pPr>
        <w:pStyle w:val="13"/>
        <w:numPr>
          <w:ilvl w:val="0"/>
          <w:numId w:val="1"/>
        </w:numPr>
        <w:spacing w:line="312" w:lineRule="auto"/>
        <w:ind w:firstLineChars="0"/>
        <w:outlineLvl w:val="0"/>
        <w:rPr>
          <w:rFonts w:ascii="Arial" w:hAnsi="Arial" w:eastAsia="宋体" w:cs="Arial"/>
          <w:b/>
          <w:sz w:val="28"/>
          <w:szCs w:val="28"/>
        </w:rPr>
      </w:pPr>
      <w:bookmarkStart w:id="34" w:name="_Toc478210070"/>
      <w:r>
        <w:rPr>
          <w:rFonts w:ascii="Arial" w:hAnsi="Arial" w:eastAsia="宋体" w:cs="Arial"/>
          <w:b/>
          <w:sz w:val="28"/>
          <w:szCs w:val="28"/>
        </w:rPr>
        <w:t>使用期限</w:t>
      </w:r>
      <w:bookmarkEnd w:id="34"/>
    </w:p>
    <w:p w14:paraId="4130558D">
      <w:pPr>
        <w:spacing w:before="156" w:beforeLines="50" w:after="156" w:afterLines="50" w:line="312" w:lineRule="auto"/>
        <w:rPr>
          <w:rFonts w:ascii="Arial" w:hAnsi="Arial" w:eastAsia="宋体" w:cs="Arial"/>
        </w:rPr>
      </w:pPr>
      <w:r>
        <w:rPr>
          <w:rFonts w:ascii="Arial" w:hAnsi="Arial" w:eastAsia="宋体" w:cs="Arial"/>
          <w:u w:val="single"/>
        </w:rPr>
        <w:t>重要性：</w:t>
      </w:r>
      <w:r>
        <w:rPr>
          <w:rFonts w:ascii="Arial" w:hAnsi="Arial" w:eastAsia="宋体" w:cs="Arial"/>
        </w:rPr>
        <w:t>使用期限的测试通过评估</w:t>
      </w:r>
      <w:bookmarkStart w:id="35" w:name="OLE_LINK40"/>
      <w:bookmarkStart w:id="36" w:name="OLE_LINK41"/>
      <w:r>
        <w:rPr>
          <w:rFonts w:ascii="Arial" w:hAnsi="Arial" w:eastAsia="宋体" w:cs="Arial"/>
        </w:rPr>
        <w:t>保持器械无菌状态的包装完整性</w:t>
      </w:r>
      <w:bookmarkEnd w:id="35"/>
      <w:bookmarkEnd w:id="36"/>
      <w:r>
        <w:rPr>
          <w:rFonts w:ascii="Arial" w:hAnsi="Arial" w:eastAsia="宋体" w:cs="Arial"/>
        </w:rPr>
        <w:t>和/或评估器械性能或功能的改变从而对申请的失效日期提供支持。</w:t>
      </w:r>
    </w:p>
    <w:p w14:paraId="5B461E54">
      <w:pPr>
        <w:spacing w:before="156" w:beforeLines="50" w:after="156" w:afterLines="50" w:line="312" w:lineRule="auto"/>
        <w:rPr>
          <w:rFonts w:ascii="Arial" w:hAnsi="Arial" w:eastAsia="宋体" w:cs="Arial"/>
        </w:rPr>
      </w:pPr>
      <w:r>
        <w:rPr>
          <w:rFonts w:ascii="Arial" w:hAnsi="Arial" w:eastAsia="宋体" w:cs="Arial"/>
          <w:u w:val="single"/>
        </w:rPr>
        <w:t>建议：</w:t>
      </w:r>
      <w:r>
        <w:rPr>
          <w:rFonts w:ascii="Arial" w:hAnsi="Arial" w:eastAsia="宋体" w:cs="Arial"/>
        </w:rPr>
        <w:t>关于保持器械无菌状态的包装完整性，您应该提供包装的描述，包括其如何维持器械的无菌状态，关于包装完整性检测方法的描述，以及包装完整性检测结果的总结。FDA建议包装完整性测试方法包括模拟运输及相关的包装完整性，以及模拟（和/或实时）老化及相关的密封强度测试等，以确定包装完整性和使用期限。我们建议您遵循目前FDA认可的统一标准AAMI/ANS/ISO 11607（</w:t>
      </w:r>
      <w:r>
        <w:rPr>
          <w:rFonts w:ascii="Arial" w:hAnsi="Arial" w:eastAsia="宋体" w:cs="Arial"/>
          <w:i/>
        </w:rPr>
        <w:t>最终灭菌的医疗器械的包装</w:t>
      </w:r>
      <w:r>
        <w:rPr>
          <w:rFonts w:ascii="Arial" w:hAnsi="Arial" w:eastAsia="宋体" w:cs="Arial"/>
        </w:rPr>
        <w:t>）描述的方法。</w:t>
      </w:r>
    </w:p>
    <w:p w14:paraId="44CC4BF0">
      <w:pPr>
        <w:spacing w:before="156" w:beforeLines="50" w:after="156" w:afterLines="50" w:line="312" w:lineRule="auto"/>
        <w:rPr>
          <w:rFonts w:ascii="Arial" w:hAnsi="Arial" w:eastAsia="宋体" w:cs="Arial"/>
        </w:rPr>
      </w:pPr>
      <w:r>
        <w:rPr>
          <w:rFonts w:ascii="Arial" w:hAnsi="Arial" w:eastAsia="宋体" w:cs="Arial"/>
        </w:rPr>
        <w:t>关于评估老化对器械性能或功能的影响，使用期限研究应当评估能够确保器械在整个使用期限内能够正常持续运行的关键的物理和机械特性。为评估器械功能，我们建议您评估第XI节性能数据中描述的基线测试，并分析可能受到老化影响的设计附件或特征。例如老化能够影响大多数聚合材料的性能；因此，对于绝缘隔热层的完整性和性能的测试应该在老化后再次重复。对于不进行重复的基线测试，您应该提供合理的解释，为什么测试得到的性能特征不会受到老化的影响。</w:t>
      </w:r>
    </w:p>
    <w:p w14:paraId="255F8F7A">
      <w:pPr>
        <w:spacing w:before="156" w:beforeLines="50" w:after="156" w:afterLines="50" w:line="312" w:lineRule="auto"/>
        <w:rPr>
          <w:rFonts w:ascii="Arial" w:hAnsi="Arial" w:eastAsia="宋体" w:cs="Arial"/>
        </w:rPr>
      </w:pPr>
      <w:r>
        <w:rPr>
          <w:rFonts w:ascii="Arial" w:hAnsi="Arial" w:eastAsia="宋体" w:cs="Arial"/>
        </w:rPr>
        <w:t>我们建议在结果中包含您提供使用期限检测所使用的规范和结论。如果您使用了加速老化测试对您的器械进行使用期限的测试，那么我们建议您指出器械老化的方法。对于含有高分子材料的器械或部件，您应该计划对实时老化样本进行测试，以确定加速老化反应了实时老化。该检测可以与510（k）的审查和清楚同时进行，并将检测中记录的结果归入设计历史文件中（即检测报告报告不需要提交至FDA）。</w:t>
      </w:r>
    </w:p>
    <w:p w14:paraId="77ECE0B6">
      <w:pPr>
        <w:pStyle w:val="13"/>
        <w:numPr>
          <w:ilvl w:val="0"/>
          <w:numId w:val="1"/>
        </w:numPr>
        <w:spacing w:line="312" w:lineRule="auto"/>
        <w:ind w:firstLineChars="0"/>
        <w:outlineLvl w:val="0"/>
        <w:rPr>
          <w:rFonts w:ascii="Arial" w:hAnsi="Arial" w:eastAsia="宋体" w:cs="Arial"/>
          <w:b/>
          <w:sz w:val="28"/>
          <w:szCs w:val="28"/>
        </w:rPr>
      </w:pPr>
      <w:bookmarkStart w:id="37" w:name="_Toc478210071"/>
      <w:r>
        <w:rPr>
          <w:rFonts w:ascii="Arial" w:hAnsi="Arial" w:eastAsia="宋体" w:cs="Arial"/>
          <w:b/>
          <w:sz w:val="28"/>
          <w:szCs w:val="28"/>
        </w:rPr>
        <w:t>性能数据</w:t>
      </w:r>
      <w:bookmarkEnd w:id="37"/>
    </w:p>
    <w:p w14:paraId="547022F3">
      <w:pPr>
        <w:spacing w:before="156" w:beforeLines="50" w:after="156" w:afterLines="50" w:line="312" w:lineRule="auto"/>
        <w:rPr>
          <w:rFonts w:ascii="Arial" w:hAnsi="Arial" w:eastAsia="宋体" w:cs="Arial"/>
        </w:rPr>
      </w:pPr>
      <w:r>
        <w:rPr>
          <w:rFonts w:ascii="Arial" w:hAnsi="Arial" w:eastAsia="宋体" w:cs="Arial"/>
        </w:rPr>
        <w:t>我们建议使用非临床测试的方法来证明血管封闭系统的每个单独的附件（或者最为相关的产品系列中的代表）以及所有附件组装成的血管闭合系统（系统）满足所有的设计和性能规格要求。如果510（k）申请针对的是电外科系统的一个或多个附件而非整个电外科系统（例如单独的电外科发电机或有源电极），则需要使用合法上市的系统，配合您的与之兼容的部件进行非临床检测。根据与比较器械的实质等同性比较结果，非临床测试可能采用单独的台架测试，也可能需要使用动物模型进行体内或体外测试。后文所述为建议的针对每个主要部件及系统的非临床测试。</w:t>
      </w:r>
    </w:p>
    <w:p w14:paraId="11617DF0">
      <w:pPr>
        <w:spacing w:before="156" w:beforeLines="50" w:after="156" w:afterLines="50" w:line="312" w:lineRule="auto"/>
        <w:rPr>
          <w:rFonts w:ascii="Arial" w:hAnsi="Arial" w:eastAsia="宋体" w:cs="Arial"/>
        </w:rPr>
      </w:pPr>
    </w:p>
    <w:p w14:paraId="5163D8FC">
      <w:pPr>
        <w:widowControl/>
        <w:jc w:val="left"/>
        <w:rPr>
          <w:rFonts w:ascii="Arial" w:hAnsi="Arial" w:eastAsia="宋体" w:cs="Arial"/>
        </w:rPr>
      </w:pPr>
      <w:r>
        <w:rPr>
          <w:rFonts w:ascii="Arial" w:hAnsi="Arial" w:eastAsia="宋体" w:cs="Arial"/>
        </w:rPr>
        <w:br w:type="page"/>
      </w:r>
    </w:p>
    <w:p w14:paraId="49C16E88">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38" w:name="_Toc478210072"/>
      <w:r>
        <w:rPr>
          <w:rFonts w:ascii="Arial" w:hAnsi="Arial" w:eastAsia="宋体" w:cs="Arial"/>
          <w:b/>
          <w:sz w:val="28"/>
          <w:szCs w:val="28"/>
        </w:rPr>
        <w:t>ESU</w:t>
      </w:r>
      <w:bookmarkEnd w:id="38"/>
    </w:p>
    <w:p w14:paraId="2AD6FC9F">
      <w:pPr>
        <w:spacing w:before="156" w:beforeLines="50" w:after="156" w:afterLines="50" w:line="312" w:lineRule="auto"/>
        <w:rPr>
          <w:rFonts w:ascii="Arial" w:hAnsi="Arial" w:eastAsia="宋体" w:cs="Arial"/>
        </w:rPr>
      </w:pPr>
      <w:r>
        <w:rPr>
          <w:rFonts w:ascii="Arial" w:hAnsi="Arial" w:eastAsia="宋体" w:cs="Arial"/>
        </w:rPr>
        <w:t>您应该提供在额定负荷情况下输出波形的图像，指出相关的模式、振幅、频率、工作周期、使用的符合以及峰值因数。</w:t>
      </w:r>
    </w:p>
    <w:p w14:paraId="39DB57E9">
      <w:pPr>
        <w:spacing w:before="156" w:beforeLines="50" w:after="156" w:afterLines="50" w:line="312" w:lineRule="auto"/>
        <w:rPr>
          <w:rFonts w:ascii="Arial" w:hAnsi="Arial" w:eastAsia="宋体" w:cs="Arial"/>
        </w:rPr>
      </w:pPr>
      <w:r>
        <w:rPr>
          <w:rFonts w:ascii="Arial" w:hAnsi="Arial" w:eastAsia="宋体" w:cs="Arial"/>
        </w:rPr>
        <w:t>您应该提供在期望载荷范围的最大和半强度下的功率输出示意图（如单极100Ω到2000Ω）。该信息应当来自实验检测数据而非理论值，并且应当与比较器械相应模式下的曲线进行对比。</w:t>
      </w:r>
    </w:p>
    <w:p w14:paraId="5B0C09F7">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39" w:name="_Toc478210073"/>
      <w:r>
        <w:rPr>
          <w:rFonts w:ascii="Arial" w:hAnsi="Arial" w:eastAsia="宋体" w:cs="Arial"/>
          <w:b/>
          <w:sz w:val="28"/>
          <w:szCs w:val="28"/>
        </w:rPr>
        <w:t>有源部件/</w:t>
      </w:r>
      <w:bookmarkEnd w:id="39"/>
      <w:r>
        <w:rPr>
          <w:rFonts w:ascii="Arial" w:hAnsi="Arial" w:eastAsia="宋体" w:cs="Arial"/>
          <w:b/>
          <w:sz w:val="28"/>
          <w:szCs w:val="28"/>
        </w:rPr>
        <w:t>附件</w:t>
      </w:r>
    </w:p>
    <w:p w14:paraId="5F751002">
      <w:pPr>
        <w:spacing w:before="156" w:beforeLines="50" w:after="156" w:afterLines="50" w:line="312" w:lineRule="auto"/>
        <w:rPr>
          <w:rFonts w:ascii="Arial" w:hAnsi="Arial" w:eastAsia="宋体" w:cs="Arial"/>
        </w:rPr>
      </w:pPr>
      <w:r>
        <w:rPr>
          <w:rFonts w:ascii="Arial" w:hAnsi="Arial" w:eastAsia="宋体" w:cs="Arial"/>
        </w:rPr>
        <w:t>电外科器械的机械测试对于降低与机械故障和短路有关的风险十分重要。虽然不同的器械设计可能涉及不同的方法，但您均需要对器械使用前（如包装跌落测试）和使用中（如弯曲力）的潜在损害进行评估。对于一次性使用的器械和可重复利用的器械也有必要采取不同的测试方法。对于可重复利用的器械，检测结果需要表明在多次使用和再生循环后，器械的机械强度和电性能（如绝缘完整性）均应符合要求。对于进行手动操作的器械部件，我们建议对该部件进行模拟重复使用测试，包括抓握力和</w:t>
      </w:r>
      <w:bookmarkStart w:id="40" w:name="OLE_LINK8"/>
      <w:bookmarkStart w:id="41" w:name="OLE_LINK7"/>
      <w:r>
        <w:rPr>
          <w:rFonts w:ascii="Arial" w:hAnsi="Arial" w:eastAsia="宋体" w:cs="Arial"/>
        </w:rPr>
        <w:t>能够导致机械爪损坏的力</w:t>
      </w:r>
      <w:bookmarkEnd w:id="40"/>
      <w:bookmarkEnd w:id="41"/>
      <w:r>
        <w:rPr>
          <w:rFonts w:ascii="Arial" w:hAnsi="Arial" w:eastAsia="宋体" w:cs="Arial"/>
        </w:rPr>
        <w:t>的大小。能够导致机械爪损坏的力指的是能够导致操作部件无法抓握或无法接近目标组织的力。这项测试对于确保器械能够在最坏的情况下抓住目标组织十分重要。如适用的话，任何包含机械剪切功能的器械均应进行剪切性能测试。对于可重复使用的器械，该项测试应当在模拟最大使用次数以及再循环周期数后进行。</w:t>
      </w:r>
    </w:p>
    <w:p w14:paraId="75B2A68F">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42" w:name="_Toc478210074"/>
      <w:r>
        <w:rPr>
          <w:rFonts w:ascii="Arial" w:hAnsi="Arial" w:eastAsia="宋体" w:cs="Arial"/>
          <w:b/>
          <w:sz w:val="28"/>
          <w:szCs w:val="28"/>
        </w:rPr>
        <w:t>中性电极</w:t>
      </w:r>
      <w:bookmarkEnd w:id="42"/>
    </w:p>
    <w:p w14:paraId="098881C9">
      <w:pPr>
        <w:spacing w:before="156" w:beforeLines="50" w:after="156" w:afterLines="50" w:line="312" w:lineRule="auto"/>
        <w:rPr>
          <w:rFonts w:ascii="Arial" w:hAnsi="Arial" w:eastAsia="宋体" w:cs="Arial"/>
        </w:rPr>
      </w:pPr>
      <w:r>
        <w:rPr>
          <w:rFonts w:ascii="Arial" w:hAnsi="Arial" w:eastAsia="宋体" w:cs="Arial"/>
        </w:rPr>
        <w:t>需要根据当前FDA认可版本的IEC 60601-2-2进行中性电极的热性能、接触阻抗和附着力试验。如果采用了其他的检测方法和检测流程，则需要对检测和检测结果进行详细的描述。另外，您应该提供关于为什么该检测以及检测结果与当前FDA认可版本的IEC 60601-2-2具有等同性的讨论。</w:t>
      </w:r>
    </w:p>
    <w:p w14:paraId="60352D9E">
      <w:pPr>
        <w:spacing w:before="156" w:beforeLines="50" w:after="156" w:afterLines="50" w:line="312" w:lineRule="auto"/>
        <w:rPr>
          <w:rFonts w:hint="eastAsia" w:ascii="Arial" w:hAnsi="Arial" w:eastAsia="宋体" w:cs="Arial"/>
        </w:rPr>
      </w:pPr>
      <w:r>
        <w:rPr>
          <w:rFonts w:ascii="Arial" w:hAnsi="Arial" w:eastAsia="宋体" w:cs="Arial"/>
        </w:rPr>
        <w:t>对于可重复使用的中性电极，上述测试需要在模拟多次使用和根据使用说明进行的再生循环处理后进行。</w:t>
      </w:r>
    </w:p>
    <w:p w14:paraId="531DBBE3">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43" w:name="_Toc478210075"/>
      <w:r>
        <w:rPr>
          <w:rFonts w:hint="eastAsia" w:ascii="Arial" w:hAnsi="Arial" w:eastAsia="宋体" w:cs="Arial"/>
          <w:b/>
          <w:sz w:val="28"/>
          <w:szCs w:val="28"/>
        </w:rPr>
        <w:t>其他</w:t>
      </w:r>
      <w:r>
        <w:rPr>
          <w:rFonts w:ascii="Arial" w:hAnsi="Arial" w:eastAsia="宋体" w:cs="Arial"/>
          <w:b/>
          <w:sz w:val="28"/>
          <w:szCs w:val="28"/>
        </w:rPr>
        <w:t>部件/</w:t>
      </w:r>
      <w:bookmarkEnd w:id="43"/>
      <w:r>
        <w:rPr>
          <w:rFonts w:ascii="Arial" w:hAnsi="Arial" w:eastAsia="宋体" w:cs="Arial"/>
          <w:b/>
          <w:sz w:val="28"/>
          <w:szCs w:val="28"/>
        </w:rPr>
        <w:t>附件</w:t>
      </w:r>
    </w:p>
    <w:p w14:paraId="06ABBAAD">
      <w:pPr>
        <w:spacing w:before="156" w:beforeLines="50" w:after="156" w:afterLines="50" w:line="312" w:lineRule="auto"/>
        <w:rPr>
          <w:rFonts w:ascii="Arial" w:hAnsi="Arial" w:eastAsia="宋体" w:cs="Arial"/>
        </w:rPr>
      </w:pPr>
      <w:r>
        <w:rPr>
          <w:rFonts w:ascii="Arial" w:hAnsi="Arial" w:eastAsia="宋体" w:cs="Arial"/>
        </w:rPr>
        <w:t>如果您的电外科器械包含如脚踏开关、灌溉泵、吸引器或排烟器械等附件，则您应该提供一份检测结果，证明每种附件均符合设计和性能规格要求。</w:t>
      </w:r>
    </w:p>
    <w:p w14:paraId="0E7C7BF8">
      <w:pPr>
        <w:widowControl/>
        <w:jc w:val="left"/>
        <w:rPr>
          <w:rFonts w:ascii="Arial" w:hAnsi="Arial" w:eastAsia="宋体" w:cs="Arial"/>
        </w:rPr>
      </w:pPr>
      <w:r>
        <w:rPr>
          <w:rFonts w:ascii="Arial" w:hAnsi="Arial" w:eastAsia="宋体" w:cs="Arial"/>
        </w:rPr>
        <w:br w:type="page"/>
      </w:r>
    </w:p>
    <w:p w14:paraId="34C9AAE1">
      <w:pPr>
        <w:spacing w:before="156" w:beforeLines="50" w:after="156" w:afterLines="50" w:line="312" w:lineRule="auto"/>
        <w:rPr>
          <w:rFonts w:ascii="Arial" w:hAnsi="Arial" w:eastAsia="宋体" w:cs="Arial"/>
        </w:rPr>
      </w:pPr>
    </w:p>
    <w:p w14:paraId="2F88A42D">
      <w:pPr>
        <w:spacing w:before="156" w:beforeLines="50" w:after="156" w:afterLines="50" w:line="312" w:lineRule="auto"/>
        <w:rPr>
          <w:rFonts w:ascii="Arial" w:hAnsi="Arial" w:eastAsia="宋体" w:cs="Arial"/>
        </w:rPr>
      </w:pPr>
      <w:r>
        <w:rPr>
          <w:rFonts w:ascii="Arial" w:hAnsi="Arial" w:eastAsia="宋体" w:cs="Arial"/>
        </w:rPr>
        <w:t>如果某一部件/附件已经通过了FDA批准，则您应该提供原始的510（k）作为参考，不必再对部件/附件进行其他的检测。但还需要对部件/附件与申请器械的相容性进行检测。</w:t>
      </w:r>
    </w:p>
    <w:p w14:paraId="0BB37C4D">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44" w:name="_Toc478210076"/>
      <w:r>
        <w:rPr>
          <w:rFonts w:ascii="Arial" w:hAnsi="Arial" w:eastAsia="宋体" w:cs="Arial"/>
          <w:b/>
          <w:sz w:val="28"/>
          <w:szCs w:val="28"/>
        </w:rPr>
        <w:t>系统测试</w:t>
      </w:r>
      <w:bookmarkEnd w:id="44"/>
    </w:p>
    <w:p w14:paraId="1DD3420C">
      <w:pPr>
        <w:spacing w:before="156" w:beforeLines="50" w:after="156" w:afterLines="50" w:line="312" w:lineRule="auto"/>
        <w:rPr>
          <w:rFonts w:ascii="Arial" w:hAnsi="Arial" w:eastAsia="宋体" w:cs="Arial"/>
        </w:rPr>
      </w:pPr>
      <w:r>
        <w:rPr>
          <w:rFonts w:ascii="Arial" w:hAnsi="Arial" w:eastAsia="宋体" w:cs="Arial"/>
        </w:rPr>
        <w:t>除了对部件的检测，还需要对电外科器械的所有部件和附件作为一个整体系统进行检测。下面为电外科器械可能需要的系统检测举例：</w:t>
      </w:r>
    </w:p>
    <w:p w14:paraId="13658A61">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对组织的热影响</w:t>
      </w:r>
    </w:p>
    <w:p w14:paraId="1730A9AE">
      <w:pPr>
        <w:spacing w:before="156" w:beforeLines="50" w:after="156" w:afterLines="50" w:line="312" w:lineRule="auto"/>
        <w:ind w:left="424" w:leftChars="202"/>
        <w:rPr>
          <w:rFonts w:ascii="Arial" w:hAnsi="Arial" w:eastAsia="宋体" w:cs="Arial"/>
        </w:rPr>
      </w:pPr>
      <w:r>
        <w:rPr>
          <w:rFonts w:ascii="Arial" w:hAnsi="Arial" w:eastAsia="宋体" w:cs="Arial"/>
        </w:rPr>
        <w:t>对于每一种模式和代表器械，您应该提供热损伤区域（如凝固性坏死）的尺寸（长宽高）的定量测量（在放大镜下）。该项测试可以在体外的动物组织上进行，并且应该包含至少三类组织，以支持全体软组织适应症。FDA建议检测肝、肾和肌肉组织，涵盖多种组织密度，但其他的组织类型也是可以的，要根据适合的治疗位置进行选择。我们建议使用组织在放大镜下进行热损伤检测；但如果使用了其他方法，则需要对选择的方法做出合理的解释。</w:t>
      </w:r>
    </w:p>
    <w:p w14:paraId="0CBFC885">
      <w:pPr>
        <w:spacing w:before="156" w:beforeLines="50" w:after="156" w:afterLines="50" w:line="312" w:lineRule="auto"/>
        <w:ind w:left="424" w:leftChars="202"/>
        <w:rPr>
          <w:rFonts w:ascii="Arial" w:hAnsi="Arial" w:eastAsia="宋体" w:cs="Arial"/>
        </w:rPr>
      </w:pPr>
      <w:r>
        <w:rPr>
          <w:rFonts w:ascii="Arial" w:hAnsi="Arial" w:eastAsia="宋体" w:cs="Arial"/>
        </w:rPr>
        <w:t>如果在检测中，有源部件或电极分为了一个产品系列，则需要在方案和/或报告中对选择一个系列的代表个体的数据还是整体的数据作出说明。每项检测应至少在最低、默认和最高三个功率设置情况下进行检测。我们建议使用图和/或表的形式展示不同组织类型在不同的功率设置下、不同处理时长下的热损伤区域的宽度和深度。</w:t>
      </w:r>
    </w:p>
    <w:p w14:paraId="326656E8">
      <w:pPr>
        <w:spacing w:before="156" w:beforeLines="50" w:after="156" w:afterLines="50" w:line="312" w:lineRule="auto"/>
        <w:ind w:left="424" w:leftChars="202"/>
        <w:rPr>
          <w:rFonts w:ascii="Arial" w:hAnsi="Arial" w:eastAsia="宋体" w:cs="Arial"/>
        </w:rPr>
      </w:pPr>
      <w:r>
        <w:rPr>
          <w:rFonts w:ascii="Arial" w:hAnsi="Arial" w:eastAsia="宋体" w:cs="Arial"/>
        </w:rPr>
        <w:t>对于特定的组织类型（如肺或结肠组织）适应症，可能有必要在长期的动物研究中进行其他检测。如果您认为有必要进行长期的动物研究，我们强烈建议您通过提交前流程与机构取得联系，以获得研究设计考虑的早期反馈（参见FDA指南，“医疗器械申请的反馈需求”：提交前项目以及与食品和药品管理监督局工作人员进行会见）。</w:t>
      </w:r>
    </w:p>
    <w:p w14:paraId="2B84F3ED">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温度监控</w:t>
      </w:r>
    </w:p>
    <w:p w14:paraId="160F598E">
      <w:pPr>
        <w:spacing w:before="156" w:beforeLines="50" w:after="156" w:afterLines="50" w:line="312" w:lineRule="auto"/>
        <w:ind w:left="424" w:leftChars="202"/>
        <w:rPr>
          <w:rFonts w:ascii="Arial" w:hAnsi="Arial" w:eastAsia="宋体" w:cs="Arial"/>
        </w:rPr>
      </w:pPr>
      <w:r>
        <w:rPr>
          <w:rFonts w:ascii="Arial" w:hAnsi="Arial" w:eastAsia="宋体" w:cs="Arial"/>
        </w:rPr>
        <w:t>对于含有温度传感器的电外科器械，您应该进行检测以确定其工作正常。虽然根据器械的不同近侧方法也有差异，但您的检测需要能够证明在模拟的条件下温度传感器能够满足设计规范和性能需求。</w:t>
      </w:r>
    </w:p>
    <w:p w14:paraId="68E6C9DF">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接触质量监测（CQM）和/或联系性监测</w:t>
      </w:r>
    </w:p>
    <w:p w14:paraId="5C43021B">
      <w:pPr>
        <w:spacing w:before="156" w:beforeLines="50" w:after="156" w:afterLines="50" w:line="312" w:lineRule="auto"/>
        <w:ind w:left="422" w:leftChars="201"/>
        <w:rPr>
          <w:rFonts w:ascii="Arial" w:hAnsi="Arial" w:eastAsia="宋体" w:cs="Arial"/>
        </w:rPr>
      </w:pPr>
      <w:r>
        <w:rPr>
          <w:rFonts w:ascii="Arial" w:hAnsi="Arial" w:eastAsia="宋体" w:cs="Arial"/>
        </w:rPr>
        <w:t>对于电外科发电机和具有接触性能和/或连续监测功能的中性电极，您应当进行检测，证明这些特征的工作情况符合预期。虽然不同的监测设置的方法可能不同，但您采取的检测方法应当能提供监测功能有效的情况下的数据，用于完成使用说明。</w:t>
      </w:r>
    </w:p>
    <w:p w14:paraId="38A98AFC">
      <w:pPr>
        <w:pStyle w:val="13"/>
        <w:numPr>
          <w:ilvl w:val="0"/>
          <w:numId w:val="13"/>
        </w:numPr>
        <w:spacing w:before="156" w:beforeLines="50" w:after="156" w:afterLines="50" w:line="312" w:lineRule="auto"/>
        <w:ind w:firstLineChars="0"/>
        <w:rPr>
          <w:rFonts w:ascii="Arial" w:hAnsi="Arial" w:eastAsia="宋体" w:cs="Arial"/>
          <w:b/>
        </w:rPr>
        <w:sectPr>
          <w:pgSz w:w="11906" w:h="16838"/>
          <w:pgMar w:top="1134" w:right="1134" w:bottom="1134" w:left="1134" w:header="720" w:footer="720" w:gutter="0"/>
          <w:cols w:space="720" w:num="1"/>
          <w:docGrid w:type="lines" w:linePitch="312" w:charSpace="0"/>
        </w:sectPr>
      </w:pPr>
    </w:p>
    <w:p w14:paraId="789EB75F">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电容耦合</w:t>
      </w:r>
    </w:p>
    <w:p w14:paraId="4D1CE476">
      <w:pPr>
        <w:spacing w:before="156" w:beforeLines="50" w:after="156" w:afterLines="50" w:line="312" w:lineRule="auto"/>
        <w:ind w:left="422" w:leftChars="201"/>
        <w:rPr>
          <w:rFonts w:ascii="Arial" w:hAnsi="Arial" w:eastAsia="宋体" w:cs="Arial"/>
        </w:rPr>
      </w:pPr>
      <w:r>
        <w:rPr>
          <w:rFonts w:ascii="Arial" w:hAnsi="Arial" w:eastAsia="宋体" w:cs="Arial"/>
        </w:rPr>
        <w:t>如果申请的器械设计包含用于微创手术的单极电外科电极，那么我们建议您在模拟正常使用的情况下对申请器械和导电的导管/套管器械的有源耦合电阻进行检测。该项检测建议按照FDA认可的IEC 60601-2-18和IEC 60601-2-2进行。对于电外科电极和附件，我们建议在您的风险管理过程中添加绝缘材料及与其他手术器械之间添加电容耦合器（如脉搏血氧探针，侵入性血压计、温度探测摄像系统），从而降低漏电风险（不同的HF患者线路之间的交叉耦合）。</w:t>
      </w:r>
    </w:p>
    <w:p w14:paraId="7FB59D2C">
      <w:pPr>
        <w:spacing w:before="156" w:beforeLines="50" w:after="156" w:afterLines="50" w:line="312" w:lineRule="auto"/>
        <w:rPr>
          <w:rFonts w:ascii="Arial" w:hAnsi="Arial" w:eastAsia="宋体" w:cs="Arial"/>
        </w:rPr>
      </w:pPr>
      <w:r>
        <w:rPr>
          <w:rFonts w:ascii="Arial" w:hAnsi="Arial" w:eastAsia="宋体" w:cs="Arial"/>
        </w:rPr>
        <w:t>您应该提供每一项测试的完整测试报告。一份完整的测试报告包括：测试目的，测试方法和流程的描述，研究终点，预先设定的通过/未通过标准，结果总结，以及结论。FDA推荐对所有进行的测试提供完整的报告，因为</w:t>
      </w:r>
      <w:bookmarkStart w:id="45" w:name="OLE_LINK5"/>
      <w:bookmarkStart w:id="46" w:name="OLE_LINK6"/>
      <w:r>
        <w:rPr>
          <w:rFonts w:ascii="Arial" w:hAnsi="Arial" w:eastAsia="宋体" w:cs="Arial"/>
        </w:rPr>
        <w:t>IEC 60601-2-2和IEC 60601-2-18</w:t>
      </w:r>
      <w:bookmarkEnd w:id="45"/>
      <w:bookmarkEnd w:id="46"/>
      <w:r>
        <w:rPr>
          <w:rFonts w:ascii="Arial" w:hAnsi="Arial" w:eastAsia="宋体" w:cs="Arial"/>
        </w:rPr>
        <w:t>系列标准包含了多种可供选择的一般性方法，在某些情况下并不包含接受标准或对结果的评估。因此，在提交针对IEC 60601-2-2和IEC 60601-2-18的合规声明报告时，还应该提供一份补充信息以支持该声明（如一份研究检测报告副本）。</w:t>
      </w:r>
    </w:p>
    <w:p w14:paraId="66A0E935">
      <w:pPr>
        <w:spacing w:before="156" w:beforeLines="50" w:after="156" w:afterLines="50" w:line="312" w:lineRule="auto"/>
        <w:rPr>
          <w:rFonts w:ascii="Arial" w:hAnsi="Arial" w:eastAsia="宋体" w:cs="Arial"/>
        </w:rPr>
      </w:pPr>
      <w:r>
        <w:rPr>
          <w:rFonts w:ascii="Arial" w:hAnsi="Arial" w:eastAsia="宋体" w:cs="Arial"/>
        </w:rPr>
        <w:t>您还需要提供一份关于为什么测试得到的数据支持实质等同性的说明。凡涉及组织效应的测试，需要描述每项测试的接受标准的临床相关性，并解释测试结果为何能够说明您的器械符合可接受的临床性能。非临床检测的条件要模拟在器械临床使用中可能遇到的最坏的状况。对于不在FDA统一标准范围内的非临床测试，申请器械的测试结果要与比较器械进行比较。</w:t>
      </w:r>
    </w:p>
    <w:p w14:paraId="6C8FE961">
      <w:pPr>
        <w:spacing w:before="156" w:beforeLines="50" w:after="156" w:afterLines="50" w:line="312" w:lineRule="auto"/>
        <w:rPr>
          <w:rFonts w:ascii="Arial" w:hAnsi="Arial" w:eastAsia="宋体" w:cs="Arial"/>
        </w:rPr>
      </w:pPr>
    </w:p>
    <w:p w14:paraId="5D14F9F7">
      <w:pPr>
        <w:pStyle w:val="13"/>
        <w:numPr>
          <w:ilvl w:val="0"/>
          <w:numId w:val="1"/>
        </w:numPr>
        <w:spacing w:line="312" w:lineRule="auto"/>
        <w:ind w:firstLineChars="0"/>
        <w:outlineLvl w:val="0"/>
        <w:rPr>
          <w:rFonts w:ascii="Arial" w:hAnsi="Arial" w:eastAsia="宋体" w:cs="Arial"/>
          <w:b/>
          <w:sz w:val="28"/>
          <w:szCs w:val="28"/>
        </w:rPr>
      </w:pPr>
      <w:bookmarkStart w:id="47" w:name="_Toc478210077"/>
      <w:r>
        <w:rPr>
          <w:rFonts w:ascii="Arial" w:hAnsi="Arial" w:eastAsia="宋体" w:cs="Arial"/>
          <w:b/>
          <w:sz w:val="28"/>
          <w:szCs w:val="28"/>
        </w:rPr>
        <w:t>电气安全与电磁相容性</w:t>
      </w:r>
      <w:bookmarkEnd w:id="47"/>
    </w:p>
    <w:p w14:paraId="3B02E980">
      <w:pPr>
        <w:spacing w:before="156" w:beforeLines="50" w:after="156" w:afterLines="50" w:line="312" w:lineRule="auto"/>
        <w:rPr>
          <w:rFonts w:ascii="Arial" w:hAnsi="Arial" w:eastAsia="宋体" w:cs="Arial"/>
        </w:rPr>
      </w:pPr>
      <w:r>
        <w:rPr>
          <w:rFonts w:ascii="Arial" w:hAnsi="Arial" w:eastAsia="宋体" w:cs="Arial"/>
        </w:rPr>
        <w:t>重要性：电气安全指的是器械在其预期使用的环境中正常运行而不会由于电池或电源的供电波动而出现异常运行状况的能力。电磁相容性（EMC）指的是器械在其预期使用的环境中正常运行而不会由于电磁波动而出现异常运行状况，也不会向环境中引入过量的电磁扰动的能力。</w:t>
      </w:r>
    </w:p>
    <w:p w14:paraId="550BD8FB">
      <w:pPr>
        <w:widowControl/>
        <w:jc w:val="left"/>
        <w:rPr>
          <w:rFonts w:ascii="Arial" w:hAnsi="Arial" w:eastAsia="宋体" w:cs="Arial"/>
        </w:rPr>
      </w:pPr>
      <w:r>
        <w:rPr>
          <w:rFonts w:ascii="Arial" w:hAnsi="Arial" w:eastAsia="宋体" w:cs="Arial"/>
        </w:rPr>
        <w:br w:type="page"/>
      </w:r>
    </w:p>
    <w:p w14:paraId="1DBFE795">
      <w:pPr>
        <w:spacing w:before="156" w:beforeLines="50" w:after="156" w:afterLines="50" w:line="312" w:lineRule="auto"/>
        <w:rPr>
          <w:rFonts w:ascii="Arial" w:hAnsi="Arial" w:eastAsia="宋体" w:cs="Arial"/>
        </w:rPr>
      </w:pPr>
      <w:r>
        <w:rPr>
          <w:rFonts w:ascii="Arial" w:hAnsi="Arial" w:eastAsia="宋体" w:cs="Arial"/>
        </w:rPr>
        <w:t>建议：所有的电外科器械均要进行基本的电、热和EMC检测，评估其出现电气安全性和EMC不符合要求的可能性。我们建议您根据下面列出的FDA认可的60601系列标准地要求进行检测及制备标签。考虑到由于设计和附件的不同，检测器械也可能存在差异，因此您应该参照这些标准提供器械的完整检测报告。</w:t>
      </w:r>
    </w:p>
    <w:p w14:paraId="3400546E">
      <w:pPr>
        <w:pStyle w:val="13"/>
        <w:numPr>
          <w:ilvl w:val="0"/>
          <w:numId w:val="14"/>
        </w:numPr>
        <w:spacing w:before="156" w:beforeLines="50" w:after="156" w:afterLines="50" w:line="312" w:lineRule="auto"/>
        <w:ind w:left="423" w:leftChars="135" w:hanging="140" w:hangingChars="67"/>
        <w:rPr>
          <w:rFonts w:ascii="Arial" w:hAnsi="Arial" w:eastAsia="宋体" w:cs="Arial"/>
        </w:rPr>
      </w:pPr>
      <w:r>
        <w:rPr>
          <w:rFonts w:ascii="Arial" w:hAnsi="Arial" w:eastAsia="宋体" w:cs="Arial"/>
        </w:rPr>
        <w:t>AAMI/ANSI ES60601-1，医疗电气设备——第1部分：基本安全和核心性能的一般性要求。</w:t>
      </w:r>
    </w:p>
    <w:p w14:paraId="5643509D">
      <w:pPr>
        <w:pStyle w:val="13"/>
        <w:numPr>
          <w:ilvl w:val="0"/>
          <w:numId w:val="14"/>
        </w:numPr>
        <w:spacing w:before="156" w:beforeLines="50" w:after="156" w:afterLines="50" w:line="312" w:lineRule="auto"/>
        <w:ind w:left="423" w:leftChars="135" w:hanging="140" w:hangingChars="67"/>
        <w:rPr>
          <w:rFonts w:ascii="Arial" w:hAnsi="Arial" w:eastAsia="宋体" w:cs="Arial"/>
        </w:rPr>
      </w:pPr>
      <w:r>
        <w:rPr>
          <w:rFonts w:ascii="Arial" w:hAnsi="Arial" w:eastAsia="宋体" w:cs="Arial"/>
        </w:rPr>
        <w:t>IEC 60601-1-2，医疗电气设备——第1-2部分：基本安全和核心性能的一般性要求——附属标准：电磁干扰——要求与检测。</w:t>
      </w:r>
    </w:p>
    <w:p w14:paraId="5EF73E56">
      <w:pPr>
        <w:pStyle w:val="13"/>
        <w:numPr>
          <w:ilvl w:val="0"/>
          <w:numId w:val="14"/>
        </w:numPr>
        <w:spacing w:before="156" w:beforeLines="50" w:after="156" w:afterLines="50" w:line="312" w:lineRule="auto"/>
        <w:ind w:left="423" w:leftChars="135" w:hanging="140" w:hangingChars="67"/>
        <w:rPr>
          <w:rFonts w:ascii="Arial" w:hAnsi="Arial" w:eastAsia="宋体" w:cs="Arial"/>
        </w:rPr>
      </w:pPr>
      <w:r>
        <w:rPr>
          <w:rFonts w:ascii="Arial" w:hAnsi="Arial" w:eastAsia="宋体" w:cs="Arial"/>
        </w:rPr>
        <w:t>IEC 60601-2-2，医疗电气设备——第2-2部分：高频手术器械和高频手术</w:t>
      </w:r>
      <w:bookmarkStart w:id="48" w:name="OLE_LINK9"/>
      <w:bookmarkStart w:id="49" w:name="OLE_LINK10"/>
      <w:r>
        <w:rPr>
          <w:rFonts w:ascii="Arial" w:hAnsi="Arial" w:eastAsia="宋体" w:cs="Arial"/>
        </w:rPr>
        <w:t>附件基本安全和核心性能的特殊要求。</w:t>
      </w:r>
      <w:bookmarkEnd w:id="48"/>
      <w:bookmarkEnd w:id="49"/>
    </w:p>
    <w:p w14:paraId="55AE67E9">
      <w:pPr>
        <w:spacing w:before="156" w:beforeLines="50" w:after="156" w:afterLines="50" w:line="312" w:lineRule="auto"/>
        <w:rPr>
          <w:rFonts w:ascii="Arial" w:hAnsi="Arial" w:eastAsia="宋体" w:cs="Arial"/>
        </w:rPr>
      </w:pPr>
      <w:r>
        <w:rPr>
          <w:rFonts w:ascii="Arial" w:hAnsi="Arial" w:eastAsia="宋体" w:cs="Arial"/>
        </w:rPr>
        <w:t>另外，内窥镜/腹腔镜电外科器械应当符合IEC 60601-2-18，医疗电气设备——第2-18部分：内窥镜设备基本安全和核心性能的特殊要求。</w:t>
      </w:r>
    </w:p>
    <w:p w14:paraId="655DF23B">
      <w:pPr>
        <w:spacing w:before="156" w:beforeLines="50" w:after="156" w:afterLines="50" w:line="312" w:lineRule="auto"/>
        <w:rPr>
          <w:rFonts w:ascii="Arial" w:hAnsi="Arial" w:eastAsia="宋体" w:cs="Arial"/>
        </w:rPr>
      </w:pPr>
      <w:r>
        <w:rPr>
          <w:rFonts w:ascii="Arial" w:hAnsi="Arial" w:eastAsia="宋体" w:cs="Arial"/>
        </w:rPr>
        <w:t>关于在上市前审查中提供EMC信息的补充信息，请参考FDA指南“电力驱动的医疗器械电磁相容性（EMC）声明的支持信息”。</w:t>
      </w:r>
    </w:p>
    <w:p w14:paraId="54A267D8">
      <w:pPr>
        <w:spacing w:before="156" w:beforeLines="50" w:after="156" w:afterLines="50" w:line="312" w:lineRule="auto"/>
        <w:rPr>
          <w:rFonts w:ascii="Arial" w:hAnsi="Arial" w:eastAsia="宋体" w:cs="Arial"/>
        </w:rPr>
      </w:pPr>
      <w:r>
        <w:rPr>
          <w:rFonts w:ascii="Arial" w:hAnsi="Arial" w:eastAsia="宋体" w:cs="Arial"/>
        </w:rPr>
        <w:t>在实现EMC的过程中，请注意，根据IEC 60601-2-2，高频手术器械是电磁能量的主动发射器械，因此仅需在空运行状态下（即启动电源但不启动手术能量）对电源发电机进行IEC 60601-1-2所规定的放能检测。但即使在空运行检测中，也要特别注意连接的附件和器械，如导线长度（谐振频率）和导游电子元器件的器械的作用情况。对于导线长度、接口类型以及电子元器件不同的器械来说，使用一种“有代表性的”器械模型用于检测目的是不合适的。</w:t>
      </w:r>
    </w:p>
    <w:p w14:paraId="12FB60B1">
      <w:pPr>
        <w:spacing w:before="156" w:beforeLines="50" w:after="156" w:afterLines="50" w:line="312" w:lineRule="auto"/>
        <w:rPr>
          <w:rFonts w:ascii="Arial" w:hAnsi="Arial" w:eastAsia="宋体" w:cs="Arial"/>
        </w:rPr>
      </w:pPr>
      <w:r>
        <w:rPr>
          <w:rFonts w:ascii="Arial" w:hAnsi="Arial" w:eastAsia="宋体" w:cs="Arial"/>
        </w:rPr>
        <w:t>如果您的申请针对的是电外科器械的一个特殊部件，则您仍需要在该部件与电外科器械系统的其他部件相连接的情况下进行检测。该检测过程需要在该部件预期的连接状态以及使用环境下进行。</w:t>
      </w:r>
    </w:p>
    <w:p w14:paraId="425AA84A">
      <w:pPr>
        <w:spacing w:before="156" w:beforeLines="50" w:after="156" w:afterLines="50" w:line="312" w:lineRule="auto"/>
        <w:rPr>
          <w:rFonts w:ascii="Arial" w:hAnsi="Arial" w:eastAsia="宋体" w:cs="Arial"/>
        </w:rPr>
      </w:pPr>
      <w:r>
        <w:rPr>
          <w:rFonts w:ascii="Arial" w:hAnsi="Arial" w:eastAsia="宋体" w:cs="Arial"/>
        </w:rPr>
        <w:t>如果电外科器械连接使用了包括RFID（射频识别）技术在内的无线传输技术，那么斤斤符合IEC 60601标准并不足以证明您的器械能够抵抗电磁干扰或您的无线传输技术能够可靠地运行。请参考FDA指导文件“医疗器械的射频无线传输技术”来对无线传输技术相关的风险以及如何消除风险进行讨论。</w:t>
      </w:r>
    </w:p>
    <w:p w14:paraId="18A123C6">
      <w:pPr>
        <w:spacing w:before="156" w:beforeLines="50" w:after="156" w:afterLines="50" w:line="312" w:lineRule="auto"/>
        <w:rPr>
          <w:rFonts w:ascii="Arial" w:hAnsi="Arial" w:eastAsia="宋体" w:cs="Arial"/>
        </w:rPr>
      </w:pPr>
    </w:p>
    <w:p w14:paraId="22BA71EE">
      <w:pPr>
        <w:widowControl/>
        <w:jc w:val="left"/>
        <w:rPr>
          <w:rFonts w:ascii="Arial" w:hAnsi="Arial" w:eastAsia="宋体" w:cs="Arial"/>
        </w:rPr>
      </w:pPr>
      <w:r>
        <w:rPr>
          <w:rFonts w:ascii="Arial" w:hAnsi="Arial" w:eastAsia="宋体" w:cs="Arial"/>
        </w:rPr>
        <w:br w:type="page"/>
      </w:r>
    </w:p>
    <w:p w14:paraId="5733558F">
      <w:pPr>
        <w:pStyle w:val="13"/>
        <w:numPr>
          <w:ilvl w:val="0"/>
          <w:numId w:val="1"/>
        </w:numPr>
        <w:spacing w:line="312" w:lineRule="auto"/>
        <w:ind w:firstLineChars="0"/>
        <w:outlineLvl w:val="0"/>
        <w:rPr>
          <w:rFonts w:ascii="Arial" w:hAnsi="Arial" w:eastAsia="宋体" w:cs="Arial"/>
          <w:b/>
          <w:sz w:val="28"/>
          <w:szCs w:val="28"/>
        </w:rPr>
      </w:pPr>
      <w:bookmarkStart w:id="50" w:name="_Toc478210078"/>
      <w:r>
        <w:rPr>
          <w:rFonts w:ascii="Arial" w:hAnsi="Arial" w:eastAsia="宋体" w:cs="Arial"/>
          <w:b/>
          <w:sz w:val="28"/>
          <w:szCs w:val="28"/>
        </w:rPr>
        <w:t>临床测试</w:t>
      </w:r>
      <w:bookmarkEnd w:id="50"/>
    </w:p>
    <w:p w14:paraId="00F7C602">
      <w:pPr>
        <w:spacing w:before="156" w:beforeLines="50" w:after="156" w:afterLines="50" w:line="312" w:lineRule="auto"/>
        <w:rPr>
          <w:rFonts w:ascii="Arial" w:hAnsi="Arial" w:eastAsia="宋体" w:cs="Arial"/>
        </w:rPr>
      </w:pPr>
      <w:r>
        <w:rPr>
          <w:rFonts w:ascii="Arial" w:hAnsi="Arial" w:eastAsia="宋体" w:cs="Arial"/>
        </w:rPr>
        <w:t>通常情况下，普通外科手术用的双极电外科血管闭合系统的510（k）申请并不需要临床数据支持。但如果器械使用适应症或器械的技术和/或运行机制与比较器械有显著的差异，并且非临床测试并不足以确定实质等同性，则可能需要临床测试以确定实质等同性。例如，许多美容用的电外科器械已使用临床数据来证明其符合预期的安全性和有效性。关于此问题的更多信息请参考FDA指南文件“510（k）项目：上市前通告（510（k））实质等同性评估。”的第F节。</w:t>
      </w:r>
    </w:p>
    <w:p w14:paraId="52ABF93D">
      <w:pPr>
        <w:spacing w:before="156" w:beforeLines="50" w:after="156" w:afterLines="50" w:line="312" w:lineRule="auto"/>
        <w:rPr>
          <w:rFonts w:ascii="Arial" w:hAnsi="Arial" w:eastAsia="宋体" w:cs="Arial"/>
        </w:rPr>
      </w:pPr>
      <w:r>
        <w:rPr>
          <w:rFonts w:ascii="Arial" w:hAnsi="Arial" w:eastAsia="宋体" w:cs="Arial"/>
        </w:rPr>
        <w:t>如果您认为临床数据十分有必要，或者您不确定，我们强烈建议您通过提交前程序与机构取得联系，以获取研究设计考虑的早期反馈（</w:t>
      </w:r>
      <w:bookmarkStart w:id="51" w:name="OLE_LINK26"/>
      <w:bookmarkStart w:id="52" w:name="OLE_LINK25"/>
      <w:r>
        <w:rPr>
          <w:rFonts w:ascii="Arial" w:hAnsi="Arial" w:eastAsia="宋体" w:cs="Arial"/>
        </w:rPr>
        <w:t>参见FDA指南，</w:t>
      </w:r>
      <w:bookmarkStart w:id="53" w:name="OLE_LINK16"/>
      <w:bookmarkStart w:id="54" w:name="OLE_LINK15"/>
      <w:bookmarkStart w:id="55" w:name="OLE_LINK45"/>
      <w:bookmarkStart w:id="56" w:name="OLE_LINK46"/>
      <w:r>
        <w:rPr>
          <w:rFonts w:ascii="Arial" w:hAnsi="Arial" w:eastAsia="宋体" w:cs="Arial"/>
        </w:rPr>
        <w:t>“医疗器械申请的反馈</w:t>
      </w:r>
      <w:bookmarkEnd w:id="53"/>
      <w:bookmarkEnd w:id="54"/>
      <w:r>
        <w:rPr>
          <w:rFonts w:ascii="Arial" w:hAnsi="Arial" w:eastAsia="宋体" w:cs="Arial"/>
        </w:rPr>
        <w:t>需求：提交前项目以及与食品和药品监督管理局工作人员进行会见</w:t>
      </w:r>
      <w:bookmarkEnd w:id="51"/>
      <w:bookmarkEnd w:id="52"/>
      <w:bookmarkEnd w:id="55"/>
      <w:bookmarkEnd w:id="56"/>
      <w:r>
        <w:rPr>
          <w:rFonts w:ascii="Arial" w:hAnsi="Arial" w:eastAsia="宋体" w:cs="Arial"/>
        </w:rPr>
        <w:t>）。</w:t>
      </w:r>
    </w:p>
    <w:p w14:paraId="585C5E13">
      <w:pPr>
        <w:spacing w:before="156" w:beforeLines="50" w:after="156" w:afterLines="50" w:line="312" w:lineRule="auto"/>
        <w:rPr>
          <w:rFonts w:ascii="Arial" w:hAnsi="Arial" w:eastAsia="宋体" w:cs="Arial"/>
        </w:rPr>
      </w:pPr>
    </w:p>
    <w:p w14:paraId="5BAF8C0E">
      <w:pPr>
        <w:pStyle w:val="13"/>
        <w:numPr>
          <w:ilvl w:val="0"/>
          <w:numId w:val="1"/>
        </w:numPr>
        <w:spacing w:line="312" w:lineRule="auto"/>
        <w:ind w:firstLineChars="0"/>
        <w:outlineLvl w:val="0"/>
        <w:rPr>
          <w:rFonts w:ascii="Arial" w:hAnsi="Arial" w:eastAsia="宋体" w:cs="Arial"/>
          <w:b/>
          <w:sz w:val="28"/>
          <w:szCs w:val="28"/>
        </w:rPr>
      </w:pPr>
      <w:bookmarkStart w:id="57" w:name="_Toc478210079"/>
      <w:r>
        <w:rPr>
          <w:rFonts w:ascii="Arial" w:hAnsi="Arial" w:eastAsia="宋体" w:cs="Arial"/>
          <w:b/>
          <w:sz w:val="28"/>
          <w:szCs w:val="28"/>
        </w:rPr>
        <w:t>标签</w:t>
      </w:r>
      <w:bookmarkEnd w:id="57"/>
    </w:p>
    <w:p w14:paraId="7258D205">
      <w:pPr>
        <w:spacing w:before="156" w:beforeLines="50" w:after="156" w:afterLines="50" w:line="312" w:lineRule="auto"/>
        <w:rPr>
          <w:rFonts w:ascii="Arial" w:hAnsi="Arial" w:eastAsia="宋体" w:cs="Arial"/>
        </w:rPr>
      </w:pPr>
      <w:r>
        <w:rPr>
          <w:rFonts w:ascii="Arial" w:hAnsi="Arial" w:eastAsia="宋体" w:cs="Arial"/>
        </w:rPr>
        <w:t>上市前申请应当包含符合</w:t>
      </w:r>
      <w:bookmarkStart w:id="58" w:name="OLE_LINK17"/>
      <w:bookmarkStart w:id="59" w:name="OLE_LINK18"/>
      <w:r>
        <w:rPr>
          <w:rFonts w:ascii="Arial" w:hAnsi="Arial" w:eastAsia="宋体" w:cs="Arial"/>
        </w:rPr>
        <w:t>21 CFR 807.87（e）</w:t>
      </w:r>
      <w:bookmarkEnd w:id="58"/>
      <w:bookmarkEnd w:id="59"/>
      <w:r>
        <w:rPr>
          <w:rFonts w:ascii="Arial" w:hAnsi="Arial" w:eastAsia="宋体" w:cs="Arial"/>
        </w:rPr>
        <w:t>要求的足够的内容。按照21 CFR 807.87（e）的规定，所有能够描述电外科器械的适应症、使用方法的标签、标注、以及广告都必须包含特定的适应症说明，并且清晰地标注警告、禁忌症或局限性。在按照21 CFR 807.87（e）的要求准备标签时请参考后文列出的建议。这些建议旨在帮助您准备可接受的标签。</w:t>
      </w:r>
    </w:p>
    <w:p w14:paraId="0C46C993">
      <w:pPr>
        <w:spacing w:before="156" w:beforeLines="50" w:after="156" w:afterLines="50" w:line="312" w:lineRule="auto"/>
        <w:rPr>
          <w:rFonts w:ascii="Arial" w:hAnsi="Arial" w:eastAsia="宋体" w:cs="Arial"/>
        </w:rPr>
      </w:pPr>
      <w:r>
        <w:rPr>
          <w:rFonts w:ascii="Arial" w:hAnsi="Arial" w:eastAsia="宋体" w:cs="Arial"/>
        </w:rPr>
        <w:t xml:space="preserve">虽然510（k）的批准并不要求最终版的标签，但在医疗器械进入美国市场前，最终版的标签必须符合21 CFR第801部分的要求。另外，处方类医疗器械的最终标签还必须符合21 </w:t>
      </w:r>
      <w:bookmarkStart w:id="60" w:name="OLE_LINK19"/>
      <w:bookmarkStart w:id="61" w:name="OLE_LINK20"/>
      <w:r>
        <w:rPr>
          <w:rFonts w:ascii="Arial" w:hAnsi="Arial" w:eastAsia="宋体" w:cs="Arial"/>
        </w:rPr>
        <w:t>CFR 801.109</w:t>
      </w:r>
      <w:bookmarkEnd w:id="60"/>
      <w:bookmarkEnd w:id="61"/>
      <w:r>
        <w:rPr>
          <w:rFonts w:ascii="Arial" w:hAnsi="Arial" w:eastAsia="宋体" w:cs="Arial"/>
        </w:rPr>
        <w:t>.</w:t>
      </w:r>
    </w:p>
    <w:p w14:paraId="1F4B3F9B">
      <w:pPr>
        <w:spacing w:before="156" w:beforeLines="50" w:after="156" w:afterLines="50" w:line="312" w:lineRule="auto"/>
        <w:rPr>
          <w:rFonts w:ascii="Arial" w:hAnsi="Arial" w:eastAsia="宋体" w:cs="Arial"/>
        </w:rPr>
      </w:pPr>
      <w:r>
        <w:rPr>
          <w:rFonts w:ascii="Arial" w:hAnsi="Arial" w:eastAsia="宋体" w:cs="Arial"/>
        </w:rPr>
        <w:t>作为处方类器械，根据CFR 801.109的要求，该器械不必针对外行使用者进行足够的指导。但标签必须包含医生使用该器械的足够的信息，包括适应症，效果，路径，方法，使用的频率和时长，以及任何相关的损害、禁忌症、副作用以及注意事项（</w:t>
      </w:r>
      <w:r>
        <w:rPr>
          <w:rFonts w:ascii="Arial" w:hAnsi="Arial" w:eastAsia="宋体" w:cs="Arial"/>
          <w:kern w:val="0"/>
        </w:rPr>
        <w:t>CFR 801.109（d）</w:t>
      </w:r>
      <w:r>
        <w:rPr>
          <w:rFonts w:ascii="Arial" w:hAnsi="Arial" w:eastAsia="宋体" w:cs="Arial"/>
        </w:rPr>
        <w:t>）。</w:t>
      </w:r>
    </w:p>
    <w:p w14:paraId="342A3413">
      <w:pPr>
        <w:spacing w:before="156" w:beforeLines="50" w:after="156" w:afterLines="50" w:line="312" w:lineRule="auto"/>
        <w:rPr>
          <w:rFonts w:ascii="Arial" w:hAnsi="Arial" w:eastAsia="宋体" w:cs="Arial"/>
        </w:rPr>
      </w:pPr>
      <w:r>
        <w:rPr>
          <w:rFonts w:ascii="Arial" w:hAnsi="Arial" w:eastAsia="宋体" w:cs="Arial"/>
        </w:rPr>
        <w:t>如第XII节，电气安全与电磁相容性部分的叙述，我们建议所有的电外科器械符合目前FDA认可的60601系列标准，包括AAMI/ANSI ES60601-1，IEC 60601-1-2，IEC 60601-2-2，以及（如适用）IEC 60601-2-18。我们也建议您在标签中包含以下的信息。请注意有些建议的标签内容已经在标准中有所包含，但我们重复标出以示强调。其他的建议内容来在标准的基础上做出了更改。</w:t>
      </w:r>
    </w:p>
    <w:p w14:paraId="326B5F8B">
      <w:pPr>
        <w:spacing w:before="156" w:beforeLines="50" w:after="156" w:afterLines="50" w:line="312" w:lineRule="auto"/>
        <w:rPr>
          <w:rFonts w:hint="eastAsia" w:ascii="Arial" w:hAnsi="Arial" w:eastAsia="宋体" w:cs="Arial"/>
        </w:rPr>
      </w:pPr>
      <w:r>
        <w:rPr>
          <w:rFonts w:ascii="Arial" w:hAnsi="Arial" w:eastAsia="宋体" w:cs="Arial"/>
        </w:rPr>
        <w:t>电外科系统一般由几个不同的可交换的附件组成，这些附件共同运作，产生目标效果，、包括ESU、有源附件、中性电极、脚踏开关等。下面的某些建议可能仅适用于某个单独的附件或系统中的每个附件等。您应该根据适应症、每个附件以及这些附件的包装方式（共同包装还是独立包装）来决定合适的标签内容。如果您的申请针对的是一个特定的部件，则您的标签需要描述风险评估得出的相容性建议和结果，因为这与器械相容性相关。</w:t>
      </w:r>
    </w:p>
    <w:p w14:paraId="411C43AF">
      <w:pPr>
        <w:spacing w:before="156" w:beforeLines="50" w:after="156" w:afterLines="50" w:line="312" w:lineRule="auto"/>
        <w:rPr>
          <w:rFonts w:hint="eastAsia" w:ascii="Arial" w:hAnsi="Arial" w:eastAsia="宋体" w:cs="Arial"/>
        </w:rPr>
      </w:pPr>
    </w:p>
    <w:p w14:paraId="23A31BF9">
      <w:pPr>
        <w:spacing w:before="156" w:beforeLines="50" w:after="156" w:afterLines="50" w:line="312" w:lineRule="auto"/>
        <w:rPr>
          <w:rFonts w:ascii="Arial" w:hAnsi="Arial" w:eastAsia="宋体" w:cs="Arial"/>
        </w:rPr>
      </w:pPr>
    </w:p>
    <w:p w14:paraId="5AC59374">
      <w:pPr>
        <w:spacing w:before="156" w:beforeLines="50" w:after="156" w:afterLines="50" w:line="312" w:lineRule="auto"/>
        <w:rPr>
          <w:rFonts w:ascii="Arial" w:hAnsi="Arial" w:eastAsia="宋体" w:cs="Arial"/>
        </w:rPr>
      </w:pPr>
      <w:r>
        <w:rPr>
          <w:rFonts w:ascii="Arial" w:hAnsi="Arial" w:eastAsia="宋体" w:cs="Arial"/>
        </w:rPr>
        <w:t>下面列出的内容并不想穷尽801部分所列出的所有的标签要求。</w:t>
      </w:r>
    </w:p>
    <w:p w14:paraId="4A624A4A">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bookmarkStart w:id="62" w:name="_Toc478210080"/>
      <w:r>
        <w:rPr>
          <w:rFonts w:ascii="Arial" w:hAnsi="Arial" w:eastAsia="宋体" w:cs="Arial"/>
          <w:b/>
          <w:sz w:val="24"/>
          <w:szCs w:val="24"/>
        </w:rPr>
        <w:t>适应症（使用手册）</w:t>
      </w:r>
      <w:bookmarkEnd w:id="62"/>
    </w:p>
    <w:p w14:paraId="699D394F">
      <w:pPr>
        <w:spacing w:before="156" w:beforeLines="50" w:after="156" w:afterLines="50" w:line="312" w:lineRule="auto"/>
        <w:rPr>
          <w:rFonts w:ascii="Arial" w:hAnsi="Arial" w:eastAsia="宋体" w:cs="Arial"/>
        </w:rPr>
      </w:pPr>
      <w:r>
        <w:rPr>
          <w:rFonts w:ascii="Arial" w:hAnsi="Arial" w:eastAsia="宋体" w:cs="Arial"/>
        </w:rPr>
        <w:t>1. 使用适应症</w:t>
      </w:r>
    </w:p>
    <w:p w14:paraId="1C601EAB">
      <w:pPr>
        <w:spacing w:before="156" w:beforeLines="50" w:after="156" w:afterLines="50" w:line="312" w:lineRule="auto"/>
        <w:ind w:left="422" w:leftChars="201"/>
        <w:rPr>
          <w:rFonts w:ascii="Arial" w:hAnsi="Arial" w:eastAsia="宋体" w:cs="Arial"/>
        </w:rPr>
      </w:pPr>
      <w:r>
        <w:rPr>
          <w:rFonts w:ascii="Arial" w:hAnsi="Arial" w:eastAsia="宋体" w:cs="Arial"/>
        </w:rPr>
        <w:t>标签应明确标明正如在您使用适应症说明中指定的器械使用适应症。该信息应当位于使用适应症开始的显要位置。如果器械由适应症不同的多个附件组成，则请在标签部分予以注明。</w:t>
      </w:r>
    </w:p>
    <w:p w14:paraId="4CB333A7">
      <w:pPr>
        <w:spacing w:before="156" w:beforeLines="50" w:after="156" w:afterLines="50" w:line="312" w:lineRule="auto"/>
        <w:rPr>
          <w:rFonts w:ascii="Arial" w:hAnsi="Arial" w:eastAsia="宋体" w:cs="Arial"/>
        </w:rPr>
      </w:pPr>
      <w:r>
        <w:rPr>
          <w:rFonts w:ascii="Arial" w:hAnsi="Arial" w:eastAsia="宋体" w:cs="Arial"/>
        </w:rPr>
        <w:t>2. 警告</w:t>
      </w:r>
    </w:p>
    <w:p w14:paraId="4C6B6D27">
      <w:pPr>
        <w:spacing w:before="156" w:beforeLines="50" w:after="156" w:afterLines="50" w:line="312" w:lineRule="auto"/>
        <w:ind w:left="422" w:leftChars="201"/>
        <w:rPr>
          <w:rFonts w:ascii="Arial" w:hAnsi="Arial" w:eastAsia="宋体" w:cs="Arial"/>
        </w:rPr>
      </w:pPr>
      <w:r>
        <w:rPr>
          <w:rFonts w:ascii="Arial" w:hAnsi="Arial" w:eastAsia="宋体" w:cs="Arial"/>
        </w:rPr>
        <w:t>如果适用，我们建议在使用说明中包含如下信息。示例语言以斜体表示。如果您认为这些警告中的某些不适用于您的器械，请提供针对忽略项的说明。</w:t>
      </w:r>
    </w:p>
    <w:p w14:paraId="20266E21">
      <w:pPr>
        <w:spacing w:before="156" w:beforeLines="50" w:after="156" w:afterLines="50" w:line="312" w:lineRule="auto"/>
        <w:ind w:left="422" w:leftChars="201"/>
        <w:rPr>
          <w:rFonts w:ascii="Arial" w:hAnsi="Arial" w:eastAsia="宋体" w:cs="Arial"/>
        </w:rPr>
      </w:pPr>
      <w:r>
        <w:rPr>
          <w:rFonts w:ascii="Arial" w:hAnsi="Arial" w:eastAsia="宋体" w:cs="Arial"/>
        </w:rPr>
        <w:t>a. 未向专业人士医生咨询（如心脏病专家），佩戴有电子植入物如心脏起搏器的患者禁止使用。由于会对电子植入物产生干扰，或可能损坏植入物，因而存在危害。</w:t>
      </w:r>
    </w:p>
    <w:p w14:paraId="2D8610DF">
      <w:pPr>
        <w:spacing w:before="156" w:beforeLines="50" w:after="156" w:afterLines="50" w:line="312" w:lineRule="auto"/>
        <w:ind w:left="422" w:leftChars="201"/>
        <w:rPr>
          <w:rFonts w:ascii="Arial" w:hAnsi="Arial" w:eastAsia="宋体" w:cs="Arial"/>
        </w:rPr>
      </w:pPr>
      <w:r>
        <w:rPr>
          <w:rFonts w:ascii="Arial" w:hAnsi="Arial" w:eastAsia="宋体" w:cs="Arial"/>
        </w:rPr>
        <w:t>b. 易燃性麻醉剂或氧化性气体（如二氧化氮和氧气）存在的情况下，或接近挥发性溶剂（如甲醇或乙醇）的情况下禁止使用，可能引发爆炸。</w:t>
      </w:r>
    </w:p>
    <w:p w14:paraId="0BB19C27">
      <w:pPr>
        <w:spacing w:before="156" w:beforeLines="50" w:after="156" w:afterLines="50" w:line="312" w:lineRule="auto"/>
        <w:ind w:left="422" w:leftChars="201"/>
        <w:rPr>
          <w:rFonts w:ascii="Arial" w:hAnsi="Arial" w:eastAsia="宋体" w:cs="Arial"/>
        </w:rPr>
      </w:pPr>
      <w:r>
        <w:rPr>
          <w:rFonts w:ascii="Arial" w:hAnsi="Arial" w:eastAsia="宋体" w:cs="Arial"/>
        </w:rPr>
        <w:t>c. 不要将器械靠近在或解除易燃物品（如纱布或手术单）。器械运行或使用过热可能引发火灾。</w:t>
      </w:r>
    </w:p>
    <w:p w14:paraId="768254EC">
      <w:pPr>
        <w:spacing w:before="156" w:beforeLines="50" w:after="156" w:afterLines="50" w:line="312" w:lineRule="auto"/>
        <w:ind w:left="422" w:leftChars="201"/>
        <w:rPr>
          <w:rFonts w:ascii="Arial" w:hAnsi="Arial" w:eastAsia="宋体" w:cs="Arial"/>
        </w:rPr>
      </w:pPr>
      <w:r>
        <w:rPr>
          <w:rFonts w:ascii="Arial" w:hAnsi="Arial" w:eastAsia="宋体" w:cs="Arial"/>
        </w:rPr>
        <w:t>d. 在不使用的情况下，请将器械放置在干净、干燥、明显可以观察到且不与患者接触的位置。出现疏忽与患者接触可能会引起灼伤。</w:t>
      </w:r>
    </w:p>
    <w:p w14:paraId="66EFC605">
      <w:pPr>
        <w:spacing w:before="156" w:beforeLines="50" w:after="156" w:afterLines="50" w:line="312" w:lineRule="auto"/>
        <w:ind w:left="422" w:leftChars="201"/>
        <w:rPr>
          <w:rFonts w:ascii="Arial" w:hAnsi="Arial" w:eastAsia="宋体" w:cs="Arial"/>
        </w:rPr>
      </w:pPr>
      <w:r>
        <w:rPr>
          <w:rFonts w:ascii="Arial" w:hAnsi="Arial" w:eastAsia="宋体" w:cs="Arial"/>
        </w:rPr>
        <w:t>e. 在每次使用前，检查器械和线缆的损坏情况，尤其是腹腔镜/内窥镜器械的绝缘隔热情况。可以在放大镜下肉眼完成或使用高功率的绝缘隔热检测器械。绝缘出现问题可能会导致患者或医生出现灼伤或其他损伤。</w:t>
      </w:r>
    </w:p>
    <w:p w14:paraId="5F71B8D5">
      <w:pPr>
        <w:spacing w:before="156" w:beforeLines="50" w:after="156" w:afterLines="50" w:line="312" w:lineRule="auto"/>
        <w:ind w:left="422" w:leftChars="201"/>
        <w:rPr>
          <w:rFonts w:ascii="Arial" w:hAnsi="Arial" w:eastAsia="宋体" w:cs="Arial"/>
        </w:rPr>
      </w:pPr>
      <w:r>
        <w:rPr>
          <w:rFonts w:ascii="Arial" w:hAnsi="Arial" w:eastAsia="宋体" w:cs="Arial"/>
        </w:rPr>
        <w:t>f. 在射频电流关闭后，有源电极表面温度可能仍然很高，可能会引起灼伤。</w:t>
      </w:r>
    </w:p>
    <w:p w14:paraId="72D9CD6A">
      <w:pPr>
        <w:spacing w:before="156" w:beforeLines="50" w:after="156" w:afterLines="50" w:line="312" w:lineRule="auto"/>
        <w:ind w:left="422" w:leftChars="201"/>
        <w:rPr>
          <w:rFonts w:ascii="Arial" w:hAnsi="Arial" w:eastAsia="宋体" w:cs="Arial"/>
        </w:rPr>
      </w:pPr>
      <w:r>
        <w:rPr>
          <w:rFonts w:ascii="Arial" w:hAnsi="Arial" w:eastAsia="宋体" w:cs="Arial"/>
        </w:rPr>
        <w:t>g. 由于电外科手术的副产物（如组织产生的烟和气溶胶）具有潜在的致癌或感染性，在开放和腹腔镜手术中均应使用保护性的眼罩、过滤性面具以及有效的排风器械。</w:t>
      </w:r>
    </w:p>
    <w:p w14:paraId="756DD8EF">
      <w:pPr>
        <w:widowControl/>
        <w:jc w:val="left"/>
        <w:rPr>
          <w:rFonts w:ascii="Arial" w:hAnsi="Arial" w:eastAsia="宋体" w:cs="Arial"/>
        </w:rPr>
      </w:pPr>
      <w:r>
        <w:rPr>
          <w:rFonts w:ascii="Arial" w:hAnsi="Arial" w:eastAsia="宋体" w:cs="Arial"/>
        </w:rPr>
        <w:br w:type="page"/>
      </w:r>
    </w:p>
    <w:p w14:paraId="62B4A2C4">
      <w:pPr>
        <w:spacing w:before="156" w:beforeLines="50" w:after="156" w:afterLines="50" w:line="312" w:lineRule="auto"/>
        <w:ind w:left="422" w:leftChars="201"/>
        <w:rPr>
          <w:rFonts w:ascii="Arial" w:hAnsi="Arial" w:eastAsia="宋体" w:cs="Arial"/>
        </w:rPr>
      </w:pPr>
      <w:r>
        <w:rPr>
          <w:rFonts w:ascii="Arial" w:hAnsi="Arial" w:eastAsia="宋体" w:cs="Arial"/>
        </w:rPr>
        <w:t>h. 在电源关闭后再进行电外科单元适配器和附件的连接。否则肯恩滚起患者或操作人员受伤或电击。</w:t>
      </w:r>
    </w:p>
    <w:p w14:paraId="14868D18">
      <w:pPr>
        <w:spacing w:before="156" w:beforeLines="50" w:after="156" w:afterLines="50" w:line="312" w:lineRule="auto"/>
        <w:ind w:left="422" w:leftChars="201"/>
        <w:rPr>
          <w:rFonts w:ascii="Arial" w:hAnsi="Arial" w:eastAsia="宋体" w:cs="Arial"/>
        </w:rPr>
      </w:pPr>
      <w:r>
        <w:rPr>
          <w:rFonts w:ascii="Arial" w:hAnsi="Arial" w:eastAsia="宋体" w:cs="Arial"/>
        </w:rPr>
        <w:t>i. 如果器械使用氩气增强，那么您应该包含关于气体栓塞的警告和建议。</w:t>
      </w:r>
    </w:p>
    <w:p w14:paraId="37FB4E61">
      <w:pPr>
        <w:spacing w:before="156" w:beforeLines="50" w:after="156" w:afterLines="50" w:line="312" w:lineRule="auto"/>
        <w:ind w:left="422" w:leftChars="201"/>
        <w:rPr>
          <w:rFonts w:ascii="Arial" w:hAnsi="Arial" w:eastAsia="宋体" w:cs="Arial"/>
        </w:rPr>
      </w:pPr>
      <w:r>
        <w:rPr>
          <w:rFonts w:ascii="Arial" w:hAnsi="Arial" w:eastAsia="宋体" w:cs="Arial"/>
        </w:rPr>
        <w:t>j. 对于可重复使用的器械，您应当在在使用前进行预热，因为肉眼检查可能不足以确保绝缘层完整。</w:t>
      </w:r>
    </w:p>
    <w:p w14:paraId="2E803A46">
      <w:pPr>
        <w:spacing w:before="156" w:beforeLines="50" w:after="156" w:afterLines="50" w:line="312" w:lineRule="auto"/>
        <w:ind w:left="422" w:leftChars="201"/>
        <w:rPr>
          <w:rFonts w:ascii="Arial" w:hAnsi="Arial" w:eastAsia="宋体" w:cs="Arial"/>
        </w:rPr>
      </w:pPr>
      <w:r>
        <w:rPr>
          <w:rFonts w:ascii="Arial" w:hAnsi="Arial" w:eastAsia="宋体" w:cs="Arial"/>
        </w:rPr>
        <w:t>k. 与目标组织接触前不要激活器械，可能与其它手术器械出现电容耦合导致损伤。</w:t>
      </w:r>
    </w:p>
    <w:p w14:paraId="70E76B3E">
      <w:pPr>
        <w:spacing w:before="156" w:beforeLines="50" w:after="156" w:afterLines="50" w:line="312" w:lineRule="auto"/>
        <w:ind w:left="422" w:leftChars="201"/>
        <w:rPr>
          <w:rFonts w:ascii="Arial" w:hAnsi="Arial" w:eastAsia="宋体" w:cs="Arial"/>
        </w:rPr>
      </w:pPr>
      <w:r>
        <w:rPr>
          <w:rFonts w:ascii="Arial" w:hAnsi="Arial" w:eastAsia="宋体" w:cs="Arial"/>
        </w:rPr>
        <w:t>单极器械还应包含其他的警告：</w:t>
      </w:r>
    </w:p>
    <w:p w14:paraId="19D33DFE">
      <w:pPr>
        <w:spacing w:before="156" w:beforeLines="50" w:after="156" w:afterLines="50" w:line="312" w:lineRule="auto"/>
        <w:ind w:left="422" w:leftChars="201"/>
        <w:rPr>
          <w:rFonts w:ascii="Arial" w:hAnsi="Arial" w:eastAsia="宋体" w:cs="Arial"/>
        </w:rPr>
      </w:pPr>
      <w:r>
        <w:rPr>
          <w:rFonts w:ascii="Arial" w:hAnsi="Arial" w:eastAsia="宋体" w:cs="Arial"/>
        </w:rPr>
        <w:t>l. 在启动器械前从手术位置吸引液体。导电液体（如血液或盐水）与运行中的电极直接接触或靠近会导致电流或热量从目标组织处流失，可能会导致患者出现未预见的灼伤。</w:t>
      </w:r>
    </w:p>
    <w:p w14:paraId="06F401BF">
      <w:pPr>
        <w:spacing w:before="156" w:beforeLines="50" w:after="156" w:afterLines="50" w:line="312" w:lineRule="auto"/>
        <w:ind w:left="422" w:leftChars="201"/>
        <w:rPr>
          <w:rFonts w:ascii="Arial" w:hAnsi="Arial" w:eastAsia="宋体" w:cs="Arial"/>
        </w:rPr>
      </w:pPr>
      <w:r>
        <w:rPr>
          <w:rFonts w:ascii="Arial" w:hAnsi="Arial" w:eastAsia="宋体" w:cs="Arial"/>
        </w:rPr>
        <w:t>m. 在使用单极有源部件时，不要使用混合针系统，即金属与塑料的组合。这可能会导致电容耦合引起的备用位点灼伤。</w:t>
      </w:r>
    </w:p>
    <w:p w14:paraId="35B02125">
      <w:pPr>
        <w:spacing w:before="156" w:beforeLines="50" w:after="156" w:afterLines="50" w:line="312" w:lineRule="auto"/>
        <w:ind w:left="422" w:leftChars="201"/>
        <w:rPr>
          <w:rFonts w:ascii="Arial" w:hAnsi="Arial" w:eastAsia="宋体" w:cs="Arial"/>
        </w:rPr>
      </w:pPr>
      <w:r>
        <w:rPr>
          <w:rFonts w:ascii="Arial" w:hAnsi="Arial" w:eastAsia="宋体" w:cs="Arial"/>
        </w:rPr>
        <w:t>n. 在增加强度前，检查中性电极和接口的连接牢固程度。在常规的操作设置下明显的输出过低或器械功能故障可能意味着中性电极连接错误或接口松动。</w:t>
      </w:r>
    </w:p>
    <w:p w14:paraId="72A74904">
      <w:pPr>
        <w:spacing w:before="156" w:beforeLines="50" w:after="156" w:afterLines="50" w:line="312" w:lineRule="auto"/>
        <w:ind w:left="422" w:leftChars="201"/>
        <w:rPr>
          <w:rFonts w:ascii="Arial" w:hAnsi="Arial" w:eastAsia="宋体" w:cs="Arial"/>
        </w:rPr>
      </w:pPr>
      <w:r>
        <w:rPr>
          <w:rFonts w:ascii="Arial" w:hAnsi="Arial" w:eastAsia="宋体" w:cs="Arial"/>
        </w:rPr>
        <w:t>o. 如果器械使用了中性电极但没有CQM，您应该提供一份警告说明，指出</w:t>
      </w:r>
      <w:bookmarkStart w:id="63" w:name="OLE_LINK11"/>
      <w:bookmarkStart w:id="64" w:name="OLE_LINK12"/>
      <w:r>
        <w:rPr>
          <w:rFonts w:ascii="Arial" w:hAnsi="Arial" w:eastAsia="宋体" w:cs="Arial"/>
        </w:rPr>
        <w:t>中性电极与患者非安全接触会产生警告</w:t>
      </w:r>
      <w:bookmarkEnd w:id="63"/>
      <w:bookmarkEnd w:id="64"/>
      <w:r>
        <w:rPr>
          <w:rFonts w:ascii="Arial" w:hAnsi="Arial" w:eastAsia="宋体" w:cs="Arial"/>
        </w:rPr>
        <w:t>。</w:t>
      </w:r>
    </w:p>
    <w:p w14:paraId="6FED65C9">
      <w:pPr>
        <w:spacing w:before="156" w:beforeLines="50" w:after="156" w:afterLines="50" w:line="312" w:lineRule="auto"/>
        <w:ind w:left="422" w:leftChars="201"/>
        <w:rPr>
          <w:rFonts w:ascii="Arial" w:hAnsi="Arial" w:eastAsia="宋体" w:cs="Arial"/>
        </w:rPr>
      </w:pPr>
      <w:r>
        <w:rPr>
          <w:rFonts w:ascii="Arial" w:hAnsi="Arial" w:eastAsia="宋体" w:cs="Arial"/>
        </w:rPr>
        <w:t>p. 如果器械使用了中性电极且有CQM，您应该提供一份警告说明，指出除非使用了兼容的监测中性电极，否则中性电极与患者非安全接触不会产生警告。</w:t>
      </w:r>
    </w:p>
    <w:p w14:paraId="0F8EF5B9">
      <w:pPr>
        <w:spacing w:before="156" w:beforeLines="50" w:after="156" w:afterLines="50" w:line="312" w:lineRule="auto"/>
        <w:rPr>
          <w:rFonts w:ascii="Arial" w:hAnsi="Arial" w:eastAsia="宋体" w:cs="Arial"/>
        </w:rPr>
      </w:pPr>
      <w:r>
        <w:rPr>
          <w:rFonts w:ascii="Arial" w:hAnsi="Arial" w:eastAsia="宋体" w:cs="Arial"/>
        </w:rPr>
        <w:t>3. 注意事项</w:t>
      </w:r>
    </w:p>
    <w:p w14:paraId="413FA1EF">
      <w:pPr>
        <w:spacing w:before="156" w:beforeLines="50" w:after="156" w:afterLines="50" w:line="312" w:lineRule="auto"/>
        <w:rPr>
          <w:rFonts w:ascii="Arial" w:hAnsi="Arial" w:eastAsia="宋体" w:cs="Arial"/>
        </w:rPr>
      </w:pPr>
      <w:r>
        <w:rPr>
          <w:rFonts w:ascii="Arial" w:hAnsi="Arial" w:eastAsia="宋体" w:cs="Arial"/>
        </w:rPr>
        <w:t>我们建议在使用说明中包含如下注意事项。示例语言以斜体表示。</w:t>
      </w:r>
    </w:p>
    <w:p w14:paraId="776D9380">
      <w:pPr>
        <w:spacing w:before="156" w:beforeLines="50" w:after="156" w:afterLines="50" w:line="312" w:lineRule="auto"/>
        <w:ind w:left="422" w:leftChars="201"/>
        <w:rPr>
          <w:rFonts w:ascii="Arial" w:hAnsi="Arial" w:eastAsia="宋体" w:cs="Arial"/>
        </w:rPr>
      </w:pPr>
      <w:r>
        <w:rPr>
          <w:rFonts w:ascii="Arial" w:hAnsi="Arial" w:eastAsia="宋体" w:cs="Arial"/>
        </w:rPr>
        <w:t>a. 强度应当设置为能够达到预定效果的最低强度【除非低强度设置会带来风险，如氩离子凝固】。</w:t>
      </w:r>
    </w:p>
    <w:p w14:paraId="3DFDE929">
      <w:pPr>
        <w:spacing w:before="156" w:beforeLines="50" w:after="156" w:afterLines="50" w:line="312" w:lineRule="auto"/>
        <w:ind w:left="422" w:leftChars="201"/>
        <w:rPr>
          <w:rFonts w:ascii="Arial" w:hAnsi="Arial" w:eastAsia="宋体" w:cs="Arial"/>
        </w:rPr>
      </w:pPr>
      <w:r>
        <w:rPr>
          <w:rFonts w:ascii="Arial" w:hAnsi="Arial" w:eastAsia="宋体" w:cs="Arial"/>
        </w:rPr>
        <w:t>b. 保持有源电极清洁。焦痂累积会降低器械的有效性。不要在清洁过程中启动器械。这可能会损伤手术室工作人员。</w:t>
      </w:r>
    </w:p>
    <w:p w14:paraId="4ED505F1">
      <w:pPr>
        <w:spacing w:before="156" w:beforeLines="50" w:after="156" w:afterLines="50" w:line="312" w:lineRule="auto"/>
        <w:rPr>
          <w:rFonts w:ascii="Arial" w:hAnsi="Arial" w:eastAsia="宋体" w:cs="Arial"/>
        </w:rPr>
      </w:pPr>
      <w:r>
        <w:rPr>
          <w:rFonts w:ascii="Arial" w:hAnsi="Arial" w:eastAsia="宋体" w:cs="Arial"/>
        </w:rPr>
        <w:t>4. 操作信息</w:t>
      </w:r>
    </w:p>
    <w:p w14:paraId="672B4894">
      <w:pPr>
        <w:spacing w:before="156" w:beforeLines="50" w:after="156" w:afterLines="50" w:line="312" w:lineRule="auto"/>
        <w:rPr>
          <w:rFonts w:ascii="Arial" w:hAnsi="Arial" w:eastAsia="宋体" w:cs="Arial"/>
        </w:rPr>
      </w:pPr>
      <w:r>
        <w:rPr>
          <w:rFonts w:ascii="Arial" w:hAnsi="Arial" w:eastAsia="宋体" w:cs="Arial"/>
        </w:rPr>
        <w:t>操作说明应当包含详细的信息，使得使用者能够按照预期用途安全地搭建并使用该器械。另外，我们建议您在说明书中包含附件的合理选择和使用的信息，避免不兼容以及不安全的操作。尤其应当提供关于CQM和中性电极兼容性的建议，并指导使用者确认发电机的输出电压不超过附件的额定电压。对于任何需要更换的附件（如一次性电极），您应当在标签中提供更换的指导（如模型编码和接触信息）。</w:t>
      </w:r>
    </w:p>
    <w:p w14:paraId="051C92F4">
      <w:pPr>
        <w:widowControl/>
        <w:jc w:val="left"/>
        <w:rPr>
          <w:rFonts w:ascii="Arial" w:hAnsi="Arial" w:eastAsia="宋体" w:cs="Arial"/>
        </w:rPr>
      </w:pPr>
      <w:r>
        <w:rPr>
          <w:rFonts w:ascii="Arial" w:hAnsi="Arial" w:eastAsia="宋体" w:cs="Arial"/>
        </w:rPr>
        <w:br w:type="page"/>
      </w:r>
    </w:p>
    <w:p w14:paraId="6A79A981">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bookmarkStart w:id="65" w:name="_Toc478210082"/>
      <w:r>
        <w:rPr>
          <w:rFonts w:hint="eastAsia" w:ascii="Arial" w:hAnsi="Arial" w:eastAsia="宋体" w:cs="Arial"/>
          <w:b/>
          <w:sz w:val="24"/>
          <w:szCs w:val="24"/>
        </w:rPr>
        <w:t xml:space="preserve">器械标签 </w:t>
      </w:r>
    </w:p>
    <w:p w14:paraId="0408A96A">
      <w:pPr>
        <w:pStyle w:val="13"/>
        <w:spacing w:before="156" w:beforeLines="50" w:after="156" w:afterLines="50" w:line="312" w:lineRule="auto"/>
        <w:ind w:left="556" w:firstLine="0" w:firstLineChars="0"/>
        <w:outlineLvl w:val="1"/>
        <w:rPr>
          <w:rFonts w:ascii="Arial" w:hAnsi="Arial" w:eastAsia="宋体" w:cs="Arial"/>
          <w:b/>
          <w:sz w:val="24"/>
          <w:szCs w:val="24"/>
        </w:rPr>
      </w:pPr>
      <w:r>
        <w:rPr>
          <w:rFonts w:ascii="Arial" w:hAnsi="Arial" w:eastAsia="宋体" w:cs="Arial"/>
          <w:szCs w:val="21"/>
        </w:rPr>
        <w:t>在您的申请中，我们建议您提供一份示意图，标明器械的各个部件的标签情况，说明所有的控制器、开关和接口（包括手动开关的有源电极以及脚踏开关）均清晰、准确、永久性的表明了其功能及其他重要信息（如BF型应用部分）。在申请和标签中，您应该描述控制器和接口的颜色（如蓝色“凝结”按钮），这样每个部分的功能都是清晰的。</w:t>
      </w:r>
    </w:p>
    <w:p w14:paraId="688DACE2">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r>
        <w:rPr>
          <w:rFonts w:ascii="Arial" w:hAnsi="Arial" w:eastAsia="宋体" w:cs="Arial"/>
          <w:b/>
          <w:sz w:val="24"/>
          <w:szCs w:val="24"/>
        </w:rPr>
        <w:t>包装标签</w:t>
      </w:r>
      <w:bookmarkEnd w:id="65"/>
    </w:p>
    <w:p w14:paraId="45145118">
      <w:pPr>
        <w:spacing w:before="156" w:beforeLines="50" w:after="156" w:afterLines="50" w:line="312" w:lineRule="auto"/>
        <w:rPr>
          <w:rFonts w:ascii="Arial" w:hAnsi="Arial" w:eastAsia="宋体" w:cs="Arial"/>
        </w:rPr>
      </w:pPr>
      <w:r>
        <w:rPr>
          <w:rFonts w:ascii="Arial" w:hAnsi="Arial" w:eastAsia="宋体" w:cs="Arial"/>
        </w:rPr>
        <w:t>我们建议您提供包装标签草案，包括制造商、模型编码、以及关于器械再次使用、灭菌、使用期限等的重要信息。</w:t>
      </w:r>
    </w:p>
    <w:p w14:paraId="66C24A77">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bookmarkStart w:id="66" w:name="_Toc478210083"/>
      <w:r>
        <w:rPr>
          <w:rFonts w:ascii="Arial" w:hAnsi="Arial" w:eastAsia="宋体" w:cs="Arial"/>
          <w:b/>
          <w:sz w:val="24"/>
          <w:szCs w:val="24"/>
        </w:rPr>
        <w:t>特殊部件的标签</w:t>
      </w:r>
      <w:bookmarkEnd w:id="66"/>
    </w:p>
    <w:p w14:paraId="44C74C59">
      <w:pPr>
        <w:spacing w:before="156" w:beforeLines="50" w:after="156" w:afterLines="50" w:line="312" w:lineRule="auto"/>
        <w:rPr>
          <w:rFonts w:ascii="Arial" w:hAnsi="Arial" w:eastAsia="宋体" w:cs="Arial"/>
        </w:rPr>
      </w:pPr>
      <w:r>
        <w:rPr>
          <w:rFonts w:ascii="Arial" w:hAnsi="Arial" w:eastAsia="宋体" w:cs="Arial"/>
        </w:rPr>
        <w:t>1. ESU</w:t>
      </w:r>
    </w:p>
    <w:p w14:paraId="64D23100">
      <w:pPr>
        <w:spacing w:before="156" w:beforeLines="50" w:after="156" w:afterLines="50" w:line="312" w:lineRule="auto"/>
        <w:rPr>
          <w:rFonts w:ascii="Arial" w:hAnsi="Arial" w:eastAsia="宋体" w:cs="Arial"/>
        </w:rPr>
      </w:pPr>
      <w:r>
        <w:rPr>
          <w:rFonts w:ascii="Arial" w:hAnsi="Arial" w:eastAsia="宋体" w:cs="Arial"/>
        </w:rPr>
        <w:t>您的使用说明应当包含您器械的输出规格信息，以便用户可以清楚地了解传输的电源信息。我们推荐您在器械的每种输出模式中包含以下信息：</w:t>
      </w:r>
    </w:p>
    <w:p w14:paraId="7B11C3BC">
      <w:pPr>
        <w:pStyle w:val="13"/>
        <w:numPr>
          <w:ilvl w:val="0"/>
          <w:numId w:val="15"/>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标明实际输出功率的图表（在特定阻抗下）。如果有多重可供选择的强度设置的话，每种强度设置下均应提供这些图或表。</w:t>
      </w:r>
    </w:p>
    <w:p w14:paraId="030FF17F">
      <w:pPr>
        <w:pStyle w:val="13"/>
        <w:numPr>
          <w:ilvl w:val="0"/>
          <w:numId w:val="15"/>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期望载荷范围的最大和半强度下的功率输出示意图。</w:t>
      </w:r>
    </w:p>
    <w:p w14:paraId="5E813D7C">
      <w:pPr>
        <w:pStyle w:val="13"/>
        <w:numPr>
          <w:ilvl w:val="0"/>
          <w:numId w:val="15"/>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最大输出电压以及选择合适电压等级下附件的指导。</w:t>
      </w:r>
    </w:p>
    <w:p w14:paraId="3780D465">
      <w:pPr>
        <w:spacing w:before="156" w:beforeLines="50" w:after="156" w:afterLines="50" w:line="312" w:lineRule="auto"/>
        <w:rPr>
          <w:rFonts w:ascii="Arial" w:hAnsi="Arial" w:eastAsia="宋体" w:cs="Arial"/>
        </w:rPr>
      </w:pPr>
      <w:r>
        <w:rPr>
          <w:rFonts w:ascii="Arial" w:hAnsi="Arial" w:eastAsia="宋体" w:cs="Arial"/>
        </w:rPr>
        <w:t>2. 有源部件与有源附件</w:t>
      </w:r>
    </w:p>
    <w:p w14:paraId="63181989">
      <w:pPr>
        <w:spacing w:before="156" w:beforeLines="50" w:after="156" w:afterLines="50" w:line="312" w:lineRule="auto"/>
        <w:rPr>
          <w:rFonts w:ascii="Arial" w:hAnsi="Arial" w:eastAsia="宋体" w:cs="Arial"/>
        </w:rPr>
      </w:pPr>
      <w:r>
        <w:rPr>
          <w:rFonts w:ascii="Arial" w:hAnsi="Arial" w:eastAsia="宋体" w:cs="Arial"/>
        </w:rPr>
        <w:t>您的使用说明应当包含您的器械与其他电外科系统部件相容性的信息。我们推荐您包含以下信息：</w:t>
      </w:r>
    </w:p>
    <w:p w14:paraId="0D8F7C24">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额定的附件电压。</w:t>
      </w:r>
    </w:p>
    <w:p w14:paraId="2DC50351">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相容的发电机模型，或使用者选择适当的发电机的详细指导和标准。</w:t>
      </w:r>
    </w:p>
    <w:p w14:paraId="4E7026C8">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发电机输出设置的限制以及有源时长。</w:t>
      </w:r>
    </w:p>
    <w:p w14:paraId="540E880C">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更多信息请使用者参考发电机说明书的声明。</w:t>
      </w:r>
    </w:p>
    <w:p w14:paraId="19C37EC6">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如果器械可重复使用，则需要提供关于清洁、检查以及灭菌和如何记录使用次数的详细说明。您还应提供一个警告，说明单独进行肉眼观察不足以确保绝缘隔热材料完好。</w:t>
      </w:r>
    </w:p>
    <w:p w14:paraId="634CC39A">
      <w:pPr>
        <w:pStyle w:val="13"/>
        <w:numPr>
          <w:ilvl w:val="0"/>
          <w:numId w:val="16"/>
        </w:numPr>
        <w:spacing w:before="156" w:beforeLines="50" w:after="156" w:afterLines="50" w:line="312" w:lineRule="auto"/>
        <w:ind w:left="0" w:firstLine="0" w:firstLineChars="0"/>
        <w:rPr>
          <w:rFonts w:ascii="Arial" w:hAnsi="Arial" w:eastAsia="宋体" w:cs="Arial"/>
        </w:rPr>
        <w:sectPr>
          <w:pgSz w:w="11906" w:h="16838"/>
          <w:pgMar w:top="1134" w:right="1134" w:bottom="1134" w:left="1134" w:header="720" w:footer="720" w:gutter="0"/>
          <w:cols w:space="720" w:num="1"/>
          <w:docGrid w:type="lines" w:linePitch="312" w:charSpace="0"/>
        </w:sectPr>
      </w:pPr>
    </w:p>
    <w:p w14:paraId="35C88AFC">
      <w:pPr>
        <w:pStyle w:val="13"/>
        <w:numPr>
          <w:ilvl w:val="0"/>
          <w:numId w:val="16"/>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对于组织消融，标签应当提供单位损伤面积建议的消融时间，器械可以有效使用的损伤面积和形状范围，如何在单个损伤位点进行多次消融，包括如何将探针再次定位到同一个损伤位点的操作指导，时间、温度和损毁面积之间的关系图，指导使用者达到预期的操作结果，以及指导使用者指导消融结束的时间。</w:t>
      </w:r>
    </w:p>
    <w:p w14:paraId="2902FBC5">
      <w:pPr>
        <w:spacing w:before="156" w:beforeLines="50" w:after="156" w:afterLines="50" w:line="312" w:lineRule="auto"/>
        <w:rPr>
          <w:rFonts w:ascii="Arial" w:hAnsi="Arial" w:eastAsia="宋体" w:cs="Arial"/>
        </w:rPr>
      </w:pPr>
      <w:r>
        <w:rPr>
          <w:rFonts w:ascii="Arial" w:hAnsi="Arial" w:eastAsia="宋体" w:cs="Arial"/>
        </w:rPr>
        <w:t>3. 中性电极</w:t>
      </w:r>
    </w:p>
    <w:p w14:paraId="09BB708D">
      <w:pPr>
        <w:spacing w:before="156" w:beforeLines="50" w:after="156" w:afterLines="50" w:line="312" w:lineRule="auto"/>
        <w:rPr>
          <w:rFonts w:ascii="Arial" w:hAnsi="Arial" w:eastAsia="宋体" w:cs="Arial"/>
        </w:rPr>
      </w:pPr>
      <w:r>
        <w:rPr>
          <w:rFonts w:ascii="Arial" w:hAnsi="Arial" w:eastAsia="宋体" w:cs="Arial"/>
        </w:rPr>
        <w:t>对于单极器械，您的使用说明应当提供关于脑内的中性电极与电外科器械其他附件的兼容性的信息。我们建议包含下列信息：</w:t>
      </w:r>
    </w:p>
    <w:p w14:paraId="39242E38">
      <w:pPr>
        <w:spacing w:before="156" w:beforeLines="50" w:after="156" w:afterLines="50" w:line="312" w:lineRule="auto"/>
        <w:ind w:left="424" w:leftChars="202"/>
        <w:rPr>
          <w:rFonts w:ascii="Arial" w:hAnsi="Arial" w:eastAsia="宋体" w:cs="Arial"/>
        </w:rPr>
      </w:pPr>
      <w:r>
        <w:rPr>
          <w:rFonts w:ascii="Arial" w:hAnsi="Arial" w:eastAsia="宋体" w:cs="Arial"/>
        </w:rPr>
        <w:t>a. 表面积和尺寸</w:t>
      </w:r>
    </w:p>
    <w:p w14:paraId="5F6CC498">
      <w:pPr>
        <w:spacing w:before="156" w:beforeLines="50" w:after="156" w:afterLines="50" w:line="312" w:lineRule="auto"/>
        <w:ind w:left="424" w:leftChars="202"/>
        <w:rPr>
          <w:rFonts w:ascii="Arial" w:hAnsi="Arial" w:eastAsia="宋体" w:cs="Arial"/>
        </w:rPr>
      </w:pPr>
      <w:r>
        <w:rPr>
          <w:rFonts w:ascii="Arial" w:hAnsi="Arial" w:eastAsia="宋体" w:cs="Arial"/>
        </w:rPr>
        <w:t>b. 用户可以识别兼容的CQM的充足的信息，或者该CQM不兼容的警告。</w:t>
      </w:r>
    </w:p>
    <w:p w14:paraId="01C6CB16">
      <w:pPr>
        <w:spacing w:before="156" w:beforeLines="50" w:after="156" w:afterLines="50" w:line="312" w:lineRule="auto"/>
        <w:ind w:left="424" w:leftChars="202"/>
        <w:rPr>
          <w:rFonts w:ascii="Arial" w:hAnsi="Arial" w:eastAsia="宋体" w:cs="Arial"/>
        </w:rPr>
      </w:pPr>
      <w:r>
        <w:rPr>
          <w:rFonts w:ascii="Arial" w:hAnsi="Arial" w:eastAsia="宋体" w:cs="Arial"/>
        </w:rPr>
        <w:t>c. 适配的发电机模型或充足的指导和标准，使得用户能够识别恰当的发电机。</w:t>
      </w:r>
    </w:p>
    <w:p w14:paraId="49343329">
      <w:pPr>
        <w:spacing w:before="156" w:beforeLines="50" w:after="156" w:afterLines="50" w:line="312" w:lineRule="auto"/>
        <w:ind w:left="424" w:leftChars="202"/>
        <w:rPr>
          <w:rFonts w:ascii="Arial" w:hAnsi="Arial" w:eastAsia="宋体" w:cs="Arial"/>
        </w:rPr>
      </w:pPr>
      <w:r>
        <w:rPr>
          <w:rFonts w:ascii="Arial" w:hAnsi="Arial" w:eastAsia="宋体" w:cs="Arial"/>
        </w:rPr>
        <w:t>d. 发电技术处设置的限度，以及常规、测试或展示时间。</w:t>
      </w:r>
    </w:p>
    <w:p w14:paraId="4E8B18E7">
      <w:pPr>
        <w:spacing w:before="156" w:beforeLines="50" w:after="156" w:afterLines="50" w:line="312" w:lineRule="auto"/>
        <w:ind w:left="424" w:leftChars="202"/>
        <w:rPr>
          <w:rFonts w:ascii="Arial" w:hAnsi="Arial" w:eastAsia="宋体" w:cs="Arial"/>
        </w:rPr>
      </w:pPr>
      <w:r>
        <w:rPr>
          <w:rFonts w:ascii="Arial" w:hAnsi="Arial" w:eastAsia="宋体" w:cs="Arial"/>
        </w:rPr>
        <w:t>e. 适合的患者人群（如身高，体重）。</w:t>
      </w:r>
    </w:p>
    <w:p w14:paraId="1BBE0531">
      <w:pPr>
        <w:spacing w:before="156" w:beforeLines="50" w:after="156" w:afterLines="50" w:line="312" w:lineRule="auto"/>
        <w:ind w:left="424" w:leftChars="202"/>
        <w:rPr>
          <w:rFonts w:ascii="Arial" w:hAnsi="Arial" w:eastAsia="宋体" w:cs="Arial"/>
        </w:rPr>
      </w:pPr>
      <w:r>
        <w:rPr>
          <w:rFonts w:ascii="Arial" w:hAnsi="Arial" w:eastAsia="宋体" w:cs="Arial"/>
        </w:rPr>
        <w:t>f. 关于如何在患者身上应用电极的详细指导，包括针对应用位点的选择和准备的建议，警告和注意事项，以及使用前测试。</w:t>
      </w:r>
    </w:p>
    <w:p w14:paraId="1ABED4F0">
      <w:pPr>
        <w:spacing w:before="156" w:beforeLines="50" w:after="156" w:afterLines="50" w:line="312" w:lineRule="auto"/>
        <w:rPr>
          <w:rFonts w:ascii="Arial" w:hAnsi="Arial" w:eastAsia="宋体" w:cs="Arial"/>
        </w:rPr>
      </w:pPr>
      <w:r>
        <w:rPr>
          <w:rFonts w:ascii="Arial" w:hAnsi="Arial" w:eastAsia="宋体" w:cs="Arial"/>
        </w:rPr>
        <w:t>4. 部件与附件</w:t>
      </w:r>
    </w:p>
    <w:p w14:paraId="41FB11D0">
      <w:pPr>
        <w:spacing w:before="156" w:beforeLines="50" w:after="156" w:afterLines="50" w:line="312" w:lineRule="auto"/>
        <w:rPr>
          <w:rFonts w:ascii="Arial" w:hAnsi="Arial" w:eastAsia="宋体" w:cs="Arial"/>
        </w:rPr>
      </w:pPr>
      <w:r>
        <w:rPr>
          <w:rFonts w:ascii="Arial" w:hAnsi="Arial" w:eastAsia="宋体" w:cs="Arial"/>
        </w:rPr>
        <w:t>您的使用说明应当包含每个附件与血管闭合器械相容性的信息。对于某些附件，如吸引冲洗泵以及排烟器械，应当考虑提供单独的使用说明。</w:t>
      </w:r>
    </w:p>
    <w:p w14:paraId="61434885">
      <w:pPr>
        <w:spacing w:before="156" w:beforeLines="50" w:after="156" w:afterLines="50" w:line="312" w:lineRule="auto"/>
        <w:rPr>
          <w:rFonts w:ascii="Arial" w:hAnsi="Arial" w:eastAsia="宋体" w:cs="Arial"/>
        </w:rPr>
      </w:pPr>
      <w:r>
        <w:rPr>
          <w:rFonts w:ascii="Arial" w:hAnsi="Arial" w:eastAsia="宋体" w:cs="Arial"/>
        </w:rPr>
        <w:t>5. 可重复使用的器械</w:t>
      </w:r>
    </w:p>
    <w:p w14:paraId="0CA949F8">
      <w:pPr>
        <w:spacing w:before="156" w:beforeLines="50" w:after="156" w:afterLines="50" w:line="312" w:lineRule="auto"/>
        <w:rPr>
          <w:rFonts w:ascii="Arial" w:hAnsi="Arial" w:eastAsia="宋体" w:cs="Arial"/>
        </w:rPr>
      </w:pPr>
      <w:r>
        <w:rPr>
          <w:rFonts w:ascii="Arial" w:hAnsi="Arial" w:eastAsia="宋体" w:cs="Arial"/>
        </w:rPr>
        <w:t>对于可重复使用的部件或附件，您应该根据VIII节的建议提供充足的再次处理指导和信息。</w:t>
      </w:r>
    </w:p>
    <w:p w14:paraId="5C83C6F2">
      <w:pPr>
        <w:widowControl/>
        <w:spacing w:before="156" w:beforeLines="50" w:after="156" w:afterLines="50" w:line="312" w:lineRule="auto"/>
        <w:rPr>
          <w:rFonts w:ascii="Arial" w:hAnsi="Arial" w:eastAsia="宋体" w:cs="Arial"/>
        </w:rPr>
      </w:pPr>
      <w:r>
        <w:rPr>
          <w:rFonts w:ascii="Arial" w:hAnsi="Arial" w:eastAsia="宋体" w:cs="Arial"/>
        </w:rPr>
        <w:br w:type="page"/>
      </w:r>
    </w:p>
    <w:p w14:paraId="3D70199E">
      <w:pPr>
        <w:spacing w:before="156" w:beforeLines="50" w:after="156" w:afterLines="50" w:line="312" w:lineRule="auto"/>
        <w:jc w:val="center"/>
        <w:outlineLvl w:val="0"/>
        <w:rPr>
          <w:rFonts w:ascii="Arial" w:hAnsi="Arial" w:eastAsia="宋体" w:cs="Arial"/>
          <w:b/>
          <w:sz w:val="48"/>
          <w:szCs w:val="48"/>
        </w:rPr>
      </w:pPr>
      <w:bookmarkStart w:id="67" w:name="_Toc478210084"/>
      <w:r>
        <w:rPr>
          <w:rFonts w:ascii="Arial" w:hAnsi="Arial" w:eastAsia="宋体" w:cs="Arial"/>
          <w:b/>
          <w:sz w:val="48"/>
          <w:szCs w:val="48"/>
        </w:rPr>
        <w:t>附录A. 术语表</w:t>
      </w:r>
      <w:bookmarkEnd w:id="67"/>
    </w:p>
    <w:p w14:paraId="43414F76">
      <w:pPr>
        <w:spacing w:before="156" w:beforeLines="50" w:after="187" w:afterLines="60" w:line="312" w:lineRule="auto"/>
        <w:rPr>
          <w:rFonts w:ascii="Arial" w:hAnsi="Arial" w:eastAsia="宋体" w:cs="Arial"/>
        </w:rPr>
      </w:pPr>
      <w:r>
        <w:rPr>
          <w:rFonts w:ascii="Arial" w:hAnsi="Arial" w:eastAsia="宋体" w:cs="Arial"/>
        </w:rPr>
        <w:t>下列术语的定义仅限于本指南范围内，不适用于更广的范围。</w:t>
      </w:r>
    </w:p>
    <w:p w14:paraId="3E0CACFF">
      <w:pPr>
        <w:spacing w:before="156" w:beforeLines="50" w:after="187" w:afterLines="60" w:line="312" w:lineRule="auto"/>
        <w:rPr>
          <w:rFonts w:ascii="Arial" w:hAnsi="Arial" w:eastAsia="宋体" w:cs="Arial"/>
        </w:rPr>
      </w:pPr>
      <w:r>
        <w:rPr>
          <w:rFonts w:ascii="Arial" w:hAnsi="Arial" w:eastAsia="宋体" w:cs="Arial"/>
          <w:b/>
        </w:rPr>
        <w:t>有源附件</w:t>
      </w:r>
      <w:r>
        <w:rPr>
          <w:rFonts w:ascii="Arial" w:hAnsi="Arial" w:eastAsia="宋体" w:cs="Arial"/>
        </w:rPr>
        <w:t>——操作者使用电外科器械的部件，以在患者的手术位点产生手术效果。一般由有源手柄、线绳或线缆，以及有源电极组成（普通电外科单元可能为单电极或双电极）。</w:t>
      </w:r>
    </w:p>
    <w:p w14:paraId="04668042">
      <w:pPr>
        <w:spacing w:before="156" w:beforeLines="50" w:after="187" w:afterLines="60" w:line="312" w:lineRule="auto"/>
        <w:rPr>
          <w:rFonts w:ascii="Arial" w:hAnsi="Arial" w:eastAsia="宋体" w:cs="Arial"/>
        </w:rPr>
      </w:pPr>
      <w:r>
        <w:rPr>
          <w:rFonts w:ascii="Arial" w:hAnsi="Arial" w:eastAsia="宋体" w:cs="Arial"/>
          <w:b/>
        </w:rPr>
        <w:t>有源电极</w:t>
      </w:r>
      <w:r>
        <w:rPr>
          <w:rFonts w:ascii="Arial" w:hAnsi="Arial" w:eastAsia="宋体" w:cs="Arial"/>
        </w:rPr>
        <w:t>——电外科器械的导电头，将高强度电流传输到患者手术位点。可以或不可以从器械手柄拆卸。</w:t>
      </w:r>
    </w:p>
    <w:p w14:paraId="63D8FA91">
      <w:pPr>
        <w:spacing w:before="156" w:beforeLines="50" w:after="187" w:afterLines="60" w:line="312" w:lineRule="auto"/>
        <w:rPr>
          <w:rFonts w:ascii="Arial" w:hAnsi="Arial" w:eastAsia="宋体" w:cs="Arial"/>
        </w:rPr>
      </w:pPr>
      <w:r>
        <w:rPr>
          <w:rFonts w:ascii="Arial" w:hAnsi="Arial" w:eastAsia="宋体" w:cs="Arial"/>
          <w:b/>
        </w:rPr>
        <w:t>氩气刀</w:t>
      </w:r>
      <w:r>
        <w:rPr>
          <w:rFonts w:ascii="Arial" w:hAnsi="Arial" w:eastAsia="宋体" w:cs="Arial"/>
        </w:rPr>
        <w:t>——一种电外科器械，结合氩气和RF电流在手术位点形成等离子束，使得流出血组织止血。除了氩气，其他气体（如氮气）也会使用。</w:t>
      </w:r>
    </w:p>
    <w:p w14:paraId="25CCF3A1">
      <w:pPr>
        <w:spacing w:before="156" w:beforeLines="50" w:after="187" w:afterLines="60" w:line="312" w:lineRule="auto"/>
        <w:rPr>
          <w:rFonts w:ascii="Arial" w:hAnsi="Arial" w:eastAsia="宋体" w:cs="Arial"/>
        </w:rPr>
      </w:pPr>
      <w:r>
        <w:rPr>
          <w:rFonts w:ascii="Arial" w:hAnsi="Arial" w:eastAsia="宋体" w:cs="Arial"/>
          <w:b/>
        </w:rPr>
        <w:t>双电极</w:t>
      </w:r>
      <w:r>
        <w:rPr>
          <w:rFonts w:ascii="Arial" w:hAnsi="Arial" w:eastAsia="宋体" w:cs="Arial"/>
        </w:rPr>
        <w:t>——一种电外科设备，电流从两个位置非常接近的有源电极流过。</w:t>
      </w:r>
    </w:p>
    <w:p w14:paraId="50912EDE">
      <w:pPr>
        <w:spacing w:before="156" w:beforeLines="50" w:after="187" w:afterLines="60" w:line="312" w:lineRule="auto"/>
        <w:rPr>
          <w:rFonts w:ascii="Arial" w:hAnsi="Arial" w:eastAsia="宋体" w:cs="Arial"/>
        </w:rPr>
      </w:pPr>
      <w:r>
        <w:rPr>
          <w:rFonts w:ascii="Arial" w:hAnsi="Arial" w:eastAsia="宋体" w:cs="Arial"/>
          <w:b/>
        </w:rPr>
        <w:t>凝结</w:t>
      </w:r>
      <w:r>
        <w:rPr>
          <w:rFonts w:ascii="Arial" w:hAnsi="Arial" w:eastAsia="宋体" w:cs="Arial"/>
        </w:rPr>
        <w:t>——液体，尤其是血液变成固体。这被认为不同于凝固性坏死。</w:t>
      </w:r>
    </w:p>
    <w:p w14:paraId="375EEB99">
      <w:pPr>
        <w:spacing w:before="156" w:beforeLines="50" w:after="187" w:afterLines="60" w:line="312" w:lineRule="auto"/>
        <w:rPr>
          <w:rFonts w:ascii="Arial" w:hAnsi="Arial" w:eastAsia="宋体" w:cs="Arial"/>
        </w:rPr>
      </w:pPr>
      <w:r>
        <w:rPr>
          <w:rFonts w:ascii="Arial" w:hAnsi="Arial" w:eastAsia="宋体" w:cs="Arial"/>
          <w:b/>
        </w:rPr>
        <w:t>凝固性坏死</w:t>
      </w:r>
      <w:r>
        <w:rPr>
          <w:rFonts w:ascii="Arial" w:hAnsi="Arial" w:eastAsia="宋体" w:cs="Arial"/>
        </w:rPr>
        <w:t>——由于蛋白质凝结，坏死区域的细胞或组织变成干燥、不透明的均质嗜酸性物质。</w:t>
      </w:r>
    </w:p>
    <w:p w14:paraId="5127BBFF">
      <w:pPr>
        <w:spacing w:before="156" w:beforeLines="50" w:after="187" w:afterLines="60" w:line="312" w:lineRule="auto"/>
        <w:rPr>
          <w:rFonts w:ascii="Arial" w:hAnsi="Arial" w:eastAsia="宋体" w:cs="Arial"/>
        </w:rPr>
      </w:pPr>
      <w:r>
        <w:rPr>
          <w:rFonts w:ascii="Arial" w:hAnsi="Arial" w:eastAsia="宋体" w:cs="Arial"/>
          <w:b/>
        </w:rPr>
        <w:t>接触质量监测（CQM）</w:t>
      </w:r>
      <w:r>
        <w:rPr>
          <w:rFonts w:ascii="Arial" w:hAnsi="Arial" w:eastAsia="宋体" w:cs="Arial"/>
        </w:rPr>
        <w:t>——单极电外科系统的一个组成部分，能够监测中性电极和患者身体的接触情况。如果接触不充分以及患者有灼伤的风险，则CQM会发出警告。</w:t>
      </w:r>
    </w:p>
    <w:p w14:paraId="3CD8FFAB">
      <w:pPr>
        <w:spacing w:before="156" w:beforeLines="50" w:after="187" w:afterLines="60" w:line="312" w:lineRule="auto"/>
        <w:rPr>
          <w:rFonts w:ascii="Arial" w:hAnsi="Arial" w:eastAsia="宋体" w:cs="Arial"/>
        </w:rPr>
      </w:pPr>
      <w:r>
        <w:rPr>
          <w:rFonts w:ascii="Arial" w:hAnsi="Arial" w:eastAsia="宋体" w:cs="Arial"/>
          <w:b/>
        </w:rPr>
        <w:t>连续性监测器</w:t>
      </w:r>
      <w:r>
        <w:rPr>
          <w:rFonts w:ascii="Arial" w:hAnsi="Arial" w:eastAsia="宋体" w:cs="Arial"/>
        </w:rPr>
        <w:t>——单电极电外科系统的一的组成部分，监控中性电极与发电机的连接。如果连接缺失，则连续性监测器会发出警告，但在高强度电流穿过中性电极时不会检测到。</w:t>
      </w:r>
    </w:p>
    <w:p w14:paraId="670EEA35">
      <w:pPr>
        <w:spacing w:before="156" w:beforeLines="50" w:after="187" w:afterLines="60" w:line="312" w:lineRule="auto"/>
        <w:rPr>
          <w:rFonts w:ascii="Arial" w:hAnsi="Arial" w:eastAsia="宋体" w:cs="Arial"/>
        </w:rPr>
      </w:pPr>
      <w:r>
        <w:rPr>
          <w:rFonts w:ascii="Arial" w:hAnsi="Arial" w:eastAsia="宋体" w:cs="Arial"/>
          <w:b/>
        </w:rPr>
        <w:t>电凝止血</w:t>
      </w:r>
      <w:r>
        <w:rPr>
          <w:rFonts w:ascii="Arial" w:hAnsi="Arial" w:eastAsia="宋体" w:cs="Arial"/>
        </w:rPr>
        <w:t>——使用电流加热器械，然后施加于组织产生效应。电流仅穿过器械不穿过患者组织。</w:t>
      </w:r>
    </w:p>
    <w:p w14:paraId="2C5173A1">
      <w:pPr>
        <w:spacing w:before="156" w:beforeLines="50" w:after="187" w:afterLines="60" w:line="312" w:lineRule="auto"/>
        <w:rPr>
          <w:rFonts w:ascii="Arial" w:hAnsi="Arial" w:eastAsia="宋体" w:cs="Arial"/>
        </w:rPr>
      </w:pPr>
      <w:r>
        <w:rPr>
          <w:rFonts w:ascii="Arial" w:hAnsi="Arial" w:eastAsia="宋体" w:cs="Arial"/>
        </w:rPr>
        <w:t>注：电凝止血常被错误地用来指代电外科设备。为了避免混淆，FDA建议不要将两者混用。</w:t>
      </w:r>
    </w:p>
    <w:p w14:paraId="59B6BEA6">
      <w:pPr>
        <w:spacing w:before="156" w:beforeLines="50" w:after="187" w:afterLines="60" w:line="312" w:lineRule="auto"/>
        <w:rPr>
          <w:rFonts w:ascii="Arial" w:hAnsi="Arial" w:eastAsia="宋体" w:cs="Arial"/>
        </w:rPr>
      </w:pPr>
      <w:r>
        <w:rPr>
          <w:rFonts w:ascii="Arial" w:hAnsi="Arial" w:eastAsia="宋体" w:cs="Arial"/>
          <w:b/>
        </w:rPr>
        <w:t>电外科设备</w:t>
      </w:r>
      <w:r>
        <w:rPr>
          <w:rFonts w:ascii="Arial" w:hAnsi="Arial" w:eastAsia="宋体" w:cs="Arial"/>
        </w:rPr>
        <w:t>——将高频电流穿过软组织的器械，目的是切除组织或控制出血。</w:t>
      </w:r>
    </w:p>
    <w:p w14:paraId="631C186E">
      <w:pPr>
        <w:spacing w:before="156" w:beforeLines="50" w:after="187" w:afterLines="60" w:line="312" w:lineRule="auto"/>
        <w:rPr>
          <w:rFonts w:ascii="Arial" w:hAnsi="Arial" w:eastAsia="宋体" w:cs="Arial"/>
        </w:rPr>
      </w:pPr>
      <w:r>
        <w:rPr>
          <w:rFonts w:ascii="Arial" w:hAnsi="Arial" w:eastAsia="宋体" w:cs="Arial"/>
          <w:b/>
        </w:rPr>
        <w:t>电外科系统</w:t>
      </w:r>
      <w:r>
        <w:rPr>
          <w:rFonts w:ascii="Arial" w:hAnsi="Arial" w:eastAsia="宋体" w:cs="Arial"/>
        </w:rPr>
        <w:t>——一个完整的电外科系统包括ESU，有源附件，中性电极（如适用），以及其他附件。</w:t>
      </w:r>
    </w:p>
    <w:p w14:paraId="5F99AAA2">
      <w:pPr>
        <w:spacing w:before="156" w:beforeLines="50" w:after="187" w:afterLines="60" w:line="312" w:lineRule="auto"/>
        <w:rPr>
          <w:rFonts w:ascii="Arial" w:hAnsi="Arial" w:eastAsia="宋体" w:cs="Arial"/>
        </w:rPr>
      </w:pPr>
      <w:r>
        <w:rPr>
          <w:rFonts w:ascii="Arial" w:hAnsi="Arial" w:eastAsia="宋体" w:cs="Arial"/>
          <w:b/>
        </w:rPr>
        <w:t>ESU</w:t>
      </w:r>
      <w:r>
        <w:rPr>
          <w:rFonts w:ascii="Arial" w:hAnsi="Arial" w:eastAsia="宋体" w:cs="Arial"/>
        </w:rPr>
        <w:t>——电手术单元的简称。其指发电机和控制台。</w:t>
      </w:r>
    </w:p>
    <w:p w14:paraId="347702DB">
      <w:pPr>
        <w:spacing w:before="156" w:beforeLines="50" w:after="187" w:afterLines="60" w:line="312" w:lineRule="auto"/>
        <w:rPr>
          <w:rFonts w:ascii="Arial" w:hAnsi="Arial" w:eastAsia="宋体" w:cs="Arial"/>
        </w:rPr>
      </w:pPr>
      <w:r>
        <w:rPr>
          <w:rFonts w:ascii="Arial" w:hAnsi="Arial" w:eastAsia="宋体" w:cs="Arial"/>
          <w:b/>
        </w:rPr>
        <w:t>发电机</w:t>
      </w:r>
      <w:r>
        <w:rPr>
          <w:rFonts w:ascii="Arial" w:hAnsi="Arial" w:eastAsia="宋体" w:cs="Arial"/>
        </w:rPr>
        <w:t>——电外科系统的一部分，其产生高频电流波，通过相连的线缆、器械、电极输送至组织处。</w:t>
      </w:r>
    </w:p>
    <w:p w14:paraId="6202F05D">
      <w:pPr>
        <w:spacing w:before="156" w:beforeLines="50" w:after="187" w:afterLines="60" w:line="312" w:lineRule="auto"/>
        <w:rPr>
          <w:rFonts w:ascii="Arial" w:hAnsi="Arial" w:eastAsia="宋体" w:cs="Arial"/>
        </w:rPr>
      </w:pPr>
      <w:r>
        <w:rPr>
          <w:rFonts w:ascii="Arial" w:hAnsi="Arial" w:eastAsia="宋体" w:cs="Arial"/>
          <w:b/>
        </w:rPr>
        <w:t>热透治疗仪</w:t>
      </w:r>
      <w:r>
        <w:rPr>
          <w:rFonts w:ascii="Arial" w:hAnsi="Arial" w:eastAsia="宋体" w:cs="Arial"/>
        </w:rPr>
        <w:t>——一种单极但外科器械，电流从单个电极流入手术位点，并穿过患者的身体返回地面（接地）。</w:t>
      </w:r>
    </w:p>
    <w:p w14:paraId="6D93D699">
      <w:pPr>
        <w:spacing w:before="156" w:beforeLines="50" w:after="187" w:afterLines="60" w:line="312" w:lineRule="auto"/>
        <w:rPr>
          <w:rFonts w:ascii="Arial" w:hAnsi="Arial" w:eastAsia="宋体" w:cs="Arial"/>
        </w:rPr>
      </w:pPr>
      <w:r>
        <w:rPr>
          <w:rFonts w:ascii="Arial" w:hAnsi="Arial" w:eastAsia="宋体" w:cs="Arial"/>
          <w:b/>
        </w:rPr>
        <w:t>器械</w:t>
      </w:r>
      <w:r>
        <w:rPr>
          <w:rFonts w:ascii="Arial" w:hAnsi="Arial" w:eastAsia="宋体" w:cs="Arial"/>
        </w:rPr>
        <w:t>——电外科系统的部件，由操作者进行操作以及施加于手术位点，通常由手柄和有源电极组成。</w:t>
      </w:r>
    </w:p>
    <w:p w14:paraId="38D0009A">
      <w:pPr>
        <w:widowControl/>
        <w:jc w:val="left"/>
        <w:rPr>
          <w:rFonts w:ascii="Arial" w:hAnsi="Arial" w:eastAsia="宋体" w:cs="Arial"/>
          <w:b/>
        </w:rPr>
      </w:pPr>
      <w:r>
        <w:rPr>
          <w:rFonts w:ascii="Arial" w:hAnsi="Arial" w:eastAsia="宋体" w:cs="Arial"/>
          <w:b/>
        </w:rPr>
        <w:br w:type="page"/>
      </w:r>
    </w:p>
    <w:p w14:paraId="53C7BA87">
      <w:pPr>
        <w:spacing w:before="156" w:beforeLines="50" w:after="187" w:afterLines="60" w:line="312" w:lineRule="auto"/>
        <w:rPr>
          <w:rFonts w:ascii="Arial" w:hAnsi="Arial" w:eastAsia="宋体" w:cs="Arial"/>
        </w:rPr>
      </w:pPr>
      <w:r>
        <w:rPr>
          <w:rFonts w:ascii="Arial" w:hAnsi="Arial" w:eastAsia="宋体" w:cs="Arial"/>
          <w:b/>
        </w:rPr>
        <w:t>中性电极</w:t>
      </w:r>
      <w:r>
        <w:rPr>
          <w:rFonts w:ascii="Arial" w:hAnsi="Arial" w:eastAsia="宋体" w:cs="Arial"/>
        </w:rPr>
        <w:t>——一种与患者接触的电极，位于手术位点外的解剖位置，提供高频电流反返回路径。中性电极与有源电极相比面积较大，目的是降低电流强度。也被称为：患者反馈电极、接地端、返回电极、扩散电极、被动电极、非变化电极等。</w:t>
      </w:r>
    </w:p>
    <w:p w14:paraId="2087F677">
      <w:pPr>
        <w:spacing w:before="156" w:beforeLines="50" w:after="187" w:afterLines="60" w:line="312" w:lineRule="auto"/>
        <w:rPr>
          <w:rFonts w:ascii="Arial" w:hAnsi="Arial" w:eastAsia="宋体" w:cs="Arial"/>
        </w:rPr>
      </w:pPr>
      <w:r>
        <w:rPr>
          <w:rFonts w:ascii="Arial" w:hAnsi="Arial" w:eastAsia="宋体" w:cs="Arial"/>
          <w:b/>
        </w:rPr>
        <w:t>射频（RF）</w:t>
      </w:r>
      <w:r>
        <w:rPr>
          <w:rFonts w:ascii="Arial" w:hAnsi="Arial" w:eastAsia="宋体" w:cs="Arial"/>
        </w:rPr>
        <w:t>——通常涉及的频率在100kHZ-5MHz之间，这旨在排除其它频率（如微波消融器械），这些频率也可能落在电磁频谱的射频范围内，但运行原理完全不同。</w:t>
      </w:r>
    </w:p>
    <w:p w14:paraId="249E24B8">
      <w:pPr>
        <w:spacing w:before="156" w:beforeLines="50" w:after="187" w:afterLines="60" w:line="312" w:lineRule="auto"/>
        <w:rPr>
          <w:rFonts w:ascii="Arial" w:hAnsi="Arial" w:eastAsia="宋体" w:cs="Arial"/>
        </w:rPr>
      </w:pPr>
      <w:r>
        <w:rPr>
          <w:rFonts w:ascii="Arial" w:hAnsi="Arial" w:eastAsia="宋体" w:cs="Arial"/>
          <w:b/>
        </w:rPr>
        <w:t>血管闭合器</w:t>
      </w:r>
      <w:r>
        <w:rPr>
          <w:rFonts w:ascii="Arial" w:hAnsi="Arial" w:eastAsia="宋体" w:cs="Arial"/>
        </w:rPr>
        <w:t>——一种电外科器械，用于将单独的血管和淋巴管进行封闭止血，是结扎的一种替代方式。使用双极。</w:t>
      </w:r>
    </w:p>
    <w:p w14:paraId="127C3D66">
      <w:pPr>
        <w:spacing w:line="312" w:lineRule="auto"/>
        <w:jc w:val="center"/>
        <w:rPr>
          <w:rFonts w:hint="eastAsia" w:eastAsia="等线"/>
          <w:lang w:eastAsia="zh-CN"/>
        </w:rPr>
      </w:pPr>
    </w:p>
    <w:p w14:paraId="33CA3221">
      <w:pPr>
        <w:spacing w:line="312" w:lineRule="auto"/>
        <w:jc w:val="center"/>
        <w:rPr>
          <w:rFonts w:hint="eastAsia" w:eastAsia="等线"/>
          <w:lang w:eastAsia="zh-CN"/>
        </w:rPr>
      </w:pPr>
    </w:p>
    <w:p w14:paraId="7147EB03">
      <w:pPr>
        <w:spacing w:line="312"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695538"/>
      <w:docPartObj>
        <w:docPartGallery w:val="AutoText"/>
      </w:docPartObj>
    </w:sdtPr>
    <w:sdtContent>
      <w:p w14:paraId="57A154D8">
        <w:pPr>
          <w:pStyle w:val="5"/>
          <w:jc w:val="right"/>
        </w:pPr>
      </w:p>
    </w:sdtContent>
  </w:sdt>
  <w:p w14:paraId="2868F0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8629094"/>
      <w:docPartObj>
        <w:docPartGallery w:val="AutoText"/>
      </w:docPartObj>
    </w:sdtPr>
    <w:sdtContent>
      <w:p w14:paraId="0E0ED6DE">
        <w:pPr>
          <w:pStyle w:val="5"/>
          <w:jc w:val="right"/>
        </w:pPr>
        <w:r>
          <w:fldChar w:fldCharType="begin"/>
        </w:r>
        <w:r>
          <w:instrText xml:space="preserve">PAGE   \* MERGEFORMAT</w:instrText>
        </w:r>
        <w:r>
          <w:fldChar w:fldCharType="separate"/>
        </w:r>
        <w:r>
          <w:rPr>
            <w:lang w:val="zh-CN"/>
          </w:rPr>
          <w:t>23</w:t>
        </w:r>
        <w:r>
          <w:fldChar w:fldCharType="end"/>
        </w:r>
      </w:p>
    </w:sdtContent>
  </w:sdt>
  <w:p w14:paraId="06F898F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D864">
    <w:pPr>
      <w:pStyle w:val="6"/>
      <w:pBdr>
        <w:bottom w:val="none" w:color="auto" w:sz="0" w:space="0"/>
      </w:pBdr>
    </w:pPr>
    <w:r>
      <w:rPr>
        <w:rFonts w:hint="eastAsia" w:ascii="宋体" w:hAnsi="宋体" w:eastAsia="宋体"/>
        <w:i/>
        <w:sz w:val="24"/>
        <w:szCs w:val="24"/>
      </w:rPr>
      <w:t>包含非限制性建议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D1FC7"/>
    <w:multiLevelType w:val="multilevel"/>
    <w:tmpl w:val="148D1FC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64183D"/>
    <w:multiLevelType w:val="multilevel"/>
    <w:tmpl w:val="2564183D"/>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FD46A3"/>
    <w:multiLevelType w:val="multilevel"/>
    <w:tmpl w:val="27FD46A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951399F"/>
    <w:multiLevelType w:val="multilevel"/>
    <w:tmpl w:val="2951399F"/>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6A3081"/>
    <w:multiLevelType w:val="multilevel"/>
    <w:tmpl w:val="2F6A3081"/>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717677"/>
    <w:multiLevelType w:val="multilevel"/>
    <w:tmpl w:val="3171767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8FA010D"/>
    <w:multiLevelType w:val="multilevel"/>
    <w:tmpl w:val="38FA010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9F32138"/>
    <w:multiLevelType w:val="multilevel"/>
    <w:tmpl w:val="49F3213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7E7757"/>
    <w:multiLevelType w:val="multilevel"/>
    <w:tmpl w:val="527E77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D41CC9"/>
    <w:multiLevelType w:val="multilevel"/>
    <w:tmpl w:val="57D41C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49677A"/>
    <w:multiLevelType w:val="multilevel"/>
    <w:tmpl w:val="6249677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27C7856"/>
    <w:multiLevelType w:val="multilevel"/>
    <w:tmpl w:val="627C785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47F7D92"/>
    <w:multiLevelType w:val="multilevel"/>
    <w:tmpl w:val="747F7D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5AE65B7"/>
    <w:multiLevelType w:val="multilevel"/>
    <w:tmpl w:val="75AE65B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6573D18"/>
    <w:multiLevelType w:val="multilevel"/>
    <w:tmpl w:val="76573D1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DD35859"/>
    <w:multiLevelType w:val="multilevel"/>
    <w:tmpl w:val="7DD358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15"/>
  </w:num>
  <w:num w:numId="3">
    <w:abstractNumId w:val="1"/>
  </w:num>
  <w:num w:numId="4">
    <w:abstractNumId w:val="4"/>
  </w:num>
  <w:num w:numId="5">
    <w:abstractNumId w:val="2"/>
  </w:num>
  <w:num w:numId="6">
    <w:abstractNumId w:val="7"/>
  </w:num>
  <w:num w:numId="7">
    <w:abstractNumId w:val="5"/>
  </w:num>
  <w:num w:numId="8">
    <w:abstractNumId w:val="14"/>
  </w:num>
  <w:num w:numId="9">
    <w:abstractNumId w:val="12"/>
  </w:num>
  <w:num w:numId="10">
    <w:abstractNumId w:val="11"/>
  </w:num>
  <w:num w:numId="11">
    <w:abstractNumId w:val="0"/>
  </w:num>
  <w:num w:numId="12">
    <w:abstractNumId w:val="13"/>
  </w:num>
  <w:num w:numId="13">
    <w:abstractNumId w:val="9"/>
  </w:num>
  <w:num w:numId="14">
    <w:abstractNumId w:val="1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3A"/>
    <w:rsid w:val="00001F0C"/>
    <w:rsid w:val="000064CA"/>
    <w:rsid w:val="00034EF0"/>
    <w:rsid w:val="00043477"/>
    <w:rsid w:val="000612C4"/>
    <w:rsid w:val="00073B52"/>
    <w:rsid w:val="00083508"/>
    <w:rsid w:val="000A4DB5"/>
    <w:rsid w:val="000A7074"/>
    <w:rsid w:val="000B59F0"/>
    <w:rsid w:val="000B6C03"/>
    <w:rsid w:val="000C5D39"/>
    <w:rsid w:val="000E2B9D"/>
    <w:rsid w:val="000F68F9"/>
    <w:rsid w:val="00100F0A"/>
    <w:rsid w:val="0010514F"/>
    <w:rsid w:val="001052F4"/>
    <w:rsid w:val="00105B04"/>
    <w:rsid w:val="0011761B"/>
    <w:rsid w:val="00131828"/>
    <w:rsid w:val="001429CD"/>
    <w:rsid w:val="001432C3"/>
    <w:rsid w:val="00145C43"/>
    <w:rsid w:val="00146327"/>
    <w:rsid w:val="001508A1"/>
    <w:rsid w:val="00152C83"/>
    <w:rsid w:val="00153719"/>
    <w:rsid w:val="001645D8"/>
    <w:rsid w:val="00166D3B"/>
    <w:rsid w:val="00173223"/>
    <w:rsid w:val="00176FC8"/>
    <w:rsid w:val="00185C93"/>
    <w:rsid w:val="001A4436"/>
    <w:rsid w:val="001A6F04"/>
    <w:rsid w:val="001E1546"/>
    <w:rsid w:val="001E334A"/>
    <w:rsid w:val="001E7D53"/>
    <w:rsid w:val="001F4E03"/>
    <w:rsid w:val="001F77EF"/>
    <w:rsid w:val="002076B2"/>
    <w:rsid w:val="00207E6C"/>
    <w:rsid w:val="00212A6E"/>
    <w:rsid w:val="0022321B"/>
    <w:rsid w:val="00237587"/>
    <w:rsid w:val="00240306"/>
    <w:rsid w:val="00247609"/>
    <w:rsid w:val="00261BC3"/>
    <w:rsid w:val="00267E38"/>
    <w:rsid w:val="002706D5"/>
    <w:rsid w:val="0027554B"/>
    <w:rsid w:val="00283247"/>
    <w:rsid w:val="002861CA"/>
    <w:rsid w:val="002927BA"/>
    <w:rsid w:val="002A313C"/>
    <w:rsid w:val="002D0F39"/>
    <w:rsid w:val="002E4BC1"/>
    <w:rsid w:val="003162E5"/>
    <w:rsid w:val="0032256B"/>
    <w:rsid w:val="00341330"/>
    <w:rsid w:val="00353DB0"/>
    <w:rsid w:val="00363280"/>
    <w:rsid w:val="00363A88"/>
    <w:rsid w:val="00371991"/>
    <w:rsid w:val="00375FC2"/>
    <w:rsid w:val="003812ED"/>
    <w:rsid w:val="003A465F"/>
    <w:rsid w:val="003B32CC"/>
    <w:rsid w:val="003D36E1"/>
    <w:rsid w:val="003F3A6C"/>
    <w:rsid w:val="00403265"/>
    <w:rsid w:val="004247DE"/>
    <w:rsid w:val="0042697D"/>
    <w:rsid w:val="004404BE"/>
    <w:rsid w:val="00450CB6"/>
    <w:rsid w:val="00452FF5"/>
    <w:rsid w:val="00457ABF"/>
    <w:rsid w:val="00463EAF"/>
    <w:rsid w:val="004673EE"/>
    <w:rsid w:val="00493CF3"/>
    <w:rsid w:val="004B3949"/>
    <w:rsid w:val="004B5EFF"/>
    <w:rsid w:val="004C1B0D"/>
    <w:rsid w:val="004C5367"/>
    <w:rsid w:val="004E0EF9"/>
    <w:rsid w:val="004F3B7B"/>
    <w:rsid w:val="004F61BF"/>
    <w:rsid w:val="004F72FE"/>
    <w:rsid w:val="00542DC5"/>
    <w:rsid w:val="00544198"/>
    <w:rsid w:val="00546DE2"/>
    <w:rsid w:val="00547AB8"/>
    <w:rsid w:val="005642B5"/>
    <w:rsid w:val="0056476D"/>
    <w:rsid w:val="00572D34"/>
    <w:rsid w:val="00576A6C"/>
    <w:rsid w:val="00583032"/>
    <w:rsid w:val="005944C0"/>
    <w:rsid w:val="00594CB0"/>
    <w:rsid w:val="005A7533"/>
    <w:rsid w:val="005E12FA"/>
    <w:rsid w:val="005F265B"/>
    <w:rsid w:val="006017BC"/>
    <w:rsid w:val="00606706"/>
    <w:rsid w:val="0061563E"/>
    <w:rsid w:val="00623F04"/>
    <w:rsid w:val="00642C58"/>
    <w:rsid w:val="00643138"/>
    <w:rsid w:val="006444BB"/>
    <w:rsid w:val="006464AB"/>
    <w:rsid w:val="00666258"/>
    <w:rsid w:val="0066627B"/>
    <w:rsid w:val="006741B3"/>
    <w:rsid w:val="006752CC"/>
    <w:rsid w:val="00691ADD"/>
    <w:rsid w:val="006B25DF"/>
    <w:rsid w:val="006C5AE8"/>
    <w:rsid w:val="006C676D"/>
    <w:rsid w:val="006E2BE3"/>
    <w:rsid w:val="006E452A"/>
    <w:rsid w:val="006F74B9"/>
    <w:rsid w:val="00706B5E"/>
    <w:rsid w:val="00724E55"/>
    <w:rsid w:val="00751306"/>
    <w:rsid w:val="00752DA7"/>
    <w:rsid w:val="0075361C"/>
    <w:rsid w:val="00754A49"/>
    <w:rsid w:val="00757884"/>
    <w:rsid w:val="00762F16"/>
    <w:rsid w:val="00783278"/>
    <w:rsid w:val="00795797"/>
    <w:rsid w:val="007A0210"/>
    <w:rsid w:val="007A302D"/>
    <w:rsid w:val="007A3A0F"/>
    <w:rsid w:val="007E4A76"/>
    <w:rsid w:val="00807DBB"/>
    <w:rsid w:val="00813467"/>
    <w:rsid w:val="0082308C"/>
    <w:rsid w:val="00854133"/>
    <w:rsid w:val="0086153F"/>
    <w:rsid w:val="00867BA2"/>
    <w:rsid w:val="008703F9"/>
    <w:rsid w:val="00885E59"/>
    <w:rsid w:val="008A6D91"/>
    <w:rsid w:val="008A7F4A"/>
    <w:rsid w:val="008C2673"/>
    <w:rsid w:val="008C470C"/>
    <w:rsid w:val="008C5935"/>
    <w:rsid w:val="008E2A28"/>
    <w:rsid w:val="00914A21"/>
    <w:rsid w:val="00915C30"/>
    <w:rsid w:val="00916357"/>
    <w:rsid w:val="00917154"/>
    <w:rsid w:val="00937CED"/>
    <w:rsid w:val="00944183"/>
    <w:rsid w:val="0095202D"/>
    <w:rsid w:val="00956802"/>
    <w:rsid w:val="0095688C"/>
    <w:rsid w:val="0096722E"/>
    <w:rsid w:val="009759A1"/>
    <w:rsid w:val="009824BD"/>
    <w:rsid w:val="00985024"/>
    <w:rsid w:val="00986517"/>
    <w:rsid w:val="00996890"/>
    <w:rsid w:val="009B582D"/>
    <w:rsid w:val="009E7FA5"/>
    <w:rsid w:val="009F0E46"/>
    <w:rsid w:val="009F2B96"/>
    <w:rsid w:val="00A35292"/>
    <w:rsid w:val="00A41D87"/>
    <w:rsid w:val="00A43EE7"/>
    <w:rsid w:val="00A66E02"/>
    <w:rsid w:val="00A73E91"/>
    <w:rsid w:val="00AA685A"/>
    <w:rsid w:val="00AB04D3"/>
    <w:rsid w:val="00AB2019"/>
    <w:rsid w:val="00AB7E4C"/>
    <w:rsid w:val="00AC0B43"/>
    <w:rsid w:val="00AD190B"/>
    <w:rsid w:val="00AD315B"/>
    <w:rsid w:val="00AE56D5"/>
    <w:rsid w:val="00B11823"/>
    <w:rsid w:val="00B1677F"/>
    <w:rsid w:val="00B2423A"/>
    <w:rsid w:val="00B26A81"/>
    <w:rsid w:val="00B33F12"/>
    <w:rsid w:val="00B37F46"/>
    <w:rsid w:val="00B77EC4"/>
    <w:rsid w:val="00BA6AF1"/>
    <w:rsid w:val="00BB442F"/>
    <w:rsid w:val="00BE0027"/>
    <w:rsid w:val="00BE4A83"/>
    <w:rsid w:val="00C1479E"/>
    <w:rsid w:val="00C20DFC"/>
    <w:rsid w:val="00C24FAE"/>
    <w:rsid w:val="00C3749A"/>
    <w:rsid w:val="00C412B5"/>
    <w:rsid w:val="00C450B8"/>
    <w:rsid w:val="00C50FF8"/>
    <w:rsid w:val="00C616C3"/>
    <w:rsid w:val="00C63B52"/>
    <w:rsid w:val="00C6445D"/>
    <w:rsid w:val="00C64797"/>
    <w:rsid w:val="00C70E51"/>
    <w:rsid w:val="00C72DFA"/>
    <w:rsid w:val="00C760E2"/>
    <w:rsid w:val="00C85805"/>
    <w:rsid w:val="00CA0790"/>
    <w:rsid w:val="00CA1CBC"/>
    <w:rsid w:val="00CA1F23"/>
    <w:rsid w:val="00CB7503"/>
    <w:rsid w:val="00CE1D3D"/>
    <w:rsid w:val="00D14F9C"/>
    <w:rsid w:val="00D3645D"/>
    <w:rsid w:val="00D440EC"/>
    <w:rsid w:val="00D444AA"/>
    <w:rsid w:val="00D47B93"/>
    <w:rsid w:val="00D5227B"/>
    <w:rsid w:val="00D6312B"/>
    <w:rsid w:val="00D63546"/>
    <w:rsid w:val="00D7238B"/>
    <w:rsid w:val="00D85728"/>
    <w:rsid w:val="00D862D2"/>
    <w:rsid w:val="00D9310F"/>
    <w:rsid w:val="00DA39B5"/>
    <w:rsid w:val="00DB4C6F"/>
    <w:rsid w:val="00DC41B7"/>
    <w:rsid w:val="00DC639A"/>
    <w:rsid w:val="00DE269F"/>
    <w:rsid w:val="00DE6543"/>
    <w:rsid w:val="00E076CE"/>
    <w:rsid w:val="00E304A1"/>
    <w:rsid w:val="00E378BA"/>
    <w:rsid w:val="00E51356"/>
    <w:rsid w:val="00E52F64"/>
    <w:rsid w:val="00E53FF9"/>
    <w:rsid w:val="00E6340C"/>
    <w:rsid w:val="00E727FC"/>
    <w:rsid w:val="00E737FC"/>
    <w:rsid w:val="00E73D06"/>
    <w:rsid w:val="00EA1337"/>
    <w:rsid w:val="00EB56A3"/>
    <w:rsid w:val="00EE517E"/>
    <w:rsid w:val="00EF2030"/>
    <w:rsid w:val="00F03E90"/>
    <w:rsid w:val="00F16D47"/>
    <w:rsid w:val="00F22ECE"/>
    <w:rsid w:val="00F302AF"/>
    <w:rsid w:val="00F55E65"/>
    <w:rsid w:val="00F629A4"/>
    <w:rsid w:val="00F760CC"/>
    <w:rsid w:val="00F84574"/>
    <w:rsid w:val="00F84B86"/>
    <w:rsid w:val="00F907AC"/>
    <w:rsid w:val="00F92F1A"/>
    <w:rsid w:val="00F94638"/>
    <w:rsid w:val="00FB49D1"/>
    <w:rsid w:val="00FB55BA"/>
    <w:rsid w:val="00FC38B7"/>
    <w:rsid w:val="00FC3AF9"/>
    <w:rsid w:val="00FC410C"/>
    <w:rsid w:val="00FC6617"/>
    <w:rsid w:val="00FD00CB"/>
    <w:rsid w:val="00FD3873"/>
    <w:rsid w:val="00FD7CCE"/>
    <w:rsid w:val="00FF09CF"/>
    <w:rsid w:val="3020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tabs>
        <w:tab w:val="left" w:pos="440"/>
        <w:tab w:val="right" w:leader="dot" w:pos="9628"/>
      </w:tabs>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页眉 Char"/>
    <w:basedOn w:val="11"/>
    <w:link w:val="6"/>
    <w:uiPriority w:val="99"/>
    <w:rPr>
      <w:sz w:val="18"/>
      <w:szCs w:val="18"/>
    </w:rPr>
  </w:style>
  <w:style w:type="character" w:customStyle="1" w:styleId="15">
    <w:name w:val="页脚 Char"/>
    <w:basedOn w:val="11"/>
    <w:link w:val="5"/>
    <w:uiPriority w:val="99"/>
    <w:rPr>
      <w:sz w:val="18"/>
      <w:szCs w:val="18"/>
    </w:rPr>
  </w:style>
  <w:style w:type="character" w:customStyle="1" w:styleId="16">
    <w:name w:val="批注框文本 Char"/>
    <w:basedOn w:val="11"/>
    <w:link w:val="4"/>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标题 1 Char"/>
    <w:basedOn w:val="11"/>
    <w:link w:val="2"/>
    <w:qFormat/>
    <w:uiPriority w:val="9"/>
    <w:rPr>
      <w:b/>
      <w:bCs/>
      <w:kern w:val="44"/>
      <w:sz w:val="44"/>
      <w:szCs w:val="44"/>
    </w:r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BADA0-6013-427E-A87C-1C0AC05CF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14107</Words>
  <Characters>15320</Characters>
  <Lines>123</Lines>
  <Paragraphs>34</Paragraphs>
  <TotalTime>1</TotalTime>
  <ScaleCrop>false</ScaleCrop>
  <LinksUpToDate>false</LinksUpToDate>
  <CharactersWithSpaces>15574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2017-03-29T03:59:00Z</dcterms:created>
  <dc:creator>Guozhen Liu</dc:creator>
  <cp:lastModifiedBy>太极箫客</cp:lastModifiedBy>
  <dcterms:modified xsi:type="dcterms:W3CDTF">2025-08-14T06:15:07Z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E84CFBD302034382B8094A911CE82116_12</vt:lpwstr>
  </property>
</Properties>
</file>