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D451A">
      <w:pPr>
        <w:snapToGrid w:val="0"/>
        <w:spacing w:before="4" w:line="300" w:lineRule="auto"/>
        <w:jc w:val="both"/>
        <w:rPr>
          <w:rFonts w:ascii="Arial" w:hAnsi="Arial" w:eastAsia="宋体" w:cs="Arial"/>
          <w:sz w:val="16"/>
          <w:szCs w:val="16"/>
        </w:rPr>
      </w:pPr>
      <w:bookmarkStart w:id="0" w:name="_GoBack"/>
      <w:bookmarkEnd w:id="0"/>
    </w:p>
    <w:p w14:paraId="29E3CEFC">
      <w:pPr>
        <w:snapToGrid w:val="0"/>
        <w:spacing w:before="38" w:line="300" w:lineRule="auto"/>
        <w:ind w:left="239"/>
        <w:jc w:val="center"/>
        <w:rPr>
          <w:rFonts w:ascii="Arial" w:hAnsi="Arial" w:eastAsia="宋体" w:cs="Arial"/>
          <w:sz w:val="48"/>
          <w:szCs w:val="48"/>
          <w:lang w:eastAsia="zh-CN"/>
        </w:rPr>
      </w:pPr>
      <w:r>
        <w:rPr>
          <w:rFonts w:ascii="Arial" w:hAnsi="Arial" w:eastAsia="宋体" w:cs="Arial"/>
          <w:sz w:val="48"/>
          <w:lang w:eastAsia="zh-CN"/>
        </w:rPr>
        <w:t>行业和FDA人员指南</w:t>
      </w:r>
    </w:p>
    <w:p w14:paraId="09621648">
      <w:pPr>
        <w:snapToGrid w:val="0"/>
        <w:spacing w:line="300" w:lineRule="auto"/>
        <w:jc w:val="center"/>
        <w:rPr>
          <w:rFonts w:ascii="Arial" w:hAnsi="Arial" w:eastAsia="宋体" w:cs="Arial"/>
          <w:sz w:val="48"/>
          <w:szCs w:val="48"/>
          <w:lang w:eastAsia="zh-CN"/>
        </w:rPr>
      </w:pPr>
    </w:p>
    <w:p w14:paraId="6723CDD6">
      <w:pPr>
        <w:snapToGrid w:val="0"/>
        <w:spacing w:line="300" w:lineRule="auto"/>
        <w:jc w:val="center"/>
        <w:rPr>
          <w:rFonts w:ascii="Arial" w:hAnsi="Arial" w:eastAsia="宋体" w:cs="Arial"/>
          <w:b/>
          <w:bCs/>
          <w:sz w:val="60"/>
          <w:szCs w:val="60"/>
          <w:lang w:eastAsia="zh-CN"/>
        </w:rPr>
      </w:pPr>
      <w:r>
        <w:rPr>
          <w:rFonts w:ascii="Arial" w:hAnsi="Arial" w:eastAsia="宋体" w:cs="Arial"/>
          <w:b/>
          <w:bCs/>
          <w:sz w:val="60"/>
          <w:szCs w:val="60"/>
          <w:lang w:eastAsia="zh-CN"/>
        </w:rPr>
        <w:t>室性心动过速消融治疗的临床研究推荐方案</w:t>
      </w:r>
    </w:p>
    <w:p w14:paraId="05DA21C6">
      <w:pPr>
        <w:snapToGrid w:val="0"/>
        <w:spacing w:before="1" w:line="300" w:lineRule="auto"/>
        <w:jc w:val="center"/>
        <w:rPr>
          <w:rFonts w:ascii="Arial" w:hAnsi="Arial" w:eastAsia="宋体" w:cs="Arial"/>
          <w:b/>
          <w:bCs/>
          <w:sz w:val="50"/>
          <w:szCs w:val="50"/>
          <w:lang w:eastAsia="zh-CN"/>
        </w:rPr>
      </w:pPr>
    </w:p>
    <w:p w14:paraId="04A333F1">
      <w:pPr>
        <w:pStyle w:val="3"/>
        <w:snapToGrid w:val="0"/>
        <w:spacing w:before="0" w:line="300" w:lineRule="auto"/>
        <w:ind w:left="235" w:firstLine="0"/>
        <w:jc w:val="center"/>
        <w:rPr>
          <w:rFonts w:ascii="Arial" w:hAnsi="Arial" w:eastAsia="宋体" w:cs="Arial"/>
          <w:b w:val="0"/>
          <w:bCs w:val="0"/>
          <w:lang w:eastAsia="zh-CN"/>
        </w:rPr>
      </w:pPr>
      <w:r>
        <w:rPr>
          <w:rFonts w:ascii="Arial" w:hAnsi="Arial" w:eastAsia="宋体" w:cs="Arial"/>
          <w:lang w:eastAsia="zh-CN"/>
        </w:rPr>
        <w:t>文件发布日期：1999年5月7日</w:t>
      </w:r>
    </w:p>
    <w:p w14:paraId="6D30FE36">
      <w:pPr>
        <w:snapToGrid w:val="0"/>
        <w:spacing w:line="300" w:lineRule="auto"/>
        <w:jc w:val="both"/>
        <w:rPr>
          <w:rFonts w:ascii="Arial" w:hAnsi="Arial" w:eastAsia="宋体" w:cs="Arial"/>
          <w:b/>
          <w:bCs/>
          <w:sz w:val="28"/>
          <w:szCs w:val="28"/>
          <w:lang w:eastAsia="zh-CN"/>
        </w:rPr>
      </w:pPr>
    </w:p>
    <w:p w14:paraId="0C6641CB">
      <w:pPr>
        <w:snapToGrid w:val="0"/>
        <w:spacing w:line="300" w:lineRule="auto"/>
        <w:jc w:val="both"/>
        <w:rPr>
          <w:rFonts w:ascii="Arial" w:hAnsi="Arial" w:eastAsia="宋体" w:cs="Arial"/>
          <w:b/>
          <w:bCs/>
          <w:sz w:val="28"/>
          <w:szCs w:val="28"/>
          <w:lang w:eastAsia="zh-CN"/>
        </w:rPr>
      </w:pPr>
    </w:p>
    <w:p w14:paraId="532D8F2D">
      <w:pPr>
        <w:snapToGrid w:val="0"/>
        <w:spacing w:line="300" w:lineRule="auto"/>
        <w:jc w:val="both"/>
        <w:rPr>
          <w:rFonts w:ascii="Arial" w:hAnsi="Arial" w:eastAsia="宋体" w:cs="Arial"/>
          <w:b/>
          <w:bCs/>
          <w:sz w:val="28"/>
          <w:szCs w:val="28"/>
          <w:lang w:eastAsia="zh-CN"/>
        </w:rPr>
      </w:pPr>
    </w:p>
    <w:p w14:paraId="4EAD9826">
      <w:pPr>
        <w:snapToGrid w:val="0"/>
        <w:spacing w:line="300" w:lineRule="auto"/>
        <w:jc w:val="both"/>
        <w:rPr>
          <w:rFonts w:ascii="Arial" w:hAnsi="Arial" w:eastAsia="宋体" w:cs="Arial"/>
          <w:b/>
          <w:bCs/>
          <w:sz w:val="28"/>
          <w:szCs w:val="28"/>
          <w:lang w:eastAsia="zh-CN"/>
        </w:rPr>
      </w:pPr>
    </w:p>
    <w:p w14:paraId="05C3D201">
      <w:pPr>
        <w:snapToGrid w:val="0"/>
        <w:spacing w:line="300" w:lineRule="auto"/>
        <w:jc w:val="both"/>
        <w:rPr>
          <w:rFonts w:ascii="Arial" w:hAnsi="Arial" w:eastAsia="宋体" w:cs="Arial"/>
          <w:b/>
          <w:bCs/>
          <w:sz w:val="28"/>
          <w:szCs w:val="28"/>
          <w:lang w:eastAsia="zh-CN"/>
        </w:rPr>
      </w:pPr>
    </w:p>
    <w:p w14:paraId="1A8DE2F1">
      <w:pPr>
        <w:snapToGrid w:val="0"/>
        <w:spacing w:line="300" w:lineRule="auto"/>
        <w:jc w:val="both"/>
        <w:rPr>
          <w:rFonts w:ascii="Arial" w:hAnsi="Arial" w:eastAsia="宋体" w:cs="Arial"/>
          <w:b/>
          <w:bCs/>
          <w:sz w:val="28"/>
          <w:szCs w:val="28"/>
          <w:lang w:eastAsia="zh-CN"/>
        </w:rPr>
      </w:pPr>
    </w:p>
    <w:p w14:paraId="6E694540">
      <w:pPr>
        <w:snapToGrid w:val="0"/>
        <w:spacing w:line="300" w:lineRule="auto"/>
        <w:jc w:val="both"/>
        <w:rPr>
          <w:rFonts w:ascii="Arial" w:hAnsi="Arial" w:eastAsia="宋体" w:cs="Arial"/>
          <w:b/>
          <w:bCs/>
          <w:sz w:val="28"/>
          <w:szCs w:val="28"/>
          <w:lang w:eastAsia="zh-CN"/>
        </w:rPr>
      </w:pPr>
    </w:p>
    <w:p w14:paraId="2127BA21">
      <w:pPr>
        <w:snapToGrid w:val="0"/>
        <w:spacing w:line="300" w:lineRule="auto"/>
        <w:jc w:val="both"/>
        <w:rPr>
          <w:rFonts w:ascii="Arial" w:hAnsi="Arial" w:eastAsia="宋体" w:cs="Arial"/>
          <w:b/>
          <w:bCs/>
          <w:sz w:val="28"/>
          <w:szCs w:val="28"/>
          <w:lang w:eastAsia="zh-CN"/>
        </w:rPr>
      </w:pPr>
    </w:p>
    <w:p w14:paraId="6D201D87">
      <w:pPr>
        <w:snapToGrid w:val="0"/>
        <w:spacing w:line="300" w:lineRule="auto"/>
        <w:jc w:val="both"/>
        <w:rPr>
          <w:rFonts w:ascii="Arial" w:hAnsi="Arial" w:eastAsia="宋体" w:cs="Arial"/>
          <w:b/>
          <w:bCs/>
          <w:sz w:val="28"/>
          <w:szCs w:val="28"/>
          <w:lang w:eastAsia="zh-CN"/>
        </w:rPr>
      </w:pPr>
    </w:p>
    <w:p w14:paraId="0A4783AF">
      <w:pPr>
        <w:snapToGrid w:val="0"/>
        <w:spacing w:line="300" w:lineRule="auto"/>
        <w:jc w:val="both"/>
        <w:rPr>
          <w:rFonts w:ascii="Arial" w:hAnsi="Arial" w:eastAsia="宋体" w:cs="Arial"/>
          <w:b/>
          <w:bCs/>
          <w:sz w:val="28"/>
          <w:szCs w:val="28"/>
          <w:lang w:eastAsia="zh-CN"/>
        </w:rPr>
      </w:pPr>
    </w:p>
    <w:p w14:paraId="18FDBDB0">
      <w:pPr>
        <w:snapToGrid w:val="0"/>
        <w:spacing w:line="300" w:lineRule="auto"/>
        <w:jc w:val="both"/>
        <w:rPr>
          <w:rFonts w:ascii="Arial" w:hAnsi="Arial" w:eastAsia="宋体" w:cs="Arial"/>
          <w:b/>
          <w:bCs/>
          <w:sz w:val="28"/>
          <w:szCs w:val="28"/>
          <w:lang w:eastAsia="zh-CN"/>
        </w:rPr>
      </w:pPr>
    </w:p>
    <w:p w14:paraId="0EAE4CF6">
      <w:pPr>
        <w:snapToGrid w:val="0"/>
        <w:spacing w:line="300" w:lineRule="auto"/>
        <w:jc w:val="both"/>
        <w:rPr>
          <w:rFonts w:ascii="Arial" w:hAnsi="Arial" w:eastAsia="宋体" w:cs="Arial"/>
          <w:b/>
          <w:bCs/>
          <w:sz w:val="28"/>
          <w:szCs w:val="28"/>
          <w:lang w:eastAsia="zh-CN"/>
        </w:rPr>
      </w:pPr>
    </w:p>
    <w:p w14:paraId="172C0A18">
      <w:pPr>
        <w:snapToGrid w:val="0"/>
        <w:spacing w:before="4" w:line="300" w:lineRule="auto"/>
        <w:jc w:val="both"/>
        <w:rPr>
          <w:rFonts w:ascii="Arial" w:hAnsi="Arial" w:eastAsia="宋体" w:cs="Arial"/>
          <w:b/>
          <w:bCs/>
          <w:sz w:val="27"/>
          <w:szCs w:val="27"/>
          <w:lang w:eastAsia="zh-CN"/>
        </w:rPr>
      </w:pPr>
    </w:p>
    <w:p w14:paraId="071E12FA">
      <w:pPr>
        <w:pStyle w:val="5"/>
        <w:snapToGrid w:val="0"/>
        <w:spacing w:line="300" w:lineRule="auto"/>
        <w:ind w:left="0"/>
        <w:jc w:val="right"/>
        <w:rPr>
          <w:rFonts w:ascii="Arial" w:hAnsi="Arial" w:eastAsia="宋体" w:cs="Arial"/>
          <w:b w:val="0"/>
          <w:bCs w:val="0"/>
          <w:lang w:eastAsia="zh-CN"/>
        </w:rPr>
      </w:pPr>
      <w:r>
        <w:rPr>
          <w:rFonts w:ascii="Arial" w:hAnsi="Arial" w:eastAsia="宋体" w:cs="Arial"/>
          <w:lang w:eastAsia="zh-CN"/>
        </w:rPr>
        <w:drawing>
          <wp:anchor distT="0" distB="0" distL="114300" distR="114300" simplePos="0" relativeHeight="251659264" behindDoc="0" locked="0" layoutInCell="1" allowOverlap="1">
            <wp:simplePos x="0" y="0"/>
            <wp:positionH relativeFrom="page">
              <wp:posOffset>1280160</wp:posOffset>
            </wp:positionH>
            <wp:positionV relativeFrom="paragraph">
              <wp:posOffset>-183515</wp:posOffset>
            </wp:positionV>
            <wp:extent cx="880745" cy="984250"/>
            <wp:effectExtent l="0" t="0" r="0" b="635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80745" cy="984250"/>
                    </a:xfrm>
                    <a:prstGeom prst="rect">
                      <a:avLst/>
                    </a:prstGeom>
                    <a:noFill/>
                  </pic:spPr>
                </pic:pic>
              </a:graphicData>
            </a:graphic>
          </wp:anchor>
        </w:drawing>
      </w:r>
      <w:r>
        <w:rPr>
          <w:rFonts w:ascii="Arial" w:hAnsi="Arial" w:eastAsia="宋体" w:cs="Arial"/>
          <w:lang w:eastAsia="zh-CN"/>
        </w:rPr>
        <w:t>美国卫生与公众服务部</w:t>
      </w:r>
    </w:p>
    <w:p w14:paraId="156F2482">
      <w:pPr>
        <w:pStyle w:val="5"/>
        <w:snapToGrid w:val="0"/>
        <w:spacing w:line="300" w:lineRule="auto"/>
        <w:ind w:left="0"/>
        <w:jc w:val="right"/>
        <w:rPr>
          <w:rFonts w:ascii="Arial" w:hAnsi="Arial" w:eastAsia="宋体" w:cs="Arial"/>
          <w:lang w:eastAsia="zh-CN"/>
        </w:rPr>
      </w:pPr>
      <w:r>
        <w:rPr>
          <w:rFonts w:ascii="Arial" w:hAnsi="Arial" w:eastAsia="宋体" w:cs="Arial"/>
          <w:lang w:eastAsia="zh-CN"/>
        </w:rPr>
        <w:t>食品药品监督管理局</w:t>
      </w:r>
    </w:p>
    <w:p w14:paraId="5022A50C">
      <w:pPr>
        <w:pStyle w:val="5"/>
        <w:snapToGrid w:val="0"/>
        <w:spacing w:line="300" w:lineRule="auto"/>
        <w:ind w:left="0"/>
        <w:jc w:val="right"/>
        <w:rPr>
          <w:rFonts w:ascii="Arial" w:hAnsi="Arial" w:eastAsia="宋体" w:cs="Arial"/>
          <w:lang w:eastAsia="zh-CN"/>
        </w:rPr>
      </w:pPr>
      <w:r>
        <w:rPr>
          <w:rFonts w:ascii="Arial" w:hAnsi="Arial" w:eastAsia="宋体" w:cs="Arial"/>
          <w:lang w:eastAsia="zh-CN"/>
        </w:rPr>
        <w:t>器械与放射健康中心</w:t>
      </w:r>
    </w:p>
    <w:p w14:paraId="7C8E2726">
      <w:pPr>
        <w:snapToGrid w:val="0"/>
        <w:spacing w:before="6" w:line="300" w:lineRule="auto"/>
        <w:jc w:val="right"/>
        <w:rPr>
          <w:rFonts w:ascii="Arial" w:hAnsi="Arial" w:eastAsia="宋体" w:cs="Arial"/>
          <w:b/>
          <w:bCs/>
          <w:sz w:val="24"/>
          <w:szCs w:val="24"/>
          <w:lang w:eastAsia="zh-CN"/>
        </w:rPr>
      </w:pPr>
    </w:p>
    <w:p w14:paraId="70FF38DC">
      <w:pPr>
        <w:snapToGrid w:val="0"/>
        <w:spacing w:line="300" w:lineRule="auto"/>
        <w:ind w:left="4090" w:firstLine="691"/>
        <w:jc w:val="right"/>
        <w:rPr>
          <w:rFonts w:ascii="Arial" w:hAnsi="Arial" w:eastAsia="宋体" w:cs="Arial"/>
          <w:b/>
          <w:spacing w:val="-1"/>
          <w:w w:val="99"/>
          <w:sz w:val="24"/>
          <w:lang w:eastAsia="zh-CN"/>
        </w:rPr>
      </w:pPr>
      <w:r>
        <w:rPr>
          <w:rFonts w:ascii="Arial" w:hAnsi="Arial" w:eastAsia="宋体" w:cs="Arial"/>
          <w:b/>
          <w:sz w:val="24"/>
          <w:lang w:eastAsia="zh-CN"/>
        </w:rPr>
        <w:t>起搏和电生理学器械组</w:t>
      </w:r>
    </w:p>
    <w:p w14:paraId="6DB362E3">
      <w:pPr>
        <w:snapToGrid w:val="0"/>
        <w:spacing w:line="300" w:lineRule="auto"/>
        <w:ind w:left="4090" w:firstLine="691"/>
        <w:jc w:val="right"/>
        <w:rPr>
          <w:rFonts w:ascii="Arial" w:hAnsi="Arial" w:eastAsia="宋体" w:cs="Arial"/>
          <w:sz w:val="24"/>
          <w:szCs w:val="24"/>
          <w:lang w:eastAsia="zh-CN"/>
        </w:rPr>
      </w:pPr>
      <w:r>
        <w:rPr>
          <w:rFonts w:ascii="Arial" w:hAnsi="Arial" w:eastAsia="宋体" w:cs="Arial"/>
          <w:b/>
          <w:sz w:val="24"/>
          <w:lang w:eastAsia="zh-CN"/>
        </w:rPr>
        <w:t>心血管和呼吸器械司</w:t>
      </w:r>
    </w:p>
    <w:p w14:paraId="626C27E7">
      <w:pPr>
        <w:snapToGrid w:val="0"/>
        <w:spacing w:line="300" w:lineRule="auto"/>
        <w:jc w:val="right"/>
        <w:rPr>
          <w:rFonts w:ascii="Arial" w:hAnsi="Arial" w:eastAsia="宋体" w:cs="Arial"/>
          <w:sz w:val="24"/>
          <w:szCs w:val="24"/>
          <w:lang w:eastAsia="zh-CN"/>
        </w:rPr>
      </w:pPr>
      <w:r>
        <w:rPr>
          <w:rFonts w:ascii="Arial" w:hAnsi="Arial" w:eastAsia="宋体" w:cs="Arial"/>
          <w:b/>
          <w:sz w:val="24"/>
          <w:lang w:eastAsia="zh-CN"/>
        </w:rPr>
        <w:t>器械评估办公室</w:t>
      </w:r>
    </w:p>
    <w:p w14:paraId="6DCB0123">
      <w:pPr>
        <w:snapToGrid w:val="0"/>
        <w:spacing w:line="300" w:lineRule="auto"/>
        <w:jc w:val="both"/>
        <w:rPr>
          <w:rFonts w:ascii="Arial" w:hAnsi="Arial" w:eastAsia="宋体" w:cs="Arial"/>
          <w:sz w:val="24"/>
          <w:szCs w:val="24"/>
          <w:lang w:eastAsia="zh-CN"/>
        </w:rPr>
        <w:sectPr>
          <w:footerReference r:id="rId3" w:type="default"/>
          <w:type w:val="continuous"/>
          <w:pgSz w:w="12240" w:h="15840"/>
          <w:pgMar w:top="1134" w:right="1134" w:bottom="1134" w:left="1134" w:header="720" w:footer="850" w:gutter="0"/>
          <w:pgNumType w:start="1"/>
          <w:cols w:space="720" w:num="1"/>
          <w:docGrid w:linePitch="299" w:charSpace="0"/>
        </w:sectPr>
      </w:pPr>
    </w:p>
    <w:p w14:paraId="03DF1F79">
      <w:pPr>
        <w:snapToGrid w:val="0"/>
        <w:spacing w:before="12" w:line="300" w:lineRule="auto"/>
        <w:jc w:val="center"/>
        <w:rPr>
          <w:rFonts w:ascii="Arial" w:hAnsi="Arial" w:eastAsia="宋体" w:cs="Arial"/>
          <w:sz w:val="48"/>
          <w:szCs w:val="48"/>
          <w:lang w:eastAsia="zh-CN"/>
        </w:rPr>
      </w:pPr>
      <w:r>
        <w:rPr>
          <w:rFonts w:ascii="Arial" w:hAnsi="Arial" w:eastAsia="宋体" w:cs="Arial"/>
          <w:b/>
          <w:sz w:val="48"/>
          <w:lang w:eastAsia="zh-CN"/>
        </w:rPr>
        <w:t>前言</w:t>
      </w:r>
    </w:p>
    <w:p w14:paraId="393EC6EA">
      <w:pPr>
        <w:snapToGrid w:val="0"/>
        <w:spacing w:before="7" w:line="300" w:lineRule="auto"/>
        <w:jc w:val="both"/>
        <w:rPr>
          <w:rFonts w:ascii="Arial" w:hAnsi="Arial" w:eastAsia="宋体" w:cs="Arial"/>
          <w:b/>
          <w:bCs/>
          <w:sz w:val="25"/>
          <w:szCs w:val="25"/>
          <w:lang w:eastAsia="zh-CN"/>
        </w:rPr>
      </w:pPr>
    </w:p>
    <w:p w14:paraId="62C13611">
      <w:pPr>
        <w:snapToGrid w:val="0"/>
        <w:spacing w:before="9" w:line="300" w:lineRule="auto"/>
        <w:jc w:val="both"/>
        <w:rPr>
          <w:rFonts w:ascii="Arial" w:hAnsi="Arial" w:eastAsia="宋体" w:cs="Arial"/>
          <w:b/>
          <w:bCs/>
          <w:sz w:val="36"/>
          <w:szCs w:val="36"/>
          <w:lang w:eastAsia="zh-CN"/>
        </w:rPr>
      </w:pPr>
      <w:r>
        <w:rPr>
          <w:rFonts w:ascii="Arial" w:hAnsi="Arial" w:eastAsia="宋体" w:cs="Arial"/>
          <w:b/>
          <w:bCs/>
          <w:sz w:val="36"/>
          <w:szCs w:val="36"/>
          <w:lang w:eastAsia="zh-CN"/>
        </w:rPr>
        <w:t>公共评论</w:t>
      </w:r>
    </w:p>
    <w:p w14:paraId="79ADCFE5">
      <w:pPr>
        <w:snapToGrid w:val="0"/>
        <w:spacing w:before="9" w:line="300" w:lineRule="auto"/>
        <w:jc w:val="both"/>
        <w:rPr>
          <w:rFonts w:ascii="Arial" w:hAnsi="Arial" w:eastAsia="宋体" w:cs="Arial"/>
          <w:b/>
          <w:bCs/>
          <w:sz w:val="36"/>
          <w:szCs w:val="36"/>
          <w:lang w:eastAsia="zh-CN"/>
        </w:rPr>
      </w:pPr>
    </w:p>
    <w:p w14:paraId="66A88548">
      <w:pPr>
        <w:pStyle w:val="6"/>
        <w:snapToGrid w:val="0"/>
        <w:spacing w:line="300" w:lineRule="auto"/>
        <w:jc w:val="both"/>
        <w:rPr>
          <w:rFonts w:ascii="Arial" w:hAnsi="Arial" w:eastAsia="宋体" w:cs="Arial"/>
          <w:lang w:eastAsia="zh-CN"/>
        </w:rPr>
      </w:pPr>
      <w:r>
        <w:rPr>
          <w:rFonts w:ascii="Arial" w:hAnsi="Arial" w:eastAsia="宋体" w:cs="Arial"/>
          <w:lang w:eastAsia="zh-CN"/>
        </w:rPr>
        <w:t>贵公司可以随时提交评论和建议至Jun Dong, M.D，供部门审议。可能直到文件下次修订或更新时，评论才会被机构受理。关于使用或解释本指南的问题，请联系Jun Dong，M.D. 电话：</w:t>
      </w:r>
      <w:r>
        <w:fldChar w:fldCharType="begin"/>
      </w:r>
      <w:r>
        <w:instrText xml:space="preserve"> HYPERLINK "mailto:301-796-6317或电子邮箱：jun.dong@fda.hhs.gov" </w:instrText>
      </w:r>
      <w:r>
        <w:fldChar w:fldCharType="separate"/>
      </w:r>
      <w:r>
        <w:rPr>
          <w:rFonts w:ascii="Arial" w:hAnsi="Arial" w:eastAsia="宋体" w:cs="Arial"/>
          <w:lang w:eastAsia="zh-CN"/>
        </w:rPr>
        <w:t>301-796-6317</w:t>
      </w:r>
      <w:r>
        <w:rPr>
          <w:rFonts w:hint="eastAsia" w:ascii="Arial" w:hAnsi="Arial" w:eastAsia="宋体" w:cs="Arial"/>
          <w:lang w:eastAsia="zh-CN"/>
        </w:rPr>
        <w:t>或电子邮箱：</w:t>
      </w:r>
      <w:r>
        <w:rPr>
          <w:rFonts w:ascii="Arial" w:hAnsi="Arial" w:eastAsia="宋体" w:cs="Arial"/>
          <w:lang w:eastAsia="zh-CN"/>
        </w:rPr>
        <w:t>jun.dong@fda.hhs.gov</w:t>
      </w:r>
      <w:r>
        <w:rPr>
          <w:rFonts w:ascii="Arial" w:hAnsi="Arial" w:eastAsia="宋体" w:cs="Arial"/>
          <w:lang w:eastAsia="zh-CN"/>
        </w:rPr>
        <w:fldChar w:fldCharType="end"/>
      </w:r>
      <w:r>
        <w:rPr>
          <w:rFonts w:ascii="Arial" w:hAnsi="Arial" w:eastAsia="宋体" w:cs="Arial"/>
          <w:lang w:eastAsia="zh-CN"/>
        </w:rPr>
        <w:t>。</w:t>
      </w:r>
    </w:p>
    <w:p w14:paraId="13D2C5A4">
      <w:pPr>
        <w:snapToGrid w:val="0"/>
        <w:spacing w:before="9" w:line="300" w:lineRule="auto"/>
        <w:jc w:val="both"/>
        <w:rPr>
          <w:rFonts w:ascii="Arial" w:hAnsi="Arial" w:eastAsia="宋体" w:cs="Arial"/>
          <w:b/>
          <w:bCs/>
          <w:sz w:val="36"/>
          <w:szCs w:val="36"/>
          <w:lang w:eastAsia="zh-CN"/>
        </w:rPr>
      </w:pPr>
    </w:p>
    <w:p w14:paraId="3F67136E">
      <w:pPr>
        <w:snapToGrid w:val="0"/>
        <w:spacing w:before="9" w:line="300" w:lineRule="auto"/>
        <w:jc w:val="both"/>
        <w:rPr>
          <w:rFonts w:ascii="Arial" w:hAnsi="Arial" w:eastAsia="宋体" w:cs="Arial"/>
          <w:b/>
          <w:bCs/>
          <w:sz w:val="36"/>
          <w:szCs w:val="36"/>
        </w:rPr>
      </w:pPr>
      <w:r>
        <w:rPr>
          <w:rFonts w:ascii="Arial" w:hAnsi="Arial" w:eastAsia="宋体" w:cs="Arial"/>
          <w:b/>
          <w:bCs/>
          <w:sz w:val="36"/>
          <w:szCs w:val="36"/>
        </w:rPr>
        <w:t>其他副本</w:t>
      </w:r>
    </w:p>
    <w:p w14:paraId="47FEB364">
      <w:pPr>
        <w:snapToGrid w:val="0"/>
        <w:spacing w:before="9" w:line="300" w:lineRule="auto"/>
        <w:jc w:val="both"/>
        <w:rPr>
          <w:rFonts w:ascii="Arial" w:hAnsi="Arial" w:eastAsia="宋体" w:cs="Arial"/>
          <w:b/>
          <w:bCs/>
          <w:sz w:val="36"/>
          <w:szCs w:val="36"/>
        </w:rPr>
      </w:pPr>
    </w:p>
    <w:p w14:paraId="3588B0AF">
      <w:pPr>
        <w:pStyle w:val="6"/>
        <w:snapToGrid w:val="0"/>
        <w:spacing w:line="300" w:lineRule="auto"/>
        <w:rPr>
          <w:rFonts w:ascii="Arial" w:hAnsi="Arial" w:eastAsia="宋体" w:cs="Arial"/>
          <w:lang w:eastAsia="zh-CN"/>
        </w:rPr>
      </w:pPr>
      <w:r>
        <w:rPr>
          <w:rFonts w:ascii="Arial" w:hAnsi="Arial" w:eastAsia="宋体" w:cs="Arial"/>
        </w:rPr>
        <w:t>其他副本可从互联网获得，网址为：http://www.fda.gov/downloads/MedicalDevices/DeviceRegulationandGuidance/ GuidanceDocuments / UCM077054.pdf。贵公司还可以向dsmica@fda.hhs.gov发送电子邮件请求，以接收</w:t>
      </w:r>
      <w:r>
        <w:rPr>
          <w:rFonts w:ascii="Arial" w:hAnsi="Arial" w:eastAsia="宋体" w:cs="Arial"/>
          <w:lang w:eastAsia="zh-CN"/>
        </w:rPr>
        <w:t>本</w:t>
      </w:r>
      <w:r>
        <w:rPr>
          <w:rFonts w:ascii="Arial" w:hAnsi="Arial" w:eastAsia="宋体" w:cs="Arial"/>
        </w:rPr>
        <w:t>指南的电子副本，或向301-847-8149发送传真请求以获得硬拷贝。</w:t>
      </w:r>
      <w:r>
        <w:rPr>
          <w:rFonts w:ascii="Arial" w:hAnsi="Arial" w:eastAsia="宋体" w:cs="Arial"/>
          <w:lang w:eastAsia="zh-CN"/>
        </w:rPr>
        <w:t>请使用文件编号（2244）来标识贵公司所要求获得的指南。</w:t>
      </w:r>
    </w:p>
    <w:p w14:paraId="394CF984">
      <w:pPr>
        <w:pStyle w:val="6"/>
        <w:snapToGrid w:val="0"/>
        <w:spacing w:line="300" w:lineRule="auto"/>
        <w:jc w:val="both"/>
        <w:rPr>
          <w:rFonts w:ascii="Arial" w:hAnsi="Arial" w:eastAsia="宋体" w:cs="Arial"/>
          <w:lang w:eastAsia="zh-CN"/>
        </w:rPr>
      </w:pPr>
    </w:p>
    <w:p w14:paraId="0EFF4DE9">
      <w:pPr>
        <w:widowControl/>
        <w:rPr>
          <w:rFonts w:ascii="Arial" w:hAnsi="Arial" w:eastAsia="宋体" w:cs="Arial"/>
          <w:sz w:val="24"/>
          <w:szCs w:val="24"/>
          <w:lang w:eastAsia="zh-CN"/>
        </w:rPr>
      </w:pPr>
      <w:r>
        <w:rPr>
          <w:rFonts w:ascii="Arial" w:hAnsi="Arial" w:eastAsia="宋体" w:cs="Arial"/>
          <w:b/>
          <w:bCs/>
          <w:sz w:val="24"/>
          <w:szCs w:val="24"/>
          <w:lang w:eastAsia="zh-CN"/>
        </w:rPr>
        <w:br w:type="page"/>
      </w:r>
    </w:p>
    <w:p w14:paraId="251616D9">
      <w:pPr>
        <w:pStyle w:val="3"/>
        <w:snapToGrid w:val="0"/>
        <w:spacing w:line="300" w:lineRule="auto"/>
        <w:ind w:left="0" w:firstLine="0"/>
        <w:jc w:val="both"/>
        <w:rPr>
          <w:rFonts w:ascii="Arial" w:hAnsi="Arial" w:eastAsia="宋体" w:cs="Arial"/>
          <w:b w:val="0"/>
          <w:bCs w:val="0"/>
          <w:lang w:eastAsia="zh-CN"/>
        </w:rPr>
      </w:pPr>
      <w:r>
        <w:rPr>
          <w:rFonts w:ascii="Arial" w:hAnsi="Arial" w:eastAsia="宋体" w:cs="Arial"/>
          <w:spacing w:val="-3"/>
          <w:lang w:eastAsia="zh-CN"/>
        </w:rPr>
        <w:t>前言</w:t>
      </w:r>
    </w:p>
    <w:p w14:paraId="2545BE64">
      <w:pPr>
        <w:snapToGrid w:val="0"/>
        <w:spacing w:before="11" w:line="300" w:lineRule="auto"/>
        <w:jc w:val="both"/>
        <w:rPr>
          <w:rFonts w:ascii="Arial" w:hAnsi="Arial" w:eastAsia="宋体" w:cs="Arial"/>
          <w:b/>
          <w:bCs/>
          <w:sz w:val="24"/>
          <w:szCs w:val="24"/>
          <w:lang w:eastAsia="zh-CN"/>
        </w:rPr>
      </w:pPr>
    </w:p>
    <w:p w14:paraId="7414EFC2">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与心脏消融术在室上性心动过速治疗中的应用相比，心脏消融术在室性心动过速治疗中的应用引起许多新的安全性和有效性问题。已提供以下大纲，协助申办方制定治疗室性心动过速的方案。我们已给予贵公司两种研究设计：非随机和随机。</w:t>
      </w:r>
      <w:r>
        <w:rPr>
          <w:rFonts w:hint="eastAsia" w:ascii="Arial" w:hAnsi="Arial" w:eastAsia="宋体" w:cs="Arial"/>
          <w:i/>
          <w:lang w:eastAsia="zh-CN"/>
        </w:rPr>
        <w:t>此大纲</w:t>
      </w:r>
      <w:r>
        <w:rPr>
          <w:rFonts w:ascii="Arial" w:hAnsi="Arial" w:eastAsia="宋体" w:cs="Arial"/>
          <w:i/>
          <w:lang w:eastAsia="zh-CN"/>
        </w:rPr>
        <w:t>绝对没有</w:t>
      </w:r>
      <w:r>
        <w:rPr>
          <w:rFonts w:hint="eastAsia" w:ascii="Arial" w:hAnsi="Arial" w:eastAsia="宋体" w:cs="Arial"/>
          <w:i/>
          <w:lang w:eastAsia="zh-CN"/>
        </w:rPr>
        <w:t>详尽临床研究的所有必要组成部分。</w:t>
      </w:r>
      <w:r>
        <w:rPr>
          <w:rFonts w:ascii="Arial" w:hAnsi="Arial" w:eastAsia="宋体" w:cs="Arial"/>
          <w:lang w:eastAsia="zh-CN"/>
        </w:rPr>
        <w:t>此类大纲基于循环系统器械小组成员向FDA提供的建议以及临床研究者提供的意见。</w:t>
      </w:r>
    </w:p>
    <w:p w14:paraId="604D28AD">
      <w:pPr>
        <w:snapToGrid w:val="0"/>
        <w:spacing w:line="300" w:lineRule="auto"/>
        <w:ind w:left="1273" w:leftChars="248" w:hanging="727" w:hangingChars="303"/>
        <w:jc w:val="both"/>
        <w:rPr>
          <w:rFonts w:ascii="Arial" w:hAnsi="Arial" w:eastAsia="宋体" w:cs="Arial"/>
          <w:i/>
          <w:sz w:val="24"/>
          <w:szCs w:val="24"/>
          <w:lang w:eastAsia="zh-CN"/>
        </w:rPr>
      </w:pPr>
      <w:r>
        <w:rPr>
          <w:rFonts w:hint="eastAsia" w:ascii="Arial" w:hAnsi="Arial" w:eastAsia="宋体" w:cs="Arial"/>
          <w:i/>
          <w:sz w:val="24"/>
          <w:szCs w:val="24"/>
          <w:lang w:eastAsia="zh-CN"/>
        </w:rPr>
        <w:t>注意：本指导性文件代表了本审查机构关于室性心动过速消融临床研究设计的最新见解。其不会为任何人创造或赋予任何权利，也不对</w:t>
      </w:r>
      <w:r>
        <w:rPr>
          <w:rFonts w:ascii="Arial" w:hAnsi="Arial" w:eastAsia="宋体" w:cs="Arial"/>
          <w:i/>
          <w:sz w:val="24"/>
          <w:szCs w:val="24"/>
          <w:lang w:eastAsia="zh-CN"/>
        </w:rPr>
        <w:t>FDA</w:t>
      </w:r>
      <w:r>
        <w:rPr>
          <w:rFonts w:hint="eastAsia" w:ascii="Arial" w:hAnsi="Arial" w:eastAsia="宋体" w:cs="Arial"/>
          <w:i/>
          <w:sz w:val="24"/>
          <w:szCs w:val="24"/>
          <w:lang w:eastAsia="zh-CN"/>
        </w:rPr>
        <w:t>或公众具有约束力。如果替代方法满足适用的法律、法规或其两者的要求，可以使用替代方法。</w:t>
      </w:r>
    </w:p>
    <w:p w14:paraId="32AD85F6">
      <w:pPr>
        <w:snapToGrid w:val="0"/>
        <w:spacing w:line="300" w:lineRule="auto"/>
        <w:ind w:left="1273" w:leftChars="248" w:hanging="727" w:hangingChars="303"/>
        <w:jc w:val="both"/>
        <w:rPr>
          <w:rFonts w:ascii="Arial" w:hAnsi="Arial" w:eastAsia="宋体" w:cs="Arial"/>
          <w:i/>
          <w:sz w:val="24"/>
          <w:szCs w:val="24"/>
          <w:lang w:eastAsia="zh-CN"/>
        </w:rPr>
      </w:pPr>
    </w:p>
    <w:p w14:paraId="473D3852">
      <w:pPr>
        <w:snapToGrid w:val="0"/>
        <w:spacing w:line="300" w:lineRule="auto"/>
        <w:ind w:left="1272" w:leftChars="578" w:firstLine="2"/>
        <w:jc w:val="both"/>
        <w:rPr>
          <w:rFonts w:ascii="Arial" w:hAnsi="Arial" w:eastAsia="宋体" w:cs="Arial"/>
          <w:i/>
          <w:sz w:val="24"/>
          <w:szCs w:val="24"/>
          <w:lang w:eastAsia="zh-CN"/>
        </w:rPr>
      </w:pPr>
      <w:r>
        <w:rPr>
          <w:rFonts w:hint="eastAsia" w:ascii="Arial" w:hAnsi="Arial" w:eastAsia="宋体" w:cs="Arial"/>
          <w:i/>
          <w:sz w:val="24"/>
          <w:szCs w:val="24"/>
          <w:lang w:eastAsia="zh-CN"/>
        </w:rPr>
        <w:t>我们进一步以斜体注释的方式强调了我们的一些建议，例如本建议，说明我们建议背后的担忧或推理。如果贵公司选择不遵循我们在设计研究方面的建议，贵公司应该努力解决</w:t>
      </w:r>
      <w:r>
        <w:rPr>
          <w:rFonts w:ascii="Arial" w:hAnsi="Arial" w:eastAsia="宋体" w:cs="Arial"/>
          <w:i/>
          <w:sz w:val="24"/>
          <w:szCs w:val="24"/>
          <w:lang w:eastAsia="zh-CN"/>
        </w:rPr>
        <w:t>FDA</w:t>
      </w:r>
      <w:r>
        <w:rPr>
          <w:rFonts w:hint="eastAsia" w:ascii="Arial" w:hAnsi="Arial" w:eastAsia="宋体" w:cs="Arial"/>
          <w:i/>
          <w:sz w:val="24"/>
          <w:szCs w:val="24"/>
          <w:lang w:eastAsia="zh-CN"/>
        </w:rPr>
        <w:t>的潜在担忧。</w:t>
      </w:r>
    </w:p>
    <w:p w14:paraId="15F8C300">
      <w:pPr>
        <w:snapToGrid w:val="0"/>
        <w:spacing w:before="6" w:line="300" w:lineRule="auto"/>
        <w:jc w:val="both"/>
        <w:rPr>
          <w:rFonts w:ascii="Arial" w:hAnsi="Arial" w:eastAsia="宋体" w:cs="Arial"/>
          <w:i/>
          <w:sz w:val="24"/>
          <w:szCs w:val="24"/>
          <w:lang w:eastAsia="zh-CN"/>
        </w:rPr>
      </w:pPr>
    </w:p>
    <w:p w14:paraId="24FB51D8">
      <w:pPr>
        <w:pStyle w:val="6"/>
        <w:snapToGrid w:val="0"/>
        <w:spacing w:line="300" w:lineRule="auto"/>
        <w:ind w:left="0"/>
        <w:jc w:val="both"/>
        <w:rPr>
          <w:rFonts w:ascii="Arial" w:hAnsi="Arial" w:eastAsia="宋体" w:cs="Arial"/>
          <w:lang w:eastAsia="zh-CN"/>
        </w:rPr>
      </w:pPr>
      <w:r>
        <w:rPr>
          <w:rFonts w:ascii="Arial" w:hAnsi="Arial" w:eastAsia="宋体" w:cs="Arial"/>
          <w:lang w:eastAsia="zh-CN"/>
        </w:rPr>
        <w:t>本指导性文件的其余部分为三部分：</w:t>
      </w:r>
    </w:p>
    <w:p w14:paraId="6D75283F">
      <w:pPr>
        <w:snapToGrid w:val="0"/>
        <w:spacing w:before="11" w:line="300" w:lineRule="auto"/>
        <w:jc w:val="both"/>
        <w:rPr>
          <w:rFonts w:ascii="Arial" w:hAnsi="Arial" w:eastAsia="宋体" w:cs="Arial"/>
          <w:sz w:val="29"/>
          <w:szCs w:val="29"/>
          <w:lang w:eastAsia="zh-CN"/>
        </w:rPr>
      </w:pPr>
    </w:p>
    <w:p w14:paraId="1F63A266">
      <w:pPr>
        <w:pStyle w:val="3"/>
        <w:numPr>
          <w:ilvl w:val="0"/>
          <w:numId w:val="1"/>
        </w:numPr>
        <w:tabs>
          <w:tab w:val="left" w:pos="1140"/>
        </w:tabs>
        <w:snapToGrid w:val="0"/>
        <w:spacing w:before="0" w:line="300" w:lineRule="auto"/>
        <w:ind w:hanging="319"/>
        <w:jc w:val="both"/>
        <w:rPr>
          <w:rFonts w:ascii="Arial" w:hAnsi="Arial" w:eastAsia="宋体" w:cs="Arial"/>
          <w:lang w:eastAsia="zh-CN"/>
        </w:rPr>
      </w:pPr>
      <w:r>
        <w:rPr>
          <w:rFonts w:ascii="Arial" w:hAnsi="Arial" w:eastAsia="宋体" w:cs="Arial"/>
          <w:lang w:eastAsia="zh-CN"/>
        </w:rPr>
        <w:t>设计贵公司研究时要考虑的事项</w:t>
      </w:r>
    </w:p>
    <w:p w14:paraId="79EAA693">
      <w:pPr>
        <w:pStyle w:val="3"/>
        <w:numPr>
          <w:ilvl w:val="0"/>
          <w:numId w:val="1"/>
        </w:numPr>
        <w:tabs>
          <w:tab w:val="left" w:pos="1140"/>
        </w:tabs>
        <w:snapToGrid w:val="0"/>
        <w:spacing w:before="0" w:line="300" w:lineRule="auto"/>
        <w:ind w:hanging="319"/>
        <w:jc w:val="both"/>
        <w:rPr>
          <w:rFonts w:ascii="Arial" w:hAnsi="Arial" w:eastAsia="宋体" w:cs="Arial"/>
          <w:lang w:eastAsia="zh-CN"/>
        </w:rPr>
      </w:pPr>
      <w:r>
        <w:rPr>
          <w:rFonts w:ascii="Arial" w:hAnsi="Arial" w:eastAsia="宋体" w:cs="Arial"/>
          <w:lang w:eastAsia="zh-CN"/>
        </w:rPr>
        <w:t>非随机研究设计选项</w:t>
      </w:r>
    </w:p>
    <w:p w14:paraId="424B74AC">
      <w:pPr>
        <w:pStyle w:val="3"/>
        <w:numPr>
          <w:ilvl w:val="0"/>
          <w:numId w:val="1"/>
        </w:numPr>
        <w:tabs>
          <w:tab w:val="left" w:pos="1140"/>
        </w:tabs>
        <w:snapToGrid w:val="0"/>
        <w:spacing w:before="0" w:line="300" w:lineRule="auto"/>
        <w:ind w:hanging="319"/>
        <w:jc w:val="both"/>
        <w:rPr>
          <w:rFonts w:ascii="Arial" w:hAnsi="Arial" w:eastAsia="宋体" w:cs="Arial"/>
          <w:lang w:eastAsia="zh-CN"/>
        </w:rPr>
      </w:pPr>
      <w:r>
        <w:rPr>
          <w:rFonts w:ascii="Arial" w:hAnsi="Arial" w:eastAsia="宋体" w:cs="Arial"/>
          <w:lang w:eastAsia="zh-CN"/>
        </w:rPr>
        <w:t>随机研究设计选项</w:t>
      </w:r>
    </w:p>
    <w:p w14:paraId="57224D92">
      <w:pPr>
        <w:snapToGrid w:val="0"/>
        <w:spacing w:line="300" w:lineRule="auto"/>
        <w:jc w:val="both"/>
        <w:rPr>
          <w:rFonts w:ascii="Arial" w:hAnsi="Arial" w:eastAsia="宋体" w:cs="Arial"/>
          <w:sz w:val="28"/>
          <w:szCs w:val="28"/>
        </w:rPr>
      </w:pPr>
    </w:p>
    <w:p w14:paraId="4463D932">
      <w:pPr>
        <w:snapToGrid w:val="0"/>
        <w:spacing w:line="300" w:lineRule="auto"/>
        <w:jc w:val="both"/>
        <w:rPr>
          <w:rFonts w:ascii="Arial" w:hAnsi="Arial" w:eastAsia="宋体" w:cs="Arial"/>
          <w:sz w:val="28"/>
          <w:szCs w:val="28"/>
          <w:lang w:eastAsia="zh-CN"/>
        </w:rPr>
      </w:pPr>
      <w:r>
        <w:rPr>
          <w:rFonts w:ascii="Arial" w:hAnsi="Arial" w:eastAsia="宋体" w:cs="Arial"/>
          <w:sz w:val="28"/>
          <w:szCs w:val="28"/>
          <w:lang w:eastAsia="zh-CN"/>
        </w:rPr>
        <w:t xml:space="preserve"> </w:t>
      </w:r>
    </w:p>
    <w:p w14:paraId="75D0D16E">
      <w:pPr>
        <w:widowControl/>
        <w:rPr>
          <w:rFonts w:ascii="Arial" w:hAnsi="Arial" w:eastAsia="宋体" w:cs="Arial"/>
          <w:sz w:val="28"/>
          <w:szCs w:val="28"/>
          <w:lang w:eastAsia="zh-CN"/>
        </w:rPr>
      </w:pPr>
      <w:r>
        <w:rPr>
          <w:rFonts w:ascii="Arial" w:hAnsi="Arial" w:eastAsia="宋体" w:cs="Arial"/>
          <w:sz w:val="28"/>
          <w:szCs w:val="28"/>
          <w:lang w:eastAsia="zh-CN"/>
        </w:rPr>
        <w:br w:type="page"/>
      </w:r>
    </w:p>
    <w:p w14:paraId="777EEA3C">
      <w:pPr>
        <w:snapToGrid w:val="0"/>
        <w:spacing w:line="300" w:lineRule="auto"/>
        <w:jc w:val="both"/>
        <w:rPr>
          <w:rFonts w:ascii="Arial" w:hAnsi="Arial" w:eastAsia="宋体" w:cs="Arial"/>
          <w:sz w:val="28"/>
          <w:szCs w:val="28"/>
          <w:lang w:eastAsia="zh-CN"/>
        </w:rPr>
      </w:pPr>
      <w:r>
        <w:rPr>
          <w:rFonts w:ascii="Arial" w:hAnsi="Arial" w:eastAsia="宋体" w:cs="Arial"/>
          <w:b/>
          <w:sz w:val="28"/>
          <w:lang w:eastAsia="zh-CN"/>
        </w:rPr>
        <w:t>设计贵公司研究时要考虑的事项</w:t>
      </w:r>
    </w:p>
    <w:p w14:paraId="151A4D81">
      <w:pPr>
        <w:snapToGrid w:val="0"/>
        <w:spacing w:before="11" w:line="300" w:lineRule="auto"/>
        <w:jc w:val="both"/>
        <w:rPr>
          <w:rFonts w:ascii="Arial" w:hAnsi="Arial" w:eastAsia="宋体" w:cs="Arial"/>
          <w:b/>
          <w:bCs/>
          <w:sz w:val="24"/>
          <w:szCs w:val="24"/>
          <w:lang w:eastAsia="zh-CN"/>
        </w:rPr>
      </w:pPr>
    </w:p>
    <w:p w14:paraId="3CAA1F04">
      <w:pPr>
        <w:pStyle w:val="6"/>
        <w:snapToGrid w:val="0"/>
        <w:spacing w:line="300" w:lineRule="auto"/>
        <w:ind w:left="0"/>
        <w:jc w:val="both"/>
        <w:rPr>
          <w:rFonts w:ascii="Arial" w:hAnsi="Arial" w:eastAsia="宋体" w:cs="Arial"/>
          <w:lang w:eastAsia="zh-CN"/>
        </w:rPr>
      </w:pPr>
      <w:r>
        <w:rPr>
          <w:rFonts w:ascii="Arial" w:hAnsi="Arial" w:eastAsia="宋体" w:cs="Arial"/>
          <w:lang w:eastAsia="zh-CN"/>
        </w:rPr>
        <w:t>设计一项用于评估治疗室性心动过速的消融系统安全性和有效性的研究，这给许多申办方提出了不寻常的要求。有关稳定快速纳入患者的期望应与申办方希望的器械声明和希望纳入的患者类型保持平衡。就入选标准做出的早期选择可能会影响所用研究设计类型或研究的持续时间。在设计贵公司研究时，请考虑以下入选标准的影响：</w:t>
      </w:r>
    </w:p>
    <w:p w14:paraId="123C36FC">
      <w:pPr>
        <w:pStyle w:val="6"/>
        <w:snapToGrid w:val="0"/>
        <w:spacing w:line="300" w:lineRule="auto"/>
        <w:ind w:left="120" w:firstLine="720"/>
        <w:jc w:val="both"/>
        <w:rPr>
          <w:rFonts w:ascii="Arial" w:hAnsi="Arial" w:eastAsia="宋体" w:cs="Arial"/>
          <w:lang w:eastAsia="zh-CN"/>
        </w:rPr>
      </w:pPr>
    </w:p>
    <w:p w14:paraId="01B740F0">
      <w:pPr>
        <w:pStyle w:val="6"/>
        <w:snapToGrid w:val="0"/>
        <w:spacing w:line="300" w:lineRule="auto"/>
        <w:ind w:left="840"/>
        <w:jc w:val="both"/>
        <w:rPr>
          <w:rFonts w:ascii="Arial" w:hAnsi="Arial" w:eastAsia="宋体" w:cs="Arial"/>
          <w:lang w:eastAsia="zh-CN"/>
        </w:rPr>
      </w:pPr>
      <w:r>
        <w:rPr>
          <w:rFonts w:ascii="Arial" w:hAnsi="Arial" w:eastAsia="宋体" w:cs="Arial"/>
          <w:u w:val="single"/>
          <w:lang w:eastAsia="zh-CN"/>
        </w:rPr>
        <w:t>缺血性VT：</w:t>
      </w:r>
      <w:r>
        <w:rPr>
          <w:rFonts w:ascii="Arial" w:hAnsi="Arial" w:eastAsia="宋体" w:cs="Arial"/>
          <w:lang w:eastAsia="zh-CN"/>
        </w:rPr>
        <w:t>对于缺血性VT患者，可能无法使用消融术治愈患者的VT。在这种情况下，治疗的目的可以是减少患者VT发作的频率，以及生活质量的提高</w:t>
      </w:r>
      <w:r>
        <w:rPr>
          <w:rFonts w:ascii="Arial" w:hAnsi="Arial" w:eastAsia="宋体" w:cs="Arial"/>
          <w:vertAlign w:val="superscript"/>
          <w:lang w:eastAsia="zh-CN"/>
        </w:rPr>
        <w:t>1</w:t>
      </w:r>
      <w:r>
        <w:rPr>
          <w:rFonts w:ascii="Arial" w:hAnsi="Arial" w:eastAsia="宋体" w:cs="Arial"/>
          <w:lang w:eastAsia="zh-CN"/>
        </w:rPr>
        <w:t>。因此，贵公司成功的6个月主要研究终点应该是</w:t>
      </w:r>
      <w:r>
        <w:rPr>
          <w:rFonts w:ascii="宋体" w:hAnsi="宋体" w:eastAsia="宋体" w:cs="Arial"/>
          <w:lang w:eastAsia="zh-CN"/>
        </w:rPr>
        <w:t>“</w:t>
      </w:r>
      <w:r>
        <w:rPr>
          <w:rFonts w:ascii="Arial" w:hAnsi="Arial" w:eastAsia="宋体" w:cs="Arial"/>
          <w:lang w:eastAsia="zh-CN"/>
        </w:rPr>
        <w:t>VT发作减少</w:t>
      </w:r>
      <w:r>
        <w:rPr>
          <w:rFonts w:ascii="宋体" w:hAnsi="宋体" w:eastAsia="宋体" w:cs="Arial"/>
          <w:lang w:eastAsia="zh-CN"/>
        </w:rPr>
        <w:t>”</w:t>
      </w:r>
      <w:r>
        <w:rPr>
          <w:rFonts w:ascii="Arial" w:hAnsi="Arial" w:eastAsia="宋体" w:cs="Arial"/>
          <w:lang w:eastAsia="zh-CN"/>
        </w:rPr>
        <w:t>。这些患者适用于随机研究（优选使用已上市消融系统作为对照组）或非随机研究，其中每个患者可作为他或她自己的对照。</w:t>
      </w:r>
    </w:p>
    <w:p w14:paraId="34632E40">
      <w:pPr>
        <w:pStyle w:val="6"/>
        <w:snapToGrid w:val="0"/>
        <w:spacing w:before="2" w:line="300" w:lineRule="auto"/>
        <w:ind w:left="840"/>
        <w:jc w:val="both"/>
        <w:rPr>
          <w:rFonts w:ascii="Arial" w:hAnsi="Arial" w:eastAsia="宋体" w:cs="Arial"/>
          <w:lang w:eastAsia="zh-CN"/>
        </w:rPr>
      </w:pPr>
    </w:p>
    <w:p w14:paraId="34D5C859">
      <w:pPr>
        <w:pStyle w:val="6"/>
        <w:snapToGrid w:val="0"/>
        <w:spacing w:line="300" w:lineRule="auto"/>
        <w:ind w:left="840"/>
        <w:jc w:val="both"/>
        <w:rPr>
          <w:rFonts w:ascii="Arial" w:hAnsi="Arial" w:eastAsia="宋体" w:cs="Arial"/>
          <w:lang w:eastAsia="zh-CN"/>
        </w:rPr>
      </w:pPr>
      <w:r>
        <w:rPr>
          <w:rFonts w:ascii="Arial" w:hAnsi="Arial" w:eastAsia="宋体" w:cs="Arial"/>
          <w:u w:val="single"/>
          <w:lang w:eastAsia="zh-CN"/>
        </w:rPr>
        <w:t>特发性VT：</w:t>
      </w:r>
      <w:r>
        <w:rPr>
          <w:rFonts w:ascii="Arial" w:hAnsi="Arial" w:eastAsia="宋体" w:cs="Arial"/>
          <w:lang w:eastAsia="zh-CN"/>
        </w:rPr>
        <w:t>对于心脏结构正常的VT患者，在随访期内尝试除去患者VT症状可能更为现实。在这种情况下，贵公司成功的6个月主要研究终点可能是整个随访期内</w:t>
      </w:r>
      <w:r>
        <w:rPr>
          <w:rFonts w:ascii="宋体" w:hAnsi="宋体" w:eastAsia="宋体" w:cs="Arial"/>
          <w:lang w:eastAsia="zh-CN"/>
        </w:rPr>
        <w:t>“</w:t>
      </w:r>
      <w:r>
        <w:rPr>
          <w:rFonts w:ascii="Arial" w:hAnsi="Arial" w:eastAsia="宋体" w:cs="Arial"/>
          <w:lang w:eastAsia="zh-CN"/>
        </w:rPr>
        <w:t>无VT</w:t>
      </w:r>
      <w:r>
        <w:rPr>
          <w:rFonts w:ascii="宋体" w:hAnsi="宋体" w:eastAsia="宋体" w:cs="Arial"/>
          <w:lang w:eastAsia="zh-CN"/>
        </w:rPr>
        <w:t>”</w:t>
      </w:r>
      <w:r>
        <w:rPr>
          <w:rFonts w:ascii="Arial" w:hAnsi="Arial" w:eastAsia="宋体" w:cs="Arial"/>
          <w:lang w:eastAsia="zh-CN"/>
        </w:rPr>
        <w:t>。然而，由于消融术的收益在这些患者中不那么明确，所以</w:t>
      </w:r>
      <w:r>
        <w:rPr>
          <w:rFonts w:hint="eastAsia" w:ascii="Arial" w:hAnsi="Arial" w:eastAsia="宋体" w:cs="Arial"/>
          <w:u w:val="single"/>
          <w:lang w:eastAsia="zh-CN"/>
        </w:rPr>
        <w:t>强烈鼓励进行随机研究设计</w:t>
      </w:r>
      <w:r>
        <w:rPr>
          <w:rFonts w:ascii="Arial" w:hAnsi="Arial" w:eastAsia="宋体" w:cs="Arial"/>
          <w:lang w:eastAsia="zh-CN"/>
        </w:rPr>
        <w:t>。选择这种研究类型的收益是随访时间可能会缩短，因为只需在患者第一次VT发作前对其进行持续随访。</w:t>
      </w:r>
    </w:p>
    <w:p w14:paraId="3FB26FE7">
      <w:pPr>
        <w:snapToGrid w:val="0"/>
        <w:spacing w:before="6" w:line="300" w:lineRule="auto"/>
        <w:jc w:val="both"/>
        <w:rPr>
          <w:rFonts w:ascii="Arial" w:hAnsi="Arial" w:eastAsia="宋体" w:cs="Arial"/>
          <w:sz w:val="24"/>
          <w:szCs w:val="24"/>
          <w:lang w:eastAsia="zh-CN"/>
        </w:rPr>
      </w:pPr>
    </w:p>
    <w:p w14:paraId="6BC8102C">
      <w:pPr>
        <w:pStyle w:val="6"/>
        <w:snapToGrid w:val="0"/>
        <w:spacing w:line="300" w:lineRule="auto"/>
        <w:ind w:left="840"/>
        <w:jc w:val="both"/>
        <w:rPr>
          <w:rFonts w:ascii="Arial" w:hAnsi="Arial" w:eastAsia="宋体" w:cs="Arial"/>
          <w:lang w:eastAsia="zh-CN"/>
        </w:rPr>
      </w:pPr>
      <w:r>
        <w:rPr>
          <w:rFonts w:ascii="Arial" w:hAnsi="Arial" w:eastAsia="宋体" w:cs="Arial"/>
          <w:u w:val="single"/>
          <w:lang w:eastAsia="zh-CN"/>
        </w:rPr>
        <w:t>ICD的存在：</w:t>
      </w:r>
      <w:r>
        <w:rPr>
          <w:rFonts w:ascii="Arial" w:hAnsi="Arial" w:eastAsia="宋体" w:cs="Arial"/>
          <w:lang w:eastAsia="zh-CN"/>
        </w:rPr>
        <w:t>如果选择进行非随机研究，且患者将作为自己的对照，如果所纳入的患者已患有ICD，将节省相当多的时间。贵公司可以使用ICD询问来确定VT发作的基线频率，而不是要求患者在接受消融术前接受一段时间的观察。贵公司可以考虑要求患者将已患有ICD作为入选标准的一部分。</w:t>
      </w:r>
    </w:p>
    <w:p w14:paraId="6B0A2321">
      <w:pPr>
        <w:snapToGrid w:val="0"/>
        <w:spacing w:before="6" w:line="300" w:lineRule="auto"/>
        <w:jc w:val="both"/>
        <w:rPr>
          <w:rFonts w:ascii="Arial" w:hAnsi="Arial" w:eastAsia="宋体" w:cs="Arial"/>
          <w:sz w:val="24"/>
          <w:szCs w:val="24"/>
          <w:lang w:eastAsia="zh-CN"/>
        </w:rPr>
      </w:pPr>
    </w:p>
    <w:p w14:paraId="0C45669B">
      <w:pPr>
        <w:pStyle w:val="6"/>
        <w:snapToGrid w:val="0"/>
        <w:spacing w:line="300" w:lineRule="auto"/>
        <w:ind w:left="840"/>
        <w:jc w:val="both"/>
        <w:rPr>
          <w:rFonts w:ascii="Arial" w:hAnsi="Arial" w:eastAsia="宋体" w:cs="Arial"/>
          <w:lang w:eastAsia="zh-CN"/>
        </w:rPr>
      </w:pPr>
      <w:r>
        <w:rPr>
          <w:rFonts w:ascii="Arial" w:hAnsi="Arial" w:eastAsia="宋体" w:cs="Arial"/>
          <w:u w:val="single"/>
          <w:lang w:eastAsia="zh-CN"/>
        </w:rPr>
        <w:t>高密度VT：</w:t>
      </w:r>
      <w:r>
        <w:rPr>
          <w:rFonts w:ascii="Arial" w:hAnsi="Arial" w:eastAsia="宋体" w:cs="Arial"/>
          <w:lang w:eastAsia="zh-CN"/>
        </w:rPr>
        <w:t>如果选择了非随机研究，并纳入了低密度VT患者，则基线观察期和随访期均需延长来获取事件。因此，贵公司可以考虑要求患者具有相对较高密度的VT来纳入研究。</w:t>
      </w:r>
    </w:p>
    <w:p w14:paraId="371F49AE">
      <w:pPr>
        <w:snapToGrid w:val="0"/>
        <w:spacing w:before="6" w:line="300" w:lineRule="auto"/>
        <w:jc w:val="both"/>
        <w:rPr>
          <w:rFonts w:ascii="Arial" w:hAnsi="Arial" w:eastAsia="宋体" w:cs="Arial"/>
          <w:sz w:val="24"/>
          <w:szCs w:val="24"/>
          <w:lang w:eastAsia="zh-CN"/>
        </w:rPr>
      </w:pPr>
    </w:p>
    <w:p w14:paraId="7AC03656">
      <w:pPr>
        <w:snapToGrid w:val="0"/>
        <w:spacing w:line="300" w:lineRule="auto"/>
        <w:ind w:left="115"/>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5150" cy="6350"/>
                <wp:effectExtent l="0" t="0" r="12700" b="12700"/>
                <wp:docPr id="6" name="Group 24"/>
                <wp:cNvGraphicFramePr/>
                <a:graphic xmlns:a="http://schemas.openxmlformats.org/drawingml/2006/main">
                  <a:graphicData uri="http://schemas.microsoft.com/office/word/2010/wordprocessingGroup">
                    <wpg:wgp>
                      <wpg:cNvGrpSpPr/>
                      <wpg:grpSpPr>
                        <a:xfrm>
                          <a:off x="0" y="0"/>
                          <a:ext cx="1835150" cy="6350"/>
                          <a:chOff x="0" y="0"/>
                          <a:chExt cx="2890" cy="10"/>
                        </a:xfrm>
                      </wpg:grpSpPr>
                      <wpg:grpSp>
                        <wpg:cNvPr id="7" name="Group 25"/>
                        <wpg:cNvGrpSpPr/>
                        <wpg:grpSpPr>
                          <a:xfrm>
                            <a:off x="5" y="5"/>
                            <a:ext cx="2880" cy="2"/>
                            <a:chOff x="5" y="5"/>
                            <a:chExt cx="2880" cy="2"/>
                          </a:xfrm>
                        </wpg:grpSpPr>
                        <wps:wsp>
                          <wps:cNvPr id="8" name="Freeform 26"/>
                          <wps:cNvSpPr/>
                          <wps:spPr bwMode="auto">
                            <a:xfrm>
                              <a:off x="15" y="15"/>
                              <a:ext cx="2880" cy="0"/>
                            </a:xfrm>
                            <a:custGeom>
                              <a:avLst/>
                              <a:gdLst>
                                <a:gd name="T0" fmla="+- 0 0 5"/>
                                <a:gd name="T1" fmla="*/ T0 w 2880"/>
                                <a:gd name="T2" fmla="+- 0 2880 5"/>
                                <a:gd name="T3" fmla="*/ T2 w 2880"/>
                              </a:gdLst>
                              <a:ahLst/>
                              <a:cxnLst>
                                <a:cxn ang="0">
                                  <a:pos x="T1" y="0"/>
                                </a:cxn>
                                <a:cxn ang="0">
                                  <a:pos x="T3" y="0"/>
                                </a:cxn>
                              </a:cxnLst>
                              <a:rect l="0" t="0" r="r" b="b"/>
                              <a:pathLst>
                                <a:path w="2880">
                                  <a:moveTo>
                                    <a:pt x="-5" y="-5"/>
                                  </a:moveTo>
                                  <a:lnTo>
                                    <a:pt x="2875" y="-5"/>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4" o:spid="_x0000_s1026" o:spt="203" style="height:0.5pt;width:144.5pt;" coordsize="2890,10" o:gfxdata="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B6zeuTTAAAAAwEAAA8AAAAAAAAAAQAgAAAAIgAAAGRycy9kb3ducmV2&#10;LnhtbFBLAQIUABQAAAAIAIdO4kBwyG9VHgMAAAAIAAAOAAAAAAAAAAEAIAAAACIBAABkcnMvZTJv&#10;RG9jLnhtbFBLBQYAAAAABgAGAFkBAACyBgAAAAA=&#10;">
                <o:lock v:ext="edit" aspectratio="f"/>
                <v:group id="Group 25" o:spid="_x0000_s1026" o:spt="203" style="position:absolute;left:5;top:5;height:2;width:2880;" coordorigin="5,5" coordsize="2880,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Freeform 26" o:spid="_x0000_s1026" o:spt="100" style="position:absolute;left:15;top:15;height:0;width:2880;" filled="f" stroked="t" coordsize="2880,1" o:gfxdata="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URW4tAAAANoAAAAPAAAA&#10;AAAAAAEAIAAAACIAAABkcnMvZG93bnJldi54bWxQSwECFAAUAAAACACHTuJAMy8FnjsAAAA5AAAA&#10;EAAAAAAAAAABACAAAAADAQAAZHJzL3NoYXBleG1sLnhtbFBLBQYAAAAABgAGAFsBAACtAwAAAAA=&#10;" path="m-5,-5l2875,-5e">
                    <v:path o:connectlocs="-5,0;2875,0" o:connectangles="0,0"/>
                    <v:fill on="f" focussize="0,0"/>
                    <v:stroke weight="0.48pt" color="#000000" joinstyle="round"/>
                    <v:imagedata o:title=""/>
                    <o:lock v:ext="edit" aspectratio="f"/>
                  </v:shape>
                </v:group>
                <w10:wrap type="none"/>
                <w10:anchorlock/>
              </v:group>
            </w:pict>
          </mc:Fallback>
        </mc:AlternateContent>
      </w:r>
    </w:p>
    <w:p w14:paraId="6A1BA557">
      <w:pPr>
        <w:snapToGrid w:val="0"/>
        <w:spacing w:before="86" w:line="300" w:lineRule="auto"/>
        <w:ind w:left="120"/>
        <w:jc w:val="both"/>
        <w:rPr>
          <w:rFonts w:ascii="Arial" w:hAnsi="Arial" w:eastAsia="宋体" w:cs="Arial"/>
          <w:sz w:val="20"/>
          <w:szCs w:val="20"/>
          <w:lang w:eastAsia="zh-CN"/>
        </w:rPr>
      </w:pPr>
      <w:r>
        <w:rPr>
          <w:rFonts w:ascii="Arial" w:hAnsi="Arial" w:eastAsia="宋体" w:cs="Arial"/>
          <w:sz w:val="20"/>
          <w:vertAlign w:val="superscript"/>
          <w:lang w:eastAsia="zh-CN"/>
        </w:rPr>
        <w:t>1</w:t>
      </w:r>
      <w:r>
        <w:rPr>
          <w:rFonts w:ascii="Arial" w:hAnsi="Arial" w:eastAsia="宋体" w:cs="Arial"/>
          <w:sz w:val="20"/>
          <w:lang w:eastAsia="zh-CN"/>
        </w:rPr>
        <w:t xml:space="preserve"> 如果贵公司打算使用生命质量作为主要终点，或者如果贵公司打算针对生命质量做出标签声明，请咨询FDA，以获得有关如何设计贵公司的临床研究的建议。</w:t>
      </w:r>
    </w:p>
    <w:p w14:paraId="5961D252">
      <w:pPr>
        <w:widowControl/>
        <w:rPr>
          <w:rFonts w:ascii="Arial" w:hAnsi="Arial" w:eastAsia="宋体" w:cs="Arial"/>
          <w:sz w:val="20"/>
          <w:szCs w:val="20"/>
          <w:lang w:eastAsia="zh-CN"/>
        </w:rPr>
      </w:pPr>
      <w:r>
        <w:rPr>
          <w:rFonts w:ascii="Arial" w:hAnsi="Arial" w:eastAsia="宋体" w:cs="Arial"/>
          <w:b/>
          <w:bCs/>
          <w:sz w:val="20"/>
          <w:szCs w:val="20"/>
          <w:lang w:eastAsia="zh-CN"/>
        </w:rPr>
        <w:br w:type="page"/>
      </w:r>
    </w:p>
    <w:p w14:paraId="78C95887">
      <w:pPr>
        <w:pStyle w:val="3"/>
        <w:numPr>
          <w:ilvl w:val="0"/>
          <w:numId w:val="2"/>
        </w:numPr>
        <w:tabs>
          <w:tab w:val="left" w:pos="526"/>
        </w:tabs>
        <w:snapToGrid w:val="0"/>
        <w:spacing w:line="300" w:lineRule="auto"/>
        <w:ind w:left="425" w:hanging="425"/>
        <w:jc w:val="both"/>
        <w:rPr>
          <w:rFonts w:ascii="Arial" w:hAnsi="Arial" w:eastAsia="宋体" w:cs="Arial"/>
          <w:b w:val="0"/>
          <w:bCs w:val="0"/>
        </w:rPr>
      </w:pPr>
      <w:r>
        <w:rPr>
          <w:rFonts w:ascii="Arial" w:hAnsi="Arial" w:eastAsia="宋体" w:cs="Arial"/>
          <w:lang w:eastAsia="zh-CN"/>
        </w:rPr>
        <w:t>非随机研究设计选项</w:t>
      </w:r>
    </w:p>
    <w:p w14:paraId="5E90599B">
      <w:pPr>
        <w:snapToGrid w:val="0"/>
        <w:spacing w:before="4" w:line="300" w:lineRule="auto"/>
        <w:jc w:val="both"/>
        <w:rPr>
          <w:rFonts w:ascii="Arial" w:hAnsi="Arial" w:eastAsia="宋体" w:cs="Arial"/>
          <w:b/>
          <w:bCs/>
          <w:sz w:val="25"/>
          <w:szCs w:val="25"/>
        </w:rPr>
      </w:pPr>
    </w:p>
    <w:p w14:paraId="150CE231">
      <w:pPr>
        <w:pStyle w:val="5"/>
        <w:numPr>
          <w:ilvl w:val="0"/>
          <w:numId w:val="3"/>
        </w:numPr>
        <w:tabs>
          <w:tab w:val="left" w:pos="522"/>
        </w:tabs>
        <w:snapToGrid w:val="0"/>
        <w:spacing w:line="300" w:lineRule="auto"/>
        <w:jc w:val="both"/>
        <w:rPr>
          <w:rFonts w:ascii="Arial" w:hAnsi="Arial" w:eastAsia="宋体" w:cs="Arial"/>
          <w:b w:val="0"/>
          <w:bCs w:val="0"/>
        </w:rPr>
      </w:pPr>
      <w:r>
        <w:rPr>
          <w:rFonts w:ascii="Arial" w:hAnsi="Arial" w:eastAsia="宋体" w:cs="Arial"/>
          <w:lang w:eastAsia="zh-CN"/>
        </w:rPr>
        <w:t>研究设计</w:t>
      </w:r>
    </w:p>
    <w:p w14:paraId="13A06B82">
      <w:pPr>
        <w:snapToGrid w:val="0"/>
        <w:spacing w:before="10" w:line="300" w:lineRule="auto"/>
        <w:jc w:val="both"/>
        <w:rPr>
          <w:rFonts w:ascii="Arial" w:hAnsi="Arial" w:eastAsia="宋体" w:cs="Arial"/>
          <w:b/>
          <w:bCs/>
          <w:sz w:val="24"/>
          <w:szCs w:val="24"/>
        </w:rPr>
      </w:pPr>
    </w:p>
    <w:p w14:paraId="24C2C987">
      <w:pPr>
        <w:pStyle w:val="6"/>
        <w:snapToGrid w:val="0"/>
        <w:spacing w:line="300" w:lineRule="auto"/>
        <w:jc w:val="both"/>
        <w:rPr>
          <w:rFonts w:ascii="Arial" w:hAnsi="Arial" w:eastAsia="宋体" w:cs="Arial"/>
          <w:lang w:eastAsia="zh-CN"/>
        </w:rPr>
      </w:pPr>
      <w:r>
        <w:rPr>
          <w:rFonts w:ascii="Arial" w:hAnsi="Arial" w:eastAsia="宋体" w:cs="Arial"/>
          <w:lang w:eastAsia="zh-CN"/>
        </w:rPr>
        <w:t>这些研究设计为非随机单组研究，其中患者为自己的对照。下图是一个流程图，其显示患者如何通过研究来获得进展。</w:t>
      </w:r>
    </w:p>
    <w:p w14:paraId="77622DA8">
      <w:pPr>
        <w:snapToGrid w:val="0"/>
        <w:spacing w:before="1" w:line="300" w:lineRule="auto"/>
        <w:jc w:val="both"/>
        <w:rPr>
          <w:rFonts w:ascii="Arial" w:hAnsi="Arial" w:eastAsia="宋体" w:cs="Arial"/>
          <w:sz w:val="25"/>
          <w:szCs w:val="25"/>
          <w:lang w:eastAsia="zh-CN"/>
        </w:rPr>
      </w:pPr>
    </w:p>
    <w:p w14:paraId="58DD286A">
      <w:pPr>
        <w:snapToGrid w:val="0"/>
        <w:spacing w:line="300" w:lineRule="auto"/>
        <w:ind w:left="3227"/>
        <w:jc w:val="both"/>
        <w:rPr>
          <w:rFonts w:ascii="Arial" w:hAnsi="Arial" w:eastAsia="宋体" w:cs="Arial"/>
          <w:sz w:val="20"/>
          <w:szCs w:val="20"/>
        </w:rPr>
      </w:pPr>
      <w:r>
        <w:rPr>
          <w:rFonts w:ascii="Arial" w:hAnsi="Arial" w:eastAsia="宋体" w:cs="Arial"/>
          <w:position w:val="-17"/>
          <w:sz w:val="20"/>
          <w:szCs w:val="20"/>
          <w:lang w:eastAsia="zh-CN"/>
        </w:rPr>
        <mc:AlternateContent>
          <mc:Choice Requires="wps">
            <w:drawing>
              <wp:inline distT="0" distB="0" distL="0" distR="0">
                <wp:extent cx="1914525" cy="452120"/>
                <wp:effectExtent l="9525" t="9525" r="9525" b="5080"/>
                <wp:docPr id="5"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914525" cy="452120"/>
                        </a:xfrm>
                        <a:prstGeom prst="rect">
                          <a:avLst/>
                        </a:prstGeom>
                        <a:noFill/>
                        <a:ln w="9144">
                          <a:solidFill>
                            <a:srgbClr val="000000"/>
                          </a:solidFill>
                          <a:miter lim="800000"/>
                        </a:ln>
                      </wps:spPr>
                      <wps:txbx>
                        <w:txbxContent>
                          <w:p w14:paraId="4AF15A8F">
                            <w:pPr>
                              <w:pStyle w:val="6"/>
                              <w:spacing w:before="24" w:line="247" w:lineRule="auto"/>
                              <w:ind w:left="484" w:right="487"/>
                              <w:jc w:val="center"/>
                              <w:rPr>
                                <w:rFonts w:ascii="Arial" w:hAnsi="Arial" w:eastAsia="Arial" w:cs="Arial"/>
                                <w:lang w:eastAsia="zh-CN"/>
                              </w:rPr>
                            </w:pPr>
                            <w:r>
                              <w:rPr>
                                <w:rFonts w:hint="eastAsia" w:ascii="宋体" w:hAnsi="宋体" w:eastAsia="宋体" w:cs="宋体"/>
                                <w:lang w:eastAsia="zh-CN"/>
                              </w:rPr>
                              <w:t>患者是否满足入选</w:t>
                            </w:r>
                            <w:r>
                              <w:rPr>
                                <w:rFonts w:hint="eastAsia" w:ascii="Arial"/>
                                <w:lang w:eastAsia="zh-CN"/>
                              </w:rPr>
                              <w:t>/</w:t>
                            </w:r>
                            <w:r>
                              <w:rPr>
                                <w:rFonts w:hint="eastAsia" w:ascii="宋体" w:hAnsi="宋体" w:eastAsia="宋体" w:cs="宋体"/>
                                <w:lang w:eastAsia="zh-CN"/>
                              </w:rPr>
                              <w:t>排除标准？</w:t>
                            </w:r>
                          </w:p>
                        </w:txbxContent>
                      </wps:txbx>
                      <wps:bodyPr rot="0" vert="horz" wrap="square" lIns="0" tIns="0" rIns="0" bIns="0" anchor="t" anchorCtr="0" upright="1">
                        <a:noAutofit/>
                      </wps:bodyPr>
                    </wps:wsp>
                  </a:graphicData>
                </a:graphic>
              </wp:inline>
            </w:drawing>
          </mc:Choice>
          <mc:Fallback>
            <w:pict>
              <v:shape id="Text Box 32" o:spid="_x0000_s1026" o:spt="202" type="#_x0000_t202" style="height:35.6pt;width:150.75pt;" filled="f" stroked="t" coordsize="21600,21600" o:gfxdata="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3peIF9UA&#10;AAAEAQAADwAAAAAAAAABACAAAAAiAAAAZHJzL2Rvd25yZXYueG1sUEsBAhQAFAAAAAgAh07iQOCS&#10;hzQiAgAATgQAAA4AAAAAAAAAAQAgAAAAJAEAAGRycy9lMm9Eb2MueG1sUEsFBgAAAAAGAAYAWQEA&#10;ALgFAAAAAA==&#10;">
                <v:fill on="f" focussize="0,0"/>
                <v:stroke weight="0.72pt" color="#000000" miterlimit="8" joinstyle="miter"/>
                <v:imagedata o:title=""/>
                <o:lock v:ext="edit" aspectratio="f"/>
                <v:textbox inset="0mm,0mm,0mm,0mm">
                  <w:txbxContent>
                    <w:p w14:paraId="4AF15A8F">
                      <w:pPr>
                        <w:pStyle w:val="6"/>
                        <w:spacing w:before="24" w:line="247" w:lineRule="auto"/>
                        <w:ind w:left="484" w:right="487"/>
                        <w:jc w:val="center"/>
                        <w:rPr>
                          <w:rFonts w:ascii="Arial" w:hAnsi="Arial" w:eastAsia="Arial" w:cs="Arial"/>
                          <w:lang w:eastAsia="zh-CN"/>
                        </w:rPr>
                      </w:pPr>
                      <w:r>
                        <w:rPr>
                          <w:rFonts w:hint="eastAsia" w:ascii="宋体" w:hAnsi="宋体" w:eastAsia="宋体" w:cs="宋体"/>
                          <w:lang w:eastAsia="zh-CN"/>
                        </w:rPr>
                        <w:t>患者是否满足入选</w:t>
                      </w:r>
                      <w:r>
                        <w:rPr>
                          <w:rFonts w:hint="eastAsia" w:ascii="Arial"/>
                          <w:lang w:eastAsia="zh-CN"/>
                        </w:rPr>
                        <w:t>/</w:t>
                      </w:r>
                      <w:r>
                        <w:rPr>
                          <w:rFonts w:hint="eastAsia" w:ascii="宋体" w:hAnsi="宋体" w:eastAsia="宋体" w:cs="宋体"/>
                          <w:lang w:eastAsia="zh-CN"/>
                        </w:rPr>
                        <w:t>排除标准？</w:t>
                      </w:r>
                    </w:p>
                  </w:txbxContent>
                </v:textbox>
                <w10:wrap type="none"/>
                <w10:anchorlock/>
              </v:shape>
            </w:pict>
          </mc:Fallback>
        </mc:AlternateContent>
      </w:r>
    </w:p>
    <w:p w14:paraId="6F0156E4">
      <w:pPr>
        <w:snapToGrid w:val="0"/>
        <w:spacing w:before="7" w:line="300" w:lineRule="auto"/>
        <w:ind w:left="3322" w:firstLine="1088" w:firstLineChars="544"/>
        <w:jc w:val="both"/>
        <w:rPr>
          <w:rFonts w:ascii="Arial" w:hAnsi="Arial" w:eastAsia="宋体" w:cs="Arial"/>
          <w:sz w:val="20"/>
          <w:szCs w:val="20"/>
        </w:rPr>
      </w:pPr>
      <w:r>
        <w:rPr>
          <w:rFonts w:ascii="Arial" w:hAnsi="Arial" w:eastAsia="宋体" w:cs="Arial"/>
          <w:sz w:val="20"/>
        </w:rPr>
        <w:t>|</w:t>
      </w:r>
    </w:p>
    <w:p w14:paraId="43FD7103">
      <w:pPr>
        <w:snapToGrid w:val="0"/>
        <w:spacing w:line="300" w:lineRule="auto"/>
        <w:ind w:left="4420"/>
        <w:jc w:val="both"/>
        <w:rPr>
          <w:rFonts w:ascii="Arial" w:hAnsi="Arial" w:eastAsia="宋体" w:cs="Arial"/>
          <w:sz w:val="20"/>
          <w:szCs w:val="20"/>
        </w:rPr>
      </w:pPr>
      <w:r>
        <w:rPr>
          <w:rFonts w:ascii="Arial" w:hAnsi="Arial" w:eastAsia="宋体" w:cs="Arial"/>
          <w:sz w:val="20"/>
        </w:rPr>
        <w:t>|-----是 - 纳入患者</w:t>
      </w:r>
    </w:p>
    <w:p w14:paraId="67D35853">
      <w:pPr>
        <w:snapToGrid w:val="0"/>
        <w:spacing w:line="300" w:lineRule="auto"/>
        <w:ind w:left="3322" w:firstLine="1088" w:firstLineChars="544"/>
        <w:jc w:val="both"/>
        <w:rPr>
          <w:rFonts w:ascii="Arial" w:hAnsi="Arial" w:eastAsia="宋体" w:cs="Arial"/>
          <w:sz w:val="20"/>
          <w:szCs w:val="20"/>
        </w:rPr>
      </w:pPr>
      <w:r>
        <w:rPr>
          <w:rFonts w:ascii="Arial" w:hAnsi="Arial" w:eastAsia="宋体" w:cs="Arial"/>
          <w:sz w:val="20"/>
        </w:rPr>
        <w:t>|</w:t>
      </w:r>
    </w:p>
    <w:p w14:paraId="2BF379C1">
      <w:pPr>
        <w:snapToGrid w:val="0"/>
        <w:spacing w:line="300" w:lineRule="auto"/>
        <w:ind w:left="2416"/>
        <w:jc w:val="both"/>
        <w:rPr>
          <w:rFonts w:ascii="Arial" w:hAnsi="Arial" w:eastAsia="宋体" w:cs="Arial"/>
          <w:sz w:val="20"/>
          <w:szCs w:val="20"/>
        </w:rPr>
      </w:pPr>
      <w:r>
        <w:rPr>
          <w:rFonts w:ascii="Arial" w:hAnsi="Arial" w:eastAsia="宋体" w:cs="Arial"/>
          <w:position w:val="-11"/>
          <w:sz w:val="20"/>
          <w:szCs w:val="20"/>
          <w:lang w:eastAsia="zh-CN"/>
        </w:rPr>
        <mc:AlternateContent>
          <mc:Choice Requires="wps">
            <w:drawing>
              <wp:inline distT="0" distB="0" distL="0" distR="0">
                <wp:extent cx="3002280" cy="298450"/>
                <wp:effectExtent l="9525" t="9525" r="7620" b="6350"/>
                <wp:docPr id="4" name="Text Box 31"/>
                <wp:cNvGraphicFramePr/>
                <a:graphic xmlns:a="http://schemas.openxmlformats.org/drawingml/2006/main">
                  <a:graphicData uri="http://schemas.microsoft.com/office/word/2010/wordprocessingShape">
                    <wps:wsp>
                      <wps:cNvSpPr txBox="1">
                        <a:spLocks noChangeArrowheads="1"/>
                      </wps:cNvSpPr>
                      <wps:spPr bwMode="auto">
                        <a:xfrm>
                          <a:off x="0" y="0"/>
                          <a:ext cx="3002280" cy="298450"/>
                        </a:xfrm>
                        <a:prstGeom prst="rect">
                          <a:avLst/>
                        </a:prstGeom>
                        <a:noFill/>
                        <a:ln w="9144">
                          <a:solidFill>
                            <a:srgbClr val="000000"/>
                          </a:solidFill>
                          <a:miter lim="800000"/>
                        </a:ln>
                      </wps:spPr>
                      <wps:txbx>
                        <w:txbxContent>
                          <w:p w14:paraId="0B6B9B74">
                            <w:pPr>
                              <w:pStyle w:val="6"/>
                              <w:spacing w:before="24" w:line="247" w:lineRule="auto"/>
                              <w:ind w:left="105" w:right="655"/>
                              <w:jc w:val="center"/>
                              <w:rPr>
                                <w:rFonts w:ascii="Arial" w:hAnsi="Arial" w:eastAsia="Arial" w:cs="Arial"/>
                                <w:lang w:eastAsia="zh-CN"/>
                              </w:rPr>
                            </w:pPr>
                            <w:r>
                              <w:rPr>
                                <w:rFonts w:hint="eastAsia" w:ascii="宋体" w:hAnsi="宋体" w:eastAsia="宋体" w:cs="宋体"/>
                                <w:lang w:eastAsia="zh-CN"/>
                              </w:rPr>
                              <w:t>患者经历基线期来记录</w:t>
                            </w:r>
                            <w:r>
                              <w:rPr>
                                <w:rFonts w:hint="eastAsia" w:ascii="Arial"/>
                                <w:lang w:eastAsia="zh-CN"/>
                              </w:rPr>
                              <w:t>VT</w:t>
                            </w:r>
                            <w:r>
                              <w:rPr>
                                <w:rFonts w:hint="eastAsia" w:ascii="宋体" w:hAnsi="宋体" w:eastAsia="宋体" w:cs="宋体"/>
                                <w:lang w:eastAsia="zh-CN"/>
                              </w:rPr>
                              <w:t>发作</w:t>
                            </w:r>
                          </w:p>
                        </w:txbxContent>
                      </wps:txbx>
                      <wps:bodyPr rot="0" vert="horz" wrap="square" lIns="0" tIns="0" rIns="0" bIns="0" anchor="t" anchorCtr="0" upright="1">
                        <a:noAutofit/>
                      </wps:bodyPr>
                    </wps:wsp>
                  </a:graphicData>
                </a:graphic>
              </wp:inline>
            </w:drawing>
          </mc:Choice>
          <mc:Fallback>
            <w:pict>
              <v:shape id="Text Box 31" o:spid="_x0000_s1026" o:spt="202" type="#_x0000_t202" style="height:23.5pt;width:236.4pt;" filled="f" stroked="t" coordsize="21600,21600" o:gfxdata="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Y/U&#10;FNQAAAAEAQAADwAAAAAAAAABACAAAAAiAAAAZHJzL2Rvd25yZXYueG1sUEsBAhQAFAAAAAgAh07i&#10;QDDj+1cmAgAATgQAAA4AAAAAAAAAAQAgAAAAIwEAAGRycy9lMm9Eb2MueG1sUEsFBgAAAAAGAAYA&#10;WQEAALsFAAAAAA==&#10;">
                <v:fill on="f" focussize="0,0"/>
                <v:stroke weight="0.72pt" color="#000000" miterlimit="8" joinstyle="miter"/>
                <v:imagedata o:title=""/>
                <o:lock v:ext="edit" aspectratio="f"/>
                <v:textbox inset="0mm,0mm,0mm,0mm">
                  <w:txbxContent>
                    <w:p w14:paraId="0B6B9B74">
                      <w:pPr>
                        <w:pStyle w:val="6"/>
                        <w:spacing w:before="24" w:line="247" w:lineRule="auto"/>
                        <w:ind w:left="105" w:right="655"/>
                        <w:jc w:val="center"/>
                        <w:rPr>
                          <w:rFonts w:ascii="Arial" w:hAnsi="Arial" w:eastAsia="Arial" w:cs="Arial"/>
                          <w:lang w:eastAsia="zh-CN"/>
                        </w:rPr>
                      </w:pPr>
                      <w:r>
                        <w:rPr>
                          <w:rFonts w:hint="eastAsia" w:ascii="宋体" w:hAnsi="宋体" w:eastAsia="宋体" w:cs="宋体"/>
                          <w:lang w:eastAsia="zh-CN"/>
                        </w:rPr>
                        <w:t>患者经历基线期来记录</w:t>
                      </w:r>
                      <w:r>
                        <w:rPr>
                          <w:rFonts w:hint="eastAsia" w:ascii="Arial"/>
                          <w:lang w:eastAsia="zh-CN"/>
                        </w:rPr>
                        <w:t>VT</w:t>
                      </w:r>
                      <w:r>
                        <w:rPr>
                          <w:rFonts w:hint="eastAsia" w:ascii="宋体" w:hAnsi="宋体" w:eastAsia="宋体" w:cs="宋体"/>
                          <w:lang w:eastAsia="zh-CN"/>
                        </w:rPr>
                        <w:t>发作</w:t>
                      </w:r>
                    </w:p>
                  </w:txbxContent>
                </v:textbox>
                <w10:wrap type="none"/>
                <w10:anchorlock/>
              </v:shape>
            </w:pict>
          </mc:Fallback>
        </mc:AlternateContent>
      </w:r>
    </w:p>
    <w:p w14:paraId="39078241">
      <w:pPr>
        <w:snapToGrid w:val="0"/>
        <w:spacing w:before="15" w:line="300" w:lineRule="auto"/>
        <w:ind w:left="3322" w:firstLine="1074" w:firstLineChars="537"/>
        <w:jc w:val="both"/>
        <w:rPr>
          <w:rFonts w:ascii="Arial" w:hAnsi="Arial" w:eastAsia="宋体" w:cs="Arial"/>
          <w:sz w:val="20"/>
          <w:szCs w:val="20"/>
        </w:rPr>
      </w:pPr>
      <w:r>
        <w:rPr>
          <w:rFonts w:ascii="Arial" w:hAnsi="Arial" w:eastAsia="宋体" w:cs="Arial"/>
          <w:sz w:val="20"/>
        </w:rPr>
        <w:t>|</w:t>
      </w:r>
    </w:p>
    <w:p w14:paraId="6DCBD573">
      <w:pPr>
        <w:snapToGrid w:val="0"/>
        <w:spacing w:line="300" w:lineRule="auto"/>
        <w:ind w:left="3322" w:firstLine="1074" w:firstLineChars="537"/>
        <w:jc w:val="both"/>
        <w:rPr>
          <w:rFonts w:ascii="Arial" w:hAnsi="Arial" w:eastAsia="宋体" w:cs="Arial"/>
          <w:sz w:val="20"/>
          <w:szCs w:val="20"/>
        </w:rPr>
      </w:pPr>
      <w:r>
        <w:rPr>
          <w:rFonts w:ascii="Arial" w:hAnsi="Arial" w:eastAsia="宋体" w:cs="Arial"/>
          <w:sz w:val="20"/>
        </w:rPr>
        <w:t>|</w:t>
      </w:r>
    </w:p>
    <w:p w14:paraId="2D6F828B">
      <w:pPr>
        <w:snapToGrid w:val="0"/>
        <w:spacing w:line="300" w:lineRule="auto"/>
        <w:ind w:left="2416"/>
        <w:jc w:val="both"/>
        <w:rPr>
          <w:rFonts w:ascii="Arial" w:hAnsi="Arial" w:eastAsia="宋体" w:cs="Arial"/>
          <w:sz w:val="20"/>
          <w:szCs w:val="20"/>
        </w:rPr>
      </w:pPr>
      <w:r>
        <w:rPr>
          <w:rFonts w:ascii="Arial" w:hAnsi="Arial" w:eastAsia="宋体" w:cs="Arial"/>
          <w:position w:val="-11"/>
          <w:sz w:val="20"/>
          <w:szCs w:val="20"/>
          <w:lang w:eastAsia="zh-CN"/>
        </w:rPr>
        <mc:AlternateContent>
          <mc:Choice Requires="wps">
            <w:drawing>
              <wp:inline distT="0" distB="0" distL="0" distR="0">
                <wp:extent cx="3002280" cy="393700"/>
                <wp:effectExtent l="9525" t="9525" r="7620" b="6350"/>
                <wp:docPr id="3" name="Text Box 30"/>
                <wp:cNvGraphicFramePr/>
                <a:graphic xmlns:a="http://schemas.openxmlformats.org/drawingml/2006/main">
                  <a:graphicData uri="http://schemas.microsoft.com/office/word/2010/wordprocessingShape">
                    <wps:wsp>
                      <wps:cNvSpPr txBox="1">
                        <a:spLocks noChangeArrowheads="1"/>
                      </wps:cNvSpPr>
                      <wps:spPr bwMode="auto">
                        <a:xfrm>
                          <a:off x="0" y="0"/>
                          <a:ext cx="3002280" cy="393700"/>
                        </a:xfrm>
                        <a:prstGeom prst="rect">
                          <a:avLst/>
                        </a:prstGeom>
                        <a:noFill/>
                        <a:ln w="9144">
                          <a:solidFill>
                            <a:srgbClr val="000000"/>
                          </a:solidFill>
                          <a:miter lim="800000"/>
                        </a:ln>
                      </wps:spPr>
                      <wps:txbx>
                        <w:txbxContent>
                          <w:p w14:paraId="65F75FFA">
                            <w:pPr>
                              <w:pStyle w:val="6"/>
                              <w:spacing w:before="24" w:line="247" w:lineRule="auto"/>
                              <w:ind w:left="1377" w:right="348" w:hanging="1028"/>
                              <w:rPr>
                                <w:rFonts w:ascii="Arial" w:hAnsi="Arial" w:eastAsia="Arial" w:cs="Arial"/>
                                <w:lang w:eastAsia="zh-CN"/>
                              </w:rPr>
                            </w:pPr>
                            <w:r>
                              <w:rPr>
                                <w:rFonts w:hint="eastAsia" w:ascii="宋体" w:hAnsi="宋体" w:eastAsia="宋体" w:cs="宋体"/>
                                <w:lang w:eastAsia="zh-CN"/>
                              </w:rPr>
                              <w:t>患者是否有足够的发作次数以继续接受研究？</w:t>
                            </w:r>
                          </w:p>
                        </w:txbxContent>
                      </wps:txbx>
                      <wps:bodyPr rot="0" vert="horz" wrap="square" lIns="0" tIns="0" rIns="0" bIns="0" anchor="t" anchorCtr="0" upright="1">
                        <a:noAutofit/>
                      </wps:bodyPr>
                    </wps:wsp>
                  </a:graphicData>
                </a:graphic>
              </wp:inline>
            </w:drawing>
          </mc:Choice>
          <mc:Fallback>
            <w:pict>
              <v:shape id="Text Box 30" o:spid="_x0000_s1026" o:spt="202" type="#_x0000_t202" style="height:31pt;width:236.4pt;" filled="f" stroked="t" coordsize="21600,21600" o:gfxdata="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16a&#10;29UAAAAEAQAADwAAAAAAAAABACAAAAAiAAAAZHJzL2Rvd25yZXYueG1sUEsBAhQAFAAAAAgAh07i&#10;QBqBBO4lAgAATgQAAA4AAAAAAAAAAQAgAAAAJAEAAGRycy9lMm9Eb2MueG1sUEsFBgAAAAAGAAYA&#10;WQEAALsFAAAAAA==&#10;">
                <v:fill on="f" focussize="0,0"/>
                <v:stroke weight="0.72pt" color="#000000" miterlimit="8" joinstyle="miter"/>
                <v:imagedata o:title=""/>
                <o:lock v:ext="edit" aspectratio="f"/>
                <v:textbox inset="0mm,0mm,0mm,0mm">
                  <w:txbxContent>
                    <w:p w14:paraId="65F75FFA">
                      <w:pPr>
                        <w:pStyle w:val="6"/>
                        <w:spacing w:before="24" w:line="247" w:lineRule="auto"/>
                        <w:ind w:left="1377" w:right="348" w:hanging="1028"/>
                        <w:rPr>
                          <w:rFonts w:ascii="Arial" w:hAnsi="Arial" w:eastAsia="Arial" w:cs="Arial"/>
                          <w:lang w:eastAsia="zh-CN"/>
                        </w:rPr>
                      </w:pPr>
                      <w:r>
                        <w:rPr>
                          <w:rFonts w:hint="eastAsia" w:ascii="宋体" w:hAnsi="宋体" w:eastAsia="宋体" w:cs="宋体"/>
                          <w:lang w:eastAsia="zh-CN"/>
                        </w:rPr>
                        <w:t>患者是否有足够的发作次数以继续接受研究？</w:t>
                      </w:r>
                    </w:p>
                  </w:txbxContent>
                </v:textbox>
                <w10:wrap type="none"/>
                <w10:anchorlock/>
              </v:shape>
            </w:pict>
          </mc:Fallback>
        </mc:AlternateContent>
      </w:r>
    </w:p>
    <w:p w14:paraId="5A2501DD">
      <w:pPr>
        <w:tabs>
          <w:tab w:val="left" w:pos="4419"/>
        </w:tabs>
        <w:snapToGrid w:val="0"/>
        <w:spacing w:before="15" w:line="300" w:lineRule="auto"/>
        <w:ind w:left="2268" w:firstLine="154"/>
        <w:rPr>
          <w:rFonts w:hint="eastAsia" w:ascii="Arial" w:hAnsi="Arial" w:eastAsia="宋体" w:cs="Arial"/>
          <w:sz w:val="20"/>
          <w:lang w:eastAsia="zh-CN"/>
        </w:rPr>
      </w:pPr>
      <w:r>
        <w:rPr>
          <w:rFonts w:ascii="Arial" w:hAnsi="Arial" w:eastAsia="宋体" w:cs="Arial"/>
          <w:sz w:val="20"/>
          <w:lang w:eastAsia="zh-CN"/>
        </w:rPr>
        <w:t>否，终止研究</w:t>
      </w:r>
      <w:r>
        <w:rPr>
          <w:rFonts w:hint="eastAsia" w:ascii="Arial" w:hAnsi="Arial" w:eastAsia="宋体" w:cs="Arial"/>
          <w:sz w:val="20"/>
          <w:lang w:eastAsia="zh-CN"/>
        </w:rPr>
        <w:t xml:space="preserve">             </w:t>
      </w:r>
      <w:r>
        <w:rPr>
          <w:rFonts w:ascii="Arial" w:hAnsi="Arial" w:eastAsia="宋体" w:cs="Arial"/>
          <w:sz w:val="20"/>
          <w:lang w:eastAsia="zh-CN"/>
        </w:rPr>
        <w:br w:type="textWrapping"/>
      </w:r>
      <w:r>
        <w:rPr>
          <w:rFonts w:ascii="Arial" w:hAnsi="Arial" w:eastAsia="宋体" w:cs="Arial"/>
          <w:sz w:val="20"/>
          <w:lang w:eastAsia="zh-CN"/>
        </w:rPr>
        <w:t>（患者将被计入意</w:t>
      </w:r>
    </w:p>
    <w:p w14:paraId="4788E595">
      <w:pPr>
        <w:tabs>
          <w:tab w:val="left" w:pos="4419"/>
        </w:tabs>
        <w:snapToGrid w:val="0"/>
        <w:spacing w:before="15" w:line="300" w:lineRule="auto"/>
        <w:ind w:left="2268" w:firstLine="154"/>
        <w:rPr>
          <w:rFonts w:ascii="Arial" w:hAnsi="Arial" w:eastAsia="宋体" w:cs="Arial"/>
          <w:sz w:val="20"/>
          <w:szCs w:val="20"/>
          <w:lang w:eastAsia="zh-CN"/>
        </w:rPr>
      </w:pPr>
      <w:r>
        <w:rPr>
          <w:rFonts w:ascii="Arial" w:hAnsi="Arial" w:eastAsia="宋体" w:cs="Arial"/>
          <w:sz w:val="20"/>
          <w:lang w:eastAsia="zh-CN"/>
        </w:rPr>
        <w:t>向治疗的分析</w:t>
      </w:r>
      <w:r>
        <w:rPr>
          <w:rFonts w:ascii="Arial" w:hAnsi="Arial" w:eastAsia="宋体" w:cs="Arial"/>
          <w:spacing w:val="-1"/>
          <w:sz w:val="20"/>
          <w:lang w:eastAsia="zh-CN"/>
        </w:rPr>
        <w:t>)---------</w:t>
      </w:r>
      <w:r>
        <w:rPr>
          <w:rFonts w:ascii="Arial" w:hAnsi="Arial" w:eastAsia="宋体" w:cs="Arial"/>
          <w:sz w:val="20"/>
          <w:lang w:eastAsia="zh-CN"/>
        </w:rPr>
        <w:t xml:space="preserve">| </w:t>
      </w:r>
      <w:r>
        <w:rPr>
          <w:rFonts w:ascii="Arial" w:hAnsi="Arial" w:eastAsia="宋体" w:cs="Arial"/>
          <w:spacing w:val="5"/>
          <w:sz w:val="20"/>
          <w:lang w:eastAsia="zh-CN"/>
        </w:rPr>
        <w:t xml:space="preserve"> 是</w:t>
      </w:r>
    </w:p>
    <w:p w14:paraId="063CF1CC">
      <w:pPr>
        <w:snapToGrid w:val="0"/>
        <w:spacing w:line="300" w:lineRule="auto"/>
        <w:ind w:left="2147"/>
        <w:jc w:val="both"/>
        <w:rPr>
          <w:rFonts w:ascii="Arial" w:hAnsi="Arial" w:eastAsia="宋体" w:cs="Arial"/>
          <w:sz w:val="20"/>
          <w:szCs w:val="20"/>
        </w:rPr>
      </w:pPr>
      <w:r>
        <w:rPr>
          <w:rFonts w:ascii="Arial" w:hAnsi="Arial" w:eastAsia="宋体" w:cs="Arial"/>
          <w:position w:val="-17"/>
          <w:sz w:val="20"/>
          <w:szCs w:val="20"/>
          <w:lang w:eastAsia="zh-CN"/>
        </w:rPr>
        <mc:AlternateContent>
          <mc:Choice Requires="wps">
            <w:drawing>
              <wp:inline distT="0" distB="0" distL="0" distR="0">
                <wp:extent cx="3688080" cy="486410"/>
                <wp:effectExtent l="9525" t="9525" r="7620" b="8890"/>
                <wp:docPr id="2" name="Text Box 29"/>
                <wp:cNvGraphicFramePr/>
                <a:graphic xmlns:a="http://schemas.openxmlformats.org/drawingml/2006/main">
                  <a:graphicData uri="http://schemas.microsoft.com/office/word/2010/wordprocessingShape">
                    <wps:wsp>
                      <wps:cNvSpPr txBox="1">
                        <a:spLocks noChangeArrowheads="1"/>
                      </wps:cNvSpPr>
                      <wps:spPr bwMode="auto">
                        <a:xfrm>
                          <a:off x="0" y="0"/>
                          <a:ext cx="3688080" cy="486410"/>
                        </a:xfrm>
                        <a:prstGeom prst="rect">
                          <a:avLst/>
                        </a:prstGeom>
                        <a:noFill/>
                        <a:ln w="9144">
                          <a:solidFill>
                            <a:srgbClr val="000000"/>
                          </a:solidFill>
                          <a:miter lim="800000"/>
                        </a:ln>
                      </wps:spPr>
                      <wps:txbx>
                        <w:txbxContent>
                          <w:p w14:paraId="51D41240">
                            <w:pPr>
                              <w:pStyle w:val="6"/>
                              <w:spacing w:before="24" w:line="247" w:lineRule="auto"/>
                              <w:ind w:left="244" w:right="242" w:hanging="5"/>
                              <w:jc w:val="center"/>
                              <w:rPr>
                                <w:rFonts w:ascii="Arial" w:hAnsi="Arial" w:eastAsia="Arial" w:cs="Arial"/>
                                <w:lang w:eastAsia="zh-CN"/>
                              </w:rPr>
                            </w:pPr>
                            <w:r>
                              <w:rPr>
                                <w:rFonts w:hint="eastAsia" w:ascii="宋体" w:hAnsi="宋体" w:eastAsia="宋体" w:cs="宋体"/>
                                <w:lang w:eastAsia="zh-CN"/>
                              </w:rPr>
                              <w:t>消融手术。根据初步</w:t>
                            </w:r>
                            <w:r>
                              <w:rPr>
                                <w:rFonts w:hint="eastAsia" w:ascii="Arial"/>
                                <w:lang w:eastAsia="zh-CN"/>
                              </w:rPr>
                              <w:t>VT</w:t>
                            </w:r>
                            <w:r>
                              <w:rPr>
                                <w:rFonts w:hint="eastAsia" w:ascii="宋体" w:hAnsi="宋体" w:eastAsia="宋体" w:cs="宋体"/>
                                <w:lang w:eastAsia="zh-CN"/>
                              </w:rPr>
                              <w:t>形态的非诱导性将患者分类为急性成功或失败</w:t>
                            </w:r>
                          </w:p>
                        </w:txbxContent>
                      </wps:txbx>
                      <wps:bodyPr rot="0" vert="horz" wrap="square" lIns="0" tIns="0" rIns="0" bIns="0" anchor="t" anchorCtr="0" upright="1">
                        <a:noAutofit/>
                      </wps:bodyPr>
                    </wps:wsp>
                  </a:graphicData>
                </a:graphic>
              </wp:inline>
            </w:drawing>
          </mc:Choice>
          <mc:Fallback>
            <w:pict>
              <v:shape id="Text Box 29" o:spid="_x0000_s1026" o:spt="202" type="#_x0000_t202" style="height:38.3pt;width:290.4pt;" filled="f" stroked="t" coordsize="21600,21600" o:gfxdata="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7owPTU&#10;AAAABAEAAA8AAAAAAAAAAQAgAAAAIgAAAGRycy9kb3ducmV2LnhtbFBLAQIUABQAAAAIAIdO4kCQ&#10;vMADJAIAAE4EAAAOAAAAAAAAAAEAIAAAACMBAABkcnMvZTJvRG9jLnhtbFBLBQYAAAAABgAGAFkB&#10;AAC5BQAAAAA=&#10;">
                <v:fill on="f" focussize="0,0"/>
                <v:stroke weight="0.72pt" color="#000000" miterlimit="8" joinstyle="miter"/>
                <v:imagedata o:title=""/>
                <o:lock v:ext="edit" aspectratio="f"/>
                <v:textbox inset="0mm,0mm,0mm,0mm">
                  <w:txbxContent>
                    <w:p w14:paraId="51D41240">
                      <w:pPr>
                        <w:pStyle w:val="6"/>
                        <w:spacing w:before="24" w:line="247" w:lineRule="auto"/>
                        <w:ind w:left="244" w:right="242" w:hanging="5"/>
                        <w:jc w:val="center"/>
                        <w:rPr>
                          <w:rFonts w:ascii="Arial" w:hAnsi="Arial" w:eastAsia="Arial" w:cs="Arial"/>
                          <w:lang w:eastAsia="zh-CN"/>
                        </w:rPr>
                      </w:pPr>
                      <w:r>
                        <w:rPr>
                          <w:rFonts w:hint="eastAsia" w:ascii="宋体" w:hAnsi="宋体" w:eastAsia="宋体" w:cs="宋体"/>
                          <w:lang w:eastAsia="zh-CN"/>
                        </w:rPr>
                        <w:t>消融手术。根据初步</w:t>
                      </w:r>
                      <w:r>
                        <w:rPr>
                          <w:rFonts w:hint="eastAsia" w:ascii="Arial"/>
                          <w:lang w:eastAsia="zh-CN"/>
                        </w:rPr>
                        <w:t>VT</w:t>
                      </w:r>
                      <w:r>
                        <w:rPr>
                          <w:rFonts w:hint="eastAsia" w:ascii="宋体" w:hAnsi="宋体" w:eastAsia="宋体" w:cs="宋体"/>
                          <w:lang w:eastAsia="zh-CN"/>
                        </w:rPr>
                        <w:t>形态的非诱导性将患者分类为急性成功或失败</w:t>
                      </w:r>
                    </w:p>
                  </w:txbxContent>
                </v:textbox>
                <w10:wrap type="none"/>
                <w10:anchorlock/>
              </v:shape>
            </w:pict>
          </mc:Fallback>
        </mc:AlternateContent>
      </w:r>
    </w:p>
    <w:p w14:paraId="54A51CD5">
      <w:pPr>
        <w:snapToGrid w:val="0"/>
        <w:spacing w:before="15" w:line="300" w:lineRule="auto"/>
        <w:ind w:left="3322" w:firstLine="1088" w:firstLineChars="544"/>
        <w:jc w:val="both"/>
        <w:rPr>
          <w:rFonts w:ascii="Arial" w:hAnsi="Arial" w:eastAsia="宋体" w:cs="Arial"/>
          <w:sz w:val="20"/>
          <w:szCs w:val="20"/>
          <w:lang w:eastAsia="zh-CN"/>
        </w:rPr>
      </w:pPr>
      <w:r>
        <w:rPr>
          <w:rFonts w:ascii="Arial" w:hAnsi="Arial" w:eastAsia="宋体" w:cs="Arial"/>
          <w:sz w:val="20"/>
          <w:lang w:eastAsia="zh-CN"/>
        </w:rPr>
        <w:t>|</w:t>
      </w:r>
    </w:p>
    <w:p w14:paraId="70054D21">
      <w:pPr>
        <w:snapToGrid w:val="0"/>
        <w:spacing w:line="300" w:lineRule="auto"/>
        <w:ind w:left="3322" w:firstLine="1088" w:firstLineChars="544"/>
        <w:jc w:val="both"/>
        <w:rPr>
          <w:rFonts w:ascii="Arial" w:hAnsi="Arial" w:eastAsia="宋体" w:cs="Arial"/>
          <w:sz w:val="20"/>
          <w:szCs w:val="20"/>
          <w:lang w:eastAsia="zh-CN"/>
        </w:rPr>
      </w:pPr>
      <w:r>
        <w:rPr>
          <w:rFonts w:ascii="Arial" w:hAnsi="Arial" w:eastAsia="宋体" w:cs="Arial"/>
          <w:sz w:val="20"/>
          <w:lang w:eastAsia="zh-CN"/>
        </w:rPr>
        <w:t>|</w:t>
      </w:r>
    </w:p>
    <w:p w14:paraId="5862A667">
      <w:pPr>
        <w:snapToGrid w:val="0"/>
        <w:spacing w:line="300" w:lineRule="auto"/>
        <w:ind w:left="4420"/>
        <w:rPr>
          <w:rFonts w:ascii="Arial" w:hAnsi="Arial" w:eastAsia="宋体" w:cs="Arial"/>
          <w:sz w:val="20"/>
          <w:lang w:eastAsia="zh-CN"/>
        </w:rPr>
      </w:pPr>
      <w:r>
        <w:rPr>
          <w:rFonts w:ascii="Arial" w:hAnsi="Arial" w:eastAsia="宋体" w:cs="Arial"/>
          <w:sz w:val="20"/>
          <w:lang w:eastAsia="zh-CN"/>
        </w:rPr>
        <w:t>| --- 未来7天：记录所有不良事件。</w:t>
      </w:r>
    </w:p>
    <w:p w14:paraId="71D24CEF">
      <w:pPr>
        <w:snapToGrid w:val="0"/>
        <w:spacing w:line="300" w:lineRule="auto"/>
        <w:ind w:left="4420" w:firstLine="1360" w:firstLineChars="680"/>
        <w:rPr>
          <w:rFonts w:ascii="Arial" w:hAnsi="Arial" w:eastAsia="宋体" w:cs="Arial"/>
          <w:sz w:val="20"/>
          <w:lang w:eastAsia="zh-CN"/>
        </w:rPr>
      </w:pPr>
      <w:r>
        <w:rPr>
          <w:rFonts w:ascii="Arial" w:hAnsi="Arial" w:eastAsia="宋体" w:cs="Arial"/>
          <w:sz w:val="20"/>
          <w:lang w:eastAsia="zh-CN"/>
        </w:rPr>
        <w:t>主要并发症将有助于确定安全终点。</w:t>
      </w:r>
    </w:p>
    <w:p w14:paraId="0B354ECA">
      <w:pPr>
        <w:snapToGrid w:val="0"/>
        <w:spacing w:line="300" w:lineRule="auto"/>
        <w:ind w:left="4420" w:firstLine="4" w:firstLineChars="2"/>
        <w:rPr>
          <w:rFonts w:ascii="Arial" w:hAnsi="Arial" w:eastAsia="宋体" w:cs="Arial"/>
          <w:sz w:val="20"/>
          <w:szCs w:val="20"/>
          <w:lang w:eastAsia="zh-CN"/>
        </w:rPr>
      </w:pPr>
      <w:r>
        <w:rPr>
          <w:rFonts w:ascii="Arial" w:hAnsi="Arial" w:eastAsia="宋体" w:cs="Arial"/>
          <w:sz w:val="20"/>
          <w:lang w:eastAsia="zh-CN"/>
        </w:rPr>
        <w:t>|</w:t>
      </w:r>
    </w:p>
    <w:p w14:paraId="025B2723">
      <w:pPr>
        <w:snapToGrid w:val="0"/>
        <w:spacing w:line="300" w:lineRule="auto"/>
        <w:ind w:left="2147"/>
        <w:jc w:val="both"/>
        <w:rPr>
          <w:rFonts w:ascii="Arial" w:hAnsi="Arial" w:eastAsia="宋体" w:cs="Arial"/>
          <w:sz w:val="20"/>
          <w:szCs w:val="20"/>
        </w:rPr>
      </w:pPr>
      <w:r>
        <w:rPr>
          <w:rFonts w:ascii="Arial" w:hAnsi="Arial" w:eastAsia="宋体" w:cs="Arial"/>
          <w:position w:val="-23"/>
          <w:sz w:val="20"/>
          <w:szCs w:val="20"/>
          <w:lang w:eastAsia="zh-CN"/>
        </w:rPr>
        <mc:AlternateContent>
          <mc:Choice Requires="wps">
            <w:drawing>
              <wp:inline distT="0" distB="0" distL="0" distR="0">
                <wp:extent cx="3688080" cy="507365"/>
                <wp:effectExtent l="9525" t="9525" r="7620" b="6985"/>
                <wp:docPr id="1" name="Text Box 28"/>
                <wp:cNvGraphicFramePr/>
                <a:graphic xmlns:a="http://schemas.openxmlformats.org/drawingml/2006/main">
                  <a:graphicData uri="http://schemas.microsoft.com/office/word/2010/wordprocessingShape">
                    <wps:wsp>
                      <wps:cNvSpPr txBox="1">
                        <a:spLocks noChangeArrowheads="1"/>
                      </wps:cNvSpPr>
                      <wps:spPr bwMode="auto">
                        <a:xfrm>
                          <a:off x="0" y="0"/>
                          <a:ext cx="3688080" cy="507365"/>
                        </a:xfrm>
                        <a:prstGeom prst="rect">
                          <a:avLst/>
                        </a:prstGeom>
                        <a:noFill/>
                        <a:ln w="9144">
                          <a:solidFill>
                            <a:srgbClr val="000000"/>
                          </a:solidFill>
                          <a:miter lim="800000"/>
                        </a:ln>
                      </wps:spPr>
                      <wps:txbx>
                        <w:txbxContent>
                          <w:p w14:paraId="1B8651B2">
                            <w:pPr>
                              <w:pStyle w:val="6"/>
                              <w:spacing w:before="24" w:line="247" w:lineRule="auto"/>
                              <w:ind w:left="614" w:right="618" w:firstLine="5"/>
                              <w:jc w:val="center"/>
                              <w:rPr>
                                <w:rFonts w:ascii="Arial" w:hAnsi="Arial" w:eastAsia="Arial" w:cs="Arial"/>
                                <w:lang w:eastAsia="zh-CN"/>
                              </w:rPr>
                            </w:pPr>
                            <w:r>
                              <w:rPr>
                                <w:rFonts w:hint="eastAsia" w:ascii="Arial"/>
                                <w:lang w:eastAsia="zh-CN"/>
                              </w:rPr>
                              <w:t>6</w:t>
                            </w:r>
                            <w:r>
                              <w:rPr>
                                <w:rFonts w:hint="eastAsia" w:ascii="宋体" w:hAnsi="宋体" w:eastAsia="宋体" w:cs="宋体"/>
                                <w:lang w:eastAsia="zh-CN"/>
                              </w:rPr>
                              <w:t>个月随访期。记录所有复发率。根据预定定义将每位患者分为</w:t>
                            </w:r>
                            <w:r>
                              <w:rPr>
                                <w:rFonts w:hint="eastAsia" w:ascii="Arial"/>
                                <w:lang w:eastAsia="zh-CN"/>
                              </w:rPr>
                              <w:t>6</w:t>
                            </w:r>
                            <w:r>
                              <w:rPr>
                                <w:rFonts w:hint="eastAsia" w:ascii="宋体" w:hAnsi="宋体" w:eastAsia="宋体" w:cs="宋体"/>
                                <w:lang w:eastAsia="zh-CN"/>
                              </w:rPr>
                              <w:t>个月成功或失败。</w:t>
                            </w:r>
                          </w:p>
                        </w:txbxContent>
                      </wps:txbx>
                      <wps:bodyPr rot="0" vert="horz" wrap="square" lIns="0" tIns="0" rIns="0" bIns="0" anchor="t" anchorCtr="0" upright="1">
                        <a:noAutofit/>
                      </wps:bodyPr>
                    </wps:wsp>
                  </a:graphicData>
                </a:graphic>
              </wp:inline>
            </w:drawing>
          </mc:Choice>
          <mc:Fallback>
            <w:pict>
              <v:shape id="Text Box 28" o:spid="_x0000_s1026" o:spt="202" type="#_x0000_t202" style="height:39.95pt;width:290.4pt;" filled="f" stroked="t" coordsize="21600,21600" o:gfxdata="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EOwMvV&#10;AAAABAEAAA8AAAAAAAAAAQAgAAAAIgAAAGRycy9kb3ducmV2LnhtbFBLAQIUABQAAAAIAIdO4kCo&#10;6Y07IwIAAE4EAAAOAAAAAAAAAAEAIAAAACQBAABkcnMvZTJvRG9jLnhtbFBLBQYAAAAABgAGAFkB&#10;AAC5BQAAAAA=&#10;">
                <v:fill on="f" focussize="0,0"/>
                <v:stroke weight="0.72pt" color="#000000" miterlimit="8" joinstyle="miter"/>
                <v:imagedata o:title=""/>
                <o:lock v:ext="edit" aspectratio="f"/>
                <v:textbox inset="0mm,0mm,0mm,0mm">
                  <w:txbxContent>
                    <w:p w14:paraId="1B8651B2">
                      <w:pPr>
                        <w:pStyle w:val="6"/>
                        <w:spacing w:before="24" w:line="247" w:lineRule="auto"/>
                        <w:ind w:left="614" w:right="618" w:firstLine="5"/>
                        <w:jc w:val="center"/>
                        <w:rPr>
                          <w:rFonts w:ascii="Arial" w:hAnsi="Arial" w:eastAsia="Arial" w:cs="Arial"/>
                          <w:lang w:eastAsia="zh-CN"/>
                        </w:rPr>
                      </w:pPr>
                      <w:r>
                        <w:rPr>
                          <w:rFonts w:hint="eastAsia" w:ascii="Arial"/>
                          <w:lang w:eastAsia="zh-CN"/>
                        </w:rPr>
                        <w:t>6</w:t>
                      </w:r>
                      <w:r>
                        <w:rPr>
                          <w:rFonts w:hint="eastAsia" w:ascii="宋体" w:hAnsi="宋体" w:eastAsia="宋体" w:cs="宋体"/>
                          <w:lang w:eastAsia="zh-CN"/>
                        </w:rPr>
                        <w:t>个月随访期。记录所有复发率。根据预定定义将每位患者分为</w:t>
                      </w:r>
                      <w:r>
                        <w:rPr>
                          <w:rFonts w:hint="eastAsia" w:ascii="Arial"/>
                          <w:lang w:eastAsia="zh-CN"/>
                        </w:rPr>
                        <w:t>6</w:t>
                      </w:r>
                      <w:r>
                        <w:rPr>
                          <w:rFonts w:hint="eastAsia" w:ascii="宋体" w:hAnsi="宋体" w:eastAsia="宋体" w:cs="宋体"/>
                          <w:lang w:eastAsia="zh-CN"/>
                        </w:rPr>
                        <w:t>个月成功或失败。</w:t>
                      </w:r>
                    </w:p>
                  </w:txbxContent>
                </v:textbox>
                <w10:wrap type="none"/>
                <w10:anchorlock/>
              </v:shape>
            </w:pict>
          </mc:Fallback>
        </mc:AlternateContent>
      </w:r>
    </w:p>
    <w:p w14:paraId="5BE2F17F">
      <w:pPr>
        <w:widowControl/>
        <w:rPr>
          <w:rFonts w:ascii="Arial" w:hAnsi="Arial" w:eastAsia="宋体" w:cs="Arial"/>
          <w:sz w:val="20"/>
          <w:szCs w:val="20"/>
        </w:rPr>
      </w:pPr>
      <w:r>
        <w:rPr>
          <w:rFonts w:ascii="Arial" w:hAnsi="Arial" w:eastAsia="宋体" w:cs="Arial"/>
          <w:b/>
          <w:bCs/>
          <w:sz w:val="20"/>
          <w:szCs w:val="20"/>
        </w:rPr>
        <w:br w:type="page"/>
      </w:r>
    </w:p>
    <w:p w14:paraId="732A172B">
      <w:pPr>
        <w:pStyle w:val="5"/>
        <w:numPr>
          <w:ilvl w:val="0"/>
          <w:numId w:val="3"/>
        </w:numPr>
        <w:tabs>
          <w:tab w:val="left" w:pos="444"/>
        </w:tabs>
        <w:snapToGrid w:val="0"/>
        <w:spacing w:before="46" w:line="300" w:lineRule="auto"/>
        <w:ind w:left="443" w:hanging="343"/>
        <w:jc w:val="both"/>
        <w:rPr>
          <w:rFonts w:ascii="Arial" w:hAnsi="Arial" w:eastAsia="宋体" w:cs="Arial"/>
          <w:b w:val="0"/>
          <w:bCs w:val="0"/>
        </w:rPr>
      </w:pPr>
      <w:r>
        <w:rPr>
          <w:rFonts w:ascii="Arial" w:hAnsi="Arial" w:eastAsia="宋体" w:cs="Arial"/>
          <w:lang w:eastAsia="zh-CN"/>
        </w:rPr>
        <w:t>准入标准和纳入</w:t>
      </w:r>
    </w:p>
    <w:p w14:paraId="450ED68E">
      <w:pPr>
        <w:snapToGrid w:val="0"/>
        <w:spacing w:before="10" w:line="300" w:lineRule="auto"/>
        <w:jc w:val="both"/>
        <w:rPr>
          <w:rFonts w:ascii="Arial" w:hAnsi="Arial" w:eastAsia="宋体" w:cs="Arial"/>
          <w:b/>
          <w:bCs/>
          <w:sz w:val="24"/>
          <w:szCs w:val="24"/>
        </w:rPr>
      </w:pPr>
    </w:p>
    <w:p w14:paraId="73200181">
      <w:pPr>
        <w:pStyle w:val="6"/>
        <w:snapToGrid w:val="0"/>
        <w:spacing w:line="300" w:lineRule="auto"/>
        <w:ind w:left="822"/>
        <w:jc w:val="both"/>
        <w:rPr>
          <w:rFonts w:ascii="Arial" w:hAnsi="Arial" w:eastAsia="宋体" w:cs="Arial"/>
          <w:lang w:eastAsia="zh-CN"/>
        </w:rPr>
      </w:pPr>
      <w:r>
        <w:rPr>
          <w:rFonts w:ascii="Arial" w:hAnsi="Arial" w:eastAsia="宋体" w:cs="Arial"/>
          <w:lang w:eastAsia="zh-CN"/>
        </w:rPr>
        <w:t>重要的是要记住，如果其符合准入标准并签署了知情同意书，则应</w:t>
      </w:r>
      <w:r>
        <w:rPr>
          <w:rFonts w:hint="eastAsia" w:ascii="Arial" w:hAnsi="Arial" w:eastAsia="宋体" w:cs="Arial"/>
          <w:i/>
          <w:lang w:eastAsia="zh-CN"/>
        </w:rPr>
        <w:t>纳入</w:t>
      </w:r>
      <w:r>
        <w:rPr>
          <w:rFonts w:ascii="Arial" w:hAnsi="Arial" w:eastAsia="宋体" w:cs="Arial"/>
          <w:lang w:eastAsia="zh-CN"/>
        </w:rPr>
        <w:t>此类患者，并计入贵公司的分配。如果其在前瞻性基准期间的发作频率持续较低而无法允许在基线和随访期间进行统计学比较，则一些患者可能无法接受消融术。应在知情同意书中通知患者这种可能性。</w:t>
      </w:r>
    </w:p>
    <w:p w14:paraId="6AFC1ED1">
      <w:pPr>
        <w:snapToGrid w:val="0"/>
        <w:spacing w:before="6" w:line="300" w:lineRule="auto"/>
        <w:jc w:val="both"/>
        <w:rPr>
          <w:rFonts w:ascii="Arial" w:hAnsi="Arial" w:eastAsia="宋体" w:cs="Arial"/>
          <w:sz w:val="24"/>
          <w:szCs w:val="24"/>
          <w:lang w:eastAsia="zh-CN"/>
        </w:rPr>
      </w:pPr>
    </w:p>
    <w:p w14:paraId="417571C3">
      <w:pPr>
        <w:pStyle w:val="6"/>
        <w:snapToGrid w:val="0"/>
        <w:spacing w:line="300" w:lineRule="auto"/>
        <w:jc w:val="both"/>
        <w:rPr>
          <w:rFonts w:ascii="Arial" w:hAnsi="Arial" w:eastAsia="宋体" w:cs="Arial"/>
          <w:lang w:eastAsia="zh-CN"/>
        </w:rPr>
      </w:pPr>
      <w:r>
        <w:rPr>
          <w:rFonts w:ascii="Arial" w:hAnsi="Arial" w:eastAsia="宋体" w:cs="Arial"/>
          <w:lang w:eastAsia="zh-CN"/>
        </w:rPr>
        <w:t>应特别考虑以下入选/排除标准：</w:t>
      </w:r>
    </w:p>
    <w:p w14:paraId="48E442FA">
      <w:pPr>
        <w:pStyle w:val="15"/>
        <w:numPr>
          <w:ilvl w:val="1"/>
          <w:numId w:val="3"/>
        </w:numPr>
        <w:tabs>
          <w:tab w:val="left" w:pos="1180"/>
        </w:tabs>
        <w:snapToGrid w:val="0"/>
        <w:spacing w:line="300" w:lineRule="auto"/>
        <w:jc w:val="both"/>
        <w:rPr>
          <w:rFonts w:ascii="Arial" w:hAnsi="Arial" w:eastAsia="宋体" w:cs="Arial"/>
          <w:sz w:val="24"/>
          <w:lang w:eastAsia="zh-CN"/>
        </w:rPr>
      </w:pPr>
      <w:r>
        <w:rPr>
          <w:rFonts w:ascii="Arial" w:hAnsi="Arial" w:eastAsia="宋体" w:cs="Arial"/>
          <w:sz w:val="24"/>
          <w:lang w:eastAsia="zh-CN"/>
        </w:rPr>
        <w:t>在参加研究之前，明确足以表征患者的VT发作频率。</w:t>
      </w:r>
    </w:p>
    <w:p w14:paraId="41FEA84A">
      <w:pPr>
        <w:pStyle w:val="15"/>
        <w:numPr>
          <w:ilvl w:val="1"/>
          <w:numId w:val="3"/>
        </w:numPr>
        <w:tabs>
          <w:tab w:val="left" w:pos="1180"/>
        </w:tabs>
        <w:snapToGrid w:val="0"/>
        <w:spacing w:line="300" w:lineRule="auto"/>
        <w:jc w:val="both"/>
        <w:rPr>
          <w:rFonts w:ascii="Arial" w:hAnsi="Arial" w:eastAsia="宋体" w:cs="Arial"/>
          <w:sz w:val="24"/>
          <w:lang w:eastAsia="zh-CN"/>
        </w:rPr>
      </w:pPr>
      <w:r>
        <w:rPr>
          <w:rFonts w:ascii="Arial" w:hAnsi="Arial" w:eastAsia="宋体" w:cs="Arial"/>
          <w:sz w:val="24"/>
          <w:lang w:eastAsia="zh-CN"/>
        </w:rPr>
        <w:t>明确患者在参加研究前是否需要有ICD。</w:t>
      </w:r>
    </w:p>
    <w:p w14:paraId="197E9375">
      <w:pPr>
        <w:pStyle w:val="15"/>
        <w:numPr>
          <w:ilvl w:val="1"/>
          <w:numId w:val="3"/>
        </w:numPr>
        <w:tabs>
          <w:tab w:val="left" w:pos="1180"/>
        </w:tabs>
        <w:snapToGrid w:val="0"/>
        <w:spacing w:line="300" w:lineRule="auto"/>
        <w:jc w:val="both"/>
        <w:rPr>
          <w:rFonts w:ascii="Arial" w:hAnsi="Arial" w:eastAsia="宋体" w:cs="Arial"/>
          <w:sz w:val="24"/>
          <w:lang w:eastAsia="zh-CN"/>
        </w:rPr>
      </w:pPr>
      <w:r>
        <w:rPr>
          <w:rFonts w:ascii="Arial" w:hAnsi="Arial" w:eastAsia="宋体" w:cs="Arial"/>
          <w:sz w:val="24"/>
          <w:lang w:eastAsia="zh-CN"/>
        </w:rPr>
        <w:t>界定患者心脏病的病因（即缺血性VT）。</w:t>
      </w:r>
    </w:p>
    <w:p w14:paraId="1342B168">
      <w:pPr>
        <w:pStyle w:val="15"/>
        <w:numPr>
          <w:ilvl w:val="1"/>
          <w:numId w:val="3"/>
        </w:numPr>
        <w:tabs>
          <w:tab w:val="left" w:pos="1180"/>
        </w:tabs>
        <w:snapToGrid w:val="0"/>
        <w:spacing w:line="300" w:lineRule="auto"/>
        <w:jc w:val="both"/>
        <w:rPr>
          <w:rFonts w:ascii="Arial" w:hAnsi="Arial" w:eastAsia="宋体" w:cs="Arial"/>
          <w:sz w:val="24"/>
          <w:lang w:eastAsia="zh-CN"/>
        </w:rPr>
      </w:pPr>
      <w:r>
        <w:rPr>
          <w:rFonts w:ascii="Arial" w:hAnsi="Arial" w:eastAsia="宋体" w:cs="Arial"/>
          <w:sz w:val="24"/>
          <w:lang w:eastAsia="zh-CN"/>
        </w:rPr>
        <w:t>明确患者是否可耐受抗心律失常药物治疗。</w:t>
      </w:r>
    </w:p>
    <w:p w14:paraId="5313A232">
      <w:pPr>
        <w:pStyle w:val="15"/>
        <w:tabs>
          <w:tab w:val="left" w:pos="1180"/>
        </w:tabs>
        <w:snapToGrid w:val="0"/>
        <w:spacing w:line="300" w:lineRule="auto"/>
        <w:ind w:left="1180"/>
        <w:jc w:val="both"/>
        <w:rPr>
          <w:rFonts w:ascii="Arial" w:hAnsi="Arial" w:eastAsia="宋体" w:cs="Arial"/>
          <w:sz w:val="24"/>
          <w:lang w:eastAsia="zh-CN"/>
        </w:rPr>
      </w:pPr>
    </w:p>
    <w:p w14:paraId="6DE74C36">
      <w:pPr>
        <w:pStyle w:val="5"/>
        <w:numPr>
          <w:ilvl w:val="0"/>
          <w:numId w:val="3"/>
        </w:numPr>
        <w:tabs>
          <w:tab w:val="left" w:pos="460"/>
        </w:tabs>
        <w:snapToGrid w:val="0"/>
        <w:spacing w:line="300" w:lineRule="auto"/>
        <w:ind w:left="459"/>
        <w:jc w:val="both"/>
        <w:rPr>
          <w:rFonts w:ascii="Arial" w:hAnsi="Arial" w:eastAsia="宋体" w:cs="Arial"/>
          <w:b w:val="0"/>
          <w:bCs w:val="0"/>
        </w:rPr>
      </w:pPr>
      <w:r>
        <w:rPr>
          <w:rFonts w:ascii="Arial" w:hAnsi="Arial" w:eastAsia="宋体" w:cs="Arial"/>
          <w:lang w:eastAsia="zh-CN"/>
        </w:rPr>
        <w:t>研究终点</w:t>
      </w:r>
    </w:p>
    <w:p w14:paraId="0A8DFB73">
      <w:pPr>
        <w:snapToGrid w:val="0"/>
        <w:spacing w:before="10" w:line="300" w:lineRule="auto"/>
        <w:jc w:val="both"/>
        <w:rPr>
          <w:rFonts w:ascii="Arial" w:hAnsi="Arial" w:eastAsia="宋体" w:cs="Arial"/>
          <w:b/>
          <w:bCs/>
          <w:sz w:val="24"/>
          <w:szCs w:val="24"/>
        </w:rPr>
      </w:pPr>
    </w:p>
    <w:p w14:paraId="38718C7D">
      <w:pPr>
        <w:pStyle w:val="6"/>
        <w:snapToGrid w:val="0"/>
        <w:spacing w:line="300" w:lineRule="auto"/>
        <w:jc w:val="both"/>
        <w:rPr>
          <w:rFonts w:ascii="Arial" w:hAnsi="Arial" w:eastAsia="宋体" w:cs="Arial"/>
          <w:u w:val="single"/>
        </w:rPr>
      </w:pPr>
      <w:r>
        <w:rPr>
          <w:rFonts w:ascii="Arial" w:hAnsi="Arial" w:eastAsia="宋体" w:cs="Arial"/>
          <w:u w:val="single"/>
          <w:lang w:eastAsia="zh-CN"/>
        </w:rPr>
        <w:t>主要终点</w:t>
      </w:r>
    </w:p>
    <w:p w14:paraId="72235F74">
      <w:pPr>
        <w:snapToGrid w:val="0"/>
        <w:spacing w:before="3" w:line="300" w:lineRule="auto"/>
        <w:jc w:val="both"/>
        <w:rPr>
          <w:rFonts w:ascii="Arial" w:hAnsi="Arial" w:eastAsia="宋体" w:cs="Arial"/>
          <w:sz w:val="19"/>
          <w:szCs w:val="19"/>
        </w:rPr>
      </w:pPr>
    </w:p>
    <w:p w14:paraId="7ED5A4FE">
      <w:pPr>
        <w:pStyle w:val="6"/>
        <w:snapToGrid w:val="0"/>
        <w:spacing w:before="69" w:line="300" w:lineRule="auto"/>
        <w:jc w:val="both"/>
        <w:rPr>
          <w:rFonts w:ascii="Arial" w:hAnsi="Arial" w:eastAsia="宋体" w:cs="Arial"/>
          <w:lang w:eastAsia="zh-CN"/>
        </w:rPr>
      </w:pPr>
      <w:r>
        <w:rPr>
          <w:rFonts w:ascii="Arial" w:hAnsi="Arial" w:eastAsia="宋体" w:cs="Arial"/>
          <w:lang w:eastAsia="zh-CN"/>
        </w:rPr>
        <w:t>我们建议贵公司定义术语</w:t>
      </w:r>
      <w:r>
        <w:rPr>
          <w:rFonts w:ascii="宋体" w:hAnsi="宋体" w:eastAsia="宋体" w:cs="Arial"/>
          <w:lang w:eastAsia="zh-CN"/>
        </w:rPr>
        <w:t>“</w:t>
      </w:r>
      <w:r>
        <w:rPr>
          <w:rFonts w:ascii="Arial" w:hAnsi="Arial" w:eastAsia="宋体" w:cs="Arial"/>
          <w:lang w:eastAsia="zh-CN"/>
        </w:rPr>
        <w:t>急性成功</w:t>
      </w:r>
      <w:r>
        <w:rPr>
          <w:rFonts w:ascii="宋体" w:hAnsi="宋体" w:eastAsia="宋体" w:cs="Arial"/>
          <w:lang w:eastAsia="zh-CN"/>
        </w:rPr>
        <w:t>”</w:t>
      </w:r>
      <w:r>
        <w:rPr>
          <w:rFonts w:ascii="Arial" w:hAnsi="Arial" w:eastAsia="宋体" w:cs="Arial"/>
          <w:lang w:eastAsia="zh-CN"/>
        </w:rPr>
        <w:t>和</w:t>
      </w:r>
      <w:r>
        <w:rPr>
          <w:rFonts w:ascii="宋体" w:hAnsi="宋体" w:eastAsia="宋体" w:cs="Arial"/>
          <w:lang w:eastAsia="zh-CN"/>
        </w:rPr>
        <w:t>“</w:t>
      </w:r>
      <w:r>
        <w:rPr>
          <w:rFonts w:ascii="Arial" w:hAnsi="Arial" w:eastAsia="宋体" w:cs="Arial"/>
          <w:lang w:eastAsia="zh-CN"/>
        </w:rPr>
        <w:t>6个月成功</w:t>
      </w:r>
      <w:r>
        <w:rPr>
          <w:rFonts w:ascii="宋体" w:hAnsi="宋体" w:eastAsia="宋体" w:cs="Arial"/>
          <w:lang w:eastAsia="zh-CN"/>
        </w:rPr>
        <w:t>”</w:t>
      </w:r>
      <w:r>
        <w:rPr>
          <w:rFonts w:ascii="Arial" w:hAnsi="Arial" w:eastAsia="宋体" w:cs="Arial"/>
          <w:lang w:eastAsia="zh-CN"/>
        </w:rPr>
        <w:t>，因为其适用于个别患者。另外，应说明有关急性成功、6个月的成功率和并发症的预期率假设。</w:t>
      </w:r>
    </w:p>
    <w:p w14:paraId="23D4F896">
      <w:pPr>
        <w:pStyle w:val="6"/>
        <w:snapToGrid w:val="0"/>
        <w:spacing w:line="300" w:lineRule="auto"/>
        <w:jc w:val="both"/>
        <w:rPr>
          <w:rFonts w:ascii="Arial" w:hAnsi="Arial" w:eastAsia="宋体" w:cs="Arial"/>
          <w:lang w:eastAsia="zh-CN"/>
        </w:rPr>
      </w:pPr>
    </w:p>
    <w:p w14:paraId="3B8A02F1">
      <w:pPr>
        <w:pStyle w:val="6"/>
        <w:snapToGrid w:val="0"/>
        <w:spacing w:line="300" w:lineRule="auto"/>
        <w:jc w:val="both"/>
        <w:rPr>
          <w:rFonts w:ascii="Arial" w:hAnsi="Arial" w:eastAsia="宋体" w:cs="Arial"/>
          <w:lang w:eastAsia="zh-CN"/>
        </w:rPr>
      </w:pPr>
      <w:r>
        <w:rPr>
          <w:rFonts w:ascii="Arial" w:hAnsi="Arial" w:eastAsia="宋体" w:cs="Arial"/>
          <w:lang w:eastAsia="zh-CN"/>
        </w:rPr>
        <w:t>我们推荐：</w:t>
      </w:r>
    </w:p>
    <w:tbl>
      <w:tblPr>
        <w:tblStyle w:val="11"/>
        <w:tblW w:w="0" w:type="auto"/>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4"/>
      </w:tblGrid>
      <w:tr w14:paraId="15AE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14:paraId="4BF097C1">
            <w:pPr>
              <w:spacing w:before="25" w:line="300" w:lineRule="auto"/>
              <w:ind w:left="45"/>
              <w:rPr>
                <w:rFonts w:ascii="Arial" w:hAnsi="Arial" w:eastAsia="宋体" w:cs="Arial"/>
                <w:sz w:val="24"/>
                <w:szCs w:val="24"/>
                <w:lang w:eastAsia="zh-CN"/>
              </w:rPr>
            </w:pPr>
            <w:r>
              <w:rPr>
                <w:rFonts w:ascii="Arial" w:hAnsi="Arial" w:eastAsia="宋体" w:cs="Arial"/>
                <w:b/>
                <w:sz w:val="24"/>
                <w:lang w:eastAsia="zh-CN"/>
              </w:rPr>
              <w:t>急性成功率：</w:t>
            </w:r>
          </w:p>
          <w:p w14:paraId="058F8187">
            <w:pPr>
              <w:pStyle w:val="6"/>
              <w:spacing w:before="7" w:line="300" w:lineRule="auto"/>
              <w:ind w:left="45" w:right="474"/>
              <w:rPr>
                <w:rFonts w:ascii="Arial" w:hAnsi="Arial" w:eastAsia="宋体" w:cs="Arial"/>
                <w:lang w:eastAsia="zh-CN"/>
              </w:rPr>
            </w:pPr>
            <w:r>
              <w:rPr>
                <w:rFonts w:ascii="Arial" w:hAnsi="Arial" w:eastAsia="宋体" w:cs="Arial"/>
                <w:lang w:eastAsia="zh-CN"/>
              </w:rPr>
              <w:t>首先，在研究中制定可应用于每个患者的</w:t>
            </w:r>
            <w:r>
              <w:rPr>
                <w:rFonts w:ascii="宋体" w:hAnsi="宋体" w:eastAsia="宋体" w:cs="Arial"/>
                <w:lang w:eastAsia="zh-CN"/>
              </w:rPr>
              <w:t>“</w:t>
            </w:r>
            <w:r>
              <w:rPr>
                <w:rFonts w:ascii="Arial" w:hAnsi="Arial" w:eastAsia="宋体" w:cs="Arial"/>
                <w:lang w:eastAsia="zh-CN"/>
              </w:rPr>
              <w:t>成功</w:t>
            </w:r>
            <w:r>
              <w:rPr>
                <w:rFonts w:ascii="宋体" w:hAnsi="宋体" w:eastAsia="宋体" w:cs="Arial"/>
                <w:lang w:eastAsia="zh-CN"/>
              </w:rPr>
              <w:t>”</w:t>
            </w:r>
            <w:r>
              <w:rPr>
                <w:rFonts w:ascii="Arial" w:hAnsi="Arial" w:eastAsia="宋体" w:cs="Arial"/>
                <w:lang w:eastAsia="zh-CN"/>
              </w:rPr>
              <w:t>定义。通常，其定义为临床相关VT形态的急性非诱导性。然后，为贵公司的研究假设整体</w:t>
            </w:r>
            <w:r>
              <w:rPr>
                <w:rFonts w:ascii="宋体" w:hAnsi="宋体" w:eastAsia="宋体" w:cs="Arial"/>
                <w:lang w:eastAsia="zh-CN"/>
              </w:rPr>
              <w:t>“</w:t>
            </w:r>
            <w:r>
              <w:rPr>
                <w:rFonts w:ascii="Arial" w:hAnsi="Arial" w:eastAsia="宋体" w:cs="Arial"/>
                <w:lang w:eastAsia="zh-CN"/>
              </w:rPr>
              <w:t>急性成功率</w:t>
            </w:r>
            <w:r>
              <w:rPr>
                <w:rFonts w:ascii="宋体" w:hAnsi="宋体" w:eastAsia="宋体" w:cs="Arial"/>
                <w:lang w:eastAsia="zh-CN"/>
              </w:rPr>
              <w:t>”</w:t>
            </w:r>
            <w:r>
              <w:rPr>
                <w:rFonts w:ascii="Arial" w:hAnsi="Arial" w:eastAsia="宋体" w:cs="Arial"/>
                <w:lang w:eastAsia="zh-CN"/>
              </w:rPr>
              <w:t>。</w:t>
            </w:r>
          </w:p>
        </w:tc>
      </w:tr>
    </w:tbl>
    <w:p w14:paraId="6DBB2794">
      <w:pPr>
        <w:snapToGrid w:val="0"/>
        <w:spacing w:line="300" w:lineRule="auto"/>
        <w:ind w:left="764"/>
        <w:jc w:val="both"/>
        <w:rPr>
          <w:rFonts w:ascii="Arial" w:hAnsi="Arial" w:eastAsia="宋体" w:cs="Arial"/>
          <w:sz w:val="20"/>
          <w:szCs w:val="20"/>
          <w:lang w:eastAsia="zh-CN"/>
        </w:rPr>
      </w:pPr>
    </w:p>
    <w:p w14:paraId="0B2FA423">
      <w:pPr>
        <w:snapToGrid w:val="0"/>
        <w:spacing w:before="6" w:line="300" w:lineRule="auto"/>
        <w:jc w:val="both"/>
        <w:rPr>
          <w:rFonts w:ascii="Arial" w:hAnsi="Arial" w:eastAsia="宋体" w:cs="Arial"/>
          <w:sz w:val="20"/>
          <w:szCs w:val="20"/>
          <w:lang w:eastAsia="zh-CN"/>
        </w:rPr>
      </w:pPr>
    </w:p>
    <w:p w14:paraId="69CE46BB">
      <w:pPr>
        <w:snapToGrid w:val="0"/>
        <w:spacing w:before="69" w:line="300" w:lineRule="auto"/>
        <w:ind w:left="2260" w:hanging="720"/>
        <w:jc w:val="both"/>
        <w:rPr>
          <w:rFonts w:ascii="Arial" w:hAnsi="Arial" w:eastAsia="宋体" w:cs="Arial"/>
          <w:sz w:val="24"/>
          <w:szCs w:val="24"/>
          <w:lang w:eastAsia="zh-CN"/>
        </w:rPr>
      </w:pPr>
      <w:r>
        <w:rPr>
          <w:rFonts w:ascii="Arial" w:hAnsi="Arial" w:eastAsia="宋体" w:cs="Arial"/>
          <w:sz w:val="24"/>
          <w:szCs w:val="24"/>
          <w:lang w:eastAsia="zh-CN"/>
        </w:rPr>
        <w:t>注意：</w:t>
      </w:r>
      <w:r>
        <w:rPr>
          <w:rFonts w:hint="eastAsia" w:ascii="Arial" w:hAnsi="Arial" w:eastAsia="宋体" w:cs="Arial"/>
          <w:i/>
          <w:sz w:val="24"/>
          <w:szCs w:val="24"/>
          <w:lang w:eastAsia="zh-CN"/>
        </w:rPr>
        <w:t>重要的是临床医生应在消融治疗前确定临床相关的</w:t>
      </w:r>
      <w:r>
        <w:rPr>
          <w:rFonts w:ascii="Arial" w:hAnsi="Arial" w:eastAsia="宋体" w:cs="Arial"/>
          <w:i/>
          <w:sz w:val="24"/>
          <w:szCs w:val="24"/>
          <w:lang w:eastAsia="zh-CN"/>
        </w:rPr>
        <w:t>VT</w:t>
      </w:r>
      <w:r>
        <w:rPr>
          <w:rFonts w:hint="eastAsia" w:ascii="Arial" w:hAnsi="Arial" w:eastAsia="宋体" w:cs="Arial"/>
          <w:i/>
          <w:sz w:val="24"/>
          <w:szCs w:val="24"/>
          <w:lang w:eastAsia="zh-CN"/>
        </w:rPr>
        <w:t>。这些应包括负责患者症状的</w:t>
      </w:r>
      <w:r>
        <w:rPr>
          <w:rFonts w:ascii="Arial" w:hAnsi="Arial" w:eastAsia="宋体" w:cs="Arial"/>
          <w:i/>
          <w:sz w:val="24"/>
          <w:szCs w:val="24"/>
          <w:lang w:eastAsia="zh-CN"/>
        </w:rPr>
        <w:t>VT</w:t>
      </w:r>
      <w:r>
        <w:rPr>
          <w:rFonts w:hint="eastAsia" w:ascii="Arial" w:hAnsi="Arial" w:eastAsia="宋体" w:cs="Arial"/>
          <w:i/>
          <w:sz w:val="24"/>
          <w:szCs w:val="24"/>
          <w:lang w:eastAsia="zh-CN"/>
        </w:rPr>
        <w:t>和</w:t>
      </w:r>
      <w:r>
        <w:rPr>
          <w:rFonts w:ascii="Arial" w:hAnsi="Arial" w:eastAsia="宋体" w:cs="Arial"/>
          <w:i/>
          <w:sz w:val="24"/>
          <w:szCs w:val="24"/>
          <w:lang w:eastAsia="zh-CN"/>
        </w:rPr>
        <w:t>/</w:t>
      </w:r>
      <w:r>
        <w:rPr>
          <w:rFonts w:hint="eastAsia" w:ascii="Arial" w:hAnsi="Arial" w:eastAsia="宋体" w:cs="Arial"/>
          <w:i/>
          <w:sz w:val="24"/>
          <w:szCs w:val="24"/>
          <w:lang w:eastAsia="zh-CN"/>
        </w:rPr>
        <w:t>或持续时间大于</w:t>
      </w:r>
      <w:r>
        <w:rPr>
          <w:rFonts w:ascii="Arial" w:hAnsi="Arial" w:eastAsia="宋体" w:cs="Arial"/>
          <w:i/>
          <w:sz w:val="24"/>
          <w:szCs w:val="24"/>
          <w:lang w:eastAsia="zh-CN"/>
        </w:rPr>
        <w:t>20</w:t>
      </w:r>
      <w:r>
        <w:rPr>
          <w:rFonts w:hint="eastAsia" w:ascii="Arial" w:hAnsi="Arial" w:eastAsia="宋体" w:cs="Arial"/>
          <w:i/>
          <w:sz w:val="24"/>
          <w:szCs w:val="24"/>
          <w:lang w:eastAsia="zh-CN"/>
        </w:rPr>
        <w:t>秒</w:t>
      </w:r>
      <w:r>
        <w:rPr>
          <w:rFonts w:ascii="Arial" w:hAnsi="Arial" w:eastAsia="宋体" w:cs="Arial"/>
          <w:i/>
          <w:sz w:val="24"/>
          <w:szCs w:val="24"/>
          <w:lang w:eastAsia="zh-CN"/>
        </w:rPr>
        <w:t>的VT</w:t>
      </w:r>
      <w:r>
        <w:rPr>
          <w:rFonts w:hint="eastAsia" w:ascii="Arial" w:hAnsi="Arial" w:eastAsia="宋体" w:cs="Arial"/>
          <w:i/>
          <w:sz w:val="24"/>
          <w:szCs w:val="24"/>
          <w:lang w:eastAsia="zh-CN"/>
        </w:rPr>
        <w:t>。</w:t>
      </w:r>
    </w:p>
    <w:p w14:paraId="69D22174">
      <w:pPr>
        <w:snapToGrid w:val="0"/>
        <w:spacing w:before="6" w:line="300" w:lineRule="auto"/>
        <w:jc w:val="both"/>
        <w:rPr>
          <w:rFonts w:ascii="Arial" w:hAnsi="Arial" w:eastAsia="宋体" w:cs="Arial"/>
          <w:i/>
          <w:sz w:val="24"/>
          <w:szCs w:val="24"/>
          <w:lang w:eastAsia="zh-CN"/>
        </w:rPr>
      </w:pPr>
    </w:p>
    <w:p w14:paraId="0D519237">
      <w:pPr>
        <w:snapToGrid w:val="0"/>
        <w:spacing w:line="300" w:lineRule="auto"/>
        <w:ind w:left="2260" w:hanging="720"/>
        <w:jc w:val="both"/>
        <w:rPr>
          <w:rFonts w:ascii="Arial" w:hAnsi="Arial" w:eastAsia="宋体" w:cs="Arial"/>
          <w:i/>
          <w:sz w:val="25"/>
          <w:szCs w:val="25"/>
          <w:lang w:eastAsia="zh-CN"/>
        </w:rPr>
      </w:pPr>
      <w:r>
        <w:rPr>
          <w:rFonts w:ascii="Arial" w:hAnsi="Arial" w:eastAsia="宋体" w:cs="Arial"/>
          <w:sz w:val="24"/>
          <w:szCs w:val="24"/>
          <w:lang w:eastAsia="zh-CN"/>
        </w:rPr>
        <w:t>注意：</w:t>
      </w:r>
      <w:r>
        <w:rPr>
          <w:rFonts w:hint="eastAsia" w:ascii="Arial" w:hAnsi="Arial" w:eastAsia="宋体" w:cs="Arial"/>
          <w:i/>
          <w:sz w:val="24"/>
          <w:szCs w:val="24"/>
          <w:lang w:eastAsia="zh-CN"/>
        </w:rPr>
        <w:t>由于本研究旨在支持消融治疗系统的上市声明，</w:t>
      </w:r>
      <w:r>
        <w:rPr>
          <w:rFonts w:ascii="宋体" w:hAnsi="宋体" w:eastAsia="宋体" w:cs="Arial"/>
          <w:i/>
          <w:sz w:val="24"/>
          <w:szCs w:val="24"/>
          <w:lang w:eastAsia="zh-CN"/>
        </w:rPr>
        <w:t>“</w:t>
      </w:r>
      <w:r>
        <w:rPr>
          <w:rFonts w:hint="eastAsia" w:ascii="Arial" w:hAnsi="Arial" w:eastAsia="宋体" w:cs="Arial"/>
          <w:i/>
          <w:sz w:val="24"/>
          <w:szCs w:val="24"/>
          <w:lang w:eastAsia="zh-CN"/>
        </w:rPr>
        <w:t>成功</w:t>
      </w:r>
      <w:r>
        <w:rPr>
          <w:rFonts w:ascii="宋体" w:hAnsi="宋体" w:eastAsia="宋体" w:cs="Arial"/>
          <w:i/>
          <w:sz w:val="24"/>
          <w:szCs w:val="24"/>
          <w:lang w:eastAsia="zh-CN"/>
        </w:rPr>
        <w:t>”</w:t>
      </w:r>
      <w:r>
        <w:rPr>
          <w:rFonts w:hint="eastAsia" w:ascii="Arial" w:hAnsi="Arial" w:eastAsia="宋体" w:cs="Arial"/>
          <w:i/>
          <w:sz w:val="24"/>
          <w:szCs w:val="24"/>
          <w:lang w:eastAsia="zh-CN"/>
        </w:rPr>
        <w:t>应仅指成功使用研究系统进行消融。如果患者需要使用非研究性系统组件进行额外的治疗，则应将其视为急性失败。如果贵公司试图上市贵公司的系统以作为对另一个（已上市）系统的</w:t>
      </w:r>
      <w:r>
        <w:rPr>
          <w:rFonts w:ascii="宋体" w:hAnsi="宋体" w:eastAsia="宋体" w:cs="Arial"/>
          <w:i/>
          <w:sz w:val="24"/>
          <w:szCs w:val="24"/>
          <w:lang w:eastAsia="zh-CN"/>
        </w:rPr>
        <w:t>“</w:t>
      </w:r>
      <w:r>
        <w:rPr>
          <w:rFonts w:hint="eastAsia" w:ascii="Arial" w:hAnsi="Arial" w:eastAsia="宋体" w:cs="Arial"/>
          <w:i/>
          <w:sz w:val="24"/>
          <w:szCs w:val="24"/>
          <w:lang w:eastAsia="zh-CN"/>
        </w:rPr>
        <w:t>辅助治疗</w:t>
      </w:r>
      <w:r>
        <w:rPr>
          <w:rFonts w:ascii="宋体" w:hAnsi="宋体" w:eastAsia="宋体" w:cs="Arial"/>
          <w:i/>
          <w:sz w:val="24"/>
          <w:szCs w:val="24"/>
          <w:lang w:eastAsia="zh-CN"/>
        </w:rPr>
        <w:t>”</w:t>
      </w:r>
      <w:r>
        <w:rPr>
          <w:rFonts w:hint="eastAsia" w:ascii="Arial" w:hAnsi="Arial" w:eastAsia="宋体" w:cs="Arial"/>
          <w:i/>
          <w:sz w:val="24"/>
          <w:szCs w:val="24"/>
          <w:lang w:eastAsia="zh-CN"/>
        </w:rPr>
        <w:t>，则以上情况不适用。</w:t>
      </w:r>
    </w:p>
    <w:p w14:paraId="53368D2C">
      <w:pPr>
        <w:snapToGrid w:val="0"/>
        <w:spacing w:before="1" w:line="300" w:lineRule="auto"/>
        <w:jc w:val="both"/>
        <w:rPr>
          <w:rFonts w:ascii="Arial" w:hAnsi="Arial" w:eastAsia="宋体" w:cs="Arial"/>
          <w:i/>
          <w:sz w:val="25"/>
          <w:szCs w:val="25"/>
          <w:lang w:eastAsia="zh-CN"/>
        </w:rPr>
      </w:pPr>
    </w:p>
    <w:p w14:paraId="6B5E076B">
      <w:pPr>
        <w:snapToGrid w:val="0"/>
        <w:spacing w:line="300" w:lineRule="auto"/>
        <w:ind w:left="764"/>
        <w:jc w:val="both"/>
        <w:rPr>
          <w:rFonts w:ascii="Arial" w:hAnsi="Arial" w:eastAsia="宋体" w:cs="Arial"/>
          <w:sz w:val="20"/>
          <w:szCs w:val="20"/>
          <w:lang w:eastAsia="zh-CN"/>
        </w:rPr>
      </w:pPr>
    </w:p>
    <w:p w14:paraId="27C410C3">
      <w:pPr>
        <w:rPr>
          <w:lang w:eastAsia="zh-CN"/>
        </w:rPr>
      </w:pPr>
      <w:r>
        <w:rPr>
          <w:lang w:eastAsia="zh-CN"/>
        </w:rPr>
        <w:br w:type="page"/>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14:paraId="1B8D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14:paraId="13BE39FD">
            <w:pPr>
              <w:pStyle w:val="6"/>
              <w:spacing w:before="7" w:line="247" w:lineRule="auto"/>
              <w:ind w:left="47" w:right="330"/>
              <w:rPr>
                <w:rFonts w:ascii="Arial" w:hAnsi="Arial" w:eastAsia="宋体" w:cs="Arial"/>
                <w:b/>
                <w:lang w:eastAsia="zh-CN"/>
              </w:rPr>
            </w:pPr>
            <w:r>
              <w:rPr>
                <w:rFonts w:ascii="Arial" w:hAnsi="Arial" w:eastAsia="宋体" w:cs="Arial"/>
                <w:b/>
                <w:lang w:eastAsia="zh-CN"/>
              </w:rPr>
              <w:t>6个月成功率：</w:t>
            </w:r>
          </w:p>
          <w:p w14:paraId="0996087E">
            <w:pPr>
              <w:pStyle w:val="6"/>
              <w:spacing w:before="7" w:line="247" w:lineRule="auto"/>
              <w:ind w:left="47" w:right="330"/>
              <w:rPr>
                <w:rFonts w:ascii="Arial" w:hAnsi="Arial" w:cs="Arial"/>
                <w:lang w:eastAsia="zh-CN"/>
              </w:rPr>
            </w:pPr>
            <w:r>
              <w:rPr>
                <w:rFonts w:ascii="Arial" w:hAnsi="Arial" w:eastAsia="宋体" w:cs="Arial"/>
                <w:lang w:eastAsia="zh-CN"/>
              </w:rPr>
              <w:t>首先，将每位患者分为6个月成功或失败。成功的定义为在6个月随访期结束时VT发作减少或无VT发作。然后，为贵公司的研究假设整体</w:t>
            </w:r>
            <w:r>
              <w:rPr>
                <w:rFonts w:ascii="宋体" w:hAnsi="宋体" w:eastAsia="宋体" w:cs="Arial"/>
                <w:lang w:eastAsia="zh-CN"/>
              </w:rPr>
              <w:t>“</w:t>
            </w:r>
            <w:r>
              <w:rPr>
                <w:rFonts w:ascii="Arial" w:hAnsi="Arial" w:eastAsia="宋体" w:cs="Arial"/>
                <w:lang w:eastAsia="zh-CN"/>
              </w:rPr>
              <w:t>6个月成功率</w:t>
            </w:r>
            <w:r>
              <w:rPr>
                <w:rFonts w:ascii="宋体" w:hAnsi="宋体" w:eastAsia="宋体" w:cs="Arial"/>
                <w:lang w:eastAsia="zh-CN"/>
              </w:rPr>
              <w:t>”</w:t>
            </w:r>
            <w:r>
              <w:rPr>
                <w:rFonts w:ascii="Arial" w:hAnsi="Arial" w:eastAsia="宋体" w:cs="Arial"/>
                <w:lang w:eastAsia="zh-CN"/>
              </w:rPr>
              <w:t>。</w:t>
            </w:r>
          </w:p>
        </w:tc>
      </w:tr>
    </w:tbl>
    <w:p w14:paraId="3F9BFFFA">
      <w:pPr>
        <w:snapToGrid w:val="0"/>
        <w:spacing w:before="5" w:line="300" w:lineRule="auto"/>
        <w:jc w:val="both"/>
        <w:rPr>
          <w:rFonts w:ascii="Arial" w:hAnsi="Arial" w:eastAsia="宋体" w:cs="Arial"/>
          <w:i/>
          <w:sz w:val="24"/>
          <w:szCs w:val="24"/>
          <w:lang w:eastAsia="zh-CN"/>
        </w:rPr>
      </w:pPr>
    </w:p>
    <w:p w14:paraId="51EF98B8">
      <w:pPr>
        <w:snapToGrid w:val="0"/>
        <w:spacing w:before="69" w:line="300" w:lineRule="auto"/>
        <w:ind w:left="2260" w:hanging="720"/>
        <w:jc w:val="both"/>
        <w:rPr>
          <w:rFonts w:ascii="Arial" w:hAnsi="Arial" w:eastAsia="宋体" w:cs="Arial"/>
          <w:sz w:val="24"/>
          <w:szCs w:val="24"/>
          <w:lang w:eastAsia="zh-CN"/>
        </w:rPr>
      </w:pPr>
      <w:r>
        <w:rPr>
          <w:rFonts w:hint="eastAsia" w:ascii="Arial" w:hAnsi="Arial" w:eastAsia="宋体" w:cs="Arial"/>
          <w:sz w:val="24"/>
          <w:szCs w:val="24"/>
          <w:lang w:eastAsia="zh-CN"/>
        </w:rPr>
        <w:t>注意：</w:t>
      </w:r>
      <w:r>
        <w:rPr>
          <w:rFonts w:ascii="Arial" w:hAnsi="Arial" w:eastAsia="宋体" w:cs="Arial"/>
          <w:i/>
          <w:sz w:val="24"/>
          <w:szCs w:val="24"/>
          <w:lang w:eastAsia="zh-CN"/>
        </w:rPr>
        <w:t>患者应该在六个月时显示具有临床意义的VT发作减少，而这种情况又被归类为</w:t>
      </w:r>
      <w:r>
        <w:rPr>
          <w:rFonts w:ascii="宋体" w:hAnsi="宋体" w:eastAsia="宋体" w:cs="Arial"/>
          <w:i/>
          <w:sz w:val="24"/>
          <w:szCs w:val="24"/>
          <w:lang w:eastAsia="zh-CN"/>
        </w:rPr>
        <w:t>“</w:t>
      </w:r>
      <w:r>
        <w:rPr>
          <w:rFonts w:ascii="Arial" w:hAnsi="Arial" w:eastAsia="宋体" w:cs="Arial"/>
          <w:i/>
          <w:sz w:val="24"/>
          <w:szCs w:val="24"/>
          <w:lang w:eastAsia="zh-CN"/>
        </w:rPr>
        <w:t>6个月成功</w:t>
      </w:r>
      <w:r>
        <w:rPr>
          <w:rFonts w:ascii="宋体" w:hAnsi="宋体" w:eastAsia="宋体" w:cs="Arial"/>
          <w:i/>
          <w:sz w:val="24"/>
          <w:szCs w:val="24"/>
          <w:lang w:eastAsia="zh-CN"/>
        </w:rPr>
        <w:t>”</w:t>
      </w:r>
      <w:r>
        <w:rPr>
          <w:rFonts w:ascii="Arial" w:hAnsi="Arial" w:eastAsia="宋体" w:cs="Arial"/>
          <w:i/>
          <w:sz w:val="24"/>
          <w:szCs w:val="24"/>
          <w:lang w:eastAsia="zh-CN"/>
        </w:rPr>
        <w:t>。对于不同类别的患者，贵公司可能对</w:t>
      </w:r>
      <w:r>
        <w:rPr>
          <w:rFonts w:ascii="宋体" w:hAnsi="宋体" w:eastAsia="宋体" w:cs="Arial"/>
          <w:i/>
          <w:sz w:val="24"/>
          <w:szCs w:val="24"/>
          <w:lang w:eastAsia="zh-CN"/>
        </w:rPr>
        <w:t>“</w:t>
      </w:r>
      <w:r>
        <w:rPr>
          <w:rFonts w:ascii="Arial" w:hAnsi="Arial" w:eastAsia="宋体" w:cs="Arial"/>
          <w:i/>
          <w:sz w:val="24"/>
          <w:szCs w:val="24"/>
          <w:lang w:eastAsia="zh-CN"/>
        </w:rPr>
        <w:t>成功</w:t>
      </w:r>
      <w:r>
        <w:rPr>
          <w:rFonts w:ascii="宋体" w:hAnsi="宋体" w:eastAsia="宋体" w:cs="Arial"/>
          <w:i/>
          <w:sz w:val="24"/>
          <w:szCs w:val="24"/>
          <w:lang w:eastAsia="zh-CN"/>
        </w:rPr>
        <w:t>”</w:t>
      </w:r>
      <w:r>
        <w:rPr>
          <w:rFonts w:ascii="Arial" w:hAnsi="Arial" w:eastAsia="宋体" w:cs="Arial"/>
          <w:i/>
          <w:sz w:val="24"/>
          <w:szCs w:val="24"/>
          <w:lang w:eastAsia="zh-CN"/>
        </w:rPr>
        <w:t>和</w:t>
      </w:r>
      <w:r>
        <w:rPr>
          <w:rFonts w:ascii="宋体" w:hAnsi="宋体" w:eastAsia="宋体" w:cs="Arial"/>
          <w:i/>
          <w:sz w:val="24"/>
          <w:szCs w:val="24"/>
          <w:lang w:eastAsia="zh-CN"/>
        </w:rPr>
        <w:t>“</w:t>
      </w:r>
      <w:r>
        <w:rPr>
          <w:rFonts w:ascii="Arial" w:hAnsi="Arial" w:eastAsia="宋体" w:cs="Arial"/>
          <w:i/>
          <w:sz w:val="24"/>
          <w:szCs w:val="24"/>
          <w:lang w:eastAsia="zh-CN"/>
        </w:rPr>
        <w:t>失败</w:t>
      </w:r>
      <w:r>
        <w:rPr>
          <w:rFonts w:ascii="宋体" w:hAnsi="宋体" w:eastAsia="宋体" w:cs="Arial"/>
          <w:i/>
          <w:sz w:val="24"/>
          <w:szCs w:val="24"/>
          <w:lang w:eastAsia="zh-CN"/>
        </w:rPr>
        <w:t>”</w:t>
      </w:r>
      <w:r>
        <w:rPr>
          <w:rFonts w:ascii="Arial" w:hAnsi="Arial" w:eastAsia="宋体" w:cs="Arial"/>
          <w:i/>
          <w:sz w:val="24"/>
          <w:szCs w:val="24"/>
          <w:lang w:eastAsia="zh-CN"/>
        </w:rPr>
        <w:t>设定不同定义（例如，要求发作密度较低的患者在基线期间不再出现发作）。</w:t>
      </w:r>
    </w:p>
    <w:p w14:paraId="5C0BD29F">
      <w:pPr>
        <w:snapToGrid w:val="0"/>
        <w:spacing w:before="6" w:line="300" w:lineRule="auto"/>
        <w:jc w:val="both"/>
        <w:rPr>
          <w:rFonts w:ascii="Arial" w:hAnsi="Arial" w:eastAsia="宋体" w:cs="Arial"/>
          <w:i/>
          <w:sz w:val="24"/>
          <w:szCs w:val="24"/>
          <w:lang w:eastAsia="zh-CN"/>
        </w:rPr>
      </w:pPr>
    </w:p>
    <w:p w14:paraId="4BB43CFD">
      <w:pPr>
        <w:snapToGrid w:val="0"/>
        <w:spacing w:line="300" w:lineRule="auto"/>
        <w:ind w:left="2260" w:hanging="720"/>
        <w:jc w:val="both"/>
        <w:rPr>
          <w:rFonts w:ascii="Arial" w:hAnsi="Arial" w:eastAsia="宋体" w:cs="Arial"/>
          <w:sz w:val="24"/>
          <w:szCs w:val="24"/>
          <w:lang w:eastAsia="zh-CN"/>
        </w:rPr>
      </w:pPr>
      <w:r>
        <w:rPr>
          <w:rFonts w:hint="eastAsia" w:ascii="Arial" w:hAnsi="Arial" w:eastAsia="宋体" w:cs="Arial"/>
          <w:sz w:val="24"/>
          <w:szCs w:val="24"/>
          <w:lang w:eastAsia="zh-CN"/>
        </w:rPr>
        <w:t>注意：</w:t>
      </w:r>
      <w:r>
        <w:rPr>
          <w:rFonts w:ascii="Arial" w:hAnsi="Arial" w:eastAsia="宋体" w:cs="Arial"/>
          <w:i/>
          <w:sz w:val="24"/>
          <w:szCs w:val="24"/>
          <w:lang w:eastAsia="zh-CN"/>
        </w:rPr>
        <w:t>患者应分为6个月成功或失败，无论其是否为急性成功。我们建议贵公司对急性成功和急性失败的VT复发率进行分层。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7812"/>
      </w:tblGrid>
      <w:tr w14:paraId="3697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376" w:type="dxa"/>
            <w:tcBorders>
              <w:right w:val="nil"/>
            </w:tcBorders>
            <w:vAlign w:val="center"/>
          </w:tcPr>
          <w:p w14:paraId="70B9FAC3">
            <w:pPr>
              <w:spacing w:line="240" w:lineRule="exact"/>
              <w:rPr>
                <w:rFonts w:ascii="Arial" w:hAnsi="Arial" w:eastAsia="宋体" w:cs="Arial"/>
                <w:i/>
                <w:sz w:val="24"/>
                <w:szCs w:val="24"/>
                <w:lang w:eastAsia="zh-CN"/>
              </w:rPr>
            </w:pPr>
            <w:r>
              <w:rPr>
                <w:rFonts w:ascii="Arial" w:hAnsi="Arial" w:eastAsia="宋体" w:cs="Arial"/>
                <w:b/>
                <w:sz w:val="24"/>
                <w:szCs w:val="24"/>
              </w:rPr>
              <w:t>并发症率：</w:t>
            </w:r>
          </w:p>
        </w:tc>
        <w:tc>
          <w:tcPr>
            <w:tcW w:w="7812" w:type="dxa"/>
            <w:tcBorders>
              <w:left w:val="nil"/>
            </w:tcBorders>
            <w:vAlign w:val="center"/>
          </w:tcPr>
          <w:p w14:paraId="46B6BD69">
            <w:pPr>
              <w:spacing w:before="7" w:line="271" w:lineRule="exact"/>
              <w:rPr>
                <w:rFonts w:ascii="Arial" w:hAnsi="Arial" w:eastAsia="宋体" w:cs="Arial"/>
                <w:i/>
                <w:sz w:val="24"/>
                <w:szCs w:val="24"/>
                <w:lang w:eastAsia="zh-CN"/>
              </w:rPr>
            </w:pPr>
            <w:r>
              <w:rPr>
                <w:rFonts w:ascii="Arial" w:hAnsi="Arial" w:eastAsia="宋体" w:cs="Arial"/>
                <w:sz w:val="24"/>
                <w:szCs w:val="24"/>
                <w:lang w:eastAsia="zh-CN"/>
              </w:rPr>
              <w:t>接受消融手术且至少存在一个主要并发症的患者百分比。</w:t>
            </w:r>
          </w:p>
        </w:tc>
      </w:tr>
    </w:tbl>
    <w:p w14:paraId="151A986B">
      <w:pPr>
        <w:snapToGrid w:val="0"/>
        <w:spacing w:before="69" w:line="300" w:lineRule="auto"/>
        <w:ind w:left="2260" w:hanging="720"/>
        <w:jc w:val="both"/>
        <w:rPr>
          <w:rFonts w:ascii="Arial" w:hAnsi="Arial" w:eastAsia="宋体" w:cs="Arial"/>
          <w:i/>
          <w:sz w:val="24"/>
          <w:szCs w:val="24"/>
          <w:lang w:eastAsia="zh-CN"/>
        </w:rPr>
      </w:pPr>
      <w:r>
        <w:rPr>
          <w:rFonts w:hint="eastAsia" w:ascii="Arial" w:hAnsi="Arial" w:eastAsia="宋体" w:cs="Arial"/>
          <w:sz w:val="24"/>
          <w:szCs w:val="24"/>
          <w:lang w:eastAsia="zh-CN"/>
        </w:rPr>
        <w:t>注意：</w:t>
      </w:r>
      <w:r>
        <w:rPr>
          <w:rFonts w:ascii="Arial" w:hAnsi="Arial" w:eastAsia="宋体" w:cs="Arial"/>
          <w:i/>
          <w:sz w:val="24"/>
          <w:szCs w:val="24"/>
          <w:lang w:eastAsia="zh-CN"/>
        </w:rPr>
        <w:t>虽然FDA并未区分</w:t>
      </w:r>
      <w:r>
        <w:rPr>
          <w:rFonts w:ascii="宋体" w:hAnsi="宋体" w:eastAsia="宋体" w:cs="Arial"/>
          <w:i/>
          <w:sz w:val="24"/>
          <w:szCs w:val="24"/>
          <w:lang w:eastAsia="zh-CN"/>
        </w:rPr>
        <w:t>“</w:t>
      </w:r>
      <w:r>
        <w:rPr>
          <w:rFonts w:ascii="Arial" w:hAnsi="Arial" w:eastAsia="宋体" w:cs="Arial"/>
          <w:i/>
          <w:sz w:val="24"/>
          <w:szCs w:val="24"/>
          <w:lang w:eastAsia="zh-CN"/>
        </w:rPr>
        <w:t>手术相关</w:t>
      </w:r>
      <w:r>
        <w:rPr>
          <w:rFonts w:ascii="宋体" w:hAnsi="宋体" w:eastAsia="宋体" w:cs="Arial"/>
          <w:i/>
          <w:sz w:val="24"/>
          <w:szCs w:val="24"/>
          <w:lang w:eastAsia="zh-CN"/>
        </w:rPr>
        <w:t>”</w:t>
      </w:r>
      <w:r>
        <w:rPr>
          <w:rFonts w:ascii="Arial" w:hAnsi="Arial" w:eastAsia="宋体" w:cs="Arial"/>
          <w:i/>
          <w:sz w:val="24"/>
          <w:szCs w:val="24"/>
          <w:lang w:eastAsia="zh-CN"/>
        </w:rPr>
        <w:t>和</w:t>
      </w:r>
      <w:r>
        <w:rPr>
          <w:rFonts w:ascii="宋体" w:hAnsi="宋体" w:eastAsia="宋体" w:cs="Arial"/>
          <w:i/>
          <w:sz w:val="24"/>
          <w:szCs w:val="24"/>
          <w:lang w:eastAsia="zh-CN"/>
        </w:rPr>
        <w:t>“</w:t>
      </w:r>
      <w:r>
        <w:rPr>
          <w:rFonts w:ascii="Arial" w:hAnsi="Arial" w:eastAsia="宋体" w:cs="Arial"/>
          <w:i/>
          <w:sz w:val="24"/>
          <w:szCs w:val="24"/>
          <w:lang w:eastAsia="zh-CN"/>
        </w:rPr>
        <w:t>器械相关</w:t>
      </w:r>
      <w:r>
        <w:rPr>
          <w:rFonts w:ascii="宋体" w:hAnsi="宋体" w:eastAsia="宋体" w:cs="Arial"/>
          <w:i/>
          <w:sz w:val="24"/>
          <w:szCs w:val="24"/>
          <w:lang w:eastAsia="zh-CN"/>
        </w:rPr>
        <w:t>”</w:t>
      </w:r>
      <w:r>
        <w:rPr>
          <w:rFonts w:ascii="Arial" w:hAnsi="Arial" w:eastAsia="宋体" w:cs="Arial"/>
          <w:i/>
          <w:sz w:val="24"/>
          <w:szCs w:val="24"/>
          <w:lang w:eastAsia="zh-CN"/>
        </w:rPr>
        <w:t>并发症，但我们建议贵公司根据其是急性发生（在消融手术后的第一周）还是在较后时间发生来分类所有报告的并发症。有关如何区分主要并发症与轻微并发症的建议，请参阅附录。</w:t>
      </w:r>
    </w:p>
    <w:p w14:paraId="333A82D4">
      <w:pPr>
        <w:snapToGrid w:val="0"/>
        <w:spacing w:before="69" w:line="300" w:lineRule="auto"/>
        <w:ind w:left="2260" w:hanging="720"/>
        <w:jc w:val="both"/>
        <w:rPr>
          <w:rFonts w:ascii="Arial" w:hAnsi="Arial" w:eastAsia="宋体" w:cs="Arial"/>
          <w:sz w:val="24"/>
          <w:szCs w:val="24"/>
          <w:lang w:eastAsia="zh-CN"/>
        </w:rPr>
      </w:pPr>
    </w:p>
    <w:p w14:paraId="0226D4AA">
      <w:pPr>
        <w:pStyle w:val="5"/>
        <w:numPr>
          <w:ilvl w:val="0"/>
          <w:numId w:val="3"/>
        </w:numPr>
        <w:tabs>
          <w:tab w:val="left" w:pos="460"/>
        </w:tabs>
        <w:snapToGrid w:val="0"/>
        <w:spacing w:line="300" w:lineRule="auto"/>
        <w:ind w:left="460" w:hanging="360"/>
        <w:jc w:val="both"/>
        <w:rPr>
          <w:rFonts w:ascii="Arial" w:hAnsi="Arial" w:eastAsia="宋体" w:cs="Arial"/>
          <w:b w:val="0"/>
          <w:bCs w:val="0"/>
          <w:lang w:eastAsia="zh-CN"/>
        </w:rPr>
      </w:pPr>
      <w:r>
        <w:rPr>
          <w:rFonts w:ascii="Arial" w:hAnsi="Arial" w:eastAsia="宋体" w:cs="Arial"/>
          <w:lang w:eastAsia="zh-CN"/>
        </w:rPr>
        <w:t>研究方案</w:t>
      </w:r>
    </w:p>
    <w:p w14:paraId="10BA120D">
      <w:pPr>
        <w:pStyle w:val="6"/>
        <w:snapToGrid w:val="0"/>
        <w:spacing w:line="300" w:lineRule="auto"/>
        <w:jc w:val="both"/>
        <w:rPr>
          <w:rFonts w:ascii="Arial" w:hAnsi="Arial" w:eastAsia="宋体" w:cs="Arial"/>
          <w:u w:val="single"/>
          <w:lang w:eastAsia="zh-CN"/>
        </w:rPr>
      </w:pPr>
      <w:r>
        <w:rPr>
          <w:rFonts w:ascii="Arial" w:hAnsi="Arial" w:eastAsia="宋体" w:cs="Arial"/>
          <w:u w:val="single"/>
          <w:lang w:eastAsia="zh-CN"/>
        </w:rPr>
        <w:t>VT发作文档</w:t>
      </w:r>
    </w:p>
    <w:p w14:paraId="235BD3F1">
      <w:pPr>
        <w:snapToGrid w:val="0"/>
        <w:spacing w:before="3" w:line="300" w:lineRule="auto"/>
        <w:jc w:val="both"/>
        <w:rPr>
          <w:rFonts w:ascii="Arial" w:hAnsi="Arial" w:eastAsia="宋体" w:cs="Arial"/>
          <w:sz w:val="24"/>
          <w:szCs w:val="24"/>
          <w:lang w:eastAsia="zh-CN"/>
        </w:rPr>
      </w:pPr>
    </w:p>
    <w:p w14:paraId="2F96A09A">
      <w:pPr>
        <w:pStyle w:val="6"/>
        <w:snapToGrid w:val="0"/>
        <w:spacing w:before="69" w:line="300" w:lineRule="auto"/>
        <w:jc w:val="both"/>
        <w:rPr>
          <w:rFonts w:ascii="Arial" w:hAnsi="Arial" w:eastAsia="宋体" w:cs="Arial"/>
          <w:lang w:eastAsia="zh-CN"/>
        </w:rPr>
      </w:pPr>
      <w:r>
        <w:rPr>
          <w:rFonts w:ascii="Arial" w:hAnsi="Arial" w:eastAsia="宋体" w:cs="Arial"/>
          <w:lang w:eastAsia="zh-CN"/>
        </w:rPr>
        <w:t>如果贵公司将6个月成功定义为VT发作减少或消失，贵公司还应该前瞻性地明确计算VT发作数量的方法。这可能包括以下一个或多个：</w:t>
      </w:r>
    </w:p>
    <w:p w14:paraId="0E349F58">
      <w:pPr>
        <w:pStyle w:val="15"/>
        <w:numPr>
          <w:ilvl w:val="0"/>
          <w:numId w:val="4"/>
        </w:numPr>
        <w:tabs>
          <w:tab w:val="left" w:pos="2644"/>
        </w:tabs>
        <w:snapToGrid w:val="0"/>
        <w:spacing w:before="7" w:line="300" w:lineRule="auto"/>
        <w:ind w:left="2643" w:hanging="383"/>
        <w:jc w:val="both"/>
        <w:rPr>
          <w:rFonts w:ascii="Arial" w:hAnsi="Arial" w:eastAsia="宋体" w:cs="Arial"/>
          <w:sz w:val="24"/>
          <w:szCs w:val="24"/>
        </w:rPr>
      </w:pPr>
      <w:r>
        <w:rPr>
          <w:rFonts w:ascii="Arial" w:hAnsi="Arial" w:eastAsia="宋体" w:cs="Arial"/>
          <w:sz w:val="24"/>
          <w:szCs w:val="24"/>
        </w:rPr>
        <w:t>ICD</w:t>
      </w:r>
      <w:r>
        <w:rPr>
          <w:rFonts w:ascii="Arial" w:hAnsi="Arial" w:eastAsia="宋体" w:cs="Arial"/>
          <w:sz w:val="24"/>
          <w:szCs w:val="24"/>
          <w:lang w:eastAsia="zh-CN"/>
        </w:rPr>
        <w:t>询问</w:t>
      </w:r>
      <w:r>
        <w:rPr>
          <w:rFonts w:ascii="Arial" w:hAnsi="Arial" w:eastAsia="宋体" w:cs="Arial"/>
          <w:sz w:val="24"/>
          <w:szCs w:val="24"/>
        </w:rPr>
        <w:t>；</w:t>
      </w:r>
    </w:p>
    <w:p w14:paraId="4FA24E6D">
      <w:pPr>
        <w:pStyle w:val="15"/>
        <w:numPr>
          <w:ilvl w:val="0"/>
          <w:numId w:val="4"/>
        </w:numPr>
        <w:tabs>
          <w:tab w:val="left" w:pos="2644"/>
        </w:tabs>
        <w:snapToGrid w:val="0"/>
        <w:spacing w:before="7" w:line="300" w:lineRule="auto"/>
        <w:ind w:left="2643" w:hanging="383"/>
        <w:jc w:val="both"/>
        <w:rPr>
          <w:rFonts w:ascii="Arial" w:hAnsi="Arial" w:eastAsia="宋体" w:cs="Arial"/>
          <w:sz w:val="24"/>
          <w:szCs w:val="24"/>
        </w:rPr>
      </w:pPr>
      <w:r>
        <w:rPr>
          <w:rFonts w:ascii="Arial" w:hAnsi="Arial" w:eastAsia="宋体" w:cs="Arial"/>
          <w:sz w:val="24"/>
          <w:szCs w:val="24"/>
        </w:rPr>
        <w:t>事件</w:t>
      </w:r>
      <w:r>
        <w:rPr>
          <w:rFonts w:ascii="Arial" w:hAnsi="Arial" w:eastAsia="宋体" w:cs="Arial"/>
          <w:sz w:val="24"/>
          <w:szCs w:val="24"/>
          <w:lang w:eastAsia="zh-CN"/>
        </w:rPr>
        <w:t>监测</w:t>
      </w:r>
      <w:r>
        <w:rPr>
          <w:rFonts w:ascii="Arial" w:hAnsi="Arial" w:eastAsia="宋体" w:cs="Arial"/>
          <w:sz w:val="24"/>
          <w:szCs w:val="24"/>
        </w:rPr>
        <w:t>；以及</w:t>
      </w:r>
    </w:p>
    <w:p w14:paraId="60ECCDD0">
      <w:pPr>
        <w:pStyle w:val="15"/>
        <w:numPr>
          <w:ilvl w:val="0"/>
          <w:numId w:val="4"/>
        </w:numPr>
        <w:tabs>
          <w:tab w:val="left" w:pos="2644"/>
        </w:tabs>
        <w:snapToGrid w:val="0"/>
        <w:spacing w:before="7" w:line="300" w:lineRule="auto"/>
        <w:ind w:left="2643" w:hanging="383"/>
        <w:jc w:val="both"/>
        <w:rPr>
          <w:rFonts w:ascii="Arial" w:hAnsi="Arial" w:eastAsia="宋体" w:cs="Arial"/>
          <w:sz w:val="24"/>
          <w:szCs w:val="24"/>
        </w:rPr>
      </w:pPr>
      <w:r>
        <w:rPr>
          <w:rFonts w:ascii="Arial" w:hAnsi="Arial" w:eastAsia="宋体" w:cs="Arial"/>
          <w:sz w:val="24"/>
          <w:szCs w:val="24"/>
          <w:lang w:eastAsia="zh-CN"/>
        </w:rPr>
        <w:t>就诊后的</w:t>
      </w:r>
      <w:r>
        <w:rPr>
          <w:rFonts w:ascii="Arial" w:hAnsi="Arial" w:eastAsia="宋体" w:cs="Arial"/>
          <w:sz w:val="24"/>
          <w:szCs w:val="24"/>
        </w:rPr>
        <w:t>心电图。</w:t>
      </w:r>
    </w:p>
    <w:p w14:paraId="3D1D25E3">
      <w:pPr>
        <w:pStyle w:val="15"/>
        <w:tabs>
          <w:tab w:val="left" w:pos="2644"/>
        </w:tabs>
        <w:snapToGrid w:val="0"/>
        <w:spacing w:before="7" w:line="300" w:lineRule="auto"/>
        <w:ind w:left="2643"/>
        <w:jc w:val="both"/>
        <w:rPr>
          <w:rFonts w:ascii="Arial" w:hAnsi="Arial" w:eastAsia="宋体" w:cs="Arial"/>
          <w:sz w:val="24"/>
          <w:szCs w:val="24"/>
        </w:rPr>
      </w:pPr>
    </w:p>
    <w:p w14:paraId="11D14962">
      <w:pPr>
        <w:widowControl/>
        <w:rPr>
          <w:rFonts w:ascii="Arial" w:hAnsi="Arial" w:eastAsia="宋体" w:cs="Arial"/>
          <w:sz w:val="24"/>
          <w:szCs w:val="24"/>
          <w:lang w:eastAsia="zh-CN"/>
        </w:rPr>
      </w:pPr>
      <w:r>
        <w:rPr>
          <w:rFonts w:ascii="Arial" w:hAnsi="Arial" w:eastAsia="宋体" w:cs="Arial"/>
          <w:sz w:val="24"/>
          <w:szCs w:val="24"/>
          <w:lang w:eastAsia="zh-CN"/>
        </w:rPr>
        <w:br w:type="page"/>
      </w:r>
    </w:p>
    <w:p w14:paraId="26E7D13E">
      <w:pPr>
        <w:snapToGrid w:val="0"/>
        <w:spacing w:before="69" w:line="300" w:lineRule="auto"/>
        <w:ind w:left="1880" w:hanging="720"/>
        <w:jc w:val="both"/>
        <w:rPr>
          <w:rFonts w:ascii="Arial" w:hAnsi="Arial" w:eastAsia="宋体" w:cs="Arial"/>
          <w:sz w:val="24"/>
          <w:szCs w:val="24"/>
          <w:lang w:eastAsia="zh-CN"/>
        </w:rPr>
      </w:pPr>
      <w:r>
        <w:rPr>
          <w:rFonts w:hint="eastAsia" w:ascii="Arial" w:hAnsi="Arial" w:eastAsia="宋体" w:cs="Arial"/>
          <w:sz w:val="24"/>
          <w:szCs w:val="24"/>
          <w:lang w:eastAsia="zh-CN"/>
        </w:rPr>
        <w:t>注意：</w:t>
      </w:r>
      <w:r>
        <w:rPr>
          <w:rFonts w:ascii="Arial" w:hAnsi="Arial" w:eastAsia="宋体" w:cs="Arial"/>
          <w:i/>
          <w:sz w:val="24"/>
          <w:szCs w:val="24"/>
          <w:lang w:eastAsia="zh-CN"/>
        </w:rPr>
        <w:t>为了避免VT计数方法的准确性差异，我们建议贵公司在消融前和消融后使用相同的数据收集方法。</w:t>
      </w:r>
    </w:p>
    <w:p w14:paraId="203AD579">
      <w:pPr>
        <w:snapToGrid w:val="0"/>
        <w:spacing w:before="6" w:line="300" w:lineRule="auto"/>
        <w:jc w:val="both"/>
        <w:rPr>
          <w:rFonts w:ascii="Arial" w:hAnsi="Arial" w:eastAsia="宋体" w:cs="Arial"/>
          <w:i/>
          <w:sz w:val="24"/>
          <w:szCs w:val="24"/>
          <w:lang w:eastAsia="zh-CN"/>
        </w:rPr>
      </w:pPr>
    </w:p>
    <w:p w14:paraId="08220E6F">
      <w:pPr>
        <w:snapToGrid w:val="0"/>
        <w:spacing w:line="300" w:lineRule="auto"/>
        <w:ind w:left="1880" w:hanging="720"/>
        <w:jc w:val="both"/>
        <w:rPr>
          <w:rFonts w:ascii="Arial" w:hAnsi="Arial" w:eastAsia="宋体" w:cs="Arial"/>
          <w:sz w:val="24"/>
          <w:szCs w:val="24"/>
          <w:lang w:eastAsia="zh-CN"/>
        </w:rPr>
      </w:pPr>
      <w:r>
        <w:rPr>
          <w:rFonts w:hint="eastAsia" w:ascii="Arial" w:hAnsi="Arial" w:eastAsia="宋体" w:cs="Arial"/>
          <w:sz w:val="24"/>
          <w:szCs w:val="24"/>
          <w:lang w:eastAsia="zh-CN"/>
        </w:rPr>
        <w:t>注意：</w:t>
      </w:r>
      <w:r>
        <w:rPr>
          <w:rFonts w:ascii="Arial" w:hAnsi="Arial" w:eastAsia="宋体" w:cs="Arial"/>
          <w:i/>
          <w:sz w:val="24"/>
          <w:szCs w:val="24"/>
          <w:lang w:eastAsia="zh-CN"/>
        </w:rPr>
        <w:t>使用ICD询问可能会忽略轻微的VT发作。如果使用了ICD，则仅计数持续时间大于20秒或具有足够持续时间来进行治疗的VT发作。</w:t>
      </w:r>
    </w:p>
    <w:p w14:paraId="35E96C8D">
      <w:pPr>
        <w:snapToGrid w:val="0"/>
        <w:spacing w:before="6" w:line="300" w:lineRule="auto"/>
        <w:jc w:val="both"/>
        <w:rPr>
          <w:rFonts w:ascii="Arial" w:hAnsi="Arial" w:eastAsia="宋体" w:cs="Arial"/>
          <w:i/>
          <w:sz w:val="24"/>
          <w:szCs w:val="24"/>
          <w:lang w:eastAsia="zh-CN"/>
        </w:rPr>
      </w:pPr>
    </w:p>
    <w:p w14:paraId="0774769F">
      <w:pPr>
        <w:snapToGrid w:val="0"/>
        <w:spacing w:line="300" w:lineRule="auto"/>
        <w:ind w:left="1880" w:hanging="720"/>
        <w:jc w:val="both"/>
        <w:rPr>
          <w:rFonts w:ascii="Arial" w:hAnsi="Arial" w:eastAsia="宋体" w:cs="Arial"/>
          <w:sz w:val="24"/>
          <w:szCs w:val="24"/>
          <w:lang w:eastAsia="zh-CN"/>
        </w:rPr>
      </w:pPr>
      <w:r>
        <w:rPr>
          <w:rFonts w:hint="eastAsia" w:ascii="Arial" w:hAnsi="Arial" w:eastAsia="宋体" w:cs="Arial"/>
          <w:sz w:val="24"/>
          <w:szCs w:val="24"/>
          <w:lang w:eastAsia="zh-CN"/>
        </w:rPr>
        <w:t>注意：</w:t>
      </w:r>
      <w:r>
        <w:rPr>
          <w:rFonts w:ascii="Arial" w:hAnsi="Arial" w:eastAsia="宋体" w:cs="Arial"/>
          <w:i/>
          <w:sz w:val="24"/>
          <w:szCs w:val="24"/>
          <w:lang w:eastAsia="zh-CN"/>
        </w:rPr>
        <w:t>我们建议贵公司仔细考虑如何减少VT发作报告偏倚的可能性。例如，我们不建议回顾性地评估VT的频率。相反，我们认为，只有在患者参加研究之后才开始基线数据收集。此外，我们不建议使用患者自我报告作为计数VT发作的方法。</w:t>
      </w:r>
    </w:p>
    <w:p w14:paraId="25EBD625">
      <w:pPr>
        <w:snapToGrid w:val="0"/>
        <w:spacing w:before="6" w:line="300" w:lineRule="auto"/>
        <w:jc w:val="both"/>
        <w:rPr>
          <w:rFonts w:ascii="Arial" w:hAnsi="Arial" w:eastAsia="宋体" w:cs="Arial"/>
          <w:i/>
          <w:sz w:val="24"/>
          <w:szCs w:val="24"/>
          <w:lang w:eastAsia="zh-CN"/>
        </w:rPr>
      </w:pPr>
    </w:p>
    <w:p w14:paraId="4F8EF0CA">
      <w:pPr>
        <w:pStyle w:val="6"/>
        <w:snapToGrid w:val="0"/>
        <w:spacing w:line="300" w:lineRule="auto"/>
        <w:ind w:left="440"/>
        <w:jc w:val="both"/>
        <w:rPr>
          <w:rFonts w:ascii="Arial" w:hAnsi="Arial" w:eastAsia="宋体" w:cs="Arial"/>
        </w:rPr>
      </w:pPr>
      <w:r>
        <w:rPr>
          <w:rFonts w:ascii="Arial" w:hAnsi="Arial" w:eastAsia="宋体" w:cs="Arial"/>
          <w:u w:val="single" w:color="000000"/>
        </w:rPr>
        <w:t>消融</w:t>
      </w:r>
      <w:r>
        <w:rPr>
          <w:rFonts w:ascii="Arial" w:hAnsi="Arial" w:eastAsia="宋体" w:cs="Arial"/>
          <w:u w:val="single" w:color="000000"/>
          <w:lang w:eastAsia="zh-CN"/>
        </w:rPr>
        <w:t>前</w:t>
      </w:r>
      <w:r>
        <w:rPr>
          <w:rFonts w:ascii="Arial" w:hAnsi="Arial" w:eastAsia="宋体" w:cs="Arial"/>
          <w:u w:val="single" w:color="000000"/>
        </w:rPr>
        <w:t>程序</w:t>
      </w:r>
    </w:p>
    <w:p w14:paraId="31D41227">
      <w:pPr>
        <w:snapToGrid w:val="0"/>
        <w:spacing w:before="3" w:line="300" w:lineRule="auto"/>
        <w:jc w:val="both"/>
        <w:rPr>
          <w:rFonts w:ascii="Arial" w:hAnsi="Arial" w:eastAsia="宋体" w:cs="Arial"/>
          <w:sz w:val="24"/>
          <w:szCs w:val="24"/>
        </w:rPr>
      </w:pPr>
    </w:p>
    <w:p w14:paraId="6FAE6B77">
      <w:pPr>
        <w:pStyle w:val="15"/>
        <w:numPr>
          <w:ilvl w:val="0"/>
          <w:numId w:val="5"/>
        </w:numPr>
        <w:tabs>
          <w:tab w:val="left" w:pos="1160"/>
        </w:tabs>
        <w:snapToGrid w:val="0"/>
        <w:spacing w:before="69" w:line="300" w:lineRule="auto"/>
        <w:jc w:val="both"/>
        <w:rPr>
          <w:rFonts w:ascii="Arial" w:hAnsi="Arial" w:eastAsia="宋体" w:cs="Arial"/>
          <w:spacing w:val="-9"/>
          <w:sz w:val="24"/>
          <w:szCs w:val="24"/>
          <w:lang w:eastAsia="zh-CN"/>
        </w:rPr>
      </w:pPr>
      <w:r>
        <w:rPr>
          <w:rFonts w:ascii="Arial" w:hAnsi="Arial" w:eastAsia="宋体" w:cs="Arial"/>
          <w:spacing w:val="-9"/>
          <w:sz w:val="24"/>
          <w:szCs w:val="24"/>
          <w:lang w:eastAsia="zh-CN"/>
        </w:rPr>
        <w:t>基线数据收集 - 量化消融前6个月的VT发作次数。</w:t>
      </w:r>
    </w:p>
    <w:p w14:paraId="59D43DE6">
      <w:pPr>
        <w:pStyle w:val="15"/>
        <w:numPr>
          <w:ilvl w:val="0"/>
          <w:numId w:val="5"/>
        </w:numPr>
        <w:tabs>
          <w:tab w:val="left" w:pos="1160"/>
        </w:tabs>
        <w:snapToGrid w:val="0"/>
        <w:spacing w:before="69" w:line="300" w:lineRule="auto"/>
        <w:jc w:val="both"/>
        <w:rPr>
          <w:rFonts w:ascii="Arial" w:hAnsi="Arial" w:eastAsia="宋体" w:cs="Arial"/>
          <w:spacing w:val="-9"/>
          <w:sz w:val="24"/>
          <w:szCs w:val="24"/>
          <w:lang w:eastAsia="zh-CN"/>
        </w:rPr>
      </w:pPr>
      <w:r>
        <w:rPr>
          <w:rFonts w:ascii="Arial" w:hAnsi="Arial" w:eastAsia="宋体" w:cs="Arial"/>
          <w:spacing w:val="-9"/>
          <w:sz w:val="24"/>
          <w:szCs w:val="24"/>
          <w:lang w:eastAsia="zh-CN"/>
        </w:rPr>
        <w:t>用于评估心室射血分数和心室内血栓是否存在的超声心动图。</w:t>
      </w:r>
    </w:p>
    <w:p w14:paraId="7217619D">
      <w:pPr>
        <w:pStyle w:val="15"/>
        <w:numPr>
          <w:ilvl w:val="0"/>
          <w:numId w:val="5"/>
        </w:numPr>
        <w:tabs>
          <w:tab w:val="left" w:pos="1160"/>
        </w:tabs>
        <w:snapToGrid w:val="0"/>
        <w:spacing w:before="69" w:line="300" w:lineRule="auto"/>
        <w:jc w:val="both"/>
        <w:rPr>
          <w:rFonts w:ascii="Arial" w:hAnsi="Arial" w:eastAsia="宋体" w:cs="Arial"/>
          <w:spacing w:val="-9"/>
          <w:sz w:val="24"/>
          <w:szCs w:val="24"/>
          <w:lang w:eastAsia="zh-CN"/>
        </w:rPr>
      </w:pPr>
      <w:r>
        <w:rPr>
          <w:rFonts w:ascii="Arial" w:hAnsi="Arial" w:eastAsia="宋体" w:cs="Arial"/>
          <w:spacing w:val="-9"/>
          <w:sz w:val="24"/>
          <w:szCs w:val="24"/>
          <w:lang w:eastAsia="zh-CN"/>
        </w:rPr>
        <w:t>神经科医师进行的神经检查。</w:t>
      </w:r>
    </w:p>
    <w:p w14:paraId="3F8073DA">
      <w:pPr>
        <w:pStyle w:val="15"/>
        <w:tabs>
          <w:tab w:val="left" w:pos="1160"/>
        </w:tabs>
        <w:snapToGrid w:val="0"/>
        <w:spacing w:before="69" w:line="300" w:lineRule="auto"/>
        <w:ind w:left="1160"/>
        <w:jc w:val="both"/>
        <w:rPr>
          <w:rFonts w:ascii="Arial" w:hAnsi="Arial" w:eastAsia="宋体" w:cs="Arial"/>
          <w:spacing w:val="-9"/>
          <w:sz w:val="24"/>
          <w:szCs w:val="24"/>
          <w:lang w:eastAsia="zh-CN"/>
        </w:rPr>
      </w:pPr>
    </w:p>
    <w:p w14:paraId="51E3BAFC">
      <w:pPr>
        <w:tabs>
          <w:tab w:val="left" w:pos="1160"/>
        </w:tabs>
        <w:snapToGrid w:val="0"/>
        <w:spacing w:line="300" w:lineRule="auto"/>
        <w:ind w:left="440"/>
        <w:jc w:val="both"/>
        <w:rPr>
          <w:rFonts w:ascii="Arial" w:hAnsi="Arial" w:eastAsia="宋体" w:cs="Arial"/>
          <w:spacing w:val="-9"/>
          <w:sz w:val="24"/>
          <w:szCs w:val="24"/>
          <w:lang w:eastAsia="zh-CN"/>
        </w:rPr>
      </w:pPr>
      <w:r>
        <w:rPr>
          <w:rFonts w:ascii="Arial" w:hAnsi="Arial" w:eastAsia="宋体" w:cs="Arial"/>
          <w:spacing w:val="-9"/>
          <w:sz w:val="24"/>
          <w:szCs w:val="24"/>
          <w:lang w:eastAsia="zh-CN"/>
        </w:rPr>
        <w:t>消融后和随访建议</w:t>
      </w:r>
    </w:p>
    <w:p w14:paraId="616346D3">
      <w:pPr>
        <w:pStyle w:val="15"/>
        <w:numPr>
          <w:ilvl w:val="0"/>
          <w:numId w:val="6"/>
        </w:numPr>
        <w:tabs>
          <w:tab w:val="left" w:pos="840"/>
        </w:tabs>
        <w:snapToGrid w:val="0"/>
        <w:spacing w:before="7" w:line="300" w:lineRule="auto"/>
        <w:jc w:val="both"/>
        <w:rPr>
          <w:rFonts w:ascii="Arial" w:hAnsi="Arial" w:eastAsia="宋体" w:cs="Arial"/>
          <w:sz w:val="24"/>
          <w:szCs w:val="24"/>
          <w:lang w:eastAsia="zh-CN"/>
        </w:rPr>
      </w:pPr>
      <w:r>
        <w:rPr>
          <w:rFonts w:ascii="Arial" w:hAnsi="Arial" w:eastAsia="宋体" w:cs="Arial"/>
          <w:sz w:val="24"/>
          <w:szCs w:val="24"/>
          <w:lang w:eastAsia="zh-CN"/>
        </w:rPr>
        <w:t>尝试主要 VT底物的再诱导。</w:t>
      </w:r>
    </w:p>
    <w:p w14:paraId="1DD652A2">
      <w:pPr>
        <w:pStyle w:val="15"/>
        <w:numPr>
          <w:ilvl w:val="0"/>
          <w:numId w:val="6"/>
        </w:numPr>
        <w:tabs>
          <w:tab w:val="left" w:pos="840"/>
        </w:tabs>
        <w:snapToGrid w:val="0"/>
        <w:spacing w:before="7" w:line="300" w:lineRule="auto"/>
        <w:jc w:val="both"/>
        <w:rPr>
          <w:rFonts w:ascii="Arial" w:hAnsi="Arial" w:eastAsia="宋体" w:cs="Arial"/>
          <w:sz w:val="24"/>
          <w:szCs w:val="24"/>
          <w:lang w:eastAsia="zh-CN"/>
        </w:rPr>
      </w:pPr>
      <w:r>
        <w:rPr>
          <w:rFonts w:ascii="Arial" w:hAnsi="Arial" w:eastAsia="宋体" w:cs="Arial"/>
          <w:spacing w:val="-9"/>
          <w:sz w:val="24"/>
          <w:szCs w:val="24"/>
          <w:lang w:eastAsia="zh-CN"/>
        </w:rPr>
        <w:t>用于评估心室射血分数和心室内血栓是否</w:t>
      </w:r>
      <w:r>
        <w:rPr>
          <w:rFonts w:ascii="Arial" w:hAnsi="Arial" w:eastAsia="宋体" w:cs="Arial"/>
          <w:sz w:val="24"/>
          <w:szCs w:val="24"/>
          <w:lang w:eastAsia="zh-CN"/>
        </w:rPr>
        <w:t>存在</w:t>
      </w:r>
      <w:r>
        <w:rPr>
          <w:rFonts w:ascii="Arial" w:hAnsi="Arial" w:eastAsia="宋体" w:cs="Arial"/>
          <w:spacing w:val="-9"/>
          <w:sz w:val="24"/>
          <w:szCs w:val="24"/>
          <w:lang w:eastAsia="zh-CN"/>
        </w:rPr>
        <w:t>的超声心动图。</w:t>
      </w:r>
    </w:p>
    <w:p w14:paraId="20EF4285">
      <w:pPr>
        <w:pStyle w:val="15"/>
        <w:tabs>
          <w:tab w:val="left" w:pos="840"/>
        </w:tabs>
        <w:snapToGrid w:val="0"/>
        <w:spacing w:before="7" w:line="300" w:lineRule="auto"/>
        <w:ind w:firstLine="444" w:firstLineChars="200"/>
        <w:jc w:val="both"/>
        <w:rPr>
          <w:rFonts w:ascii="Arial" w:hAnsi="Arial" w:eastAsia="宋体" w:cs="Arial"/>
          <w:sz w:val="24"/>
          <w:szCs w:val="24"/>
          <w:lang w:eastAsia="zh-CN"/>
        </w:rPr>
      </w:pPr>
      <w:r>
        <w:rPr>
          <w:rFonts w:ascii="Arial" w:hAnsi="Arial" w:eastAsia="宋体" w:cs="Arial"/>
          <w:spacing w:val="-9"/>
          <w:sz w:val="24"/>
          <w:szCs w:val="24"/>
          <w:lang w:eastAsia="zh-CN"/>
        </w:rPr>
        <w:t>3）神经科医师进行的神经检查。</w:t>
      </w:r>
    </w:p>
    <w:p w14:paraId="0810D122">
      <w:pPr>
        <w:pStyle w:val="15"/>
        <w:numPr>
          <w:ilvl w:val="0"/>
          <w:numId w:val="7"/>
        </w:numPr>
        <w:tabs>
          <w:tab w:val="left" w:pos="840"/>
        </w:tabs>
        <w:snapToGrid w:val="0"/>
        <w:spacing w:before="7" w:line="300" w:lineRule="auto"/>
        <w:ind w:hanging="720"/>
        <w:jc w:val="both"/>
        <w:rPr>
          <w:rFonts w:ascii="Arial" w:hAnsi="Arial" w:eastAsia="宋体" w:cs="Arial"/>
          <w:sz w:val="24"/>
          <w:szCs w:val="24"/>
          <w:lang w:eastAsia="zh-CN"/>
        </w:rPr>
      </w:pPr>
      <w:r>
        <w:rPr>
          <w:rFonts w:ascii="Arial" w:hAnsi="Arial" w:eastAsia="宋体" w:cs="Arial"/>
          <w:sz w:val="24"/>
          <w:szCs w:val="24"/>
          <w:lang w:eastAsia="zh-CN"/>
        </w:rPr>
        <w:t>计数消融后6个月的VT发作。</w:t>
      </w:r>
    </w:p>
    <w:p w14:paraId="5E545EF2">
      <w:pPr>
        <w:pStyle w:val="15"/>
        <w:numPr>
          <w:ilvl w:val="0"/>
          <w:numId w:val="7"/>
        </w:numPr>
        <w:tabs>
          <w:tab w:val="left" w:pos="840"/>
        </w:tabs>
        <w:snapToGrid w:val="0"/>
        <w:spacing w:before="7" w:line="300" w:lineRule="auto"/>
        <w:ind w:hanging="720"/>
        <w:jc w:val="both"/>
        <w:rPr>
          <w:rFonts w:ascii="Arial" w:hAnsi="Arial" w:eastAsia="宋体" w:cs="Arial"/>
          <w:sz w:val="24"/>
          <w:szCs w:val="24"/>
          <w:lang w:eastAsia="zh-CN"/>
        </w:rPr>
      </w:pPr>
      <w:r>
        <w:rPr>
          <w:rFonts w:ascii="Arial" w:hAnsi="Arial" w:eastAsia="宋体" w:cs="Arial"/>
          <w:sz w:val="24"/>
          <w:szCs w:val="24"/>
          <w:lang w:eastAsia="zh-CN"/>
        </w:rPr>
        <w:t>定期进行至少6个月的随访评价（身体检查、心电图）。继续进行随访电话联系，共12个月。</w:t>
      </w:r>
    </w:p>
    <w:p w14:paraId="634A3AAE">
      <w:pPr>
        <w:snapToGrid w:val="0"/>
        <w:spacing w:before="6" w:line="300" w:lineRule="auto"/>
        <w:jc w:val="both"/>
        <w:rPr>
          <w:rFonts w:ascii="Arial" w:hAnsi="Arial" w:eastAsia="宋体" w:cs="Arial"/>
          <w:sz w:val="24"/>
          <w:szCs w:val="24"/>
          <w:lang w:eastAsia="zh-CN"/>
        </w:rPr>
      </w:pPr>
    </w:p>
    <w:p w14:paraId="3A6CAB9A">
      <w:pPr>
        <w:pStyle w:val="6"/>
        <w:snapToGrid w:val="0"/>
        <w:spacing w:line="300" w:lineRule="auto"/>
        <w:ind w:left="440"/>
        <w:jc w:val="both"/>
        <w:rPr>
          <w:rFonts w:ascii="Arial" w:hAnsi="Arial" w:eastAsia="宋体" w:cs="Arial"/>
          <w:u w:val="single" w:color="000000"/>
          <w:lang w:eastAsia="zh-CN"/>
        </w:rPr>
      </w:pPr>
      <w:r>
        <w:rPr>
          <w:rFonts w:ascii="Arial" w:hAnsi="Arial" w:eastAsia="宋体" w:cs="Arial"/>
          <w:u w:val="single" w:color="000000"/>
          <w:lang w:eastAsia="zh-CN"/>
        </w:rPr>
        <w:t>重复消融</w:t>
      </w:r>
    </w:p>
    <w:p w14:paraId="2B8279B9">
      <w:pPr>
        <w:snapToGrid w:val="0"/>
        <w:spacing w:before="3" w:line="300" w:lineRule="auto"/>
        <w:jc w:val="both"/>
        <w:rPr>
          <w:rFonts w:ascii="Arial" w:hAnsi="Arial" w:eastAsia="宋体" w:cs="Arial"/>
          <w:sz w:val="24"/>
          <w:szCs w:val="24"/>
          <w:lang w:eastAsia="zh-CN"/>
        </w:rPr>
      </w:pPr>
    </w:p>
    <w:p w14:paraId="5371D6DF">
      <w:pPr>
        <w:pStyle w:val="6"/>
        <w:snapToGrid w:val="0"/>
        <w:spacing w:before="69" w:line="300" w:lineRule="auto"/>
        <w:ind w:left="440"/>
        <w:jc w:val="both"/>
        <w:rPr>
          <w:rFonts w:ascii="Arial" w:hAnsi="Arial" w:eastAsia="宋体" w:cs="Arial"/>
          <w:lang w:eastAsia="zh-CN"/>
        </w:rPr>
      </w:pPr>
      <w:r>
        <w:rPr>
          <w:rFonts w:ascii="Arial" w:hAnsi="Arial" w:eastAsia="宋体" w:cs="Arial"/>
          <w:lang w:eastAsia="zh-CN"/>
        </w:rPr>
        <w:t xml:space="preserve">虽然可能需要患者接受重复消融，但重要的是要保持研究设计的完整性。一般来说，这意味着，一旦其被分类为6个月失败，患者可以再接受额外的重复消融。具体来说： </w:t>
      </w:r>
    </w:p>
    <w:p w14:paraId="2C11BFC6">
      <w:pPr>
        <w:widowControl/>
        <w:rPr>
          <w:rFonts w:ascii="Arial" w:hAnsi="Arial" w:eastAsia="宋体" w:cs="Arial"/>
          <w:sz w:val="24"/>
          <w:szCs w:val="24"/>
          <w:lang w:eastAsia="zh-CN"/>
        </w:rPr>
      </w:pPr>
      <w:r>
        <w:rPr>
          <w:rFonts w:ascii="Arial" w:hAnsi="Arial" w:eastAsia="宋体" w:cs="Arial"/>
          <w:sz w:val="24"/>
          <w:szCs w:val="24"/>
          <w:lang w:eastAsia="zh-CN"/>
        </w:rPr>
        <w:br w:type="page"/>
      </w:r>
    </w:p>
    <w:p w14:paraId="3CB6A350">
      <w:pPr>
        <w:pStyle w:val="15"/>
        <w:numPr>
          <w:ilvl w:val="1"/>
          <w:numId w:val="7"/>
        </w:numPr>
        <w:tabs>
          <w:tab w:val="left" w:pos="1180"/>
        </w:tabs>
        <w:snapToGrid w:val="0"/>
        <w:spacing w:before="38" w:line="300" w:lineRule="auto"/>
        <w:jc w:val="both"/>
        <w:rPr>
          <w:rFonts w:ascii="Arial" w:hAnsi="Arial" w:eastAsia="宋体" w:cs="Arial"/>
          <w:sz w:val="24"/>
          <w:szCs w:val="24"/>
          <w:lang w:eastAsia="zh-CN"/>
        </w:rPr>
      </w:pPr>
      <w:r>
        <w:rPr>
          <w:rFonts w:ascii="Arial" w:hAnsi="Arial" w:eastAsia="宋体" w:cs="Arial"/>
          <w:sz w:val="24"/>
          <w:szCs w:val="24"/>
          <w:lang w:eastAsia="zh-CN"/>
        </w:rPr>
        <w:t>如果贵公司对6个月成功的定义是</w:t>
      </w:r>
      <w:r>
        <w:rPr>
          <w:rFonts w:ascii="宋体" w:hAnsi="宋体" w:eastAsia="宋体" w:cs="Arial"/>
          <w:sz w:val="24"/>
          <w:szCs w:val="24"/>
          <w:lang w:eastAsia="zh-CN"/>
        </w:rPr>
        <w:t>“</w:t>
      </w:r>
      <w:r>
        <w:rPr>
          <w:rFonts w:ascii="Arial" w:hAnsi="Arial" w:eastAsia="宋体" w:cs="Arial"/>
          <w:sz w:val="24"/>
          <w:szCs w:val="24"/>
          <w:lang w:eastAsia="zh-CN"/>
        </w:rPr>
        <w:t>无VT发作</w:t>
      </w:r>
      <w:r>
        <w:rPr>
          <w:rFonts w:ascii="宋体" w:hAnsi="宋体" w:eastAsia="宋体" w:cs="Arial"/>
          <w:sz w:val="24"/>
          <w:szCs w:val="24"/>
          <w:lang w:eastAsia="zh-CN"/>
        </w:rPr>
        <w:t>”</w:t>
      </w:r>
      <w:r>
        <w:rPr>
          <w:rFonts w:ascii="Arial" w:hAnsi="Arial" w:eastAsia="宋体" w:cs="Arial"/>
          <w:sz w:val="24"/>
          <w:szCs w:val="24"/>
          <w:lang w:eastAsia="zh-CN"/>
        </w:rPr>
        <w:t>，则一旦患者出现第一次VT发作，患者可能会接受第二次消融，前提是贵公司已设置足够的随访来获取急性不良事件（7天）。</w:t>
      </w:r>
    </w:p>
    <w:p w14:paraId="3C842A56">
      <w:pPr>
        <w:pStyle w:val="15"/>
        <w:numPr>
          <w:ilvl w:val="1"/>
          <w:numId w:val="7"/>
        </w:numPr>
        <w:tabs>
          <w:tab w:val="left" w:pos="1180"/>
        </w:tabs>
        <w:snapToGrid w:val="0"/>
        <w:spacing w:before="38" w:line="300" w:lineRule="auto"/>
        <w:jc w:val="both"/>
        <w:rPr>
          <w:rFonts w:ascii="Arial" w:hAnsi="Arial" w:eastAsia="宋体" w:cs="Arial"/>
          <w:sz w:val="24"/>
          <w:szCs w:val="24"/>
          <w:lang w:eastAsia="zh-CN"/>
        </w:rPr>
      </w:pPr>
      <w:r>
        <w:rPr>
          <w:rFonts w:ascii="Arial" w:hAnsi="Arial" w:eastAsia="宋体" w:cs="Arial"/>
          <w:sz w:val="24"/>
          <w:szCs w:val="24"/>
          <w:lang w:eastAsia="zh-CN"/>
        </w:rPr>
        <w:t>如果贵公司对6个月成功的定义是</w:t>
      </w:r>
      <w:r>
        <w:rPr>
          <w:rFonts w:ascii="宋体" w:hAnsi="宋体" w:eastAsia="宋体" w:cs="Arial"/>
          <w:sz w:val="24"/>
          <w:szCs w:val="24"/>
          <w:lang w:eastAsia="zh-CN"/>
        </w:rPr>
        <w:t>“</w:t>
      </w:r>
      <w:r>
        <w:rPr>
          <w:rFonts w:ascii="Arial" w:hAnsi="Arial" w:eastAsia="宋体" w:cs="Arial"/>
          <w:sz w:val="24"/>
          <w:szCs w:val="24"/>
          <w:lang w:eastAsia="zh-CN"/>
        </w:rPr>
        <w:t>VT发作减少</w:t>
      </w:r>
      <w:r>
        <w:rPr>
          <w:rFonts w:ascii="宋体" w:hAnsi="宋体" w:eastAsia="宋体" w:cs="Arial"/>
          <w:sz w:val="24"/>
          <w:szCs w:val="24"/>
          <w:lang w:eastAsia="zh-CN"/>
        </w:rPr>
        <w:t>”</w:t>
      </w:r>
      <w:r>
        <w:rPr>
          <w:rFonts w:ascii="Arial" w:hAnsi="Arial" w:eastAsia="宋体" w:cs="Arial"/>
          <w:sz w:val="24"/>
          <w:szCs w:val="24"/>
          <w:lang w:eastAsia="zh-CN"/>
        </w:rPr>
        <w:t>，则一旦患者出现足够数量的发作，患者可能会接受第二次消融以将其分类为6个月失败。</w:t>
      </w:r>
    </w:p>
    <w:p w14:paraId="0BEB9492">
      <w:pPr>
        <w:snapToGrid w:val="0"/>
        <w:spacing w:before="3" w:line="300" w:lineRule="auto"/>
        <w:jc w:val="both"/>
        <w:rPr>
          <w:rFonts w:ascii="Arial" w:hAnsi="Arial" w:eastAsia="宋体" w:cs="Arial"/>
          <w:sz w:val="24"/>
          <w:szCs w:val="24"/>
          <w:lang w:eastAsia="zh-CN"/>
        </w:rPr>
      </w:pPr>
    </w:p>
    <w:p w14:paraId="22F83C7A">
      <w:pPr>
        <w:tabs>
          <w:tab w:val="left" w:pos="2711"/>
        </w:tabs>
        <w:snapToGrid w:val="0"/>
        <w:spacing w:line="300" w:lineRule="auto"/>
        <w:ind w:left="2711" w:hanging="1440"/>
        <w:jc w:val="both"/>
        <w:rPr>
          <w:rFonts w:ascii="Arial" w:hAnsi="Arial" w:eastAsia="宋体" w:cs="Arial"/>
          <w:sz w:val="24"/>
          <w:szCs w:val="24"/>
          <w:lang w:eastAsia="zh-CN"/>
        </w:rPr>
      </w:pPr>
      <w:r>
        <w:rPr>
          <w:rFonts w:ascii="Arial" w:hAnsi="Arial" w:eastAsia="宋体" w:cs="Arial"/>
          <w:i/>
          <w:sz w:val="24"/>
          <w:szCs w:val="24"/>
          <w:lang w:eastAsia="zh-CN"/>
        </w:rPr>
        <w:t>注意：</w:t>
      </w:r>
      <w:r>
        <w:rPr>
          <w:rFonts w:ascii="Arial" w:hAnsi="Arial" w:eastAsia="宋体" w:cs="Arial"/>
          <w:i/>
          <w:sz w:val="24"/>
          <w:szCs w:val="24"/>
          <w:lang w:eastAsia="zh-CN"/>
        </w:rPr>
        <w:tab/>
      </w:r>
      <w:r>
        <w:rPr>
          <w:rFonts w:hint="eastAsia" w:ascii="Arial" w:hAnsi="Arial" w:eastAsia="宋体" w:cs="Arial"/>
          <w:i/>
          <w:sz w:val="24"/>
          <w:szCs w:val="24"/>
          <w:lang w:eastAsia="zh-CN"/>
        </w:rPr>
        <w:t>由于此信息将出现在贵公司的标签中，因此贵公司应努力保持提供重复消融的一致性。应鼓励每名研究者应用相同的标准来决定患者是否应接受第二次消融。</w:t>
      </w:r>
    </w:p>
    <w:p w14:paraId="6A00647A">
      <w:pPr>
        <w:snapToGrid w:val="0"/>
        <w:spacing w:before="11" w:line="300" w:lineRule="auto"/>
        <w:jc w:val="both"/>
        <w:rPr>
          <w:rFonts w:ascii="Arial" w:hAnsi="Arial" w:eastAsia="宋体" w:cs="Arial"/>
          <w:i/>
          <w:sz w:val="24"/>
          <w:szCs w:val="24"/>
          <w:lang w:eastAsia="zh-CN"/>
        </w:rPr>
      </w:pPr>
    </w:p>
    <w:p w14:paraId="137E9DCB">
      <w:pPr>
        <w:pStyle w:val="5"/>
        <w:numPr>
          <w:ilvl w:val="0"/>
          <w:numId w:val="3"/>
        </w:numPr>
        <w:tabs>
          <w:tab w:val="left" w:pos="445"/>
        </w:tabs>
        <w:snapToGrid w:val="0"/>
        <w:spacing w:line="300" w:lineRule="auto"/>
        <w:ind w:left="444" w:hanging="344"/>
        <w:jc w:val="both"/>
        <w:rPr>
          <w:rFonts w:ascii="Arial" w:hAnsi="Arial" w:eastAsia="宋体" w:cs="Arial"/>
          <w:b w:val="0"/>
          <w:bCs w:val="0"/>
        </w:rPr>
      </w:pPr>
      <w:r>
        <w:rPr>
          <w:rFonts w:ascii="Arial" w:hAnsi="Arial" w:eastAsia="宋体" w:cs="Arial"/>
          <w:lang w:eastAsia="zh-CN"/>
        </w:rPr>
        <w:t>统计分析</w:t>
      </w:r>
    </w:p>
    <w:p w14:paraId="261495F8">
      <w:pPr>
        <w:snapToGrid w:val="0"/>
        <w:spacing w:before="10" w:line="300" w:lineRule="auto"/>
        <w:jc w:val="both"/>
        <w:rPr>
          <w:rFonts w:ascii="Arial" w:hAnsi="Arial" w:eastAsia="宋体" w:cs="Arial"/>
          <w:b/>
          <w:bCs/>
          <w:sz w:val="24"/>
          <w:szCs w:val="24"/>
        </w:rPr>
      </w:pPr>
    </w:p>
    <w:p w14:paraId="21C5ECB1">
      <w:pPr>
        <w:pStyle w:val="6"/>
        <w:snapToGrid w:val="0"/>
        <w:spacing w:line="300" w:lineRule="auto"/>
        <w:jc w:val="both"/>
        <w:rPr>
          <w:rFonts w:ascii="Arial" w:hAnsi="Arial" w:eastAsia="宋体" w:cs="Arial"/>
          <w:u w:val="single"/>
        </w:rPr>
      </w:pPr>
      <w:r>
        <w:rPr>
          <w:rFonts w:ascii="Arial" w:hAnsi="Arial" w:eastAsia="宋体" w:cs="Arial"/>
          <w:u w:val="single"/>
          <w:lang w:eastAsia="zh-CN"/>
        </w:rPr>
        <w:t>推荐统计资料</w:t>
      </w:r>
    </w:p>
    <w:p w14:paraId="40B81731">
      <w:pPr>
        <w:snapToGrid w:val="0"/>
        <w:spacing w:before="3" w:line="300" w:lineRule="auto"/>
        <w:jc w:val="both"/>
        <w:rPr>
          <w:rFonts w:ascii="Arial" w:hAnsi="Arial" w:eastAsia="宋体" w:cs="Arial"/>
          <w:sz w:val="24"/>
          <w:szCs w:val="24"/>
        </w:rPr>
      </w:pPr>
    </w:p>
    <w:p w14:paraId="5A8D8F98">
      <w:pPr>
        <w:pStyle w:val="6"/>
        <w:snapToGrid w:val="0"/>
        <w:spacing w:before="69" w:line="300" w:lineRule="auto"/>
        <w:jc w:val="both"/>
        <w:rPr>
          <w:rFonts w:ascii="Arial" w:hAnsi="Arial" w:eastAsia="宋体" w:cs="Arial"/>
          <w:lang w:eastAsia="zh-CN"/>
        </w:rPr>
      </w:pPr>
      <w:r>
        <w:rPr>
          <w:rFonts w:ascii="Arial" w:hAnsi="Arial" w:eastAsia="宋体" w:cs="Arial"/>
          <w:lang w:eastAsia="zh-CN"/>
        </w:rPr>
        <w:t>使用描述性统计资料来呈现人口统计数据、成功率、并发症发生率以及消融前后的VT发作次数。对于成功率和并发症发生率，请为这些比例明确95％置信限度。对于消融前后的VT发作次数，请明确中位数（或平均值，如果贵公司能够证明数据正常分布）。</w:t>
      </w:r>
    </w:p>
    <w:p w14:paraId="278CF7FA">
      <w:pPr>
        <w:snapToGrid w:val="0"/>
        <w:spacing w:before="6" w:line="300" w:lineRule="auto"/>
        <w:jc w:val="both"/>
        <w:rPr>
          <w:rFonts w:ascii="Arial" w:hAnsi="Arial" w:eastAsia="宋体" w:cs="Arial"/>
          <w:sz w:val="24"/>
          <w:szCs w:val="24"/>
          <w:lang w:eastAsia="zh-CN"/>
        </w:rPr>
      </w:pPr>
    </w:p>
    <w:p w14:paraId="7E946876">
      <w:pPr>
        <w:pStyle w:val="6"/>
        <w:snapToGrid w:val="0"/>
        <w:spacing w:line="300" w:lineRule="auto"/>
        <w:jc w:val="both"/>
        <w:rPr>
          <w:rFonts w:ascii="Arial" w:hAnsi="Arial" w:eastAsia="宋体" w:cs="Arial"/>
          <w:lang w:eastAsia="zh-CN"/>
        </w:rPr>
      </w:pPr>
      <w:r>
        <w:rPr>
          <w:rFonts w:ascii="Arial" w:hAnsi="Arial" w:eastAsia="宋体" w:cs="Arial"/>
          <w:lang w:eastAsia="zh-CN"/>
        </w:rPr>
        <w:t>为了将贵公司观察到的成功率与贵公司假设的成功率进行比较，请使用单一比例的试验。</w:t>
      </w:r>
    </w:p>
    <w:p w14:paraId="32F0E8C9">
      <w:pPr>
        <w:pStyle w:val="6"/>
        <w:snapToGrid w:val="0"/>
        <w:spacing w:line="300" w:lineRule="auto"/>
        <w:jc w:val="both"/>
        <w:rPr>
          <w:rFonts w:ascii="Arial" w:hAnsi="Arial" w:eastAsia="宋体" w:cs="Arial"/>
          <w:spacing w:val="-3"/>
          <w:u w:val="single" w:color="000000"/>
          <w:lang w:eastAsia="zh-CN"/>
        </w:rPr>
      </w:pPr>
    </w:p>
    <w:p w14:paraId="3D7D45D3">
      <w:pPr>
        <w:pStyle w:val="6"/>
        <w:snapToGrid w:val="0"/>
        <w:spacing w:line="300" w:lineRule="auto"/>
        <w:jc w:val="both"/>
        <w:rPr>
          <w:rFonts w:ascii="Arial" w:hAnsi="Arial" w:eastAsia="宋体" w:cs="Arial"/>
          <w:u w:val="single"/>
          <w:lang w:eastAsia="zh-CN"/>
        </w:rPr>
      </w:pPr>
      <w:r>
        <w:rPr>
          <w:rFonts w:ascii="Arial" w:hAnsi="Arial" w:eastAsia="宋体" w:cs="Arial"/>
          <w:u w:val="single"/>
          <w:lang w:eastAsia="zh-CN"/>
        </w:rPr>
        <w:t>通过成功与部分成功分层6个月有效性</w:t>
      </w:r>
    </w:p>
    <w:p w14:paraId="1537D6BE">
      <w:pPr>
        <w:pStyle w:val="6"/>
        <w:snapToGrid w:val="0"/>
        <w:spacing w:before="69" w:line="300" w:lineRule="auto"/>
        <w:ind w:left="819"/>
        <w:jc w:val="both"/>
        <w:rPr>
          <w:rFonts w:ascii="Arial" w:hAnsi="Arial" w:eastAsia="宋体" w:cs="Arial"/>
          <w:lang w:eastAsia="zh-CN"/>
        </w:rPr>
      </w:pPr>
    </w:p>
    <w:p w14:paraId="070BB2EB">
      <w:pPr>
        <w:pStyle w:val="6"/>
        <w:snapToGrid w:val="0"/>
        <w:spacing w:before="69" w:line="300" w:lineRule="auto"/>
        <w:ind w:left="819"/>
        <w:jc w:val="both"/>
        <w:rPr>
          <w:rFonts w:ascii="Arial" w:hAnsi="Arial" w:eastAsia="宋体" w:cs="Arial"/>
          <w:lang w:eastAsia="zh-CN"/>
        </w:rPr>
      </w:pPr>
      <w:r>
        <w:rPr>
          <w:rFonts w:ascii="Arial" w:hAnsi="Arial" w:eastAsia="宋体" w:cs="Arial"/>
          <w:lang w:eastAsia="zh-CN"/>
        </w:rPr>
        <w:t>作为次要分析，贵公司可能希望将贵公司的长期有效性结果分为两组：在随访时明显无症状的患者和靶向VT消失但发展出新的VT形态从而导致随访期出现症状发作的患者。</w:t>
      </w:r>
    </w:p>
    <w:p w14:paraId="0FE4767F">
      <w:pPr>
        <w:snapToGrid w:val="0"/>
        <w:spacing w:line="300" w:lineRule="auto"/>
        <w:jc w:val="both"/>
        <w:rPr>
          <w:rFonts w:ascii="Arial" w:hAnsi="Arial" w:eastAsia="宋体" w:cs="Arial"/>
          <w:lang w:eastAsia="zh-CN"/>
        </w:rPr>
        <w:sectPr>
          <w:pgSz w:w="12240" w:h="15840"/>
          <w:pgMar w:top="1134" w:right="1134" w:bottom="1134" w:left="1134" w:header="0" w:footer="850" w:gutter="0"/>
          <w:cols w:space="720" w:num="1"/>
          <w:docGrid w:linePitch="299" w:charSpace="0"/>
        </w:sectPr>
      </w:pPr>
    </w:p>
    <w:p w14:paraId="71CEB149">
      <w:pPr>
        <w:pStyle w:val="3"/>
        <w:numPr>
          <w:ilvl w:val="0"/>
          <w:numId w:val="2"/>
        </w:numPr>
        <w:tabs>
          <w:tab w:val="left" w:pos="634"/>
        </w:tabs>
        <w:snapToGrid w:val="0"/>
        <w:spacing w:line="300" w:lineRule="auto"/>
        <w:ind w:left="633" w:hanging="533"/>
        <w:jc w:val="both"/>
        <w:rPr>
          <w:rFonts w:ascii="Arial" w:hAnsi="Arial" w:eastAsia="宋体" w:cs="Arial"/>
          <w:spacing w:val="-25"/>
        </w:rPr>
      </w:pPr>
      <w:r>
        <w:rPr>
          <w:rFonts w:ascii="Arial" w:hAnsi="Arial" w:eastAsia="宋体" w:cs="Arial"/>
          <w:spacing w:val="-25"/>
        </w:rPr>
        <w:t>随机研究设计</w:t>
      </w:r>
      <w:r>
        <w:rPr>
          <w:rFonts w:ascii="Arial" w:hAnsi="Arial" w:eastAsia="宋体" w:cs="Arial"/>
          <w:spacing w:val="-25"/>
          <w:lang w:eastAsia="zh-CN"/>
        </w:rPr>
        <w:t>选项</w:t>
      </w:r>
    </w:p>
    <w:p w14:paraId="6F9BF307">
      <w:pPr>
        <w:snapToGrid w:val="0"/>
        <w:spacing w:before="4" w:line="300" w:lineRule="auto"/>
        <w:jc w:val="both"/>
        <w:rPr>
          <w:rFonts w:ascii="Arial" w:hAnsi="Arial" w:eastAsia="宋体" w:cs="Arial"/>
          <w:b/>
          <w:bCs/>
          <w:sz w:val="25"/>
          <w:szCs w:val="25"/>
        </w:rPr>
      </w:pPr>
    </w:p>
    <w:p w14:paraId="60EAC0B4">
      <w:pPr>
        <w:pStyle w:val="5"/>
        <w:numPr>
          <w:ilvl w:val="0"/>
          <w:numId w:val="8"/>
        </w:numPr>
        <w:tabs>
          <w:tab w:val="left" w:pos="459"/>
        </w:tabs>
        <w:snapToGrid w:val="0"/>
        <w:spacing w:line="300" w:lineRule="auto"/>
        <w:ind w:hanging="358"/>
        <w:jc w:val="both"/>
        <w:rPr>
          <w:rFonts w:ascii="Arial" w:hAnsi="Arial" w:eastAsia="宋体" w:cs="Arial"/>
          <w:b w:val="0"/>
          <w:bCs w:val="0"/>
        </w:rPr>
      </w:pPr>
      <w:r>
        <w:rPr>
          <w:rFonts w:ascii="Arial" w:hAnsi="Arial" w:eastAsia="宋体" w:cs="Arial"/>
          <w:lang w:eastAsia="zh-CN"/>
        </w:rPr>
        <w:t>研究设计：两个选项</w:t>
      </w:r>
    </w:p>
    <w:p w14:paraId="42D35B19">
      <w:pPr>
        <w:snapToGrid w:val="0"/>
        <w:spacing w:before="10" w:line="300" w:lineRule="auto"/>
        <w:jc w:val="both"/>
        <w:rPr>
          <w:rFonts w:ascii="Arial" w:hAnsi="Arial" w:eastAsia="宋体" w:cs="Arial"/>
          <w:b/>
          <w:bCs/>
          <w:sz w:val="24"/>
          <w:szCs w:val="24"/>
        </w:rPr>
      </w:pPr>
    </w:p>
    <w:p w14:paraId="5399122E">
      <w:pPr>
        <w:pStyle w:val="6"/>
        <w:snapToGrid w:val="0"/>
        <w:spacing w:line="300" w:lineRule="auto"/>
        <w:ind w:left="819"/>
        <w:jc w:val="both"/>
        <w:rPr>
          <w:rFonts w:ascii="Arial" w:hAnsi="Arial" w:eastAsia="宋体" w:cs="Arial"/>
          <w:lang w:eastAsia="zh-CN"/>
        </w:rPr>
      </w:pPr>
      <w:r>
        <w:rPr>
          <w:rFonts w:ascii="Arial" w:hAnsi="Arial" w:eastAsia="宋体" w:cs="Arial"/>
          <w:lang w:eastAsia="zh-CN"/>
        </w:rPr>
        <w:t>这些研究具有随机设计以及并发控制，其中患者被随机分配以使其接受消融或控制治疗。对于已获得上市批准的消融系统，优选情况下，控制治疗应为消融术。然而，如果贵公司试图将贵公司的系统作为VT的一线治疗（并且如果患者不具耐药性），则控制治疗</w:t>
      </w:r>
      <w:r>
        <w:rPr>
          <w:rFonts w:hint="eastAsia" w:ascii="Arial" w:hAnsi="Arial" w:eastAsia="宋体" w:cs="Arial"/>
          <w:i/>
          <w:lang w:eastAsia="zh-CN"/>
        </w:rPr>
        <w:t>可能</w:t>
      </w:r>
      <w:r>
        <w:rPr>
          <w:rFonts w:ascii="Arial" w:hAnsi="Arial" w:eastAsia="宋体" w:cs="Arial"/>
          <w:lang w:eastAsia="zh-CN"/>
        </w:rPr>
        <w:t>是药物。有两个选项可用于比较两组的6个月结果：</w:t>
      </w:r>
    </w:p>
    <w:p w14:paraId="09E449A4">
      <w:pPr>
        <w:pStyle w:val="6"/>
        <w:tabs>
          <w:tab w:val="left" w:pos="2259"/>
        </w:tabs>
        <w:snapToGrid w:val="0"/>
        <w:spacing w:line="300" w:lineRule="auto"/>
        <w:ind w:left="2260" w:hanging="1440"/>
        <w:jc w:val="both"/>
        <w:rPr>
          <w:rFonts w:ascii="Arial" w:hAnsi="Arial" w:eastAsia="宋体" w:cs="Arial"/>
          <w:u w:val="single" w:color="000000"/>
          <w:lang w:eastAsia="zh-CN"/>
        </w:rPr>
      </w:pPr>
    </w:p>
    <w:p w14:paraId="6BCF4DA5">
      <w:pPr>
        <w:pStyle w:val="6"/>
        <w:snapToGrid w:val="0"/>
        <w:spacing w:line="300" w:lineRule="auto"/>
        <w:ind w:left="1848" w:hanging="1028"/>
        <w:jc w:val="both"/>
        <w:rPr>
          <w:rFonts w:ascii="Arial" w:hAnsi="Arial" w:eastAsia="宋体" w:cs="Arial"/>
          <w:i/>
          <w:lang w:eastAsia="zh-CN"/>
        </w:rPr>
      </w:pPr>
      <w:r>
        <w:rPr>
          <w:rFonts w:ascii="Arial" w:hAnsi="Arial" w:eastAsia="宋体" w:cs="Arial"/>
          <w:lang w:eastAsia="zh-CN"/>
        </w:rPr>
        <w:t>选项1：</w:t>
      </w:r>
      <w:r>
        <w:rPr>
          <w:rFonts w:ascii="Arial" w:hAnsi="Arial" w:eastAsia="宋体" w:cs="Arial"/>
          <w:lang w:eastAsia="zh-CN"/>
        </w:rPr>
        <w:tab/>
      </w:r>
      <w:r>
        <w:rPr>
          <w:rFonts w:ascii="Arial" w:hAnsi="Arial" w:eastAsia="宋体" w:cs="Arial"/>
          <w:i/>
          <w:lang w:eastAsia="zh-CN"/>
        </w:rPr>
        <w:t>将每个患者分为6个月</w:t>
      </w:r>
      <w:r>
        <w:rPr>
          <w:rFonts w:ascii="宋体" w:hAnsi="宋体" w:eastAsia="宋体" w:cs="Arial"/>
          <w:i/>
          <w:lang w:eastAsia="zh-CN"/>
        </w:rPr>
        <w:t>“</w:t>
      </w:r>
      <w:r>
        <w:rPr>
          <w:rFonts w:ascii="Arial" w:hAnsi="Arial" w:eastAsia="宋体" w:cs="Arial"/>
          <w:i/>
          <w:lang w:eastAsia="zh-CN"/>
        </w:rPr>
        <w:t>成功</w:t>
      </w:r>
      <w:r>
        <w:rPr>
          <w:rFonts w:ascii="宋体" w:hAnsi="宋体" w:eastAsia="宋体" w:cs="Arial"/>
          <w:i/>
          <w:lang w:eastAsia="zh-CN"/>
        </w:rPr>
        <w:t>”</w:t>
      </w:r>
      <w:r>
        <w:rPr>
          <w:rFonts w:ascii="Arial" w:hAnsi="Arial" w:eastAsia="宋体" w:cs="Arial"/>
          <w:i/>
          <w:lang w:eastAsia="zh-CN"/>
        </w:rPr>
        <w:t>或</w:t>
      </w:r>
      <w:r>
        <w:rPr>
          <w:rFonts w:ascii="宋体" w:hAnsi="宋体" w:eastAsia="宋体" w:cs="Arial"/>
          <w:i/>
          <w:lang w:eastAsia="zh-CN"/>
        </w:rPr>
        <w:t>“</w:t>
      </w:r>
      <w:r>
        <w:rPr>
          <w:rFonts w:ascii="Arial" w:hAnsi="Arial" w:eastAsia="宋体" w:cs="Arial"/>
          <w:i/>
          <w:lang w:eastAsia="zh-CN"/>
        </w:rPr>
        <w:t>失败</w:t>
      </w:r>
      <w:r>
        <w:rPr>
          <w:rFonts w:ascii="宋体" w:hAnsi="宋体" w:eastAsia="宋体" w:cs="Arial"/>
          <w:i/>
          <w:lang w:eastAsia="zh-CN"/>
        </w:rPr>
        <w:t>”</w:t>
      </w:r>
      <w:r>
        <w:rPr>
          <w:rFonts w:ascii="Arial" w:hAnsi="Arial" w:eastAsia="宋体" w:cs="Arial"/>
          <w:i/>
          <w:lang w:eastAsia="zh-CN"/>
        </w:rPr>
        <w:t>，并比较两组之间的成功比例。如果选择了这个选项，则两个治疗组中的患者都将继续接受研究，就像他们作为自己的对照一样，并且将比较成功的相对比例。请为所有患者遵循前面章节</w:t>
      </w:r>
      <w:r>
        <w:rPr>
          <w:rFonts w:ascii="宋体" w:hAnsi="宋体" w:eastAsia="宋体" w:cs="Arial"/>
          <w:i/>
          <w:lang w:eastAsia="zh-CN"/>
        </w:rPr>
        <w:t>“</w:t>
      </w:r>
      <w:r>
        <w:rPr>
          <w:rFonts w:ascii="Arial" w:hAnsi="Arial" w:eastAsia="宋体" w:cs="Arial"/>
          <w:i/>
          <w:lang w:eastAsia="zh-CN"/>
        </w:rPr>
        <w:t>非随机研究设计选项</w:t>
      </w:r>
      <w:r>
        <w:rPr>
          <w:rFonts w:ascii="宋体" w:hAnsi="宋体" w:eastAsia="宋体" w:cs="Arial"/>
          <w:i/>
          <w:lang w:eastAsia="zh-CN"/>
        </w:rPr>
        <w:t>”</w:t>
      </w:r>
      <w:r>
        <w:rPr>
          <w:rFonts w:ascii="Arial" w:hAnsi="Arial" w:eastAsia="宋体" w:cs="Arial"/>
          <w:i/>
          <w:lang w:eastAsia="zh-CN"/>
        </w:rPr>
        <w:t>中提出的建议。贵公司可以跳过之后的其他建议，但请参阅下面</w:t>
      </w:r>
      <w:r>
        <w:rPr>
          <w:rFonts w:ascii="宋体" w:hAnsi="宋体" w:eastAsia="宋体" w:cs="Arial"/>
          <w:i/>
          <w:lang w:eastAsia="zh-CN"/>
        </w:rPr>
        <w:t>“</w:t>
      </w:r>
      <w:r>
        <w:rPr>
          <w:rFonts w:ascii="Arial" w:hAnsi="Arial" w:eastAsia="宋体" w:cs="Arial"/>
          <w:i/>
          <w:lang w:eastAsia="zh-CN"/>
        </w:rPr>
        <w:t>交叉</w:t>
      </w:r>
      <w:r>
        <w:rPr>
          <w:rFonts w:ascii="宋体" w:hAnsi="宋体" w:eastAsia="宋体" w:cs="Arial"/>
          <w:i/>
          <w:lang w:eastAsia="zh-CN"/>
        </w:rPr>
        <w:t>”</w:t>
      </w:r>
      <w:r>
        <w:rPr>
          <w:rFonts w:ascii="Arial" w:hAnsi="Arial" w:eastAsia="宋体" w:cs="Arial"/>
          <w:i/>
          <w:lang w:eastAsia="zh-CN"/>
        </w:rPr>
        <w:t>和</w:t>
      </w:r>
      <w:r>
        <w:rPr>
          <w:rFonts w:ascii="宋体" w:hAnsi="宋体" w:eastAsia="宋体" w:cs="Arial"/>
          <w:i/>
          <w:lang w:eastAsia="zh-CN"/>
        </w:rPr>
        <w:t>“</w:t>
      </w:r>
      <w:r>
        <w:rPr>
          <w:rFonts w:ascii="Arial" w:hAnsi="Arial" w:eastAsia="宋体" w:cs="Arial"/>
          <w:i/>
          <w:lang w:eastAsia="zh-CN"/>
        </w:rPr>
        <w:t>统计分析</w:t>
      </w:r>
      <w:r>
        <w:rPr>
          <w:rFonts w:ascii="宋体" w:hAnsi="宋体" w:eastAsia="宋体" w:cs="Arial"/>
          <w:i/>
          <w:lang w:eastAsia="zh-CN"/>
        </w:rPr>
        <w:t>”</w:t>
      </w:r>
      <w:r>
        <w:rPr>
          <w:rFonts w:ascii="Arial" w:hAnsi="Arial" w:eastAsia="宋体" w:cs="Arial"/>
          <w:i/>
          <w:lang w:eastAsia="zh-CN"/>
        </w:rPr>
        <w:t>部分。</w:t>
      </w:r>
    </w:p>
    <w:p w14:paraId="3CAC8CBD">
      <w:pPr>
        <w:snapToGrid w:val="0"/>
        <w:spacing w:before="6" w:line="300" w:lineRule="auto"/>
        <w:jc w:val="both"/>
        <w:rPr>
          <w:rFonts w:ascii="Arial" w:hAnsi="Arial" w:eastAsia="宋体" w:cs="Arial"/>
          <w:sz w:val="24"/>
          <w:szCs w:val="24"/>
          <w:lang w:eastAsia="zh-CN"/>
        </w:rPr>
      </w:pPr>
    </w:p>
    <w:p w14:paraId="359367DF">
      <w:pPr>
        <w:pStyle w:val="6"/>
        <w:snapToGrid w:val="0"/>
        <w:spacing w:line="300" w:lineRule="auto"/>
        <w:ind w:left="1876" w:hanging="1056"/>
        <w:jc w:val="both"/>
        <w:rPr>
          <w:rFonts w:ascii="Arial" w:hAnsi="Arial" w:eastAsia="宋体" w:cs="Arial"/>
          <w:i/>
          <w:lang w:eastAsia="zh-CN"/>
        </w:rPr>
      </w:pPr>
      <w:r>
        <w:rPr>
          <w:rFonts w:ascii="Arial" w:hAnsi="Arial" w:eastAsia="宋体" w:cs="Arial"/>
          <w:lang w:eastAsia="zh-CN"/>
        </w:rPr>
        <w:t>选项2：</w:t>
      </w:r>
      <w:r>
        <w:rPr>
          <w:rFonts w:ascii="Arial" w:hAnsi="Arial" w:eastAsia="宋体" w:cs="Arial"/>
          <w:lang w:eastAsia="zh-CN"/>
        </w:rPr>
        <w:tab/>
      </w:r>
      <w:r>
        <w:rPr>
          <w:rFonts w:ascii="Arial" w:hAnsi="Arial" w:eastAsia="宋体" w:cs="Arial"/>
          <w:i/>
          <w:lang w:eastAsia="zh-CN"/>
        </w:rPr>
        <w:t>计数6个月随访期间的复发发作次数，并比较两组间的这些值。如果选择了这个选项，贵公司将无需设置基准期，因为患者不会作为自己的对照。相反，贵公司将组合每组患者的数据，并比较平均（或中位数）复发率。在这种情况下，所有患者必须完成整个6个月随访期。</w:t>
      </w:r>
    </w:p>
    <w:p w14:paraId="7DE2053E">
      <w:pPr>
        <w:snapToGrid w:val="0"/>
        <w:spacing w:before="4" w:line="300" w:lineRule="auto"/>
        <w:jc w:val="both"/>
        <w:rPr>
          <w:rFonts w:ascii="Arial" w:hAnsi="Arial" w:eastAsia="宋体" w:cs="Arial"/>
          <w:sz w:val="10"/>
          <w:szCs w:val="10"/>
          <w:lang w:eastAsia="zh-CN"/>
        </w:rPr>
      </w:pPr>
    </w:p>
    <w:p w14:paraId="32F23C3B">
      <w:pPr>
        <w:snapToGrid w:val="0"/>
        <w:spacing w:before="9" w:line="300" w:lineRule="auto"/>
        <w:jc w:val="both"/>
        <w:rPr>
          <w:rFonts w:ascii="Arial" w:hAnsi="Arial" w:eastAsia="宋体" w:cs="Arial"/>
          <w:sz w:val="19"/>
          <w:szCs w:val="19"/>
          <w:lang w:eastAsia="zh-CN"/>
        </w:rPr>
      </w:pPr>
    </w:p>
    <w:p w14:paraId="0BC03B43">
      <w:pPr>
        <w:pBdr>
          <w:top w:val="single" w:color="auto" w:sz="4" w:space="1"/>
          <w:left w:val="single" w:color="auto" w:sz="4" w:space="4"/>
          <w:bottom w:val="single" w:color="auto" w:sz="4" w:space="1"/>
          <w:right w:val="single" w:color="auto" w:sz="4" w:space="4"/>
        </w:pBdr>
        <w:spacing w:before="25"/>
        <w:ind w:left="105"/>
        <w:rPr>
          <w:rFonts w:ascii="Arial" w:hAnsi="Arial" w:eastAsia="Times New Roman" w:cs="Arial"/>
          <w:sz w:val="24"/>
          <w:szCs w:val="24"/>
          <w:lang w:eastAsia="zh-CN"/>
        </w:rPr>
      </w:pPr>
      <w:r>
        <w:rPr>
          <w:rFonts w:ascii="Arial" w:hAnsi="Arial" w:cs="Arial"/>
          <w:b/>
          <w:sz w:val="24"/>
          <w:lang w:eastAsia="zh-CN"/>
        </w:rPr>
        <w:t>如果选择了选项2，则本节的其余部分适用于贵公司的研究设计：</w:t>
      </w:r>
    </w:p>
    <w:p w14:paraId="48AF87CB">
      <w:pPr>
        <w:snapToGrid w:val="0"/>
        <w:spacing w:before="9" w:line="300" w:lineRule="auto"/>
        <w:jc w:val="both"/>
        <w:rPr>
          <w:rFonts w:ascii="Arial" w:hAnsi="Arial" w:eastAsia="宋体" w:cs="Arial"/>
          <w:sz w:val="19"/>
          <w:szCs w:val="19"/>
          <w:lang w:eastAsia="zh-CN"/>
        </w:rPr>
      </w:pPr>
    </w:p>
    <w:p w14:paraId="200AA28D">
      <w:pPr>
        <w:snapToGrid w:val="0"/>
        <w:spacing w:before="9" w:line="300" w:lineRule="auto"/>
        <w:jc w:val="both"/>
        <w:rPr>
          <w:rFonts w:ascii="Arial" w:hAnsi="Arial" w:eastAsia="宋体" w:cs="Arial"/>
          <w:sz w:val="19"/>
          <w:szCs w:val="19"/>
          <w:lang w:eastAsia="zh-CN"/>
        </w:rPr>
      </w:pPr>
    </w:p>
    <w:p w14:paraId="46A27A5C">
      <w:pPr>
        <w:pStyle w:val="15"/>
        <w:numPr>
          <w:ilvl w:val="0"/>
          <w:numId w:val="8"/>
        </w:numPr>
        <w:tabs>
          <w:tab w:val="left" w:pos="444"/>
        </w:tabs>
        <w:snapToGrid w:val="0"/>
        <w:spacing w:before="69" w:line="300" w:lineRule="auto"/>
        <w:ind w:left="443" w:hanging="343"/>
        <w:jc w:val="both"/>
        <w:rPr>
          <w:rFonts w:ascii="Arial" w:hAnsi="Arial" w:eastAsia="宋体" w:cs="Arial"/>
          <w:b/>
          <w:sz w:val="24"/>
          <w:szCs w:val="24"/>
        </w:rPr>
      </w:pPr>
      <w:r>
        <w:rPr>
          <w:rFonts w:ascii="Arial" w:hAnsi="Arial" w:eastAsia="宋体" w:cs="Arial"/>
          <w:b/>
          <w:sz w:val="24"/>
          <w:szCs w:val="24"/>
          <w:lang w:eastAsia="zh-CN"/>
        </w:rPr>
        <w:t>准入标准</w:t>
      </w:r>
    </w:p>
    <w:p w14:paraId="1BE7819D">
      <w:pPr>
        <w:pStyle w:val="6"/>
        <w:snapToGrid w:val="0"/>
        <w:spacing w:line="300" w:lineRule="auto"/>
        <w:jc w:val="both"/>
        <w:rPr>
          <w:rFonts w:ascii="Arial" w:hAnsi="Arial" w:eastAsia="宋体" w:cs="Arial"/>
          <w:lang w:eastAsia="zh-CN"/>
        </w:rPr>
      </w:pPr>
      <w:r>
        <w:rPr>
          <w:rFonts w:ascii="Arial" w:hAnsi="Arial" w:eastAsia="宋体" w:cs="Arial"/>
          <w:lang w:eastAsia="zh-CN"/>
        </w:rPr>
        <w:t>应特别考虑以下入选/排除标准：</w:t>
      </w:r>
    </w:p>
    <w:p w14:paraId="09342249">
      <w:pPr>
        <w:pStyle w:val="15"/>
        <w:numPr>
          <w:ilvl w:val="1"/>
          <w:numId w:val="8"/>
        </w:numPr>
        <w:tabs>
          <w:tab w:val="left" w:pos="1540"/>
        </w:tabs>
        <w:snapToGrid w:val="0"/>
        <w:spacing w:before="7" w:line="300" w:lineRule="auto"/>
        <w:jc w:val="both"/>
        <w:rPr>
          <w:rFonts w:ascii="Arial" w:hAnsi="Arial" w:eastAsia="宋体" w:cs="Arial"/>
          <w:sz w:val="24"/>
          <w:szCs w:val="24"/>
        </w:rPr>
      </w:pPr>
      <w:r>
        <w:rPr>
          <w:rFonts w:ascii="Arial" w:hAnsi="Arial" w:eastAsia="宋体" w:cs="Arial"/>
          <w:sz w:val="24"/>
          <w:szCs w:val="24"/>
          <w:lang w:eastAsia="zh-CN"/>
        </w:rPr>
        <w:t>明确患者</w:t>
      </w:r>
      <w:r>
        <w:rPr>
          <w:rFonts w:ascii="Arial" w:hAnsi="Arial" w:eastAsia="宋体" w:cs="Arial"/>
          <w:sz w:val="24"/>
          <w:szCs w:val="24"/>
        </w:rPr>
        <w:t>是否需要有ICD。</w:t>
      </w:r>
    </w:p>
    <w:p w14:paraId="36DB3CA9">
      <w:pPr>
        <w:pStyle w:val="15"/>
        <w:numPr>
          <w:ilvl w:val="1"/>
          <w:numId w:val="8"/>
        </w:numPr>
        <w:tabs>
          <w:tab w:val="left" w:pos="1540"/>
        </w:tabs>
        <w:snapToGrid w:val="0"/>
        <w:spacing w:before="7" w:line="300" w:lineRule="auto"/>
        <w:jc w:val="both"/>
        <w:rPr>
          <w:rFonts w:ascii="Arial" w:hAnsi="Arial" w:eastAsia="宋体" w:cs="Arial"/>
          <w:sz w:val="24"/>
          <w:szCs w:val="24"/>
          <w:lang w:eastAsia="zh-CN"/>
        </w:rPr>
      </w:pPr>
      <w:r>
        <w:rPr>
          <w:rFonts w:ascii="Arial" w:hAnsi="Arial" w:eastAsia="宋体" w:cs="Arial"/>
          <w:sz w:val="24"/>
          <w:szCs w:val="24"/>
          <w:lang w:eastAsia="zh-CN"/>
        </w:rPr>
        <w:t>界定患者心脏病的病因（例如，缺血性VT）。</w:t>
      </w:r>
    </w:p>
    <w:p w14:paraId="326E0E4F">
      <w:pPr>
        <w:pStyle w:val="5"/>
        <w:tabs>
          <w:tab w:val="left" w:pos="460"/>
        </w:tabs>
        <w:snapToGrid w:val="0"/>
        <w:spacing w:before="46" w:line="300" w:lineRule="auto"/>
        <w:ind w:left="0"/>
        <w:jc w:val="both"/>
        <w:rPr>
          <w:rFonts w:ascii="Arial" w:hAnsi="Arial" w:eastAsia="宋体" w:cs="Arial"/>
          <w:lang w:eastAsia="zh-CN"/>
        </w:rPr>
      </w:pPr>
    </w:p>
    <w:p w14:paraId="2F07AA7D">
      <w:pPr>
        <w:widowControl/>
        <w:rPr>
          <w:rFonts w:ascii="Arial" w:hAnsi="Arial" w:eastAsia="宋体" w:cs="Arial"/>
          <w:b/>
          <w:sz w:val="24"/>
          <w:szCs w:val="24"/>
          <w:lang w:eastAsia="zh-CN"/>
        </w:rPr>
      </w:pPr>
      <w:r>
        <w:rPr>
          <w:rFonts w:ascii="Arial" w:hAnsi="Arial" w:eastAsia="宋体" w:cs="Arial"/>
          <w:b/>
          <w:sz w:val="24"/>
          <w:szCs w:val="24"/>
          <w:lang w:eastAsia="zh-CN"/>
        </w:rPr>
        <w:br w:type="page"/>
      </w:r>
    </w:p>
    <w:p w14:paraId="69B1BB03">
      <w:pPr>
        <w:pStyle w:val="15"/>
        <w:numPr>
          <w:ilvl w:val="0"/>
          <w:numId w:val="8"/>
        </w:numPr>
        <w:tabs>
          <w:tab w:val="left" w:pos="444"/>
        </w:tabs>
        <w:snapToGrid w:val="0"/>
        <w:spacing w:before="69" w:line="300" w:lineRule="auto"/>
        <w:ind w:left="443" w:hanging="343"/>
        <w:jc w:val="both"/>
        <w:rPr>
          <w:rFonts w:ascii="Arial" w:hAnsi="Arial" w:eastAsia="宋体" w:cs="Arial"/>
          <w:b/>
          <w:sz w:val="24"/>
          <w:szCs w:val="24"/>
          <w:lang w:eastAsia="zh-CN"/>
        </w:rPr>
      </w:pPr>
      <w:r>
        <w:rPr>
          <w:rFonts w:ascii="Arial" w:hAnsi="Arial" w:eastAsia="宋体" w:cs="Arial"/>
          <w:b/>
          <w:sz w:val="24"/>
          <w:szCs w:val="24"/>
          <w:lang w:eastAsia="zh-CN"/>
        </w:rPr>
        <w:t>研究终点</w:t>
      </w:r>
    </w:p>
    <w:p w14:paraId="5111FB19">
      <w:pPr>
        <w:snapToGrid w:val="0"/>
        <w:spacing w:before="10" w:line="300" w:lineRule="auto"/>
        <w:jc w:val="both"/>
        <w:rPr>
          <w:rFonts w:ascii="Arial" w:hAnsi="Arial" w:eastAsia="宋体" w:cs="Arial"/>
          <w:b/>
          <w:bCs/>
          <w:sz w:val="24"/>
          <w:szCs w:val="24"/>
        </w:rPr>
      </w:pPr>
    </w:p>
    <w:p w14:paraId="722A943F">
      <w:pPr>
        <w:pStyle w:val="6"/>
        <w:snapToGrid w:val="0"/>
        <w:spacing w:line="300" w:lineRule="auto"/>
        <w:jc w:val="both"/>
        <w:rPr>
          <w:rFonts w:ascii="Arial" w:hAnsi="Arial" w:eastAsia="宋体" w:cs="Arial"/>
          <w:u w:val="single"/>
        </w:rPr>
      </w:pPr>
      <w:r>
        <w:rPr>
          <w:rFonts w:ascii="Arial" w:hAnsi="Arial" w:eastAsia="宋体" w:cs="Arial"/>
          <w:sz w:val="25"/>
          <w:szCs w:val="25"/>
          <w:u w:val="single"/>
          <w:lang w:eastAsia="zh-CN"/>
        </w:rPr>
        <w:t>主要终点</w:t>
      </w:r>
    </w:p>
    <w:p w14:paraId="4492DEB9">
      <w:pPr>
        <w:pStyle w:val="6"/>
        <w:snapToGrid w:val="0"/>
        <w:spacing w:before="7" w:line="300" w:lineRule="auto"/>
        <w:jc w:val="both"/>
        <w:rPr>
          <w:rFonts w:ascii="Arial" w:hAnsi="Arial" w:eastAsia="宋体" w:cs="Arial"/>
          <w:sz w:val="25"/>
          <w:szCs w:val="25"/>
          <w:lang w:eastAsia="zh-CN"/>
        </w:rPr>
      </w:pPr>
      <w:r>
        <w:rPr>
          <w:rFonts w:ascii="Arial" w:hAnsi="Arial" w:eastAsia="宋体" w:cs="Arial"/>
          <w:sz w:val="25"/>
          <w:szCs w:val="25"/>
          <w:lang w:eastAsia="zh-CN"/>
        </w:rPr>
        <w:t>我们建议贵公司前瞻性地定义用于比较两个治疗组的急性成功率、6个月成功率和并发症发生率的终点。请记住，如果贵公司希望声明贵公司的器械优于对照器械，则贵公司的假设和样本量的计算应将此类情况反映出来。</w:t>
      </w:r>
    </w:p>
    <w:p w14:paraId="57D7E26F">
      <w:pPr>
        <w:snapToGrid w:val="0"/>
        <w:spacing w:before="1" w:line="300" w:lineRule="auto"/>
        <w:jc w:val="both"/>
        <w:rPr>
          <w:rFonts w:ascii="Arial" w:hAnsi="Arial" w:eastAsia="宋体" w:cs="Arial"/>
          <w:sz w:val="25"/>
          <w:szCs w:val="25"/>
          <w:lang w:eastAsia="zh-CN"/>
        </w:rPr>
      </w:pPr>
    </w:p>
    <w:tbl>
      <w:tblPr>
        <w:tblStyle w:val="11"/>
        <w:tblW w:w="0" w:type="auto"/>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4"/>
      </w:tblGrid>
      <w:tr w14:paraId="72AD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14:paraId="1A90A57B">
            <w:pPr>
              <w:spacing w:before="25"/>
              <w:ind w:left="47"/>
              <w:rPr>
                <w:rFonts w:ascii="Arial" w:hAnsi="Arial" w:eastAsia="Times New Roman" w:cs="Arial"/>
                <w:sz w:val="24"/>
                <w:szCs w:val="24"/>
                <w:lang w:eastAsia="zh-CN"/>
              </w:rPr>
            </w:pPr>
            <w:r>
              <w:rPr>
                <w:rFonts w:ascii="Arial" w:hAnsi="Arial" w:cs="Arial"/>
                <w:b/>
                <w:sz w:val="24"/>
                <w:lang w:eastAsia="zh-CN"/>
              </w:rPr>
              <w:t>急性成功率比较：</w:t>
            </w:r>
          </w:p>
          <w:p w14:paraId="7784F908">
            <w:pPr>
              <w:pStyle w:val="6"/>
              <w:spacing w:before="7" w:line="247" w:lineRule="auto"/>
              <w:ind w:left="47" w:right="340"/>
              <w:rPr>
                <w:rFonts w:ascii="Arial" w:hAnsi="Arial" w:eastAsia="宋体" w:cs="Arial"/>
                <w:sz w:val="20"/>
                <w:szCs w:val="20"/>
                <w:lang w:eastAsia="zh-CN"/>
              </w:rPr>
            </w:pPr>
            <w:r>
              <w:rPr>
                <w:rFonts w:ascii="Arial" w:hAnsi="Arial" w:eastAsia="宋体" w:cs="Arial"/>
                <w:lang w:eastAsia="zh-CN"/>
              </w:rPr>
              <w:t>我们建议将成功定义为临床相关</w:t>
            </w:r>
            <w:r>
              <w:rPr>
                <w:rFonts w:ascii="Arial" w:hAnsi="Arial" w:cs="Arial"/>
                <w:lang w:eastAsia="zh-CN"/>
              </w:rPr>
              <w:t>VT</w:t>
            </w:r>
            <w:r>
              <w:rPr>
                <w:rFonts w:ascii="Arial" w:hAnsi="Arial" w:eastAsia="宋体" w:cs="Arial"/>
                <w:lang w:eastAsia="zh-CN"/>
              </w:rPr>
              <w:t>形态的急性非诱导性。根据急性成功假设治疗组与对照组之间的临床相关差异。在此终点上进行样本量计算。</w:t>
            </w:r>
          </w:p>
        </w:tc>
      </w:tr>
    </w:tbl>
    <w:p w14:paraId="1A9EA102">
      <w:pPr>
        <w:snapToGrid w:val="0"/>
        <w:spacing w:line="300" w:lineRule="auto"/>
        <w:ind w:left="764"/>
        <w:jc w:val="both"/>
        <w:rPr>
          <w:rFonts w:ascii="Arial" w:hAnsi="Arial" w:eastAsia="宋体" w:cs="Arial"/>
          <w:sz w:val="20"/>
          <w:szCs w:val="20"/>
          <w:lang w:eastAsia="zh-CN"/>
        </w:rPr>
      </w:pPr>
    </w:p>
    <w:p w14:paraId="790A1029">
      <w:pPr>
        <w:snapToGrid w:val="0"/>
        <w:spacing w:before="69" w:line="300" w:lineRule="auto"/>
        <w:ind w:left="2260" w:hanging="720"/>
        <w:jc w:val="both"/>
        <w:rPr>
          <w:rFonts w:ascii="Arial" w:hAnsi="Arial" w:eastAsia="宋体" w:cs="Arial"/>
          <w:i/>
          <w:sz w:val="25"/>
          <w:szCs w:val="25"/>
          <w:lang w:eastAsia="zh-CN"/>
        </w:rPr>
      </w:pPr>
      <w:r>
        <w:rPr>
          <w:rFonts w:hint="eastAsia" w:ascii="Arial" w:hAnsi="Arial" w:eastAsia="宋体" w:cs="Arial"/>
          <w:sz w:val="25"/>
          <w:szCs w:val="25"/>
          <w:lang w:eastAsia="zh-CN"/>
        </w:rPr>
        <w:t>注意：</w:t>
      </w:r>
      <w:r>
        <w:rPr>
          <w:rFonts w:ascii="Arial" w:hAnsi="Arial" w:eastAsia="宋体" w:cs="Arial"/>
          <w:i/>
          <w:sz w:val="25"/>
          <w:szCs w:val="25"/>
          <w:lang w:eastAsia="zh-CN"/>
        </w:rPr>
        <w:t>重要的是临床医生应在消融治疗前确定临床相关的VT。这些应包括负责患者症状的VT和/或持续时间大于20秒的VT。</w:t>
      </w:r>
    </w:p>
    <w:p w14:paraId="52F2CC9E">
      <w:pPr>
        <w:snapToGrid w:val="0"/>
        <w:spacing w:line="300" w:lineRule="auto"/>
        <w:ind w:left="2260" w:hanging="720"/>
        <w:jc w:val="both"/>
        <w:rPr>
          <w:rFonts w:ascii="Arial" w:hAnsi="Arial" w:eastAsia="宋体" w:cs="Arial"/>
          <w:sz w:val="24"/>
          <w:szCs w:val="24"/>
          <w:lang w:eastAsia="zh-CN"/>
        </w:rPr>
      </w:pPr>
    </w:p>
    <w:p w14:paraId="52790C9A">
      <w:pPr>
        <w:snapToGrid w:val="0"/>
        <w:spacing w:line="300" w:lineRule="auto"/>
        <w:ind w:left="2260" w:hanging="720"/>
        <w:jc w:val="both"/>
        <w:rPr>
          <w:rFonts w:ascii="Arial" w:hAnsi="Arial" w:eastAsia="宋体" w:cs="Arial"/>
          <w:i/>
          <w:sz w:val="25"/>
          <w:szCs w:val="25"/>
          <w:lang w:eastAsia="zh-CN"/>
        </w:rPr>
      </w:pPr>
      <w:r>
        <w:rPr>
          <w:rFonts w:hint="eastAsia" w:ascii="Arial" w:hAnsi="Arial" w:eastAsia="宋体" w:cs="Arial"/>
          <w:sz w:val="25"/>
          <w:szCs w:val="25"/>
          <w:lang w:eastAsia="zh-CN"/>
        </w:rPr>
        <w:t>注意：</w:t>
      </w:r>
      <w:r>
        <w:rPr>
          <w:rFonts w:ascii="Arial" w:hAnsi="Arial" w:eastAsia="宋体" w:cs="Arial"/>
          <w:i/>
          <w:sz w:val="25"/>
          <w:szCs w:val="25"/>
          <w:lang w:eastAsia="zh-CN"/>
        </w:rPr>
        <w:t>由于本研究旨在支持消融治疗系统的上市声明，</w:t>
      </w:r>
      <w:r>
        <w:rPr>
          <w:rFonts w:ascii="宋体" w:hAnsi="宋体" w:eastAsia="宋体" w:cs="Arial"/>
          <w:i/>
          <w:sz w:val="25"/>
          <w:szCs w:val="25"/>
          <w:lang w:eastAsia="zh-CN"/>
        </w:rPr>
        <w:t>“</w:t>
      </w:r>
      <w:r>
        <w:rPr>
          <w:rFonts w:ascii="Arial" w:hAnsi="Arial" w:eastAsia="宋体" w:cs="Arial"/>
          <w:i/>
          <w:sz w:val="25"/>
          <w:szCs w:val="25"/>
          <w:lang w:eastAsia="zh-CN"/>
        </w:rPr>
        <w:t>成功</w:t>
      </w:r>
      <w:r>
        <w:rPr>
          <w:rFonts w:ascii="宋体" w:hAnsi="宋体" w:eastAsia="宋体" w:cs="Arial"/>
          <w:i/>
          <w:sz w:val="25"/>
          <w:szCs w:val="25"/>
          <w:lang w:eastAsia="zh-CN"/>
        </w:rPr>
        <w:t>”</w:t>
      </w:r>
      <w:r>
        <w:rPr>
          <w:rFonts w:ascii="Arial" w:hAnsi="Arial" w:eastAsia="宋体" w:cs="Arial"/>
          <w:i/>
          <w:sz w:val="25"/>
          <w:szCs w:val="25"/>
          <w:lang w:eastAsia="zh-CN"/>
        </w:rPr>
        <w:t>应仅指成功使用研究系统进行消融。如果患者需要使用非研究性系统组件进行额外的治疗，则应将其视为急性失败。如果贵公司试图上市贵公司的系统以作为对另一个（已上市）系统的</w:t>
      </w:r>
      <w:r>
        <w:rPr>
          <w:rFonts w:ascii="宋体" w:hAnsi="宋体" w:eastAsia="宋体" w:cs="Arial"/>
          <w:i/>
          <w:sz w:val="25"/>
          <w:szCs w:val="25"/>
          <w:lang w:eastAsia="zh-CN"/>
        </w:rPr>
        <w:t>“</w:t>
      </w:r>
      <w:r>
        <w:rPr>
          <w:rFonts w:ascii="Arial" w:hAnsi="Arial" w:eastAsia="宋体" w:cs="Arial"/>
          <w:i/>
          <w:sz w:val="25"/>
          <w:szCs w:val="25"/>
          <w:lang w:eastAsia="zh-CN"/>
        </w:rPr>
        <w:t>辅助治疗</w:t>
      </w:r>
      <w:r>
        <w:rPr>
          <w:rFonts w:ascii="宋体" w:hAnsi="宋体" w:eastAsia="宋体" w:cs="Arial"/>
          <w:i/>
          <w:sz w:val="25"/>
          <w:szCs w:val="25"/>
          <w:lang w:eastAsia="zh-CN"/>
        </w:rPr>
        <w:t>”</w:t>
      </w:r>
      <w:r>
        <w:rPr>
          <w:rFonts w:ascii="Arial" w:hAnsi="Arial" w:eastAsia="宋体" w:cs="Arial"/>
          <w:i/>
          <w:sz w:val="25"/>
          <w:szCs w:val="25"/>
          <w:lang w:eastAsia="zh-CN"/>
        </w:rPr>
        <w:t>，则以上情况不适用。</w:t>
      </w:r>
    </w:p>
    <w:p w14:paraId="09D05A71">
      <w:pPr>
        <w:snapToGrid w:val="0"/>
        <w:spacing w:before="1" w:line="300" w:lineRule="auto"/>
        <w:jc w:val="both"/>
        <w:rPr>
          <w:rFonts w:ascii="Arial" w:hAnsi="Arial" w:eastAsia="宋体" w:cs="Arial"/>
          <w:i/>
          <w:sz w:val="25"/>
          <w:szCs w:val="25"/>
          <w:lang w:eastAsia="zh-CN"/>
        </w:rPr>
      </w:pPr>
    </w:p>
    <w:tbl>
      <w:tblPr>
        <w:tblStyle w:val="11"/>
        <w:tblW w:w="0" w:type="auto"/>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4"/>
      </w:tblGrid>
      <w:tr w14:paraId="4CBE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14:paraId="4EA75436">
            <w:pPr>
              <w:spacing w:before="25"/>
              <w:ind w:left="47"/>
              <w:rPr>
                <w:rFonts w:ascii="Arial" w:hAnsi="Arial" w:eastAsia="Times New Roman" w:cs="Arial"/>
                <w:sz w:val="24"/>
                <w:szCs w:val="24"/>
                <w:lang w:eastAsia="zh-CN"/>
              </w:rPr>
            </w:pPr>
            <w:r>
              <w:rPr>
                <w:rFonts w:ascii="Arial" w:hAnsi="Arial" w:cs="Arial"/>
                <w:b/>
                <w:sz w:val="24"/>
                <w:lang w:eastAsia="zh-CN"/>
              </w:rPr>
              <w:t>6个月复发率比较：</w:t>
            </w:r>
          </w:p>
          <w:p w14:paraId="3997B59F">
            <w:pPr>
              <w:pStyle w:val="6"/>
              <w:spacing w:before="7" w:line="247" w:lineRule="auto"/>
              <w:ind w:left="47" w:right="123"/>
              <w:rPr>
                <w:rFonts w:ascii="Arial" w:hAnsi="Arial" w:eastAsia="宋体" w:cs="Arial"/>
                <w:sz w:val="20"/>
                <w:szCs w:val="20"/>
                <w:lang w:eastAsia="zh-CN"/>
              </w:rPr>
            </w:pPr>
            <w:r>
              <w:rPr>
                <w:rFonts w:ascii="Arial" w:hAnsi="Arial" w:eastAsia="宋体" w:cs="Arial"/>
                <w:lang w:eastAsia="zh-CN"/>
              </w:rPr>
              <w:t>根据</w:t>
            </w:r>
            <w:r>
              <w:rPr>
                <w:rFonts w:ascii="Arial" w:hAnsi="Arial" w:cs="Arial"/>
                <w:lang w:eastAsia="zh-CN"/>
              </w:rPr>
              <w:t>6</w:t>
            </w:r>
            <w:r>
              <w:rPr>
                <w:rFonts w:ascii="Arial" w:hAnsi="Arial" w:eastAsia="宋体" w:cs="Arial"/>
                <w:lang w:eastAsia="zh-CN"/>
              </w:rPr>
              <w:t>个月随访期间的平均复发次数，假设治疗组与对照组之间的临床相关差异。在此终点上进行样本量计算。</w:t>
            </w:r>
          </w:p>
        </w:tc>
      </w:tr>
    </w:tbl>
    <w:p w14:paraId="31618A41">
      <w:pPr>
        <w:snapToGrid w:val="0"/>
        <w:spacing w:line="300" w:lineRule="auto"/>
        <w:ind w:left="764"/>
        <w:jc w:val="both"/>
        <w:rPr>
          <w:rFonts w:ascii="Arial" w:hAnsi="Arial" w:eastAsia="宋体" w:cs="Arial"/>
          <w:sz w:val="20"/>
          <w:szCs w:val="20"/>
          <w:lang w:eastAsia="zh-CN"/>
        </w:rPr>
      </w:pPr>
    </w:p>
    <w:p w14:paraId="363D54A6">
      <w:pPr>
        <w:snapToGrid w:val="0"/>
        <w:spacing w:before="69" w:line="300" w:lineRule="auto"/>
        <w:ind w:left="2260" w:hanging="720"/>
        <w:jc w:val="both"/>
        <w:rPr>
          <w:rFonts w:ascii="Arial" w:hAnsi="Arial" w:eastAsia="宋体" w:cs="Arial"/>
          <w:i/>
          <w:sz w:val="25"/>
          <w:szCs w:val="25"/>
          <w:lang w:eastAsia="zh-CN"/>
        </w:rPr>
      </w:pPr>
      <w:r>
        <w:rPr>
          <w:rFonts w:ascii="Arial" w:hAnsi="Arial" w:eastAsia="宋体" w:cs="Arial"/>
          <w:sz w:val="25"/>
          <w:szCs w:val="25"/>
          <w:lang w:eastAsia="zh-CN"/>
        </w:rPr>
        <w:t>注意：</w:t>
      </w:r>
      <w:r>
        <w:rPr>
          <w:rFonts w:ascii="Arial" w:hAnsi="Arial" w:eastAsia="宋体" w:cs="Arial"/>
          <w:i/>
          <w:sz w:val="25"/>
          <w:szCs w:val="25"/>
          <w:lang w:eastAsia="zh-CN"/>
        </w:rPr>
        <w:t>我们建议贵公司前瞻性地明确在六个月的随访期间计算VT发作次数的方法。</w:t>
      </w:r>
    </w:p>
    <w:p w14:paraId="7B87A06E">
      <w:pPr>
        <w:snapToGrid w:val="0"/>
        <w:spacing w:before="1" w:line="300" w:lineRule="auto"/>
        <w:jc w:val="both"/>
        <w:rPr>
          <w:rFonts w:ascii="Arial" w:hAnsi="Arial" w:eastAsia="宋体" w:cs="Arial"/>
          <w:i/>
          <w:sz w:val="25"/>
          <w:szCs w:val="25"/>
          <w:lang w:eastAsia="zh-CN"/>
        </w:rPr>
      </w:pPr>
    </w:p>
    <w:tbl>
      <w:tblPr>
        <w:tblStyle w:val="11"/>
        <w:tblW w:w="0" w:type="auto"/>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4"/>
      </w:tblGrid>
      <w:tr w14:paraId="7823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Pr>
          <w:p w14:paraId="6502E909">
            <w:pPr>
              <w:pStyle w:val="6"/>
              <w:spacing w:before="9" w:beforeLines="4" w:after="48" w:afterLines="20" w:line="247" w:lineRule="auto"/>
              <w:ind w:left="45" w:right="125"/>
              <w:rPr>
                <w:rFonts w:ascii="Arial" w:hAnsi="Arial" w:cs="Arial" w:eastAsiaTheme="minorEastAsia"/>
                <w:b/>
                <w:szCs w:val="22"/>
                <w:lang w:eastAsia="zh-CN"/>
              </w:rPr>
            </w:pPr>
            <w:r>
              <w:rPr>
                <w:rFonts w:ascii="Arial" w:hAnsi="Arial" w:cs="Arial" w:eastAsiaTheme="minorEastAsia"/>
                <w:b/>
                <w:szCs w:val="22"/>
                <w:lang w:eastAsia="zh-CN"/>
              </w:rPr>
              <w:t>并发症发生率比较：</w:t>
            </w:r>
          </w:p>
          <w:p w14:paraId="27F70C32">
            <w:pPr>
              <w:pStyle w:val="6"/>
              <w:spacing w:before="9" w:beforeLines="4" w:after="48" w:afterLines="20" w:line="247" w:lineRule="auto"/>
              <w:ind w:left="45" w:right="125"/>
              <w:rPr>
                <w:rFonts w:ascii="Arial" w:hAnsi="Arial" w:eastAsia="宋体" w:cs="Arial"/>
                <w:sz w:val="20"/>
                <w:szCs w:val="20"/>
                <w:lang w:eastAsia="zh-CN"/>
              </w:rPr>
            </w:pPr>
            <w:r>
              <w:rPr>
                <w:rFonts w:ascii="Arial" w:hAnsi="Arial" w:eastAsia="宋体" w:cs="Arial"/>
                <w:lang w:eastAsia="zh-CN"/>
              </w:rPr>
              <w:t>根据并发症发生率假设治疗组与对照组之间的临床相关差异。在此终点上进行样本量计算。与非随机研究设计一样，贵公司的并发症发生率将基于主要并发症患者的百分比（请参见附录</w:t>
            </w:r>
            <w:r>
              <w:rPr>
                <w:rFonts w:ascii="Arial" w:hAnsi="Arial" w:cs="Arial"/>
                <w:lang w:eastAsia="zh-CN"/>
              </w:rPr>
              <w:t>A</w:t>
            </w:r>
            <w:r>
              <w:rPr>
                <w:rFonts w:ascii="Arial" w:hAnsi="Arial" w:eastAsia="宋体" w:cs="Arial"/>
                <w:lang w:eastAsia="zh-CN"/>
              </w:rPr>
              <w:t>）。</w:t>
            </w:r>
          </w:p>
        </w:tc>
      </w:tr>
    </w:tbl>
    <w:p w14:paraId="748B9484">
      <w:pPr>
        <w:snapToGrid w:val="0"/>
        <w:spacing w:line="300" w:lineRule="auto"/>
        <w:ind w:left="764"/>
        <w:jc w:val="both"/>
        <w:rPr>
          <w:rFonts w:ascii="Arial" w:hAnsi="Arial" w:eastAsia="宋体" w:cs="Arial"/>
          <w:sz w:val="20"/>
          <w:szCs w:val="20"/>
          <w:lang w:eastAsia="zh-CN"/>
        </w:rPr>
      </w:pPr>
    </w:p>
    <w:p w14:paraId="67DE6885">
      <w:pPr>
        <w:snapToGrid w:val="0"/>
        <w:spacing w:line="300" w:lineRule="auto"/>
        <w:jc w:val="both"/>
        <w:rPr>
          <w:rFonts w:ascii="Arial" w:hAnsi="Arial" w:eastAsia="宋体" w:cs="Arial"/>
          <w:sz w:val="20"/>
          <w:szCs w:val="20"/>
          <w:lang w:eastAsia="zh-CN"/>
        </w:rPr>
        <w:sectPr>
          <w:pgSz w:w="12240" w:h="15840"/>
          <w:pgMar w:top="1134" w:right="1134" w:bottom="1134" w:left="1134" w:header="0" w:footer="771" w:gutter="0"/>
          <w:pgNumType w:start="10"/>
          <w:cols w:space="720" w:num="1"/>
          <w:docGrid w:linePitch="299" w:charSpace="0"/>
        </w:sectPr>
      </w:pPr>
    </w:p>
    <w:p w14:paraId="5CA79C4E">
      <w:pPr>
        <w:pStyle w:val="5"/>
        <w:numPr>
          <w:ilvl w:val="0"/>
          <w:numId w:val="8"/>
        </w:numPr>
        <w:tabs>
          <w:tab w:val="left" w:pos="460"/>
        </w:tabs>
        <w:snapToGrid w:val="0"/>
        <w:spacing w:before="46" w:line="300" w:lineRule="auto"/>
        <w:ind w:left="460" w:hanging="360"/>
        <w:jc w:val="both"/>
        <w:rPr>
          <w:rFonts w:ascii="Arial" w:hAnsi="Arial" w:eastAsia="宋体" w:cs="Arial"/>
          <w:b w:val="0"/>
          <w:bCs w:val="0"/>
        </w:rPr>
      </w:pPr>
      <w:r>
        <w:rPr>
          <w:rFonts w:ascii="Arial" w:hAnsi="Arial" w:eastAsia="宋体" w:cs="Arial"/>
        </w:rPr>
        <w:t>研究程序</w:t>
      </w:r>
    </w:p>
    <w:p w14:paraId="296F5331">
      <w:pPr>
        <w:pStyle w:val="6"/>
        <w:snapToGrid w:val="0"/>
        <w:spacing w:line="300" w:lineRule="auto"/>
        <w:jc w:val="both"/>
        <w:rPr>
          <w:rFonts w:ascii="Arial" w:hAnsi="Arial" w:eastAsia="宋体" w:cs="Arial"/>
          <w:u w:val="single"/>
        </w:rPr>
      </w:pPr>
      <w:r>
        <w:rPr>
          <w:rFonts w:ascii="Arial" w:hAnsi="Arial" w:eastAsia="宋体" w:cs="Arial"/>
          <w:sz w:val="26"/>
          <w:szCs w:val="26"/>
          <w:u w:val="single"/>
          <w:lang w:eastAsia="zh-CN"/>
        </w:rPr>
        <w:t>VT发作文档</w:t>
      </w:r>
    </w:p>
    <w:p w14:paraId="465EB997">
      <w:pPr>
        <w:pStyle w:val="6"/>
        <w:snapToGrid w:val="0"/>
        <w:spacing w:before="7" w:line="300" w:lineRule="auto"/>
        <w:jc w:val="both"/>
        <w:rPr>
          <w:rFonts w:ascii="Arial" w:hAnsi="Arial" w:eastAsia="宋体" w:cs="Arial"/>
          <w:lang w:eastAsia="zh-CN"/>
        </w:rPr>
      </w:pPr>
      <w:r>
        <w:rPr>
          <w:rFonts w:ascii="Arial" w:hAnsi="Arial" w:eastAsia="宋体" w:cs="Arial"/>
          <w:lang w:eastAsia="zh-CN"/>
        </w:rPr>
        <w:t>前瞻性地明确VT发作计数的方法，其中可能包括以下一个或多个：</w:t>
      </w:r>
    </w:p>
    <w:p w14:paraId="0B875EC3">
      <w:pPr>
        <w:pStyle w:val="15"/>
        <w:numPr>
          <w:ilvl w:val="1"/>
          <w:numId w:val="8"/>
        </w:numPr>
        <w:tabs>
          <w:tab w:val="left" w:pos="2520"/>
        </w:tabs>
        <w:snapToGrid w:val="0"/>
        <w:spacing w:before="7" w:line="300" w:lineRule="auto"/>
        <w:ind w:left="2519" w:hanging="259"/>
        <w:jc w:val="both"/>
        <w:rPr>
          <w:rFonts w:ascii="Arial" w:hAnsi="Arial" w:eastAsia="宋体" w:cs="Arial"/>
          <w:sz w:val="24"/>
        </w:rPr>
      </w:pPr>
      <w:r>
        <w:rPr>
          <w:rFonts w:ascii="Arial" w:hAnsi="Arial" w:eastAsia="宋体" w:cs="Arial"/>
          <w:sz w:val="24"/>
        </w:rPr>
        <w:t>ICD询问；</w:t>
      </w:r>
    </w:p>
    <w:p w14:paraId="481E7CFC">
      <w:pPr>
        <w:pStyle w:val="15"/>
        <w:numPr>
          <w:ilvl w:val="1"/>
          <w:numId w:val="8"/>
        </w:numPr>
        <w:tabs>
          <w:tab w:val="left" w:pos="2520"/>
        </w:tabs>
        <w:snapToGrid w:val="0"/>
        <w:spacing w:before="7" w:line="300" w:lineRule="auto"/>
        <w:ind w:left="2519" w:hanging="259"/>
        <w:jc w:val="both"/>
        <w:rPr>
          <w:rFonts w:ascii="Arial" w:hAnsi="Arial" w:eastAsia="宋体" w:cs="Arial"/>
          <w:sz w:val="24"/>
        </w:rPr>
      </w:pPr>
      <w:r>
        <w:rPr>
          <w:rFonts w:ascii="Arial" w:hAnsi="Arial" w:eastAsia="宋体" w:cs="Arial"/>
          <w:sz w:val="24"/>
        </w:rPr>
        <w:t>事件监测；以及</w:t>
      </w:r>
    </w:p>
    <w:p w14:paraId="78A50231">
      <w:pPr>
        <w:pStyle w:val="15"/>
        <w:numPr>
          <w:ilvl w:val="1"/>
          <w:numId w:val="8"/>
        </w:numPr>
        <w:tabs>
          <w:tab w:val="left" w:pos="2520"/>
        </w:tabs>
        <w:snapToGrid w:val="0"/>
        <w:spacing w:before="7" w:line="300" w:lineRule="auto"/>
        <w:ind w:left="2519" w:hanging="259"/>
        <w:jc w:val="both"/>
        <w:rPr>
          <w:rFonts w:ascii="Arial" w:hAnsi="Arial" w:eastAsia="宋体" w:cs="Arial"/>
          <w:sz w:val="24"/>
        </w:rPr>
      </w:pPr>
      <w:r>
        <w:rPr>
          <w:rFonts w:ascii="Arial" w:hAnsi="Arial" w:eastAsia="宋体" w:cs="Arial"/>
          <w:sz w:val="24"/>
        </w:rPr>
        <w:t>就诊后的心电图。</w:t>
      </w:r>
    </w:p>
    <w:p w14:paraId="02E09225">
      <w:pPr>
        <w:snapToGrid w:val="0"/>
        <w:spacing w:before="3" w:line="300" w:lineRule="auto"/>
        <w:jc w:val="both"/>
        <w:rPr>
          <w:rFonts w:ascii="Arial" w:hAnsi="Arial" w:eastAsia="宋体" w:cs="Arial"/>
          <w:sz w:val="25"/>
          <w:szCs w:val="25"/>
        </w:rPr>
      </w:pPr>
    </w:p>
    <w:p w14:paraId="5D999793">
      <w:pPr>
        <w:pStyle w:val="6"/>
        <w:snapToGrid w:val="0"/>
        <w:spacing w:line="300" w:lineRule="auto"/>
        <w:jc w:val="both"/>
        <w:rPr>
          <w:rFonts w:ascii="Arial" w:hAnsi="Arial" w:eastAsia="宋体" w:cs="Arial"/>
          <w:lang w:eastAsia="zh-CN"/>
        </w:rPr>
      </w:pPr>
      <w:r>
        <w:rPr>
          <w:rFonts w:ascii="Arial" w:hAnsi="Arial" w:eastAsia="宋体" w:cs="Arial"/>
          <w:lang w:eastAsia="zh-CN"/>
        </w:rPr>
        <w:t>注意：</w:t>
      </w:r>
      <w:r>
        <w:rPr>
          <w:rFonts w:hint="eastAsia" w:ascii="Arial" w:hAnsi="Arial" w:eastAsia="宋体" w:cs="Arial"/>
          <w:i/>
          <w:lang w:eastAsia="zh-CN"/>
        </w:rPr>
        <w:t>如果使用了</w:t>
      </w:r>
      <w:r>
        <w:rPr>
          <w:rFonts w:ascii="Arial" w:hAnsi="Arial" w:eastAsia="宋体" w:cs="Arial"/>
          <w:i/>
          <w:lang w:eastAsia="zh-CN"/>
        </w:rPr>
        <w:t>ICD</w:t>
      </w:r>
      <w:r>
        <w:rPr>
          <w:rFonts w:hint="eastAsia" w:ascii="Arial" w:hAnsi="Arial" w:eastAsia="宋体" w:cs="Arial"/>
          <w:i/>
          <w:lang w:eastAsia="zh-CN"/>
        </w:rPr>
        <w:t>，则应仅计算持续时间至少为</w:t>
      </w:r>
      <w:r>
        <w:rPr>
          <w:rFonts w:ascii="Arial" w:hAnsi="Arial" w:eastAsia="宋体" w:cs="Arial"/>
          <w:i/>
          <w:lang w:eastAsia="zh-CN"/>
        </w:rPr>
        <w:t>20</w:t>
      </w:r>
      <w:r>
        <w:rPr>
          <w:rFonts w:hint="eastAsia" w:ascii="Arial" w:hAnsi="Arial" w:eastAsia="宋体" w:cs="Arial"/>
          <w:i/>
          <w:lang w:eastAsia="zh-CN"/>
        </w:rPr>
        <w:t>秒或具有足够持续时间以进行治疗的</w:t>
      </w:r>
      <w:r>
        <w:rPr>
          <w:rFonts w:ascii="Arial" w:hAnsi="Arial" w:eastAsia="宋体" w:cs="Arial"/>
          <w:i/>
          <w:lang w:eastAsia="zh-CN"/>
        </w:rPr>
        <w:t>VT</w:t>
      </w:r>
      <w:r>
        <w:rPr>
          <w:rFonts w:hint="eastAsia" w:ascii="Arial" w:hAnsi="Arial" w:eastAsia="宋体" w:cs="Arial"/>
          <w:i/>
          <w:lang w:eastAsia="zh-CN"/>
        </w:rPr>
        <w:t>发作。</w:t>
      </w:r>
    </w:p>
    <w:p w14:paraId="16602F3E">
      <w:pPr>
        <w:pStyle w:val="6"/>
        <w:snapToGrid w:val="0"/>
        <w:spacing w:line="300" w:lineRule="auto"/>
        <w:jc w:val="both"/>
        <w:rPr>
          <w:rFonts w:ascii="Arial" w:hAnsi="Arial" w:eastAsia="宋体" w:cs="Arial"/>
          <w:lang w:eastAsia="zh-CN"/>
        </w:rPr>
      </w:pPr>
    </w:p>
    <w:p w14:paraId="6D0924B2">
      <w:pPr>
        <w:pStyle w:val="6"/>
        <w:snapToGrid w:val="0"/>
        <w:spacing w:line="300" w:lineRule="auto"/>
        <w:jc w:val="both"/>
        <w:rPr>
          <w:rFonts w:ascii="Arial" w:hAnsi="Arial" w:eastAsia="宋体" w:cs="Arial"/>
          <w:u w:val="single"/>
          <w:lang w:eastAsia="zh-CN"/>
        </w:rPr>
      </w:pPr>
      <w:r>
        <w:rPr>
          <w:rFonts w:ascii="Arial" w:hAnsi="Arial" w:eastAsia="宋体" w:cs="Arial"/>
          <w:u w:val="single"/>
          <w:lang w:eastAsia="zh-CN"/>
        </w:rPr>
        <w:t>消融前后程序</w:t>
      </w:r>
    </w:p>
    <w:p w14:paraId="1C1353FF">
      <w:pPr>
        <w:pStyle w:val="6"/>
        <w:snapToGrid w:val="0"/>
        <w:spacing w:before="69" w:line="300" w:lineRule="auto"/>
        <w:jc w:val="both"/>
        <w:rPr>
          <w:rFonts w:ascii="Arial" w:hAnsi="Arial" w:eastAsia="宋体" w:cs="Arial"/>
          <w:lang w:eastAsia="zh-CN"/>
        </w:rPr>
      </w:pPr>
      <w:r>
        <w:rPr>
          <w:rFonts w:ascii="Arial" w:hAnsi="Arial" w:eastAsia="宋体" w:cs="Arial"/>
          <w:lang w:eastAsia="zh-CN"/>
        </w:rPr>
        <w:t>请参考非随机研究设计，以获得用于研究消融组患者的程序的建议。</w:t>
      </w:r>
    </w:p>
    <w:p w14:paraId="68BB485A">
      <w:pPr>
        <w:pStyle w:val="6"/>
        <w:snapToGrid w:val="0"/>
        <w:spacing w:before="69" w:line="300" w:lineRule="auto"/>
        <w:jc w:val="both"/>
        <w:rPr>
          <w:rFonts w:ascii="Arial" w:hAnsi="Arial" w:eastAsia="宋体" w:cs="Arial"/>
          <w:lang w:eastAsia="zh-CN"/>
        </w:rPr>
      </w:pPr>
    </w:p>
    <w:p w14:paraId="0D198EA7">
      <w:pPr>
        <w:pStyle w:val="6"/>
        <w:snapToGrid w:val="0"/>
        <w:spacing w:line="300" w:lineRule="auto"/>
        <w:jc w:val="both"/>
        <w:rPr>
          <w:rFonts w:ascii="Arial" w:hAnsi="Arial" w:eastAsia="宋体" w:cs="Arial"/>
          <w:u w:val="single"/>
          <w:lang w:eastAsia="zh-CN"/>
        </w:rPr>
      </w:pPr>
      <w:r>
        <w:rPr>
          <w:rFonts w:ascii="Arial" w:hAnsi="Arial" w:eastAsia="宋体" w:cs="Arial"/>
          <w:spacing w:val="-2"/>
          <w:u w:val="single" w:color="000000"/>
          <w:lang w:eastAsia="zh-CN"/>
        </w:rPr>
        <w:t>随访</w:t>
      </w:r>
      <w:r>
        <w:rPr>
          <w:rFonts w:ascii="Arial" w:hAnsi="Arial" w:eastAsia="宋体" w:cs="Arial"/>
          <w:u w:val="single"/>
          <w:lang w:eastAsia="zh-CN"/>
        </w:rPr>
        <w:t>建议</w:t>
      </w:r>
    </w:p>
    <w:p w14:paraId="7A2B9053">
      <w:pPr>
        <w:pStyle w:val="6"/>
        <w:snapToGrid w:val="0"/>
        <w:spacing w:before="69" w:line="300" w:lineRule="auto"/>
        <w:jc w:val="both"/>
        <w:rPr>
          <w:rFonts w:ascii="Arial" w:hAnsi="Arial" w:eastAsia="宋体" w:cs="Arial"/>
          <w:lang w:eastAsia="zh-CN"/>
        </w:rPr>
      </w:pPr>
      <w:r>
        <w:rPr>
          <w:rFonts w:ascii="Arial" w:hAnsi="Arial" w:eastAsia="宋体" w:cs="Arial"/>
          <w:lang w:eastAsia="zh-CN"/>
        </w:rPr>
        <w:t>记录在研究的任一个组中为患者进行治疗后六个月内的VT发作次数。</w:t>
      </w:r>
    </w:p>
    <w:p w14:paraId="08CB0422">
      <w:pPr>
        <w:snapToGrid w:val="0"/>
        <w:spacing w:before="6" w:line="300" w:lineRule="auto"/>
        <w:jc w:val="both"/>
        <w:rPr>
          <w:rFonts w:ascii="Arial" w:hAnsi="Arial" w:eastAsia="宋体" w:cs="Arial"/>
          <w:sz w:val="24"/>
          <w:szCs w:val="24"/>
          <w:lang w:eastAsia="zh-CN"/>
        </w:rPr>
      </w:pPr>
    </w:p>
    <w:p w14:paraId="7786CEA3">
      <w:pPr>
        <w:pStyle w:val="6"/>
        <w:snapToGrid w:val="0"/>
        <w:spacing w:line="300" w:lineRule="auto"/>
        <w:jc w:val="both"/>
        <w:rPr>
          <w:rFonts w:ascii="Arial" w:hAnsi="Arial" w:eastAsia="宋体" w:cs="Arial"/>
          <w:u w:val="single"/>
          <w:lang w:eastAsia="zh-CN"/>
        </w:rPr>
      </w:pPr>
      <w:r>
        <w:rPr>
          <w:rFonts w:ascii="Arial" w:hAnsi="Arial" w:eastAsia="宋体" w:cs="Arial"/>
          <w:u w:val="single"/>
          <w:lang w:eastAsia="zh-CN"/>
        </w:rPr>
        <w:t>交叉和重复消融</w:t>
      </w:r>
    </w:p>
    <w:p w14:paraId="22755D76">
      <w:pPr>
        <w:pStyle w:val="6"/>
        <w:snapToGrid w:val="0"/>
        <w:spacing w:before="69" w:line="300" w:lineRule="auto"/>
        <w:jc w:val="both"/>
        <w:rPr>
          <w:rFonts w:ascii="Arial" w:hAnsi="Arial" w:eastAsia="宋体" w:cs="Arial"/>
          <w:lang w:eastAsia="zh-CN"/>
        </w:rPr>
      </w:pPr>
      <w:r>
        <w:rPr>
          <w:rFonts w:ascii="Arial" w:hAnsi="Arial" w:eastAsia="宋体" w:cs="Arial"/>
          <w:lang w:eastAsia="zh-CN"/>
        </w:rPr>
        <w:t>允许患者与另一个治疗组交叉和/或允许重复消融是可引起类似研究完整性问题的此类选项。在这两种情况下，有可能失去关于6个月有效性终点的信息。与非随机研究设计一样，有办法最大限度地减少这个问题：</w:t>
      </w:r>
    </w:p>
    <w:p w14:paraId="046DFCB0">
      <w:pPr>
        <w:pStyle w:val="6"/>
        <w:snapToGrid w:val="0"/>
        <w:spacing w:line="300" w:lineRule="auto"/>
        <w:ind w:left="2260" w:hanging="1440"/>
        <w:jc w:val="both"/>
        <w:rPr>
          <w:rFonts w:ascii="Arial" w:hAnsi="Arial" w:eastAsia="宋体" w:cs="Arial"/>
          <w:lang w:eastAsia="zh-CN"/>
        </w:rPr>
      </w:pPr>
    </w:p>
    <w:p w14:paraId="1C315723">
      <w:pPr>
        <w:pStyle w:val="6"/>
        <w:snapToGrid w:val="0"/>
        <w:spacing w:line="300" w:lineRule="auto"/>
        <w:ind w:left="2260" w:hanging="1440"/>
        <w:jc w:val="both"/>
        <w:rPr>
          <w:rFonts w:ascii="Arial" w:hAnsi="Arial" w:eastAsia="宋体" w:cs="Arial"/>
          <w:lang w:eastAsia="zh-CN"/>
        </w:rPr>
      </w:pPr>
      <w:r>
        <w:rPr>
          <w:rFonts w:ascii="Arial" w:hAnsi="Arial" w:eastAsia="宋体" w:cs="Arial"/>
          <w:lang w:eastAsia="zh-CN"/>
        </w:rPr>
        <w:t>对于选项1：</w:t>
      </w:r>
      <w:r>
        <w:rPr>
          <w:rFonts w:ascii="Arial" w:hAnsi="Arial" w:eastAsia="宋体" w:cs="Arial"/>
          <w:u w:val="single"/>
          <w:lang w:eastAsia="zh-CN"/>
        </w:rPr>
        <w:t>交叉</w:t>
      </w:r>
      <w:r>
        <w:rPr>
          <w:rFonts w:ascii="Arial" w:hAnsi="Arial" w:eastAsia="宋体" w:cs="Arial"/>
          <w:lang w:eastAsia="zh-CN"/>
        </w:rPr>
        <w:t>-一旦其被归类为6个月失败，随机分配到研究的中任何一组的患者可以与其他治疗组交叉，但不得早于治疗开始后一周。如果贵公司选择将交叉结合到贵公司研究中，贵公司可以通过向任一组中的患者提供此选项来最小化进一步的偏倚。重复消融-遵循非随机研究中制定的规则（第7页）。</w:t>
      </w:r>
    </w:p>
    <w:p w14:paraId="1A84073F">
      <w:pPr>
        <w:snapToGrid w:val="0"/>
        <w:spacing w:before="6" w:line="300" w:lineRule="auto"/>
        <w:jc w:val="both"/>
        <w:rPr>
          <w:rFonts w:ascii="Arial" w:hAnsi="Arial" w:eastAsia="宋体" w:cs="Arial"/>
          <w:sz w:val="24"/>
          <w:szCs w:val="24"/>
          <w:lang w:eastAsia="zh-CN"/>
        </w:rPr>
      </w:pPr>
    </w:p>
    <w:p w14:paraId="7B5D0242">
      <w:pPr>
        <w:pStyle w:val="6"/>
        <w:snapToGrid w:val="0"/>
        <w:spacing w:line="300" w:lineRule="auto"/>
        <w:ind w:left="2260" w:hanging="1440"/>
        <w:jc w:val="both"/>
        <w:rPr>
          <w:rFonts w:ascii="Arial" w:hAnsi="Arial" w:eastAsia="宋体" w:cs="Arial"/>
          <w:lang w:eastAsia="zh-CN"/>
        </w:rPr>
      </w:pPr>
      <w:r>
        <w:rPr>
          <w:rFonts w:ascii="Arial" w:hAnsi="Arial" w:eastAsia="宋体" w:cs="Arial"/>
          <w:lang w:eastAsia="zh-CN"/>
        </w:rPr>
        <w:t>对于方案2：</w:t>
      </w:r>
      <w:r>
        <w:rPr>
          <w:rFonts w:ascii="Arial" w:hAnsi="Arial" w:eastAsia="宋体" w:cs="Arial"/>
          <w:u w:val="single"/>
          <w:lang w:eastAsia="zh-CN"/>
        </w:rPr>
        <w:t>交叉</w:t>
      </w:r>
      <w:r>
        <w:rPr>
          <w:rFonts w:ascii="Arial" w:hAnsi="Arial" w:eastAsia="宋体" w:cs="Arial"/>
          <w:lang w:eastAsia="zh-CN"/>
        </w:rPr>
        <w:t>-患者只能在完成了完整6个月随访期后才能与另一个治疗组交叉。类似地，</w:t>
      </w:r>
      <w:r>
        <w:rPr>
          <w:rFonts w:hint="eastAsia" w:ascii="Arial" w:hAnsi="Arial" w:eastAsia="宋体" w:cs="Arial"/>
          <w:u w:val="single"/>
          <w:lang w:eastAsia="zh-CN"/>
        </w:rPr>
        <w:t>重复消融</w:t>
      </w:r>
      <w:r>
        <w:rPr>
          <w:rFonts w:ascii="Arial" w:hAnsi="Arial" w:eastAsia="宋体" w:cs="Arial"/>
          <w:lang w:eastAsia="zh-CN"/>
        </w:rPr>
        <w:t>只应在患者完成6个月随访期后才能进行。</w:t>
      </w:r>
    </w:p>
    <w:p w14:paraId="3E444211">
      <w:pPr>
        <w:snapToGrid w:val="0"/>
        <w:spacing w:line="300" w:lineRule="auto"/>
        <w:jc w:val="both"/>
        <w:rPr>
          <w:rFonts w:ascii="Arial" w:hAnsi="Arial" w:eastAsia="宋体" w:cs="Arial"/>
          <w:lang w:eastAsia="zh-CN"/>
        </w:rPr>
        <w:sectPr>
          <w:pgSz w:w="12240" w:h="15840"/>
          <w:pgMar w:top="1134" w:right="1134" w:bottom="1134" w:left="1134" w:header="0" w:footer="771" w:gutter="0"/>
          <w:cols w:space="720" w:num="1"/>
          <w:docGrid w:linePitch="299" w:charSpace="0"/>
        </w:sectPr>
      </w:pPr>
    </w:p>
    <w:p w14:paraId="74274250">
      <w:pPr>
        <w:pStyle w:val="5"/>
        <w:numPr>
          <w:ilvl w:val="0"/>
          <w:numId w:val="8"/>
        </w:numPr>
        <w:tabs>
          <w:tab w:val="left" w:pos="445"/>
        </w:tabs>
        <w:snapToGrid w:val="0"/>
        <w:spacing w:before="46" w:line="300" w:lineRule="auto"/>
        <w:ind w:left="444" w:hanging="344"/>
        <w:jc w:val="both"/>
        <w:rPr>
          <w:rFonts w:ascii="Arial" w:hAnsi="Arial" w:eastAsia="宋体" w:cs="Arial"/>
          <w:b w:val="0"/>
          <w:bCs w:val="0"/>
        </w:rPr>
      </w:pPr>
      <w:r>
        <w:rPr>
          <w:rFonts w:ascii="Arial" w:hAnsi="Arial" w:eastAsia="宋体" w:cs="Arial"/>
          <w:lang w:eastAsia="zh-CN"/>
        </w:rPr>
        <w:t>统计分析</w:t>
      </w:r>
    </w:p>
    <w:p w14:paraId="0E95AEAD">
      <w:pPr>
        <w:pStyle w:val="6"/>
        <w:snapToGrid w:val="0"/>
        <w:spacing w:line="300" w:lineRule="auto"/>
        <w:jc w:val="both"/>
        <w:rPr>
          <w:rFonts w:ascii="Arial" w:hAnsi="Arial" w:eastAsia="宋体" w:cs="Arial"/>
          <w:u w:val="single"/>
          <w:lang w:eastAsia="zh-CN"/>
        </w:rPr>
      </w:pPr>
      <w:r>
        <w:rPr>
          <w:rFonts w:ascii="Arial" w:hAnsi="Arial" w:eastAsia="宋体" w:cs="Arial"/>
          <w:spacing w:val="-5"/>
          <w:u w:val="single" w:color="000000"/>
          <w:lang w:eastAsia="zh-CN"/>
        </w:rPr>
        <w:t>有效性</w:t>
      </w:r>
      <w:r>
        <w:rPr>
          <w:rFonts w:ascii="Arial" w:hAnsi="Arial" w:eastAsia="宋体" w:cs="Arial"/>
          <w:u w:val="single"/>
          <w:lang w:eastAsia="zh-CN"/>
        </w:rPr>
        <w:t>分析</w:t>
      </w:r>
    </w:p>
    <w:p w14:paraId="6E1A19EE">
      <w:pPr>
        <w:pStyle w:val="6"/>
        <w:snapToGrid w:val="0"/>
        <w:spacing w:before="69" w:line="300" w:lineRule="auto"/>
        <w:ind w:left="2260" w:hanging="1440"/>
        <w:jc w:val="both"/>
        <w:rPr>
          <w:rFonts w:ascii="Arial" w:hAnsi="Arial" w:eastAsia="宋体" w:cs="Arial"/>
          <w:lang w:eastAsia="zh-CN"/>
        </w:rPr>
      </w:pPr>
      <w:r>
        <w:rPr>
          <w:rFonts w:ascii="Arial" w:hAnsi="Arial" w:eastAsia="宋体" w:cs="Arial"/>
          <w:lang w:eastAsia="zh-CN"/>
        </w:rPr>
        <w:t>对于选项1：使用有关两个比例之间差异的试验比较两种治疗方式的6个月成功率。</w:t>
      </w:r>
    </w:p>
    <w:p w14:paraId="6E2D5FE5">
      <w:pPr>
        <w:pStyle w:val="6"/>
        <w:snapToGrid w:val="0"/>
        <w:spacing w:line="300" w:lineRule="auto"/>
        <w:ind w:left="2260" w:hanging="1440"/>
        <w:jc w:val="both"/>
        <w:rPr>
          <w:rFonts w:ascii="Arial" w:hAnsi="Arial" w:eastAsia="宋体" w:cs="Arial"/>
          <w:lang w:eastAsia="zh-CN"/>
        </w:rPr>
      </w:pPr>
      <w:r>
        <w:rPr>
          <w:rFonts w:ascii="Arial" w:hAnsi="Arial" w:eastAsia="宋体" w:cs="Arial"/>
          <w:lang w:eastAsia="zh-CN"/>
        </w:rPr>
        <w:t>对于选项2：根据其对VT复发率的总体影响比较两种治疗方式。比较两组患者六个月随访期间的VT发作次数，并假设在完成6个月随访期之前不允许进行交叉。</w:t>
      </w:r>
    </w:p>
    <w:p w14:paraId="6AA30836">
      <w:pPr>
        <w:pStyle w:val="6"/>
        <w:snapToGrid w:val="0"/>
        <w:spacing w:line="300" w:lineRule="auto"/>
        <w:jc w:val="both"/>
        <w:rPr>
          <w:rFonts w:ascii="Arial" w:hAnsi="Arial" w:eastAsia="宋体" w:cs="Arial"/>
          <w:lang w:eastAsia="zh-CN"/>
        </w:rPr>
      </w:pPr>
    </w:p>
    <w:p w14:paraId="07024F53">
      <w:pPr>
        <w:pStyle w:val="6"/>
        <w:snapToGrid w:val="0"/>
        <w:spacing w:line="300" w:lineRule="auto"/>
        <w:jc w:val="both"/>
        <w:rPr>
          <w:rFonts w:ascii="Arial" w:hAnsi="Arial" w:eastAsia="宋体" w:cs="Arial"/>
          <w:u w:val="single"/>
          <w:lang w:eastAsia="zh-CN"/>
        </w:rPr>
      </w:pPr>
      <w:r>
        <w:rPr>
          <w:rFonts w:ascii="Arial" w:hAnsi="Arial" w:eastAsia="宋体" w:cs="Arial"/>
          <w:u w:val="single"/>
          <w:lang w:eastAsia="zh-CN"/>
        </w:rPr>
        <w:t>安全性分析</w:t>
      </w:r>
    </w:p>
    <w:p w14:paraId="4DD9D238">
      <w:pPr>
        <w:pStyle w:val="6"/>
        <w:snapToGrid w:val="0"/>
        <w:spacing w:before="69" w:line="300" w:lineRule="auto"/>
        <w:ind w:left="2711" w:hanging="1892"/>
        <w:jc w:val="both"/>
        <w:rPr>
          <w:rFonts w:ascii="Arial" w:hAnsi="Arial" w:eastAsia="宋体" w:cs="Arial"/>
          <w:lang w:eastAsia="zh-CN"/>
        </w:rPr>
      </w:pPr>
      <w:r>
        <w:rPr>
          <w:rFonts w:ascii="Arial" w:hAnsi="Arial" w:eastAsia="宋体" w:cs="Arial"/>
          <w:lang w:eastAsia="zh-CN"/>
        </w:rPr>
        <w:t>对于选项1或2：使用有关两个比例间差异的试验，比较研究中两组的并发症发生率。</w:t>
      </w:r>
    </w:p>
    <w:p w14:paraId="5424CFA8">
      <w:pPr>
        <w:snapToGrid w:val="0"/>
        <w:spacing w:line="300" w:lineRule="auto"/>
        <w:jc w:val="both"/>
        <w:rPr>
          <w:rFonts w:ascii="Arial" w:hAnsi="Arial" w:eastAsia="宋体" w:cs="Arial"/>
          <w:lang w:eastAsia="zh-CN"/>
        </w:rPr>
        <w:sectPr>
          <w:pgSz w:w="12240" w:h="15840"/>
          <w:pgMar w:top="1134" w:right="1134" w:bottom="1134" w:left="1134" w:header="0" w:footer="771" w:gutter="0"/>
          <w:cols w:space="720" w:num="1"/>
          <w:docGrid w:linePitch="299" w:charSpace="0"/>
        </w:sectPr>
      </w:pPr>
    </w:p>
    <w:p w14:paraId="08762EE0">
      <w:pPr>
        <w:snapToGrid w:val="0"/>
        <w:spacing w:before="4" w:line="300" w:lineRule="auto"/>
        <w:jc w:val="center"/>
        <w:rPr>
          <w:rFonts w:ascii="Arial" w:hAnsi="Arial" w:eastAsia="宋体" w:cs="Arial"/>
          <w:sz w:val="24"/>
          <w:szCs w:val="24"/>
          <w:lang w:eastAsia="zh-CN"/>
        </w:rPr>
      </w:pPr>
      <w:r>
        <w:rPr>
          <w:rFonts w:ascii="Arial" w:hAnsi="Arial" w:eastAsia="宋体" w:cs="Arial"/>
          <w:sz w:val="24"/>
          <w:szCs w:val="24"/>
          <w:lang w:eastAsia="zh-CN"/>
        </w:rPr>
        <w:t>附录A</w:t>
      </w:r>
    </w:p>
    <w:p w14:paraId="4B3BE5D0">
      <w:pPr>
        <w:pStyle w:val="6"/>
        <w:snapToGrid w:val="0"/>
        <w:spacing w:before="7" w:line="300" w:lineRule="auto"/>
        <w:ind w:left="0"/>
        <w:jc w:val="center"/>
        <w:rPr>
          <w:rFonts w:ascii="Arial" w:hAnsi="Arial" w:eastAsia="宋体" w:cs="Arial"/>
          <w:lang w:eastAsia="zh-CN"/>
        </w:rPr>
      </w:pPr>
      <w:r>
        <w:rPr>
          <w:rFonts w:ascii="Arial" w:hAnsi="Arial" w:eastAsia="宋体" w:cs="Arial"/>
          <w:lang w:eastAsia="zh-CN"/>
        </w:rPr>
        <w:t>主要并发症发生率的定义</w:t>
      </w:r>
    </w:p>
    <w:p w14:paraId="6EB8A4CC">
      <w:pPr>
        <w:pStyle w:val="6"/>
        <w:snapToGrid w:val="0"/>
        <w:spacing w:line="300" w:lineRule="auto"/>
        <w:ind w:left="100"/>
        <w:jc w:val="both"/>
        <w:rPr>
          <w:rFonts w:ascii="Arial" w:hAnsi="Arial" w:eastAsia="宋体" w:cs="Arial"/>
          <w:lang w:eastAsia="zh-CN"/>
        </w:rPr>
      </w:pPr>
    </w:p>
    <w:p w14:paraId="1F90A34B">
      <w:pPr>
        <w:pStyle w:val="6"/>
        <w:snapToGrid w:val="0"/>
        <w:spacing w:line="300" w:lineRule="auto"/>
        <w:ind w:left="0"/>
        <w:jc w:val="both"/>
        <w:rPr>
          <w:rFonts w:ascii="Arial" w:hAnsi="Arial" w:eastAsia="宋体" w:cs="Arial"/>
          <w:lang w:eastAsia="zh-CN"/>
        </w:rPr>
      </w:pPr>
      <w:r>
        <w:rPr>
          <w:rFonts w:ascii="Arial" w:hAnsi="Arial" w:eastAsia="宋体" w:cs="Arial"/>
          <w:lang w:eastAsia="zh-CN"/>
        </w:rPr>
        <w:t>主要并发症发生率：使用研究器械进行治疗并经历研究手术后第一周内出现任何不良事件的患者百分比：</w:t>
      </w:r>
    </w:p>
    <w:p w14:paraId="13191BBB">
      <w:pPr>
        <w:snapToGrid w:val="0"/>
        <w:spacing w:before="4" w:line="300" w:lineRule="auto"/>
        <w:jc w:val="both"/>
        <w:rPr>
          <w:rFonts w:ascii="Arial" w:hAnsi="Arial" w:eastAsia="宋体" w:cs="Arial"/>
          <w:sz w:val="24"/>
          <w:szCs w:val="24"/>
          <w:lang w:eastAsia="zh-CN"/>
        </w:rPr>
      </w:pPr>
    </w:p>
    <w:p w14:paraId="0743B3C1">
      <w:pPr>
        <w:pStyle w:val="15"/>
        <w:numPr>
          <w:ilvl w:val="0"/>
          <w:numId w:val="9"/>
        </w:numPr>
        <w:snapToGrid w:val="0"/>
        <w:spacing w:before="4" w:line="300" w:lineRule="auto"/>
        <w:ind w:left="1092" w:hanging="560"/>
        <w:jc w:val="both"/>
        <w:rPr>
          <w:rFonts w:ascii="Arial" w:hAnsi="Arial" w:eastAsia="宋体" w:cs="Arial"/>
          <w:sz w:val="24"/>
          <w:szCs w:val="24"/>
        </w:rPr>
      </w:pPr>
      <w:r>
        <w:rPr>
          <w:rFonts w:ascii="Arial" w:hAnsi="Arial" w:eastAsia="宋体" w:cs="Arial"/>
          <w:sz w:val="24"/>
          <w:szCs w:val="24"/>
        </w:rPr>
        <w:t>危及生命；或者</w:t>
      </w:r>
    </w:p>
    <w:p w14:paraId="195A5804">
      <w:pPr>
        <w:pStyle w:val="15"/>
        <w:numPr>
          <w:ilvl w:val="0"/>
          <w:numId w:val="9"/>
        </w:numPr>
        <w:snapToGrid w:val="0"/>
        <w:spacing w:before="4" w:line="300" w:lineRule="auto"/>
        <w:ind w:left="1092" w:hanging="560"/>
        <w:jc w:val="both"/>
        <w:rPr>
          <w:rFonts w:ascii="Arial" w:hAnsi="Arial" w:eastAsia="宋体" w:cs="Arial"/>
          <w:sz w:val="24"/>
          <w:szCs w:val="24"/>
          <w:lang w:eastAsia="zh-CN"/>
        </w:rPr>
      </w:pPr>
      <w:r>
        <w:rPr>
          <w:rFonts w:ascii="Arial" w:hAnsi="Arial" w:eastAsia="宋体" w:cs="Arial"/>
          <w:sz w:val="24"/>
          <w:szCs w:val="24"/>
          <w:lang w:eastAsia="zh-CN"/>
        </w:rPr>
        <w:t>使身体功能永久性损伤或身体结构永久性损伤；或者</w:t>
      </w:r>
    </w:p>
    <w:p w14:paraId="6E3F2007">
      <w:pPr>
        <w:pStyle w:val="15"/>
        <w:numPr>
          <w:ilvl w:val="0"/>
          <w:numId w:val="9"/>
        </w:numPr>
        <w:snapToGrid w:val="0"/>
        <w:spacing w:before="4" w:line="300" w:lineRule="auto"/>
        <w:ind w:left="1092" w:hanging="560"/>
        <w:jc w:val="both"/>
        <w:rPr>
          <w:rFonts w:ascii="Arial" w:hAnsi="Arial" w:eastAsia="宋体" w:cs="Arial"/>
          <w:sz w:val="24"/>
          <w:szCs w:val="24"/>
          <w:lang w:eastAsia="zh-CN"/>
        </w:rPr>
      </w:pPr>
      <w:r>
        <w:rPr>
          <w:rFonts w:ascii="Arial" w:hAnsi="Arial" w:eastAsia="宋体" w:cs="Arial"/>
          <w:sz w:val="24"/>
          <w:szCs w:val="24"/>
          <w:lang w:eastAsia="zh-CN"/>
        </w:rPr>
        <w:t>需要进行重大干预，如大手术，以防止身体功能出现永久性损伤或身体结构出现永久性损伤；或者</w:t>
      </w:r>
    </w:p>
    <w:p w14:paraId="560A8B60">
      <w:pPr>
        <w:pStyle w:val="15"/>
        <w:numPr>
          <w:ilvl w:val="0"/>
          <w:numId w:val="9"/>
        </w:numPr>
        <w:snapToGrid w:val="0"/>
        <w:spacing w:before="4" w:line="300" w:lineRule="auto"/>
        <w:ind w:left="1092" w:hanging="560"/>
        <w:jc w:val="both"/>
        <w:rPr>
          <w:rFonts w:ascii="Arial" w:hAnsi="Arial" w:eastAsia="宋体" w:cs="Arial"/>
          <w:sz w:val="24"/>
          <w:szCs w:val="24"/>
          <w:lang w:eastAsia="zh-CN"/>
        </w:rPr>
      </w:pPr>
      <w:r>
        <w:rPr>
          <w:rFonts w:ascii="Arial" w:hAnsi="Arial" w:eastAsia="宋体" w:cs="Arial"/>
          <w:sz w:val="24"/>
          <w:szCs w:val="24"/>
          <w:lang w:eastAsia="zh-CN"/>
        </w:rPr>
        <w:t>需要住院或延长住院时间；或者</w:t>
      </w:r>
    </w:p>
    <w:p w14:paraId="1E629FD1">
      <w:pPr>
        <w:pStyle w:val="15"/>
        <w:numPr>
          <w:ilvl w:val="0"/>
          <w:numId w:val="9"/>
        </w:numPr>
        <w:snapToGrid w:val="0"/>
        <w:spacing w:before="4" w:line="300" w:lineRule="auto"/>
        <w:ind w:left="1092" w:hanging="560"/>
        <w:jc w:val="both"/>
        <w:rPr>
          <w:rFonts w:ascii="Arial" w:hAnsi="Arial" w:eastAsia="宋体" w:cs="Arial"/>
          <w:sz w:val="24"/>
          <w:szCs w:val="24"/>
          <w:lang w:eastAsia="zh-CN"/>
        </w:rPr>
      </w:pPr>
      <w:r>
        <w:rPr>
          <w:rFonts w:ascii="Arial" w:hAnsi="Arial" w:eastAsia="宋体" w:cs="Arial"/>
          <w:sz w:val="24"/>
          <w:szCs w:val="24"/>
          <w:lang w:eastAsia="zh-CN"/>
        </w:rPr>
        <w:t>导致身体功能出现中度短暂损伤或身体结构出现短暂损伤；或者</w:t>
      </w:r>
    </w:p>
    <w:p w14:paraId="28234FEC">
      <w:pPr>
        <w:pStyle w:val="15"/>
        <w:numPr>
          <w:ilvl w:val="0"/>
          <w:numId w:val="9"/>
        </w:numPr>
        <w:snapToGrid w:val="0"/>
        <w:spacing w:before="4" w:line="300" w:lineRule="auto"/>
        <w:ind w:left="1092" w:hanging="560"/>
        <w:jc w:val="both"/>
        <w:rPr>
          <w:rFonts w:ascii="Arial" w:hAnsi="Arial" w:eastAsia="宋体" w:cs="Arial"/>
          <w:sz w:val="24"/>
          <w:szCs w:val="24"/>
          <w:lang w:eastAsia="zh-CN"/>
        </w:rPr>
      </w:pPr>
      <w:r>
        <w:rPr>
          <w:rFonts w:ascii="Arial" w:hAnsi="Arial" w:eastAsia="宋体" w:cs="Arial"/>
          <w:sz w:val="24"/>
          <w:szCs w:val="24"/>
          <w:lang w:eastAsia="zh-CN"/>
        </w:rPr>
        <w:t>需要药物或心脏复律等干预，以防止身体功能出现永久性损伤或身体结构受损。</w:t>
      </w:r>
    </w:p>
    <w:p w14:paraId="671830A7">
      <w:pPr>
        <w:snapToGrid w:val="0"/>
        <w:spacing w:before="5" w:line="300" w:lineRule="auto"/>
        <w:jc w:val="both"/>
        <w:rPr>
          <w:rFonts w:ascii="Arial" w:hAnsi="Arial" w:eastAsia="宋体" w:cs="Arial"/>
          <w:sz w:val="25"/>
          <w:szCs w:val="25"/>
          <w:lang w:eastAsia="zh-CN"/>
        </w:rPr>
      </w:pPr>
    </w:p>
    <w:p w14:paraId="25221147">
      <w:pPr>
        <w:snapToGrid w:val="0"/>
        <w:spacing w:before="4" w:line="300" w:lineRule="auto"/>
        <w:jc w:val="both"/>
        <w:rPr>
          <w:rFonts w:ascii="Arial" w:hAnsi="Arial" w:eastAsia="宋体" w:cs="Arial"/>
          <w:sz w:val="24"/>
          <w:szCs w:val="24"/>
          <w:lang w:eastAsia="zh-CN"/>
        </w:rPr>
      </w:pPr>
      <w:r>
        <w:rPr>
          <w:rFonts w:ascii="宋体" w:hAnsi="宋体" w:eastAsia="宋体" w:cs="Arial"/>
          <w:sz w:val="24"/>
          <w:szCs w:val="24"/>
          <w:lang w:eastAsia="zh-CN"/>
        </w:rPr>
        <w:t>“</w:t>
      </w:r>
      <w:r>
        <w:rPr>
          <w:rFonts w:ascii="Arial" w:hAnsi="Arial" w:eastAsia="宋体" w:cs="Arial"/>
          <w:sz w:val="24"/>
          <w:szCs w:val="24"/>
          <w:lang w:eastAsia="zh-CN"/>
        </w:rPr>
        <w:t>次要</w:t>
      </w:r>
      <w:r>
        <w:rPr>
          <w:rFonts w:ascii="宋体" w:hAnsi="宋体" w:eastAsia="宋体" w:cs="Arial"/>
          <w:sz w:val="24"/>
          <w:szCs w:val="24"/>
          <w:lang w:eastAsia="zh-CN"/>
        </w:rPr>
        <w:t>”</w:t>
      </w:r>
      <w:r>
        <w:rPr>
          <w:rFonts w:ascii="Arial" w:hAnsi="Arial" w:eastAsia="宋体" w:cs="Arial"/>
          <w:sz w:val="24"/>
          <w:szCs w:val="24"/>
          <w:lang w:eastAsia="zh-CN"/>
        </w:rPr>
        <w:t>并发症是可导致身体功能的</w:t>
      </w:r>
      <w:r>
        <w:rPr>
          <w:rFonts w:hint="eastAsia" w:ascii="Arial" w:hAnsi="Arial" w:eastAsia="宋体" w:cs="Arial"/>
          <w:i/>
          <w:sz w:val="24"/>
          <w:szCs w:val="24"/>
          <w:lang w:eastAsia="zh-CN"/>
        </w:rPr>
        <w:t>最低短暂损伤</w:t>
      </w:r>
      <w:r>
        <w:rPr>
          <w:rFonts w:ascii="Arial" w:hAnsi="Arial" w:eastAsia="宋体" w:cs="Arial"/>
          <w:sz w:val="24"/>
          <w:szCs w:val="24"/>
          <w:lang w:eastAsia="zh-CN"/>
        </w:rPr>
        <w:t>或身体结构受到损害，或者</w:t>
      </w:r>
      <w:r>
        <w:rPr>
          <w:rFonts w:hint="eastAsia" w:ascii="Arial" w:hAnsi="Arial" w:eastAsia="宋体" w:cs="Arial"/>
          <w:i/>
          <w:sz w:val="24"/>
          <w:szCs w:val="24"/>
          <w:lang w:eastAsia="zh-CN"/>
        </w:rPr>
        <w:t>除监测之外不需要任何干预</w:t>
      </w:r>
      <w:r>
        <w:rPr>
          <w:rFonts w:ascii="Arial" w:hAnsi="Arial" w:eastAsia="宋体" w:cs="Arial"/>
          <w:sz w:val="24"/>
          <w:szCs w:val="24"/>
          <w:lang w:eastAsia="zh-CN"/>
        </w:rPr>
        <w:t>的任何事件。</w:t>
      </w:r>
    </w:p>
    <w:p w14:paraId="09A9104E">
      <w:pPr>
        <w:snapToGrid w:val="0"/>
        <w:spacing w:line="300" w:lineRule="auto"/>
        <w:ind w:left="820"/>
        <w:jc w:val="both"/>
        <w:rPr>
          <w:rFonts w:ascii="Arial" w:hAnsi="Arial" w:eastAsia="宋体" w:cs="Arial"/>
          <w:sz w:val="24"/>
          <w:szCs w:val="24"/>
          <w:lang w:eastAsia="zh-CN"/>
        </w:rPr>
      </w:pPr>
    </w:p>
    <w:p w14:paraId="540561AE">
      <w:pPr>
        <w:snapToGrid w:val="0"/>
        <w:spacing w:before="4" w:line="300" w:lineRule="auto"/>
        <w:jc w:val="both"/>
        <w:rPr>
          <w:rFonts w:hint="eastAsia" w:eastAsia="宋体"/>
          <w:lang w:eastAsia="zh-CN"/>
        </w:rPr>
      </w:pPr>
    </w:p>
    <w:p w14:paraId="5E270329">
      <w:pPr>
        <w:snapToGrid w:val="0"/>
        <w:spacing w:before="4" w:line="300" w:lineRule="auto"/>
        <w:jc w:val="center"/>
        <w:rPr>
          <w:rFonts w:hint="eastAsia" w:eastAsia="宋体"/>
          <w:lang w:eastAsia="zh-CN"/>
        </w:rPr>
      </w:pPr>
    </w:p>
    <w:p w14:paraId="099BD1A9">
      <w:pPr>
        <w:snapToGrid w:val="0"/>
        <w:spacing w:before="4"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9" name="图片 9" descr="2"/>
            <wp:cNvGraphicFramePr/>
            <a:graphic xmlns:a="http://schemas.openxmlformats.org/drawingml/2006/main">
              <a:graphicData uri="http://schemas.openxmlformats.org/drawingml/2006/picture">
                <pic:pic xmlns:pic="http://schemas.openxmlformats.org/drawingml/2006/picture">
                  <pic:nvPicPr>
                    <pic:cNvPr id="9" name="图片 9" descr="2"/>
                    <pic:cNvPicPr/>
                  </pic:nvPicPr>
                  <pic:blipFill>
                    <a:blip r:embed="rId6"/>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0" w:footer="771"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82650">
    <w:pPr>
      <w:pStyle w:val="6"/>
      <w:spacing w:line="265" w:lineRule="exact"/>
      <w:ind w:left="20"/>
      <w:jc w:val="right"/>
      <w:rPr>
        <w:rFonts w:ascii="Arial" w:hAnsi="Arial" w:cs="Arial"/>
      </w:rPr>
    </w:pP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spacing w:val="5"/>
      </w:rPr>
      <w:t xml:space="preserve"> </w:t>
    </w:r>
    <w:r>
      <w:rPr>
        <w:rFonts w:ascii="Arial" w:hAnsi="Arial" w:cs="Arial"/>
      </w:rPr>
      <w:t>-</w:t>
    </w:r>
  </w:p>
  <w:p w14:paraId="28EC75FF">
    <w:pPr>
      <w:spacing w:line="14" w:lineRule="auto"/>
      <w:rPr>
        <w:rFonts w:ascii="Arial" w:hAnsi="Arial" w:cs="Arial"/>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3427E1"/>
    <w:multiLevelType w:val="multilevel"/>
    <w:tmpl w:val="2B3427E1"/>
    <w:lvl w:ilvl="0" w:tentative="0">
      <w:start w:val="1"/>
      <w:numFmt w:val="bullet"/>
      <w:lvlText w:val=""/>
      <w:lvlJc w:val="left"/>
      <w:pPr>
        <w:ind w:left="2620" w:hanging="1080"/>
      </w:pPr>
      <w:rPr>
        <w:rFonts w:hint="default" w:ascii="Symbol" w:hAnsi="Symbol" w:eastAsia="Symbol"/>
        <w:w w:val="100"/>
        <w:sz w:val="24"/>
        <w:szCs w:val="24"/>
      </w:rPr>
    </w:lvl>
    <w:lvl w:ilvl="1" w:tentative="0">
      <w:start w:val="1"/>
      <w:numFmt w:val="bullet"/>
      <w:lvlText w:val="•"/>
      <w:lvlJc w:val="left"/>
      <w:pPr>
        <w:ind w:left="3278" w:hanging="1080"/>
      </w:pPr>
      <w:rPr>
        <w:rFonts w:hint="default"/>
      </w:rPr>
    </w:lvl>
    <w:lvl w:ilvl="2" w:tentative="0">
      <w:start w:val="1"/>
      <w:numFmt w:val="bullet"/>
      <w:lvlText w:val="•"/>
      <w:lvlJc w:val="left"/>
      <w:pPr>
        <w:ind w:left="3936" w:hanging="1080"/>
      </w:pPr>
      <w:rPr>
        <w:rFonts w:hint="default"/>
      </w:rPr>
    </w:lvl>
    <w:lvl w:ilvl="3" w:tentative="0">
      <w:start w:val="1"/>
      <w:numFmt w:val="bullet"/>
      <w:lvlText w:val="•"/>
      <w:lvlJc w:val="left"/>
      <w:pPr>
        <w:ind w:left="4594" w:hanging="1080"/>
      </w:pPr>
      <w:rPr>
        <w:rFonts w:hint="default"/>
      </w:rPr>
    </w:lvl>
    <w:lvl w:ilvl="4" w:tentative="0">
      <w:start w:val="1"/>
      <w:numFmt w:val="bullet"/>
      <w:lvlText w:val="•"/>
      <w:lvlJc w:val="left"/>
      <w:pPr>
        <w:ind w:left="5252" w:hanging="1080"/>
      </w:pPr>
      <w:rPr>
        <w:rFonts w:hint="default"/>
      </w:rPr>
    </w:lvl>
    <w:lvl w:ilvl="5" w:tentative="0">
      <w:start w:val="1"/>
      <w:numFmt w:val="bullet"/>
      <w:lvlText w:val="•"/>
      <w:lvlJc w:val="left"/>
      <w:pPr>
        <w:ind w:left="5910" w:hanging="1080"/>
      </w:pPr>
      <w:rPr>
        <w:rFonts w:hint="default"/>
      </w:rPr>
    </w:lvl>
    <w:lvl w:ilvl="6" w:tentative="0">
      <w:start w:val="1"/>
      <w:numFmt w:val="bullet"/>
      <w:lvlText w:val="•"/>
      <w:lvlJc w:val="left"/>
      <w:pPr>
        <w:ind w:left="6568" w:hanging="1080"/>
      </w:pPr>
      <w:rPr>
        <w:rFonts w:hint="default"/>
      </w:rPr>
    </w:lvl>
    <w:lvl w:ilvl="7" w:tentative="0">
      <w:start w:val="1"/>
      <w:numFmt w:val="bullet"/>
      <w:lvlText w:val="•"/>
      <w:lvlJc w:val="left"/>
      <w:pPr>
        <w:ind w:left="7226" w:hanging="1080"/>
      </w:pPr>
      <w:rPr>
        <w:rFonts w:hint="default"/>
      </w:rPr>
    </w:lvl>
    <w:lvl w:ilvl="8" w:tentative="0">
      <w:start w:val="1"/>
      <w:numFmt w:val="bullet"/>
      <w:lvlText w:val="•"/>
      <w:lvlJc w:val="left"/>
      <w:pPr>
        <w:ind w:left="7884" w:hanging="1080"/>
      </w:pPr>
      <w:rPr>
        <w:rFonts w:hint="default"/>
      </w:rPr>
    </w:lvl>
  </w:abstractNum>
  <w:abstractNum w:abstractNumId="1">
    <w:nsid w:val="2BBD3AEE"/>
    <w:multiLevelType w:val="multilevel"/>
    <w:tmpl w:val="2BBD3AEE"/>
    <w:lvl w:ilvl="0" w:tentative="0">
      <w:start w:val="1"/>
      <w:numFmt w:val="upperRoman"/>
      <w:lvlText w:val="%1."/>
      <w:lvlJc w:val="left"/>
      <w:pPr>
        <w:ind w:left="1139" w:hanging="320"/>
      </w:pPr>
      <w:rPr>
        <w:rFonts w:hint="default" w:ascii="Arial" w:hAnsi="Arial" w:eastAsia="Times New Roman" w:cs="Arial"/>
        <w:b/>
        <w:bCs/>
        <w:spacing w:val="-2"/>
        <w:w w:val="99"/>
        <w:sz w:val="28"/>
        <w:szCs w:val="28"/>
      </w:rPr>
    </w:lvl>
    <w:lvl w:ilvl="1" w:tentative="0">
      <w:start w:val="1"/>
      <w:numFmt w:val="bullet"/>
      <w:lvlText w:val="•"/>
      <w:lvlJc w:val="left"/>
      <w:pPr>
        <w:ind w:left="1982" w:hanging="320"/>
      </w:pPr>
      <w:rPr>
        <w:rFonts w:hint="default"/>
      </w:rPr>
    </w:lvl>
    <w:lvl w:ilvl="2" w:tentative="0">
      <w:start w:val="1"/>
      <w:numFmt w:val="bullet"/>
      <w:lvlText w:val="•"/>
      <w:lvlJc w:val="left"/>
      <w:pPr>
        <w:ind w:left="2824" w:hanging="320"/>
      </w:pPr>
      <w:rPr>
        <w:rFonts w:hint="default"/>
      </w:rPr>
    </w:lvl>
    <w:lvl w:ilvl="3" w:tentative="0">
      <w:start w:val="1"/>
      <w:numFmt w:val="bullet"/>
      <w:lvlText w:val="•"/>
      <w:lvlJc w:val="left"/>
      <w:pPr>
        <w:ind w:left="3666" w:hanging="320"/>
      </w:pPr>
      <w:rPr>
        <w:rFonts w:hint="default"/>
      </w:rPr>
    </w:lvl>
    <w:lvl w:ilvl="4" w:tentative="0">
      <w:start w:val="1"/>
      <w:numFmt w:val="bullet"/>
      <w:lvlText w:val="•"/>
      <w:lvlJc w:val="left"/>
      <w:pPr>
        <w:ind w:left="4508" w:hanging="320"/>
      </w:pPr>
      <w:rPr>
        <w:rFonts w:hint="default"/>
      </w:rPr>
    </w:lvl>
    <w:lvl w:ilvl="5" w:tentative="0">
      <w:start w:val="1"/>
      <w:numFmt w:val="bullet"/>
      <w:lvlText w:val="•"/>
      <w:lvlJc w:val="left"/>
      <w:pPr>
        <w:ind w:left="5350" w:hanging="320"/>
      </w:pPr>
      <w:rPr>
        <w:rFonts w:hint="default"/>
      </w:rPr>
    </w:lvl>
    <w:lvl w:ilvl="6" w:tentative="0">
      <w:start w:val="1"/>
      <w:numFmt w:val="bullet"/>
      <w:lvlText w:val="•"/>
      <w:lvlJc w:val="left"/>
      <w:pPr>
        <w:ind w:left="6192" w:hanging="320"/>
      </w:pPr>
      <w:rPr>
        <w:rFonts w:hint="default"/>
      </w:rPr>
    </w:lvl>
    <w:lvl w:ilvl="7" w:tentative="0">
      <w:start w:val="1"/>
      <w:numFmt w:val="bullet"/>
      <w:lvlText w:val="•"/>
      <w:lvlJc w:val="left"/>
      <w:pPr>
        <w:ind w:left="7034" w:hanging="320"/>
      </w:pPr>
      <w:rPr>
        <w:rFonts w:hint="default"/>
      </w:rPr>
    </w:lvl>
    <w:lvl w:ilvl="8" w:tentative="0">
      <w:start w:val="1"/>
      <w:numFmt w:val="bullet"/>
      <w:lvlText w:val="•"/>
      <w:lvlJc w:val="left"/>
      <w:pPr>
        <w:ind w:left="7876" w:hanging="320"/>
      </w:pPr>
      <w:rPr>
        <w:rFonts w:hint="default"/>
      </w:rPr>
    </w:lvl>
  </w:abstractNum>
  <w:abstractNum w:abstractNumId="2">
    <w:nsid w:val="35BC1F9B"/>
    <w:multiLevelType w:val="multilevel"/>
    <w:tmpl w:val="35BC1F9B"/>
    <w:lvl w:ilvl="0" w:tentative="0">
      <w:start w:val="1"/>
      <w:numFmt w:val="decimal"/>
      <w:lvlText w:val="%1)"/>
      <w:lvlJc w:val="left"/>
      <w:pPr>
        <w:ind w:left="1160" w:hanging="720"/>
      </w:pPr>
      <w:rPr>
        <w:rFonts w:hint="default" w:ascii="Arial" w:hAnsi="Arial" w:eastAsia="Times New Roman" w:cs="Arial"/>
        <w:spacing w:val="-2"/>
        <w:w w:val="100"/>
        <w:sz w:val="24"/>
        <w:szCs w:val="24"/>
      </w:rPr>
    </w:lvl>
    <w:lvl w:ilvl="1" w:tentative="0">
      <w:start w:val="1"/>
      <w:numFmt w:val="bullet"/>
      <w:lvlText w:val="•"/>
      <w:lvlJc w:val="left"/>
      <w:pPr>
        <w:ind w:left="1962" w:hanging="720"/>
      </w:pPr>
      <w:rPr>
        <w:rFonts w:hint="default"/>
      </w:rPr>
    </w:lvl>
    <w:lvl w:ilvl="2" w:tentative="0">
      <w:start w:val="1"/>
      <w:numFmt w:val="bullet"/>
      <w:lvlText w:val="•"/>
      <w:lvlJc w:val="left"/>
      <w:pPr>
        <w:ind w:left="2764" w:hanging="720"/>
      </w:pPr>
      <w:rPr>
        <w:rFonts w:hint="default"/>
      </w:rPr>
    </w:lvl>
    <w:lvl w:ilvl="3" w:tentative="0">
      <w:start w:val="1"/>
      <w:numFmt w:val="bullet"/>
      <w:lvlText w:val="•"/>
      <w:lvlJc w:val="left"/>
      <w:pPr>
        <w:ind w:left="3566" w:hanging="720"/>
      </w:pPr>
      <w:rPr>
        <w:rFonts w:hint="default"/>
      </w:rPr>
    </w:lvl>
    <w:lvl w:ilvl="4" w:tentative="0">
      <w:start w:val="1"/>
      <w:numFmt w:val="bullet"/>
      <w:lvlText w:val="•"/>
      <w:lvlJc w:val="left"/>
      <w:pPr>
        <w:ind w:left="4368" w:hanging="720"/>
      </w:pPr>
      <w:rPr>
        <w:rFonts w:hint="default"/>
      </w:rPr>
    </w:lvl>
    <w:lvl w:ilvl="5" w:tentative="0">
      <w:start w:val="1"/>
      <w:numFmt w:val="bullet"/>
      <w:lvlText w:val="•"/>
      <w:lvlJc w:val="left"/>
      <w:pPr>
        <w:ind w:left="5170" w:hanging="720"/>
      </w:pPr>
      <w:rPr>
        <w:rFonts w:hint="default"/>
      </w:rPr>
    </w:lvl>
    <w:lvl w:ilvl="6" w:tentative="0">
      <w:start w:val="1"/>
      <w:numFmt w:val="bullet"/>
      <w:lvlText w:val="•"/>
      <w:lvlJc w:val="left"/>
      <w:pPr>
        <w:ind w:left="5972" w:hanging="720"/>
      </w:pPr>
      <w:rPr>
        <w:rFonts w:hint="default"/>
      </w:rPr>
    </w:lvl>
    <w:lvl w:ilvl="7" w:tentative="0">
      <w:start w:val="1"/>
      <w:numFmt w:val="bullet"/>
      <w:lvlText w:val="•"/>
      <w:lvlJc w:val="left"/>
      <w:pPr>
        <w:ind w:left="6774" w:hanging="720"/>
      </w:pPr>
      <w:rPr>
        <w:rFonts w:hint="default"/>
      </w:rPr>
    </w:lvl>
    <w:lvl w:ilvl="8" w:tentative="0">
      <w:start w:val="1"/>
      <w:numFmt w:val="bullet"/>
      <w:lvlText w:val="•"/>
      <w:lvlJc w:val="left"/>
      <w:pPr>
        <w:ind w:left="7576" w:hanging="720"/>
      </w:pPr>
      <w:rPr>
        <w:rFonts w:hint="default"/>
      </w:rPr>
    </w:lvl>
  </w:abstractNum>
  <w:abstractNum w:abstractNumId="3">
    <w:nsid w:val="3E074144"/>
    <w:multiLevelType w:val="multilevel"/>
    <w:tmpl w:val="3E074144"/>
    <w:lvl w:ilvl="0" w:tentative="0">
      <w:start w:val="1"/>
      <w:numFmt w:val="decimal"/>
      <w:lvlText w:val="%1)"/>
      <w:lvlJc w:val="left"/>
      <w:pPr>
        <w:ind w:left="2646" w:hanging="387"/>
      </w:pPr>
      <w:rPr>
        <w:rFonts w:hint="default" w:ascii="Arial" w:hAnsi="Arial" w:eastAsia="Times New Roman" w:cs="Arial"/>
        <w:spacing w:val="-1"/>
        <w:w w:val="100"/>
        <w:sz w:val="24"/>
        <w:szCs w:val="24"/>
      </w:rPr>
    </w:lvl>
    <w:lvl w:ilvl="1" w:tentative="0">
      <w:start w:val="1"/>
      <w:numFmt w:val="bullet"/>
      <w:lvlText w:val="•"/>
      <w:lvlJc w:val="left"/>
      <w:pPr>
        <w:ind w:left="3340" w:hanging="387"/>
      </w:pPr>
      <w:rPr>
        <w:rFonts w:hint="default"/>
      </w:rPr>
    </w:lvl>
    <w:lvl w:ilvl="2" w:tentative="0">
      <w:start w:val="1"/>
      <w:numFmt w:val="bullet"/>
      <w:lvlText w:val="•"/>
      <w:lvlJc w:val="left"/>
      <w:pPr>
        <w:ind w:left="4040" w:hanging="387"/>
      </w:pPr>
      <w:rPr>
        <w:rFonts w:hint="default"/>
      </w:rPr>
    </w:lvl>
    <w:lvl w:ilvl="3" w:tentative="0">
      <w:start w:val="1"/>
      <w:numFmt w:val="bullet"/>
      <w:lvlText w:val="•"/>
      <w:lvlJc w:val="left"/>
      <w:pPr>
        <w:ind w:left="4740" w:hanging="387"/>
      </w:pPr>
      <w:rPr>
        <w:rFonts w:hint="default"/>
      </w:rPr>
    </w:lvl>
    <w:lvl w:ilvl="4" w:tentative="0">
      <w:start w:val="1"/>
      <w:numFmt w:val="bullet"/>
      <w:lvlText w:val="•"/>
      <w:lvlJc w:val="left"/>
      <w:pPr>
        <w:ind w:left="5440" w:hanging="387"/>
      </w:pPr>
      <w:rPr>
        <w:rFonts w:hint="default"/>
      </w:rPr>
    </w:lvl>
    <w:lvl w:ilvl="5" w:tentative="0">
      <w:start w:val="1"/>
      <w:numFmt w:val="bullet"/>
      <w:lvlText w:val="•"/>
      <w:lvlJc w:val="left"/>
      <w:pPr>
        <w:ind w:left="6140" w:hanging="387"/>
      </w:pPr>
      <w:rPr>
        <w:rFonts w:hint="default"/>
      </w:rPr>
    </w:lvl>
    <w:lvl w:ilvl="6" w:tentative="0">
      <w:start w:val="1"/>
      <w:numFmt w:val="bullet"/>
      <w:lvlText w:val="•"/>
      <w:lvlJc w:val="left"/>
      <w:pPr>
        <w:ind w:left="6840" w:hanging="387"/>
      </w:pPr>
      <w:rPr>
        <w:rFonts w:hint="default"/>
      </w:rPr>
    </w:lvl>
    <w:lvl w:ilvl="7" w:tentative="0">
      <w:start w:val="1"/>
      <w:numFmt w:val="bullet"/>
      <w:lvlText w:val="•"/>
      <w:lvlJc w:val="left"/>
      <w:pPr>
        <w:ind w:left="7540" w:hanging="387"/>
      </w:pPr>
      <w:rPr>
        <w:rFonts w:hint="default"/>
      </w:rPr>
    </w:lvl>
    <w:lvl w:ilvl="8" w:tentative="0">
      <w:start w:val="1"/>
      <w:numFmt w:val="bullet"/>
      <w:lvlText w:val="•"/>
      <w:lvlJc w:val="left"/>
      <w:pPr>
        <w:ind w:left="8240" w:hanging="387"/>
      </w:pPr>
      <w:rPr>
        <w:rFonts w:hint="default"/>
      </w:rPr>
    </w:lvl>
  </w:abstractNum>
  <w:abstractNum w:abstractNumId="4">
    <w:nsid w:val="49A90B19"/>
    <w:multiLevelType w:val="multilevel"/>
    <w:tmpl w:val="49A90B19"/>
    <w:lvl w:ilvl="0" w:tentative="0">
      <w:start w:val="4"/>
      <w:numFmt w:val="decimal"/>
      <w:lvlText w:val="%1)"/>
      <w:lvlJc w:val="left"/>
      <w:pPr>
        <w:ind w:left="1160" w:hanging="1440"/>
      </w:pPr>
      <w:rPr>
        <w:rFonts w:hint="default" w:ascii="Arial" w:hAnsi="Arial" w:eastAsia="Times New Roman" w:cs="Arial"/>
        <w:spacing w:val="-2"/>
        <w:w w:val="100"/>
        <w:sz w:val="24"/>
        <w:szCs w:val="24"/>
      </w:rPr>
    </w:lvl>
    <w:lvl w:ilvl="1" w:tentative="0">
      <w:start w:val="1"/>
      <w:numFmt w:val="bullet"/>
      <w:lvlText w:val=""/>
      <w:lvlJc w:val="left"/>
      <w:pPr>
        <w:ind w:left="1180" w:hanging="360"/>
      </w:pPr>
      <w:rPr>
        <w:rFonts w:hint="default" w:ascii="Symbol" w:hAnsi="Symbol" w:eastAsia="Symbol"/>
        <w:w w:val="100"/>
        <w:sz w:val="24"/>
        <w:szCs w:val="24"/>
      </w:rPr>
    </w:lvl>
    <w:lvl w:ilvl="2" w:tentative="0">
      <w:start w:val="1"/>
      <w:numFmt w:val="bullet"/>
      <w:lvlText w:val="•"/>
      <w:lvlJc w:val="left"/>
      <w:pPr>
        <w:ind w:left="2068" w:hanging="360"/>
      </w:pPr>
      <w:rPr>
        <w:rFonts w:hint="default"/>
      </w:rPr>
    </w:lvl>
    <w:lvl w:ilvl="3" w:tentative="0">
      <w:start w:val="1"/>
      <w:numFmt w:val="bullet"/>
      <w:lvlText w:val="•"/>
      <w:lvlJc w:val="left"/>
      <w:pPr>
        <w:ind w:left="2957" w:hanging="360"/>
      </w:pPr>
      <w:rPr>
        <w:rFonts w:hint="default"/>
      </w:rPr>
    </w:lvl>
    <w:lvl w:ilvl="4" w:tentative="0">
      <w:start w:val="1"/>
      <w:numFmt w:val="bullet"/>
      <w:lvlText w:val="•"/>
      <w:lvlJc w:val="left"/>
      <w:pPr>
        <w:ind w:left="3846" w:hanging="360"/>
      </w:pPr>
      <w:rPr>
        <w:rFonts w:hint="default"/>
      </w:rPr>
    </w:lvl>
    <w:lvl w:ilvl="5" w:tentative="0">
      <w:start w:val="1"/>
      <w:numFmt w:val="bullet"/>
      <w:lvlText w:val="•"/>
      <w:lvlJc w:val="left"/>
      <w:pPr>
        <w:ind w:left="4735" w:hanging="360"/>
      </w:pPr>
      <w:rPr>
        <w:rFonts w:hint="default"/>
      </w:rPr>
    </w:lvl>
    <w:lvl w:ilvl="6" w:tentative="0">
      <w:start w:val="1"/>
      <w:numFmt w:val="bullet"/>
      <w:lvlText w:val="•"/>
      <w:lvlJc w:val="left"/>
      <w:pPr>
        <w:ind w:left="5624" w:hanging="360"/>
      </w:pPr>
      <w:rPr>
        <w:rFonts w:hint="default"/>
      </w:rPr>
    </w:lvl>
    <w:lvl w:ilvl="7" w:tentative="0">
      <w:start w:val="1"/>
      <w:numFmt w:val="bullet"/>
      <w:lvlText w:val="•"/>
      <w:lvlJc w:val="left"/>
      <w:pPr>
        <w:ind w:left="6513" w:hanging="360"/>
      </w:pPr>
      <w:rPr>
        <w:rFonts w:hint="default"/>
      </w:rPr>
    </w:lvl>
    <w:lvl w:ilvl="8" w:tentative="0">
      <w:start w:val="1"/>
      <w:numFmt w:val="bullet"/>
      <w:lvlText w:val="•"/>
      <w:lvlJc w:val="left"/>
      <w:pPr>
        <w:ind w:left="7402" w:hanging="360"/>
      </w:pPr>
      <w:rPr>
        <w:rFonts w:hint="default"/>
      </w:rPr>
    </w:lvl>
  </w:abstractNum>
  <w:abstractNum w:abstractNumId="5">
    <w:nsid w:val="556372B8"/>
    <w:multiLevelType w:val="multilevel"/>
    <w:tmpl w:val="556372B8"/>
    <w:lvl w:ilvl="0" w:tentative="0">
      <w:start w:val="1"/>
      <w:numFmt w:val="upperLetter"/>
      <w:lvlText w:val="%1."/>
      <w:lvlJc w:val="left"/>
      <w:pPr>
        <w:ind w:left="458" w:hanging="359"/>
      </w:pPr>
      <w:rPr>
        <w:rFonts w:hint="default" w:ascii="Arial" w:hAnsi="Arial" w:eastAsia="Times New Roman" w:cs="Arial"/>
        <w:b/>
        <w:bCs/>
        <w:w w:val="99"/>
        <w:sz w:val="24"/>
        <w:szCs w:val="24"/>
      </w:rPr>
    </w:lvl>
    <w:lvl w:ilvl="1" w:tentative="0">
      <w:start w:val="1"/>
      <w:numFmt w:val="decimal"/>
      <w:lvlText w:val="%2)"/>
      <w:lvlJc w:val="left"/>
      <w:pPr>
        <w:ind w:left="3556" w:hanging="720"/>
      </w:pPr>
      <w:rPr>
        <w:rFonts w:hint="default" w:ascii="Arial" w:hAnsi="Arial" w:eastAsia="Times New Roman" w:cs="Arial"/>
        <w:spacing w:val="-2"/>
        <w:w w:val="100"/>
        <w:sz w:val="24"/>
        <w:szCs w:val="24"/>
      </w:rPr>
    </w:lvl>
    <w:lvl w:ilvl="2" w:tentative="0">
      <w:start w:val="1"/>
      <w:numFmt w:val="bullet"/>
      <w:lvlText w:val="•"/>
      <w:lvlJc w:val="left"/>
      <w:pPr>
        <w:ind w:left="2520" w:hanging="720"/>
      </w:pPr>
      <w:rPr>
        <w:rFonts w:hint="default"/>
      </w:rPr>
    </w:lvl>
    <w:lvl w:ilvl="3" w:tentative="0">
      <w:start w:val="1"/>
      <w:numFmt w:val="bullet"/>
      <w:lvlText w:val="•"/>
      <w:lvlJc w:val="left"/>
      <w:pPr>
        <w:ind w:left="3355" w:hanging="720"/>
      </w:pPr>
      <w:rPr>
        <w:rFonts w:hint="default"/>
      </w:rPr>
    </w:lvl>
    <w:lvl w:ilvl="4" w:tentative="0">
      <w:start w:val="1"/>
      <w:numFmt w:val="bullet"/>
      <w:lvlText w:val="•"/>
      <w:lvlJc w:val="left"/>
      <w:pPr>
        <w:ind w:left="4190" w:hanging="720"/>
      </w:pPr>
      <w:rPr>
        <w:rFonts w:hint="default"/>
      </w:rPr>
    </w:lvl>
    <w:lvl w:ilvl="5" w:tentative="0">
      <w:start w:val="1"/>
      <w:numFmt w:val="bullet"/>
      <w:lvlText w:val="•"/>
      <w:lvlJc w:val="left"/>
      <w:pPr>
        <w:ind w:left="5025" w:hanging="720"/>
      </w:pPr>
      <w:rPr>
        <w:rFonts w:hint="default"/>
      </w:rPr>
    </w:lvl>
    <w:lvl w:ilvl="6" w:tentative="0">
      <w:start w:val="1"/>
      <w:numFmt w:val="bullet"/>
      <w:lvlText w:val="•"/>
      <w:lvlJc w:val="left"/>
      <w:pPr>
        <w:ind w:left="5860" w:hanging="720"/>
      </w:pPr>
      <w:rPr>
        <w:rFonts w:hint="default"/>
      </w:rPr>
    </w:lvl>
    <w:lvl w:ilvl="7" w:tentative="0">
      <w:start w:val="1"/>
      <w:numFmt w:val="bullet"/>
      <w:lvlText w:val="•"/>
      <w:lvlJc w:val="left"/>
      <w:pPr>
        <w:ind w:left="6695" w:hanging="720"/>
      </w:pPr>
      <w:rPr>
        <w:rFonts w:hint="default"/>
      </w:rPr>
    </w:lvl>
    <w:lvl w:ilvl="8" w:tentative="0">
      <w:start w:val="1"/>
      <w:numFmt w:val="bullet"/>
      <w:lvlText w:val="•"/>
      <w:lvlJc w:val="left"/>
      <w:pPr>
        <w:ind w:left="7530" w:hanging="720"/>
      </w:pPr>
      <w:rPr>
        <w:rFonts w:hint="default"/>
      </w:rPr>
    </w:lvl>
  </w:abstractNum>
  <w:abstractNum w:abstractNumId="6">
    <w:nsid w:val="5AC03906"/>
    <w:multiLevelType w:val="multilevel"/>
    <w:tmpl w:val="5AC03906"/>
    <w:lvl w:ilvl="0" w:tentative="0">
      <w:start w:val="1"/>
      <w:numFmt w:val="decimal"/>
      <w:lvlText w:val="%1）"/>
      <w:lvlJc w:val="left"/>
      <w:pPr>
        <w:ind w:left="800" w:hanging="360"/>
      </w:pPr>
      <w:rPr>
        <w:rFonts w:hint="default" w:ascii="Arial" w:hAnsi="Arial" w:cs="Arial"/>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7">
    <w:nsid w:val="5E3E479D"/>
    <w:multiLevelType w:val="multilevel"/>
    <w:tmpl w:val="5E3E479D"/>
    <w:lvl w:ilvl="0" w:tentative="0">
      <w:start w:val="1"/>
      <w:numFmt w:val="upperLetter"/>
      <w:lvlText w:val="%1."/>
      <w:lvlJc w:val="left"/>
      <w:pPr>
        <w:ind w:left="521" w:hanging="359"/>
        <w:jc w:val="right"/>
      </w:pPr>
      <w:rPr>
        <w:rFonts w:hint="default" w:ascii="Arial" w:hAnsi="Arial" w:eastAsia="Times New Roman" w:cs="Arial"/>
        <w:b/>
        <w:bCs/>
        <w:w w:val="99"/>
        <w:sz w:val="24"/>
        <w:szCs w:val="24"/>
      </w:rPr>
    </w:lvl>
    <w:lvl w:ilvl="1" w:tentative="0">
      <w:start w:val="1"/>
      <w:numFmt w:val="decimal"/>
      <w:lvlText w:val="%2."/>
      <w:lvlJc w:val="left"/>
      <w:pPr>
        <w:ind w:left="1180" w:hanging="360"/>
      </w:pPr>
      <w:rPr>
        <w:rFonts w:hint="default" w:ascii="Arial" w:hAnsi="Arial" w:eastAsia="Times New Roman" w:cs="Arial"/>
        <w:spacing w:val="-3"/>
        <w:w w:val="100"/>
        <w:sz w:val="24"/>
        <w:szCs w:val="24"/>
      </w:rPr>
    </w:lvl>
    <w:lvl w:ilvl="2" w:tentative="0">
      <w:start w:val="1"/>
      <w:numFmt w:val="bullet"/>
      <w:lvlText w:val="•"/>
      <w:lvlJc w:val="left"/>
      <w:pPr>
        <w:ind w:left="2111" w:hanging="360"/>
      </w:pPr>
      <w:rPr>
        <w:rFonts w:hint="default"/>
      </w:rPr>
    </w:lvl>
    <w:lvl w:ilvl="3" w:tentative="0">
      <w:start w:val="1"/>
      <w:numFmt w:val="bullet"/>
      <w:lvlText w:val="•"/>
      <w:lvlJc w:val="left"/>
      <w:pPr>
        <w:ind w:left="3042" w:hanging="360"/>
      </w:pPr>
      <w:rPr>
        <w:rFonts w:hint="default"/>
      </w:rPr>
    </w:lvl>
    <w:lvl w:ilvl="4" w:tentative="0">
      <w:start w:val="1"/>
      <w:numFmt w:val="bullet"/>
      <w:lvlText w:val="•"/>
      <w:lvlJc w:val="left"/>
      <w:pPr>
        <w:ind w:left="3973" w:hanging="360"/>
      </w:pPr>
      <w:rPr>
        <w:rFonts w:hint="default"/>
      </w:rPr>
    </w:lvl>
    <w:lvl w:ilvl="5" w:tentative="0">
      <w:start w:val="1"/>
      <w:numFmt w:val="bullet"/>
      <w:lvlText w:val="•"/>
      <w:lvlJc w:val="left"/>
      <w:pPr>
        <w:ind w:left="4904" w:hanging="360"/>
      </w:pPr>
      <w:rPr>
        <w:rFonts w:hint="default"/>
      </w:rPr>
    </w:lvl>
    <w:lvl w:ilvl="6" w:tentative="0">
      <w:start w:val="1"/>
      <w:numFmt w:val="bullet"/>
      <w:lvlText w:val="•"/>
      <w:lvlJc w:val="left"/>
      <w:pPr>
        <w:ind w:left="5835" w:hanging="360"/>
      </w:pPr>
      <w:rPr>
        <w:rFonts w:hint="default"/>
      </w:rPr>
    </w:lvl>
    <w:lvl w:ilvl="7" w:tentative="0">
      <w:start w:val="1"/>
      <w:numFmt w:val="bullet"/>
      <w:lvlText w:val="•"/>
      <w:lvlJc w:val="left"/>
      <w:pPr>
        <w:ind w:left="6766" w:hanging="360"/>
      </w:pPr>
      <w:rPr>
        <w:rFonts w:hint="default"/>
      </w:rPr>
    </w:lvl>
    <w:lvl w:ilvl="8" w:tentative="0">
      <w:start w:val="1"/>
      <w:numFmt w:val="bullet"/>
      <w:lvlText w:val="•"/>
      <w:lvlJc w:val="left"/>
      <w:pPr>
        <w:ind w:left="7697" w:hanging="360"/>
      </w:pPr>
      <w:rPr>
        <w:rFonts w:hint="default"/>
      </w:rPr>
    </w:lvl>
  </w:abstractNum>
  <w:abstractNum w:abstractNumId="8">
    <w:nsid w:val="7BAA02A3"/>
    <w:multiLevelType w:val="multilevel"/>
    <w:tmpl w:val="7BAA02A3"/>
    <w:lvl w:ilvl="0" w:tentative="0">
      <w:start w:val="1"/>
      <w:numFmt w:val="upperRoman"/>
      <w:lvlText w:val="%1."/>
      <w:lvlJc w:val="left"/>
      <w:pPr>
        <w:ind w:left="439" w:hanging="320"/>
      </w:pPr>
      <w:rPr>
        <w:rFonts w:hint="default" w:ascii="Arial" w:hAnsi="Arial" w:eastAsia="Times New Roman" w:cs="Arial"/>
        <w:b/>
        <w:bCs/>
        <w:spacing w:val="-2"/>
        <w:w w:val="99"/>
        <w:sz w:val="28"/>
        <w:szCs w:val="28"/>
      </w:rPr>
    </w:lvl>
    <w:lvl w:ilvl="1" w:tentative="0">
      <w:start w:val="1"/>
      <w:numFmt w:val="bullet"/>
      <w:lvlText w:val="•"/>
      <w:lvlJc w:val="left"/>
      <w:pPr>
        <w:ind w:left="1354" w:hanging="320"/>
      </w:pPr>
      <w:rPr>
        <w:rFonts w:hint="default"/>
      </w:rPr>
    </w:lvl>
    <w:lvl w:ilvl="2" w:tentative="0">
      <w:start w:val="1"/>
      <w:numFmt w:val="bullet"/>
      <w:lvlText w:val="•"/>
      <w:lvlJc w:val="left"/>
      <w:pPr>
        <w:ind w:left="2268" w:hanging="320"/>
      </w:pPr>
      <w:rPr>
        <w:rFonts w:hint="default"/>
      </w:rPr>
    </w:lvl>
    <w:lvl w:ilvl="3" w:tentative="0">
      <w:start w:val="1"/>
      <w:numFmt w:val="bullet"/>
      <w:lvlText w:val="•"/>
      <w:lvlJc w:val="left"/>
      <w:pPr>
        <w:ind w:left="3182" w:hanging="320"/>
      </w:pPr>
      <w:rPr>
        <w:rFonts w:hint="default"/>
      </w:rPr>
    </w:lvl>
    <w:lvl w:ilvl="4" w:tentative="0">
      <w:start w:val="1"/>
      <w:numFmt w:val="bullet"/>
      <w:lvlText w:val="•"/>
      <w:lvlJc w:val="left"/>
      <w:pPr>
        <w:ind w:left="4096" w:hanging="320"/>
      </w:pPr>
      <w:rPr>
        <w:rFonts w:hint="default"/>
      </w:rPr>
    </w:lvl>
    <w:lvl w:ilvl="5" w:tentative="0">
      <w:start w:val="1"/>
      <w:numFmt w:val="bullet"/>
      <w:lvlText w:val="•"/>
      <w:lvlJc w:val="left"/>
      <w:pPr>
        <w:ind w:left="5010" w:hanging="320"/>
      </w:pPr>
      <w:rPr>
        <w:rFonts w:hint="default"/>
      </w:rPr>
    </w:lvl>
    <w:lvl w:ilvl="6" w:tentative="0">
      <w:start w:val="1"/>
      <w:numFmt w:val="bullet"/>
      <w:lvlText w:val="•"/>
      <w:lvlJc w:val="left"/>
      <w:pPr>
        <w:ind w:left="5924" w:hanging="320"/>
      </w:pPr>
      <w:rPr>
        <w:rFonts w:hint="default"/>
      </w:rPr>
    </w:lvl>
    <w:lvl w:ilvl="7" w:tentative="0">
      <w:start w:val="1"/>
      <w:numFmt w:val="bullet"/>
      <w:lvlText w:val="•"/>
      <w:lvlJc w:val="left"/>
      <w:pPr>
        <w:ind w:left="6838" w:hanging="320"/>
      </w:pPr>
      <w:rPr>
        <w:rFonts w:hint="default"/>
      </w:rPr>
    </w:lvl>
    <w:lvl w:ilvl="8" w:tentative="0">
      <w:start w:val="1"/>
      <w:numFmt w:val="bullet"/>
      <w:lvlText w:val="•"/>
      <w:lvlJc w:val="left"/>
      <w:pPr>
        <w:ind w:left="7752" w:hanging="320"/>
      </w:pPr>
      <w:rPr>
        <w:rFonts w:hint="default"/>
      </w:rPr>
    </w:lvl>
  </w:abstractNum>
  <w:num w:numId="1">
    <w:abstractNumId w:val="1"/>
  </w:num>
  <w:num w:numId="2">
    <w:abstractNumId w:val="8"/>
  </w:num>
  <w:num w:numId="3">
    <w:abstractNumId w:val="7"/>
  </w:num>
  <w:num w:numId="4">
    <w:abstractNumId w:val="3"/>
  </w:num>
  <w:num w:numId="5">
    <w:abstractNumId w:val="2"/>
  </w:num>
  <w:num w:numId="6">
    <w:abstractNumId w:val="6"/>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DC"/>
    <w:rsid w:val="00064304"/>
    <w:rsid w:val="00086FA7"/>
    <w:rsid w:val="00091072"/>
    <w:rsid w:val="0009782D"/>
    <w:rsid w:val="000A1134"/>
    <w:rsid w:val="000A1550"/>
    <w:rsid w:val="000A17B4"/>
    <w:rsid w:val="000F40D4"/>
    <w:rsid w:val="002467BD"/>
    <w:rsid w:val="0027678F"/>
    <w:rsid w:val="002902A1"/>
    <w:rsid w:val="002A17C5"/>
    <w:rsid w:val="002B09D4"/>
    <w:rsid w:val="002C13E0"/>
    <w:rsid w:val="002D29F8"/>
    <w:rsid w:val="002E1655"/>
    <w:rsid w:val="002F5AAA"/>
    <w:rsid w:val="0031331B"/>
    <w:rsid w:val="00333BDA"/>
    <w:rsid w:val="003473E7"/>
    <w:rsid w:val="00363F7A"/>
    <w:rsid w:val="00371081"/>
    <w:rsid w:val="00384C78"/>
    <w:rsid w:val="003E2EC1"/>
    <w:rsid w:val="0045166E"/>
    <w:rsid w:val="004769D1"/>
    <w:rsid w:val="004B560E"/>
    <w:rsid w:val="004F1C45"/>
    <w:rsid w:val="004F5A15"/>
    <w:rsid w:val="00581812"/>
    <w:rsid w:val="005823A7"/>
    <w:rsid w:val="0060127D"/>
    <w:rsid w:val="00626C53"/>
    <w:rsid w:val="006311D2"/>
    <w:rsid w:val="006C0B1B"/>
    <w:rsid w:val="006C0BE5"/>
    <w:rsid w:val="006E03DF"/>
    <w:rsid w:val="006F62FA"/>
    <w:rsid w:val="00707A40"/>
    <w:rsid w:val="00745324"/>
    <w:rsid w:val="007923B6"/>
    <w:rsid w:val="007A31F1"/>
    <w:rsid w:val="007B0DBE"/>
    <w:rsid w:val="007C341B"/>
    <w:rsid w:val="008070E9"/>
    <w:rsid w:val="00826195"/>
    <w:rsid w:val="008F6E3B"/>
    <w:rsid w:val="00901072"/>
    <w:rsid w:val="00940071"/>
    <w:rsid w:val="009A1700"/>
    <w:rsid w:val="009A4434"/>
    <w:rsid w:val="009B649B"/>
    <w:rsid w:val="009E4FA6"/>
    <w:rsid w:val="009E7D11"/>
    <w:rsid w:val="00A36CC6"/>
    <w:rsid w:val="00A97BDC"/>
    <w:rsid w:val="00AA2050"/>
    <w:rsid w:val="00AB532A"/>
    <w:rsid w:val="00AD21B8"/>
    <w:rsid w:val="00B43D78"/>
    <w:rsid w:val="00B70759"/>
    <w:rsid w:val="00BD5802"/>
    <w:rsid w:val="00C152AE"/>
    <w:rsid w:val="00C418E0"/>
    <w:rsid w:val="00C844E9"/>
    <w:rsid w:val="00C92FCF"/>
    <w:rsid w:val="00CA3604"/>
    <w:rsid w:val="00D431CA"/>
    <w:rsid w:val="00D440A3"/>
    <w:rsid w:val="00D869A5"/>
    <w:rsid w:val="00D94DFD"/>
    <w:rsid w:val="00DE1BA4"/>
    <w:rsid w:val="00DF4603"/>
    <w:rsid w:val="00DF5C2C"/>
    <w:rsid w:val="00E04856"/>
    <w:rsid w:val="00E11BAF"/>
    <w:rsid w:val="00E55663"/>
    <w:rsid w:val="00EA0B70"/>
    <w:rsid w:val="00EA1C1D"/>
    <w:rsid w:val="00EC3C80"/>
    <w:rsid w:val="00F32D89"/>
    <w:rsid w:val="00F66805"/>
    <w:rsid w:val="00FA5017"/>
    <w:rsid w:val="00FC637C"/>
    <w:rsid w:val="00FE52B8"/>
    <w:rsid w:val="042858D8"/>
    <w:rsid w:val="498A7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ind w:left="100"/>
      <w:outlineLvl w:val="0"/>
    </w:pPr>
    <w:rPr>
      <w:rFonts w:ascii="Times New Roman" w:hAnsi="Times New Roman" w:eastAsia="Times New Roman"/>
      <w:b/>
      <w:bCs/>
      <w:sz w:val="36"/>
      <w:szCs w:val="36"/>
    </w:rPr>
  </w:style>
  <w:style w:type="paragraph" w:styleId="3">
    <w:name w:val="heading 2"/>
    <w:basedOn w:val="1"/>
    <w:next w:val="4"/>
    <w:qFormat/>
    <w:uiPriority w:val="1"/>
    <w:pPr>
      <w:spacing w:before="47"/>
      <w:ind w:left="100" w:hanging="533"/>
      <w:outlineLvl w:val="1"/>
    </w:pPr>
    <w:rPr>
      <w:rFonts w:ascii="Times New Roman" w:hAnsi="Times New Roman" w:eastAsia="Times New Roman"/>
      <w:b/>
      <w:bCs/>
      <w:sz w:val="28"/>
      <w:szCs w:val="28"/>
    </w:rPr>
  </w:style>
  <w:style w:type="paragraph" w:styleId="5">
    <w:name w:val="heading 3"/>
    <w:basedOn w:val="1"/>
    <w:next w:val="1"/>
    <w:qFormat/>
    <w:uiPriority w:val="1"/>
    <w:pPr>
      <w:ind w:left="47"/>
      <w:outlineLvl w:val="2"/>
    </w:pPr>
    <w:rPr>
      <w:rFonts w:ascii="Times New Roman" w:hAnsi="Times New Roman" w:eastAsia="Times New Roman"/>
      <w:b/>
      <w:bCs/>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6">
    <w:name w:val="Body Text"/>
    <w:basedOn w:val="1"/>
    <w:qFormat/>
    <w:uiPriority w:val="1"/>
    <w:pPr>
      <w:ind w:left="820"/>
    </w:pPr>
    <w:rPr>
      <w:rFonts w:ascii="Times New Roman" w:hAnsi="Times New Roman" w:eastAsia="Times New Roman"/>
      <w:sz w:val="24"/>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table" w:customStyle="1" w:styleId="14">
    <w:name w:val="Table Normal"/>
    <w:unhideWhenUsed/>
    <w:qFormat/>
    <w:uiPriority w:val="2"/>
    <w:tblPr>
      <w:tblCellMar>
        <w:top w:w="0" w:type="dxa"/>
        <w:left w:w="0" w:type="dxa"/>
        <w:bottom w:w="0" w:type="dxa"/>
        <w:right w:w="0" w:type="dxa"/>
      </w:tblCellMar>
    </w:tblPr>
  </w:style>
  <w:style w:type="paragraph" w:customStyle="1" w:styleId="15">
    <w:name w:val="列出段落1"/>
    <w:basedOn w:val="1"/>
    <w:qFormat/>
    <w:uiPriority w:val="1"/>
  </w:style>
  <w:style w:type="paragraph" w:customStyle="1" w:styleId="16">
    <w:name w:val="Table Paragraph"/>
    <w:basedOn w:val="1"/>
    <w:qFormat/>
    <w:uiPriority w:val="1"/>
  </w:style>
  <w:style w:type="character" w:customStyle="1" w:styleId="17">
    <w:name w:val="页眉 Char"/>
    <w:basedOn w:val="12"/>
    <w:link w:val="9"/>
    <w:uiPriority w:val="99"/>
    <w:rPr>
      <w:sz w:val="18"/>
      <w:szCs w:val="18"/>
      <w:lang w:eastAsia="en-US"/>
    </w:rPr>
  </w:style>
  <w:style w:type="character" w:customStyle="1" w:styleId="18">
    <w:name w:val="页脚 Char"/>
    <w:basedOn w:val="12"/>
    <w:link w:val="8"/>
    <w:qFormat/>
    <w:uiPriority w:val="99"/>
    <w:rPr>
      <w:sz w:val="18"/>
      <w:szCs w:val="18"/>
      <w:lang w:eastAsia="en-US"/>
    </w:rPr>
  </w:style>
  <w:style w:type="character" w:customStyle="1" w:styleId="19">
    <w:name w:val="批注框文本 Char"/>
    <w:basedOn w:val="12"/>
    <w:link w:val="7"/>
    <w:semiHidden/>
    <w:qFormat/>
    <w:uiPriority w:val="99"/>
    <w:rPr>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5447</Words>
  <Characters>5819</Characters>
  <Lines>43</Lines>
  <Paragraphs>12</Paragraphs>
  <TotalTime>1</TotalTime>
  <ScaleCrop>false</ScaleCrop>
  <LinksUpToDate>false</LinksUpToDate>
  <CharactersWithSpaces>5854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2017-06-09T06:21:00Z</dcterms:created>
  <dc:creator>孟客楠</dc:creator>
  <cp:lastModifiedBy>太极箫客</cp:lastModifiedBy>
  <dcterms:modified xsi:type="dcterms:W3CDTF">2025-08-14T06:14:49Z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2017-03-18T00:00:00Z</vt:filetime>
  </property>
  <property fmtid="{D5CDD505-2E9C-101B-9397-08002B2CF9AE}" pid="3" name="Creator">
    <vt:lpwstr>Microsoft Word </vt:lpwstr>
  </property>
  <property fmtid="{D5CDD505-2E9C-101B-9397-08002B2CF9AE}" pid="4" name="LastSaved">
    <vt:filetime>2017-03-18T00:00:00Z</vt:filetime>
  </property>
  <property fmtid="{D5CDD505-2E9C-101B-9397-08002B2CF9AE}" pid="5" name="KSOProductBuildVer">
    <vt:lpwstr>2052-12.1.0.21915</vt:lpwstr>
  </property>
  <property fmtid="{D5CDD505-2E9C-101B-9397-08002B2CF9AE}" pid="6" name="KSOTemplateDocerSaveRecord">
    <vt:lpwstr>eyJoZGlkIjoiMDJiMzI3ODBiNTFmMWRjNDUyMjM1ZmZjODY5NDc2MWMiLCJ1c2VySWQiOiI0NTQ4Nzg1NzAifQ==</vt:lpwstr>
  </property>
  <property fmtid="{D5CDD505-2E9C-101B-9397-08002B2CF9AE}" pid="7" name="ICV">
    <vt:lpwstr>CE783B0F1074409D890F44265D15AD0E_12</vt:lpwstr>
  </property>
</Properties>
</file>