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1F8875">
      <w:pPr>
        <w:snapToGrid w:val="0"/>
        <w:spacing w:before="23" w:line="300" w:lineRule="auto"/>
        <w:jc w:val="center"/>
        <w:rPr>
          <w:rFonts w:ascii="Arial" w:hAnsi="Arial" w:eastAsia="宋体" w:cs="Arial"/>
          <w:sz w:val="48"/>
          <w:szCs w:val="48"/>
        </w:rPr>
      </w:pPr>
      <w:bookmarkStart w:id="13" w:name="_GoBack"/>
      <w:bookmarkEnd w:id="13"/>
      <w:r>
        <w:rPr>
          <w:rFonts w:ascii="Arial" w:hAnsi="Arial" w:eastAsia="宋体" w:cs="Arial"/>
          <w:sz w:val="48"/>
        </w:rPr>
        <w:t>行业和FDA审查员指南</w:t>
      </w:r>
    </w:p>
    <w:p w14:paraId="0C3AB84D">
      <w:pPr>
        <w:snapToGrid w:val="0"/>
        <w:spacing w:before="15" w:line="300" w:lineRule="auto"/>
        <w:rPr>
          <w:rFonts w:ascii="Arial" w:hAnsi="Arial" w:eastAsia="宋体" w:cs="Arial"/>
          <w:sz w:val="66"/>
          <w:szCs w:val="66"/>
        </w:rPr>
      </w:pPr>
    </w:p>
    <w:p w14:paraId="4520E5C3">
      <w:pPr>
        <w:snapToGrid w:val="0"/>
        <w:spacing w:line="300" w:lineRule="auto"/>
        <w:jc w:val="center"/>
        <w:rPr>
          <w:rFonts w:ascii="Arial" w:hAnsi="Arial" w:eastAsia="宋体" w:cs="Arial"/>
          <w:sz w:val="60"/>
          <w:szCs w:val="60"/>
        </w:rPr>
      </w:pPr>
      <w:r>
        <w:rPr>
          <w:rFonts w:ascii="Arial" w:hAnsi="Arial" w:eastAsia="宋体" w:cs="Arial"/>
          <w:b/>
          <w:sz w:val="60"/>
        </w:rPr>
        <w:t>新生儿培养箱和新生儿运送培养箱-上市前通告</w:t>
      </w:r>
    </w:p>
    <w:p w14:paraId="503A7CFB">
      <w:pPr>
        <w:snapToGrid w:val="0"/>
        <w:spacing w:before="13" w:line="300" w:lineRule="auto"/>
        <w:rPr>
          <w:rFonts w:ascii="Arial" w:hAnsi="Arial" w:eastAsia="宋体" w:cs="Arial"/>
          <w:sz w:val="80"/>
          <w:szCs w:val="80"/>
        </w:rPr>
      </w:pPr>
    </w:p>
    <w:p w14:paraId="62195F6E">
      <w:pPr>
        <w:snapToGrid w:val="0"/>
        <w:spacing w:line="300" w:lineRule="auto"/>
        <w:jc w:val="center"/>
        <w:rPr>
          <w:rFonts w:ascii="Arial" w:hAnsi="Arial" w:eastAsia="宋体" w:cs="Arial"/>
          <w:sz w:val="28"/>
          <w:szCs w:val="28"/>
        </w:rPr>
      </w:pPr>
      <w:r>
        <w:rPr>
          <w:rFonts w:ascii="Arial" w:hAnsi="Arial" w:eastAsia="宋体" w:cs="Arial"/>
          <w:b/>
          <w:sz w:val="28"/>
        </w:rPr>
        <w:t>文件发布日期：1998年9月18日</w:t>
      </w:r>
    </w:p>
    <w:p w14:paraId="5863D976">
      <w:pPr>
        <w:snapToGrid w:val="0"/>
        <w:spacing w:line="300" w:lineRule="auto"/>
        <w:rPr>
          <w:rFonts w:ascii="Arial" w:hAnsi="Arial" w:eastAsia="宋体" w:cs="Arial"/>
          <w:sz w:val="28"/>
          <w:szCs w:val="28"/>
        </w:rPr>
      </w:pPr>
    </w:p>
    <w:p w14:paraId="716E646A">
      <w:pPr>
        <w:snapToGrid w:val="0"/>
        <w:spacing w:line="300" w:lineRule="auto"/>
        <w:rPr>
          <w:rFonts w:ascii="Arial" w:hAnsi="Arial" w:eastAsia="宋体" w:cs="Arial"/>
          <w:sz w:val="28"/>
          <w:szCs w:val="28"/>
        </w:rPr>
      </w:pPr>
    </w:p>
    <w:p w14:paraId="05D177B0">
      <w:pPr>
        <w:snapToGrid w:val="0"/>
        <w:spacing w:before="18" w:line="300" w:lineRule="auto"/>
        <w:rPr>
          <w:rFonts w:ascii="Arial" w:hAnsi="Arial" w:eastAsia="宋体" w:cs="Arial"/>
          <w:sz w:val="28"/>
          <w:szCs w:val="28"/>
        </w:rPr>
      </w:pPr>
    </w:p>
    <w:p w14:paraId="6E3145DA">
      <w:pPr>
        <w:snapToGrid w:val="0"/>
        <w:spacing w:line="300" w:lineRule="auto"/>
        <w:jc w:val="right"/>
        <w:rPr>
          <w:rFonts w:ascii="Arial" w:hAnsi="Arial" w:eastAsia="宋体" w:cs="Arial"/>
          <w:b/>
          <w:sz w:val="24"/>
          <w:szCs w:val="24"/>
        </w:rPr>
      </w:pPr>
      <w:r>
        <w:rPr>
          <w:rFonts w:ascii="Arial" w:hAnsi="Arial" w:eastAsia="宋体" w:cs="Arial"/>
          <w:b/>
          <w:sz w:val="24"/>
          <w:szCs w:val="24"/>
        </w:rPr>
        <w:drawing>
          <wp:anchor distT="0" distB="0" distL="114300" distR="114300" simplePos="0" relativeHeight="251659264" behindDoc="1" locked="0" layoutInCell="1" allowOverlap="1">
            <wp:simplePos x="0" y="0"/>
            <wp:positionH relativeFrom="page">
              <wp:posOffset>1280160</wp:posOffset>
            </wp:positionH>
            <wp:positionV relativeFrom="paragraph">
              <wp:posOffset>-184150</wp:posOffset>
            </wp:positionV>
            <wp:extent cx="880745" cy="98425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880745" cy="984250"/>
                    </a:xfrm>
                    <a:prstGeom prst="rect">
                      <a:avLst/>
                    </a:prstGeom>
                    <a:noFill/>
                  </pic:spPr>
                </pic:pic>
              </a:graphicData>
            </a:graphic>
          </wp:anchor>
        </w:drawing>
      </w:r>
      <w:r>
        <w:rPr>
          <w:rFonts w:ascii="Arial" w:hAnsi="Arial" w:eastAsia="宋体" w:cs="Arial"/>
          <w:b/>
          <w:sz w:val="24"/>
          <w:szCs w:val="24"/>
        </w:rPr>
        <w:t>美国</w:t>
      </w:r>
      <w:r>
        <w:rPr>
          <w:rFonts w:hint="eastAsia" w:ascii="Arial" w:hAnsi="Arial" w:eastAsia="宋体" w:cs="Arial"/>
          <w:b/>
          <w:sz w:val="24"/>
          <w:szCs w:val="24"/>
        </w:rPr>
        <w:t>卫生</w:t>
      </w:r>
      <w:r>
        <w:rPr>
          <w:rFonts w:ascii="Arial" w:hAnsi="Arial" w:eastAsia="宋体" w:cs="Arial"/>
          <w:b/>
          <w:sz w:val="24"/>
          <w:szCs w:val="24"/>
        </w:rPr>
        <w:t>与公众服务部</w:t>
      </w:r>
    </w:p>
    <w:p w14:paraId="356538C4">
      <w:pPr>
        <w:snapToGrid w:val="0"/>
        <w:spacing w:before="7" w:line="300" w:lineRule="auto"/>
        <w:ind w:left="6149" w:firstLine="1238"/>
        <w:jc w:val="right"/>
        <w:rPr>
          <w:rFonts w:ascii="Arial" w:hAnsi="Arial" w:eastAsia="宋体" w:cs="Arial"/>
          <w:b/>
          <w:sz w:val="24"/>
          <w:szCs w:val="24"/>
        </w:rPr>
      </w:pPr>
      <w:r>
        <w:rPr>
          <w:rFonts w:ascii="Arial" w:hAnsi="Arial" w:eastAsia="宋体" w:cs="Arial"/>
          <w:b/>
          <w:sz w:val="24"/>
          <w:szCs w:val="24"/>
        </w:rPr>
        <w:t>食品药品监督管理局</w:t>
      </w:r>
    </w:p>
    <w:p w14:paraId="2CD7AF04">
      <w:pPr>
        <w:snapToGrid w:val="0"/>
        <w:spacing w:before="7" w:line="300" w:lineRule="auto"/>
        <w:ind w:left="6149" w:firstLine="1238"/>
        <w:jc w:val="right"/>
        <w:rPr>
          <w:rFonts w:ascii="Arial" w:hAnsi="Arial" w:eastAsia="宋体" w:cs="Arial"/>
          <w:sz w:val="24"/>
          <w:szCs w:val="24"/>
        </w:rPr>
      </w:pPr>
      <w:r>
        <w:rPr>
          <w:rFonts w:ascii="Arial" w:hAnsi="Arial" w:eastAsia="宋体" w:cs="Arial"/>
          <w:b/>
          <w:sz w:val="24"/>
          <w:szCs w:val="24"/>
        </w:rPr>
        <w:t>器械</w:t>
      </w:r>
      <w:r>
        <w:rPr>
          <w:rFonts w:hint="eastAsia" w:ascii="Arial" w:hAnsi="Arial" w:eastAsia="宋体" w:cs="Arial"/>
          <w:b/>
          <w:sz w:val="24"/>
          <w:szCs w:val="24"/>
        </w:rPr>
        <w:t>与</w:t>
      </w:r>
      <w:r>
        <w:rPr>
          <w:rFonts w:ascii="Arial" w:hAnsi="Arial" w:eastAsia="宋体" w:cs="Arial"/>
          <w:b/>
          <w:sz w:val="24"/>
          <w:szCs w:val="24"/>
        </w:rPr>
        <w:t>放射健康中心</w:t>
      </w:r>
    </w:p>
    <w:p w14:paraId="107AC4A5">
      <w:pPr>
        <w:snapToGrid w:val="0"/>
        <w:spacing w:before="4" w:line="300" w:lineRule="auto"/>
        <w:rPr>
          <w:rFonts w:ascii="Arial" w:hAnsi="Arial" w:eastAsia="宋体" w:cs="Arial"/>
          <w:sz w:val="24"/>
          <w:szCs w:val="24"/>
        </w:rPr>
      </w:pPr>
    </w:p>
    <w:p w14:paraId="5606AA7E">
      <w:pPr>
        <w:snapToGrid w:val="0"/>
        <w:spacing w:line="300" w:lineRule="auto"/>
        <w:ind w:left="3696" w:firstLine="3489"/>
        <w:jc w:val="right"/>
        <w:rPr>
          <w:rFonts w:ascii="Arial" w:hAnsi="Arial" w:eastAsia="宋体" w:cs="Arial"/>
          <w:b/>
          <w:spacing w:val="-1"/>
          <w:sz w:val="24"/>
          <w:szCs w:val="24"/>
        </w:rPr>
      </w:pPr>
      <w:r>
        <w:rPr>
          <w:rFonts w:ascii="Arial" w:hAnsi="Arial" w:eastAsia="宋体" w:cs="Arial"/>
          <w:b/>
          <w:sz w:val="24"/>
          <w:szCs w:val="24"/>
        </w:rPr>
        <w:t>综合医院器械部</w:t>
      </w:r>
    </w:p>
    <w:p w14:paraId="016D95DE">
      <w:pPr>
        <w:snapToGrid w:val="0"/>
        <w:spacing w:line="300" w:lineRule="auto"/>
        <w:ind w:left="3256" w:leftChars="1480" w:right="4" w:rightChars="2" w:firstLine="2698"/>
        <w:jc w:val="right"/>
        <w:rPr>
          <w:rFonts w:ascii="Arial" w:hAnsi="Arial" w:eastAsia="宋体" w:cs="Arial"/>
          <w:sz w:val="24"/>
          <w:szCs w:val="24"/>
        </w:rPr>
      </w:pPr>
      <w:r>
        <w:rPr>
          <w:rFonts w:ascii="Arial" w:hAnsi="Arial" w:eastAsia="宋体" w:cs="Arial"/>
          <w:b/>
          <w:sz w:val="24"/>
          <w:szCs w:val="24"/>
        </w:rPr>
        <w:t>牙科、感染控制综合医院器械组</w:t>
      </w:r>
    </w:p>
    <w:p w14:paraId="329E7575">
      <w:pPr>
        <w:snapToGrid w:val="0"/>
        <w:spacing w:line="300" w:lineRule="auto"/>
        <w:jc w:val="right"/>
        <w:rPr>
          <w:rFonts w:ascii="Arial" w:hAnsi="Arial" w:eastAsia="宋体" w:cs="Arial"/>
          <w:sz w:val="24"/>
          <w:szCs w:val="24"/>
        </w:rPr>
      </w:pPr>
      <w:r>
        <w:rPr>
          <w:rFonts w:ascii="Arial" w:hAnsi="Arial" w:eastAsia="宋体" w:cs="Arial"/>
          <w:b/>
          <w:sz w:val="24"/>
          <w:szCs w:val="24"/>
        </w:rPr>
        <w:t>器械评估办公室</w:t>
      </w:r>
    </w:p>
    <w:p w14:paraId="62A44049">
      <w:pPr>
        <w:snapToGrid w:val="0"/>
        <w:spacing w:line="300" w:lineRule="auto"/>
        <w:jc w:val="right"/>
        <w:rPr>
          <w:rFonts w:ascii="Arial" w:hAnsi="Arial" w:eastAsia="宋体" w:cs="Arial"/>
          <w:sz w:val="24"/>
          <w:szCs w:val="24"/>
        </w:rPr>
        <w:sectPr>
          <w:footerReference r:id="rId3" w:type="default"/>
          <w:type w:val="continuous"/>
          <w:pgSz w:w="12240" w:h="15840"/>
          <w:pgMar w:top="1134" w:right="1134" w:bottom="1134" w:left="1134" w:header="720" w:footer="730" w:gutter="0"/>
          <w:pgNumType w:start="1"/>
          <w:cols w:space="720" w:num="1"/>
          <w:docGrid w:linePitch="299" w:charSpace="0"/>
        </w:sectPr>
      </w:pPr>
    </w:p>
    <w:p w14:paraId="3D29BB6C">
      <w:pPr>
        <w:snapToGrid w:val="0"/>
        <w:spacing w:before="12" w:line="300" w:lineRule="auto"/>
        <w:ind w:left="67"/>
        <w:jc w:val="center"/>
        <w:rPr>
          <w:rFonts w:ascii="Arial" w:hAnsi="Arial" w:eastAsia="宋体" w:cs="Arial"/>
          <w:sz w:val="48"/>
          <w:szCs w:val="48"/>
        </w:rPr>
      </w:pPr>
      <w:r>
        <w:rPr>
          <w:rFonts w:hint="eastAsia" w:ascii="Arial" w:hAnsi="Arial" w:eastAsia="宋体" w:cs="Arial"/>
          <w:b/>
          <w:sz w:val="48"/>
        </w:rPr>
        <w:t>序</w:t>
      </w:r>
      <w:r>
        <w:rPr>
          <w:rFonts w:ascii="Arial" w:hAnsi="Arial" w:eastAsia="宋体" w:cs="Arial"/>
          <w:b/>
          <w:sz w:val="48"/>
        </w:rPr>
        <w:t>言</w:t>
      </w:r>
    </w:p>
    <w:p w14:paraId="60DF45CC">
      <w:pPr>
        <w:snapToGrid w:val="0"/>
        <w:spacing w:before="4" w:line="300" w:lineRule="auto"/>
        <w:rPr>
          <w:rFonts w:ascii="Arial" w:hAnsi="Arial" w:eastAsia="宋体" w:cs="Arial"/>
          <w:sz w:val="12"/>
          <w:szCs w:val="12"/>
        </w:rPr>
      </w:pPr>
    </w:p>
    <w:p w14:paraId="2BF53E67">
      <w:pPr>
        <w:snapToGrid w:val="0"/>
        <w:spacing w:line="300" w:lineRule="auto"/>
        <w:rPr>
          <w:rFonts w:ascii="Arial" w:hAnsi="Arial" w:eastAsia="宋体" w:cs="Arial"/>
          <w:sz w:val="20"/>
          <w:szCs w:val="20"/>
        </w:rPr>
      </w:pPr>
    </w:p>
    <w:p w14:paraId="54758492">
      <w:pPr>
        <w:snapToGrid w:val="0"/>
        <w:spacing w:line="300" w:lineRule="auto"/>
        <w:rPr>
          <w:rFonts w:ascii="Arial" w:hAnsi="Arial" w:eastAsia="宋体" w:cs="Arial"/>
          <w:sz w:val="20"/>
          <w:szCs w:val="20"/>
        </w:rPr>
      </w:pPr>
    </w:p>
    <w:p w14:paraId="1CAB9123">
      <w:pPr>
        <w:snapToGrid w:val="0"/>
        <w:spacing w:before="53" w:line="300" w:lineRule="auto"/>
        <w:ind w:left="111"/>
        <w:rPr>
          <w:rFonts w:ascii="Arial" w:hAnsi="Arial" w:eastAsia="宋体" w:cs="Arial"/>
          <w:sz w:val="36"/>
          <w:szCs w:val="36"/>
        </w:rPr>
      </w:pPr>
      <w:r>
        <w:rPr>
          <w:rFonts w:ascii="Arial" w:hAnsi="Arial" w:eastAsia="宋体" w:cs="Arial"/>
          <w:b/>
          <w:sz w:val="36"/>
        </w:rPr>
        <w:t>公众评论</w:t>
      </w:r>
    </w:p>
    <w:p w14:paraId="39BDB749">
      <w:pPr>
        <w:snapToGrid w:val="0"/>
        <w:spacing w:before="5" w:line="300" w:lineRule="auto"/>
        <w:rPr>
          <w:rFonts w:ascii="Arial" w:hAnsi="Arial" w:eastAsia="宋体" w:cs="Arial"/>
          <w:sz w:val="48"/>
          <w:szCs w:val="48"/>
        </w:rPr>
      </w:pPr>
    </w:p>
    <w:p w14:paraId="7B20F8E6">
      <w:pPr>
        <w:pStyle w:val="3"/>
        <w:snapToGrid w:val="0"/>
        <w:spacing w:line="300" w:lineRule="auto"/>
        <w:ind w:left="0"/>
        <w:rPr>
          <w:rFonts w:ascii="Arial" w:hAnsi="Arial" w:cs="Arial"/>
        </w:rPr>
      </w:pPr>
      <w:r>
        <w:rPr>
          <w:rFonts w:ascii="Arial" w:hAnsi="Arial" w:cs="Arial"/>
        </w:rPr>
        <w:t>可随时向机构提交评论和建议，Patricia Cricenti主任牙科</w:t>
      </w:r>
      <w:r>
        <w:rPr>
          <w:rFonts w:hint="eastAsia" w:ascii="Arial" w:hAnsi="Arial" w:cs="Arial"/>
        </w:rPr>
        <w:t>、</w:t>
      </w:r>
      <w:r>
        <w:rPr>
          <w:rFonts w:ascii="Arial" w:hAnsi="Arial" w:cs="Arial"/>
        </w:rPr>
        <w:t>感染控制</w:t>
      </w:r>
      <w:r>
        <w:rPr>
          <w:rFonts w:hint="eastAsia" w:ascii="Arial" w:hAnsi="Arial" w:cs="Arial"/>
        </w:rPr>
        <w:t>和</w:t>
      </w:r>
      <w:r>
        <w:rPr>
          <w:rFonts w:ascii="Arial" w:hAnsi="Arial" w:cs="Arial"/>
        </w:rPr>
        <w:t>综合医院器械</w:t>
      </w:r>
      <w:r>
        <w:rPr>
          <w:rFonts w:hint="eastAsia" w:ascii="Arial" w:hAnsi="Arial" w:cs="Arial"/>
        </w:rPr>
        <w:t>部，</w:t>
      </w:r>
      <w:r>
        <w:rPr>
          <w:rFonts w:ascii="Arial" w:hAnsi="Arial" w:cs="Arial"/>
        </w:rPr>
        <w:t>器械评估办公室，9200 Corporate Blvd，HFZ-480，Rockville，MD 20874。</w:t>
      </w:r>
      <w:r>
        <w:rPr>
          <w:rFonts w:hint="eastAsia" w:ascii="Arial" w:hAnsi="Arial" w:cs="Arial"/>
        </w:rPr>
        <w:t>可能直到文件下次修订或更新时，评论才会被机构受理。</w:t>
      </w:r>
      <w:r>
        <w:rPr>
          <w:rFonts w:ascii="Arial" w:hAnsi="Arial" w:cs="Arial"/>
        </w:rPr>
        <w:t>本指南的使用或解释相关的问题，请联系Patricia Cricenti，电话：(301) -594-1287。</w:t>
      </w:r>
    </w:p>
    <w:p w14:paraId="403D12BF">
      <w:pPr>
        <w:snapToGrid w:val="0"/>
        <w:spacing w:before="8" w:line="300" w:lineRule="auto"/>
        <w:rPr>
          <w:rFonts w:ascii="Arial" w:hAnsi="Arial" w:eastAsia="宋体" w:cs="Arial"/>
          <w:sz w:val="13"/>
          <w:szCs w:val="13"/>
        </w:rPr>
      </w:pPr>
    </w:p>
    <w:p w14:paraId="6CC58533">
      <w:pPr>
        <w:snapToGrid w:val="0"/>
        <w:spacing w:line="300" w:lineRule="auto"/>
        <w:rPr>
          <w:rFonts w:ascii="Arial" w:hAnsi="Arial" w:eastAsia="宋体" w:cs="Arial"/>
          <w:sz w:val="24"/>
          <w:szCs w:val="24"/>
        </w:rPr>
      </w:pPr>
    </w:p>
    <w:p w14:paraId="31C809EE">
      <w:pPr>
        <w:snapToGrid w:val="0"/>
        <w:spacing w:line="300" w:lineRule="auto"/>
        <w:rPr>
          <w:rFonts w:ascii="Arial" w:hAnsi="Arial" w:eastAsia="宋体" w:cs="Arial"/>
          <w:sz w:val="24"/>
          <w:szCs w:val="24"/>
        </w:rPr>
      </w:pPr>
    </w:p>
    <w:p w14:paraId="60017256">
      <w:pPr>
        <w:snapToGrid w:val="0"/>
        <w:spacing w:line="300" w:lineRule="auto"/>
        <w:ind w:left="111"/>
        <w:rPr>
          <w:rFonts w:ascii="Arial" w:hAnsi="Arial" w:eastAsia="宋体" w:cs="Arial"/>
          <w:sz w:val="36"/>
          <w:szCs w:val="36"/>
        </w:rPr>
      </w:pPr>
      <w:r>
        <w:rPr>
          <w:rFonts w:ascii="Arial" w:hAnsi="Arial" w:eastAsia="宋体" w:cs="Arial"/>
          <w:b/>
          <w:sz w:val="36"/>
        </w:rPr>
        <w:t>其他副本</w:t>
      </w:r>
    </w:p>
    <w:p w14:paraId="304D42A3">
      <w:pPr>
        <w:snapToGrid w:val="0"/>
        <w:spacing w:line="300" w:lineRule="auto"/>
        <w:rPr>
          <w:rFonts w:ascii="Arial" w:hAnsi="Arial" w:eastAsia="宋体" w:cs="Arial"/>
          <w:sz w:val="36"/>
          <w:szCs w:val="36"/>
        </w:rPr>
      </w:pPr>
    </w:p>
    <w:p w14:paraId="262B8F84">
      <w:pPr>
        <w:pStyle w:val="3"/>
        <w:snapToGrid w:val="0"/>
        <w:spacing w:line="300" w:lineRule="auto"/>
        <w:ind w:left="0"/>
        <w:rPr>
          <w:rFonts w:ascii="Arial" w:hAnsi="Arial" w:cs="Arial"/>
        </w:rPr>
      </w:pPr>
      <w:r>
        <w:rPr>
          <w:rFonts w:ascii="Arial" w:hAnsi="Arial" w:cs="Arial"/>
        </w:rPr>
        <w:t>万维网/CDRH 主页：</w:t>
      </w:r>
      <w:r>
        <w:fldChar w:fldCharType="begin"/>
      </w:r>
      <w:r>
        <w:instrText xml:space="preserve"> HYPERLINK "http://www.fda.gov/cdrh" \h </w:instrText>
      </w:r>
      <w:r>
        <w:fldChar w:fldCharType="separate"/>
      </w:r>
      <w:r>
        <w:rPr>
          <w:rFonts w:ascii="Arial" w:hAnsi="Arial" w:cs="Arial"/>
        </w:rPr>
        <w:t>http://www.fda.gov/cdrh</w:t>
      </w:r>
      <w:r>
        <w:rPr>
          <w:rFonts w:ascii="Arial" w:hAnsi="Arial" w:cs="Arial"/>
        </w:rPr>
        <w:fldChar w:fldCharType="end"/>
      </w:r>
      <w:r>
        <w:rPr>
          <w:rFonts w:ascii="Arial" w:hAnsi="Arial" w:cs="Arial"/>
        </w:rPr>
        <w:t>或CDRH</w:t>
      </w:r>
      <w:r>
        <w:rPr>
          <w:rFonts w:hint="eastAsia" w:ascii="Arial" w:hAnsi="Arial" w:cs="Arial"/>
        </w:rPr>
        <w:t>资源索取自动回传系统</w:t>
      </w:r>
      <w:r>
        <w:rPr>
          <w:rFonts w:ascii="Arial" w:hAnsi="Arial" w:cs="Arial"/>
        </w:rPr>
        <w:t>，电话：1-800-899-0381或301-827-0111，提示输入文编号时输入指定编号201。</w:t>
      </w:r>
    </w:p>
    <w:p w14:paraId="0E25CEA5">
      <w:pPr>
        <w:snapToGrid w:val="0"/>
        <w:spacing w:line="300" w:lineRule="auto"/>
        <w:rPr>
          <w:rFonts w:ascii="Arial" w:hAnsi="Arial" w:eastAsia="宋体" w:cs="Arial"/>
        </w:rPr>
        <w:sectPr>
          <w:pgSz w:w="12240" w:h="15840"/>
          <w:pgMar w:top="1134" w:right="1134" w:bottom="1134" w:left="1134" w:header="0" w:footer="730" w:gutter="0"/>
          <w:cols w:space="720" w:num="1"/>
          <w:docGrid w:linePitch="299" w:charSpace="0"/>
        </w:sectPr>
      </w:pPr>
    </w:p>
    <w:p w14:paraId="642C281D">
      <w:pPr>
        <w:snapToGrid w:val="0"/>
        <w:spacing w:before="29" w:line="300" w:lineRule="auto"/>
        <w:jc w:val="center"/>
        <w:rPr>
          <w:rFonts w:ascii="Arial" w:hAnsi="Arial" w:eastAsia="宋体" w:cs="Arial"/>
          <w:sz w:val="36"/>
          <w:szCs w:val="36"/>
        </w:rPr>
      </w:pPr>
      <w:r>
        <w:rPr>
          <w:rFonts w:ascii="Arial" w:hAnsi="Arial" w:eastAsia="宋体" w:cs="Arial"/>
          <w:b/>
          <w:sz w:val="36"/>
        </w:rPr>
        <w:t>目录</w:t>
      </w:r>
    </w:p>
    <w:p w14:paraId="214084ED">
      <w:pPr>
        <w:snapToGrid w:val="0"/>
        <w:spacing w:line="300" w:lineRule="auto"/>
        <w:rPr>
          <w:rFonts w:ascii="Arial" w:hAnsi="Arial" w:eastAsia="宋体" w:cs="Arial"/>
          <w:sz w:val="20"/>
          <w:szCs w:val="20"/>
        </w:rPr>
      </w:pPr>
    </w:p>
    <w:sdt>
      <w:sdtPr>
        <w:rPr>
          <w:rFonts w:ascii="Arial" w:hAnsi="Arial" w:eastAsia="宋体" w:cs="Arial"/>
          <w:color w:val="auto"/>
          <w:sz w:val="22"/>
          <w:szCs w:val="22"/>
          <w:lang w:val="zh-CN"/>
        </w:rPr>
        <w:id w:val="-734009619"/>
        <w:docPartObj>
          <w:docPartGallery w:val="Table of Contents"/>
          <w:docPartUnique/>
        </w:docPartObj>
      </w:sdtPr>
      <w:sdtEndPr>
        <w:rPr>
          <w:rFonts w:ascii="Arial" w:hAnsi="Arial" w:eastAsia="宋体" w:cs="Arial"/>
          <w:b/>
          <w:bCs/>
          <w:color w:val="auto"/>
          <w:sz w:val="22"/>
          <w:szCs w:val="22"/>
          <w:lang w:val="zh-CN"/>
        </w:rPr>
      </w:sdtEndPr>
      <w:sdtContent>
        <w:p w14:paraId="76C9DAD1">
          <w:pPr>
            <w:pStyle w:val="16"/>
            <w:snapToGrid w:val="0"/>
            <w:spacing w:line="300" w:lineRule="auto"/>
            <w:ind w:right="1181" w:rightChars="537"/>
            <w:jc w:val="right"/>
            <w:rPr>
              <w:rFonts w:ascii="Arial" w:hAnsi="Arial" w:eastAsia="宋体" w:cs="Arial"/>
              <w:u w:val="single"/>
            </w:rPr>
          </w:pPr>
          <w:r>
            <w:rPr>
              <w:rFonts w:ascii="Arial" w:hAnsi="Arial" w:eastAsia="宋体" w:cs="Arial"/>
              <w:color w:val="auto"/>
              <w:sz w:val="22"/>
              <w:szCs w:val="22"/>
              <w:u w:val="single"/>
              <w:lang w:val="zh-CN"/>
            </w:rPr>
            <w:t>Page</w:t>
          </w:r>
        </w:p>
        <w:p w14:paraId="0CFC9106">
          <w:pPr>
            <w:pStyle w:val="7"/>
            <w:tabs>
              <w:tab w:val="right" w:pos="8505"/>
            </w:tabs>
            <w:rPr>
              <w:rFonts w:ascii="Arial" w:hAnsi="Arial" w:cs="Arial"/>
              <w:kern w:val="2"/>
              <w:sz w:val="21"/>
              <w:szCs w:val="22"/>
            </w:rPr>
          </w:pPr>
          <w:r>
            <w:rPr>
              <w:rFonts w:ascii="Arial" w:hAnsi="Arial" w:cs="Arial"/>
            </w:rPr>
            <w:fldChar w:fldCharType="begin"/>
          </w:r>
          <w:r>
            <w:rPr>
              <w:rFonts w:ascii="Arial" w:hAnsi="Arial" w:cs="Arial"/>
            </w:rPr>
            <w:instrText xml:space="preserve"> TOC \o "1-3" \h \z \u </w:instrText>
          </w:r>
          <w:r>
            <w:rPr>
              <w:rFonts w:ascii="Arial" w:hAnsi="Arial" w:cs="Arial"/>
            </w:rPr>
            <w:fldChar w:fldCharType="separate"/>
          </w:r>
          <w:r>
            <w:fldChar w:fldCharType="begin"/>
          </w:r>
          <w:r>
            <w:instrText xml:space="preserve"> HYPERLINK \l "_Toc482113430" </w:instrText>
          </w:r>
          <w:r>
            <w:fldChar w:fldCharType="separate"/>
          </w:r>
          <w:r>
            <w:rPr>
              <w:rStyle w:val="10"/>
              <w:rFonts w:ascii="Arial" w:hAnsi="Arial" w:cs="Arial"/>
            </w:rPr>
            <w:t>1.0前言</w:t>
          </w:r>
          <w:r>
            <w:rPr>
              <w:rFonts w:ascii="Arial" w:hAnsi="Arial" w:cs="Arial"/>
            </w:rPr>
            <w:tab/>
          </w:r>
          <w:r>
            <w:rPr>
              <w:rFonts w:ascii="Arial" w:hAnsi="Arial" w:cs="Arial"/>
            </w:rPr>
            <w:fldChar w:fldCharType="begin"/>
          </w:r>
          <w:r>
            <w:rPr>
              <w:rFonts w:ascii="Arial" w:hAnsi="Arial" w:cs="Arial"/>
            </w:rPr>
            <w:instrText xml:space="preserve"> PAGEREF _Toc482113430 \h </w:instrText>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fldChar w:fldCharType="end"/>
          </w:r>
        </w:p>
        <w:p w14:paraId="5989EE80">
          <w:pPr>
            <w:pStyle w:val="7"/>
            <w:tabs>
              <w:tab w:val="right" w:pos="8505"/>
            </w:tabs>
            <w:rPr>
              <w:rFonts w:ascii="Arial" w:hAnsi="Arial" w:cs="Arial"/>
              <w:kern w:val="2"/>
              <w:sz w:val="21"/>
              <w:szCs w:val="22"/>
            </w:rPr>
          </w:pPr>
          <w:r>
            <w:fldChar w:fldCharType="begin"/>
          </w:r>
          <w:r>
            <w:instrText xml:space="preserve"> HYPERLINK \l "_Toc482113431" </w:instrText>
          </w:r>
          <w:r>
            <w:fldChar w:fldCharType="separate"/>
          </w:r>
          <w:r>
            <w:rPr>
              <w:rStyle w:val="10"/>
              <w:rFonts w:ascii="Arial" w:hAnsi="Arial" w:cs="Arial"/>
            </w:rPr>
            <w:t>2.0器械定义</w:t>
          </w:r>
          <w:r>
            <w:rPr>
              <w:rFonts w:ascii="Arial" w:hAnsi="Arial" w:cs="Arial"/>
            </w:rPr>
            <w:tab/>
          </w:r>
          <w:r>
            <w:rPr>
              <w:rFonts w:ascii="Arial" w:hAnsi="Arial" w:cs="Arial"/>
            </w:rPr>
            <w:fldChar w:fldCharType="begin"/>
          </w:r>
          <w:r>
            <w:rPr>
              <w:rFonts w:ascii="Arial" w:hAnsi="Arial" w:cs="Arial"/>
            </w:rPr>
            <w:instrText xml:space="preserve"> PAGEREF _Toc482113431 \h </w:instrText>
          </w:r>
          <w:r>
            <w:rPr>
              <w:rFonts w:ascii="Arial" w:hAnsi="Arial" w:cs="Arial"/>
            </w:rPr>
            <w:fldChar w:fldCharType="separate"/>
          </w:r>
          <w:r>
            <w:rPr>
              <w:rFonts w:ascii="Arial" w:hAnsi="Arial" w:cs="Arial"/>
            </w:rPr>
            <w:t>5</w:t>
          </w:r>
          <w:r>
            <w:rPr>
              <w:rFonts w:ascii="Arial" w:hAnsi="Arial" w:cs="Arial"/>
            </w:rPr>
            <w:fldChar w:fldCharType="end"/>
          </w:r>
          <w:r>
            <w:rPr>
              <w:rFonts w:ascii="Arial" w:hAnsi="Arial" w:cs="Arial"/>
            </w:rPr>
            <w:fldChar w:fldCharType="end"/>
          </w:r>
        </w:p>
        <w:p w14:paraId="5B1DF420">
          <w:pPr>
            <w:pStyle w:val="7"/>
            <w:tabs>
              <w:tab w:val="right" w:pos="8505"/>
            </w:tabs>
            <w:rPr>
              <w:rFonts w:ascii="Arial" w:hAnsi="Arial" w:cs="Arial"/>
              <w:kern w:val="2"/>
              <w:sz w:val="21"/>
              <w:szCs w:val="22"/>
            </w:rPr>
          </w:pPr>
          <w:r>
            <w:fldChar w:fldCharType="begin"/>
          </w:r>
          <w:r>
            <w:instrText xml:space="preserve"> HYPERLINK \l "_Toc482113432" </w:instrText>
          </w:r>
          <w:r>
            <w:fldChar w:fldCharType="separate"/>
          </w:r>
          <w:r>
            <w:rPr>
              <w:rStyle w:val="10"/>
              <w:rFonts w:ascii="Arial" w:hAnsi="Arial" w:cs="Arial"/>
            </w:rPr>
            <w:t>3.0产品说明</w:t>
          </w:r>
          <w:r>
            <w:rPr>
              <w:rFonts w:ascii="Arial" w:hAnsi="Arial" w:cs="Arial"/>
            </w:rPr>
            <w:tab/>
          </w:r>
          <w:r>
            <w:rPr>
              <w:rFonts w:ascii="Arial" w:hAnsi="Arial" w:cs="Arial"/>
            </w:rPr>
            <w:fldChar w:fldCharType="begin"/>
          </w:r>
          <w:r>
            <w:rPr>
              <w:rFonts w:ascii="Arial" w:hAnsi="Arial" w:cs="Arial"/>
            </w:rPr>
            <w:instrText xml:space="preserve"> PAGEREF _Toc482113432 \h </w:instrText>
          </w:r>
          <w:r>
            <w:rPr>
              <w:rFonts w:ascii="Arial" w:hAnsi="Arial" w:cs="Arial"/>
            </w:rPr>
            <w:fldChar w:fldCharType="separate"/>
          </w:r>
          <w:r>
            <w:rPr>
              <w:rFonts w:ascii="Arial" w:hAnsi="Arial" w:cs="Arial"/>
            </w:rPr>
            <w:t>5</w:t>
          </w:r>
          <w:r>
            <w:rPr>
              <w:rFonts w:ascii="Arial" w:hAnsi="Arial" w:cs="Arial"/>
            </w:rPr>
            <w:fldChar w:fldCharType="end"/>
          </w:r>
          <w:r>
            <w:rPr>
              <w:rFonts w:ascii="Arial" w:hAnsi="Arial" w:cs="Arial"/>
            </w:rPr>
            <w:fldChar w:fldCharType="end"/>
          </w:r>
        </w:p>
        <w:p w14:paraId="153D562C">
          <w:pPr>
            <w:pStyle w:val="7"/>
            <w:tabs>
              <w:tab w:val="right" w:pos="8505"/>
            </w:tabs>
            <w:rPr>
              <w:rFonts w:ascii="Arial" w:hAnsi="Arial" w:cs="Arial"/>
              <w:kern w:val="2"/>
              <w:sz w:val="21"/>
              <w:szCs w:val="22"/>
            </w:rPr>
          </w:pPr>
          <w:r>
            <w:fldChar w:fldCharType="begin"/>
          </w:r>
          <w:r>
            <w:instrText xml:space="preserve"> HYPERLINK \l "_Toc482113433" </w:instrText>
          </w:r>
          <w:r>
            <w:fldChar w:fldCharType="separate"/>
          </w:r>
          <w:r>
            <w:rPr>
              <w:rStyle w:val="10"/>
              <w:rFonts w:ascii="Arial" w:hAnsi="Arial" w:cs="Arial"/>
            </w:rPr>
            <w:t>4.0设计和性能特征</w:t>
          </w:r>
          <w:r>
            <w:rPr>
              <w:rFonts w:ascii="Arial" w:hAnsi="Arial" w:cs="Arial"/>
            </w:rPr>
            <w:tab/>
          </w:r>
          <w:r>
            <w:rPr>
              <w:rFonts w:ascii="Arial" w:hAnsi="Arial" w:cs="Arial"/>
            </w:rPr>
            <w:fldChar w:fldCharType="begin"/>
          </w:r>
          <w:r>
            <w:rPr>
              <w:rFonts w:ascii="Arial" w:hAnsi="Arial" w:cs="Arial"/>
            </w:rPr>
            <w:instrText xml:space="preserve"> PAGEREF _Toc482113433 \h </w:instrText>
          </w:r>
          <w:r>
            <w:rPr>
              <w:rFonts w:ascii="Arial" w:hAnsi="Arial" w:cs="Arial"/>
            </w:rPr>
            <w:fldChar w:fldCharType="separate"/>
          </w:r>
          <w:r>
            <w:rPr>
              <w:rFonts w:ascii="Arial" w:hAnsi="Arial" w:cs="Arial"/>
            </w:rPr>
            <w:t>6</w:t>
          </w:r>
          <w:r>
            <w:rPr>
              <w:rFonts w:ascii="Arial" w:hAnsi="Arial" w:cs="Arial"/>
            </w:rPr>
            <w:fldChar w:fldCharType="end"/>
          </w:r>
          <w:r>
            <w:rPr>
              <w:rFonts w:ascii="Arial" w:hAnsi="Arial" w:cs="Arial"/>
            </w:rPr>
            <w:fldChar w:fldCharType="end"/>
          </w:r>
        </w:p>
        <w:p w14:paraId="2F955C3E">
          <w:pPr>
            <w:pStyle w:val="7"/>
            <w:tabs>
              <w:tab w:val="right" w:pos="8505"/>
            </w:tabs>
            <w:rPr>
              <w:rFonts w:ascii="Arial" w:hAnsi="Arial" w:cs="Arial"/>
              <w:kern w:val="2"/>
              <w:sz w:val="21"/>
              <w:szCs w:val="22"/>
            </w:rPr>
          </w:pPr>
          <w:r>
            <w:fldChar w:fldCharType="begin"/>
          </w:r>
          <w:r>
            <w:instrText xml:space="preserve"> HYPERLINK \l "_Toc482113434" </w:instrText>
          </w:r>
          <w:r>
            <w:fldChar w:fldCharType="separate"/>
          </w:r>
          <w:r>
            <w:rPr>
              <w:rStyle w:val="10"/>
              <w:rFonts w:ascii="Arial" w:hAnsi="Arial" w:cs="Arial"/>
            </w:rPr>
            <w:t>5.0安全性和有效性的测试</w:t>
          </w:r>
          <w:r>
            <w:rPr>
              <w:rFonts w:ascii="Arial" w:hAnsi="Arial" w:cs="Arial"/>
            </w:rPr>
            <w:tab/>
          </w:r>
          <w:r>
            <w:rPr>
              <w:rFonts w:ascii="Arial" w:hAnsi="Arial" w:cs="Arial"/>
            </w:rPr>
            <w:fldChar w:fldCharType="begin"/>
          </w:r>
          <w:r>
            <w:rPr>
              <w:rFonts w:ascii="Arial" w:hAnsi="Arial" w:cs="Arial"/>
            </w:rPr>
            <w:instrText xml:space="preserve"> PAGEREF _Toc482113434 \h </w:instrText>
          </w:r>
          <w:r>
            <w:rPr>
              <w:rFonts w:ascii="Arial" w:hAnsi="Arial" w:cs="Arial"/>
            </w:rPr>
            <w:fldChar w:fldCharType="separate"/>
          </w:r>
          <w:r>
            <w:rPr>
              <w:rFonts w:ascii="Arial" w:hAnsi="Arial" w:cs="Arial"/>
            </w:rPr>
            <w:t>7</w:t>
          </w:r>
          <w:r>
            <w:rPr>
              <w:rFonts w:ascii="Arial" w:hAnsi="Arial" w:cs="Arial"/>
            </w:rPr>
            <w:fldChar w:fldCharType="end"/>
          </w:r>
          <w:r>
            <w:rPr>
              <w:rFonts w:ascii="Arial" w:hAnsi="Arial" w:cs="Arial"/>
            </w:rPr>
            <w:fldChar w:fldCharType="end"/>
          </w:r>
        </w:p>
        <w:p w14:paraId="16B57A27">
          <w:pPr>
            <w:pStyle w:val="7"/>
            <w:tabs>
              <w:tab w:val="right" w:pos="8505"/>
            </w:tabs>
            <w:rPr>
              <w:rFonts w:ascii="Arial" w:hAnsi="Arial" w:cs="Arial"/>
              <w:kern w:val="2"/>
              <w:sz w:val="21"/>
              <w:szCs w:val="22"/>
            </w:rPr>
          </w:pPr>
          <w:r>
            <w:fldChar w:fldCharType="begin"/>
          </w:r>
          <w:r>
            <w:instrText xml:space="preserve"> HYPERLINK \l "_Toc482113435" </w:instrText>
          </w:r>
          <w:r>
            <w:fldChar w:fldCharType="separate"/>
          </w:r>
          <w:r>
            <w:rPr>
              <w:rStyle w:val="10"/>
              <w:rFonts w:ascii="Arial" w:hAnsi="Arial" w:cs="Arial"/>
            </w:rPr>
            <w:t>6.0 标识</w:t>
          </w:r>
          <w:r>
            <w:rPr>
              <w:rFonts w:ascii="Arial" w:hAnsi="Arial" w:cs="Arial"/>
            </w:rPr>
            <w:tab/>
          </w:r>
          <w:r>
            <w:rPr>
              <w:rFonts w:ascii="Arial" w:hAnsi="Arial" w:cs="Arial"/>
            </w:rPr>
            <w:fldChar w:fldCharType="begin"/>
          </w:r>
          <w:r>
            <w:rPr>
              <w:rFonts w:ascii="Arial" w:hAnsi="Arial" w:cs="Arial"/>
            </w:rPr>
            <w:instrText xml:space="preserve"> PAGEREF _Toc482113435 \h </w:instrText>
          </w:r>
          <w:r>
            <w:rPr>
              <w:rFonts w:ascii="Arial" w:hAnsi="Arial" w:cs="Arial"/>
            </w:rPr>
            <w:fldChar w:fldCharType="separate"/>
          </w:r>
          <w:r>
            <w:rPr>
              <w:rFonts w:ascii="Arial" w:hAnsi="Arial" w:cs="Arial"/>
            </w:rPr>
            <w:t>8</w:t>
          </w:r>
          <w:r>
            <w:rPr>
              <w:rFonts w:ascii="Arial" w:hAnsi="Arial" w:cs="Arial"/>
            </w:rPr>
            <w:fldChar w:fldCharType="end"/>
          </w:r>
          <w:r>
            <w:rPr>
              <w:rFonts w:ascii="Arial" w:hAnsi="Arial" w:cs="Arial"/>
            </w:rPr>
            <w:fldChar w:fldCharType="end"/>
          </w:r>
        </w:p>
        <w:p w14:paraId="2483C930">
          <w:pPr>
            <w:tabs>
              <w:tab w:val="right" w:pos="8505"/>
            </w:tabs>
            <w:snapToGrid w:val="0"/>
            <w:spacing w:line="300" w:lineRule="auto"/>
            <w:rPr>
              <w:rFonts w:ascii="Arial" w:hAnsi="Arial" w:eastAsia="宋体" w:cs="Arial"/>
            </w:rPr>
          </w:pPr>
          <w:r>
            <w:rPr>
              <w:rFonts w:ascii="Arial" w:hAnsi="Arial" w:eastAsia="宋体" w:cs="Arial"/>
              <w:sz w:val="24"/>
              <w:szCs w:val="24"/>
            </w:rPr>
            <w:fldChar w:fldCharType="end"/>
          </w:r>
        </w:p>
      </w:sdtContent>
    </w:sdt>
    <w:p w14:paraId="763F244F">
      <w:pPr>
        <w:pStyle w:val="7"/>
        <w:tabs>
          <w:tab w:val="left" w:pos="722"/>
          <w:tab w:val="left" w:pos="7182"/>
        </w:tabs>
        <w:snapToGrid w:val="0"/>
        <w:spacing w:line="300" w:lineRule="auto"/>
        <w:ind w:left="111"/>
        <w:rPr>
          <w:rFonts w:ascii="Arial" w:hAnsi="Arial" w:cs="Arial"/>
        </w:rPr>
      </w:pPr>
    </w:p>
    <w:p w14:paraId="4D01F20B">
      <w:pPr>
        <w:snapToGrid w:val="0"/>
        <w:spacing w:line="300" w:lineRule="auto"/>
        <w:rPr>
          <w:rFonts w:ascii="Arial" w:hAnsi="Arial" w:eastAsia="宋体" w:cs="Arial"/>
        </w:rPr>
        <w:sectPr>
          <w:pgSz w:w="12240" w:h="15840"/>
          <w:pgMar w:top="1134" w:right="1134" w:bottom="1134" w:left="1134" w:header="0" w:footer="730" w:gutter="0"/>
          <w:cols w:space="720" w:num="1"/>
          <w:docGrid w:linePitch="299" w:charSpace="0"/>
        </w:sectPr>
      </w:pPr>
    </w:p>
    <w:p w14:paraId="173A6AE2">
      <w:pPr>
        <w:pStyle w:val="2"/>
        <w:snapToGrid w:val="0"/>
        <w:spacing w:before="46" w:line="380" w:lineRule="exact"/>
        <w:ind w:left="0"/>
        <w:rPr>
          <w:rFonts w:ascii="Arial" w:hAnsi="Arial" w:cs="Arial"/>
          <w:b w:val="0"/>
          <w:bCs w:val="0"/>
        </w:rPr>
      </w:pPr>
      <w:bookmarkStart w:id="0" w:name="_TOC_250004"/>
      <w:bookmarkStart w:id="1" w:name="_Toc482113430"/>
      <w:r>
        <w:rPr>
          <w:rFonts w:ascii="Arial" w:hAnsi="Arial" w:cs="Arial"/>
        </w:rPr>
        <w:t>1.0前言</w:t>
      </w:r>
      <w:bookmarkEnd w:id="0"/>
      <w:bookmarkEnd w:id="1"/>
    </w:p>
    <w:p w14:paraId="10A6F865">
      <w:pPr>
        <w:snapToGrid w:val="0"/>
        <w:spacing w:before="6" w:line="380" w:lineRule="exact"/>
        <w:rPr>
          <w:rFonts w:ascii="Arial" w:hAnsi="Arial" w:eastAsia="宋体" w:cs="Arial"/>
          <w:sz w:val="28"/>
          <w:szCs w:val="28"/>
        </w:rPr>
      </w:pPr>
    </w:p>
    <w:p w14:paraId="3B6313EF">
      <w:pPr>
        <w:pStyle w:val="3"/>
        <w:snapToGrid w:val="0"/>
        <w:spacing w:line="380" w:lineRule="exact"/>
        <w:ind w:left="0"/>
        <w:jc w:val="both"/>
        <w:rPr>
          <w:rFonts w:ascii="Arial" w:hAnsi="Arial" w:cs="Arial"/>
        </w:rPr>
      </w:pPr>
      <w:r>
        <w:rPr>
          <w:rFonts w:ascii="Arial" w:hAnsi="Arial" w:cs="Arial"/>
        </w:rPr>
        <w:t>本文件的目的是向新生儿培养箱和新生儿运送培养箱的制造商提供关于所需资料的指南，以便更全面和一致性编制上市前通告（510（k））提交资料。本指导性文件代表</w:t>
      </w:r>
      <w:r>
        <w:rPr>
          <w:rFonts w:hint="eastAsia" w:ascii="Arial" w:hAnsi="Arial" w:cs="Arial"/>
        </w:rPr>
        <w:t>机构对此主题的最新见解。其不会为任何人创造或赋予任何权利，也不对FDA或公众具有约束力。如果替代方法满足适用的法律、法规或其两者的要求，可以使用替代方法</w:t>
      </w:r>
      <w:r>
        <w:rPr>
          <w:rFonts w:ascii="Arial" w:hAnsi="Arial" w:cs="Arial"/>
        </w:rPr>
        <w:t>。</w:t>
      </w:r>
    </w:p>
    <w:p w14:paraId="32B4870F">
      <w:pPr>
        <w:snapToGrid w:val="0"/>
        <w:spacing w:before="4" w:line="380" w:lineRule="exact"/>
        <w:jc w:val="both"/>
        <w:rPr>
          <w:rFonts w:ascii="Arial" w:hAnsi="Arial" w:eastAsia="宋体" w:cs="Arial"/>
          <w:sz w:val="28"/>
          <w:szCs w:val="28"/>
        </w:rPr>
      </w:pPr>
    </w:p>
    <w:p w14:paraId="4A65B13E">
      <w:pPr>
        <w:pStyle w:val="3"/>
        <w:snapToGrid w:val="0"/>
        <w:spacing w:line="380" w:lineRule="exact"/>
        <w:ind w:left="0"/>
        <w:jc w:val="both"/>
        <w:rPr>
          <w:rFonts w:ascii="Arial" w:hAnsi="Arial" w:cs="Arial"/>
        </w:rPr>
      </w:pPr>
      <w:r>
        <w:rPr>
          <w:rFonts w:ascii="Arial" w:hAnsi="Arial" w:cs="Arial"/>
        </w:rPr>
        <w:t>本文件的制定是基于目前被认可为综合医院器械部对这两种器械进行全面和充分审查所必需的资料。对于新生儿培养箱和新生儿运送培养箱的510（k）的编制，本文件的使用并非强制性，其使用也不能保证FDA对器械的批准。然而，使用本文件将确保能提交基本要素，以对器械进行实质等同性的评估。某些510（k）提交可能需要本文件中未描述的其他资料。本指南根据新技术信息和监管要求进行修订。</w:t>
      </w:r>
    </w:p>
    <w:p w14:paraId="721058E5">
      <w:pPr>
        <w:snapToGrid w:val="0"/>
        <w:spacing w:line="380" w:lineRule="exact"/>
        <w:jc w:val="both"/>
        <w:rPr>
          <w:rFonts w:ascii="Arial" w:hAnsi="Arial" w:eastAsia="宋体" w:cs="Arial"/>
          <w:sz w:val="24"/>
          <w:szCs w:val="24"/>
        </w:rPr>
      </w:pPr>
    </w:p>
    <w:p w14:paraId="77DC9E5B">
      <w:pPr>
        <w:snapToGrid w:val="0"/>
        <w:spacing w:before="7" w:line="380" w:lineRule="exact"/>
        <w:jc w:val="both"/>
        <w:rPr>
          <w:rFonts w:ascii="Arial" w:hAnsi="Arial" w:eastAsia="宋体" w:cs="Arial"/>
          <w:sz w:val="32"/>
          <w:szCs w:val="32"/>
        </w:rPr>
      </w:pPr>
    </w:p>
    <w:p w14:paraId="5802B530">
      <w:pPr>
        <w:snapToGrid w:val="0"/>
        <w:spacing w:line="380" w:lineRule="exact"/>
        <w:jc w:val="both"/>
        <w:rPr>
          <w:rFonts w:ascii="Arial" w:hAnsi="Arial" w:eastAsia="宋体" w:cs="Arial"/>
          <w:sz w:val="24"/>
          <w:szCs w:val="24"/>
        </w:rPr>
      </w:pPr>
      <w:r>
        <w:rPr>
          <w:rFonts w:ascii="Arial" w:hAnsi="Arial" w:eastAsia="宋体" w:cs="Arial"/>
          <w:i/>
          <w:sz w:val="24"/>
        </w:rPr>
        <w:t>基本资料</w:t>
      </w:r>
    </w:p>
    <w:p w14:paraId="3C812D69">
      <w:pPr>
        <w:snapToGrid w:val="0"/>
        <w:spacing w:before="10" w:line="380" w:lineRule="exact"/>
        <w:jc w:val="both"/>
        <w:rPr>
          <w:rFonts w:ascii="Arial" w:hAnsi="Arial" w:eastAsia="宋体" w:cs="Arial"/>
          <w:sz w:val="28"/>
          <w:szCs w:val="28"/>
        </w:rPr>
      </w:pPr>
    </w:p>
    <w:p w14:paraId="0F83B888">
      <w:pPr>
        <w:pStyle w:val="3"/>
        <w:snapToGrid w:val="0"/>
        <w:spacing w:line="380" w:lineRule="exact"/>
        <w:ind w:left="0"/>
        <w:jc w:val="both"/>
        <w:rPr>
          <w:rFonts w:ascii="Arial" w:hAnsi="Arial" w:cs="Arial"/>
        </w:rPr>
      </w:pPr>
      <w:r>
        <w:rPr>
          <w:rFonts w:ascii="Arial" w:hAnsi="Arial" w:cs="Arial"/>
          <w:i/>
        </w:rPr>
        <w:t>510（k）摘要或声明。</w:t>
      </w:r>
      <w:r>
        <w:rPr>
          <w:rFonts w:ascii="Arial" w:hAnsi="Arial" w:cs="Arial"/>
        </w:rPr>
        <w:t>根据1990年</w:t>
      </w:r>
      <w:r>
        <w:rPr>
          <w:rFonts w:hint="eastAsia" w:ascii="Arial" w:hAnsi="Arial" w:cs="Arial"/>
        </w:rPr>
        <w:t>《</w:t>
      </w:r>
      <w:r>
        <w:rPr>
          <w:rFonts w:ascii="Arial" w:hAnsi="Arial" w:cs="Arial"/>
        </w:rPr>
        <w:t>医疗器械安全法</w:t>
      </w:r>
      <w:r>
        <w:rPr>
          <w:rFonts w:hint="eastAsia" w:ascii="Arial" w:hAnsi="Arial" w:cs="Arial"/>
        </w:rPr>
        <w:t>》</w:t>
      </w:r>
      <w:r>
        <w:rPr>
          <w:rFonts w:ascii="Arial" w:hAnsi="Arial" w:cs="Arial"/>
        </w:rPr>
        <w:t>和21 CFR第807.87（h）条，申请人必须提交：（1）可以基于等</w:t>
      </w:r>
      <w:r>
        <w:rPr>
          <w:rFonts w:hint="eastAsia" w:ascii="Arial" w:hAnsi="Arial" w:cs="Arial"/>
        </w:rPr>
        <w:t>同</w:t>
      </w:r>
      <w:r>
        <w:rPr>
          <w:rFonts w:ascii="Arial" w:hAnsi="Arial" w:cs="Arial"/>
        </w:rPr>
        <w:t>性确定的上市前通告提交资料中的安全性和有效性资料的摘要（即“510（k）摘要”）； 或（2）将根据要求向感兴趣的人提供安全性和有效性资料的声明（即“510（k）声明”）。摘要或声明应明确标明为“510（k）摘要”或“510（k）声明”。</w:t>
      </w:r>
    </w:p>
    <w:p w14:paraId="5A207E18">
      <w:pPr>
        <w:snapToGrid w:val="0"/>
        <w:spacing w:before="4" w:line="380" w:lineRule="exact"/>
        <w:jc w:val="both"/>
        <w:rPr>
          <w:rFonts w:ascii="Arial" w:hAnsi="Arial" w:eastAsia="宋体" w:cs="Arial"/>
          <w:sz w:val="28"/>
          <w:szCs w:val="28"/>
        </w:rPr>
      </w:pPr>
    </w:p>
    <w:p w14:paraId="01C565D1">
      <w:pPr>
        <w:pStyle w:val="3"/>
        <w:snapToGrid w:val="0"/>
        <w:spacing w:line="380" w:lineRule="exact"/>
        <w:ind w:left="0"/>
        <w:jc w:val="both"/>
        <w:rPr>
          <w:rFonts w:ascii="Arial" w:hAnsi="Arial" w:cs="Arial"/>
        </w:rPr>
      </w:pPr>
      <w:r>
        <w:rPr>
          <w:rFonts w:ascii="Arial" w:hAnsi="Arial" w:cs="Arial"/>
          <w:i/>
        </w:rPr>
        <w:t>真实和准确的声明。</w:t>
      </w:r>
      <w:r>
        <w:rPr>
          <w:rFonts w:ascii="Arial" w:hAnsi="Arial" w:cs="Arial"/>
        </w:rPr>
        <w:t>根据21 CFR第807.870（j）条的要求，申请人还必须提供真实准确的声明，说明上市前通告中提交的所有数据和资料是真实和准确的，没有遗漏任何重要事实。</w:t>
      </w:r>
    </w:p>
    <w:p w14:paraId="349F29AC">
      <w:pPr>
        <w:snapToGrid w:val="0"/>
        <w:spacing w:before="4" w:line="380" w:lineRule="exact"/>
        <w:jc w:val="both"/>
        <w:rPr>
          <w:rFonts w:ascii="Arial" w:hAnsi="Arial" w:eastAsia="宋体" w:cs="Arial"/>
          <w:sz w:val="28"/>
          <w:szCs w:val="28"/>
        </w:rPr>
      </w:pPr>
    </w:p>
    <w:p w14:paraId="77526F35">
      <w:pPr>
        <w:pStyle w:val="3"/>
        <w:snapToGrid w:val="0"/>
        <w:spacing w:line="380" w:lineRule="exact"/>
        <w:ind w:left="0"/>
        <w:rPr>
          <w:rFonts w:ascii="Arial" w:hAnsi="Arial" w:cs="Arial"/>
        </w:rPr>
      </w:pPr>
      <w:r>
        <w:rPr>
          <w:rFonts w:hint="eastAsia" w:ascii="Arial" w:hAnsi="Arial" w:cs="Arial"/>
          <w:i/>
        </w:rPr>
        <w:t>适应症</w:t>
      </w:r>
      <w:r>
        <w:rPr>
          <w:rFonts w:ascii="Arial" w:hAnsi="Arial" w:cs="Arial"/>
          <w:i/>
        </w:rPr>
        <w:t>的表格。</w:t>
      </w:r>
      <w:r>
        <w:rPr>
          <w:rFonts w:ascii="Arial" w:hAnsi="Arial" w:cs="Arial"/>
        </w:rPr>
        <w:t>1996年1月1日，FDA开始要求所有510（k）提交者应提供“</w:t>
      </w:r>
      <w:r>
        <w:rPr>
          <w:rFonts w:hint="eastAsia" w:ascii="Arial" w:hAnsi="Arial" w:cs="Arial"/>
        </w:rPr>
        <w:t>适应症</w:t>
      </w:r>
      <w:r>
        <w:rPr>
          <w:rFonts w:ascii="Arial" w:hAnsi="Arial" w:cs="Arial"/>
        </w:rPr>
        <w:t>”声明。该声明应在单独一页上，其明确标识为“</w:t>
      </w:r>
      <w:r>
        <w:rPr>
          <w:rFonts w:hint="eastAsia" w:ascii="Arial" w:hAnsi="Arial" w:cs="Arial"/>
        </w:rPr>
        <w:t>适应症</w:t>
      </w:r>
      <w:r>
        <w:rPr>
          <w:rFonts w:ascii="Arial" w:hAnsi="Arial" w:cs="Arial"/>
        </w:rPr>
        <w:t>”，并将包括器械的商品名称和器械的预期用途。</w:t>
      </w:r>
    </w:p>
    <w:p w14:paraId="104DA14C">
      <w:pPr>
        <w:snapToGrid w:val="0"/>
        <w:spacing w:before="4" w:line="380" w:lineRule="exact"/>
        <w:jc w:val="both"/>
        <w:rPr>
          <w:rFonts w:ascii="Arial" w:hAnsi="Arial" w:eastAsia="宋体" w:cs="Arial"/>
          <w:sz w:val="28"/>
          <w:szCs w:val="28"/>
        </w:rPr>
      </w:pPr>
    </w:p>
    <w:p w14:paraId="20630B4B">
      <w:pPr>
        <w:pStyle w:val="3"/>
        <w:snapToGrid w:val="0"/>
        <w:spacing w:line="380" w:lineRule="exact"/>
        <w:ind w:left="0"/>
        <w:jc w:val="both"/>
        <w:rPr>
          <w:rFonts w:ascii="Arial" w:hAnsi="Arial" w:cs="Arial"/>
        </w:rPr>
      </w:pPr>
      <w:r>
        <w:rPr>
          <w:rFonts w:ascii="Arial" w:hAnsi="Arial" w:cs="Arial"/>
          <w:i/>
        </w:rPr>
        <w:t>新510（k）范例。</w:t>
      </w:r>
      <w:r>
        <w:rPr>
          <w:rFonts w:ascii="Arial" w:hAnsi="Arial" w:cs="Arial"/>
        </w:rPr>
        <w:t>从1998年3月19日起，提交510（k）的新程序开始生效。这些程序统称为“新510（k）范例”。有关新510（k）范例的更多信息，请访问以下网址：</w:t>
      </w:r>
    </w:p>
    <w:p w14:paraId="329EA6A5">
      <w:pPr>
        <w:snapToGrid w:val="0"/>
        <w:spacing w:before="8" w:line="380" w:lineRule="exact"/>
        <w:jc w:val="both"/>
        <w:rPr>
          <w:rFonts w:ascii="Arial" w:hAnsi="Arial" w:eastAsia="宋体" w:cs="Arial"/>
          <w:sz w:val="28"/>
          <w:szCs w:val="28"/>
        </w:rPr>
      </w:pPr>
    </w:p>
    <w:p w14:paraId="03F08782">
      <w:pPr>
        <w:snapToGrid w:val="0"/>
        <w:spacing w:line="380" w:lineRule="exact"/>
        <w:ind w:left="832"/>
        <w:jc w:val="both"/>
        <w:rPr>
          <w:rFonts w:ascii="Arial" w:hAnsi="Arial" w:eastAsia="宋体" w:cs="Arial"/>
          <w:sz w:val="24"/>
          <w:szCs w:val="24"/>
        </w:rPr>
      </w:pPr>
      <w:r>
        <w:fldChar w:fldCharType="begin"/>
      </w:r>
      <w:r>
        <w:instrText xml:space="preserve"> HYPERLINK "http://www.fda.gov/cdrh/ode/parad5l0.pdf" \h </w:instrText>
      </w:r>
      <w:r>
        <w:fldChar w:fldCharType="separate"/>
      </w:r>
      <w:r>
        <w:rPr>
          <w:rFonts w:ascii="Arial" w:hAnsi="Arial" w:eastAsia="宋体" w:cs="Arial"/>
          <w:b/>
          <w:sz w:val="24"/>
        </w:rPr>
        <w:t>http://www.fda.gov/cdrh/ode/parad5l0.pdf</w:t>
      </w:r>
      <w:r>
        <w:rPr>
          <w:rFonts w:ascii="Arial" w:hAnsi="Arial" w:eastAsia="宋体" w:cs="Arial"/>
          <w:b/>
          <w:sz w:val="24"/>
        </w:rPr>
        <w:fldChar w:fldCharType="end"/>
      </w:r>
    </w:p>
    <w:p w14:paraId="71077DA6">
      <w:pPr>
        <w:snapToGrid w:val="0"/>
        <w:spacing w:before="6" w:line="380" w:lineRule="exact"/>
        <w:jc w:val="both"/>
        <w:rPr>
          <w:rFonts w:ascii="Arial" w:hAnsi="Arial" w:eastAsia="宋体" w:cs="Arial"/>
          <w:sz w:val="28"/>
          <w:szCs w:val="28"/>
        </w:rPr>
      </w:pPr>
    </w:p>
    <w:p w14:paraId="73CF7640">
      <w:pPr>
        <w:snapToGrid w:val="0"/>
        <w:spacing w:before="46" w:line="380" w:lineRule="exact"/>
        <w:jc w:val="both"/>
        <w:rPr>
          <w:rFonts w:ascii="Arial" w:hAnsi="Arial" w:eastAsia="宋体" w:cs="Arial"/>
          <w:sz w:val="24"/>
          <w:szCs w:val="24"/>
        </w:rPr>
      </w:pPr>
      <w:r>
        <w:rPr>
          <w:rFonts w:ascii="Arial" w:hAnsi="Arial" w:eastAsia="宋体" w:cs="Arial"/>
          <w:sz w:val="24"/>
          <w:szCs w:val="24"/>
        </w:rPr>
        <w:t>在编写510（k）中可能有用的其他文件和指南可以在CDRH主页</w:t>
      </w:r>
      <w:r>
        <w:fldChar w:fldCharType="begin"/>
      </w:r>
      <w:r>
        <w:instrText xml:space="preserve"> HYPERLINK "http://www.fda.gov/cdrh" \h </w:instrText>
      </w:r>
      <w:r>
        <w:fldChar w:fldCharType="separate"/>
      </w:r>
      <w:r>
        <w:rPr>
          <w:rFonts w:ascii="Arial" w:hAnsi="Arial" w:eastAsia="宋体" w:cs="Arial"/>
          <w:b/>
          <w:sz w:val="24"/>
          <w:szCs w:val="24"/>
        </w:rPr>
        <w:t>http://www.fda.gov/cdrh</w:t>
      </w:r>
      <w:r>
        <w:rPr>
          <w:rFonts w:ascii="Arial" w:hAnsi="Arial" w:eastAsia="宋体" w:cs="Arial"/>
          <w:b/>
          <w:sz w:val="24"/>
          <w:szCs w:val="24"/>
        </w:rPr>
        <w:fldChar w:fldCharType="end"/>
      </w:r>
      <w:r>
        <w:rPr>
          <w:rFonts w:ascii="Arial" w:hAnsi="Arial" w:eastAsia="宋体" w:cs="Arial"/>
          <w:sz w:val="24"/>
          <w:szCs w:val="24"/>
        </w:rPr>
        <w:t>上找到，或者通过致电800-899 -0381联系CDRH</w:t>
      </w:r>
      <w:r>
        <w:rPr>
          <w:rFonts w:hint="eastAsia" w:ascii="Arial" w:hAnsi="Arial" w:eastAsia="宋体" w:cs="Arial"/>
          <w:sz w:val="24"/>
          <w:szCs w:val="24"/>
        </w:rPr>
        <w:t>资源索取自动回传系统</w:t>
      </w:r>
      <w:r>
        <w:rPr>
          <w:rFonts w:ascii="Arial" w:hAnsi="Arial" w:eastAsia="宋体" w:cs="Arial"/>
          <w:sz w:val="24"/>
          <w:szCs w:val="24"/>
        </w:rPr>
        <w:t>。</w:t>
      </w:r>
    </w:p>
    <w:p w14:paraId="3CA1FAAD">
      <w:pPr>
        <w:pStyle w:val="2"/>
        <w:snapToGrid w:val="0"/>
        <w:spacing w:line="300" w:lineRule="auto"/>
        <w:ind w:left="0"/>
        <w:jc w:val="both"/>
        <w:rPr>
          <w:rFonts w:ascii="Arial" w:hAnsi="Arial" w:cs="Arial"/>
          <w:b w:val="0"/>
          <w:bCs w:val="0"/>
        </w:rPr>
      </w:pPr>
      <w:bookmarkStart w:id="2" w:name="_TOC_250003"/>
      <w:bookmarkStart w:id="3" w:name="_Toc482113431"/>
      <w:r>
        <w:rPr>
          <w:rFonts w:ascii="Arial" w:hAnsi="Arial" w:cs="Arial"/>
        </w:rPr>
        <w:t>2.0器械定义</w:t>
      </w:r>
      <w:bookmarkEnd w:id="2"/>
      <w:bookmarkEnd w:id="3"/>
    </w:p>
    <w:p w14:paraId="719D0EFD">
      <w:pPr>
        <w:snapToGrid w:val="0"/>
        <w:spacing w:before="10" w:line="300" w:lineRule="auto"/>
        <w:jc w:val="both"/>
        <w:rPr>
          <w:rFonts w:ascii="Arial" w:hAnsi="Arial" w:eastAsia="宋体" w:cs="Arial"/>
          <w:sz w:val="28"/>
          <w:szCs w:val="28"/>
        </w:rPr>
      </w:pPr>
    </w:p>
    <w:p w14:paraId="1A5A0C62">
      <w:pPr>
        <w:pStyle w:val="3"/>
        <w:snapToGrid w:val="0"/>
        <w:spacing w:line="300" w:lineRule="auto"/>
        <w:ind w:left="0"/>
        <w:jc w:val="both"/>
        <w:rPr>
          <w:rFonts w:ascii="Arial" w:hAnsi="Arial" w:cs="Arial"/>
        </w:rPr>
      </w:pPr>
      <w:r>
        <w:rPr>
          <w:rFonts w:ascii="Arial" w:hAnsi="Arial" w:cs="Arial"/>
          <w:b/>
        </w:rPr>
        <w:t>新生儿培养箱</w:t>
      </w:r>
      <w:r>
        <w:rPr>
          <w:rFonts w:ascii="Arial" w:hAnsi="Arial" w:cs="Arial"/>
        </w:rPr>
        <w:t>是有外罩用于容纳婴儿且有透明部分以允许观察婴儿的器械，主要通过外罩内的加热空气来控制婴儿的环境 （21 CFR 第880.5400条）。</w:t>
      </w:r>
    </w:p>
    <w:p w14:paraId="098B7A4B">
      <w:pPr>
        <w:snapToGrid w:val="0"/>
        <w:spacing w:before="8" w:line="300" w:lineRule="auto"/>
        <w:jc w:val="both"/>
        <w:rPr>
          <w:rFonts w:ascii="Arial" w:hAnsi="Arial" w:eastAsia="宋体" w:cs="Arial"/>
          <w:sz w:val="28"/>
          <w:szCs w:val="28"/>
        </w:rPr>
      </w:pPr>
    </w:p>
    <w:p w14:paraId="521AF639">
      <w:pPr>
        <w:pStyle w:val="3"/>
        <w:snapToGrid w:val="0"/>
        <w:spacing w:line="300" w:lineRule="auto"/>
        <w:ind w:left="0"/>
        <w:jc w:val="both"/>
        <w:rPr>
          <w:rFonts w:ascii="Arial" w:hAnsi="Arial" w:cs="Arial"/>
        </w:rPr>
      </w:pPr>
      <w:r>
        <w:rPr>
          <w:rFonts w:ascii="Arial" w:hAnsi="Arial" w:cs="Arial"/>
          <w:b/>
        </w:rPr>
        <w:t>新生儿运送培养箱</w:t>
      </w:r>
      <w:r>
        <w:rPr>
          <w:rFonts w:ascii="Arial" w:hAnsi="Arial" w:cs="Arial"/>
        </w:rPr>
        <w:t>是有外罩用于容纳婴儿且有透明部分以允许观察婴儿的器械，主要通过外罩内的加热空气来控制婴儿的环境， 适合婴儿的安全运输（21 CFR第880.5410条）。</w:t>
      </w:r>
    </w:p>
    <w:p w14:paraId="1EBEDC06">
      <w:pPr>
        <w:snapToGrid w:val="0"/>
        <w:spacing w:before="8" w:line="300" w:lineRule="auto"/>
        <w:jc w:val="both"/>
        <w:rPr>
          <w:rFonts w:ascii="Arial" w:hAnsi="Arial" w:eastAsia="宋体" w:cs="Arial"/>
          <w:sz w:val="28"/>
          <w:szCs w:val="28"/>
        </w:rPr>
      </w:pPr>
    </w:p>
    <w:p w14:paraId="1991474C">
      <w:pPr>
        <w:snapToGrid w:val="0"/>
        <w:spacing w:line="300" w:lineRule="auto"/>
        <w:jc w:val="both"/>
        <w:rPr>
          <w:rFonts w:ascii="Arial" w:hAnsi="Arial" w:eastAsia="宋体" w:cs="Arial"/>
          <w:sz w:val="24"/>
          <w:szCs w:val="24"/>
        </w:rPr>
      </w:pPr>
      <w:r>
        <w:rPr>
          <w:rFonts w:ascii="Arial" w:hAnsi="Arial" w:eastAsia="宋体" w:cs="Arial"/>
          <w:b/>
          <w:sz w:val="24"/>
          <w:u w:val="thick" w:color="000000"/>
        </w:rPr>
        <w:t>标准</w:t>
      </w:r>
    </w:p>
    <w:p w14:paraId="57121CD0">
      <w:pPr>
        <w:snapToGrid w:val="0"/>
        <w:spacing w:before="17" w:line="300" w:lineRule="auto"/>
        <w:jc w:val="both"/>
        <w:rPr>
          <w:rFonts w:ascii="Arial" w:hAnsi="Arial" w:eastAsia="宋体" w:cs="Arial"/>
          <w:sz w:val="20"/>
          <w:szCs w:val="20"/>
        </w:rPr>
      </w:pPr>
    </w:p>
    <w:p w14:paraId="67ABBF23">
      <w:pPr>
        <w:pStyle w:val="3"/>
        <w:snapToGrid w:val="0"/>
        <w:spacing w:before="69" w:line="300" w:lineRule="auto"/>
        <w:ind w:left="0"/>
        <w:jc w:val="both"/>
        <w:rPr>
          <w:rFonts w:ascii="Arial" w:hAnsi="Arial" w:cs="Arial"/>
        </w:rPr>
      </w:pPr>
      <w:r>
        <w:rPr>
          <w:rFonts w:ascii="Arial" w:hAnsi="Arial" w:cs="Arial"/>
        </w:rPr>
        <w:t>FDA认可的标准：</w:t>
      </w:r>
    </w:p>
    <w:p w14:paraId="79CFF5BF">
      <w:pPr>
        <w:snapToGrid w:val="0"/>
        <w:spacing w:before="10" w:line="300" w:lineRule="auto"/>
        <w:rPr>
          <w:rFonts w:ascii="Arial" w:hAnsi="Arial" w:eastAsia="宋体" w:cs="Arial"/>
          <w:sz w:val="28"/>
          <w:szCs w:val="28"/>
        </w:rPr>
      </w:pPr>
    </w:p>
    <w:p w14:paraId="33A81572">
      <w:pPr>
        <w:pStyle w:val="3"/>
        <w:snapToGrid w:val="0"/>
        <w:spacing w:line="300" w:lineRule="auto"/>
        <w:ind w:left="471"/>
        <w:rPr>
          <w:rFonts w:ascii="Arial" w:hAnsi="Arial" w:cs="Arial"/>
        </w:rPr>
      </w:pPr>
      <w:r>
        <w:rPr>
          <w:rFonts w:ascii="Arial" w:hAnsi="Arial" w:cs="Arial"/>
        </w:rPr>
        <w:t>IEC 601-2-19修订I医疗电气</w:t>
      </w:r>
      <w:r>
        <w:rPr>
          <w:rFonts w:hint="eastAsia" w:ascii="Arial" w:hAnsi="Arial" w:cs="Arial"/>
        </w:rPr>
        <w:t>设备</w:t>
      </w:r>
      <w:r>
        <w:rPr>
          <w:rFonts w:ascii="Arial" w:hAnsi="Arial" w:cs="Arial"/>
        </w:rPr>
        <w:t>-第2部分：婴儿培养箱安全的特殊要求；</w:t>
      </w:r>
    </w:p>
    <w:p w14:paraId="1E91B26F">
      <w:pPr>
        <w:snapToGrid w:val="0"/>
        <w:spacing w:before="4" w:line="300" w:lineRule="auto"/>
        <w:rPr>
          <w:rFonts w:ascii="Arial" w:hAnsi="Arial" w:eastAsia="宋体" w:cs="Arial"/>
          <w:sz w:val="28"/>
          <w:szCs w:val="28"/>
        </w:rPr>
      </w:pPr>
    </w:p>
    <w:p w14:paraId="39A6D9AA">
      <w:pPr>
        <w:pStyle w:val="3"/>
        <w:snapToGrid w:val="0"/>
        <w:spacing w:line="300" w:lineRule="auto"/>
        <w:ind w:left="471"/>
        <w:rPr>
          <w:rFonts w:ascii="Arial" w:hAnsi="Arial" w:cs="Arial"/>
        </w:rPr>
      </w:pPr>
      <w:r>
        <w:rPr>
          <w:rFonts w:ascii="Arial" w:hAnsi="Arial" w:cs="Arial"/>
        </w:rPr>
        <w:t>IEC 601-2-20医疗电气</w:t>
      </w:r>
      <w:r>
        <w:rPr>
          <w:rFonts w:hint="eastAsia" w:ascii="Arial" w:hAnsi="Arial" w:cs="Arial"/>
        </w:rPr>
        <w:t>设备</w:t>
      </w:r>
      <w:r>
        <w:rPr>
          <w:rFonts w:ascii="Arial" w:hAnsi="Arial" w:cs="Arial"/>
        </w:rPr>
        <w:t>-第2部分：运送培养箱安全的特殊要求；</w:t>
      </w:r>
    </w:p>
    <w:p w14:paraId="1B172512">
      <w:pPr>
        <w:snapToGrid w:val="0"/>
        <w:spacing w:before="4" w:line="300" w:lineRule="auto"/>
        <w:rPr>
          <w:rFonts w:ascii="Arial" w:hAnsi="Arial" w:eastAsia="宋体" w:cs="Arial"/>
          <w:sz w:val="28"/>
          <w:szCs w:val="28"/>
        </w:rPr>
      </w:pPr>
    </w:p>
    <w:p w14:paraId="23BE82F2">
      <w:pPr>
        <w:pStyle w:val="3"/>
        <w:snapToGrid w:val="0"/>
        <w:spacing w:line="300" w:lineRule="auto"/>
        <w:ind w:left="471"/>
        <w:rPr>
          <w:rFonts w:ascii="Arial" w:hAnsi="Arial" w:cs="Arial"/>
        </w:rPr>
      </w:pPr>
      <w:r>
        <w:rPr>
          <w:rFonts w:ascii="Arial" w:hAnsi="Arial" w:cs="Arial"/>
        </w:rPr>
        <w:t>ISO 10993-1：1992医疗器械的生物学评价-第1部分：评价和测试</w:t>
      </w:r>
    </w:p>
    <w:p w14:paraId="051AC82A">
      <w:pPr>
        <w:snapToGrid w:val="0"/>
        <w:spacing w:before="4" w:line="300" w:lineRule="auto"/>
        <w:jc w:val="both"/>
        <w:rPr>
          <w:rFonts w:ascii="Arial" w:hAnsi="Arial" w:eastAsia="宋体" w:cs="Arial"/>
          <w:sz w:val="28"/>
          <w:szCs w:val="28"/>
        </w:rPr>
      </w:pPr>
    </w:p>
    <w:p w14:paraId="75ECCF53">
      <w:pPr>
        <w:pStyle w:val="3"/>
        <w:snapToGrid w:val="0"/>
        <w:spacing w:line="300" w:lineRule="auto"/>
        <w:ind w:left="0"/>
        <w:rPr>
          <w:rFonts w:ascii="Arial" w:hAnsi="Arial" w:cs="Arial"/>
          <w:sz w:val="28"/>
          <w:szCs w:val="28"/>
        </w:rPr>
      </w:pPr>
      <w:r>
        <w:rPr>
          <w:rFonts w:ascii="Arial" w:hAnsi="Arial" w:cs="Arial"/>
        </w:rPr>
        <w:t>以下标准草案尚未得到FDA的认可，但为这些器械提供有用的指南：</w:t>
      </w:r>
      <w:r>
        <w:rPr>
          <w:rFonts w:ascii="Arial" w:hAnsi="Arial" w:cs="Arial"/>
        </w:rPr>
        <w:br w:type="textWrapping"/>
      </w:r>
    </w:p>
    <w:p w14:paraId="3A4B51F7">
      <w:pPr>
        <w:pStyle w:val="3"/>
        <w:snapToGrid w:val="0"/>
        <w:spacing w:line="300" w:lineRule="auto"/>
        <w:ind w:left="471"/>
        <w:rPr>
          <w:rFonts w:ascii="Arial" w:hAnsi="Arial" w:cs="Arial"/>
        </w:rPr>
      </w:pPr>
      <w:r>
        <w:rPr>
          <w:rFonts w:ascii="Arial" w:hAnsi="Arial" w:cs="Arial"/>
        </w:rPr>
        <w:t>AAMI 1151-D-1994运送婴儿培养箱（标准草案）；</w:t>
      </w:r>
      <w:r>
        <w:rPr>
          <w:rFonts w:ascii="Arial" w:hAnsi="Arial" w:cs="Arial"/>
        </w:rPr>
        <w:br w:type="textWrapping"/>
      </w:r>
      <w:r>
        <w:rPr>
          <w:rFonts w:ascii="Arial" w:hAnsi="Arial" w:cs="Arial"/>
        </w:rPr>
        <w:t>AAMI / CDV-1 II36 1997婴儿培养箱（标准草案）。</w:t>
      </w:r>
    </w:p>
    <w:p w14:paraId="4FAF8E6C">
      <w:pPr>
        <w:pStyle w:val="3"/>
        <w:snapToGrid w:val="0"/>
        <w:spacing w:line="300" w:lineRule="auto"/>
        <w:ind w:left="471"/>
        <w:rPr>
          <w:rFonts w:ascii="Arial" w:hAnsi="Arial" w:cs="Arial"/>
        </w:rPr>
      </w:pPr>
    </w:p>
    <w:p w14:paraId="4A05D962">
      <w:pPr>
        <w:pStyle w:val="3"/>
        <w:snapToGrid w:val="0"/>
        <w:spacing w:before="11" w:line="300" w:lineRule="auto"/>
        <w:ind w:left="0"/>
        <w:jc w:val="both"/>
        <w:rPr>
          <w:rFonts w:ascii="Arial" w:hAnsi="Arial" w:cs="Arial"/>
          <w:sz w:val="32"/>
          <w:szCs w:val="32"/>
        </w:rPr>
      </w:pPr>
      <w:r>
        <w:rPr>
          <w:rFonts w:ascii="Arial" w:hAnsi="Arial" w:cs="Arial"/>
        </w:rPr>
        <w:t>注：以上标准参考了其他可能不被CDRH认可的标准。</w:t>
      </w:r>
      <w:r>
        <w:rPr>
          <w:rFonts w:ascii="Arial" w:hAnsi="Arial" w:cs="Arial"/>
        </w:rPr>
        <w:cr/>
      </w:r>
    </w:p>
    <w:p w14:paraId="32903D2A">
      <w:pPr>
        <w:pStyle w:val="2"/>
        <w:snapToGrid w:val="0"/>
        <w:spacing w:line="300" w:lineRule="auto"/>
        <w:ind w:left="0"/>
        <w:jc w:val="both"/>
        <w:rPr>
          <w:rFonts w:ascii="Arial" w:hAnsi="Arial" w:cs="Arial"/>
          <w:b w:val="0"/>
          <w:bCs w:val="0"/>
        </w:rPr>
      </w:pPr>
      <w:bookmarkStart w:id="4" w:name="_TOC_250002"/>
      <w:bookmarkStart w:id="5" w:name="_Toc482113432"/>
      <w:r>
        <w:rPr>
          <w:rFonts w:ascii="Arial" w:hAnsi="Arial" w:cs="Arial"/>
        </w:rPr>
        <w:t>3.0产品说明</w:t>
      </w:r>
      <w:bookmarkEnd w:id="4"/>
      <w:bookmarkEnd w:id="5"/>
    </w:p>
    <w:p w14:paraId="3A2CDD01">
      <w:pPr>
        <w:snapToGrid w:val="0"/>
        <w:spacing w:before="3" w:line="300" w:lineRule="auto"/>
        <w:jc w:val="both"/>
        <w:rPr>
          <w:rFonts w:ascii="Arial" w:hAnsi="Arial" w:eastAsia="宋体" w:cs="Arial"/>
          <w:sz w:val="28"/>
          <w:szCs w:val="28"/>
        </w:rPr>
      </w:pPr>
    </w:p>
    <w:p w14:paraId="1FE24162">
      <w:pPr>
        <w:pStyle w:val="3"/>
        <w:numPr>
          <w:ilvl w:val="0"/>
          <w:numId w:val="1"/>
        </w:numPr>
        <w:tabs>
          <w:tab w:val="left" w:pos="472"/>
        </w:tabs>
        <w:snapToGrid w:val="0"/>
        <w:spacing w:line="300" w:lineRule="auto"/>
        <w:jc w:val="both"/>
        <w:rPr>
          <w:rFonts w:ascii="Arial" w:hAnsi="Arial" w:cs="Arial"/>
        </w:rPr>
      </w:pPr>
      <w:r>
        <w:rPr>
          <w:rFonts w:ascii="Arial" w:hAnsi="Arial" w:cs="Arial"/>
        </w:rPr>
        <w:t>新生儿培养箱和新生儿运送培养箱分别归类为21 CFR 880.5400、PROCODE 80 FMZ和880.5410、PROCODE 80 FPL。每种器械的商品名称必须明确标识。</w:t>
      </w:r>
    </w:p>
    <w:p w14:paraId="621B3B32">
      <w:pPr>
        <w:rPr>
          <w:rFonts w:ascii="Arial" w:hAnsi="Arial" w:eastAsia="宋体" w:cs="Arial"/>
        </w:rPr>
      </w:pPr>
      <w:r>
        <w:rPr>
          <w:rFonts w:ascii="Arial" w:hAnsi="Arial" w:cs="Arial"/>
        </w:rPr>
        <w:br w:type="page"/>
      </w:r>
    </w:p>
    <w:p w14:paraId="4DAF96A9">
      <w:pPr>
        <w:pStyle w:val="3"/>
        <w:numPr>
          <w:ilvl w:val="0"/>
          <w:numId w:val="1"/>
        </w:numPr>
        <w:tabs>
          <w:tab w:val="left" w:pos="472"/>
        </w:tabs>
        <w:snapToGrid w:val="0"/>
        <w:spacing w:before="38" w:line="350" w:lineRule="exact"/>
        <w:jc w:val="both"/>
        <w:rPr>
          <w:rFonts w:ascii="Arial" w:hAnsi="Arial" w:cs="Arial"/>
        </w:rPr>
      </w:pPr>
      <w:r>
        <w:rPr>
          <w:rFonts w:ascii="Arial" w:hAnsi="Arial" w:cs="Arial"/>
        </w:rPr>
        <w:t>提交贵公司产品的详细说明、其预期用途及其</w:t>
      </w:r>
      <w:r>
        <w:rPr>
          <w:rFonts w:hint="eastAsia" w:ascii="Arial" w:hAnsi="Arial" w:cs="Arial"/>
        </w:rPr>
        <w:t>适应症</w:t>
      </w:r>
      <w:r>
        <w:rPr>
          <w:rFonts w:ascii="Arial" w:hAnsi="Arial" w:cs="Arial"/>
        </w:rPr>
        <w:t>。</w:t>
      </w:r>
    </w:p>
    <w:p w14:paraId="6EE24388">
      <w:pPr>
        <w:pStyle w:val="3"/>
        <w:numPr>
          <w:ilvl w:val="0"/>
          <w:numId w:val="1"/>
        </w:numPr>
        <w:tabs>
          <w:tab w:val="left" w:pos="472"/>
        </w:tabs>
        <w:snapToGrid w:val="0"/>
        <w:spacing w:line="350" w:lineRule="exact"/>
        <w:rPr>
          <w:rFonts w:ascii="Arial" w:hAnsi="Arial" w:cs="Arial"/>
        </w:rPr>
      </w:pPr>
      <w:r>
        <w:rPr>
          <w:rFonts w:ascii="Arial" w:hAnsi="Arial" w:cs="Arial"/>
        </w:rPr>
        <w:t>确定声称实质等同性的合法上市器械，并根据预期用途、</w:t>
      </w:r>
      <w:r>
        <w:rPr>
          <w:rFonts w:hint="eastAsia" w:ascii="Arial" w:hAnsi="Arial" w:cs="Arial"/>
        </w:rPr>
        <w:t>适应症</w:t>
      </w:r>
      <w:r>
        <w:rPr>
          <w:rFonts w:ascii="Arial" w:hAnsi="Arial" w:cs="Arial"/>
        </w:rPr>
        <w:t>、设计特征、技术和机械性质、功能标准和操作参数提供该器械与合法上市器械的相似性和差异性的比较分析（描述性或表格式）。</w:t>
      </w:r>
    </w:p>
    <w:p w14:paraId="151D0E35">
      <w:pPr>
        <w:pStyle w:val="3"/>
        <w:numPr>
          <w:ilvl w:val="0"/>
          <w:numId w:val="1"/>
        </w:numPr>
        <w:tabs>
          <w:tab w:val="left" w:pos="472"/>
        </w:tabs>
        <w:snapToGrid w:val="0"/>
        <w:spacing w:line="350" w:lineRule="exact"/>
        <w:rPr>
          <w:rFonts w:ascii="Arial" w:hAnsi="Arial" w:cs="Arial"/>
        </w:rPr>
      </w:pPr>
      <w:r>
        <w:rPr>
          <w:rFonts w:ascii="Arial" w:hAnsi="Arial" w:cs="Arial"/>
        </w:rPr>
        <w:t>明确说明培养箱是否用于运送患者。</w:t>
      </w:r>
    </w:p>
    <w:p w14:paraId="5EE5B82A">
      <w:pPr>
        <w:snapToGrid w:val="0"/>
        <w:spacing w:before="14" w:line="350" w:lineRule="exact"/>
        <w:jc w:val="both"/>
        <w:rPr>
          <w:rFonts w:ascii="Arial" w:hAnsi="Arial" w:eastAsia="宋体" w:cs="Arial"/>
          <w:sz w:val="28"/>
          <w:szCs w:val="28"/>
        </w:rPr>
      </w:pPr>
    </w:p>
    <w:p w14:paraId="3ECB19BD">
      <w:pPr>
        <w:pStyle w:val="2"/>
        <w:snapToGrid w:val="0"/>
        <w:spacing w:line="350" w:lineRule="exact"/>
        <w:jc w:val="both"/>
        <w:rPr>
          <w:rFonts w:ascii="Arial" w:hAnsi="Arial" w:cs="Arial"/>
          <w:b w:val="0"/>
          <w:bCs w:val="0"/>
        </w:rPr>
      </w:pPr>
      <w:bookmarkStart w:id="6" w:name="_TOC_250001"/>
      <w:bookmarkStart w:id="7" w:name="_Toc482113433"/>
      <w:r>
        <w:rPr>
          <w:rFonts w:ascii="Arial" w:hAnsi="Arial" w:cs="Arial"/>
        </w:rPr>
        <w:t>4.0设计和性能</w:t>
      </w:r>
      <w:bookmarkEnd w:id="6"/>
      <w:r>
        <w:rPr>
          <w:rFonts w:ascii="Arial" w:hAnsi="Arial" w:cs="Arial"/>
        </w:rPr>
        <w:t>特征</w:t>
      </w:r>
      <w:bookmarkEnd w:id="7"/>
    </w:p>
    <w:p w14:paraId="45ED1BF6">
      <w:pPr>
        <w:snapToGrid w:val="0"/>
        <w:spacing w:before="6" w:line="350" w:lineRule="exact"/>
        <w:jc w:val="both"/>
        <w:rPr>
          <w:rFonts w:ascii="Arial" w:hAnsi="Arial" w:eastAsia="宋体" w:cs="Arial"/>
          <w:sz w:val="28"/>
          <w:szCs w:val="28"/>
        </w:rPr>
      </w:pPr>
    </w:p>
    <w:p w14:paraId="2E3FDB21">
      <w:pPr>
        <w:pStyle w:val="3"/>
        <w:snapToGrid w:val="0"/>
        <w:spacing w:line="350" w:lineRule="exact"/>
        <w:jc w:val="both"/>
        <w:rPr>
          <w:rFonts w:ascii="Arial" w:hAnsi="Arial" w:cs="Arial"/>
        </w:rPr>
      </w:pPr>
      <w:r>
        <w:rPr>
          <w:rFonts w:ascii="Arial" w:hAnsi="Arial" w:cs="Arial"/>
        </w:rPr>
        <w:t>新生儿培养箱和运送培养箱的设计和性能特征为了解器械的预期用途和功能提供了依据。设计特征解决了器械的预期用途，以满足用户和患者的需求，而性能特征确保按照说明书指示使用时器械安全有效。本节列出的特征对于确定510（k）提交中描述的新生儿培养箱或新生儿运送培养箱是否与合法上市器械具有实质等同性的重要性。许多这些特征的完整讨论可以在第2.0节中确定的标准文档中找到。</w:t>
      </w:r>
    </w:p>
    <w:p w14:paraId="56BFAB32">
      <w:pPr>
        <w:snapToGrid w:val="0"/>
        <w:spacing w:before="4" w:line="350" w:lineRule="exact"/>
        <w:jc w:val="both"/>
        <w:rPr>
          <w:rFonts w:ascii="Arial" w:hAnsi="Arial" w:eastAsia="宋体" w:cs="Arial"/>
          <w:sz w:val="28"/>
          <w:szCs w:val="28"/>
        </w:rPr>
      </w:pPr>
    </w:p>
    <w:p w14:paraId="671D2FAF">
      <w:pPr>
        <w:pStyle w:val="3"/>
        <w:snapToGrid w:val="0"/>
        <w:spacing w:line="350" w:lineRule="exact"/>
        <w:jc w:val="both"/>
        <w:rPr>
          <w:rFonts w:ascii="Arial" w:hAnsi="Arial" w:cs="Arial"/>
        </w:rPr>
      </w:pPr>
      <w:r>
        <w:rPr>
          <w:rFonts w:ascii="Arial" w:hAnsi="Arial" w:cs="Arial"/>
        </w:rPr>
        <w:t>构建材料</w:t>
      </w:r>
    </w:p>
    <w:p w14:paraId="102FD2AA">
      <w:pPr>
        <w:pStyle w:val="3"/>
        <w:snapToGrid w:val="0"/>
        <w:spacing w:line="350" w:lineRule="exact"/>
        <w:jc w:val="both"/>
        <w:rPr>
          <w:rFonts w:ascii="Arial" w:hAnsi="Arial" w:cs="Arial"/>
        </w:rPr>
      </w:pPr>
      <w:r>
        <w:rPr>
          <w:rFonts w:ascii="Arial" w:hAnsi="Arial" w:cs="Arial"/>
        </w:rPr>
        <w:t>工程图</w:t>
      </w:r>
    </w:p>
    <w:p w14:paraId="20B054E4">
      <w:pPr>
        <w:pStyle w:val="3"/>
        <w:snapToGrid w:val="0"/>
        <w:spacing w:line="350" w:lineRule="exact"/>
        <w:jc w:val="both"/>
        <w:rPr>
          <w:rFonts w:ascii="Arial" w:hAnsi="Arial" w:cs="Arial"/>
        </w:rPr>
      </w:pPr>
      <w:r>
        <w:rPr>
          <w:rFonts w:ascii="Arial" w:hAnsi="Arial" w:cs="Arial"/>
        </w:rPr>
        <w:t>操作方式</w:t>
      </w:r>
    </w:p>
    <w:p w14:paraId="73D4F743">
      <w:pPr>
        <w:pStyle w:val="3"/>
        <w:snapToGrid w:val="0"/>
        <w:spacing w:line="350" w:lineRule="exact"/>
        <w:ind w:left="831"/>
        <w:jc w:val="both"/>
        <w:rPr>
          <w:rFonts w:ascii="Arial" w:hAnsi="Arial" w:cs="Arial"/>
        </w:rPr>
      </w:pPr>
      <w:r>
        <w:rPr>
          <w:rFonts w:ascii="Arial" w:hAnsi="Arial" w:cs="Arial"/>
        </w:rPr>
        <w:t>能量源</w:t>
      </w:r>
    </w:p>
    <w:p w14:paraId="713A7A8C">
      <w:pPr>
        <w:pStyle w:val="3"/>
        <w:snapToGrid w:val="0"/>
        <w:spacing w:before="7" w:line="350" w:lineRule="exact"/>
        <w:ind w:left="831"/>
        <w:jc w:val="both"/>
        <w:rPr>
          <w:rFonts w:ascii="Arial" w:hAnsi="Arial" w:cs="Arial"/>
        </w:rPr>
      </w:pPr>
      <w:r>
        <w:rPr>
          <w:rFonts w:ascii="Arial" w:hAnsi="Arial" w:cs="Arial"/>
        </w:rPr>
        <w:t>加热和冷却机制</w:t>
      </w:r>
    </w:p>
    <w:p w14:paraId="399BBF16">
      <w:pPr>
        <w:pStyle w:val="3"/>
        <w:snapToGrid w:val="0"/>
        <w:spacing w:before="7" w:line="350" w:lineRule="exact"/>
        <w:ind w:left="831"/>
        <w:jc w:val="both"/>
        <w:rPr>
          <w:rFonts w:ascii="Arial" w:hAnsi="Arial" w:cs="Arial"/>
          <w:spacing w:val="27"/>
        </w:rPr>
      </w:pPr>
      <w:r>
        <w:rPr>
          <w:rFonts w:ascii="Arial" w:hAnsi="Arial" w:cs="Arial"/>
        </w:rPr>
        <w:t xml:space="preserve">空气控制与婴儿控制 </w:t>
      </w:r>
    </w:p>
    <w:p w14:paraId="5FBE9F7E">
      <w:pPr>
        <w:pStyle w:val="3"/>
        <w:snapToGrid w:val="0"/>
        <w:spacing w:before="7" w:line="350" w:lineRule="exact"/>
        <w:ind w:left="831"/>
        <w:jc w:val="both"/>
        <w:rPr>
          <w:rFonts w:ascii="Arial" w:hAnsi="Arial" w:cs="Arial"/>
        </w:rPr>
      </w:pPr>
      <w:r>
        <w:rPr>
          <w:rFonts w:ascii="Arial" w:hAnsi="Arial" w:cs="Arial"/>
        </w:rPr>
        <w:t>补充气体连接器</w:t>
      </w:r>
    </w:p>
    <w:p w14:paraId="46FD94A1">
      <w:pPr>
        <w:pStyle w:val="3"/>
        <w:snapToGrid w:val="0"/>
        <w:spacing w:line="350" w:lineRule="exact"/>
        <w:jc w:val="both"/>
        <w:rPr>
          <w:rFonts w:ascii="Arial" w:hAnsi="Arial" w:cs="Arial"/>
        </w:rPr>
      </w:pPr>
      <w:r>
        <w:rPr>
          <w:rFonts w:ascii="Arial" w:hAnsi="Arial" w:cs="Arial"/>
        </w:rPr>
        <w:t>功能性</w:t>
      </w:r>
    </w:p>
    <w:p w14:paraId="09D8E09B">
      <w:pPr>
        <w:pStyle w:val="3"/>
        <w:snapToGrid w:val="0"/>
        <w:spacing w:before="7" w:line="350" w:lineRule="exact"/>
        <w:ind w:left="831"/>
        <w:jc w:val="both"/>
        <w:rPr>
          <w:rFonts w:ascii="Arial" w:hAnsi="Arial" w:cs="Arial"/>
          <w:spacing w:val="-3"/>
        </w:rPr>
      </w:pPr>
      <w:r>
        <w:rPr>
          <w:rFonts w:ascii="Arial" w:hAnsi="Arial" w:cs="Arial"/>
        </w:rPr>
        <w:t>物理耐久性和坚固性</w:t>
      </w:r>
    </w:p>
    <w:p w14:paraId="568EFE54">
      <w:pPr>
        <w:pStyle w:val="3"/>
        <w:snapToGrid w:val="0"/>
        <w:spacing w:before="7" w:line="350" w:lineRule="exact"/>
        <w:ind w:left="831"/>
        <w:jc w:val="both"/>
        <w:rPr>
          <w:rFonts w:ascii="Arial" w:hAnsi="Arial" w:cs="Arial"/>
        </w:rPr>
      </w:pPr>
      <w:r>
        <w:rPr>
          <w:rFonts w:ascii="Arial" w:hAnsi="Arial" w:cs="Arial"/>
        </w:rPr>
        <w:t>正常运行的环境条件</w:t>
      </w:r>
    </w:p>
    <w:p w14:paraId="3A12C439">
      <w:pPr>
        <w:pStyle w:val="3"/>
        <w:snapToGrid w:val="0"/>
        <w:spacing w:line="350" w:lineRule="exact"/>
        <w:jc w:val="both"/>
        <w:rPr>
          <w:rFonts w:ascii="Arial" w:hAnsi="Arial" w:cs="Arial"/>
        </w:rPr>
      </w:pPr>
      <w:r>
        <w:rPr>
          <w:rFonts w:ascii="Arial" w:hAnsi="Arial" w:cs="Arial"/>
        </w:rPr>
        <w:t>性能</w:t>
      </w:r>
    </w:p>
    <w:p w14:paraId="7B41C0D8">
      <w:pPr>
        <w:pStyle w:val="3"/>
        <w:snapToGrid w:val="0"/>
        <w:spacing w:before="7" w:line="350" w:lineRule="exact"/>
        <w:ind w:left="831"/>
        <w:jc w:val="both"/>
        <w:rPr>
          <w:rFonts w:ascii="Arial" w:hAnsi="Arial" w:cs="Arial"/>
        </w:rPr>
      </w:pPr>
      <w:r>
        <w:rPr>
          <w:rFonts w:ascii="Arial" w:hAnsi="Arial" w:cs="Arial"/>
        </w:rPr>
        <w:t>温度控制</w:t>
      </w:r>
    </w:p>
    <w:p w14:paraId="6D7DDD47">
      <w:pPr>
        <w:pStyle w:val="3"/>
        <w:snapToGrid w:val="0"/>
        <w:spacing w:before="7" w:line="350" w:lineRule="exact"/>
        <w:ind w:left="1551"/>
        <w:jc w:val="both"/>
        <w:rPr>
          <w:rFonts w:ascii="Arial" w:hAnsi="Arial" w:cs="Arial"/>
          <w:spacing w:val="-3"/>
        </w:rPr>
      </w:pPr>
      <w:r>
        <w:rPr>
          <w:rFonts w:ascii="Arial" w:hAnsi="Arial" w:cs="Arial"/>
        </w:rPr>
        <w:t>准确性</w:t>
      </w:r>
    </w:p>
    <w:p w14:paraId="38EBF026">
      <w:pPr>
        <w:pStyle w:val="3"/>
        <w:snapToGrid w:val="0"/>
        <w:spacing w:before="7" w:line="350" w:lineRule="exact"/>
        <w:ind w:left="1551"/>
        <w:jc w:val="both"/>
        <w:rPr>
          <w:rFonts w:ascii="Arial" w:hAnsi="Arial" w:cs="Arial"/>
          <w:spacing w:val="17"/>
        </w:rPr>
      </w:pPr>
      <w:r>
        <w:rPr>
          <w:rFonts w:ascii="Arial" w:hAnsi="Arial" w:cs="Arial"/>
        </w:rPr>
        <w:t>上升时间</w:t>
      </w:r>
    </w:p>
    <w:p w14:paraId="6A04DF35">
      <w:pPr>
        <w:pStyle w:val="3"/>
        <w:snapToGrid w:val="0"/>
        <w:spacing w:before="7" w:line="350" w:lineRule="exact"/>
        <w:ind w:left="1551"/>
        <w:jc w:val="both"/>
        <w:rPr>
          <w:rFonts w:ascii="Arial" w:hAnsi="Arial" w:cs="Arial"/>
        </w:rPr>
      </w:pPr>
      <w:r>
        <w:rPr>
          <w:rFonts w:ascii="Arial" w:hAnsi="Arial" w:cs="Arial"/>
        </w:rPr>
        <w:t>变异性</w:t>
      </w:r>
    </w:p>
    <w:p w14:paraId="50E6A5D3">
      <w:pPr>
        <w:pStyle w:val="3"/>
        <w:snapToGrid w:val="0"/>
        <w:spacing w:line="350" w:lineRule="exact"/>
        <w:ind w:left="831" w:firstLine="720"/>
        <w:jc w:val="both"/>
        <w:rPr>
          <w:rFonts w:ascii="Arial" w:hAnsi="Arial" w:cs="Arial"/>
        </w:rPr>
      </w:pPr>
      <w:r>
        <w:rPr>
          <w:rFonts w:ascii="Arial" w:hAnsi="Arial" w:cs="Arial"/>
        </w:rPr>
        <w:t>下冲/过冲</w:t>
      </w:r>
    </w:p>
    <w:p w14:paraId="02941F91">
      <w:pPr>
        <w:pStyle w:val="3"/>
        <w:snapToGrid w:val="0"/>
        <w:spacing w:line="350" w:lineRule="exact"/>
        <w:ind w:left="0" w:right="5452" w:rightChars="2478" w:firstLine="720"/>
        <w:jc w:val="both"/>
        <w:rPr>
          <w:rFonts w:ascii="Arial" w:hAnsi="Arial" w:cs="Arial"/>
        </w:rPr>
      </w:pPr>
      <w:r>
        <w:rPr>
          <w:rFonts w:ascii="Arial" w:hAnsi="Arial" w:cs="Arial"/>
        </w:rPr>
        <w:t>气流</w:t>
      </w:r>
    </w:p>
    <w:p w14:paraId="5CAB4973">
      <w:pPr>
        <w:pStyle w:val="3"/>
        <w:snapToGrid w:val="0"/>
        <w:spacing w:line="350" w:lineRule="exact"/>
        <w:ind w:left="1551"/>
        <w:jc w:val="both"/>
        <w:rPr>
          <w:rFonts w:ascii="Arial" w:hAnsi="Arial" w:cs="Arial"/>
          <w:spacing w:val="-3"/>
        </w:rPr>
      </w:pPr>
      <w:r>
        <w:rPr>
          <w:rFonts w:ascii="Arial" w:hAnsi="Arial" w:cs="Arial"/>
        </w:rPr>
        <w:t>速度</w:t>
      </w:r>
    </w:p>
    <w:p w14:paraId="33147202">
      <w:pPr>
        <w:pStyle w:val="3"/>
        <w:snapToGrid w:val="0"/>
        <w:spacing w:line="350" w:lineRule="exact"/>
        <w:ind w:left="1551"/>
        <w:jc w:val="both"/>
        <w:rPr>
          <w:rFonts w:ascii="Arial" w:hAnsi="Arial" w:cs="Arial"/>
        </w:rPr>
      </w:pPr>
      <w:r>
        <w:rPr>
          <w:rFonts w:ascii="Arial" w:hAnsi="Arial" w:cs="Arial"/>
        </w:rPr>
        <w:t>流速</w:t>
      </w:r>
    </w:p>
    <w:p w14:paraId="0C06B66B">
      <w:pPr>
        <w:pStyle w:val="3"/>
        <w:snapToGrid w:val="0"/>
        <w:spacing w:line="350" w:lineRule="exact"/>
        <w:ind w:left="1332" w:leftChars="278" w:right="5740" w:rightChars="2609" w:hanging="720"/>
        <w:jc w:val="both"/>
        <w:rPr>
          <w:rFonts w:ascii="Arial" w:hAnsi="Arial" w:cs="Arial"/>
          <w:spacing w:val="-2"/>
        </w:rPr>
      </w:pPr>
      <w:r>
        <w:rPr>
          <w:rFonts w:ascii="Arial" w:hAnsi="Arial" w:cs="Arial"/>
        </w:rPr>
        <w:t>补充气体控制</w:t>
      </w:r>
    </w:p>
    <w:p w14:paraId="4AF79F8E">
      <w:pPr>
        <w:pStyle w:val="3"/>
        <w:snapToGrid w:val="0"/>
        <w:spacing w:line="350" w:lineRule="exact"/>
        <w:ind w:left="2212" w:leftChars="678" w:right="5740" w:rightChars="2609" w:hanging="720"/>
        <w:jc w:val="both"/>
        <w:rPr>
          <w:rFonts w:ascii="Arial" w:hAnsi="Arial" w:cs="Arial"/>
        </w:rPr>
      </w:pPr>
      <w:r>
        <w:rPr>
          <w:rFonts w:ascii="Arial" w:hAnsi="Arial" w:cs="Arial"/>
        </w:rPr>
        <w:t xml:space="preserve">连接器 </w:t>
      </w:r>
    </w:p>
    <w:p w14:paraId="2147F103">
      <w:pPr>
        <w:pStyle w:val="3"/>
        <w:snapToGrid w:val="0"/>
        <w:spacing w:line="350" w:lineRule="exact"/>
        <w:ind w:left="2212" w:leftChars="678" w:right="5740" w:rightChars="2609" w:hanging="720"/>
        <w:jc w:val="both"/>
        <w:rPr>
          <w:rFonts w:ascii="Arial" w:hAnsi="Arial" w:cs="Arial"/>
        </w:rPr>
      </w:pPr>
      <w:r>
        <w:rPr>
          <w:rFonts w:ascii="Arial" w:hAnsi="Arial" w:cs="Arial"/>
        </w:rPr>
        <w:t>混合/浓缩</w:t>
      </w:r>
    </w:p>
    <w:p w14:paraId="6F1AB8DB">
      <w:pPr>
        <w:pStyle w:val="3"/>
        <w:snapToGrid w:val="0"/>
        <w:spacing w:line="350" w:lineRule="exact"/>
        <w:ind w:left="831"/>
        <w:jc w:val="both"/>
        <w:rPr>
          <w:rFonts w:ascii="Arial" w:hAnsi="Arial" w:cs="Arial"/>
        </w:rPr>
      </w:pPr>
      <w:r>
        <w:rPr>
          <w:rFonts w:ascii="Arial" w:hAnsi="Arial" w:cs="Arial"/>
        </w:rPr>
        <w:t>安全特性</w:t>
      </w:r>
    </w:p>
    <w:p w14:paraId="1C6AF9D9">
      <w:pPr>
        <w:pStyle w:val="3"/>
        <w:snapToGrid w:val="0"/>
        <w:spacing w:before="7" w:line="350" w:lineRule="exact"/>
        <w:ind w:left="1551"/>
        <w:jc w:val="both"/>
        <w:rPr>
          <w:rFonts w:ascii="Arial" w:hAnsi="Arial" w:cs="Arial"/>
        </w:rPr>
      </w:pPr>
      <w:r>
        <w:rPr>
          <w:rFonts w:ascii="Arial" w:hAnsi="Arial" w:cs="Arial"/>
        </w:rPr>
        <w:t>承重能力</w:t>
      </w:r>
    </w:p>
    <w:p w14:paraId="3F5D2778">
      <w:pPr>
        <w:snapToGrid w:val="0"/>
        <w:spacing w:line="300" w:lineRule="auto"/>
        <w:jc w:val="both"/>
        <w:rPr>
          <w:rFonts w:ascii="Arial" w:hAnsi="Arial" w:eastAsia="宋体" w:cs="Arial"/>
        </w:rPr>
        <w:sectPr>
          <w:pgSz w:w="12240" w:h="15840"/>
          <w:pgMar w:top="1134" w:right="1134" w:bottom="1134" w:left="1134" w:header="0" w:footer="730" w:gutter="0"/>
          <w:cols w:space="720" w:num="1"/>
          <w:docGrid w:linePitch="299" w:charSpace="0"/>
        </w:sectPr>
      </w:pPr>
    </w:p>
    <w:p w14:paraId="4A8318F4">
      <w:pPr>
        <w:pStyle w:val="3"/>
        <w:snapToGrid w:val="0"/>
        <w:spacing w:before="41" w:line="300" w:lineRule="auto"/>
        <w:ind w:left="1551"/>
        <w:jc w:val="both"/>
        <w:rPr>
          <w:rFonts w:ascii="Arial" w:hAnsi="Arial" w:cs="Arial"/>
          <w:spacing w:val="18"/>
        </w:rPr>
      </w:pPr>
      <w:r>
        <w:rPr>
          <w:rFonts w:ascii="Arial" w:hAnsi="Arial" w:cs="Arial"/>
        </w:rPr>
        <w:t>电气</w:t>
      </w:r>
    </w:p>
    <w:p w14:paraId="1A234C85">
      <w:pPr>
        <w:pStyle w:val="3"/>
        <w:snapToGrid w:val="0"/>
        <w:spacing w:before="41" w:line="300" w:lineRule="auto"/>
        <w:ind w:left="1551"/>
        <w:jc w:val="both"/>
        <w:rPr>
          <w:rFonts w:ascii="Arial" w:hAnsi="Arial" w:cs="Arial"/>
          <w:spacing w:val="-1"/>
        </w:rPr>
      </w:pPr>
      <w:r>
        <w:rPr>
          <w:rFonts w:ascii="Arial" w:hAnsi="Arial" w:cs="Arial"/>
        </w:rPr>
        <w:t>限制</w:t>
      </w:r>
    </w:p>
    <w:p w14:paraId="30590059">
      <w:pPr>
        <w:pStyle w:val="3"/>
        <w:snapToGrid w:val="0"/>
        <w:spacing w:before="41" w:line="300" w:lineRule="auto"/>
        <w:ind w:left="1551"/>
        <w:jc w:val="both"/>
        <w:rPr>
          <w:rFonts w:ascii="Arial" w:hAnsi="Arial" w:cs="Arial"/>
        </w:rPr>
      </w:pPr>
      <w:r>
        <w:rPr>
          <w:rFonts w:ascii="Arial" w:hAnsi="Arial" w:cs="Arial"/>
        </w:rPr>
        <w:t>警报</w:t>
      </w:r>
    </w:p>
    <w:p w14:paraId="41A2F66F">
      <w:pPr>
        <w:pStyle w:val="3"/>
        <w:snapToGrid w:val="0"/>
        <w:spacing w:line="300" w:lineRule="auto"/>
        <w:ind w:left="1551"/>
        <w:jc w:val="both"/>
        <w:rPr>
          <w:rFonts w:ascii="Arial" w:hAnsi="Arial" w:cs="Arial"/>
          <w:spacing w:val="21"/>
        </w:rPr>
      </w:pPr>
      <w:r>
        <w:rPr>
          <w:rFonts w:ascii="Arial" w:hAnsi="Arial" w:cs="Arial"/>
        </w:rPr>
        <w:t>防火</w:t>
      </w:r>
    </w:p>
    <w:p w14:paraId="71061009">
      <w:pPr>
        <w:pStyle w:val="3"/>
        <w:snapToGrid w:val="0"/>
        <w:spacing w:line="300" w:lineRule="auto"/>
        <w:ind w:left="1551"/>
        <w:jc w:val="both"/>
        <w:rPr>
          <w:rFonts w:ascii="Arial" w:hAnsi="Arial" w:cs="Arial"/>
          <w:spacing w:val="20"/>
        </w:rPr>
      </w:pPr>
      <w:r>
        <w:rPr>
          <w:rFonts w:ascii="Arial" w:hAnsi="Arial" w:cs="Arial"/>
        </w:rPr>
        <w:t>传感器</w:t>
      </w:r>
    </w:p>
    <w:p w14:paraId="68200ADC">
      <w:pPr>
        <w:pStyle w:val="3"/>
        <w:snapToGrid w:val="0"/>
        <w:spacing w:line="300" w:lineRule="auto"/>
        <w:ind w:left="1551"/>
        <w:jc w:val="both"/>
        <w:rPr>
          <w:rFonts w:ascii="Arial" w:hAnsi="Arial" w:cs="Arial"/>
        </w:rPr>
      </w:pPr>
      <w:r>
        <w:rPr>
          <w:rFonts w:ascii="Arial" w:hAnsi="Arial" w:cs="Arial"/>
        </w:rPr>
        <w:t>锁定</w:t>
      </w:r>
    </w:p>
    <w:p w14:paraId="4B743AE6">
      <w:pPr>
        <w:snapToGrid w:val="0"/>
        <w:spacing w:before="8" w:line="300" w:lineRule="auto"/>
        <w:jc w:val="both"/>
        <w:rPr>
          <w:rFonts w:ascii="Arial" w:hAnsi="Arial" w:eastAsia="宋体" w:cs="Arial"/>
          <w:sz w:val="28"/>
          <w:szCs w:val="28"/>
        </w:rPr>
      </w:pPr>
    </w:p>
    <w:p w14:paraId="1941AA3F">
      <w:pPr>
        <w:pStyle w:val="2"/>
        <w:snapToGrid w:val="0"/>
        <w:spacing w:line="300" w:lineRule="auto"/>
        <w:ind w:left="0"/>
        <w:jc w:val="both"/>
        <w:rPr>
          <w:rFonts w:ascii="Arial" w:hAnsi="Arial" w:cs="Arial"/>
        </w:rPr>
      </w:pPr>
      <w:bookmarkStart w:id="8" w:name="_Toc482113434"/>
      <w:r>
        <w:rPr>
          <w:rFonts w:ascii="Arial" w:hAnsi="Arial" w:cs="Arial"/>
        </w:rPr>
        <w:t>5.0安全性和有效性的测试</w:t>
      </w:r>
      <w:bookmarkEnd w:id="8"/>
    </w:p>
    <w:p w14:paraId="5B2592E0">
      <w:pPr>
        <w:snapToGrid w:val="0"/>
        <w:spacing w:before="10" w:line="300" w:lineRule="auto"/>
        <w:jc w:val="both"/>
        <w:rPr>
          <w:rFonts w:ascii="Arial" w:hAnsi="Arial" w:eastAsia="宋体" w:cs="Arial"/>
          <w:sz w:val="28"/>
          <w:szCs w:val="28"/>
        </w:rPr>
      </w:pPr>
    </w:p>
    <w:p w14:paraId="79700CF7">
      <w:pPr>
        <w:pStyle w:val="3"/>
        <w:numPr>
          <w:ilvl w:val="2"/>
          <w:numId w:val="2"/>
        </w:numPr>
        <w:tabs>
          <w:tab w:val="left" w:pos="1192"/>
        </w:tabs>
        <w:snapToGrid w:val="0"/>
        <w:spacing w:line="300" w:lineRule="auto"/>
        <w:jc w:val="both"/>
        <w:rPr>
          <w:rFonts w:ascii="Arial" w:hAnsi="Arial" w:cs="Arial"/>
        </w:rPr>
      </w:pPr>
      <w:r>
        <w:rPr>
          <w:rFonts w:ascii="Arial" w:hAnsi="Arial" w:cs="Arial"/>
        </w:rPr>
        <w:t>材料的生物相容性</w:t>
      </w:r>
    </w:p>
    <w:p w14:paraId="5A5D8140">
      <w:pPr>
        <w:snapToGrid w:val="0"/>
        <w:spacing w:before="10" w:line="300" w:lineRule="auto"/>
        <w:jc w:val="both"/>
        <w:rPr>
          <w:rFonts w:ascii="Arial" w:hAnsi="Arial" w:eastAsia="宋体" w:cs="Arial"/>
          <w:sz w:val="28"/>
          <w:szCs w:val="28"/>
        </w:rPr>
      </w:pPr>
    </w:p>
    <w:p w14:paraId="0B6C4B4D">
      <w:pPr>
        <w:pStyle w:val="3"/>
        <w:snapToGrid w:val="0"/>
        <w:spacing w:line="300" w:lineRule="auto"/>
        <w:ind w:left="0"/>
        <w:jc w:val="both"/>
        <w:rPr>
          <w:rFonts w:ascii="Arial" w:hAnsi="Arial" w:cs="Arial"/>
        </w:rPr>
      </w:pPr>
      <w:r>
        <w:rPr>
          <w:rFonts w:ascii="Arial" w:hAnsi="Arial" w:cs="Arial"/>
        </w:rPr>
        <w:t>与患者直接或间接接触的器械的所有部件都需要进行生物相容性测试，以确定可能由于器械的组件材料与患者身体接触的潜在毒性。用于构建器械的材料不应直接或间接通过其材料成分的释放，（1）产生局部或全身不良反应的不合理风险；（2）致癌；或（3）引起生殖和发育的不良反应。拟人类使用的任何新器械的评估需要系统测试的数据，以确保成品提供的获益将超过器械材料产生的任何潜在风险。</w:t>
      </w:r>
    </w:p>
    <w:p w14:paraId="38D14CD0">
      <w:pPr>
        <w:snapToGrid w:val="0"/>
        <w:spacing w:before="4" w:line="300" w:lineRule="auto"/>
        <w:jc w:val="both"/>
        <w:rPr>
          <w:rFonts w:ascii="Arial" w:hAnsi="Arial" w:eastAsia="宋体" w:cs="Arial"/>
          <w:sz w:val="28"/>
          <w:szCs w:val="28"/>
        </w:rPr>
      </w:pPr>
    </w:p>
    <w:p w14:paraId="62DA0EFF">
      <w:pPr>
        <w:pStyle w:val="3"/>
        <w:snapToGrid w:val="0"/>
        <w:spacing w:line="300" w:lineRule="auto"/>
        <w:ind w:left="0"/>
        <w:jc w:val="both"/>
        <w:rPr>
          <w:rFonts w:ascii="Arial" w:hAnsi="Arial" w:cs="Arial"/>
        </w:rPr>
      </w:pPr>
      <w:r>
        <w:rPr>
          <w:rFonts w:ascii="Arial" w:hAnsi="Arial" w:cs="Arial"/>
        </w:rPr>
        <w:t>当“新”或非常规材料或化学成分纳入器械中，并且没有已知适当的诊断器械使用或所得配方的安全性或有效性受到质疑时，就需要进行生物相容性测试。这些材料或化学成分包括塑料、金属、着色剂、增塑剂、灭菌剂、以及器械或器械组件的化学或其他处理物质。应在成品上进行生物相容性测试，使用模拟尽可能接近实际患者使用的测试环境。材料和化学成分已经纳入具有相似使用环境的合法上市器械中，或具有安全性和有效性的论证史，可能不需要生物相容性测试；然而，应充分讨论这些材料和化学成分的生物相容性，以支持缺乏测试。</w:t>
      </w:r>
    </w:p>
    <w:p w14:paraId="5EA64E5F">
      <w:pPr>
        <w:snapToGrid w:val="0"/>
        <w:spacing w:before="4" w:line="300" w:lineRule="auto"/>
        <w:jc w:val="both"/>
        <w:rPr>
          <w:rFonts w:ascii="Arial" w:hAnsi="Arial" w:eastAsia="宋体" w:cs="Arial"/>
          <w:sz w:val="28"/>
          <w:szCs w:val="28"/>
        </w:rPr>
      </w:pPr>
    </w:p>
    <w:p w14:paraId="12B30AAB">
      <w:pPr>
        <w:pStyle w:val="3"/>
        <w:snapToGrid w:val="0"/>
        <w:spacing w:line="300" w:lineRule="auto"/>
        <w:ind w:left="0"/>
        <w:jc w:val="both"/>
        <w:rPr>
          <w:rFonts w:ascii="Arial" w:hAnsi="Arial" w:cs="Arial"/>
        </w:rPr>
      </w:pPr>
      <w:r>
        <w:rPr>
          <w:rFonts w:ascii="Arial" w:hAnsi="Arial" w:cs="Arial"/>
        </w:rPr>
        <w:t>参见ISO-10993-1：1992，第I部分</w:t>
      </w:r>
      <w:r>
        <w:rPr>
          <w:rFonts w:hint="eastAsia" w:ascii="Arial" w:hAnsi="Arial" w:cs="Arial"/>
        </w:rPr>
        <w:t>，</w:t>
      </w:r>
      <w:r>
        <w:rPr>
          <w:rFonts w:ascii="Arial" w:hAnsi="Arial" w:cs="Arial"/>
        </w:rPr>
        <w:t>医疗器械的生物学评价，评价和测试和FDA修改的矩阵，以确定在医疗器械和材料的评价安全使用中应考虑的生物相容性测试的类型。ISO标准第1部分使用一种方法来测试与“三方指南”非常相似的选择。根据上述各种因素设计测试要求，还使用表格格式（矩阵）。该矩阵包括两个表格，“考核初步评价测试”和“考核补充评价测试”。为了使生物反应测试与其他国家的要求协调，FDA将在审查过程中采用ISO标准第1部分来替代“三方生物相容性指南”。</w:t>
      </w:r>
    </w:p>
    <w:p w14:paraId="35BFA9DB">
      <w:pPr>
        <w:snapToGrid w:val="0"/>
        <w:spacing w:before="4" w:line="300" w:lineRule="auto"/>
        <w:jc w:val="both"/>
        <w:rPr>
          <w:rFonts w:ascii="Arial" w:hAnsi="Arial" w:eastAsia="宋体" w:cs="Arial"/>
          <w:sz w:val="28"/>
          <w:szCs w:val="28"/>
        </w:rPr>
      </w:pPr>
    </w:p>
    <w:p w14:paraId="2C96F07B">
      <w:pPr>
        <w:pStyle w:val="3"/>
        <w:snapToGrid w:val="0"/>
        <w:spacing w:line="300" w:lineRule="auto"/>
        <w:ind w:left="0"/>
        <w:jc w:val="both"/>
        <w:rPr>
          <w:rFonts w:ascii="Arial" w:hAnsi="Arial" w:cs="Arial"/>
        </w:rPr>
      </w:pPr>
      <w:r>
        <w:rPr>
          <w:rFonts w:ascii="Arial" w:hAnsi="Arial" w:cs="Arial"/>
        </w:rPr>
        <w:t>器械评估办公室的审查员将接受根据ISO-10993-1：1992，第1部分编制的数据，对该矩阵进行修改并提交至蓝皮书备忘录#G95-1中</w:t>
      </w:r>
      <w:r>
        <w:rPr>
          <w:rFonts w:hint="eastAsia" w:ascii="Arial" w:hAnsi="Arial" w:cs="Arial"/>
        </w:rPr>
        <w:t>《</w:t>
      </w:r>
      <w:r>
        <w:rPr>
          <w:rFonts w:ascii="Arial" w:hAnsi="Arial" w:cs="Arial"/>
        </w:rPr>
        <w:t>国际标准ISO-10993的使用，医疗器械的生物学评价-第-1部分：评价和测试</w:t>
      </w:r>
      <w:r>
        <w:rPr>
          <w:rFonts w:hint="eastAsia" w:ascii="Arial" w:hAnsi="Arial" w:cs="Arial"/>
        </w:rPr>
        <w:t>》</w:t>
      </w:r>
      <w:r>
        <w:rPr>
          <w:rFonts w:ascii="Arial" w:hAnsi="Arial" w:cs="Arial"/>
        </w:rPr>
        <w:t>。制造商还可以选择性提供根据标准进行的特定测试的摘要。</w:t>
      </w:r>
    </w:p>
    <w:p w14:paraId="1763B486">
      <w:pPr>
        <w:pStyle w:val="3"/>
        <w:snapToGrid w:val="0"/>
        <w:spacing w:line="300" w:lineRule="auto"/>
        <w:ind w:left="0"/>
        <w:jc w:val="both"/>
        <w:rPr>
          <w:rFonts w:ascii="Arial" w:hAnsi="Arial" w:cs="Arial"/>
        </w:rPr>
      </w:pPr>
      <w:r>
        <w:rPr>
          <w:rFonts w:ascii="Arial" w:hAnsi="Arial" w:cs="Arial"/>
        </w:rPr>
        <w:t>进行的所有测试应符合建议的标准文件，或者附有关于测试或方法是否符合标准的可接受替代方案的说明。建议制造商在开始对任何新器械材料进行昂贵的长期测试之前，先与综合医院器械部进行讨论，以确保进行适当的测试，避免不必要的测试。我们也认识到ISO标准是一个进行定期审查的文件，并可以修订。关于本文件中引用的ISO标准的任何未来修订，FDA将通知制造商。</w:t>
      </w:r>
    </w:p>
    <w:p w14:paraId="47962674">
      <w:pPr>
        <w:snapToGrid w:val="0"/>
        <w:spacing w:before="8" w:line="300" w:lineRule="auto"/>
        <w:jc w:val="both"/>
        <w:rPr>
          <w:rFonts w:ascii="Arial" w:hAnsi="Arial" w:eastAsia="宋体" w:cs="Arial"/>
          <w:sz w:val="28"/>
          <w:szCs w:val="28"/>
        </w:rPr>
      </w:pPr>
    </w:p>
    <w:p w14:paraId="52872BF3">
      <w:pPr>
        <w:pStyle w:val="3"/>
        <w:numPr>
          <w:ilvl w:val="2"/>
          <w:numId w:val="2"/>
        </w:numPr>
        <w:tabs>
          <w:tab w:val="left" w:pos="1192"/>
        </w:tabs>
        <w:snapToGrid w:val="0"/>
        <w:spacing w:line="300" w:lineRule="auto"/>
        <w:jc w:val="both"/>
        <w:rPr>
          <w:rFonts w:ascii="Arial" w:hAnsi="Arial" w:cs="Arial"/>
        </w:rPr>
      </w:pPr>
      <w:r>
        <w:rPr>
          <w:rFonts w:ascii="Arial" w:hAnsi="Arial" w:cs="Arial"/>
        </w:rPr>
        <w:t>器械性能</w:t>
      </w:r>
    </w:p>
    <w:p w14:paraId="4721F5DC">
      <w:pPr>
        <w:snapToGrid w:val="0"/>
        <w:spacing w:before="10" w:line="300" w:lineRule="auto"/>
        <w:jc w:val="both"/>
        <w:rPr>
          <w:rFonts w:ascii="Arial" w:hAnsi="Arial" w:eastAsia="宋体" w:cs="Arial"/>
          <w:sz w:val="28"/>
          <w:szCs w:val="28"/>
        </w:rPr>
      </w:pPr>
    </w:p>
    <w:p w14:paraId="4EE7AFF5">
      <w:pPr>
        <w:pStyle w:val="3"/>
        <w:snapToGrid w:val="0"/>
        <w:spacing w:line="300" w:lineRule="auto"/>
        <w:ind w:left="0"/>
        <w:jc w:val="both"/>
        <w:rPr>
          <w:rFonts w:ascii="Arial" w:hAnsi="Arial" w:cs="Arial"/>
        </w:rPr>
      </w:pPr>
      <w:r>
        <w:rPr>
          <w:rFonts w:ascii="Arial" w:hAnsi="Arial" w:cs="Arial"/>
        </w:rPr>
        <w:t>提交资料通常会包含数据，以便在根据使用说明书使用时支持器械的安全有效操作。然而，制造商现在可以选择性提供符合标准的声明。进行标准声明，就不需要按照该标准要求提交方案和原始数据。如果提交资料不包括标准声明，则提交资料应包括实验室测试的性能数据。其他数据可能包括在实际条件下或在拟用该器械的模拟环境中进行测试的结果。与生物相容性测试一样，功能测试应按照建议的标准进行，或者附有关于测试或方法符合特定标准的可接受替代方案的说明。</w:t>
      </w:r>
    </w:p>
    <w:p w14:paraId="5FC5AB20">
      <w:pPr>
        <w:snapToGrid w:val="0"/>
        <w:spacing w:before="4" w:line="300" w:lineRule="auto"/>
        <w:jc w:val="both"/>
        <w:rPr>
          <w:rFonts w:ascii="Arial" w:hAnsi="Arial" w:eastAsia="宋体" w:cs="Arial"/>
          <w:sz w:val="28"/>
          <w:szCs w:val="28"/>
        </w:rPr>
      </w:pPr>
    </w:p>
    <w:p w14:paraId="44A11252">
      <w:pPr>
        <w:pStyle w:val="3"/>
        <w:snapToGrid w:val="0"/>
        <w:spacing w:line="300" w:lineRule="auto"/>
        <w:ind w:left="0"/>
        <w:jc w:val="both"/>
        <w:rPr>
          <w:rFonts w:ascii="Arial" w:hAnsi="Arial" w:cs="Arial"/>
        </w:rPr>
      </w:pPr>
      <w:r>
        <w:rPr>
          <w:rFonts w:ascii="Arial" w:hAnsi="Arial" w:cs="Arial"/>
        </w:rPr>
        <w:t>建议制造商在开展广泛的性能测试之前与综合医院器械部进行讨论，以确保进行适当的测试。我们也认识到，对标准和文件需进行定期审查，并可以修订。关于本文件中引用的性能标准的任何未来修订，FDA将通知制造商。</w:t>
      </w:r>
    </w:p>
    <w:p w14:paraId="7750CF07">
      <w:pPr>
        <w:snapToGrid w:val="0"/>
        <w:spacing w:line="300" w:lineRule="auto"/>
        <w:jc w:val="both"/>
        <w:rPr>
          <w:rFonts w:ascii="Arial" w:hAnsi="Arial" w:eastAsia="宋体" w:cs="Arial"/>
          <w:sz w:val="24"/>
          <w:szCs w:val="24"/>
        </w:rPr>
      </w:pPr>
    </w:p>
    <w:p w14:paraId="0147FCED">
      <w:pPr>
        <w:snapToGrid w:val="0"/>
        <w:spacing w:before="12" w:line="300" w:lineRule="auto"/>
        <w:jc w:val="both"/>
        <w:rPr>
          <w:rFonts w:ascii="Arial" w:hAnsi="Arial" w:eastAsia="宋体" w:cs="Arial"/>
          <w:sz w:val="32"/>
          <w:szCs w:val="32"/>
        </w:rPr>
      </w:pPr>
    </w:p>
    <w:p w14:paraId="52092D72">
      <w:pPr>
        <w:pStyle w:val="2"/>
        <w:snapToGrid w:val="0"/>
        <w:spacing w:line="300" w:lineRule="auto"/>
        <w:jc w:val="both"/>
        <w:rPr>
          <w:rFonts w:ascii="Arial" w:hAnsi="Arial" w:cs="Arial"/>
          <w:b w:val="0"/>
          <w:bCs w:val="0"/>
        </w:rPr>
      </w:pPr>
      <w:bookmarkStart w:id="9" w:name="_Toc482113435"/>
      <w:bookmarkStart w:id="10" w:name="_TOC_250000"/>
      <w:r>
        <w:rPr>
          <w:rFonts w:ascii="Arial" w:hAnsi="Arial" w:cs="Arial"/>
        </w:rPr>
        <w:t>6.0 标识</w:t>
      </w:r>
      <w:bookmarkEnd w:id="9"/>
      <w:bookmarkEnd w:id="10"/>
    </w:p>
    <w:p w14:paraId="5B2FE77E">
      <w:pPr>
        <w:snapToGrid w:val="0"/>
        <w:spacing w:before="6" w:line="300" w:lineRule="auto"/>
        <w:jc w:val="both"/>
        <w:rPr>
          <w:rFonts w:ascii="Arial" w:hAnsi="Arial" w:eastAsia="宋体" w:cs="Arial"/>
          <w:sz w:val="28"/>
          <w:szCs w:val="28"/>
        </w:rPr>
      </w:pPr>
    </w:p>
    <w:p w14:paraId="3C7BE5B3">
      <w:pPr>
        <w:pStyle w:val="3"/>
        <w:snapToGrid w:val="0"/>
        <w:spacing w:line="300" w:lineRule="auto"/>
        <w:ind w:left="0"/>
        <w:jc w:val="both"/>
        <w:rPr>
          <w:rFonts w:ascii="Arial" w:hAnsi="Arial" w:cs="Arial"/>
        </w:rPr>
      </w:pPr>
      <w:r>
        <w:rPr>
          <w:rFonts w:ascii="Arial" w:hAnsi="Arial" w:cs="Arial"/>
        </w:rPr>
        <w:t>对于用户来说，新生儿培养箱和新生儿运送培养箱的标识应包括关于任何有关</w:t>
      </w:r>
      <w:r>
        <w:rPr>
          <w:rFonts w:hint="eastAsia" w:ascii="Arial" w:hAnsi="Arial" w:cs="Arial"/>
        </w:rPr>
        <w:t>适应症</w:t>
      </w:r>
      <w:r>
        <w:rPr>
          <w:rFonts w:ascii="Arial" w:hAnsi="Arial" w:cs="Arial"/>
        </w:rPr>
        <w:t>、使用条件和限制、危害、</w:t>
      </w:r>
      <w:r>
        <w:rPr>
          <w:rFonts w:hint="eastAsia" w:ascii="Arial" w:hAnsi="Arial" w:cs="Arial"/>
        </w:rPr>
        <w:t>禁忌症</w:t>
      </w:r>
      <w:r>
        <w:rPr>
          <w:rFonts w:ascii="Arial" w:hAnsi="Arial" w:cs="Arial"/>
        </w:rPr>
        <w:t>和使用注意事项方面使用的明确、准确和完整的信息，这一点至关重要。</w:t>
      </w:r>
    </w:p>
    <w:p w14:paraId="2FDB90D3">
      <w:pPr>
        <w:snapToGrid w:val="0"/>
        <w:spacing w:before="4" w:line="300" w:lineRule="auto"/>
        <w:jc w:val="both"/>
        <w:rPr>
          <w:rFonts w:ascii="Arial" w:hAnsi="Arial" w:eastAsia="宋体" w:cs="Arial"/>
          <w:sz w:val="28"/>
          <w:szCs w:val="28"/>
        </w:rPr>
      </w:pPr>
    </w:p>
    <w:p w14:paraId="4BA988ED">
      <w:pPr>
        <w:pStyle w:val="3"/>
        <w:snapToGrid w:val="0"/>
        <w:spacing w:line="300" w:lineRule="auto"/>
        <w:ind w:left="0"/>
        <w:jc w:val="both"/>
        <w:rPr>
          <w:rFonts w:ascii="Arial" w:hAnsi="Arial" w:cs="Arial"/>
        </w:rPr>
      </w:pPr>
      <w:r>
        <w:rPr>
          <w:rFonts w:ascii="Arial" w:hAnsi="Arial" w:cs="Arial"/>
        </w:rPr>
        <w:t>510（K）应该确定和讨论所有已知的情况和事件，这些情况和事件可能导致器械发生故障或在正确使用器械时对用户或患者造成危害。标识应在适当的预防措施、警告或咨询声明中描述这些情况和危害。</w:t>
      </w:r>
    </w:p>
    <w:p w14:paraId="21A463BC">
      <w:pPr>
        <w:snapToGrid w:val="0"/>
        <w:spacing w:before="4" w:line="300" w:lineRule="auto"/>
        <w:jc w:val="both"/>
        <w:rPr>
          <w:rFonts w:ascii="Arial" w:hAnsi="Arial" w:eastAsia="宋体" w:cs="Arial"/>
          <w:sz w:val="28"/>
          <w:szCs w:val="28"/>
        </w:rPr>
      </w:pPr>
    </w:p>
    <w:p w14:paraId="181C6D5C">
      <w:pPr>
        <w:pStyle w:val="3"/>
        <w:snapToGrid w:val="0"/>
        <w:spacing w:line="300" w:lineRule="auto"/>
        <w:ind w:left="0"/>
        <w:jc w:val="both"/>
        <w:rPr>
          <w:rFonts w:ascii="Arial" w:hAnsi="Arial" w:cs="Arial"/>
        </w:rPr>
      </w:pPr>
      <w:r>
        <w:rPr>
          <w:rFonts w:ascii="Arial" w:hAnsi="Arial" w:cs="Arial"/>
        </w:rPr>
        <w:t>这些器械需要处方标签，并且必须在标识中包含以下内容：</w:t>
      </w:r>
    </w:p>
    <w:p w14:paraId="6BE20C94">
      <w:pPr>
        <w:snapToGrid w:val="0"/>
        <w:spacing w:line="300" w:lineRule="auto"/>
        <w:jc w:val="both"/>
        <w:rPr>
          <w:rFonts w:ascii="Arial" w:hAnsi="Arial" w:eastAsia="宋体" w:cs="Arial"/>
        </w:rPr>
        <w:sectPr>
          <w:pgSz w:w="12240" w:h="15840"/>
          <w:pgMar w:top="1134" w:right="1134" w:bottom="1134" w:left="1134" w:header="0" w:footer="730" w:gutter="0"/>
          <w:cols w:space="720" w:num="1"/>
          <w:docGrid w:linePitch="299" w:charSpace="0"/>
        </w:sectPr>
      </w:pPr>
    </w:p>
    <w:p w14:paraId="47A00C05">
      <w:pPr>
        <w:pStyle w:val="3"/>
        <w:snapToGrid w:val="0"/>
        <w:spacing w:before="41" w:line="300" w:lineRule="auto"/>
        <w:ind w:left="0"/>
        <w:jc w:val="both"/>
        <w:rPr>
          <w:rFonts w:ascii="Arial" w:hAnsi="Arial" w:cs="Arial"/>
        </w:rPr>
      </w:pPr>
      <w:r>
        <w:rPr>
          <w:rFonts w:ascii="Arial" w:hAnsi="Arial" w:cs="Arial"/>
        </w:rPr>
        <w:t>“警告：美国联邦法律规定该器械必须由医生销售或者</w:t>
      </w:r>
      <w:r>
        <w:rPr>
          <w:rFonts w:hint="eastAsia" w:ascii="Arial" w:hAnsi="Arial" w:cs="Arial"/>
        </w:rPr>
        <w:t>订购</w:t>
      </w:r>
      <w:r>
        <w:rPr>
          <w:rFonts w:ascii="Arial" w:hAnsi="Arial" w:cs="Arial"/>
        </w:rPr>
        <w:t>。”</w:t>
      </w:r>
    </w:p>
    <w:p w14:paraId="72D4D9D2">
      <w:pPr>
        <w:snapToGrid w:val="0"/>
        <w:spacing w:before="10" w:line="300" w:lineRule="auto"/>
        <w:jc w:val="both"/>
        <w:rPr>
          <w:rFonts w:ascii="Arial" w:hAnsi="Arial" w:eastAsia="宋体" w:cs="Arial"/>
          <w:sz w:val="28"/>
          <w:szCs w:val="28"/>
        </w:rPr>
      </w:pPr>
    </w:p>
    <w:p w14:paraId="244BE39E">
      <w:pPr>
        <w:pStyle w:val="3"/>
        <w:snapToGrid w:val="0"/>
        <w:spacing w:line="300" w:lineRule="auto"/>
        <w:ind w:left="0"/>
        <w:jc w:val="both"/>
        <w:rPr>
          <w:rFonts w:ascii="Arial" w:hAnsi="Arial" w:cs="Arial"/>
        </w:rPr>
      </w:pPr>
      <w:r>
        <w:rPr>
          <w:rFonts w:ascii="Arial" w:hAnsi="Arial" w:cs="Arial"/>
        </w:rPr>
        <w:t>在新生儿培养箱和新生儿运送培养箱的510（k）提交中应提供拟用的包装标签和标识。标识是指包装标签加上随器械附带的或放置在器械或其任何包装纸或容器上的其他书面的、印刷的或图形的材料。广告可能被认为是标识，特别是如果器械附带的。标识必须包括充分的使用说明，以及确保安全使用器械所需的任何警告。见</w:t>
      </w:r>
      <w:r>
        <w:rPr>
          <w:rFonts w:hint="eastAsia" w:ascii="Arial" w:hAnsi="Arial" w:cs="Arial"/>
        </w:rPr>
        <w:t>《</w:t>
      </w:r>
      <w:r>
        <w:rPr>
          <w:rFonts w:ascii="Arial" w:hAnsi="Arial" w:cs="Arial"/>
        </w:rPr>
        <w:t>联邦食品、药品和化妆品法案</w:t>
      </w:r>
      <w:r>
        <w:rPr>
          <w:rFonts w:hint="eastAsia" w:ascii="Arial" w:hAnsi="Arial" w:cs="Arial"/>
        </w:rPr>
        <w:t>》</w:t>
      </w:r>
      <w:r>
        <w:rPr>
          <w:rFonts w:ascii="Arial" w:hAnsi="Arial" w:cs="Arial"/>
        </w:rPr>
        <w:t>第201（k）和（in）和第502（f）第（1）和（2）节。</w:t>
      </w:r>
    </w:p>
    <w:p w14:paraId="41EAB600">
      <w:pPr>
        <w:snapToGrid w:val="0"/>
        <w:spacing w:before="4" w:line="300" w:lineRule="auto"/>
        <w:jc w:val="both"/>
        <w:rPr>
          <w:rFonts w:ascii="Arial" w:hAnsi="Arial" w:eastAsia="宋体" w:cs="Arial"/>
          <w:sz w:val="28"/>
          <w:szCs w:val="28"/>
        </w:rPr>
      </w:pPr>
    </w:p>
    <w:p w14:paraId="423A5997">
      <w:pPr>
        <w:pStyle w:val="3"/>
        <w:snapToGrid w:val="0"/>
        <w:spacing w:line="300" w:lineRule="auto"/>
        <w:ind w:left="0"/>
        <w:jc w:val="both"/>
        <w:rPr>
          <w:rFonts w:ascii="Arial" w:hAnsi="Arial" w:cs="Arial"/>
        </w:rPr>
      </w:pPr>
      <w:r>
        <w:rPr>
          <w:rFonts w:ascii="Arial" w:hAnsi="Arial" w:cs="Arial"/>
        </w:rPr>
        <w:t>如果贵公司希望根据FDA标识规定（21 CFR 第801条）为贵公司器械提供具体建议，请联系（301）594-4618合规办公室。另外，关于器械的促销和广告问题，请联系（301）594-4639“合规办公室”。另外，请注意标题为</w:t>
      </w:r>
      <w:bookmarkStart w:id="11" w:name="OLE_LINK5"/>
      <w:bookmarkStart w:id="12" w:name="OLE_LINK6"/>
      <w:r>
        <w:rPr>
          <w:rFonts w:ascii="Arial" w:hAnsi="Arial" w:cs="Arial"/>
        </w:rPr>
        <w:t>通过参考上市前通告的错误标识</w:t>
      </w:r>
      <w:bookmarkEnd w:id="11"/>
      <w:bookmarkEnd w:id="12"/>
      <w:r>
        <w:rPr>
          <w:rFonts w:ascii="Arial" w:hAnsi="Arial" w:cs="Arial"/>
        </w:rPr>
        <w:t>（21 CFR 第 807.97条）的规定。</w:t>
      </w:r>
    </w:p>
    <w:p w14:paraId="348A8608">
      <w:pPr>
        <w:snapToGrid w:val="0"/>
        <w:spacing w:before="23" w:line="300" w:lineRule="auto"/>
        <w:jc w:val="center"/>
        <w:rPr>
          <w:rFonts w:hint="eastAsia" w:eastAsia="宋体"/>
          <w:lang w:eastAsia="zh-CN"/>
        </w:rPr>
      </w:pPr>
    </w:p>
    <w:p w14:paraId="58437058">
      <w:pPr>
        <w:snapToGrid w:val="0"/>
        <w:spacing w:before="23" w:line="300" w:lineRule="auto"/>
        <w:jc w:val="center"/>
        <w:rPr>
          <w:rFonts w:hint="eastAsia" w:eastAsia="宋体"/>
          <w:lang w:eastAsia="zh-CN"/>
        </w:rPr>
      </w:pPr>
    </w:p>
    <w:p w14:paraId="5D5EC630">
      <w:pPr>
        <w:snapToGrid w:val="0"/>
        <w:spacing w:before="23" w:line="30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6"/>
                    <a:stretch>
                      <a:fillRect/>
                    </a:stretch>
                  </pic:blipFill>
                  <pic:spPr>
                    <a:xfrm>
                      <a:off x="0" y="0"/>
                      <a:ext cx="5210175" cy="7343775"/>
                    </a:xfrm>
                    <a:prstGeom prst="rect">
                      <a:avLst/>
                    </a:prstGeom>
                  </pic:spPr>
                </pic:pic>
              </a:graphicData>
            </a:graphic>
          </wp:inline>
        </w:drawing>
      </w:r>
    </w:p>
    <w:sectPr>
      <w:pgSz w:w="12240" w:h="15840"/>
      <w:pgMar w:top="1134" w:right="1134" w:bottom="1134" w:left="1134" w:header="0" w:footer="73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cs="Arial"/>
        <w:sz w:val="21"/>
        <w:szCs w:val="21"/>
      </w:rPr>
      <w:id w:val="-1770463444"/>
      <w:docPartObj>
        <w:docPartGallery w:val="AutoText"/>
      </w:docPartObj>
    </w:sdtPr>
    <w:sdtEndPr>
      <w:rPr>
        <w:rFonts w:ascii="Arial" w:hAnsi="Arial" w:cs="Arial"/>
        <w:sz w:val="21"/>
        <w:szCs w:val="21"/>
      </w:rPr>
    </w:sdtEndPr>
    <w:sdtContent>
      <w:p w14:paraId="655D1311">
        <w:pPr>
          <w:pStyle w:val="5"/>
          <w:jc w:val="center"/>
          <w:rPr>
            <w:rFonts w:ascii="Arial" w:hAnsi="Arial" w:cs="Arial"/>
            <w:sz w:val="21"/>
            <w:szCs w:val="21"/>
          </w:rPr>
        </w:pPr>
        <w:r>
          <w:rPr>
            <w:rFonts w:ascii="Arial" w:hAnsi="Arial" w:cs="Arial"/>
            <w:sz w:val="21"/>
            <w:szCs w:val="21"/>
          </w:rPr>
          <w:fldChar w:fldCharType="begin"/>
        </w:r>
        <w:r>
          <w:rPr>
            <w:rFonts w:ascii="Arial" w:hAnsi="Arial" w:cs="Arial"/>
            <w:sz w:val="21"/>
            <w:szCs w:val="21"/>
          </w:rPr>
          <w:instrText xml:space="preserve">PAGE   \* MERGEFORMAT</w:instrText>
        </w:r>
        <w:r>
          <w:rPr>
            <w:rFonts w:ascii="Arial" w:hAnsi="Arial" w:cs="Arial"/>
            <w:sz w:val="21"/>
            <w:szCs w:val="21"/>
          </w:rPr>
          <w:fldChar w:fldCharType="separate"/>
        </w:r>
        <w:r>
          <w:rPr>
            <w:rFonts w:ascii="Arial" w:hAnsi="Arial" w:cs="Arial"/>
            <w:sz w:val="21"/>
            <w:szCs w:val="21"/>
            <w:lang w:val="zh-CN"/>
          </w:rPr>
          <w:t>1</w:t>
        </w:r>
        <w:r>
          <w:rPr>
            <w:rFonts w:ascii="Arial" w:hAnsi="Arial" w:cs="Arial"/>
            <w:sz w:val="21"/>
            <w:szCs w:val="21"/>
          </w:rPr>
          <w:fldChar w:fldCharType="end"/>
        </w:r>
      </w:p>
    </w:sdtContent>
  </w:sdt>
  <w:p w14:paraId="7476FC83">
    <w:pPr>
      <w:spacing w:line="200" w:lineRule="exact"/>
      <w:rPr>
        <w:rFonts w:ascii="Arial" w:hAnsi="Arial" w:cs="Arial"/>
        <w:sz w:val="21"/>
        <w:szCs w:val="21"/>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4504CC"/>
    <w:multiLevelType w:val="multilevel"/>
    <w:tmpl w:val="164504CC"/>
    <w:lvl w:ilvl="0" w:tentative="0">
      <w:start w:val="1"/>
      <w:numFmt w:val="bullet"/>
      <w:lvlText w:val=""/>
      <w:lvlJc w:val="left"/>
      <w:pPr>
        <w:ind w:left="472" w:hanging="360"/>
      </w:pPr>
      <w:rPr>
        <w:rFonts w:hint="default" w:ascii="Symbol" w:hAnsi="Symbol" w:eastAsia="Symbol"/>
        <w:w w:val="76"/>
        <w:sz w:val="24"/>
        <w:szCs w:val="24"/>
      </w:rPr>
    </w:lvl>
    <w:lvl w:ilvl="1" w:tentative="0">
      <w:start w:val="1"/>
      <w:numFmt w:val="bullet"/>
      <w:lvlText w:val="•"/>
      <w:lvlJc w:val="left"/>
      <w:pPr>
        <w:ind w:left="1374" w:hanging="360"/>
      </w:pPr>
      <w:rPr>
        <w:rFonts w:hint="default"/>
      </w:rPr>
    </w:lvl>
    <w:lvl w:ilvl="2" w:tentative="0">
      <w:start w:val="1"/>
      <w:numFmt w:val="bullet"/>
      <w:lvlText w:val="•"/>
      <w:lvlJc w:val="left"/>
      <w:pPr>
        <w:ind w:left="2277" w:hanging="360"/>
      </w:pPr>
      <w:rPr>
        <w:rFonts w:hint="default"/>
      </w:rPr>
    </w:lvl>
    <w:lvl w:ilvl="3" w:tentative="0">
      <w:start w:val="1"/>
      <w:numFmt w:val="bullet"/>
      <w:lvlText w:val="•"/>
      <w:lvlJc w:val="left"/>
      <w:pPr>
        <w:ind w:left="3180" w:hanging="360"/>
      </w:pPr>
      <w:rPr>
        <w:rFonts w:hint="default"/>
      </w:rPr>
    </w:lvl>
    <w:lvl w:ilvl="4" w:tentative="0">
      <w:start w:val="1"/>
      <w:numFmt w:val="bullet"/>
      <w:lvlText w:val="•"/>
      <w:lvlJc w:val="left"/>
      <w:pPr>
        <w:ind w:left="4083" w:hanging="360"/>
      </w:pPr>
      <w:rPr>
        <w:rFonts w:hint="default"/>
      </w:rPr>
    </w:lvl>
    <w:lvl w:ilvl="5" w:tentative="0">
      <w:start w:val="1"/>
      <w:numFmt w:val="bullet"/>
      <w:lvlText w:val="•"/>
      <w:lvlJc w:val="left"/>
      <w:pPr>
        <w:ind w:left="4986" w:hanging="360"/>
      </w:pPr>
      <w:rPr>
        <w:rFonts w:hint="default"/>
      </w:rPr>
    </w:lvl>
    <w:lvl w:ilvl="6" w:tentative="0">
      <w:start w:val="1"/>
      <w:numFmt w:val="bullet"/>
      <w:lvlText w:val="•"/>
      <w:lvlJc w:val="left"/>
      <w:pPr>
        <w:ind w:left="5888" w:hanging="360"/>
      </w:pPr>
      <w:rPr>
        <w:rFonts w:hint="default"/>
      </w:rPr>
    </w:lvl>
    <w:lvl w:ilvl="7" w:tentative="0">
      <w:start w:val="1"/>
      <w:numFmt w:val="bullet"/>
      <w:lvlText w:val="•"/>
      <w:lvlJc w:val="left"/>
      <w:pPr>
        <w:ind w:left="6791" w:hanging="360"/>
      </w:pPr>
      <w:rPr>
        <w:rFonts w:hint="default"/>
      </w:rPr>
    </w:lvl>
    <w:lvl w:ilvl="8" w:tentative="0">
      <w:start w:val="1"/>
      <w:numFmt w:val="bullet"/>
      <w:lvlText w:val="•"/>
      <w:lvlJc w:val="left"/>
      <w:pPr>
        <w:ind w:left="7694" w:hanging="360"/>
      </w:pPr>
      <w:rPr>
        <w:rFonts w:hint="default"/>
      </w:rPr>
    </w:lvl>
  </w:abstractNum>
  <w:abstractNum w:abstractNumId="1">
    <w:nsid w:val="7B135CAD"/>
    <w:multiLevelType w:val="multilevel"/>
    <w:tmpl w:val="7B135CAD"/>
    <w:lvl w:ilvl="0" w:tentative="0">
      <w:start w:val="5"/>
      <w:numFmt w:val="decimal"/>
      <w:lvlText w:val="%1"/>
      <w:lvlJc w:val="left"/>
      <w:pPr>
        <w:ind w:left="534" w:hanging="423"/>
      </w:pPr>
      <w:rPr>
        <w:rFonts w:hint="default"/>
      </w:rPr>
    </w:lvl>
    <w:lvl w:ilvl="1" w:tentative="0">
      <w:start w:val="1"/>
      <w:numFmt w:val="decimal"/>
      <w:lvlText w:val="%1.%2"/>
      <w:lvlJc w:val="left"/>
      <w:pPr>
        <w:ind w:left="534" w:hanging="423"/>
      </w:pPr>
      <w:rPr>
        <w:rFonts w:hint="default" w:ascii="Times New Roman" w:hAnsi="Times New Roman" w:eastAsia="Times New Roman"/>
        <w:b/>
        <w:bCs/>
        <w:spacing w:val="-1"/>
        <w:sz w:val="24"/>
        <w:szCs w:val="24"/>
      </w:rPr>
    </w:lvl>
    <w:lvl w:ilvl="2" w:tentative="0">
      <w:start w:val="1"/>
      <w:numFmt w:val="upperLetter"/>
      <w:lvlText w:val="%3."/>
      <w:lvlJc w:val="left"/>
      <w:pPr>
        <w:ind w:left="1192" w:hanging="360"/>
      </w:pPr>
      <w:rPr>
        <w:rFonts w:hint="default" w:ascii="Arial" w:hAnsi="Arial" w:eastAsia="Times New Roman" w:cs="Arial"/>
        <w:b/>
        <w:bCs/>
        <w:sz w:val="24"/>
        <w:szCs w:val="24"/>
      </w:rPr>
    </w:lvl>
    <w:lvl w:ilvl="3" w:tentative="0">
      <w:start w:val="1"/>
      <w:numFmt w:val="bullet"/>
      <w:lvlText w:val="•"/>
      <w:lvlJc w:val="left"/>
      <w:pPr>
        <w:ind w:left="3038" w:hanging="360"/>
      </w:pPr>
      <w:rPr>
        <w:rFonts w:hint="default"/>
      </w:rPr>
    </w:lvl>
    <w:lvl w:ilvl="4" w:tentative="0">
      <w:start w:val="1"/>
      <w:numFmt w:val="bullet"/>
      <w:lvlText w:val="•"/>
      <w:lvlJc w:val="left"/>
      <w:pPr>
        <w:ind w:left="3961" w:hanging="360"/>
      </w:pPr>
      <w:rPr>
        <w:rFonts w:hint="default"/>
      </w:rPr>
    </w:lvl>
    <w:lvl w:ilvl="5" w:tentative="0">
      <w:start w:val="1"/>
      <w:numFmt w:val="bullet"/>
      <w:lvlText w:val="•"/>
      <w:lvlJc w:val="left"/>
      <w:pPr>
        <w:ind w:left="4884" w:hanging="360"/>
      </w:pPr>
      <w:rPr>
        <w:rFonts w:hint="default"/>
      </w:rPr>
    </w:lvl>
    <w:lvl w:ilvl="6" w:tentative="0">
      <w:start w:val="1"/>
      <w:numFmt w:val="bullet"/>
      <w:lvlText w:val="•"/>
      <w:lvlJc w:val="left"/>
      <w:pPr>
        <w:ind w:left="5807" w:hanging="360"/>
      </w:pPr>
      <w:rPr>
        <w:rFonts w:hint="default"/>
      </w:rPr>
    </w:lvl>
    <w:lvl w:ilvl="7" w:tentative="0">
      <w:start w:val="1"/>
      <w:numFmt w:val="bullet"/>
      <w:lvlText w:val="•"/>
      <w:lvlJc w:val="left"/>
      <w:pPr>
        <w:ind w:left="6730" w:hanging="360"/>
      </w:pPr>
      <w:rPr>
        <w:rFonts w:hint="default"/>
      </w:rPr>
    </w:lvl>
    <w:lvl w:ilvl="8" w:tentative="0">
      <w:start w:val="1"/>
      <w:numFmt w:val="bullet"/>
      <w:lvlText w:val="•"/>
      <w:lvlJc w:val="left"/>
      <w:pPr>
        <w:ind w:left="7653"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E13"/>
    <w:rsid w:val="0003792E"/>
    <w:rsid w:val="00041333"/>
    <w:rsid w:val="00041D84"/>
    <w:rsid w:val="000B4B28"/>
    <w:rsid w:val="00115C34"/>
    <w:rsid w:val="00120188"/>
    <w:rsid w:val="00137C50"/>
    <w:rsid w:val="00155DD9"/>
    <w:rsid w:val="00157E54"/>
    <w:rsid w:val="0018013C"/>
    <w:rsid w:val="001A4FC8"/>
    <w:rsid w:val="001B028F"/>
    <w:rsid w:val="00205303"/>
    <w:rsid w:val="0024367B"/>
    <w:rsid w:val="00252688"/>
    <w:rsid w:val="002872F8"/>
    <w:rsid w:val="002B751F"/>
    <w:rsid w:val="002E4067"/>
    <w:rsid w:val="0035005A"/>
    <w:rsid w:val="00387391"/>
    <w:rsid w:val="003A3331"/>
    <w:rsid w:val="003B377F"/>
    <w:rsid w:val="003D67C7"/>
    <w:rsid w:val="00454236"/>
    <w:rsid w:val="005854D1"/>
    <w:rsid w:val="00593A00"/>
    <w:rsid w:val="005B3582"/>
    <w:rsid w:val="005D2148"/>
    <w:rsid w:val="005D62F5"/>
    <w:rsid w:val="006331E1"/>
    <w:rsid w:val="006B0C62"/>
    <w:rsid w:val="006B6E79"/>
    <w:rsid w:val="006C07A1"/>
    <w:rsid w:val="00741033"/>
    <w:rsid w:val="00756B0D"/>
    <w:rsid w:val="00780EC4"/>
    <w:rsid w:val="00837CE9"/>
    <w:rsid w:val="00842391"/>
    <w:rsid w:val="008C11DF"/>
    <w:rsid w:val="008E4DFE"/>
    <w:rsid w:val="008E519F"/>
    <w:rsid w:val="00916B47"/>
    <w:rsid w:val="00916E2E"/>
    <w:rsid w:val="009604CE"/>
    <w:rsid w:val="00976E95"/>
    <w:rsid w:val="009C469F"/>
    <w:rsid w:val="009C7434"/>
    <w:rsid w:val="009E06FC"/>
    <w:rsid w:val="009E1021"/>
    <w:rsid w:val="00A155B5"/>
    <w:rsid w:val="00AB7E13"/>
    <w:rsid w:val="00AC057B"/>
    <w:rsid w:val="00AE0857"/>
    <w:rsid w:val="00B51DDE"/>
    <w:rsid w:val="00B64391"/>
    <w:rsid w:val="00B75609"/>
    <w:rsid w:val="00B87039"/>
    <w:rsid w:val="00C03F55"/>
    <w:rsid w:val="00C37B52"/>
    <w:rsid w:val="00C43175"/>
    <w:rsid w:val="00C87532"/>
    <w:rsid w:val="00CA6943"/>
    <w:rsid w:val="00CC189E"/>
    <w:rsid w:val="00D80235"/>
    <w:rsid w:val="00E002A4"/>
    <w:rsid w:val="00E226B4"/>
    <w:rsid w:val="00E568E0"/>
    <w:rsid w:val="00FF15B3"/>
    <w:rsid w:val="13F249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zh-CN" w:bidi="ar-SA"/>
    </w:rPr>
  </w:style>
  <w:style w:type="paragraph" w:styleId="2">
    <w:name w:val="heading 1"/>
    <w:basedOn w:val="1"/>
    <w:qFormat/>
    <w:uiPriority w:val="1"/>
    <w:pPr>
      <w:ind w:left="111"/>
      <w:outlineLvl w:val="0"/>
    </w:pPr>
    <w:rPr>
      <w:rFonts w:ascii="Times New Roman" w:hAnsi="Times New Roman" w:eastAsia="宋体"/>
      <w:b/>
      <w:bCs/>
      <w:sz w:val="24"/>
      <w:szCs w:val="24"/>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Body Text"/>
    <w:basedOn w:val="1"/>
    <w:qFormat/>
    <w:uiPriority w:val="1"/>
    <w:pPr>
      <w:ind w:left="111"/>
    </w:pPr>
    <w:rPr>
      <w:rFonts w:ascii="Times New Roman" w:hAnsi="Times New Roman" w:eastAsia="宋体"/>
      <w:sz w:val="24"/>
      <w:szCs w:val="24"/>
    </w:rPr>
  </w:style>
  <w:style w:type="paragraph" w:styleId="4">
    <w:name w:val="Balloon Text"/>
    <w:basedOn w:val="1"/>
    <w:link w:val="17"/>
    <w:semiHidden/>
    <w:unhideWhenUsed/>
    <w:qFormat/>
    <w:uiPriority w:val="99"/>
    <w:rPr>
      <w:sz w:val="18"/>
      <w:szCs w:val="18"/>
    </w:rPr>
  </w:style>
  <w:style w:type="paragraph" w:styleId="5">
    <w:name w:val="footer"/>
    <w:basedOn w:val="1"/>
    <w:link w:val="15"/>
    <w:unhideWhenUsed/>
    <w:uiPriority w:val="99"/>
    <w:pPr>
      <w:tabs>
        <w:tab w:val="center" w:pos="4153"/>
        <w:tab w:val="right" w:pos="8306"/>
      </w:tabs>
      <w:snapToGrid w:val="0"/>
    </w:pPr>
    <w:rPr>
      <w:sz w:val="18"/>
      <w:szCs w:val="18"/>
    </w:rPr>
  </w:style>
  <w:style w:type="paragraph" w:styleId="6">
    <w:name w:val="header"/>
    <w:basedOn w:val="1"/>
    <w:link w:val="14"/>
    <w:unhideWhenUsed/>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qFormat/>
    <w:uiPriority w:val="39"/>
    <w:pPr>
      <w:spacing w:before="290"/>
      <w:ind w:left="112"/>
    </w:pPr>
    <w:rPr>
      <w:rFonts w:ascii="Times New Roman" w:hAnsi="Times New Roman" w:eastAsia="宋体"/>
      <w:sz w:val="24"/>
      <w:szCs w:val="24"/>
    </w:rPr>
  </w:style>
  <w:style w:type="character" w:styleId="10">
    <w:name w:val="Hyperlink"/>
    <w:basedOn w:val="9"/>
    <w:unhideWhenUsed/>
    <w:uiPriority w:val="99"/>
    <w:rPr>
      <w:color w:val="0000FF" w:themeColor="hyperlink"/>
      <w:u w:val="single"/>
      <w14:textFill>
        <w14:solidFill>
          <w14:schemeClr w14:val="hlink"/>
        </w14:solidFill>
      </w14:textFill>
    </w:rPr>
  </w:style>
  <w:style w:type="table" w:customStyle="1" w:styleId="11">
    <w:name w:val="Table Normal"/>
    <w:semiHidden/>
    <w:unhideWhenUsed/>
    <w:qFormat/>
    <w:uiPriority w:val="2"/>
    <w:tblPr>
      <w:tblCellMar>
        <w:top w:w="0" w:type="dxa"/>
        <w:left w:w="0" w:type="dxa"/>
        <w:bottom w:w="0" w:type="dxa"/>
        <w:right w:w="0" w:type="dxa"/>
      </w:tblCellMar>
    </w:tblPr>
  </w:style>
  <w:style w:type="paragraph" w:styleId="12">
    <w:name w:val="List Paragraph"/>
    <w:basedOn w:val="1"/>
    <w:qFormat/>
    <w:uiPriority w:val="1"/>
  </w:style>
  <w:style w:type="paragraph" w:customStyle="1" w:styleId="13">
    <w:name w:val="Table Paragraph"/>
    <w:basedOn w:val="1"/>
    <w:qFormat/>
    <w:uiPriority w:val="1"/>
  </w:style>
  <w:style w:type="character" w:customStyle="1" w:styleId="14">
    <w:name w:val="页眉 Char"/>
    <w:basedOn w:val="9"/>
    <w:link w:val="6"/>
    <w:qFormat/>
    <w:uiPriority w:val="99"/>
    <w:rPr>
      <w:sz w:val="18"/>
      <w:szCs w:val="18"/>
    </w:rPr>
  </w:style>
  <w:style w:type="character" w:customStyle="1" w:styleId="15">
    <w:name w:val="页脚 Char"/>
    <w:basedOn w:val="9"/>
    <w:link w:val="5"/>
    <w:uiPriority w:val="99"/>
    <w:rPr>
      <w:sz w:val="18"/>
      <w:szCs w:val="18"/>
    </w:rPr>
  </w:style>
  <w:style w:type="paragraph" w:customStyle="1" w:styleId="16">
    <w:name w:val="TOC Heading"/>
    <w:basedOn w:val="2"/>
    <w:next w:val="1"/>
    <w:unhideWhenUsed/>
    <w:qFormat/>
    <w:uiPriority w:val="39"/>
    <w:pPr>
      <w:keepNext/>
      <w:keepLines/>
      <w:widowControl/>
      <w:spacing w:before="240" w:line="259" w:lineRule="auto"/>
      <w:ind w:left="0"/>
      <w:outlineLvl w:val="9"/>
    </w:pPr>
    <w:rPr>
      <w:rFonts w:asciiTheme="majorHAnsi" w:hAnsiTheme="majorHAnsi" w:eastAsiaTheme="majorEastAsia" w:cstheme="majorBidi"/>
      <w:b w:val="0"/>
      <w:bCs w:val="0"/>
      <w:color w:val="376092" w:themeColor="accent1" w:themeShade="BF"/>
      <w:sz w:val="32"/>
      <w:szCs w:val="32"/>
    </w:rPr>
  </w:style>
  <w:style w:type="character" w:customStyle="1" w:styleId="17">
    <w:name w:val="批注框文本 Char"/>
    <w:basedOn w:val="9"/>
    <w:link w:val="4"/>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Sun"/>
        <a:cs typeface=""/>
      </a:majorFont>
      <a:minorFont>
        <a:latin typeface="Calibri"/>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5B7CA9-3EBC-43CA-B880-C146D6058798}">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3634</Words>
  <Characters>4165</Characters>
  <Lines>34</Lines>
  <Paragraphs>9</Paragraphs>
  <TotalTime>0</TotalTime>
  <ScaleCrop>false</ScaleCrop>
  <LinksUpToDate>false</LinksUpToDate>
  <CharactersWithSpaces>4222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2017-06-09T03:55:00Z</dcterms:created>
  <dc:creator>Theresa Mcdonald</dc:creator>
  <cp:lastModifiedBy>太极箫客</cp:lastModifiedBy>
  <dcterms:modified xsi:type="dcterms:W3CDTF">2025-08-14T06:14:48Z</dcterms:modified>
  <dc:title>INCUBATOR.PDF</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2017-03-28T00:00:00Z</vt:filetime>
  </property>
  <property fmtid="{D5CDD505-2E9C-101B-9397-08002B2CF9AE}" pid="3" name="LastSaved">
    <vt:filetime>2017-03-28T00:00:00Z</vt:filetime>
  </property>
  <property fmtid="{D5CDD505-2E9C-101B-9397-08002B2CF9AE}" pid="4" name="KSOTemplateDocerSaveRecord">
    <vt:lpwstr>eyJoZGlkIjoiMDJiMzI3ODBiNTFmMWRjNDUyMjM1ZmZjODY5NDc2MWMiLCJ1c2VySWQiOiI0NTQ4Nzg1NzAifQ==</vt:lpwstr>
  </property>
  <property fmtid="{D5CDD505-2E9C-101B-9397-08002B2CF9AE}" pid="5" name="KSOProductBuildVer">
    <vt:lpwstr>2052-12.1.0.21915</vt:lpwstr>
  </property>
  <property fmtid="{D5CDD505-2E9C-101B-9397-08002B2CF9AE}" pid="6" name="ICV">
    <vt:lpwstr>1C68716F5EAF429FB765C95394394926_12</vt:lpwstr>
  </property>
</Properties>
</file>