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B60C0">
      <w:pPr>
        <w:snapToGrid w:val="0"/>
        <w:spacing w:after="120" w:afterLines="50" w:line="300" w:lineRule="auto"/>
        <w:rPr>
          <w:rFonts w:ascii="Arial" w:hAnsi="Arial" w:eastAsia="宋体" w:cs="Arial"/>
          <w:sz w:val="24"/>
        </w:rPr>
      </w:pPr>
      <w:bookmarkStart w:id="81" w:name="_GoBack"/>
      <w:bookmarkEnd w:id="81"/>
    </w:p>
    <w:p w14:paraId="37B98C93">
      <w:pPr>
        <w:snapToGrid w:val="0"/>
        <w:spacing w:after="120" w:afterLines="50" w:line="300" w:lineRule="auto"/>
        <w:rPr>
          <w:rFonts w:ascii="Arial" w:hAnsi="Arial" w:eastAsia="宋体" w:cs="Arial"/>
          <w:sz w:val="24"/>
          <w:szCs w:val="20"/>
        </w:rPr>
      </w:pPr>
      <w:r>
        <w:rPr>
          <w:rFonts w:hint="eastAsia" w:ascii="Arial" w:hAnsi="Arial" w:eastAsia="宋体" w:cs="Arial"/>
          <w:sz w:val="21"/>
          <w:szCs w:val="21"/>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5DFDF7E6">
      <w:pPr>
        <w:snapToGrid w:val="0"/>
        <w:spacing w:after="120" w:afterLines="50" w:line="300" w:lineRule="auto"/>
        <w:jc w:val="center"/>
        <w:rPr>
          <w:rFonts w:ascii="Arial" w:hAnsi="Arial" w:eastAsia="宋体" w:cs="Arial"/>
          <w:sz w:val="32"/>
          <w:szCs w:val="32"/>
        </w:rPr>
      </w:pPr>
      <w:r>
        <w:rPr>
          <w:rFonts w:ascii="Arial" w:hAnsi="Arial" w:eastAsia="宋体" w:cs="Arial"/>
          <w:b/>
          <w:sz w:val="32"/>
          <w:szCs w:val="32"/>
        </w:rPr>
        <w:t>子宫内膜热灼治疗仪</w:t>
      </w:r>
    </w:p>
    <w:p w14:paraId="1126839B">
      <w:pPr>
        <w:snapToGrid w:val="0"/>
        <w:spacing w:after="120" w:afterLines="50" w:line="300" w:lineRule="auto"/>
        <w:jc w:val="center"/>
        <w:rPr>
          <w:rFonts w:ascii="Arial" w:hAnsi="Arial" w:eastAsia="宋体" w:cs="Arial"/>
          <w:sz w:val="32"/>
          <w:szCs w:val="32"/>
        </w:rPr>
      </w:pPr>
      <w:r>
        <w:rPr>
          <w:rFonts w:ascii="Arial" w:hAnsi="Arial" w:eastAsia="宋体" w:cs="Arial"/>
          <w:b/>
          <w:sz w:val="32"/>
          <w:szCs w:val="32"/>
        </w:rPr>
        <w:t>临床研究豁免申报指南</w:t>
      </w:r>
    </w:p>
    <w:p w14:paraId="509196AA">
      <w:pPr>
        <w:snapToGrid w:val="0"/>
        <w:spacing w:after="120" w:afterLines="50" w:line="300" w:lineRule="auto"/>
        <w:rPr>
          <w:rFonts w:ascii="Arial" w:hAnsi="Arial" w:eastAsia="宋体" w:cs="Arial"/>
          <w:sz w:val="24"/>
          <w:szCs w:val="30"/>
        </w:rPr>
      </w:pPr>
    </w:p>
    <w:p w14:paraId="271F3183">
      <w:pPr>
        <w:snapToGrid w:val="0"/>
        <w:spacing w:after="120" w:afterLines="50" w:line="300" w:lineRule="auto"/>
        <w:jc w:val="center"/>
        <w:rPr>
          <w:rFonts w:ascii="Arial" w:hAnsi="Arial" w:eastAsia="宋体" w:cs="Arial"/>
          <w:b/>
          <w:bCs/>
          <w:sz w:val="24"/>
        </w:rPr>
      </w:pPr>
      <w:r>
        <w:rPr>
          <w:rFonts w:ascii="Arial" w:hAnsi="Arial" w:eastAsia="宋体" w:cs="Arial"/>
          <w:b/>
          <w:sz w:val="24"/>
        </w:rPr>
        <w:t>定稿时间：1996年3月14日</w:t>
      </w:r>
    </w:p>
    <w:p w14:paraId="16B05044">
      <w:pPr>
        <w:snapToGrid w:val="0"/>
        <w:spacing w:after="120" w:afterLines="50" w:line="300" w:lineRule="auto"/>
        <w:rPr>
          <w:rFonts w:ascii="Arial" w:hAnsi="Arial" w:eastAsia="宋体" w:cs="Arial"/>
          <w:sz w:val="24"/>
          <w:szCs w:val="19"/>
        </w:rPr>
      </w:pPr>
    </w:p>
    <w:p w14:paraId="1580433F">
      <w:pPr>
        <w:snapToGrid w:val="0"/>
        <w:spacing w:after="120" w:afterLines="50" w:line="300" w:lineRule="auto"/>
        <w:rPr>
          <w:rFonts w:ascii="Arial" w:hAnsi="Arial" w:eastAsia="宋体" w:cs="Arial"/>
          <w:sz w:val="24"/>
          <w:szCs w:val="24"/>
        </w:rPr>
      </w:pPr>
    </w:p>
    <w:p w14:paraId="1D8109AC">
      <w:pPr>
        <w:snapToGrid w:val="0"/>
        <w:spacing w:after="120" w:afterLines="50" w:line="300" w:lineRule="auto"/>
        <w:rPr>
          <w:rFonts w:ascii="Arial" w:hAnsi="Arial" w:eastAsia="宋体" w:cs="Arial"/>
          <w:sz w:val="24"/>
          <w:szCs w:val="24"/>
        </w:rPr>
      </w:pPr>
    </w:p>
    <w:p w14:paraId="63DF84A5">
      <w:pPr>
        <w:snapToGrid w:val="0"/>
        <w:spacing w:after="120" w:afterLines="50" w:line="300" w:lineRule="auto"/>
        <w:rPr>
          <w:rFonts w:ascii="Arial" w:hAnsi="Arial" w:eastAsia="宋体" w:cs="Arial"/>
          <w:sz w:val="24"/>
          <w:szCs w:val="24"/>
        </w:rPr>
      </w:pPr>
    </w:p>
    <w:p w14:paraId="1AD8CB67">
      <w:pPr>
        <w:snapToGrid w:val="0"/>
        <w:spacing w:after="120" w:afterLines="50" w:line="300" w:lineRule="auto"/>
        <w:rPr>
          <w:rFonts w:ascii="Arial" w:hAnsi="Arial" w:eastAsia="宋体" w:cs="Arial"/>
          <w:sz w:val="24"/>
          <w:szCs w:val="24"/>
        </w:rPr>
      </w:pPr>
    </w:p>
    <w:p w14:paraId="33A528FB">
      <w:pPr>
        <w:snapToGrid w:val="0"/>
        <w:spacing w:after="120" w:afterLines="50" w:line="300" w:lineRule="auto"/>
        <w:rPr>
          <w:rFonts w:ascii="Arial" w:hAnsi="Arial" w:eastAsia="宋体" w:cs="Arial"/>
          <w:sz w:val="24"/>
          <w:szCs w:val="24"/>
        </w:rPr>
      </w:pPr>
    </w:p>
    <w:p w14:paraId="0D08903B">
      <w:pPr>
        <w:snapToGrid w:val="0"/>
        <w:spacing w:after="120" w:afterLines="50" w:line="300" w:lineRule="auto"/>
        <w:rPr>
          <w:rFonts w:ascii="Arial" w:hAnsi="Arial" w:eastAsia="宋体" w:cs="Arial"/>
          <w:sz w:val="24"/>
          <w:szCs w:val="24"/>
        </w:rPr>
      </w:pPr>
    </w:p>
    <w:p w14:paraId="6F765B63">
      <w:pPr>
        <w:snapToGrid w:val="0"/>
        <w:spacing w:after="120" w:afterLines="50" w:line="300" w:lineRule="auto"/>
        <w:rPr>
          <w:rFonts w:ascii="Arial" w:hAnsi="Arial" w:eastAsia="宋体" w:cs="Arial"/>
          <w:sz w:val="24"/>
          <w:szCs w:val="24"/>
        </w:rPr>
      </w:pPr>
    </w:p>
    <w:p w14:paraId="28A88540">
      <w:pPr>
        <w:snapToGrid w:val="0"/>
        <w:spacing w:after="120" w:afterLines="50" w:line="300" w:lineRule="auto"/>
        <w:rPr>
          <w:rFonts w:ascii="Arial" w:hAnsi="Arial" w:eastAsia="宋体" w:cs="Arial"/>
          <w:sz w:val="24"/>
          <w:szCs w:val="24"/>
        </w:rPr>
      </w:pPr>
    </w:p>
    <w:p w14:paraId="20F100F1">
      <w:pPr>
        <w:snapToGrid w:val="0"/>
        <w:spacing w:after="120" w:afterLines="50" w:line="300" w:lineRule="auto"/>
        <w:rPr>
          <w:rFonts w:ascii="Arial" w:hAnsi="Arial" w:eastAsia="宋体" w:cs="Arial"/>
          <w:sz w:val="24"/>
          <w:szCs w:val="24"/>
        </w:rPr>
      </w:pPr>
    </w:p>
    <w:p w14:paraId="7FCE78EB">
      <w:pPr>
        <w:snapToGrid w:val="0"/>
        <w:spacing w:after="120" w:afterLines="50" w:line="300" w:lineRule="auto"/>
        <w:rPr>
          <w:rFonts w:ascii="Arial" w:hAnsi="Arial" w:eastAsia="宋体" w:cs="Arial"/>
          <w:sz w:val="24"/>
          <w:szCs w:val="24"/>
        </w:rPr>
      </w:pPr>
    </w:p>
    <w:p w14:paraId="7988AF2C">
      <w:pPr>
        <w:pStyle w:val="11"/>
        <w:snapToGrid w:val="0"/>
        <w:spacing w:before="0" w:after="120" w:afterLines="50" w:line="300" w:lineRule="auto"/>
        <w:ind w:left="0" w:firstLine="0"/>
        <w:rPr>
          <w:rFonts w:ascii="Arial" w:hAnsi="Arial" w:cs="Arial"/>
        </w:rPr>
      </w:pPr>
      <w:r>
        <w:rPr>
          <w:rFonts w:hint="eastAsia" w:ascii="Arial" w:hAnsi="Arial" w:cs="Arial"/>
        </w:rPr>
        <w:t>制定部门</w:t>
      </w:r>
      <w:r>
        <w:rPr>
          <w:rFonts w:ascii="Arial" w:hAnsi="Arial" w:cs="Arial"/>
        </w:rPr>
        <w:t>：</w:t>
      </w:r>
    </w:p>
    <w:p w14:paraId="15D665CF">
      <w:pPr>
        <w:pStyle w:val="11"/>
        <w:snapToGrid w:val="0"/>
        <w:spacing w:before="0" w:after="120" w:afterLines="50" w:line="300" w:lineRule="auto"/>
        <w:ind w:left="0" w:firstLine="866" w:firstLineChars="361"/>
        <w:rPr>
          <w:rFonts w:ascii="Arial" w:hAnsi="Arial" w:cs="Arial"/>
          <w:spacing w:val="27"/>
        </w:rPr>
      </w:pPr>
      <w:r>
        <w:rPr>
          <w:rFonts w:ascii="Arial" w:hAnsi="Arial" w:cs="Arial"/>
        </w:rPr>
        <w:t xml:space="preserve">妇产科器械部 </w:t>
      </w:r>
    </w:p>
    <w:p w14:paraId="491E59C2">
      <w:pPr>
        <w:pStyle w:val="11"/>
        <w:snapToGrid w:val="0"/>
        <w:spacing w:before="0" w:after="120" w:afterLines="50" w:line="300" w:lineRule="auto"/>
        <w:ind w:left="0" w:firstLine="866" w:firstLineChars="361"/>
        <w:rPr>
          <w:rFonts w:ascii="Arial" w:hAnsi="Arial" w:cs="Arial"/>
          <w:spacing w:val="18"/>
        </w:rPr>
      </w:pPr>
      <w:r>
        <w:rPr>
          <w:rFonts w:ascii="Arial" w:hAnsi="Arial" w:cs="Arial"/>
        </w:rPr>
        <w:t xml:space="preserve">器械评估办公室HFZ-470 </w:t>
      </w:r>
    </w:p>
    <w:p w14:paraId="05E3FBEC">
      <w:pPr>
        <w:pStyle w:val="11"/>
        <w:snapToGrid w:val="0"/>
        <w:spacing w:before="0" w:after="120" w:afterLines="50" w:line="300" w:lineRule="auto"/>
        <w:ind w:left="0" w:firstLine="866" w:firstLineChars="361"/>
        <w:rPr>
          <w:rFonts w:hint="eastAsia" w:ascii="Arial" w:hAnsi="Arial" w:cs="Arial"/>
        </w:rPr>
      </w:pPr>
      <w:r>
        <w:rPr>
          <w:rFonts w:ascii="Arial" w:hAnsi="Arial" w:cs="Arial"/>
        </w:rPr>
        <w:t>9200 Corporate Blvd</w:t>
      </w:r>
    </w:p>
    <w:p w14:paraId="2F9679A5">
      <w:pPr>
        <w:pStyle w:val="11"/>
        <w:snapToGrid w:val="0"/>
        <w:spacing w:before="0" w:after="120" w:afterLines="50" w:line="300" w:lineRule="auto"/>
        <w:ind w:left="0" w:firstLine="866" w:firstLineChars="361"/>
        <w:rPr>
          <w:rFonts w:ascii="Arial" w:hAnsi="Arial" w:cs="Arial"/>
        </w:rPr>
      </w:pPr>
      <w:r>
        <w:rPr>
          <w:rFonts w:ascii="Arial" w:hAnsi="Arial" w:cs="Arial"/>
        </w:rPr>
        <w:t>Rockville，MD 20850</w:t>
      </w:r>
    </w:p>
    <w:p w14:paraId="7BAEC435">
      <w:pPr>
        <w:pStyle w:val="11"/>
        <w:snapToGrid w:val="0"/>
        <w:spacing w:before="0" w:after="120" w:afterLines="50" w:line="300" w:lineRule="auto"/>
        <w:ind w:left="0" w:firstLine="866" w:firstLineChars="361"/>
        <w:rPr>
          <w:rFonts w:ascii="Arial" w:hAnsi="Arial" w:cs="Arial"/>
        </w:rPr>
      </w:pPr>
      <w:r>
        <w:rPr>
          <w:rFonts w:ascii="Arial" w:hAnsi="Arial" w:cs="Arial"/>
        </w:rPr>
        <w:t>（301）594-1180</w:t>
      </w:r>
    </w:p>
    <w:p w14:paraId="0C6809D7">
      <w:pPr>
        <w:rPr>
          <w:rFonts w:ascii="Arial" w:hAnsi="Arial" w:eastAsia="宋体" w:cs="Arial"/>
          <w:sz w:val="24"/>
        </w:rPr>
      </w:pPr>
      <w:r>
        <w:rPr>
          <w:rFonts w:ascii="Arial" w:hAnsi="Arial" w:eastAsia="宋体" w:cs="Arial"/>
          <w:sz w:val="24"/>
        </w:rPr>
        <w:br w:type="page"/>
      </w:r>
    </w:p>
    <w:sdt>
      <w:sdtPr>
        <w:rPr>
          <w:rFonts w:ascii="Arial" w:hAnsi="Arial" w:eastAsia="宋体" w:cs="Arial"/>
          <w:sz w:val="24"/>
          <w:lang w:val="zh-CN"/>
        </w:rPr>
        <w:id w:val="1630197530"/>
        <w:docPartObj>
          <w:docPartGallery w:val="Table of Contents"/>
          <w:docPartUnique/>
        </w:docPartObj>
      </w:sdtPr>
      <w:sdtEndPr>
        <w:rPr>
          <w:rFonts w:ascii="Arial" w:hAnsi="Arial" w:eastAsia="宋体" w:cs="Arial"/>
          <w:b/>
          <w:bCs/>
          <w:sz w:val="24"/>
          <w:lang w:val="zh-CN"/>
        </w:rPr>
      </w:sdtEndPr>
      <w:sdtContent>
        <w:p w14:paraId="1FBC12C6">
          <w:pPr>
            <w:snapToGrid w:val="0"/>
            <w:spacing w:after="120" w:afterLines="50" w:line="300" w:lineRule="auto"/>
            <w:jc w:val="center"/>
            <w:rPr>
              <w:rFonts w:ascii="Arial" w:hAnsi="Arial" w:eastAsia="宋体" w:cs="Arial"/>
              <w:b/>
              <w:sz w:val="24"/>
            </w:rPr>
          </w:pPr>
          <w:r>
            <w:rPr>
              <w:rFonts w:hint="eastAsia" w:ascii="Arial" w:hAnsi="Arial" w:eastAsia="宋体" w:cs="Arial"/>
              <w:b/>
              <w:sz w:val="24"/>
              <w:lang w:val="zh-CN"/>
            </w:rPr>
            <w:t>目录</w:t>
          </w:r>
        </w:p>
        <w:p w14:paraId="4C11A985">
          <w:pPr>
            <w:pStyle w:val="16"/>
            <w:tabs>
              <w:tab w:val="left" w:pos="1134"/>
              <w:tab w:val="right" w:leader="dot" w:pos="9962"/>
            </w:tabs>
            <w:rPr>
              <w:rFonts w:asciiTheme="minorHAnsi" w:hAnsiTheme="minorHAnsi" w:eastAsiaTheme="minorEastAsia"/>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"_Toc481769683" </w:instrText>
          </w:r>
          <w:r>
            <w:fldChar w:fldCharType="separate"/>
          </w:r>
          <w:r>
            <w:rPr>
              <w:rStyle w:val="20"/>
              <w:rFonts w:ascii="Arial" w:hAnsi="Arial" w:cs="Arial"/>
            </w:rPr>
            <w:t>I.</w:t>
          </w:r>
          <w:r>
            <w:rPr>
              <w:rFonts w:asciiTheme="minorHAnsi" w:hAnsiTheme="minorHAnsi" w:eastAsiaTheme="minorEastAsia"/>
              <w:kern w:val="2"/>
              <w:sz w:val="21"/>
              <w:szCs w:val="22"/>
            </w:rPr>
            <w:tab/>
          </w:r>
          <w:r>
            <w:rPr>
              <w:rStyle w:val="20"/>
              <w:rFonts w:hint="eastAsia" w:ascii="Arial" w:hAnsi="Arial" w:cs="Arial"/>
            </w:rPr>
            <w:t>前言</w:t>
          </w:r>
          <w:r>
            <w:tab/>
          </w:r>
          <w:r>
            <w:fldChar w:fldCharType="begin"/>
          </w:r>
          <w:r>
            <w:instrText xml:space="preserve"> PAGEREF _Toc481769683 \h </w:instrText>
          </w:r>
          <w:r>
            <w:fldChar w:fldCharType="separate"/>
          </w:r>
          <w:r>
            <w:t>4</w:t>
          </w:r>
          <w:r>
            <w:fldChar w:fldCharType="end"/>
          </w:r>
          <w:r>
            <w:fldChar w:fldCharType="end"/>
          </w:r>
        </w:p>
        <w:p w14:paraId="239FA4B5">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"_Toc481769684" </w:instrText>
          </w:r>
          <w:r>
            <w:fldChar w:fldCharType="separate"/>
          </w:r>
          <w:r>
            <w:rPr>
              <w:rStyle w:val="20"/>
              <w:rFonts w:ascii="Arial" w:hAnsi="Arial" w:cs="Arial"/>
            </w:rPr>
            <w:t>II.</w:t>
          </w:r>
          <w:r>
            <w:rPr>
              <w:rFonts w:asciiTheme="minorHAnsi" w:hAnsiTheme="minorHAnsi" w:eastAsiaTheme="minorEastAsia"/>
              <w:kern w:val="2"/>
              <w:sz w:val="21"/>
              <w:szCs w:val="22"/>
            </w:rPr>
            <w:tab/>
          </w:r>
          <w:r>
            <w:rPr>
              <w:rStyle w:val="20"/>
              <w:rFonts w:hint="eastAsia" w:ascii="Arial" w:hAnsi="Arial" w:cs="Arial"/>
            </w:rPr>
            <w:t>器械设计与描述</w:t>
          </w:r>
          <w:r>
            <w:tab/>
          </w:r>
          <w:r>
            <w:fldChar w:fldCharType="begin"/>
          </w:r>
          <w:r>
            <w:instrText xml:space="preserve"> PAGEREF _Toc481769684 \h </w:instrText>
          </w:r>
          <w:r>
            <w:fldChar w:fldCharType="separate"/>
          </w:r>
          <w:r>
            <w:t>4</w:t>
          </w:r>
          <w:r>
            <w:fldChar w:fldCharType="end"/>
          </w:r>
          <w:r>
            <w:fldChar w:fldCharType="end"/>
          </w:r>
        </w:p>
        <w:p w14:paraId="560E4A4B">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"_Toc481769685"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器械描述</w:t>
          </w:r>
          <w:r>
            <w:tab/>
          </w:r>
          <w:r>
            <w:fldChar w:fldCharType="begin"/>
          </w:r>
          <w:r>
            <w:instrText xml:space="preserve"> PAGEREF _Toc481769685 \h </w:instrText>
          </w:r>
          <w:r>
            <w:fldChar w:fldCharType="separate"/>
          </w:r>
          <w:r>
            <w:t>4</w:t>
          </w:r>
          <w:r>
            <w:fldChar w:fldCharType="end"/>
          </w:r>
          <w:r>
            <w:fldChar w:fldCharType="end"/>
          </w:r>
        </w:p>
        <w:p w14:paraId="5DA500EC">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"_Toc481769686"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材料</w:t>
          </w:r>
          <w:r>
            <w:tab/>
          </w:r>
          <w:r>
            <w:fldChar w:fldCharType="begin"/>
          </w:r>
          <w:r>
            <w:instrText xml:space="preserve"> PAGEREF _Toc481769686 \h </w:instrText>
          </w:r>
          <w:r>
            <w:fldChar w:fldCharType="separate"/>
          </w:r>
          <w:r>
            <w:t>4</w:t>
          </w:r>
          <w:r>
            <w:fldChar w:fldCharType="end"/>
          </w:r>
          <w:r>
            <w:fldChar w:fldCharType="end"/>
          </w:r>
        </w:p>
        <w:p w14:paraId="56DCE9F0">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"_Toc481769687"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生物相容性试验（用于有患者接触的器械）</w:t>
          </w:r>
          <w:r>
            <w:tab/>
          </w:r>
          <w:r>
            <w:fldChar w:fldCharType="begin"/>
          </w:r>
          <w:r>
            <w:instrText xml:space="preserve"> PAGEREF _Toc481769687 \h </w:instrText>
          </w:r>
          <w:r>
            <w:fldChar w:fldCharType="separate"/>
          </w:r>
          <w:r>
            <w:t>2</w:t>
          </w:r>
          <w:r>
            <w:fldChar w:fldCharType="end"/>
          </w:r>
          <w:r>
            <w:fldChar w:fldCharType="end"/>
          </w:r>
        </w:p>
        <w:p w14:paraId="527828B6">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"_Toc481769688"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软件</w:t>
          </w:r>
          <w:r>
            <w:tab/>
          </w:r>
          <w:r>
            <w:fldChar w:fldCharType="begin"/>
          </w:r>
          <w:r>
            <w:instrText xml:space="preserve"> PAGEREF _Toc481769688 \h </w:instrText>
          </w:r>
          <w:r>
            <w:fldChar w:fldCharType="separate"/>
          </w:r>
          <w:r>
            <w:t>2</w:t>
          </w:r>
          <w:r>
            <w:fldChar w:fldCharType="end"/>
          </w:r>
          <w:r>
            <w:fldChar w:fldCharType="end"/>
          </w:r>
        </w:p>
        <w:p w14:paraId="793D495A">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"_Toc481769689" </w:instrText>
          </w:r>
          <w:r>
            <w:fldChar w:fldCharType="separate"/>
          </w:r>
          <w:r>
            <w:rPr>
              <w:rStyle w:val="20"/>
              <w:rFonts w:ascii="Arial" w:hAnsi="Arial" w:cs="Arial"/>
            </w:rPr>
            <w:t>III.</w:t>
          </w:r>
          <w:r>
            <w:rPr>
              <w:rFonts w:asciiTheme="minorHAnsi" w:hAnsiTheme="minorHAnsi" w:eastAsiaTheme="minorEastAsia"/>
              <w:kern w:val="2"/>
              <w:sz w:val="21"/>
              <w:szCs w:val="22"/>
            </w:rPr>
            <w:tab/>
          </w:r>
          <w:r>
            <w:rPr>
              <w:rStyle w:val="20"/>
              <w:rFonts w:hint="eastAsia" w:ascii="Arial" w:hAnsi="Arial" w:cs="Arial"/>
            </w:rPr>
            <w:t>器械性能</w:t>
          </w:r>
          <w:r>
            <w:tab/>
          </w:r>
          <w:r>
            <w:fldChar w:fldCharType="begin"/>
          </w:r>
          <w:r>
            <w:instrText xml:space="preserve"> PAGEREF _Toc481769689 \h </w:instrText>
          </w:r>
          <w:r>
            <w:fldChar w:fldCharType="separate"/>
          </w:r>
          <w:r>
            <w:t>3</w:t>
          </w:r>
          <w:r>
            <w:fldChar w:fldCharType="end"/>
          </w:r>
          <w:r>
            <w:fldChar w:fldCharType="end"/>
          </w:r>
        </w:p>
        <w:p w14:paraId="208418AC">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"_Toc481769690"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设计标准</w:t>
          </w:r>
          <w:r>
            <w:tab/>
          </w:r>
          <w:r>
            <w:fldChar w:fldCharType="begin"/>
          </w:r>
          <w:r>
            <w:instrText xml:space="preserve"> PAGEREF _Toc481769690 \h </w:instrText>
          </w:r>
          <w:r>
            <w:fldChar w:fldCharType="separate"/>
          </w:r>
          <w:r>
            <w:t>3</w:t>
          </w:r>
          <w:r>
            <w:fldChar w:fldCharType="end"/>
          </w:r>
          <w:r>
            <w:fldChar w:fldCharType="end"/>
          </w:r>
        </w:p>
        <w:p w14:paraId="46880A7B">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"_Toc481769691"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电气安全</w:t>
          </w:r>
          <w:r>
            <w:tab/>
          </w:r>
          <w:r>
            <w:fldChar w:fldCharType="begin"/>
          </w:r>
          <w:r>
            <w:instrText xml:space="preserve"> PAGEREF _Toc481769691 \h </w:instrText>
          </w:r>
          <w:r>
            <w:fldChar w:fldCharType="separate"/>
          </w:r>
          <w:r>
            <w:t>3</w:t>
          </w:r>
          <w:r>
            <w:fldChar w:fldCharType="end"/>
          </w:r>
          <w:r>
            <w:fldChar w:fldCharType="end"/>
          </w:r>
        </w:p>
        <w:p w14:paraId="029180E9">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"_Toc481769692"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电磁兼容性（</w:t>
          </w:r>
          <w:r>
            <w:rPr>
              <w:rStyle w:val="20"/>
              <w:rFonts w:ascii="Arial" w:hAnsi="Arial" w:cs="Arial"/>
            </w:rPr>
            <w:t>EMC</w:t>
          </w:r>
          <w:r>
            <w:rPr>
              <w:rStyle w:val="20"/>
              <w:rFonts w:hint="eastAsia" w:ascii="Arial" w:hAnsi="Arial" w:cs="Arial"/>
            </w:rPr>
            <w:t>）提供：</w:t>
          </w:r>
          <w:r>
            <w:tab/>
          </w:r>
          <w:r>
            <w:fldChar w:fldCharType="begin"/>
          </w:r>
          <w:r>
            <w:instrText xml:space="preserve"> PAGEREF _Toc481769692 \h </w:instrText>
          </w:r>
          <w:r>
            <w:fldChar w:fldCharType="separate"/>
          </w:r>
          <w:r>
            <w:t>3</w:t>
          </w:r>
          <w:r>
            <w:fldChar w:fldCharType="end"/>
          </w:r>
          <w:r>
            <w:fldChar w:fldCharType="end"/>
          </w:r>
        </w:p>
        <w:p w14:paraId="6530019D">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"_Toc481769693"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系统级试验</w:t>
          </w:r>
          <w:r>
            <w:tab/>
          </w:r>
          <w:r>
            <w:fldChar w:fldCharType="begin"/>
          </w:r>
          <w:r>
            <w:instrText xml:space="preserve"> PAGEREF _Toc481769693 \h </w:instrText>
          </w:r>
          <w:r>
            <w:fldChar w:fldCharType="separate"/>
          </w:r>
          <w:r>
            <w:t>3</w:t>
          </w:r>
          <w:r>
            <w:fldChar w:fldCharType="end"/>
          </w:r>
          <w:r>
            <w:fldChar w:fldCharType="end"/>
          </w:r>
        </w:p>
        <w:p w14:paraId="4C4B959F">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"_Toc481769694" </w:instrText>
          </w:r>
          <w:r>
            <w:fldChar w:fldCharType="separate"/>
          </w:r>
          <w:r>
            <w:rPr>
              <w:rStyle w:val="20"/>
              <w:rFonts w:ascii="Arial" w:hAnsi="Arial" w:cs="Arial"/>
            </w:rPr>
            <w:t>IV.</w:t>
          </w:r>
          <w:r>
            <w:rPr>
              <w:rFonts w:asciiTheme="minorHAnsi" w:hAnsiTheme="minorHAnsi" w:eastAsiaTheme="minorEastAsia"/>
              <w:kern w:val="2"/>
              <w:sz w:val="21"/>
              <w:szCs w:val="22"/>
            </w:rPr>
            <w:tab/>
          </w:r>
          <w:r>
            <w:rPr>
              <w:rStyle w:val="20"/>
              <w:rFonts w:hint="eastAsia" w:ascii="Arial" w:hAnsi="Arial" w:cs="Arial"/>
            </w:rPr>
            <w:t>标签</w:t>
          </w:r>
          <w:r>
            <w:tab/>
          </w:r>
          <w:r>
            <w:fldChar w:fldCharType="begin"/>
          </w:r>
          <w:r>
            <w:instrText xml:space="preserve"> PAGEREF _Toc481769694 \h </w:instrText>
          </w:r>
          <w:r>
            <w:fldChar w:fldCharType="separate"/>
          </w:r>
          <w:r>
            <w:t>3</w:t>
          </w:r>
          <w:r>
            <w:fldChar w:fldCharType="end"/>
          </w:r>
          <w:r>
            <w:fldChar w:fldCharType="end"/>
          </w:r>
        </w:p>
        <w:p w14:paraId="3220EA0D">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"_Toc481769695" </w:instrText>
          </w:r>
          <w:r>
            <w:fldChar w:fldCharType="separate"/>
          </w:r>
          <w:r>
            <w:rPr>
              <w:rStyle w:val="20"/>
              <w:rFonts w:ascii="Arial" w:hAnsi="Arial" w:cs="Arial"/>
              <w14:scene3d w14:prst="orthographicFront">
                <w14:lightRig w14:rig="threePt" w14:dir="t">
                  <w14:rot w14:lat="0" w14:lon="0" w14:rev="0"/>
                </w14:lightRig>
              </w14:scene3d>
            </w:rPr>
            <w:t>V.</w:t>
          </w:r>
          <w:r>
            <w:rPr>
              <w:rFonts w:asciiTheme="minorHAnsi" w:hAnsiTheme="minorHAnsi" w:eastAsiaTheme="minorEastAsia"/>
              <w:kern w:val="2"/>
              <w:sz w:val="21"/>
              <w:szCs w:val="22"/>
            </w:rPr>
            <w:tab/>
          </w:r>
          <w:r>
            <w:rPr>
              <w:rStyle w:val="20"/>
              <w:rFonts w:hint="eastAsia" w:ascii="Arial" w:hAnsi="Arial" w:cs="Arial"/>
            </w:rPr>
            <w:t>制造</w:t>
          </w:r>
          <w:r>
            <w:tab/>
          </w:r>
          <w:r>
            <w:fldChar w:fldCharType="begin"/>
          </w:r>
          <w:r>
            <w:instrText xml:space="preserve"> PAGEREF _Toc481769695 \h </w:instrText>
          </w:r>
          <w:r>
            <w:fldChar w:fldCharType="separate"/>
          </w:r>
          <w:r>
            <w:t>4</w:t>
          </w:r>
          <w:r>
            <w:fldChar w:fldCharType="end"/>
          </w:r>
          <w:r>
            <w:fldChar w:fldCharType="end"/>
          </w:r>
        </w:p>
        <w:p w14:paraId="6A520C73">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"_Toc481769696" </w:instrText>
          </w:r>
          <w:r>
            <w:fldChar w:fldCharType="separate"/>
          </w:r>
          <w:r>
            <w:rPr>
              <w:rStyle w:val="20"/>
              <w:rFonts w:ascii="Arial" w:hAnsi="Arial" w:cs="Arial"/>
              <w14:scene3d w14:prst="orthographicFront">
                <w14:lightRig w14:rig="threePt" w14:dir="t">
                  <w14:rot w14:lat="0" w14:lon="0" w14:rev="0"/>
                </w14:lightRig>
              </w14:scene3d>
            </w:rPr>
            <w:t>VI.</w:t>
          </w:r>
          <w:r>
            <w:rPr>
              <w:rFonts w:asciiTheme="minorHAnsi" w:hAnsiTheme="minorHAnsi" w:eastAsiaTheme="minorEastAsia"/>
              <w:kern w:val="2"/>
              <w:sz w:val="21"/>
              <w:szCs w:val="22"/>
            </w:rPr>
            <w:tab/>
          </w:r>
          <w:r>
            <w:rPr>
              <w:rStyle w:val="20"/>
              <w:rFonts w:hint="eastAsia" w:ascii="Arial" w:hAnsi="Arial" w:cs="Arial"/>
            </w:rPr>
            <w:t>灭菌</w:t>
          </w:r>
          <w:r>
            <w:tab/>
          </w:r>
          <w:r>
            <w:fldChar w:fldCharType="begin"/>
          </w:r>
          <w:r>
            <w:instrText xml:space="preserve"> PAGEREF _Toc481769696 \h </w:instrText>
          </w:r>
          <w:r>
            <w:fldChar w:fldCharType="separate"/>
          </w:r>
          <w:r>
            <w:t>4</w:t>
          </w:r>
          <w:r>
            <w:fldChar w:fldCharType="end"/>
          </w:r>
          <w:r>
            <w:fldChar w:fldCharType="end"/>
          </w:r>
        </w:p>
        <w:p w14:paraId="487A0A2C">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"_Toc481769697"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可重复使用的组件</w:t>
          </w:r>
          <w:r>
            <w:tab/>
          </w:r>
          <w:r>
            <w:fldChar w:fldCharType="begin"/>
          </w:r>
          <w:r>
            <w:instrText xml:space="preserve"> PAGEREF _Toc481769697 \h </w:instrText>
          </w:r>
          <w:r>
            <w:fldChar w:fldCharType="separate"/>
          </w:r>
          <w:r>
            <w:t>4</w:t>
          </w:r>
          <w:r>
            <w:fldChar w:fldCharType="end"/>
          </w:r>
          <w:r>
            <w:fldChar w:fldCharType="end"/>
          </w:r>
        </w:p>
        <w:p w14:paraId="1E2A3269">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"_Toc481769698"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一次性组件</w:t>
          </w:r>
          <w:r>
            <w:tab/>
          </w:r>
          <w:r>
            <w:fldChar w:fldCharType="begin"/>
          </w:r>
          <w:r>
            <w:instrText xml:space="preserve"> PAGEREF _Toc481769698 \h </w:instrText>
          </w:r>
          <w:r>
            <w:fldChar w:fldCharType="separate"/>
          </w:r>
          <w:r>
            <w:t>5</w:t>
          </w:r>
          <w:r>
            <w:fldChar w:fldCharType="end"/>
          </w:r>
          <w:r>
            <w:fldChar w:fldCharType="end"/>
          </w:r>
        </w:p>
        <w:p w14:paraId="15B39E47">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"_Toc481769699" </w:instrText>
          </w:r>
          <w:r>
            <w:fldChar w:fldCharType="separate"/>
          </w:r>
          <w:r>
            <w:rPr>
              <w:rStyle w:val="20"/>
              <w:rFonts w:ascii="Arial" w:hAnsi="Arial" w:cs="Arial"/>
              <w14:scene3d w14:prst="orthographicFront">
                <w14:lightRig w14:rig="threePt" w14:dir="t">
                  <w14:rot w14:lat="0" w14:lon="0" w14:rev="0"/>
                </w14:lightRig>
              </w14:scene3d>
            </w:rPr>
            <w:t>VII.</w:t>
          </w:r>
          <w:r>
            <w:rPr>
              <w:rFonts w:asciiTheme="minorHAnsi" w:hAnsiTheme="minorHAnsi" w:eastAsiaTheme="minorEastAsia"/>
              <w:kern w:val="2"/>
              <w:sz w:val="21"/>
              <w:szCs w:val="22"/>
            </w:rPr>
            <w:tab/>
          </w:r>
          <w:r>
            <w:rPr>
              <w:rStyle w:val="20"/>
              <w:rFonts w:hint="eastAsia" w:ascii="Arial" w:hAnsi="Arial" w:cs="Arial"/>
            </w:rPr>
            <w:t>其他所需信息（</w:t>
          </w:r>
          <w:r>
            <w:rPr>
              <w:rStyle w:val="20"/>
              <w:rFonts w:ascii="Arial" w:hAnsi="Arial" w:cs="Arial"/>
            </w:rPr>
            <w:t>812.20</w:t>
          </w:r>
          <w:r>
            <w:rPr>
              <w:rStyle w:val="20"/>
              <w:rFonts w:hint="eastAsia" w:ascii="Arial" w:hAnsi="Arial" w:cs="Arial"/>
            </w:rPr>
            <w:t>）</w:t>
          </w:r>
          <w:r>
            <w:tab/>
          </w:r>
          <w:r>
            <w:fldChar w:fldCharType="begin"/>
          </w:r>
          <w:r>
            <w:instrText xml:space="preserve"> PAGEREF _Toc481769699 \h </w:instrText>
          </w:r>
          <w:r>
            <w:fldChar w:fldCharType="separate"/>
          </w:r>
          <w:r>
            <w:t>6</w:t>
          </w:r>
          <w:r>
            <w:fldChar w:fldCharType="end"/>
          </w:r>
          <w:r>
            <w:fldChar w:fldCharType="end"/>
          </w:r>
        </w:p>
        <w:p w14:paraId="1DE7ACCB">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"_Toc481769700"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商业化</w:t>
          </w:r>
          <w:r>
            <w:tab/>
          </w:r>
          <w:r>
            <w:fldChar w:fldCharType="begin"/>
          </w:r>
          <w:r>
            <w:instrText xml:space="preserve"> PAGEREF _Toc481769700 \h </w:instrText>
          </w:r>
          <w:r>
            <w:fldChar w:fldCharType="separate"/>
          </w:r>
          <w:r>
            <w:t>6</w:t>
          </w:r>
          <w:r>
            <w:fldChar w:fldCharType="end"/>
          </w:r>
          <w:r>
            <w:fldChar w:fldCharType="end"/>
          </w:r>
        </w:p>
        <w:p w14:paraId="39EADEC8">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"_Toc481769701"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环境影响</w:t>
          </w:r>
          <w:r>
            <w:tab/>
          </w:r>
          <w:r>
            <w:fldChar w:fldCharType="begin"/>
          </w:r>
          <w:r>
            <w:instrText xml:space="preserve"> PAGEREF _Toc481769701 \h </w:instrText>
          </w:r>
          <w:r>
            <w:fldChar w:fldCharType="separate"/>
          </w:r>
          <w:r>
            <w:t>6</w:t>
          </w:r>
          <w:r>
            <w:fldChar w:fldCharType="end"/>
          </w:r>
          <w:r>
            <w:fldChar w:fldCharType="end"/>
          </w:r>
        </w:p>
        <w:p w14:paraId="01D14817">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"_Toc481769702" </w:instrText>
          </w:r>
          <w:r>
            <w:fldChar w:fldCharType="separate"/>
          </w:r>
          <w:r>
            <w:rPr>
              <w:rStyle w:val="20"/>
              <w:rFonts w:ascii="Arial" w:hAnsi="Arial" w:cs="Arial"/>
              <w14:scene3d w14:prst="orthographicFront">
                <w14:lightRig w14:rig="threePt" w14:dir="t">
                  <w14:rot w14:lat="0" w14:lon="0" w14:rev="0"/>
                </w14:lightRig>
              </w14:scene3d>
            </w:rPr>
            <w:t>VIII.</w:t>
          </w:r>
          <w:r>
            <w:rPr>
              <w:rFonts w:asciiTheme="minorHAnsi" w:hAnsiTheme="minorHAnsi" w:eastAsiaTheme="minorEastAsia"/>
              <w:kern w:val="2"/>
              <w:sz w:val="21"/>
              <w:szCs w:val="22"/>
            </w:rPr>
            <w:tab/>
          </w:r>
          <w:r>
            <w:rPr>
              <w:rStyle w:val="20"/>
              <w:rFonts w:hint="eastAsia" w:ascii="Arial" w:hAnsi="Arial" w:cs="Arial"/>
            </w:rPr>
            <w:t>所有既往研究摘要</w:t>
          </w:r>
          <w:r>
            <w:tab/>
          </w:r>
          <w:r>
            <w:fldChar w:fldCharType="begin"/>
          </w:r>
          <w:r>
            <w:instrText xml:space="preserve"> PAGEREF _Toc481769702 \h </w:instrText>
          </w:r>
          <w:r>
            <w:fldChar w:fldCharType="separate"/>
          </w:r>
          <w:r>
            <w:t>6</w:t>
          </w:r>
          <w:r>
            <w:fldChar w:fldCharType="end"/>
          </w:r>
          <w:r>
            <w:fldChar w:fldCharType="end"/>
          </w:r>
        </w:p>
        <w:p w14:paraId="34E33ABC">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"_Toc481769703"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体外和动物试验</w:t>
          </w:r>
          <w:r>
            <w:tab/>
          </w:r>
          <w:r>
            <w:fldChar w:fldCharType="begin"/>
          </w:r>
          <w:r>
            <w:instrText xml:space="preserve"> PAGEREF _Toc481769703 \h </w:instrText>
          </w:r>
          <w:r>
            <w:fldChar w:fldCharType="separate"/>
          </w:r>
          <w:r>
            <w:t>6</w:t>
          </w:r>
          <w:r>
            <w:fldChar w:fldCharType="end"/>
          </w:r>
          <w:r>
            <w:fldChar w:fldCharType="end"/>
          </w:r>
        </w:p>
        <w:p w14:paraId="4047D1DF">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"_Toc481769704"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临床试验</w:t>
          </w:r>
          <w:r>
            <w:tab/>
          </w:r>
          <w:r>
            <w:fldChar w:fldCharType="begin"/>
          </w:r>
          <w:r>
            <w:instrText xml:space="preserve"> PAGEREF _Toc481769704 \h </w:instrText>
          </w:r>
          <w:r>
            <w:fldChar w:fldCharType="separate"/>
          </w:r>
          <w:r>
            <w:t>6</w:t>
          </w:r>
          <w:r>
            <w:fldChar w:fldCharType="end"/>
          </w:r>
          <w:r>
            <w:fldChar w:fldCharType="end"/>
          </w:r>
        </w:p>
        <w:p w14:paraId="40ECEDDC">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"_Toc481769705" </w:instrText>
          </w:r>
          <w:r>
            <w:fldChar w:fldCharType="separate"/>
          </w:r>
          <w:r>
            <w:rPr>
              <w:rStyle w:val="20"/>
              <w:rFonts w:ascii="Arial" w:hAnsi="Arial" w:cs="Arial"/>
              <w14:scene3d w14:prst="orthographicFront">
                <w14:lightRig w14:rig="threePt" w14:dir="t">
                  <w14:rot w14:lat="0" w14:lon="0" w14:rev="0"/>
                </w14:lightRig>
              </w14:scene3d>
            </w:rPr>
            <w:t>IX.</w:t>
          </w:r>
          <w:r>
            <w:rPr>
              <w:rFonts w:asciiTheme="minorHAnsi" w:hAnsiTheme="minorHAnsi" w:eastAsiaTheme="minorEastAsia"/>
              <w:kern w:val="2"/>
              <w:sz w:val="21"/>
              <w:szCs w:val="22"/>
            </w:rPr>
            <w:tab/>
          </w:r>
          <w:r>
            <w:rPr>
              <w:rStyle w:val="20"/>
              <w:rFonts w:hint="eastAsia" w:ascii="Arial" w:hAnsi="Arial" w:cs="Arial"/>
            </w:rPr>
            <w:t>可行性研究</w:t>
          </w:r>
          <w:r>
            <w:rPr>
              <w:rStyle w:val="20"/>
              <w:rFonts w:ascii="Arial" w:hAnsi="Arial" w:cs="Arial"/>
            </w:rPr>
            <w:t xml:space="preserve"> - </w:t>
          </w:r>
          <w:r>
            <w:rPr>
              <w:rStyle w:val="20"/>
              <w:rFonts w:hint="eastAsia" w:ascii="Arial" w:hAnsi="Arial" w:cs="Arial"/>
            </w:rPr>
            <w:t>安全性（子宫切除术前患者）</w:t>
          </w:r>
          <w:r>
            <w:tab/>
          </w:r>
          <w:r>
            <w:fldChar w:fldCharType="begin"/>
          </w:r>
          <w:r>
            <w:instrText xml:space="preserve"> PAGEREF _Toc481769705 \h </w:instrText>
          </w:r>
          <w:r>
            <w:fldChar w:fldCharType="separate"/>
          </w:r>
          <w:r>
            <w:t>7</w:t>
          </w:r>
          <w:r>
            <w:fldChar w:fldCharType="end"/>
          </w:r>
          <w:r>
            <w:fldChar w:fldCharType="end"/>
          </w:r>
        </w:p>
        <w:p w14:paraId="775B1DE1">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"_Toc481769706"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目的</w:t>
          </w:r>
          <w:r>
            <w:tab/>
          </w:r>
          <w:r>
            <w:fldChar w:fldCharType="begin"/>
          </w:r>
          <w:r>
            <w:instrText xml:space="preserve"> PAGEREF _Toc481769706 \h </w:instrText>
          </w:r>
          <w:r>
            <w:fldChar w:fldCharType="separate"/>
          </w:r>
          <w:r>
            <w:t>7</w:t>
          </w:r>
          <w:r>
            <w:fldChar w:fldCharType="end"/>
          </w:r>
          <w:r>
            <w:fldChar w:fldCharType="end"/>
          </w:r>
        </w:p>
        <w:p w14:paraId="6CEF56EB">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"_Toc481769707"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患者人群的描述</w:t>
          </w:r>
          <w:r>
            <w:tab/>
          </w:r>
          <w:r>
            <w:fldChar w:fldCharType="begin"/>
          </w:r>
          <w:r>
            <w:instrText xml:space="preserve"> PAGEREF _Toc481769707 \h </w:instrText>
          </w:r>
          <w:r>
            <w:fldChar w:fldCharType="separate"/>
          </w:r>
          <w:r>
            <w:t>7</w:t>
          </w:r>
          <w:r>
            <w:fldChar w:fldCharType="end"/>
          </w:r>
          <w:r>
            <w:fldChar w:fldCharType="end"/>
          </w:r>
        </w:p>
        <w:p w14:paraId="0CB76807">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"_Toc481769708"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研究计划</w:t>
          </w:r>
          <w:r>
            <w:tab/>
          </w:r>
          <w:r>
            <w:fldChar w:fldCharType="begin"/>
          </w:r>
          <w:r>
            <w:instrText xml:space="preserve"> PAGEREF _Toc481769708 \h </w:instrText>
          </w:r>
          <w:r>
            <w:fldChar w:fldCharType="separate"/>
          </w:r>
          <w:r>
            <w:t>7</w:t>
          </w:r>
          <w:r>
            <w:fldChar w:fldCharType="end"/>
          </w:r>
          <w:r>
            <w:fldChar w:fldCharType="end"/>
          </w:r>
        </w:p>
        <w:p w14:paraId="23358A5F">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"_Toc481769709"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风险分析</w:t>
          </w:r>
          <w:r>
            <w:tab/>
          </w:r>
          <w:r>
            <w:fldChar w:fldCharType="begin"/>
          </w:r>
          <w:r>
            <w:instrText xml:space="preserve"> PAGEREF _Toc481769709 \h </w:instrText>
          </w:r>
          <w:r>
            <w:fldChar w:fldCharType="separate"/>
          </w:r>
          <w:r>
            <w:t>8</w:t>
          </w:r>
          <w:r>
            <w:fldChar w:fldCharType="end"/>
          </w:r>
          <w:r>
            <w:fldChar w:fldCharType="end"/>
          </w:r>
        </w:p>
        <w:p w14:paraId="5BD6B1A7">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"_Toc481769710" </w:instrText>
          </w:r>
          <w:r>
            <w:fldChar w:fldCharType="separate"/>
          </w:r>
          <w:r>
            <w:rPr>
              <w:rStyle w:val="20"/>
              <w:rFonts w:ascii="Arial" w:hAnsi="Arial" w:cs="Arial"/>
            </w:rPr>
            <w:t>E.</w:t>
          </w:r>
          <w:r>
            <w:rPr>
              <w:rFonts w:asciiTheme="minorHAnsi" w:hAnsiTheme="minorHAnsi" w:eastAsiaTheme="minorEastAsia"/>
              <w:kern w:val="2"/>
              <w:sz w:val="21"/>
              <w:szCs w:val="22"/>
            </w:rPr>
            <w:tab/>
          </w:r>
          <w:r>
            <w:rPr>
              <w:rStyle w:val="20"/>
              <w:rFonts w:hint="eastAsia" w:ascii="Arial" w:hAnsi="Arial" w:cs="Arial"/>
            </w:rPr>
            <w:t>知情同意书</w:t>
          </w:r>
          <w:r>
            <w:tab/>
          </w:r>
          <w:r>
            <w:fldChar w:fldCharType="begin"/>
          </w:r>
          <w:r>
            <w:instrText xml:space="preserve"> PAGEREF _Toc481769710 \h </w:instrText>
          </w:r>
          <w:r>
            <w:fldChar w:fldCharType="separate"/>
          </w:r>
          <w:r>
            <w:t>8</w:t>
          </w:r>
          <w:r>
            <w:fldChar w:fldCharType="end"/>
          </w:r>
          <w:r>
            <w:fldChar w:fldCharType="end"/>
          </w:r>
        </w:p>
        <w:p w14:paraId="049A4C1A">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"_Toc481769711" </w:instrText>
          </w:r>
          <w:r>
            <w:fldChar w:fldCharType="separate"/>
          </w:r>
          <w:r>
            <w:rPr>
              <w:rStyle w:val="20"/>
              <w:rFonts w:ascii="Arial" w:hAnsi="Arial" w:cs="Arial"/>
              <w14:scene3d w14:prst="orthographicFront">
                <w14:lightRig w14:rig="threePt" w14:dir="t">
                  <w14:rot w14:lat="0" w14:lon="0" w14:rev="0"/>
                </w14:lightRig>
              </w14:scene3d>
            </w:rPr>
            <w:t>X.</w:t>
          </w:r>
          <w:r>
            <w:rPr>
              <w:rFonts w:asciiTheme="minorHAnsi" w:hAnsiTheme="minorHAnsi" w:eastAsiaTheme="minorEastAsia"/>
              <w:kern w:val="2"/>
              <w:sz w:val="21"/>
              <w:szCs w:val="22"/>
            </w:rPr>
            <w:tab/>
          </w:r>
          <w:r>
            <w:rPr>
              <w:rStyle w:val="20"/>
              <w:rFonts w:hint="eastAsia" w:ascii="Arial" w:hAnsi="Arial" w:cs="Arial"/>
            </w:rPr>
            <w:t>可行性研究</w:t>
          </w:r>
          <w:r>
            <w:rPr>
              <w:rStyle w:val="20"/>
              <w:rFonts w:ascii="Arial" w:hAnsi="Arial" w:cs="Arial"/>
            </w:rPr>
            <w:t>-</w:t>
          </w:r>
          <w:r>
            <w:rPr>
              <w:rStyle w:val="20"/>
              <w:rFonts w:hint="eastAsia" w:ascii="Arial" w:hAnsi="Arial" w:cs="Arial"/>
            </w:rPr>
            <w:t>有效性</w:t>
          </w:r>
          <w:r>
            <w:tab/>
          </w:r>
          <w:r>
            <w:fldChar w:fldCharType="begin"/>
          </w:r>
          <w:r>
            <w:instrText xml:space="preserve"> PAGEREF _Toc481769711 \h </w:instrText>
          </w:r>
          <w:r>
            <w:fldChar w:fldCharType="separate"/>
          </w:r>
          <w:r>
            <w:t>8</w:t>
          </w:r>
          <w:r>
            <w:fldChar w:fldCharType="end"/>
          </w:r>
          <w:r>
            <w:fldChar w:fldCharType="end"/>
          </w:r>
        </w:p>
        <w:p w14:paraId="30EB6FFA">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"_Toc481769712"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目的</w:t>
          </w:r>
          <w:r>
            <w:tab/>
          </w:r>
          <w:r>
            <w:fldChar w:fldCharType="begin"/>
          </w:r>
          <w:r>
            <w:instrText xml:space="preserve"> PAGEREF _Toc481769712 \h </w:instrText>
          </w:r>
          <w:r>
            <w:fldChar w:fldCharType="separate"/>
          </w:r>
          <w:r>
            <w:t>8</w:t>
          </w:r>
          <w:r>
            <w:fldChar w:fldCharType="end"/>
          </w:r>
          <w:r>
            <w:fldChar w:fldCharType="end"/>
          </w:r>
        </w:p>
        <w:p w14:paraId="75A49C43">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"_Toc481769713"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患者人群的描述</w:t>
          </w:r>
          <w:r>
            <w:tab/>
          </w:r>
          <w:r>
            <w:fldChar w:fldCharType="begin"/>
          </w:r>
          <w:r>
            <w:instrText xml:space="preserve"> PAGEREF _Toc481769713 \h </w:instrText>
          </w:r>
          <w:r>
            <w:fldChar w:fldCharType="separate"/>
          </w:r>
          <w:r>
            <w:t>9</w:t>
          </w:r>
          <w:r>
            <w:fldChar w:fldCharType="end"/>
          </w:r>
          <w:r>
            <w:fldChar w:fldCharType="end"/>
          </w:r>
        </w:p>
        <w:p w14:paraId="067C1590">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"_Toc481769714"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研究计划</w:t>
          </w:r>
          <w:r>
            <w:tab/>
          </w:r>
          <w:r>
            <w:fldChar w:fldCharType="begin"/>
          </w:r>
          <w:r>
            <w:instrText xml:space="preserve"> PAGEREF _Toc481769714 \h </w:instrText>
          </w:r>
          <w:r>
            <w:fldChar w:fldCharType="separate"/>
          </w:r>
          <w:r>
            <w:t>9</w:t>
          </w:r>
          <w:r>
            <w:fldChar w:fldCharType="end"/>
          </w:r>
          <w:r>
            <w:fldChar w:fldCharType="end"/>
          </w:r>
        </w:p>
        <w:p w14:paraId="047F394A">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"_Toc481769715"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风险分析</w:t>
          </w:r>
          <w:r>
            <w:tab/>
          </w:r>
          <w:r>
            <w:fldChar w:fldCharType="begin"/>
          </w:r>
          <w:r>
            <w:instrText xml:space="preserve"> PAGEREF _Toc481769715 \h </w:instrText>
          </w:r>
          <w:r>
            <w:fldChar w:fldCharType="separate"/>
          </w:r>
          <w:r>
            <w:t>11</w:t>
          </w:r>
          <w:r>
            <w:fldChar w:fldCharType="end"/>
          </w:r>
          <w:r>
            <w:fldChar w:fldCharType="end"/>
          </w:r>
        </w:p>
        <w:p w14:paraId="7A647D16">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"_Toc481769716" </w:instrText>
          </w:r>
          <w:r>
            <w:fldChar w:fldCharType="separate"/>
          </w:r>
          <w:r>
            <w:rPr>
              <w:rStyle w:val="20"/>
              <w:rFonts w:ascii="Arial" w:hAnsi="Arial" w:cs="Arial"/>
            </w:rPr>
            <w:t>E.</w:t>
          </w:r>
          <w:r>
            <w:rPr>
              <w:rFonts w:asciiTheme="minorHAnsi" w:hAnsiTheme="minorHAnsi" w:eastAsiaTheme="minorEastAsia"/>
              <w:kern w:val="2"/>
              <w:sz w:val="21"/>
              <w:szCs w:val="22"/>
            </w:rPr>
            <w:tab/>
          </w:r>
          <w:r>
            <w:rPr>
              <w:rStyle w:val="20"/>
              <w:rFonts w:hint="eastAsia" w:ascii="Arial" w:hAnsi="Arial" w:cs="Arial"/>
            </w:rPr>
            <w:t>知情同意书</w:t>
          </w:r>
          <w:r>
            <w:tab/>
          </w:r>
          <w:r>
            <w:fldChar w:fldCharType="begin"/>
          </w:r>
          <w:r>
            <w:instrText xml:space="preserve"> PAGEREF _Toc481769716 \h </w:instrText>
          </w:r>
          <w:r>
            <w:fldChar w:fldCharType="separate"/>
          </w:r>
          <w:r>
            <w:t>11</w:t>
          </w:r>
          <w:r>
            <w:fldChar w:fldCharType="end"/>
          </w:r>
          <w:r>
            <w:fldChar w:fldCharType="end"/>
          </w:r>
        </w:p>
        <w:p w14:paraId="06DBAC30">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"_Toc481769717" </w:instrText>
          </w:r>
          <w:r>
            <w:fldChar w:fldCharType="separate"/>
          </w:r>
          <w:r>
            <w:rPr>
              <w:rStyle w:val="20"/>
              <w:rFonts w:ascii="Arial" w:hAnsi="Arial" w:cs="Arial"/>
              <w14:scene3d w14:prst="orthographicFront">
                <w14:lightRig w14:rig="threePt" w14:dir="t">
                  <w14:rot w14:lat="0" w14:lon="0" w14:rev="0"/>
                </w14:lightRig>
              </w14:scene3d>
            </w:rPr>
            <w:t>XI.</w:t>
          </w:r>
          <w:r>
            <w:rPr>
              <w:rFonts w:asciiTheme="minorHAnsi" w:hAnsiTheme="minorHAnsi" w:eastAsiaTheme="minorEastAsia"/>
              <w:kern w:val="2"/>
              <w:sz w:val="21"/>
              <w:szCs w:val="22"/>
            </w:rPr>
            <w:tab/>
          </w:r>
          <w:r>
            <w:rPr>
              <w:rStyle w:val="20"/>
              <w:rFonts w:hint="eastAsia" w:ascii="Arial" w:hAnsi="Arial" w:cs="Arial"/>
            </w:rPr>
            <w:t>安全性和有效性研究</w:t>
          </w:r>
          <w:r>
            <w:tab/>
          </w:r>
          <w:r>
            <w:fldChar w:fldCharType="begin"/>
          </w:r>
          <w:r>
            <w:instrText xml:space="preserve"> PAGEREF _Toc481769717 \h </w:instrText>
          </w:r>
          <w:r>
            <w:fldChar w:fldCharType="separate"/>
          </w:r>
          <w:r>
            <w:t>11</w:t>
          </w:r>
          <w:r>
            <w:fldChar w:fldCharType="end"/>
          </w:r>
          <w:r>
            <w:fldChar w:fldCharType="end"/>
          </w:r>
        </w:p>
        <w:p w14:paraId="5C19C1E2">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"_Toc481769718"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目的</w:t>
          </w:r>
          <w:r>
            <w:tab/>
          </w:r>
          <w:r>
            <w:fldChar w:fldCharType="begin"/>
          </w:r>
          <w:r>
            <w:instrText xml:space="preserve"> PAGEREF _Toc481769718 \h </w:instrText>
          </w:r>
          <w:r>
            <w:fldChar w:fldCharType="separate"/>
          </w:r>
          <w:r>
            <w:t>11</w:t>
          </w:r>
          <w:r>
            <w:fldChar w:fldCharType="end"/>
          </w:r>
          <w:r>
            <w:fldChar w:fldCharType="end"/>
          </w:r>
        </w:p>
        <w:p w14:paraId="4C89B9DC">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"_Toc481769719"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患者人群的描述</w:t>
          </w:r>
          <w:r>
            <w:tab/>
          </w:r>
          <w:r>
            <w:fldChar w:fldCharType="begin"/>
          </w:r>
          <w:r>
            <w:instrText xml:space="preserve"> PAGEREF _Toc481769719 \h </w:instrText>
          </w:r>
          <w:r>
            <w:fldChar w:fldCharType="separate"/>
          </w:r>
          <w:r>
            <w:t>11</w:t>
          </w:r>
          <w:r>
            <w:fldChar w:fldCharType="end"/>
          </w:r>
          <w:r>
            <w:fldChar w:fldCharType="end"/>
          </w:r>
        </w:p>
        <w:p w14:paraId="62105E1B">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"_Toc481769720"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研究计划</w:t>
          </w:r>
          <w:r>
            <w:tab/>
          </w:r>
          <w:r>
            <w:fldChar w:fldCharType="begin"/>
          </w:r>
          <w:r>
            <w:instrText xml:space="preserve"> PAGEREF _Toc481769720 \h </w:instrText>
          </w:r>
          <w:r>
            <w:fldChar w:fldCharType="separate"/>
          </w:r>
          <w:r>
            <w:t>12</w:t>
          </w:r>
          <w:r>
            <w:fldChar w:fldCharType="end"/>
          </w:r>
          <w:r>
            <w:fldChar w:fldCharType="end"/>
          </w:r>
        </w:p>
        <w:p w14:paraId="38CCB46F">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"_Toc481769721"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风险分析</w:t>
          </w:r>
          <w:r>
            <w:tab/>
          </w:r>
          <w:r>
            <w:fldChar w:fldCharType="begin"/>
          </w:r>
          <w:r>
            <w:instrText xml:space="preserve"> PAGEREF _Toc481769721 \h </w:instrText>
          </w:r>
          <w:r>
            <w:fldChar w:fldCharType="separate"/>
          </w:r>
          <w:r>
            <w:t>14</w:t>
          </w:r>
          <w:r>
            <w:fldChar w:fldCharType="end"/>
          </w:r>
          <w:r>
            <w:fldChar w:fldCharType="end"/>
          </w:r>
        </w:p>
        <w:p w14:paraId="55939343">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"_Toc481769722" </w:instrText>
          </w:r>
          <w:r>
            <w:fldChar w:fldCharType="separate"/>
          </w:r>
          <w:r>
            <w:rPr>
              <w:rStyle w:val="20"/>
              <w:rFonts w:ascii="Arial" w:hAnsi="Arial" w:cs="Arial"/>
            </w:rPr>
            <w:t>E.</w:t>
          </w:r>
          <w:r>
            <w:rPr>
              <w:rFonts w:asciiTheme="minorHAnsi" w:hAnsiTheme="minorHAnsi" w:eastAsiaTheme="minorEastAsia"/>
              <w:kern w:val="2"/>
              <w:sz w:val="21"/>
              <w:szCs w:val="22"/>
            </w:rPr>
            <w:tab/>
          </w:r>
          <w:r>
            <w:rPr>
              <w:rStyle w:val="20"/>
              <w:rFonts w:hint="eastAsia" w:ascii="Arial" w:hAnsi="Arial" w:cs="Arial"/>
            </w:rPr>
            <w:t>知情同意书</w:t>
          </w:r>
          <w:r>
            <w:tab/>
          </w:r>
          <w:r>
            <w:fldChar w:fldCharType="begin"/>
          </w:r>
          <w:r>
            <w:instrText xml:space="preserve"> PAGEREF _Toc481769722 \h </w:instrText>
          </w:r>
          <w:r>
            <w:fldChar w:fldCharType="separate"/>
          </w:r>
          <w:r>
            <w:t>14</w:t>
          </w:r>
          <w:r>
            <w:fldChar w:fldCharType="end"/>
          </w:r>
          <w:r>
            <w:fldChar w:fldCharType="end"/>
          </w:r>
        </w:p>
        <w:p w14:paraId="59503A91">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"_Toc481769723" </w:instrText>
          </w:r>
          <w:r>
            <w:fldChar w:fldCharType="separate"/>
          </w:r>
          <w:r>
            <w:rPr>
              <w:rStyle w:val="20"/>
              <w:rFonts w:ascii="Arial" w:hAnsi="Arial" w:cs="Arial"/>
            </w:rPr>
            <w:t>F.</w:t>
          </w:r>
          <w:r>
            <w:rPr>
              <w:rFonts w:asciiTheme="minorHAnsi" w:hAnsiTheme="minorHAnsi" w:eastAsiaTheme="minorEastAsia"/>
              <w:kern w:val="2"/>
              <w:sz w:val="21"/>
              <w:szCs w:val="22"/>
            </w:rPr>
            <w:tab/>
          </w:r>
          <w:r>
            <w:rPr>
              <w:rStyle w:val="20"/>
              <w:rFonts w:hint="eastAsia" w:ascii="Arial" w:hAnsi="Arial" w:cs="Arial"/>
            </w:rPr>
            <w:t>数据分析</w:t>
          </w:r>
          <w:r>
            <w:tab/>
          </w:r>
          <w:r>
            <w:fldChar w:fldCharType="begin"/>
          </w:r>
          <w:r>
            <w:instrText xml:space="preserve"> PAGEREF _Toc481769723 \h </w:instrText>
          </w:r>
          <w:r>
            <w:fldChar w:fldCharType="separate"/>
          </w:r>
          <w:r>
            <w:t>14</w:t>
          </w:r>
          <w:r>
            <w:fldChar w:fldCharType="end"/>
          </w:r>
          <w:r>
            <w:fldChar w:fldCharType="end"/>
          </w:r>
        </w:p>
        <w:p w14:paraId="0D36CCDD">
          <w:pPr>
            <w:pStyle w:val="16"/>
            <w:tabs>
              <w:tab w:val="right" w:leader="dot" w:pos="9962"/>
            </w:tabs>
            <w:rPr>
              <w:rFonts w:asciiTheme="minorHAnsi" w:hAnsiTheme="minorHAnsi" w:eastAsiaTheme="minorEastAsia"/>
              <w:kern w:val="2"/>
              <w:sz w:val="21"/>
              <w:szCs w:val="22"/>
            </w:rPr>
          </w:pPr>
          <w:r>
            <w:fldChar w:fldCharType="begin"/>
          </w:r>
          <w:r>
            <w:instrText xml:space="preserve"> HYPERLINK \l "_Toc481769724" </w:instrText>
          </w:r>
          <w:r>
            <w:fldChar w:fldCharType="separate"/>
          </w:r>
          <w:r>
            <w:rPr>
              <w:rStyle w:val="20"/>
              <w:rFonts w:hint="eastAsia" w:ascii="Arial" w:hAnsi="Arial" w:cs="Arial"/>
            </w:rPr>
            <w:t>相关</w:t>
          </w:r>
          <w:r>
            <w:rPr>
              <w:rStyle w:val="20"/>
              <w:rFonts w:ascii="Arial" w:hAnsi="Arial" w:cs="Arial"/>
            </w:rPr>
            <w:t>FDA</w:t>
          </w:r>
          <w:r>
            <w:rPr>
              <w:rStyle w:val="20"/>
              <w:rFonts w:hint="eastAsia" w:ascii="Arial" w:hAnsi="Arial" w:cs="Arial"/>
            </w:rPr>
            <w:t>文件</w:t>
          </w:r>
          <w:r>
            <w:tab/>
          </w:r>
          <w:r>
            <w:fldChar w:fldCharType="begin"/>
          </w:r>
          <w:r>
            <w:instrText xml:space="preserve"> PAGEREF _Toc481769724 \h </w:instrText>
          </w:r>
          <w:r>
            <w:fldChar w:fldCharType="separate"/>
          </w:r>
          <w:r>
            <w:t>16</w:t>
          </w:r>
          <w:r>
            <w:fldChar w:fldCharType="end"/>
          </w:r>
          <w:r>
            <w:fldChar w:fldCharType="end"/>
          </w:r>
        </w:p>
        <w:p w14:paraId="2ABD4DF7">
          <w:pPr>
            <w:pStyle w:val="16"/>
            <w:tabs>
              <w:tab w:val="right" w:leader="dot" w:pos="9962"/>
            </w:tabs>
            <w:rPr>
              <w:rFonts w:asciiTheme="minorHAnsi" w:hAnsiTheme="minorHAnsi" w:eastAsiaTheme="minorEastAsia"/>
              <w:kern w:val="2"/>
              <w:sz w:val="21"/>
              <w:szCs w:val="22"/>
            </w:rPr>
          </w:pPr>
          <w:r>
            <w:fldChar w:fldCharType="begin"/>
          </w:r>
          <w:r>
            <w:instrText xml:space="preserve"> HYPERLINK \l "_Toc481769725" </w:instrText>
          </w:r>
          <w:r>
            <w:fldChar w:fldCharType="separate"/>
          </w:r>
          <w:r>
            <w:rPr>
              <w:rStyle w:val="20"/>
              <w:rFonts w:hint="eastAsia" w:ascii="Arial" w:hAnsi="Arial" w:cs="Arial"/>
            </w:rPr>
            <w:t>参考文件</w:t>
          </w:r>
          <w:r>
            <w:tab/>
          </w:r>
          <w:r>
            <w:fldChar w:fldCharType="begin"/>
          </w:r>
          <w:r>
            <w:instrText xml:space="preserve"> PAGEREF _Toc481769725 \h </w:instrText>
          </w:r>
          <w:r>
            <w:fldChar w:fldCharType="separate"/>
          </w:r>
          <w:r>
            <w:t>17</w:t>
          </w:r>
          <w:r>
            <w:fldChar w:fldCharType="end"/>
          </w:r>
          <w:r>
            <w:fldChar w:fldCharType="end"/>
          </w:r>
        </w:p>
        <w:p w14:paraId="7829674D">
          <w:pPr>
            <w:snapToGrid w:val="0"/>
            <w:spacing w:line="300" w:lineRule="auto"/>
            <w:rPr>
              <w:rFonts w:ascii="Arial" w:hAnsi="Arial" w:eastAsia="宋体" w:cs="Arial"/>
              <w:sz w:val="24"/>
            </w:rPr>
          </w:pPr>
          <w:r>
            <w:rPr>
              <w:rFonts w:ascii="Arial" w:hAnsi="Arial" w:eastAsia="宋体" w:cs="Arial"/>
              <w:sz w:val="24"/>
              <w:szCs w:val="24"/>
            </w:rPr>
            <w:fldChar w:fldCharType="end"/>
          </w:r>
        </w:p>
      </w:sdtContent>
    </w:sdt>
    <w:p w14:paraId="1340BF6B">
      <w:pPr>
        <w:snapToGrid w:val="0"/>
        <w:spacing w:after="120" w:afterLines="50" w:line="300" w:lineRule="auto"/>
        <w:rPr>
          <w:rFonts w:ascii="Arial" w:hAnsi="Arial" w:eastAsia="宋体" w:cs="Arial"/>
          <w:sz w:val="24"/>
        </w:rPr>
        <w:sectPr>
          <w:type w:val="continuous"/>
          <w:pgSz w:w="12240" w:h="15840"/>
          <w:pgMar w:top="1134" w:right="1134" w:bottom="1134" w:left="1134" w:header="720" w:footer="720" w:gutter="0"/>
          <w:cols w:space="720" w:num="1"/>
          <w:docGrid w:linePitch="299" w:charSpace="0"/>
        </w:sectPr>
      </w:pPr>
    </w:p>
    <w:p w14:paraId="4FBDAAF5">
      <w:pPr>
        <w:snapToGrid w:val="0"/>
        <w:spacing w:after="120" w:afterLines="50" w:line="300" w:lineRule="auto"/>
        <w:rPr>
          <w:rFonts w:ascii="Arial" w:hAnsi="Arial" w:eastAsia="宋体" w:cs="Arial"/>
          <w:sz w:val="24"/>
        </w:rPr>
        <w:sectPr>
          <w:type w:val="continuous"/>
          <w:pgSz w:w="12240" w:h="15840"/>
          <w:pgMar w:top="1134" w:right="1134" w:bottom="1134" w:left="1134" w:header="720" w:footer="720" w:gutter="0"/>
          <w:cols w:space="720" w:num="1"/>
          <w:docGrid w:linePitch="299" w:charSpace="0"/>
        </w:sectPr>
      </w:pPr>
    </w:p>
    <w:p w14:paraId="72C1C488">
      <w:pPr>
        <w:pStyle w:val="2"/>
        <w:snapToGrid w:val="0"/>
        <w:spacing w:after="120" w:afterLines="50" w:line="300" w:lineRule="auto"/>
        <w:rPr>
          <w:rFonts w:ascii="Arial" w:hAnsi="Arial" w:cs="Arial"/>
        </w:rPr>
      </w:pPr>
      <w:bookmarkStart w:id="0" w:name="_Toc480443829"/>
      <w:bookmarkStart w:id="1" w:name="_Toc481769683"/>
      <w:r>
        <w:rPr>
          <w:rFonts w:ascii="Arial" w:hAnsi="Arial" w:cs="Arial"/>
        </w:rPr>
        <w:t>前言</w:t>
      </w:r>
      <w:bookmarkEnd w:id="0"/>
      <w:bookmarkEnd w:id="1"/>
    </w:p>
    <w:p w14:paraId="6BD656B4">
      <w:pPr>
        <w:pStyle w:val="11"/>
        <w:snapToGrid w:val="0"/>
        <w:spacing w:before="0" w:after="120" w:afterLines="50" w:line="300" w:lineRule="auto"/>
        <w:ind w:left="840" w:firstLine="0"/>
        <w:jc w:val="both"/>
        <w:rPr>
          <w:rFonts w:ascii="Arial" w:hAnsi="Arial" w:cs="Arial"/>
        </w:rPr>
      </w:pPr>
      <w:r>
        <w:rPr>
          <w:rFonts w:ascii="Arial" w:hAnsi="Arial" w:cs="Arial"/>
        </w:rPr>
        <w:t>本指南旨在确定器械评估办公室（ODE）在子宫内膜热灼治疗仪的研究器械豁免（IDE）申请中期望看到的要素。该组器械包括使用导电加热、RF能量、微波能量、冷冻手术等切除子宫内膜的新型器械，并且用户一旦开始就无法直接控制手术过程（即没有反馈）。重要的是要了解某些技术可能不需要本文中包含的所有信息，而其他技术可能需要超出本指导性文件范围的其他研究。</w:t>
      </w:r>
    </w:p>
    <w:p w14:paraId="5CE413A1">
      <w:pPr>
        <w:snapToGrid w:val="0"/>
        <w:spacing w:after="120" w:afterLines="50" w:line="300" w:lineRule="auto"/>
        <w:ind w:left="839"/>
        <w:jc w:val="both"/>
        <w:rPr>
          <w:rFonts w:ascii="Arial" w:hAnsi="Arial" w:eastAsia="宋体" w:cs="Arial"/>
          <w:sz w:val="24"/>
          <w:szCs w:val="24"/>
        </w:rPr>
      </w:pPr>
      <w:r>
        <w:rPr>
          <w:rFonts w:ascii="Arial" w:hAnsi="Arial" w:eastAsia="宋体" w:cs="Arial"/>
          <w:sz w:val="24"/>
        </w:rPr>
        <w:t>关于如何提交IDE申请的一般信息，请致电（800）638-2041或（301）443-6597联系器械</w:t>
      </w:r>
      <w:r>
        <w:rPr>
          <w:rFonts w:hint="eastAsia" w:ascii="Arial" w:hAnsi="Arial" w:eastAsia="宋体" w:cs="Arial"/>
          <w:sz w:val="24"/>
        </w:rPr>
        <w:t>与放射健康</w:t>
      </w:r>
      <w:r>
        <w:rPr>
          <w:rFonts w:ascii="Arial" w:hAnsi="Arial" w:eastAsia="宋体" w:cs="Arial"/>
          <w:sz w:val="24"/>
        </w:rPr>
        <w:t>健康中心（CDRH）小型制造商服务组（DSMA）。FDA欢迎对本指导性文件草案提出意见，并将考虑所有科学上有效的临床前和临床要求规定的替代方案。还强烈建议，在提交原始IDE申请之前，新研究的申办方联系器械评估办公室（ODE）中的妇产科器械部门（OGDB），电话（301）594-1180。</w:t>
      </w:r>
    </w:p>
    <w:p w14:paraId="5355A205">
      <w:pPr>
        <w:pStyle w:val="2"/>
        <w:snapToGrid w:val="0"/>
        <w:spacing w:after="120" w:afterLines="50" w:line="300" w:lineRule="auto"/>
        <w:jc w:val="both"/>
        <w:rPr>
          <w:rFonts w:ascii="Arial" w:hAnsi="Arial" w:cs="Arial"/>
        </w:rPr>
      </w:pPr>
      <w:bookmarkStart w:id="2" w:name="_Toc480443830"/>
      <w:bookmarkStart w:id="3" w:name="_Toc481769684"/>
      <w:r>
        <w:rPr>
          <w:rFonts w:ascii="Arial" w:hAnsi="Arial" w:cs="Arial"/>
        </w:rPr>
        <w:t>器械设计与描述</w:t>
      </w:r>
      <w:bookmarkEnd w:id="2"/>
      <w:bookmarkEnd w:id="3"/>
    </w:p>
    <w:p w14:paraId="46A10F99">
      <w:pPr>
        <w:pStyle w:val="3"/>
        <w:snapToGrid w:val="0"/>
        <w:spacing w:before="0" w:after="120" w:afterLines="50" w:line="300" w:lineRule="auto"/>
        <w:jc w:val="both"/>
        <w:rPr>
          <w:rFonts w:ascii="Arial" w:hAnsi="Arial" w:eastAsia="宋体" w:cs="Arial"/>
          <w:sz w:val="24"/>
        </w:rPr>
      </w:pPr>
      <w:bookmarkStart w:id="4" w:name="_Toc480443831"/>
      <w:bookmarkStart w:id="5" w:name="_Toc481769685"/>
      <w:r>
        <w:rPr>
          <w:rFonts w:ascii="Arial" w:hAnsi="Arial" w:eastAsia="宋体" w:cs="Arial"/>
          <w:sz w:val="24"/>
        </w:rPr>
        <w:t>器械描述</w:t>
      </w:r>
      <w:bookmarkEnd w:id="4"/>
      <w:bookmarkEnd w:id="5"/>
    </w:p>
    <w:p w14:paraId="059C8316">
      <w:pPr>
        <w:pStyle w:val="11"/>
        <w:snapToGrid w:val="0"/>
        <w:spacing w:before="0" w:after="120" w:afterLines="50" w:line="300" w:lineRule="auto"/>
        <w:ind w:left="1559" w:firstLine="0"/>
        <w:jc w:val="both"/>
        <w:rPr>
          <w:rFonts w:ascii="Arial" w:hAnsi="Arial" w:cs="Arial"/>
        </w:rPr>
      </w:pPr>
      <w:r>
        <w:rPr>
          <w:rFonts w:ascii="Arial" w:hAnsi="Arial" w:cs="Arial"/>
        </w:rPr>
        <w:t>对器械设计的全面了解不仅在评估器械的功能特性方面，而且在评估器械的临床应用方面至关重要。提供器械的操作原理的简要概述。这应该包括：</w:t>
      </w:r>
    </w:p>
    <w:p w14:paraId="448675B4">
      <w:pPr>
        <w:numPr>
          <w:ilvl w:val="2"/>
          <w:numId w:val="3"/>
        </w:numPr>
        <w:tabs>
          <w:tab w:val="left" w:pos="2280"/>
        </w:tabs>
        <w:snapToGrid w:val="0"/>
        <w:spacing w:after="120" w:afterLines="50" w:line="300" w:lineRule="auto"/>
        <w:jc w:val="both"/>
        <w:rPr>
          <w:rFonts w:ascii="Arial" w:hAnsi="Arial" w:eastAsia="宋体" w:cs="Arial"/>
          <w:sz w:val="24"/>
        </w:rPr>
      </w:pPr>
      <w:r>
        <w:rPr>
          <w:rFonts w:ascii="Arial" w:hAnsi="Arial" w:eastAsia="宋体" w:cs="Arial"/>
          <w:sz w:val="24"/>
        </w:rPr>
        <w:t>完全尺寸的工程图</w:t>
      </w:r>
    </w:p>
    <w:p w14:paraId="2B01DFCD">
      <w:pPr>
        <w:numPr>
          <w:ilvl w:val="2"/>
          <w:numId w:val="3"/>
        </w:numPr>
        <w:tabs>
          <w:tab w:val="left" w:pos="2280"/>
        </w:tabs>
        <w:snapToGrid w:val="0"/>
        <w:spacing w:after="120" w:afterLines="50" w:line="300" w:lineRule="auto"/>
        <w:jc w:val="both"/>
        <w:rPr>
          <w:rFonts w:ascii="Arial" w:hAnsi="Arial" w:eastAsia="宋体" w:cs="Arial"/>
          <w:sz w:val="24"/>
          <w:szCs w:val="24"/>
        </w:rPr>
      </w:pPr>
      <w:r>
        <w:rPr>
          <w:rFonts w:ascii="Arial" w:hAnsi="Arial" w:eastAsia="宋体" w:cs="Arial"/>
          <w:sz w:val="24"/>
        </w:rPr>
        <w:t>描述用户可访问的所有控件，包括︰</w:t>
      </w:r>
    </w:p>
    <w:p w14:paraId="28945A0B">
      <w:pPr>
        <w:numPr>
          <w:ilvl w:val="3"/>
          <w:numId w:val="3"/>
        </w:numPr>
        <w:tabs>
          <w:tab w:val="left" w:pos="2999"/>
          <w:tab w:val="left" w:pos="3000"/>
        </w:tabs>
        <w:snapToGrid w:val="0"/>
        <w:spacing w:after="120" w:afterLines="50" w:line="300" w:lineRule="auto"/>
        <w:jc w:val="both"/>
        <w:rPr>
          <w:rFonts w:ascii="Arial" w:hAnsi="Arial" w:eastAsia="宋体" w:cs="Arial"/>
          <w:sz w:val="24"/>
          <w:szCs w:val="24"/>
        </w:rPr>
      </w:pPr>
      <w:r>
        <w:rPr>
          <w:rFonts w:ascii="Arial" w:hAnsi="Arial" w:eastAsia="宋体" w:cs="Arial"/>
          <w:sz w:val="24"/>
        </w:rPr>
        <w:t>控制设置的范围</w:t>
      </w:r>
    </w:p>
    <w:p w14:paraId="4C7BD17D">
      <w:pPr>
        <w:numPr>
          <w:ilvl w:val="3"/>
          <w:numId w:val="3"/>
        </w:numPr>
        <w:tabs>
          <w:tab w:val="left" w:pos="2999"/>
          <w:tab w:val="left" w:pos="3000"/>
        </w:tabs>
        <w:snapToGrid w:val="0"/>
        <w:spacing w:after="120" w:afterLines="50" w:line="300" w:lineRule="auto"/>
        <w:jc w:val="both"/>
        <w:rPr>
          <w:rFonts w:ascii="Arial" w:hAnsi="Arial" w:eastAsia="宋体" w:cs="Arial"/>
          <w:sz w:val="24"/>
          <w:szCs w:val="24"/>
        </w:rPr>
      </w:pPr>
      <w:r>
        <w:rPr>
          <w:rFonts w:ascii="Arial" w:hAnsi="Arial" w:eastAsia="宋体" w:cs="Arial"/>
          <w:sz w:val="24"/>
        </w:rPr>
        <w:t>默认值（如果有）</w:t>
      </w:r>
    </w:p>
    <w:p w14:paraId="1115FADB">
      <w:pPr>
        <w:numPr>
          <w:ilvl w:val="2"/>
          <w:numId w:val="3"/>
        </w:numPr>
        <w:tabs>
          <w:tab w:val="left" w:pos="2280"/>
        </w:tabs>
        <w:snapToGrid w:val="0"/>
        <w:spacing w:after="120" w:afterLines="50" w:line="300" w:lineRule="auto"/>
        <w:jc w:val="both"/>
        <w:rPr>
          <w:rFonts w:ascii="Arial" w:hAnsi="Arial" w:eastAsia="宋体" w:cs="Arial"/>
          <w:sz w:val="24"/>
          <w:szCs w:val="24"/>
        </w:rPr>
      </w:pPr>
      <w:r>
        <w:rPr>
          <w:rFonts w:ascii="Arial" w:hAnsi="Arial" w:eastAsia="宋体" w:cs="Arial"/>
          <w:sz w:val="24"/>
        </w:rPr>
        <w:t>框图（包括所有的温度监测和反馈电路）</w:t>
      </w:r>
    </w:p>
    <w:p w14:paraId="102621C7">
      <w:pPr>
        <w:numPr>
          <w:ilvl w:val="2"/>
          <w:numId w:val="3"/>
        </w:numPr>
        <w:tabs>
          <w:tab w:val="left" w:pos="2280"/>
        </w:tabs>
        <w:snapToGrid w:val="0"/>
        <w:spacing w:after="120" w:afterLines="50" w:line="300" w:lineRule="auto"/>
        <w:jc w:val="both"/>
        <w:rPr>
          <w:rFonts w:ascii="Arial" w:hAnsi="Arial" w:eastAsia="宋体" w:cs="Arial"/>
          <w:sz w:val="24"/>
          <w:szCs w:val="24"/>
        </w:rPr>
      </w:pPr>
      <w:r>
        <w:rPr>
          <w:rFonts w:ascii="Arial" w:hAnsi="Arial" w:eastAsia="宋体" w:cs="Arial"/>
          <w:sz w:val="24"/>
        </w:rPr>
        <w:t>所有组件的完整表征（例如，热电偶提供的工作范围和灵敏度）</w:t>
      </w:r>
    </w:p>
    <w:p w14:paraId="3FD24055">
      <w:pPr>
        <w:numPr>
          <w:ilvl w:val="2"/>
          <w:numId w:val="3"/>
        </w:numPr>
        <w:tabs>
          <w:tab w:val="left" w:pos="2280"/>
        </w:tabs>
        <w:snapToGrid w:val="0"/>
        <w:spacing w:after="120" w:afterLines="50" w:line="300" w:lineRule="auto"/>
        <w:jc w:val="both"/>
        <w:rPr>
          <w:rFonts w:ascii="Arial" w:hAnsi="Arial" w:eastAsia="宋体" w:cs="Arial"/>
          <w:sz w:val="24"/>
          <w:szCs w:val="24"/>
        </w:rPr>
      </w:pPr>
      <w:r>
        <w:rPr>
          <w:rFonts w:ascii="Arial" w:hAnsi="Arial" w:eastAsia="宋体" w:cs="Arial"/>
          <w:sz w:val="24"/>
        </w:rPr>
        <w:t>样本（如果可行）或显示操作中的器械有辅助性的录像</w:t>
      </w:r>
    </w:p>
    <w:p w14:paraId="6542163B">
      <w:pPr>
        <w:pStyle w:val="3"/>
        <w:snapToGrid w:val="0"/>
        <w:spacing w:before="0" w:after="120" w:afterLines="50" w:line="300" w:lineRule="auto"/>
        <w:jc w:val="both"/>
        <w:rPr>
          <w:rFonts w:ascii="Arial" w:hAnsi="Arial" w:eastAsia="宋体" w:cs="Arial"/>
          <w:sz w:val="24"/>
        </w:rPr>
      </w:pPr>
      <w:bookmarkStart w:id="6" w:name="_Toc480443832"/>
      <w:bookmarkStart w:id="7" w:name="_Toc481769686"/>
      <w:r>
        <w:rPr>
          <w:rFonts w:ascii="Arial" w:hAnsi="Arial" w:eastAsia="宋体" w:cs="Arial"/>
          <w:sz w:val="24"/>
        </w:rPr>
        <w:t>材料</w:t>
      </w:r>
      <w:bookmarkEnd w:id="6"/>
      <w:bookmarkEnd w:id="7"/>
    </w:p>
    <w:p w14:paraId="74D5B4E7">
      <w:pPr>
        <w:snapToGrid w:val="0"/>
        <w:spacing w:after="120" w:afterLines="50" w:line="300" w:lineRule="auto"/>
        <w:ind w:left="1559"/>
        <w:jc w:val="both"/>
        <w:rPr>
          <w:rFonts w:ascii="Arial" w:hAnsi="Arial" w:eastAsia="宋体" w:cs="Arial"/>
          <w:sz w:val="24"/>
          <w:szCs w:val="24"/>
        </w:rPr>
      </w:pPr>
      <w:r>
        <w:rPr>
          <w:rFonts w:ascii="Arial" w:hAnsi="Arial" w:eastAsia="宋体" w:cs="Arial"/>
          <w:sz w:val="24"/>
        </w:rPr>
        <w:t>提供所有患者接触材料的完整列表，并提供讨论在相关情况下为什么对特定功能选择给定的材料。如果任何患者接触材料含有色素，则请提供以下信息：化学成分、颜色指数和颜色添加剂列表（来自21 CFR 73）。</w:t>
      </w:r>
    </w:p>
    <w:p w14:paraId="4570DC35">
      <w:pPr>
        <w:snapToGrid w:val="0"/>
        <w:spacing w:after="120" w:afterLines="50" w:line="300" w:lineRule="auto"/>
        <w:jc w:val="both"/>
        <w:rPr>
          <w:rFonts w:ascii="Arial" w:hAnsi="Arial" w:eastAsia="宋体" w:cs="Arial"/>
          <w:sz w:val="24"/>
          <w:szCs w:val="24"/>
        </w:rPr>
        <w:sectPr>
          <w:pgSz w:w="12240" w:h="15840"/>
          <w:pgMar w:top="1134" w:right="1134" w:bottom="1134" w:left="1134" w:header="720" w:footer="720" w:gutter="0"/>
          <w:cols w:space="720" w:num="1"/>
          <w:docGrid w:linePitch="299" w:charSpace="0"/>
        </w:sectPr>
      </w:pPr>
    </w:p>
    <w:p w14:paraId="69CBACCF">
      <w:pPr>
        <w:snapToGrid w:val="0"/>
        <w:spacing w:after="120" w:afterLines="50" w:line="300" w:lineRule="auto"/>
        <w:jc w:val="both"/>
        <w:rPr>
          <w:rFonts w:ascii="Arial" w:hAnsi="Arial" w:eastAsia="宋体" w:cs="Arial"/>
          <w:sz w:val="24"/>
          <w:szCs w:val="14"/>
        </w:rPr>
      </w:pPr>
    </w:p>
    <w:p w14:paraId="1150539C">
      <w:pPr>
        <w:pStyle w:val="3"/>
        <w:snapToGrid w:val="0"/>
        <w:spacing w:before="0" w:after="120" w:afterLines="50" w:line="300" w:lineRule="auto"/>
        <w:jc w:val="both"/>
        <w:rPr>
          <w:rFonts w:ascii="Arial" w:hAnsi="Arial" w:eastAsia="宋体" w:cs="Arial"/>
          <w:sz w:val="24"/>
        </w:rPr>
      </w:pPr>
      <w:bookmarkStart w:id="8" w:name="_Toc480443833"/>
      <w:bookmarkStart w:id="9" w:name="_Toc481769687"/>
      <w:r>
        <w:rPr>
          <w:rFonts w:ascii="Arial" w:hAnsi="Arial" w:eastAsia="宋体" w:cs="Arial"/>
          <w:sz w:val="24"/>
        </w:rPr>
        <w:t>生物相容性试验（用于有患者接触的器械）</w:t>
      </w:r>
      <w:bookmarkEnd w:id="8"/>
      <w:bookmarkEnd w:id="9"/>
    </w:p>
    <w:p w14:paraId="20327B09">
      <w:pPr>
        <w:snapToGrid w:val="0"/>
        <w:spacing w:after="120" w:afterLines="50" w:line="300" w:lineRule="auto"/>
        <w:ind w:left="1559"/>
        <w:jc w:val="both"/>
        <w:rPr>
          <w:rFonts w:ascii="Arial" w:hAnsi="Arial" w:eastAsia="宋体" w:cs="Arial"/>
          <w:sz w:val="24"/>
          <w:szCs w:val="24"/>
        </w:rPr>
      </w:pPr>
      <w:r>
        <w:rPr>
          <w:rFonts w:ascii="Arial" w:hAnsi="Arial" w:eastAsia="宋体" w:cs="Arial"/>
          <w:sz w:val="24"/>
          <w:szCs w:val="24"/>
        </w:rPr>
        <w:t>提供生物相容性试验（在成品器械上进行），或与具有类似预期用途的合法上市器械中使用的材料相同的认证。用于生物相容性试验的样本的制备方式，应能反映实际使用条件（例如，如果该材料在使用过程中将加热至90</w:t>
      </w:r>
      <w:r>
        <w:rPr>
          <w:rFonts w:hint="eastAsia" w:ascii="宋体" w:hAnsi="宋体" w:eastAsia="宋体" w:cs="宋体"/>
          <w:sz w:val="24"/>
          <w:szCs w:val="24"/>
        </w:rPr>
        <w:t>℃</w:t>
      </w:r>
      <w:r>
        <w:rPr>
          <w:rFonts w:ascii="Arial" w:hAnsi="Arial" w:eastAsia="宋体" w:cs="Arial"/>
          <w:sz w:val="24"/>
          <w:szCs w:val="24"/>
        </w:rPr>
        <w:t>，则在试验之前应将其加热至该温度）。</w:t>
      </w:r>
      <w:r>
        <w:rPr>
          <w:rFonts w:ascii="Arial" w:hAnsi="Arial" w:eastAsia="宋体" w:cs="Arial"/>
          <w:bCs/>
          <w:sz w:val="24"/>
          <w:szCs w:val="24"/>
        </w:rPr>
        <w:t>试验应按照21 CFR 58的“药物非临床研究质量管理规范”（GLP）进行。</w:t>
      </w:r>
    </w:p>
    <w:p w14:paraId="37EDE6A3">
      <w:pPr>
        <w:snapToGrid w:val="0"/>
        <w:spacing w:after="120" w:afterLines="50" w:line="300" w:lineRule="auto"/>
        <w:ind w:left="1559"/>
        <w:jc w:val="both"/>
        <w:rPr>
          <w:rFonts w:ascii="Arial" w:hAnsi="Arial" w:eastAsia="宋体" w:cs="Arial"/>
          <w:sz w:val="24"/>
          <w:szCs w:val="24"/>
        </w:rPr>
      </w:pPr>
      <w:r>
        <w:rPr>
          <w:rFonts w:ascii="Arial" w:hAnsi="Arial" w:eastAsia="宋体" w:cs="Arial"/>
          <w:bCs/>
          <w:sz w:val="24"/>
          <w:szCs w:val="24"/>
        </w:rPr>
        <w:t>关于生物相容性的其他信息，请参阅蓝皮书备忘录</w:t>
      </w:r>
      <w:r>
        <w:rPr>
          <w:rFonts w:hint="eastAsia" w:ascii="Arial" w:hAnsi="Arial" w:eastAsia="宋体" w:cs="Arial"/>
          <w:bCs/>
          <w:sz w:val="24"/>
          <w:szCs w:val="24"/>
        </w:rPr>
        <w:t>《</w:t>
      </w:r>
      <w:r>
        <w:rPr>
          <w:rFonts w:ascii="Arial" w:hAnsi="Arial" w:eastAsia="宋体" w:cs="Arial"/>
          <w:bCs/>
          <w:sz w:val="24"/>
          <w:szCs w:val="24"/>
        </w:rPr>
        <w:t>国际标准ISO-10993</w:t>
      </w:r>
      <w:r>
        <w:rPr>
          <w:rFonts w:hint="eastAsia" w:ascii="Arial" w:hAnsi="Arial" w:eastAsia="宋体" w:cs="Arial"/>
          <w:bCs/>
          <w:sz w:val="24"/>
          <w:szCs w:val="24"/>
        </w:rPr>
        <w:t>》</w:t>
      </w:r>
      <w:r>
        <w:rPr>
          <w:rFonts w:ascii="Arial" w:hAnsi="Arial" w:eastAsia="宋体" w:cs="Arial"/>
          <w:bCs/>
          <w:sz w:val="24"/>
          <w:szCs w:val="24"/>
        </w:rPr>
        <w:t>的使用，医疗器械的生物学评价第1部分：评价和测试，可从DSMA获得。</w:t>
      </w:r>
    </w:p>
    <w:p w14:paraId="31F09FBF">
      <w:pPr>
        <w:pStyle w:val="3"/>
        <w:snapToGrid w:val="0"/>
        <w:spacing w:before="0" w:after="120" w:afterLines="50" w:line="300" w:lineRule="auto"/>
        <w:jc w:val="both"/>
        <w:rPr>
          <w:rFonts w:ascii="Arial" w:hAnsi="Arial" w:eastAsia="宋体" w:cs="Arial"/>
          <w:sz w:val="24"/>
        </w:rPr>
      </w:pPr>
      <w:bookmarkStart w:id="10" w:name="_Toc480443834"/>
      <w:bookmarkStart w:id="11" w:name="_Toc481769688"/>
      <w:r>
        <w:rPr>
          <w:rFonts w:ascii="Arial" w:hAnsi="Arial" w:eastAsia="宋体" w:cs="Arial"/>
          <w:sz w:val="24"/>
        </w:rPr>
        <w:t>软件</w:t>
      </w:r>
      <w:bookmarkEnd w:id="10"/>
      <w:bookmarkEnd w:id="11"/>
    </w:p>
    <w:p w14:paraId="3B6305C9">
      <w:pPr>
        <w:snapToGrid w:val="0"/>
        <w:spacing w:after="120" w:afterLines="50" w:line="300" w:lineRule="auto"/>
        <w:ind w:left="1559"/>
        <w:jc w:val="both"/>
        <w:rPr>
          <w:rFonts w:ascii="Arial" w:hAnsi="Arial" w:eastAsia="宋体" w:cs="Arial"/>
          <w:sz w:val="24"/>
          <w:szCs w:val="24"/>
        </w:rPr>
      </w:pPr>
      <w:r>
        <w:rPr>
          <w:rFonts w:ascii="Arial" w:hAnsi="Arial" w:eastAsia="宋体" w:cs="Arial"/>
          <w:sz w:val="24"/>
        </w:rPr>
        <w:t>请提供描述软件开发生命周期和风险管理活动的文件。这应该包括：</w:t>
      </w:r>
    </w:p>
    <w:p w14:paraId="50F79F3F">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对软件生命周期中的软件开发活动和软件质量保证程序的描述。</w:t>
      </w:r>
    </w:p>
    <w:p w14:paraId="569A356E">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系统和软件的要求和设计。这应包括：硬件要求、编程语言和程序大小以及软件功能要求。应明确指出安全性要求与危害性之间的可追溯性。</w:t>
      </w:r>
    </w:p>
    <w:p w14:paraId="4C4EB88D">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描述系统划分为功能单元的结构图。</w:t>
      </w:r>
    </w:p>
    <w:p w14:paraId="5B376228">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单元、集成和系统级的验证和确认活动的描述，包括通过/失败标准以及系统级的功能试验计划。应证明危害性、安全性功能和试验之间的可追溯性。</w:t>
      </w:r>
    </w:p>
    <w:p w14:paraId="264C3AED">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验证和确认试验结果的总结应</w:t>
      </w:r>
      <w:r>
        <w:rPr>
          <w:rFonts w:ascii="Arial" w:hAnsi="Arial" w:eastAsia="宋体" w:cs="Arial"/>
          <w:i/>
          <w:sz w:val="24"/>
        </w:rPr>
        <w:t>足够详细，以证明在各种试验级别和系统级试验的结果满足软件要求</w:t>
      </w:r>
      <w:r>
        <w:rPr>
          <w:rFonts w:ascii="Arial" w:hAnsi="Arial" w:eastAsia="宋体" w:cs="Arial"/>
          <w:sz w:val="24"/>
        </w:rPr>
        <w:t>。</w:t>
      </w:r>
      <w:r>
        <w:rPr>
          <w:rFonts w:ascii="Arial" w:hAnsi="Arial" w:eastAsia="宋体" w:cs="Arial"/>
          <w:sz w:val="24"/>
        </w:rPr>
        <w:cr/>
      </w:r>
    </w:p>
    <w:p w14:paraId="5A19D6DB">
      <w:pPr>
        <w:numPr>
          <w:ilvl w:val="1"/>
          <w:numId w:val="4"/>
        </w:numPr>
        <w:tabs>
          <w:tab w:val="left" w:pos="2279"/>
        </w:tabs>
        <w:snapToGrid w:val="0"/>
        <w:spacing w:after="120" w:afterLines="50" w:line="300" w:lineRule="auto"/>
        <w:jc w:val="both"/>
        <w:rPr>
          <w:rFonts w:ascii="Arial" w:hAnsi="Arial" w:eastAsia="宋体" w:cs="Arial"/>
          <w:sz w:val="24"/>
        </w:rPr>
      </w:pPr>
      <w:r>
        <w:rPr>
          <w:rFonts w:ascii="Arial" w:hAnsi="Arial" w:eastAsia="宋体" w:cs="Arial"/>
          <w:sz w:val="24"/>
        </w:rPr>
        <w:t>目前软件的版本号和日期，以及任何剩余的隐错或错误的列表。</w:t>
      </w:r>
    </w:p>
    <w:p w14:paraId="62BC2CAD">
      <w:pPr>
        <w:snapToGrid w:val="0"/>
        <w:spacing w:after="120" w:afterLines="50" w:line="300" w:lineRule="auto"/>
        <w:ind w:left="1559"/>
        <w:jc w:val="both"/>
        <w:rPr>
          <w:rFonts w:ascii="Arial" w:hAnsi="Arial" w:eastAsia="宋体" w:cs="Arial"/>
          <w:sz w:val="24"/>
          <w:szCs w:val="24"/>
        </w:rPr>
      </w:pPr>
      <w:r>
        <w:rPr>
          <w:rFonts w:ascii="Arial" w:hAnsi="Arial" w:eastAsia="宋体" w:cs="Arial"/>
          <w:bCs/>
          <w:sz w:val="24"/>
          <w:szCs w:val="24"/>
        </w:rPr>
        <w:t>关于软件文件的其他指南信息可以从</w:t>
      </w:r>
      <w:r>
        <w:rPr>
          <w:rFonts w:hint="eastAsia" w:ascii="Arial" w:hAnsi="Arial" w:eastAsia="宋体" w:cs="Arial"/>
          <w:bCs/>
          <w:sz w:val="24"/>
          <w:szCs w:val="24"/>
        </w:rPr>
        <w:t>《</w:t>
      </w:r>
      <w:r>
        <w:rPr>
          <w:rFonts w:ascii="Arial" w:hAnsi="Arial" w:eastAsia="宋体" w:cs="Arial"/>
          <w:bCs/>
          <w:sz w:val="24"/>
          <w:szCs w:val="24"/>
        </w:rPr>
        <w:t>计算机控制医疗器械进行的510（k）审查的审查人员指南</w:t>
      </w:r>
      <w:r>
        <w:rPr>
          <w:rFonts w:hint="eastAsia" w:ascii="Arial" w:hAnsi="Arial" w:eastAsia="宋体" w:cs="Arial"/>
          <w:bCs/>
          <w:sz w:val="24"/>
          <w:szCs w:val="24"/>
        </w:rPr>
        <w:t>》</w:t>
      </w:r>
      <w:r>
        <w:rPr>
          <w:rFonts w:ascii="Arial" w:hAnsi="Arial" w:eastAsia="宋体" w:cs="Arial"/>
          <w:bCs/>
          <w:sz w:val="24"/>
          <w:szCs w:val="24"/>
        </w:rPr>
        <w:t>中查到，其可从DSMA获得。</w:t>
      </w:r>
    </w:p>
    <w:p w14:paraId="44679EC9">
      <w:pPr>
        <w:snapToGrid w:val="0"/>
        <w:spacing w:after="120" w:afterLines="50" w:line="300" w:lineRule="auto"/>
        <w:jc w:val="both"/>
        <w:rPr>
          <w:rFonts w:ascii="Arial" w:hAnsi="Arial" w:eastAsia="宋体" w:cs="Arial"/>
          <w:sz w:val="24"/>
          <w:szCs w:val="24"/>
        </w:rPr>
        <w:sectPr>
          <w:footerReference r:id="rId3" w:type="default"/>
          <w:pgSz w:w="12240" w:h="15840"/>
          <w:pgMar w:top="1134" w:right="1134" w:bottom="1134" w:left="1134" w:header="0" w:footer="1134" w:gutter="0"/>
          <w:pgNumType w:start="2"/>
          <w:cols w:space="720" w:num="1"/>
          <w:docGrid w:linePitch="299" w:charSpace="0"/>
        </w:sectPr>
      </w:pPr>
    </w:p>
    <w:p w14:paraId="2C89B6CF">
      <w:pPr>
        <w:pStyle w:val="2"/>
        <w:snapToGrid w:val="0"/>
        <w:spacing w:after="120" w:afterLines="50" w:line="300" w:lineRule="auto"/>
        <w:jc w:val="both"/>
        <w:rPr>
          <w:rFonts w:ascii="Arial" w:hAnsi="Arial" w:cs="Arial"/>
        </w:rPr>
      </w:pPr>
      <w:bookmarkStart w:id="12" w:name="_Toc480443835"/>
      <w:bookmarkStart w:id="13" w:name="_Toc481769689"/>
      <w:r>
        <w:rPr>
          <w:rFonts w:ascii="Arial" w:hAnsi="Arial" w:cs="Arial"/>
        </w:rPr>
        <w:t>器械性能</w:t>
      </w:r>
      <w:bookmarkEnd w:id="12"/>
      <w:bookmarkEnd w:id="13"/>
    </w:p>
    <w:p w14:paraId="41ABA7AD">
      <w:pPr>
        <w:pStyle w:val="3"/>
        <w:snapToGrid w:val="0"/>
        <w:spacing w:before="0" w:after="120" w:afterLines="50" w:line="300" w:lineRule="auto"/>
        <w:jc w:val="both"/>
        <w:rPr>
          <w:rFonts w:ascii="Arial" w:hAnsi="Arial" w:eastAsia="宋体" w:cs="Arial"/>
          <w:sz w:val="24"/>
        </w:rPr>
      </w:pPr>
      <w:bookmarkStart w:id="14" w:name="_Toc480443836"/>
      <w:bookmarkStart w:id="15" w:name="_Toc481769690"/>
      <w:r>
        <w:rPr>
          <w:rFonts w:ascii="Arial" w:hAnsi="Arial" w:eastAsia="宋体" w:cs="Arial"/>
          <w:sz w:val="24"/>
        </w:rPr>
        <w:t>设计标准</w:t>
      </w:r>
      <w:bookmarkEnd w:id="14"/>
      <w:bookmarkEnd w:id="15"/>
    </w:p>
    <w:p w14:paraId="7BAD06E5">
      <w:pPr>
        <w:pStyle w:val="11"/>
        <w:numPr>
          <w:ilvl w:val="0"/>
          <w:numId w:val="5"/>
        </w:numPr>
        <w:tabs>
          <w:tab w:val="left" w:pos="2320"/>
        </w:tabs>
        <w:snapToGrid w:val="0"/>
        <w:spacing w:before="0" w:after="120" w:afterLines="50" w:line="300" w:lineRule="auto"/>
        <w:jc w:val="both"/>
        <w:rPr>
          <w:rFonts w:ascii="Arial" w:hAnsi="Arial" w:cs="Arial"/>
        </w:rPr>
      </w:pPr>
      <w:r>
        <w:rPr>
          <w:rFonts w:ascii="Arial" w:hAnsi="Arial" w:cs="Arial"/>
        </w:rPr>
        <w:t>为所有重要标准提供理由。例如，如果指定导管必须能够承受5 lbf的拉力，则请提供为什么5 lbf是适当的理由。</w:t>
      </w:r>
    </w:p>
    <w:p w14:paraId="07AF7BA0">
      <w:pPr>
        <w:pStyle w:val="11"/>
        <w:numPr>
          <w:ilvl w:val="0"/>
          <w:numId w:val="5"/>
        </w:numPr>
        <w:tabs>
          <w:tab w:val="left" w:pos="2320"/>
        </w:tabs>
        <w:snapToGrid w:val="0"/>
        <w:spacing w:before="0" w:after="120" w:afterLines="50" w:line="300" w:lineRule="auto"/>
        <w:jc w:val="both"/>
        <w:rPr>
          <w:rFonts w:ascii="Arial" w:hAnsi="Arial" w:cs="Arial"/>
        </w:rPr>
      </w:pPr>
      <w:r>
        <w:rPr>
          <w:rFonts w:ascii="Arial" w:hAnsi="Arial" w:cs="Arial"/>
        </w:rPr>
        <w:t>系统级危害分析。确定每例潜在的危害事件、关注水平、此事件的控制方法、采取的纠正措施以及进行的测试和评估，以表明纠正措施有效。</w:t>
      </w:r>
    </w:p>
    <w:p w14:paraId="0BBEFBDB">
      <w:pPr>
        <w:pStyle w:val="3"/>
        <w:snapToGrid w:val="0"/>
        <w:spacing w:before="0" w:after="120" w:afterLines="50" w:line="300" w:lineRule="auto"/>
        <w:jc w:val="both"/>
        <w:rPr>
          <w:rFonts w:ascii="Arial" w:hAnsi="Arial" w:eastAsia="宋体" w:cs="Arial"/>
          <w:sz w:val="24"/>
        </w:rPr>
      </w:pPr>
      <w:bookmarkStart w:id="16" w:name="_Toc480443837"/>
      <w:bookmarkStart w:id="17" w:name="_Toc481769691"/>
      <w:r>
        <w:rPr>
          <w:rFonts w:ascii="Arial" w:hAnsi="Arial" w:eastAsia="宋体" w:cs="Arial"/>
          <w:sz w:val="24"/>
        </w:rPr>
        <w:t>电气安全</w:t>
      </w:r>
      <w:bookmarkEnd w:id="16"/>
      <w:bookmarkEnd w:id="17"/>
    </w:p>
    <w:p w14:paraId="4FBA9A1D">
      <w:pPr>
        <w:pStyle w:val="11"/>
        <w:tabs>
          <w:tab w:val="left" w:pos="1599"/>
          <w:tab w:val="left" w:pos="1600"/>
        </w:tabs>
        <w:snapToGrid w:val="0"/>
        <w:spacing w:before="0" w:after="120" w:afterLines="50" w:line="300" w:lineRule="auto"/>
        <w:ind w:left="840" w:firstLine="0"/>
        <w:jc w:val="both"/>
        <w:rPr>
          <w:rFonts w:ascii="Arial" w:hAnsi="Arial" w:cs="Arial"/>
        </w:rPr>
      </w:pPr>
      <w:r>
        <w:rPr>
          <w:rFonts w:ascii="Arial" w:hAnsi="Arial" w:cs="Arial"/>
        </w:rPr>
        <w:t>提供︰</w:t>
      </w:r>
    </w:p>
    <w:p w14:paraId="4FB4B525">
      <w:pPr>
        <w:pStyle w:val="11"/>
        <w:numPr>
          <w:ilvl w:val="0"/>
          <w:numId w:val="6"/>
        </w:numPr>
        <w:tabs>
          <w:tab w:val="left" w:pos="2320"/>
        </w:tabs>
        <w:snapToGrid w:val="0"/>
        <w:spacing w:before="0" w:after="120" w:afterLines="50" w:line="300" w:lineRule="auto"/>
        <w:jc w:val="both"/>
        <w:rPr>
          <w:rFonts w:ascii="Arial" w:hAnsi="Arial" w:cs="Arial"/>
        </w:rPr>
      </w:pPr>
      <w:r>
        <w:rPr>
          <w:rFonts w:ascii="Arial" w:hAnsi="Arial" w:cs="Arial"/>
        </w:rPr>
        <w:t>器械符合适用的电气安全标准的认证（如 IEC 601-1、 UL 544、 UL 2601）；或</w:t>
      </w:r>
    </w:p>
    <w:p w14:paraId="5A8358F5">
      <w:pPr>
        <w:pStyle w:val="11"/>
        <w:numPr>
          <w:ilvl w:val="0"/>
          <w:numId w:val="6"/>
        </w:numPr>
        <w:tabs>
          <w:tab w:val="left" w:pos="2320"/>
        </w:tabs>
        <w:snapToGrid w:val="0"/>
        <w:spacing w:before="0" w:after="120" w:afterLines="50" w:line="300" w:lineRule="auto"/>
        <w:jc w:val="both"/>
        <w:rPr>
          <w:rFonts w:ascii="Arial" w:hAnsi="Arial" w:cs="Arial"/>
        </w:rPr>
      </w:pPr>
      <w:r>
        <w:rPr>
          <w:rFonts w:ascii="Arial" w:hAnsi="Arial" w:cs="Arial"/>
        </w:rPr>
        <w:t>保证相似保护水平的试验结果。</w:t>
      </w:r>
    </w:p>
    <w:p w14:paraId="6C04A535">
      <w:pPr>
        <w:pStyle w:val="3"/>
        <w:snapToGrid w:val="0"/>
        <w:spacing w:before="0" w:after="120" w:afterLines="50" w:line="300" w:lineRule="auto"/>
        <w:jc w:val="both"/>
        <w:rPr>
          <w:rFonts w:ascii="Arial" w:hAnsi="Arial" w:eastAsia="宋体" w:cs="Arial"/>
          <w:sz w:val="24"/>
        </w:rPr>
      </w:pPr>
      <w:bookmarkStart w:id="18" w:name="_Toc480443838"/>
      <w:bookmarkStart w:id="19" w:name="_Toc481769692"/>
      <w:r>
        <w:rPr>
          <w:rFonts w:ascii="Arial" w:hAnsi="Arial" w:eastAsia="宋体" w:cs="Arial"/>
          <w:sz w:val="24"/>
        </w:rPr>
        <w:t>电磁兼容性（EMC）提供：</w:t>
      </w:r>
      <w:bookmarkEnd w:id="18"/>
      <w:bookmarkEnd w:id="19"/>
    </w:p>
    <w:p w14:paraId="1BC9F365">
      <w:pPr>
        <w:pStyle w:val="11"/>
        <w:numPr>
          <w:ilvl w:val="0"/>
          <w:numId w:val="7"/>
        </w:numPr>
        <w:tabs>
          <w:tab w:val="left" w:pos="2320"/>
        </w:tabs>
        <w:snapToGrid w:val="0"/>
        <w:spacing w:before="0" w:after="120" w:afterLines="50" w:line="300" w:lineRule="auto"/>
        <w:ind w:left="2268" w:hanging="700"/>
        <w:jc w:val="both"/>
        <w:rPr>
          <w:rFonts w:ascii="Arial" w:hAnsi="Arial" w:cs="Arial"/>
        </w:rPr>
      </w:pPr>
      <w:r>
        <w:rPr>
          <w:rFonts w:ascii="Arial" w:hAnsi="Arial" w:cs="Arial"/>
        </w:rPr>
        <w:t>器械符合适用的EMC标准的认证（例如，IEC 601-1-2、IEC 801-2,3,4,5、CISPR 11）；或</w:t>
      </w:r>
    </w:p>
    <w:p w14:paraId="4F343B1F">
      <w:pPr>
        <w:pStyle w:val="11"/>
        <w:numPr>
          <w:ilvl w:val="0"/>
          <w:numId w:val="7"/>
        </w:numPr>
        <w:tabs>
          <w:tab w:val="left" w:pos="2320"/>
        </w:tabs>
        <w:snapToGrid w:val="0"/>
        <w:spacing w:before="0" w:after="120" w:afterLines="50" w:line="300" w:lineRule="auto"/>
        <w:ind w:left="2268" w:hanging="700"/>
        <w:jc w:val="both"/>
        <w:rPr>
          <w:rFonts w:ascii="Arial" w:hAnsi="Arial" w:cs="Arial"/>
        </w:rPr>
      </w:pPr>
      <w:r>
        <w:rPr>
          <w:rFonts w:ascii="Arial" w:hAnsi="Arial" w:cs="Arial"/>
        </w:rPr>
        <w:t>保证相似的保护水平的试验结果；或</w:t>
      </w:r>
    </w:p>
    <w:p w14:paraId="3FE43203">
      <w:pPr>
        <w:pStyle w:val="11"/>
        <w:numPr>
          <w:ilvl w:val="0"/>
          <w:numId w:val="7"/>
        </w:numPr>
        <w:tabs>
          <w:tab w:val="left" w:pos="2320"/>
        </w:tabs>
        <w:snapToGrid w:val="0"/>
        <w:spacing w:before="0" w:after="120" w:afterLines="50" w:line="300" w:lineRule="auto"/>
        <w:ind w:left="2268" w:hanging="700"/>
        <w:jc w:val="both"/>
        <w:rPr>
          <w:rFonts w:ascii="Arial" w:hAnsi="Arial" w:cs="Arial"/>
        </w:rPr>
      </w:pPr>
      <w:r>
        <w:rPr>
          <w:rFonts w:ascii="Arial" w:hAnsi="Arial" w:cs="Arial"/>
        </w:rPr>
        <w:t>为什么不需要这些信息的理由（例如，由于器械设计或工作环境）。</w:t>
      </w:r>
    </w:p>
    <w:p w14:paraId="383C0C8A">
      <w:pPr>
        <w:pStyle w:val="3"/>
        <w:snapToGrid w:val="0"/>
        <w:spacing w:before="0" w:after="120" w:afterLines="50" w:line="300" w:lineRule="auto"/>
        <w:jc w:val="both"/>
        <w:rPr>
          <w:rFonts w:ascii="Arial" w:hAnsi="Arial" w:eastAsia="宋体" w:cs="Arial"/>
          <w:sz w:val="24"/>
        </w:rPr>
      </w:pPr>
      <w:bookmarkStart w:id="20" w:name="_Toc480443839"/>
      <w:bookmarkStart w:id="21" w:name="_Toc481769693"/>
      <w:r>
        <w:rPr>
          <w:rFonts w:ascii="Arial" w:hAnsi="Arial" w:eastAsia="宋体" w:cs="Arial"/>
          <w:sz w:val="24"/>
        </w:rPr>
        <w:t>系统级</w:t>
      </w:r>
      <w:bookmarkEnd w:id="20"/>
      <w:r>
        <w:rPr>
          <w:rFonts w:ascii="Arial" w:hAnsi="Arial" w:eastAsia="宋体" w:cs="Arial"/>
          <w:sz w:val="24"/>
        </w:rPr>
        <w:t>试验</w:t>
      </w:r>
      <w:bookmarkEnd w:id="21"/>
    </w:p>
    <w:p w14:paraId="0935D9AA">
      <w:pPr>
        <w:pStyle w:val="11"/>
        <w:snapToGrid w:val="0"/>
        <w:spacing w:before="0" w:after="120" w:afterLines="50" w:line="300" w:lineRule="auto"/>
        <w:ind w:left="1600" w:firstLine="0"/>
        <w:jc w:val="both"/>
        <w:rPr>
          <w:rFonts w:ascii="Arial" w:hAnsi="Arial" w:cs="Arial"/>
        </w:rPr>
      </w:pPr>
      <w:r>
        <w:rPr>
          <w:rFonts w:ascii="Arial" w:hAnsi="Arial" w:cs="Arial"/>
        </w:rPr>
        <w:t>提供系统级试验，证明器械按设计执行（例如，其加热至所需温度，热电偶准确记录温度等）。包括：</w:t>
      </w:r>
    </w:p>
    <w:p w14:paraId="6B5B2ED2">
      <w:pPr>
        <w:pStyle w:val="11"/>
        <w:numPr>
          <w:ilvl w:val="0"/>
          <w:numId w:val="8"/>
        </w:numPr>
        <w:snapToGrid w:val="0"/>
        <w:spacing w:before="0" w:after="120" w:afterLines="50" w:line="300" w:lineRule="auto"/>
        <w:ind w:left="2296" w:hanging="728"/>
        <w:jc w:val="both"/>
        <w:rPr>
          <w:rFonts w:ascii="Arial" w:hAnsi="Arial" w:cs="Arial"/>
        </w:rPr>
      </w:pPr>
      <w:r>
        <w:rPr>
          <w:rFonts w:ascii="Arial" w:hAnsi="Arial" w:cs="Arial"/>
        </w:rPr>
        <w:t>试验方案和方法</w:t>
      </w:r>
    </w:p>
    <w:p w14:paraId="6C263407">
      <w:pPr>
        <w:pStyle w:val="11"/>
        <w:numPr>
          <w:ilvl w:val="0"/>
          <w:numId w:val="8"/>
        </w:numPr>
        <w:snapToGrid w:val="0"/>
        <w:spacing w:before="0" w:after="120" w:afterLines="50" w:line="300" w:lineRule="auto"/>
        <w:ind w:left="2296" w:hanging="728"/>
        <w:jc w:val="both"/>
        <w:rPr>
          <w:rFonts w:ascii="Arial" w:hAnsi="Arial" w:cs="Arial"/>
        </w:rPr>
      </w:pPr>
      <w:r>
        <w:rPr>
          <w:rFonts w:ascii="Arial" w:hAnsi="Arial" w:cs="Arial"/>
        </w:rPr>
        <w:t>结果（包括原始数据的样本）</w:t>
      </w:r>
    </w:p>
    <w:p w14:paraId="6876D1DA">
      <w:pPr>
        <w:pStyle w:val="11"/>
        <w:numPr>
          <w:ilvl w:val="0"/>
          <w:numId w:val="8"/>
        </w:numPr>
        <w:snapToGrid w:val="0"/>
        <w:spacing w:before="0" w:after="120" w:afterLines="50" w:line="300" w:lineRule="auto"/>
        <w:ind w:left="2296" w:hanging="728"/>
        <w:jc w:val="both"/>
        <w:rPr>
          <w:rFonts w:ascii="Arial" w:hAnsi="Arial" w:cs="Arial"/>
          <w:szCs w:val="20"/>
        </w:rPr>
      </w:pPr>
      <w:r>
        <w:rPr>
          <w:rFonts w:ascii="Arial" w:hAnsi="Arial" w:cs="Arial"/>
        </w:rPr>
        <w:t>结论</w:t>
      </w:r>
    </w:p>
    <w:p w14:paraId="361B75F5">
      <w:pPr>
        <w:pStyle w:val="2"/>
        <w:snapToGrid w:val="0"/>
        <w:spacing w:after="120" w:afterLines="50" w:line="300" w:lineRule="auto"/>
        <w:jc w:val="both"/>
        <w:rPr>
          <w:rFonts w:ascii="Arial" w:hAnsi="Arial" w:cs="Arial"/>
        </w:rPr>
      </w:pPr>
      <w:bookmarkStart w:id="22" w:name="_Toc481769694"/>
      <w:bookmarkStart w:id="23" w:name="_Toc480443840"/>
      <w:r>
        <w:rPr>
          <w:rFonts w:ascii="Arial" w:hAnsi="Arial" w:cs="Arial"/>
        </w:rPr>
        <w:t>标签</w:t>
      </w:r>
      <w:bookmarkEnd w:id="22"/>
      <w:bookmarkEnd w:id="23"/>
    </w:p>
    <w:p w14:paraId="7AAD47D5">
      <w:pPr>
        <w:pStyle w:val="11"/>
        <w:snapToGrid w:val="0"/>
        <w:spacing w:before="0" w:after="120" w:afterLines="50" w:line="300" w:lineRule="auto"/>
        <w:ind w:left="840" w:firstLine="0"/>
        <w:jc w:val="both"/>
        <w:rPr>
          <w:rFonts w:ascii="Arial" w:hAnsi="Arial" w:cs="Arial"/>
        </w:rPr>
      </w:pPr>
      <w:r>
        <w:rPr>
          <w:rFonts w:ascii="Arial" w:hAnsi="Arial" w:cs="Arial"/>
        </w:rPr>
        <w:t>提供所有器械标签的样本。标签必须包含以下信息（21 CFR 812.5）：</w:t>
      </w:r>
    </w:p>
    <w:p w14:paraId="6A75418B">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1AF7276C">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制造商、包装商或经销商的名称和营业地址</w:t>
      </w:r>
    </w:p>
    <w:p w14:paraId="5D72E646">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内容物的数量（如适用）</w:t>
      </w:r>
    </w:p>
    <w:p w14:paraId="736953E5">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使用说明</w:t>
      </w:r>
    </w:p>
    <w:p w14:paraId="604FE41C">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再处理的说明（见第六部分）。</w:t>
      </w:r>
    </w:p>
    <w:p w14:paraId="71549D76">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描述所有相关的禁忌症、危害、不良反应、干扰物质或器械、警告和注意事项</w:t>
      </w:r>
    </w:p>
    <w:p w14:paraId="5370FCCB">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声明：“警告 - 研究器械，其研究使用受联邦法律限制”。</w:t>
      </w:r>
    </w:p>
    <w:p w14:paraId="252C2437">
      <w:pPr>
        <w:pStyle w:val="11"/>
        <w:snapToGrid w:val="0"/>
        <w:spacing w:before="0" w:after="120" w:afterLines="50" w:line="300" w:lineRule="auto"/>
        <w:ind w:left="840" w:firstLine="0"/>
        <w:jc w:val="both"/>
        <w:rPr>
          <w:rFonts w:ascii="Arial" w:hAnsi="Arial" w:cs="Arial"/>
        </w:rPr>
      </w:pPr>
      <w:r>
        <w:rPr>
          <w:rFonts w:ascii="Arial" w:hAnsi="Arial" w:cs="Arial"/>
        </w:rPr>
        <w:t>注：21 CFR 812.5（b）规定，研究器械的标签不得承担任何特定的虚假或具有误导性的描述，不得表示该器械用于正在研究的目的是安全有效。</w:t>
      </w:r>
    </w:p>
    <w:p w14:paraId="3F2EA55F">
      <w:pPr>
        <w:pStyle w:val="2"/>
        <w:numPr>
          <w:ilvl w:val="0"/>
          <w:numId w:val="2"/>
        </w:numPr>
        <w:tabs>
          <w:tab w:val="left" w:pos="840"/>
        </w:tabs>
        <w:snapToGrid w:val="0"/>
        <w:spacing w:after="120" w:afterLines="50" w:line="300" w:lineRule="auto"/>
        <w:jc w:val="both"/>
        <w:rPr>
          <w:rFonts w:ascii="Arial" w:hAnsi="Arial" w:cs="Arial"/>
          <w:b w:val="0"/>
          <w:bCs w:val="0"/>
        </w:rPr>
      </w:pPr>
      <w:bookmarkStart w:id="24" w:name="_Toc480443841"/>
      <w:bookmarkStart w:id="25" w:name="_Toc481769695"/>
      <w:r>
        <w:rPr>
          <w:rFonts w:ascii="Arial" w:hAnsi="Arial" w:cs="Arial"/>
        </w:rPr>
        <w:t>制造</w:t>
      </w:r>
      <w:bookmarkEnd w:id="24"/>
      <w:bookmarkEnd w:id="25"/>
    </w:p>
    <w:p w14:paraId="4061029B">
      <w:pPr>
        <w:pStyle w:val="11"/>
        <w:snapToGrid w:val="0"/>
        <w:spacing w:before="0" w:after="120" w:afterLines="50" w:line="300" w:lineRule="auto"/>
        <w:ind w:left="840" w:firstLine="0"/>
        <w:jc w:val="both"/>
        <w:rPr>
          <w:rFonts w:ascii="Arial" w:hAnsi="Arial" w:cs="Arial"/>
        </w:rPr>
      </w:pPr>
      <w:r>
        <w:rPr>
          <w:rFonts w:ascii="Arial" w:hAnsi="Arial" w:cs="Arial"/>
        </w:rPr>
        <w:t>详细说明用于制造、加工、包装和存储器械的方法、设施和控制，以便一般熟悉药物生产质量管理规范（GMP）的人员可以对器械制造中使用的质量控制做出知情的判断。</w:t>
      </w:r>
    </w:p>
    <w:p w14:paraId="1786AA14">
      <w:pPr>
        <w:pStyle w:val="35"/>
        <w:snapToGrid w:val="0"/>
        <w:spacing w:after="120" w:afterLines="50" w:line="300" w:lineRule="auto"/>
        <w:jc w:val="both"/>
        <w:rPr>
          <w:rFonts w:ascii="Arial" w:hAnsi="Arial" w:cs="Arial"/>
        </w:rPr>
      </w:pPr>
      <w:bookmarkStart w:id="26" w:name="_Toc480443842"/>
      <w:bookmarkStart w:id="27" w:name="_Toc481769696"/>
      <w:r>
        <w:rPr>
          <w:rFonts w:ascii="Arial" w:hAnsi="Arial" w:cs="Arial"/>
        </w:rPr>
        <w:t>灭菌</w:t>
      </w:r>
      <w:bookmarkEnd w:id="26"/>
      <w:bookmarkEnd w:id="27"/>
    </w:p>
    <w:p w14:paraId="773629BE">
      <w:pPr>
        <w:pStyle w:val="11"/>
        <w:snapToGrid w:val="0"/>
        <w:spacing w:before="0" w:after="120" w:afterLines="50" w:line="300" w:lineRule="auto"/>
        <w:ind w:left="840" w:firstLine="0"/>
        <w:jc w:val="both"/>
        <w:rPr>
          <w:rFonts w:ascii="Arial" w:hAnsi="Arial" w:cs="Arial"/>
        </w:rPr>
      </w:pPr>
      <w:r>
        <w:rPr>
          <w:rFonts w:ascii="Arial" w:hAnsi="Arial" w:cs="Arial"/>
        </w:rPr>
        <w:t>旨在接触或进入无菌组织或正常无菌体腔（如子宫）的器械在使用前需要进行灭菌。</w:t>
      </w:r>
    </w:p>
    <w:p w14:paraId="736D1421">
      <w:pPr>
        <w:pStyle w:val="36"/>
        <w:snapToGrid w:val="0"/>
        <w:spacing w:before="0" w:after="120" w:afterLines="50" w:line="300" w:lineRule="auto"/>
        <w:jc w:val="both"/>
        <w:rPr>
          <w:rFonts w:ascii="Arial" w:hAnsi="Arial" w:eastAsia="宋体" w:cs="Arial"/>
          <w:b w:val="0"/>
        </w:rPr>
      </w:pPr>
      <w:bookmarkStart w:id="28" w:name="_Toc480443843"/>
      <w:bookmarkStart w:id="29" w:name="_Toc481769697"/>
      <w:r>
        <w:rPr>
          <w:rFonts w:ascii="Arial" w:hAnsi="Arial" w:eastAsia="宋体" w:cs="Arial"/>
          <w:b w:val="0"/>
        </w:rPr>
        <w:t>可重复使用的组件</w:t>
      </w:r>
      <w:bookmarkEnd w:id="28"/>
      <w:bookmarkEnd w:id="29"/>
    </w:p>
    <w:p w14:paraId="1D53BF47">
      <w:pPr>
        <w:pStyle w:val="11"/>
        <w:snapToGrid w:val="0"/>
        <w:spacing w:before="0" w:after="120" w:afterLines="50" w:line="300" w:lineRule="auto"/>
        <w:ind w:left="1560" w:firstLine="0"/>
        <w:jc w:val="both"/>
        <w:rPr>
          <w:rFonts w:ascii="Arial" w:hAnsi="Arial" w:cs="Arial"/>
        </w:rPr>
      </w:pPr>
      <w:r>
        <w:rPr>
          <w:rFonts w:ascii="Arial" w:hAnsi="Arial" w:cs="Arial"/>
        </w:rPr>
        <w:t>提供关于再处理（清洁和消毒）器械的详细说明，包括任何组装/拆卸所需的说明。另外，在使用/重新使用之前，还应包括根据验证的感染控制程序对器械进行彻底清洁和灭菌的警告。</w:t>
      </w:r>
    </w:p>
    <w:p w14:paraId="39BEB337">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u w:val="single" w:color="000000"/>
        </w:rPr>
        <w:t>清洁说明</w:t>
      </w:r>
      <w:r>
        <w:rPr>
          <w:rFonts w:ascii="Arial" w:hAnsi="Arial" w:cs="Arial"/>
        </w:rPr>
        <w:t>应详细描述，使用刷子和洗涤剂/酶溶液手动清洁和冲洗器械的外表面和任何内部通道，以便使用后立即溶解并清除蛋白质性质的物质。清洁说明应通过通用名称（例如酶清洗溶液、蛋白质结合剂等）确定兼容的清洁溶液，并确定特别难以清洁的器械的任何区域以及任何指定的方法和必要的配件（例如，刷子）。</w:t>
      </w:r>
    </w:p>
    <w:p w14:paraId="4F3BFE7A">
      <w:pPr>
        <w:pStyle w:val="11"/>
        <w:numPr>
          <w:ilvl w:val="2"/>
          <w:numId w:val="2"/>
        </w:numPr>
        <w:snapToGrid w:val="0"/>
        <w:spacing w:before="0" w:after="120" w:afterLines="50" w:line="300" w:lineRule="auto"/>
        <w:jc w:val="both"/>
        <w:rPr>
          <w:rFonts w:ascii="Arial" w:hAnsi="Arial" w:cs="Arial"/>
        </w:rPr>
      </w:pPr>
      <w:r>
        <w:rPr>
          <w:rFonts w:ascii="Arial" w:hAnsi="Arial" w:cs="Arial"/>
          <w:u w:val="single" w:color="000000"/>
        </w:rPr>
        <w:t>漂洗说明</w:t>
      </w:r>
      <w:r>
        <w:rPr>
          <w:rFonts w:ascii="Arial" w:hAnsi="Arial" w:cs="Arial"/>
        </w:rPr>
        <w:t>应包括用空气和水交替清洗所有内部通道（如适用）。</w:t>
      </w:r>
    </w:p>
    <w:p w14:paraId="3E7FCD86">
      <w:pPr>
        <w:pStyle w:val="11"/>
        <w:tabs>
          <w:tab w:val="left" w:pos="2280"/>
        </w:tabs>
        <w:snapToGrid w:val="0"/>
        <w:spacing w:before="0" w:after="120" w:afterLines="50" w:line="300" w:lineRule="auto"/>
        <w:ind w:left="1560" w:firstLine="0"/>
        <w:jc w:val="both"/>
        <w:rPr>
          <w:rFonts w:ascii="Arial" w:hAnsi="Arial" w:cs="Arial"/>
        </w:rPr>
      </w:pPr>
    </w:p>
    <w:p w14:paraId="58303181">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0386DCE4">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任何使用的液体灭菌剂必须由FDA确定和批准。一般提及的灭菌剂类别，例如2％戊二醛，目前是可接受的。说明书应建议，按照灭菌剂的标签（适当的时间和温度）将整个器械暴露在液体化学灭菌剂中。液体灭菌可以是手动或自动化，如果是自动化，则说明书必须为所有内部通道确定合适的适配器。</w:t>
      </w:r>
    </w:p>
    <w:p w14:paraId="6503E418">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应根据需要推荐彻底的后期处理</w:t>
      </w:r>
      <w:r>
        <w:rPr>
          <w:rFonts w:ascii="Arial" w:hAnsi="Arial" w:cs="Arial"/>
          <w:u w:val="single" w:color="000000"/>
        </w:rPr>
        <w:t>干燥说明</w:t>
      </w:r>
      <w:r>
        <w:rPr>
          <w:rFonts w:ascii="Arial" w:hAnsi="Arial" w:cs="Arial"/>
        </w:rPr>
        <w:t>，以便在再使用前减少再污染。说明书应包括在手动或自动再处理之后强制空气通过所有通道，以除去残留的冲洗水的步骤。</w:t>
      </w:r>
    </w:p>
    <w:p w14:paraId="082BC210">
      <w:pPr>
        <w:pStyle w:val="11"/>
        <w:numPr>
          <w:ilvl w:val="2"/>
          <w:numId w:val="2"/>
        </w:numPr>
        <w:tabs>
          <w:tab w:val="left" w:pos="2280"/>
        </w:tabs>
        <w:snapToGrid w:val="0"/>
        <w:spacing w:before="0" w:after="120" w:afterLines="50" w:line="300" w:lineRule="auto"/>
        <w:rPr>
          <w:rFonts w:ascii="Arial" w:hAnsi="Arial" w:cs="Arial"/>
        </w:rPr>
      </w:pPr>
      <w:r>
        <w:rPr>
          <w:rFonts w:ascii="Arial" w:hAnsi="Arial" w:cs="Arial"/>
        </w:rPr>
        <w:t>指定至少一种经过验证的灭菌方法，并确定应使用的具体参数（例如循环参数、曝气、特定液体灭菌剂、灭菌器装载等）。</w:t>
      </w:r>
      <w:r>
        <w:rPr>
          <w:rFonts w:ascii="Arial" w:hAnsi="Arial" w:cs="Arial"/>
        </w:rPr>
        <w:br w:type="textWrapping"/>
      </w:r>
      <w:r>
        <w:rPr>
          <w:rFonts w:ascii="Arial" w:hAnsi="Arial" w:cs="Arial"/>
        </w:rPr>
        <w:t>如果标签列出一种通用类型的灭菌程序，没有具体的循环参数，则申请人必须验证列出的一般程序的所有形式，例如“蒸汽灭菌”。</w:t>
      </w:r>
    </w:p>
    <w:p w14:paraId="66762CBE">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提供信息以帮助用户识别当器械可能受到再处理的不利影响时的任何情况或条件。该信息应解决材料与浸液的相容性。</w:t>
      </w:r>
    </w:p>
    <w:p w14:paraId="29E2DF24">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提供关于申请人、其代理人或其他具有法律责任的个体签署的再处理说明的验证。</w:t>
      </w:r>
    </w:p>
    <w:p w14:paraId="375839A9">
      <w:pPr>
        <w:pStyle w:val="11"/>
        <w:tabs>
          <w:tab w:val="left" w:pos="2280"/>
        </w:tabs>
        <w:snapToGrid w:val="0"/>
        <w:spacing w:before="0" w:after="120" w:afterLines="50" w:line="300" w:lineRule="auto"/>
        <w:ind w:left="1560" w:firstLine="0"/>
        <w:rPr>
          <w:rFonts w:ascii="Arial" w:hAnsi="Arial" w:cs="Arial"/>
        </w:rPr>
      </w:pPr>
      <w:r>
        <w:rPr>
          <w:rFonts w:ascii="Arial" w:hAnsi="Arial" w:cs="Arial"/>
        </w:rPr>
        <w:t>关于再处理的重要信息，请参阅草案</w:t>
      </w:r>
      <w:r>
        <w:rPr>
          <w:rFonts w:hint="eastAsia" w:ascii="Arial" w:hAnsi="Arial" w:cs="Arial"/>
        </w:rPr>
        <w:t>《</w:t>
      </w:r>
      <w:r>
        <w:rPr>
          <w:rFonts w:ascii="Arial" w:hAnsi="Arial" w:cs="Arial"/>
        </w:rPr>
        <w:t>在医疗设施中可重复使用医疗器械的标签：FDA审查指南</w:t>
      </w:r>
      <w:r>
        <w:rPr>
          <w:rFonts w:hint="eastAsia" w:ascii="Arial" w:hAnsi="Arial" w:cs="Arial"/>
        </w:rPr>
        <w:t>》</w:t>
      </w:r>
      <w:r>
        <w:rPr>
          <w:rFonts w:ascii="Arial" w:hAnsi="Arial" w:cs="Arial"/>
        </w:rPr>
        <w:t>（1995年3月）。本指南的副本可从DSMA获得。</w:t>
      </w:r>
    </w:p>
    <w:p w14:paraId="4EA936FC">
      <w:pPr>
        <w:pStyle w:val="3"/>
        <w:snapToGrid w:val="0"/>
        <w:spacing w:before="0" w:after="120" w:afterLines="50" w:line="300" w:lineRule="auto"/>
        <w:jc w:val="both"/>
        <w:rPr>
          <w:rFonts w:ascii="Arial" w:hAnsi="Arial" w:eastAsia="宋体" w:cs="Arial"/>
          <w:b w:val="0"/>
          <w:sz w:val="24"/>
        </w:rPr>
      </w:pPr>
      <w:bookmarkStart w:id="30" w:name="_Toc481769698"/>
      <w:bookmarkStart w:id="31" w:name="_Toc480443844"/>
      <w:r>
        <w:rPr>
          <w:rFonts w:ascii="Arial" w:hAnsi="Arial" w:eastAsia="宋体" w:cs="Arial"/>
          <w:b w:val="0"/>
          <w:sz w:val="24"/>
        </w:rPr>
        <w:t>一次性组件</w:t>
      </w:r>
      <w:bookmarkEnd w:id="30"/>
      <w:bookmarkEnd w:id="31"/>
    </w:p>
    <w:p w14:paraId="21F12EDE">
      <w:pPr>
        <w:pStyle w:val="11"/>
        <w:numPr>
          <w:ilvl w:val="0"/>
          <w:numId w:val="10"/>
        </w:numPr>
        <w:tabs>
          <w:tab w:val="left" w:pos="2280"/>
        </w:tabs>
        <w:snapToGrid w:val="0"/>
        <w:spacing w:before="0" w:after="120" w:afterLines="50" w:line="300" w:lineRule="auto"/>
        <w:jc w:val="both"/>
        <w:rPr>
          <w:rFonts w:ascii="Arial" w:hAnsi="Arial" w:cs="Arial"/>
        </w:rPr>
      </w:pPr>
      <w:r>
        <w:rPr>
          <w:rFonts w:ascii="Arial" w:hAnsi="Arial" w:cs="Arial"/>
        </w:rPr>
        <w:t>提供灭菌方法和无菌保证水平。</w:t>
      </w:r>
    </w:p>
    <w:p w14:paraId="3FC3D85D">
      <w:pPr>
        <w:pStyle w:val="11"/>
        <w:numPr>
          <w:ilvl w:val="0"/>
          <w:numId w:val="10"/>
        </w:numPr>
        <w:tabs>
          <w:tab w:val="left" w:pos="2280"/>
        </w:tabs>
        <w:snapToGrid w:val="0"/>
        <w:spacing w:before="0" w:after="120" w:afterLines="50" w:line="300" w:lineRule="auto"/>
        <w:jc w:val="both"/>
        <w:rPr>
          <w:rFonts w:ascii="Arial" w:hAnsi="Arial" w:cs="Arial"/>
        </w:rPr>
      </w:pPr>
      <w:r>
        <w:rPr>
          <w:rFonts w:ascii="Arial" w:hAnsi="Arial" w:cs="Arial"/>
        </w:rPr>
        <w:t>确定用于验证灭菌程序的方法。如果该方法是一种标准的、公认的方法，则只需提供名称。如果不是，则请提供方案本身的副本。</w:t>
      </w:r>
    </w:p>
    <w:p w14:paraId="7918AFD3">
      <w:pPr>
        <w:pStyle w:val="11"/>
        <w:numPr>
          <w:ilvl w:val="0"/>
          <w:numId w:val="10"/>
        </w:numPr>
        <w:tabs>
          <w:tab w:val="left" w:pos="2280"/>
        </w:tabs>
        <w:snapToGrid w:val="0"/>
        <w:spacing w:before="0" w:after="120" w:afterLines="50" w:line="300" w:lineRule="auto"/>
        <w:jc w:val="both"/>
        <w:rPr>
          <w:rFonts w:ascii="Arial" w:hAnsi="Arial" w:cs="Arial"/>
        </w:rPr>
      </w:pPr>
      <w:r>
        <w:rPr>
          <w:rFonts w:ascii="Arial" w:hAnsi="Arial" w:cs="Arial"/>
        </w:rPr>
        <w:t>描述将保持无菌的包装系统。</w:t>
      </w:r>
    </w:p>
    <w:p w14:paraId="21F9F6E5">
      <w:pPr>
        <w:pStyle w:val="11"/>
        <w:numPr>
          <w:ilvl w:val="0"/>
          <w:numId w:val="10"/>
        </w:numPr>
        <w:tabs>
          <w:tab w:val="left" w:pos="2280"/>
        </w:tabs>
        <w:snapToGrid w:val="0"/>
        <w:spacing w:before="0" w:after="120" w:afterLines="50" w:line="300" w:lineRule="auto"/>
        <w:jc w:val="both"/>
        <w:rPr>
          <w:rFonts w:ascii="Arial" w:hAnsi="Arial" w:cs="Arial"/>
        </w:rPr>
      </w:pPr>
      <w:r>
        <w:rPr>
          <w:rFonts w:ascii="Arial" w:hAnsi="Arial" w:cs="Arial"/>
        </w:rPr>
        <w:t>如果器械使用环氧乙烷灭菌，请确定环氧乙烷、氯乙醇和乙二醇的残留物的最大含量。如果该器械采用辐射灭菌，则应确定辐射剂量。</w:t>
      </w:r>
    </w:p>
    <w:p w14:paraId="10445085">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00EB1CDC">
      <w:pPr>
        <w:pStyle w:val="35"/>
        <w:snapToGrid w:val="0"/>
        <w:spacing w:after="120" w:afterLines="50" w:line="300" w:lineRule="auto"/>
        <w:jc w:val="both"/>
        <w:rPr>
          <w:rFonts w:ascii="Arial" w:hAnsi="Arial" w:cs="Arial"/>
        </w:rPr>
      </w:pPr>
      <w:bookmarkStart w:id="32" w:name="_Toc480443845"/>
      <w:bookmarkStart w:id="33" w:name="_Toc481769699"/>
      <w:r>
        <w:rPr>
          <w:rFonts w:ascii="Arial" w:hAnsi="Arial" w:cs="Arial"/>
        </w:rPr>
        <w:t>其他所需信息（812.20）</w:t>
      </w:r>
      <w:bookmarkEnd w:id="32"/>
      <w:bookmarkEnd w:id="33"/>
    </w:p>
    <w:p w14:paraId="4217674A">
      <w:pPr>
        <w:pStyle w:val="3"/>
        <w:numPr>
          <w:ilvl w:val="1"/>
          <w:numId w:val="11"/>
        </w:numPr>
        <w:snapToGrid w:val="0"/>
        <w:spacing w:before="0" w:after="120" w:afterLines="50" w:line="300" w:lineRule="auto"/>
        <w:jc w:val="both"/>
        <w:rPr>
          <w:rFonts w:ascii="Arial" w:hAnsi="Arial" w:eastAsia="宋体" w:cs="Arial"/>
          <w:b w:val="0"/>
          <w:sz w:val="24"/>
        </w:rPr>
      </w:pPr>
      <w:bookmarkStart w:id="34" w:name="_Toc480443846"/>
      <w:bookmarkStart w:id="35" w:name="_Toc481769700"/>
      <w:r>
        <w:rPr>
          <w:rFonts w:ascii="Arial" w:hAnsi="Arial" w:eastAsia="宋体" w:cs="Arial"/>
          <w:b w:val="0"/>
          <w:sz w:val="24"/>
        </w:rPr>
        <w:t>商业化</w:t>
      </w:r>
      <w:bookmarkEnd w:id="34"/>
      <w:bookmarkEnd w:id="35"/>
    </w:p>
    <w:p w14:paraId="1D9052D4">
      <w:pPr>
        <w:pStyle w:val="11"/>
        <w:snapToGrid w:val="0"/>
        <w:spacing w:before="0" w:after="120" w:afterLines="50" w:line="300" w:lineRule="auto"/>
        <w:ind w:left="1560" w:firstLine="0"/>
        <w:jc w:val="both"/>
        <w:rPr>
          <w:rFonts w:ascii="Arial" w:hAnsi="Arial" w:cs="Arial"/>
        </w:rPr>
      </w:pPr>
      <w:r>
        <w:rPr>
          <w:rFonts w:ascii="Arial" w:hAnsi="Arial" w:cs="Arial"/>
        </w:rPr>
        <w:t>临床研究期间是否将指定器械出售给患者。如果出售给患者，则解释这不构成商业化的原因。</w:t>
      </w:r>
    </w:p>
    <w:p w14:paraId="755D26E0">
      <w:pPr>
        <w:pStyle w:val="36"/>
        <w:snapToGrid w:val="0"/>
        <w:spacing w:before="0" w:after="120" w:afterLines="50" w:line="300" w:lineRule="auto"/>
        <w:jc w:val="both"/>
        <w:rPr>
          <w:rFonts w:ascii="Arial" w:hAnsi="Arial" w:eastAsia="宋体" w:cs="Arial"/>
          <w:b w:val="0"/>
        </w:rPr>
      </w:pPr>
      <w:bookmarkStart w:id="36" w:name="_Toc480443847"/>
      <w:bookmarkStart w:id="37" w:name="_Toc481769701"/>
      <w:r>
        <w:rPr>
          <w:rFonts w:ascii="Arial" w:hAnsi="Arial" w:eastAsia="宋体" w:cs="Arial"/>
          <w:b w:val="0"/>
        </w:rPr>
        <w:t>环境影响</w:t>
      </w:r>
      <w:bookmarkEnd w:id="36"/>
      <w:bookmarkEnd w:id="37"/>
    </w:p>
    <w:p w14:paraId="5CFFD44D">
      <w:pPr>
        <w:pStyle w:val="11"/>
        <w:snapToGrid w:val="0"/>
        <w:spacing w:before="0" w:after="120" w:afterLines="50" w:line="300" w:lineRule="auto"/>
        <w:ind w:left="1560" w:firstLine="0"/>
        <w:jc w:val="both"/>
        <w:rPr>
          <w:rFonts w:ascii="Arial" w:hAnsi="Arial" w:cs="Arial"/>
        </w:rPr>
      </w:pPr>
      <w:r>
        <w:rPr>
          <w:rFonts w:ascii="Arial" w:hAnsi="Arial" w:cs="Arial"/>
        </w:rPr>
        <w:t>提供：</w:t>
      </w:r>
    </w:p>
    <w:p w14:paraId="37833613">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描述制造和研究该器械的潜在环境影响的环境影响评估，或</w:t>
      </w:r>
    </w:p>
    <w:p w14:paraId="18BD299E">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根据“21CFR 25.24”，明确排除在该要求之外声明。</w:t>
      </w:r>
    </w:p>
    <w:p w14:paraId="3755A9A2">
      <w:pPr>
        <w:pStyle w:val="35"/>
        <w:snapToGrid w:val="0"/>
        <w:spacing w:after="120" w:afterLines="50" w:line="300" w:lineRule="auto"/>
        <w:jc w:val="both"/>
        <w:rPr>
          <w:rFonts w:ascii="Arial" w:hAnsi="Arial" w:cs="Arial"/>
        </w:rPr>
      </w:pPr>
      <w:bookmarkStart w:id="38" w:name="_Toc481769702"/>
      <w:bookmarkStart w:id="39" w:name="_Toc480443848"/>
      <w:r>
        <w:rPr>
          <w:rFonts w:ascii="Arial" w:hAnsi="Arial" w:cs="Arial"/>
        </w:rPr>
        <w:t>所有既往研究摘要</w:t>
      </w:r>
      <w:bookmarkEnd w:id="38"/>
      <w:bookmarkEnd w:id="39"/>
    </w:p>
    <w:p w14:paraId="7F8679E9">
      <w:pPr>
        <w:pStyle w:val="3"/>
        <w:numPr>
          <w:ilvl w:val="1"/>
          <w:numId w:val="12"/>
        </w:numPr>
        <w:snapToGrid w:val="0"/>
        <w:spacing w:before="0" w:after="120" w:afterLines="50" w:line="300" w:lineRule="auto"/>
        <w:jc w:val="both"/>
        <w:rPr>
          <w:rFonts w:ascii="Arial" w:hAnsi="Arial" w:eastAsia="宋体" w:cs="Arial"/>
          <w:b w:val="0"/>
          <w:sz w:val="24"/>
        </w:rPr>
      </w:pPr>
      <w:bookmarkStart w:id="40" w:name="_Toc480443849"/>
      <w:bookmarkStart w:id="41" w:name="_Toc481769703"/>
      <w:r>
        <w:rPr>
          <w:rFonts w:ascii="Arial" w:hAnsi="Arial" w:eastAsia="宋体" w:cs="Arial"/>
          <w:b w:val="0"/>
          <w:sz w:val="24"/>
        </w:rPr>
        <w:t>体外和动物试验</w:t>
      </w:r>
      <w:bookmarkEnd w:id="40"/>
      <w:bookmarkEnd w:id="41"/>
    </w:p>
    <w:p w14:paraId="06D0A4F1">
      <w:pPr>
        <w:pStyle w:val="11"/>
        <w:snapToGrid w:val="0"/>
        <w:spacing w:before="0" w:after="120" w:afterLines="50" w:line="300" w:lineRule="auto"/>
        <w:ind w:left="1560" w:firstLine="0"/>
        <w:jc w:val="both"/>
        <w:rPr>
          <w:rFonts w:ascii="Arial" w:hAnsi="Arial" w:cs="Arial"/>
        </w:rPr>
      </w:pPr>
      <w:r>
        <w:rPr>
          <w:rFonts w:ascii="Arial" w:hAnsi="Arial" w:cs="Arial"/>
        </w:rPr>
        <w:t>提供所有</w:t>
      </w:r>
      <w:r>
        <w:rPr>
          <w:rFonts w:ascii="Arial" w:hAnsi="Arial" w:cs="Arial"/>
          <w:u w:val="single" w:color="000000"/>
        </w:rPr>
        <w:t>体外</w:t>
      </w:r>
      <w:r>
        <w:rPr>
          <w:rFonts w:ascii="Arial" w:hAnsi="Arial" w:cs="Arial"/>
        </w:rPr>
        <w:t>（例如，切除子宫）和动物试验的完整描述。这应该包括：</w:t>
      </w:r>
    </w:p>
    <w:p w14:paraId="4F2E5D3E">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模型选择的理由</w:t>
      </w:r>
    </w:p>
    <w:p w14:paraId="7BFD3481">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将研究中使用的治疗参数与拟议用于人体的治疗参数进行比较</w:t>
      </w:r>
    </w:p>
    <w:p w14:paraId="2D0C24D6">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试验方案和方法</w:t>
      </w:r>
    </w:p>
    <w:p w14:paraId="2C69EA31">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结果（包括原始数据的样本）</w:t>
      </w:r>
    </w:p>
    <w:p w14:paraId="62818A19">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结论</w:t>
      </w:r>
    </w:p>
    <w:p w14:paraId="5E3A642A">
      <w:pPr>
        <w:pStyle w:val="11"/>
        <w:snapToGrid w:val="0"/>
        <w:spacing w:before="0" w:after="120" w:afterLines="50" w:line="300" w:lineRule="auto"/>
        <w:ind w:left="1560" w:firstLine="0"/>
        <w:jc w:val="both"/>
        <w:rPr>
          <w:rFonts w:ascii="Arial" w:hAnsi="Arial" w:cs="Arial"/>
        </w:rPr>
      </w:pPr>
      <w:r>
        <w:rPr>
          <w:rFonts w:ascii="Arial" w:hAnsi="Arial" w:cs="Arial"/>
          <w:b/>
        </w:rPr>
        <w:t>注：</w:t>
      </w:r>
      <w:r>
        <w:rPr>
          <w:rFonts w:ascii="Arial" w:hAnsi="Arial" w:cs="Arial"/>
        </w:rPr>
        <w:t>在批准人体临床研究之前必须提交来自</w:t>
      </w:r>
      <w:r>
        <w:rPr>
          <w:rFonts w:ascii="Arial" w:hAnsi="Arial" w:cs="Arial"/>
          <w:u w:val="single" w:color="000000"/>
        </w:rPr>
        <w:t>体外</w:t>
      </w:r>
      <w:r>
        <w:rPr>
          <w:rFonts w:ascii="Arial" w:hAnsi="Arial" w:cs="Arial"/>
        </w:rPr>
        <w:t>和动物试验的详细数据，证明该器械相对安全且功能正常。</w:t>
      </w:r>
    </w:p>
    <w:p w14:paraId="2E2D4865">
      <w:pPr>
        <w:pStyle w:val="36"/>
        <w:snapToGrid w:val="0"/>
        <w:spacing w:before="0" w:after="120" w:afterLines="50" w:line="300" w:lineRule="auto"/>
        <w:jc w:val="both"/>
        <w:rPr>
          <w:rFonts w:ascii="Arial" w:hAnsi="Arial" w:eastAsia="宋体" w:cs="Arial"/>
          <w:b w:val="0"/>
        </w:rPr>
      </w:pPr>
      <w:bookmarkStart w:id="42" w:name="_Toc480443850"/>
      <w:bookmarkStart w:id="43" w:name="_Toc481769704"/>
      <w:r>
        <w:rPr>
          <w:rFonts w:ascii="Arial" w:hAnsi="Arial" w:eastAsia="宋体" w:cs="Arial"/>
          <w:b w:val="0"/>
        </w:rPr>
        <w:t>临床试验</w:t>
      </w:r>
      <w:bookmarkEnd w:id="42"/>
      <w:bookmarkEnd w:id="43"/>
    </w:p>
    <w:p w14:paraId="0FD04B83">
      <w:pPr>
        <w:pStyle w:val="11"/>
        <w:snapToGrid w:val="0"/>
        <w:spacing w:before="0" w:after="120" w:afterLines="50" w:line="300" w:lineRule="auto"/>
        <w:ind w:left="1560" w:firstLine="0"/>
        <w:jc w:val="both"/>
        <w:rPr>
          <w:rFonts w:ascii="Arial" w:hAnsi="Arial" w:cs="Arial"/>
          <w:szCs w:val="26"/>
        </w:rPr>
      </w:pPr>
      <w:r>
        <w:rPr>
          <w:rFonts w:ascii="Arial" w:hAnsi="Arial" w:cs="Arial"/>
        </w:rPr>
        <w:t>提供关于涉及器械的所有既往临床研究的以下信息：</w:t>
      </w:r>
    </w:p>
    <w:p w14:paraId="6E328F24">
      <w:pPr>
        <w:pStyle w:val="11"/>
        <w:numPr>
          <w:ilvl w:val="0"/>
          <w:numId w:val="13"/>
        </w:numPr>
        <w:tabs>
          <w:tab w:val="left" w:pos="2280"/>
        </w:tabs>
        <w:snapToGrid w:val="0"/>
        <w:spacing w:before="0" w:after="120" w:afterLines="50" w:line="300" w:lineRule="auto"/>
        <w:jc w:val="both"/>
        <w:rPr>
          <w:rFonts w:ascii="Arial" w:hAnsi="Arial" w:cs="Arial"/>
        </w:rPr>
      </w:pPr>
      <w:r>
        <w:rPr>
          <w:rFonts w:ascii="Arial" w:hAnsi="Arial" w:cs="Arial"/>
        </w:rPr>
        <w:t>完整的参考书目，包括重要参考文件的副本</w:t>
      </w:r>
    </w:p>
    <w:p w14:paraId="10B270AD">
      <w:pPr>
        <w:pStyle w:val="11"/>
        <w:numPr>
          <w:ilvl w:val="0"/>
          <w:numId w:val="13"/>
        </w:numPr>
        <w:tabs>
          <w:tab w:val="left" w:pos="2280"/>
        </w:tabs>
        <w:snapToGrid w:val="0"/>
        <w:spacing w:before="0" w:after="120" w:afterLines="50" w:line="300" w:lineRule="auto"/>
        <w:jc w:val="both"/>
        <w:rPr>
          <w:rFonts w:ascii="Arial" w:hAnsi="Arial" w:cs="Arial"/>
        </w:rPr>
      </w:pPr>
      <w:r>
        <w:rPr>
          <w:rFonts w:ascii="Arial" w:hAnsi="Arial" w:cs="Arial"/>
        </w:rPr>
        <w:t>未发布数据的摘要</w:t>
      </w:r>
    </w:p>
    <w:p w14:paraId="6023DA28">
      <w:pPr>
        <w:pStyle w:val="11"/>
        <w:numPr>
          <w:ilvl w:val="0"/>
          <w:numId w:val="13"/>
        </w:numPr>
        <w:tabs>
          <w:tab w:val="left" w:pos="2280"/>
        </w:tabs>
        <w:snapToGrid w:val="0"/>
        <w:spacing w:before="0" w:after="120" w:afterLines="50" w:line="300" w:lineRule="auto"/>
        <w:jc w:val="both"/>
        <w:rPr>
          <w:rFonts w:ascii="Arial" w:hAnsi="Arial" w:cs="Arial"/>
        </w:rPr>
      </w:pPr>
      <w:r>
        <w:rPr>
          <w:rFonts w:ascii="Arial" w:hAnsi="Arial" w:cs="Arial"/>
        </w:rPr>
        <w:t>所有已知不良事件或器械故障的完整讨论</w:t>
      </w:r>
    </w:p>
    <w:p w14:paraId="630DEE09">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25A23638">
      <w:pPr>
        <w:pStyle w:val="35"/>
        <w:snapToGrid w:val="0"/>
        <w:spacing w:after="24" w:afterLines="10" w:line="300" w:lineRule="auto"/>
        <w:jc w:val="both"/>
        <w:rPr>
          <w:rFonts w:ascii="Arial" w:hAnsi="Arial" w:cs="Arial"/>
          <w:szCs w:val="26"/>
        </w:rPr>
      </w:pPr>
      <w:bookmarkStart w:id="44" w:name="_Toc480443851"/>
      <w:bookmarkStart w:id="45" w:name="_Toc481769705"/>
      <w:r>
        <w:rPr>
          <w:rFonts w:ascii="Arial" w:hAnsi="Arial" w:cs="Arial"/>
        </w:rPr>
        <w:t>可行性研究 - 安全性（子宫切除术前患者）</w:t>
      </w:r>
      <w:bookmarkEnd w:id="44"/>
      <w:bookmarkEnd w:id="45"/>
    </w:p>
    <w:p w14:paraId="22DACF47">
      <w:pPr>
        <w:pStyle w:val="3"/>
        <w:numPr>
          <w:ilvl w:val="1"/>
          <w:numId w:val="14"/>
        </w:numPr>
        <w:snapToGrid w:val="0"/>
        <w:spacing w:before="0" w:after="24" w:afterLines="10" w:line="300" w:lineRule="auto"/>
        <w:jc w:val="both"/>
        <w:rPr>
          <w:rFonts w:ascii="Arial" w:hAnsi="Arial" w:eastAsia="宋体" w:cs="Arial"/>
          <w:b w:val="0"/>
          <w:sz w:val="24"/>
        </w:rPr>
      </w:pPr>
      <w:bookmarkStart w:id="46" w:name="_Toc480443852"/>
      <w:bookmarkStart w:id="47" w:name="_Toc481769706"/>
      <w:r>
        <w:rPr>
          <w:rFonts w:ascii="Arial" w:hAnsi="Arial" w:eastAsia="宋体" w:cs="Arial"/>
          <w:b w:val="0"/>
          <w:sz w:val="24"/>
        </w:rPr>
        <w:t>目的</w:t>
      </w:r>
      <w:bookmarkEnd w:id="46"/>
      <w:bookmarkEnd w:id="47"/>
    </w:p>
    <w:p w14:paraId="550DDD59">
      <w:pPr>
        <w:pStyle w:val="11"/>
        <w:snapToGrid w:val="0"/>
        <w:spacing w:before="0" w:after="24" w:afterLines="10" w:line="300" w:lineRule="auto"/>
        <w:ind w:left="1560" w:firstLine="0"/>
        <w:jc w:val="both"/>
        <w:rPr>
          <w:rFonts w:ascii="Arial" w:hAnsi="Arial" w:cs="Arial"/>
          <w:szCs w:val="26"/>
        </w:rPr>
      </w:pPr>
      <w:r>
        <w:rPr>
          <w:rFonts w:ascii="Arial" w:hAnsi="Arial" w:cs="Arial"/>
        </w:rPr>
        <w:t>可行性安全研究的目的是为了证明该器械在已经计划进行子宫切除术的数量有限的女性中的安全性。这涉及在切除手术过程中监测子宫壁内和浆膜表面的温度，一旦切除子宫就进行子宫的组织学检查。</w:t>
      </w:r>
      <w:r>
        <w:rPr>
          <w:rFonts w:ascii="Arial" w:hAnsi="Arial" w:cs="Arial"/>
        </w:rPr>
        <w:cr/>
      </w:r>
      <w:r>
        <w:rPr>
          <w:rFonts w:ascii="Arial" w:hAnsi="Arial" w:cs="Arial"/>
        </w:rPr>
        <w:t>温度/时间参数或系统设计的重大变更可能需要通过其他可行性研究进行重新验证。</w:t>
      </w:r>
    </w:p>
    <w:p w14:paraId="1879BF3E">
      <w:pPr>
        <w:pStyle w:val="36"/>
        <w:snapToGrid w:val="0"/>
        <w:spacing w:before="0" w:after="24" w:afterLines="10" w:line="300" w:lineRule="auto"/>
        <w:jc w:val="both"/>
        <w:rPr>
          <w:rFonts w:ascii="Arial" w:hAnsi="Arial" w:eastAsia="宋体" w:cs="Arial"/>
          <w:b w:val="0"/>
        </w:rPr>
      </w:pPr>
      <w:bookmarkStart w:id="48" w:name="_Toc480443853"/>
      <w:bookmarkStart w:id="49" w:name="_Toc481769707"/>
      <w:r>
        <w:rPr>
          <w:rFonts w:ascii="Arial" w:hAnsi="Arial" w:eastAsia="宋体" w:cs="Arial"/>
          <w:b w:val="0"/>
        </w:rPr>
        <w:t>患者人群的描述</w:t>
      </w:r>
      <w:bookmarkEnd w:id="48"/>
      <w:bookmarkEnd w:id="49"/>
    </w:p>
    <w:p w14:paraId="20674A21">
      <w:pPr>
        <w:pStyle w:val="11"/>
        <w:numPr>
          <w:ilvl w:val="2"/>
          <w:numId w:val="2"/>
        </w:numPr>
        <w:tabs>
          <w:tab w:val="left" w:pos="2280"/>
        </w:tabs>
        <w:snapToGrid w:val="0"/>
        <w:spacing w:before="0" w:after="24" w:afterLines="10" w:line="300" w:lineRule="auto"/>
        <w:jc w:val="both"/>
        <w:rPr>
          <w:rFonts w:ascii="Arial" w:hAnsi="Arial" w:cs="Arial"/>
        </w:rPr>
      </w:pPr>
      <w:r>
        <w:rPr>
          <w:rFonts w:ascii="Arial" w:hAnsi="Arial" w:cs="Arial"/>
        </w:rPr>
        <w:t>入选标准</w:t>
      </w:r>
    </w:p>
    <w:p w14:paraId="6E6C5D66">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被诊断为适合子宫切除术候选者的患者</w:t>
      </w:r>
    </w:p>
    <w:p w14:paraId="4B53029D">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子宫探子测量</w:t>
      </w:r>
      <w:r>
        <w:rPr>
          <w:rFonts w:ascii="Arial" w:hAnsi="Arial" w:cs="Arial"/>
          <w:u w:val="single" w:color="000000"/>
        </w:rPr>
        <w:t xml:space="preserve">&lt; </w:t>
      </w:r>
      <w:r>
        <w:rPr>
          <w:rFonts w:ascii="Arial" w:hAnsi="Arial" w:cs="Arial"/>
        </w:rPr>
        <w:t>8 cm</w:t>
      </w:r>
    </w:p>
    <w:p w14:paraId="6B80D13D">
      <w:pPr>
        <w:pStyle w:val="11"/>
        <w:numPr>
          <w:ilvl w:val="3"/>
          <w:numId w:val="2"/>
        </w:numPr>
        <w:tabs>
          <w:tab w:val="left" w:pos="2999"/>
          <w:tab w:val="left" w:pos="3000"/>
        </w:tabs>
        <w:snapToGrid w:val="0"/>
        <w:spacing w:before="0" w:after="24" w:afterLines="10" w:line="300" w:lineRule="auto"/>
        <w:jc w:val="both"/>
        <w:rPr>
          <w:rFonts w:ascii="Arial" w:hAnsi="Arial" w:cs="Arial"/>
          <w:szCs w:val="28"/>
        </w:rPr>
      </w:pPr>
      <w:r>
        <w:rPr>
          <w:rFonts w:ascii="Arial" w:hAnsi="Arial" w:cs="Arial"/>
        </w:rPr>
        <w:t>其他器械的特定标准</w:t>
      </w:r>
    </w:p>
    <w:p w14:paraId="38EC734D">
      <w:pPr>
        <w:pStyle w:val="11"/>
        <w:snapToGrid w:val="0"/>
        <w:spacing w:before="0" w:after="24" w:afterLines="10" w:line="300" w:lineRule="auto"/>
        <w:ind w:left="1560" w:firstLine="0"/>
        <w:jc w:val="both"/>
        <w:rPr>
          <w:rFonts w:ascii="Arial" w:hAnsi="Arial" w:cs="Arial"/>
          <w:szCs w:val="26"/>
        </w:rPr>
      </w:pPr>
      <w:r>
        <w:rPr>
          <w:rFonts w:ascii="Arial" w:hAnsi="Arial" w:cs="Arial"/>
          <w:b/>
        </w:rPr>
        <w:t>注：</w:t>
      </w:r>
      <w:r>
        <w:rPr>
          <w:rFonts w:ascii="Arial" w:hAnsi="Arial" w:cs="Arial"/>
        </w:rPr>
        <w:t>如果安全性和有效性研究将包括既往进行子宫手术的女性（例如剖宫产术、子宫肌瘤切除术），则安全性研究应包括足够数量的既往进行过子宫手术的女性和既往未进行子宫手术的女性。</w:t>
      </w:r>
    </w:p>
    <w:p w14:paraId="30204E0F">
      <w:pPr>
        <w:pStyle w:val="11"/>
        <w:numPr>
          <w:ilvl w:val="2"/>
          <w:numId w:val="2"/>
        </w:numPr>
        <w:tabs>
          <w:tab w:val="left" w:pos="2280"/>
        </w:tabs>
        <w:snapToGrid w:val="0"/>
        <w:spacing w:before="0" w:after="24" w:afterLines="10" w:line="300" w:lineRule="auto"/>
        <w:jc w:val="both"/>
        <w:rPr>
          <w:rFonts w:ascii="Arial" w:hAnsi="Arial" w:cs="Arial"/>
        </w:rPr>
      </w:pPr>
      <w:r>
        <w:rPr>
          <w:rFonts w:ascii="Arial" w:hAnsi="Arial" w:cs="Arial"/>
        </w:rPr>
        <w:t>排除标准</w:t>
      </w:r>
    </w:p>
    <w:p w14:paraId="33EBFED0">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活性盆腔炎</w:t>
      </w:r>
    </w:p>
    <w:p w14:paraId="39E80176">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psp涂片异常，除非得到适当评估</w:t>
      </w:r>
    </w:p>
    <w:p w14:paraId="26293626">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5年以内的妇科恶性肿瘤史</w:t>
      </w:r>
    </w:p>
    <w:p w14:paraId="77DAA4D7">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粘膜下肌瘤和息肉</w:t>
      </w:r>
    </w:p>
    <w:p w14:paraId="2651186D">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纵隔子宫</w:t>
      </w:r>
    </w:p>
    <w:p w14:paraId="1FC55EEB">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既往子宫内膜切除术</w:t>
      </w:r>
    </w:p>
    <w:p w14:paraId="4CB9C157">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妊娠</w:t>
      </w:r>
    </w:p>
    <w:p w14:paraId="57CD6468">
      <w:pPr>
        <w:pStyle w:val="11"/>
        <w:numPr>
          <w:ilvl w:val="3"/>
          <w:numId w:val="2"/>
        </w:numPr>
        <w:tabs>
          <w:tab w:val="left" w:pos="2999"/>
          <w:tab w:val="left" w:pos="3000"/>
        </w:tabs>
        <w:snapToGrid w:val="0"/>
        <w:spacing w:before="0" w:after="24" w:afterLines="10" w:line="300" w:lineRule="auto"/>
        <w:jc w:val="both"/>
        <w:rPr>
          <w:rFonts w:ascii="Arial" w:hAnsi="Arial" w:cs="Arial"/>
          <w:szCs w:val="28"/>
        </w:rPr>
      </w:pPr>
      <w:r>
        <w:rPr>
          <w:rFonts w:ascii="Arial" w:hAnsi="Arial" w:cs="Arial"/>
        </w:rPr>
        <w:t>其他器械的特定标准</w:t>
      </w:r>
    </w:p>
    <w:p w14:paraId="3722FCE3">
      <w:pPr>
        <w:pStyle w:val="36"/>
        <w:snapToGrid w:val="0"/>
        <w:spacing w:before="0" w:after="24" w:afterLines="10" w:line="300" w:lineRule="auto"/>
        <w:jc w:val="both"/>
        <w:rPr>
          <w:rFonts w:ascii="Arial" w:hAnsi="Arial" w:eastAsia="宋体" w:cs="Arial"/>
          <w:b w:val="0"/>
          <w:szCs w:val="28"/>
        </w:rPr>
      </w:pPr>
      <w:bookmarkStart w:id="50" w:name="_Toc480443854"/>
      <w:bookmarkStart w:id="51" w:name="_Toc481769708"/>
      <w:r>
        <w:rPr>
          <w:rFonts w:ascii="Arial" w:hAnsi="Arial" w:eastAsia="宋体" w:cs="Arial"/>
          <w:b w:val="0"/>
        </w:rPr>
        <w:t>研究计划</w:t>
      </w:r>
      <w:bookmarkEnd w:id="50"/>
      <w:bookmarkEnd w:id="51"/>
    </w:p>
    <w:p w14:paraId="6755BD10">
      <w:pPr>
        <w:pStyle w:val="11"/>
        <w:numPr>
          <w:ilvl w:val="0"/>
          <w:numId w:val="15"/>
        </w:numPr>
        <w:tabs>
          <w:tab w:val="left" w:pos="2280"/>
        </w:tabs>
        <w:snapToGrid w:val="0"/>
        <w:spacing w:before="0" w:after="24" w:afterLines="10" w:line="300" w:lineRule="auto"/>
        <w:jc w:val="both"/>
        <w:rPr>
          <w:rFonts w:ascii="Arial" w:hAnsi="Arial" w:cs="Arial"/>
        </w:rPr>
      </w:pPr>
      <w:r>
        <w:rPr>
          <w:rFonts w:ascii="Arial" w:hAnsi="Arial" w:cs="Arial"/>
        </w:rPr>
        <w:t>研究设计</w:t>
      </w:r>
    </w:p>
    <w:p w14:paraId="39C591B4">
      <w:pPr>
        <w:pStyle w:val="11"/>
        <w:snapToGrid w:val="0"/>
        <w:spacing w:before="0" w:after="24" w:afterLines="10" w:line="300" w:lineRule="auto"/>
        <w:ind w:left="2280" w:firstLine="0"/>
        <w:jc w:val="both"/>
        <w:rPr>
          <w:rFonts w:ascii="Arial" w:hAnsi="Arial" w:cs="Arial"/>
          <w:szCs w:val="28"/>
        </w:rPr>
      </w:pPr>
      <w:r>
        <w:rPr>
          <w:rFonts w:ascii="Arial" w:hAnsi="Arial" w:cs="Arial"/>
        </w:rPr>
        <w:t>这是一项有5-10例患者的单组研究。</w:t>
      </w:r>
    </w:p>
    <w:p w14:paraId="3CFA6F14">
      <w:pPr>
        <w:pStyle w:val="11"/>
        <w:numPr>
          <w:ilvl w:val="0"/>
          <w:numId w:val="15"/>
        </w:numPr>
        <w:tabs>
          <w:tab w:val="left" w:pos="2280"/>
        </w:tabs>
        <w:snapToGrid w:val="0"/>
        <w:spacing w:before="0" w:after="24" w:afterLines="10" w:line="300" w:lineRule="auto"/>
        <w:jc w:val="both"/>
        <w:rPr>
          <w:rFonts w:ascii="Arial" w:hAnsi="Arial" w:cs="Arial"/>
        </w:rPr>
      </w:pPr>
      <w:r>
        <w:rPr>
          <w:rFonts w:ascii="Arial" w:hAnsi="Arial" w:cs="Arial"/>
        </w:rPr>
        <w:t>方案</w:t>
      </w:r>
    </w:p>
    <w:p w14:paraId="4D4C735E">
      <w:pPr>
        <w:pStyle w:val="11"/>
        <w:numPr>
          <w:ilvl w:val="0"/>
          <w:numId w:val="16"/>
        </w:numPr>
        <w:tabs>
          <w:tab w:val="left" w:pos="2999"/>
          <w:tab w:val="left" w:pos="3000"/>
        </w:tabs>
        <w:snapToGrid w:val="0"/>
        <w:spacing w:before="0" w:after="24" w:afterLines="10" w:line="300" w:lineRule="auto"/>
        <w:jc w:val="both"/>
        <w:rPr>
          <w:rFonts w:ascii="Arial" w:hAnsi="Arial" w:cs="Arial"/>
        </w:rPr>
      </w:pPr>
      <w:r>
        <w:rPr>
          <w:rFonts w:ascii="Arial" w:hAnsi="Arial" w:cs="Arial"/>
        </w:rPr>
        <w:t>手术前评估应包括：</w:t>
      </w:r>
    </w:p>
    <w:p w14:paraId="105033BC">
      <w:pPr>
        <w:pStyle w:val="11"/>
        <w:numPr>
          <w:ilvl w:val="4"/>
          <w:numId w:val="2"/>
        </w:numPr>
        <w:tabs>
          <w:tab w:val="left" w:pos="3720"/>
        </w:tabs>
        <w:snapToGrid w:val="0"/>
        <w:spacing w:before="0" w:after="24" w:afterLines="10" w:line="300" w:lineRule="auto"/>
        <w:jc w:val="both"/>
        <w:rPr>
          <w:rFonts w:ascii="Arial" w:hAnsi="Arial" w:cs="Arial"/>
        </w:rPr>
      </w:pPr>
      <w:r>
        <w:rPr>
          <w:rFonts w:ascii="Arial" w:hAnsi="Arial" w:cs="Arial"/>
        </w:rPr>
        <w:t>骨盆检查</w:t>
      </w:r>
    </w:p>
    <w:p w14:paraId="389534EA">
      <w:pPr>
        <w:pStyle w:val="11"/>
        <w:numPr>
          <w:ilvl w:val="4"/>
          <w:numId w:val="2"/>
        </w:numPr>
        <w:tabs>
          <w:tab w:val="left" w:pos="3720"/>
        </w:tabs>
        <w:snapToGrid w:val="0"/>
        <w:spacing w:before="0" w:after="24" w:afterLines="10" w:line="300" w:lineRule="auto"/>
        <w:jc w:val="both"/>
        <w:rPr>
          <w:rFonts w:ascii="Arial" w:hAnsi="Arial" w:cs="Arial"/>
        </w:rPr>
      </w:pPr>
      <w:r>
        <w:rPr>
          <w:rFonts w:ascii="Arial" w:hAnsi="Arial" w:cs="Arial"/>
        </w:rPr>
        <w:t>巴氏涂片</w:t>
      </w:r>
    </w:p>
    <w:p w14:paraId="13068F4E">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4130F4E1">
      <w:pPr>
        <w:pStyle w:val="11"/>
        <w:numPr>
          <w:ilvl w:val="4"/>
          <w:numId w:val="2"/>
        </w:numPr>
        <w:tabs>
          <w:tab w:val="left" w:pos="3720"/>
        </w:tabs>
        <w:snapToGrid w:val="0"/>
        <w:spacing w:before="0" w:after="96" w:afterLines="40" w:line="300" w:lineRule="auto"/>
        <w:jc w:val="both"/>
        <w:rPr>
          <w:rFonts w:ascii="Arial" w:hAnsi="Arial" w:cs="Arial"/>
        </w:rPr>
      </w:pPr>
      <w:r>
        <w:rPr>
          <w:rFonts w:ascii="Arial" w:hAnsi="Arial" w:cs="Arial"/>
        </w:rPr>
        <w:t>妊娠试验</w:t>
      </w:r>
    </w:p>
    <w:p w14:paraId="67C54675">
      <w:pPr>
        <w:pStyle w:val="11"/>
        <w:numPr>
          <w:ilvl w:val="4"/>
          <w:numId w:val="2"/>
        </w:numPr>
        <w:tabs>
          <w:tab w:val="left" w:pos="3720"/>
        </w:tabs>
        <w:snapToGrid w:val="0"/>
        <w:spacing w:before="0" w:after="96" w:afterLines="40" w:line="300" w:lineRule="auto"/>
        <w:jc w:val="both"/>
        <w:rPr>
          <w:rFonts w:ascii="Arial" w:hAnsi="Arial" w:cs="Arial"/>
          <w:szCs w:val="30"/>
        </w:rPr>
      </w:pPr>
      <w:r>
        <w:rPr>
          <w:rFonts w:ascii="Arial" w:hAnsi="Arial" w:cs="Arial"/>
        </w:rPr>
        <w:t>子宫内膜活检</w:t>
      </w:r>
    </w:p>
    <w:p w14:paraId="5B096956">
      <w:pPr>
        <w:pStyle w:val="11"/>
        <w:numPr>
          <w:ilvl w:val="0"/>
          <w:numId w:val="16"/>
        </w:numPr>
        <w:tabs>
          <w:tab w:val="left" w:pos="2999"/>
          <w:tab w:val="left" w:pos="3000"/>
        </w:tabs>
        <w:snapToGrid w:val="0"/>
        <w:spacing w:before="0" w:after="96" w:afterLines="40" w:line="300" w:lineRule="auto"/>
        <w:jc w:val="both"/>
        <w:rPr>
          <w:rFonts w:ascii="Arial" w:hAnsi="Arial" w:cs="Arial"/>
        </w:rPr>
      </w:pPr>
      <w:r>
        <w:rPr>
          <w:rFonts w:ascii="Arial" w:hAnsi="Arial" w:cs="Arial"/>
        </w:rPr>
        <w:t>子宫内膜制备</w:t>
      </w:r>
    </w:p>
    <w:p w14:paraId="1FA99B01">
      <w:pPr>
        <w:pStyle w:val="11"/>
        <w:snapToGrid w:val="0"/>
        <w:spacing w:before="0" w:after="96" w:afterLines="40" w:line="300" w:lineRule="auto"/>
        <w:ind w:firstLine="0"/>
        <w:jc w:val="both"/>
        <w:rPr>
          <w:rFonts w:ascii="Arial" w:hAnsi="Arial" w:cs="Arial"/>
          <w:szCs w:val="26"/>
        </w:rPr>
      </w:pPr>
      <w:r>
        <w:rPr>
          <w:rFonts w:ascii="Arial" w:hAnsi="Arial" w:cs="Arial"/>
        </w:rPr>
        <w:t>所有患者均应接受激素预治疗，以使子宫内膜变薄，或立即进行手术前的D＆C。所有受试者应接受相同的预治疗方案。</w:t>
      </w:r>
    </w:p>
    <w:p w14:paraId="350CBDEB">
      <w:pPr>
        <w:pStyle w:val="11"/>
        <w:numPr>
          <w:ilvl w:val="0"/>
          <w:numId w:val="16"/>
        </w:numPr>
        <w:tabs>
          <w:tab w:val="left" w:pos="2999"/>
          <w:tab w:val="left" w:pos="3000"/>
        </w:tabs>
        <w:snapToGrid w:val="0"/>
        <w:spacing w:before="0" w:after="96" w:afterLines="40" w:line="300" w:lineRule="auto"/>
        <w:jc w:val="both"/>
        <w:rPr>
          <w:rFonts w:ascii="Arial" w:hAnsi="Arial" w:cs="Arial"/>
        </w:rPr>
      </w:pPr>
      <w:r>
        <w:rPr>
          <w:rFonts w:ascii="Arial" w:hAnsi="Arial" w:cs="Arial"/>
        </w:rPr>
        <w:t>子宫内膜切除术方案</w:t>
      </w:r>
    </w:p>
    <w:p w14:paraId="72797907">
      <w:pPr>
        <w:pStyle w:val="11"/>
        <w:numPr>
          <w:ilvl w:val="0"/>
          <w:numId w:val="17"/>
        </w:numPr>
        <w:tabs>
          <w:tab w:val="left" w:pos="3720"/>
        </w:tabs>
        <w:snapToGrid w:val="0"/>
        <w:spacing w:before="0" w:after="96" w:afterLines="40" w:line="300" w:lineRule="auto"/>
        <w:jc w:val="both"/>
        <w:rPr>
          <w:rFonts w:ascii="Arial" w:hAnsi="Arial" w:cs="Arial"/>
        </w:rPr>
      </w:pPr>
      <w:r>
        <w:rPr>
          <w:rFonts w:ascii="Arial" w:hAnsi="Arial" w:cs="Arial"/>
        </w:rPr>
        <w:t>提供用于切除术的程序。</w:t>
      </w:r>
    </w:p>
    <w:p w14:paraId="7BC2A037">
      <w:pPr>
        <w:pStyle w:val="11"/>
        <w:snapToGrid w:val="0"/>
        <w:spacing w:before="0" w:after="96" w:afterLines="40" w:line="300" w:lineRule="auto"/>
        <w:ind w:left="3720" w:firstLine="0"/>
        <w:jc w:val="both"/>
        <w:rPr>
          <w:rFonts w:ascii="Arial" w:hAnsi="Arial" w:cs="Arial"/>
          <w:szCs w:val="26"/>
        </w:rPr>
      </w:pPr>
      <w:r>
        <w:rPr>
          <w:rFonts w:ascii="Arial" w:hAnsi="Arial" w:cs="Arial"/>
        </w:rPr>
        <w:t>切除参数应与安全性和有效性研究中使用的参数完全相同。如果没有，则应详细讨论为什么可行性研究的结果仍相关。</w:t>
      </w:r>
    </w:p>
    <w:p w14:paraId="0CF2E2EC">
      <w:pPr>
        <w:pStyle w:val="11"/>
        <w:numPr>
          <w:ilvl w:val="0"/>
          <w:numId w:val="17"/>
        </w:numPr>
        <w:tabs>
          <w:tab w:val="left" w:pos="3720"/>
        </w:tabs>
        <w:snapToGrid w:val="0"/>
        <w:spacing w:before="0" w:after="96" w:afterLines="40" w:line="300" w:lineRule="auto"/>
        <w:jc w:val="both"/>
        <w:rPr>
          <w:rFonts w:ascii="Arial" w:hAnsi="Arial" w:cs="Arial"/>
        </w:rPr>
      </w:pPr>
      <w:r>
        <w:rPr>
          <w:rFonts w:ascii="Arial" w:hAnsi="Arial" w:cs="Arial"/>
        </w:rPr>
        <w:t>应收集以下数据：</w:t>
      </w:r>
    </w:p>
    <w:p w14:paraId="7F8F8DF6">
      <w:pPr>
        <w:pStyle w:val="11"/>
        <w:numPr>
          <w:ilvl w:val="5"/>
          <w:numId w:val="2"/>
        </w:numPr>
        <w:tabs>
          <w:tab w:val="left" w:pos="4440"/>
        </w:tabs>
        <w:snapToGrid w:val="0"/>
        <w:spacing w:before="0" w:after="96" w:afterLines="40" w:line="300" w:lineRule="auto"/>
        <w:jc w:val="both"/>
        <w:rPr>
          <w:rFonts w:ascii="Arial" w:hAnsi="Arial" w:cs="Arial"/>
        </w:rPr>
      </w:pPr>
      <w:r>
        <w:rPr>
          <w:rFonts w:ascii="Arial" w:hAnsi="Arial" w:cs="Arial"/>
        </w:rPr>
        <w:t>切除术过程中的温度测量，包括热电偶或其他温度测量器械的位置。</w:t>
      </w:r>
    </w:p>
    <w:p w14:paraId="275F0DB7">
      <w:pPr>
        <w:pStyle w:val="11"/>
        <w:numPr>
          <w:ilvl w:val="5"/>
          <w:numId w:val="2"/>
        </w:numPr>
        <w:tabs>
          <w:tab w:val="left" w:pos="4440"/>
        </w:tabs>
        <w:snapToGrid w:val="0"/>
        <w:spacing w:before="0" w:after="96" w:afterLines="40" w:line="300" w:lineRule="auto"/>
        <w:jc w:val="both"/>
        <w:rPr>
          <w:rFonts w:ascii="Arial" w:hAnsi="Arial" w:cs="Arial"/>
        </w:rPr>
      </w:pPr>
      <w:r>
        <w:rPr>
          <w:rFonts w:ascii="Arial" w:hAnsi="Arial" w:cs="Arial"/>
        </w:rPr>
        <w:t>组织学，包括</w:t>
      </w:r>
      <w:r>
        <w:rPr>
          <w:rFonts w:hint="eastAsia" w:ascii="Arial" w:hAnsi="Arial" w:cs="Arial"/>
        </w:rPr>
        <w:t>可见</w:t>
      </w:r>
      <w:r>
        <w:rPr>
          <w:rFonts w:ascii="Arial" w:hAnsi="Arial" w:cs="Arial"/>
        </w:rPr>
        <w:t>和</w:t>
      </w:r>
      <w:r>
        <w:rPr>
          <w:rFonts w:hint="eastAsia" w:ascii="Arial" w:hAnsi="Arial" w:cs="Arial"/>
        </w:rPr>
        <w:t>显微</w:t>
      </w:r>
      <w:r>
        <w:rPr>
          <w:rFonts w:ascii="Arial" w:hAnsi="Arial" w:cs="Arial"/>
        </w:rPr>
        <w:t>。</w:t>
      </w:r>
    </w:p>
    <w:p w14:paraId="46323A0A">
      <w:pPr>
        <w:pStyle w:val="11"/>
        <w:numPr>
          <w:ilvl w:val="5"/>
          <w:numId w:val="2"/>
        </w:numPr>
        <w:tabs>
          <w:tab w:val="left" w:pos="4440"/>
        </w:tabs>
        <w:snapToGrid w:val="0"/>
        <w:spacing w:before="0" w:after="96" w:afterLines="40" w:line="300" w:lineRule="auto"/>
        <w:jc w:val="both"/>
        <w:rPr>
          <w:rFonts w:ascii="Arial" w:hAnsi="Arial" w:cs="Arial"/>
          <w:szCs w:val="28"/>
        </w:rPr>
      </w:pPr>
      <w:r>
        <w:rPr>
          <w:rFonts w:ascii="Arial" w:hAnsi="Arial" w:cs="Arial"/>
        </w:rPr>
        <w:t>热损伤的渗透深度。</w:t>
      </w:r>
    </w:p>
    <w:p w14:paraId="64CEF200">
      <w:pPr>
        <w:pStyle w:val="11"/>
        <w:numPr>
          <w:ilvl w:val="0"/>
          <w:numId w:val="17"/>
        </w:numPr>
        <w:tabs>
          <w:tab w:val="left" w:pos="3720"/>
        </w:tabs>
        <w:snapToGrid w:val="0"/>
        <w:spacing w:before="0" w:after="96" w:afterLines="40" w:line="300" w:lineRule="auto"/>
        <w:jc w:val="both"/>
        <w:rPr>
          <w:rFonts w:ascii="Arial" w:hAnsi="Arial" w:cs="Arial"/>
          <w:szCs w:val="28"/>
        </w:rPr>
      </w:pPr>
      <w:r>
        <w:rPr>
          <w:rFonts w:ascii="Arial" w:hAnsi="Arial" w:cs="Arial"/>
        </w:rPr>
        <w:t>提供任何不良事件的完整讨论。</w:t>
      </w:r>
    </w:p>
    <w:p w14:paraId="31B885B5">
      <w:pPr>
        <w:pStyle w:val="11"/>
        <w:numPr>
          <w:ilvl w:val="0"/>
          <w:numId w:val="15"/>
        </w:numPr>
        <w:tabs>
          <w:tab w:val="left" w:pos="2280"/>
        </w:tabs>
        <w:snapToGrid w:val="0"/>
        <w:spacing w:before="0" w:after="96" w:afterLines="40" w:line="300" w:lineRule="auto"/>
        <w:jc w:val="both"/>
        <w:rPr>
          <w:rFonts w:ascii="Arial" w:hAnsi="Arial" w:cs="Arial"/>
        </w:rPr>
      </w:pPr>
      <w:r>
        <w:rPr>
          <w:rFonts w:ascii="Arial" w:hAnsi="Arial" w:cs="Arial"/>
        </w:rPr>
        <w:t>随访</w:t>
      </w:r>
    </w:p>
    <w:p w14:paraId="0C83604C">
      <w:pPr>
        <w:pStyle w:val="11"/>
        <w:snapToGrid w:val="0"/>
        <w:spacing w:before="0" w:after="96" w:afterLines="40" w:line="300" w:lineRule="auto"/>
        <w:ind w:left="2279" w:firstLine="0"/>
        <w:jc w:val="both"/>
        <w:rPr>
          <w:rFonts w:ascii="Arial" w:hAnsi="Arial" w:cs="Arial"/>
          <w:szCs w:val="26"/>
        </w:rPr>
      </w:pPr>
      <w:r>
        <w:rPr>
          <w:rFonts w:ascii="Arial" w:hAnsi="Arial" w:cs="Arial"/>
        </w:rPr>
        <w:t>应根据子宫切除术的护理标准对患者进行随访。</w:t>
      </w:r>
    </w:p>
    <w:p w14:paraId="19031C34">
      <w:pPr>
        <w:pStyle w:val="36"/>
        <w:snapToGrid w:val="0"/>
        <w:spacing w:before="0" w:after="96" w:afterLines="40" w:line="300" w:lineRule="auto"/>
        <w:jc w:val="both"/>
        <w:rPr>
          <w:rFonts w:ascii="Arial" w:hAnsi="Arial" w:eastAsia="宋体" w:cs="Arial"/>
          <w:b w:val="0"/>
        </w:rPr>
      </w:pPr>
      <w:bookmarkStart w:id="52" w:name="_Toc480443855"/>
      <w:bookmarkStart w:id="53" w:name="_Toc481769709"/>
      <w:r>
        <w:rPr>
          <w:rFonts w:ascii="Arial" w:hAnsi="Arial" w:eastAsia="宋体" w:cs="Arial"/>
          <w:b w:val="0"/>
        </w:rPr>
        <w:t>风险分析</w:t>
      </w:r>
      <w:bookmarkEnd w:id="52"/>
      <w:bookmarkEnd w:id="53"/>
    </w:p>
    <w:p w14:paraId="0DA79456">
      <w:pPr>
        <w:pStyle w:val="11"/>
        <w:snapToGrid w:val="0"/>
        <w:spacing w:before="0" w:after="96" w:afterLines="40" w:line="300" w:lineRule="auto"/>
        <w:ind w:left="1559" w:firstLine="0"/>
        <w:jc w:val="both"/>
        <w:rPr>
          <w:rFonts w:ascii="Arial" w:hAnsi="Arial" w:cs="Arial"/>
          <w:szCs w:val="28"/>
        </w:rPr>
      </w:pPr>
      <w:r>
        <w:rPr>
          <w:rFonts w:ascii="Arial" w:hAnsi="Arial" w:cs="Arial"/>
        </w:rPr>
        <w:t>提供患者所有潜在风险的完整描述。</w:t>
      </w:r>
    </w:p>
    <w:p w14:paraId="0E6EEFE9">
      <w:pPr>
        <w:pStyle w:val="36"/>
        <w:snapToGrid w:val="0"/>
        <w:spacing w:before="0" w:after="96" w:afterLines="40" w:line="300" w:lineRule="auto"/>
        <w:jc w:val="both"/>
        <w:rPr>
          <w:rFonts w:ascii="Arial" w:hAnsi="Arial" w:eastAsia="宋体" w:cs="Arial"/>
          <w:b w:val="0"/>
        </w:rPr>
      </w:pPr>
      <w:bookmarkStart w:id="54" w:name="_Toc481769710"/>
      <w:r>
        <w:rPr>
          <w:rFonts w:ascii="Arial" w:hAnsi="Arial" w:eastAsia="宋体" w:cs="Arial"/>
          <w:b w:val="0"/>
        </w:rPr>
        <w:t>知情同意书</w:t>
      </w:r>
      <w:bookmarkEnd w:id="54"/>
    </w:p>
    <w:p w14:paraId="26D2005F">
      <w:pPr>
        <w:pStyle w:val="11"/>
        <w:snapToGrid w:val="0"/>
        <w:spacing w:before="0" w:after="96" w:afterLines="40" w:line="300" w:lineRule="auto"/>
        <w:ind w:left="1559" w:firstLine="0"/>
        <w:jc w:val="both"/>
        <w:rPr>
          <w:rFonts w:ascii="Arial" w:hAnsi="Arial" w:cs="Arial"/>
          <w:szCs w:val="28"/>
        </w:rPr>
      </w:pPr>
      <w:r>
        <w:rPr>
          <w:rFonts w:ascii="Arial" w:hAnsi="Arial" w:cs="Arial"/>
        </w:rPr>
        <w:t>提供在研究期间将使用的知情同意书副本。贵公司可以咨询DSMA提供的“研究器械豁免手册”，以获得知情同意书相关的更多指南。</w:t>
      </w:r>
    </w:p>
    <w:p w14:paraId="24A03E59">
      <w:pPr>
        <w:pStyle w:val="2"/>
        <w:numPr>
          <w:ilvl w:val="0"/>
          <w:numId w:val="2"/>
        </w:numPr>
        <w:tabs>
          <w:tab w:val="left" w:pos="840"/>
        </w:tabs>
        <w:snapToGrid w:val="0"/>
        <w:spacing w:after="96" w:afterLines="40" w:line="300" w:lineRule="auto"/>
        <w:jc w:val="both"/>
        <w:rPr>
          <w:rFonts w:ascii="Arial" w:hAnsi="Arial" w:cs="Arial"/>
          <w:szCs w:val="26"/>
        </w:rPr>
      </w:pPr>
      <w:bookmarkStart w:id="55" w:name="_Toc480443857"/>
      <w:bookmarkStart w:id="56" w:name="_Toc481769711"/>
      <w:r>
        <w:rPr>
          <w:rFonts w:ascii="Arial" w:hAnsi="Arial" w:cs="Arial"/>
        </w:rPr>
        <w:t>可行性研究-有效性</w:t>
      </w:r>
      <w:bookmarkEnd w:id="55"/>
      <w:bookmarkEnd w:id="56"/>
    </w:p>
    <w:p w14:paraId="3F46AA62">
      <w:pPr>
        <w:pStyle w:val="3"/>
        <w:numPr>
          <w:ilvl w:val="1"/>
          <w:numId w:val="18"/>
        </w:numPr>
        <w:snapToGrid w:val="0"/>
        <w:spacing w:before="0" w:after="96" w:afterLines="40" w:line="300" w:lineRule="auto"/>
        <w:jc w:val="both"/>
        <w:rPr>
          <w:rFonts w:ascii="Arial" w:hAnsi="Arial" w:eastAsia="宋体" w:cs="Arial"/>
          <w:b w:val="0"/>
          <w:sz w:val="24"/>
        </w:rPr>
      </w:pPr>
      <w:bookmarkStart w:id="57" w:name="_Toc480443858"/>
      <w:bookmarkStart w:id="58" w:name="_Toc481769712"/>
      <w:r>
        <w:rPr>
          <w:rFonts w:ascii="Arial" w:hAnsi="Arial" w:eastAsia="宋体" w:cs="Arial"/>
          <w:b w:val="0"/>
          <w:sz w:val="24"/>
        </w:rPr>
        <w:t>目的</w:t>
      </w:r>
      <w:bookmarkEnd w:id="57"/>
      <w:bookmarkEnd w:id="58"/>
    </w:p>
    <w:p w14:paraId="2FCC6024">
      <w:pPr>
        <w:pStyle w:val="11"/>
        <w:snapToGrid w:val="0"/>
        <w:spacing w:before="0" w:after="96" w:afterLines="40" w:line="300" w:lineRule="auto"/>
        <w:ind w:left="1559" w:firstLine="0"/>
        <w:jc w:val="both"/>
        <w:rPr>
          <w:rFonts w:ascii="Arial" w:hAnsi="Arial" w:cs="Arial"/>
        </w:rPr>
      </w:pPr>
      <w:r>
        <w:rPr>
          <w:rFonts w:ascii="Arial" w:hAnsi="Arial" w:cs="Arial"/>
        </w:rPr>
        <w:t>本研究的目的是建立用于样本量计算的初步有效率，并支持开展全面的安全性和有效性研究。这是一项单组可行性研究，至少有20例女性是子宫内膜切除术的候选人。</w:t>
      </w:r>
    </w:p>
    <w:p w14:paraId="3B0A036A">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64E9A01C">
      <w:pPr>
        <w:pStyle w:val="11"/>
        <w:snapToGrid w:val="0"/>
        <w:spacing w:before="0" w:line="288" w:lineRule="auto"/>
        <w:ind w:left="1560" w:firstLine="0"/>
        <w:jc w:val="both"/>
        <w:rPr>
          <w:rFonts w:ascii="Arial" w:hAnsi="Arial" w:cs="Arial"/>
        </w:rPr>
      </w:pPr>
      <w:r>
        <w:rPr>
          <w:rFonts w:ascii="Arial" w:hAnsi="Arial" w:cs="Arial"/>
        </w:rPr>
        <w:t>注：可能接受既往收集的国外研究中心进行的研究数据，代替本项研究。在这种情况下，应提供以下信息：</w:t>
      </w:r>
    </w:p>
    <w:p w14:paraId="2422BE00">
      <w:pPr>
        <w:pStyle w:val="11"/>
        <w:numPr>
          <w:ilvl w:val="2"/>
          <w:numId w:val="2"/>
        </w:numPr>
        <w:tabs>
          <w:tab w:val="left" w:pos="2280"/>
        </w:tabs>
        <w:snapToGrid w:val="0"/>
        <w:spacing w:before="0" w:line="288" w:lineRule="auto"/>
        <w:jc w:val="both"/>
        <w:rPr>
          <w:rFonts w:ascii="Arial" w:hAnsi="Arial" w:cs="Arial"/>
        </w:rPr>
      </w:pPr>
      <w:r>
        <w:rPr>
          <w:rFonts w:ascii="Arial" w:hAnsi="Arial" w:cs="Arial"/>
        </w:rPr>
        <w:t>研究设计概要</w:t>
      </w:r>
    </w:p>
    <w:p w14:paraId="29BB4C48">
      <w:pPr>
        <w:pStyle w:val="11"/>
        <w:numPr>
          <w:ilvl w:val="3"/>
          <w:numId w:val="2"/>
        </w:numPr>
        <w:tabs>
          <w:tab w:val="left" w:pos="2999"/>
          <w:tab w:val="left" w:pos="3000"/>
        </w:tabs>
        <w:snapToGrid w:val="0"/>
        <w:spacing w:before="0" w:line="288" w:lineRule="auto"/>
        <w:ind w:left="2999"/>
        <w:jc w:val="both"/>
        <w:rPr>
          <w:rFonts w:ascii="Arial" w:hAnsi="Arial" w:cs="Arial"/>
        </w:rPr>
      </w:pPr>
      <w:r>
        <w:rPr>
          <w:rFonts w:ascii="Arial" w:hAnsi="Arial" w:cs="Arial"/>
        </w:rPr>
        <w:t>入选/排除标准</w:t>
      </w:r>
    </w:p>
    <w:p w14:paraId="2ECE2689">
      <w:pPr>
        <w:pStyle w:val="11"/>
        <w:numPr>
          <w:ilvl w:val="3"/>
          <w:numId w:val="2"/>
        </w:numPr>
        <w:tabs>
          <w:tab w:val="left" w:pos="2999"/>
          <w:tab w:val="left" w:pos="3000"/>
        </w:tabs>
        <w:snapToGrid w:val="0"/>
        <w:spacing w:before="0" w:line="288" w:lineRule="auto"/>
        <w:ind w:left="2999"/>
        <w:jc w:val="both"/>
        <w:rPr>
          <w:rFonts w:ascii="Arial" w:hAnsi="Arial" w:cs="Arial"/>
        </w:rPr>
      </w:pPr>
      <w:r>
        <w:rPr>
          <w:rFonts w:ascii="Arial" w:hAnsi="Arial" w:cs="Arial"/>
        </w:rPr>
        <w:t>程序的详细描述 - 应与拟议的关键研究中提出的内容完全相同（第十一章）</w:t>
      </w:r>
    </w:p>
    <w:p w14:paraId="3E422FD9">
      <w:pPr>
        <w:pStyle w:val="11"/>
        <w:numPr>
          <w:ilvl w:val="3"/>
          <w:numId w:val="2"/>
        </w:numPr>
        <w:tabs>
          <w:tab w:val="left" w:pos="2999"/>
          <w:tab w:val="left" w:pos="3000"/>
        </w:tabs>
        <w:snapToGrid w:val="0"/>
        <w:spacing w:before="0" w:line="288" w:lineRule="auto"/>
        <w:ind w:left="2999"/>
        <w:jc w:val="both"/>
        <w:rPr>
          <w:rFonts w:ascii="Arial" w:hAnsi="Arial" w:cs="Arial"/>
          <w:szCs w:val="28"/>
        </w:rPr>
      </w:pPr>
      <w:r>
        <w:rPr>
          <w:rFonts w:ascii="Arial" w:hAnsi="Arial" w:cs="Arial"/>
        </w:rPr>
        <w:t>随访程序</w:t>
      </w:r>
    </w:p>
    <w:p w14:paraId="0709B8C3">
      <w:pPr>
        <w:pStyle w:val="11"/>
        <w:numPr>
          <w:ilvl w:val="2"/>
          <w:numId w:val="2"/>
        </w:numPr>
        <w:tabs>
          <w:tab w:val="left" w:pos="2280"/>
        </w:tabs>
        <w:snapToGrid w:val="0"/>
        <w:spacing w:before="0" w:line="288" w:lineRule="auto"/>
        <w:jc w:val="both"/>
        <w:rPr>
          <w:rFonts w:ascii="Arial" w:hAnsi="Arial" w:cs="Arial"/>
        </w:rPr>
      </w:pPr>
      <w:r>
        <w:rPr>
          <w:rFonts w:ascii="Arial" w:hAnsi="Arial" w:cs="Arial"/>
        </w:rPr>
        <w:t>安全性和有效性数据的摘要</w:t>
      </w:r>
    </w:p>
    <w:p w14:paraId="0962D434">
      <w:pPr>
        <w:pStyle w:val="11"/>
        <w:numPr>
          <w:ilvl w:val="3"/>
          <w:numId w:val="2"/>
        </w:numPr>
        <w:tabs>
          <w:tab w:val="left" w:pos="2999"/>
          <w:tab w:val="left" w:pos="3000"/>
        </w:tabs>
        <w:snapToGrid w:val="0"/>
        <w:spacing w:before="0" w:line="288" w:lineRule="auto"/>
        <w:ind w:left="2999"/>
        <w:jc w:val="both"/>
        <w:rPr>
          <w:rFonts w:ascii="Arial" w:hAnsi="Arial" w:cs="Arial"/>
        </w:rPr>
      </w:pPr>
      <w:r>
        <w:rPr>
          <w:rFonts w:ascii="Arial" w:hAnsi="Arial" w:cs="Arial"/>
        </w:rPr>
        <w:t>足够数量的患者</w:t>
      </w:r>
    </w:p>
    <w:p w14:paraId="34E5983B">
      <w:pPr>
        <w:pStyle w:val="11"/>
        <w:numPr>
          <w:ilvl w:val="3"/>
          <w:numId w:val="2"/>
        </w:numPr>
        <w:tabs>
          <w:tab w:val="left" w:pos="2999"/>
          <w:tab w:val="left" w:pos="3000"/>
        </w:tabs>
        <w:snapToGrid w:val="0"/>
        <w:spacing w:before="0" w:line="288" w:lineRule="auto"/>
        <w:ind w:left="2999"/>
        <w:jc w:val="both"/>
        <w:rPr>
          <w:rFonts w:ascii="Arial" w:hAnsi="Arial" w:cs="Arial"/>
        </w:rPr>
      </w:pPr>
      <w:r>
        <w:rPr>
          <w:rFonts w:ascii="Arial" w:hAnsi="Arial" w:cs="Arial"/>
        </w:rPr>
        <w:t>不良事件发生率低</w:t>
      </w:r>
    </w:p>
    <w:p w14:paraId="05463DA4">
      <w:pPr>
        <w:pStyle w:val="11"/>
        <w:numPr>
          <w:ilvl w:val="3"/>
          <w:numId w:val="2"/>
        </w:numPr>
        <w:tabs>
          <w:tab w:val="left" w:pos="2999"/>
          <w:tab w:val="left" w:pos="3000"/>
        </w:tabs>
        <w:snapToGrid w:val="0"/>
        <w:spacing w:before="0" w:line="288" w:lineRule="auto"/>
        <w:ind w:left="2999"/>
        <w:jc w:val="both"/>
        <w:rPr>
          <w:rFonts w:ascii="Arial" w:hAnsi="Arial" w:cs="Arial"/>
          <w:szCs w:val="28"/>
        </w:rPr>
      </w:pPr>
      <w:r>
        <w:rPr>
          <w:rFonts w:ascii="Arial" w:hAnsi="Arial" w:cs="Arial"/>
        </w:rPr>
        <w:t>合理的有效率</w:t>
      </w:r>
    </w:p>
    <w:p w14:paraId="268F31E6">
      <w:pPr>
        <w:pStyle w:val="36"/>
        <w:snapToGrid w:val="0"/>
        <w:spacing w:before="0" w:after="0" w:line="288" w:lineRule="auto"/>
        <w:jc w:val="both"/>
        <w:rPr>
          <w:rFonts w:ascii="Arial" w:hAnsi="Arial" w:eastAsia="宋体" w:cs="Arial"/>
          <w:b w:val="0"/>
          <w:szCs w:val="28"/>
        </w:rPr>
      </w:pPr>
      <w:bookmarkStart w:id="59" w:name="_Toc480443859"/>
      <w:bookmarkStart w:id="60" w:name="_Toc481769713"/>
      <w:r>
        <w:rPr>
          <w:rFonts w:ascii="Arial" w:hAnsi="Arial" w:eastAsia="宋体" w:cs="Arial"/>
          <w:b w:val="0"/>
        </w:rPr>
        <w:t>患者人群的描述</w:t>
      </w:r>
      <w:bookmarkEnd w:id="59"/>
      <w:bookmarkEnd w:id="60"/>
    </w:p>
    <w:p w14:paraId="2F92A4E3">
      <w:pPr>
        <w:pStyle w:val="11"/>
        <w:numPr>
          <w:ilvl w:val="0"/>
          <w:numId w:val="19"/>
        </w:numPr>
        <w:tabs>
          <w:tab w:val="left" w:pos="2280"/>
        </w:tabs>
        <w:snapToGrid w:val="0"/>
        <w:spacing w:before="0" w:line="288" w:lineRule="auto"/>
        <w:jc w:val="both"/>
        <w:rPr>
          <w:rFonts w:ascii="Arial" w:hAnsi="Arial" w:cs="Arial"/>
        </w:rPr>
      </w:pPr>
      <w:r>
        <w:rPr>
          <w:rFonts w:ascii="Arial" w:hAnsi="Arial" w:cs="Arial"/>
        </w:rPr>
        <w:t>入选标准</w:t>
      </w:r>
    </w:p>
    <w:p w14:paraId="430F16F1">
      <w:pPr>
        <w:pStyle w:val="11"/>
        <w:numPr>
          <w:ilvl w:val="0"/>
          <w:numId w:val="20"/>
        </w:numPr>
        <w:tabs>
          <w:tab w:val="left" w:pos="2999"/>
          <w:tab w:val="left" w:pos="3000"/>
        </w:tabs>
        <w:snapToGrid w:val="0"/>
        <w:spacing w:before="0" w:line="288" w:lineRule="auto"/>
        <w:jc w:val="both"/>
        <w:rPr>
          <w:rFonts w:ascii="Arial" w:hAnsi="Arial" w:cs="Arial"/>
        </w:rPr>
      </w:pPr>
      <w:r>
        <w:rPr>
          <w:rFonts w:ascii="Arial" w:hAnsi="Arial" w:cs="Arial"/>
        </w:rPr>
        <w:t>由良性疾病导致的子宫出血，符合子宫出血过多的研究入选标准。（注：研究申办方负责确定和证明子宫出血过多的原因）。</w:t>
      </w:r>
    </w:p>
    <w:p w14:paraId="2EE7A68D">
      <w:pPr>
        <w:pStyle w:val="11"/>
        <w:numPr>
          <w:ilvl w:val="0"/>
          <w:numId w:val="20"/>
        </w:numPr>
        <w:tabs>
          <w:tab w:val="left" w:pos="2999"/>
          <w:tab w:val="left" w:pos="3000"/>
        </w:tabs>
        <w:snapToGrid w:val="0"/>
        <w:spacing w:before="0" w:line="288" w:lineRule="auto"/>
        <w:jc w:val="both"/>
        <w:rPr>
          <w:rFonts w:ascii="Arial" w:hAnsi="Arial" w:cs="Arial"/>
        </w:rPr>
      </w:pPr>
      <w:r>
        <w:rPr>
          <w:rFonts w:ascii="Arial" w:hAnsi="Arial" w:cs="Arial"/>
        </w:rPr>
        <w:t>子宫探子测量</w:t>
      </w:r>
      <w:r>
        <w:rPr>
          <w:rFonts w:ascii="Arial" w:hAnsi="Arial" w:cs="Arial"/>
          <w:u w:val="single" w:color="000000"/>
        </w:rPr>
        <w:t xml:space="preserve">&lt; </w:t>
      </w:r>
      <w:r>
        <w:rPr>
          <w:rFonts w:ascii="Arial" w:hAnsi="Arial" w:cs="Arial"/>
        </w:rPr>
        <w:t>12 cm</w:t>
      </w:r>
    </w:p>
    <w:p w14:paraId="79A6CD8D">
      <w:pPr>
        <w:pStyle w:val="11"/>
        <w:numPr>
          <w:ilvl w:val="0"/>
          <w:numId w:val="20"/>
        </w:numPr>
        <w:tabs>
          <w:tab w:val="left" w:pos="2999"/>
          <w:tab w:val="left" w:pos="3000"/>
        </w:tabs>
        <w:snapToGrid w:val="0"/>
        <w:spacing w:before="0" w:line="288" w:lineRule="auto"/>
        <w:jc w:val="both"/>
        <w:rPr>
          <w:rFonts w:ascii="Arial" w:hAnsi="Arial" w:cs="Arial"/>
          <w:szCs w:val="28"/>
        </w:rPr>
      </w:pPr>
      <w:r>
        <w:rPr>
          <w:rFonts w:ascii="Arial" w:hAnsi="Arial" w:cs="Arial"/>
        </w:rPr>
        <w:t>其他器械的特定标准</w:t>
      </w:r>
    </w:p>
    <w:p w14:paraId="2A62C6D4">
      <w:pPr>
        <w:pStyle w:val="11"/>
        <w:numPr>
          <w:ilvl w:val="0"/>
          <w:numId w:val="19"/>
        </w:numPr>
        <w:tabs>
          <w:tab w:val="left" w:pos="2280"/>
        </w:tabs>
        <w:snapToGrid w:val="0"/>
        <w:spacing w:before="0" w:line="288" w:lineRule="auto"/>
        <w:jc w:val="both"/>
        <w:rPr>
          <w:rFonts w:ascii="Arial" w:hAnsi="Arial" w:cs="Arial"/>
        </w:rPr>
      </w:pPr>
      <w:r>
        <w:rPr>
          <w:rFonts w:ascii="Arial" w:hAnsi="Arial" w:cs="Arial"/>
        </w:rPr>
        <w:t>排除标准</w:t>
      </w:r>
    </w:p>
    <w:p w14:paraId="7AB43C69">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活性盆腔炎</w:t>
      </w:r>
    </w:p>
    <w:p w14:paraId="668FDD56">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凝血缺陷或出血性疾病</w:t>
      </w:r>
    </w:p>
    <w:p w14:paraId="0048D525">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巴氏涂片异常，除非获得适当评估</w:t>
      </w:r>
    </w:p>
    <w:p w14:paraId="47F6D9DB">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恶性病变，通过子宫内膜活检证实</w:t>
      </w:r>
    </w:p>
    <w:p w14:paraId="65E987D7">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5年以内的妇科恶性肿瘤史</w:t>
      </w:r>
    </w:p>
    <w:p w14:paraId="7EB793CD">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粘膜下肌瘤和息肉</w:t>
      </w:r>
    </w:p>
    <w:p w14:paraId="7E3C377F">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纵隔子宫</w:t>
      </w:r>
    </w:p>
    <w:p w14:paraId="514980B5">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既往的子宫内膜切除术</w:t>
      </w:r>
    </w:p>
    <w:p w14:paraId="494707DA">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既往子宫手术，除非这些患者以前已被纳入安全性研究</w:t>
      </w:r>
    </w:p>
    <w:p w14:paraId="5A0772AB">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妊娠</w:t>
      </w:r>
    </w:p>
    <w:p w14:paraId="515B8E2D">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有将来生育的愿望</w:t>
      </w:r>
    </w:p>
    <w:p w14:paraId="52AD6878">
      <w:pPr>
        <w:pStyle w:val="11"/>
        <w:numPr>
          <w:ilvl w:val="0"/>
          <w:numId w:val="21"/>
        </w:numPr>
        <w:tabs>
          <w:tab w:val="left" w:pos="2999"/>
          <w:tab w:val="left" w:pos="3000"/>
        </w:tabs>
        <w:snapToGrid w:val="0"/>
        <w:spacing w:before="0" w:line="288" w:lineRule="auto"/>
        <w:jc w:val="both"/>
        <w:rPr>
          <w:rFonts w:ascii="Arial" w:hAnsi="Arial" w:cs="Arial"/>
          <w:szCs w:val="28"/>
        </w:rPr>
      </w:pPr>
      <w:r>
        <w:rPr>
          <w:rFonts w:ascii="Arial" w:hAnsi="Arial" w:cs="Arial"/>
        </w:rPr>
        <w:t>其他器械的特定标准</w:t>
      </w:r>
    </w:p>
    <w:p w14:paraId="1B7C6331">
      <w:pPr>
        <w:pStyle w:val="36"/>
        <w:snapToGrid w:val="0"/>
        <w:spacing w:before="0" w:after="0" w:line="288" w:lineRule="auto"/>
        <w:jc w:val="both"/>
        <w:rPr>
          <w:rFonts w:ascii="Arial" w:hAnsi="Arial" w:eastAsia="宋体" w:cs="Arial"/>
          <w:b w:val="0"/>
        </w:rPr>
      </w:pPr>
      <w:bookmarkStart w:id="61" w:name="_Toc480443860"/>
      <w:bookmarkStart w:id="62" w:name="_Toc481769714"/>
      <w:r>
        <w:rPr>
          <w:rFonts w:ascii="Arial" w:hAnsi="Arial" w:eastAsia="宋体" w:cs="Arial"/>
          <w:b w:val="0"/>
        </w:rPr>
        <w:t>研究计划</w:t>
      </w:r>
      <w:bookmarkEnd w:id="61"/>
      <w:bookmarkEnd w:id="62"/>
    </w:p>
    <w:p w14:paraId="17C0A8DE">
      <w:pPr>
        <w:pStyle w:val="11"/>
        <w:numPr>
          <w:ilvl w:val="0"/>
          <w:numId w:val="22"/>
        </w:numPr>
        <w:tabs>
          <w:tab w:val="left" w:pos="2280"/>
        </w:tabs>
        <w:snapToGrid w:val="0"/>
        <w:spacing w:before="0" w:line="288" w:lineRule="auto"/>
        <w:jc w:val="both"/>
        <w:rPr>
          <w:rFonts w:ascii="Arial" w:hAnsi="Arial" w:cs="Arial"/>
        </w:rPr>
      </w:pPr>
      <w:r>
        <w:rPr>
          <w:rFonts w:ascii="Arial" w:hAnsi="Arial" w:cs="Arial"/>
        </w:rPr>
        <w:t>研究设计</w:t>
      </w:r>
    </w:p>
    <w:p w14:paraId="10722396">
      <w:pPr>
        <w:pStyle w:val="11"/>
        <w:numPr>
          <w:ilvl w:val="0"/>
          <w:numId w:val="23"/>
        </w:numPr>
        <w:tabs>
          <w:tab w:val="left" w:pos="2999"/>
          <w:tab w:val="left" w:pos="3000"/>
        </w:tabs>
        <w:snapToGrid w:val="0"/>
        <w:spacing w:before="0" w:line="288" w:lineRule="auto"/>
        <w:jc w:val="both"/>
        <w:rPr>
          <w:rFonts w:ascii="Arial" w:hAnsi="Arial" w:cs="Arial"/>
        </w:rPr>
      </w:pPr>
      <w:r>
        <w:rPr>
          <w:rFonts w:ascii="Arial" w:hAnsi="Arial" w:cs="Arial"/>
        </w:rPr>
        <w:t>假设</w:t>
      </w:r>
    </w:p>
    <w:p w14:paraId="40475374">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7C9CA35B">
      <w:pPr>
        <w:pStyle w:val="11"/>
        <w:snapToGrid w:val="0"/>
        <w:spacing w:before="0" w:after="24" w:afterLines="10" w:line="300" w:lineRule="auto"/>
        <w:ind w:firstLine="0"/>
        <w:jc w:val="both"/>
        <w:rPr>
          <w:rFonts w:ascii="Arial" w:hAnsi="Arial" w:cs="Arial"/>
          <w:szCs w:val="26"/>
        </w:rPr>
      </w:pPr>
      <w:r>
        <w:rPr>
          <w:rFonts w:ascii="Arial" w:hAnsi="Arial" w:cs="Arial"/>
        </w:rPr>
        <w:t>研究申办方必须确定适当的假设和研究终端。主要研究终端应该在性质上是定量的（例如，子宫出血减少、子宫出血消除（闭经）、血细胞比容增加）。然而，研究还应包括次要的生活质量终端。</w:t>
      </w:r>
    </w:p>
    <w:p w14:paraId="0F043028">
      <w:pPr>
        <w:pStyle w:val="11"/>
        <w:numPr>
          <w:ilvl w:val="0"/>
          <w:numId w:val="23"/>
        </w:numPr>
        <w:tabs>
          <w:tab w:val="left" w:pos="2999"/>
          <w:tab w:val="left" w:pos="3000"/>
        </w:tabs>
        <w:snapToGrid w:val="0"/>
        <w:spacing w:before="0" w:after="24" w:afterLines="10" w:line="300" w:lineRule="auto"/>
        <w:jc w:val="both"/>
        <w:rPr>
          <w:rFonts w:ascii="Arial" w:hAnsi="Arial" w:cs="Arial"/>
        </w:rPr>
      </w:pPr>
      <w:r>
        <w:rPr>
          <w:rFonts w:ascii="Arial" w:hAnsi="Arial" w:cs="Arial"/>
        </w:rPr>
        <w:t>随访</w:t>
      </w:r>
    </w:p>
    <w:p w14:paraId="28E6A77D">
      <w:pPr>
        <w:snapToGrid w:val="0"/>
        <w:spacing w:after="24" w:afterLines="10" w:line="300" w:lineRule="auto"/>
        <w:ind w:left="3000"/>
        <w:jc w:val="both"/>
        <w:rPr>
          <w:rFonts w:ascii="Arial" w:hAnsi="Arial" w:eastAsia="宋体" w:cs="Arial"/>
          <w:sz w:val="24"/>
          <w:szCs w:val="26"/>
        </w:rPr>
      </w:pPr>
      <w:r>
        <w:rPr>
          <w:rFonts w:ascii="Arial" w:hAnsi="Arial" w:eastAsia="宋体" w:cs="Arial"/>
          <w:sz w:val="24"/>
          <w:szCs w:val="24"/>
        </w:rPr>
        <w:t>在申报安全性和有效性研究的IDE之前，应向FDA提供“可行性 - 有效性”研究的六个月随访数据。</w:t>
      </w:r>
      <w:r>
        <w:rPr>
          <w:rFonts w:ascii="Arial" w:hAnsi="Arial" w:eastAsia="宋体" w:cs="Arial"/>
          <w:i/>
          <w:sz w:val="24"/>
          <w:szCs w:val="24"/>
        </w:rPr>
        <w:t>此外，所有患者应随访共2年（即申报前6个月以及申报后18个月）。一旦收集所有数据后，应向FDA提交最终报告。</w:t>
      </w:r>
    </w:p>
    <w:p w14:paraId="40E6ECE1">
      <w:pPr>
        <w:pStyle w:val="11"/>
        <w:numPr>
          <w:ilvl w:val="0"/>
          <w:numId w:val="22"/>
        </w:numPr>
        <w:tabs>
          <w:tab w:val="left" w:pos="2280"/>
        </w:tabs>
        <w:snapToGrid w:val="0"/>
        <w:spacing w:before="0" w:after="24" w:afterLines="10" w:line="300" w:lineRule="auto"/>
        <w:jc w:val="both"/>
        <w:rPr>
          <w:rFonts w:ascii="Arial" w:hAnsi="Arial" w:cs="Arial"/>
        </w:rPr>
      </w:pPr>
      <w:r>
        <w:rPr>
          <w:rFonts w:ascii="Arial" w:hAnsi="Arial" w:cs="Arial"/>
        </w:rPr>
        <w:t>方案</w:t>
      </w:r>
    </w:p>
    <w:p w14:paraId="42BAD1A1">
      <w:pPr>
        <w:pStyle w:val="11"/>
        <w:numPr>
          <w:ilvl w:val="0"/>
          <w:numId w:val="24"/>
        </w:numPr>
        <w:tabs>
          <w:tab w:val="left" w:pos="2999"/>
          <w:tab w:val="left" w:pos="3000"/>
        </w:tabs>
        <w:snapToGrid w:val="0"/>
        <w:spacing w:before="0" w:after="24" w:afterLines="10" w:line="300" w:lineRule="auto"/>
        <w:jc w:val="both"/>
        <w:rPr>
          <w:rFonts w:ascii="Arial" w:hAnsi="Arial" w:cs="Arial"/>
        </w:rPr>
      </w:pPr>
      <w:r>
        <w:rPr>
          <w:rFonts w:ascii="Arial" w:hAnsi="Arial" w:cs="Arial"/>
        </w:rPr>
        <w:t>手术前检查</w:t>
      </w:r>
    </w:p>
    <w:p w14:paraId="12654EED">
      <w:pPr>
        <w:pStyle w:val="11"/>
        <w:numPr>
          <w:ilvl w:val="0"/>
          <w:numId w:val="25"/>
        </w:numPr>
        <w:tabs>
          <w:tab w:val="left" w:pos="4440"/>
        </w:tabs>
        <w:snapToGrid w:val="0"/>
        <w:spacing w:before="0" w:after="24" w:afterLines="10" w:line="300" w:lineRule="auto"/>
        <w:jc w:val="both"/>
        <w:rPr>
          <w:rFonts w:ascii="Arial" w:hAnsi="Arial" w:cs="Arial"/>
        </w:rPr>
      </w:pPr>
      <w:r>
        <w:rPr>
          <w:rFonts w:ascii="Arial" w:hAnsi="Arial" w:cs="Arial"/>
        </w:rPr>
        <w:t>骨盆检查</w:t>
      </w:r>
    </w:p>
    <w:p w14:paraId="40A44BFB">
      <w:pPr>
        <w:pStyle w:val="11"/>
        <w:numPr>
          <w:ilvl w:val="0"/>
          <w:numId w:val="25"/>
        </w:numPr>
        <w:tabs>
          <w:tab w:val="left" w:pos="4440"/>
        </w:tabs>
        <w:snapToGrid w:val="0"/>
        <w:spacing w:before="0" w:after="24" w:afterLines="10" w:line="300" w:lineRule="auto"/>
        <w:jc w:val="both"/>
        <w:rPr>
          <w:rFonts w:ascii="Arial" w:hAnsi="Arial" w:cs="Arial"/>
        </w:rPr>
      </w:pPr>
      <w:r>
        <w:rPr>
          <w:rFonts w:ascii="Arial" w:hAnsi="Arial" w:cs="Arial"/>
        </w:rPr>
        <w:t>巴氏涂片</w:t>
      </w:r>
    </w:p>
    <w:p w14:paraId="41EE8A05">
      <w:pPr>
        <w:pStyle w:val="11"/>
        <w:numPr>
          <w:ilvl w:val="0"/>
          <w:numId w:val="25"/>
        </w:numPr>
        <w:tabs>
          <w:tab w:val="left" w:pos="4440"/>
        </w:tabs>
        <w:snapToGrid w:val="0"/>
        <w:spacing w:before="0" w:after="24" w:afterLines="10" w:line="300" w:lineRule="auto"/>
        <w:jc w:val="both"/>
        <w:rPr>
          <w:rFonts w:ascii="Arial" w:hAnsi="Arial" w:cs="Arial"/>
        </w:rPr>
      </w:pPr>
      <w:r>
        <w:rPr>
          <w:rFonts w:ascii="Arial" w:hAnsi="Arial" w:cs="Arial"/>
        </w:rPr>
        <w:t>妊娠试验</w:t>
      </w:r>
    </w:p>
    <w:p w14:paraId="4D5DCD6A">
      <w:pPr>
        <w:pStyle w:val="11"/>
        <w:numPr>
          <w:ilvl w:val="0"/>
          <w:numId w:val="25"/>
        </w:numPr>
        <w:tabs>
          <w:tab w:val="left" w:pos="4440"/>
        </w:tabs>
        <w:snapToGrid w:val="0"/>
        <w:spacing w:before="0" w:after="24" w:afterLines="10" w:line="300" w:lineRule="auto"/>
        <w:jc w:val="both"/>
        <w:rPr>
          <w:rFonts w:ascii="Arial" w:hAnsi="Arial" w:cs="Arial"/>
        </w:rPr>
      </w:pPr>
      <w:r>
        <w:rPr>
          <w:rFonts w:ascii="Arial" w:hAnsi="Arial" w:cs="Arial"/>
        </w:rPr>
        <w:t>红细胞比容</w:t>
      </w:r>
    </w:p>
    <w:p w14:paraId="55B327CA">
      <w:pPr>
        <w:pStyle w:val="11"/>
        <w:numPr>
          <w:ilvl w:val="0"/>
          <w:numId w:val="25"/>
        </w:numPr>
        <w:tabs>
          <w:tab w:val="left" w:pos="4440"/>
        </w:tabs>
        <w:snapToGrid w:val="0"/>
        <w:spacing w:before="0" w:after="24" w:afterLines="10" w:line="300" w:lineRule="auto"/>
        <w:jc w:val="both"/>
        <w:rPr>
          <w:rFonts w:ascii="Arial" w:hAnsi="Arial" w:cs="Arial"/>
          <w:szCs w:val="28"/>
        </w:rPr>
      </w:pPr>
      <w:r>
        <w:rPr>
          <w:rFonts w:ascii="Arial" w:hAnsi="Arial" w:cs="Arial"/>
        </w:rPr>
        <w:t>诊断性宫腔镜检查与子宫内膜活检</w:t>
      </w:r>
    </w:p>
    <w:p w14:paraId="05A17C33">
      <w:pPr>
        <w:pStyle w:val="11"/>
        <w:numPr>
          <w:ilvl w:val="0"/>
          <w:numId w:val="24"/>
        </w:numPr>
        <w:tabs>
          <w:tab w:val="left" w:pos="2999"/>
          <w:tab w:val="left" w:pos="3000"/>
        </w:tabs>
        <w:snapToGrid w:val="0"/>
        <w:spacing w:before="0" w:after="24" w:afterLines="10" w:line="300" w:lineRule="auto"/>
        <w:jc w:val="both"/>
        <w:rPr>
          <w:rFonts w:ascii="Arial" w:hAnsi="Arial" w:cs="Arial"/>
        </w:rPr>
      </w:pPr>
      <w:r>
        <w:rPr>
          <w:rFonts w:ascii="Arial" w:hAnsi="Arial" w:cs="Arial"/>
        </w:rPr>
        <w:t>基线数据的收集</w:t>
      </w:r>
    </w:p>
    <w:p w14:paraId="0AE2C684">
      <w:pPr>
        <w:pStyle w:val="11"/>
        <w:snapToGrid w:val="0"/>
        <w:spacing w:before="0" w:after="24" w:afterLines="10" w:line="300" w:lineRule="auto"/>
        <w:ind w:left="2999" w:firstLine="0"/>
        <w:jc w:val="both"/>
        <w:rPr>
          <w:rFonts w:ascii="Arial" w:hAnsi="Arial" w:cs="Arial"/>
          <w:szCs w:val="26"/>
        </w:rPr>
      </w:pPr>
      <w:r>
        <w:rPr>
          <w:rFonts w:ascii="Arial" w:hAnsi="Arial" w:cs="Arial"/>
        </w:rPr>
        <w:t>如果患者失血量用作研究终端，则应在切除术前三个月收集基线数据。</w:t>
      </w:r>
    </w:p>
    <w:p w14:paraId="33BF6AE1">
      <w:pPr>
        <w:pStyle w:val="11"/>
        <w:numPr>
          <w:ilvl w:val="0"/>
          <w:numId w:val="24"/>
        </w:numPr>
        <w:tabs>
          <w:tab w:val="left" w:pos="2999"/>
          <w:tab w:val="left" w:pos="3000"/>
        </w:tabs>
        <w:snapToGrid w:val="0"/>
        <w:spacing w:before="0" w:after="24" w:afterLines="10" w:line="300" w:lineRule="auto"/>
        <w:jc w:val="both"/>
        <w:rPr>
          <w:rFonts w:ascii="Arial" w:hAnsi="Arial" w:cs="Arial"/>
        </w:rPr>
      </w:pPr>
      <w:r>
        <w:rPr>
          <w:rFonts w:ascii="Arial" w:hAnsi="Arial" w:cs="Arial"/>
        </w:rPr>
        <w:t>子宫内膜制备</w:t>
      </w:r>
    </w:p>
    <w:p w14:paraId="28F72410">
      <w:pPr>
        <w:pStyle w:val="11"/>
        <w:snapToGrid w:val="0"/>
        <w:spacing w:before="0" w:after="24" w:afterLines="10" w:line="300" w:lineRule="auto"/>
        <w:ind w:left="2999" w:firstLine="0"/>
        <w:jc w:val="both"/>
        <w:rPr>
          <w:rFonts w:ascii="Arial" w:hAnsi="Arial" w:cs="Arial"/>
          <w:szCs w:val="26"/>
        </w:rPr>
      </w:pPr>
      <w:r>
        <w:rPr>
          <w:rFonts w:ascii="Arial" w:hAnsi="Arial" w:cs="Arial"/>
        </w:rPr>
        <w:t>患者应接受激素预治疗，以使子宫内膜变薄，或立即进行手术前的D＆C。所有受试者应接受相同的预治疗方案。</w:t>
      </w:r>
    </w:p>
    <w:p w14:paraId="486D31BB">
      <w:pPr>
        <w:pStyle w:val="11"/>
        <w:numPr>
          <w:ilvl w:val="0"/>
          <w:numId w:val="24"/>
        </w:numPr>
        <w:tabs>
          <w:tab w:val="left" w:pos="2999"/>
          <w:tab w:val="left" w:pos="3000"/>
        </w:tabs>
        <w:snapToGrid w:val="0"/>
        <w:spacing w:before="0" w:after="24" w:afterLines="10" w:line="300" w:lineRule="auto"/>
        <w:jc w:val="both"/>
        <w:rPr>
          <w:rFonts w:ascii="Arial" w:hAnsi="Arial" w:cs="Arial"/>
        </w:rPr>
      </w:pPr>
      <w:r>
        <w:rPr>
          <w:rFonts w:ascii="Arial" w:hAnsi="Arial" w:cs="Arial"/>
        </w:rPr>
        <w:t>子宫内膜切除术</w:t>
      </w:r>
    </w:p>
    <w:p w14:paraId="188211A1">
      <w:pPr>
        <w:pStyle w:val="11"/>
        <w:snapToGrid w:val="0"/>
        <w:spacing w:before="0" w:after="24" w:afterLines="10" w:line="300" w:lineRule="auto"/>
        <w:ind w:left="2999" w:firstLine="0"/>
        <w:jc w:val="both"/>
        <w:rPr>
          <w:rFonts w:ascii="Arial" w:hAnsi="Arial" w:cs="Arial"/>
          <w:szCs w:val="28"/>
        </w:rPr>
      </w:pPr>
      <w:r>
        <w:rPr>
          <w:rFonts w:ascii="Arial" w:hAnsi="Arial" w:cs="Arial"/>
        </w:rPr>
        <w:t>对每例患者提供以下信息：</w:t>
      </w:r>
    </w:p>
    <w:p w14:paraId="0A1132C7">
      <w:pPr>
        <w:pStyle w:val="11"/>
        <w:numPr>
          <w:ilvl w:val="4"/>
          <w:numId w:val="2"/>
        </w:numPr>
        <w:tabs>
          <w:tab w:val="left" w:pos="3720"/>
        </w:tabs>
        <w:snapToGrid w:val="0"/>
        <w:spacing w:before="0" w:after="24" w:afterLines="10" w:line="300" w:lineRule="auto"/>
        <w:jc w:val="both"/>
        <w:rPr>
          <w:rFonts w:ascii="Arial" w:hAnsi="Arial" w:cs="Arial"/>
        </w:rPr>
      </w:pPr>
      <w:r>
        <w:rPr>
          <w:rFonts w:ascii="Arial" w:hAnsi="Arial" w:cs="Arial"/>
        </w:rPr>
        <w:t>用于切除术的程序。切除参数应与安全性和有效性研究中使用的参数完全相同。如果没有，则应详细讨论为什么结果仍相关。</w:t>
      </w:r>
    </w:p>
    <w:p w14:paraId="7626AC86">
      <w:pPr>
        <w:pStyle w:val="11"/>
        <w:numPr>
          <w:ilvl w:val="4"/>
          <w:numId w:val="2"/>
        </w:numPr>
        <w:tabs>
          <w:tab w:val="left" w:pos="3720"/>
        </w:tabs>
        <w:snapToGrid w:val="0"/>
        <w:spacing w:before="0" w:after="24" w:afterLines="10" w:line="300" w:lineRule="auto"/>
        <w:jc w:val="both"/>
        <w:rPr>
          <w:rFonts w:ascii="Arial" w:hAnsi="Arial" w:cs="Arial"/>
          <w:szCs w:val="28"/>
        </w:rPr>
      </w:pPr>
      <w:r>
        <w:rPr>
          <w:rFonts w:ascii="Arial" w:hAnsi="Arial" w:cs="Arial"/>
        </w:rPr>
        <w:t>不良事件</w:t>
      </w:r>
    </w:p>
    <w:p w14:paraId="5CB48B30">
      <w:pPr>
        <w:pStyle w:val="11"/>
        <w:numPr>
          <w:ilvl w:val="0"/>
          <w:numId w:val="22"/>
        </w:numPr>
        <w:tabs>
          <w:tab w:val="left" w:pos="2280"/>
        </w:tabs>
        <w:snapToGrid w:val="0"/>
        <w:spacing w:before="0" w:after="24" w:afterLines="10" w:line="300" w:lineRule="auto"/>
        <w:jc w:val="both"/>
        <w:rPr>
          <w:rFonts w:ascii="Arial" w:hAnsi="Arial" w:cs="Arial"/>
        </w:rPr>
      </w:pPr>
      <w:r>
        <w:rPr>
          <w:rFonts w:ascii="Arial" w:hAnsi="Arial" w:cs="Arial"/>
        </w:rPr>
        <w:t>随访</w:t>
      </w:r>
    </w:p>
    <w:p w14:paraId="5EA09FD3">
      <w:pPr>
        <w:pStyle w:val="11"/>
        <w:snapToGrid w:val="0"/>
        <w:spacing w:before="0" w:after="24" w:afterLines="10" w:line="300" w:lineRule="auto"/>
        <w:ind w:left="2279" w:firstLine="0"/>
        <w:rPr>
          <w:rFonts w:ascii="Arial" w:hAnsi="Arial" w:cs="Arial"/>
        </w:rPr>
        <w:sectPr>
          <w:pgSz w:w="12240" w:h="15840"/>
          <w:pgMar w:top="1134" w:right="1134" w:bottom="1134" w:left="1134" w:header="0" w:footer="1480" w:gutter="0"/>
          <w:cols w:space="720" w:num="1"/>
          <w:docGrid w:linePitch="299" w:charSpace="0"/>
        </w:sectPr>
      </w:pPr>
      <w:r>
        <w:rPr>
          <w:rFonts w:ascii="Arial" w:hAnsi="Arial" w:cs="Arial"/>
        </w:rPr>
        <w:t>患者应按以下时间间隔接受随访检查：2周、3个月和6个月。研究申办方应考虑所有失访的患者。</w:t>
      </w:r>
    </w:p>
    <w:p w14:paraId="24A10782">
      <w:pPr>
        <w:pStyle w:val="36"/>
        <w:snapToGrid w:val="0"/>
        <w:spacing w:before="0" w:after="120" w:afterLines="50" w:line="300" w:lineRule="auto"/>
        <w:jc w:val="both"/>
        <w:rPr>
          <w:rFonts w:ascii="Arial" w:hAnsi="Arial" w:eastAsia="宋体" w:cs="Arial"/>
          <w:b w:val="0"/>
        </w:rPr>
      </w:pPr>
      <w:bookmarkStart w:id="63" w:name="_Toc480443861"/>
      <w:bookmarkStart w:id="64" w:name="_Toc481769715"/>
      <w:r>
        <w:rPr>
          <w:rFonts w:ascii="Arial" w:hAnsi="Arial" w:eastAsia="宋体" w:cs="Arial"/>
          <w:b w:val="0"/>
        </w:rPr>
        <w:t>风险分析</w:t>
      </w:r>
      <w:bookmarkEnd w:id="63"/>
      <w:bookmarkEnd w:id="64"/>
    </w:p>
    <w:p w14:paraId="36FB9F18">
      <w:pPr>
        <w:pStyle w:val="11"/>
        <w:snapToGrid w:val="0"/>
        <w:spacing w:before="0" w:after="120" w:afterLines="50" w:line="300" w:lineRule="auto"/>
        <w:ind w:left="1560" w:firstLine="0"/>
        <w:jc w:val="both"/>
        <w:rPr>
          <w:rFonts w:ascii="Arial" w:hAnsi="Arial" w:cs="Arial"/>
          <w:szCs w:val="28"/>
        </w:rPr>
      </w:pPr>
      <w:r>
        <w:rPr>
          <w:rFonts w:ascii="Arial" w:hAnsi="Arial" w:cs="Arial"/>
        </w:rPr>
        <w:t>提供患者所有风险的完整描述。</w:t>
      </w:r>
    </w:p>
    <w:p w14:paraId="216DD8A6">
      <w:pPr>
        <w:pStyle w:val="36"/>
        <w:snapToGrid w:val="0"/>
        <w:spacing w:before="0" w:after="120" w:afterLines="50" w:line="300" w:lineRule="auto"/>
        <w:jc w:val="both"/>
        <w:rPr>
          <w:rFonts w:ascii="Arial" w:hAnsi="Arial" w:eastAsia="宋体" w:cs="Arial"/>
          <w:b w:val="0"/>
        </w:rPr>
      </w:pPr>
      <w:bookmarkStart w:id="65" w:name="_Toc481769716"/>
      <w:r>
        <w:rPr>
          <w:rFonts w:ascii="Arial" w:hAnsi="Arial" w:eastAsia="宋体" w:cs="Arial"/>
          <w:b w:val="0"/>
        </w:rPr>
        <w:t>知情同意书</w:t>
      </w:r>
      <w:bookmarkEnd w:id="65"/>
    </w:p>
    <w:p w14:paraId="123A9596">
      <w:pPr>
        <w:pStyle w:val="11"/>
        <w:snapToGrid w:val="0"/>
        <w:spacing w:before="0" w:after="120" w:afterLines="50" w:line="300" w:lineRule="auto"/>
        <w:ind w:left="1560" w:firstLine="0"/>
        <w:jc w:val="both"/>
        <w:rPr>
          <w:rFonts w:ascii="Arial" w:hAnsi="Arial" w:cs="Arial"/>
          <w:szCs w:val="28"/>
        </w:rPr>
      </w:pPr>
      <w:r>
        <w:rPr>
          <w:rFonts w:ascii="Arial" w:hAnsi="Arial" w:cs="Arial"/>
        </w:rPr>
        <w:t>提供在研究期间将使用的知情同意书副本。贵公司可以咨询DSMA提供的</w:t>
      </w:r>
      <w:r>
        <w:rPr>
          <w:rFonts w:hint="eastAsia" w:ascii="Arial" w:hAnsi="Arial" w:cs="Arial"/>
        </w:rPr>
        <w:t>《</w:t>
      </w:r>
      <w:r>
        <w:rPr>
          <w:rFonts w:ascii="Arial" w:hAnsi="Arial" w:cs="Arial"/>
        </w:rPr>
        <w:t>研究器械豁免手册</w:t>
      </w:r>
      <w:r>
        <w:rPr>
          <w:rFonts w:hint="eastAsia" w:ascii="Arial" w:hAnsi="Arial" w:cs="Arial"/>
        </w:rPr>
        <w:t>》</w:t>
      </w:r>
      <w:r>
        <w:rPr>
          <w:rFonts w:ascii="Arial" w:hAnsi="Arial" w:cs="Arial"/>
        </w:rPr>
        <w:t>，以获得知情同意书相关的更多指南。</w:t>
      </w:r>
    </w:p>
    <w:p w14:paraId="6FB77E0E">
      <w:pPr>
        <w:pStyle w:val="2"/>
        <w:numPr>
          <w:ilvl w:val="0"/>
          <w:numId w:val="2"/>
        </w:numPr>
        <w:tabs>
          <w:tab w:val="left" w:pos="840"/>
        </w:tabs>
        <w:snapToGrid w:val="0"/>
        <w:spacing w:after="120" w:afterLines="50" w:line="300" w:lineRule="auto"/>
        <w:jc w:val="both"/>
        <w:rPr>
          <w:rFonts w:ascii="Arial" w:hAnsi="Arial" w:cs="Arial"/>
          <w:szCs w:val="26"/>
        </w:rPr>
      </w:pPr>
      <w:bookmarkStart w:id="66" w:name="_Toc480443863"/>
      <w:bookmarkStart w:id="67" w:name="_Toc481769717"/>
      <w:r>
        <w:rPr>
          <w:rFonts w:ascii="Arial" w:hAnsi="Arial" w:cs="Arial"/>
        </w:rPr>
        <w:t>安全性和有效性研究</w:t>
      </w:r>
      <w:bookmarkEnd w:id="66"/>
      <w:bookmarkEnd w:id="67"/>
    </w:p>
    <w:p w14:paraId="5723D131">
      <w:pPr>
        <w:pStyle w:val="3"/>
        <w:numPr>
          <w:ilvl w:val="1"/>
          <w:numId w:val="26"/>
        </w:numPr>
        <w:snapToGrid w:val="0"/>
        <w:spacing w:before="0" w:after="120" w:afterLines="50" w:line="300" w:lineRule="auto"/>
        <w:jc w:val="both"/>
        <w:rPr>
          <w:rFonts w:ascii="Arial" w:hAnsi="Arial" w:eastAsia="宋体" w:cs="Arial"/>
          <w:b w:val="0"/>
          <w:sz w:val="24"/>
        </w:rPr>
      </w:pPr>
      <w:bookmarkStart w:id="68" w:name="_Toc481769718"/>
      <w:bookmarkStart w:id="69" w:name="_Toc480443864"/>
      <w:r>
        <w:rPr>
          <w:rFonts w:ascii="Arial" w:hAnsi="Arial" w:eastAsia="宋体" w:cs="Arial"/>
          <w:b w:val="0"/>
          <w:sz w:val="24"/>
        </w:rPr>
        <w:t>目的</w:t>
      </w:r>
      <w:bookmarkEnd w:id="68"/>
      <w:bookmarkEnd w:id="69"/>
    </w:p>
    <w:p w14:paraId="734E7991">
      <w:pPr>
        <w:pStyle w:val="11"/>
        <w:snapToGrid w:val="0"/>
        <w:spacing w:before="0" w:after="120" w:afterLines="50" w:line="300" w:lineRule="auto"/>
        <w:ind w:left="1560" w:firstLine="0"/>
        <w:jc w:val="both"/>
        <w:rPr>
          <w:rFonts w:ascii="Arial" w:hAnsi="Arial" w:cs="Arial"/>
          <w:szCs w:val="26"/>
        </w:rPr>
      </w:pPr>
      <w:r>
        <w:rPr>
          <w:rFonts w:ascii="Arial" w:hAnsi="Arial" w:cs="Arial"/>
        </w:rPr>
        <w:t>本研究的目的是获得支持PMA所需的安全性和有效性数据。</w:t>
      </w:r>
    </w:p>
    <w:p w14:paraId="3FA4760B">
      <w:pPr>
        <w:pStyle w:val="36"/>
        <w:snapToGrid w:val="0"/>
        <w:spacing w:before="0" w:after="120" w:afterLines="50" w:line="300" w:lineRule="auto"/>
        <w:jc w:val="both"/>
        <w:rPr>
          <w:rFonts w:ascii="Arial" w:hAnsi="Arial" w:eastAsia="宋体" w:cs="Arial"/>
          <w:b w:val="0"/>
          <w:szCs w:val="28"/>
        </w:rPr>
      </w:pPr>
      <w:bookmarkStart w:id="70" w:name="_Toc480443865"/>
      <w:bookmarkStart w:id="71" w:name="_Toc481769719"/>
      <w:r>
        <w:rPr>
          <w:rFonts w:ascii="Arial" w:hAnsi="Arial" w:eastAsia="宋体" w:cs="Arial"/>
          <w:b w:val="0"/>
        </w:rPr>
        <w:t>患者人群的描述</w:t>
      </w:r>
      <w:bookmarkEnd w:id="70"/>
      <w:bookmarkEnd w:id="71"/>
    </w:p>
    <w:p w14:paraId="6E86E317">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入选标准</w:t>
      </w:r>
    </w:p>
    <w:p w14:paraId="2192019C">
      <w:pPr>
        <w:pStyle w:val="11"/>
        <w:numPr>
          <w:ilvl w:val="3"/>
          <w:numId w:val="2"/>
        </w:numPr>
        <w:tabs>
          <w:tab w:val="left" w:pos="2999"/>
          <w:tab w:val="left" w:pos="3000"/>
        </w:tabs>
        <w:snapToGrid w:val="0"/>
        <w:spacing w:before="0" w:after="120" w:afterLines="50" w:line="300" w:lineRule="auto"/>
        <w:jc w:val="both"/>
        <w:rPr>
          <w:rFonts w:ascii="Arial" w:hAnsi="Arial" w:cs="Arial"/>
          <w:szCs w:val="26"/>
        </w:rPr>
      </w:pPr>
      <w:r>
        <w:rPr>
          <w:rFonts w:ascii="Arial" w:hAnsi="Arial" w:cs="Arial"/>
        </w:rPr>
        <w:t>由良性疾病导致的子宫出血，符合子宫出血过多并持续多个周期的研究入选标准。（注：研究申办方负责确定和证明子宫出血过多的原因。子宫内膜切除术的ACOG指南提供了一种可能的替代方案。）</w:t>
      </w:r>
    </w:p>
    <w:p w14:paraId="48AECC27">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既往使用口服避孕药或周期孕激素药物治疗失败。既往药物治疗失败的患者必须提供既往治疗记录。</w:t>
      </w:r>
    </w:p>
    <w:p w14:paraId="44D6E3E3">
      <w:pPr>
        <w:snapToGrid w:val="0"/>
        <w:spacing w:after="120" w:afterLines="50" w:line="300" w:lineRule="auto"/>
        <w:ind w:left="3000"/>
        <w:jc w:val="both"/>
        <w:rPr>
          <w:rFonts w:ascii="Arial" w:hAnsi="Arial" w:eastAsia="宋体" w:cs="Arial"/>
          <w:sz w:val="24"/>
          <w:szCs w:val="26"/>
        </w:rPr>
      </w:pPr>
      <w:r>
        <w:rPr>
          <w:rFonts w:ascii="Arial" w:hAnsi="Arial" w:eastAsia="宋体" w:cs="Arial"/>
          <w:b/>
          <w:bCs/>
          <w:i/>
          <w:sz w:val="24"/>
          <w:szCs w:val="24"/>
        </w:rPr>
        <w:t>注：</w:t>
      </w:r>
      <w:r>
        <w:rPr>
          <w:rFonts w:ascii="Arial" w:hAnsi="Arial" w:eastAsia="宋体" w:cs="Arial"/>
          <w:i/>
          <w:sz w:val="24"/>
          <w:szCs w:val="24"/>
        </w:rPr>
        <w:t>该入选标准旨在将排卵障碍患者排除在研究之外，以便进行一项“更干净”的研究。一旦已经获得FDA批准，就不能反映器械的最终用途。</w:t>
      </w:r>
    </w:p>
    <w:p w14:paraId="4FC78B20">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子宫探子测量</w:t>
      </w:r>
      <w:r>
        <w:rPr>
          <w:rFonts w:ascii="Arial" w:hAnsi="Arial" w:cs="Arial"/>
          <w:u w:val="single" w:color="000000"/>
        </w:rPr>
        <w:t xml:space="preserve">&lt; </w:t>
      </w:r>
      <w:r>
        <w:rPr>
          <w:rFonts w:ascii="Arial" w:hAnsi="Arial" w:cs="Arial"/>
        </w:rPr>
        <w:t>12 cm</w:t>
      </w:r>
    </w:p>
    <w:p w14:paraId="75F9FEB9">
      <w:pPr>
        <w:pStyle w:val="11"/>
        <w:numPr>
          <w:ilvl w:val="3"/>
          <w:numId w:val="2"/>
        </w:numPr>
        <w:tabs>
          <w:tab w:val="left" w:pos="2999"/>
          <w:tab w:val="left" w:pos="3000"/>
        </w:tabs>
        <w:snapToGrid w:val="0"/>
        <w:spacing w:before="0" w:after="120" w:afterLines="50" w:line="300" w:lineRule="auto"/>
        <w:jc w:val="both"/>
        <w:rPr>
          <w:rFonts w:ascii="Arial" w:hAnsi="Arial" w:cs="Arial"/>
          <w:szCs w:val="30"/>
        </w:rPr>
      </w:pPr>
      <w:r>
        <w:rPr>
          <w:rFonts w:ascii="Arial" w:hAnsi="Arial" w:cs="Arial"/>
        </w:rPr>
        <w:t>其他器械的特定标准</w:t>
      </w:r>
    </w:p>
    <w:p w14:paraId="1DC49C32">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排除标准</w:t>
      </w:r>
    </w:p>
    <w:p w14:paraId="09CF7394">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活动性盆腔炎</w:t>
      </w:r>
    </w:p>
    <w:p w14:paraId="12F2700D">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凝血缺陷或出血性疾病</w:t>
      </w:r>
    </w:p>
    <w:p w14:paraId="548A71B7">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异常巴氏涂片，除非获得适当评估</w:t>
      </w:r>
    </w:p>
    <w:p w14:paraId="6E13462F">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恶性病变，通过子宫内膜活检证实</w:t>
      </w:r>
    </w:p>
    <w:p w14:paraId="6DE01AAE">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450AB6A8">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5年以内的妇科恶性肿瘤史</w:t>
      </w:r>
    </w:p>
    <w:p w14:paraId="3F57D084">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粘膜下肌瘤和息肉</w:t>
      </w:r>
    </w:p>
    <w:p w14:paraId="558FA264">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壁间肌瘤</w:t>
      </w:r>
    </w:p>
    <w:p w14:paraId="0CF18413">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纵隔子宫</w:t>
      </w:r>
    </w:p>
    <w:p w14:paraId="74BB0E84">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既往子宫内膜切除术</w:t>
      </w:r>
    </w:p>
    <w:p w14:paraId="79A0758A">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既往子宫手术，除非这些患者以前已被纳入安全性研究</w:t>
      </w:r>
    </w:p>
    <w:p w14:paraId="3EBA328B">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妊娠</w:t>
      </w:r>
    </w:p>
    <w:p w14:paraId="3FFE9158">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有将来生育的愿望</w:t>
      </w:r>
    </w:p>
    <w:p w14:paraId="5A838A04">
      <w:pPr>
        <w:pStyle w:val="11"/>
        <w:numPr>
          <w:ilvl w:val="3"/>
          <w:numId w:val="2"/>
        </w:numPr>
        <w:tabs>
          <w:tab w:val="left" w:pos="2999"/>
          <w:tab w:val="left" w:pos="3000"/>
        </w:tabs>
        <w:snapToGrid w:val="0"/>
        <w:spacing w:before="0" w:after="48" w:afterLines="20" w:line="300" w:lineRule="auto"/>
        <w:jc w:val="both"/>
        <w:rPr>
          <w:rFonts w:ascii="Arial" w:hAnsi="Arial" w:cs="Arial"/>
          <w:szCs w:val="28"/>
        </w:rPr>
      </w:pPr>
      <w:r>
        <w:rPr>
          <w:rFonts w:ascii="Arial" w:hAnsi="Arial" w:cs="Arial"/>
        </w:rPr>
        <w:t>其他器械的特定标准</w:t>
      </w:r>
    </w:p>
    <w:p w14:paraId="2F34FE6B">
      <w:pPr>
        <w:pStyle w:val="36"/>
        <w:snapToGrid w:val="0"/>
        <w:spacing w:before="0" w:after="48" w:afterLines="20" w:line="300" w:lineRule="auto"/>
        <w:jc w:val="both"/>
        <w:rPr>
          <w:rFonts w:ascii="Arial" w:hAnsi="Arial" w:eastAsia="宋体" w:cs="Arial"/>
          <w:b w:val="0"/>
          <w:szCs w:val="28"/>
        </w:rPr>
      </w:pPr>
      <w:bookmarkStart w:id="72" w:name="_Toc480443866"/>
      <w:bookmarkStart w:id="73" w:name="_Toc481769720"/>
      <w:r>
        <w:rPr>
          <w:rFonts w:ascii="Arial" w:hAnsi="Arial" w:eastAsia="宋体" w:cs="Arial"/>
          <w:b w:val="0"/>
        </w:rPr>
        <w:t>研究计划</w:t>
      </w:r>
      <w:bookmarkEnd w:id="72"/>
      <w:bookmarkEnd w:id="73"/>
    </w:p>
    <w:p w14:paraId="67174D05">
      <w:pPr>
        <w:pStyle w:val="11"/>
        <w:numPr>
          <w:ilvl w:val="0"/>
          <w:numId w:val="27"/>
        </w:numPr>
        <w:tabs>
          <w:tab w:val="left" w:pos="2280"/>
        </w:tabs>
        <w:snapToGrid w:val="0"/>
        <w:spacing w:before="0" w:after="48" w:afterLines="20" w:line="300" w:lineRule="auto"/>
        <w:jc w:val="both"/>
        <w:rPr>
          <w:rFonts w:ascii="Arial" w:hAnsi="Arial" w:cs="Arial"/>
          <w:szCs w:val="28"/>
        </w:rPr>
      </w:pPr>
      <w:r>
        <w:rPr>
          <w:rFonts w:ascii="Arial" w:hAnsi="Arial" w:cs="Arial"/>
        </w:rPr>
        <w:t>研究设计</w:t>
      </w:r>
    </w:p>
    <w:p w14:paraId="6CC5D3E5">
      <w:pPr>
        <w:pStyle w:val="11"/>
        <w:numPr>
          <w:ilvl w:val="0"/>
          <w:numId w:val="28"/>
        </w:numPr>
        <w:tabs>
          <w:tab w:val="left" w:pos="2999"/>
          <w:tab w:val="left" w:pos="3000"/>
        </w:tabs>
        <w:snapToGrid w:val="0"/>
        <w:spacing w:before="0" w:after="48" w:afterLines="20" w:line="300" w:lineRule="auto"/>
        <w:jc w:val="both"/>
        <w:rPr>
          <w:rFonts w:ascii="Arial" w:hAnsi="Arial" w:cs="Arial"/>
          <w:szCs w:val="28"/>
        </w:rPr>
      </w:pPr>
      <w:r>
        <w:rPr>
          <w:rFonts w:ascii="Arial" w:hAnsi="Arial" w:cs="Arial"/>
        </w:rPr>
        <w:t>前瞻性、随机、</w:t>
      </w:r>
      <w:r>
        <w:rPr>
          <w:rFonts w:hint="eastAsia" w:ascii="Arial" w:hAnsi="Arial" w:cs="Arial"/>
        </w:rPr>
        <w:t>受控</w:t>
      </w:r>
    </w:p>
    <w:p w14:paraId="66583AE0">
      <w:pPr>
        <w:pStyle w:val="11"/>
        <w:numPr>
          <w:ilvl w:val="4"/>
          <w:numId w:val="2"/>
        </w:numPr>
        <w:tabs>
          <w:tab w:val="left" w:pos="3720"/>
        </w:tabs>
        <w:snapToGrid w:val="0"/>
        <w:spacing w:before="0" w:after="48" w:afterLines="20" w:line="300" w:lineRule="auto"/>
        <w:jc w:val="both"/>
        <w:rPr>
          <w:rFonts w:ascii="Arial" w:hAnsi="Arial" w:cs="Arial"/>
          <w:szCs w:val="26"/>
        </w:rPr>
      </w:pPr>
      <w:r>
        <w:rPr>
          <w:rFonts w:ascii="Arial" w:hAnsi="Arial" w:cs="Arial"/>
        </w:rPr>
        <w:t>该研究应将研究器械与旨在用于子宫内膜切除术（例如电刀切除术、滚球切除术或激光烧蚀术）的合法上市的器械进行比较。对照组如假手术或D＆C是不能可接受。</w:t>
      </w:r>
    </w:p>
    <w:p w14:paraId="05B020EF">
      <w:pPr>
        <w:pStyle w:val="11"/>
        <w:numPr>
          <w:ilvl w:val="4"/>
          <w:numId w:val="2"/>
        </w:numPr>
        <w:tabs>
          <w:tab w:val="left" w:pos="3720"/>
        </w:tabs>
        <w:snapToGrid w:val="0"/>
        <w:spacing w:before="0" w:after="48" w:afterLines="20" w:line="300" w:lineRule="auto"/>
        <w:jc w:val="both"/>
        <w:rPr>
          <w:rFonts w:ascii="Arial" w:hAnsi="Arial" w:cs="Arial"/>
          <w:szCs w:val="26"/>
        </w:rPr>
      </w:pPr>
      <w:r>
        <w:rPr>
          <w:rFonts w:ascii="Arial" w:hAnsi="Arial" w:cs="Arial"/>
        </w:rPr>
        <w:t>描述用于确保在研究者之间对照手术的一致性的方法。应该选择单一对照手术，研究者必须具有认可的实施手术的能力。</w:t>
      </w:r>
    </w:p>
    <w:p w14:paraId="203DAF31">
      <w:pPr>
        <w:pStyle w:val="11"/>
        <w:numPr>
          <w:ilvl w:val="4"/>
          <w:numId w:val="2"/>
        </w:numPr>
        <w:tabs>
          <w:tab w:val="left" w:pos="3720"/>
        </w:tabs>
        <w:snapToGrid w:val="0"/>
        <w:spacing w:before="0" w:after="48" w:afterLines="20" w:line="300" w:lineRule="auto"/>
        <w:jc w:val="both"/>
        <w:rPr>
          <w:rFonts w:ascii="Arial" w:hAnsi="Arial" w:cs="Arial"/>
        </w:rPr>
      </w:pPr>
      <w:r>
        <w:rPr>
          <w:rFonts w:ascii="Arial" w:hAnsi="Arial" w:cs="Arial"/>
        </w:rPr>
        <w:t>多中心</w:t>
      </w:r>
    </w:p>
    <w:p w14:paraId="29327B2A">
      <w:pPr>
        <w:pStyle w:val="11"/>
        <w:snapToGrid w:val="0"/>
        <w:spacing w:before="0" w:after="48" w:afterLines="20" w:line="300" w:lineRule="auto"/>
        <w:ind w:left="3720" w:firstLine="0"/>
        <w:jc w:val="both"/>
        <w:rPr>
          <w:rFonts w:ascii="Arial" w:hAnsi="Arial" w:cs="Arial"/>
          <w:szCs w:val="26"/>
        </w:rPr>
      </w:pPr>
      <w:r>
        <w:rPr>
          <w:rFonts w:ascii="Arial" w:hAnsi="Arial" w:cs="Arial"/>
        </w:rPr>
        <w:t>该研究应在几个中心进行，每个中心每项手术至少有10例患者。</w:t>
      </w:r>
    </w:p>
    <w:p w14:paraId="4A10AB17">
      <w:pPr>
        <w:pStyle w:val="11"/>
        <w:numPr>
          <w:ilvl w:val="4"/>
          <w:numId w:val="2"/>
        </w:numPr>
        <w:tabs>
          <w:tab w:val="left" w:pos="3720"/>
        </w:tabs>
        <w:snapToGrid w:val="0"/>
        <w:spacing w:before="0" w:after="48" w:afterLines="20" w:line="300" w:lineRule="auto"/>
        <w:jc w:val="both"/>
        <w:rPr>
          <w:rFonts w:ascii="Arial" w:hAnsi="Arial" w:cs="Arial"/>
        </w:rPr>
      </w:pPr>
      <w:r>
        <w:rPr>
          <w:rFonts w:ascii="Arial" w:hAnsi="Arial" w:cs="Arial"/>
        </w:rPr>
        <w:t>描述将用于最小化偏差的方法，包括：</w:t>
      </w:r>
    </w:p>
    <w:p w14:paraId="4D35F0EB">
      <w:pPr>
        <w:pStyle w:val="11"/>
        <w:numPr>
          <w:ilvl w:val="5"/>
          <w:numId w:val="2"/>
        </w:numPr>
        <w:tabs>
          <w:tab w:val="left" w:pos="4440"/>
        </w:tabs>
        <w:snapToGrid w:val="0"/>
        <w:spacing w:before="0" w:after="48" w:afterLines="20" w:line="300" w:lineRule="auto"/>
        <w:jc w:val="both"/>
        <w:rPr>
          <w:rFonts w:ascii="Arial" w:hAnsi="Arial" w:cs="Arial"/>
        </w:rPr>
      </w:pPr>
      <w:r>
        <w:rPr>
          <w:rFonts w:ascii="Arial" w:hAnsi="Arial" w:cs="Arial"/>
        </w:rPr>
        <w:t>患者选择过程的随机化</w:t>
      </w:r>
    </w:p>
    <w:p w14:paraId="6F282BD4">
      <w:pPr>
        <w:pStyle w:val="11"/>
        <w:numPr>
          <w:ilvl w:val="5"/>
          <w:numId w:val="2"/>
        </w:numPr>
        <w:tabs>
          <w:tab w:val="left" w:pos="4440"/>
        </w:tabs>
        <w:snapToGrid w:val="0"/>
        <w:spacing w:before="0" w:after="48" w:afterLines="20" w:line="300" w:lineRule="auto"/>
        <w:jc w:val="both"/>
        <w:rPr>
          <w:rFonts w:ascii="Arial" w:hAnsi="Arial" w:cs="Arial"/>
          <w:szCs w:val="26"/>
        </w:rPr>
      </w:pPr>
      <w:r>
        <w:rPr>
          <w:rFonts w:ascii="Arial" w:hAnsi="Arial" w:cs="Arial"/>
        </w:rPr>
        <w:t>旨在防止“购物”式治疗的手术</w:t>
      </w:r>
    </w:p>
    <w:p w14:paraId="33FF0880">
      <w:pPr>
        <w:pStyle w:val="11"/>
        <w:numPr>
          <w:ilvl w:val="0"/>
          <w:numId w:val="28"/>
        </w:numPr>
        <w:tabs>
          <w:tab w:val="left" w:pos="2999"/>
          <w:tab w:val="left" w:pos="3000"/>
        </w:tabs>
        <w:snapToGrid w:val="0"/>
        <w:spacing w:before="0" w:after="48" w:afterLines="20" w:line="300" w:lineRule="auto"/>
        <w:jc w:val="both"/>
        <w:rPr>
          <w:rFonts w:ascii="Arial" w:hAnsi="Arial" w:cs="Arial"/>
        </w:rPr>
      </w:pPr>
      <w:r>
        <w:rPr>
          <w:rFonts w:ascii="Arial" w:hAnsi="Arial" w:cs="Arial"/>
        </w:rPr>
        <w:t>假设</w:t>
      </w:r>
    </w:p>
    <w:p w14:paraId="3BC639AA">
      <w:pPr>
        <w:pStyle w:val="11"/>
        <w:snapToGrid w:val="0"/>
        <w:spacing w:before="0" w:after="48" w:afterLines="20" w:line="300" w:lineRule="auto"/>
        <w:ind w:firstLine="0"/>
        <w:rPr>
          <w:rFonts w:ascii="Arial" w:hAnsi="Arial" w:cs="Arial"/>
        </w:rPr>
        <w:sectPr>
          <w:pgSz w:w="12240" w:h="15840"/>
          <w:pgMar w:top="1134" w:right="1134" w:bottom="1134" w:left="1134" w:header="0" w:footer="1480" w:gutter="0"/>
          <w:cols w:space="720" w:num="1"/>
          <w:docGrid w:linePitch="299" w:charSpace="0"/>
        </w:sectPr>
      </w:pPr>
      <w:r>
        <w:rPr>
          <w:rFonts w:ascii="Arial" w:hAnsi="Arial" w:cs="Arial"/>
        </w:rPr>
        <w:t>研究申办方必须确定适当的假设和研究终端。主要研究终端应该在性质上是定量的（例如，子宫出血减少、子宫出血消除（闭经）、血细胞比容增加）。然而，研究还应包括次要的生活质量终端，基于规模的问卷调查。此外，申办方还应收集关于闭经率和未来外科手术需要的数据。</w:t>
      </w:r>
    </w:p>
    <w:p w14:paraId="6BDF4F25">
      <w:pPr>
        <w:pStyle w:val="11"/>
        <w:numPr>
          <w:ilvl w:val="0"/>
          <w:numId w:val="28"/>
        </w:numPr>
        <w:tabs>
          <w:tab w:val="left" w:pos="2999"/>
          <w:tab w:val="left" w:pos="3000"/>
        </w:tabs>
        <w:snapToGrid w:val="0"/>
        <w:spacing w:before="0" w:after="120" w:afterLines="50" w:line="300" w:lineRule="auto"/>
        <w:jc w:val="both"/>
        <w:rPr>
          <w:rFonts w:ascii="Arial" w:hAnsi="Arial" w:cs="Arial"/>
        </w:rPr>
      </w:pPr>
      <w:r>
        <w:rPr>
          <w:rFonts w:ascii="Arial" w:hAnsi="Arial" w:cs="Arial"/>
        </w:rPr>
        <w:t>研究受试者的数量</w:t>
      </w:r>
    </w:p>
    <w:p w14:paraId="352E6B42">
      <w:pPr>
        <w:pStyle w:val="11"/>
        <w:numPr>
          <w:ilvl w:val="4"/>
          <w:numId w:val="2"/>
        </w:numPr>
        <w:tabs>
          <w:tab w:val="left" w:pos="3720"/>
        </w:tabs>
        <w:snapToGrid w:val="0"/>
        <w:spacing w:before="0" w:after="120" w:afterLines="50" w:line="300" w:lineRule="auto"/>
        <w:jc w:val="both"/>
        <w:rPr>
          <w:rFonts w:ascii="Arial" w:hAnsi="Arial" w:cs="Arial"/>
        </w:rPr>
      </w:pPr>
      <w:r>
        <w:rPr>
          <w:rFonts w:ascii="Arial" w:hAnsi="Arial" w:cs="Arial"/>
        </w:rPr>
        <w:t>提供适当的统计理由</w:t>
      </w:r>
    </w:p>
    <w:p w14:paraId="3D99F021">
      <w:pPr>
        <w:pStyle w:val="11"/>
        <w:numPr>
          <w:ilvl w:val="4"/>
          <w:numId w:val="2"/>
        </w:numPr>
        <w:tabs>
          <w:tab w:val="left" w:pos="3720"/>
        </w:tabs>
        <w:snapToGrid w:val="0"/>
        <w:spacing w:before="0" w:after="120" w:afterLines="50" w:line="300" w:lineRule="auto"/>
        <w:jc w:val="both"/>
        <w:rPr>
          <w:rFonts w:ascii="Arial" w:hAnsi="Arial" w:cs="Arial"/>
          <w:szCs w:val="28"/>
        </w:rPr>
      </w:pPr>
      <w:r>
        <w:rPr>
          <w:rFonts w:ascii="Arial" w:hAnsi="Arial" w:cs="Arial"/>
        </w:rPr>
        <w:t>每个研究中心的数量足够 - 见上文C.1.a（2）。</w:t>
      </w:r>
    </w:p>
    <w:p w14:paraId="53255D27">
      <w:pPr>
        <w:pStyle w:val="11"/>
        <w:numPr>
          <w:ilvl w:val="0"/>
          <w:numId w:val="28"/>
        </w:numPr>
        <w:tabs>
          <w:tab w:val="left" w:pos="2999"/>
          <w:tab w:val="left" w:pos="3000"/>
        </w:tabs>
        <w:snapToGrid w:val="0"/>
        <w:spacing w:before="0" w:after="120" w:afterLines="50" w:line="300" w:lineRule="auto"/>
        <w:jc w:val="both"/>
        <w:rPr>
          <w:rFonts w:ascii="Arial" w:hAnsi="Arial" w:cs="Arial"/>
        </w:rPr>
      </w:pPr>
      <w:r>
        <w:rPr>
          <w:rFonts w:ascii="Arial" w:hAnsi="Arial" w:cs="Arial"/>
        </w:rPr>
        <w:t>随访</w:t>
      </w:r>
    </w:p>
    <w:p w14:paraId="49182A80">
      <w:pPr>
        <w:snapToGrid w:val="0"/>
        <w:spacing w:after="120" w:afterLines="50" w:line="300" w:lineRule="auto"/>
        <w:ind w:left="3000"/>
        <w:jc w:val="both"/>
        <w:rPr>
          <w:rFonts w:ascii="Arial" w:hAnsi="Arial" w:eastAsia="宋体" w:cs="Arial"/>
          <w:sz w:val="24"/>
          <w:szCs w:val="26"/>
        </w:rPr>
      </w:pPr>
      <w:r>
        <w:rPr>
          <w:rFonts w:ascii="Arial" w:hAnsi="Arial" w:eastAsia="宋体" w:cs="Arial"/>
          <w:sz w:val="24"/>
        </w:rPr>
        <w:t>在PMA批准之前，要求有12个月的随访数据。然而，获得所有受试者6个月的数据后，可以进行PMA申请。</w:t>
      </w:r>
      <w:r>
        <w:rPr>
          <w:rFonts w:ascii="Arial" w:hAnsi="Arial" w:eastAsia="宋体" w:cs="Arial"/>
          <w:i/>
          <w:sz w:val="24"/>
        </w:rPr>
        <w:t>此外，对所有患者应随访共3年（即，批准前1年，加上上市后2年）。批准后的数据收集应着重于重复消融或子宫切除术的需要 - 不需要收集定性失血数据。收集到所有数据后，最终报告应作为PMA的补充提交给FDA。</w:t>
      </w:r>
    </w:p>
    <w:p w14:paraId="03EE9BC8">
      <w:pPr>
        <w:pStyle w:val="11"/>
        <w:numPr>
          <w:ilvl w:val="0"/>
          <w:numId w:val="27"/>
        </w:numPr>
        <w:tabs>
          <w:tab w:val="left" w:pos="2280"/>
        </w:tabs>
        <w:snapToGrid w:val="0"/>
        <w:spacing w:before="0" w:after="120" w:afterLines="50" w:line="300" w:lineRule="auto"/>
        <w:jc w:val="both"/>
        <w:rPr>
          <w:rFonts w:ascii="Arial" w:hAnsi="Arial" w:cs="Arial"/>
          <w:szCs w:val="28"/>
        </w:rPr>
      </w:pPr>
      <w:r>
        <w:rPr>
          <w:rFonts w:ascii="Arial" w:hAnsi="Arial" w:cs="Arial"/>
        </w:rPr>
        <w:t>方案</w:t>
      </w:r>
    </w:p>
    <w:p w14:paraId="22168DD4">
      <w:pPr>
        <w:pStyle w:val="11"/>
        <w:numPr>
          <w:ilvl w:val="0"/>
          <w:numId w:val="29"/>
        </w:numPr>
        <w:tabs>
          <w:tab w:val="left" w:pos="2999"/>
          <w:tab w:val="left" w:pos="3000"/>
        </w:tabs>
        <w:snapToGrid w:val="0"/>
        <w:spacing w:before="0" w:after="120" w:afterLines="50" w:line="300" w:lineRule="auto"/>
        <w:jc w:val="both"/>
        <w:rPr>
          <w:rFonts w:ascii="Arial" w:hAnsi="Arial" w:cs="Arial"/>
        </w:rPr>
      </w:pPr>
      <w:r>
        <w:rPr>
          <w:rFonts w:ascii="Arial" w:hAnsi="Arial" w:cs="Arial"/>
        </w:rPr>
        <w:t>术前检查应包括：</w:t>
      </w:r>
    </w:p>
    <w:p w14:paraId="7584DEF4">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骨盆检查</w:t>
      </w:r>
    </w:p>
    <w:p w14:paraId="1A45623C">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巴氏涂片</w:t>
      </w:r>
    </w:p>
    <w:p w14:paraId="1AB4FBD8">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妊娠试验</w:t>
      </w:r>
    </w:p>
    <w:p w14:paraId="1E4D6D4E">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红细胞比容</w:t>
      </w:r>
    </w:p>
    <w:p w14:paraId="14ED8359">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子宫内膜活检</w:t>
      </w:r>
    </w:p>
    <w:p w14:paraId="20B5B4A1">
      <w:pPr>
        <w:pStyle w:val="11"/>
        <w:numPr>
          <w:ilvl w:val="0"/>
          <w:numId w:val="30"/>
        </w:numPr>
        <w:tabs>
          <w:tab w:val="left" w:pos="3720"/>
        </w:tabs>
        <w:snapToGrid w:val="0"/>
        <w:spacing w:before="0" w:after="120" w:afterLines="50" w:line="300" w:lineRule="auto"/>
        <w:jc w:val="both"/>
        <w:rPr>
          <w:rFonts w:ascii="Arial" w:hAnsi="Arial" w:cs="Arial"/>
          <w:szCs w:val="26"/>
        </w:rPr>
      </w:pPr>
      <w:r>
        <w:rPr>
          <w:rFonts w:ascii="Arial" w:hAnsi="Arial" w:cs="Arial"/>
        </w:rPr>
        <w:t>通过以下之一进行子宫评估：诊断性宫腔镜检查、经阴道超声或子宫输卵管造影（HSG）</w:t>
      </w:r>
    </w:p>
    <w:p w14:paraId="4019FE56">
      <w:pPr>
        <w:pStyle w:val="11"/>
        <w:numPr>
          <w:ilvl w:val="0"/>
          <w:numId w:val="29"/>
        </w:numPr>
        <w:tabs>
          <w:tab w:val="left" w:pos="2999"/>
          <w:tab w:val="left" w:pos="3000"/>
        </w:tabs>
        <w:snapToGrid w:val="0"/>
        <w:spacing w:before="0" w:after="120" w:afterLines="50" w:line="300" w:lineRule="auto"/>
        <w:jc w:val="both"/>
        <w:rPr>
          <w:rFonts w:ascii="Arial" w:hAnsi="Arial" w:cs="Arial"/>
        </w:rPr>
      </w:pPr>
      <w:r>
        <w:rPr>
          <w:rFonts w:ascii="Arial" w:hAnsi="Arial" w:cs="Arial"/>
        </w:rPr>
        <w:t>基线数据的收集</w:t>
      </w:r>
    </w:p>
    <w:p w14:paraId="762B8A05">
      <w:pPr>
        <w:pStyle w:val="11"/>
        <w:snapToGrid w:val="0"/>
        <w:spacing w:before="0" w:after="120" w:afterLines="50" w:line="300" w:lineRule="auto"/>
        <w:ind w:firstLine="0"/>
        <w:jc w:val="both"/>
        <w:rPr>
          <w:rFonts w:ascii="Arial" w:hAnsi="Arial" w:cs="Arial"/>
          <w:szCs w:val="26"/>
        </w:rPr>
      </w:pPr>
      <w:r>
        <w:rPr>
          <w:rFonts w:ascii="Arial" w:hAnsi="Arial" w:cs="Arial"/>
        </w:rPr>
        <w:t>如果患者失血量用作研究终端，则应在切除术前三个月收集基线数据。</w:t>
      </w:r>
    </w:p>
    <w:p w14:paraId="0D9B05CC">
      <w:pPr>
        <w:pStyle w:val="11"/>
        <w:numPr>
          <w:ilvl w:val="0"/>
          <w:numId w:val="29"/>
        </w:numPr>
        <w:tabs>
          <w:tab w:val="left" w:pos="2999"/>
          <w:tab w:val="left" w:pos="3000"/>
        </w:tabs>
        <w:snapToGrid w:val="0"/>
        <w:spacing w:before="0" w:after="120" w:afterLines="50" w:line="300" w:lineRule="auto"/>
        <w:jc w:val="both"/>
        <w:rPr>
          <w:rFonts w:ascii="Arial" w:hAnsi="Arial" w:cs="Arial"/>
        </w:rPr>
      </w:pPr>
      <w:r>
        <w:rPr>
          <w:rFonts w:ascii="Arial" w:hAnsi="Arial" w:cs="Arial"/>
        </w:rPr>
        <w:t>子宫内膜制备</w:t>
      </w:r>
    </w:p>
    <w:p w14:paraId="67B003E7">
      <w:pPr>
        <w:pStyle w:val="11"/>
        <w:snapToGrid w:val="0"/>
        <w:spacing w:before="0" w:after="120" w:afterLines="50" w:line="300" w:lineRule="auto"/>
        <w:ind w:firstLine="0"/>
        <w:jc w:val="both"/>
        <w:rPr>
          <w:rFonts w:ascii="Arial" w:hAnsi="Arial" w:cs="Arial"/>
          <w:szCs w:val="26"/>
        </w:rPr>
      </w:pPr>
      <w:r>
        <w:rPr>
          <w:rFonts w:ascii="Arial" w:hAnsi="Arial" w:cs="Arial"/>
        </w:rPr>
        <w:t>两个研究组的患者应接受激素预治疗，以使子宫内膜变薄，或立即进行手术前的D</w:t>
      </w:r>
      <w:r>
        <w:rPr>
          <w:rFonts w:hint="eastAsia" w:ascii="Arial" w:hAnsi="Arial" w:cs="Arial"/>
        </w:rPr>
        <w:t>和</w:t>
      </w:r>
      <w:r>
        <w:rPr>
          <w:rFonts w:ascii="Arial" w:hAnsi="Arial" w:cs="Arial"/>
        </w:rPr>
        <w:t>C。所有受试者应接受相同的预治疗方案。</w:t>
      </w:r>
    </w:p>
    <w:p w14:paraId="7E1D3B9E">
      <w:pPr>
        <w:pStyle w:val="11"/>
        <w:numPr>
          <w:ilvl w:val="0"/>
          <w:numId w:val="27"/>
        </w:numPr>
        <w:tabs>
          <w:tab w:val="left" w:pos="2280"/>
        </w:tabs>
        <w:snapToGrid w:val="0"/>
        <w:spacing w:before="0" w:after="120" w:afterLines="50" w:line="300" w:lineRule="auto"/>
        <w:jc w:val="both"/>
        <w:rPr>
          <w:rFonts w:ascii="Arial" w:hAnsi="Arial" w:cs="Arial"/>
        </w:rPr>
      </w:pPr>
      <w:r>
        <w:rPr>
          <w:rFonts w:ascii="Arial" w:hAnsi="Arial" w:cs="Arial"/>
        </w:rPr>
        <w:t>随访</w:t>
      </w:r>
    </w:p>
    <w:p w14:paraId="1B44D219">
      <w:pPr>
        <w:pStyle w:val="11"/>
        <w:snapToGrid w:val="0"/>
        <w:spacing w:before="0" w:after="120" w:afterLines="50" w:line="300" w:lineRule="auto"/>
        <w:ind w:left="2280" w:firstLine="0"/>
        <w:rPr>
          <w:rFonts w:ascii="Arial" w:hAnsi="Arial" w:cs="Arial"/>
        </w:rPr>
        <w:sectPr>
          <w:pgSz w:w="12240" w:h="15840"/>
          <w:pgMar w:top="1134" w:right="1134" w:bottom="1134" w:left="1134" w:header="0" w:footer="1480" w:gutter="0"/>
          <w:cols w:space="720" w:num="1"/>
          <w:docGrid w:linePitch="299" w:charSpace="0"/>
        </w:sectPr>
      </w:pPr>
      <w:r>
        <w:rPr>
          <w:rFonts w:ascii="Arial" w:hAnsi="Arial" w:cs="Arial"/>
        </w:rPr>
        <w:t>患者应按以下时间间隔接受随访检查：</w:t>
      </w:r>
    </w:p>
    <w:p w14:paraId="1351981B">
      <w:pPr>
        <w:pStyle w:val="11"/>
        <w:numPr>
          <w:ilvl w:val="0"/>
          <w:numId w:val="31"/>
        </w:numPr>
        <w:tabs>
          <w:tab w:val="left" w:pos="2999"/>
          <w:tab w:val="left" w:pos="3000"/>
        </w:tabs>
        <w:snapToGrid w:val="0"/>
        <w:spacing w:before="0" w:line="300" w:lineRule="auto"/>
        <w:jc w:val="both"/>
        <w:rPr>
          <w:rFonts w:ascii="Arial" w:hAnsi="Arial" w:cs="Arial"/>
        </w:rPr>
      </w:pPr>
      <w:r>
        <w:rPr>
          <w:rFonts w:ascii="Arial" w:hAnsi="Arial" w:cs="Arial"/>
        </w:rPr>
        <w:t>2周</w:t>
      </w:r>
    </w:p>
    <w:p w14:paraId="751294B5">
      <w:pPr>
        <w:pStyle w:val="11"/>
        <w:numPr>
          <w:ilvl w:val="0"/>
          <w:numId w:val="32"/>
        </w:numPr>
        <w:tabs>
          <w:tab w:val="left" w:pos="3720"/>
        </w:tabs>
        <w:snapToGrid w:val="0"/>
        <w:spacing w:before="0" w:line="300" w:lineRule="auto"/>
        <w:jc w:val="both"/>
        <w:rPr>
          <w:rFonts w:ascii="Arial" w:hAnsi="Arial" w:cs="Arial"/>
        </w:rPr>
      </w:pPr>
      <w:r>
        <w:rPr>
          <w:rFonts w:ascii="Arial" w:hAnsi="Arial" w:cs="Arial"/>
        </w:rPr>
        <w:t>骨盆檢查</w:t>
      </w:r>
    </w:p>
    <w:p w14:paraId="5972054F">
      <w:pPr>
        <w:pStyle w:val="11"/>
        <w:numPr>
          <w:ilvl w:val="0"/>
          <w:numId w:val="32"/>
        </w:numPr>
        <w:tabs>
          <w:tab w:val="left" w:pos="3720"/>
        </w:tabs>
        <w:snapToGrid w:val="0"/>
        <w:spacing w:before="0" w:line="300" w:lineRule="auto"/>
        <w:jc w:val="both"/>
        <w:rPr>
          <w:rFonts w:ascii="Arial" w:hAnsi="Arial" w:cs="Arial"/>
          <w:szCs w:val="28"/>
        </w:rPr>
      </w:pPr>
      <w:r>
        <w:rPr>
          <w:rFonts w:ascii="Arial" w:hAnsi="Arial" w:cs="Arial"/>
        </w:rPr>
        <w:t>不良事件报告</w:t>
      </w:r>
    </w:p>
    <w:p w14:paraId="5954E9DC">
      <w:pPr>
        <w:pStyle w:val="11"/>
        <w:numPr>
          <w:ilvl w:val="0"/>
          <w:numId w:val="31"/>
        </w:numPr>
        <w:tabs>
          <w:tab w:val="left" w:pos="2999"/>
          <w:tab w:val="left" w:pos="3000"/>
        </w:tabs>
        <w:snapToGrid w:val="0"/>
        <w:spacing w:before="0" w:line="300" w:lineRule="auto"/>
        <w:jc w:val="both"/>
        <w:rPr>
          <w:rFonts w:ascii="Arial" w:hAnsi="Arial" w:cs="Arial"/>
        </w:rPr>
      </w:pPr>
      <w:r>
        <w:rPr>
          <w:rFonts w:ascii="Arial" w:hAnsi="Arial" w:cs="Arial"/>
        </w:rPr>
        <w:t>3个月</w:t>
      </w:r>
    </w:p>
    <w:p w14:paraId="146A8092">
      <w:pPr>
        <w:pStyle w:val="11"/>
        <w:numPr>
          <w:ilvl w:val="0"/>
          <w:numId w:val="33"/>
        </w:numPr>
        <w:tabs>
          <w:tab w:val="left" w:pos="3720"/>
        </w:tabs>
        <w:snapToGrid w:val="0"/>
        <w:spacing w:before="0" w:line="300" w:lineRule="auto"/>
        <w:jc w:val="both"/>
        <w:rPr>
          <w:rFonts w:ascii="Arial" w:hAnsi="Arial" w:cs="Arial"/>
        </w:rPr>
      </w:pPr>
      <w:r>
        <w:rPr>
          <w:rFonts w:ascii="Arial" w:hAnsi="Arial" w:cs="Arial"/>
        </w:rPr>
        <w:t>骨盆檢查</w:t>
      </w:r>
    </w:p>
    <w:p w14:paraId="37298D96">
      <w:pPr>
        <w:pStyle w:val="11"/>
        <w:numPr>
          <w:ilvl w:val="0"/>
          <w:numId w:val="33"/>
        </w:numPr>
        <w:tabs>
          <w:tab w:val="left" w:pos="3720"/>
        </w:tabs>
        <w:snapToGrid w:val="0"/>
        <w:spacing w:before="0" w:line="300" w:lineRule="auto"/>
        <w:jc w:val="both"/>
        <w:rPr>
          <w:rFonts w:ascii="Arial" w:hAnsi="Arial" w:cs="Arial"/>
        </w:rPr>
      </w:pPr>
      <w:r>
        <w:rPr>
          <w:rFonts w:ascii="Arial" w:hAnsi="Arial" w:cs="Arial"/>
        </w:rPr>
        <w:t>不良事件报告</w:t>
      </w:r>
    </w:p>
    <w:p w14:paraId="65356733">
      <w:pPr>
        <w:pStyle w:val="11"/>
        <w:numPr>
          <w:ilvl w:val="0"/>
          <w:numId w:val="33"/>
        </w:numPr>
        <w:tabs>
          <w:tab w:val="left" w:pos="3720"/>
        </w:tabs>
        <w:snapToGrid w:val="0"/>
        <w:spacing w:before="0" w:line="300" w:lineRule="auto"/>
        <w:jc w:val="both"/>
        <w:rPr>
          <w:rFonts w:ascii="Arial" w:hAnsi="Arial" w:cs="Arial"/>
        </w:rPr>
      </w:pPr>
      <w:r>
        <w:rPr>
          <w:rFonts w:ascii="Arial" w:hAnsi="Arial" w:cs="Arial"/>
        </w:rPr>
        <w:t>红细胞比容</w:t>
      </w:r>
    </w:p>
    <w:p w14:paraId="78E2BA16">
      <w:pPr>
        <w:pStyle w:val="11"/>
        <w:numPr>
          <w:ilvl w:val="0"/>
          <w:numId w:val="33"/>
        </w:numPr>
        <w:tabs>
          <w:tab w:val="left" w:pos="3720"/>
        </w:tabs>
        <w:snapToGrid w:val="0"/>
        <w:spacing w:before="0" w:line="300" w:lineRule="auto"/>
        <w:jc w:val="both"/>
        <w:rPr>
          <w:rFonts w:ascii="Arial" w:hAnsi="Arial" w:cs="Arial"/>
          <w:szCs w:val="28"/>
        </w:rPr>
      </w:pPr>
      <w:r>
        <w:rPr>
          <w:rFonts w:ascii="Arial" w:hAnsi="Arial" w:cs="Arial"/>
        </w:rPr>
        <w:t>日记和生活质量的评估</w:t>
      </w:r>
    </w:p>
    <w:p w14:paraId="36341E4B">
      <w:pPr>
        <w:pStyle w:val="11"/>
        <w:numPr>
          <w:ilvl w:val="0"/>
          <w:numId w:val="31"/>
        </w:numPr>
        <w:tabs>
          <w:tab w:val="left" w:pos="2999"/>
          <w:tab w:val="left" w:pos="3000"/>
        </w:tabs>
        <w:snapToGrid w:val="0"/>
        <w:spacing w:before="0" w:line="300" w:lineRule="auto"/>
        <w:jc w:val="both"/>
        <w:rPr>
          <w:rFonts w:ascii="Arial" w:hAnsi="Arial" w:cs="Arial"/>
        </w:rPr>
      </w:pPr>
      <w:r>
        <w:rPr>
          <w:rFonts w:ascii="Arial" w:hAnsi="Arial" w:cs="Arial"/>
        </w:rPr>
        <w:t>6个月</w:t>
      </w:r>
    </w:p>
    <w:p w14:paraId="446154FC">
      <w:pPr>
        <w:pStyle w:val="11"/>
        <w:numPr>
          <w:ilvl w:val="0"/>
          <w:numId w:val="34"/>
        </w:numPr>
        <w:tabs>
          <w:tab w:val="left" w:pos="3720"/>
        </w:tabs>
        <w:snapToGrid w:val="0"/>
        <w:spacing w:before="0" w:line="300" w:lineRule="auto"/>
        <w:jc w:val="both"/>
        <w:rPr>
          <w:rFonts w:ascii="Arial" w:hAnsi="Arial" w:cs="Arial"/>
        </w:rPr>
      </w:pPr>
      <w:r>
        <w:rPr>
          <w:rFonts w:ascii="Arial" w:hAnsi="Arial" w:cs="Arial"/>
        </w:rPr>
        <w:t>骨盆檢查</w:t>
      </w:r>
    </w:p>
    <w:p w14:paraId="0539B6E2">
      <w:pPr>
        <w:pStyle w:val="11"/>
        <w:numPr>
          <w:ilvl w:val="0"/>
          <w:numId w:val="34"/>
        </w:numPr>
        <w:tabs>
          <w:tab w:val="left" w:pos="3720"/>
        </w:tabs>
        <w:snapToGrid w:val="0"/>
        <w:spacing w:before="0" w:line="300" w:lineRule="auto"/>
        <w:jc w:val="both"/>
        <w:rPr>
          <w:rFonts w:ascii="Arial" w:hAnsi="Arial" w:cs="Arial"/>
        </w:rPr>
      </w:pPr>
      <w:r>
        <w:rPr>
          <w:rFonts w:ascii="Arial" w:hAnsi="Arial" w:cs="Arial"/>
        </w:rPr>
        <w:t>不良事件报告</w:t>
      </w:r>
    </w:p>
    <w:p w14:paraId="6567F57E">
      <w:pPr>
        <w:pStyle w:val="11"/>
        <w:numPr>
          <w:ilvl w:val="0"/>
          <w:numId w:val="34"/>
        </w:numPr>
        <w:tabs>
          <w:tab w:val="left" w:pos="3720"/>
        </w:tabs>
        <w:snapToGrid w:val="0"/>
        <w:spacing w:before="0" w:line="300" w:lineRule="auto"/>
        <w:jc w:val="both"/>
        <w:rPr>
          <w:rFonts w:ascii="Arial" w:hAnsi="Arial" w:cs="Arial"/>
        </w:rPr>
      </w:pPr>
      <w:r>
        <w:rPr>
          <w:rFonts w:ascii="Arial" w:hAnsi="Arial" w:cs="Arial"/>
        </w:rPr>
        <w:t>红细胞比容</w:t>
      </w:r>
    </w:p>
    <w:p w14:paraId="5589C4F8">
      <w:pPr>
        <w:pStyle w:val="11"/>
        <w:numPr>
          <w:ilvl w:val="0"/>
          <w:numId w:val="34"/>
        </w:numPr>
        <w:tabs>
          <w:tab w:val="left" w:pos="3720"/>
        </w:tabs>
        <w:snapToGrid w:val="0"/>
        <w:spacing w:before="0" w:line="300" w:lineRule="auto"/>
        <w:jc w:val="both"/>
        <w:rPr>
          <w:rFonts w:ascii="Arial" w:hAnsi="Arial" w:cs="Arial"/>
          <w:szCs w:val="28"/>
        </w:rPr>
      </w:pPr>
      <w:r>
        <w:rPr>
          <w:rFonts w:ascii="Arial" w:hAnsi="Arial" w:cs="Arial"/>
        </w:rPr>
        <w:t>日记和生活质量的评估</w:t>
      </w:r>
    </w:p>
    <w:p w14:paraId="7432CDC2">
      <w:pPr>
        <w:pStyle w:val="11"/>
        <w:numPr>
          <w:ilvl w:val="0"/>
          <w:numId w:val="31"/>
        </w:numPr>
        <w:tabs>
          <w:tab w:val="left" w:pos="2999"/>
          <w:tab w:val="left" w:pos="3000"/>
        </w:tabs>
        <w:snapToGrid w:val="0"/>
        <w:spacing w:before="0" w:line="300" w:lineRule="auto"/>
        <w:jc w:val="both"/>
        <w:rPr>
          <w:rFonts w:ascii="Arial" w:hAnsi="Arial" w:cs="Arial"/>
        </w:rPr>
      </w:pPr>
      <w:r>
        <w:rPr>
          <w:rFonts w:ascii="Arial" w:hAnsi="Arial" w:cs="Arial"/>
        </w:rPr>
        <w:t>12个月</w:t>
      </w:r>
    </w:p>
    <w:p w14:paraId="6708CBDE">
      <w:pPr>
        <w:pStyle w:val="11"/>
        <w:numPr>
          <w:ilvl w:val="0"/>
          <w:numId w:val="35"/>
        </w:numPr>
        <w:tabs>
          <w:tab w:val="left" w:pos="3720"/>
        </w:tabs>
        <w:snapToGrid w:val="0"/>
        <w:spacing w:before="0" w:line="300" w:lineRule="auto"/>
        <w:jc w:val="both"/>
        <w:rPr>
          <w:rFonts w:ascii="Arial" w:hAnsi="Arial" w:cs="Arial"/>
        </w:rPr>
      </w:pPr>
      <w:r>
        <w:rPr>
          <w:rFonts w:ascii="Arial" w:hAnsi="Arial" w:cs="Arial"/>
        </w:rPr>
        <w:t>不良事件报告</w:t>
      </w:r>
    </w:p>
    <w:p w14:paraId="21AF6427">
      <w:pPr>
        <w:pStyle w:val="11"/>
        <w:numPr>
          <w:ilvl w:val="0"/>
          <w:numId w:val="35"/>
        </w:numPr>
        <w:tabs>
          <w:tab w:val="left" w:pos="3720"/>
        </w:tabs>
        <w:snapToGrid w:val="0"/>
        <w:spacing w:before="0" w:line="300" w:lineRule="auto"/>
        <w:jc w:val="both"/>
        <w:rPr>
          <w:rFonts w:ascii="Arial" w:hAnsi="Arial" w:cs="Arial"/>
          <w:szCs w:val="28"/>
        </w:rPr>
      </w:pPr>
      <w:r>
        <w:rPr>
          <w:rFonts w:ascii="Arial" w:hAnsi="Arial" w:cs="Arial"/>
        </w:rPr>
        <w:t>日记和生活质量的评估</w:t>
      </w:r>
    </w:p>
    <w:p w14:paraId="1B41DCDE">
      <w:pPr>
        <w:pStyle w:val="36"/>
        <w:snapToGrid w:val="0"/>
        <w:spacing w:before="0" w:after="0" w:line="300" w:lineRule="auto"/>
        <w:jc w:val="both"/>
        <w:rPr>
          <w:rFonts w:ascii="Arial" w:hAnsi="Arial" w:eastAsia="宋体" w:cs="Arial"/>
        </w:rPr>
      </w:pPr>
      <w:bookmarkStart w:id="74" w:name="_Toc480443867"/>
      <w:bookmarkStart w:id="75" w:name="_Toc481769721"/>
      <w:r>
        <w:rPr>
          <w:rFonts w:ascii="Arial" w:hAnsi="Arial" w:eastAsia="宋体" w:cs="Arial"/>
        </w:rPr>
        <w:t>风险分析</w:t>
      </w:r>
      <w:bookmarkEnd w:id="74"/>
      <w:bookmarkEnd w:id="75"/>
    </w:p>
    <w:p w14:paraId="7618A0EE">
      <w:pPr>
        <w:pStyle w:val="11"/>
        <w:snapToGrid w:val="0"/>
        <w:spacing w:before="0" w:line="300" w:lineRule="auto"/>
        <w:ind w:left="1560" w:firstLine="0"/>
        <w:jc w:val="both"/>
        <w:rPr>
          <w:rFonts w:ascii="Arial" w:hAnsi="Arial" w:cs="Arial"/>
          <w:szCs w:val="28"/>
        </w:rPr>
      </w:pPr>
      <w:r>
        <w:rPr>
          <w:rFonts w:ascii="Arial" w:hAnsi="Arial" w:cs="Arial"/>
        </w:rPr>
        <w:t>提供患者所有风险的完整描述。</w:t>
      </w:r>
    </w:p>
    <w:p w14:paraId="212EB55B">
      <w:pPr>
        <w:pStyle w:val="36"/>
        <w:snapToGrid w:val="0"/>
        <w:spacing w:before="0" w:after="0" w:line="300" w:lineRule="auto"/>
        <w:jc w:val="both"/>
        <w:rPr>
          <w:rFonts w:ascii="Arial" w:hAnsi="Arial" w:eastAsia="宋体" w:cs="Arial"/>
        </w:rPr>
      </w:pPr>
      <w:bookmarkStart w:id="76" w:name="_Toc481769722"/>
      <w:r>
        <w:rPr>
          <w:rFonts w:ascii="Arial" w:hAnsi="Arial" w:eastAsia="宋体" w:cs="Arial"/>
        </w:rPr>
        <w:t>知情同意书</w:t>
      </w:r>
      <w:bookmarkEnd w:id="76"/>
    </w:p>
    <w:p w14:paraId="6138920C">
      <w:pPr>
        <w:pStyle w:val="11"/>
        <w:snapToGrid w:val="0"/>
        <w:spacing w:before="0" w:line="300" w:lineRule="auto"/>
        <w:ind w:left="1560" w:firstLine="0"/>
        <w:jc w:val="both"/>
        <w:rPr>
          <w:rFonts w:ascii="Arial" w:hAnsi="Arial" w:cs="Arial"/>
          <w:szCs w:val="26"/>
        </w:rPr>
      </w:pPr>
      <w:r>
        <w:rPr>
          <w:rFonts w:ascii="Arial" w:hAnsi="Arial" w:cs="Arial"/>
        </w:rPr>
        <w:t>提供在研究期间将使用的知情同意书副本。贵公司可以咨询DSMA提供的“研究器械豁免手册”，以获得知情同意书相关的更多指南。</w:t>
      </w:r>
    </w:p>
    <w:p w14:paraId="5D15427E">
      <w:pPr>
        <w:pStyle w:val="36"/>
        <w:snapToGrid w:val="0"/>
        <w:spacing w:before="0" w:after="0" w:line="300" w:lineRule="auto"/>
        <w:jc w:val="both"/>
        <w:rPr>
          <w:rFonts w:ascii="Arial" w:hAnsi="Arial" w:eastAsia="宋体" w:cs="Arial"/>
        </w:rPr>
      </w:pPr>
      <w:bookmarkStart w:id="77" w:name="_Toc480443869"/>
      <w:bookmarkStart w:id="78" w:name="_Toc481769723"/>
      <w:r>
        <w:rPr>
          <w:rFonts w:ascii="Arial" w:hAnsi="Arial" w:eastAsia="宋体" w:cs="Arial"/>
        </w:rPr>
        <w:t>数据分析</w:t>
      </w:r>
      <w:bookmarkEnd w:id="77"/>
      <w:bookmarkEnd w:id="78"/>
    </w:p>
    <w:p w14:paraId="7DDDCD33">
      <w:pPr>
        <w:pStyle w:val="11"/>
        <w:snapToGrid w:val="0"/>
        <w:spacing w:before="0" w:line="300" w:lineRule="auto"/>
        <w:ind w:left="1560" w:firstLine="0"/>
        <w:jc w:val="both"/>
        <w:rPr>
          <w:rFonts w:ascii="Arial" w:hAnsi="Arial" w:cs="Arial"/>
          <w:szCs w:val="28"/>
        </w:rPr>
      </w:pPr>
      <w:r>
        <w:rPr>
          <w:rFonts w:ascii="Arial" w:hAnsi="Arial" w:cs="Arial"/>
        </w:rPr>
        <w:t>作为PMA的一部分，应包括以下分析。</w:t>
      </w:r>
    </w:p>
    <w:p w14:paraId="72987823">
      <w:pPr>
        <w:pStyle w:val="11"/>
        <w:numPr>
          <w:ilvl w:val="0"/>
          <w:numId w:val="36"/>
        </w:numPr>
        <w:tabs>
          <w:tab w:val="left" w:pos="2280"/>
        </w:tabs>
        <w:snapToGrid w:val="0"/>
        <w:spacing w:before="0" w:line="300" w:lineRule="auto"/>
        <w:jc w:val="both"/>
        <w:rPr>
          <w:rFonts w:ascii="Arial" w:hAnsi="Arial" w:cs="Arial"/>
          <w:szCs w:val="26"/>
        </w:rPr>
      </w:pPr>
      <w:r>
        <w:rPr>
          <w:rFonts w:ascii="Arial" w:hAnsi="Arial" w:cs="Arial"/>
        </w:rPr>
        <w:t>患者树显示入组患者数、每个研究组中治疗的患者数以及在每个指定的随访间隔评估的患者数。</w:t>
      </w:r>
    </w:p>
    <w:p w14:paraId="40B8C33A">
      <w:pPr>
        <w:pStyle w:val="11"/>
        <w:numPr>
          <w:ilvl w:val="0"/>
          <w:numId w:val="36"/>
        </w:numPr>
        <w:tabs>
          <w:tab w:val="left" w:pos="2280"/>
        </w:tabs>
        <w:snapToGrid w:val="0"/>
        <w:spacing w:before="0" w:line="300" w:lineRule="auto"/>
        <w:jc w:val="both"/>
        <w:rPr>
          <w:rFonts w:ascii="Arial" w:hAnsi="Arial" w:cs="Arial"/>
        </w:rPr>
      </w:pPr>
      <w:r>
        <w:rPr>
          <w:rFonts w:ascii="Arial" w:hAnsi="Arial" w:cs="Arial"/>
        </w:rPr>
        <w:t>每例治疗受试者的数据表。应提供纸质文件和PC格式的计算机磁盘（Excel，Quattro Pro或Lotus 1-2-3）。表中应包括以下信息：</w:t>
      </w:r>
    </w:p>
    <w:p w14:paraId="0BE169D9">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患者识别码</w:t>
      </w:r>
    </w:p>
    <w:p w14:paraId="0F75D871">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年龄</w:t>
      </w:r>
    </w:p>
    <w:p w14:paraId="42788065">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治疗部位</w:t>
      </w:r>
    </w:p>
    <w:p w14:paraId="0AD270BC">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对照或试验</w:t>
      </w:r>
    </w:p>
    <w:p w14:paraId="6B8FB419">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治疗日期</w:t>
      </w:r>
    </w:p>
    <w:p w14:paraId="5E9ED5A0">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427CB271">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是否偏离方案？如果是，则在其他地方描述。</w:t>
      </w:r>
    </w:p>
    <w:p w14:paraId="0BF8CF8F">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有无不良事件？如果是，则在其他地方描述。</w:t>
      </w:r>
    </w:p>
    <w:p w14:paraId="01D88B20">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治疗前失血量（或其他主要终端）</w:t>
      </w:r>
    </w:p>
    <w:p w14:paraId="6DA0814C">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6个月失血量（或其他主要终端）</w:t>
      </w:r>
    </w:p>
    <w:p w14:paraId="75FDB721">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12个月失血量（或其他主要终端）</w:t>
      </w:r>
    </w:p>
    <w:p w14:paraId="6135B6F2">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治疗前的生活质量</w:t>
      </w:r>
    </w:p>
    <w:p w14:paraId="434E29B1">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6个月的生活质量</w:t>
      </w:r>
    </w:p>
    <w:p w14:paraId="09D5A65C">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12个月的生活质量</w:t>
      </w:r>
    </w:p>
    <w:p w14:paraId="7E88DDC2">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治疗前血细胞比容</w:t>
      </w:r>
    </w:p>
    <w:p w14:paraId="49758F29">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6个月血细胞比容</w:t>
      </w:r>
    </w:p>
    <w:p w14:paraId="718F215A">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12个月血细胞比容</w:t>
      </w:r>
    </w:p>
    <w:p w14:paraId="7DA37DE5">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是否需要其他的外科手术？</w:t>
      </w:r>
    </w:p>
    <w:p w14:paraId="224345FF">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是否在6个月时认为治疗是成功的？（是/否）</w:t>
      </w:r>
    </w:p>
    <w:p w14:paraId="66E8E1DD">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是否在12个月时认为治疗是成功的？（是/否）</w:t>
      </w:r>
    </w:p>
    <w:p w14:paraId="68D5A600">
      <w:pPr>
        <w:snapToGrid w:val="0"/>
        <w:spacing w:line="300" w:lineRule="auto"/>
        <w:jc w:val="both"/>
        <w:rPr>
          <w:rFonts w:ascii="Arial" w:hAnsi="Arial" w:eastAsia="宋体" w:cs="Arial"/>
          <w:sz w:val="24"/>
          <w:szCs w:val="28"/>
        </w:rPr>
      </w:pPr>
    </w:p>
    <w:p w14:paraId="60D2E41D">
      <w:pPr>
        <w:pStyle w:val="11"/>
        <w:numPr>
          <w:ilvl w:val="0"/>
          <w:numId w:val="36"/>
        </w:numPr>
        <w:tabs>
          <w:tab w:val="left" w:pos="2280"/>
        </w:tabs>
        <w:snapToGrid w:val="0"/>
        <w:spacing w:before="0" w:line="300" w:lineRule="auto"/>
        <w:jc w:val="both"/>
        <w:rPr>
          <w:rFonts w:ascii="Arial" w:hAnsi="Arial" w:cs="Arial"/>
          <w:szCs w:val="28"/>
        </w:rPr>
      </w:pPr>
      <w:r>
        <w:rPr>
          <w:rFonts w:ascii="Arial" w:hAnsi="Arial" w:cs="Arial"/>
        </w:rPr>
        <w:t>样本原始数据（例如月经日记）</w:t>
      </w:r>
    </w:p>
    <w:p w14:paraId="3751C165">
      <w:pPr>
        <w:pStyle w:val="11"/>
        <w:tabs>
          <w:tab w:val="left" w:pos="2280"/>
        </w:tabs>
        <w:snapToGrid w:val="0"/>
        <w:spacing w:before="0" w:line="300" w:lineRule="auto"/>
        <w:ind w:left="2280" w:firstLine="0"/>
        <w:jc w:val="both"/>
        <w:rPr>
          <w:rFonts w:ascii="Arial" w:hAnsi="Arial" w:cs="Arial"/>
          <w:szCs w:val="28"/>
        </w:rPr>
      </w:pPr>
    </w:p>
    <w:p w14:paraId="13EC25A7">
      <w:pPr>
        <w:pStyle w:val="11"/>
        <w:numPr>
          <w:ilvl w:val="0"/>
          <w:numId w:val="36"/>
        </w:numPr>
        <w:tabs>
          <w:tab w:val="left" w:pos="2280"/>
        </w:tabs>
        <w:snapToGrid w:val="0"/>
        <w:spacing w:before="0" w:line="300" w:lineRule="auto"/>
        <w:jc w:val="both"/>
        <w:rPr>
          <w:rFonts w:ascii="Arial" w:hAnsi="Arial" w:cs="Arial"/>
        </w:rPr>
      </w:pPr>
      <w:r>
        <w:rPr>
          <w:rFonts w:ascii="Arial" w:hAnsi="Arial" w:cs="Arial"/>
        </w:rPr>
        <w:t>统计分析（如适用）</w:t>
      </w:r>
    </w:p>
    <w:p w14:paraId="4474F1A1">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2EF902F0">
      <w:pPr>
        <w:pStyle w:val="2"/>
        <w:numPr>
          <w:ilvl w:val="0"/>
          <w:numId w:val="0"/>
        </w:numPr>
        <w:snapToGrid w:val="0"/>
        <w:spacing w:after="120" w:afterLines="50" w:line="300" w:lineRule="auto"/>
        <w:jc w:val="center"/>
        <w:rPr>
          <w:rFonts w:ascii="Arial" w:hAnsi="Arial" w:cs="Arial"/>
        </w:rPr>
      </w:pPr>
      <w:bookmarkStart w:id="79" w:name="_Toc480443870"/>
      <w:bookmarkStart w:id="80" w:name="_Toc481769724"/>
      <w:r>
        <w:rPr>
          <w:rFonts w:ascii="Arial" w:hAnsi="Arial" w:cs="Arial"/>
        </w:rPr>
        <w:t>相关FDA文件</w:t>
      </w:r>
      <w:bookmarkEnd w:id="79"/>
      <w:bookmarkEnd w:id="80"/>
    </w:p>
    <w:p w14:paraId="5585F8AC">
      <w:pPr>
        <w:snapToGrid w:val="0"/>
        <w:spacing w:after="120" w:afterLines="50" w:line="300" w:lineRule="auto"/>
        <w:jc w:val="both"/>
        <w:rPr>
          <w:rFonts w:ascii="Arial" w:hAnsi="Arial" w:eastAsia="宋体" w:cs="Arial"/>
          <w:sz w:val="24"/>
          <w:szCs w:val="30"/>
        </w:rPr>
      </w:pPr>
    </w:p>
    <w:p w14:paraId="5C3FC73E">
      <w:pPr>
        <w:pStyle w:val="11"/>
        <w:snapToGrid w:val="0"/>
        <w:spacing w:before="0" w:after="120" w:afterLines="50" w:line="300" w:lineRule="auto"/>
        <w:ind w:left="0" w:firstLine="0"/>
        <w:jc w:val="both"/>
        <w:rPr>
          <w:rFonts w:ascii="Arial" w:hAnsi="Arial" w:cs="Arial"/>
        </w:rPr>
      </w:pPr>
      <w:r>
        <w:rPr>
          <w:rFonts w:ascii="Arial" w:hAnsi="Arial" w:cs="Arial"/>
        </w:rPr>
        <w:t>以下相关文件可致电（800）638-2041或（301）443-6597从器械</w:t>
      </w:r>
      <w:r>
        <w:rPr>
          <w:rFonts w:hint="eastAsia" w:ascii="Arial" w:hAnsi="Arial" w:cs="Arial"/>
        </w:rPr>
        <w:t>与放射</w:t>
      </w:r>
      <w:r>
        <w:rPr>
          <w:rFonts w:ascii="Arial" w:hAnsi="Arial" w:cs="Arial"/>
        </w:rPr>
        <w:t>健康中心（CDRH）小型制造商服务组（DSMA）获得。</w:t>
      </w:r>
    </w:p>
    <w:p w14:paraId="00DCABE0">
      <w:pPr>
        <w:snapToGrid w:val="0"/>
        <w:spacing w:after="120" w:afterLines="50" w:line="300" w:lineRule="auto"/>
        <w:jc w:val="both"/>
        <w:rPr>
          <w:rFonts w:ascii="Arial" w:hAnsi="Arial" w:eastAsia="宋体" w:cs="Arial"/>
          <w:sz w:val="24"/>
          <w:szCs w:val="26"/>
        </w:rPr>
      </w:pPr>
    </w:p>
    <w:p w14:paraId="0EC17A6B">
      <w:pPr>
        <w:pStyle w:val="11"/>
        <w:snapToGrid w:val="0"/>
        <w:spacing w:before="0" w:after="120" w:afterLines="50" w:line="300" w:lineRule="auto"/>
        <w:ind w:left="840" w:firstLine="0"/>
        <w:jc w:val="both"/>
        <w:rPr>
          <w:rFonts w:ascii="Arial" w:hAnsi="Arial" w:cs="Arial"/>
        </w:rPr>
      </w:pPr>
      <w:r>
        <w:rPr>
          <w:rFonts w:ascii="Arial" w:hAnsi="Arial" w:cs="Arial"/>
        </w:rPr>
        <w:t>蓝皮书备忘录</w:t>
      </w:r>
      <w:r>
        <w:rPr>
          <w:rFonts w:hint="eastAsia" w:ascii="Arial" w:hAnsi="Arial" w:cs="Arial"/>
        </w:rPr>
        <w:t>《</w:t>
      </w:r>
      <w:r>
        <w:rPr>
          <w:rFonts w:ascii="Arial" w:hAnsi="Arial" w:cs="Arial"/>
        </w:rPr>
        <w:t>国际标准ISO-10993</w:t>
      </w:r>
      <w:r>
        <w:rPr>
          <w:rFonts w:hint="eastAsia" w:ascii="Arial" w:hAnsi="Arial" w:cs="Arial"/>
        </w:rPr>
        <w:t>》</w:t>
      </w:r>
      <w:r>
        <w:rPr>
          <w:rFonts w:ascii="Arial" w:hAnsi="Arial" w:cs="Arial"/>
        </w:rPr>
        <w:t>的使用，医疗器械的生物学评价第1部分：评价和测试</w:t>
      </w:r>
    </w:p>
    <w:p w14:paraId="7DEA2F67">
      <w:pPr>
        <w:pStyle w:val="11"/>
        <w:snapToGrid w:val="0"/>
        <w:spacing w:before="0" w:after="120" w:afterLines="50" w:line="300" w:lineRule="auto"/>
        <w:ind w:left="840" w:firstLine="0"/>
        <w:jc w:val="both"/>
        <w:rPr>
          <w:rFonts w:ascii="Arial" w:hAnsi="Arial" w:cs="Arial"/>
        </w:rPr>
      </w:pPr>
      <w:r>
        <w:rPr>
          <w:rFonts w:ascii="Arial" w:hAnsi="Arial" w:cs="Arial"/>
        </w:rPr>
        <w:t>计算机控制医疗器械进行的510（k）审查的审查人员指南</w:t>
      </w:r>
    </w:p>
    <w:p w14:paraId="4C23F978">
      <w:pPr>
        <w:pStyle w:val="11"/>
        <w:snapToGrid w:val="0"/>
        <w:spacing w:before="0" w:after="120" w:afterLines="50" w:line="300" w:lineRule="auto"/>
        <w:ind w:left="840" w:firstLine="0"/>
        <w:jc w:val="both"/>
        <w:rPr>
          <w:rFonts w:ascii="Arial" w:hAnsi="Arial" w:cs="Arial"/>
        </w:rPr>
      </w:pPr>
      <w:r>
        <w:rPr>
          <w:rFonts w:ascii="Arial" w:hAnsi="Arial" w:cs="Arial"/>
        </w:rPr>
        <w:t>在医疗设施中标示可重复使用医疗器械的再处理：FDA审查员指南（1995年3月）</w:t>
      </w:r>
    </w:p>
    <w:p w14:paraId="67BC82B8">
      <w:pPr>
        <w:pStyle w:val="11"/>
        <w:snapToGrid w:val="0"/>
        <w:spacing w:before="0" w:after="120" w:afterLines="50" w:line="300" w:lineRule="auto"/>
        <w:ind w:left="840" w:firstLine="0"/>
        <w:jc w:val="both"/>
        <w:rPr>
          <w:rFonts w:ascii="Arial" w:hAnsi="Arial" w:cs="Arial"/>
        </w:rPr>
      </w:pPr>
      <w:r>
        <w:rPr>
          <w:rFonts w:ascii="Arial" w:hAnsi="Arial" w:cs="Arial"/>
        </w:rPr>
        <w:t>研究器械豁免手册</w:t>
      </w:r>
    </w:p>
    <w:p w14:paraId="0427D95F">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1F186CB1">
      <w:pPr>
        <w:pStyle w:val="2"/>
        <w:numPr>
          <w:ilvl w:val="0"/>
          <w:numId w:val="0"/>
        </w:numPr>
        <w:snapToGrid w:val="0"/>
        <w:spacing w:after="120" w:afterLines="50" w:line="300" w:lineRule="auto"/>
        <w:jc w:val="center"/>
        <w:rPr>
          <w:rFonts w:ascii="Arial" w:hAnsi="Arial" w:cs="Arial"/>
          <w:b w:val="0"/>
          <w:bCs w:val="0"/>
        </w:rPr>
      </w:pPr>
      <w:r>
        <w:rPr>
          <w:rFonts w:ascii="Arial" w:hAnsi="Arial" w:cs="Arial"/>
        </w:rPr>
        <w:t>参考文件</w:t>
      </w:r>
    </w:p>
    <w:p w14:paraId="72CD780E">
      <w:pPr>
        <w:snapToGrid w:val="0"/>
        <w:spacing w:line="300" w:lineRule="auto"/>
        <w:jc w:val="both"/>
        <w:rPr>
          <w:rFonts w:ascii="Arial" w:hAnsi="Arial" w:eastAsia="宋体" w:cs="Arial"/>
          <w:sz w:val="24"/>
          <w:szCs w:val="26"/>
        </w:rPr>
      </w:pPr>
    </w:p>
    <w:p w14:paraId="5F622604">
      <w:pPr>
        <w:pStyle w:val="11"/>
        <w:snapToGrid w:val="0"/>
        <w:spacing w:before="0" w:after="96" w:afterLines="40" w:line="300" w:lineRule="auto"/>
        <w:ind w:left="0" w:firstLine="0"/>
        <w:jc w:val="both"/>
        <w:rPr>
          <w:rFonts w:ascii="Arial" w:hAnsi="Arial" w:cs="Arial"/>
        </w:rPr>
      </w:pPr>
      <w:r>
        <w:rPr>
          <w:rFonts w:ascii="Arial" w:hAnsi="Arial" w:cs="Arial"/>
        </w:rPr>
        <w:t xml:space="preserve">Brill, A.I.(1995) What is the role of hysteroscopy in the management of abnormal uterine bleeding?Clinical Obstetrics and Gynecology, </w:t>
      </w:r>
      <w:r>
        <w:rPr>
          <w:rFonts w:ascii="Arial" w:hAnsi="Arial" w:cs="Arial"/>
          <w:u w:val="single" w:color="000000"/>
        </w:rPr>
        <w:t>38</w:t>
      </w:r>
      <w:r>
        <w:rPr>
          <w:rFonts w:ascii="Arial" w:hAnsi="Arial" w:cs="Arial"/>
        </w:rPr>
        <w:t>(2), pp.319-345.</w:t>
      </w:r>
    </w:p>
    <w:p w14:paraId="6C2E5CEE">
      <w:pPr>
        <w:pStyle w:val="11"/>
        <w:snapToGrid w:val="0"/>
        <w:spacing w:before="0" w:after="96" w:afterLines="40" w:line="300" w:lineRule="auto"/>
        <w:ind w:left="0" w:firstLine="0"/>
        <w:jc w:val="both"/>
        <w:rPr>
          <w:rFonts w:ascii="Arial" w:hAnsi="Arial" w:cs="Arial"/>
        </w:rPr>
      </w:pPr>
      <w:r>
        <w:rPr>
          <w:rFonts w:ascii="Arial" w:hAnsi="Arial" w:cs="Arial"/>
        </w:rPr>
        <w:t xml:space="preserve">Chimbira, T.H.&amp; A.C.Turnbull (1980) Relation between measured menstrual blood loss and patient’s subjective assessment of loss, duration of bleeding, number of sanitary towels used, uterine weight and endometrial surface area, British Journal of Obstetrics and Gynaecology, </w:t>
      </w:r>
      <w:r>
        <w:rPr>
          <w:rFonts w:ascii="Arial" w:hAnsi="Arial" w:cs="Arial"/>
          <w:u w:val="single" w:color="000000"/>
        </w:rPr>
        <w:t>87</w:t>
      </w:r>
      <w:r>
        <w:rPr>
          <w:rFonts w:ascii="Arial" w:hAnsi="Arial" w:cs="Arial"/>
        </w:rPr>
        <w:t>, pp.603-609.</w:t>
      </w:r>
    </w:p>
    <w:p w14:paraId="0D0ECF35">
      <w:pPr>
        <w:pStyle w:val="11"/>
        <w:snapToGrid w:val="0"/>
        <w:spacing w:before="0" w:after="96" w:afterLines="40" w:line="300" w:lineRule="auto"/>
        <w:ind w:left="0" w:firstLine="0"/>
        <w:jc w:val="both"/>
        <w:rPr>
          <w:rFonts w:ascii="Arial" w:hAnsi="Arial" w:cs="Arial"/>
        </w:rPr>
      </w:pPr>
      <w:r>
        <w:rPr>
          <w:rFonts w:ascii="Arial" w:hAnsi="Arial" w:cs="Arial"/>
        </w:rPr>
        <w:t xml:space="preserve">Copperman, A.B., DeCherney, A.H.&amp; D.L.Olive (1993) A case of endometrial cancer following endometrial ablation for dysfunctional uterine bleeding, Obstetrics and Gynecology, </w:t>
      </w:r>
      <w:r>
        <w:rPr>
          <w:rFonts w:ascii="Arial" w:hAnsi="Arial" w:cs="Arial"/>
          <w:u w:val="single" w:color="000000"/>
        </w:rPr>
        <w:t>82</w:t>
      </w:r>
      <w:r>
        <w:rPr>
          <w:rFonts w:ascii="Arial" w:hAnsi="Arial" w:cs="Arial"/>
        </w:rPr>
        <w:t>, pp.640- 642.</w:t>
      </w:r>
    </w:p>
    <w:p w14:paraId="45D320F4">
      <w:pPr>
        <w:pStyle w:val="11"/>
        <w:snapToGrid w:val="0"/>
        <w:spacing w:before="0" w:after="96" w:afterLines="40" w:line="300" w:lineRule="auto"/>
        <w:ind w:left="0" w:firstLine="0"/>
        <w:jc w:val="both"/>
        <w:rPr>
          <w:rFonts w:ascii="Arial" w:hAnsi="Arial" w:cs="Arial"/>
        </w:rPr>
      </w:pPr>
      <w:r>
        <w:rPr>
          <w:rFonts w:ascii="Arial" w:hAnsi="Arial" w:cs="Arial"/>
        </w:rPr>
        <w:t xml:space="preserve">DeCherney, A.H., Diamond, M.P., Lavy, G. &amp; M.L.Polan (1987) Endometrial ablation for intractable uterine bleeding: hysteroscopic resection, Obstetrics and Gynecology, </w:t>
      </w:r>
      <w:r>
        <w:rPr>
          <w:rFonts w:ascii="Arial" w:hAnsi="Arial" w:cs="Arial"/>
          <w:u w:val="single" w:color="000000"/>
        </w:rPr>
        <w:t>70</w:t>
      </w:r>
      <w:r>
        <w:rPr>
          <w:rFonts w:ascii="Arial" w:hAnsi="Arial" w:cs="Arial"/>
        </w:rPr>
        <w:t>, pp.668-670.</w:t>
      </w:r>
    </w:p>
    <w:p w14:paraId="2550B028">
      <w:pPr>
        <w:pStyle w:val="11"/>
        <w:snapToGrid w:val="0"/>
        <w:spacing w:before="0" w:after="96" w:afterLines="40" w:line="300" w:lineRule="auto"/>
        <w:ind w:left="0" w:firstLine="0"/>
        <w:jc w:val="both"/>
        <w:rPr>
          <w:rFonts w:ascii="Arial" w:hAnsi="Arial" w:cs="Arial"/>
        </w:rPr>
      </w:pPr>
      <w:r>
        <w:rPr>
          <w:rFonts w:ascii="Arial" w:hAnsi="Arial" w:cs="Arial"/>
        </w:rPr>
        <w:t xml:space="preserve">Deeny, M. and J.A.Davis (1994) Amount of menstrual blood loss in women referred for endometrial ablation, European Journal of Obstetrics and Gynecology, </w:t>
      </w:r>
      <w:r>
        <w:rPr>
          <w:rFonts w:ascii="Arial" w:hAnsi="Arial" w:cs="Arial"/>
          <w:u w:val="single" w:color="000000"/>
        </w:rPr>
        <w:t>57</w:t>
      </w:r>
      <w:r>
        <w:rPr>
          <w:rFonts w:ascii="Arial" w:hAnsi="Arial" w:cs="Arial"/>
        </w:rPr>
        <w:t>, pp.179-180.</w:t>
      </w:r>
    </w:p>
    <w:p w14:paraId="1743143E">
      <w:pPr>
        <w:pStyle w:val="11"/>
        <w:snapToGrid w:val="0"/>
        <w:spacing w:before="0" w:after="96" w:afterLines="40" w:line="300" w:lineRule="auto"/>
        <w:ind w:left="0" w:firstLine="0"/>
        <w:jc w:val="both"/>
        <w:rPr>
          <w:rFonts w:ascii="Arial" w:hAnsi="Arial" w:cs="Arial"/>
        </w:rPr>
      </w:pPr>
      <w:r>
        <w:rPr>
          <w:rFonts w:ascii="Arial" w:hAnsi="Arial" w:cs="Arial"/>
        </w:rPr>
        <w:t xml:space="preserve">Eijkeren, M.A. et al (1986) The alkaline hematin method for measuring menstrual blood loss - a modification and its clinical use in menorrhagia, European Journal of Obstetrics Gynecology and Reproductive Biology, </w:t>
      </w:r>
      <w:r>
        <w:rPr>
          <w:rFonts w:ascii="Arial" w:hAnsi="Arial" w:cs="Arial"/>
          <w:u w:val="single" w:color="000000"/>
        </w:rPr>
        <w:t>22</w:t>
      </w:r>
      <w:r>
        <w:rPr>
          <w:rFonts w:ascii="Arial" w:hAnsi="Arial" w:cs="Arial"/>
        </w:rPr>
        <w:t>, pp.345-351.</w:t>
      </w:r>
    </w:p>
    <w:p w14:paraId="051B52FA">
      <w:pPr>
        <w:pStyle w:val="11"/>
        <w:snapToGrid w:val="0"/>
        <w:spacing w:before="0" w:after="96" w:afterLines="40" w:line="300" w:lineRule="auto"/>
        <w:ind w:left="0" w:firstLine="0"/>
        <w:jc w:val="both"/>
        <w:rPr>
          <w:rFonts w:ascii="Arial" w:hAnsi="Arial" w:cs="Arial"/>
        </w:rPr>
      </w:pPr>
      <w:r>
        <w:rPr>
          <w:rFonts w:ascii="Arial" w:hAnsi="Arial" w:cs="Arial"/>
        </w:rPr>
        <w:t xml:space="preserve">Erian, J. (1994) Endometrial ablation in the treatment of menorrhagia, British Journal of Obstetrics and Gynaecology, </w:t>
      </w:r>
      <w:r>
        <w:rPr>
          <w:rFonts w:ascii="Arial" w:hAnsi="Arial" w:cs="Arial"/>
          <w:u w:val="single" w:color="000000"/>
        </w:rPr>
        <w:t xml:space="preserve">101 </w:t>
      </w:r>
      <w:r>
        <w:rPr>
          <w:rFonts w:ascii="Arial" w:hAnsi="Arial" w:cs="Arial"/>
        </w:rPr>
        <w:t>(Supplement 11), pp.19-22.</w:t>
      </w:r>
    </w:p>
    <w:p w14:paraId="12B3B10A">
      <w:pPr>
        <w:pStyle w:val="11"/>
        <w:snapToGrid w:val="0"/>
        <w:spacing w:before="0" w:after="96" w:afterLines="40" w:line="300" w:lineRule="auto"/>
        <w:ind w:left="0" w:firstLine="0"/>
        <w:jc w:val="both"/>
        <w:rPr>
          <w:rFonts w:ascii="Arial" w:hAnsi="Arial" w:cs="Arial"/>
        </w:rPr>
      </w:pPr>
      <w:r>
        <w:rPr>
          <w:rFonts w:ascii="Arial" w:hAnsi="Arial" w:cs="Arial"/>
        </w:rPr>
        <w:t xml:space="preserve">Fraser, I. S. (1994) Menorrhagia - a pragmatic approach to the understanding of causes and the need for investigations, British Journal of Obstetrics and Gynaecology, </w:t>
      </w:r>
      <w:r>
        <w:rPr>
          <w:rFonts w:ascii="Arial" w:hAnsi="Arial" w:cs="Arial"/>
          <w:u w:val="single" w:color="000000"/>
        </w:rPr>
        <w:t xml:space="preserve">101 </w:t>
      </w:r>
      <w:r>
        <w:rPr>
          <w:rFonts w:ascii="Arial" w:hAnsi="Arial" w:cs="Arial"/>
        </w:rPr>
        <w:t>(Supplement 11), pp.3-7.</w:t>
      </w:r>
    </w:p>
    <w:p w14:paraId="5110B88C">
      <w:pPr>
        <w:pStyle w:val="11"/>
        <w:snapToGrid w:val="0"/>
        <w:spacing w:before="0" w:after="96" w:afterLines="40" w:line="300" w:lineRule="auto"/>
        <w:ind w:left="0" w:firstLine="0"/>
        <w:jc w:val="both"/>
        <w:rPr>
          <w:rFonts w:ascii="Arial" w:hAnsi="Arial" w:cs="Arial"/>
        </w:rPr>
      </w:pPr>
      <w:r>
        <w:rPr>
          <w:rFonts w:ascii="Arial" w:hAnsi="Arial" w:cs="Arial"/>
        </w:rPr>
        <w:t xml:space="preserve">Fraser, I.S., Angsuwathana, S., Mahmoud, F. &amp; S. Yezerski (1993) Short and medium term outcomes after rollerball endometrial ablation for menorrhagia, Medical Journal of Australia, </w:t>
      </w:r>
      <w:r>
        <w:rPr>
          <w:rFonts w:ascii="Arial" w:hAnsi="Arial" w:cs="Arial"/>
          <w:u w:val="single" w:color="000000"/>
        </w:rPr>
        <w:t>158</w:t>
      </w:r>
      <w:r>
        <w:rPr>
          <w:rFonts w:ascii="Arial" w:hAnsi="Arial" w:cs="Arial"/>
        </w:rPr>
        <w:t>, pp.454-457.</w:t>
      </w:r>
    </w:p>
    <w:p w14:paraId="2A33B9A2">
      <w:pPr>
        <w:pStyle w:val="11"/>
        <w:snapToGrid w:val="0"/>
        <w:spacing w:before="0" w:after="96" w:afterLines="40" w:line="300" w:lineRule="auto"/>
        <w:ind w:left="0" w:firstLine="0"/>
        <w:jc w:val="both"/>
        <w:rPr>
          <w:rFonts w:ascii="Arial" w:hAnsi="Arial" w:cs="Arial"/>
        </w:rPr>
      </w:pPr>
      <w:r>
        <w:rPr>
          <w:rFonts w:ascii="Arial" w:hAnsi="Arial" w:cs="Arial"/>
        </w:rPr>
        <w:t xml:space="preserve">Fraser, I.S., McCarron, G. &amp; R. Markham (1984) A preliminary study of factors influencing perception of menstrual blood loss volume, Obstetrics and Gynecology, </w:t>
      </w:r>
      <w:r>
        <w:rPr>
          <w:rFonts w:ascii="Arial" w:hAnsi="Arial" w:cs="Arial"/>
          <w:u w:val="single" w:color="000000"/>
        </w:rPr>
        <w:t>149</w:t>
      </w:r>
      <w:r>
        <w:rPr>
          <w:rFonts w:ascii="Arial" w:hAnsi="Arial" w:cs="Arial"/>
        </w:rPr>
        <w:t>, pp.788-793.</w:t>
      </w:r>
    </w:p>
    <w:p w14:paraId="13225E32">
      <w:pPr>
        <w:pStyle w:val="11"/>
        <w:snapToGrid w:val="0"/>
        <w:spacing w:before="0" w:after="96" w:afterLines="40" w:line="300" w:lineRule="auto"/>
        <w:ind w:left="0" w:firstLine="0"/>
        <w:jc w:val="both"/>
        <w:rPr>
          <w:rFonts w:ascii="Arial" w:hAnsi="Arial" w:cs="Arial"/>
        </w:rPr>
      </w:pPr>
      <w:r>
        <w:rPr>
          <w:rFonts w:ascii="Arial" w:hAnsi="Arial" w:cs="Arial"/>
        </w:rPr>
        <w:t xml:space="preserve">Garry, R., Shelley-Jones, D., Mooney, P. &amp; G. Phillips (1995) Six hundred endometrial laser ablations, Obstetrics and Gynecology, </w:t>
      </w:r>
      <w:r>
        <w:rPr>
          <w:rFonts w:ascii="Arial" w:hAnsi="Arial" w:cs="Arial"/>
          <w:u w:val="single" w:color="000000"/>
        </w:rPr>
        <w:t>85</w:t>
      </w:r>
      <w:r>
        <w:rPr>
          <w:rFonts w:ascii="Arial" w:hAnsi="Arial" w:cs="Arial"/>
        </w:rPr>
        <w:t>, pp.24-29.</w:t>
      </w:r>
    </w:p>
    <w:p w14:paraId="46CA8E25">
      <w:pPr>
        <w:pStyle w:val="11"/>
        <w:snapToGrid w:val="0"/>
        <w:spacing w:before="0" w:after="96" w:afterLines="40" w:line="300" w:lineRule="auto"/>
        <w:ind w:left="0" w:firstLine="0"/>
        <w:jc w:val="both"/>
        <w:rPr>
          <w:rFonts w:ascii="Arial" w:hAnsi="Arial" w:cs="Arial"/>
        </w:rPr>
      </w:pPr>
      <w:r>
        <w:rPr>
          <w:rFonts w:ascii="Arial" w:hAnsi="Arial" w:cs="Arial"/>
        </w:rPr>
        <w:t xml:space="preserve">Garry, R. (1995) Good practice with endometrial ablation, Obstetrics and Gynecology, </w:t>
      </w:r>
      <w:r>
        <w:rPr>
          <w:rFonts w:ascii="Arial" w:hAnsi="Arial" w:cs="Arial"/>
          <w:u w:val="single" w:color="000000"/>
        </w:rPr>
        <w:t>85</w:t>
      </w:r>
      <w:r>
        <w:rPr>
          <w:rFonts w:ascii="Arial" w:hAnsi="Arial" w:cs="Arial"/>
        </w:rPr>
        <w:t>, pp.144-151.</w:t>
      </w:r>
    </w:p>
    <w:p w14:paraId="530F8105">
      <w:pPr>
        <w:snapToGrid w:val="0"/>
        <w:spacing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55F4A1CE">
      <w:pPr>
        <w:pStyle w:val="11"/>
        <w:snapToGrid w:val="0"/>
        <w:spacing w:before="0" w:after="96" w:afterLines="40" w:line="300" w:lineRule="auto"/>
        <w:ind w:left="0" w:firstLine="0"/>
        <w:jc w:val="both"/>
        <w:rPr>
          <w:rFonts w:ascii="Arial" w:hAnsi="Arial" w:cs="Arial"/>
        </w:rPr>
      </w:pPr>
      <w:r>
        <w:rPr>
          <w:rFonts w:ascii="Arial" w:hAnsi="Arial" w:cs="Arial"/>
        </w:rPr>
        <w:t xml:space="preserve">Hallberg, L., Högdahl, A.-M., Nilsson, L, &amp; G. Rybo (1966) Menstrual blood loss - a population study, Acta Obstet. et Gynecol.Scandinav., </w:t>
      </w:r>
      <w:r>
        <w:rPr>
          <w:rFonts w:ascii="Arial" w:hAnsi="Arial" w:cs="Arial"/>
          <w:u w:val="single" w:color="000000"/>
        </w:rPr>
        <w:t>45</w:t>
      </w:r>
      <w:r>
        <w:rPr>
          <w:rFonts w:ascii="Arial" w:hAnsi="Arial" w:cs="Arial"/>
        </w:rPr>
        <w:t>, 320-351.</w:t>
      </w:r>
    </w:p>
    <w:p w14:paraId="11686FA6">
      <w:pPr>
        <w:pStyle w:val="11"/>
        <w:snapToGrid w:val="0"/>
        <w:spacing w:before="0" w:after="96" w:afterLines="40" w:line="300" w:lineRule="auto"/>
        <w:ind w:left="0" w:firstLine="0"/>
        <w:jc w:val="both"/>
        <w:rPr>
          <w:rFonts w:ascii="Arial" w:hAnsi="Arial" w:cs="Arial"/>
        </w:rPr>
      </w:pPr>
      <w:r>
        <w:rPr>
          <w:rFonts w:ascii="Arial" w:hAnsi="Arial" w:cs="Arial"/>
        </w:rPr>
        <w:t xml:space="preserve">Janssen, C.A.H., Scholtenm P.C.&amp; A.P.M Heintz (1995) A simple visual assessment technique to discriminate between menorrhagia and normal menstrual blood loss, Obstetrics and Gynecology, </w:t>
      </w:r>
      <w:r>
        <w:rPr>
          <w:rFonts w:ascii="Arial" w:hAnsi="Arial" w:cs="Arial"/>
          <w:u w:val="single" w:color="000000"/>
        </w:rPr>
        <w:t>85</w:t>
      </w:r>
      <w:r>
        <w:rPr>
          <w:rFonts w:ascii="Arial" w:hAnsi="Arial" w:cs="Arial"/>
        </w:rPr>
        <w:t>, pp.977-982.</w:t>
      </w:r>
    </w:p>
    <w:p w14:paraId="564C3291">
      <w:pPr>
        <w:pStyle w:val="11"/>
        <w:snapToGrid w:val="0"/>
        <w:spacing w:before="0" w:after="96" w:afterLines="40" w:line="300" w:lineRule="auto"/>
        <w:ind w:left="0" w:firstLine="0"/>
        <w:jc w:val="both"/>
        <w:rPr>
          <w:rFonts w:ascii="Arial" w:hAnsi="Arial" w:cs="Arial"/>
        </w:rPr>
      </w:pPr>
      <w:r>
        <w:rPr>
          <w:rFonts w:ascii="Arial" w:hAnsi="Arial" w:cs="Arial"/>
        </w:rPr>
        <w:t xml:space="preserve">Jenkinson, C., Peto, V. &amp; A. Coulter (1994) Measuring change over time: a comparison of results from global single item of health status and the multi-dimensional SF-36 health status survey questionnaire in patients presenting with menorrhagia, Quality of Life Research, </w:t>
      </w:r>
      <w:r>
        <w:rPr>
          <w:rFonts w:ascii="Arial" w:hAnsi="Arial" w:cs="Arial"/>
          <w:u w:val="single" w:color="000000"/>
        </w:rPr>
        <w:t>3</w:t>
      </w:r>
      <w:r>
        <w:rPr>
          <w:rFonts w:ascii="Arial" w:hAnsi="Arial" w:cs="Arial"/>
        </w:rPr>
        <w:t>, pp.317-321.</w:t>
      </w:r>
    </w:p>
    <w:p w14:paraId="5B80D31D">
      <w:pPr>
        <w:pStyle w:val="11"/>
        <w:snapToGrid w:val="0"/>
        <w:spacing w:before="0" w:after="96" w:afterLines="40" w:line="300" w:lineRule="auto"/>
        <w:ind w:left="0" w:firstLine="0"/>
        <w:jc w:val="both"/>
        <w:rPr>
          <w:rFonts w:ascii="Arial" w:hAnsi="Arial" w:cs="Arial"/>
        </w:rPr>
      </w:pPr>
      <w:r>
        <w:rPr>
          <w:rFonts w:ascii="Arial" w:hAnsi="Arial" w:cs="Arial"/>
        </w:rPr>
        <w:t xml:space="preserve">Lalonde, A. (1994) Evaluation of surgical options in menorrhagia, British Journal of Obstetrics and Gynaecology, </w:t>
      </w:r>
      <w:r>
        <w:rPr>
          <w:rFonts w:ascii="Arial" w:hAnsi="Arial" w:cs="Arial"/>
          <w:u w:val="single" w:color="000000"/>
        </w:rPr>
        <w:t xml:space="preserve">101 </w:t>
      </w:r>
      <w:r>
        <w:rPr>
          <w:rFonts w:ascii="Arial" w:hAnsi="Arial" w:cs="Arial"/>
        </w:rPr>
        <w:t>(Supplement 11), pp.8-14.</w:t>
      </w:r>
    </w:p>
    <w:p w14:paraId="535B0B22">
      <w:pPr>
        <w:pStyle w:val="11"/>
        <w:snapToGrid w:val="0"/>
        <w:spacing w:before="0" w:after="96" w:afterLines="40" w:line="300" w:lineRule="auto"/>
        <w:ind w:left="0" w:firstLine="0"/>
        <w:jc w:val="both"/>
        <w:rPr>
          <w:rFonts w:ascii="Arial" w:hAnsi="Arial" w:cs="Arial"/>
        </w:rPr>
      </w:pPr>
      <w:r>
        <w:rPr>
          <w:rFonts w:ascii="Arial" w:hAnsi="Arial" w:cs="Arial"/>
        </w:rPr>
        <w:t xml:space="preserve">Lefler, H.T.&amp; C.F.Lefler (1992) Ablation of the endometrium: three-year follow up for perimenstrual symptoms, Journal of Reproductive Medicine, </w:t>
      </w:r>
      <w:r>
        <w:rPr>
          <w:rFonts w:ascii="Arial" w:hAnsi="Arial" w:cs="Arial"/>
          <w:u w:val="single" w:color="000000"/>
        </w:rPr>
        <w:t>37</w:t>
      </w:r>
      <w:r>
        <w:rPr>
          <w:rFonts w:ascii="Arial" w:hAnsi="Arial" w:cs="Arial"/>
        </w:rPr>
        <w:t>(2), pp.147-150.</w:t>
      </w:r>
    </w:p>
    <w:p w14:paraId="1EF0F406">
      <w:pPr>
        <w:pStyle w:val="11"/>
        <w:snapToGrid w:val="0"/>
        <w:spacing w:before="0" w:after="96" w:afterLines="40" w:line="300" w:lineRule="auto"/>
        <w:ind w:left="0" w:firstLine="0"/>
        <w:jc w:val="both"/>
        <w:rPr>
          <w:rFonts w:ascii="Arial" w:hAnsi="Arial" w:cs="Arial"/>
        </w:rPr>
      </w:pPr>
      <w:r>
        <w:rPr>
          <w:rFonts w:ascii="Arial" w:hAnsi="Arial" w:cs="Arial"/>
        </w:rPr>
        <w:t xml:space="preserve">Lewis, B.V. (1994) Guidelines for endometrial ablation, British Journal of Obstetrics and Gynaecology, </w:t>
      </w:r>
      <w:r>
        <w:rPr>
          <w:rFonts w:ascii="Arial" w:hAnsi="Arial" w:cs="Arial"/>
          <w:u w:val="single" w:color="000000"/>
        </w:rPr>
        <w:t>101</w:t>
      </w:r>
      <w:r>
        <w:rPr>
          <w:rFonts w:ascii="Arial" w:hAnsi="Arial" w:cs="Arial"/>
        </w:rPr>
        <w:t>, pp.470-473.</w:t>
      </w:r>
    </w:p>
    <w:p w14:paraId="5881112D">
      <w:pPr>
        <w:pStyle w:val="11"/>
        <w:snapToGrid w:val="0"/>
        <w:spacing w:before="0" w:after="96" w:afterLines="40" w:line="300" w:lineRule="auto"/>
        <w:ind w:left="0" w:firstLine="0"/>
        <w:jc w:val="both"/>
        <w:rPr>
          <w:rFonts w:ascii="Arial" w:hAnsi="Arial" w:cs="Arial"/>
        </w:rPr>
      </w:pPr>
      <w:r>
        <w:rPr>
          <w:rFonts w:ascii="Arial" w:hAnsi="Arial" w:cs="Arial"/>
        </w:rPr>
        <w:t xml:space="preserve">Loffer, F. D. (1995) Good practice with endometrial ablation (letter), Obstetrics and Gynecology, </w:t>
      </w:r>
      <w:r>
        <w:rPr>
          <w:rFonts w:ascii="Arial" w:hAnsi="Arial" w:cs="Arial"/>
          <w:u w:val="single" w:color="000000"/>
        </w:rPr>
        <w:t>86</w:t>
      </w:r>
      <w:r>
        <w:rPr>
          <w:rFonts w:ascii="Arial" w:hAnsi="Arial" w:cs="Arial"/>
        </w:rPr>
        <w:t>(5).</w:t>
      </w:r>
    </w:p>
    <w:p w14:paraId="74119B95">
      <w:pPr>
        <w:pStyle w:val="11"/>
        <w:snapToGrid w:val="0"/>
        <w:spacing w:before="0" w:after="96" w:afterLines="40" w:line="300" w:lineRule="auto"/>
        <w:ind w:left="0" w:firstLine="0"/>
        <w:jc w:val="both"/>
        <w:rPr>
          <w:rFonts w:ascii="Arial" w:hAnsi="Arial" w:cs="Arial"/>
        </w:rPr>
      </w:pPr>
      <w:r>
        <w:rPr>
          <w:rFonts w:ascii="Arial" w:hAnsi="Arial" w:cs="Arial"/>
        </w:rPr>
        <w:t xml:space="preserve">Magos, A., Baumann, R., Lockwood, G.M.&amp; A.C.Turnball (1991) Experience with the first 250 endometrial resections for menorrhagia, Lancet, </w:t>
      </w:r>
      <w:r>
        <w:rPr>
          <w:rFonts w:ascii="Arial" w:hAnsi="Arial" w:cs="Arial"/>
          <w:u w:val="single" w:color="000000"/>
        </w:rPr>
        <w:t>377</w:t>
      </w:r>
      <w:r>
        <w:rPr>
          <w:rFonts w:ascii="Arial" w:hAnsi="Arial" w:cs="Arial"/>
        </w:rPr>
        <w:t>, pp.1074-1078.</w:t>
      </w:r>
    </w:p>
    <w:p w14:paraId="0D154E99">
      <w:pPr>
        <w:pStyle w:val="11"/>
        <w:snapToGrid w:val="0"/>
        <w:spacing w:before="0" w:after="96" w:afterLines="40" w:line="300" w:lineRule="auto"/>
        <w:ind w:left="0" w:firstLine="0"/>
        <w:jc w:val="both"/>
        <w:rPr>
          <w:rFonts w:ascii="Arial" w:hAnsi="Arial" w:cs="Arial"/>
        </w:rPr>
      </w:pPr>
      <w:r>
        <w:rPr>
          <w:rFonts w:ascii="Arial" w:hAnsi="Arial" w:cs="Arial"/>
        </w:rPr>
        <w:t xml:space="preserve">Newton, J., Barnard, G. &amp; W. Collins (1977) A rapid method for measuring menstrual blood loss using automatic extraction, Contraception, </w:t>
      </w:r>
      <w:r>
        <w:rPr>
          <w:rFonts w:ascii="Arial" w:hAnsi="Arial" w:cs="Arial"/>
          <w:u w:val="single" w:color="000000"/>
        </w:rPr>
        <w:t>16</w:t>
      </w:r>
      <w:r>
        <w:rPr>
          <w:rFonts w:ascii="Arial" w:hAnsi="Arial" w:cs="Arial"/>
        </w:rPr>
        <w:t>(3), pp.269-282.</w:t>
      </w:r>
    </w:p>
    <w:p w14:paraId="01156C37">
      <w:pPr>
        <w:pStyle w:val="11"/>
        <w:snapToGrid w:val="0"/>
        <w:spacing w:before="0" w:after="96" w:afterLines="40" w:line="300" w:lineRule="auto"/>
        <w:ind w:left="0" w:firstLine="0"/>
        <w:jc w:val="both"/>
        <w:rPr>
          <w:rFonts w:ascii="Arial" w:hAnsi="Arial" w:cs="Arial"/>
        </w:rPr>
      </w:pPr>
      <w:r>
        <w:rPr>
          <w:rFonts w:ascii="Arial" w:hAnsi="Arial" w:cs="Arial"/>
        </w:rPr>
        <w:t xml:space="preserve">Onbargi, L.C., Hayden, R., Valle, R.F.&amp; G.D.Priore (1993) Effects of power and electrical current density variations in an </w:t>
      </w:r>
      <w:r>
        <w:rPr>
          <w:rFonts w:ascii="Arial" w:hAnsi="Arial" w:cs="Arial"/>
          <w:u w:val="single" w:color="000000"/>
        </w:rPr>
        <w:t xml:space="preserve">in vitro </w:t>
      </w:r>
      <w:r>
        <w:rPr>
          <w:rFonts w:ascii="Arial" w:hAnsi="Arial" w:cs="Arial"/>
        </w:rPr>
        <w:t xml:space="preserve">endometrial ablation model, Obstetrics and Gynecology, </w:t>
      </w:r>
      <w:r>
        <w:rPr>
          <w:rFonts w:ascii="Arial" w:hAnsi="Arial" w:cs="Arial"/>
          <w:u w:val="single" w:color="000000"/>
        </w:rPr>
        <w:t>82</w:t>
      </w:r>
      <w:r>
        <w:rPr>
          <w:rFonts w:ascii="Arial" w:hAnsi="Arial" w:cs="Arial"/>
        </w:rPr>
        <w:t>, pp.912-918.</w:t>
      </w:r>
    </w:p>
    <w:p w14:paraId="6D6E6FDD">
      <w:pPr>
        <w:pStyle w:val="11"/>
        <w:snapToGrid w:val="0"/>
        <w:spacing w:before="0" w:after="96" w:afterLines="40" w:line="300" w:lineRule="auto"/>
        <w:ind w:left="0" w:firstLine="0"/>
        <w:jc w:val="both"/>
        <w:rPr>
          <w:rFonts w:ascii="Arial" w:hAnsi="Arial" w:cs="Arial"/>
        </w:rPr>
      </w:pPr>
      <w:r>
        <w:rPr>
          <w:rFonts w:ascii="Arial" w:hAnsi="Arial" w:cs="Arial"/>
        </w:rPr>
        <w:t xml:space="preserve">Pinion, S.B. et al (1994) Randomised trial of hysterectomy, endometrial laser ablation, and transcervical endometrial resection for dysfunctional uterine bleeding, British Medical Journal, </w:t>
      </w:r>
      <w:r>
        <w:rPr>
          <w:rFonts w:ascii="Arial" w:hAnsi="Arial" w:cs="Arial"/>
          <w:u w:val="single" w:color="000000"/>
        </w:rPr>
        <w:t>309</w:t>
      </w:r>
      <w:r>
        <w:rPr>
          <w:rFonts w:ascii="Arial" w:hAnsi="Arial" w:cs="Arial"/>
        </w:rPr>
        <w:t>(6960), pp.979-983.</w:t>
      </w:r>
    </w:p>
    <w:p w14:paraId="271053DC">
      <w:pPr>
        <w:pStyle w:val="11"/>
        <w:snapToGrid w:val="0"/>
        <w:spacing w:before="0" w:after="96" w:afterLines="40" w:line="300" w:lineRule="auto"/>
        <w:ind w:left="0" w:firstLine="0"/>
        <w:jc w:val="both"/>
        <w:rPr>
          <w:rFonts w:ascii="Arial" w:hAnsi="Arial" w:cs="Arial"/>
        </w:rPr>
      </w:pPr>
      <w:r>
        <w:rPr>
          <w:rFonts w:ascii="Arial" w:hAnsi="Arial" w:cs="Arial"/>
        </w:rPr>
        <w:t xml:space="preserve">Ramey, J.W. et al.(1994) The process of carcinogenesis for endometrial adenocarcinoma could be short: development of a malignancy after endometrial ablation, Obstetrics and Gynecology, </w:t>
      </w:r>
      <w:r>
        <w:rPr>
          <w:rFonts w:ascii="Arial" w:hAnsi="Arial" w:cs="Arial"/>
          <w:u w:val="single" w:color="000000"/>
        </w:rPr>
        <w:t>170</w:t>
      </w:r>
      <w:r>
        <w:rPr>
          <w:rFonts w:ascii="Arial" w:hAnsi="Arial" w:cs="Arial"/>
        </w:rPr>
        <w:t>, pp.1370-1371.</w:t>
      </w:r>
    </w:p>
    <w:p w14:paraId="022596A0">
      <w:pPr>
        <w:pStyle w:val="11"/>
        <w:snapToGrid w:val="0"/>
        <w:spacing w:before="0" w:after="96" w:afterLines="40" w:line="300" w:lineRule="auto"/>
        <w:ind w:left="0" w:firstLine="0"/>
        <w:jc w:val="both"/>
        <w:rPr>
          <w:rFonts w:ascii="Arial" w:hAnsi="Arial" w:cs="Arial"/>
        </w:rPr>
      </w:pPr>
      <w:r>
        <w:rPr>
          <w:rFonts w:ascii="Arial" w:hAnsi="Arial" w:cs="Arial"/>
        </w:rPr>
        <w:t xml:space="preserve">Ruta, D.A. et al.(1995) Assessment of patients with menorrhagia: how valid is a structured clinical history as a measure of health status?Quality of Life Research, </w:t>
      </w:r>
      <w:r>
        <w:rPr>
          <w:rFonts w:ascii="Arial" w:hAnsi="Arial" w:cs="Arial"/>
          <w:u w:val="single" w:color="000000"/>
        </w:rPr>
        <w:t>4</w:t>
      </w:r>
      <w:r>
        <w:rPr>
          <w:rFonts w:ascii="Arial" w:hAnsi="Arial" w:cs="Arial"/>
        </w:rPr>
        <w:t>, pp.33-40.</w:t>
      </w:r>
    </w:p>
    <w:p w14:paraId="49C21B44">
      <w:pPr>
        <w:snapToGrid w:val="0"/>
        <w:spacing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4590AF33">
      <w:pPr>
        <w:pStyle w:val="11"/>
        <w:snapToGrid w:val="0"/>
        <w:spacing w:before="0" w:after="96" w:afterLines="40" w:line="300" w:lineRule="auto"/>
        <w:ind w:left="0" w:firstLine="0"/>
        <w:jc w:val="both"/>
        <w:rPr>
          <w:rFonts w:ascii="Arial" w:hAnsi="Arial" w:cs="Arial"/>
        </w:rPr>
      </w:pPr>
      <w:r>
        <w:rPr>
          <w:rFonts w:ascii="Arial" w:hAnsi="Arial" w:cs="Arial"/>
        </w:rPr>
        <w:t xml:space="preserve">Scottish Hysteroscopy Audit Group (1995) A Scottish audit of hysteroscopic surgery for menorrhagia: complications and follow up, British Journal of Obstetrics and Gynaecology, </w:t>
      </w:r>
      <w:r>
        <w:rPr>
          <w:rFonts w:ascii="Arial" w:hAnsi="Arial" w:cs="Arial"/>
          <w:u w:val="single" w:color="000000"/>
        </w:rPr>
        <w:t>102</w:t>
      </w:r>
      <w:r>
        <w:rPr>
          <w:rFonts w:ascii="Arial" w:hAnsi="Arial" w:cs="Arial"/>
        </w:rPr>
        <w:t>, pp.249-254.</w:t>
      </w:r>
    </w:p>
    <w:p w14:paraId="25F05F0B">
      <w:pPr>
        <w:pStyle w:val="11"/>
        <w:snapToGrid w:val="0"/>
        <w:spacing w:before="0" w:after="96" w:afterLines="40" w:line="300" w:lineRule="auto"/>
        <w:ind w:left="0" w:firstLine="0"/>
        <w:jc w:val="both"/>
        <w:rPr>
          <w:rFonts w:ascii="Arial" w:hAnsi="Arial" w:cs="Arial"/>
        </w:rPr>
      </w:pPr>
      <w:r>
        <w:rPr>
          <w:rFonts w:ascii="Arial" w:hAnsi="Arial" w:cs="Arial"/>
        </w:rPr>
        <w:t xml:space="preserve">Shaw, R.W. (1994) Assessment of medical treatments for menorrhagia, British Journal of Obstetrics and Gynaecology, </w:t>
      </w:r>
      <w:r>
        <w:rPr>
          <w:rFonts w:ascii="Arial" w:hAnsi="Arial" w:cs="Arial"/>
          <w:u w:val="single" w:color="000000"/>
        </w:rPr>
        <w:t xml:space="preserve">101 </w:t>
      </w:r>
      <w:r>
        <w:rPr>
          <w:rFonts w:ascii="Arial" w:hAnsi="Arial" w:cs="Arial"/>
        </w:rPr>
        <w:t>(Supplement 11), pp.15-18.</w:t>
      </w:r>
    </w:p>
    <w:p w14:paraId="3A7BDEC3">
      <w:pPr>
        <w:pStyle w:val="11"/>
        <w:snapToGrid w:val="0"/>
        <w:spacing w:before="0" w:after="96" w:afterLines="40" w:line="300" w:lineRule="auto"/>
        <w:ind w:left="0" w:firstLine="0"/>
        <w:jc w:val="both"/>
        <w:rPr>
          <w:rFonts w:ascii="Arial" w:hAnsi="Arial" w:cs="Arial"/>
        </w:rPr>
      </w:pPr>
      <w:r>
        <w:rPr>
          <w:rFonts w:ascii="Arial" w:hAnsi="Arial" w:cs="Arial"/>
        </w:rPr>
        <w:t xml:space="preserve">Sørensen, S.S., Andersen, L.F.&amp; G. Lose (1994) Endometriosis by implantation: a complication of endometrial ablation, Lancet, </w:t>
      </w:r>
      <w:r>
        <w:rPr>
          <w:rFonts w:ascii="Arial" w:hAnsi="Arial" w:cs="Arial"/>
          <w:u w:val="single" w:color="000000"/>
        </w:rPr>
        <w:t>343</w:t>
      </w:r>
      <w:r>
        <w:rPr>
          <w:rFonts w:ascii="Arial" w:hAnsi="Arial" w:cs="Arial"/>
        </w:rPr>
        <w:t>, p.1226.</w:t>
      </w:r>
    </w:p>
    <w:p w14:paraId="227C8ED1">
      <w:pPr>
        <w:pStyle w:val="11"/>
        <w:snapToGrid w:val="0"/>
        <w:spacing w:before="0" w:after="96" w:afterLines="40" w:line="300" w:lineRule="auto"/>
        <w:ind w:left="0" w:firstLine="0"/>
        <w:jc w:val="both"/>
        <w:rPr>
          <w:rFonts w:ascii="Arial" w:hAnsi="Arial" w:cs="Arial"/>
        </w:rPr>
      </w:pPr>
      <w:r>
        <w:rPr>
          <w:rFonts w:ascii="Arial" w:hAnsi="Arial" w:cs="Arial"/>
        </w:rPr>
        <w:t xml:space="preserve">Sporrong, T., Rybo, G. &amp; L.A.Mattsson (1992) An objective and subjective assessment of uterine blood loss in postmenopausal women on hormone replacement therapy, British Journal of Obstetrics and Gynaecology, </w:t>
      </w:r>
      <w:r>
        <w:rPr>
          <w:rFonts w:ascii="Arial" w:hAnsi="Arial" w:cs="Arial"/>
          <w:u w:val="single" w:color="000000"/>
        </w:rPr>
        <w:t>99</w:t>
      </w:r>
      <w:r>
        <w:rPr>
          <w:rFonts w:ascii="Arial" w:hAnsi="Arial" w:cs="Arial"/>
        </w:rPr>
        <w:t>, pp.399-401.</w:t>
      </w:r>
    </w:p>
    <w:p w14:paraId="66C6715C">
      <w:pPr>
        <w:pStyle w:val="11"/>
        <w:snapToGrid w:val="0"/>
        <w:spacing w:before="0" w:after="96" w:afterLines="40" w:line="300" w:lineRule="auto"/>
        <w:ind w:left="0" w:firstLine="0"/>
        <w:jc w:val="both"/>
        <w:rPr>
          <w:rFonts w:ascii="Arial" w:hAnsi="Arial" w:cs="Arial"/>
        </w:rPr>
      </w:pPr>
      <w:r>
        <w:rPr>
          <w:rFonts w:ascii="Arial" w:hAnsi="Arial" w:cs="Arial"/>
        </w:rPr>
        <w:t xml:space="preserve">Sutton, C.J.G.(1994) Thinning the endometrium prior to ablation:is it worthwhile?British Journal of Obstetrics and Gynaecology, </w:t>
      </w:r>
      <w:r>
        <w:rPr>
          <w:rFonts w:ascii="Arial" w:hAnsi="Arial" w:cs="Arial"/>
          <w:u w:val="single" w:color="000000"/>
        </w:rPr>
        <w:t xml:space="preserve">101 </w:t>
      </w:r>
      <w:r>
        <w:rPr>
          <w:rFonts w:ascii="Arial" w:hAnsi="Arial" w:cs="Arial"/>
        </w:rPr>
        <w:t>(Supplement 10), pp.10-12.</w:t>
      </w:r>
    </w:p>
    <w:p w14:paraId="351B0FA1">
      <w:pPr>
        <w:pStyle w:val="11"/>
        <w:snapToGrid w:val="0"/>
        <w:spacing w:before="0" w:after="96" w:afterLines="40" w:line="300" w:lineRule="auto"/>
        <w:ind w:left="0" w:firstLine="0"/>
        <w:jc w:val="both"/>
        <w:rPr>
          <w:rFonts w:ascii="Arial" w:hAnsi="Arial" w:cs="Arial"/>
        </w:rPr>
      </w:pPr>
      <w:r>
        <w:rPr>
          <w:rFonts w:ascii="Arial" w:hAnsi="Arial" w:cs="Arial"/>
        </w:rPr>
        <w:t xml:space="preserve">Townsend, D.E. et al.(1993) Post-ablation-tubal sterilization syndrome, Obstetrics and Gynecology, </w:t>
      </w:r>
      <w:r>
        <w:rPr>
          <w:rFonts w:ascii="Arial" w:hAnsi="Arial" w:cs="Arial"/>
          <w:u w:val="single" w:color="000000"/>
        </w:rPr>
        <w:t>82</w:t>
      </w:r>
      <w:r>
        <w:rPr>
          <w:rFonts w:ascii="Arial" w:hAnsi="Arial" w:cs="Arial"/>
        </w:rPr>
        <w:t>, pp.422-424.</w:t>
      </w:r>
    </w:p>
    <w:p w14:paraId="08ED9AF2">
      <w:pPr>
        <w:pStyle w:val="11"/>
        <w:snapToGrid w:val="0"/>
        <w:spacing w:before="0" w:after="96" w:afterLines="40" w:line="300" w:lineRule="auto"/>
        <w:ind w:left="0" w:firstLine="0"/>
        <w:jc w:val="both"/>
        <w:rPr>
          <w:rFonts w:ascii="Arial" w:hAnsi="Arial" w:cs="Arial"/>
        </w:rPr>
      </w:pPr>
      <w:r>
        <w:rPr>
          <w:rFonts w:ascii="Arial" w:hAnsi="Arial" w:cs="Arial"/>
        </w:rPr>
        <w:t xml:space="preserve">Treatment of dysfunctional uterine bleeding (letters) (1995) British Medical Journal, </w:t>
      </w:r>
      <w:r>
        <w:rPr>
          <w:rFonts w:ascii="Arial" w:hAnsi="Arial" w:cs="Arial"/>
          <w:u w:val="single" w:color="000000"/>
        </w:rPr>
        <w:t>310</w:t>
      </w:r>
      <w:r>
        <w:rPr>
          <w:rFonts w:ascii="Arial" w:hAnsi="Arial" w:cs="Arial"/>
        </w:rPr>
        <w:t>(9982), pp.801-804.</w:t>
      </w:r>
    </w:p>
    <w:p w14:paraId="013D6ECB">
      <w:pPr>
        <w:pStyle w:val="11"/>
        <w:snapToGrid w:val="0"/>
        <w:spacing w:before="0" w:after="96" w:afterLines="40" w:line="300" w:lineRule="auto"/>
        <w:ind w:left="0" w:firstLine="0"/>
        <w:jc w:val="both"/>
        <w:rPr>
          <w:rFonts w:ascii="Arial" w:hAnsi="Arial" w:cs="Arial"/>
        </w:rPr>
      </w:pPr>
      <w:r>
        <w:rPr>
          <w:rFonts w:ascii="Arial" w:hAnsi="Arial" w:cs="Arial"/>
        </w:rPr>
        <w:t xml:space="preserve">Valle, R.F.(1993) Endometrial ablation of dysfunctional uterine bleeding: role of GnRH agonists, International Journal of Gynecology and Obstetrics, </w:t>
      </w:r>
      <w:r>
        <w:rPr>
          <w:rFonts w:ascii="Arial" w:hAnsi="Arial" w:cs="Arial"/>
          <w:u w:val="single" w:color="000000"/>
        </w:rPr>
        <w:t>41</w:t>
      </w:r>
      <w:r>
        <w:rPr>
          <w:rFonts w:ascii="Arial" w:hAnsi="Arial" w:cs="Arial"/>
        </w:rPr>
        <w:t>, pp.3-15.</w:t>
      </w:r>
    </w:p>
    <w:p w14:paraId="56364A49">
      <w:pPr>
        <w:pStyle w:val="11"/>
        <w:snapToGrid w:val="0"/>
        <w:spacing w:before="0" w:after="96" w:afterLines="40" w:line="300" w:lineRule="auto"/>
        <w:ind w:left="0" w:firstLine="0"/>
        <w:jc w:val="both"/>
        <w:rPr>
          <w:rFonts w:ascii="Arial" w:hAnsi="Arial" w:cs="Arial"/>
        </w:rPr>
      </w:pPr>
      <w:r>
        <w:rPr>
          <w:rFonts w:ascii="Arial" w:hAnsi="Arial" w:cs="Arial"/>
        </w:rPr>
        <w:t xml:space="preserve">Velevil, P. et al (1995) Rate of hospitalization for gynecologic disorders among reproductive-age women in the United States, Obstetrics and Gynecology, </w:t>
      </w:r>
      <w:r>
        <w:rPr>
          <w:rFonts w:ascii="Arial" w:hAnsi="Arial" w:cs="Arial"/>
          <w:u w:val="single" w:color="000000"/>
        </w:rPr>
        <w:t>86</w:t>
      </w:r>
      <w:r>
        <w:rPr>
          <w:rFonts w:ascii="Arial" w:hAnsi="Arial" w:cs="Arial"/>
        </w:rPr>
        <w:t>(5), pp.764-769.</w:t>
      </w:r>
    </w:p>
    <w:p w14:paraId="6177E811">
      <w:pPr>
        <w:pStyle w:val="11"/>
        <w:snapToGrid w:val="0"/>
        <w:spacing w:before="0" w:after="96" w:afterLines="40" w:line="300" w:lineRule="auto"/>
        <w:ind w:left="0" w:firstLine="0"/>
        <w:jc w:val="both"/>
        <w:rPr>
          <w:rFonts w:ascii="Arial" w:hAnsi="Arial" w:cs="Arial"/>
        </w:rPr>
      </w:pPr>
      <w:r>
        <w:rPr>
          <w:rFonts w:ascii="Arial" w:hAnsi="Arial" w:cs="Arial"/>
        </w:rPr>
        <w:t xml:space="preserve">Wathen, P.I., Henderson, M.C.&amp; C.A.Witz.(1995) Abnormal uterine bleeding, Medical Clinics of North America, </w:t>
      </w:r>
      <w:r>
        <w:rPr>
          <w:rFonts w:ascii="Arial" w:hAnsi="Arial" w:cs="Arial"/>
          <w:u w:val="single" w:color="000000"/>
        </w:rPr>
        <w:t>79</w:t>
      </w:r>
      <w:r>
        <w:rPr>
          <w:rFonts w:ascii="Arial" w:hAnsi="Arial" w:cs="Arial"/>
        </w:rPr>
        <w:t>(2), pp.329-344.</w:t>
      </w:r>
    </w:p>
    <w:p w14:paraId="235082CC">
      <w:pPr>
        <w:snapToGrid w:val="0"/>
        <w:spacing w:after="120" w:afterLines="50" w:line="300" w:lineRule="auto"/>
        <w:rPr>
          <w:rFonts w:hint="eastAsia" w:eastAsia="宋体"/>
          <w:lang w:eastAsia="zh-CN"/>
        </w:rPr>
      </w:pPr>
    </w:p>
    <w:p w14:paraId="619F16B5">
      <w:pPr>
        <w:snapToGrid w:val="0"/>
        <w:spacing w:after="120" w:afterLines="50" w:line="300" w:lineRule="auto"/>
        <w:jc w:val="center"/>
        <w:rPr>
          <w:rFonts w:hint="eastAsia" w:eastAsia="宋体"/>
          <w:lang w:eastAsia="zh-CN"/>
        </w:rPr>
      </w:pPr>
    </w:p>
    <w:p w14:paraId="58293F8E">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148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E202">
    <w:pPr>
      <w:pBdr>
        <w:top w:val="single" w:color="auto" w:sz="4" w:space="1"/>
      </w:pBdr>
      <w:spacing w:line="225" w:lineRule="exact"/>
      <w:ind w:left="20"/>
      <w:rPr>
        <w:rFonts w:ascii="Arial" w:hAnsi="Arial" w:eastAsia="宋体" w:cs="Arial"/>
      </w:rPr>
    </w:pPr>
    <w:r>
      <w:rPr>
        <w:rFonts w:ascii="Arial" w:hAnsi="Arial" w:eastAsia="宋体" w:cs="Arial"/>
      </w:rPr>
      <w:t>第</w:t>
    </w:r>
    <w:r>
      <w:rPr>
        <w:rFonts w:ascii="Arial" w:hAnsi="Arial" w:eastAsia="宋体" w:cs="Arial"/>
      </w:rPr>
      <w:fldChar w:fldCharType="begin"/>
    </w:r>
    <w:r>
      <w:rPr>
        <w:rFonts w:ascii="Arial" w:hAnsi="Arial" w:eastAsia="宋体" w:cs="Arial"/>
        <w:sz w:val="20"/>
      </w:rPr>
      <w:instrText xml:space="preserve"> PAGE </w:instrText>
    </w:r>
    <w:r>
      <w:rPr>
        <w:rFonts w:ascii="Arial" w:hAnsi="Arial" w:eastAsia="宋体" w:cs="Arial"/>
      </w:rPr>
      <w:fldChar w:fldCharType="separate"/>
    </w:r>
    <w:r>
      <w:rPr>
        <w:rFonts w:ascii="Arial" w:hAnsi="Arial" w:eastAsia="宋体" w:cs="Arial"/>
        <w:sz w:val="20"/>
      </w:rPr>
      <w:t>19</w:t>
    </w:r>
    <w:r>
      <w:rPr>
        <w:rFonts w:ascii="Arial" w:hAnsi="Arial" w:eastAsia="宋体" w:cs="Arial"/>
      </w:rPr>
      <w:fldChar w:fldCharType="end"/>
    </w:r>
    <w:r>
      <w:rPr>
        <w:rFonts w:ascii="Arial" w:hAnsi="Arial" w:eastAsia="宋体" w:cs="Arial"/>
        <w:sz w:val="20"/>
      </w:rPr>
      <w:t>页- 子宫内膜消融术概要</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00ECC"/>
    <w:multiLevelType w:val="multilevel"/>
    <w:tmpl w:val="07100ECC"/>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961064"/>
    <w:multiLevelType w:val="multilevel"/>
    <w:tmpl w:val="08961064"/>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30202E"/>
    <w:multiLevelType w:val="multilevel"/>
    <w:tmpl w:val="0930202E"/>
    <w:lvl w:ilvl="0" w:tentative="0">
      <w:start w:val="1"/>
      <w:numFmt w:val="decimal"/>
      <w:lvlText w:val="%1."/>
      <w:lvlJc w:val="left"/>
      <w:pPr>
        <w:ind w:left="2280" w:hanging="720"/>
      </w:pPr>
      <w:rPr>
        <w:rFonts w:hint="default" w:ascii="Arial" w:hAnsi="Arial" w:eastAsia="Times New Roman" w:cs="Arial"/>
        <w:b w:val="0"/>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8B31E5"/>
    <w:multiLevelType w:val="multilevel"/>
    <w:tmpl w:val="0A8B31E5"/>
    <w:lvl w:ilvl="0" w:tentative="0">
      <w:start w:val="1"/>
      <w:numFmt w:val="upperRoman"/>
      <w:pStyle w:val="2"/>
      <w:lvlText w:val="%1."/>
      <w:lvlJc w:val="left"/>
      <w:pPr>
        <w:ind w:left="0" w:firstLine="0"/>
      </w:pPr>
    </w:lvl>
    <w:lvl w:ilvl="1" w:tentative="0">
      <w:start w:val="1"/>
      <w:numFmt w:val="upperLetter"/>
      <w:pStyle w:val="3"/>
      <w:lvlText w:val="%2."/>
      <w:lvlJc w:val="left"/>
      <w:pPr>
        <w:ind w:left="851" w:firstLine="0"/>
      </w:pPr>
      <w:rPr>
        <w:b w:val="0"/>
      </w:rPr>
    </w:lvl>
    <w:lvl w:ilvl="2" w:tentative="0">
      <w:start w:val="1"/>
      <w:numFmt w:val="decimal"/>
      <w:pStyle w:val="4"/>
      <w:lvlText w:val="%3."/>
      <w:lvlJc w:val="left"/>
      <w:pPr>
        <w:ind w:left="1701" w:firstLine="0"/>
      </w:pPr>
    </w:lvl>
    <w:lvl w:ilvl="3" w:tentative="0">
      <w:start w:val="1"/>
      <w:numFmt w:val="lowerLetter"/>
      <w:pStyle w:val="5"/>
      <w:lvlText w:val="%4)"/>
      <w:lvlJc w:val="left"/>
      <w:pPr>
        <w:ind w:left="2551" w:firstLine="0"/>
      </w:pPr>
    </w:lvl>
    <w:lvl w:ilvl="4" w:tentative="0">
      <w:start w:val="1"/>
      <w:numFmt w:val="decimal"/>
      <w:pStyle w:val="6"/>
      <w:lvlText w:val="(%5)"/>
      <w:lvlJc w:val="left"/>
      <w:pPr>
        <w:ind w:left="3402" w:firstLine="0"/>
      </w:pPr>
    </w:lvl>
    <w:lvl w:ilvl="5" w:tentative="0">
      <w:start w:val="1"/>
      <w:numFmt w:val="lowerLetter"/>
      <w:pStyle w:val="7"/>
      <w:lvlText w:val="(%6)"/>
      <w:lvlJc w:val="left"/>
      <w:pPr>
        <w:ind w:left="4252" w:firstLine="0"/>
      </w:pPr>
    </w:lvl>
    <w:lvl w:ilvl="6" w:tentative="0">
      <w:start w:val="1"/>
      <w:numFmt w:val="lowerRoman"/>
      <w:pStyle w:val="8"/>
      <w:lvlText w:val="(%7)"/>
      <w:lvlJc w:val="left"/>
      <w:pPr>
        <w:ind w:left="5102" w:firstLine="0"/>
      </w:pPr>
    </w:lvl>
    <w:lvl w:ilvl="7" w:tentative="0">
      <w:start w:val="1"/>
      <w:numFmt w:val="lowerLetter"/>
      <w:pStyle w:val="9"/>
      <w:lvlText w:val="(%8)"/>
      <w:lvlJc w:val="left"/>
      <w:pPr>
        <w:ind w:left="5953" w:firstLine="0"/>
      </w:pPr>
    </w:lvl>
    <w:lvl w:ilvl="8" w:tentative="0">
      <w:start w:val="1"/>
      <w:numFmt w:val="lowerRoman"/>
      <w:pStyle w:val="10"/>
      <w:lvlText w:val="(%9)"/>
      <w:lvlJc w:val="left"/>
      <w:pPr>
        <w:ind w:left="6803" w:firstLine="0"/>
      </w:pPr>
    </w:lvl>
  </w:abstractNum>
  <w:abstractNum w:abstractNumId="4">
    <w:nsid w:val="0FDB6783"/>
    <w:multiLevelType w:val="multilevel"/>
    <w:tmpl w:val="0FDB6783"/>
    <w:lvl w:ilvl="0" w:tentative="0">
      <w:start w:val="1"/>
      <w:numFmt w:val="decimal"/>
      <w:lvlText w:val="%1."/>
      <w:lvlJc w:val="left"/>
      <w:pPr>
        <w:ind w:left="2020" w:hanging="420"/>
      </w:pPr>
    </w:lvl>
    <w:lvl w:ilvl="1" w:tentative="0">
      <w:start w:val="1"/>
      <w:numFmt w:val="lowerLetter"/>
      <w:lvlText w:val="%2)"/>
      <w:lvlJc w:val="left"/>
      <w:pPr>
        <w:ind w:left="2440" w:hanging="420"/>
      </w:pPr>
    </w:lvl>
    <w:lvl w:ilvl="2" w:tentative="0">
      <w:start w:val="1"/>
      <w:numFmt w:val="lowerRoman"/>
      <w:lvlText w:val="%3."/>
      <w:lvlJc w:val="right"/>
      <w:pPr>
        <w:ind w:left="2860" w:hanging="420"/>
      </w:pPr>
    </w:lvl>
    <w:lvl w:ilvl="3" w:tentative="0">
      <w:start w:val="1"/>
      <w:numFmt w:val="decimal"/>
      <w:lvlText w:val="%4."/>
      <w:lvlJc w:val="left"/>
      <w:pPr>
        <w:ind w:left="3280" w:hanging="420"/>
      </w:pPr>
    </w:lvl>
    <w:lvl w:ilvl="4" w:tentative="0">
      <w:start w:val="1"/>
      <w:numFmt w:val="lowerLetter"/>
      <w:lvlText w:val="%5)"/>
      <w:lvlJc w:val="left"/>
      <w:pPr>
        <w:ind w:left="3700" w:hanging="420"/>
      </w:pPr>
    </w:lvl>
    <w:lvl w:ilvl="5" w:tentative="0">
      <w:start w:val="1"/>
      <w:numFmt w:val="lowerRoman"/>
      <w:lvlText w:val="%6."/>
      <w:lvlJc w:val="right"/>
      <w:pPr>
        <w:ind w:left="4120" w:hanging="420"/>
      </w:pPr>
    </w:lvl>
    <w:lvl w:ilvl="6" w:tentative="0">
      <w:start w:val="1"/>
      <w:numFmt w:val="decimal"/>
      <w:lvlText w:val="%7."/>
      <w:lvlJc w:val="left"/>
      <w:pPr>
        <w:ind w:left="4540" w:hanging="420"/>
      </w:pPr>
    </w:lvl>
    <w:lvl w:ilvl="7" w:tentative="0">
      <w:start w:val="1"/>
      <w:numFmt w:val="lowerLetter"/>
      <w:lvlText w:val="%8)"/>
      <w:lvlJc w:val="left"/>
      <w:pPr>
        <w:ind w:left="4960" w:hanging="420"/>
      </w:pPr>
    </w:lvl>
    <w:lvl w:ilvl="8" w:tentative="0">
      <w:start w:val="1"/>
      <w:numFmt w:val="lowerRoman"/>
      <w:lvlText w:val="%9."/>
      <w:lvlJc w:val="right"/>
      <w:pPr>
        <w:ind w:left="5380" w:hanging="420"/>
      </w:pPr>
    </w:lvl>
  </w:abstractNum>
  <w:abstractNum w:abstractNumId="5">
    <w:nsid w:val="110238C2"/>
    <w:multiLevelType w:val="multilevel"/>
    <w:tmpl w:val="110238C2"/>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4C4151"/>
    <w:multiLevelType w:val="multilevel"/>
    <w:tmpl w:val="194C4151"/>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757C66"/>
    <w:multiLevelType w:val="multilevel"/>
    <w:tmpl w:val="1B757C66"/>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C424AC9"/>
    <w:multiLevelType w:val="multilevel"/>
    <w:tmpl w:val="1C424AC9"/>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AA0AEF"/>
    <w:multiLevelType w:val="multilevel"/>
    <w:tmpl w:val="1EAA0AEF"/>
    <w:lvl w:ilvl="0" w:tentative="0">
      <w:start w:val="1"/>
      <w:numFmt w:val="upperRoman"/>
      <w:lvlText w:val="%1."/>
      <w:lvlJc w:val="left"/>
      <w:pPr>
        <w:ind w:left="840" w:hanging="720"/>
      </w:pPr>
      <w:rPr>
        <w:rFonts w:hint="default" w:ascii="Times New Roman" w:hAnsi="Times New Roman" w:eastAsia="Times New Roman"/>
        <w:b/>
        <w:bCs/>
        <w:spacing w:val="-3"/>
        <w:sz w:val="24"/>
        <w:szCs w:val="24"/>
      </w:rPr>
    </w:lvl>
    <w:lvl w:ilvl="1" w:tentative="0">
      <w:start w:val="1"/>
      <w:numFmt w:val="upperLetter"/>
      <w:lvlText w:val="%2."/>
      <w:lvlJc w:val="left"/>
      <w:pPr>
        <w:ind w:left="1560" w:hanging="720"/>
      </w:pPr>
      <w:rPr>
        <w:rFonts w:hint="default" w:ascii="Times New Roman" w:hAnsi="Times New Roman" w:eastAsia="Times New Roman"/>
        <w:spacing w:val="-6"/>
        <w:sz w:val="24"/>
        <w:szCs w:val="24"/>
      </w:rPr>
    </w:lvl>
    <w:lvl w:ilvl="2" w:tentative="0">
      <w:start w:val="1"/>
      <w:numFmt w:val="decimal"/>
      <w:lvlText w:val="%3."/>
      <w:lvlJc w:val="left"/>
      <w:pPr>
        <w:ind w:left="2280" w:hanging="720"/>
      </w:pPr>
      <w:rPr>
        <w:rFonts w:hint="default" w:ascii="Arial" w:hAnsi="Arial" w:eastAsia="Times New Roman" w:cs="Arial"/>
        <w:b w:val="0"/>
        <w:bCs/>
        <w:sz w:val="24"/>
        <w:szCs w:val="24"/>
      </w:rPr>
    </w:lvl>
    <w:lvl w:ilvl="3" w:tentative="0">
      <w:start w:val="1"/>
      <w:numFmt w:val="lowerLetter"/>
      <w:lvlText w:val="%4."/>
      <w:lvlJc w:val="left"/>
      <w:pPr>
        <w:ind w:left="3000" w:hanging="720"/>
      </w:pPr>
      <w:rPr>
        <w:rFonts w:hint="default" w:ascii="Arial" w:hAnsi="Arial" w:eastAsia="Times New Roman" w:cs="Arial"/>
        <w:b w:val="0"/>
        <w:bCs/>
        <w:sz w:val="24"/>
        <w:szCs w:val="24"/>
      </w:rPr>
    </w:lvl>
    <w:lvl w:ilvl="4" w:tentative="0">
      <w:start w:val="1"/>
      <w:numFmt w:val="bullet"/>
      <w:lvlText w:val="•"/>
      <w:lvlJc w:val="left"/>
      <w:pPr>
        <w:ind w:left="2320" w:hanging="720"/>
      </w:pPr>
      <w:rPr>
        <w:rFonts w:hint="default"/>
      </w:rPr>
    </w:lvl>
    <w:lvl w:ilvl="5" w:tentative="0">
      <w:start w:val="1"/>
      <w:numFmt w:val="bullet"/>
      <w:lvlText w:val="•"/>
      <w:lvlJc w:val="left"/>
      <w:pPr>
        <w:ind w:left="2320" w:hanging="720"/>
      </w:pPr>
      <w:rPr>
        <w:rFonts w:hint="default"/>
      </w:rPr>
    </w:lvl>
    <w:lvl w:ilvl="6" w:tentative="0">
      <w:start w:val="1"/>
      <w:numFmt w:val="bullet"/>
      <w:lvlText w:val="•"/>
      <w:lvlJc w:val="left"/>
      <w:pPr>
        <w:ind w:left="3000" w:hanging="720"/>
      </w:pPr>
      <w:rPr>
        <w:rFonts w:hint="default"/>
      </w:rPr>
    </w:lvl>
    <w:lvl w:ilvl="7" w:tentative="0">
      <w:start w:val="1"/>
      <w:numFmt w:val="bullet"/>
      <w:lvlText w:val="•"/>
      <w:lvlJc w:val="left"/>
      <w:pPr>
        <w:ind w:left="4645" w:hanging="720"/>
      </w:pPr>
      <w:rPr>
        <w:rFonts w:hint="default"/>
      </w:rPr>
    </w:lvl>
    <w:lvl w:ilvl="8" w:tentative="0">
      <w:start w:val="1"/>
      <w:numFmt w:val="bullet"/>
      <w:lvlText w:val="•"/>
      <w:lvlJc w:val="left"/>
      <w:pPr>
        <w:ind w:left="6290" w:hanging="720"/>
      </w:pPr>
      <w:rPr>
        <w:rFonts w:hint="default"/>
      </w:rPr>
    </w:lvl>
  </w:abstractNum>
  <w:abstractNum w:abstractNumId="10">
    <w:nsid w:val="1F2206B2"/>
    <w:multiLevelType w:val="multilevel"/>
    <w:tmpl w:val="1F2206B2"/>
    <w:lvl w:ilvl="0" w:tentative="0">
      <w:start w:val="1"/>
      <w:numFmt w:val="decimal"/>
      <w:lvlText w:val="%1."/>
      <w:lvlJc w:val="left"/>
      <w:pPr>
        <w:ind w:left="2280" w:hanging="720"/>
      </w:pPr>
      <w:rPr>
        <w:rFonts w:hint="default" w:ascii="Times New Roman" w:hAnsi="Times New Roman" w:eastAsia="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A53B4C"/>
    <w:multiLevelType w:val="multilevel"/>
    <w:tmpl w:val="1FA53B4C"/>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1CF2A16"/>
    <w:multiLevelType w:val="multilevel"/>
    <w:tmpl w:val="21CF2A16"/>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22E71BA"/>
    <w:multiLevelType w:val="multilevel"/>
    <w:tmpl w:val="222E71BA"/>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3D72429"/>
    <w:multiLevelType w:val="multilevel"/>
    <w:tmpl w:val="23D72429"/>
    <w:lvl w:ilvl="0" w:tentative="0">
      <w:start w:val="1"/>
      <w:numFmt w:val="decimal"/>
      <w:lvlText w:val="%1."/>
      <w:lvlJc w:val="left"/>
      <w:pPr>
        <w:ind w:left="2280" w:hanging="720"/>
      </w:pPr>
      <w:rPr>
        <w:rFonts w:hint="default" w:ascii="Arial" w:hAnsi="Arial" w:eastAsia="Times New Roman" w:cs="Arial"/>
        <w:b w:val="0"/>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4615570"/>
    <w:multiLevelType w:val="multilevel"/>
    <w:tmpl w:val="24615570"/>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8B724EC"/>
    <w:multiLevelType w:val="multilevel"/>
    <w:tmpl w:val="28B724EC"/>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C82328B"/>
    <w:multiLevelType w:val="multilevel"/>
    <w:tmpl w:val="2C82328B"/>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F7722D5"/>
    <w:multiLevelType w:val="multilevel"/>
    <w:tmpl w:val="2F7722D5"/>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59F472F"/>
    <w:multiLevelType w:val="multilevel"/>
    <w:tmpl w:val="359F472F"/>
    <w:lvl w:ilvl="0" w:tentative="0">
      <w:start w:val="1"/>
      <w:numFmt w:val="upperLetter"/>
      <w:lvlText w:val="%1."/>
      <w:lvlJc w:val="left"/>
      <w:pPr>
        <w:ind w:left="1560" w:hanging="720"/>
      </w:pPr>
      <w:rPr>
        <w:rFonts w:hint="default" w:ascii="Arial" w:hAnsi="Arial" w:eastAsia="Times New Roman" w:cs="Arial"/>
        <w:spacing w:val="-6"/>
        <w:sz w:val="24"/>
        <w:szCs w:val="24"/>
      </w:rPr>
    </w:lvl>
    <w:lvl w:ilvl="1" w:tentative="0">
      <w:start w:val="1"/>
      <w:numFmt w:val="bullet"/>
      <w:lvlText w:val="•"/>
      <w:lvlJc w:val="left"/>
      <w:pPr>
        <w:ind w:left="2364" w:hanging="720"/>
      </w:pPr>
      <w:rPr>
        <w:rFonts w:hint="default"/>
      </w:rPr>
    </w:lvl>
    <w:lvl w:ilvl="2" w:tentative="0">
      <w:start w:val="1"/>
      <w:numFmt w:val="bullet"/>
      <w:lvlText w:val="•"/>
      <w:lvlJc w:val="left"/>
      <w:pPr>
        <w:ind w:left="3168" w:hanging="720"/>
      </w:pPr>
      <w:rPr>
        <w:rFonts w:hint="default"/>
      </w:rPr>
    </w:lvl>
    <w:lvl w:ilvl="3" w:tentative="0">
      <w:start w:val="1"/>
      <w:numFmt w:val="bullet"/>
      <w:lvlText w:val="•"/>
      <w:lvlJc w:val="left"/>
      <w:pPr>
        <w:ind w:left="3972" w:hanging="720"/>
      </w:pPr>
      <w:rPr>
        <w:rFonts w:hint="default"/>
      </w:rPr>
    </w:lvl>
    <w:lvl w:ilvl="4" w:tentative="0">
      <w:start w:val="1"/>
      <w:numFmt w:val="bullet"/>
      <w:lvlText w:val="•"/>
      <w:lvlJc w:val="left"/>
      <w:pPr>
        <w:ind w:left="4776" w:hanging="720"/>
      </w:pPr>
      <w:rPr>
        <w:rFonts w:hint="default"/>
      </w:rPr>
    </w:lvl>
    <w:lvl w:ilvl="5" w:tentative="0">
      <w:start w:val="1"/>
      <w:numFmt w:val="bullet"/>
      <w:lvlText w:val="•"/>
      <w:lvlJc w:val="left"/>
      <w:pPr>
        <w:ind w:left="5580" w:hanging="720"/>
      </w:pPr>
      <w:rPr>
        <w:rFonts w:hint="default"/>
      </w:rPr>
    </w:lvl>
    <w:lvl w:ilvl="6" w:tentative="0">
      <w:start w:val="1"/>
      <w:numFmt w:val="bullet"/>
      <w:lvlText w:val="•"/>
      <w:lvlJc w:val="left"/>
      <w:pPr>
        <w:ind w:left="6384" w:hanging="720"/>
      </w:pPr>
      <w:rPr>
        <w:rFonts w:hint="default"/>
      </w:rPr>
    </w:lvl>
    <w:lvl w:ilvl="7" w:tentative="0">
      <w:start w:val="1"/>
      <w:numFmt w:val="bullet"/>
      <w:lvlText w:val="•"/>
      <w:lvlJc w:val="left"/>
      <w:pPr>
        <w:ind w:left="7188" w:hanging="720"/>
      </w:pPr>
      <w:rPr>
        <w:rFonts w:hint="default"/>
      </w:rPr>
    </w:lvl>
    <w:lvl w:ilvl="8" w:tentative="0">
      <w:start w:val="1"/>
      <w:numFmt w:val="bullet"/>
      <w:lvlText w:val="•"/>
      <w:lvlJc w:val="left"/>
      <w:pPr>
        <w:ind w:left="7992" w:hanging="720"/>
      </w:pPr>
      <w:rPr>
        <w:rFonts w:hint="default"/>
      </w:rPr>
    </w:lvl>
  </w:abstractNum>
  <w:abstractNum w:abstractNumId="20">
    <w:nsid w:val="38F8332F"/>
    <w:multiLevelType w:val="multilevel"/>
    <w:tmpl w:val="38F8332F"/>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CE13610"/>
    <w:multiLevelType w:val="multilevel"/>
    <w:tmpl w:val="3CE13610"/>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44552EF"/>
    <w:multiLevelType w:val="multilevel"/>
    <w:tmpl w:val="444552EF"/>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4145769"/>
    <w:multiLevelType w:val="multilevel"/>
    <w:tmpl w:val="54145769"/>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C3946F3"/>
    <w:multiLevelType w:val="multilevel"/>
    <w:tmpl w:val="5C3946F3"/>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4694EEA"/>
    <w:multiLevelType w:val="multilevel"/>
    <w:tmpl w:val="64694EEA"/>
    <w:lvl w:ilvl="0" w:tentative="0">
      <w:start w:val="5"/>
      <w:numFmt w:val="upperRoman"/>
      <w:pStyle w:val="35"/>
      <w:lvlText w:val="%1."/>
      <w:lvlJc w:val="left"/>
      <w:pPr>
        <w:ind w:left="840" w:hanging="720"/>
      </w:pPr>
      <w:rPr>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upperLetter"/>
      <w:lvlText w:val="%2."/>
      <w:lvlJc w:val="left"/>
      <w:pPr>
        <w:ind w:left="1560" w:hanging="720"/>
      </w:pPr>
      <w:rPr>
        <w:rFonts w:hint="default" w:ascii="Times New Roman" w:hAnsi="Times New Roman" w:eastAsia="Times New Roman"/>
        <w:spacing w:val="-6"/>
        <w:sz w:val="24"/>
        <w:szCs w:val="24"/>
      </w:rPr>
    </w:lvl>
    <w:lvl w:ilvl="2" w:tentative="0">
      <w:start w:val="1"/>
      <w:numFmt w:val="decimal"/>
      <w:lvlText w:val="%3."/>
      <w:lvlJc w:val="left"/>
      <w:pPr>
        <w:ind w:left="2280" w:hanging="720"/>
      </w:pPr>
      <w:rPr>
        <w:rFonts w:hint="default" w:ascii="Arial" w:hAnsi="Arial" w:eastAsia="Times New Roman" w:cs="Arial"/>
        <w:sz w:val="24"/>
        <w:szCs w:val="24"/>
      </w:rPr>
    </w:lvl>
    <w:lvl w:ilvl="3" w:tentative="0">
      <w:start w:val="1"/>
      <w:numFmt w:val="lowerLetter"/>
      <w:lvlText w:val="%4."/>
      <w:lvlJc w:val="left"/>
      <w:pPr>
        <w:ind w:left="3000" w:hanging="720"/>
      </w:pPr>
      <w:rPr>
        <w:rFonts w:hint="default" w:ascii="Arial" w:hAnsi="Arial" w:eastAsia="Times New Roman" w:cs="Arial"/>
        <w:spacing w:val="-1"/>
        <w:sz w:val="24"/>
        <w:szCs w:val="24"/>
      </w:rPr>
    </w:lvl>
    <w:lvl w:ilvl="4" w:tentative="0">
      <w:start w:val="1"/>
      <w:numFmt w:val="decimal"/>
      <w:lvlText w:val="(%5)"/>
      <w:lvlJc w:val="left"/>
      <w:pPr>
        <w:ind w:left="3720" w:hanging="720"/>
      </w:pPr>
      <w:rPr>
        <w:rFonts w:hint="default" w:ascii="Arial" w:hAnsi="Arial" w:eastAsia="Times New Roman" w:cs="Arial"/>
        <w:spacing w:val="1"/>
        <w:sz w:val="24"/>
        <w:szCs w:val="24"/>
      </w:rPr>
    </w:lvl>
    <w:lvl w:ilvl="5" w:tentative="0">
      <w:start w:val="1"/>
      <w:numFmt w:val="lowerLetter"/>
      <w:lvlText w:val="(%6)"/>
      <w:lvlJc w:val="left"/>
      <w:pPr>
        <w:ind w:left="4440" w:hanging="720"/>
      </w:pPr>
      <w:rPr>
        <w:rFonts w:hint="default" w:ascii="Arial" w:hAnsi="Arial" w:eastAsia="Times New Roman" w:cs="Arial"/>
        <w:spacing w:val="1"/>
        <w:sz w:val="24"/>
        <w:szCs w:val="24"/>
      </w:rPr>
    </w:lvl>
    <w:lvl w:ilvl="6" w:tentative="0">
      <w:start w:val="1"/>
      <w:numFmt w:val="bullet"/>
      <w:lvlText w:val="•"/>
      <w:lvlJc w:val="left"/>
      <w:pPr>
        <w:ind w:left="2280" w:hanging="720"/>
      </w:pPr>
      <w:rPr>
        <w:rFonts w:hint="default"/>
      </w:rPr>
    </w:lvl>
    <w:lvl w:ilvl="7" w:tentative="0">
      <w:start w:val="1"/>
      <w:numFmt w:val="bullet"/>
      <w:lvlText w:val="•"/>
      <w:lvlJc w:val="left"/>
      <w:pPr>
        <w:ind w:left="3000" w:hanging="720"/>
      </w:pPr>
      <w:rPr>
        <w:rFonts w:hint="default"/>
      </w:rPr>
    </w:lvl>
    <w:lvl w:ilvl="8" w:tentative="0">
      <w:start w:val="1"/>
      <w:numFmt w:val="bullet"/>
      <w:lvlText w:val="•"/>
      <w:lvlJc w:val="left"/>
      <w:pPr>
        <w:ind w:left="3000" w:hanging="720"/>
      </w:pPr>
      <w:rPr>
        <w:rFonts w:hint="default"/>
      </w:rPr>
    </w:lvl>
  </w:abstractNum>
  <w:abstractNum w:abstractNumId="26">
    <w:nsid w:val="68A25E81"/>
    <w:multiLevelType w:val="multilevel"/>
    <w:tmpl w:val="68A25E81"/>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92614A5"/>
    <w:multiLevelType w:val="multilevel"/>
    <w:tmpl w:val="692614A5"/>
    <w:lvl w:ilvl="0" w:tentative="0">
      <w:start w:val="1"/>
      <w:numFmt w:val="lowerLetter"/>
      <w:lvlText w:val="(%1)"/>
      <w:lvlJc w:val="left"/>
      <w:pPr>
        <w:ind w:left="4440" w:hanging="720"/>
      </w:pPr>
      <w:rPr>
        <w:rFonts w:hint="default" w:ascii="Arial" w:hAnsi="Arial" w:eastAsia="Times New Roman" w:cs="Arial"/>
        <w:spacing w:val="1"/>
        <w:sz w:val="24"/>
        <w:szCs w:val="24"/>
      </w:rPr>
    </w:lvl>
    <w:lvl w:ilvl="1" w:tentative="0">
      <w:start w:val="1"/>
      <w:numFmt w:val="bullet"/>
      <w:lvlText w:val="•"/>
      <w:lvlJc w:val="left"/>
      <w:pPr>
        <w:ind w:left="4956" w:hanging="720"/>
      </w:pPr>
      <w:rPr>
        <w:rFonts w:hint="default"/>
      </w:rPr>
    </w:lvl>
    <w:lvl w:ilvl="2" w:tentative="0">
      <w:start w:val="1"/>
      <w:numFmt w:val="bullet"/>
      <w:lvlText w:val="•"/>
      <w:lvlJc w:val="left"/>
      <w:pPr>
        <w:ind w:left="5472" w:hanging="720"/>
      </w:pPr>
      <w:rPr>
        <w:rFonts w:hint="default"/>
      </w:rPr>
    </w:lvl>
    <w:lvl w:ilvl="3" w:tentative="0">
      <w:start w:val="1"/>
      <w:numFmt w:val="bullet"/>
      <w:lvlText w:val="•"/>
      <w:lvlJc w:val="left"/>
      <w:pPr>
        <w:ind w:left="5988" w:hanging="720"/>
      </w:pPr>
      <w:rPr>
        <w:rFonts w:hint="default"/>
      </w:rPr>
    </w:lvl>
    <w:lvl w:ilvl="4" w:tentative="0">
      <w:start w:val="1"/>
      <w:numFmt w:val="bullet"/>
      <w:lvlText w:val="•"/>
      <w:lvlJc w:val="left"/>
      <w:pPr>
        <w:ind w:left="6504" w:hanging="720"/>
      </w:pPr>
      <w:rPr>
        <w:rFonts w:hint="default"/>
      </w:rPr>
    </w:lvl>
    <w:lvl w:ilvl="5" w:tentative="0">
      <w:start w:val="1"/>
      <w:numFmt w:val="bullet"/>
      <w:lvlText w:val="•"/>
      <w:lvlJc w:val="left"/>
      <w:pPr>
        <w:ind w:left="7020" w:hanging="720"/>
      </w:pPr>
      <w:rPr>
        <w:rFonts w:hint="default"/>
      </w:rPr>
    </w:lvl>
    <w:lvl w:ilvl="6" w:tentative="0">
      <w:start w:val="1"/>
      <w:numFmt w:val="bullet"/>
      <w:lvlText w:val="•"/>
      <w:lvlJc w:val="left"/>
      <w:pPr>
        <w:ind w:left="7536" w:hanging="720"/>
      </w:pPr>
      <w:rPr>
        <w:rFonts w:hint="default"/>
      </w:rPr>
    </w:lvl>
    <w:lvl w:ilvl="7" w:tentative="0">
      <w:start w:val="1"/>
      <w:numFmt w:val="bullet"/>
      <w:lvlText w:val="•"/>
      <w:lvlJc w:val="left"/>
      <w:pPr>
        <w:ind w:left="8052" w:hanging="720"/>
      </w:pPr>
      <w:rPr>
        <w:rFonts w:hint="default"/>
      </w:rPr>
    </w:lvl>
    <w:lvl w:ilvl="8" w:tentative="0">
      <w:start w:val="1"/>
      <w:numFmt w:val="bullet"/>
      <w:lvlText w:val="•"/>
      <w:lvlJc w:val="left"/>
      <w:pPr>
        <w:ind w:left="8568" w:hanging="720"/>
      </w:pPr>
      <w:rPr>
        <w:rFonts w:hint="default"/>
      </w:rPr>
    </w:lvl>
  </w:abstractNum>
  <w:abstractNum w:abstractNumId="28">
    <w:nsid w:val="6E655AF9"/>
    <w:multiLevelType w:val="multilevel"/>
    <w:tmpl w:val="6E655AF9"/>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3B82005"/>
    <w:multiLevelType w:val="multilevel"/>
    <w:tmpl w:val="73B82005"/>
    <w:lvl w:ilvl="0" w:tentative="0">
      <w:start w:val="1"/>
      <w:numFmt w:val="decimal"/>
      <w:lvlText w:val="%1."/>
      <w:lvlJc w:val="left"/>
      <w:pPr>
        <w:ind w:left="1560" w:hanging="720"/>
      </w:pPr>
      <w:rPr>
        <w:rFonts w:hint="default" w:ascii="Arial" w:hAnsi="Arial" w:eastAsia="Times New Roman" w:cs="Arial"/>
        <w:b w:val="0"/>
        <w:bCs/>
        <w:sz w:val="24"/>
        <w:szCs w:val="24"/>
      </w:rPr>
    </w:lvl>
    <w:lvl w:ilvl="1" w:tentative="0">
      <w:start w:val="1"/>
      <w:numFmt w:val="lowerLetter"/>
      <w:lvlText w:val="%2)"/>
      <w:lvlJc w:val="left"/>
      <w:pPr>
        <w:ind w:left="120" w:hanging="420"/>
      </w:pPr>
    </w:lvl>
    <w:lvl w:ilvl="2" w:tentative="0">
      <w:start w:val="1"/>
      <w:numFmt w:val="lowerRoman"/>
      <w:lvlText w:val="%3."/>
      <w:lvlJc w:val="right"/>
      <w:pPr>
        <w:ind w:left="540" w:hanging="420"/>
      </w:pPr>
    </w:lvl>
    <w:lvl w:ilvl="3" w:tentative="0">
      <w:start w:val="1"/>
      <w:numFmt w:val="decimal"/>
      <w:lvlText w:val="%4."/>
      <w:lvlJc w:val="left"/>
      <w:pPr>
        <w:ind w:left="960" w:hanging="420"/>
      </w:pPr>
    </w:lvl>
    <w:lvl w:ilvl="4" w:tentative="0">
      <w:start w:val="1"/>
      <w:numFmt w:val="lowerLetter"/>
      <w:lvlText w:val="%5)"/>
      <w:lvlJc w:val="left"/>
      <w:pPr>
        <w:ind w:left="1380" w:hanging="420"/>
      </w:pPr>
    </w:lvl>
    <w:lvl w:ilvl="5" w:tentative="0">
      <w:start w:val="1"/>
      <w:numFmt w:val="lowerRoman"/>
      <w:lvlText w:val="%6."/>
      <w:lvlJc w:val="right"/>
      <w:pPr>
        <w:ind w:left="1800" w:hanging="420"/>
      </w:pPr>
    </w:lvl>
    <w:lvl w:ilvl="6" w:tentative="0">
      <w:start w:val="1"/>
      <w:numFmt w:val="decimal"/>
      <w:lvlText w:val="%7."/>
      <w:lvlJc w:val="left"/>
      <w:pPr>
        <w:ind w:left="2220" w:hanging="420"/>
      </w:pPr>
    </w:lvl>
    <w:lvl w:ilvl="7" w:tentative="0">
      <w:start w:val="1"/>
      <w:numFmt w:val="lowerLetter"/>
      <w:lvlText w:val="%8)"/>
      <w:lvlJc w:val="left"/>
      <w:pPr>
        <w:ind w:left="2640" w:hanging="420"/>
      </w:pPr>
    </w:lvl>
    <w:lvl w:ilvl="8" w:tentative="0">
      <w:start w:val="1"/>
      <w:numFmt w:val="lowerRoman"/>
      <w:lvlText w:val="%9."/>
      <w:lvlJc w:val="right"/>
      <w:pPr>
        <w:ind w:left="3060" w:hanging="420"/>
      </w:pPr>
    </w:lvl>
  </w:abstractNum>
  <w:abstractNum w:abstractNumId="30">
    <w:nsid w:val="7701372B"/>
    <w:multiLevelType w:val="multilevel"/>
    <w:tmpl w:val="7701372B"/>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B1241B5"/>
    <w:multiLevelType w:val="multilevel"/>
    <w:tmpl w:val="7B1241B5"/>
    <w:lvl w:ilvl="0" w:tentative="0">
      <w:start w:val="2"/>
      <w:numFmt w:val="upperLetter"/>
      <w:lvlText w:val="%1."/>
      <w:lvlJc w:val="left"/>
      <w:pPr>
        <w:ind w:left="1560" w:hanging="720"/>
      </w:pPr>
      <w:rPr>
        <w:rFonts w:hint="default" w:ascii="Times New Roman" w:hAnsi="Times New Roman" w:eastAsia="Times New Roman"/>
        <w:b/>
        <w:bCs/>
        <w:spacing w:val="3"/>
        <w:sz w:val="24"/>
        <w:szCs w:val="24"/>
      </w:rPr>
    </w:lvl>
    <w:lvl w:ilvl="1" w:tentative="0">
      <w:start w:val="1"/>
      <w:numFmt w:val="decimal"/>
      <w:lvlText w:val="%2."/>
      <w:lvlJc w:val="left"/>
      <w:pPr>
        <w:ind w:left="2279" w:hanging="720"/>
      </w:pPr>
      <w:rPr>
        <w:rFonts w:hint="default" w:ascii="Arial" w:hAnsi="Arial" w:eastAsia="Times New Roman" w:cs="Arial"/>
        <w:b w:val="0"/>
        <w:bCs/>
        <w:sz w:val="24"/>
        <w:szCs w:val="24"/>
      </w:rPr>
    </w:lvl>
    <w:lvl w:ilvl="2" w:tentative="0">
      <w:start w:val="1"/>
      <w:numFmt w:val="bullet"/>
      <w:lvlText w:val="•"/>
      <w:lvlJc w:val="left"/>
      <w:pPr>
        <w:ind w:left="3091" w:hanging="720"/>
      </w:pPr>
      <w:rPr>
        <w:rFonts w:hint="default"/>
      </w:rPr>
    </w:lvl>
    <w:lvl w:ilvl="3" w:tentative="0">
      <w:start w:val="1"/>
      <w:numFmt w:val="bullet"/>
      <w:lvlText w:val="•"/>
      <w:lvlJc w:val="left"/>
      <w:pPr>
        <w:ind w:left="3902" w:hanging="720"/>
      </w:pPr>
      <w:rPr>
        <w:rFonts w:hint="default"/>
      </w:rPr>
    </w:lvl>
    <w:lvl w:ilvl="4" w:tentative="0">
      <w:start w:val="1"/>
      <w:numFmt w:val="bullet"/>
      <w:lvlText w:val="•"/>
      <w:lvlJc w:val="left"/>
      <w:pPr>
        <w:ind w:left="4713" w:hanging="720"/>
      </w:pPr>
      <w:rPr>
        <w:rFonts w:hint="default"/>
      </w:rPr>
    </w:lvl>
    <w:lvl w:ilvl="5" w:tentative="0">
      <w:start w:val="1"/>
      <w:numFmt w:val="bullet"/>
      <w:lvlText w:val="•"/>
      <w:lvlJc w:val="left"/>
      <w:pPr>
        <w:ind w:left="5524" w:hanging="720"/>
      </w:pPr>
      <w:rPr>
        <w:rFonts w:hint="default"/>
      </w:rPr>
    </w:lvl>
    <w:lvl w:ilvl="6" w:tentative="0">
      <w:start w:val="1"/>
      <w:numFmt w:val="bullet"/>
      <w:lvlText w:val="•"/>
      <w:lvlJc w:val="left"/>
      <w:pPr>
        <w:ind w:left="6335" w:hanging="720"/>
      </w:pPr>
      <w:rPr>
        <w:rFonts w:hint="default"/>
      </w:rPr>
    </w:lvl>
    <w:lvl w:ilvl="7" w:tentative="0">
      <w:start w:val="1"/>
      <w:numFmt w:val="bullet"/>
      <w:lvlText w:val="•"/>
      <w:lvlJc w:val="left"/>
      <w:pPr>
        <w:ind w:left="7146" w:hanging="720"/>
      </w:pPr>
      <w:rPr>
        <w:rFonts w:hint="default"/>
      </w:rPr>
    </w:lvl>
    <w:lvl w:ilvl="8" w:tentative="0">
      <w:start w:val="1"/>
      <w:numFmt w:val="bullet"/>
      <w:lvlText w:val="•"/>
      <w:lvlJc w:val="left"/>
      <w:pPr>
        <w:ind w:left="7957" w:hanging="720"/>
      </w:pPr>
      <w:rPr>
        <w:rFonts w:hint="default"/>
      </w:rPr>
    </w:lvl>
  </w:abstractNum>
  <w:num w:numId="1">
    <w:abstractNumId w:val="3"/>
  </w:num>
  <w:num w:numId="2">
    <w:abstractNumId w:val="25"/>
  </w:num>
  <w:num w:numId="3">
    <w:abstractNumId w:val="9"/>
  </w:num>
  <w:num w:numId="4">
    <w:abstractNumId w:val="31"/>
  </w:num>
  <w:num w:numId="5">
    <w:abstractNumId w:val="14"/>
  </w:num>
  <w:num w:numId="6">
    <w:abstractNumId w:val="2"/>
  </w:num>
  <w:num w:numId="7">
    <w:abstractNumId w:val="29"/>
  </w:num>
  <w:num w:numId="8">
    <w:abstractNumId w:val="4"/>
  </w:num>
  <w:num w:numId="9">
    <w:abstractNumId w:val="1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2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0"/>
  </w:num>
  <w:num w:numId="21">
    <w:abstractNumId w:val="18"/>
  </w:num>
  <w:num w:numId="22">
    <w:abstractNumId w:val="5"/>
  </w:num>
  <w:num w:numId="23">
    <w:abstractNumId w:val="17"/>
  </w:num>
  <w:num w:numId="24">
    <w:abstractNumId w:val="8"/>
  </w:num>
  <w:num w:numId="25">
    <w:abstractNumId w:val="2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2"/>
  </w:num>
  <w:num w:numId="29">
    <w:abstractNumId w:val="24"/>
  </w:num>
  <w:num w:numId="30">
    <w:abstractNumId w:val="0"/>
  </w:num>
  <w:num w:numId="31">
    <w:abstractNumId w:val="26"/>
  </w:num>
  <w:num w:numId="32">
    <w:abstractNumId w:val="21"/>
  </w:num>
  <w:num w:numId="33">
    <w:abstractNumId w:val="23"/>
  </w:num>
  <w:num w:numId="34">
    <w:abstractNumId w:val="11"/>
  </w:num>
  <w:num w:numId="35">
    <w:abstractNumId w:val="7"/>
  </w:num>
  <w:num w:numId="36">
    <w:abstractNumId w:val="1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B7"/>
    <w:rsid w:val="00006D5F"/>
    <w:rsid w:val="00021BD5"/>
    <w:rsid w:val="0003072A"/>
    <w:rsid w:val="00052EFF"/>
    <w:rsid w:val="0005507A"/>
    <w:rsid w:val="00064913"/>
    <w:rsid w:val="0006497A"/>
    <w:rsid w:val="000660FF"/>
    <w:rsid w:val="00084570"/>
    <w:rsid w:val="00097265"/>
    <w:rsid w:val="000B00A2"/>
    <w:rsid w:val="000B5B24"/>
    <w:rsid w:val="000F0B27"/>
    <w:rsid w:val="00110C3C"/>
    <w:rsid w:val="00127423"/>
    <w:rsid w:val="001550A3"/>
    <w:rsid w:val="001845E7"/>
    <w:rsid w:val="00195888"/>
    <w:rsid w:val="0019590B"/>
    <w:rsid w:val="001D1110"/>
    <w:rsid w:val="001E773D"/>
    <w:rsid w:val="00212008"/>
    <w:rsid w:val="00236B32"/>
    <w:rsid w:val="002654CF"/>
    <w:rsid w:val="0029789F"/>
    <w:rsid w:val="00313D00"/>
    <w:rsid w:val="00315B63"/>
    <w:rsid w:val="00341318"/>
    <w:rsid w:val="003432D9"/>
    <w:rsid w:val="0034529E"/>
    <w:rsid w:val="003467BA"/>
    <w:rsid w:val="003472B0"/>
    <w:rsid w:val="003747D7"/>
    <w:rsid w:val="00384809"/>
    <w:rsid w:val="00387BB7"/>
    <w:rsid w:val="003A52FF"/>
    <w:rsid w:val="003D3DAD"/>
    <w:rsid w:val="003E0EEE"/>
    <w:rsid w:val="003F1E86"/>
    <w:rsid w:val="003F4F14"/>
    <w:rsid w:val="00411B9F"/>
    <w:rsid w:val="004349CA"/>
    <w:rsid w:val="00470FBC"/>
    <w:rsid w:val="00486B1A"/>
    <w:rsid w:val="00492E9A"/>
    <w:rsid w:val="0049473F"/>
    <w:rsid w:val="004B5047"/>
    <w:rsid w:val="004C0A3B"/>
    <w:rsid w:val="004E2C92"/>
    <w:rsid w:val="004E4115"/>
    <w:rsid w:val="004F6271"/>
    <w:rsid w:val="004F6B02"/>
    <w:rsid w:val="00515AB0"/>
    <w:rsid w:val="00531584"/>
    <w:rsid w:val="00553C1C"/>
    <w:rsid w:val="00574224"/>
    <w:rsid w:val="005B64CC"/>
    <w:rsid w:val="005C3E05"/>
    <w:rsid w:val="005C43AB"/>
    <w:rsid w:val="005D29DD"/>
    <w:rsid w:val="005E0245"/>
    <w:rsid w:val="005E3A62"/>
    <w:rsid w:val="005E4C39"/>
    <w:rsid w:val="005F20AE"/>
    <w:rsid w:val="006315AF"/>
    <w:rsid w:val="0063564F"/>
    <w:rsid w:val="006369A8"/>
    <w:rsid w:val="00673D4E"/>
    <w:rsid w:val="00686A52"/>
    <w:rsid w:val="006A0414"/>
    <w:rsid w:val="00716E20"/>
    <w:rsid w:val="00730E00"/>
    <w:rsid w:val="00751AFC"/>
    <w:rsid w:val="00773289"/>
    <w:rsid w:val="00782412"/>
    <w:rsid w:val="007A43ED"/>
    <w:rsid w:val="007B762B"/>
    <w:rsid w:val="007C2734"/>
    <w:rsid w:val="007E2B50"/>
    <w:rsid w:val="007E6B5F"/>
    <w:rsid w:val="007F2C7C"/>
    <w:rsid w:val="00801F7B"/>
    <w:rsid w:val="00806514"/>
    <w:rsid w:val="00827DB1"/>
    <w:rsid w:val="00852CC1"/>
    <w:rsid w:val="00860E2C"/>
    <w:rsid w:val="008624B7"/>
    <w:rsid w:val="00870E16"/>
    <w:rsid w:val="00891936"/>
    <w:rsid w:val="008A3B41"/>
    <w:rsid w:val="008C09BF"/>
    <w:rsid w:val="008C0D5E"/>
    <w:rsid w:val="009368D0"/>
    <w:rsid w:val="00936BEE"/>
    <w:rsid w:val="0094081B"/>
    <w:rsid w:val="009830B9"/>
    <w:rsid w:val="009A2085"/>
    <w:rsid w:val="009D4BCF"/>
    <w:rsid w:val="00A33B17"/>
    <w:rsid w:val="00A3493E"/>
    <w:rsid w:val="00A372BA"/>
    <w:rsid w:val="00A50132"/>
    <w:rsid w:val="00A51E6D"/>
    <w:rsid w:val="00A70802"/>
    <w:rsid w:val="00B10A9A"/>
    <w:rsid w:val="00B21566"/>
    <w:rsid w:val="00B6592C"/>
    <w:rsid w:val="00B87966"/>
    <w:rsid w:val="00B9064A"/>
    <w:rsid w:val="00B94383"/>
    <w:rsid w:val="00BB0351"/>
    <w:rsid w:val="00BD138F"/>
    <w:rsid w:val="00BF09C3"/>
    <w:rsid w:val="00C023A2"/>
    <w:rsid w:val="00C02EA0"/>
    <w:rsid w:val="00C065AE"/>
    <w:rsid w:val="00C16F4F"/>
    <w:rsid w:val="00C3061B"/>
    <w:rsid w:val="00C4748E"/>
    <w:rsid w:val="00C56556"/>
    <w:rsid w:val="00C705B0"/>
    <w:rsid w:val="00C758B0"/>
    <w:rsid w:val="00C97FAA"/>
    <w:rsid w:val="00CB0741"/>
    <w:rsid w:val="00CD2E4B"/>
    <w:rsid w:val="00CD3BE0"/>
    <w:rsid w:val="00CD596B"/>
    <w:rsid w:val="00CF4708"/>
    <w:rsid w:val="00D32332"/>
    <w:rsid w:val="00D3757E"/>
    <w:rsid w:val="00D64C59"/>
    <w:rsid w:val="00D658EA"/>
    <w:rsid w:val="00D91CC8"/>
    <w:rsid w:val="00DD3314"/>
    <w:rsid w:val="00E01E49"/>
    <w:rsid w:val="00E06C25"/>
    <w:rsid w:val="00E16184"/>
    <w:rsid w:val="00E3357B"/>
    <w:rsid w:val="00E71259"/>
    <w:rsid w:val="00ED3DC5"/>
    <w:rsid w:val="00EE194E"/>
    <w:rsid w:val="00F11A2A"/>
    <w:rsid w:val="00F2580C"/>
    <w:rsid w:val="00F425AD"/>
    <w:rsid w:val="00F97F12"/>
    <w:rsid w:val="00FC38D1"/>
    <w:rsid w:val="00FE3AE5"/>
    <w:rsid w:val="00FF084D"/>
    <w:rsid w:val="168F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link w:val="37"/>
    <w:qFormat/>
    <w:uiPriority w:val="1"/>
    <w:pPr>
      <w:numPr>
        <w:ilvl w:val="0"/>
        <w:numId w:val="1"/>
      </w:numPr>
      <w:outlineLvl w:val="0"/>
    </w:pPr>
    <w:rPr>
      <w:rFonts w:ascii="Times New Roman" w:hAnsi="Times New Roman" w:eastAsia="宋体"/>
      <w:b/>
      <w:bCs/>
      <w:sz w:val="24"/>
      <w:szCs w:val="24"/>
    </w:rPr>
  </w:style>
  <w:style w:type="paragraph" w:styleId="3">
    <w:name w:val="heading 2"/>
    <w:basedOn w:val="1"/>
    <w:next w:val="1"/>
    <w:link w:val="27"/>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9"/>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0"/>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1"/>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2"/>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3"/>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4"/>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spacing w:before="2"/>
      <w:ind w:left="3000" w:hanging="720"/>
    </w:pPr>
    <w:rPr>
      <w:rFonts w:ascii="Times New Roman" w:hAnsi="Times New Roman" w:eastAsia="宋体"/>
      <w:sz w:val="24"/>
      <w:szCs w:val="24"/>
    </w:rPr>
  </w:style>
  <w:style w:type="paragraph" w:styleId="12">
    <w:name w:val="toc 3"/>
    <w:basedOn w:val="1"/>
    <w:qFormat/>
    <w:uiPriority w:val="39"/>
    <w:pPr>
      <w:ind w:left="820"/>
    </w:pPr>
    <w:rPr>
      <w:rFonts w:ascii="Times New Roman" w:hAnsi="Times New Roman" w:eastAsia="宋体"/>
      <w:sz w:val="24"/>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qFormat/>
    <w:uiPriority w:val="39"/>
    <w:pPr>
      <w:spacing w:before="251"/>
    </w:pPr>
    <w:rPr>
      <w:rFonts w:ascii="Times New Roman" w:hAnsi="Times New Roman" w:eastAsia="宋体"/>
      <w:sz w:val="24"/>
      <w:szCs w:val="24"/>
    </w:rPr>
  </w:style>
  <w:style w:type="paragraph" w:styleId="17">
    <w:name w:val="toc 2"/>
    <w:basedOn w:val="1"/>
    <w:qFormat/>
    <w:uiPriority w:val="39"/>
    <w:pPr>
      <w:spacing w:before="100"/>
      <w:ind w:left="1134"/>
    </w:pPr>
    <w:rPr>
      <w:rFonts w:ascii="Times New Roman" w:hAnsi="Times New Roman" w:eastAsia="宋体"/>
      <w:sz w:val="24"/>
      <w:szCs w:val="24"/>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页眉 Char"/>
    <w:basedOn w:val="19"/>
    <w:link w:val="15"/>
    <w:qFormat/>
    <w:uiPriority w:val="99"/>
    <w:rPr>
      <w:sz w:val="18"/>
      <w:szCs w:val="18"/>
    </w:rPr>
  </w:style>
  <w:style w:type="character" w:customStyle="1" w:styleId="25">
    <w:name w:val="页脚 Char"/>
    <w:basedOn w:val="19"/>
    <w:link w:val="14"/>
    <w:qFormat/>
    <w:uiPriority w:val="99"/>
    <w:rPr>
      <w:sz w:val="18"/>
      <w:szCs w:val="18"/>
    </w:rPr>
  </w:style>
  <w:style w:type="paragraph" w:customStyle="1" w:styleId="26">
    <w:name w:val="TOC Heading"/>
    <w:basedOn w:val="2"/>
    <w:next w:val="1"/>
    <w:unhideWhenUsed/>
    <w:qFormat/>
    <w:uiPriority w:val="39"/>
    <w:pPr>
      <w:keepNext/>
      <w:keepLines/>
      <w:widowControl/>
      <w:spacing w:before="240" w:line="259" w:lineRule="auto"/>
      <w:outlineLvl w:val="9"/>
    </w:pPr>
    <w:rPr>
      <w:rFonts w:asciiTheme="majorHAnsi" w:hAnsiTheme="majorHAnsi" w:eastAsiaTheme="majorEastAsia" w:cstheme="majorBidi"/>
      <w:b w:val="0"/>
      <w:bCs w:val="0"/>
      <w:color w:val="376092" w:themeColor="accent1" w:themeShade="BF"/>
      <w:sz w:val="32"/>
      <w:szCs w:val="32"/>
    </w:rPr>
  </w:style>
  <w:style w:type="character" w:customStyle="1" w:styleId="27">
    <w:name w:val="标题 2 Char"/>
    <w:basedOn w:val="19"/>
    <w:link w:val="3"/>
    <w:qFormat/>
    <w:uiPriority w:val="9"/>
    <w:rPr>
      <w:rFonts w:asciiTheme="majorHAnsi" w:hAnsiTheme="majorHAnsi" w:eastAsiaTheme="majorEastAsia" w:cstheme="majorBidi"/>
      <w:b/>
      <w:bCs/>
      <w:sz w:val="32"/>
      <w:szCs w:val="32"/>
    </w:rPr>
  </w:style>
  <w:style w:type="character" w:customStyle="1" w:styleId="28">
    <w:name w:val="标题 3 Char"/>
    <w:basedOn w:val="19"/>
    <w:link w:val="4"/>
    <w:uiPriority w:val="9"/>
    <w:rPr>
      <w:b/>
      <w:bCs/>
      <w:sz w:val="32"/>
      <w:szCs w:val="32"/>
    </w:rPr>
  </w:style>
  <w:style w:type="character" w:customStyle="1" w:styleId="29">
    <w:name w:val="标题 4 Char"/>
    <w:basedOn w:val="19"/>
    <w:link w:val="5"/>
    <w:semiHidden/>
    <w:uiPriority w:val="9"/>
    <w:rPr>
      <w:rFonts w:asciiTheme="majorHAnsi" w:hAnsiTheme="majorHAnsi" w:eastAsiaTheme="majorEastAsia" w:cstheme="majorBidi"/>
      <w:b/>
      <w:bCs/>
      <w:sz w:val="28"/>
      <w:szCs w:val="28"/>
    </w:rPr>
  </w:style>
  <w:style w:type="character" w:customStyle="1" w:styleId="30">
    <w:name w:val="标题 5 Char"/>
    <w:basedOn w:val="19"/>
    <w:link w:val="6"/>
    <w:semiHidden/>
    <w:uiPriority w:val="9"/>
    <w:rPr>
      <w:b/>
      <w:bCs/>
      <w:sz w:val="28"/>
      <w:szCs w:val="28"/>
    </w:rPr>
  </w:style>
  <w:style w:type="character" w:customStyle="1" w:styleId="31">
    <w:name w:val="标题 6 Char"/>
    <w:basedOn w:val="19"/>
    <w:link w:val="7"/>
    <w:semiHidden/>
    <w:uiPriority w:val="9"/>
    <w:rPr>
      <w:rFonts w:asciiTheme="majorHAnsi" w:hAnsiTheme="majorHAnsi" w:eastAsiaTheme="majorEastAsia" w:cstheme="majorBidi"/>
      <w:b/>
      <w:bCs/>
      <w:sz w:val="24"/>
      <w:szCs w:val="24"/>
    </w:rPr>
  </w:style>
  <w:style w:type="character" w:customStyle="1" w:styleId="32">
    <w:name w:val="标题 7 Char"/>
    <w:basedOn w:val="19"/>
    <w:link w:val="8"/>
    <w:semiHidden/>
    <w:uiPriority w:val="9"/>
    <w:rPr>
      <w:b/>
      <w:bCs/>
      <w:sz w:val="24"/>
      <w:szCs w:val="24"/>
    </w:rPr>
  </w:style>
  <w:style w:type="character" w:customStyle="1" w:styleId="33">
    <w:name w:val="标题 8 Char"/>
    <w:basedOn w:val="19"/>
    <w:link w:val="9"/>
    <w:semiHidden/>
    <w:qFormat/>
    <w:uiPriority w:val="9"/>
    <w:rPr>
      <w:rFonts w:asciiTheme="majorHAnsi" w:hAnsiTheme="majorHAnsi" w:eastAsiaTheme="majorEastAsia" w:cstheme="majorBidi"/>
      <w:sz w:val="24"/>
      <w:szCs w:val="24"/>
    </w:rPr>
  </w:style>
  <w:style w:type="character" w:customStyle="1" w:styleId="34">
    <w:name w:val="标题 9 Char"/>
    <w:basedOn w:val="19"/>
    <w:link w:val="10"/>
    <w:semiHidden/>
    <w:qFormat/>
    <w:uiPriority w:val="9"/>
    <w:rPr>
      <w:rFonts w:asciiTheme="majorHAnsi" w:hAnsiTheme="majorHAnsi" w:eastAsiaTheme="majorEastAsia" w:cstheme="majorBidi"/>
      <w:sz w:val="21"/>
      <w:szCs w:val="21"/>
    </w:rPr>
  </w:style>
  <w:style w:type="paragraph" w:customStyle="1" w:styleId="35">
    <w:name w:val="样式1"/>
    <w:basedOn w:val="2"/>
    <w:link w:val="38"/>
    <w:qFormat/>
    <w:uiPriority w:val="1"/>
    <w:pPr>
      <w:numPr>
        <w:numId w:val="2"/>
      </w:numPr>
      <w:tabs>
        <w:tab w:val="left" w:pos="840"/>
      </w:tabs>
    </w:pPr>
  </w:style>
  <w:style w:type="paragraph" w:customStyle="1" w:styleId="36">
    <w:name w:val="样式2"/>
    <w:basedOn w:val="3"/>
    <w:link w:val="39"/>
    <w:qFormat/>
    <w:uiPriority w:val="1"/>
    <w:rPr>
      <w:sz w:val="24"/>
      <w:szCs w:val="24"/>
    </w:rPr>
  </w:style>
  <w:style w:type="character" w:customStyle="1" w:styleId="37">
    <w:name w:val="标题 1 Char"/>
    <w:basedOn w:val="19"/>
    <w:link w:val="2"/>
    <w:uiPriority w:val="1"/>
    <w:rPr>
      <w:rFonts w:ascii="Times New Roman" w:hAnsi="Times New Roman" w:eastAsia="宋体"/>
      <w:b/>
      <w:bCs/>
      <w:sz w:val="24"/>
      <w:szCs w:val="24"/>
    </w:rPr>
  </w:style>
  <w:style w:type="character" w:customStyle="1" w:styleId="38">
    <w:name w:val="样式1 字符"/>
    <w:basedOn w:val="37"/>
    <w:link w:val="35"/>
    <w:uiPriority w:val="1"/>
    <w:rPr>
      <w:rFonts w:ascii="Times New Roman" w:hAnsi="Times New Roman" w:eastAsia="宋体"/>
      <w:sz w:val="24"/>
      <w:szCs w:val="24"/>
    </w:rPr>
  </w:style>
  <w:style w:type="character" w:customStyle="1" w:styleId="39">
    <w:name w:val="样式2 字符"/>
    <w:basedOn w:val="27"/>
    <w:link w:val="36"/>
    <w:qFormat/>
    <w:uiPriority w:val="1"/>
    <w:rPr>
      <w:rFonts w:asciiTheme="majorHAnsi" w:hAnsiTheme="majorHAnsi" w:eastAsiaTheme="majorEastAsia" w:cstheme="majorBidi"/>
      <w:sz w:val="24"/>
      <w:szCs w:val="24"/>
    </w:rPr>
  </w:style>
  <w:style w:type="character" w:customStyle="1" w:styleId="40">
    <w:name w:val="批注框文本 Char"/>
    <w:basedOn w:val="19"/>
    <w:link w:val="1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4145-1A00-4A1A-B01E-3BAAFD887BC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7707</Words>
  <Characters>13075</Characters>
  <Lines>117</Lines>
  <Paragraphs>33</Paragraphs>
  <TotalTime>0</TotalTime>
  <ScaleCrop>false</ScaleCrop>
  <LinksUpToDate>false</LinksUpToDate>
  <CharactersWithSpaces>13967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2017-06-09T05:43:00Z</dcterms:created>
  <dc:creator>shundajiayi</dc:creator>
  <cp:lastModifiedBy>太极箫客</cp:lastModifiedBy>
  <dcterms:modified xsi:type="dcterms:W3CDTF">2025-08-14T06:14:46Z</dcterms:modified>
  <dc:title>Thermal Endometrial Ablation Devices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47C34FFE82784B0387DDDBC4D382F55A_12</vt:lpwstr>
  </property>
</Properties>
</file>