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3B29">
      <w:pPr>
        <w:spacing w:line="520" w:lineRule="exact"/>
        <w:ind w:right="-67" w:rightChars="-32"/>
        <w:rPr>
          <w:rFonts w:eastAsia="黑体"/>
          <w:color w:val="000000"/>
          <w:sz w:val="32"/>
          <w:szCs w:val="32"/>
        </w:rPr>
      </w:pPr>
      <w:bookmarkStart w:id="0" w:name="_GoBack"/>
      <w:bookmarkEnd w:id="0"/>
      <w:r>
        <w:rPr>
          <w:rFonts w:eastAsia="黑体"/>
          <w:color w:val="000000"/>
          <w:sz w:val="32"/>
          <w:szCs w:val="32"/>
        </w:rPr>
        <w:t>附件23</w:t>
      </w:r>
    </w:p>
    <w:p w14:paraId="1E46FE4E">
      <w:pPr>
        <w:spacing w:line="520" w:lineRule="exact"/>
        <w:ind w:right="-67" w:rightChars="-32"/>
        <w:rPr>
          <w:rFonts w:eastAsia="黑体"/>
          <w:color w:val="000000"/>
          <w:sz w:val="32"/>
          <w:szCs w:val="32"/>
        </w:rPr>
      </w:pPr>
    </w:p>
    <w:p w14:paraId="52DC5036">
      <w:pPr>
        <w:spacing w:line="520" w:lineRule="exact"/>
        <w:ind w:right="-67" w:rightChars="-32"/>
        <w:jc w:val="center"/>
        <w:rPr>
          <w:rFonts w:eastAsia="方正小标宋简体"/>
          <w:sz w:val="44"/>
          <w:szCs w:val="44"/>
        </w:rPr>
      </w:pPr>
      <w:r>
        <w:rPr>
          <w:rFonts w:eastAsia="方正小标宋简体"/>
          <w:color w:val="000000"/>
          <w:sz w:val="44"/>
          <w:szCs w:val="44"/>
        </w:rPr>
        <w:t>医用中心供氧系统注册审查指导原则</w:t>
      </w:r>
    </w:p>
    <w:p w14:paraId="447B6DD5">
      <w:pPr>
        <w:spacing w:line="520" w:lineRule="exact"/>
        <w:ind w:right="-67" w:rightChars="-32"/>
        <w:jc w:val="center"/>
        <w:rPr>
          <w:rFonts w:eastAsia="方正小标宋简体"/>
          <w:color w:val="000000"/>
          <w:sz w:val="32"/>
          <w:szCs w:val="44"/>
        </w:rPr>
      </w:pPr>
    </w:p>
    <w:p w14:paraId="543C9E6A">
      <w:pPr>
        <w:spacing w:line="520" w:lineRule="exact"/>
        <w:ind w:firstLine="640" w:firstLineChars="200"/>
        <w:rPr>
          <w:rFonts w:eastAsia="仿宋_GB2312"/>
          <w:sz w:val="32"/>
          <w:szCs w:val="28"/>
        </w:rPr>
      </w:pPr>
      <w:r>
        <w:rPr>
          <w:rFonts w:eastAsia="仿宋_GB2312"/>
          <w:sz w:val="32"/>
          <w:szCs w:val="28"/>
        </w:rPr>
        <w:t>本指导原则旨在指导注册申请人对医用中心供氧系统注册申报资料的准备及撰写，同时也为技术审评部门提供参考。</w:t>
      </w:r>
    </w:p>
    <w:p w14:paraId="2484555C">
      <w:pPr>
        <w:spacing w:line="520" w:lineRule="exact"/>
        <w:ind w:firstLine="640" w:firstLineChars="200"/>
        <w:rPr>
          <w:rFonts w:eastAsia="仿宋_GB2312"/>
          <w:sz w:val="32"/>
          <w:szCs w:val="28"/>
        </w:rPr>
      </w:pPr>
      <w:r>
        <w:rPr>
          <w:rFonts w:eastAsia="仿宋_GB2312"/>
          <w:sz w:val="32"/>
          <w:szCs w:val="28"/>
        </w:rPr>
        <w:t>本指导原则是对医用中心供氧系统的一般要求，注册申请人应依据产品的具体特性确定其中内容是否适用。若不适用，需具体阐述理由及相应的科学依据，并依据产品的具体特性对注册申报资料的内容进行充实和细化。</w:t>
      </w:r>
    </w:p>
    <w:p w14:paraId="68CA0488">
      <w:pPr>
        <w:spacing w:line="520" w:lineRule="exact"/>
        <w:ind w:firstLine="640" w:firstLineChars="200"/>
        <w:rPr>
          <w:rFonts w:eastAsia="仿宋_GB2312"/>
          <w:sz w:val="32"/>
          <w:szCs w:val="28"/>
        </w:rPr>
      </w:pPr>
      <w:r>
        <w:rPr>
          <w:rFonts w:eastAsia="仿宋_GB2312"/>
          <w:sz w:val="32"/>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8E5F8EE">
      <w:pPr>
        <w:spacing w:line="520" w:lineRule="exact"/>
        <w:ind w:firstLine="640" w:firstLineChars="200"/>
        <w:rPr>
          <w:rFonts w:eastAsia="仿宋_GB2312"/>
          <w:sz w:val="32"/>
          <w:szCs w:val="28"/>
        </w:rPr>
      </w:pPr>
      <w:r>
        <w:rPr>
          <w:rFonts w:eastAsia="仿宋_GB2312"/>
          <w:sz w:val="32"/>
          <w:szCs w:val="28"/>
        </w:rPr>
        <w:t>本指导原则是在现行法规和标准体系以及当前认知水平下制定，随着法规和标准的不断完善，以及科学技术的不断发展，相关内容也将适时进行调整。</w:t>
      </w:r>
    </w:p>
    <w:p w14:paraId="42B5DD6D">
      <w:pPr>
        <w:spacing w:line="520" w:lineRule="exact"/>
        <w:ind w:firstLine="633" w:firstLineChars="198"/>
        <w:outlineLvl w:val="1"/>
        <w:rPr>
          <w:rFonts w:eastAsia="黑体"/>
          <w:color w:val="000000"/>
          <w:sz w:val="32"/>
          <w:szCs w:val="32"/>
        </w:rPr>
      </w:pPr>
      <w:r>
        <w:rPr>
          <w:rFonts w:eastAsia="黑体"/>
          <w:color w:val="000000"/>
          <w:sz w:val="32"/>
          <w:szCs w:val="32"/>
        </w:rPr>
        <w:t>一、适用范围</w:t>
      </w:r>
    </w:p>
    <w:p w14:paraId="33F1B415">
      <w:pPr>
        <w:tabs>
          <w:tab w:val="left" w:pos="142"/>
        </w:tabs>
        <w:spacing w:line="520" w:lineRule="exact"/>
        <w:ind w:firstLine="640" w:firstLineChars="200"/>
        <w:rPr>
          <w:rFonts w:eastAsia="仿宋_GB2312"/>
          <w:color w:val="000000"/>
          <w:sz w:val="32"/>
          <w:szCs w:val="32"/>
        </w:rPr>
      </w:pPr>
      <w:r>
        <w:rPr>
          <w:rFonts w:eastAsia="仿宋_GB2312"/>
          <w:color w:val="000000"/>
          <w:sz w:val="32"/>
          <w:szCs w:val="32"/>
        </w:rPr>
        <w:t>本指导原则适用于医用中心供氧系统。医用中心供氧系统在《医疗器械分类目录》中，管理类别为第</w:t>
      </w:r>
      <w:r>
        <w:rPr>
          <w:rFonts w:hint="eastAsia" w:eastAsia="仿宋_GB2312"/>
          <w:color w:val="000000"/>
          <w:sz w:val="32"/>
          <w:szCs w:val="32"/>
        </w:rPr>
        <w:t>Ⅱ</w:t>
      </w:r>
      <w:r>
        <w:rPr>
          <w:rFonts w:eastAsia="仿宋_GB2312"/>
          <w:color w:val="000000"/>
          <w:sz w:val="32"/>
          <w:szCs w:val="32"/>
        </w:rPr>
        <w:t>类，产品分类编码为08-07-04。</w:t>
      </w:r>
    </w:p>
    <w:p w14:paraId="0A9F0A7E">
      <w:pPr>
        <w:spacing w:line="520" w:lineRule="exact"/>
        <w:ind w:firstLine="640" w:firstLineChars="200"/>
        <w:rPr>
          <w:rFonts w:eastAsia="仿宋_GB2312"/>
          <w:color w:val="000000"/>
          <w:sz w:val="32"/>
          <w:szCs w:val="32"/>
        </w:rPr>
      </w:pPr>
      <w:r>
        <w:rPr>
          <w:rFonts w:eastAsia="仿宋_GB2312"/>
          <w:sz w:val="32"/>
          <w:szCs w:val="28"/>
        </w:rPr>
        <w:t>本指导原则不包含医用分子筛制氧系统、药品医用氧（液态、气态）、高压氧气瓶、液氧罐（包括医用氧焊接绝热气瓶）、汽化器的要求。</w:t>
      </w:r>
    </w:p>
    <w:p w14:paraId="4CFAE0F2">
      <w:pPr>
        <w:spacing w:line="520" w:lineRule="exact"/>
        <w:ind w:firstLine="633" w:firstLineChars="198"/>
        <w:outlineLvl w:val="1"/>
        <w:rPr>
          <w:rFonts w:eastAsia="黑体"/>
          <w:color w:val="000000"/>
          <w:sz w:val="32"/>
          <w:szCs w:val="32"/>
        </w:rPr>
      </w:pPr>
      <w:r>
        <w:rPr>
          <w:rFonts w:eastAsia="黑体"/>
          <w:color w:val="000000"/>
          <w:sz w:val="32"/>
          <w:szCs w:val="32"/>
        </w:rPr>
        <w:t>二、注册审查要点</w:t>
      </w:r>
    </w:p>
    <w:p w14:paraId="22E3D6AC">
      <w:pPr>
        <w:spacing w:line="520" w:lineRule="exact"/>
        <w:ind w:firstLine="640" w:firstLineChars="200"/>
        <w:outlineLvl w:val="1"/>
        <w:rPr>
          <w:rFonts w:eastAsia="楷体_GB2312"/>
          <w:bCs/>
          <w:iCs/>
          <w:sz w:val="32"/>
          <w:szCs w:val="28"/>
        </w:rPr>
      </w:pPr>
      <w:r>
        <w:rPr>
          <w:rFonts w:eastAsia="楷体_GB2312"/>
          <w:bCs/>
          <w:iCs/>
          <w:sz w:val="32"/>
          <w:szCs w:val="28"/>
        </w:rPr>
        <w:t>（一）监管信息</w:t>
      </w:r>
    </w:p>
    <w:p w14:paraId="4B3F92BD">
      <w:pPr>
        <w:spacing w:line="520" w:lineRule="exact"/>
        <w:ind w:firstLine="640" w:firstLineChars="200"/>
        <w:outlineLvl w:val="1"/>
        <w:rPr>
          <w:rFonts w:eastAsia="楷体_GB2312"/>
          <w:bCs/>
          <w:iCs/>
          <w:sz w:val="32"/>
          <w:szCs w:val="28"/>
        </w:rPr>
      </w:pPr>
      <w:r>
        <w:rPr>
          <w:rFonts w:eastAsia="楷体_GB2312"/>
          <w:bCs/>
          <w:iCs/>
          <w:sz w:val="32"/>
          <w:szCs w:val="28"/>
        </w:rPr>
        <w:t>1.</w:t>
      </w:r>
      <w:r>
        <w:rPr>
          <w:rFonts w:eastAsia="仿宋_GB2312"/>
          <w:sz w:val="32"/>
          <w:szCs w:val="32"/>
        </w:rPr>
        <w:t>产品名称</w:t>
      </w:r>
    </w:p>
    <w:p w14:paraId="74EB1CB3">
      <w:pPr>
        <w:spacing w:line="520" w:lineRule="exact"/>
        <w:ind w:firstLine="640" w:firstLineChars="200"/>
        <w:rPr>
          <w:rFonts w:eastAsia="仿宋_GB2312"/>
          <w:spacing w:val="2"/>
          <w:sz w:val="32"/>
          <w:szCs w:val="32"/>
        </w:rPr>
      </w:pPr>
      <w:r>
        <w:rPr>
          <w:rFonts w:eastAsia="仿宋_GB2312"/>
          <w:sz w:val="32"/>
          <w:szCs w:val="32"/>
        </w:rPr>
        <w:t>产品名称应符合《医疗器械通用名称命名规则》的要求，建议使用医疗器械分类目录和国家标准、行业标准上的通用名称。</w:t>
      </w:r>
    </w:p>
    <w:p w14:paraId="6D45B722">
      <w:pPr>
        <w:spacing w:line="520" w:lineRule="exact"/>
        <w:ind w:firstLine="640" w:firstLineChars="200"/>
        <w:rPr>
          <w:rFonts w:eastAsia="仿宋_GB2312"/>
          <w:sz w:val="32"/>
          <w:szCs w:val="28"/>
        </w:rPr>
      </w:pPr>
      <w:r>
        <w:rPr>
          <w:rFonts w:eastAsia="仿宋_GB2312"/>
          <w:sz w:val="32"/>
          <w:szCs w:val="32"/>
        </w:rPr>
        <w:t>产品名称示例：医用中心供氧系统。</w:t>
      </w:r>
    </w:p>
    <w:p w14:paraId="365D6817">
      <w:pPr>
        <w:spacing w:line="520" w:lineRule="exact"/>
        <w:ind w:firstLine="640" w:firstLineChars="200"/>
        <w:outlineLvl w:val="1"/>
        <w:rPr>
          <w:rFonts w:eastAsia="楷体_GB2312"/>
          <w:bCs/>
          <w:iCs/>
          <w:sz w:val="32"/>
          <w:szCs w:val="28"/>
        </w:rPr>
      </w:pPr>
      <w:r>
        <w:rPr>
          <w:rFonts w:eastAsia="楷体_GB2312"/>
          <w:bCs/>
          <w:iCs/>
          <w:sz w:val="32"/>
          <w:szCs w:val="28"/>
        </w:rPr>
        <w:t>2.</w:t>
      </w:r>
      <w:r>
        <w:rPr>
          <w:rFonts w:eastAsia="仿宋_GB2312"/>
          <w:sz w:val="32"/>
          <w:szCs w:val="32"/>
        </w:rPr>
        <w:t>分类编码</w:t>
      </w:r>
    </w:p>
    <w:p w14:paraId="4D11BB94">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根据《医疗器械分类目录》，分类编码为08-07-04，管理类别为</w:t>
      </w:r>
      <w:r>
        <w:rPr>
          <w:rFonts w:hint="eastAsia" w:eastAsia="仿宋_GB2312"/>
          <w:spacing w:val="-20"/>
          <w:sz w:val="32"/>
          <w:szCs w:val="28"/>
        </w:rPr>
        <w:t>Ⅱ</w:t>
      </w:r>
      <w:r>
        <w:rPr>
          <w:rFonts w:eastAsia="仿宋_GB2312"/>
          <w:color w:val="000000"/>
          <w:sz w:val="32"/>
          <w:szCs w:val="32"/>
        </w:rPr>
        <w:t>类。</w:t>
      </w:r>
    </w:p>
    <w:p w14:paraId="304B6467">
      <w:pPr>
        <w:spacing w:line="520" w:lineRule="exact"/>
        <w:ind w:firstLine="640" w:firstLineChars="200"/>
        <w:outlineLvl w:val="1"/>
        <w:rPr>
          <w:rFonts w:eastAsia="楷体_GB2312"/>
          <w:bCs/>
          <w:iCs/>
          <w:sz w:val="32"/>
          <w:szCs w:val="28"/>
        </w:rPr>
      </w:pPr>
      <w:r>
        <w:rPr>
          <w:rFonts w:eastAsia="楷体_GB2312"/>
          <w:bCs/>
          <w:iCs/>
          <w:sz w:val="32"/>
          <w:szCs w:val="28"/>
        </w:rPr>
        <w:t>3.</w:t>
      </w:r>
      <w:r>
        <w:rPr>
          <w:rFonts w:eastAsia="仿宋_GB2312"/>
          <w:color w:val="000000"/>
          <w:sz w:val="32"/>
          <w:szCs w:val="32"/>
        </w:rPr>
        <w:t>注册单元划分的原则和实例</w:t>
      </w:r>
    </w:p>
    <w:p w14:paraId="5A1165A7">
      <w:pPr>
        <w:spacing w:line="520" w:lineRule="exact"/>
        <w:ind w:firstLine="640" w:firstLineChars="200"/>
        <w:rPr>
          <w:rFonts w:eastAsia="仿宋_GB2312"/>
          <w:color w:val="000000"/>
          <w:sz w:val="32"/>
          <w:szCs w:val="32"/>
        </w:rPr>
      </w:pPr>
      <w:r>
        <w:rPr>
          <w:rFonts w:eastAsia="仿宋_GB2312"/>
          <w:color w:val="000000"/>
          <w:sz w:val="32"/>
          <w:szCs w:val="32"/>
        </w:rPr>
        <w:t>注册单元划分原则上以产品的技术原理、结构组成、性能指标和适用范围为划分依据。医用中心供氧系统注册单元划分建议重点关注以下几个方面：</w:t>
      </w:r>
    </w:p>
    <w:p w14:paraId="46FE0820">
      <w:pPr>
        <w:spacing w:line="520" w:lineRule="exact"/>
        <w:ind w:firstLine="640" w:firstLineChars="200"/>
        <w:rPr>
          <w:rFonts w:eastAsia="仿宋_GB2312"/>
          <w:color w:val="000000"/>
          <w:sz w:val="32"/>
          <w:szCs w:val="32"/>
        </w:rPr>
      </w:pPr>
      <w:r>
        <w:rPr>
          <w:rFonts w:eastAsia="仿宋_GB2312"/>
          <w:color w:val="000000"/>
          <w:sz w:val="32"/>
          <w:szCs w:val="32"/>
        </w:rPr>
        <w:t>（1）适用范围</w:t>
      </w:r>
    </w:p>
    <w:p w14:paraId="0ACAC691">
      <w:pPr>
        <w:spacing w:line="520" w:lineRule="exact"/>
        <w:ind w:firstLine="640" w:firstLineChars="200"/>
        <w:rPr>
          <w:rFonts w:eastAsia="仿宋_GB2312"/>
          <w:color w:val="000000"/>
          <w:sz w:val="32"/>
          <w:szCs w:val="32"/>
        </w:rPr>
      </w:pPr>
      <w:r>
        <w:rPr>
          <w:rFonts w:eastAsia="仿宋_GB2312"/>
          <w:color w:val="000000"/>
          <w:sz w:val="32"/>
          <w:szCs w:val="32"/>
        </w:rPr>
        <w:t>不同产品若适用范围不同，原则上划分为不同的注册单元。</w:t>
      </w:r>
    </w:p>
    <w:p w14:paraId="6EC95E6B">
      <w:pPr>
        <w:spacing w:line="520" w:lineRule="exact"/>
        <w:ind w:firstLine="640" w:firstLineChars="200"/>
        <w:rPr>
          <w:rFonts w:eastAsia="仿宋_GB2312"/>
          <w:color w:val="000000"/>
          <w:sz w:val="32"/>
          <w:szCs w:val="32"/>
        </w:rPr>
      </w:pPr>
      <w:r>
        <w:rPr>
          <w:rFonts w:eastAsia="仿宋_GB2312"/>
          <w:color w:val="000000"/>
          <w:sz w:val="32"/>
          <w:szCs w:val="32"/>
        </w:rPr>
        <w:t>如：</w:t>
      </w:r>
      <w:r>
        <w:rPr>
          <w:rFonts w:eastAsia="仿宋_GB2312"/>
          <w:sz w:val="32"/>
          <w:szCs w:val="32"/>
        </w:rPr>
        <w:t>医用中心供氧系统与医用中心吸引系统应划分为不同注册单元</w:t>
      </w:r>
      <w:r>
        <w:rPr>
          <w:rFonts w:eastAsia="仿宋_GB2312"/>
          <w:spacing w:val="2"/>
          <w:sz w:val="32"/>
          <w:szCs w:val="32"/>
        </w:rPr>
        <w:t>。医用分子筛制氧系统与医用中心供氧系统应划分为不同注册单元。</w:t>
      </w:r>
    </w:p>
    <w:p w14:paraId="3A29CBFA">
      <w:pPr>
        <w:spacing w:line="520" w:lineRule="exact"/>
        <w:ind w:firstLine="640" w:firstLineChars="200"/>
        <w:rPr>
          <w:rFonts w:eastAsia="仿宋_GB2312"/>
          <w:color w:val="000000"/>
          <w:sz w:val="32"/>
          <w:szCs w:val="32"/>
        </w:rPr>
      </w:pPr>
      <w:r>
        <w:rPr>
          <w:rFonts w:eastAsia="仿宋_GB2312"/>
          <w:color w:val="000000"/>
          <w:sz w:val="32"/>
          <w:szCs w:val="32"/>
        </w:rPr>
        <w:t>（2）结构组成</w:t>
      </w:r>
    </w:p>
    <w:p w14:paraId="4DFA5671">
      <w:pPr>
        <w:spacing w:line="520" w:lineRule="exact"/>
        <w:ind w:firstLine="640" w:firstLineChars="200"/>
        <w:rPr>
          <w:rFonts w:eastAsia="仿宋_GB2312"/>
          <w:color w:val="000000"/>
          <w:sz w:val="32"/>
          <w:szCs w:val="32"/>
        </w:rPr>
      </w:pPr>
      <w:r>
        <w:rPr>
          <w:rFonts w:eastAsia="仿宋_GB2312"/>
          <w:color w:val="000000"/>
          <w:sz w:val="32"/>
          <w:szCs w:val="32"/>
        </w:rPr>
        <w:t>中心供氧站类型不同可属于同一注册单元。</w:t>
      </w:r>
    </w:p>
    <w:p w14:paraId="44521BAD">
      <w:pPr>
        <w:spacing w:line="520" w:lineRule="exact"/>
        <w:ind w:firstLine="640" w:firstLineChars="200"/>
        <w:rPr>
          <w:rFonts w:eastAsia="仿宋_GB2312"/>
          <w:color w:val="000000"/>
          <w:sz w:val="32"/>
          <w:szCs w:val="32"/>
        </w:rPr>
      </w:pPr>
      <w:r>
        <w:rPr>
          <w:rFonts w:eastAsia="仿宋_GB2312"/>
          <w:color w:val="000000"/>
          <w:sz w:val="32"/>
          <w:szCs w:val="32"/>
        </w:rPr>
        <w:t>仅包含管道、阀门、终端的医用中心供氧系统与包含中心供氧站的医用中心供氧系统可属于同一注册单元。</w:t>
      </w:r>
    </w:p>
    <w:p w14:paraId="452556D1">
      <w:pPr>
        <w:spacing w:line="520" w:lineRule="exact"/>
        <w:ind w:firstLine="640" w:firstLineChars="200"/>
        <w:outlineLvl w:val="1"/>
        <w:rPr>
          <w:rFonts w:eastAsia="楷体_GB2312"/>
          <w:bCs/>
          <w:iCs/>
          <w:sz w:val="32"/>
          <w:szCs w:val="28"/>
        </w:rPr>
      </w:pPr>
      <w:r>
        <w:rPr>
          <w:rFonts w:eastAsia="楷体_GB2312"/>
          <w:bCs/>
          <w:iCs/>
          <w:sz w:val="32"/>
          <w:szCs w:val="28"/>
        </w:rPr>
        <w:t>（二）综述资料</w:t>
      </w:r>
    </w:p>
    <w:p w14:paraId="6F37FB64">
      <w:pPr>
        <w:spacing w:line="520" w:lineRule="exact"/>
        <w:ind w:firstLine="640" w:firstLineChars="200"/>
        <w:outlineLvl w:val="1"/>
        <w:rPr>
          <w:rFonts w:eastAsia="仿宋_GB2312"/>
          <w:bCs/>
          <w:iCs/>
          <w:sz w:val="32"/>
          <w:szCs w:val="28"/>
        </w:rPr>
      </w:pPr>
      <w:r>
        <w:rPr>
          <w:rFonts w:eastAsia="仿宋_GB2312"/>
          <w:bCs/>
          <w:iCs/>
          <w:sz w:val="32"/>
          <w:szCs w:val="28"/>
        </w:rPr>
        <w:t>1.产品的结构和组成</w:t>
      </w:r>
    </w:p>
    <w:p w14:paraId="612B7D0F">
      <w:pPr>
        <w:spacing w:line="520" w:lineRule="exact"/>
        <w:ind w:firstLine="640" w:firstLineChars="200"/>
        <w:rPr>
          <w:rFonts w:eastAsia="仿宋_GB2312"/>
          <w:sz w:val="32"/>
          <w:szCs w:val="28"/>
        </w:rPr>
      </w:pPr>
      <w:r>
        <w:rPr>
          <w:rFonts w:eastAsia="仿宋_GB2312"/>
          <w:sz w:val="32"/>
          <w:szCs w:val="28"/>
        </w:rPr>
        <w:t>注册申请人应对医用中心供氧系统总体构造进行详细描述（建议采用结构示意框图及文字释义），包括所有组成部分，给出部件/组件的说明（如图表、照片或图纸），明确关键部件/组件。对于存在多种型号规格的产品，需明确各型号规格的区别。需采用对比表及带有说明性文字的图片、图表，对各型号、规格的结构组成、功能、产品特征、性能指标等方面进行描述。</w:t>
      </w:r>
    </w:p>
    <w:p w14:paraId="457FA6B8">
      <w:pPr>
        <w:spacing w:line="520" w:lineRule="exact"/>
        <w:ind w:firstLine="640" w:firstLineChars="200"/>
        <w:rPr>
          <w:rFonts w:eastAsia="仿宋_GB2312"/>
          <w:sz w:val="32"/>
          <w:szCs w:val="28"/>
        </w:rPr>
      </w:pPr>
      <w:r>
        <w:rPr>
          <w:rFonts w:eastAsia="仿宋_GB2312"/>
          <w:sz w:val="32"/>
          <w:szCs w:val="28"/>
        </w:rPr>
        <w:t>医用中心供氧系统通常由中心供氧站、管道、监测和报警装置及终端组成。</w:t>
      </w:r>
    </w:p>
    <w:p w14:paraId="3218D691">
      <w:pPr>
        <w:spacing w:line="520" w:lineRule="exact"/>
        <w:ind w:firstLine="640" w:firstLineChars="200"/>
        <w:rPr>
          <w:rFonts w:eastAsia="仿宋_GB2312"/>
          <w:sz w:val="32"/>
          <w:szCs w:val="28"/>
        </w:rPr>
      </w:pPr>
      <w:r>
        <w:rPr>
          <w:rFonts w:eastAsia="仿宋_GB2312"/>
          <w:sz w:val="32"/>
          <w:szCs w:val="28"/>
        </w:rPr>
        <w:t>中心供氧站供氧方式包括：氧气瓶组供氧、液氧供氧、医用分子筛制氧系统供氧及联合供氧。氧气瓶组供氧由高压氧气瓶、汇流排、减压装置、管道及报警装置等组成；液氧供氧由液氧罐（包括医用氧焊接绝热气瓶）、汽化器、减压装置、管道及报警装置等组成。其中，高压氧气瓶、液氧罐（包括医用氧焊接绝热气瓶）、汽化器按特种设备相关要求管理，医用分子筛制氧系统需单独注册，因此，以上部件原则上不在医用中心供氧系统产品注册证载明内容结构组成中体现，亦不在本指导原则适用范围。</w:t>
      </w:r>
    </w:p>
    <w:p w14:paraId="1E98A349">
      <w:pPr>
        <w:spacing w:line="520" w:lineRule="exact"/>
        <w:ind w:firstLine="640" w:firstLineChars="200"/>
        <w:rPr>
          <w:rFonts w:eastAsia="仿宋_GB2312"/>
          <w:sz w:val="32"/>
          <w:szCs w:val="28"/>
        </w:rPr>
      </w:pPr>
      <w:r>
        <w:rPr>
          <w:rFonts w:eastAsia="仿宋_GB2312"/>
          <w:sz w:val="32"/>
          <w:szCs w:val="28"/>
        </w:rPr>
        <w:t>汇流排通常由供电装置、气体阀门、流量控制阀、气体偏差控制器等组成，不含气瓶。</w:t>
      </w:r>
    </w:p>
    <w:p w14:paraId="17C724FD">
      <w:pPr>
        <w:spacing w:line="520" w:lineRule="exact"/>
        <w:ind w:firstLine="640" w:firstLineChars="200"/>
        <w:rPr>
          <w:rFonts w:eastAsia="仿宋_GB2312"/>
          <w:sz w:val="32"/>
          <w:szCs w:val="28"/>
        </w:rPr>
      </w:pPr>
      <w:r>
        <w:rPr>
          <w:rFonts w:eastAsia="仿宋_GB2312"/>
          <w:sz w:val="32"/>
          <w:szCs w:val="28"/>
        </w:rPr>
        <w:t>管道通常由分汽缸（如有）、管路、阀门、稳压装置（如有）组成。</w:t>
      </w:r>
    </w:p>
    <w:p w14:paraId="0EBE074D">
      <w:pPr>
        <w:spacing w:line="520" w:lineRule="exact"/>
        <w:ind w:firstLine="640" w:firstLineChars="200"/>
        <w:rPr>
          <w:rFonts w:eastAsia="仿宋_GB2312"/>
          <w:sz w:val="32"/>
          <w:szCs w:val="28"/>
        </w:rPr>
      </w:pPr>
      <w:r>
        <w:rPr>
          <w:rFonts w:eastAsia="仿宋_GB2312"/>
          <w:sz w:val="32"/>
          <w:szCs w:val="28"/>
        </w:rPr>
        <w:t>监测和报警装置通常由气体压力传感器（或远传压力表）、显示面板和控制电路组成。</w:t>
      </w:r>
    </w:p>
    <w:p w14:paraId="4D1D8F26">
      <w:pPr>
        <w:spacing w:line="520" w:lineRule="exact"/>
        <w:ind w:firstLine="640" w:firstLineChars="200"/>
        <w:rPr>
          <w:rFonts w:eastAsia="仿宋_GB2312"/>
          <w:sz w:val="32"/>
          <w:szCs w:val="28"/>
        </w:rPr>
      </w:pPr>
      <w:r>
        <w:rPr>
          <w:rFonts w:eastAsia="仿宋_GB2312"/>
          <w:sz w:val="32"/>
          <w:szCs w:val="28"/>
        </w:rPr>
        <w:t>终端通常为快速接头插座(或一般气体接头)。</w:t>
      </w:r>
    </w:p>
    <w:p w14:paraId="25D8F6D8">
      <w:pPr>
        <w:spacing w:line="520" w:lineRule="exact"/>
        <w:ind w:firstLine="640" w:firstLineChars="200"/>
        <w:rPr>
          <w:rFonts w:eastAsia="仿宋_GB2312"/>
          <w:sz w:val="32"/>
          <w:szCs w:val="28"/>
        </w:rPr>
      </w:pPr>
      <w:r>
        <w:rPr>
          <w:rFonts w:eastAsia="仿宋_GB2312"/>
          <w:sz w:val="32"/>
          <w:szCs w:val="28"/>
        </w:rPr>
        <w:drawing>
          <wp:anchor distT="0" distB="0" distL="114300" distR="114300" simplePos="0" relativeHeight="251659264" behindDoc="1" locked="0" layoutInCell="1" allowOverlap="1">
            <wp:simplePos x="0" y="0"/>
            <wp:positionH relativeFrom="column">
              <wp:posOffset>82550</wp:posOffset>
            </wp:positionH>
            <wp:positionV relativeFrom="paragraph">
              <wp:posOffset>872490</wp:posOffset>
            </wp:positionV>
            <wp:extent cx="5278120" cy="2566035"/>
            <wp:effectExtent l="0" t="0" r="0" b="5715"/>
            <wp:wrapTight wrapText="bothSides">
              <wp:wrapPolygon>
                <wp:start x="0" y="0"/>
                <wp:lineTo x="0" y="21488"/>
                <wp:lineTo x="21517" y="21488"/>
                <wp:lineTo x="21517" y="0"/>
                <wp:lineTo x="0" y="0"/>
              </wp:wrapPolygon>
            </wp:wrapTight>
            <wp:docPr id="1" name="图片 1" descr="C:\Users\ADMINI~1\AppData\Local\Temp\WeChat Files\5b85f208503253b0269b5d786375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5b85f208503253b0269b5d7863756a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8120" cy="2566035"/>
                    </a:xfrm>
                    <a:prstGeom prst="rect">
                      <a:avLst/>
                    </a:prstGeom>
                    <a:noFill/>
                    <a:ln>
                      <a:noFill/>
                    </a:ln>
                  </pic:spPr>
                </pic:pic>
              </a:graphicData>
            </a:graphic>
          </wp:anchor>
        </w:drawing>
      </w:r>
      <w:r>
        <w:rPr>
          <w:rFonts w:eastAsia="仿宋_GB2312"/>
          <w:sz w:val="32"/>
          <w:szCs w:val="28"/>
        </w:rPr>
        <w:t>产品结构示例如图1，红色标识部分包含汇流排，紫色标识部分不包含汇流排。</w:t>
      </w:r>
    </w:p>
    <w:p w14:paraId="70409B17">
      <w:pPr>
        <w:spacing w:line="520" w:lineRule="exact"/>
        <w:jc w:val="center"/>
        <w:rPr>
          <w:rFonts w:eastAsia="黑体"/>
          <w:sz w:val="28"/>
          <w:szCs w:val="28"/>
        </w:rPr>
      </w:pPr>
      <w:r>
        <w:rPr>
          <w:rFonts w:eastAsia="黑体"/>
          <w:sz w:val="28"/>
          <w:szCs w:val="28"/>
        </w:rPr>
        <w:t>图1 产品结构示意框图</w:t>
      </w:r>
    </w:p>
    <w:p w14:paraId="0AD65CDE">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注：上述结构示意图仅供参考，具体产品结构组成应根据实际产品确定。</w:t>
      </w:r>
    </w:p>
    <w:p w14:paraId="24D7F2D1">
      <w:pPr>
        <w:spacing w:line="520" w:lineRule="exact"/>
        <w:ind w:firstLine="640" w:firstLineChars="200"/>
        <w:rPr>
          <w:rFonts w:eastAsia="仿宋_GB2312"/>
          <w:color w:val="000000"/>
          <w:sz w:val="32"/>
          <w:szCs w:val="32"/>
        </w:rPr>
      </w:pPr>
      <w:r>
        <w:rPr>
          <w:rFonts w:eastAsia="仿宋_GB2312"/>
          <w:color w:val="000000"/>
          <w:sz w:val="32"/>
          <w:szCs w:val="32"/>
        </w:rPr>
        <w:t>注册申请人需明确中心供氧站的类型，提供每个供氧方式包含的组成部分及连接示意图，提供产品完整的示意图。注册证载明内容结构组成中细化中心供氧站的描述。</w:t>
      </w:r>
    </w:p>
    <w:p w14:paraId="65C2E7D8">
      <w:pPr>
        <w:spacing w:line="520" w:lineRule="exact"/>
        <w:ind w:firstLine="640" w:firstLineChars="200"/>
        <w:rPr>
          <w:rFonts w:eastAsia="仿宋_GB2312"/>
          <w:color w:val="000000"/>
          <w:sz w:val="32"/>
          <w:szCs w:val="32"/>
        </w:rPr>
      </w:pPr>
      <w:r>
        <w:rPr>
          <w:rFonts w:eastAsia="仿宋_GB2312"/>
          <w:color w:val="000000"/>
          <w:sz w:val="32"/>
          <w:szCs w:val="32"/>
        </w:rPr>
        <w:t>氧气管道系统材料需明确为无缝不锈钢管、脱氧铜管、纯铜管或无缝铜管。无缝不锈钢管应符合GB 50751中5.2.3的要求。脱氧铜管、纯铜管应符合GB/T 1527的有关规定。无缝铜管应符合有关规定。</w:t>
      </w:r>
    </w:p>
    <w:p w14:paraId="2DDAA545">
      <w:pPr>
        <w:spacing w:line="520" w:lineRule="exact"/>
        <w:ind w:firstLine="640" w:firstLineChars="200"/>
        <w:rPr>
          <w:rFonts w:eastAsia="仿宋_GB2312"/>
          <w:color w:val="000000"/>
          <w:sz w:val="32"/>
          <w:szCs w:val="32"/>
        </w:rPr>
      </w:pPr>
      <w:r>
        <w:rPr>
          <w:rFonts w:eastAsia="仿宋_GB2312"/>
          <w:color w:val="000000"/>
          <w:sz w:val="32"/>
          <w:szCs w:val="32"/>
        </w:rPr>
        <w:t>监测和报警装置需明确报警装置在医用中心供氧系统实际安装中可能出现的具体位置（如区域报警护士站，气源报警等）及所包含的具体报警功能，报警装置如包含网络接口需相应进行明确。</w:t>
      </w:r>
    </w:p>
    <w:p w14:paraId="0BF18B38">
      <w:pPr>
        <w:spacing w:line="520" w:lineRule="exact"/>
        <w:ind w:firstLine="640" w:firstLineChars="200"/>
        <w:rPr>
          <w:rFonts w:eastAsia="仿宋_GB2312"/>
          <w:color w:val="000000"/>
          <w:sz w:val="32"/>
          <w:szCs w:val="32"/>
        </w:rPr>
      </w:pPr>
      <w:r>
        <w:rPr>
          <w:rFonts w:eastAsia="仿宋_GB2312"/>
          <w:color w:val="000000"/>
          <w:sz w:val="32"/>
          <w:szCs w:val="32"/>
        </w:rPr>
        <w:t>终端需提供快速接头插座具体符合的标准及照片。</w:t>
      </w:r>
    </w:p>
    <w:p w14:paraId="3E03E7EB">
      <w:pPr>
        <w:spacing w:line="520" w:lineRule="exact"/>
        <w:ind w:firstLine="640" w:firstLineChars="200"/>
        <w:outlineLvl w:val="1"/>
        <w:rPr>
          <w:rFonts w:ascii="仿宋_GB2312" w:hAnsi="仿宋_GB2312" w:eastAsia="仿宋_GB2312" w:cs="仿宋_GB2312"/>
          <w:bCs/>
          <w:iCs/>
          <w:sz w:val="32"/>
          <w:szCs w:val="28"/>
        </w:rPr>
      </w:pPr>
      <w:r>
        <w:rPr>
          <w:rFonts w:eastAsia="楷体_GB2312"/>
          <w:bCs/>
          <w:iCs/>
          <w:sz w:val="32"/>
          <w:szCs w:val="28"/>
        </w:rPr>
        <w:t>2.</w:t>
      </w:r>
      <w:r>
        <w:rPr>
          <w:rFonts w:hint="eastAsia" w:ascii="仿宋_GB2312" w:hAnsi="仿宋_GB2312" w:eastAsia="仿宋_GB2312" w:cs="仿宋_GB2312"/>
          <w:bCs/>
          <w:iCs/>
          <w:sz w:val="32"/>
          <w:szCs w:val="28"/>
        </w:rPr>
        <w:t>产品工作原理/作用机理</w:t>
      </w:r>
    </w:p>
    <w:p w14:paraId="0BB1AF18">
      <w:pPr>
        <w:spacing w:line="520" w:lineRule="exact"/>
        <w:ind w:firstLine="640" w:firstLineChars="200"/>
        <w:rPr>
          <w:rFonts w:eastAsia="仿宋_GB2312"/>
          <w:sz w:val="32"/>
          <w:szCs w:val="28"/>
        </w:rPr>
      </w:pPr>
      <w:r>
        <w:rPr>
          <w:rFonts w:eastAsia="仿宋_GB2312"/>
          <w:sz w:val="32"/>
          <w:szCs w:val="28"/>
        </w:rPr>
        <w:t>产品工作原理：医用中心供氧系统的气源氧气通过减压装置和管道输送到手术室、抢救室、治疗室和各个病房的终端处，提供医疗使用。</w:t>
      </w:r>
    </w:p>
    <w:p w14:paraId="4B964A88">
      <w:pPr>
        <w:spacing w:line="520" w:lineRule="exact"/>
        <w:ind w:firstLine="640" w:firstLineChars="200"/>
        <w:rPr>
          <w:rFonts w:eastAsia="仿宋_GB2312"/>
          <w:sz w:val="32"/>
          <w:szCs w:val="28"/>
        </w:rPr>
      </w:pPr>
      <w:r>
        <w:rPr>
          <w:rFonts w:eastAsia="仿宋_GB2312"/>
          <w:sz w:val="32"/>
          <w:szCs w:val="28"/>
        </w:rPr>
        <w:t>产品作用机理：不适用。</w:t>
      </w:r>
    </w:p>
    <w:p w14:paraId="20B5586B">
      <w:pPr>
        <w:spacing w:line="520" w:lineRule="exact"/>
        <w:ind w:firstLine="640" w:firstLineChars="200"/>
        <w:outlineLvl w:val="1"/>
        <w:rPr>
          <w:rFonts w:eastAsia="楷体_GB2312"/>
          <w:bCs/>
          <w:iCs/>
          <w:sz w:val="32"/>
          <w:szCs w:val="28"/>
        </w:rPr>
      </w:pPr>
      <w:r>
        <w:rPr>
          <w:rFonts w:eastAsia="楷体_GB2312"/>
          <w:bCs/>
          <w:iCs/>
          <w:sz w:val="32"/>
          <w:szCs w:val="28"/>
        </w:rPr>
        <w:t>3.</w:t>
      </w:r>
      <w:r>
        <w:rPr>
          <w:rFonts w:hint="eastAsia" w:ascii="仿宋_GB2312" w:hAnsi="仿宋_GB2312" w:eastAsia="仿宋_GB2312" w:cs="仿宋_GB2312"/>
          <w:bCs/>
          <w:iCs/>
          <w:sz w:val="32"/>
          <w:szCs w:val="28"/>
        </w:rPr>
        <w:t>产品的适用范围、禁忌证</w:t>
      </w:r>
    </w:p>
    <w:p w14:paraId="2C0D5703">
      <w:pPr>
        <w:spacing w:line="520" w:lineRule="exact"/>
        <w:ind w:firstLine="640" w:firstLineChars="200"/>
        <w:rPr>
          <w:rFonts w:eastAsia="仿宋_GB2312"/>
          <w:sz w:val="32"/>
          <w:szCs w:val="28"/>
        </w:rPr>
      </w:pPr>
      <w:r>
        <w:rPr>
          <w:rFonts w:eastAsia="仿宋_GB2312"/>
          <w:sz w:val="32"/>
          <w:szCs w:val="28"/>
        </w:rPr>
        <w:t>（1）适用范围</w:t>
      </w:r>
    </w:p>
    <w:p w14:paraId="3BE74033">
      <w:pPr>
        <w:spacing w:line="520" w:lineRule="exact"/>
        <w:ind w:firstLine="640" w:firstLineChars="200"/>
        <w:rPr>
          <w:rFonts w:eastAsia="仿宋_GB2312"/>
          <w:sz w:val="32"/>
          <w:szCs w:val="28"/>
        </w:rPr>
      </w:pPr>
      <w:r>
        <w:rPr>
          <w:rFonts w:eastAsia="仿宋_GB2312"/>
          <w:sz w:val="32"/>
          <w:szCs w:val="28"/>
        </w:rPr>
        <w:t>供医疗机构集中供氧用。</w:t>
      </w:r>
    </w:p>
    <w:p w14:paraId="69862AAB">
      <w:pPr>
        <w:spacing w:line="520" w:lineRule="exact"/>
        <w:ind w:firstLine="640" w:firstLineChars="200"/>
        <w:rPr>
          <w:rFonts w:eastAsia="仿宋_GB2312"/>
          <w:sz w:val="32"/>
          <w:szCs w:val="28"/>
        </w:rPr>
      </w:pPr>
      <w:r>
        <w:rPr>
          <w:rFonts w:eastAsia="仿宋_GB2312"/>
          <w:sz w:val="32"/>
          <w:szCs w:val="28"/>
        </w:rPr>
        <w:t>（2）禁忌证</w:t>
      </w:r>
    </w:p>
    <w:p w14:paraId="78D02F74">
      <w:pPr>
        <w:spacing w:line="520" w:lineRule="exact"/>
        <w:ind w:firstLine="640" w:firstLineChars="200"/>
        <w:rPr>
          <w:rFonts w:eastAsia="仿宋_GB2312"/>
          <w:sz w:val="32"/>
          <w:szCs w:val="28"/>
        </w:rPr>
      </w:pPr>
      <w:r>
        <w:rPr>
          <w:rFonts w:eastAsia="仿宋_GB2312"/>
          <w:sz w:val="32"/>
          <w:szCs w:val="28"/>
        </w:rPr>
        <w:t>无。</w:t>
      </w:r>
    </w:p>
    <w:p w14:paraId="79BD06E5">
      <w:pPr>
        <w:spacing w:line="520" w:lineRule="exact"/>
        <w:ind w:firstLine="640" w:firstLineChars="200"/>
        <w:outlineLvl w:val="1"/>
        <w:rPr>
          <w:rFonts w:eastAsia="楷体_GB2312"/>
          <w:bCs/>
          <w:iCs/>
          <w:sz w:val="32"/>
          <w:szCs w:val="28"/>
        </w:rPr>
      </w:pPr>
      <w:r>
        <w:rPr>
          <w:rFonts w:eastAsia="楷体_GB2312"/>
          <w:bCs/>
          <w:iCs/>
          <w:sz w:val="32"/>
          <w:szCs w:val="28"/>
        </w:rPr>
        <w:t>4.</w:t>
      </w:r>
      <w:r>
        <w:rPr>
          <w:rFonts w:eastAsia="仿宋_GB2312"/>
          <w:sz w:val="32"/>
          <w:szCs w:val="32"/>
        </w:rPr>
        <w:t>产品的不良事件历史记录</w:t>
      </w:r>
    </w:p>
    <w:p w14:paraId="2BDF6F91">
      <w:pPr>
        <w:spacing w:line="520" w:lineRule="exact"/>
        <w:ind w:firstLine="640" w:firstLineChars="200"/>
        <w:rPr>
          <w:rFonts w:eastAsia="仿宋_GB2312"/>
          <w:sz w:val="32"/>
          <w:szCs w:val="32"/>
        </w:rPr>
      </w:pPr>
      <w:r>
        <w:rPr>
          <w:rFonts w:eastAsia="仿宋_GB2312"/>
          <w:sz w:val="32"/>
          <w:szCs w:val="32"/>
        </w:rPr>
        <w:t>注册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14:paraId="1AE391DD">
      <w:pPr>
        <w:spacing w:line="520" w:lineRule="exact"/>
        <w:ind w:firstLine="640" w:firstLineChars="200"/>
        <w:rPr>
          <w:rFonts w:eastAsia="仿宋_GB2312"/>
          <w:sz w:val="32"/>
          <w:szCs w:val="32"/>
        </w:rPr>
      </w:pPr>
      <w:r>
        <w:rPr>
          <w:rFonts w:eastAsia="仿宋_GB2312"/>
          <w:sz w:val="32"/>
          <w:szCs w:val="32"/>
        </w:rPr>
        <w:t>可以检索公开发布的不良事件信息如下：</w:t>
      </w:r>
    </w:p>
    <w:p w14:paraId="2867E3B7">
      <w:pPr>
        <w:spacing w:line="520" w:lineRule="exact"/>
        <w:ind w:firstLine="640" w:firstLineChars="200"/>
        <w:rPr>
          <w:rFonts w:eastAsia="仿宋_GB2312"/>
          <w:sz w:val="32"/>
          <w:szCs w:val="32"/>
        </w:rPr>
      </w:pPr>
      <w:r>
        <w:rPr>
          <w:rFonts w:eastAsia="仿宋_GB2312"/>
          <w:sz w:val="32"/>
          <w:szCs w:val="32"/>
        </w:rPr>
        <w:t>（1）国家药品不良反应监测中心发布的“医疗器械不良事件信息通报”及“医疗器械警戒快讯”。</w:t>
      </w:r>
    </w:p>
    <w:p w14:paraId="704C3A50">
      <w:pPr>
        <w:spacing w:line="520" w:lineRule="exact"/>
        <w:ind w:firstLine="640" w:firstLineChars="200"/>
        <w:rPr>
          <w:rFonts w:eastAsia="仿宋_GB2312"/>
          <w:sz w:val="32"/>
          <w:szCs w:val="32"/>
        </w:rPr>
      </w:pPr>
      <w:r>
        <w:rPr>
          <w:rFonts w:eastAsia="仿宋_GB2312"/>
          <w:sz w:val="32"/>
          <w:szCs w:val="32"/>
        </w:rPr>
        <w:t>（2）美国不良事件查询数据库MAUDE、召回查询数据库Recall及按年份查询警告信（warning letter）。</w:t>
      </w:r>
    </w:p>
    <w:p w14:paraId="6F73E5E4">
      <w:pPr>
        <w:spacing w:line="520" w:lineRule="exact"/>
        <w:ind w:firstLine="640" w:firstLineChars="200"/>
        <w:rPr>
          <w:rFonts w:eastAsia="仿宋_GB2312"/>
          <w:sz w:val="32"/>
          <w:szCs w:val="32"/>
        </w:rPr>
      </w:pPr>
      <w:r>
        <w:rPr>
          <w:rFonts w:eastAsia="仿宋_GB2312"/>
          <w:sz w:val="32"/>
          <w:szCs w:val="32"/>
        </w:rPr>
        <w:t>（3）英国医疗器械警报（MHRA）。</w:t>
      </w:r>
    </w:p>
    <w:p w14:paraId="6D57A362">
      <w:pPr>
        <w:spacing w:line="520" w:lineRule="exact"/>
        <w:ind w:firstLine="640" w:firstLineChars="200"/>
        <w:rPr>
          <w:rFonts w:eastAsia="仿宋_GB2312"/>
          <w:sz w:val="32"/>
          <w:szCs w:val="32"/>
        </w:rPr>
      </w:pPr>
      <w:r>
        <w:rPr>
          <w:rFonts w:eastAsia="仿宋_GB2312"/>
          <w:sz w:val="32"/>
          <w:szCs w:val="32"/>
        </w:rPr>
        <w:t>（4）加拿大召回与警戒（Search recalls and safety alerts）。</w:t>
      </w:r>
    </w:p>
    <w:p w14:paraId="5549FBE2">
      <w:pPr>
        <w:spacing w:line="520" w:lineRule="exact"/>
        <w:ind w:firstLine="640" w:firstLineChars="200"/>
        <w:rPr>
          <w:rFonts w:eastAsia="仿宋_GB2312"/>
          <w:sz w:val="32"/>
          <w:szCs w:val="32"/>
        </w:rPr>
      </w:pPr>
      <w:r>
        <w:rPr>
          <w:rFonts w:eastAsia="仿宋_GB2312"/>
          <w:sz w:val="32"/>
          <w:szCs w:val="32"/>
        </w:rPr>
        <w:t>（5）澳大利亚TGA不良事件（Database of Adverse Event Notifications - medical devices）、召回（System for Australian Recall Actions）及警戒（All alerts）。</w:t>
      </w:r>
    </w:p>
    <w:p w14:paraId="0EED723F">
      <w:pPr>
        <w:spacing w:line="520" w:lineRule="exact"/>
        <w:ind w:firstLine="640" w:firstLineChars="200"/>
        <w:rPr>
          <w:rFonts w:eastAsia="仿宋_GB2312"/>
          <w:sz w:val="32"/>
          <w:szCs w:val="32"/>
        </w:rPr>
      </w:pPr>
      <w:r>
        <w:rPr>
          <w:rFonts w:eastAsia="仿宋_GB2312"/>
          <w:sz w:val="32"/>
          <w:szCs w:val="32"/>
        </w:rPr>
        <w:t>（6）日本PMDA。</w:t>
      </w:r>
    </w:p>
    <w:p w14:paraId="4F9E4022">
      <w:pPr>
        <w:spacing w:line="520" w:lineRule="exact"/>
        <w:ind w:firstLine="640" w:firstLineChars="200"/>
        <w:rPr>
          <w:rFonts w:eastAsia="仿宋_GB2312"/>
          <w:sz w:val="32"/>
          <w:szCs w:val="32"/>
        </w:rPr>
      </w:pPr>
      <w:r>
        <w:rPr>
          <w:rFonts w:eastAsia="仿宋_GB2312"/>
          <w:sz w:val="32"/>
          <w:szCs w:val="32"/>
        </w:rPr>
        <w:t>（7）德国BfArM。</w:t>
      </w:r>
    </w:p>
    <w:p w14:paraId="3788BA52">
      <w:pPr>
        <w:spacing w:line="520" w:lineRule="exact"/>
        <w:ind w:firstLine="640" w:firstLineChars="200"/>
        <w:outlineLvl w:val="1"/>
        <w:rPr>
          <w:rFonts w:eastAsia="楷体_GB2312"/>
          <w:bCs/>
          <w:iCs/>
          <w:sz w:val="32"/>
          <w:szCs w:val="28"/>
        </w:rPr>
      </w:pPr>
      <w:r>
        <w:rPr>
          <w:rFonts w:eastAsia="楷体_GB2312"/>
          <w:bCs/>
          <w:iCs/>
          <w:sz w:val="32"/>
          <w:szCs w:val="28"/>
        </w:rPr>
        <w:t>（三）非临床资料</w:t>
      </w:r>
    </w:p>
    <w:p w14:paraId="672FCD5B">
      <w:pPr>
        <w:spacing w:line="520" w:lineRule="exact"/>
        <w:ind w:firstLine="640" w:firstLineChars="200"/>
        <w:outlineLvl w:val="1"/>
        <w:rPr>
          <w:rFonts w:eastAsia="仿宋_GB2312"/>
          <w:sz w:val="32"/>
          <w:szCs w:val="32"/>
        </w:rPr>
      </w:pPr>
      <w:r>
        <w:rPr>
          <w:rFonts w:eastAsia="仿宋_GB2312"/>
          <w:sz w:val="32"/>
          <w:szCs w:val="32"/>
        </w:rPr>
        <w:t>1.产品风险管理资料</w:t>
      </w:r>
    </w:p>
    <w:p w14:paraId="7CFEE8B9">
      <w:pPr>
        <w:spacing w:line="520" w:lineRule="exact"/>
        <w:ind w:firstLine="640" w:firstLineChars="200"/>
        <w:rPr>
          <w:rFonts w:eastAsia="仿宋_GB2312"/>
          <w:sz w:val="32"/>
          <w:szCs w:val="32"/>
        </w:rPr>
      </w:pPr>
      <w:r>
        <w:rPr>
          <w:rFonts w:eastAsia="仿宋_GB2312"/>
          <w:sz w:val="32"/>
          <w:szCs w:val="32"/>
        </w:rPr>
        <w:t>应符合YY/T 0316《医疗器械风险管理对医疗器械的应用》，以下依据YY/T 0316《医疗器械风险管理对医疗器械的应用》附录E（表1）从各方面提示性列举了医用中心供氧系统的可能存在的初始危害因素。</w:t>
      </w:r>
    </w:p>
    <w:p w14:paraId="2D0DDF87">
      <w:pPr>
        <w:spacing w:line="520" w:lineRule="exact"/>
        <w:ind w:firstLine="640" w:firstLineChars="200"/>
        <w:rPr>
          <w:rFonts w:eastAsia="仿宋_GB2312"/>
          <w:sz w:val="32"/>
          <w:szCs w:val="32"/>
        </w:rPr>
      </w:pPr>
    </w:p>
    <w:p w14:paraId="66DF069F">
      <w:pPr>
        <w:spacing w:line="520" w:lineRule="exact"/>
        <w:jc w:val="center"/>
        <w:rPr>
          <w:rFonts w:eastAsia="仿宋_GB2312"/>
          <w:sz w:val="32"/>
          <w:szCs w:val="32"/>
        </w:rPr>
      </w:pPr>
      <w:r>
        <w:rPr>
          <w:rFonts w:eastAsia="黑体"/>
          <w:sz w:val="28"/>
          <w:szCs w:val="28"/>
        </w:rPr>
        <w:t>表1  医用中心供氧系统的常见危害</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7423"/>
      </w:tblGrid>
      <w:tr w14:paraId="412A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pct"/>
            <w:tcBorders>
              <w:top w:val="single" w:color="auto" w:sz="4" w:space="0"/>
              <w:left w:val="single" w:color="auto" w:sz="4" w:space="0"/>
              <w:bottom w:val="single" w:color="auto" w:sz="4" w:space="0"/>
              <w:right w:val="single" w:color="auto" w:sz="4" w:space="0"/>
            </w:tcBorders>
            <w:vAlign w:val="center"/>
          </w:tcPr>
          <w:p w14:paraId="21ACA134">
            <w:pPr>
              <w:spacing w:line="520" w:lineRule="exact"/>
              <w:jc w:val="center"/>
              <w:rPr>
                <w:rFonts w:eastAsia="黑体"/>
                <w:sz w:val="28"/>
                <w:szCs w:val="28"/>
              </w:rPr>
            </w:pPr>
            <w:r>
              <w:rPr>
                <w:rFonts w:eastAsia="黑体"/>
                <w:sz w:val="28"/>
                <w:szCs w:val="28"/>
              </w:rPr>
              <w:t>危害类型</w:t>
            </w:r>
          </w:p>
        </w:tc>
        <w:tc>
          <w:tcPr>
            <w:tcW w:w="4149" w:type="pct"/>
            <w:tcBorders>
              <w:top w:val="single" w:color="auto" w:sz="4" w:space="0"/>
              <w:left w:val="single" w:color="auto" w:sz="4" w:space="0"/>
              <w:bottom w:val="single" w:color="auto" w:sz="4" w:space="0"/>
              <w:right w:val="single" w:color="auto" w:sz="4" w:space="0"/>
            </w:tcBorders>
            <w:vAlign w:val="center"/>
          </w:tcPr>
          <w:p w14:paraId="739E33EB">
            <w:pPr>
              <w:spacing w:line="520" w:lineRule="exact"/>
              <w:ind w:right="-126" w:rightChars="-60"/>
              <w:jc w:val="center"/>
              <w:rPr>
                <w:rFonts w:eastAsia="黑体"/>
                <w:sz w:val="28"/>
                <w:szCs w:val="28"/>
              </w:rPr>
            </w:pPr>
            <w:r>
              <w:rPr>
                <w:rFonts w:eastAsia="黑体"/>
                <w:sz w:val="28"/>
                <w:szCs w:val="28"/>
              </w:rPr>
              <w:t>形成因素</w:t>
            </w:r>
          </w:p>
        </w:tc>
      </w:tr>
      <w:tr w14:paraId="4E8B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51" w:type="pct"/>
            <w:vMerge w:val="restart"/>
            <w:tcBorders>
              <w:top w:val="single" w:color="auto" w:sz="4" w:space="0"/>
              <w:left w:val="single" w:color="auto" w:sz="4" w:space="0"/>
              <w:right w:val="single" w:color="auto" w:sz="4" w:space="0"/>
            </w:tcBorders>
            <w:vAlign w:val="center"/>
          </w:tcPr>
          <w:p w14:paraId="3030158A">
            <w:pPr>
              <w:spacing w:line="520" w:lineRule="exact"/>
              <w:rPr>
                <w:rFonts w:eastAsia="仿宋_GB2312"/>
                <w:sz w:val="28"/>
                <w:szCs w:val="28"/>
              </w:rPr>
            </w:pPr>
            <w:r>
              <w:rPr>
                <w:rFonts w:eastAsia="仿宋_GB2312"/>
                <w:sz w:val="28"/>
                <w:szCs w:val="28"/>
              </w:rPr>
              <w:t>电磁能量</w:t>
            </w:r>
          </w:p>
        </w:tc>
        <w:tc>
          <w:tcPr>
            <w:tcW w:w="4149" w:type="pct"/>
            <w:tcBorders>
              <w:top w:val="single" w:color="auto" w:sz="4" w:space="0"/>
              <w:left w:val="single" w:color="auto" w:sz="4" w:space="0"/>
              <w:right w:val="single" w:color="auto" w:sz="4" w:space="0"/>
            </w:tcBorders>
            <w:vAlign w:val="center"/>
          </w:tcPr>
          <w:p w14:paraId="7338BF5C">
            <w:pPr>
              <w:spacing w:line="520" w:lineRule="exact"/>
              <w:rPr>
                <w:rFonts w:eastAsia="仿宋_GB2312"/>
                <w:sz w:val="28"/>
                <w:szCs w:val="28"/>
              </w:rPr>
            </w:pPr>
            <w:r>
              <w:rPr>
                <w:rFonts w:eastAsia="仿宋_GB2312"/>
                <w:sz w:val="28"/>
                <w:szCs w:val="28"/>
              </w:rPr>
              <w:t>在强电磁辐射源边使用电动设备，可能会出现电磁干扰程序运行，导致程序错误</w:t>
            </w:r>
          </w:p>
        </w:tc>
      </w:tr>
      <w:tr w14:paraId="0638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1" w:type="pct"/>
            <w:vMerge w:val="continue"/>
            <w:tcBorders>
              <w:left w:val="single" w:color="auto" w:sz="4" w:space="0"/>
              <w:bottom w:val="single" w:color="auto" w:sz="4" w:space="0"/>
              <w:right w:val="single" w:color="auto" w:sz="4" w:space="0"/>
            </w:tcBorders>
            <w:vAlign w:val="center"/>
          </w:tcPr>
          <w:p w14:paraId="2C09F350">
            <w:pPr>
              <w:spacing w:line="520" w:lineRule="exact"/>
              <w:rPr>
                <w:rFonts w:eastAsia="仿宋_GB2312"/>
                <w:sz w:val="28"/>
                <w:szCs w:val="28"/>
              </w:rPr>
            </w:pPr>
          </w:p>
        </w:tc>
        <w:tc>
          <w:tcPr>
            <w:tcW w:w="4149" w:type="pct"/>
            <w:tcBorders>
              <w:top w:val="single" w:color="auto" w:sz="4" w:space="0"/>
              <w:left w:val="single" w:color="auto" w:sz="4" w:space="0"/>
              <w:right w:val="single" w:color="auto" w:sz="4" w:space="0"/>
            </w:tcBorders>
            <w:vAlign w:val="center"/>
          </w:tcPr>
          <w:p w14:paraId="0FE1EAE5">
            <w:pPr>
              <w:spacing w:line="520" w:lineRule="exact"/>
              <w:rPr>
                <w:rFonts w:eastAsia="仿宋_GB2312"/>
                <w:sz w:val="28"/>
                <w:szCs w:val="28"/>
              </w:rPr>
            </w:pPr>
            <w:r>
              <w:rPr>
                <w:rFonts w:eastAsia="仿宋_GB2312"/>
                <w:sz w:val="28"/>
                <w:szCs w:val="28"/>
              </w:rPr>
              <w:t>电压波动，可能导致正在工作中的设备出现氧气压力流量变化</w:t>
            </w:r>
          </w:p>
        </w:tc>
      </w:tr>
      <w:tr w14:paraId="6778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51" w:type="pct"/>
            <w:vMerge w:val="restart"/>
            <w:tcBorders>
              <w:top w:val="single" w:color="auto" w:sz="4" w:space="0"/>
              <w:left w:val="single" w:color="auto" w:sz="4" w:space="0"/>
              <w:right w:val="single" w:color="auto" w:sz="4" w:space="0"/>
            </w:tcBorders>
            <w:vAlign w:val="center"/>
          </w:tcPr>
          <w:p w14:paraId="320DC932">
            <w:pPr>
              <w:spacing w:line="520" w:lineRule="exact"/>
              <w:rPr>
                <w:rFonts w:eastAsia="仿宋_GB2312"/>
                <w:sz w:val="28"/>
                <w:szCs w:val="28"/>
              </w:rPr>
            </w:pPr>
            <w:r>
              <w:rPr>
                <w:rFonts w:eastAsia="仿宋_GB2312"/>
                <w:sz w:val="28"/>
                <w:szCs w:val="28"/>
              </w:rPr>
              <w:t>机械能</w:t>
            </w:r>
          </w:p>
        </w:tc>
        <w:tc>
          <w:tcPr>
            <w:tcW w:w="4149" w:type="pct"/>
            <w:tcBorders>
              <w:top w:val="single" w:color="auto" w:sz="4" w:space="0"/>
              <w:left w:val="single" w:color="auto" w:sz="4" w:space="0"/>
              <w:bottom w:val="single" w:color="auto" w:sz="4" w:space="0"/>
              <w:right w:val="single" w:color="auto" w:sz="4" w:space="0"/>
            </w:tcBorders>
            <w:vAlign w:val="center"/>
          </w:tcPr>
          <w:p w14:paraId="0E05C70E">
            <w:pPr>
              <w:spacing w:line="520" w:lineRule="exact"/>
              <w:rPr>
                <w:rFonts w:eastAsia="仿宋_GB2312"/>
                <w:sz w:val="28"/>
                <w:szCs w:val="28"/>
              </w:rPr>
            </w:pPr>
            <w:r>
              <w:rPr>
                <w:rFonts w:eastAsia="仿宋_GB2312"/>
                <w:sz w:val="28"/>
                <w:szCs w:val="28"/>
              </w:rPr>
              <w:t>长时间及过高的供氧压力，可能导致终端及其附件的损坏</w:t>
            </w:r>
          </w:p>
        </w:tc>
      </w:tr>
      <w:tr w14:paraId="0AA2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51" w:type="pct"/>
            <w:vMerge w:val="continue"/>
            <w:tcBorders>
              <w:left w:val="single" w:color="auto" w:sz="4" w:space="0"/>
              <w:bottom w:val="single" w:color="auto" w:sz="4" w:space="0"/>
              <w:right w:val="single" w:color="auto" w:sz="4" w:space="0"/>
            </w:tcBorders>
            <w:vAlign w:val="center"/>
          </w:tcPr>
          <w:p w14:paraId="65E52CCA">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D1AAD8A">
            <w:pPr>
              <w:spacing w:line="520" w:lineRule="exact"/>
              <w:rPr>
                <w:rFonts w:eastAsia="仿宋_GB2312"/>
                <w:sz w:val="28"/>
                <w:szCs w:val="28"/>
              </w:rPr>
            </w:pPr>
            <w:r>
              <w:rPr>
                <w:rFonts w:eastAsia="仿宋_GB2312"/>
                <w:sz w:val="28"/>
                <w:szCs w:val="28"/>
              </w:rPr>
              <w:t>过低的供氧压力，可能会出现无法通气/正常供气，导致无法出气或达到压力要求，不能给患者正常供气</w:t>
            </w:r>
          </w:p>
        </w:tc>
      </w:tr>
      <w:tr w14:paraId="4B2A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51" w:type="pct"/>
            <w:vMerge w:val="restart"/>
            <w:tcBorders>
              <w:top w:val="single" w:color="auto" w:sz="4" w:space="0"/>
              <w:left w:val="single" w:color="auto" w:sz="4" w:space="0"/>
              <w:right w:val="single" w:color="auto" w:sz="4" w:space="0"/>
            </w:tcBorders>
            <w:vAlign w:val="center"/>
          </w:tcPr>
          <w:p w14:paraId="0F266962">
            <w:pPr>
              <w:spacing w:line="520" w:lineRule="exact"/>
              <w:rPr>
                <w:rFonts w:eastAsia="仿宋_GB2312"/>
                <w:sz w:val="28"/>
                <w:szCs w:val="28"/>
              </w:rPr>
            </w:pPr>
            <w:r>
              <w:rPr>
                <w:rFonts w:eastAsia="仿宋_GB2312"/>
                <w:sz w:val="28"/>
                <w:szCs w:val="28"/>
              </w:rPr>
              <w:t>化学危害</w:t>
            </w:r>
          </w:p>
        </w:tc>
        <w:tc>
          <w:tcPr>
            <w:tcW w:w="4149" w:type="pct"/>
            <w:tcBorders>
              <w:top w:val="single" w:color="auto" w:sz="4" w:space="0"/>
              <w:left w:val="single" w:color="auto" w:sz="4" w:space="0"/>
              <w:bottom w:val="single" w:color="auto" w:sz="4" w:space="0"/>
              <w:right w:val="single" w:color="auto" w:sz="4" w:space="0"/>
            </w:tcBorders>
            <w:vAlign w:val="center"/>
          </w:tcPr>
          <w:p w14:paraId="73A3D56B">
            <w:pPr>
              <w:spacing w:line="520" w:lineRule="exact"/>
              <w:rPr>
                <w:rFonts w:eastAsia="仿宋_GB2312"/>
                <w:sz w:val="28"/>
                <w:szCs w:val="28"/>
              </w:rPr>
            </w:pPr>
            <w:r>
              <w:rPr>
                <w:rFonts w:eastAsia="仿宋_GB2312"/>
                <w:sz w:val="28"/>
                <w:szCs w:val="28"/>
              </w:rPr>
              <w:t>管道脱脂清洗不完全，管道中的油脂等混到氧气中，碳氢化合物含量超标，供患者使用的氧气质量不合格，且存在感染风险</w:t>
            </w:r>
          </w:p>
        </w:tc>
      </w:tr>
      <w:tr w14:paraId="09F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51" w:type="pct"/>
            <w:vMerge w:val="continue"/>
            <w:tcBorders>
              <w:top w:val="single" w:color="auto" w:sz="4" w:space="0"/>
              <w:left w:val="single" w:color="auto" w:sz="4" w:space="0"/>
              <w:right w:val="single" w:color="auto" w:sz="4" w:space="0"/>
            </w:tcBorders>
            <w:vAlign w:val="center"/>
          </w:tcPr>
          <w:p w14:paraId="4C160311">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3409EF73">
            <w:pPr>
              <w:spacing w:line="520" w:lineRule="exact"/>
              <w:rPr>
                <w:rFonts w:eastAsia="仿宋_GB2312"/>
                <w:sz w:val="28"/>
                <w:szCs w:val="28"/>
              </w:rPr>
            </w:pPr>
            <w:r>
              <w:rPr>
                <w:rFonts w:eastAsia="仿宋_GB2312"/>
                <w:sz w:val="28"/>
                <w:szCs w:val="28"/>
              </w:rPr>
              <w:t>使用不合格的医用氧或富氧空气（93%氧），使用未有药品注册证的医用氧，或使用未经注册的医用分子筛制氧系统作为氧源，造成氧气质量不达标</w:t>
            </w:r>
          </w:p>
        </w:tc>
      </w:tr>
      <w:tr w14:paraId="0141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851" w:type="pct"/>
            <w:vMerge w:val="continue"/>
            <w:tcBorders>
              <w:left w:val="single" w:color="auto" w:sz="4" w:space="0"/>
              <w:bottom w:val="single" w:color="auto" w:sz="4" w:space="0"/>
              <w:right w:val="single" w:color="auto" w:sz="4" w:space="0"/>
            </w:tcBorders>
            <w:vAlign w:val="center"/>
          </w:tcPr>
          <w:p w14:paraId="49423BE7">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787AACC0">
            <w:pPr>
              <w:spacing w:line="520" w:lineRule="exact"/>
              <w:rPr>
                <w:rFonts w:eastAsia="仿宋_GB2312"/>
                <w:sz w:val="28"/>
                <w:szCs w:val="28"/>
              </w:rPr>
            </w:pPr>
            <w:r>
              <w:rPr>
                <w:rFonts w:eastAsia="仿宋_GB2312"/>
                <w:sz w:val="28"/>
                <w:szCs w:val="28"/>
              </w:rPr>
              <w:t>材料的选择未考虑与氧气的兼容性；金属材料未考虑在重大引燃环境能否被引燃；燃烧的有毒物质或非金属材料（包括润滑剂，如使用）的分解和潜在污染物经管路进入人体的风险</w:t>
            </w:r>
          </w:p>
        </w:tc>
      </w:tr>
      <w:tr w14:paraId="6DF2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1" w:type="pct"/>
            <w:vMerge w:val="restart"/>
            <w:tcBorders>
              <w:top w:val="single" w:color="auto" w:sz="4" w:space="0"/>
              <w:left w:val="single" w:color="auto" w:sz="4" w:space="0"/>
              <w:right w:val="single" w:color="auto" w:sz="4" w:space="0"/>
            </w:tcBorders>
            <w:vAlign w:val="center"/>
          </w:tcPr>
          <w:p w14:paraId="444A1C39">
            <w:pPr>
              <w:spacing w:line="520" w:lineRule="exact"/>
              <w:rPr>
                <w:rFonts w:eastAsia="仿宋_GB2312"/>
                <w:sz w:val="28"/>
                <w:szCs w:val="28"/>
              </w:rPr>
            </w:pPr>
            <w:r>
              <w:rPr>
                <w:rFonts w:eastAsia="仿宋_GB2312"/>
                <w:sz w:val="28"/>
                <w:szCs w:val="28"/>
              </w:rPr>
              <w:t>功能的丧失或变坏</w:t>
            </w:r>
          </w:p>
        </w:tc>
        <w:tc>
          <w:tcPr>
            <w:tcW w:w="4149" w:type="pct"/>
            <w:tcBorders>
              <w:top w:val="single" w:color="auto" w:sz="4" w:space="0"/>
              <w:left w:val="single" w:color="auto" w:sz="4" w:space="0"/>
              <w:bottom w:val="single" w:color="auto" w:sz="4" w:space="0"/>
              <w:right w:val="single" w:color="auto" w:sz="4" w:space="0"/>
            </w:tcBorders>
            <w:vAlign w:val="center"/>
          </w:tcPr>
          <w:p w14:paraId="6D974E6E">
            <w:pPr>
              <w:spacing w:line="520" w:lineRule="exact"/>
              <w:rPr>
                <w:rFonts w:eastAsia="仿宋_GB2312"/>
                <w:sz w:val="28"/>
                <w:szCs w:val="28"/>
              </w:rPr>
            </w:pPr>
            <w:r>
              <w:rPr>
                <w:rFonts w:eastAsia="仿宋_GB2312"/>
                <w:sz w:val="28"/>
                <w:szCs w:val="28"/>
              </w:rPr>
              <w:t>管道部分或完全堵塞，患者或设备的供氧损失或减少</w:t>
            </w:r>
          </w:p>
        </w:tc>
      </w:tr>
      <w:tr w14:paraId="1952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1" w:type="pct"/>
            <w:vMerge w:val="continue"/>
            <w:tcBorders>
              <w:top w:val="single" w:color="auto" w:sz="4" w:space="0"/>
              <w:left w:val="single" w:color="auto" w:sz="4" w:space="0"/>
              <w:right w:val="single" w:color="auto" w:sz="4" w:space="0"/>
            </w:tcBorders>
            <w:vAlign w:val="center"/>
          </w:tcPr>
          <w:p w14:paraId="0F67C50C">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423C6874">
            <w:pPr>
              <w:spacing w:line="520" w:lineRule="exact"/>
              <w:rPr>
                <w:rFonts w:eastAsia="仿宋_GB2312"/>
                <w:sz w:val="28"/>
                <w:szCs w:val="28"/>
              </w:rPr>
            </w:pPr>
            <w:r>
              <w:rPr>
                <w:rFonts w:eastAsia="仿宋_GB2312"/>
                <w:sz w:val="28"/>
                <w:szCs w:val="28"/>
              </w:rPr>
              <w:t>使用不合格的压力容器，如使用未有特种设备许可证的液氧罐（包括医用氧焊接绝热气瓶）、氧气瓶，造成泄漏、无法正常供氧</w:t>
            </w:r>
          </w:p>
        </w:tc>
      </w:tr>
      <w:tr w14:paraId="05B5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1" w:type="pct"/>
            <w:vMerge w:val="continue"/>
            <w:tcBorders>
              <w:left w:val="single" w:color="auto" w:sz="4" w:space="0"/>
              <w:right w:val="single" w:color="auto" w:sz="4" w:space="0"/>
            </w:tcBorders>
            <w:vAlign w:val="center"/>
          </w:tcPr>
          <w:p w14:paraId="5E128AB1">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39BFBBA">
            <w:pPr>
              <w:spacing w:line="520" w:lineRule="exact"/>
              <w:rPr>
                <w:rFonts w:eastAsia="仿宋_GB2312"/>
                <w:sz w:val="28"/>
                <w:szCs w:val="28"/>
              </w:rPr>
            </w:pPr>
            <w:r>
              <w:rPr>
                <w:rFonts w:eastAsia="仿宋_GB2312"/>
                <w:sz w:val="28"/>
                <w:szCs w:val="28"/>
              </w:rPr>
              <w:t>运行中的氧源供气减少，如果主要气源和次要气源发生故障，备用或应急气源为系统供气。如果所有系统都发生故障，终端设备的氧气供气失效</w:t>
            </w:r>
          </w:p>
        </w:tc>
      </w:tr>
      <w:tr w14:paraId="2A01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1" w:type="pct"/>
            <w:vMerge w:val="continue"/>
            <w:tcBorders>
              <w:left w:val="single" w:color="auto" w:sz="4" w:space="0"/>
              <w:right w:val="single" w:color="auto" w:sz="4" w:space="0"/>
            </w:tcBorders>
            <w:vAlign w:val="center"/>
          </w:tcPr>
          <w:p w14:paraId="3C8F33C9">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B7E0353">
            <w:pPr>
              <w:spacing w:line="520" w:lineRule="exact"/>
              <w:rPr>
                <w:rFonts w:eastAsia="仿宋_GB2312"/>
                <w:sz w:val="28"/>
                <w:szCs w:val="28"/>
              </w:rPr>
            </w:pPr>
            <w:r>
              <w:rPr>
                <w:rFonts w:eastAsia="仿宋_GB2312"/>
                <w:sz w:val="28"/>
                <w:szCs w:val="28"/>
              </w:rPr>
              <w:t>如果一备一用相互切换逻辑不能正常实施，应该有相应提示以便手动切换</w:t>
            </w:r>
          </w:p>
        </w:tc>
      </w:tr>
      <w:tr w14:paraId="0517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1" w:type="pct"/>
            <w:vMerge w:val="continue"/>
            <w:tcBorders>
              <w:left w:val="single" w:color="auto" w:sz="4" w:space="0"/>
              <w:right w:val="single" w:color="auto" w:sz="4" w:space="0"/>
            </w:tcBorders>
            <w:vAlign w:val="center"/>
          </w:tcPr>
          <w:p w14:paraId="0408BD2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3B445D2">
            <w:pPr>
              <w:spacing w:line="520" w:lineRule="exact"/>
              <w:rPr>
                <w:rFonts w:eastAsia="仿宋_GB2312"/>
                <w:sz w:val="28"/>
                <w:szCs w:val="28"/>
              </w:rPr>
            </w:pPr>
            <w:r>
              <w:rPr>
                <w:rFonts w:eastAsia="仿宋_GB2312"/>
                <w:sz w:val="28"/>
                <w:szCs w:val="28"/>
              </w:rPr>
              <w:t>管道发生灾难性故障，造成终端供氧不足</w:t>
            </w:r>
          </w:p>
        </w:tc>
      </w:tr>
      <w:tr w14:paraId="1708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1" w:type="pct"/>
            <w:vMerge w:val="continue"/>
            <w:tcBorders>
              <w:left w:val="single" w:color="auto" w:sz="4" w:space="0"/>
              <w:right w:val="single" w:color="auto" w:sz="4" w:space="0"/>
            </w:tcBorders>
            <w:vAlign w:val="center"/>
          </w:tcPr>
          <w:p w14:paraId="476348EC">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0EB81F7">
            <w:pPr>
              <w:spacing w:line="520" w:lineRule="exact"/>
              <w:rPr>
                <w:rFonts w:eastAsia="仿宋_GB2312"/>
                <w:sz w:val="28"/>
                <w:szCs w:val="28"/>
              </w:rPr>
            </w:pPr>
            <w:r>
              <w:rPr>
                <w:rFonts w:eastAsia="仿宋_GB2312"/>
                <w:sz w:val="28"/>
                <w:szCs w:val="28"/>
              </w:rPr>
              <w:t>报警故障/报警系统断电，潜在供氧故障时未报警</w:t>
            </w:r>
          </w:p>
        </w:tc>
      </w:tr>
      <w:tr w14:paraId="304F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pct"/>
            <w:vMerge w:val="continue"/>
            <w:tcBorders>
              <w:left w:val="single" w:color="auto" w:sz="4" w:space="0"/>
              <w:right w:val="single" w:color="auto" w:sz="4" w:space="0"/>
            </w:tcBorders>
            <w:vAlign w:val="center"/>
          </w:tcPr>
          <w:p w14:paraId="53FC4D6E">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0B46D354">
            <w:pPr>
              <w:spacing w:line="520" w:lineRule="exact"/>
              <w:rPr>
                <w:rFonts w:eastAsia="仿宋_GB2312"/>
                <w:sz w:val="28"/>
                <w:szCs w:val="28"/>
              </w:rPr>
            </w:pPr>
            <w:r>
              <w:rPr>
                <w:rFonts w:eastAsia="仿宋_GB2312"/>
                <w:sz w:val="28"/>
                <w:szCs w:val="28"/>
              </w:rPr>
              <w:t>电气部件的运行故障可能会导致供电中断</w:t>
            </w:r>
          </w:p>
        </w:tc>
      </w:tr>
      <w:tr w14:paraId="3B31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1" w:type="pct"/>
            <w:vMerge w:val="continue"/>
            <w:tcBorders>
              <w:left w:val="single" w:color="auto" w:sz="4" w:space="0"/>
              <w:right w:val="single" w:color="auto" w:sz="4" w:space="0"/>
            </w:tcBorders>
            <w:vAlign w:val="center"/>
          </w:tcPr>
          <w:p w14:paraId="0689D0DD">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1E1DEA28">
            <w:pPr>
              <w:spacing w:line="520" w:lineRule="exact"/>
              <w:rPr>
                <w:rFonts w:eastAsia="仿宋_GB2312"/>
                <w:sz w:val="28"/>
                <w:szCs w:val="28"/>
              </w:rPr>
            </w:pPr>
            <w:r>
              <w:rPr>
                <w:rFonts w:eastAsia="仿宋_GB2312"/>
                <w:sz w:val="28"/>
                <w:szCs w:val="28"/>
              </w:rPr>
              <w:t>关键部件出现故障，气源存在潜在损失</w:t>
            </w:r>
          </w:p>
        </w:tc>
      </w:tr>
      <w:tr w14:paraId="0EBA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1" w:type="pct"/>
            <w:vMerge w:val="continue"/>
            <w:tcBorders>
              <w:left w:val="single" w:color="auto" w:sz="4" w:space="0"/>
              <w:right w:val="single" w:color="auto" w:sz="4" w:space="0"/>
            </w:tcBorders>
            <w:vAlign w:val="center"/>
          </w:tcPr>
          <w:p w14:paraId="62D201F4">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191C2909">
            <w:pPr>
              <w:spacing w:line="520" w:lineRule="exact"/>
              <w:rPr>
                <w:rFonts w:eastAsia="仿宋_GB2312"/>
                <w:sz w:val="28"/>
                <w:szCs w:val="28"/>
              </w:rPr>
            </w:pPr>
            <w:r>
              <w:rPr>
                <w:rFonts w:eastAsia="仿宋_GB2312"/>
                <w:sz w:val="28"/>
                <w:szCs w:val="28"/>
              </w:rPr>
              <w:t>管网泄漏，造成潜在的火灾风险、存在窒息的潜在风险、终端供氧不足或减少</w:t>
            </w:r>
          </w:p>
        </w:tc>
      </w:tr>
      <w:tr w14:paraId="1EF5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1" w:type="pct"/>
            <w:vMerge w:val="continue"/>
            <w:tcBorders>
              <w:left w:val="single" w:color="auto" w:sz="4" w:space="0"/>
              <w:bottom w:val="single" w:color="auto" w:sz="4" w:space="0"/>
              <w:right w:val="single" w:color="auto" w:sz="4" w:space="0"/>
            </w:tcBorders>
            <w:vAlign w:val="center"/>
          </w:tcPr>
          <w:p w14:paraId="2238A99E">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C13E921">
            <w:pPr>
              <w:spacing w:line="520" w:lineRule="exact"/>
              <w:rPr>
                <w:rFonts w:eastAsia="仿宋_GB2312"/>
                <w:sz w:val="28"/>
                <w:szCs w:val="28"/>
              </w:rPr>
            </w:pPr>
            <w:r>
              <w:rPr>
                <w:rFonts w:eastAsia="仿宋_GB2312"/>
                <w:sz w:val="28"/>
                <w:szCs w:val="28"/>
              </w:rPr>
              <w:t>使用两种不同质量的氧源（93氧气与纯氧），视患者的情况而定，氧气浓度可能会对患者的治疗产生不利影响</w:t>
            </w:r>
          </w:p>
        </w:tc>
      </w:tr>
      <w:tr w14:paraId="7E2F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14:paraId="1A354D94">
            <w:pPr>
              <w:spacing w:line="520" w:lineRule="exact"/>
              <w:rPr>
                <w:rFonts w:eastAsia="仿宋_GB2312"/>
                <w:sz w:val="28"/>
                <w:szCs w:val="28"/>
              </w:rPr>
            </w:pPr>
            <w:r>
              <w:rPr>
                <w:rFonts w:eastAsia="仿宋_GB2312"/>
                <w:sz w:val="28"/>
                <w:szCs w:val="28"/>
              </w:rPr>
              <w:t>坠落</w:t>
            </w:r>
          </w:p>
        </w:tc>
        <w:tc>
          <w:tcPr>
            <w:tcW w:w="4149" w:type="pct"/>
            <w:tcBorders>
              <w:top w:val="single" w:color="auto" w:sz="4" w:space="0"/>
              <w:left w:val="single" w:color="auto" w:sz="4" w:space="0"/>
              <w:bottom w:val="single" w:color="auto" w:sz="4" w:space="0"/>
              <w:right w:val="single" w:color="auto" w:sz="4" w:space="0"/>
            </w:tcBorders>
            <w:vAlign w:val="center"/>
          </w:tcPr>
          <w:p w14:paraId="500234D2">
            <w:pPr>
              <w:spacing w:line="520" w:lineRule="exact"/>
              <w:rPr>
                <w:rFonts w:eastAsia="仿宋_GB2312"/>
                <w:sz w:val="28"/>
                <w:szCs w:val="28"/>
              </w:rPr>
            </w:pPr>
            <w:r>
              <w:rPr>
                <w:rFonts w:eastAsia="仿宋_GB2312"/>
                <w:sz w:val="28"/>
                <w:szCs w:val="28"/>
              </w:rPr>
              <w:t>因在运输过程中不小心或在卸货时不小心将系统组件摔坏或撞坏，可能出现因变形而不能正常使用，导致产生漏气或不能出气现象，不能给患者正常供气</w:t>
            </w:r>
          </w:p>
        </w:tc>
      </w:tr>
      <w:tr w14:paraId="0C83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14:paraId="2EF511CB">
            <w:pPr>
              <w:spacing w:line="520" w:lineRule="exact"/>
              <w:rPr>
                <w:rFonts w:eastAsia="仿宋_GB2312"/>
                <w:sz w:val="28"/>
                <w:szCs w:val="28"/>
              </w:rPr>
            </w:pPr>
            <w:r>
              <w:rPr>
                <w:rFonts w:eastAsia="仿宋_GB2312"/>
                <w:sz w:val="28"/>
                <w:szCs w:val="28"/>
              </w:rPr>
              <w:t>不正确的</w:t>
            </w:r>
          </w:p>
          <w:p w14:paraId="2E20BFE1">
            <w:pPr>
              <w:spacing w:line="520" w:lineRule="exact"/>
              <w:rPr>
                <w:rFonts w:eastAsia="仿宋_GB2312"/>
                <w:sz w:val="28"/>
                <w:szCs w:val="28"/>
              </w:rPr>
            </w:pPr>
            <w:r>
              <w:rPr>
                <w:rFonts w:eastAsia="仿宋_GB2312"/>
                <w:sz w:val="28"/>
                <w:szCs w:val="28"/>
              </w:rPr>
              <w:t>测量</w:t>
            </w:r>
          </w:p>
        </w:tc>
        <w:tc>
          <w:tcPr>
            <w:tcW w:w="4149" w:type="pct"/>
            <w:tcBorders>
              <w:top w:val="single" w:color="auto" w:sz="4" w:space="0"/>
              <w:left w:val="single" w:color="auto" w:sz="4" w:space="0"/>
              <w:bottom w:val="single" w:color="auto" w:sz="4" w:space="0"/>
              <w:right w:val="single" w:color="auto" w:sz="4" w:space="0"/>
            </w:tcBorders>
            <w:vAlign w:val="center"/>
          </w:tcPr>
          <w:p w14:paraId="12A1F382">
            <w:pPr>
              <w:spacing w:line="520" w:lineRule="exact"/>
              <w:rPr>
                <w:rFonts w:eastAsia="仿宋_GB2312"/>
                <w:sz w:val="28"/>
                <w:szCs w:val="28"/>
              </w:rPr>
            </w:pPr>
            <w:r>
              <w:rPr>
                <w:rFonts w:eastAsia="仿宋_GB2312"/>
                <w:sz w:val="28"/>
                <w:szCs w:val="28"/>
              </w:rPr>
              <w:t>压力表未经校准或者损坏，出现压力输出偏差，导致输出过高或过低的氧气压力</w:t>
            </w:r>
          </w:p>
        </w:tc>
      </w:tr>
      <w:tr w14:paraId="1A76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51" w:type="pct"/>
            <w:vMerge w:val="restart"/>
            <w:tcBorders>
              <w:top w:val="single" w:color="auto" w:sz="4" w:space="0"/>
              <w:left w:val="single" w:color="auto" w:sz="4" w:space="0"/>
              <w:right w:val="single" w:color="auto" w:sz="4" w:space="0"/>
            </w:tcBorders>
            <w:vAlign w:val="center"/>
          </w:tcPr>
          <w:p w14:paraId="2EEBFE67">
            <w:pPr>
              <w:spacing w:line="520" w:lineRule="exact"/>
              <w:rPr>
                <w:rFonts w:eastAsia="仿宋_GB2312"/>
                <w:sz w:val="28"/>
                <w:szCs w:val="28"/>
              </w:rPr>
            </w:pPr>
            <w:r>
              <w:rPr>
                <w:rFonts w:eastAsia="仿宋_GB2312"/>
                <w:sz w:val="28"/>
                <w:szCs w:val="28"/>
              </w:rPr>
              <w:t>操作错误</w:t>
            </w:r>
          </w:p>
        </w:tc>
        <w:tc>
          <w:tcPr>
            <w:tcW w:w="4149" w:type="pct"/>
            <w:tcBorders>
              <w:top w:val="single" w:color="auto" w:sz="4" w:space="0"/>
              <w:left w:val="single" w:color="auto" w:sz="4" w:space="0"/>
              <w:bottom w:val="single" w:color="auto" w:sz="4" w:space="0"/>
              <w:right w:val="single" w:color="auto" w:sz="4" w:space="0"/>
            </w:tcBorders>
            <w:vAlign w:val="center"/>
          </w:tcPr>
          <w:p w14:paraId="1486FC7C">
            <w:pPr>
              <w:spacing w:line="520" w:lineRule="exact"/>
              <w:rPr>
                <w:rFonts w:eastAsia="仿宋_GB2312"/>
                <w:sz w:val="28"/>
                <w:szCs w:val="28"/>
              </w:rPr>
            </w:pPr>
            <w:r>
              <w:rPr>
                <w:rFonts w:eastAsia="仿宋_GB2312"/>
                <w:sz w:val="28"/>
                <w:szCs w:val="28"/>
              </w:rPr>
              <w:t>部件和管道系统的设计或安装不当，管道系统供氧不足</w:t>
            </w:r>
          </w:p>
        </w:tc>
      </w:tr>
      <w:tr w14:paraId="0CF0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51" w:type="pct"/>
            <w:vMerge w:val="continue"/>
            <w:tcBorders>
              <w:left w:val="single" w:color="auto" w:sz="4" w:space="0"/>
              <w:right w:val="single" w:color="auto" w:sz="4" w:space="0"/>
            </w:tcBorders>
            <w:vAlign w:val="center"/>
          </w:tcPr>
          <w:p w14:paraId="0F99BF56">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6CCD052">
            <w:pPr>
              <w:spacing w:line="520" w:lineRule="exact"/>
              <w:rPr>
                <w:rFonts w:eastAsia="仿宋_GB2312"/>
                <w:sz w:val="28"/>
                <w:szCs w:val="28"/>
              </w:rPr>
            </w:pPr>
            <w:r>
              <w:rPr>
                <w:rFonts w:eastAsia="仿宋_GB2312"/>
                <w:sz w:val="28"/>
                <w:szCs w:val="28"/>
              </w:rPr>
              <w:t>使用错误：未经培训的人员使用供氧设备，可能出现错误地设定供氧压力值和错误地操作供氧设备，导致输出过高或过低的氧气压力</w:t>
            </w:r>
          </w:p>
        </w:tc>
      </w:tr>
      <w:tr w14:paraId="3E62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851" w:type="pct"/>
            <w:vMerge w:val="continue"/>
            <w:tcBorders>
              <w:left w:val="single" w:color="auto" w:sz="4" w:space="0"/>
              <w:right w:val="single" w:color="auto" w:sz="4" w:space="0"/>
            </w:tcBorders>
            <w:vAlign w:val="center"/>
          </w:tcPr>
          <w:p w14:paraId="24A403E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B23F17A">
            <w:pPr>
              <w:spacing w:line="520" w:lineRule="exact"/>
              <w:rPr>
                <w:rFonts w:eastAsia="仿宋_GB2312"/>
                <w:sz w:val="28"/>
                <w:szCs w:val="28"/>
              </w:rPr>
            </w:pPr>
            <w:r>
              <w:rPr>
                <w:rFonts w:eastAsia="仿宋_GB2312"/>
                <w:sz w:val="28"/>
                <w:szCs w:val="28"/>
              </w:rPr>
              <w:t>设备拆卸后未能正确组装，如空气过滤器、供氧管道的错误连接，及未在使用前进行功能测试，出现无法正常供氧，导致液体/固体溢出，进入中间管路</w:t>
            </w:r>
          </w:p>
        </w:tc>
      </w:tr>
      <w:tr w14:paraId="1537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851" w:type="pct"/>
            <w:vMerge w:val="continue"/>
            <w:tcBorders>
              <w:left w:val="single" w:color="auto" w:sz="4" w:space="0"/>
              <w:right w:val="single" w:color="auto" w:sz="4" w:space="0"/>
            </w:tcBorders>
            <w:vAlign w:val="center"/>
          </w:tcPr>
          <w:p w14:paraId="6998731F">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084FBD01">
            <w:pPr>
              <w:spacing w:line="520" w:lineRule="exact"/>
              <w:rPr>
                <w:rFonts w:eastAsia="仿宋_GB2312"/>
                <w:sz w:val="28"/>
                <w:szCs w:val="28"/>
              </w:rPr>
            </w:pPr>
            <w:r>
              <w:rPr>
                <w:rFonts w:eastAsia="仿宋_GB2312"/>
                <w:sz w:val="28"/>
                <w:szCs w:val="28"/>
              </w:rPr>
              <w:t>在注册申请人规定的使用环境条件外使用产品，出现设备性能下降、失效，导致患者得不到有效治疗</w:t>
            </w:r>
          </w:p>
        </w:tc>
      </w:tr>
      <w:tr w14:paraId="16EF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51" w:type="pct"/>
            <w:vMerge w:val="continue"/>
            <w:tcBorders>
              <w:left w:val="single" w:color="auto" w:sz="4" w:space="0"/>
              <w:right w:val="single" w:color="auto" w:sz="4" w:space="0"/>
            </w:tcBorders>
            <w:vAlign w:val="center"/>
          </w:tcPr>
          <w:p w14:paraId="561537C2">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AA4A40F">
            <w:pPr>
              <w:spacing w:line="520" w:lineRule="exact"/>
              <w:rPr>
                <w:rFonts w:eastAsia="仿宋_GB2312"/>
                <w:sz w:val="28"/>
                <w:szCs w:val="28"/>
              </w:rPr>
            </w:pPr>
            <w:r>
              <w:rPr>
                <w:rFonts w:eastAsia="仿宋_GB2312"/>
                <w:sz w:val="28"/>
                <w:szCs w:val="28"/>
              </w:rPr>
              <w:t>使用不正确的附件，出现供氧功能失效，导致患者得不到治疗</w:t>
            </w:r>
          </w:p>
        </w:tc>
      </w:tr>
      <w:tr w14:paraId="6953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51" w:type="pct"/>
            <w:vMerge w:val="continue"/>
            <w:tcBorders>
              <w:left w:val="single" w:color="auto" w:sz="4" w:space="0"/>
              <w:right w:val="single" w:color="auto" w:sz="4" w:space="0"/>
            </w:tcBorders>
            <w:vAlign w:val="center"/>
          </w:tcPr>
          <w:p w14:paraId="6E486E1C">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71304E06">
            <w:pPr>
              <w:spacing w:line="520" w:lineRule="exact"/>
              <w:rPr>
                <w:rFonts w:eastAsia="仿宋_GB2312"/>
                <w:sz w:val="28"/>
                <w:szCs w:val="28"/>
              </w:rPr>
            </w:pPr>
            <w:r>
              <w:rPr>
                <w:rFonts w:eastAsia="仿宋_GB2312"/>
                <w:sz w:val="28"/>
                <w:szCs w:val="28"/>
              </w:rPr>
              <w:t>未实施规定的保养（如对有油润滑泵加注润滑油），出现设备性能下降、失效，导致产品性能劣化，严重时烧毁</w:t>
            </w:r>
          </w:p>
        </w:tc>
      </w:tr>
      <w:tr w14:paraId="6E23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continue"/>
            <w:tcBorders>
              <w:left w:val="single" w:color="auto" w:sz="4" w:space="0"/>
              <w:right w:val="single" w:color="auto" w:sz="4" w:space="0"/>
            </w:tcBorders>
            <w:vAlign w:val="center"/>
          </w:tcPr>
          <w:p w14:paraId="11907643">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6346F2D0">
            <w:pPr>
              <w:spacing w:line="520" w:lineRule="exact"/>
              <w:rPr>
                <w:rFonts w:eastAsia="仿宋_GB2312"/>
                <w:sz w:val="28"/>
                <w:szCs w:val="28"/>
              </w:rPr>
            </w:pPr>
            <w:r>
              <w:rPr>
                <w:rFonts w:eastAsia="仿宋_GB2312"/>
                <w:sz w:val="28"/>
                <w:szCs w:val="28"/>
              </w:rPr>
              <w:t>未做好颜色及接口区别的供氧端口容易插错，可能导致在急救的紧急状况下，用氧及供氧的使用出现插错</w:t>
            </w:r>
          </w:p>
        </w:tc>
      </w:tr>
      <w:tr w14:paraId="6AD3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continue"/>
            <w:tcBorders>
              <w:left w:val="single" w:color="auto" w:sz="4" w:space="0"/>
              <w:right w:val="single" w:color="auto" w:sz="4" w:space="0"/>
            </w:tcBorders>
            <w:vAlign w:val="center"/>
          </w:tcPr>
          <w:p w14:paraId="6C601273">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31ACB10C">
            <w:pPr>
              <w:spacing w:line="520" w:lineRule="exact"/>
              <w:rPr>
                <w:rFonts w:eastAsia="仿宋_GB2312"/>
                <w:sz w:val="28"/>
                <w:szCs w:val="28"/>
              </w:rPr>
            </w:pPr>
            <w:r>
              <w:rPr>
                <w:rFonts w:eastAsia="仿宋_GB2312"/>
                <w:sz w:val="28"/>
                <w:szCs w:val="28"/>
              </w:rPr>
              <w:t>因长期使用，部分附件出现松动或阻塞现象，可能出现漏气或不通气，导致患者要使用时，无气可用</w:t>
            </w:r>
          </w:p>
        </w:tc>
      </w:tr>
      <w:tr w14:paraId="53DF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continue"/>
            <w:tcBorders>
              <w:left w:val="single" w:color="auto" w:sz="4" w:space="0"/>
              <w:bottom w:val="single" w:color="auto" w:sz="4" w:space="0"/>
              <w:right w:val="single" w:color="auto" w:sz="4" w:space="0"/>
            </w:tcBorders>
            <w:vAlign w:val="center"/>
          </w:tcPr>
          <w:p w14:paraId="2C7AED91">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7007C8AD">
            <w:pPr>
              <w:spacing w:line="520" w:lineRule="exact"/>
              <w:rPr>
                <w:rFonts w:eastAsia="仿宋_GB2312"/>
                <w:sz w:val="28"/>
                <w:szCs w:val="28"/>
              </w:rPr>
            </w:pPr>
            <w:r>
              <w:rPr>
                <w:rFonts w:eastAsia="仿宋_GB2312"/>
                <w:sz w:val="28"/>
                <w:szCs w:val="28"/>
              </w:rPr>
              <w:t>未采用优质的附件，院方在使用时方法不得当，不可保证其使用寿命，可能出现漏气或不通气，导致使用寿命提前终止</w:t>
            </w:r>
          </w:p>
        </w:tc>
      </w:tr>
      <w:tr w14:paraId="78E2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1" w:type="pct"/>
            <w:vMerge w:val="restart"/>
            <w:tcBorders>
              <w:top w:val="single" w:color="auto" w:sz="4" w:space="0"/>
              <w:left w:val="single" w:color="auto" w:sz="4" w:space="0"/>
              <w:bottom w:val="single" w:color="auto" w:sz="4" w:space="0"/>
              <w:right w:val="single" w:color="auto" w:sz="4" w:space="0"/>
            </w:tcBorders>
            <w:vAlign w:val="center"/>
          </w:tcPr>
          <w:p w14:paraId="64C0C62B">
            <w:pPr>
              <w:spacing w:line="520" w:lineRule="exact"/>
              <w:rPr>
                <w:rFonts w:eastAsia="仿宋_GB2312"/>
                <w:sz w:val="28"/>
                <w:szCs w:val="28"/>
              </w:rPr>
            </w:pPr>
            <w:r>
              <w:rPr>
                <w:rFonts w:eastAsia="仿宋_GB2312"/>
                <w:sz w:val="28"/>
                <w:szCs w:val="28"/>
              </w:rPr>
              <w:t>不完整的</w:t>
            </w:r>
          </w:p>
          <w:p w14:paraId="76128FC6">
            <w:pPr>
              <w:spacing w:line="520" w:lineRule="exact"/>
              <w:rPr>
                <w:rFonts w:eastAsia="仿宋_GB2312"/>
                <w:sz w:val="28"/>
                <w:szCs w:val="28"/>
              </w:rPr>
            </w:pPr>
            <w:r>
              <w:rPr>
                <w:rFonts w:eastAsia="仿宋_GB2312"/>
                <w:sz w:val="28"/>
                <w:szCs w:val="28"/>
              </w:rPr>
              <w:t>说明书</w:t>
            </w:r>
          </w:p>
        </w:tc>
        <w:tc>
          <w:tcPr>
            <w:tcW w:w="4149" w:type="pct"/>
            <w:tcBorders>
              <w:top w:val="single" w:color="auto" w:sz="4" w:space="0"/>
              <w:left w:val="single" w:color="auto" w:sz="4" w:space="0"/>
              <w:bottom w:val="single" w:color="auto" w:sz="4" w:space="0"/>
              <w:right w:val="single" w:color="auto" w:sz="4" w:space="0"/>
            </w:tcBorders>
            <w:vAlign w:val="center"/>
          </w:tcPr>
          <w:p w14:paraId="1B372022">
            <w:pPr>
              <w:spacing w:line="520" w:lineRule="exact"/>
              <w:rPr>
                <w:rFonts w:eastAsia="仿宋_GB2312"/>
                <w:sz w:val="28"/>
                <w:szCs w:val="28"/>
              </w:rPr>
            </w:pPr>
            <w:r>
              <w:rPr>
                <w:rFonts w:eastAsia="仿宋_GB2312"/>
                <w:sz w:val="28"/>
                <w:szCs w:val="28"/>
              </w:rPr>
              <w:t>未对错误操作进行说明，可能出现操作错误，导致患者得不到治疗，组织，粘膜损伤。</w:t>
            </w:r>
          </w:p>
        </w:tc>
      </w:tr>
      <w:tr w14:paraId="564F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69016DB0">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2085A762">
            <w:pPr>
              <w:spacing w:line="520" w:lineRule="exact"/>
              <w:rPr>
                <w:rFonts w:eastAsia="仿宋_GB2312"/>
                <w:sz w:val="28"/>
                <w:szCs w:val="28"/>
              </w:rPr>
            </w:pPr>
            <w:r>
              <w:rPr>
                <w:rFonts w:eastAsia="仿宋_GB2312"/>
                <w:sz w:val="28"/>
                <w:szCs w:val="28"/>
              </w:rPr>
              <w:t>不正确的消毒方法，可能出现使用有腐蚀性的清洁剂、消毒剂，导致产品部件腐蚀，防护性能降低</w:t>
            </w:r>
          </w:p>
        </w:tc>
      </w:tr>
      <w:tr w14:paraId="5027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1170D96E">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5C443C27">
            <w:pPr>
              <w:spacing w:line="520" w:lineRule="exact"/>
              <w:rPr>
                <w:rFonts w:eastAsia="仿宋_GB2312"/>
                <w:sz w:val="28"/>
                <w:szCs w:val="28"/>
              </w:rPr>
            </w:pPr>
            <w:r>
              <w:rPr>
                <w:rFonts w:eastAsia="仿宋_GB2312"/>
                <w:sz w:val="28"/>
                <w:szCs w:val="28"/>
              </w:rPr>
              <w:t>不正确的产品贮存条件，可能出现器件老化，部件寿命降低，导致产品性能降低，寿命缩短</w:t>
            </w:r>
          </w:p>
        </w:tc>
      </w:tr>
      <w:tr w14:paraId="0084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7D2BC925">
            <w:pPr>
              <w:spacing w:line="520" w:lineRule="exact"/>
              <w:rPr>
                <w:rFonts w:eastAsia="仿宋_GB2312"/>
                <w:sz w:val="28"/>
                <w:szCs w:val="28"/>
              </w:rPr>
            </w:pPr>
          </w:p>
        </w:tc>
        <w:tc>
          <w:tcPr>
            <w:tcW w:w="4149" w:type="pct"/>
            <w:tcBorders>
              <w:top w:val="single" w:color="auto" w:sz="4" w:space="0"/>
              <w:left w:val="single" w:color="auto" w:sz="4" w:space="0"/>
              <w:bottom w:val="single" w:color="auto" w:sz="4" w:space="0"/>
              <w:right w:val="single" w:color="auto" w:sz="4" w:space="0"/>
            </w:tcBorders>
            <w:vAlign w:val="center"/>
          </w:tcPr>
          <w:p w14:paraId="3D7D98AC">
            <w:pPr>
              <w:spacing w:line="520" w:lineRule="exact"/>
              <w:rPr>
                <w:rFonts w:eastAsia="仿宋_GB2312"/>
                <w:sz w:val="28"/>
                <w:szCs w:val="28"/>
              </w:rPr>
            </w:pPr>
            <w:r>
              <w:rPr>
                <w:rFonts w:eastAsia="仿宋_GB2312"/>
                <w:sz w:val="28"/>
                <w:szCs w:val="28"/>
              </w:rPr>
              <w:t>未规定校验周期，可能出现压力表偏差，导致不正确的测量</w:t>
            </w:r>
          </w:p>
        </w:tc>
      </w:tr>
    </w:tbl>
    <w:p w14:paraId="292207FF">
      <w:pPr>
        <w:spacing w:line="520" w:lineRule="exact"/>
        <w:ind w:firstLine="640" w:firstLineChars="200"/>
        <w:rPr>
          <w:rFonts w:eastAsia="仿宋_GB2312"/>
          <w:sz w:val="32"/>
          <w:szCs w:val="32"/>
        </w:rPr>
      </w:pPr>
    </w:p>
    <w:p w14:paraId="5EEDC983">
      <w:pPr>
        <w:spacing w:line="520" w:lineRule="exact"/>
        <w:ind w:firstLine="640" w:firstLineChars="200"/>
        <w:outlineLvl w:val="1"/>
        <w:rPr>
          <w:rFonts w:eastAsia="仿宋_GB2312"/>
          <w:sz w:val="32"/>
          <w:szCs w:val="32"/>
        </w:rPr>
      </w:pPr>
      <w:r>
        <w:rPr>
          <w:rFonts w:eastAsia="仿宋_GB2312"/>
          <w:sz w:val="32"/>
          <w:szCs w:val="32"/>
        </w:rPr>
        <w:t>2.产品技术要求应包括的主要性能指标</w:t>
      </w:r>
    </w:p>
    <w:p w14:paraId="52516881">
      <w:pPr>
        <w:spacing w:line="520" w:lineRule="exact"/>
        <w:ind w:firstLine="640" w:firstLineChars="200"/>
        <w:rPr>
          <w:rFonts w:eastAsia="仿宋_GB2312"/>
          <w:sz w:val="32"/>
          <w:szCs w:val="32"/>
        </w:rPr>
      </w:pPr>
      <w:r>
        <w:rPr>
          <w:rFonts w:eastAsia="仿宋_GB2312"/>
          <w:sz w:val="32"/>
          <w:szCs w:val="32"/>
        </w:rPr>
        <w:t>不同的医用中心供氧系统其结构根据设计要求会有所区别。本指导原则列出此类产品可能涉及的重要性能参数，注册申请人可根据自身产品的技术特点制定性能指标的具体要求。若产品具有其他部件或功能，应符合相应国家标准和行业标准要求。</w:t>
      </w:r>
    </w:p>
    <w:p w14:paraId="642E6217">
      <w:pPr>
        <w:spacing w:line="520" w:lineRule="exact"/>
        <w:ind w:firstLine="640" w:firstLineChars="200"/>
        <w:rPr>
          <w:rFonts w:eastAsia="黑体"/>
          <w:sz w:val="28"/>
          <w:szCs w:val="28"/>
        </w:rPr>
      </w:pPr>
      <w:r>
        <w:rPr>
          <w:rFonts w:eastAsia="仿宋_GB2312"/>
          <w:sz w:val="32"/>
          <w:szCs w:val="28"/>
        </w:rPr>
        <w:t>2.1主要技术指标</w:t>
      </w:r>
    </w:p>
    <w:p w14:paraId="1CAFC123">
      <w:pPr>
        <w:spacing w:line="520" w:lineRule="exact"/>
        <w:ind w:firstLine="640" w:firstLineChars="200"/>
        <w:rPr>
          <w:rFonts w:eastAsia="仿宋_GB2312"/>
          <w:sz w:val="32"/>
          <w:szCs w:val="28"/>
        </w:rPr>
      </w:pPr>
      <w:r>
        <w:rPr>
          <w:rFonts w:eastAsia="仿宋_GB2312"/>
          <w:sz w:val="32"/>
          <w:szCs w:val="28"/>
        </w:rPr>
        <w:t>2.1.1应符合YY/T 0187的要求。</w:t>
      </w:r>
    </w:p>
    <w:p w14:paraId="26020B97">
      <w:pPr>
        <w:spacing w:line="520" w:lineRule="exact"/>
        <w:ind w:firstLine="640" w:firstLineChars="200"/>
        <w:rPr>
          <w:rFonts w:eastAsia="仿宋_GB2312"/>
          <w:sz w:val="32"/>
          <w:szCs w:val="28"/>
        </w:rPr>
      </w:pPr>
      <w:r>
        <w:rPr>
          <w:rFonts w:eastAsia="仿宋_GB2312"/>
          <w:sz w:val="32"/>
          <w:szCs w:val="28"/>
        </w:rPr>
        <w:t>2.1.2应符合GB 50751中5.2.1、5.2.5（1）、10.2.17的要求。建议执行GB 50751中4.2、5.1、5.2（其中5.2.5（3）、5.2.17（2）提供研究资料）、5.3、6医用气体供应末端设施、7.1.1-7.1.4的要求。</w:t>
      </w:r>
    </w:p>
    <w:p w14:paraId="05AA1DBA">
      <w:pPr>
        <w:spacing w:line="520" w:lineRule="exact"/>
        <w:ind w:firstLine="640" w:firstLineChars="200"/>
        <w:rPr>
          <w:rFonts w:eastAsia="仿宋_GB2312"/>
          <w:sz w:val="32"/>
          <w:szCs w:val="28"/>
        </w:rPr>
      </w:pPr>
      <w:r>
        <w:rPr>
          <w:rFonts w:eastAsia="仿宋_GB2312"/>
          <w:sz w:val="32"/>
          <w:szCs w:val="28"/>
        </w:rPr>
        <w:t>2.1.3高压挠性连接应符合YY/T 1440的要求。</w:t>
      </w:r>
    </w:p>
    <w:p w14:paraId="76545CEA">
      <w:pPr>
        <w:spacing w:line="520" w:lineRule="exact"/>
        <w:ind w:firstLine="640" w:firstLineChars="200"/>
        <w:rPr>
          <w:rFonts w:eastAsia="仿宋_GB2312"/>
          <w:sz w:val="32"/>
          <w:szCs w:val="28"/>
        </w:rPr>
      </w:pPr>
      <w:r>
        <w:rPr>
          <w:rFonts w:eastAsia="仿宋_GB2312"/>
          <w:sz w:val="32"/>
          <w:szCs w:val="28"/>
        </w:rPr>
        <w:t>2.1.4汇流排压力调节器和管道压力调节器应符合YY/T 1439.2的要求。</w:t>
      </w:r>
    </w:p>
    <w:p w14:paraId="6E272837">
      <w:pPr>
        <w:spacing w:line="520" w:lineRule="exact"/>
        <w:ind w:firstLine="640" w:firstLineChars="200"/>
        <w:rPr>
          <w:rFonts w:eastAsia="仿宋_GB2312"/>
          <w:sz w:val="32"/>
          <w:szCs w:val="28"/>
        </w:rPr>
      </w:pPr>
      <w:r>
        <w:rPr>
          <w:rFonts w:eastAsia="仿宋_GB2312"/>
          <w:sz w:val="32"/>
          <w:szCs w:val="28"/>
        </w:rPr>
        <w:t>2.1.5区域报警器应符合YY 9706.108 的要求。</w:t>
      </w:r>
    </w:p>
    <w:p w14:paraId="28BE3F5B">
      <w:pPr>
        <w:spacing w:line="520" w:lineRule="exact"/>
        <w:ind w:firstLine="640" w:firstLineChars="200"/>
        <w:rPr>
          <w:rFonts w:eastAsia="仿宋_GB2312"/>
          <w:sz w:val="32"/>
          <w:szCs w:val="28"/>
        </w:rPr>
      </w:pPr>
      <w:r>
        <w:rPr>
          <w:rFonts w:eastAsia="仿宋_GB2312"/>
          <w:sz w:val="32"/>
          <w:szCs w:val="28"/>
        </w:rPr>
        <w:t>2.1.6医用气体管道系统终端应符合YY 0801.1的要求。</w:t>
      </w:r>
    </w:p>
    <w:p w14:paraId="796AD835">
      <w:pPr>
        <w:spacing w:line="520" w:lineRule="exact"/>
        <w:ind w:firstLine="640" w:firstLineChars="200"/>
        <w:rPr>
          <w:rFonts w:eastAsia="仿宋_GB2312"/>
          <w:sz w:val="32"/>
          <w:szCs w:val="28"/>
        </w:rPr>
      </w:pPr>
      <w:r>
        <w:rPr>
          <w:rFonts w:eastAsia="仿宋_GB2312"/>
          <w:sz w:val="32"/>
          <w:szCs w:val="28"/>
        </w:rPr>
        <w:t>2.1.7网络安全（如适用）</w:t>
      </w:r>
    </w:p>
    <w:p w14:paraId="5B961DDD">
      <w:pPr>
        <w:spacing w:line="520" w:lineRule="exact"/>
        <w:ind w:firstLine="640" w:firstLineChars="200"/>
        <w:rPr>
          <w:rFonts w:eastAsia="仿宋_GB2312"/>
          <w:sz w:val="32"/>
          <w:szCs w:val="28"/>
        </w:rPr>
      </w:pPr>
      <w:r>
        <w:rPr>
          <w:rFonts w:eastAsia="仿宋_GB2312"/>
          <w:sz w:val="32"/>
          <w:szCs w:val="28"/>
        </w:rPr>
        <w:t>明确数据接口、用户访问控制。</w:t>
      </w:r>
    </w:p>
    <w:p w14:paraId="71D7F3CC">
      <w:pPr>
        <w:spacing w:line="520" w:lineRule="exact"/>
        <w:ind w:firstLine="640" w:firstLineChars="200"/>
        <w:rPr>
          <w:rFonts w:eastAsia="仿宋_GB2312"/>
          <w:sz w:val="32"/>
          <w:szCs w:val="28"/>
        </w:rPr>
      </w:pPr>
      <w:r>
        <w:rPr>
          <w:rFonts w:eastAsia="仿宋_GB2312"/>
          <w:sz w:val="32"/>
          <w:szCs w:val="28"/>
        </w:rPr>
        <w:t>2.2安全要求</w:t>
      </w:r>
    </w:p>
    <w:p w14:paraId="0493A300">
      <w:pPr>
        <w:spacing w:line="520" w:lineRule="exact"/>
        <w:ind w:firstLine="640" w:firstLineChars="200"/>
        <w:rPr>
          <w:rFonts w:eastAsia="仿宋_GB2312"/>
          <w:sz w:val="32"/>
          <w:szCs w:val="28"/>
        </w:rPr>
      </w:pPr>
      <w:r>
        <w:rPr>
          <w:rFonts w:eastAsia="仿宋_GB2312"/>
          <w:sz w:val="32"/>
          <w:szCs w:val="28"/>
        </w:rPr>
        <w:t>电气安全应符合GB9706.1，电磁兼容应符合YY 9706.102的要求。</w:t>
      </w:r>
    </w:p>
    <w:p w14:paraId="1F28E6BB">
      <w:pPr>
        <w:spacing w:line="520" w:lineRule="exact"/>
        <w:ind w:firstLine="640" w:firstLineChars="200"/>
        <w:rPr>
          <w:rFonts w:eastAsia="仿宋_GB2312"/>
          <w:sz w:val="32"/>
          <w:szCs w:val="32"/>
        </w:rPr>
      </w:pPr>
      <w:r>
        <w:rPr>
          <w:rFonts w:eastAsia="仿宋_GB2312"/>
          <w:sz w:val="32"/>
          <w:szCs w:val="32"/>
        </w:rPr>
        <w:t>2.3环境试验</w:t>
      </w:r>
    </w:p>
    <w:p w14:paraId="6267D1AE">
      <w:pPr>
        <w:spacing w:line="520" w:lineRule="exact"/>
        <w:ind w:firstLine="640" w:firstLineChars="200"/>
        <w:rPr>
          <w:rFonts w:eastAsia="仿宋_GB2312"/>
          <w:sz w:val="32"/>
          <w:szCs w:val="32"/>
        </w:rPr>
      </w:pPr>
      <w:r>
        <w:rPr>
          <w:rFonts w:eastAsia="仿宋_GB2312"/>
          <w:sz w:val="32"/>
          <w:szCs w:val="32"/>
        </w:rPr>
        <w:t>建议按照GB/T 14710的要求进行试验。环境试验检测项目选取原则为与电气控制部分相关的检测项目（如报警装置对应的相关性能指标）。</w:t>
      </w:r>
    </w:p>
    <w:p w14:paraId="792A9B7A">
      <w:pPr>
        <w:spacing w:line="520" w:lineRule="exact"/>
        <w:ind w:firstLine="640" w:firstLineChars="200"/>
        <w:outlineLvl w:val="1"/>
        <w:rPr>
          <w:rFonts w:eastAsia="仿宋_GB2312"/>
          <w:sz w:val="32"/>
          <w:szCs w:val="32"/>
        </w:rPr>
      </w:pPr>
      <w:r>
        <w:rPr>
          <w:rFonts w:eastAsia="仿宋_GB2312"/>
          <w:sz w:val="32"/>
          <w:szCs w:val="32"/>
        </w:rPr>
        <w:t>3.同一注册单元内注册检验代表产品确定原则和实例</w:t>
      </w:r>
    </w:p>
    <w:p w14:paraId="60D79C77">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检验用产品应当能够代表申请注册产品的安全性和有效性，应充分考虑产品功能、结构组成、控制方式及其他风险等方面；代表产品应是功能最齐全、结构最复杂、风险最高的产品。</w:t>
      </w:r>
    </w:p>
    <w:p w14:paraId="0564309F">
      <w:pPr>
        <w:spacing w:line="520" w:lineRule="exact"/>
        <w:ind w:firstLine="640" w:firstLineChars="200"/>
        <w:rPr>
          <w:rFonts w:eastAsia="仿宋_GB2312"/>
          <w:sz w:val="32"/>
          <w:szCs w:val="28"/>
        </w:rPr>
      </w:pPr>
      <w:r>
        <w:rPr>
          <w:rFonts w:eastAsia="仿宋_GB2312"/>
          <w:sz w:val="32"/>
          <w:szCs w:val="28"/>
        </w:rPr>
        <w:t>如：中心供氧站供氧方式不同的，如产品包含液氧供氧、氧气瓶汇流排供氧、医用分子筛制氧系统供氧，三种供氧方式应分别使用相应的氧源进行配合检测。</w:t>
      </w:r>
    </w:p>
    <w:p w14:paraId="0ADEC424">
      <w:pPr>
        <w:spacing w:line="520" w:lineRule="exact"/>
        <w:ind w:firstLine="640" w:firstLineChars="200"/>
        <w:rPr>
          <w:rFonts w:eastAsia="仿宋_GB2312"/>
          <w:sz w:val="32"/>
          <w:szCs w:val="28"/>
        </w:rPr>
      </w:pPr>
      <w:r>
        <w:rPr>
          <w:rFonts w:eastAsia="仿宋_GB2312"/>
          <w:sz w:val="32"/>
          <w:szCs w:val="28"/>
        </w:rPr>
        <w:t>包含中心供氧站的型号和仅包含管道、阀门、终端的型号，需选择包含中心供氧站的医用中心供氧系统进行典型型号检测。</w:t>
      </w:r>
    </w:p>
    <w:p w14:paraId="1E9990A0">
      <w:pPr>
        <w:spacing w:line="520" w:lineRule="exact"/>
        <w:ind w:firstLine="640" w:firstLineChars="200"/>
        <w:outlineLvl w:val="1"/>
        <w:rPr>
          <w:rFonts w:eastAsia="仿宋_GB2312"/>
          <w:sz w:val="32"/>
          <w:szCs w:val="32"/>
        </w:rPr>
      </w:pPr>
      <w:r>
        <w:rPr>
          <w:rFonts w:eastAsia="仿宋_GB2312"/>
          <w:sz w:val="32"/>
          <w:szCs w:val="32"/>
        </w:rPr>
        <w:t>4.研究资料</w:t>
      </w:r>
    </w:p>
    <w:p w14:paraId="10D309D2">
      <w:pPr>
        <w:spacing w:line="520" w:lineRule="exact"/>
        <w:ind w:firstLine="640" w:firstLineChars="200"/>
        <w:rPr>
          <w:rFonts w:eastAsia="仿宋_GB2312"/>
          <w:sz w:val="32"/>
          <w:szCs w:val="32"/>
        </w:rPr>
      </w:pPr>
      <w:r>
        <w:rPr>
          <w:rFonts w:eastAsia="仿宋_GB2312"/>
          <w:sz w:val="32"/>
          <w:szCs w:val="32"/>
        </w:rPr>
        <w:t>4.1产品性能研究</w:t>
      </w:r>
    </w:p>
    <w:p w14:paraId="7E3743B4">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如适用的国家标准、行业标准中有不适用的条款，也应将不适用的条款及理由予以说明。</w:t>
      </w:r>
    </w:p>
    <w:p w14:paraId="4BFF58BC">
      <w:pPr>
        <w:spacing w:line="520" w:lineRule="exact"/>
        <w:ind w:firstLine="640" w:firstLineChars="200"/>
        <w:rPr>
          <w:rFonts w:eastAsia="仿宋_GB2312"/>
          <w:sz w:val="32"/>
          <w:szCs w:val="28"/>
        </w:rPr>
      </w:pPr>
      <w:r>
        <w:rPr>
          <w:rFonts w:eastAsia="仿宋_GB2312"/>
          <w:sz w:val="32"/>
          <w:szCs w:val="28"/>
        </w:rPr>
        <w:t>GB 50751是强制性国家标准，适用于医疗机构对医用气体工程（包含医用中心供氧系统）设计、施工和验收。对于GB 50751中的强制性条款，必须严格执行。经评估，医用中心供氧系统适用的强制性条款包括5.2.1、5.2.5（1）、10.2.17。根据与产品本身性能的相关性研究，本指导原则还列举了GB 50751中推荐执行的条款，如不适用需明确理由。</w:t>
      </w:r>
    </w:p>
    <w:p w14:paraId="4ED3F0CF">
      <w:pPr>
        <w:spacing w:line="520" w:lineRule="exact"/>
        <w:ind w:firstLine="640" w:firstLineChars="200"/>
        <w:rPr>
          <w:rFonts w:eastAsia="仿宋_GB2312"/>
          <w:sz w:val="32"/>
          <w:szCs w:val="28"/>
        </w:rPr>
      </w:pPr>
      <w:r>
        <w:rPr>
          <w:rFonts w:eastAsia="仿宋_GB2312"/>
          <w:sz w:val="32"/>
          <w:szCs w:val="28"/>
        </w:rPr>
        <w:t>ISO 7396-1：2016中关于监控和报警系统采纳的是IEC 60601-1-8，故相应的安全要求建议采纳GB9706.1。虽然GB9706.1-2020中9706系列标准不适用于由ISO 7396-1覆盖的医用气体管道系统，但考虑到国内已注册产品医用中心供氧系统大部分已执行GB9706.1，且GB 50751附录D中引用GB9706.1，本指导原则认为可继续执行GB9706.1。部分企业如已经采纳GB4793.1和GB/T 18268.1，延续时可直接沿用GB4793.1和GB/T 18268.1，但首次注册建议执行GB9706.1。如ISO 7396-1转换成国内标准，按最新标准规定执行。</w:t>
      </w:r>
    </w:p>
    <w:p w14:paraId="003698EC">
      <w:pPr>
        <w:spacing w:line="520" w:lineRule="exact"/>
        <w:ind w:firstLine="640" w:firstLineChars="200"/>
        <w:rPr>
          <w:rFonts w:eastAsia="仿宋_GB2312"/>
          <w:sz w:val="32"/>
          <w:szCs w:val="28"/>
        </w:rPr>
      </w:pPr>
      <w:r>
        <w:rPr>
          <w:rFonts w:eastAsia="仿宋_GB2312"/>
          <w:sz w:val="32"/>
          <w:szCs w:val="28"/>
        </w:rPr>
        <w:t>ISO7396-1：2016对于临床紧急报警（管道压力超出额定压力±20%）的监测和报警信号，是需要符合IEC 60601-1-8。本指导原则建议区域报警器（根据GB50751，报警分为区域报警和气源报警）执行IEC 60601-1-8的转换标准暨YY0709或YY 9706.108。区域报警器，比如护士站、病房区域氧气压力监测的报警器，应符合YY0709或</w:t>
      </w:r>
      <w:r>
        <w:t xml:space="preserve"> </w:t>
      </w:r>
      <w:r>
        <w:rPr>
          <w:rFonts w:eastAsia="仿宋_GB2312"/>
          <w:sz w:val="32"/>
          <w:szCs w:val="28"/>
        </w:rPr>
        <w:t>YY 9706.108的要求。而对于气源报警，只要求按GB50751和YY/T0187具有相应的报警功能。</w:t>
      </w:r>
    </w:p>
    <w:p w14:paraId="21F76E68">
      <w:pPr>
        <w:spacing w:line="520" w:lineRule="exact"/>
        <w:ind w:firstLine="640" w:firstLineChars="200"/>
        <w:rPr>
          <w:rFonts w:eastAsia="仿宋_GB2312"/>
          <w:bCs/>
          <w:color w:val="000000"/>
          <w:sz w:val="32"/>
          <w:szCs w:val="28"/>
        </w:rPr>
      </w:pPr>
      <w:r>
        <w:rPr>
          <w:rFonts w:eastAsia="仿宋_GB2312"/>
          <w:color w:val="000000"/>
          <w:sz w:val="32"/>
          <w:szCs w:val="28"/>
        </w:rPr>
        <w:t>4.2</w:t>
      </w:r>
      <w:r>
        <w:rPr>
          <w:rFonts w:eastAsia="仿宋_GB2312"/>
          <w:bCs/>
          <w:color w:val="000000"/>
          <w:sz w:val="32"/>
          <w:szCs w:val="28"/>
        </w:rPr>
        <w:t>生物相容性评价研究</w:t>
      </w:r>
    </w:p>
    <w:p w14:paraId="1B08C299">
      <w:pPr>
        <w:spacing w:line="520" w:lineRule="exact"/>
        <w:ind w:firstLine="640" w:firstLineChars="200"/>
        <w:rPr>
          <w:rFonts w:eastAsia="仿宋_GB2312"/>
          <w:sz w:val="32"/>
          <w:szCs w:val="28"/>
        </w:rPr>
      </w:pPr>
      <w:r>
        <w:rPr>
          <w:rFonts w:eastAsia="仿宋_GB2312"/>
          <w:sz w:val="32"/>
          <w:szCs w:val="28"/>
        </w:rPr>
        <w:t>应对产品结构组成中与患者接触部分的生物相容性进行评价。生物相容性评价可根据GB/T 16886.1和《关于印发医疗器械生物学评价和审评指南的通知》的要求进行。生物相容性评价研究资料应当包括：生物相容性评价的依据和方法；产品所用材料的描述及与人体接触的性质；实施或豁免生物学试验的理由和论证；对于现有数据或试验结果的评价。建议有条件的企业根据ISO 18562考虑气体通路相容性要求。</w:t>
      </w:r>
    </w:p>
    <w:p w14:paraId="63E56E56">
      <w:pPr>
        <w:spacing w:line="520" w:lineRule="exact"/>
        <w:ind w:firstLine="640" w:firstLineChars="200"/>
        <w:rPr>
          <w:rFonts w:eastAsia="仿宋_GB2312"/>
          <w:bCs/>
          <w:color w:val="000000"/>
          <w:sz w:val="32"/>
          <w:szCs w:val="28"/>
        </w:rPr>
      </w:pPr>
      <w:r>
        <w:rPr>
          <w:rFonts w:eastAsia="仿宋_GB2312"/>
          <w:color w:val="000000"/>
          <w:sz w:val="32"/>
          <w:szCs w:val="28"/>
        </w:rPr>
        <w:t>4.3</w:t>
      </w:r>
      <w:r>
        <w:rPr>
          <w:rFonts w:eastAsia="仿宋_GB2312"/>
          <w:bCs/>
          <w:color w:val="000000"/>
          <w:sz w:val="32"/>
          <w:szCs w:val="28"/>
        </w:rPr>
        <w:t>灭菌/消毒工艺研究。</w:t>
      </w:r>
    </w:p>
    <w:p w14:paraId="51360FE0">
      <w:pPr>
        <w:spacing w:line="520" w:lineRule="exact"/>
        <w:ind w:firstLine="640" w:firstLineChars="200"/>
        <w:rPr>
          <w:rFonts w:eastAsia="仿宋_GB2312"/>
          <w:bCs/>
          <w:color w:val="000000"/>
          <w:sz w:val="32"/>
          <w:szCs w:val="28"/>
        </w:rPr>
      </w:pPr>
      <w:r>
        <w:rPr>
          <w:rFonts w:eastAsia="仿宋_GB2312"/>
          <w:sz w:val="32"/>
          <w:szCs w:val="28"/>
        </w:rPr>
        <w:t>终端用户消毒：如适用，应明确推荐的消毒工艺（方法和参数）以及所推荐消毒方法确定的依据。</w:t>
      </w:r>
    </w:p>
    <w:p w14:paraId="60AFC390">
      <w:pPr>
        <w:spacing w:line="520" w:lineRule="exact"/>
        <w:ind w:firstLine="640" w:firstLineChars="200"/>
        <w:rPr>
          <w:rFonts w:eastAsia="仿宋_GB2312"/>
          <w:bCs/>
          <w:color w:val="000000"/>
          <w:sz w:val="32"/>
          <w:szCs w:val="28"/>
        </w:rPr>
      </w:pPr>
      <w:r>
        <w:rPr>
          <w:rFonts w:eastAsia="仿宋_GB2312"/>
          <w:color w:val="000000"/>
          <w:sz w:val="32"/>
          <w:szCs w:val="28"/>
        </w:rPr>
        <w:t>4.4</w:t>
      </w:r>
      <w:r>
        <w:rPr>
          <w:rFonts w:eastAsia="仿宋_GB2312"/>
          <w:bCs/>
          <w:color w:val="000000"/>
          <w:sz w:val="32"/>
          <w:szCs w:val="28"/>
        </w:rPr>
        <w:t>产品有效期和包装研究。</w:t>
      </w:r>
    </w:p>
    <w:p w14:paraId="007DC353">
      <w:pPr>
        <w:spacing w:line="520" w:lineRule="exact"/>
        <w:ind w:firstLine="640" w:firstLineChars="200"/>
        <w:rPr>
          <w:rFonts w:eastAsia="仿宋_GB2312"/>
          <w:sz w:val="32"/>
          <w:szCs w:val="28"/>
        </w:rPr>
      </w:pPr>
      <w:r>
        <w:rPr>
          <w:rFonts w:eastAsia="仿宋_GB2312"/>
          <w:sz w:val="32"/>
          <w:szCs w:val="28"/>
        </w:rPr>
        <w:t>有效期参见《有源医疗器械使用期限技术审查指导原则》的相关要求。对</w:t>
      </w:r>
      <w:r>
        <w:rPr>
          <w:rFonts w:eastAsia="仿宋_GB2312"/>
          <w:spacing w:val="-10"/>
          <w:sz w:val="32"/>
          <w:szCs w:val="28"/>
        </w:rPr>
        <w:t>于有限次重复使用的医疗器械，应当提供使用次数验证资料。</w:t>
      </w:r>
    </w:p>
    <w:p w14:paraId="33C21092">
      <w:pPr>
        <w:spacing w:line="520" w:lineRule="exact"/>
        <w:ind w:firstLine="640" w:firstLineChars="200"/>
        <w:rPr>
          <w:rFonts w:eastAsia="仿宋_GB2312"/>
          <w:bCs/>
          <w:color w:val="000000"/>
          <w:sz w:val="32"/>
          <w:szCs w:val="28"/>
        </w:rPr>
      </w:pPr>
      <w:r>
        <w:rPr>
          <w:rFonts w:eastAsia="仿宋_GB2312"/>
          <w:sz w:val="32"/>
          <w:szCs w:val="28"/>
        </w:rPr>
        <w:t>包装及包装完整性：在宣称的有效期内以及运输储存条件下，保持包装完整性的依据。</w:t>
      </w:r>
    </w:p>
    <w:p w14:paraId="200C45CE">
      <w:pPr>
        <w:spacing w:line="520" w:lineRule="exact"/>
        <w:ind w:firstLine="640" w:firstLineChars="200"/>
        <w:rPr>
          <w:rFonts w:eastAsia="仿宋_GB2312"/>
          <w:bCs/>
          <w:color w:val="000000"/>
          <w:sz w:val="32"/>
          <w:szCs w:val="28"/>
        </w:rPr>
      </w:pPr>
      <w:r>
        <w:rPr>
          <w:rFonts w:eastAsia="仿宋_GB2312"/>
          <w:bCs/>
          <w:color w:val="000000"/>
          <w:sz w:val="32"/>
          <w:szCs w:val="28"/>
        </w:rPr>
        <w:t>4.5软件研究</w:t>
      </w:r>
    </w:p>
    <w:p w14:paraId="3B66C2B7">
      <w:pPr>
        <w:spacing w:line="520" w:lineRule="exact"/>
        <w:ind w:firstLine="640" w:firstLineChars="200"/>
        <w:rPr>
          <w:rFonts w:eastAsia="仿宋_GB2312"/>
          <w:sz w:val="32"/>
          <w:szCs w:val="32"/>
        </w:rPr>
      </w:pPr>
      <w:r>
        <w:rPr>
          <w:rFonts w:eastAsia="仿宋_GB2312"/>
          <w:sz w:val="32"/>
          <w:szCs w:val="32"/>
        </w:rPr>
        <w:t>应参照《医疗器械软件注册技术审查指导原则》</w:t>
      </w:r>
      <w:r>
        <w:rPr>
          <w:rFonts w:eastAsia="仿宋_GB2312"/>
          <w:sz w:val="32"/>
        </w:rPr>
        <w:t>的</w:t>
      </w:r>
      <w:r>
        <w:rPr>
          <w:rFonts w:eastAsia="仿宋_GB2312"/>
          <w:sz w:val="32"/>
          <w:szCs w:val="32"/>
        </w:rPr>
        <w:t>相关要求提交软件研究报告。</w:t>
      </w:r>
    </w:p>
    <w:p w14:paraId="73966605">
      <w:pPr>
        <w:spacing w:line="520" w:lineRule="exact"/>
        <w:ind w:firstLine="640" w:firstLineChars="200"/>
        <w:rPr>
          <w:rFonts w:eastAsia="仿宋_GB2312"/>
          <w:color w:val="000000"/>
          <w:sz w:val="32"/>
          <w:szCs w:val="28"/>
        </w:rPr>
      </w:pPr>
      <w:r>
        <w:rPr>
          <w:rFonts w:eastAsia="仿宋_GB2312"/>
          <w:sz w:val="32"/>
          <w:szCs w:val="32"/>
        </w:rPr>
        <w:t>若适用，还应当按照《医疗器械网络安全注册技术审查指导原则》的要求提交网络安全研究报告。</w:t>
      </w:r>
    </w:p>
    <w:p w14:paraId="38D8E36E">
      <w:pPr>
        <w:spacing w:line="520" w:lineRule="exact"/>
        <w:ind w:firstLine="640" w:firstLineChars="200"/>
        <w:outlineLvl w:val="1"/>
        <w:rPr>
          <w:rFonts w:eastAsia="仿宋_GB2312"/>
          <w:sz w:val="32"/>
          <w:szCs w:val="32"/>
        </w:rPr>
      </w:pPr>
      <w:r>
        <w:rPr>
          <w:rFonts w:eastAsia="仿宋_GB2312"/>
          <w:sz w:val="32"/>
          <w:szCs w:val="32"/>
        </w:rPr>
        <w:t>5.证明产品安全性、有效性的其他研究资料。</w:t>
      </w:r>
    </w:p>
    <w:p w14:paraId="67073EBF">
      <w:pPr>
        <w:numPr>
          <w:ilvl w:val="255"/>
          <w:numId w:val="0"/>
        </w:numPr>
        <w:spacing w:line="520" w:lineRule="exact"/>
        <w:ind w:firstLine="640" w:firstLineChars="200"/>
        <w:rPr>
          <w:rFonts w:eastAsia="仿宋_GB2312"/>
          <w:sz w:val="32"/>
          <w:szCs w:val="32"/>
        </w:rPr>
      </w:pPr>
      <w:r>
        <w:rPr>
          <w:rFonts w:eastAsia="仿宋_GB2312"/>
          <w:sz w:val="32"/>
          <w:szCs w:val="32"/>
        </w:rPr>
        <w:t>需根据YY/T 0882考虑医用中心供氧系统与氧气的兼容性，并提供研究资料。无缝不锈钢管和铜管需分别提供与氧气的兼容性研究资料。对于碳氢化合物含量需提供风险分析资料以及采取哪些措施控制并减少碳氢化合物含量。</w:t>
      </w:r>
    </w:p>
    <w:p w14:paraId="4A640EA6">
      <w:pPr>
        <w:numPr>
          <w:ilvl w:val="255"/>
          <w:numId w:val="0"/>
        </w:numPr>
        <w:spacing w:line="520" w:lineRule="exact"/>
        <w:ind w:firstLine="640" w:firstLineChars="200"/>
        <w:rPr>
          <w:rFonts w:eastAsia="仿宋_GB2312"/>
          <w:sz w:val="32"/>
          <w:szCs w:val="32"/>
        </w:rPr>
      </w:pPr>
      <w:r>
        <w:rPr>
          <w:rFonts w:eastAsia="仿宋_GB2312"/>
          <w:sz w:val="32"/>
          <w:szCs w:val="32"/>
        </w:rPr>
        <w:t>与氧气接触的阀门、密封元件、过滤器等管道或附件，其材料与氧气不得产生有火灾危险、毒性或腐蚀性危害的物质，需提供研究资料。</w:t>
      </w:r>
    </w:p>
    <w:p w14:paraId="1CEF6B92">
      <w:pPr>
        <w:spacing w:line="520" w:lineRule="exact"/>
        <w:ind w:firstLine="640" w:firstLineChars="200"/>
        <w:outlineLvl w:val="1"/>
        <w:rPr>
          <w:rFonts w:eastAsia="楷体_GB2312"/>
          <w:bCs/>
          <w:iCs/>
          <w:sz w:val="32"/>
          <w:szCs w:val="28"/>
        </w:rPr>
      </w:pPr>
      <w:r>
        <w:rPr>
          <w:rFonts w:eastAsia="楷体_GB2312"/>
          <w:bCs/>
          <w:iCs/>
          <w:sz w:val="32"/>
          <w:szCs w:val="28"/>
        </w:rPr>
        <w:t>（四）临床评价资料</w:t>
      </w:r>
    </w:p>
    <w:p w14:paraId="25198C8C">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不适用。</w:t>
      </w:r>
    </w:p>
    <w:p w14:paraId="70172DF4">
      <w:pPr>
        <w:spacing w:line="520" w:lineRule="exact"/>
        <w:ind w:firstLine="640" w:firstLineChars="200"/>
        <w:outlineLvl w:val="1"/>
        <w:rPr>
          <w:rFonts w:eastAsia="楷体_GB2312"/>
          <w:bCs/>
          <w:iCs/>
          <w:sz w:val="32"/>
          <w:szCs w:val="28"/>
        </w:rPr>
      </w:pPr>
      <w:r>
        <w:rPr>
          <w:rFonts w:eastAsia="楷体_GB2312"/>
          <w:bCs/>
          <w:iCs/>
          <w:sz w:val="32"/>
          <w:szCs w:val="28"/>
        </w:rPr>
        <w:t>（五）其他资料</w:t>
      </w:r>
    </w:p>
    <w:p w14:paraId="7AC41CA8">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医用中心供氧系统已列入《免于临床评价医疗器械目录》（以下简称《目录》）“医用气体管道系统-供氧系统”，可免于提交临床评价资料。注册申请人应当按照《列入免于进行临床评价医疗器械目录产品对比说明技术指导原则》，从基本原理、结构组成、性能、安全性、适用范围等方面，证明产品的安全有效性。</w:t>
      </w:r>
    </w:p>
    <w:p w14:paraId="6A972531">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若无法证明申报产品与《目录》产品具有等同性，则应提交临床评价资料。</w:t>
      </w:r>
    </w:p>
    <w:p w14:paraId="0EA67F62">
      <w:pPr>
        <w:spacing w:line="520" w:lineRule="exact"/>
        <w:ind w:firstLine="640" w:firstLineChars="200"/>
        <w:outlineLvl w:val="1"/>
        <w:rPr>
          <w:rFonts w:eastAsia="楷体_GB2312"/>
          <w:bCs/>
          <w:iCs/>
          <w:sz w:val="32"/>
          <w:szCs w:val="28"/>
        </w:rPr>
      </w:pPr>
      <w:r>
        <w:rPr>
          <w:rFonts w:eastAsia="楷体_GB2312"/>
          <w:bCs/>
          <w:iCs/>
          <w:sz w:val="32"/>
          <w:szCs w:val="28"/>
        </w:rPr>
        <w:t>（六）产品说明书和标签要求</w:t>
      </w:r>
    </w:p>
    <w:p w14:paraId="5172F37A">
      <w:pPr>
        <w:spacing w:line="520" w:lineRule="exact"/>
        <w:ind w:firstLine="640" w:firstLineChars="200"/>
        <w:rPr>
          <w:rFonts w:eastAsia="仿宋_GB2312"/>
          <w:sz w:val="32"/>
          <w:szCs w:val="28"/>
        </w:rPr>
      </w:pPr>
      <w:r>
        <w:rPr>
          <w:rFonts w:eastAsia="仿宋_GB2312"/>
          <w:sz w:val="32"/>
          <w:szCs w:val="28"/>
        </w:rPr>
        <w:t>说</w:t>
      </w:r>
      <w:r>
        <w:rPr>
          <w:rFonts w:eastAsia="仿宋_GB2312"/>
          <w:spacing w:val="2"/>
          <w:sz w:val="32"/>
          <w:szCs w:val="28"/>
        </w:rPr>
        <w:t>明书和标签应当符合《医疗器械说明书和标签管理规定》有关要求，</w:t>
      </w:r>
      <w:r>
        <w:rPr>
          <w:rFonts w:eastAsia="仿宋_GB2312"/>
          <w:sz w:val="32"/>
          <w:szCs w:val="28"/>
        </w:rPr>
        <w:t>并参照相应国家标准、行业标准的要求进行编写。说明书还应关注以下内容：</w:t>
      </w:r>
    </w:p>
    <w:p w14:paraId="5A231EDD">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1.产品适用范围、主要性能指标、软件发布版本。</w:t>
      </w:r>
    </w:p>
    <w:p w14:paraId="6A0119DA">
      <w:pPr>
        <w:autoSpaceDE w:val="0"/>
        <w:autoSpaceDN w:val="0"/>
        <w:spacing w:line="520" w:lineRule="exact"/>
        <w:ind w:firstLine="640" w:firstLineChars="200"/>
        <w:rPr>
          <w:rFonts w:eastAsia="仿宋_GB2312"/>
          <w:kern w:val="0"/>
          <w:sz w:val="32"/>
          <w:szCs w:val="32"/>
        </w:rPr>
      </w:pPr>
      <w:r>
        <w:rPr>
          <w:rFonts w:eastAsia="仿宋_GB2312"/>
          <w:kern w:val="0"/>
          <w:sz w:val="32"/>
          <w:szCs w:val="32"/>
        </w:rPr>
        <w:t>2.关于产品安装的说明，明确按GB50751进行施工安装，此外，特别提示以下内容：</w:t>
      </w:r>
    </w:p>
    <w:p w14:paraId="18D4D95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（1）医用氧气供应源、医用分子筛制氧机组供应源,必须设置应急备用电源。</w:t>
      </w:r>
    </w:p>
    <w:p w14:paraId="0840EC9A">
      <w:pPr>
        <w:autoSpaceDE w:val="0"/>
        <w:autoSpaceDN w:val="0"/>
        <w:spacing w:line="520" w:lineRule="exact"/>
        <w:ind w:firstLine="640" w:firstLineChars="200"/>
        <w:rPr>
          <w:rFonts w:eastAsia="仿宋_GB2312"/>
          <w:kern w:val="0"/>
          <w:sz w:val="32"/>
          <w:szCs w:val="32"/>
        </w:rPr>
      </w:pPr>
      <w:r>
        <w:rPr>
          <w:rFonts w:eastAsia="仿宋_GB2312"/>
          <w:kern w:val="0"/>
          <w:sz w:val="32"/>
          <w:szCs w:val="32"/>
        </w:rPr>
        <w:t>（2）医用氧气的排气放散管均应接至室外安全处。</w:t>
      </w:r>
    </w:p>
    <w:p w14:paraId="0502B62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（3）医用液氧贮罐与医疗卫生机构内部建筑物、构筑物之间的防火间距,不应小于GB 50751表4.6.4的规定。</w:t>
      </w:r>
    </w:p>
    <w:p w14:paraId="20412988">
      <w:pPr>
        <w:autoSpaceDE w:val="0"/>
        <w:autoSpaceDN w:val="0"/>
        <w:spacing w:line="520" w:lineRule="exact"/>
        <w:ind w:firstLine="640" w:firstLineChars="200"/>
        <w:rPr>
          <w:rFonts w:eastAsia="仿宋_GB2312"/>
          <w:kern w:val="0"/>
          <w:sz w:val="32"/>
          <w:szCs w:val="32"/>
        </w:rPr>
      </w:pPr>
      <w:r>
        <w:rPr>
          <w:rFonts w:eastAsia="仿宋_GB2312"/>
          <w:kern w:val="0"/>
          <w:sz w:val="32"/>
          <w:szCs w:val="32"/>
        </w:rPr>
        <w:t>（4）医用氧气供应源均不应设置在地下空间或半地下空间。</w:t>
      </w:r>
    </w:p>
    <w:p w14:paraId="662DCD85">
      <w:pPr>
        <w:autoSpaceDE w:val="0"/>
        <w:autoSpaceDN w:val="0"/>
        <w:spacing w:line="520" w:lineRule="exact"/>
        <w:ind w:firstLine="640" w:firstLineChars="200"/>
        <w:rPr>
          <w:rFonts w:eastAsia="仿宋_GB2312"/>
          <w:kern w:val="0"/>
          <w:sz w:val="32"/>
          <w:szCs w:val="32"/>
        </w:rPr>
      </w:pPr>
      <w:r>
        <w:rPr>
          <w:rFonts w:eastAsia="仿宋_GB2312"/>
          <w:kern w:val="0"/>
          <w:sz w:val="32"/>
          <w:szCs w:val="32"/>
        </w:rPr>
        <w:t>（5）焊接施工现场应保持空气流通或单独供应呼吸气体。</w:t>
      </w:r>
    </w:p>
    <w:p w14:paraId="100BEEC2">
      <w:pPr>
        <w:autoSpaceDE w:val="0"/>
        <w:autoSpaceDN w:val="0"/>
        <w:spacing w:line="520" w:lineRule="exact"/>
        <w:ind w:firstLine="640" w:firstLineChars="200"/>
        <w:rPr>
          <w:rFonts w:eastAsia="仿宋_GB2312"/>
          <w:kern w:val="0"/>
          <w:sz w:val="32"/>
          <w:szCs w:val="32"/>
        </w:rPr>
      </w:pPr>
      <w:r>
        <w:rPr>
          <w:rFonts w:eastAsia="仿宋_GB2312"/>
          <w:kern w:val="0"/>
          <w:sz w:val="32"/>
          <w:szCs w:val="32"/>
        </w:rPr>
        <w:t>（6）输送氧气含量超过23.5%的管道与设备施工时,严禁使用油膏。</w:t>
      </w:r>
    </w:p>
    <w:p w14:paraId="033360FC">
      <w:pPr>
        <w:autoSpaceDE w:val="0"/>
        <w:autoSpaceDN w:val="0"/>
        <w:spacing w:line="520" w:lineRule="exact"/>
        <w:ind w:firstLine="640" w:firstLineChars="200"/>
        <w:rPr>
          <w:rFonts w:eastAsia="仿宋_GB2312"/>
          <w:kern w:val="0"/>
          <w:sz w:val="32"/>
          <w:szCs w:val="32"/>
        </w:rPr>
      </w:pPr>
      <w:r>
        <w:rPr>
          <w:rFonts w:eastAsia="仿宋_GB2312"/>
          <w:kern w:val="0"/>
          <w:sz w:val="32"/>
          <w:szCs w:val="32"/>
        </w:rPr>
        <w:t>（7）氧气终端组件建议按GB 50751表A.0.1的设置要求。</w:t>
      </w:r>
    </w:p>
    <w:p w14:paraId="61D78C93">
      <w:pPr>
        <w:autoSpaceDE w:val="0"/>
        <w:autoSpaceDN w:val="0"/>
        <w:spacing w:line="520" w:lineRule="exact"/>
        <w:ind w:firstLine="640" w:firstLineChars="200"/>
        <w:rPr>
          <w:rFonts w:eastAsia="仿宋_GB2312"/>
          <w:kern w:val="0"/>
          <w:sz w:val="32"/>
          <w:szCs w:val="32"/>
        </w:rPr>
      </w:pPr>
      <w:r>
        <w:rPr>
          <w:rFonts w:eastAsia="仿宋_GB2312"/>
          <w:kern w:val="0"/>
          <w:sz w:val="32"/>
          <w:szCs w:val="32"/>
        </w:rPr>
        <w:t>3.与产品配合使用的液氧罐应符合GB150.1和GB/T18442.1- GB/T18442.6等标准的要求，并提供相应的特种设备许可证明文件。</w:t>
      </w:r>
    </w:p>
    <w:p w14:paraId="158A3C48">
      <w:pPr>
        <w:autoSpaceDE w:val="0"/>
        <w:autoSpaceDN w:val="0"/>
        <w:spacing w:line="520" w:lineRule="exact"/>
        <w:ind w:firstLine="640" w:firstLineChars="200"/>
        <w:rPr>
          <w:rFonts w:eastAsia="仿宋_GB2312"/>
          <w:kern w:val="0"/>
          <w:sz w:val="32"/>
          <w:szCs w:val="32"/>
        </w:rPr>
      </w:pPr>
      <w:r>
        <w:rPr>
          <w:rFonts w:eastAsia="仿宋_GB2312"/>
          <w:kern w:val="0"/>
          <w:sz w:val="32"/>
          <w:szCs w:val="32"/>
        </w:rPr>
        <w:t>4.对于产品使用方法、产品寿命、维护保养等情况的说明。说明终端密封件的定期检查维护以及更换周期。</w:t>
      </w:r>
    </w:p>
    <w:p w14:paraId="25668454">
      <w:pPr>
        <w:autoSpaceDE w:val="0"/>
        <w:autoSpaceDN w:val="0"/>
        <w:spacing w:line="520" w:lineRule="exact"/>
        <w:ind w:firstLine="640" w:firstLineChars="200"/>
        <w:rPr>
          <w:rFonts w:eastAsia="仿宋_GB2312"/>
          <w:kern w:val="0"/>
          <w:sz w:val="32"/>
          <w:szCs w:val="32"/>
        </w:rPr>
      </w:pPr>
      <w:r>
        <w:rPr>
          <w:rFonts w:eastAsia="仿宋_GB2312"/>
          <w:kern w:val="0"/>
          <w:sz w:val="32"/>
          <w:szCs w:val="32"/>
        </w:rPr>
        <w:t>5.中心供氧站应有“防火”、“禁烟”、“禁油”等标识。</w:t>
      </w:r>
    </w:p>
    <w:p w14:paraId="056C6EC4">
      <w:pPr>
        <w:autoSpaceDE w:val="0"/>
        <w:autoSpaceDN w:val="0"/>
        <w:spacing w:line="520" w:lineRule="exact"/>
        <w:ind w:firstLine="640" w:firstLineChars="200"/>
        <w:rPr>
          <w:rFonts w:eastAsia="仿宋_GB2312"/>
          <w:kern w:val="0"/>
          <w:sz w:val="32"/>
          <w:szCs w:val="32"/>
        </w:rPr>
      </w:pPr>
      <w:r>
        <w:rPr>
          <w:rFonts w:eastAsia="仿宋_GB2312"/>
          <w:kern w:val="0"/>
          <w:sz w:val="32"/>
          <w:szCs w:val="32"/>
        </w:rPr>
        <w:t>6.所有报警信号和信息信号的说明。</w:t>
      </w:r>
    </w:p>
    <w:p w14:paraId="1A540AEB">
      <w:pPr>
        <w:autoSpaceDE w:val="0"/>
        <w:autoSpaceDN w:val="0"/>
        <w:spacing w:line="520" w:lineRule="exact"/>
        <w:ind w:firstLine="640" w:firstLineChars="200"/>
        <w:rPr>
          <w:rFonts w:eastAsia="仿宋_GB2312"/>
          <w:kern w:val="0"/>
          <w:sz w:val="32"/>
          <w:szCs w:val="32"/>
        </w:rPr>
      </w:pPr>
      <w:r>
        <w:rPr>
          <w:rFonts w:eastAsia="仿宋_GB2312"/>
          <w:kern w:val="0"/>
          <w:sz w:val="32"/>
          <w:szCs w:val="32"/>
        </w:rPr>
        <w:t>7.必要的告知，包括告知用户本产品所使用的终端插座类型及符合的标准；所有截止阀在正常情况下（即打开或关闭）的位置；告知用户如何连接和断开可拆卸部件和附件；告知医疗机构医用中心供氧系统的安装图纸。</w:t>
      </w:r>
    </w:p>
    <w:p w14:paraId="5B179C54">
      <w:pPr>
        <w:autoSpaceDE w:val="0"/>
        <w:autoSpaceDN w:val="0"/>
        <w:spacing w:line="520" w:lineRule="exact"/>
        <w:ind w:firstLine="640" w:firstLineChars="200"/>
        <w:rPr>
          <w:rFonts w:eastAsia="仿宋_GB2312"/>
          <w:kern w:val="0"/>
          <w:sz w:val="32"/>
          <w:szCs w:val="32"/>
        </w:rPr>
      </w:pPr>
      <w:r>
        <w:rPr>
          <w:rFonts w:eastAsia="仿宋_GB2312"/>
          <w:kern w:val="0"/>
          <w:sz w:val="32"/>
          <w:szCs w:val="32"/>
        </w:rPr>
        <w:t>8.对于电磁兼容所声称的有关内容。</w:t>
      </w:r>
    </w:p>
    <w:p w14:paraId="293D8FA2">
      <w:pPr>
        <w:autoSpaceDE w:val="0"/>
        <w:autoSpaceDN w:val="0"/>
        <w:spacing w:line="520" w:lineRule="exact"/>
        <w:ind w:firstLine="640" w:firstLineChars="200"/>
        <w:rPr>
          <w:rFonts w:eastAsia="仿宋_GB2312"/>
          <w:kern w:val="0"/>
          <w:sz w:val="32"/>
          <w:szCs w:val="32"/>
        </w:rPr>
      </w:pPr>
      <w:r>
        <w:rPr>
          <w:rFonts w:eastAsia="仿宋_GB2312"/>
          <w:kern w:val="0"/>
          <w:sz w:val="32"/>
          <w:szCs w:val="32"/>
        </w:rPr>
        <w:t>9.对于安全性方面的注意事项，包括熔断器等更换潜在风险及安全措施。</w:t>
      </w:r>
    </w:p>
    <w:p w14:paraId="47C2A25F">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10.关于提醒使用者验收的相关要求。</w:t>
      </w:r>
    </w:p>
    <w:p w14:paraId="258FE8F8">
      <w:pPr>
        <w:autoSpaceDE w:val="0"/>
        <w:autoSpaceDN w:val="0"/>
        <w:spacing w:line="520" w:lineRule="exact"/>
        <w:ind w:firstLine="640" w:firstLineChars="200"/>
        <w:rPr>
          <w:rFonts w:eastAsia="仿宋_GB2312"/>
          <w:kern w:val="0"/>
          <w:sz w:val="32"/>
          <w:szCs w:val="32"/>
        </w:rPr>
      </w:pPr>
      <w:r>
        <w:rPr>
          <w:rFonts w:eastAsia="仿宋_GB2312"/>
          <w:kern w:val="0"/>
          <w:sz w:val="32"/>
          <w:szCs w:val="32"/>
        </w:rPr>
        <w:t>11.常见故障及排除方法。</w:t>
      </w:r>
    </w:p>
    <w:p w14:paraId="2DEA2238">
      <w:pPr>
        <w:spacing w:line="520" w:lineRule="exact"/>
        <w:ind w:firstLine="633" w:firstLineChars="198"/>
        <w:outlineLvl w:val="1"/>
        <w:rPr>
          <w:rFonts w:eastAsia="黑体"/>
          <w:color w:val="000000"/>
          <w:sz w:val="32"/>
          <w:szCs w:val="32"/>
        </w:rPr>
      </w:pPr>
      <w:r>
        <w:rPr>
          <w:rFonts w:hint="eastAsia" w:eastAsia="黑体"/>
          <w:color w:val="000000"/>
          <w:sz w:val="32"/>
          <w:szCs w:val="32"/>
        </w:rPr>
        <w:t>三</w:t>
      </w:r>
      <w:r>
        <w:rPr>
          <w:rFonts w:eastAsia="黑体"/>
          <w:color w:val="000000"/>
          <w:sz w:val="32"/>
          <w:szCs w:val="32"/>
        </w:rPr>
        <w:t>、参考文献：</w:t>
      </w:r>
    </w:p>
    <w:p w14:paraId="03B21789">
      <w:pPr>
        <w:spacing w:line="520" w:lineRule="exact"/>
        <w:ind w:right="-67" w:rightChars="-32" w:firstLine="640" w:firstLineChars="200"/>
        <w:rPr>
          <w:rFonts w:eastAsia="仿宋_GB2312"/>
          <w:color w:val="000000"/>
          <w:sz w:val="32"/>
          <w:szCs w:val="32"/>
        </w:rPr>
      </w:pPr>
      <w:r>
        <w:rPr>
          <w:rFonts w:eastAsia="仿宋_GB2312"/>
          <w:color w:val="000000"/>
          <w:sz w:val="32"/>
          <w:szCs w:val="32"/>
        </w:rPr>
        <w:t>[1]医疗器械监督管理条例[Z].</w:t>
      </w:r>
    </w:p>
    <w:p w14:paraId="2A6C2C13">
      <w:pPr>
        <w:spacing w:line="520" w:lineRule="exact"/>
        <w:ind w:right="-67" w:rightChars="-32" w:firstLine="640" w:firstLineChars="200"/>
        <w:rPr>
          <w:rFonts w:eastAsia="仿宋_GB2312"/>
          <w:color w:val="000000"/>
          <w:sz w:val="32"/>
          <w:szCs w:val="32"/>
        </w:rPr>
      </w:pPr>
      <w:r>
        <w:rPr>
          <w:rFonts w:eastAsia="仿宋_GB2312"/>
          <w:color w:val="000000"/>
          <w:sz w:val="32"/>
          <w:szCs w:val="32"/>
        </w:rPr>
        <w:t>[2]医疗器械注册与备案管理办法[Z].</w:t>
      </w:r>
    </w:p>
    <w:p w14:paraId="14F00E0F">
      <w:pPr>
        <w:spacing w:line="520" w:lineRule="exact"/>
        <w:ind w:right="-67" w:rightChars="-32" w:firstLine="640" w:firstLineChars="200"/>
        <w:rPr>
          <w:rFonts w:eastAsia="仿宋_GB2312"/>
          <w:color w:val="000000"/>
          <w:sz w:val="32"/>
          <w:szCs w:val="32"/>
        </w:rPr>
      </w:pPr>
      <w:r>
        <w:rPr>
          <w:rFonts w:eastAsia="仿宋_GB2312"/>
          <w:color w:val="000000"/>
          <w:sz w:val="32"/>
          <w:szCs w:val="32"/>
        </w:rPr>
        <w:t>[3]医疗器械说明书和标签管理规定[Z].</w:t>
      </w:r>
    </w:p>
    <w:p w14:paraId="298CFA70">
      <w:pPr>
        <w:spacing w:line="520" w:lineRule="exact"/>
        <w:ind w:right="-67" w:rightChars="-32" w:firstLine="640" w:firstLineChars="200"/>
        <w:rPr>
          <w:rFonts w:eastAsia="仿宋_GB2312"/>
          <w:color w:val="000000"/>
          <w:sz w:val="32"/>
          <w:szCs w:val="32"/>
        </w:rPr>
      </w:pPr>
      <w:r>
        <w:rPr>
          <w:rFonts w:eastAsia="仿宋_GB2312"/>
          <w:color w:val="000000"/>
          <w:sz w:val="32"/>
          <w:szCs w:val="32"/>
        </w:rPr>
        <w:t>[4]医疗器械通用名称命名规则[Z].</w:t>
      </w:r>
    </w:p>
    <w:p w14:paraId="72D66A2D">
      <w:pPr>
        <w:spacing w:line="520" w:lineRule="exact"/>
        <w:ind w:right="-67" w:rightChars="-32" w:firstLine="640" w:firstLineChars="200"/>
        <w:rPr>
          <w:rFonts w:eastAsia="仿宋_GB2312"/>
          <w:color w:val="000000"/>
          <w:sz w:val="32"/>
          <w:szCs w:val="32"/>
        </w:rPr>
      </w:pPr>
      <w:r>
        <w:rPr>
          <w:rFonts w:eastAsia="仿宋_GB2312"/>
          <w:color w:val="000000"/>
          <w:sz w:val="32"/>
          <w:szCs w:val="32"/>
        </w:rPr>
        <w:t>[5]医疗器械分类目录[Z].</w:t>
      </w:r>
    </w:p>
    <w:p w14:paraId="7D173A2B">
      <w:pPr>
        <w:spacing w:line="520" w:lineRule="exact"/>
        <w:ind w:right="-67" w:rightChars="-32" w:firstLine="640" w:firstLineChars="200"/>
        <w:rPr>
          <w:rFonts w:eastAsia="仿宋_GB2312"/>
          <w:color w:val="000000"/>
          <w:sz w:val="32"/>
          <w:szCs w:val="32"/>
        </w:rPr>
      </w:pPr>
      <w:r>
        <w:rPr>
          <w:rFonts w:eastAsia="仿宋_GB2312"/>
          <w:color w:val="000000"/>
          <w:sz w:val="32"/>
          <w:szCs w:val="32"/>
        </w:rPr>
        <w:t>[6]医疗器械注册单元划分指导原则[Z].</w:t>
      </w:r>
    </w:p>
    <w:p w14:paraId="517523C4">
      <w:pPr>
        <w:spacing w:line="520" w:lineRule="exact"/>
        <w:ind w:right="-67" w:rightChars="-32" w:firstLine="640" w:firstLineChars="200"/>
        <w:rPr>
          <w:rFonts w:eastAsia="仿宋_GB2312"/>
          <w:color w:val="000000"/>
          <w:sz w:val="32"/>
          <w:szCs w:val="32"/>
        </w:rPr>
      </w:pPr>
      <w:r>
        <w:rPr>
          <w:rFonts w:eastAsia="仿宋_GB2312"/>
          <w:color w:val="000000"/>
          <w:sz w:val="32"/>
          <w:szCs w:val="32"/>
        </w:rPr>
        <w:t>[7]有源医疗器械使用期限注册技术审查指导原则[Z].</w:t>
      </w:r>
    </w:p>
    <w:p w14:paraId="48AE0B62">
      <w:pPr>
        <w:spacing w:line="520" w:lineRule="exact"/>
        <w:ind w:right="-67" w:rightChars="-32" w:firstLine="640" w:firstLineChars="200"/>
        <w:rPr>
          <w:rFonts w:eastAsia="仿宋_GB2312"/>
          <w:color w:val="000000"/>
          <w:sz w:val="32"/>
          <w:szCs w:val="32"/>
        </w:rPr>
      </w:pPr>
      <w:r>
        <w:rPr>
          <w:rFonts w:eastAsia="仿宋_GB2312"/>
          <w:color w:val="000000"/>
          <w:sz w:val="32"/>
          <w:szCs w:val="32"/>
        </w:rPr>
        <w:t>[8]医疗器械网络安全注册技术审查指导原则[Z].</w:t>
      </w:r>
    </w:p>
    <w:p w14:paraId="67EC2F08">
      <w:pPr>
        <w:spacing w:line="520" w:lineRule="exact"/>
        <w:ind w:right="-67" w:rightChars="-32" w:firstLine="640" w:firstLineChars="200"/>
        <w:rPr>
          <w:rFonts w:eastAsia="仿宋_GB2312"/>
          <w:color w:val="000000"/>
          <w:sz w:val="32"/>
          <w:szCs w:val="32"/>
        </w:rPr>
      </w:pPr>
      <w:r>
        <w:rPr>
          <w:rFonts w:eastAsia="仿宋_GB2312"/>
          <w:color w:val="000000"/>
          <w:sz w:val="32"/>
          <w:szCs w:val="32"/>
        </w:rPr>
        <w:t>[9]医疗器械软件注册技术审查指导原则（2022年修订版）[Z].</w:t>
      </w:r>
    </w:p>
    <w:p w14:paraId="4536061E">
      <w:pPr>
        <w:spacing w:line="520" w:lineRule="exact"/>
        <w:ind w:right="-67" w:rightChars="-32" w:firstLine="640" w:firstLineChars="200"/>
        <w:rPr>
          <w:rFonts w:eastAsia="仿宋_GB2312"/>
          <w:color w:val="000000"/>
          <w:sz w:val="32"/>
          <w:szCs w:val="32"/>
        </w:rPr>
      </w:pPr>
      <w:r>
        <w:rPr>
          <w:rFonts w:eastAsia="仿宋_GB2312"/>
          <w:color w:val="000000"/>
          <w:sz w:val="32"/>
          <w:szCs w:val="32"/>
        </w:rPr>
        <w:t>[10]列入免于临床评价医疗器械目录产品对比说明技术指导原则[Z].</w:t>
      </w:r>
    </w:p>
    <w:p w14:paraId="5EA4B8F3">
      <w:pPr>
        <w:spacing w:line="520" w:lineRule="exact"/>
        <w:ind w:right="-67" w:rightChars="-32" w:firstLine="640" w:firstLineChars="200"/>
        <w:rPr>
          <w:rFonts w:eastAsia="仿宋_GB2312"/>
          <w:color w:val="000000"/>
          <w:sz w:val="32"/>
          <w:szCs w:val="32"/>
        </w:rPr>
      </w:pPr>
      <w:r>
        <w:rPr>
          <w:rFonts w:eastAsia="仿宋_GB2312"/>
          <w:color w:val="000000"/>
          <w:sz w:val="32"/>
          <w:szCs w:val="32"/>
        </w:rPr>
        <w:t>[11]国家药监局关于发布免于临床评价医疗器械目录的通告[Z].</w:t>
      </w:r>
    </w:p>
    <w:p w14:paraId="40AB700F">
      <w:pPr>
        <w:spacing w:line="520" w:lineRule="exact"/>
        <w:ind w:firstLine="640" w:firstLineChars="200"/>
        <w:rPr>
          <w:rFonts w:eastAsia="仿宋_GB2312"/>
          <w:color w:val="000000"/>
          <w:sz w:val="32"/>
          <w:szCs w:val="32"/>
        </w:rPr>
      </w:pPr>
      <w:r>
        <w:rPr>
          <w:rFonts w:eastAsia="仿宋_GB2312"/>
          <w:color w:val="000000"/>
          <w:sz w:val="32"/>
          <w:szCs w:val="32"/>
        </w:rPr>
        <w:t>[12]GB/T 16886.1,医疗器械生物学评价第1部分：风险管理过程中的评价与试验[S].</w:t>
      </w:r>
    </w:p>
    <w:p w14:paraId="47787DEE">
      <w:pPr>
        <w:spacing w:line="520" w:lineRule="exact"/>
        <w:ind w:firstLine="480" w:firstLineChars="150"/>
        <w:rPr>
          <w:rFonts w:eastAsia="仿宋_GB2312"/>
          <w:color w:val="000000"/>
          <w:sz w:val="32"/>
          <w:szCs w:val="32"/>
        </w:rPr>
      </w:pPr>
      <w:r>
        <w:rPr>
          <w:rFonts w:eastAsia="仿宋_GB2312"/>
          <w:color w:val="000000"/>
          <w:sz w:val="32"/>
          <w:szCs w:val="32"/>
        </w:rPr>
        <w:t xml:space="preserve"> [13]YY/T 0316,医疗器械风险管理对医疗器械的应用[S].</w:t>
      </w:r>
    </w:p>
    <w:p w14:paraId="1AD66D43">
      <w:pPr>
        <w:spacing w:line="520" w:lineRule="exact"/>
        <w:ind w:firstLine="640" w:firstLineChars="200"/>
        <w:rPr>
          <w:rFonts w:eastAsia="仿宋_GB2312"/>
          <w:color w:val="000000"/>
          <w:sz w:val="32"/>
          <w:szCs w:val="32"/>
        </w:rPr>
      </w:pPr>
      <w:r>
        <w:rPr>
          <w:rFonts w:eastAsia="仿宋_GB2312"/>
          <w:color w:val="000000"/>
          <w:sz w:val="32"/>
          <w:szCs w:val="32"/>
        </w:rPr>
        <w:t>[14]GB/T 14710,医用电器环境要求及试验方法[S].</w:t>
      </w:r>
    </w:p>
    <w:p w14:paraId="49B90FF1">
      <w:pPr>
        <w:spacing w:line="520" w:lineRule="exact"/>
        <w:ind w:firstLine="640" w:firstLineChars="200"/>
        <w:rPr>
          <w:rFonts w:eastAsia="仿宋_GB2312"/>
          <w:color w:val="000000"/>
          <w:sz w:val="32"/>
          <w:szCs w:val="32"/>
        </w:rPr>
      </w:pPr>
      <w:r>
        <w:rPr>
          <w:rFonts w:eastAsia="仿宋_GB2312"/>
          <w:color w:val="000000"/>
          <w:sz w:val="32"/>
          <w:szCs w:val="32"/>
        </w:rPr>
        <w:t>[15]YY/T 0882,麻醉和呼吸设备与氧气的兼容性[S].</w:t>
      </w:r>
    </w:p>
    <w:p w14:paraId="483DF05E">
      <w:pPr>
        <w:spacing w:line="520" w:lineRule="exact"/>
        <w:ind w:firstLine="640" w:firstLineChars="200"/>
        <w:rPr>
          <w:rFonts w:eastAsia="仿宋_GB2312"/>
          <w:color w:val="000000"/>
          <w:sz w:val="32"/>
          <w:szCs w:val="32"/>
        </w:rPr>
      </w:pPr>
      <w:r>
        <w:rPr>
          <w:rFonts w:eastAsia="仿宋_GB2312"/>
          <w:color w:val="000000"/>
          <w:sz w:val="32"/>
          <w:szCs w:val="32"/>
        </w:rPr>
        <w:t>[16]</w:t>
      </w:r>
      <w:r>
        <w:t xml:space="preserve"> </w:t>
      </w:r>
      <w:r>
        <w:rPr>
          <w:rFonts w:eastAsia="仿宋_GB2312"/>
          <w:color w:val="000000"/>
          <w:sz w:val="32"/>
          <w:szCs w:val="32"/>
        </w:rPr>
        <w:t>YY/T 0187,医用中心供氧系统通用技术条件[S].</w:t>
      </w:r>
    </w:p>
    <w:p w14:paraId="3467EB08">
      <w:pPr>
        <w:spacing w:line="520" w:lineRule="exact"/>
        <w:ind w:firstLine="640" w:firstLineChars="200"/>
        <w:rPr>
          <w:rFonts w:eastAsia="仿宋_GB2312"/>
          <w:color w:val="000000"/>
          <w:sz w:val="32"/>
          <w:szCs w:val="32"/>
        </w:rPr>
      </w:pPr>
      <w:r>
        <w:rPr>
          <w:rFonts w:eastAsia="仿宋_GB2312"/>
          <w:color w:val="000000"/>
          <w:sz w:val="32"/>
          <w:szCs w:val="32"/>
        </w:rPr>
        <w:t>[17]</w:t>
      </w:r>
      <w:r>
        <w:t xml:space="preserve"> </w:t>
      </w:r>
      <w:r>
        <w:rPr>
          <w:rFonts w:eastAsia="仿宋_GB2312"/>
          <w:color w:val="000000"/>
          <w:sz w:val="32"/>
          <w:szCs w:val="32"/>
        </w:rPr>
        <w:t>GB 50751,医用气体工程技术规范[S].</w:t>
      </w:r>
    </w:p>
    <w:p w14:paraId="0DF20D25">
      <w:pPr>
        <w:spacing w:line="520" w:lineRule="exact"/>
        <w:ind w:firstLine="640" w:firstLineChars="200"/>
        <w:rPr>
          <w:rFonts w:eastAsia="仿宋_GB2312"/>
          <w:color w:val="000000"/>
          <w:sz w:val="32"/>
          <w:szCs w:val="32"/>
        </w:rPr>
      </w:pPr>
      <w:r>
        <w:rPr>
          <w:rFonts w:eastAsia="仿宋_GB2312"/>
          <w:color w:val="000000"/>
          <w:sz w:val="32"/>
          <w:szCs w:val="32"/>
        </w:rPr>
        <w:t>[18]</w:t>
      </w:r>
      <w:r>
        <w:t xml:space="preserve"> </w:t>
      </w:r>
      <w:r>
        <w:rPr>
          <w:rFonts w:eastAsia="仿宋_GB2312"/>
          <w:color w:val="000000"/>
          <w:sz w:val="32"/>
          <w:szCs w:val="32"/>
        </w:rPr>
        <w:t>YY 0801.1,医用气体管道系统终端 第1部分：用于压缩医用气体和真空的终端[S].</w:t>
      </w:r>
    </w:p>
    <w:p w14:paraId="1E47E7AD">
      <w:pPr>
        <w:spacing w:line="520" w:lineRule="exact"/>
        <w:ind w:firstLine="640" w:firstLineChars="200"/>
        <w:rPr>
          <w:rFonts w:eastAsia="仿宋_GB2312"/>
          <w:color w:val="000000"/>
          <w:sz w:val="32"/>
          <w:szCs w:val="32"/>
        </w:rPr>
      </w:pPr>
      <w:r>
        <w:rPr>
          <w:rFonts w:eastAsia="仿宋_GB2312"/>
          <w:color w:val="000000"/>
          <w:sz w:val="32"/>
          <w:szCs w:val="32"/>
        </w:rPr>
        <w:t>[19] YY/T 1439.2,医用气体压力调节器 第2部分：汇流排压力调节器和管道压力调节器[S].</w:t>
      </w:r>
    </w:p>
    <w:p w14:paraId="7FEFCD88">
      <w:pPr>
        <w:spacing w:line="520" w:lineRule="exact"/>
        <w:ind w:firstLine="640" w:firstLineChars="200"/>
        <w:rPr>
          <w:rFonts w:eastAsia="仿宋_GB2312"/>
          <w:color w:val="000000"/>
          <w:sz w:val="32"/>
          <w:szCs w:val="32"/>
        </w:rPr>
      </w:pPr>
      <w:r>
        <w:rPr>
          <w:rFonts w:eastAsia="仿宋_GB2312"/>
          <w:color w:val="000000"/>
          <w:sz w:val="32"/>
          <w:szCs w:val="32"/>
        </w:rPr>
        <w:t>[20] YY 9706.108,基本安全和基本性能的通用要求 并列标准：通用要求,医用电气设备和医用电气系统中报警系统的测试和指南</w:t>
      </w:r>
    </w:p>
    <w:p w14:paraId="3C4DAE7C">
      <w:pPr>
        <w:spacing w:line="520" w:lineRule="exact"/>
        <w:ind w:firstLine="640" w:firstLineChars="200"/>
        <w:rPr>
          <w:rFonts w:eastAsia="仿宋_GB2312"/>
          <w:color w:val="000000"/>
          <w:sz w:val="32"/>
          <w:szCs w:val="32"/>
        </w:rPr>
      </w:pPr>
      <w:r>
        <w:rPr>
          <w:rFonts w:eastAsia="仿宋_GB2312"/>
          <w:color w:val="000000"/>
          <w:sz w:val="32"/>
          <w:szCs w:val="32"/>
        </w:rPr>
        <w:t>[21] YY/T 1440,与医用气体系统一起使用的高压挠性连接[S].</w:t>
      </w:r>
    </w:p>
    <w:p w14:paraId="1E1AFF60">
      <w:pPr>
        <w:spacing w:line="520" w:lineRule="exact"/>
        <w:ind w:firstLine="640" w:firstLineChars="200"/>
      </w:pPr>
      <w:r>
        <w:rPr>
          <w:rFonts w:eastAsia="仿宋_GB2312"/>
          <w:color w:val="000000"/>
          <w:sz w:val="32"/>
          <w:szCs w:val="32"/>
        </w:rPr>
        <w:t>[22] GB 9706.1,医用电气设备 第1部分：基本安全和基本性能的通用要求[S].</w:t>
      </w:r>
      <w:r>
        <w:t xml:space="preserve"> </w:t>
      </w:r>
    </w:p>
    <w:p w14:paraId="4157783D">
      <w:pPr>
        <w:spacing w:line="520" w:lineRule="exact"/>
        <w:ind w:firstLine="640" w:firstLineChars="200"/>
        <w:rPr>
          <w:rFonts w:eastAsia="仿宋_GB2312"/>
          <w:color w:val="000000"/>
          <w:sz w:val="32"/>
          <w:szCs w:val="32"/>
        </w:rPr>
      </w:pPr>
      <w:r>
        <w:rPr>
          <w:rFonts w:eastAsia="仿宋_GB2312"/>
          <w:color w:val="000000"/>
          <w:sz w:val="32"/>
          <w:szCs w:val="32"/>
        </w:rPr>
        <w:t xml:space="preserve">[23] YY 9706.102,医用电气设备 第1-2部分：基本安全和基本性能的通用要求 并列标准：电磁兼容 要求和试验[S]. </w:t>
      </w:r>
    </w:p>
    <w:p w14:paraId="5D9183E6">
      <w:pPr>
        <w:spacing w:line="520" w:lineRule="exact"/>
        <w:ind w:firstLine="640" w:firstLineChars="200"/>
        <w:rPr>
          <w:rFonts w:eastAsia="仿宋_GB2312"/>
          <w:color w:val="000000"/>
          <w:sz w:val="32"/>
          <w:szCs w:val="32"/>
        </w:rPr>
      </w:pPr>
      <w:r>
        <w:rPr>
          <w:rFonts w:eastAsia="仿宋_GB2312"/>
          <w:color w:val="000000"/>
          <w:sz w:val="32"/>
          <w:szCs w:val="32"/>
        </w:rPr>
        <w:t>[24]GB/T 1527，铜及铜合金拉制管[S].</w:t>
      </w:r>
    </w:p>
    <w:p w14:paraId="003B0BC0">
      <w:pPr>
        <w:spacing w:line="520" w:lineRule="exact"/>
        <w:ind w:firstLine="640" w:firstLineChars="200"/>
        <w:rPr>
          <w:rFonts w:eastAsia="仿宋_GB2312"/>
          <w:color w:val="000000"/>
          <w:sz w:val="32"/>
          <w:szCs w:val="32"/>
        </w:rPr>
      </w:pPr>
      <w:r>
        <w:rPr>
          <w:rFonts w:eastAsia="仿宋_GB2312"/>
          <w:color w:val="000000"/>
          <w:sz w:val="32"/>
          <w:szCs w:val="32"/>
        </w:rPr>
        <w:t>[25]YS/T 650</w:t>
      </w:r>
      <w:r>
        <w:rPr>
          <w:rFonts w:hint="eastAsia" w:eastAsia="仿宋_GB2312"/>
          <w:color w:val="000000"/>
          <w:sz w:val="32"/>
          <w:szCs w:val="32"/>
        </w:rPr>
        <w:t>，</w:t>
      </w:r>
      <w:r>
        <w:rPr>
          <w:rFonts w:eastAsia="仿宋_GB2312"/>
          <w:color w:val="000000"/>
          <w:sz w:val="32"/>
          <w:szCs w:val="32"/>
        </w:rPr>
        <w:t>医用气体和真空用无缝铜管[S].</w:t>
      </w:r>
    </w:p>
    <w:p w14:paraId="74EBE5AD">
      <w:pPr>
        <w:spacing w:line="520" w:lineRule="exact"/>
        <w:ind w:firstLine="640" w:firstLineChars="200"/>
        <w:rPr>
          <w:rFonts w:eastAsia="仿宋_GB2312"/>
          <w:color w:val="000000"/>
          <w:sz w:val="32"/>
          <w:szCs w:val="32"/>
        </w:rPr>
      </w:pPr>
      <w:r>
        <w:rPr>
          <w:rFonts w:eastAsia="仿宋_GB2312"/>
          <w:color w:val="000000"/>
          <w:sz w:val="32"/>
          <w:szCs w:val="32"/>
        </w:rPr>
        <w:t>[26] ISO 7396-1:2016 EN Medical gas pipeline systems- Part 1:Pipeline systems for compressed medical gases and vacuum</w:t>
      </w:r>
    </w:p>
    <w:p w14:paraId="24423663">
      <w:pPr>
        <w:spacing w:line="520" w:lineRule="exact"/>
        <w:ind w:firstLine="640" w:firstLineChars="200"/>
        <w:rPr>
          <w:rFonts w:eastAsia="仿宋_GB2312"/>
          <w:color w:val="000000"/>
          <w:sz w:val="32"/>
          <w:szCs w:val="32"/>
        </w:rPr>
      </w:pPr>
      <w:r>
        <w:rPr>
          <w:rFonts w:eastAsia="仿宋_GB2312"/>
          <w:color w:val="000000"/>
          <w:sz w:val="32"/>
          <w:szCs w:val="32"/>
        </w:rPr>
        <w:t>[27] ISO18562-1:2017 Biocompatibility evaluation of breathing gas pathways in healthcare applications</w:t>
      </w:r>
    </w:p>
    <w:p w14:paraId="50F6BED7">
      <w:pPr>
        <w:spacing w:line="520" w:lineRule="exact"/>
        <w:ind w:right="-67" w:rightChars="-32"/>
        <w:rPr>
          <w:rFonts w:hint="eastAsia" w:eastAsia="等线"/>
          <w:lang w:eastAsia="zh-CN"/>
        </w:rPr>
      </w:pPr>
    </w:p>
    <w:p w14:paraId="10BCEEF2">
      <w:pPr>
        <w:spacing w:line="520" w:lineRule="exact"/>
        <w:ind w:right="-67" w:rightChars="-32"/>
        <w:jc w:val="center"/>
        <w:rPr>
          <w:rFonts w:hint="eastAsia" w:eastAsia="等线"/>
          <w:lang w:eastAsia="zh-CN"/>
        </w:rPr>
      </w:pPr>
    </w:p>
    <w:p w14:paraId="2B0C7924">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F64">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5F488E40">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0F08">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0386C"/>
    <w:rsid w:val="00011B2C"/>
    <w:rsid w:val="0002677F"/>
    <w:rsid w:val="000268DB"/>
    <w:rsid w:val="000519FA"/>
    <w:rsid w:val="00061ED4"/>
    <w:rsid w:val="000649DE"/>
    <w:rsid w:val="000818E9"/>
    <w:rsid w:val="000927FD"/>
    <w:rsid w:val="00092E7E"/>
    <w:rsid w:val="000A224F"/>
    <w:rsid w:val="000C0E4A"/>
    <w:rsid w:val="000C1291"/>
    <w:rsid w:val="000C3BB2"/>
    <w:rsid w:val="000C5D02"/>
    <w:rsid w:val="000D1A1C"/>
    <w:rsid w:val="000D44D9"/>
    <w:rsid w:val="000D681C"/>
    <w:rsid w:val="000E47F2"/>
    <w:rsid w:val="000F20AE"/>
    <w:rsid w:val="000F3E48"/>
    <w:rsid w:val="00106A2F"/>
    <w:rsid w:val="001141EC"/>
    <w:rsid w:val="0011784D"/>
    <w:rsid w:val="00130039"/>
    <w:rsid w:val="00162D90"/>
    <w:rsid w:val="001709C4"/>
    <w:rsid w:val="00181314"/>
    <w:rsid w:val="00190244"/>
    <w:rsid w:val="001A205F"/>
    <w:rsid w:val="001A2C8F"/>
    <w:rsid w:val="001B45BC"/>
    <w:rsid w:val="001B6A3D"/>
    <w:rsid w:val="001C5A8A"/>
    <w:rsid w:val="001D02A8"/>
    <w:rsid w:val="001D3E93"/>
    <w:rsid w:val="001D6415"/>
    <w:rsid w:val="001E50CC"/>
    <w:rsid w:val="002226A3"/>
    <w:rsid w:val="002228E1"/>
    <w:rsid w:val="00225B24"/>
    <w:rsid w:val="00257689"/>
    <w:rsid w:val="002753DA"/>
    <w:rsid w:val="002842C8"/>
    <w:rsid w:val="002A6B8F"/>
    <w:rsid w:val="002C4239"/>
    <w:rsid w:val="002D2CF7"/>
    <w:rsid w:val="002D4AD6"/>
    <w:rsid w:val="002D6794"/>
    <w:rsid w:val="002D755C"/>
    <w:rsid w:val="002E53C7"/>
    <w:rsid w:val="002F0696"/>
    <w:rsid w:val="002F3DC6"/>
    <w:rsid w:val="00301AA5"/>
    <w:rsid w:val="00303941"/>
    <w:rsid w:val="00303BC9"/>
    <w:rsid w:val="00306792"/>
    <w:rsid w:val="00314D88"/>
    <w:rsid w:val="0032143F"/>
    <w:rsid w:val="00340212"/>
    <w:rsid w:val="003426F5"/>
    <w:rsid w:val="0034545C"/>
    <w:rsid w:val="00373CFB"/>
    <w:rsid w:val="003A2138"/>
    <w:rsid w:val="003A4616"/>
    <w:rsid w:val="003A4713"/>
    <w:rsid w:val="003A79BA"/>
    <w:rsid w:val="003C5113"/>
    <w:rsid w:val="003E1E1D"/>
    <w:rsid w:val="0040236F"/>
    <w:rsid w:val="0041150A"/>
    <w:rsid w:val="00412797"/>
    <w:rsid w:val="00426F7F"/>
    <w:rsid w:val="00455FA0"/>
    <w:rsid w:val="0046194C"/>
    <w:rsid w:val="00476B8E"/>
    <w:rsid w:val="0048393D"/>
    <w:rsid w:val="0049561B"/>
    <w:rsid w:val="004A34E6"/>
    <w:rsid w:val="004A4ED8"/>
    <w:rsid w:val="004A5875"/>
    <w:rsid w:val="004D6308"/>
    <w:rsid w:val="004F211B"/>
    <w:rsid w:val="00504ED3"/>
    <w:rsid w:val="00505413"/>
    <w:rsid w:val="0052018E"/>
    <w:rsid w:val="005213CC"/>
    <w:rsid w:val="00546C9B"/>
    <w:rsid w:val="0057156C"/>
    <w:rsid w:val="0057226B"/>
    <w:rsid w:val="005726AD"/>
    <w:rsid w:val="005756FB"/>
    <w:rsid w:val="00582B17"/>
    <w:rsid w:val="00585922"/>
    <w:rsid w:val="00594B95"/>
    <w:rsid w:val="005A184A"/>
    <w:rsid w:val="005C28DE"/>
    <w:rsid w:val="005C30B7"/>
    <w:rsid w:val="005C5927"/>
    <w:rsid w:val="005C5C8D"/>
    <w:rsid w:val="005D1EF3"/>
    <w:rsid w:val="005F32F8"/>
    <w:rsid w:val="0060386C"/>
    <w:rsid w:val="00613D0B"/>
    <w:rsid w:val="00613FE5"/>
    <w:rsid w:val="00615799"/>
    <w:rsid w:val="00635F8E"/>
    <w:rsid w:val="00657018"/>
    <w:rsid w:val="00673096"/>
    <w:rsid w:val="0067711E"/>
    <w:rsid w:val="00680CC9"/>
    <w:rsid w:val="0068782A"/>
    <w:rsid w:val="00692A5C"/>
    <w:rsid w:val="006A1422"/>
    <w:rsid w:val="006A4192"/>
    <w:rsid w:val="006B3E30"/>
    <w:rsid w:val="006B58C1"/>
    <w:rsid w:val="006B5A62"/>
    <w:rsid w:val="006B6403"/>
    <w:rsid w:val="006D5277"/>
    <w:rsid w:val="006E5C7D"/>
    <w:rsid w:val="006F36F0"/>
    <w:rsid w:val="0074421F"/>
    <w:rsid w:val="00744535"/>
    <w:rsid w:val="00774E17"/>
    <w:rsid w:val="00780F24"/>
    <w:rsid w:val="00786F26"/>
    <w:rsid w:val="007A25F2"/>
    <w:rsid w:val="007B39BF"/>
    <w:rsid w:val="007C17AD"/>
    <w:rsid w:val="007D563C"/>
    <w:rsid w:val="007E1A63"/>
    <w:rsid w:val="007F6E1F"/>
    <w:rsid w:val="007F7923"/>
    <w:rsid w:val="00802EBA"/>
    <w:rsid w:val="00807BE0"/>
    <w:rsid w:val="00822910"/>
    <w:rsid w:val="008457F1"/>
    <w:rsid w:val="0084668C"/>
    <w:rsid w:val="00884D79"/>
    <w:rsid w:val="008B5001"/>
    <w:rsid w:val="008B5815"/>
    <w:rsid w:val="008D35D8"/>
    <w:rsid w:val="008E6413"/>
    <w:rsid w:val="008F544F"/>
    <w:rsid w:val="008F61EE"/>
    <w:rsid w:val="009000D1"/>
    <w:rsid w:val="009066E7"/>
    <w:rsid w:val="009136E6"/>
    <w:rsid w:val="009563BA"/>
    <w:rsid w:val="00996B74"/>
    <w:rsid w:val="009A5507"/>
    <w:rsid w:val="009B2A78"/>
    <w:rsid w:val="009B3F78"/>
    <w:rsid w:val="009B554A"/>
    <w:rsid w:val="009C214C"/>
    <w:rsid w:val="009D2877"/>
    <w:rsid w:val="009D2C14"/>
    <w:rsid w:val="009D738B"/>
    <w:rsid w:val="009E7AC1"/>
    <w:rsid w:val="009F35DB"/>
    <w:rsid w:val="009F68FE"/>
    <w:rsid w:val="00A00C52"/>
    <w:rsid w:val="00A015F0"/>
    <w:rsid w:val="00A06040"/>
    <w:rsid w:val="00A06983"/>
    <w:rsid w:val="00A37AAD"/>
    <w:rsid w:val="00A448A6"/>
    <w:rsid w:val="00A46B4C"/>
    <w:rsid w:val="00A62930"/>
    <w:rsid w:val="00A74431"/>
    <w:rsid w:val="00A83A3E"/>
    <w:rsid w:val="00A87ACE"/>
    <w:rsid w:val="00AA13F7"/>
    <w:rsid w:val="00AA3561"/>
    <w:rsid w:val="00AA63DF"/>
    <w:rsid w:val="00AB7673"/>
    <w:rsid w:val="00AC37E5"/>
    <w:rsid w:val="00AC621F"/>
    <w:rsid w:val="00AD2B47"/>
    <w:rsid w:val="00AD64B4"/>
    <w:rsid w:val="00AE1ADE"/>
    <w:rsid w:val="00AE4365"/>
    <w:rsid w:val="00AE4B1F"/>
    <w:rsid w:val="00AF6DF7"/>
    <w:rsid w:val="00B006BD"/>
    <w:rsid w:val="00B16CB2"/>
    <w:rsid w:val="00B175EC"/>
    <w:rsid w:val="00B20F25"/>
    <w:rsid w:val="00B2358E"/>
    <w:rsid w:val="00B23713"/>
    <w:rsid w:val="00B2499C"/>
    <w:rsid w:val="00B40A07"/>
    <w:rsid w:val="00B5174E"/>
    <w:rsid w:val="00B642BB"/>
    <w:rsid w:val="00B73719"/>
    <w:rsid w:val="00B910C9"/>
    <w:rsid w:val="00BA38B1"/>
    <w:rsid w:val="00BE2940"/>
    <w:rsid w:val="00BF12CE"/>
    <w:rsid w:val="00BF5E9E"/>
    <w:rsid w:val="00C00AAB"/>
    <w:rsid w:val="00C039CC"/>
    <w:rsid w:val="00C23629"/>
    <w:rsid w:val="00C23B8B"/>
    <w:rsid w:val="00C27C58"/>
    <w:rsid w:val="00C33B13"/>
    <w:rsid w:val="00C37402"/>
    <w:rsid w:val="00C408B3"/>
    <w:rsid w:val="00C551B2"/>
    <w:rsid w:val="00C61970"/>
    <w:rsid w:val="00C73824"/>
    <w:rsid w:val="00C77C1F"/>
    <w:rsid w:val="00C81099"/>
    <w:rsid w:val="00C90550"/>
    <w:rsid w:val="00C93F19"/>
    <w:rsid w:val="00CE4982"/>
    <w:rsid w:val="00CE593A"/>
    <w:rsid w:val="00CE7C0D"/>
    <w:rsid w:val="00D04DF2"/>
    <w:rsid w:val="00D069B9"/>
    <w:rsid w:val="00D1347D"/>
    <w:rsid w:val="00D1509F"/>
    <w:rsid w:val="00D245E1"/>
    <w:rsid w:val="00D26518"/>
    <w:rsid w:val="00D26766"/>
    <w:rsid w:val="00D33766"/>
    <w:rsid w:val="00D36904"/>
    <w:rsid w:val="00D40DB9"/>
    <w:rsid w:val="00D43363"/>
    <w:rsid w:val="00D54FC4"/>
    <w:rsid w:val="00D631EB"/>
    <w:rsid w:val="00D709ED"/>
    <w:rsid w:val="00D81E41"/>
    <w:rsid w:val="00DA0FA6"/>
    <w:rsid w:val="00DA52AD"/>
    <w:rsid w:val="00DB6A7A"/>
    <w:rsid w:val="00DD3DD8"/>
    <w:rsid w:val="00DD45D9"/>
    <w:rsid w:val="00DF47C6"/>
    <w:rsid w:val="00E14D0A"/>
    <w:rsid w:val="00E17A64"/>
    <w:rsid w:val="00E2134E"/>
    <w:rsid w:val="00E26B7B"/>
    <w:rsid w:val="00E3179F"/>
    <w:rsid w:val="00E436ED"/>
    <w:rsid w:val="00E4691A"/>
    <w:rsid w:val="00E61AE1"/>
    <w:rsid w:val="00E92A4B"/>
    <w:rsid w:val="00E93FC0"/>
    <w:rsid w:val="00EA55FF"/>
    <w:rsid w:val="00EA6528"/>
    <w:rsid w:val="00EA76BE"/>
    <w:rsid w:val="00EB50AC"/>
    <w:rsid w:val="00ED70AE"/>
    <w:rsid w:val="00EE1768"/>
    <w:rsid w:val="00EE35ED"/>
    <w:rsid w:val="00EE4A39"/>
    <w:rsid w:val="00F03137"/>
    <w:rsid w:val="00F150F8"/>
    <w:rsid w:val="00F235E6"/>
    <w:rsid w:val="00F45E76"/>
    <w:rsid w:val="00FA5E37"/>
    <w:rsid w:val="00FC2B04"/>
    <w:rsid w:val="00FD51B7"/>
    <w:rsid w:val="00FD5F59"/>
    <w:rsid w:val="00FE0A08"/>
    <w:rsid w:val="00FE2AF7"/>
    <w:rsid w:val="00FE6881"/>
    <w:rsid w:val="00FE6A97"/>
    <w:rsid w:val="00FF3398"/>
    <w:rsid w:val="086F288B"/>
    <w:rsid w:val="0ADA3134"/>
    <w:rsid w:val="1BF774AE"/>
    <w:rsid w:val="399A7232"/>
    <w:rsid w:val="4C056FA9"/>
    <w:rsid w:val="6E4826E1"/>
    <w:rsid w:val="7783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line number"/>
    <w:basedOn w:val="9"/>
    <w:qFormat/>
    <w:uiPriority w:val="99"/>
  </w:style>
  <w:style w:type="character" w:styleId="11">
    <w:name w:val="annotation reference"/>
    <w:qFormat/>
    <w:uiPriority w:val="0"/>
    <w:rPr>
      <w:sz w:val="21"/>
      <w:szCs w:val="21"/>
    </w:rPr>
  </w:style>
  <w:style w:type="character" w:customStyle="1" w:styleId="12">
    <w:name w:val="批注文字 字符"/>
    <w:link w:val="2"/>
    <w:qFormat/>
    <w:uiPriority w:val="0"/>
    <w:rPr>
      <w:rFonts w:ascii="Times New Roman" w:hAnsi="Times New Roman" w:eastAsia="宋体" w:cs="Times New Roman"/>
      <w:szCs w:val="24"/>
    </w:rPr>
  </w:style>
  <w:style w:type="character" w:customStyle="1" w:styleId="13">
    <w:name w:val="批注框文本 字符"/>
    <w:link w:val="3"/>
    <w:qFormat/>
    <w:uiPriority w:val="99"/>
    <w:rPr>
      <w:rFonts w:ascii="Times New Roman" w:hAnsi="Times New Roman" w:eastAsia="宋体" w:cs="Times New Roman"/>
      <w:sz w:val="18"/>
      <w:szCs w:val="18"/>
    </w:rPr>
  </w:style>
  <w:style w:type="character" w:customStyle="1" w:styleId="14">
    <w:name w:val="页眉 字符"/>
    <w:link w:val="5"/>
    <w:qFormat/>
    <w:uiPriority w:val="99"/>
    <w:rPr>
      <w:rFonts w:ascii="Times New Roman" w:hAnsi="Times New Roman" w:eastAsia="宋体"/>
      <w:kern w:val="2"/>
      <w:sz w:val="18"/>
      <w:szCs w:val="18"/>
    </w:rPr>
  </w:style>
  <w:style w:type="character" w:customStyle="1" w:styleId="15">
    <w:name w:val="页脚 字符"/>
    <w:link w:val="4"/>
    <w:qFormat/>
    <w:uiPriority w:val="99"/>
    <w:rPr>
      <w:rFonts w:ascii="Times New Roman" w:hAnsi="Times New Roman"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主题 字符"/>
    <w:basedOn w:val="12"/>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F650-E0CB-470A-ABF4-A2FDBBD26DA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6967</Words>
  <Characters>8041</Characters>
  <Lines>59</Lines>
  <Paragraphs>16</Paragraphs>
  <TotalTime>15</TotalTime>
  <ScaleCrop>false</ScaleCrop>
  <LinksUpToDate>false</LinksUpToDate>
  <CharactersWithSpaces>8154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2022-03-14T01:31:00Z</dcterms:created>
  <dc:creator>HP</dc:creator>
  <cp:lastModifiedBy>太极箫客</cp:lastModifiedBy>
  <cp:lastPrinted>2022-09-14T05:29:00Z</cp:lastPrinted>
  <dcterms:modified xsi:type="dcterms:W3CDTF">2025-08-14T06:14:45Z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ad80bc43497446c0bcbe32bb42a98266</vt:lpwstr>
  </property>
  <property fmtid="{D5CDD505-2E9C-101B-9397-08002B2CF9AE}" pid="3" name="KSOProductBuildVer">
    <vt:lpwstr>2052-12.1.0.21915</vt:lpwstr>
  </property>
  <property fmtid="{D5CDD505-2E9C-101B-9397-08002B2CF9AE}" pid="4" name="KSOTemplateDocerSaveRecord">
    <vt:lpwstr>eyJoZGlkIjoiMDJiMzI3ODBiNTFmMWRjNDUyMjM1ZmZjODY5NDc2MWMiLCJ1c2VySWQiOiI0NTQ4Nzg1NzAifQ==</vt:lpwstr>
  </property>
</Properties>
</file>