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0CA43">
      <w:pPr>
        <w:pStyle w:val="4"/>
        <w:spacing w:before="0" w:beforeAutospacing="0" w:after="0" w:afterAutospacing="0"/>
      </w:pPr>
      <w:bookmarkStart w:id="0" w:name="_GoBack"/>
      <w:bookmarkEnd w:id="0"/>
      <w:r>
        <w:rPr>
          <w:rStyle w:val="7"/>
        </w:rPr>
        <w:t>Q</w:t>
      </w:r>
    </w:p>
    <w:p w14:paraId="53904538">
      <w:pPr>
        <w:pStyle w:val="4"/>
        <w:spacing w:before="0" w:beforeAutospacing="0" w:after="0" w:afterAutospacing="0"/>
      </w:pPr>
      <w:r>
        <w:t>确定有源医疗器械的使用期限应该考虑哪些因素？应提交哪些资料？</w:t>
      </w:r>
    </w:p>
    <w:p w14:paraId="2F8DE5E1">
      <w:pPr>
        <w:pStyle w:val="4"/>
        <w:spacing w:before="0" w:beforeAutospacing="0" w:after="0" w:afterAutospacing="0"/>
      </w:pPr>
      <w:r>
        <w:rPr>
          <w:rStyle w:val="7"/>
          <w:sz w:val="22"/>
          <w:szCs w:val="22"/>
        </w:rPr>
        <w:t>A：</w:t>
      </w:r>
    </w:p>
    <w:p w14:paraId="51579953">
      <w:pPr>
        <w:pStyle w:val="4"/>
        <w:spacing w:before="0" w:beforeAutospacing="0" w:after="0" w:afterAutospacing="0"/>
      </w:pPr>
      <w:r>
        <w:t>1.有源医疗器械使用期限的确定可考虑以下方面：如高完善性元器件等关键部件的使用期限、使用中的正常运行和单一故障状态、使用频率、使用环境（腐蚀、磨损、辐射等）、清洗/消毒/灭菌方法、部件维护维修情况、以及前期的经验数据等。</w:t>
      </w:r>
    </w:p>
    <w:p w14:paraId="21FF6031">
      <w:pPr>
        <w:pStyle w:val="4"/>
        <w:spacing w:before="0" w:beforeAutospacing="0" w:after="0" w:afterAutospacing="0"/>
      </w:pPr>
      <w:r>
        <w:t> </w:t>
      </w:r>
    </w:p>
    <w:p w14:paraId="627088A0">
      <w:pPr>
        <w:pStyle w:val="4"/>
        <w:spacing w:before="0" w:beforeAutospacing="0" w:after="0" w:afterAutospacing="0"/>
      </w:pPr>
      <w:r>
        <w:t>2.申请人应提交产品预期使用期限的确定依据及验证报告，验证报告可提供系统/设备的使用期限验证内容，或关键部件的使用期限验证内容，或经验数据等。</w:t>
      </w:r>
    </w:p>
    <w:p w14:paraId="3BB5D0BC">
      <w:pPr>
        <w:pStyle w:val="4"/>
        <w:spacing w:before="0" w:beforeAutospacing="0" w:after="0" w:afterAutospacing="0"/>
      </w:pPr>
    </w:p>
    <w:p w14:paraId="24C776C7">
      <w:pPr>
        <w:pStyle w:val="4"/>
        <w:spacing w:before="0" w:beforeAutospacing="0" w:after="0" w:afterAutospacing="0"/>
      </w:pPr>
      <w:r>
        <w:t>3.相关责任方（制造商/使用者）应在产品整个生命周期过程中通过风险分析动态评价产品的使用期限，安全性降低到风险不可接受的程度时，应停止使用。</w:t>
      </w:r>
    </w:p>
    <w:p w14:paraId="3B3FE776">
      <w:pPr>
        <w:pStyle w:val="4"/>
        <w:spacing w:before="0" w:beforeAutospacing="0" w:after="0" w:afterAutospacing="0"/>
        <w:rPr>
          <w:rStyle w:val="7"/>
          <w:rFonts w:hint="eastAsia"/>
        </w:rPr>
      </w:pPr>
    </w:p>
    <w:p w14:paraId="1433CD61">
      <w:pPr>
        <w:pStyle w:val="4"/>
        <w:spacing w:before="0" w:beforeAutospacing="0" w:after="0" w:afterAutospacing="0"/>
      </w:pPr>
      <w:r>
        <w:rPr>
          <w:rStyle w:val="7"/>
        </w:rPr>
        <w:t>Q</w:t>
      </w:r>
    </w:p>
    <w:p w14:paraId="48CB0BC2">
      <w:pPr>
        <w:pStyle w:val="4"/>
        <w:spacing w:before="0" w:beforeAutospacing="0" w:after="0" w:afterAutospacing="0"/>
      </w:pPr>
      <w:r>
        <w:t>产品在进行化学性能研究时，某项化学性能（例如还原物质）出现异常，需如何进行评价？</w:t>
      </w:r>
    </w:p>
    <w:p w14:paraId="23D11C7D">
      <w:pPr>
        <w:pStyle w:val="4"/>
        <w:shd w:val="clear" w:color="auto" w:fill="FFFFFF"/>
        <w:spacing w:before="0" w:beforeAutospacing="0" w:after="0" w:afterAutospacing="0" w:line="435" w:lineRule="atLeast"/>
        <w:jc w:val="both"/>
        <w:rPr>
          <w:rFonts w:ascii="Helvetica" w:hAnsi="Helvetica" w:cs="Helvetica"/>
          <w:color w:val="3E3E3E"/>
          <w:sz w:val="22"/>
          <w:szCs w:val="22"/>
        </w:rPr>
      </w:pPr>
      <w:r>
        <w:rPr>
          <w:rStyle w:val="7"/>
          <w:rFonts w:ascii="Helvetica" w:hAnsi="Helvetica" w:cs="Helvetica"/>
          <w:color w:val="3E3E3E"/>
          <w:sz w:val="22"/>
          <w:szCs w:val="22"/>
        </w:rPr>
        <w:t>A：</w:t>
      </w:r>
    </w:p>
    <w:p w14:paraId="0E8D6D00">
      <w:pPr>
        <w:pStyle w:val="4"/>
        <w:shd w:val="clear" w:color="auto" w:fill="FFFFFF"/>
        <w:spacing w:before="0" w:beforeAutospacing="0" w:after="0" w:afterAutospacing="0" w:line="435" w:lineRule="atLeast"/>
        <w:jc w:val="both"/>
        <w:rPr>
          <w:rFonts w:ascii="Helvetica" w:hAnsi="Helvetica" w:cs="Helvetica"/>
          <w:color w:val="3E3E3E"/>
          <w:sz w:val="22"/>
          <w:szCs w:val="22"/>
        </w:rPr>
      </w:pPr>
      <w:r>
        <w:rPr>
          <w:rFonts w:ascii="Helvetica" w:hAnsi="Helvetica" w:cs="Helvetica"/>
          <w:color w:val="3E3E3E"/>
          <w:sz w:val="22"/>
          <w:szCs w:val="22"/>
        </w:rPr>
        <w:t>当化学性能研究结果出现异常时，建议申请人评估异常的原因，综合评估医疗器械的安全性。例如涂覆涂层的导管类产品，涂层材料导致还原物质测试结果异常时，建议对不涂覆涂层的产品进行测试，确认其化学性能是否可接受，同时结合涂层材料的临床应用史及生物相容性数据，综合评价。</w:t>
      </w:r>
    </w:p>
    <w:p w14:paraId="3AF63460">
      <w:pPr>
        <w:rPr>
          <w:rFonts w:hint="eastAsia"/>
        </w:rPr>
      </w:pPr>
    </w:p>
    <w:p w14:paraId="315C1C9D">
      <w:pPr>
        <w:rPr>
          <w:rFonts w:hint="eastAsia"/>
        </w:rPr>
      </w:pPr>
    </w:p>
    <w:p w14:paraId="563D3847">
      <w:pPr>
        <w:pStyle w:val="4"/>
        <w:spacing w:before="0" w:beforeAutospacing="0" w:after="0" w:afterAutospacing="0"/>
      </w:pPr>
      <w:r>
        <w:rPr>
          <w:rStyle w:val="7"/>
        </w:rPr>
        <w:t>Q</w:t>
      </w:r>
    </w:p>
    <w:p w14:paraId="3F224C0F">
      <w:pPr>
        <w:pStyle w:val="4"/>
        <w:spacing w:before="0" w:beforeAutospacing="0" w:after="0" w:afterAutospacing="0"/>
      </w:pPr>
      <w:r>
        <w:t>三类X射线产品在临床试验时要考虑的临床部位包括哪些？</w:t>
      </w:r>
    </w:p>
    <w:p w14:paraId="092A879A">
      <w:pPr>
        <w:pStyle w:val="4"/>
        <w:spacing w:before="0" w:beforeAutospacing="0" w:after="0" w:afterAutospacing="0"/>
      </w:pPr>
      <w:r>
        <w:rPr>
          <w:rStyle w:val="7"/>
        </w:rPr>
        <w:t>A：</w:t>
      </w:r>
    </w:p>
    <w:p w14:paraId="5C8C795D">
      <w:pPr>
        <w:pStyle w:val="4"/>
        <w:spacing w:before="0" w:beforeAutospacing="0" w:after="0" w:afterAutospacing="0"/>
      </w:pPr>
      <w:r>
        <w:t>可以参考《医用X射线诊断设备（第三类）产品注册技术审查指导原则》。临床部位包括胸部、腹部、骨与软组织；若用于造影检查，部位应增加胃肠道、主动脉、器官脏器血管、冠状动脉血管（若有）。产品不同临床部位亦不同。</w:t>
      </w:r>
    </w:p>
    <w:p w14:paraId="5FF1AF4E">
      <w:pPr>
        <w:rPr>
          <w:rFonts w:hint="eastAsia"/>
          <w:b/>
        </w:rPr>
      </w:pPr>
    </w:p>
    <w:p w14:paraId="482B0F13">
      <w:pPr>
        <w:pStyle w:val="4"/>
        <w:spacing w:before="0" w:beforeAutospacing="0" w:after="0" w:afterAutospacing="0"/>
      </w:pPr>
      <w:r>
        <w:rPr>
          <w:rStyle w:val="7"/>
        </w:rPr>
        <w:t>Q</w:t>
      </w:r>
    </w:p>
    <w:p w14:paraId="5F3D4FE7">
      <w:pPr>
        <w:pStyle w:val="4"/>
        <w:spacing w:before="0" w:beforeAutospacing="0" w:after="0" w:afterAutospacing="0"/>
      </w:pPr>
      <w:r>
        <w:t>如何统计体外诊断试剂定量检测产品临床试验数据？</w:t>
      </w:r>
    </w:p>
    <w:p w14:paraId="5E87637D">
      <w:pPr>
        <w:pStyle w:val="4"/>
        <w:spacing w:before="0" w:beforeAutospacing="0" w:after="0" w:afterAutospacing="0"/>
      </w:pPr>
      <w:r>
        <w:rPr>
          <w:rStyle w:val="7"/>
        </w:rPr>
        <w:t>A：</w:t>
      </w:r>
    </w:p>
    <w:p w14:paraId="13F956E9">
      <w:pPr>
        <w:pStyle w:val="4"/>
        <w:spacing w:before="0" w:beforeAutospacing="0" w:after="0" w:afterAutospacing="0"/>
      </w:pPr>
      <w:r>
        <w:t>对于定量检测产品，其临床试验结果应依据产品的检测性能选择回归分析等适宜的统计分析方法，在合理的置信区间，考察两种试剂结果是否呈显著相关性，定量值结果是否存在显著统计学差异。如有可能，建议应考虑到在不同的样本浓度区间试剂的性能可能存在的差异，对总体浓度范围进行区间分层统计，对不同浓度区间内的结果进行相关性分析以更好的验证两种试剂的相关性。</w:t>
      </w:r>
    </w:p>
    <w:p w14:paraId="13BDBC75">
      <w:pPr>
        <w:rPr>
          <w:rFonts w:hint="eastAsia"/>
        </w:rPr>
      </w:pPr>
    </w:p>
    <w:p w14:paraId="50B3D195">
      <w:pPr>
        <w:rPr>
          <w:rFonts w:hint="eastAsia"/>
        </w:rPr>
      </w:pPr>
    </w:p>
    <w:p w14:paraId="51DE79E9">
      <w:pPr>
        <w:pStyle w:val="4"/>
        <w:spacing w:before="0" w:beforeAutospacing="0" w:after="0" w:afterAutospacing="0"/>
        <w:rPr>
          <w:rStyle w:val="7"/>
          <w:rFonts w:hint="eastAsia"/>
        </w:rPr>
      </w:pPr>
    </w:p>
    <w:p w14:paraId="16188010">
      <w:pPr>
        <w:pStyle w:val="4"/>
        <w:spacing w:before="0" w:beforeAutospacing="0" w:after="0" w:afterAutospacing="0"/>
      </w:pPr>
      <w:r>
        <w:rPr>
          <w:rStyle w:val="7"/>
        </w:rPr>
        <w:t>Q</w:t>
      </w:r>
    </w:p>
    <w:p w14:paraId="07404466">
      <w:pPr>
        <w:pStyle w:val="4"/>
        <w:spacing w:before="0" w:beforeAutospacing="0" w:after="0" w:afterAutospacing="0"/>
      </w:pPr>
      <w:r>
        <w:t>可吸收止血类产品应提交何种资料证明产品的止血作用机理？</w:t>
      </w:r>
    </w:p>
    <w:p w14:paraId="2455A71A">
      <w:pPr>
        <w:pStyle w:val="4"/>
        <w:shd w:val="clear" w:color="auto" w:fill="FFFFFF"/>
        <w:spacing w:before="0" w:beforeAutospacing="0" w:after="0" w:afterAutospacing="0" w:line="435" w:lineRule="atLeast"/>
        <w:jc w:val="both"/>
        <w:rPr>
          <w:rFonts w:ascii="Helvetica" w:hAnsi="Helvetica" w:cs="Helvetica"/>
          <w:color w:val="3E3E3E"/>
          <w:sz w:val="22"/>
          <w:szCs w:val="22"/>
        </w:rPr>
      </w:pPr>
      <w:r>
        <w:rPr>
          <w:rStyle w:val="7"/>
          <w:rFonts w:ascii="Helvetica" w:hAnsi="Helvetica" w:cs="Helvetica"/>
          <w:color w:val="3E3E3E"/>
          <w:sz w:val="22"/>
          <w:szCs w:val="22"/>
        </w:rPr>
        <w:t>A：</w:t>
      </w:r>
    </w:p>
    <w:p w14:paraId="2A918A55">
      <w:pPr>
        <w:pStyle w:val="4"/>
        <w:shd w:val="clear" w:color="auto" w:fill="FFFFFF"/>
        <w:spacing w:before="0" w:beforeAutospacing="0" w:after="0" w:afterAutospacing="0" w:line="435" w:lineRule="atLeast"/>
        <w:jc w:val="both"/>
        <w:rPr>
          <w:rFonts w:ascii="Helvetica" w:hAnsi="Helvetica" w:cs="Helvetica"/>
          <w:color w:val="3E3E3E"/>
          <w:sz w:val="22"/>
          <w:szCs w:val="22"/>
        </w:rPr>
      </w:pPr>
      <w:r>
        <w:rPr>
          <w:rFonts w:ascii="Helvetica" w:hAnsi="Helvetica" w:cs="Helvetica"/>
          <w:color w:val="3E3E3E"/>
          <w:sz w:val="22"/>
          <w:szCs w:val="22"/>
        </w:rPr>
        <w:t>申请人应提交能够有效证明或阐述该申报产品的止血作用原理的技术或证明性资料。申请人应详细阐明申报产品的止血机理，描述产品如何影响止血过程，产品在止血过程中的优势作用，确认该止血机理结合所申报产品应用是否科学合理。对支持该止血原理的国内外研究文献进行综述，并提交具体支持该止血原理的相关科学文献原文及中文翻译件。阐明是否已有应用相同止血原理的产品在境内外上市，并研究所申报产品是否会可能引起血栓形成、凝血障碍等与其使用相关的不良反应。</w:t>
      </w:r>
    </w:p>
    <w:p w14:paraId="233F178B">
      <w:pPr>
        <w:rPr>
          <w:rFonts w:hint="eastAsia"/>
        </w:rPr>
      </w:pPr>
    </w:p>
    <w:p w14:paraId="3ECB20DD">
      <w:pPr>
        <w:pStyle w:val="4"/>
        <w:spacing w:before="0" w:beforeAutospacing="0" w:after="0" w:afterAutospacing="0"/>
      </w:pPr>
      <w:r>
        <w:rPr>
          <w:rStyle w:val="7"/>
        </w:rPr>
        <w:t>Q</w:t>
      </w:r>
    </w:p>
    <w:p w14:paraId="76890B2B">
      <w:pPr>
        <w:pStyle w:val="4"/>
        <w:spacing w:before="0" w:beforeAutospacing="0" w:after="0" w:afterAutospacing="0"/>
      </w:pPr>
      <w:r>
        <w:t>用于颅颌面内固定及修补的产品应如何划分注册单元？</w:t>
      </w:r>
    </w:p>
    <w:p w14:paraId="655656E8">
      <w:pPr>
        <w:pStyle w:val="4"/>
        <w:spacing w:before="0" w:beforeAutospacing="0" w:after="0" w:afterAutospacing="0"/>
      </w:pPr>
      <w:r>
        <w:rPr>
          <w:rStyle w:val="7"/>
        </w:rPr>
        <w:t>A：</w:t>
      </w:r>
    </w:p>
    <w:p w14:paraId="7360812B">
      <w:pPr>
        <w:pStyle w:val="4"/>
        <w:spacing w:before="0" w:beforeAutospacing="0" w:after="0" w:afterAutospacing="0"/>
      </w:pPr>
      <w:r>
        <w:t>根据产品适用范围和结构组成的不同，可分为颅颌面接骨板系统、颅骨锁、钛网、人工颅骨假体等不同的注册单元。根据产品组成材料（包括材料牌号）的不同，可分为TC4钛合金、TC4ELI钛合金、TC20钛合金、TA2纯钛、TA3纯钛、TA4纯钛等注册单元。若产品组成部件材料不同,但作为整体组配或组合使用的产品可按同一注册单元申报。</w:t>
      </w:r>
    </w:p>
    <w:p w14:paraId="343A9B17">
      <w:pPr>
        <w:rPr>
          <w:rFonts w:hint="eastAsia"/>
        </w:rPr>
      </w:pPr>
    </w:p>
    <w:p w14:paraId="377A20D6">
      <w:pPr>
        <w:pStyle w:val="4"/>
        <w:spacing w:before="0" w:beforeAutospacing="0" w:after="0" w:afterAutospacing="0"/>
      </w:pPr>
      <w:r>
        <w:rPr>
          <w:rStyle w:val="7"/>
        </w:rPr>
        <w:t>Q</w:t>
      </w:r>
    </w:p>
    <w:p w14:paraId="13C89B58">
      <w:pPr>
        <w:pStyle w:val="4"/>
        <w:spacing w:before="0" w:beforeAutospacing="0" w:after="0" w:afterAutospacing="0"/>
      </w:pPr>
      <w:r>
        <w:t>关于体外诊断试剂临床试验对比试剂/方法的选择</w:t>
      </w:r>
    </w:p>
    <w:p w14:paraId="220C82F1">
      <w:pPr>
        <w:pStyle w:val="4"/>
        <w:spacing w:before="0" w:beforeAutospacing="0" w:after="0" w:afterAutospacing="0"/>
      </w:pPr>
      <w:r>
        <w:rPr>
          <w:rStyle w:val="7"/>
        </w:rPr>
        <w:t>A：</w:t>
      </w:r>
    </w:p>
    <w:p w14:paraId="19389546">
      <w:pPr>
        <w:pStyle w:val="4"/>
        <w:spacing w:before="0" w:beforeAutospacing="0" w:after="0" w:afterAutospacing="0"/>
      </w:pPr>
      <w:r>
        <w:t>依据《体外诊断试剂临床试验技术指导原则》规定,对于新研制体外诊断试剂，采用试验用体外诊断试剂与诊断该疾病的“金标准”进行盲法同步比较；对于“已有同品种批准上市”的产品，可选择已上市产品作为对比试剂。</w:t>
      </w:r>
    </w:p>
    <w:p w14:paraId="5678EE01">
      <w:pPr>
        <w:pStyle w:val="4"/>
        <w:spacing w:before="0" w:beforeAutospacing="0" w:after="0" w:afterAutospacing="0"/>
      </w:pPr>
    </w:p>
    <w:p w14:paraId="0FB5C50E">
      <w:pPr>
        <w:pStyle w:val="4"/>
        <w:spacing w:before="0" w:beforeAutospacing="0" w:after="0" w:afterAutospacing="0"/>
      </w:pPr>
      <w:r>
        <w:t>应充分了解所选择产品/方法的技术信息及性能，如方法学、临床预期用途、主要性能指标、校准品的溯源情况、阳性判断值或参考区间等，充分考虑对比试剂/方法与试验用体外诊断试剂的可比性，选择适当的对比试剂/方法进行试验，以便通过比对验证试验用体外诊断试剂的临床性能。</w:t>
      </w:r>
    </w:p>
    <w:p w14:paraId="69466265">
      <w:pPr>
        <w:rPr>
          <w:rFonts w:hint="eastAsia"/>
        </w:rPr>
      </w:pPr>
    </w:p>
    <w:p w14:paraId="0E47773A">
      <w:pPr>
        <w:pStyle w:val="4"/>
        <w:spacing w:before="0" w:beforeAutospacing="0" w:after="0" w:afterAutospacing="0"/>
      </w:pPr>
      <w:r>
        <w:rPr>
          <w:rStyle w:val="7"/>
        </w:rPr>
        <w:t>Q</w:t>
      </w:r>
    </w:p>
    <w:p w14:paraId="3F392441">
      <w:pPr>
        <w:pStyle w:val="4"/>
        <w:spacing w:before="0" w:beforeAutospacing="0" w:after="0" w:afterAutospacing="0"/>
      </w:pPr>
      <w:r>
        <w:t>一次性使用避光输液器产品应如何确定适用范围？</w:t>
      </w:r>
    </w:p>
    <w:p w14:paraId="4C1D5674">
      <w:pPr>
        <w:pStyle w:val="4"/>
        <w:spacing w:before="0" w:beforeAutospacing="0" w:after="0" w:afterAutospacing="0"/>
      </w:pPr>
      <w:r>
        <w:rPr>
          <w:rStyle w:val="7"/>
        </w:rPr>
        <w:t>A：</w:t>
      </w:r>
    </w:p>
    <w:p w14:paraId="265DBFE0">
      <w:pPr>
        <w:pStyle w:val="4"/>
        <w:spacing w:before="0" w:beforeAutospacing="0" w:after="0" w:afterAutospacing="0"/>
      </w:pPr>
      <w:r>
        <w:t>注册人应模拟临床最恶劣使用条件，对适用范围中宣称的可输注药液逐一进行药物相容性评价，考察输液器与药液间的相互作用，包括单方面或相互的物质迁移、吸附、质量变化，以及输液器的避光效果等。依据药物相容性评价的结论，确定申报产品的适用范围。</w:t>
      </w:r>
    </w:p>
    <w:p w14:paraId="193F04D6">
      <w:pPr>
        <w:rPr>
          <w:rFonts w:hint="eastAsia"/>
        </w:rPr>
      </w:pPr>
    </w:p>
    <w:p w14:paraId="0BCFED6F">
      <w:pPr>
        <w:rPr>
          <w:rFonts w:hint="eastAsia"/>
        </w:rPr>
      </w:pPr>
    </w:p>
    <w:p w14:paraId="54FC8D24">
      <w:pPr>
        <w:rPr>
          <w:rFonts w:hint="eastAsia"/>
        </w:rPr>
      </w:pPr>
    </w:p>
    <w:p w14:paraId="759ECD01">
      <w:pPr>
        <w:rPr>
          <w:rFonts w:hint="eastAsia"/>
        </w:rPr>
      </w:pPr>
    </w:p>
    <w:p w14:paraId="3DD7034D">
      <w:pPr>
        <w:pStyle w:val="4"/>
        <w:spacing w:before="0" w:beforeAutospacing="0" w:after="0" w:afterAutospacing="0"/>
      </w:pPr>
      <w:r>
        <w:rPr>
          <w:rStyle w:val="7"/>
        </w:rPr>
        <w:t>Q</w:t>
      </w:r>
    </w:p>
    <w:p w14:paraId="31596B9A">
      <w:pPr>
        <w:pStyle w:val="4"/>
        <w:spacing w:before="0" w:beforeAutospacing="0" w:after="0" w:afterAutospacing="0"/>
      </w:pPr>
      <w:r>
        <w:t>关于医疗器械注册受理前技术问题咨询工作的相关解释</w:t>
      </w:r>
    </w:p>
    <w:p w14:paraId="23A6D7AC">
      <w:pPr>
        <w:pStyle w:val="4"/>
        <w:spacing w:before="0" w:beforeAutospacing="0" w:after="0" w:afterAutospacing="0"/>
      </w:pPr>
      <w:r>
        <w:rPr>
          <w:rStyle w:val="7"/>
        </w:rPr>
        <w:t>A：</w:t>
      </w:r>
    </w:p>
    <w:p w14:paraId="1B63E8E6">
      <w:pPr>
        <w:pStyle w:val="4"/>
        <w:spacing w:before="0" w:beforeAutospacing="0" w:after="0" w:afterAutospacing="0"/>
      </w:pPr>
      <w:r>
        <w:t>一、预约方式</w:t>
      </w:r>
    </w:p>
    <w:p w14:paraId="04EE4857">
      <w:pPr>
        <w:pStyle w:val="4"/>
        <w:spacing w:before="0" w:beforeAutospacing="0" w:after="0" w:afterAutospacing="0"/>
      </w:pPr>
      <w:r>
        <w:t>自2017年10月20日起中心不再接受现场取号咨询，采用网上预约的方式。    </w:t>
      </w:r>
    </w:p>
    <w:p w14:paraId="41FF374F">
      <w:pPr>
        <w:pStyle w:val="4"/>
        <w:spacing w:before="0" w:beforeAutospacing="0" w:after="0" w:afterAutospacing="0"/>
      </w:pPr>
    </w:p>
    <w:p w14:paraId="6E2D298F">
      <w:pPr>
        <w:pStyle w:val="4"/>
        <w:spacing w:before="0" w:beforeAutospacing="0" w:after="0" w:afterAutospacing="0"/>
      </w:pPr>
      <w:r>
        <w:t>二、合理选择咨询部门</w:t>
      </w:r>
    </w:p>
    <w:p w14:paraId="6BAF5287">
      <w:pPr>
        <w:pStyle w:val="4"/>
        <w:spacing w:before="0" w:beforeAutospacing="0" w:after="0" w:afterAutospacing="0"/>
      </w:pPr>
      <w:r>
        <w:t>行政相对人须按照中心发布的咨询工作安排公告选择相应审评部门。</w:t>
      </w:r>
    </w:p>
    <w:p w14:paraId="415456BA">
      <w:pPr>
        <w:pStyle w:val="4"/>
        <w:spacing w:before="0" w:beforeAutospacing="0" w:after="0" w:afterAutospacing="0"/>
      </w:pPr>
    </w:p>
    <w:p w14:paraId="6978E358">
      <w:pPr>
        <w:pStyle w:val="4"/>
        <w:spacing w:before="0" w:beforeAutospacing="0" w:after="0" w:afterAutospacing="0"/>
      </w:pPr>
      <w:r>
        <w:t>三、预约须知</w:t>
      </w:r>
    </w:p>
    <w:p w14:paraId="12B8F7DE">
      <w:pPr>
        <w:pStyle w:val="4"/>
        <w:spacing w:before="0" w:beforeAutospacing="0" w:after="0" w:afterAutospacing="0"/>
      </w:pPr>
      <w:r>
        <w:t>网上预约时必须严格按照网约须知的要求填写并上传“医疗器械技术审评中心咨询登记表”（最多填写5个咨询问题），表单填写不符合要求的视为网约无效。</w:t>
      </w:r>
    </w:p>
    <w:p w14:paraId="261FF06B">
      <w:pPr>
        <w:pStyle w:val="4"/>
        <w:spacing w:before="0" w:beforeAutospacing="0" w:after="0" w:afterAutospacing="0"/>
      </w:pPr>
      <w:r>
        <w:t>预约成功后具体咨询人员持委托书和有效身份证于咨询当日13:00-14:30到总局行政受理服务大厅现场取预约号，凭所取预约号在现场等候咨询。爽约限制按照《关于启用总局行政受理服务大厅网上预约受理系统的公告》（第192号）执行。</w:t>
      </w:r>
    </w:p>
    <w:p w14:paraId="7F6A08B6">
      <w:pPr>
        <w:pStyle w:val="4"/>
        <w:spacing w:before="0" w:beforeAutospacing="0" w:after="0" w:afterAutospacing="0"/>
      </w:pPr>
    </w:p>
    <w:p w14:paraId="19A8FF0C">
      <w:pPr>
        <w:pStyle w:val="4"/>
        <w:spacing w:before="0" w:beforeAutospacing="0" w:after="0" w:afterAutospacing="0"/>
      </w:pPr>
      <w:r>
        <w:t>四、其他方式</w:t>
      </w:r>
    </w:p>
    <w:p w14:paraId="45BD44F6">
      <w:pPr>
        <w:pStyle w:val="4"/>
        <w:spacing w:before="0" w:beforeAutospacing="0" w:after="0" w:afterAutospacing="0"/>
      </w:pPr>
      <w:r>
        <w:t>未预约或未预约成功的行政相对人可于咨询当日按相关要求现场取号，领取并填写、提交“医疗器械技术审评中心咨询登记表”（最多填写5个咨询问题），待中心电话回复。</w:t>
      </w:r>
    </w:p>
    <w:p w14:paraId="2B2E9835">
      <w:pPr>
        <w:rPr>
          <w:rFonts w:hint="eastAsia"/>
        </w:rPr>
      </w:pPr>
    </w:p>
    <w:p w14:paraId="30038419">
      <w:pPr>
        <w:pStyle w:val="4"/>
        <w:spacing w:before="0" w:beforeAutospacing="0" w:after="0" w:afterAutospacing="0"/>
      </w:pPr>
      <w:r>
        <w:rPr>
          <w:rStyle w:val="7"/>
        </w:rPr>
        <w:t>Q</w:t>
      </w:r>
    </w:p>
    <w:p w14:paraId="3039CAF8">
      <w:pPr>
        <w:pStyle w:val="4"/>
        <w:spacing w:before="0" w:beforeAutospacing="0" w:after="0" w:afterAutospacing="0"/>
      </w:pPr>
      <w:r>
        <w:t>锁定金属接骨板类产品与非锁定金属接骨板类产品的注册单元划分</w:t>
      </w:r>
    </w:p>
    <w:p w14:paraId="3D7423E2">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Style w:val="7"/>
          <w:rFonts w:ascii="Helvetica" w:hAnsi="Helvetica" w:cs="Helvetica"/>
          <w:color w:val="3E3E3E"/>
          <w:sz w:val="20"/>
          <w:szCs w:val="20"/>
        </w:rPr>
        <w:t>A：</w:t>
      </w:r>
    </w:p>
    <w:p w14:paraId="25FAA9FA">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Fonts w:ascii="Helvetica" w:hAnsi="Helvetica" w:cs="Helvetica"/>
          <w:color w:val="3E3E3E"/>
          <w:sz w:val="20"/>
          <w:szCs w:val="20"/>
        </w:rPr>
        <w:t>锁定金属接骨板类产品和非锁定金属接骨板类产品是属于不同注册单元，需分开申报。</w:t>
      </w:r>
    </w:p>
    <w:p w14:paraId="5AF72B94">
      <w:pPr>
        <w:pStyle w:val="4"/>
        <w:shd w:val="clear" w:color="auto" w:fill="FFFFFF"/>
        <w:spacing w:before="0" w:beforeAutospacing="0" w:after="0" w:afterAutospacing="0" w:line="408" w:lineRule="atLeast"/>
        <w:jc w:val="both"/>
        <w:rPr>
          <w:rFonts w:ascii="Helvetica" w:hAnsi="Helvetica" w:cs="Helvetica"/>
          <w:color w:val="3E3E3E"/>
          <w:sz w:val="20"/>
          <w:szCs w:val="20"/>
        </w:rPr>
      </w:pPr>
    </w:p>
    <w:p w14:paraId="06655CDA">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Fonts w:ascii="Helvetica" w:hAnsi="Helvetica" w:cs="Helvetica"/>
          <w:color w:val="3E3E3E"/>
          <w:sz w:val="20"/>
          <w:szCs w:val="20"/>
        </w:rPr>
        <w:t>与锁定金属接骨板配合使用的锁定金属接骨螺钉、锁定金属空心螺钉、钉帽、垫圈、固定扣等配件，可与金属接骨板组成接骨板系统进行注册申报。若锁定金属接骨板包含非锁定孔，非锁定金属接骨螺钉可与其划为同一注册单元。</w:t>
      </w:r>
    </w:p>
    <w:p w14:paraId="4A927E3D">
      <w:pPr>
        <w:rPr>
          <w:rFonts w:hint="eastAsia"/>
        </w:rPr>
      </w:pPr>
    </w:p>
    <w:p w14:paraId="15F757D7">
      <w:pPr>
        <w:pStyle w:val="4"/>
        <w:spacing w:before="0" w:beforeAutospacing="0" w:after="0" w:afterAutospacing="0"/>
      </w:pPr>
      <w:r>
        <w:rPr>
          <w:rStyle w:val="7"/>
        </w:rPr>
        <w:t>Q</w:t>
      </w:r>
    </w:p>
    <w:p w14:paraId="15332A22">
      <w:pPr>
        <w:pStyle w:val="4"/>
        <w:spacing w:before="0" w:beforeAutospacing="0" w:after="0" w:afterAutospacing="0"/>
      </w:pPr>
      <w:r>
        <w:t>关于体外诊断试剂临床试验检测结果不一致样本的确认</w:t>
      </w:r>
    </w:p>
    <w:p w14:paraId="60EADB43">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Style w:val="7"/>
          <w:rFonts w:ascii="Helvetica" w:hAnsi="Helvetica" w:cs="Helvetica"/>
          <w:color w:val="3E3E3E"/>
          <w:sz w:val="20"/>
          <w:szCs w:val="20"/>
        </w:rPr>
        <w:t>A：</w:t>
      </w:r>
    </w:p>
    <w:p w14:paraId="6D3CFA36">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Fonts w:ascii="Helvetica" w:hAnsi="Helvetica" w:cs="Helvetica"/>
          <w:color w:val="3E3E3E"/>
          <w:sz w:val="20"/>
          <w:szCs w:val="20"/>
        </w:rPr>
        <w:t>临床试验方案中应明确试验用体外诊断试剂和对比试剂检测结果不一致样本的判定依据，对临床试验中判定为检测结果不一致的样本应采用“金标准”或其他合理的方法进行复核，方案中应明确用于复核的“金标准”或方法。临床试验报告中应给出最终确认的结果或判定，如无需复核，应详细说明理由。</w:t>
      </w:r>
    </w:p>
    <w:p w14:paraId="2587B661">
      <w:pPr>
        <w:rPr>
          <w:rFonts w:hint="eastAsia"/>
        </w:rPr>
      </w:pPr>
    </w:p>
    <w:p w14:paraId="66128C5E">
      <w:pPr>
        <w:rPr>
          <w:rFonts w:hint="eastAsia"/>
        </w:rPr>
      </w:pPr>
    </w:p>
    <w:p w14:paraId="7C064968">
      <w:pPr>
        <w:pStyle w:val="4"/>
        <w:spacing w:before="0" w:beforeAutospacing="0" w:after="0" w:afterAutospacing="0"/>
      </w:pPr>
      <w:r>
        <w:rPr>
          <w:rStyle w:val="7"/>
        </w:rPr>
        <w:t>Q</w:t>
      </w:r>
    </w:p>
    <w:p w14:paraId="12DAFE08">
      <w:pPr>
        <w:pStyle w:val="4"/>
        <w:spacing w:before="0" w:beforeAutospacing="0" w:after="0" w:afterAutospacing="0"/>
      </w:pPr>
      <w:r>
        <w:t>有粘胶背衬的聚氨酯泡沫敷料是否符合免于进行临床试验的第三类医疗器械目录中的“聚氨酯泡沫敷料”？</w:t>
      </w:r>
    </w:p>
    <w:p w14:paraId="10EB217D">
      <w:pPr>
        <w:pStyle w:val="4"/>
        <w:spacing w:before="0" w:beforeAutospacing="0" w:after="0" w:afterAutospacing="0"/>
      </w:pPr>
      <w:r>
        <w:rPr>
          <w:rStyle w:val="7"/>
        </w:rPr>
        <w:t>A：</w:t>
      </w:r>
    </w:p>
    <w:p w14:paraId="52B2D808">
      <w:pPr>
        <w:pStyle w:val="4"/>
        <w:spacing w:before="0" w:beforeAutospacing="0" w:after="0" w:afterAutospacing="0"/>
      </w:pPr>
      <w:r>
        <w:t>包括在该目录内，但注意豁免情况不包括以下4种情况：</w:t>
      </w:r>
    </w:p>
    <w:p w14:paraId="636B8FF1">
      <w:pPr>
        <w:pStyle w:val="4"/>
        <w:spacing w:before="0" w:beforeAutospacing="0" w:after="0" w:afterAutospacing="0"/>
      </w:pPr>
      <w:r>
        <w:t>（1）适应症宣称可以促进上皮化、引导组织再生、促进伤口愈合、减轻疼痛、止血、减少疤痕、防粘连等作用的产品；</w:t>
      </w:r>
    </w:p>
    <w:p w14:paraId="6B38E847">
      <w:pPr>
        <w:pStyle w:val="4"/>
        <w:spacing w:before="0" w:beforeAutospacing="0" w:after="0" w:afterAutospacing="0"/>
      </w:pPr>
      <w:r>
        <w:br w:type="textWrapping"/>
      </w:r>
    </w:p>
    <w:p w14:paraId="5F4D1C32">
      <w:pPr>
        <w:pStyle w:val="4"/>
        <w:spacing w:before="0" w:beforeAutospacing="0" w:after="0" w:afterAutospacing="0"/>
      </w:pPr>
      <w:r>
        <w:t>（2）宣称可以用于体内伤口、三度烧伤、感染创面、坏死组织较多的创面、发生创面脓毒症的患者等情况的产品；</w:t>
      </w:r>
    </w:p>
    <w:p w14:paraId="54BB2ABC">
      <w:pPr>
        <w:pStyle w:val="4"/>
        <w:spacing w:before="0" w:beforeAutospacing="0" w:after="0" w:afterAutospacing="0"/>
      </w:pPr>
      <w:r>
        <w:br w:type="textWrapping"/>
      </w:r>
    </w:p>
    <w:p w14:paraId="3F004DE3">
      <w:pPr>
        <w:pStyle w:val="4"/>
        <w:spacing w:before="0" w:beforeAutospacing="0" w:after="0" w:afterAutospacing="0"/>
      </w:pPr>
      <w:r>
        <w:t>（3）含有活性成分的产品：如药品/药用活性成分、生物制品/生物活性成分、银、消毒剂等；</w:t>
      </w:r>
    </w:p>
    <w:p w14:paraId="189346F4">
      <w:pPr>
        <w:pStyle w:val="4"/>
        <w:spacing w:before="0" w:beforeAutospacing="0" w:after="0" w:afterAutospacing="0"/>
      </w:pPr>
      <w:r>
        <w:br w:type="textWrapping"/>
      </w:r>
    </w:p>
    <w:p w14:paraId="7F7A1F63">
      <w:pPr>
        <w:pStyle w:val="4"/>
        <w:spacing w:before="0" w:beforeAutospacing="0" w:after="0" w:afterAutospacing="0"/>
      </w:pPr>
      <w:r>
        <w:t>（4）其他新型产品。</w:t>
      </w:r>
    </w:p>
    <w:p w14:paraId="02B58D99">
      <w:pPr>
        <w:rPr>
          <w:rFonts w:hint="eastAsia"/>
        </w:rPr>
      </w:pPr>
    </w:p>
    <w:p w14:paraId="4C922129">
      <w:pPr>
        <w:rPr>
          <w:rFonts w:hint="eastAsia"/>
        </w:rPr>
      </w:pPr>
    </w:p>
    <w:p w14:paraId="50752580">
      <w:pPr>
        <w:pStyle w:val="4"/>
        <w:spacing w:before="0" w:beforeAutospacing="0" w:after="0" w:afterAutospacing="0"/>
      </w:pPr>
      <w:r>
        <w:rPr>
          <w:rStyle w:val="7"/>
        </w:rPr>
        <w:t>Q</w:t>
      </w:r>
    </w:p>
    <w:p w14:paraId="61C988A9">
      <w:pPr>
        <w:pStyle w:val="4"/>
        <w:spacing w:before="0" w:beforeAutospacing="0" w:after="0" w:afterAutospacing="0"/>
      </w:pPr>
      <w:r>
        <w:t>对于可降解/吸收的植入性医疗器械产品，能否提供研究机构公开发表的文献作为产品降解性能的研究资料？</w:t>
      </w:r>
    </w:p>
    <w:p w14:paraId="7B95115C">
      <w:pPr>
        <w:pStyle w:val="4"/>
        <w:spacing w:before="0" w:beforeAutospacing="0" w:after="0" w:afterAutospacing="0"/>
      </w:pPr>
      <w:r>
        <w:rPr>
          <w:rStyle w:val="7"/>
        </w:rPr>
        <w:t>A：</w:t>
      </w:r>
    </w:p>
    <w:p w14:paraId="0349156C">
      <w:pPr>
        <w:pStyle w:val="4"/>
        <w:spacing w:before="0" w:beforeAutospacing="0" w:after="0" w:afterAutospacing="0"/>
      </w:pPr>
      <w:r>
        <w:t>对于成熟材料，申请人可提交第三方公开发表文献作为降解产物代谢研究的支持性资料，但由于产品降解周期研究中的性能指标、观察时间点等要素与产品设计相关，因此申请人应对产品降解周期开展实验研究。</w:t>
      </w:r>
    </w:p>
    <w:p w14:paraId="1DB7E547">
      <w:pPr>
        <w:rPr>
          <w:rFonts w:hint="eastAsia"/>
        </w:rPr>
      </w:pPr>
    </w:p>
    <w:p w14:paraId="2CF90357">
      <w:pPr>
        <w:pStyle w:val="4"/>
        <w:spacing w:before="0" w:beforeAutospacing="0" w:after="0" w:afterAutospacing="0"/>
      </w:pPr>
      <w:r>
        <w:rPr>
          <w:rStyle w:val="7"/>
        </w:rPr>
        <w:t>Q</w:t>
      </w:r>
    </w:p>
    <w:p w14:paraId="60FB7698">
      <w:pPr>
        <w:pStyle w:val="4"/>
        <w:spacing w:before="0" w:beforeAutospacing="0" w:after="0" w:afterAutospacing="0"/>
      </w:pPr>
      <w:r>
        <w:t>网络安全指导原则适用于哪些医疗器械？网络安全文档是否可以在软件描述文档中提交？</w:t>
      </w:r>
    </w:p>
    <w:p w14:paraId="73A72408">
      <w:pPr>
        <w:pStyle w:val="4"/>
        <w:spacing w:before="0" w:beforeAutospacing="0" w:after="0" w:afterAutospacing="0"/>
      </w:pPr>
      <w:r>
        <w:rPr>
          <w:rStyle w:val="7"/>
        </w:rPr>
        <w:t>A：</w:t>
      </w:r>
    </w:p>
    <w:p w14:paraId="4095C1D6">
      <w:pPr>
        <w:pStyle w:val="4"/>
        <w:spacing w:before="0" w:beforeAutospacing="0" w:after="0" w:afterAutospacing="0"/>
      </w:pPr>
      <w:r>
        <w:t>网络安全指导原则适用于具有网络连接功能以进行电子数据交换或远程控制的第二类、第三类医疗器械产品的注册申报，其中网络包括无线、有线网络，电子数据交换包括单向、双向数据传输，远程控制包括实时、非实时控制。</w:t>
      </w:r>
    </w:p>
    <w:p w14:paraId="0D9109EE">
      <w:pPr>
        <w:pStyle w:val="4"/>
        <w:spacing w:before="0" w:beforeAutospacing="0" w:after="0" w:afterAutospacing="0"/>
      </w:pPr>
    </w:p>
    <w:p w14:paraId="3E45A524">
      <w:pPr>
        <w:pStyle w:val="4"/>
        <w:spacing w:before="0" w:beforeAutospacing="0" w:after="0" w:afterAutospacing="0"/>
      </w:pPr>
      <w:r>
        <w:t>同时，也适用于采用存储媒介以进行电子数据交换的第二类、第三类医疗器械产品的注册申报，其中存储媒介包括但不限于光盘、移动硬盘和U盘。</w:t>
      </w:r>
    </w:p>
    <w:p w14:paraId="231B3A23">
      <w:pPr>
        <w:pStyle w:val="4"/>
        <w:spacing w:before="0" w:beforeAutospacing="0" w:after="0" w:afterAutospacing="0"/>
      </w:pPr>
    </w:p>
    <w:p w14:paraId="3B024D28">
      <w:pPr>
        <w:pStyle w:val="4"/>
        <w:spacing w:before="0" w:beforeAutospacing="0" w:after="0" w:afterAutospacing="0"/>
      </w:pPr>
      <w:r>
        <w:t>网络安全文档应单独提交。</w:t>
      </w:r>
    </w:p>
    <w:p w14:paraId="4354D1D5">
      <w:pPr>
        <w:rPr>
          <w:rFonts w:hint="eastAsia"/>
        </w:rPr>
      </w:pPr>
    </w:p>
    <w:p w14:paraId="517F0A8A">
      <w:pPr>
        <w:rPr>
          <w:rFonts w:hint="eastAsia"/>
        </w:rPr>
      </w:pPr>
    </w:p>
    <w:p w14:paraId="4C0132BB">
      <w:pPr>
        <w:rPr>
          <w:rFonts w:hint="eastAsia"/>
        </w:rPr>
      </w:pPr>
    </w:p>
    <w:p w14:paraId="678CDEDC">
      <w:pPr>
        <w:rPr>
          <w:rFonts w:hint="eastAsia"/>
        </w:rPr>
      </w:pPr>
    </w:p>
    <w:p w14:paraId="11AC1CE3">
      <w:pPr>
        <w:pStyle w:val="4"/>
        <w:spacing w:before="0" w:beforeAutospacing="0" w:after="0" w:afterAutospacing="0"/>
      </w:pPr>
      <w:r>
        <w:rPr>
          <w:rStyle w:val="7"/>
        </w:rPr>
        <w:t>Q</w:t>
      </w:r>
    </w:p>
    <w:p w14:paraId="2FE3357C">
      <w:pPr>
        <w:pStyle w:val="4"/>
        <w:spacing w:before="0" w:beforeAutospacing="0" w:after="0" w:afterAutospacing="0"/>
      </w:pPr>
      <w:r>
        <w:t>有源医疗器械临床评价，同品种对比时，是否必须对比产品在CFDA批准的技术要求？只对比关键参数，如功率、电压等是否可行？</w:t>
      </w:r>
    </w:p>
    <w:p w14:paraId="19FB2C5D">
      <w:pPr>
        <w:pStyle w:val="4"/>
        <w:spacing w:before="0" w:beforeAutospacing="0" w:after="0" w:afterAutospacing="0"/>
      </w:pPr>
      <w:r>
        <w:rPr>
          <w:rStyle w:val="7"/>
        </w:rPr>
        <w:t>A：</w:t>
      </w:r>
    </w:p>
    <w:p w14:paraId="32A9B544">
      <w:pPr>
        <w:pStyle w:val="4"/>
        <w:spacing w:before="0" w:beforeAutospacing="0" w:after="0" w:afterAutospacing="0"/>
      </w:pPr>
      <w:r>
        <w:t>需要对比哪些内容，与产品特性有关。技术要求中的性能指标通常都是描述产品特性的重要指标，通常都需要进行对比。是否是关键参数，要根据具体产品的情况进行判定。</w:t>
      </w:r>
    </w:p>
    <w:p w14:paraId="2055A668">
      <w:pPr>
        <w:rPr>
          <w:rFonts w:hint="eastAsia"/>
        </w:rPr>
      </w:pPr>
    </w:p>
    <w:p w14:paraId="49B8010F">
      <w:pPr>
        <w:pStyle w:val="4"/>
        <w:spacing w:before="0" w:beforeAutospacing="0" w:after="0" w:afterAutospacing="0"/>
      </w:pPr>
      <w:r>
        <w:rPr>
          <w:rStyle w:val="7"/>
        </w:rPr>
        <w:t>Q</w:t>
      </w:r>
    </w:p>
    <w:p w14:paraId="5C2CD54A">
      <w:pPr>
        <w:pStyle w:val="4"/>
        <w:spacing w:before="0" w:beforeAutospacing="0" w:after="0" w:afterAutospacing="0"/>
      </w:pPr>
      <w:r>
        <w:t>金属骨针类产品的注册单元应注意哪些内容？</w:t>
      </w:r>
    </w:p>
    <w:p w14:paraId="1D6C4B5C">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Style w:val="7"/>
          <w:rFonts w:ascii="Helvetica" w:hAnsi="Helvetica" w:cs="Helvetica"/>
          <w:color w:val="3E3E3E"/>
          <w:sz w:val="20"/>
          <w:szCs w:val="20"/>
        </w:rPr>
        <w:t>A：</w:t>
      </w:r>
    </w:p>
    <w:p w14:paraId="3BC1667F">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Fonts w:ascii="Helvetica" w:hAnsi="Helvetica" w:cs="Helvetica"/>
          <w:color w:val="3E3E3E"/>
          <w:sz w:val="20"/>
          <w:szCs w:val="20"/>
        </w:rPr>
        <w:t>金属骨针包括完全植入型金属骨针，配合外固定支架用金属骨针。其中，外固定架用金属骨针与其配合使用的外固定架可为同一注册单元，该注册单元不包括完全植入的金属骨针;外固定架用金属骨针与完全植入的金属骨针可按同一注册单元申报;手术过程中用于定位的导针属于手术工具，和内固定产品属于不同注册单元。</w:t>
      </w:r>
    </w:p>
    <w:p w14:paraId="10290F7A">
      <w:pPr>
        <w:rPr>
          <w:rFonts w:hint="eastAsia"/>
        </w:rPr>
      </w:pPr>
    </w:p>
    <w:p w14:paraId="2B0219CC">
      <w:pPr>
        <w:pStyle w:val="4"/>
        <w:spacing w:before="0" w:beforeAutospacing="0" w:after="0" w:afterAutospacing="0"/>
      </w:pPr>
      <w:r>
        <w:rPr>
          <w:rStyle w:val="7"/>
        </w:rPr>
        <w:t>Q</w:t>
      </w:r>
    </w:p>
    <w:p w14:paraId="637783D3">
      <w:pPr>
        <w:pStyle w:val="4"/>
        <w:spacing w:before="0" w:beforeAutospacing="0" w:after="0" w:afterAutospacing="0"/>
      </w:pPr>
      <w:r>
        <w:t>有源产品的产品技术要求中，“产品型号/规格及其划分说明”应如何撰写？</w:t>
      </w:r>
    </w:p>
    <w:p w14:paraId="721086E5">
      <w:pPr>
        <w:pStyle w:val="4"/>
        <w:spacing w:before="0" w:beforeAutospacing="0" w:after="0" w:afterAutospacing="0"/>
      </w:pPr>
      <w:r>
        <w:rPr>
          <w:rStyle w:val="7"/>
        </w:rPr>
        <w:t>A：</w:t>
      </w:r>
    </w:p>
    <w:p w14:paraId="4AA5B134">
      <w:pPr>
        <w:pStyle w:val="4"/>
        <w:spacing w:before="0" w:beforeAutospacing="0" w:after="0" w:afterAutospacing="0"/>
      </w:pPr>
      <w:r>
        <w:t>依据《医疗器械产品技术要求编写指导原则》，产品技术要求中应明确产品型号和/或规格，以及其划分的说明。对同一注册单元中存在多种型号和/或规格的产品，应明确各型号及各规格之间的所有区别（必要时可附相应图示进行说明）。对于型号/规格的表述文本较大的可以附录形式提供。</w:t>
      </w:r>
    </w:p>
    <w:p w14:paraId="5792926F">
      <w:pPr>
        <w:pStyle w:val="4"/>
        <w:spacing w:before="0" w:beforeAutospacing="0" w:after="0" w:afterAutospacing="0"/>
      </w:pPr>
    </w:p>
    <w:p w14:paraId="09E57CF3">
      <w:pPr>
        <w:pStyle w:val="4"/>
        <w:spacing w:before="0" w:beforeAutospacing="0" w:after="0" w:afterAutospacing="0"/>
      </w:pPr>
      <w:r>
        <w:t>对于独立软件或含有软件组件的产品，还应明确软件的名称、型号规格、发布版本、完整版本的命名规则，控制型软件组件还应明确运行环境（包括硬件配置、软件环境和网络条件）。</w:t>
      </w:r>
    </w:p>
    <w:p w14:paraId="720956A5">
      <w:pPr>
        <w:rPr>
          <w:rFonts w:hint="eastAsia"/>
        </w:rPr>
      </w:pPr>
    </w:p>
    <w:p w14:paraId="14C82F20">
      <w:pPr>
        <w:pStyle w:val="4"/>
        <w:spacing w:before="0" w:beforeAutospacing="0" w:after="0" w:afterAutospacing="0"/>
      </w:pPr>
      <w:r>
        <w:rPr>
          <w:rStyle w:val="7"/>
        </w:rPr>
        <w:t>Q</w:t>
      </w:r>
    </w:p>
    <w:p w14:paraId="5DF31807">
      <w:pPr>
        <w:pStyle w:val="4"/>
        <w:spacing w:before="0" w:beforeAutospacing="0" w:after="0" w:afterAutospacing="0"/>
      </w:pPr>
      <w:r>
        <w:t>选择体外诊断试剂临床试验机构除法规要求资质外还应考虑的因素有哪些？</w:t>
      </w:r>
    </w:p>
    <w:p w14:paraId="2447541A">
      <w:pPr>
        <w:pStyle w:val="4"/>
        <w:spacing w:before="0" w:beforeAutospacing="0" w:after="0" w:afterAutospacing="0"/>
      </w:pPr>
      <w:r>
        <w:rPr>
          <w:rStyle w:val="7"/>
        </w:rPr>
        <w:t>A：</w:t>
      </w:r>
    </w:p>
    <w:p w14:paraId="583485D3">
      <w:pPr>
        <w:pStyle w:val="4"/>
        <w:spacing w:before="0" w:beforeAutospacing="0" w:after="0" w:afterAutospacing="0"/>
      </w:pPr>
      <w:r>
        <w:t>选择体外诊断试剂临床试验机构，除参照法规资质要求外，还应同时关注临床试验机构是否具备开展临床试验的条件和能力。首先，临床试验机构应具备开展相应检测项目的能力，应熟悉拟考核产品相应检测项目，日常开展相应检测。如为新产品新标志物，亦应选择熟悉相应方法或同类其他检测，并常规开展相关疾病诊疗工作的机构开展试验。对机构检测能力的评价应包括实验室条件及人员。其次，所选机构应能收集足够的适应症人群入组进行试验，选择对于产品特定适应症具备相应学科优势的机构开展试验。另外，临床试验机构应能够确保配合注册申报过程，包括进行必要的补充试验，配合临床试验核查等。</w:t>
      </w:r>
    </w:p>
    <w:p w14:paraId="39E70876">
      <w:pPr>
        <w:rPr>
          <w:rFonts w:hint="eastAsia"/>
        </w:rPr>
      </w:pPr>
    </w:p>
    <w:p w14:paraId="7C022FF5">
      <w:pPr>
        <w:rPr>
          <w:rFonts w:hint="eastAsia"/>
        </w:rPr>
      </w:pPr>
    </w:p>
    <w:p w14:paraId="48E15774">
      <w:pPr>
        <w:rPr>
          <w:rFonts w:hint="eastAsia"/>
        </w:rPr>
      </w:pPr>
    </w:p>
    <w:p w14:paraId="2F86F0AD">
      <w:pPr>
        <w:rPr>
          <w:rFonts w:hint="eastAsia"/>
        </w:rPr>
      </w:pPr>
    </w:p>
    <w:p w14:paraId="3EEA1E54">
      <w:pPr>
        <w:pStyle w:val="4"/>
        <w:spacing w:before="0" w:beforeAutospacing="0" w:after="0" w:afterAutospacing="0"/>
      </w:pPr>
      <w:r>
        <w:rPr>
          <w:rStyle w:val="7"/>
        </w:rPr>
        <w:t>Q</w:t>
      </w:r>
    </w:p>
    <w:p w14:paraId="052CB713">
      <w:pPr>
        <w:pStyle w:val="4"/>
        <w:spacing w:before="0" w:beforeAutospacing="0" w:after="0" w:afterAutospacing="0"/>
      </w:pPr>
      <w:r>
        <w:t>医用电气设备在什么情况下需要进行环境试验，是否需要引用GB/T 14710-2009标准？</w:t>
      </w:r>
    </w:p>
    <w:p w14:paraId="1E8E0BEE">
      <w:pPr>
        <w:pStyle w:val="4"/>
        <w:spacing w:before="0" w:beforeAutospacing="0" w:after="0" w:afterAutospacing="0"/>
      </w:pPr>
      <w:r>
        <w:rPr>
          <w:rStyle w:val="7"/>
        </w:rPr>
        <w:t>A：</w:t>
      </w:r>
    </w:p>
    <w:p w14:paraId="06DB3722">
      <w:pPr>
        <w:pStyle w:val="4"/>
        <w:spacing w:before="0" w:beforeAutospacing="0" w:after="0" w:afterAutospacing="0"/>
      </w:pPr>
      <w:r>
        <w:t>若拟申报产品适用的强制性标准要求执行GB/T 14710-2009标准，则应按照GB/T 14710-2009标准及该强制性标准的相关要求进行检测。</w:t>
      </w:r>
    </w:p>
    <w:p w14:paraId="7A1C502B">
      <w:pPr>
        <w:pStyle w:val="4"/>
        <w:spacing w:before="0" w:beforeAutospacing="0" w:after="0" w:afterAutospacing="0"/>
      </w:pPr>
    </w:p>
    <w:p w14:paraId="5942434D">
      <w:pPr>
        <w:pStyle w:val="4"/>
        <w:spacing w:before="0" w:beforeAutospacing="0" w:after="0" w:afterAutospacing="0"/>
      </w:pPr>
      <w:r>
        <w:t>若拟申报产品在特殊环境（如高温、高湿或低温等）下使用，则应在研究资料中提供该产品可在相应环境中使用的支持性资料。</w:t>
      </w:r>
    </w:p>
    <w:p w14:paraId="37AA14E0">
      <w:pPr>
        <w:rPr>
          <w:rFonts w:hint="eastAsia"/>
        </w:rPr>
      </w:pPr>
    </w:p>
    <w:p w14:paraId="2AACD2E0">
      <w:pPr>
        <w:pStyle w:val="4"/>
        <w:spacing w:before="0" w:beforeAutospacing="0" w:after="0" w:afterAutospacing="0"/>
      </w:pPr>
      <w:r>
        <w:rPr>
          <w:rStyle w:val="7"/>
        </w:rPr>
        <w:t>Q</w:t>
      </w:r>
    </w:p>
    <w:p w14:paraId="46B4C3B5">
      <w:pPr>
        <w:pStyle w:val="4"/>
        <w:spacing w:before="0" w:beforeAutospacing="0" w:after="0" w:afterAutospacing="0"/>
      </w:pPr>
      <w:r>
        <w:t>可吸收止血产品体外降解试验需考虑的因素有哪些？</w:t>
      </w:r>
    </w:p>
    <w:p w14:paraId="40445CF4">
      <w:pPr>
        <w:pStyle w:val="4"/>
        <w:spacing w:before="0" w:beforeAutospacing="0" w:after="0" w:afterAutospacing="0"/>
      </w:pPr>
      <w:r>
        <w:rPr>
          <w:rStyle w:val="7"/>
        </w:rPr>
        <w:t>A：</w:t>
      </w:r>
    </w:p>
    <w:p w14:paraId="7B25A11D">
      <w:pPr>
        <w:pStyle w:val="4"/>
        <w:spacing w:before="0" w:beforeAutospacing="0" w:after="0" w:afterAutospacing="0"/>
      </w:pPr>
      <w:r>
        <w:t>可吸收止血产品进行体外降解研究时，建议模拟体内条件（例如：37℃的环境下，蛋白水解等）研究产品完全吸收降解所需时间及所有的降解产物。建议结合产品特性及临床应用建立合理的体外降解研究方法。建议参照已有的标准方法并与已上市的同类产品进行比较。体外降解研究建议观察指标包括：产品溶解性、降解周期、降解所需的条件及降解速度与降解条件之间的关系，降解的主要产物及含量、形态改变（崩解过程、是否有碎片掉落、碎片溶胀等）。</w:t>
      </w:r>
    </w:p>
    <w:p w14:paraId="1205C195">
      <w:pPr>
        <w:rPr>
          <w:rFonts w:hint="eastAsia"/>
        </w:rPr>
      </w:pPr>
    </w:p>
    <w:p w14:paraId="75E94605">
      <w:pPr>
        <w:pStyle w:val="4"/>
        <w:spacing w:before="0" w:beforeAutospacing="0" w:after="0" w:afterAutospacing="0"/>
      </w:pPr>
      <w:r>
        <w:rPr>
          <w:rStyle w:val="7"/>
        </w:rPr>
        <w:t>Q</w:t>
      </w:r>
    </w:p>
    <w:p w14:paraId="5BA439AC">
      <w:pPr>
        <w:pStyle w:val="4"/>
        <w:spacing w:before="0" w:beforeAutospacing="0" w:after="0" w:afterAutospacing="0"/>
      </w:pPr>
      <w:r>
        <w:t>什么是软件核心算法？如果没有医疗影像和数据的后处理算法，是否可以算作无核心算法？</w:t>
      </w:r>
    </w:p>
    <w:p w14:paraId="30FBAEA9">
      <w:pPr>
        <w:pStyle w:val="4"/>
        <w:spacing w:before="0" w:beforeAutospacing="0" w:after="0" w:afterAutospacing="0"/>
      </w:pPr>
      <w:r>
        <w:rPr>
          <w:rStyle w:val="7"/>
        </w:rPr>
        <w:t>A :</w:t>
      </w:r>
    </w:p>
    <w:p w14:paraId="11D40788">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Fonts w:ascii="Helvetica" w:hAnsi="Helvetica" w:cs="Helvetica"/>
          <w:color w:val="3E3E3E"/>
          <w:sz w:val="20"/>
          <w:szCs w:val="20"/>
        </w:rPr>
        <w:t>核心算法是指实现软件核心功能（软件在预期使用环境完成预期用途所必需的功能）所必需的算法，包括但不限于成像算法、后处理算法和人工智能算法。</w:t>
      </w:r>
    </w:p>
    <w:p w14:paraId="67E6A3EA">
      <w:pPr>
        <w:rPr>
          <w:rFonts w:hint="eastAsia"/>
        </w:rPr>
      </w:pPr>
    </w:p>
    <w:p w14:paraId="6B4BAEBA">
      <w:pPr>
        <w:pStyle w:val="4"/>
        <w:spacing w:before="0" w:beforeAutospacing="0" w:after="0" w:afterAutospacing="0"/>
      </w:pPr>
      <w:r>
        <w:rPr>
          <w:rStyle w:val="7"/>
        </w:rPr>
        <w:t>Q</w:t>
      </w:r>
    </w:p>
    <w:p w14:paraId="557BF603">
      <w:pPr>
        <w:pStyle w:val="4"/>
        <w:spacing w:before="0" w:beforeAutospacing="0" w:after="0" w:afterAutospacing="0"/>
      </w:pPr>
      <w:r>
        <w:t>在60℃条件下进行了终产品的加速稳定性试验，是否可以不限定产品的储运条件？</w:t>
      </w:r>
    </w:p>
    <w:p w14:paraId="1CAB2919">
      <w:pPr>
        <w:pStyle w:val="4"/>
        <w:spacing w:before="0" w:beforeAutospacing="0" w:after="0" w:afterAutospacing="0"/>
      </w:pPr>
      <w:r>
        <w:rPr>
          <w:rStyle w:val="7"/>
        </w:rPr>
        <w:t>A :</w:t>
      </w:r>
    </w:p>
    <w:p w14:paraId="1423565C">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Fonts w:ascii="Helvetica" w:hAnsi="Helvetica" w:cs="Helvetica"/>
          <w:color w:val="3E3E3E"/>
          <w:sz w:val="20"/>
          <w:szCs w:val="20"/>
        </w:rPr>
        <w:t>加速稳定性试验是指将某一产品放置在外部应力状态下，通过考察应力状态下的材料退化情况，利用已知的加速因子与退化速率关系，推断产品在正常储存条件下材料退化情况的试验，因此储运条件同货架有效期具有直接相关性，需限定产品的储运条件。</w:t>
      </w:r>
    </w:p>
    <w:p w14:paraId="78B78FFC">
      <w:pPr>
        <w:rPr>
          <w:rFonts w:hint="eastAsia"/>
        </w:rPr>
      </w:pPr>
    </w:p>
    <w:p w14:paraId="632D6018">
      <w:pPr>
        <w:pStyle w:val="4"/>
        <w:spacing w:before="0" w:beforeAutospacing="0" w:after="0" w:afterAutospacing="0"/>
      </w:pPr>
      <w:r>
        <w:rPr>
          <w:rStyle w:val="7"/>
        </w:rPr>
        <w:t>Q</w:t>
      </w:r>
    </w:p>
    <w:p w14:paraId="0450CD3E">
      <w:pPr>
        <w:pStyle w:val="4"/>
        <w:spacing w:before="0" w:beforeAutospacing="0" w:after="0" w:afterAutospacing="0"/>
      </w:pPr>
      <w:r>
        <w:t>产品货架有效期缩短，是否不需在许可事项变更申请中再提交技术文件？</w:t>
      </w:r>
    </w:p>
    <w:p w14:paraId="66839E27">
      <w:pPr>
        <w:pStyle w:val="4"/>
        <w:spacing w:before="0" w:beforeAutospacing="0" w:after="0" w:afterAutospacing="0"/>
      </w:pPr>
      <w:r>
        <w:rPr>
          <w:rStyle w:val="7"/>
        </w:rPr>
        <w:t>A :</w:t>
      </w:r>
    </w:p>
    <w:p w14:paraId="0A594B1B">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Fonts w:ascii="Helvetica" w:hAnsi="Helvetica" w:cs="Helvetica"/>
          <w:color w:val="3E3E3E"/>
          <w:sz w:val="20"/>
          <w:szCs w:val="20"/>
        </w:rPr>
        <w:t>虽然产品货架有效期缩短后，产品在储存周期内质量发生变化的风险降低，但注册人在申请许可事项变更时，建议提供合理解释和必要的支持性资料，例如完成实时稳定性试验后发现产品货架有效期应缩短，建议提供该实时稳定性试验验证资料。</w:t>
      </w:r>
    </w:p>
    <w:p w14:paraId="4E2BA0B4">
      <w:pPr>
        <w:rPr>
          <w:rFonts w:hint="eastAsia"/>
        </w:rPr>
      </w:pPr>
    </w:p>
    <w:p w14:paraId="70730B30">
      <w:pPr>
        <w:pStyle w:val="4"/>
        <w:spacing w:before="0" w:beforeAutospacing="0" w:after="0" w:afterAutospacing="0"/>
      </w:pPr>
      <w:r>
        <w:rPr>
          <w:rStyle w:val="7"/>
        </w:rPr>
        <w:t>Q</w:t>
      </w:r>
    </w:p>
    <w:p w14:paraId="4DC90685">
      <w:pPr>
        <w:pStyle w:val="4"/>
        <w:spacing w:before="0" w:beforeAutospacing="0" w:after="0" w:afterAutospacing="0"/>
      </w:pPr>
      <w:r>
        <w:t>有源产品申请许可事项变更增加型号，是否必须进行检测？能否由原有型号的检测报告覆盖？</w:t>
      </w:r>
    </w:p>
    <w:p w14:paraId="30BF98D1">
      <w:pPr>
        <w:pStyle w:val="4"/>
        <w:spacing w:before="0" w:beforeAutospacing="0" w:after="0" w:afterAutospacing="0"/>
      </w:pPr>
      <w:r>
        <w:rPr>
          <w:rStyle w:val="7"/>
        </w:rPr>
        <w:t>A :</w:t>
      </w:r>
    </w:p>
    <w:p w14:paraId="78E12AA3">
      <w:pPr>
        <w:pStyle w:val="4"/>
        <w:spacing w:before="0" w:beforeAutospacing="0" w:after="0" w:afterAutospacing="0"/>
      </w:pPr>
      <w:r>
        <w:t>首先应确认所申请增加的型号与原有型号是否可作为同一注册单元，如可作为同一注册单元，可申请许可事项变更增加型号。在不涉及新标准的情况下，应当按照典型性型号的判定原则，如原有型号可代表新增型号，则无需重复进行检测；如涉及新标准，则需提供新增型号针对新标准的检测报告；如原有型号的检测报告中部分项目检测可代表新增型号检测，则此部分内容无需重复检测。</w:t>
      </w:r>
    </w:p>
    <w:p w14:paraId="2F65F994">
      <w:pPr>
        <w:rPr>
          <w:rFonts w:hint="eastAsia"/>
        </w:rPr>
      </w:pPr>
    </w:p>
    <w:p w14:paraId="4602E81E">
      <w:pPr>
        <w:pStyle w:val="4"/>
        <w:spacing w:before="0" w:beforeAutospacing="0" w:after="0" w:afterAutospacing="0"/>
      </w:pPr>
      <w:r>
        <w:rPr>
          <w:rStyle w:val="7"/>
        </w:rPr>
        <w:t>Q</w:t>
      </w:r>
    </w:p>
    <w:p w14:paraId="34DA444F">
      <w:pPr>
        <w:pStyle w:val="4"/>
        <w:spacing w:before="0" w:beforeAutospacing="0" w:after="0" w:afterAutospacing="0"/>
      </w:pPr>
      <w:r>
        <w:t>血液透析浓缩物申报注册时，产品检测报告关注点有哪些？</w:t>
      </w:r>
    </w:p>
    <w:p w14:paraId="67340B51">
      <w:pPr>
        <w:pStyle w:val="4"/>
        <w:spacing w:before="0" w:beforeAutospacing="0" w:after="0" w:afterAutospacing="0"/>
      </w:pPr>
      <w:r>
        <w:rPr>
          <w:rStyle w:val="7"/>
        </w:rPr>
        <w:t>A :</w:t>
      </w:r>
    </w:p>
    <w:p w14:paraId="035C917C">
      <w:pPr>
        <w:pStyle w:val="4"/>
        <w:spacing w:before="0" w:beforeAutospacing="0" w:after="0" w:afterAutospacing="0"/>
      </w:pPr>
      <w:r>
        <w:t>1.透析液最终离子浓度、AB剂单剂化学原料成分和比例、透析浓缩物提供状态、浓缩物及透析用水配合比例，上述四者中只要存在一种情况不同，应分别提供全性能注册检测报告。</w:t>
      </w:r>
    </w:p>
    <w:p w14:paraId="62A5578A">
      <w:pPr>
        <w:pStyle w:val="4"/>
        <w:spacing w:before="0" w:beforeAutospacing="0" w:after="0" w:afterAutospacing="0"/>
      </w:pPr>
    </w:p>
    <w:p w14:paraId="21726E45">
      <w:pPr>
        <w:pStyle w:val="4"/>
        <w:spacing w:before="0" w:beforeAutospacing="0" w:after="0" w:afterAutospacing="0"/>
      </w:pPr>
      <w:r>
        <w:t>2.如产品以浓缩液状态提供，提供生产中配制浓缩液所用透析用水符合YY0572标准的全项目注册检测报告。</w:t>
      </w:r>
    </w:p>
    <w:p w14:paraId="3E6DF151">
      <w:pPr>
        <w:pStyle w:val="4"/>
        <w:spacing w:before="0" w:beforeAutospacing="0" w:after="0" w:afterAutospacing="0"/>
      </w:pPr>
    </w:p>
    <w:p w14:paraId="6C5FF906">
      <w:pPr>
        <w:pStyle w:val="4"/>
        <w:spacing w:before="0" w:beforeAutospacing="0" w:after="0" w:afterAutospacing="0"/>
      </w:pPr>
      <w:r>
        <w:t>3.申报在线联机使用B干粉时，根据说明书中规定的适用机型，提供不同包装形式、按照临床使用方式进行的注册检测报告，其中应包括至少四个时间点（透析开始时、临床使用时间三等分点、透析结束时）与A剂配和形成透析液相关指标的注册检测报告。</w:t>
      </w:r>
    </w:p>
    <w:p w14:paraId="3FB78914">
      <w:pPr>
        <w:rPr>
          <w:rFonts w:hint="eastAsia"/>
        </w:rPr>
      </w:pPr>
    </w:p>
    <w:p w14:paraId="7C8B1D54">
      <w:pPr>
        <w:pStyle w:val="4"/>
        <w:spacing w:before="0" w:beforeAutospacing="0" w:after="0" w:afterAutospacing="0"/>
      </w:pPr>
      <w:r>
        <w:rPr>
          <w:rStyle w:val="7"/>
        </w:rPr>
        <w:t>Q</w:t>
      </w:r>
    </w:p>
    <w:p w14:paraId="5408B946">
      <w:pPr>
        <w:pStyle w:val="4"/>
        <w:spacing w:before="0" w:beforeAutospacing="0" w:after="0" w:afterAutospacing="0"/>
      </w:pPr>
      <w:r>
        <w:t>金属缆线、缆索系统类产品的注册单元应注意哪些内容？</w:t>
      </w:r>
    </w:p>
    <w:p w14:paraId="50A75F67">
      <w:pPr>
        <w:pStyle w:val="4"/>
        <w:spacing w:before="0" w:beforeAutospacing="0" w:after="0" w:afterAutospacing="0"/>
      </w:pPr>
      <w:r>
        <w:rPr>
          <w:rStyle w:val="7"/>
        </w:rPr>
        <w:t>A :</w:t>
      </w:r>
    </w:p>
    <w:p w14:paraId="568869F1">
      <w:pPr>
        <w:pStyle w:val="4"/>
        <w:spacing w:before="0" w:beforeAutospacing="0" w:after="0" w:afterAutospacing="0"/>
      </w:pPr>
      <w:r>
        <w:t>金属缆线、缆索系统适用于四肢骨折捆扎内固定，结构参见YY/T 0812。产品组成材料（包括材料牌号）不同，分为不同注册单元。按照缆线、缆索主要部件常用金属材料，可分为TC4钛合金、TC4ELI钛合金、TC20钛合金、00Cr18Ni14Mo3不锈钢、钴铬钨镍合金等注册单元。与金属缆线、缆索配合使用的金属部件，如锁扣等，若产品组成部件材料不同, 但作为整体组配或组合使用的产品可按同一注册单元。金属缆线、缆索系统和柔性金属丝属于不同注册单元。</w:t>
      </w:r>
    </w:p>
    <w:p w14:paraId="0F1C7CEA">
      <w:pPr>
        <w:rPr>
          <w:rFonts w:hint="eastAsia"/>
        </w:rPr>
      </w:pPr>
    </w:p>
    <w:p w14:paraId="5A71B78D">
      <w:pPr>
        <w:rPr>
          <w:rFonts w:hint="eastAsia"/>
        </w:rPr>
      </w:pPr>
    </w:p>
    <w:p w14:paraId="109764E2">
      <w:pPr>
        <w:rPr>
          <w:rFonts w:hint="eastAsia"/>
        </w:rPr>
      </w:pPr>
    </w:p>
    <w:p w14:paraId="05B31D23">
      <w:pPr>
        <w:rPr>
          <w:rFonts w:hint="eastAsia"/>
        </w:rPr>
      </w:pPr>
    </w:p>
    <w:p w14:paraId="76DA544B">
      <w:pPr>
        <w:rPr>
          <w:rFonts w:hint="eastAsia"/>
        </w:rPr>
      </w:pPr>
    </w:p>
    <w:p w14:paraId="38393DB0">
      <w:pPr>
        <w:rPr>
          <w:rFonts w:hint="eastAsia"/>
        </w:rPr>
      </w:pPr>
    </w:p>
    <w:p w14:paraId="19F92318">
      <w:pPr>
        <w:rPr>
          <w:rFonts w:hint="eastAsia"/>
        </w:rPr>
      </w:pPr>
    </w:p>
    <w:p w14:paraId="34016EA0">
      <w:pPr>
        <w:rPr>
          <w:rFonts w:hint="eastAsia"/>
        </w:rPr>
      </w:pPr>
    </w:p>
    <w:p w14:paraId="329660D6">
      <w:pPr>
        <w:rPr>
          <w:rFonts w:hint="eastAsia"/>
        </w:rPr>
      </w:pPr>
    </w:p>
    <w:p w14:paraId="7799416F">
      <w:pPr>
        <w:rPr>
          <w:rFonts w:hint="eastAsia"/>
        </w:rPr>
      </w:pPr>
    </w:p>
    <w:p w14:paraId="6455C736">
      <w:pPr>
        <w:pStyle w:val="4"/>
        <w:spacing w:before="0" w:beforeAutospacing="0" w:after="0" w:afterAutospacing="0"/>
      </w:pPr>
      <w:r>
        <w:rPr>
          <w:rStyle w:val="7"/>
        </w:rPr>
        <w:t>Q</w:t>
      </w:r>
    </w:p>
    <w:p w14:paraId="267A566B">
      <w:pPr>
        <w:pStyle w:val="4"/>
        <w:spacing w:before="0" w:beforeAutospacing="0" w:after="0" w:afterAutospacing="0"/>
      </w:pPr>
      <w:r>
        <w:t>有源产品的产品技术要求中，“产品型号/规格及其划分说明”应如何撰写？</w:t>
      </w:r>
    </w:p>
    <w:p w14:paraId="6EA5EF33">
      <w:pPr>
        <w:pStyle w:val="4"/>
        <w:spacing w:before="0" w:beforeAutospacing="0" w:after="0" w:afterAutospacing="0"/>
      </w:pPr>
      <w:r>
        <w:rPr>
          <w:rStyle w:val="7"/>
        </w:rPr>
        <w:t>A :</w:t>
      </w:r>
    </w:p>
    <w:p w14:paraId="01DA1EC7">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Fonts w:ascii="Helvetica" w:hAnsi="Helvetica" w:cs="Helvetica"/>
          <w:color w:val="3E3E3E"/>
          <w:sz w:val="20"/>
          <w:szCs w:val="20"/>
        </w:rPr>
        <w:t>依据《医疗器械产品技术要求编写指导原则》，产品技术要求中应明确产品型号和/或规格，以及其划分的说明。对同一注册单元中存在多种型号和/或规格的产品，应明确各型号及各规格之间的所有区别（必要时可附相应图示进行说明）。对于型号/规格的表述文本较大的可以附录形式提供。</w:t>
      </w:r>
    </w:p>
    <w:p w14:paraId="3A3A7C0B">
      <w:pPr>
        <w:pStyle w:val="4"/>
        <w:shd w:val="clear" w:color="auto" w:fill="FFFFFF"/>
        <w:spacing w:before="0" w:beforeAutospacing="0" w:after="0" w:afterAutospacing="0" w:line="408" w:lineRule="atLeast"/>
        <w:jc w:val="both"/>
        <w:rPr>
          <w:rFonts w:ascii="Helvetica" w:hAnsi="Helvetica" w:cs="Helvetica"/>
          <w:color w:val="3E3E3E"/>
          <w:sz w:val="20"/>
          <w:szCs w:val="20"/>
        </w:rPr>
      </w:pPr>
    </w:p>
    <w:p w14:paraId="6D20CF09">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Fonts w:ascii="Helvetica" w:hAnsi="Helvetica" w:cs="Helvetica"/>
          <w:color w:val="3E3E3E"/>
          <w:sz w:val="20"/>
          <w:szCs w:val="20"/>
        </w:rPr>
        <w:t>对于独立软件或含有软件组件的产品，还应明确软件的名称、型号规格、发布版本、版本命名规则，控制型软件组件还应明确运行环境（包括硬件配置、软件环境和网络条件）。</w:t>
      </w:r>
    </w:p>
    <w:p w14:paraId="5B58C934">
      <w:pPr>
        <w:rPr>
          <w:rFonts w:hint="eastAsia"/>
        </w:rPr>
      </w:pPr>
    </w:p>
    <w:p w14:paraId="740A50E4">
      <w:pPr>
        <w:pStyle w:val="4"/>
        <w:spacing w:before="0" w:beforeAutospacing="0" w:after="0" w:afterAutospacing="0"/>
      </w:pPr>
      <w:r>
        <w:rPr>
          <w:rStyle w:val="7"/>
        </w:rPr>
        <w:t>Q</w:t>
      </w:r>
    </w:p>
    <w:p w14:paraId="0D67A597">
      <w:pPr>
        <w:pStyle w:val="4"/>
        <w:spacing w:before="0" w:beforeAutospacing="0" w:after="0" w:afterAutospacing="0"/>
      </w:pPr>
      <w:r>
        <w:t>电磁兼容检测应注意哪些问题？</w:t>
      </w:r>
    </w:p>
    <w:p w14:paraId="506E6D69">
      <w:pPr>
        <w:pStyle w:val="4"/>
        <w:spacing w:before="0" w:beforeAutospacing="0" w:after="0" w:afterAutospacing="0"/>
      </w:pPr>
      <w:r>
        <w:rPr>
          <w:rStyle w:val="7"/>
        </w:rPr>
        <w:t>A :</w:t>
      </w:r>
    </w:p>
    <w:p w14:paraId="16AC6448">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Style w:val="7"/>
          <w:rFonts w:ascii="Helvetica" w:hAnsi="Helvetica" w:cs="Helvetica"/>
          <w:color w:val="3E3E3E"/>
          <w:sz w:val="20"/>
          <w:szCs w:val="20"/>
        </w:rPr>
        <w:t>1、检验报告的关联性</w:t>
      </w:r>
    </w:p>
    <w:p w14:paraId="68FA6F8C">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Fonts w:ascii="Helvetica" w:hAnsi="Helvetica" w:cs="Helvetica"/>
          <w:color w:val="3E3E3E"/>
          <w:sz w:val="20"/>
          <w:szCs w:val="20"/>
        </w:rPr>
        <w:t>电磁兼容检验报告和电气安全检验报告应当关联，保证受检样品的一致性。</w:t>
      </w:r>
    </w:p>
    <w:p w14:paraId="30F7024E">
      <w:pPr>
        <w:pStyle w:val="4"/>
        <w:shd w:val="clear" w:color="auto" w:fill="FFFFFF"/>
        <w:spacing w:before="0" w:beforeAutospacing="0" w:after="0" w:afterAutospacing="0" w:line="408" w:lineRule="atLeast"/>
        <w:jc w:val="both"/>
        <w:rPr>
          <w:rFonts w:ascii="Helvetica" w:hAnsi="Helvetica" w:cs="Helvetica"/>
          <w:color w:val="3E3E3E"/>
          <w:sz w:val="20"/>
          <w:szCs w:val="20"/>
        </w:rPr>
      </w:pPr>
    </w:p>
    <w:p w14:paraId="7FB0F964">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Style w:val="7"/>
          <w:rFonts w:ascii="Helvetica" w:hAnsi="Helvetica" w:cs="Helvetica"/>
          <w:color w:val="3E3E3E"/>
          <w:sz w:val="20"/>
          <w:szCs w:val="20"/>
        </w:rPr>
        <w:t>2、多个型号和附件的典型性</w:t>
      </w:r>
    </w:p>
    <w:p w14:paraId="700AA9A7">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Fonts w:ascii="Helvetica" w:hAnsi="Helvetica" w:cs="Helvetica"/>
          <w:color w:val="3E3E3E"/>
          <w:sz w:val="20"/>
          <w:szCs w:val="20"/>
        </w:rPr>
        <w:t>应将申报注册单元内全部产品（包括全部型号和全部组成部件）作为送样产品。可将送样产品全部作为受检产品进行检验，也可由检验中心承检工程师对全部送样产品进行分析，选取具有代表性的送样产品作为受检产品进行检验，电磁兼容检验报告应明确送检产品信息和受检产品信息。电磁兼容检验报告结论应明确送样产品是否符合电磁兼容要求及符合的标准。</w:t>
      </w:r>
    </w:p>
    <w:p w14:paraId="1F4D710F">
      <w:pPr>
        <w:pStyle w:val="4"/>
        <w:shd w:val="clear" w:color="auto" w:fill="FFFFFF"/>
        <w:spacing w:before="0" w:beforeAutospacing="0" w:after="0" w:afterAutospacing="0" w:line="408" w:lineRule="atLeast"/>
        <w:jc w:val="both"/>
        <w:rPr>
          <w:rFonts w:ascii="Helvetica" w:hAnsi="Helvetica" w:cs="Helvetica"/>
          <w:color w:val="3E3E3E"/>
          <w:sz w:val="20"/>
          <w:szCs w:val="20"/>
        </w:rPr>
      </w:pPr>
    </w:p>
    <w:p w14:paraId="2BC0962A">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Fonts w:ascii="Helvetica" w:hAnsi="Helvetica" w:cs="Helvetica"/>
          <w:color w:val="3E3E3E"/>
          <w:sz w:val="20"/>
          <w:szCs w:val="20"/>
        </w:rPr>
        <w:t>对于送样产品所含某些附件，检验中心承检工程师分析并认定其与电磁兼容检验无关，电磁兼容检验报告应明确这些附件及分析结论，检验样品构成表无需体现这些附件的信息。</w:t>
      </w:r>
    </w:p>
    <w:p w14:paraId="3A24B590">
      <w:pPr>
        <w:pStyle w:val="4"/>
        <w:shd w:val="clear" w:color="auto" w:fill="FFFFFF"/>
        <w:spacing w:before="0" w:beforeAutospacing="0" w:after="0" w:afterAutospacing="0" w:line="408" w:lineRule="atLeast"/>
        <w:jc w:val="both"/>
        <w:rPr>
          <w:rFonts w:ascii="Helvetica" w:hAnsi="Helvetica" w:cs="Helvetica"/>
          <w:color w:val="3E3E3E"/>
          <w:sz w:val="20"/>
          <w:szCs w:val="20"/>
        </w:rPr>
      </w:pPr>
    </w:p>
    <w:p w14:paraId="45DDDCD3">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Style w:val="7"/>
          <w:rFonts w:ascii="Helvetica" w:hAnsi="Helvetica" w:cs="Helvetica"/>
          <w:color w:val="3E3E3E"/>
          <w:sz w:val="20"/>
          <w:szCs w:val="20"/>
        </w:rPr>
        <w:t>3、基本性能的确定</w:t>
      </w:r>
    </w:p>
    <w:p w14:paraId="2420565C">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Fonts w:ascii="Helvetica" w:hAnsi="Helvetica" w:cs="Helvetica"/>
          <w:color w:val="3E3E3E"/>
          <w:sz w:val="20"/>
          <w:szCs w:val="20"/>
        </w:rPr>
        <w:t>“基本性能”是指必要的性能以达到没有不可接受的风险，考虑其丧失或降低是否会导致不可接受的风险。</w:t>
      </w:r>
    </w:p>
    <w:p w14:paraId="1665B137">
      <w:pPr>
        <w:pStyle w:val="4"/>
        <w:shd w:val="clear" w:color="auto" w:fill="FFFFFF"/>
        <w:spacing w:before="0" w:beforeAutospacing="0" w:after="0" w:afterAutospacing="0" w:line="408" w:lineRule="atLeast"/>
        <w:jc w:val="both"/>
        <w:rPr>
          <w:rFonts w:ascii="Helvetica" w:hAnsi="Helvetica" w:cs="Helvetica"/>
          <w:color w:val="3E3E3E"/>
          <w:sz w:val="20"/>
          <w:szCs w:val="20"/>
        </w:rPr>
      </w:pPr>
    </w:p>
    <w:p w14:paraId="083D4A85">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Fonts w:ascii="Helvetica" w:hAnsi="Helvetica" w:cs="Helvetica"/>
          <w:color w:val="3E3E3E"/>
          <w:sz w:val="20"/>
          <w:szCs w:val="20"/>
        </w:rPr>
        <w:t>制造商在确定产品基本性能时，应考虑但不限于以下方面：分析临床安全性风险，考虑和诊断/治疗/监护相关的性能，各种传感器、线缆、应用部分、控制装置、显示装置、运动部件等性能是否受电磁干扰影响。</w:t>
      </w:r>
    </w:p>
    <w:p w14:paraId="39D6B27F">
      <w:pPr>
        <w:pStyle w:val="4"/>
        <w:shd w:val="clear" w:color="auto" w:fill="FFFFFF"/>
        <w:spacing w:before="0" w:beforeAutospacing="0" w:after="0" w:afterAutospacing="0" w:line="408" w:lineRule="atLeast"/>
        <w:jc w:val="both"/>
        <w:rPr>
          <w:rFonts w:ascii="Helvetica" w:hAnsi="Helvetica" w:cs="Helvetica"/>
          <w:color w:val="3E3E3E"/>
          <w:sz w:val="20"/>
          <w:szCs w:val="20"/>
        </w:rPr>
      </w:pPr>
    </w:p>
    <w:p w14:paraId="1E9D5E5E">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Fonts w:ascii="Helvetica" w:hAnsi="Helvetica" w:cs="Helvetica"/>
          <w:color w:val="3E3E3E"/>
          <w:sz w:val="20"/>
          <w:szCs w:val="20"/>
        </w:rPr>
        <w:t>随机文件所识别的基本性能应作为基本性能进行抗扰度试验。如果未在随机文件中识别出基本性能，全部功能均应考虑作为基本性能进行抗扰度试验。</w:t>
      </w:r>
    </w:p>
    <w:p w14:paraId="360B35EB">
      <w:pPr>
        <w:pStyle w:val="4"/>
        <w:shd w:val="clear" w:color="auto" w:fill="FFFFFF"/>
        <w:spacing w:before="0" w:beforeAutospacing="0" w:after="0" w:afterAutospacing="0" w:line="408" w:lineRule="atLeast"/>
        <w:jc w:val="both"/>
        <w:rPr>
          <w:rFonts w:ascii="Helvetica" w:hAnsi="Helvetica" w:cs="Helvetica"/>
          <w:color w:val="3E3E3E"/>
          <w:sz w:val="20"/>
          <w:szCs w:val="20"/>
        </w:rPr>
      </w:pPr>
    </w:p>
    <w:p w14:paraId="0C70DF95">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Style w:val="7"/>
          <w:rFonts w:ascii="Helvetica" w:hAnsi="Helvetica" w:cs="Helvetica"/>
          <w:color w:val="3E3E3E"/>
          <w:sz w:val="20"/>
          <w:szCs w:val="20"/>
        </w:rPr>
        <w:t>4、样品运行模式的选择</w:t>
      </w:r>
    </w:p>
    <w:p w14:paraId="3648AB4F">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Fonts w:ascii="Helvetica" w:hAnsi="Helvetica" w:cs="Helvetica"/>
          <w:color w:val="3E3E3E"/>
          <w:sz w:val="20"/>
          <w:szCs w:val="20"/>
        </w:rPr>
        <w:t>样品运行模式应识别最大发射运行模式。样品运行模式应全面且详细识别随机文件所述“功能”（定义详见YY 0505-2012条款2.212），对每种已识别的功能进行抗扰度试验，并以对患者影响最不利方式进行抗扰度试验。</w:t>
      </w:r>
    </w:p>
    <w:p w14:paraId="55E5ABCA">
      <w:pPr>
        <w:rPr>
          <w:rFonts w:hint="eastAsia"/>
        </w:rPr>
      </w:pPr>
    </w:p>
    <w:p w14:paraId="13D9CBB8">
      <w:pPr>
        <w:pStyle w:val="4"/>
        <w:spacing w:before="0" w:beforeAutospacing="0" w:after="0" w:afterAutospacing="0"/>
      </w:pPr>
      <w:r>
        <w:rPr>
          <w:rStyle w:val="7"/>
        </w:rPr>
        <w:t>Q</w:t>
      </w:r>
    </w:p>
    <w:p w14:paraId="1380AD5E">
      <w:pPr>
        <w:pStyle w:val="4"/>
        <w:spacing w:before="0" w:beforeAutospacing="0" w:after="0" w:afterAutospacing="0"/>
      </w:pPr>
      <w:r>
        <w:t>敷料类产品在生物相容性评价研究中，对于浸提液的制备和评价项目的选择应注意哪些问题？</w:t>
      </w:r>
    </w:p>
    <w:p w14:paraId="4385864D">
      <w:pPr>
        <w:pStyle w:val="4"/>
        <w:spacing w:before="0" w:beforeAutospacing="0" w:after="0" w:afterAutospacing="0"/>
      </w:pPr>
      <w:r>
        <w:rPr>
          <w:rStyle w:val="7"/>
        </w:rPr>
        <w:t>A :</w:t>
      </w:r>
    </w:p>
    <w:p w14:paraId="053FAAF4">
      <w:pPr>
        <w:pStyle w:val="4"/>
        <w:shd w:val="clear" w:color="auto" w:fill="FFFFFF"/>
        <w:spacing w:before="0" w:beforeAutospacing="0" w:after="0" w:afterAutospacing="0" w:line="408" w:lineRule="atLeast"/>
        <w:jc w:val="both"/>
        <w:rPr>
          <w:rFonts w:ascii="Helvetica" w:hAnsi="Helvetica" w:cs="Helvetica"/>
          <w:color w:val="3E3E3E"/>
          <w:sz w:val="20"/>
          <w:szCs w:val="20"/>
        </w:rPr>
      </w:pPr>
      <w:r>
        <w:rPr>
          <w:rFonts w:ascii="Helvetica" w:hAnsi="Helvetica" w:cs="Helvetica"/>
          <w:color w:val="3E3E3E"/>
          <w:sz w:val="20"/>
          <w:szCs w:val="20"/>
        </w:rPr>
        <w:t>关于浸提液的制备，浸提时间应考虑产品临床实际使用时间，此外具有液体吸收性的产品浸提时应考虑产品的“吸收容量”；关于评价项目的选择，应考虑产品与人体的累积接触时间。</w:t>
      </w:r>
    </w:p>
    <w:p w14:paraId="1B99C8C5">
      <w:pPr>
        <w:rPr>
          <w:rFonts w:hint="eastAsia"/>
        </w:rPr>
      </w:pPr>
    </w:p>
    <w:p w14:paraId="00161973">
      <w:pPr>
        <w:rPr>
          <w:rFonts w:hint="eastAsia"/>
        </w:rPr>
      </w:pPr>
    </w:p>
    <w:p w14:paraId="431E5EE3">
      <w:pPr>
        <w:pStyle w:val="4"/>
        <w:spacing w:before="0" w:beforeAutospacing="0" w:after="0" w:afterAutospacing="0"/>
      </w:pPr>
      <w:r>
        <w:rPr>
          <w:rStyle w:val="7"/>
        </w:rPr>
        <w:t>Q</w:t>
      </w:r>
    </w:p>
    <w:p w14:paraId="2BBB5DC1">
      <w:pPr>
        <w:pStyle w:val="4"/>
        <w:spacing w:before="0" w:beforeAutospacing="0" w:after="0" w:afterAutospacing="0"/>
      </w:pPr>
      <w:r>
        <w:t>体外诊断试剂临床试验机构间样本如何分配？</w:t>
      </w:r>
    </w:p>
    <w:p w14:paraId="406B818B">
      <w:pPr>
        <w:pStyle w:val="4"/>
        <w:spacing w:before="0" w:beforeAutospacing="0" w:after="0" w:afterAutospacing="0"/>
      </w:pPr>
      <w:r>
        <w:rPr>
          <w:rStyle w:val="7"/>
        </w:rPr>
        <w:t>A :</w:t>
      </w:r>
    </w:p>
    <w:p w14:paraId="10FDE58F">
      <w:pPr>
        <w:pStyle w:val="4"/>
        <w:spacing w:before="0" w:beforeAutospacing="0" w:after="0" w:afterAutospacing="0"/>
      </w:pPr>
      <w:r>
        <w:t>第二类和第三类体外诊断试剂临床试验分别选择至少两家或三家临床试验机构开展，机构间的样本分布应尽量均衡，包括各机构整体样本量和病例分布。如产品包含多个适应症，不同适应症在各机构间应尽量均衡分布；如产品检测标志物包含多个，不同标志物在各机构间应尽量均衡分布。定量产品各机构入组样本均应覆盖检测范围，定性产品各机构阳性和阴性样本分别应满足统计学要求。</w:t>
      </w:r>
    </w:p>
    <w:p w14:paraId="13C5257F">
      <w:pPr>
        <w:pStyle w:val="4"/>
        <w:spacing w:before="0" w:beforeAutospacing="0" w:after="0" w:afterAutospacing="0"/>
      </w:pPr>
    </w:p>
    <w:p w14:paraId="4DE3816A">
      <w:pPr>
        <w:pStyle w:val="4"/>
        <w:spacing w:before="0" w:beforeAutospacing="0" w:after="0" w:afterAutospacing="0"/>
      </w:pPr>
      <w:r>
        <w:t>指导原则中有特殊要求的情况按照指导原则执行。如《病原体特异性M型免疫球蛋白定性检测试剂注册技术审查指导原则》要求的选择不少于30例感染急性期患者采集的样本进行考核试剂与病原体分离培养鉴定方法或其他用于感染急性期判断的方法的比较研究；《药物滥用检测试剂技术审查指导原则》要求的选择检测范围内一定数量（30例）样本与参考方法（如气相色谱-质谱法）进行比对试验等，均可在其中一家机构完成。不同样本类型的对比试验等按照法规要求需在至少两家机构完成的，机构间样本分布也应均衡。</w:t>
      </w:r>
    </w:p>
    <w:p w14:paraId="2B233C10"/>
    <w:p w14:paraId="44753F68">
      <w:pPr>
        <w:pStyle w:val="4"/>
        <w:spacing w:before="0" w:beforeAutospacing="0" w:after="0" w:afterAutospacing="0"/>
        <w:rPr>
          <w:rFonts w:hint="eastAsia" w:eastAsia="宋体"/>
          <w:lang w:eastAsia="zh-CN"/>
        </w:rPr>
      </w:pPr>
    </w:p>
    <w:p w14:paraId="44340CC0">
      <w:pPr>
        <w:pStyle w:val="4"/>
        <w:spacing w:before="0" w:beforeAutospacing="0" w:after="0" w:afterAutospacing="0"/>
        <w:jc w:val="center"/>
        <w:rPr>
          <w:rFonts w:hint="eastAsia" w:eastAsia="宋体"/>
          <w:lang w:eastAsia="zh-CN"/>
        </w:rPr>
      </w:pPr>
    </w:p>
    <w:p w14:paraId="07496A67">
      <w:pPr>
        <w:pStyle w:val="4"/>
        <w:spacing w:before="0" w:beforeAutospacing="0" w:after="0" w:afterAutospacing="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220F"/>
    <w:rsid w:val="002F7299"/>
    <w:rsid w:val="00CD3092"/>
    <w:rsid w:val="00EA220F"/>
    <w:rsid w:val="3B0C0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6633</Words>
  <Characters>6762</Characters>
  <Lines>49</Lines>
  <Paragraphs>14</Paragraphs>
  <TotalTime>20</TotalTime>
  <ScaleCrop>false</ScaleCrop>
  <LinksUpToDate>false</LinksUpToDate>
  <CharactersWithSpaces>6783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2018-01-02T02:15:00Z</dcterms:created>
  <dc:creator>chunzi</dc:creator>
  <cp:lastModifiedBy>太极箫客</cp:lastModifiedBy>
  <dcterms:modified xsi:type="dcterms:W3CDTF">2025-08-14T06:14:16Z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4DE9674A9DA449D49C655FE6E3BB7A03_12</vt:lpwstr>
  </property>
</Properties>
</file>