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F548B">
      <w:pPr>
        <w:snapToGrid w:val="0"/>
        <w:spacing w:line="300" w:lineRule="auto"/>
        <w:jc w:val="both"/>
        <w:rPr>
          <w:rFonts w:ascii="Arial" w:hAnsi="Arial" w:eastAsia="宋体" w:cs="Arial"/>
          <w:sz w:val="21"/>
          <w:szCs w:val="21"/>
          <w:lang w:eastAsia="zh-CN"/>
        </w:rPr>
      </w:pPr>
      <w:bookmarkStart w:id="7" w:name="_GoBack"/>
      <w:bookmarkEnd w:id="7"/>
      <w:r>
        <w:rPr>
          <w:rFonts w:ascii="Arial" w:hAnsi="Arial" w:eastAsia="宋体" w:cs="Arial"/>
          <w:sz w:val="21"/>
          <w:szCs w:val="21"/>
          <w:lang w:eastAsia="zh-CN"/>
        </w:rPr>
        <w:t>本指南编写于1997年2月27日实施FDA的良好指南规范（GGP）之前。其不会为任何人创造或赋予任何权利，也不对FDA或公众具有约束力。如果替代方法满足适用的法律、法规或其两者的要求，可以使用替代方法。本指南将在下一版本中更新，以纳入GGP的标准部分。</w:t>
      </w:r>
    </w:p>
    <w:p w14:paraId="10FE0EF0">
      <w:pPr>
        <w:snapToGrid w:val="0"/>
        <w:spacing w:line="300" w:lineRule="auto"/>
        <w:jc w:val="both"/>
        <w:rPr>
          <w:rFonts w:ascii="Arial" w:hAnsi="Arial" w:eastAsia="宋体" w:cs="Arial"/>
          <w:sz w:val="21"/>
          <w:szCs w:val="21"/>
          <w:lang w:eastAsia="zh-CN"/>
        </w:rPr>
      </w:pPr>
    </w:p>
    <w:p w14:paraId="79A4DF61">
      <w:pPr>
        <w:snapToGrid w:val="0"/>
        <w:spacing w:before="7" w:line="300" w:lineRule="auto"/>
        <w:jc w:val="both"/>
        <w:rPr>
          <w:rFonts w:ascii="Arial" w:hAnsi="Arial" w:eastAsia="宋体" w:cs="Arial"/>
          <w:sz w:val="21"/>
          <w:szCs w:val="21"/>
          <w:lang w:eastAsia="zh-CN"/>
        </w:rPr>
      </w:pPr>
    </w:p>
    <w:p w14:paraId="6C812470">
      <w:pPr>
        <w:pStyle w:val="2"/>
        <w:snapToGrid w:val="0"/>
        <w:spacing w:line="300" w:lineRule="auto"/>
        <w:ind w:left="0" w:firstLine="0"/>
        <w:jc w:val="center"/>
        <w:rPr>
          <w:rFonts w:ascii="Arial" w:hAnsi="Arial" w:eastAsia="宋体" w:cs="Arial"/>
          <w:bCs w:val="0"/>
          <w:sz w:val="21"/>
          <w:szCs w:val="21"/>
          <w:lang w:eastAsia="zh-CN"/>
        </w:rPr>
      </w:pPr>
      <w:r>
        <w:rPr>
          <w:rFonts w:ascii="Arial" w:hAnsi="Arial" w:eastAsia="宋体" w:cs="Arial"/>
          <w:bCs w:val="0"/>
          <w:sz w:val="21"/>
          <w:szCs w:val="21"/>
          <w:lang w:eastAsia="zh-CN"/>
        </w:rPr>
        <w:t>草案</w:t>
      </w:r>
    </w:p>
    <w:p w14:paraId="2D447BC3">
      <w:pPr>
        <w:snapToGrid w:val="0"/>
        <w:spacing w:line="300" w:lineRule="auto"/>
        <w:jc w:val="center"/>
        <w:rPr>
          <w:rFonts w:ascii="Arial" w:hAnsi="Arial" w:eastAsia="宋体" w:cs="Arial"/>
          <w:b/>
          <w:bCs/>
          <w:sz w:val="21"/>
          <w:szCs w:val="21"/>
          <w:lang w:eastAsia="zh-CN"/>
        </w:rPr>
      </w:pPr>
    </w:p>
    <w:p w14:paraId="0BB7951F">
      <w:pPr>
        <w:snapToGrid w:val="0"/>
        <w:spacing w:before="11" w:line="300" w:lineRule="auto"/>
        <w:jc w:val="center"/>
        <w:rPr>
          <w:rFonts w:ascii="Arial" w:hAnsi="Arial" w:eastAsia="宋体" w:cs="Arial"/>
          <w:b/>
          <w:bCs/>
          <w:sz w:val="21"/>
          <w:szCs w:val="21"/>
          <w:lang w:eastAsia="zh-CN"/>
        </w:rPr>
      </w:pPr>
    </w:p>
    <w:p w14:paraId="48E2B0E2">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医疗激光器上市前通告内容和组织的指南</w:t>
      </w:r>
    </w:p>
    <w:p w14:paraId="6529DA6F">
      <w:pPr>
        <w:snapToGrid w:val="0"/>
        <w:spacing w:line="300" w:lineRule="auto"/>
        <w:jc w:val="center"/>
        <w:rPr>
          <w:rFonts w:ascii="Arial" w:hAnsi="Arial" w:eastAsia="宋体" w:cs="Arial"/>
          <w:sz w:val="21"/>
          <w:szCs w:val="21"/>
          <w:lang w:eastAsia="zh-CN"/>
        </w:rPr>
      </w:pPr>
    </w:p>
    <w:p w14:paraId="568C2AA8">
      <w:pPr>
        <w:snapToGrid w:val="0"/>
        <w:spacing w:line="300" w:lineRule="auto"/>
        <w:jc w:val="center"/>
        <w:rPr>
          <w:rFonts w:ascii="Arial" w:hAnsi="Arial" w:eastAsia="宋体" w:cs="Arial"/>
          <w:sz w:val="21"/>
          <w:szCs w:val="21"/>
          <w:lang w:eastAsia="zh-CN"/>
        </w:rPr>
      </w:pPr>
    </w:p>
    <w:p w14:paraId="0CE7C2F7">
      <w:pPr>
        <w:snapToGrid w:val="0"/>
        <w:spacing w:line="300" w:lineRule="auto"/>
        <w:jc w:val="center"/>
        <w:rPr>
          <w:rFonts w:ascii="Arial" w:hAnsi="Arial" w:eastAsia="宋体" w:cs="Arial"/>
          <w:sz w:val="21"/>
          <w:szCs w:val="21"/>
          <w:lang w:eastAsia="zh-CN"/>
        </w:rPr>
      </w:pPr>
    </w:p>
    <w:p w14:paraId="510444A0">
      <w:pPr>
        <w:snapToGrid w:val="0"/>
        <w:spacing w:line="300" w:lineRule="auto"/>
        <w:jc w:val="center"/>
        <w:rPr>
          <w:rFonts w:ascii="Arial" w:hAnsi="Arial" w:eastAsia="宋体" w:cs="Arial"/>
          <w:sz w:val="21"/>
          <w:szCs w:val="21"/>
          <w:lang w:eastAsia="zh-CN"/>
        </w:rPr>
      </w:pPr>
    </w:p>
    <w:p w14:paraId="290F3BE6">
      <w:pPr>
        <w:snapToGrid w:val="0"/>
        <w:spacing w:line="300" w:lineRule="auto"/>
        <w:jc w:val="center"/>
        <w:rPr>
          <w:rFonts w:ascii="Arial" w:hAnsi="Arial" w:eastAsia="宋体" w:cs="Arial"/>
          <w:sz w:val="21"/>
          <w:szCs w:val="21"/>
          <w:lang w:eastAsia="zh-CN"/>
        </w:rPr>
      </w:pPr>
    </w:p>
    <w:p w14:paraId="1CD2880F">
      <w:pPr>
        <w:snapToGrid w:val="0"/>
        <w:spacing w:before="2" w:line="300" w:lineRule="auto"/>
        <w:jc w:val="center"/>
        <w:rPr>
          <w:rFonts w:ascii="Arial" w:hAnsi="Arial" w:eastAsia="宋体" w:cs="Arial"/>
          <w:sz w:val="21"/>
          <w:szCs w:val="21"/>
          <w:lang w:eastAsia="zh-CN"/>
        </w:rPr>
      </w:pPr>
    </w:p>
    <w:p w14:paraId="5C51B593">
      <w:pPr>
        <w:pStyle w:val="3"/>
        <w:snapToGrid w:val="0"/>
        <w:spacing w:before="5"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器械评估办公室</w:t>
      </w:r>
    </w:p>
    <w:p w14:paraId="037731B3">
      <w:pPr>
        <w:pStyle w:val="3"/>
        <w:snapToGrid w:val="0"/>
        <w:spacing w:before="5"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器械</w:t>
      </w:r>
      <w:r>
        <w:rPr>
          <w:rFonts w:hint="eastAsia" w:ascii="Arial" w:hAnsi="Arial" w:eastAsia="宋体" w:cs="Arial"/>
          <w:sz w:val="21"/>
          <w:szCs w:val="21"/>
          <w:lang w:eastAsia="zh-CN"/>
        </w:rPr>
        <w:t>和放射卫生</w:t>
      </w:r>
      <w:r>
        <w:rPr>
          <w:rFonts w:ascii="Arial" w:hAnsi="Arial" w:eastAsia="宋体" w:cs="Arial"/>
          <w:sz w:val="21"/>
          <w:szCs w:val="21"/>
          <w:lang w:eastAsia="zh-CN"/>
        </w:rPr>
        <w:t>中心</w:t>
      </w:r>
    </w:p>
    <w:p w14:paraId="7B31DA53">
      <w:pPr>
        <w:snapToGrid w:val="0"/>
        <w:spacing w:line="300" w:lineRule="auto"/>
        <w:jc w:val="both"/>
        <w:rPr>
          <w:rFonts w:ascii="Arial" w:hAnsi="Arial" w:eastAsia="宋体" w:cs="Arial"/>
          <w:sz w:val="21"/>
          <w:szCs w:val="21"/>
          <w:lang w:eastAsia="zh-CN"/>
        </w:rPr>
      </w:pPr>
    </w:p>
    <w:p w14:paraId="0DA8F442">
      <w:pPr>
        <w:snapToGrid w:val="0"/>
        <w:spacing w:line="300" w:lineRule="auto"/>
        <w:jc w:val="both"/>
        <w:rPr>
          <w:rFonts w:ascii="Arial" w:hAnsi="Arial" w:eastAsia="宋体" w:cs="Arial"/>
          <w:sz w:val="21"/>
          <w:szCs w:val="21"/>
          <w:lang w:eastAsia="zh-CN"/>
        </w:rPr>
      </w:pPr>
    </w:p>
    <w:p w14:paraId="6715C136">
      <w:pPr>
        <w:snapToGrid w:val="0"/>
        <w:spacing w:line="300" w:lineRule="auto"/>
        <w:jc w:val="both"/>
        <w:rPr>
          <w:rFonts w:ascii="Arial" w:hAnsi="Arial" w:eastAsia="宋体" w:cs="Arial"/>
          <w:sz w:val="21"/>
          <w:szCs w:val="21"/>
          <w:lang w:eastAsia="zh-CN"/>
        </w:rPr>
      </w:pPr>
    </w:p>
    <w:p w14:paraId="7A89E68A">
      <w:pPr>
        <w:snapToGrid w:val="0"/>
        <w:spacing w:line="300" w:lineRule="auto"/>
        <w:jc w:val="both"/>
        <w:rPr>
          <w:rFonts w:ascii="Arial" w:hAnsi="Arial" w:eastAsia="宋体" w:cs="Arial"/>
          <w:sz w:val="21"/>
          <w:szCs w:val="21"/>
          <w:lang w:eastAsia="zh-CN"/>
        </w:rPr>
      </w:pPr>
    </w:p>
    <w:p w14:paraId="6695ADF2">
      <w:pPr>
        <w:snapToGrid w:val="0"/>
        <w:spacing w:line="300" w:lineRule="auto"/>
        <w:jc w:val="both"/>
        <w:rPr>
          <w:rFonts w:ascii="Arial" w:hAnsi="Arial" w:eastAsia="宋体" w:cs="Arial"/>
          <w:sz w:val="21"/>
          <w:szCs w:val="21"/>
          <w:lang w:eastAsia="zh-CN"/>
        </w:rPr>
      </w:pPr>
    </w:p>
    <w:p w14:paraId="2F71A79B">
      <w:pPr>
        <w:snapToGrid w:val="0"/>
        <w:spacing w:line="300" w:lineRule="auto"/>
        <w:jc w:val="both"/>
        <w:rPr>
          <w:rFonts w:ascii="Arial" w:hAnsi="Arial" w:eastAsia="宋体" w:cs="Arial"/>
          <w:sz w:val="21"/>
          <w:szCs w:val="21"/>
          <w:lang w:eastAsia="zh-CN"/>
        </w:rPr>
      </w:pPr>
    </w:p>
    <w:p w14:paraId="2D71A76F">
      <w:pPr>
        <w:snapToGrid w:val="0"/>
        <w:spacing w:line="300" w:lineRule="auto"/>
        <w:jc w:val="both"/>
        <w:rPr>
          <w:rFonts w:ascii="Arial" w:hAnsi="Arial" w:eastAsia="宋体" w:cs="Arial"/>
          <w:sz w:val="21"/>
          <w:szCs w:val="21"/>
          <w:lang w:eastAsia="zh-CN"/>
        </w:rPr>
      </w:pPr>
    </w:p>
    <w:p w14:paraId="39109051">
      <w:pPr>
        <w:snapToGrid w:val="0"/>
        <w:spacing w:line="300" w:lineRule="auto"/>
        <w:jc w:val="both"/>
        <w:rPr>
          <w:rFonts w:ascii="Arial" w:hAnsi="Arial" w:eastAsia="宋体" w:cs="Arial"/>
          <w:sz w:val="21"/>
          <w:szCs w:val="21"/>
          <w:lang w:eastAsia="zh-CN"/>
        </w:rPr>
      </w:pPr>
    </w:p>
    <w:p w14:paraId="13BD80A3">
      <w:pPr>
        <w:snapToGrid w:val="0"/>
        <w:spacing w:line="300" w:lineRule="auto"/>
        <w:jc w:val="both"/>
        <w:rPr>
          <w:rFonts w:ascii="Arial" w:hAnsi="Arial" w:eastAsia="宋体" w:cs="Arial"/>
          <w:sz w:val="21"/>
          <w:szCs w:val="21"/>
          <w:lang w:eastAsia="zh-CN"/>
        </w:rPr>
      </w:pPr>
    </w:p>
    <w:p w14:paraId="2408998B">
      <w:pPr>
        <w:snapToGrid w:val="0"/>
        <w:spacing w:line="300" w:lineRule="auto"/>
        <w:jc w:val="both"/>
        <w:rPr>
          <w:rFonts w:ascii="Arial" w:hAnsi="Arial" w:eastAsia="宋体" w:cs="Arial"/>
          <w:sz w:val="21"/>
          <w:szCs w:val="21"/>
          <w:lang w:eastAsia="zh-CN"/>
        </w:rPr>
      </w:pPr>
    </w:p>
    <w:p w14:paraId="5AF94ACF">
      <w:pPr>
        <w:snapToGrid w:val="0"/>
        <w:spacing w:before="5" w:line="300" w:lineRule="auto"/>
        <w:jc w:val="both"/>
        <w:rPr>
          <w:rFonts w:ascii="Arial" w:hAnsi="Arial" w:eastAsia="宋体" w:cs="Arial"/>
          <w:sz w:val="21"/>
          <w:szCs w:val="21"/>
          <w:lang w:eastAsia="zh-CN"/>
        </w:rPr>
      </w:pPr>
    </w:p>
    <w:p w14:paraId="02F38AAB">
      <w:pPr>
        <w:snapToGrid w:val="0"/>
        <w:spacing w:line="300" w:lineRule="auto"/>
        <w:jc w:val="center"/>
        <w:rPr>
          <w:rFonts w:ascii="Arial" w:hAnsi="Arial" w:eastAsia="宋体" w:cs="Arial"/>
          <w:sz w:val="21"/>
          <w:szCs w:val="21"/>
        </w:rPr>
        <w:sectPr>
          <w:headerReference r:id="rId3" w:type="default"/>
          <w:type w:val="continuous"/>
          <w:pgSz w:w="12240" w:h="15840"/>
          <w:pgMar w:top="1134" w:right="1134" w:bottom="1134" w:left="1134" w:header="720" w:footer="720" w:gutter="0"/>
          <w:cols w:space="720" w:num="1"/>
          <w:docGrid w:linePitch="299" w:charSpace="0"/>
        </w:sectPr>
      </w:pPr>
      <w:r>
        <w:rPr>
          <w:rFonts w:ascii="Arial" w:hAnsi="Arial" w:eastAsia="宋体" w:cs="Arial"/>
          <w:sz w:val="21"/>
          <w:szCs w:val="21"/>
          <w:lang w:eastAsia="zh-CN"/>
        </w:rPr>
        <w:t>1995</w:t>
      </w:r>
      <w:r>
        <w:rPr>
          <w:rFonts w:ascii="Arial" w:hAnsi="Arial" w:eastAsia="宋体" w:cs="Arial"/>
          <w:sz w:val="21"/>
          <w:szCs w:val="21"/>
        </w:rPr>
        <w:t>年</w:t>
      </w:r>
      <w:r>
        <w:rPr>
          <w:rFonts w:ascii="Arial" w:hAnsi="Arial" w:eastAsia="宋体" w:cs="Arial"/>
          <w:sz w:val="21"/>
          <w:szCs w:val="21"/>
          <w:lang w:eastAsia="zh-CN"/>
        </w:rPr>
        <w:t>6</w:t>
      </w:r>
      <w:r>
        <w:rPr>
          <w:rFonts w:ascii="Arial" w:hAnsi="Arial" w:eastAsia="宋体" w:cs="Arial"/>
          <w:sz w:val="21"/>
          <w:szCs w:val="21"/>
        </w:rPr>
        <w:t>月</w:t>
      </w:r>
    </w:p>
    <w:p w14:paraId="70FBEF85">
      <w:pPr>
        <w:pStyle w:val="2"/>
        <w:numPr>
          <w:ilvl w:val="0"/>
          <w:numId w:val="1"/>
        </w:numPr>
        <w:tabs>
          <w:tab w:val="left" w:pos="546"/>
        </w:tabs>
        <w:snapToGrid w:val="0"/>
        <w:spacing w:before="73" w:line="300" w:lineRule="auto"/>
        <w:ind w:left="0" w:firstLine="0"/>
        <w:jc w:val="both"/>
        <w:rPr>
          <w:rFonts w:ascii="Arial" w:hAnsi="Arial" w:eastAsia="宋体" w:cs="Arial"/>
          <w:b w:val="0"/>
          <w:bCs w:val="0"/>
          <w:sz w:val="21"/>
          <w:szCs w:val="21"/>
        </w:rPr>
      </w:pPr>
      <w:r>
        <w:rPr>
          <w:rFonts w:ascii="Arial" w:hAnsi="Arial" w:eastAsia="宋体" w:cs="Arial"/>
          <w:sz w:val="21"/>
          <w:szCs w:val="21"/>
        </w:rPr>
        <w:t>介绍</w:t>
      </w:r>
      <w:r>
        <w:rPr>
          <w:rFonts w:ascii="Arial" w:hAnsi="Arial" w:eastAsia="宋体" w:cs="Arial"/>
          <w:sz w:val="21"/>
          <w:szCs w:val="21"/>
          <w:lang w:eastAsia="zh-CN"/>
        </w:rPr>
        <w:t>性</w:t>
      </w:r>
      <w:r>
        <w:rPr>
          <w:rFonts w:ascii="Arial" w:hAnsi="Arial" w:eastAsia="宋体" w:cs="Arial"/>
          <w:sz w:val="21"/>
          <w:szCs w:val="21"/>
        </w:rPr>
        <w:t>信息</w:t>
      </w:r>
    </w:p>
    <w:p w14:paraId="6316CDDE">
      <w:pPr>
        <w:tabs>
          <w:tab w:val="left" w:pos="546"/>
        </w:tabs>
        <w:snapToGrid w:val="0"/>
        <w:spacing w:before="8" w:line="300" w:lineRule="auto"/>
        <w:jc w:val="both"/>
        <w:rPr>
          <w:rFonts w:ascii="Arial" w:hAnsi="Arial" w:eastAsia="宋体" w:cs="Arial"/>
          <w:b/>
          <w:bCs/>
          <w:sz w:val="21"/>
          <w:szCs w:val="21"/>
        </w:rPr>
      </w:pPr>
    </w:p>
    <w:p w14:paraId="46DDA23B">
      <w:pPr>
        <w:pStyle w:val="10"/>
        <w:numPr>
          <w:ilvl w:val="0"/>
          <w:numId w:val="2"/>
        </w:numPr>
        <w:tabs>
          <w:tab w:val="left" w:pos="546"/>
        </w:tabs>
        <w:snapToGrid w:val="0"/>
        <w:spacing w:line="300" w:lineRule="auto"/>
        <w:ind w:left="0" w:firstLine="0"/>
        <w:jc w:val="both"/>
        <w:rPr>
          <w:rFonts w:ascii="Arial" w:hAnsi="Arial" w:eastAsia="宋体" w:cs="Arial"/>
          <w:b/>
          <w:sz w:val="21"/>
          <w:szCs w:val="21"/>
        </w:rPr>
      </w:pPr>
      <w:r>
        <w:rPr>
          <w:rFonts w:hint="eastAsia" w:ascii="Arial" w:hAnsi="Arial" w:eastAsia="宋体" w:cs="Arial"/>
          <w:b/>
          <w:sz w:val="21"/>
          <w:szCs w:val="21"/>
          <w:lang w:eastAsia="zh-CN"/>
        </w:rPr>
        <w:t>指南</w:t>
      </w:r>
      <w:r>
        <w:rPr>
          <w:rFonts w:ascii="Arial" w:hAnsi="Arial" w:eastAsia="宋体" w:cs="Arial"/>
          <w:b/>
          <w:sz w:val="21"/>
          <w:szCs w:val="21"/>
          <w:lang w:eastAsia="zh-CN"/>
        </w:rPr>
        <w:t>目的</w:t>
      </w:r>
    </w:p>
    <w:p w14:paraId="2A3B314F">
      <w:pPr>
        <w:pStyle w:val="10"/>
        <w:snapToGrid w:val="0"/>
        <w:spacing w:line="300" w:lineRule="auto"/>
        <w:jc w:val="both"/>
        <w:rPr>
          <w:rFonts w:ascii="Arial" w:hAnsi="Arial" w:eastAsia="宋体" w:cs="Arial"/>
          <w:sz w:val="21"/>
          <w:szCs w:val="21"/>
        </w:rPr>
      </w:pPr>
    </w:p>
    <w:p w14:paraId="4349F4FF">
      <w:pPr>
        <w:pStyle w:val="10"/>
        <w:numPr>
          <w:ilvl w:val="1"/>
          <w:numId w:val="2"/>
        </w:numPr>
        <w:tabs>
          <w:tab w:val="left" w:pos="980"/>
        </w:tabs>
        <w:snapToGrid w:val="0"/>
        <w:spacing w:line="300" w:lineRule="auto"/>
        <w:ind w:left="951" w:leftChars="248" w:hanging="405" w:hangingChars="193"/>
        <w:jc w:val="both"/>
        <w:rPr>
          <w:rFonts w:ascii="Arial" w:hAnsi="Arial" w:eastAsia="宋体" w:cs="Arial"/>
          <w:sz w:val="21"/>
          <w:szCs w:val="21"/>
          <w:lang w:eastAsia="zh-CN"/>
        </w:rPr>
      </w:pPr>
      <w:r>
        <w:rPr>
          <w:rFonts w:ascii="Arial" w:hAnsi="Arial" w:eastAsia="宋体" w:cs="Arial"/>
          <w:sz w:val="21"/>
          <w:szCs w:val="21"/>
          <w:lang w:eastAsia="zh-CN"/>
        </w:rPr>
        <w:t>帮助器械评估办公室的审查员审查和记录医疗激光器的上市前通告【510（k）】；</w:t>
      </w:r>
    </w:p>
    <w:p w14:paraId="3644A6C5">
      <w:pPr>
        <w:pStyle w:val="10"/>
        <w:tabs>
          <w:tab w:val="left" w:pos="980"/>
        </w:tabs>
        <w:snapToGrid w:val="0"/>
        <w:spacing w:line="300" w:lineRule="auto"/>
        <w:ind w:left="951" w:leftChars="248" w:hanging="405" w:hangingChars="193"/>
        <w:jc w:val="both"/>
        <w:rPr>
          <w:rFonts w:ascii="Arial" w:hAnsi="Arial" w:eastAsia="宋体" w:cs="Arial"/>
          <w:sz w:val="21"/>
          <w:szCs w:val="21"/>
          <w:lang w:eastAsia="zh-CN"/>
        </w:rPr>
      </w:pPr>
    </w:p>
    <w:p w14:paraId="092C49F2">
      <w:pPr>
        <w:pStyle w:val="10"/>
        <w:numPr>
          <w:ilvl w:val="1"/>
          <w:numId w:val="2"/>
        </w:numPr>
        <w:tabs>
          <w:tab w:val="left" w:pos="980"/>
        </w:tabs>
        <w:snapToGrid w:val="0"/>
        <w:spacing w:line="300" w:lineRule="auto"/>
        <w:ind w:left="951" w:leftChars="248" w:hanging="405" w:hangingChars="193"/>
        <w:jc w:val="both"/>
        <w:rPr>
          <w:rFonts w:ascii="Arial" w:hAnsi="Arial" w:eastAsia="宋体" w:cs="Arial"/>
          <w:sz w:val="21"/>
          <w:szCs w:val="21"/>
          <w:lang w:eastAsia="zh-CN"/>
        </w:rPr>
      </w:pPr>
      <w:r>
        <w:rPr>
          <w:rFonts w:ascii="Arial" w:hAnsi="Arial" w:eastAsia="宋体" w:cs="Arial"/>
          <w:sz w:val="21"/>
          <w:szCs w:val="21"/>
          <w:lang w:eastAsia="zh-CN"/>
        </w:rPr>
        <w:t>帮助人员准备医疗激光器的510（k）（如制造商、分销商或进口商）；以及</w:t>
      </w:r>
    </w:p>
    <w:p w14:paraId="656E1BC1">
      <w:pPr>
        <w:pStyle w:val="10"/>
        <w:tabs>
          <w:tab w:val="left" w:pos="980"/>
        </w:tabs>
        <w:snapToGrid w:val="0"/>
        <w:spacing w:line="300" w:lineRule="auto"/>
        <w:ind w:left="951" w:leftChars="248" w:hanging="405" w:hangingChars="193"/>
        <w:jc w:val="both"/>
        <w:rPr>
          <w:rFonts w:ascii="Arial" w:hAnsi="Arial" w:eastAsia="宋体" w:cs="Arial"/>
          <w:sz w:val="21"/>
          <w:szCs w:val="21"/>
          <w:lang w:eastAsia="zh-CN"/>
        </w:rPr>
      </w:pPr>
    </w:p>
    <w:p w14:paraId="5EE35889">
      <w:pPr>
        <w:pStyle w:val="10"/>
        <w:numPr>
          <w:ilvl w:val="1"/>
          <w:numId w:val="2"/>
        </w:numPr>
        <w:tabs>
          <w:tab w:val="left" w:pos="980"/>
        </w:tabs>
        <w:snapToGrid w:val="0"/>
        <w:spacing w:line="300" w:lineRule="auto"/>
        <w:ind w:left="951" w:leftChars="248" w:hanging="405" w:hangingChars="193"/>
        <w:jc w:val="both"/>
        <w:rPr>
          <w:rFonts w:ascii="Arial" w:hAnsi="Arial" w:eastAsia="宋体" w:cs="Arial"/>
          <w:sz w:val="21"/>
          <w:szCs w:val="21"/>
          <w:lang w:eastAsia="zh-CN"/>
        </w:rPr>
      </w:pPr>
      <w:r>
        <w:rPr>
          <w:rFonts w:ascii="Arial" w:hAnsi="Arial" w:eastAsia="宋体" w:cs="Arial"/>
          <w:sz w:val="21"/>
          <w:szCs w:val="21"/>
          <w:lang w:eastAsia="zh-CN"/>
        </w:rPr>
        <w:t>传达有关各种适应症数据要求的审查机构期望，包括关于何时特定适应症可能需要上市前批准的一般指南。</w:t>
      </w:r>
    </w:p>
    <w:p w14:paraId="0AAF550C">
      <w:pPr>
        <w:snapToGrid w:val="0"/>
        <w:spacing w:before="6" w:line="300" w:lineRule="auto"/>
        <w:jc w:val="both"/>
        <w:rPr>
          <w:rFonts w:ascii="Arial" w:hAnsi="Arial" w:eastAsia="宋体" w:cs="Arial"/>
          <w:sz w:val="21"/>
          <w:szCs w:val="21"/>
          <w:lang w:eastAsia="zh-CN"/>
        </w:rPr>
      </w:pPr>
    </w:p>
    <w:p w14:paraId="5B90E21F">
      <w:pPr>
        <w:pStyle w:val="3"/>
        <w:snapToGrid w:val="0"/>
        <w:spacing w:line="300" w:lineRule="auto"/>
        <w:ind w:left="546" w:leftChars="248"/>
        <w:jc w:val="both"/>
        <w:rPr>
          <w:rFonts w:ascii="Arial" w:hAnsi="Arial" w:eastAsia="宋体" w:cs="Arial"/>
          <w:sz w:val="21"/>
          <w:szCs w:val="21"/>
          <w:lang w:eastAsia="zh-CN"/>
        </w:rPr>
      </w:pPr>
      <w:r>
        <w:rPr>
          <w:rFonts w:ascii="Arial" w:hAnsi="Arial" w:eastAsia="宋体" w:cs="Arial"/>
          <w:sz w:val="21"/>
          <w:szCs w:val="21"/>
          <w:lang w:eastAsia="zh-CN"/>
        </w:rPr>
        <w:t>本文件并不旨在帮助申请人决定何时提交510（k）。有关这方面的指南，请参阅《决定提交510（k）时间》，其可从小型制造商援助司获得，电话：（800）638-2041。</w:t>
      </w:r>
    </w:p>
    <w:p w14:paraId="2E916F4E">
      <w:pPr>
        <w:snapToGrid w:val="0"/>
        <w:spacing w:before="6" w:line="300" w:lineRule="auto"/>
        <w:jc w:val="both"/>
        <w:rPr>
          <w:rFonts w:ascii="Arial" w:hAnsi="Arial" w:eastAsia="宋体" w:cs="Arial"/>
          <w:sz w:val="21"/>
          <w:szCs w:val="21"/>
          <w:lang w:eastAsia="zh-CN"/>
        </w:rPr>
      </w:pPr>
    </w:p>
    <w:p w14:paraId="5FDFA6DE">
      <w:pPr>
        <w:pStyle w:val="10"/>
        <w:numPr>
          <w:ilvl w:val="0"/>
          <w:numId w:val="2"/>
        </w:numPr>
        <w:tabs>
          <w:tab w:val="left" w:pos="546"/>
        </w:tabs>
        <w:snapToGrid w:val="0"/>
        <w:spacing w:line="300" w:lineRule="auto"/>
        <w:ind w:left="0" w:firstLine="0"/>
        <w:jc w:val="both"/>
        <w:rPr>
          <w:rFonts w:ascii="Arial" w:hAnsi="Arial" w:eastAsia="宋体" w:cs="Arial"/>
          <w:b/>
          <w:bCs/>
          <w:sz w:val="21"/>
          <w:szCs w:val="21"/>
        </w:rPr>
      </w:pPr>
      <w:r>
        <w:rPr>
          <w:rFonts w:ascii="Arial" w:hAnsi="Arial" w:eastAsia="宋体" w:cs="Arial"/>
          <w:b/>
          <w:sz w:val="21"/>
          <w:szCs w:val="21"/>
          <w:lang w:eastAsia="zh-CN"/>
        </w:rPr>
        <w:t>监管背景</w:t>
      </w:r>
    </w:p>
    <w:p w14:paraId="7CBD5C83">
      <w:pPr>
        <w:snapToGrid w:val="0"/>
        <w:spacing w:before="6" w:line="300" w:lineRule="auto"/>
        <w:jc w:val="both"/>
        <w:rPr>
          <w:rFonts w:ascii="Arial" w:hAnsi="Arial" w:eastAsia="宋体" w:cs="Arial"/>
          <w:b/>
          <w:bCs/>
          <w:sz w:val="21"/>
          <w:szCs w:val="21"/>
        </w:rPr>
      </w:pPr>
    </w:p>
    <w:p w14:paraId="4C7CF6F1">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医疗用激光器已在美国销售了20多年。二氧化碳和氩激光器是医学中最早使用的激光技术之一。</w:t>
      </w:r>
    </w:p>
    <w:p w14:paraId="2EAD9848">
      <w:pPr>
        <w:pStyle w:val="3"/>
        <w:snapToGrid w:val="0"/>
        <w:spacing w:line="300" w:lineRule="auto"/>
        <w:ind w:left="0"/>
        <w:jc w:val="both"/>
        <w:rPr>
          <w:rFonts w:ascii="Arial" w:hAnsi="Arial" w:eastAsia="宋体" w:cs="Arial"/>
          <w:sz w:val="21"/>
          <w:szCs w:val="21"/>
          <w:lang w:eastAsia="zh-CN"/>
        </w:rPr>
      </w:pPr>
    </w:p>
    <w:p w14:paraId="3DB79F0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在1976年5月颁布了《联邦食品、药品和化妆品法案》（法案）的医疗器械修订案后，所有新器械，包括新型医疗激光器，均</w:t>
      </w:r>
      <w:r>
        <w:rPr>
          <w:rFonts w:hint="eastAsia" w:ascii="Arial" w:hAnsi="Arial" w:eastAsia="宋体" w:cs="Arial"/>
          <w:sz w:val="21"/>
          <w:szCs w:val="21"/>
          <w:lang w:eastAsia="zh-CN"/>
        </w:rPr>
        <w:t>需通过</w:t>
      </w:r>
      <w:r>
        <w:rPr>
          <w:rFonts w:ascii="Arial" w:hAnsi="Arial" w:eastAsia="宋体" w:cs="Arial"/>
          <w:sz w:val="21"/>
          <w:szCs w:val="21"/>
          <w:lang w:eastAsia="zh-CN"/>
        </w:rPr>
        <w:t>FDA上市前许可。通常在1976年5月之前已上市的器械可继续在市场上销售，但其须分为三个类别（I，II，III）。该类别指定了将应用于器械以确保其安全性和有效性的监管控制水平。当一般控制足以提供必要的监管控制以确保器械的安全性和有效性时，应将器械分类为I类。需要特殊控制时，器械被分类为II类。需要上市前批准（PMA）来证明器械的安全性和有效性时，器械被分类为III类。对1976年5月之前已投放销售的医疗激光器应进行确定和分类。第3页提供了对受分类法规管制的医疗激光器参考的部分列表。</w:t>
      </w:r>
    </w:p>
    <w:p w14:paraId="23F83390">
      <w:pPr>
        <w:snapToGrid w:val="0"/>
        <w:spacing w:before="6" w:line="300" w:lineRule="auto"/>
        <w:jc w:val="both"/>
        <w:rPr>
          <w:rFonts w:ascii="Arial" w:hAnsi="Arial" w:eastAsia="宋体" w:cs="Arial"/>
          <w:sz w:val="21"/>
          <w:szCs w:val="21"/>
          <w:lang w:eastAsia="zh-CN"/>
        </w:rPr>
      </w:pPr>
    </w:p>
    <w:p w14:paraId="378FEDB7">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现今</w:t>
      </w:r>
      <w:r>
        <w:rPr>
          <w:rFonts w:hint="eastAsia" w:ascii="Arial" w:hAnsi="Arial" w:eastAsia="宋体" w:cs="Arial"/>
          <w:sz w:val="21"/>
          <w:szCs w:val="21"/>
          <w:lang w:eastAsia="zh-CN"/>
        </w:rPr>
        <w:t>意欲</w:t>
      </w:r>
      <w:r>
        <w:rPr>
          <w:rFonts w:ascii="Arial" w:hAnsi="Arial" w:eastAsia="宋体" w:cs="Arial"/>
          <w:sz w:val="21"/>
          <w:szCs w:val="21"/>
          <w:lang w:eastAsia="zh-CN"/>
        </w:rPr>
        <w:t>上市医疗激光器的人员必须首先收到FDA的指令，以允许代理商商业销售该器械。有两种形式的上市前许可程序。上市前通告（510（k））程序主要用于有记录证明其实质等同于已合法上市的I类和II类器械。510（k）程序也可以适用于实质等同于上市前批准</w:t>
      </w:r>
      <w:r>
        <w:rPr>
          <w:rFonts w:hint="eastAsia" w:ascii="Arial" w:hAnsi="Arial" w:eastAsia="宋体" w:cs="Arial"/>
          <w:sz w:val="21"/>
          <w:szCs w:val="21"/>
          <w:lang w:eastAsia="zh-CN"/>
        </w:rPr>
        <w:t>但</w:t>
      </w:r>
      <w:r>
        <w:rPr>
          <w:rFonts w:ascii="Arial" w:hAnsi="Arial" w:eastAsia="宋体" w:cs="Arial"/>
          <w:sz w:val="21"/>
          <w:szCs w:val="21"/>
          <w:lang w:eastAsia="zh-CN"/>
        </w:rPr>
        <w:t>生效日期尚未确定的III类器械。上市前批准（PMA）程序适用于III类器械。</w:t>
      </w:r>
    </w:p>
    <w:p w14:paraId="62E7D820">
      <w:pPr>
        <w:pStyle w:val="3"/>
        <w:snapToGrid w:val="0"/>
        <w:spacing w:before="73" w:line="300" w:lineRule="auto"/>
        <w:ind w:left="0"/>
        <w:jc w:val="both"/>
        <w:rPr>
          <w:rFonts w:ascii="Arial" w:hAnsi="Arial" w:eastAsia="宋体" w:cs="Arial"/>
          <w:sz w:val="21"/>
          <w:szCs w:val="21"/>
          <w:lang w:eastAsia="zh-CN"/>
        </w:rPr>
      </w:pPr>
    </w:p>
    <w:p w14:paraId="4063EA3E">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有意上市实质等同器械的人员必须在预期上市日期前至少90天向FDA提交510（k）。510（k）中的信息可确定该器械是否实质等同于已合法上市的器械。如果发现该器械具有实质等同性，则将其置入与合法上市器械相同的类别中，并且代理商可以继续销售该器械。如果不具有实质等同性，该器械被默认为III类</w:t>
      </w:r>
      <w:r>
        <w:rPr>
          <w:rFonts w:hint="eastAsia" w:ascii="Arial" w:hAnsi="Arial" w:eastAsia="宋体" w:cs="Arial"/>
          <w:sz w:val="21"/>
          <w:szCs w:val="21"/>
          <w:lang w:eastAsia="zh-CN"/>
        </w:rPr>
        <w:t>器械</w:t>
      </w:r>
      <w:r>
        <w:rPr>
          <w:rFonts w:ascii="Arial" w:hAnsi="Arial" w:eastAsia="宋体" w:cs="Arial"/>
          <w:sz w:val="21"/>
          <w:szCs w:val="21"/>
          <w:lang w:eastAsia="zh-CN"/>
        </w:rPr>
        <w:t>，并需要通过PMA程序获得许可。</w:t>
      </w:r>
    </w:p>
    <w:p w14:paraId="2886B869">
      <w:pPr>
        <w:pStyle w:val="3"/>
        <w:snapToGrid w:val="0"/>
        <w:spacing w:line="300" w:lineRule="auto"/>
        <w:ind w:left="0"/>
        <w:jc w:val="both"/>
        <w:rPr>
          <w:rFonts w:ascii="Arial" w:hAnsi="Arial" w:eastAsia="宋体" w:cs="Arial"/>
          <w:sz w:val="21"/>
          <w:szCs w:val="21"/>
          <w:lang w:eastAsia="zh-CN"/>
        </w:rPr>
      </w:pPr>
    </w:p>
    <w:p w14:paraId="07F998AD">
      <w:pPr>
        <w:rPr>
          <w:rFonts w:ascii="Arial" w:hAnsi="Arial" w:eastAsia="宋体" w:cs="Arial"/>
          <w:sz w:val="21"/>
          <w:szCs w:val="21"/>
          <w:lang w:eastAsia="zh-CN"/>
        </w:rPr>
      </w:pPr>
      <w:r>
        <w:rPr>
          <w:rFonts w:ascii="Arial" w:hAnsi="Arial" w:eastAsia="宋体" w:cs="Arial"/>
          <w:sz w:val="21"/>
          <w:szCs w:val="21"/>
          <w:lang w:eastAsia="zh-CN"/>
        </w:rPr>
        <w:br w:type="page"/>
      </w:r>
    </w:p>
    <w:p w14:paraId="1C39A5DB">
      <w:pPr>
        <w:pStyle w:val="3"/>
        <w:snapToGrid w:val="0"/>
        <w:spacing w:before="73" w:line="300" w:lineRule="auto"/>
        <w:ind w:left="0"/>
        <w:jc w:val="center"/>
        <w:rPr>
          <w:rFonts w:ascii="Arial" w:hAnsi="Arial" w:eastAsia="宋体" w:cs="Arial"/>
          <w:sz w:val="21"/>
          <w:szCs w:val="21"/>
        </w:rPr>
      </w:pPr>
      <w:r>
        <w:rPr>
          <w:rFonts w:ascii="Arial" w:hAnsi="Arial" w:eastAsia="宋体" w:cs="Arial"/>
          <w:sz w:val="21"/>
          <w:szCs w:val="21"/>
          <w:lang w:eastAsia="zh-CN"/>
        </w:rPr>
        <w:t>已</w:t>
      </w:r>
      <w:r>
        <w:rPr>
          <w:rFonts w:ascii="Arial" w:hAnsi="Arial" w:eastAsia="宋体" w:cs="Arial"/>
          <w:sz w:val="21"/>
          <w:szCs w:val="21"/>
        </w:rPr>
        <w:t>分类</w:t>
      </w:r>
      <w:r>
        <w:rPr>
          <w:rFonts w:ascii="Arial" w:hAnsi="Arial" w:eastAsia="宋体" w:cs="Arial"/>
          <w:sz w:val="21"/>
          <w:szCs w:val="21"/>
          <w:lang w:eastAsia="zh-CN"/>
        </w:rPr>
        <w:t>的</w:t>
      </w:r>
      <w:r>
        <w:rPr>
          <w:rFonts w:ascii="Arial" w:hAnsi="Arial" w:eastAsia="宋体" w:cs="Arial"/>
          <w:sz w:val="21"/>
          <w:szCs w:val="21"/>
        </w:rPr>
        <w:t>手术激光</w:t>
      </w:r>
      <w:r>
        <w:rPr>
          <w:rFonts w:ascii="Arial" w:hAnsi="Arial" w:eastAsia="宋体" w:cs="Arial"/>
          <w:sz w:val="21"/>
          <w:szCs w:val="21"/>
          <w:lang w:eastAsia="zh-CN"/>
        </w:rPr>
        <w:t>器</w:t>
      </w:r>
    </w:p>
    <w:p w14:paraId="35DFE717">
      <w:pPr>
        <w:snapToGrid w:val="0"/>
        <w:spacing w:before="10" w:line="300" w:lineRule="auto"/>
        <w:jc w:val="both"/>
        <w:rPr>
          <w:rFonts w:ascii="Arial" w:hAnsi="Arial" w:eastAsia="宋体" w:cs="Arial"/>
          <w:sz w:val="21"/>
          <w:szCs w:val="21"/>
        </w:rPr>
      </w:pPr>
    </w:p>
    <w:tbl>
      <w:tblPr>
        <w:tblStyle w:val="9"/>
        <w:tblW w:w="0" w:type="auto"/>
        <w:tblInd w:w="119" w:type="dxa"/>
        <w:tblLayout w:type="fixed"/>
        <w:tblCellMar>
          <w:top w:w="0" w:type="dxa"/>
          <w:left w:w="0" w:type="dxa"/>
          <w:bottom w:w="0" w:type="dxa"/>
          <w:right w:w="0" w:type="dxa"/>
        </w:tblCellMar>
      </w:tblPr>
      <w:tblGrid>
        <w:gridCol w:w="1320"/>
        <w:gridCol w:w="2760"/>
        <w:gridCol w:w="5280"/>
      </w:tblGrid>
      <w:tr w14:paraId="6F4FCDF5">
        <w:tblPrEx>
          <w:tblCellMar>
            <w:top w:w="0" w:type="dxa"/>
            <w:left w:w="0" w:type="dxa"/>
            <w:bottom w:w="0" w:type="dxa"/>
            <w:right w:w="0" w:type="dxa"/>
          </w:tblCellMar>
        </w:tblPrEx>
        <w:tc>
          <w:tcPr>
            <w:tcW w:w="1320" w:type="dxa"/>
            <w:tcBorders>
              <w:top w:val="single" w:color="000000" w:sz="16" w:space="0"/>
              <w:left w:val="single" w:color="000000" w:sz="16" w:space="0"/>
              <w:bottom w:val="single" w:color="000000" w:sz="16" w:space="0"/>
              <w:right w:val="single" w:color="000000" w:sz="6" w:space="0"/>
            </w:tcBorders>
            <w:vAlign w:val="center"/>
          </w:tcPr>
          <w:p w14:paraId="185FC812">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21</w:t>
            </w:r>
            <w:r>
              <w:rPr>
                <w:rFonts w:ascii="Arial" w:hAnsi="Arial" w:eastAsia="宋体" w:cs="Arial"/>
                <w:spacing w:val="-4"/>
                <w:sz w:val="21"/>
                <w:szCs w:val="21"/>
              </w:rPr>
              <w:t xml:space="preserve"> </w:t>
            </w:r>
            <w:r>
              <w:rPr>
                <w:rFonts w:ascii="Arial" w:hAnsi="Arial" w:eastAsia="宋体" w:cs="Arial"/>
                <w:sz w:val="21"/>
                <w:szCs w:val="21"/>
              </w:rPr>
              <w:t>CFR</w:t>
            </w:r>
          </w:p>
        </w:tc>
        <w:tc>
          <w:tcPr>
            <w:tcW w:w="2760" w:type="dxa"/>
            <w:tcBorders>
              <w:top w:val="single" w:color="000000" w:sz="16" w:space="0"/>
              <w:left w:val="single" w:color="000000" w:sz="6" w:space="0"/>
              <w:bottom w:val="single" w:color="000000" w:sz="16" w:space="0"/>
              <w:right w:val="single" w:color="000000" w:sz="6" w:space="0"/>
            </w:tcBorders>
            <w:vAlign w:val="center"/>
          </w:tcPr>
          <w:p w14:paraId="64C086A5">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手术</w:t>
            </w:r>
            <w:r>
              <w:rPr>
                <w:rFonts w:ascii="Arial" w:hAnsi="Arial" w:eastAsia="宋体" w:cs="Arial"/>
                <w:sz w:val="21"/>
                <w:szCs w:val="21"/>
                <w:lang w:eastAsia="zh-CN"/>
              </w:rPr>
              <w:t>器械</w:t>
            </w:r>
          </w:p>
        </w:tc>
        <w:tc>
          <w:tcPr>
            <w:tcW w:w="5280" w:type="dxa"/>
            <w:tcBorders>
              <w:top w:val="single" w:color="000000" w:sz="16" w:space="0"/>
              <w:left w:val="single" w:color="000000" w:sz="6" w:space="0"/>
              <w:bottom w:val="single" w:color="000000" w:sz="16" w:space="0"/>
              <w:right w:val="single" w:color="000000" w:sz="16" w:space="0"/>
            </w:tcBorders>
            <w:vAlign w:val="center"/>
          </w:tcPr>
          <w:p w14:paraId="48220E8C">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预期用途（除特别注明外，均为第II类）</w:t>
            </w:r>
          </w:p>
        </w:tc>
      </w:tr>
      <w:tr w14:paraId="4237150E">
        <w:tblPrEx>
          <w:tblCellMar>
            <w:top w:w="0" w:type="dxa"/>
            <w:left w:w="0" w:type="dxa"/>
            <w:bottom w:w="0" w:type="dxa"/>
            <w:right w:w="0" w:type="dxa"/>
          </w:tblCellMar>
        </w:tblPrEx>
        <w:tc>
          <w:tcPr>
            <w:tcW w:w="1320" w:type="dxa"/>
            <w:tcBorders>
              <w:top w:val="single" w:color="000000" w:sz="16" w:space="0"/>
              <w:left w:val="single" w:color="000000" w:sz="16" w:space="0"/>
              <w:bottom w:val="single" w:color="000000" w:sz="6" w:space="0"/>
              <w:right w:val="single" w:color="000000" w:sz="6" w:space="0"/>
            </w:tcBorders>
            <w:vAlign w:val="center"/>
          </w:tcPr>
          <w:p w14:paraId="0ABE2E40">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874.4490</w:t>
            </w:r>
          </w:p>
        </w:tc>
        <w:tc>
          <w:tcPr>
            <w:tcW w:w="2760" w:type="dxa"/>
            <w:tcBorders>
              <w:top w:val="single" w:color="000000" w:sz="16" w:space="0"/>
              <w:left w:val="single" w:color="000000" w:sz="6" w:space="0"/>
              <w:bottom w:val="single" w:color="000000" w:sz="6" w:space="0"/>
              <w:right w:val="single" w:color="000000" w:sz="6" w:space="0"/>
            </w:tcBorders>
            <w:vAlign w:val="center"/>
          </w:tcPr>
          <w:p w14:paraId="2EA8411F">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用于耳鼻喉的氩激光器</w:t>
            </w:r>
          </w:p>
        </w:tc>
        <w:tc>
          <w:tcPr>
            <w:tcW w:w="5280" w:type="dxa"/>
            <w:tcBorders>
              <w:top w:val="single" w:color="000000" w:sz="16" w:space="0"/>
              <w:left w:val="single" w:color="000000" w:sz="6" w:space="0"/>
              <w:bottom w:val="single" w:color="000000" w:sz="6" w:space="0"/>
              <w:right w:val="single" w:color="000000" w:sz="16" w:space="0"/>
            </w:tcBorders>
            <w:vAlign w:val="center"/>
          </w:tcPr>
          <w:p w14:paraId="3E5FD886">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于耳鼻喉的氩激光器械是一种电光器械，其可产生相干电磁辐射，主要波长峰值为488和514纳米。在耳科中，该器械用于凝固和蒸发软组织和纤维组织，包括骨组织。在鼻科和喉科中，该器械用于凝固和蒸发软组织和纤维组织，但不包括骨组织。</w:t>
            </w:r>
          </w:p>
        </w:tc>
      </w:tr>
      <w:tr w14:paraId="36DFB8F7">
        <w:tblPrEx>
          <w:tblCellMar>
            <w:top w:w="0" w:type="dxa"/>
            <w:left w:w="0" w:type="dxa"/>
            <w:bottom w:w="0" w:type="dxa"/>
            <w:right w:w="0" w:type="dxa"/>
          </w:tblCellMar>
        </w:tblPrEx>
        <w:tc>
          <w:tcPr>
            <w:tcW w:w="1320" w:type="dxa"/>
            <w:tcBorders>
              <w:top w:val="single" w:color="000000" w:sz="6" w:space="0"/>
              <w:left w:val="single" w:color="000000" w:sz="16" w:space="0"/>
              <w:bottom w:val="single" w:color="000000" w:sz="6" w:space="0"/>
              <w:right w:val="single" w:color="000000" w:sz="6" w:space="0"/>
            </w:tcBorders>
            <w:vAlign w:val="center"/>
          </w:tcPr>
          <w:p w14:paraId="10B2D08F">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874.4500</w:t>
            </w:r>
          </w:p>
        </w:tc>
        <w:tc>
          <w:tcPr>
            <w:tcW w:w="2760" w:type="dxa"/>
            <w:tcBorders>
              <w:top w:val="single" w:color="000000" w:sz="6" w:space="0"/>
              <w:left w:val="single" w:color="000000" w:sz="6" w:space="0"/>
              <w:bottom w:val="single" w:color="000000" w:sz="6" w:space="0"/>
              <w:right w:val="single" w:color="000000" w:sz="6" w:space="0"/>
            </w:tcBorders>
            <w:vAlign w:val="center"/>
          </w:tcPr>
          <w:p w14:paraId="4A030ADD">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耳鼻喉显微外科二氧化碳激光器</w:t>
            </w:r>
          </w:p>
        </w:tc>
        <w:tc>
          <w:tcPr>
            <w:tcW w:w="5280" w:type="dxa"/>
            <w:tcBorders>
              <w:top w:val="single" w:color="000000" w:sz="6" w:space="0"/>
              <w:left w:val="single" w:color="000000" w:sz="6" w:space="0"/>
              <w:bottom w:val="single" w:color="000000" w:sz="6" w:space="0"/>
              <w:right w:val="single" w:color="000000" w:sz="16" w:space="0"/>
            </w:tcBorders>
            <w:vAlign w:val="center"/>
          </w:tcPr>
          <w:p w14:paraId="57928D0D">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一种用于手术切除耳鼻喉区域组织的器械。例如，该器械可用于切除声带和相邻区域的病变和肿瘤的显微外科手术。</w:t>
            </w:r>
          </w:p>
        </w:tc>
      </w:tr>
      <w:tr w14:paraId="4C520262">
        <w:tblPrEx>
          <w:tblCellMar>
            <w:top w:w="0" w:type="dxa"/>
            <w:left w:w="0" w:type="dxa"/>
            <w:bottom w:w="0" w:type="dxa"/>
            <w:right w:w="0" w:type="dxa"/>
          </w:tblCellMar>
        </w:tblPrEx>
        <w:tc>
          <w:tcPr>
            <w:tcW w:w="1320" w:type="dxa"/>
            <w:tcBorders>
              <w:top w:val="single" w:color="000000" w:sz="6" w:space="0"/>
              <w:left w:val="single" w:color="000000" w:sz="16" w:space="0"/>
              <w:bottom w:val="single" w:color="000000" w:sz="6" w:space="0"/>
              <w:right w:val="single" w:color="000000" w:sz="6" w:space="0"/>
            </w:tcBorders>
            <w:vAlign w:val="center"/>
          </w:tcPr>
          <w:p w14:paraId="6EFC85FB">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878.4810</w:t>
            </w:r>
          </w:p>
        </w:tc>
        <w:tc>
          <w:tcPr>
            <w:tcW w:w="2760" w:type="dxa"/>
            <w:tcBorders>
              <w:top w:val="single" w:color="000000" w:sz="6" w:space="0"/>
              <w:left w:val="single" w:color="000000" w:sz="6" w:space="0"/>
              <w:bottom w:val="single" w:color="000000" w:sz="6" w:space="0"/>
              <w:right w:val="single" w:color="000000" w:sz="6" w:space="0"/>
            </w:tcBorders>
            <w:vAlign w:val="center"/>
          </w:tcPr>
          <w:p w14:paraId="41A16443">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用于</w:t>
            </w:r>
            <w:bookmarkStart w:id="0" w:name="OLE_LINK3"/>
            <w:r>
              <w:rPr>
                <w:rFonts w:ascii="Arial" w:hAnsi="Arial" w:eastAsia="宋体" w:cs="Arial"/>
                <w:sz w:val="21"/>
                <w:szCs w:val="21"/>
                <w:lang w:eastAsia="zh-CN"/>
              </w:rPr>
              <w:t>普外</w:t>
            </w:r>
            <w:bookmarkEnd w:id="0"/>
            <w:r>
              <w:rPr>
                <w:rFonts w:ascii="Arial" w:hAnsi="Arial" w:eastAsia="宋体" w:cs="Arial"/>
                <w:sz w:val="21"/>
                <w:szCs w:val="21"/>
                <w:lang w:eastAsia="zh-CN"/>
              </w:rPr>
              <w:t>和整形手术以及皮肤科的激光手术工具</w:t>
            </w:r>
          </w:p>
        </w:tc>
        <w:tc>
          <w:tcPr>
            <w:tcW w:w="5280" w:type="dxa"/>
            <w:tcBorders>
              <w:top w:val="single" w:color="000000" w:sz="6" w:space="0"/>
              <w:left w:val="single" w:color="000000" w:sz="6" w:space="0"/>
              <w:bottom w:val="single" w:color="000000" w:sz="6" w:space="0"/>
              <w:right w:val="single" w:color="000000" w:sz="16" w:space="0"/>
            </w:tcBorders>
            <w:vAlign w:val="center"/>
          </w:tcPr>
          <w:p w14:paraId="4604EA64">
            <w:pPr>
              <w:pStyle w:val="11"/>
              <w:tabs>
                <w:tab w:val="left" w:pos="469"/>
              </w:tabs>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（1）用于普外和皮肤科的二氧化碳激光器是用于通过二氧化碳发射的光能来切割、破坏或去除组织的激光器械。</w:t>
            </w:r>
          </w:p>
          <w:p w14:paraId="23CE1BFA">
            <w:pPr>
              <w:pStyle w:val="11"/>
              <w:tabs>
                <w:tab w:val="left" w:pos="469"/>
              </w:tabs>
              <w:snapToGrid w:val="0"/>
              <w:spacing w:before="48" w:beforeLines="20" w:after="48" w:afterLines="20" w:line="280" w:lineRule="exact"/>
              <w:ind w:left="44" w:leftChars="20" w:right="44" w:rightChars="20"/>
              <w:jc w:val="both"/>
              <w:rPr>
                <w:rFonts w:ascii="Arial" w:hAnsi="Arial" w:eastAsia="宋体" w:cs="Arial"/>
                <w:sz w:val="21"/>
                <w:szCs w:val="21"/>
                <w:lang w:eastAsia="zh-CN"/>
              </w:rPr>
            </w:pPr>
          </w:p>
          <w:p w14:paraId="328A59CB">
            <w:pPr>
              <w:pStyle w:val="11"/>
              <w:tabs>
                <w:tab w:val="left" w:pos="469"/>
              </w:tabs>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（2）用于皮肤病学的氩激光器是用于通过由氩发射的光能来破坏或凝固组织的激光器械。</w:t>
            </w:r>
          </w:p>
        </w:tc>
      </w:tr>
      <w:tr w14:paraId="443282B4">
        <w:tblPrEx>
          <w:tblCellMar>
            <w:top w:w="0" w:type="dxa"/>
            <w:left w:w="0" w:type="dxa"/>
            <w:bottom w:w="0" w:type="dxa"/>
            <w:right w:w="0" w:type="dxa"/>
          </w:tblCellMar>
        </w:tblPrEx>
        <w:tc>
          <w:tcPr>
            <w:tcW w:w="1320" w:type="dxa"/>
            <w:tcBorders>
              <w:top w:val="single" w:color="000000" w:sz="6" w:space="0"/>
              <w:left w:val="single" w:color="000000" w:sz="16" w:space="0"/>
              <w:bottom w:val="single" w:color="000000" w:sz="6" w:space="0"/>
              <w:right w:val="single" w:color="000000" w:sz="6" w:space="0"/>
            </w:tcBorders>
            <w:vAlign w:val="center"/>
          </w:tcPr>
          <w:p w14:paraId="5EBDEF7F">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884.4550</w:t>
            </w:r>
          </w:p>
        </w:tc>
        <w:tc>
          <w:tcPr>
            <w:tcW w:w="2760" w:type="dxa"/>
            <w:tcBorders>
              <w:top w:val="single" w:color="000000" w:sz="6" w:space="0"/>
              <w:left w:val="single" w:color="000000" w:sz="6" w:space="0"/>
              <w:bottom w:val="single" w:color="000000" w:sz="6" w:space="0"/>
              <w:right w:val="single" w:color="000000" w:sz="6" w:space="0"/>
            </w:tcBorders>
            <w:vAlign w:val="center"/>
          </w:tcPr>
          <w:p w14:paraId="311B2676">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妇科手术激光器</w:t>
            </w:r>
          </w:p>
        </w:tc>
        <w:tc>
          <w:tcPr>
            <w:tcW w:w="5280" w:type="dxa"/>
            <w:tcBorders>
              <w:top w:val="single" w:color="000000" w:sz="6" w:space="0"/>
              <w:left w:val="single" w:color="000000" w:sz="6" w:space="0"/>
              <w:bottom w:val="single" w:color="000000" w:sz="6" w:space="0"/>
              <w:right w:val="single" w:color="000000" w:sz="16" w:space="0"/>
            </w:tcBorders>
            <w:vAlign w:val="center"/>
          </w:tcPr>
          <w:p w14:paraId="282E7B06">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连续波二氧化碳激光设计用于通过辐射光能热破坏组织或去除组织。该器械仅与阴道镜一起使用,属于妇科手术工具。</w:t>
            </w:r>
          </w:p>
        </w:tc>
      </w:tr>
      <w:tr w14:paraId="4C96DE14">
        <w:tblPrEx>
          <w:tblCellMar>
            <w:top w:w="0" w:type="dxa"/>
            <w:left w:w="0" w:type="dxa"/>
            <w:bottom w:w="0" w:type="dxa"/>
            <w:right w:w="0" w:type="dxa"/>
          </w:tblCellMar>
        </w:tblPrEx>
        <w:tc>
          <w:tcPr>
            <w:tcW w:w="1320" w:type="dxa"/>
            <w:tcBorders>
              <w:top w:val="single" w:color="000000" w:sz="6" w:space="0"/>
              <w:left w:val="single" w:color="000000" w:sz="16" w:space="0"/>
              <w:bottom w:val="single" w:color="000000" w:sz="6" w:space="0"/>
              <w:right w:val="single" w:color="000000" w:sz="6" w:space="0"/>
            </w:tcBorders>
            <w:vAlign w:val="center"/>
          </w:tcPr>
          <w:p w14:paraId="2FE1A455">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886.4390</w:t>
            </w:r>
          </w:p>
        </w:tc>
        <w:tc>
          <w:tcPr>
            <w:tcW w:w="2760" w:type="dxa"/>
            <w:tcBorders>
              <w:top w:val="single" w:color="000000" w:sz="6" w:space="0"/>
              <w:left w:val="single" w:color="000000" w:sz="6" w:space="0"/>
              <w:bottom w:val="single" w:color="000000" w:sz="6" w:space="0"/>
              <w:right w:val="single" w:color="000000" w:sz="6" w:space="0"/>
            </w:tcBorders>
            <w:vAlign w:val="center"/>
          </w:tcPr>
          <w:p w14:paraId="18B10346">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眼科激光器</w:t>
            </w:r>
          </w:p>
        </w:tc>
        <w:tc>
          <w:tcPr>
            <w:tcW w:w="5280" w:type="dxa"/>
            <w:tcBorders>
              <w:top w:val="single" w:color="000000" w:sz="6" w:space="0"/>
              <w:left w:val="single" w:color="000000" w:sz="6" w:space="0"/>
              <w:bottom w:val="single" w:color="000000" w:sz="6" w:space="0"/>
              <w:right w:val="single" w:color="000000" w:sz="16" w:space="0"/>
            </w:tcBorders>
            <w:vAlign w:val="center"/>
          </w:tcPr>
          <w:p w14:paraId="3D16105A">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一种交流功率器械，旨在通过激光束凝固或切割眼睛、眼眶或周围皮肤的组织。</w:t>
            </w:r>
          </w:p>
        </w:tc>
      </w:tr>
      <w:tr w14:paraId="493508D5">
        <w:tblPrEx>
          <w:tblCellMar>
            <w:top w:w="0" w:type="dxa"/>
            <w:left w:w="0" w:type="dxa"/>
            <w:bottom w:w="0" w:type="dxa"/>
            <w:right w:w="0" w:type="dxa"/>
          </w:tblCellMar>
        </w:tblPrEx>
        <w:tc>
          <w:tcPr>
            <w:tcW w:w="1320" w:type="dxa"/>
            <w:tcBorders>
              <w:top w:val="single" w:color="000000" w:sz="6" w:space="0"/>
              <w:left w:val="single" w:color="000000" w:sz="16" w:space="0"/>
              <w:bottom w:val="single" w:color="000000" w:sz="16" w:space="0"/>
              <w:right w:val="single" w:color="000000" w:sz="6" w:space="0"/>
            </w:tcBorders>
            <w:vAlign w:val="center"/>
          </w:tcPr>
          <w:p w14:paraId="5A594768">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886.4392</w:t>
            </w:r>
          </w:p>
        </w:tc>
        <w:tc>
          <w:tcPr>
            <w:tcW w:w="2760" w:type="dxa"/>
            <w:tcBorders>
              <w:top w:val="single" w:color="000000" w:sz="6" w:space="0"/>
              <w:left w:val="single" w:color="000000" w:sz="6" w:space="0"/>
              <w:bottom w:val="single" w:color="000000" w:sz="16" w:space="0"/>
              <w:right w:val="single" w:color="000000" w:sz="6" w:space="0"/>
            </w:tcBorders>
            <w:vAlign w:val="center"/>
          </w:tcPr>
          <w:p w14:paraId="7C6E1045">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用于后囊膜切开术的Nd：YAG激光器</w:t>
            </w:r>
          </w:p>
        </w:tc>
        <w:tc>
          <w:tcPr>
            <w:tcW w:w="5280" w:type="dxa"/>
            <w:tcBorders>
              <w:top w:val="single" w:color="000000" w:sz="6" w:space="0"/>
              <w:left w:val="single" w:color="000000" w:sz="6" w:space="0"/>
              <w:bottom w:val="single" w:color="000000" w:sz="16" w:space="0"/>
              <w:right w:val="single" w:color="000000" w:sz="16" w:space="0"/>
            </w:tcBorders>
            <w:vAlign w:val="center"/>
          </w:tcPr>
          <w:p w14:paraId="10DBD390">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用于后囊膜切开术的锁模或Q开关固态Nd：YAG激光器，其产生可短脉冲、低能量、高功率的相干光辐射。激光输出与聚焦光学元件组合时，靶标处的高辐照度会通过光学击穿导致组织破裂。</w:t>
            </w:r>
          </w:p>
        </w:tc>
      </w:tr>
    </w:tbl>
    <w:p w14:paraId="54970FB4">
      <w:pPr>
        <w:snapToGrid w:val="0"/>
        <w:spacing w:before="6" w:line="300" w:lineRule="auto"/>
        <w:jc w:val="both"/>
        <w:rPr>
          <w:rFonts w:ascii="Arial" w:hAnsi="Arial" w:eastAsia="宋体" w:cs="Arial"/>
          <w:sz w:val="21"/>
          <w:szCs w:val="21"/>
          <w:lang w:eastAsia="zh-CN"/>
        </w:rPr>
      </w:pPr>
    </w:p>
    <w:p w14:paraId="6FB9FF7D">
      <w:pPr>
        <w:rPr>
          <w:rFonts w:ascii="Arial" w:hAnsi="Arial" w:eastAsia="宋体" w:cs="Arial"/>
          <w:sz w:val="21"/>
          <w:szCs w:val="21"/>
          <w:lang w:eastAsia="zh-CN"/>
        </w:rPr>
      </w:pPr>
    </w:p>
    <w:p w14:paraId="1F2A9F47">
      <w:pPr>
        <w:snapToGrid w:val="0"/>
        <w:spacing w:before="6" w:line="300" w:lineRule="auto"/>
        <w:jc w:val="both"/>
        <w:rPr>
          <w:rFonts w:ascii="Arial" w:hAnsi="Arial" w:eastAsia="宋体" w:cs="Arial"/>
          <w:sz w:val="21"/>
          <w:szCs w:val="21"/>
          <w:lang w:eastAsia="zh-CN"/>
        </w:rPr>
      </w:pPr>
    </w:p>
    <w:p w14:paraId="03CA4C55">
      <w:pPr>
        <w:snapToGrid w:val="0"/>
        <w:spacing w:before="6" w:line="300" w:lineRule="auto"/>
        <w:jc w:val="both"/>
        <w:rPr>
          <w:rFonts w:ascii="Arial" w:hAnsi="Arial" w:eastAsia="宋体" w:cs="Arial"/>
          <w:sz w:val="21"/>
          <w:szCs w:val="21"/>
          <w:lang w:eastAsia="zh-CN"/>
        </w:rPr>
      </w:pPr>
    </w:p>
    <w:p w14:paraId="6C7F92DD">
      <w:pPr>
        <w:rPr>
          <w:rFonts w:ascii="Arial" w:hAnsi="Arial" w:eastAsia="宋体" w:cs="Arial"/>
          <w:sz w:val="21"/>
          <w:szCs w:val="21"/>
          <w:lang w:eastAsia="zh-CN"/>
        </w:rPr>
      </w:pPr>
      <w:r>
        <w:rPr>
          <w:rFonts w:ascii="Arial" w:hAnsi="Arial" w:eastAsia="宋体" w:cs="Arial"/>
          <w:sz w:val="21"/>
          <w:szCs w:val="21"/>
          <w:lang w:eastAsia="zh-CN"/>
        </w:rPr>
        <w:br w:type="page"/>
      </w:r>
    </w:p>
    <w:p w14:paraId="3422E3F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由于医学激光器技术的快速增长和标签的差异，特别是适应症，FDA在1990年制定了一份指南性文件。FDA就格式和内容征求了激光器制造商和美国医学与外科手术激光器学会和其他专业组织的意见。</w:t>
      </w:r>
    </w:p>
    <w:p w14:paraId="754E2485">
      <w:pPr>
        <w:snapToGrid w:val="0"/>
        <w:spacing w:before="8" w:line="300" w:lineRule="auto"/>
        <w:jc w:val="both"/>
        <w:rPr>
          <w:rFonts w:ascii="Arial" w:hAnsi="Arial" w:eastAsia="宋体" w:cs="Arial"/>
          <w:sz w:val="21"/>
          <w:szCs w:val="21"/>
          <w:lang w:eastAsia="zh-CN"/>
        </w:rPr>
      </w:pPr>
    </w:p>
    <w:p w14:paraId="7DEF0AAC">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1990年4月的文件，《</w:t>
      </w:r>
      <w:r>
        <w:rPr>
          <w:rFonts w:ascii="Arial" w:hAnsi="Arial" w:eastAsia="宋体" w:cs="Arial"/>
          <w:b/>
          <w:sz w:val="21"/>
          <w:szCs w:val="21"/>
          <w:lang w:eastAsia="zh-CN"/>
        </w:rPr>
        <w:t>医疗激光器上市前通告【510（k）】内容和组织的指南</w:t>
      </w:r>
      <w:r>
        <w:rPr>
          <w:rFonts w:ascii="Arial" w:hAnsi="Arial" w:eastAsia="宋体" w:cs="Arial"/>
          <w:sz w:val="21"/>
          <w:szCs w:val="21"/>
          <w:lang w:eastAsia="zh-CN"/>
        </w:rPr>
        <w:t>》主要针对医疗专业应用领域和一般功能能力定义了医疗激光器的适应症。制造商要求，应将具体的临床应用实例列入</w:t>
      </w:r>
      <w:r>
        <w:rPr>
          <w:rFonts w:ascii="Arial" w:hAnsi="Arial" w:eastAsia="宋体" w:cs="Arial"/>
          <w:b/>
          <w:sz w:val="21"/>
          <w:szCs w:val="21"/>
          <w:lang w:eastAsia="zh-CN"/>
        </w:rPr>
        <w:t>指南</w:t>
      </w:r>
      <w:r>
        <w:rPr>
          <w:rFonts w:ascii="Arial" w:hAnsi="Arial" w:eastAsia="宋体" w:cs="Arial"/>
          <w:sz w:val="21"/>
          <w:szCs w:val="21"/>
          <w:lang w:eastAsia="zh-CN"/>
        </w:rPr>
        <w:t>；因此，在</w:t>
      </w:r>
      <w:r>
        <w:rPr>
          <w:rFonts w:ascii="宋体" w:hAnsi="宋体" w:eastAsia="宋体" w:cs="Arial"/>
          <w:sz w:val="21"/>
          <w:szCs w:val="21"/>
          <w:lang w:eastAsia="zh-CN"/>
        </w:rPr>
        <w:t>“</w:t>
      </w:r>
      <w:r>
        <w:rPr>
          <w:rFonts w:ascii="Arial" w:hAnsi="Arial" w:eastAsia="宋体" w:cs="Arial"/>
          <w:sz w:val="21"/>
          <w:szCs w:val="21"/>
          <w:lang w:eastAsia="zh-CN"/>
        </w:rPr>
        <w:t>适应症</w:t>
      </w:r>
      <w:r>
        <w:rPr>
          <w:rFonts w:ascii="宋体" w:hAnsi="宋体" w:eastAsia="宋体" w:cs="Arial"/>
          <w:sz w:val="21"/>
          <w:szCs w:val="21"/>
          <w:lang w:eastAsia="zh-CN"/>
        </w:rPr>
        <w:t>”</w:t>
      </w:r>
      <w:r>
        <w:rPr>
          <w:rFonts w:ascii="Arial" w:hAnsi="Arial" w:eastAsia="宋体" w:cs="Arial"/>
          <w:sz w:val="21"/>
          <w:szCs w:val="21"/>
          <w:lang w:eastAsia="zh-CN"/>
        </w:rPr>
        <w:t>章节添加一个名为</w:t>
      </w:r>
      <w:r>
        <w:rPr>
          <w:rFonts w:ascii="宋体" w:hAnsi="宋体" w:eastAsia="宋体" w:cs="Arial"/>
          <w:sz w:val="21"/>
          <w:szCs w:val="21"/>
          <w:lang w:eastAsia="zh-CN"/>
        </w:rPr>
        <w:t>“</w:t>
      </w:r>
      <w:r>
        <w:rPr>
          <w:rFonts w:ascii="Arial" w:hAnsi="Arial" w:eastAsia="宋体" w:cs="Arial"/>
          <w:sz w:val="21"/>
          <w:szCs w:val="21"/>
          <w:lang w:eastAsia="zh-CN"/>
        </w:rPr>
        <w:t>应用</w:t>
      </w:r>
      <w:r>
        <w:rPr>
          <w:rFonts w:ascii="宋体" w:hAnsi="宋体" w:eastAsia="宋体" w:cs="Arial"/>
          <w:sz w:val="21"/>
          <w:szCs w:val="21"/>
          <w:lang w:eastAsia="zh-CN"/>
        </w:rPr>
        <w:t>”</w:t>
      </w:r>
      <w:r>
        <w:rPr>
          <w:rFonts w:ascii="Arial" w:hAnsi="Arial" w:eastAsia="宋体" w:cs="Arial"/>
          <w:sz w:val="21"/>
          <w:szCs w:val="21"/>
          <w:lang w:eastAsia="zh-CN"/>
        </w:rPr>
        <w:t xml:space="preserve">的小节，其中包括用于说明激光器在医疗专业领域的临床应用的手术程序。还纳入 </w:t>
      </w:r>
      <w:r>
        <w:rPr>
          <w:rFonts w:ascii="宋体" w:hAnsi="宋体" w:eastAsia="宋体" w:cs="Arial"/>
          <w:sz w:val="21"/>
          <w:szCs w:val="21"/>
          <w:lang w:eastAsia="zh-CN"/>
        </w:rPr>
        <w:t>“</w:t>
      </w:r>
      <w:r>
        <w:rPr>
          <w:rFonts w:ascii="Arial" w:hAnsi="Arial" w:eastAsia="宋体" w:cs="Arial"/>
          <w:sz w:val="21"/>
          <w:szCs w:val="21"/>
          <w:lang w:eastAsia="zh-CN"/>
        </w:rPr>
        <w:t>参考书目</w:t>
      </w:r>
      <w:r>
        <w:rPr>
          <w:rFonts w:ascii="宋体" w:hAnsi="宋体" w:eastAsia="宋体" w:cs="Arial"/>
          <w:sz w:val="21"/>
          <w:szCs w:val="21"/>
          <w:lang w:eastAsia="zh-CN"/>
        </w:rPr>
        <w:t>”</w:t>
      </w:r>
      <w:r>
        <w:rPr>
          <w:rFonts w:ascii="Arial" w:hAnsi="Arial" w:eastAsia="宋体" w:cs="Arial"/>
          <w:sz w:val="21"/>
          <w:szCs w:val="21"/>
          <w:lang w:eastAsia="zh-CN"/>
        </w:rPr>
        <w:t xml:space="preserve">章节，扩大 </w:t>
      </w:r>
      <w:r>
        <w:rPr>
          <w:rFonts w:ascii="宋体" w:hAnsi="宋体" w:eastAsia="宋体" w:cs="Arial"/>
          <w:sz w:val="21"/>
          <w:szCs w:val="21"/>
          <w:lang w:eastAsia="zh-CN"/>
        </w:rPr>
        <w:t>“</w:t>
      </w:r>
      <w:r>
        <w:rPr>
          <w:rFonts w:ascii="Arial" w:hAnsi="Arial" w:eastAsia="宋体" w:cs="Arial"/>
          <w:sz w:val="21"/>
          <w:szCs w:val="21"/>
          <w:lang w:eastAsia="zh-CN"/>
        </w:rPr>
        <w:t>应用</w:t>
      </w:r>
      <w:r>
        <w:rPr>
          <w:rFonts w:ascii="宋体" w:hAnsi="宋体" w:eastAsia="宋体" w:cs="Arial"/>
          <w:sz w:val="21"/>
          <w:szCs w:val="21"/>
          <w:lang w:eastAsia="zh-CN"/>
        </w:rPr>
        <w:t>”</w:t>
      </w:r>
      <w:r>
        <w:rPr>
          <w:rFonts w:ascii="Arial" w:hAnsi="Arial" w:eastAsia="宋体" w:cs="Arial"/>
          <w:sz w:val="21"/>
          <w:szCs w:val="21"/>
          <w:lang w:eastAsia="zh-CN"/>
        </w:rPr>
        <w:t>章节的范围。1990年</w:t>
      </w:r>
      <w:r>
        <w:rPr>
          <w:rFonts w:ascii="Arial" w:hAnsi="Arial" w:eastAsia="宋体" w:cs="Arial"/>
          <w:b/>
          <w:sz w:val="21"/>
          <w:szCs w:val="21"/>
          <w:lang w:eastAsia="zh-CN"/>
        </w:rPr>
        <w:t>指南</w:t>
      </w:r>
      <w:r>
        <w:rPr>
          <w:rFonts w:ascii="Arial" w:hAnsi="Arial" w:eastAsia="宋体" w:cs="Arial"/>
          <w:sz w:val="21"/>
          <w:szCs w:val="21"/>
          <w:lang w:eastAsia="zh-CN"/>
        </w:rPr>
        <w:t>规定，治疗疾病病症可能是III类预期用途，并需要上市前批准。</w:t>
      </w:r>
    </w:p>
    <w:p w14:paraId="52B0D931">
      <w:pPr>
        <w:snapToGrid w:val="0"/>
        <w:spacing w:line="300" w:lineRule="auto"/>
        <w:jc w:val="both"/>
        <w:rPr>
          <w:rFonts w:ascii="Arial" w:hAnsi="Arial" w:eastAsia="宋体" w:cs="Arial"/>
          <w:sz w:val="21"/>
          <w:szCs w:val="21"/>
          <w:lang w:eastAsia="zh-CN"/>
        </w:rPr>
      </w:pPr>
    </w:p>
    <w:p w14:paraId="21C68496">
      <w:pPr>
        <w:snapToGrid w:val="0"/>
        <w:spacing w:before="11" w:line="300" w:lineRule="auto"/>
        <w:jc w:val="both"/>
        <w:rPr>
          <w:rFonts w:ascii="Arial" w:hAnsi="Arial" w:eastAsia="宋体" w:cs="Arial"/>
          <w:sz w:val="21"/>
          <w:szCs w:val="21"/>
          <w:lang w:eastAsia="zh-CN"/>
        </w:rPr>
      </w:pPr>
    </w:p>
    <w:p w14:paraId="0BD39D4F">
      <w:pPr>
        <w:pStyle w:val="10"/>
        <w:numPr>
          <w:ilvl w:val="0"/>
          <w:numId w:val="2"/>
        </w:numPr>
        <w:tabs>
          <w:tab w:val="left" w:pos="546"/>
        </w:tabs>
        <w:snapToGrid w:val="0"/>
        <w:spacing w:line="300" w:lineRule="auto"/>
        <w:ind w:left="0" w:firstLine="0"/>
        <w:jc w:val="both"/>
        <w:rPr>
          <w:rFonts w:ascii="Arial" w:hAnsi="Arial" w:eastAsia="宋体" w:cs="Arial"/>
          <w:b/>
          <w:sz w:val="21"/>
          <w:szCs w:val="21"/>
          <w:lang w:eastAsia="zh-CN"/>
        </w:rPr>
      </w:pPr>
      <w:r>
        <w:rPr>
          <w:rFonts w:ascii="Arial" w:hAnsi="Arial" w:eastAsia="宋体" w:cs="Arial"/>
          <w:b/>
          <w:sz w:val="21"/>
          <w:szCs w:val="21"/>
          <w:lang w:eastAsia="zh-CN"/>
        </w:rPr>
        <w:t>修订1990年指南的目标</w:t>
      </w:r>
    </w:p>
    <w:p w14:paraId="0A1FC48D">
      <w:pPr>
        <w:snapToGrid w:val="0"/>
        <w:spacing w:before="8" w:line="300" w:lineRule="auto"/>
        <w:jc w:val="both"/>
        <w:rPr>
          <w:rFonts w:ascii="Arial" w:hAnsi="Arial" w:eastAsia="宋体" w:cs="Arial"/>
          <w:b/>
          <w:bCs/>
          <w:sz w:val="21"/>
          <w:szCs w:val="21"/>
        </w:rPr>
      </w:pPr>
    </w:p>
    <w:p w14:paraId="0B5AE6ED">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1990年</w:t>
      </w:r>
      <w:r>
        <w:rPr>
          <w:rFonts w:ascii="Arial" w:hAnsi="Arial" w:eastAsia="宋体" w:cs="Arial"/>
          <w:b/>
          <w:sz w:val="21"/>
          <w:szCs w:val="21"/>
          <w:lang w:eastAsia="zh-CN"/>
        </w:rPr>
        <w:t>指南</w:t>
      </w:r>
      <w:r>
        <w:rPr>
          <w:rFonts w:ascii="Arial" w:hAnsi="Arial" w:eastAsia="宋体" w:cs="Arial"/>
          <w:sz w:val="21"/>
          <w:szCs w:val="21"/>
          <w:lang w:eastAsia="zh-CN"/>
        </w:rPr>
        <w:t>是提交更好的510（k）申请和产品评价一致性的重要一步。但是，以下几个方面存在问题：</w:t>
      </w:r>
    </w:p>
    <w:p w14:paraId="2BC880B9">
      <w:pPr>
        <w:snapToGrid w:val="0"/>
        <w:spacing w:before="6" w:line="300" w:lineRule="auto"/>
        <w:jc w:val="both"/>
        <w:rPr>
          <w:rFonts w:ascii="Arial" w:hAnsi="Arial" w:eastAsia="宋体" w:cs="Arial"/>
          <w:sz w:val="21"/>
          <w:szCs w:val="21"/>
          <w:lang w:eastAsia="zh-CN"/>
        </w:rPr>
      </w:pPr>
    </w:p>
    <w:p w14:paraId="791235B6">
      <w:pPr>
        <w:pStyle w:val="10"/>
        <w:numPr>
          <w:ilvl w:val="0"/>
          <w:numId w:val="3"/>
        </w:numPr>
        <w:tabs>
          <w:tab w:val="left" w:pos="1541"/>
        </w:tabs>
        <w:snapToGrid w:val="0"/>
        <w:spacing w:line="300" w:lineRule="auto"/>
        <w:ind w:left="516" w:leftChars="12" w:hanging="490"/>
        <w:jc w:val="both"/>
        <w:rPr>
          <w:rFonts w:ascii="Arial" w:hAnsi="Arial" w:eastAsia="宋体" w:cs="Arial"/>
          <w:sz w:val="21"/>
          <w:szCs w:val="21"/>
          <w:lang w:eastAsia="zh-CN"/>
        </w:rPr>
      </w:pPr>
      <w:r>
        <w:rPr>
          <w:rFonts w:ascii="Arial" w:hAnsi="Arial" w:eastAsia="宋体" w:cs="Arial"/>
          <w:sz w:val="21"/>
          <w:szCs w:val="21"/>
          <w:lang w:eastAsia="zh-CN"/>
        </w:rPr>
        <w:t>器械标签中的</w:t>
      </w:r>
      <w:r>
        <w:rPr>
          <w:rFonts w:ascii="宋体" w:hAnsi="宋体" w:eastAsia="宋体" w:cs="Arial"/>
          <w:sz w:val="21"/>
          <w:szCs w:val="21"/>
          <w:lang w:eastAsia="zh-CN"/>
        </w:rPr>
        <w:t>“</w:t>
      </w:r>
      <w:r>
        <w:rPr>
          <w:rFonts w:ascii="Arial" w:hAnsi="Arial" w:eastAsia="宋体" w:cs="Arial"/>
          <w:sz w:val="21"/>
          <w:szCs w:val="21"/>
          <w:lang w:eastAsia="zh-CN"/>
        </w:rPr>
        <w:t>应用</w:t>
      </w:r>
      <w:r>
        <w:rPr>
          <w:rFonts w:ascii="宋体" w:hAnsi="宋体" w:eastAsia="宋体" w:cs="Arial"/>
          <w:sz w:val="21"/>
          <w:szCs w:val="21"/>
          <w:lang w:eastAsia="zh-CN"/>
        </w:rPr>
        <w:t>”</w:t>
      </w:r>
      <w:r>
        <w:rPr>
          <w:rFonts w:ascii="Arial" w:hAnsi="Arial" w:eastAsia="宋体" w:cs="Arial"/>
          <w:sz w:val="21"/>
          <w:szCs w:val="21"/>
          <w:lang w:eastAsia="zh-CN"/>
        </w:rPr>
        <w:t>小节在有关作为临床应用实例提供的具体程序的监管状态存在大量困惑。这些实例虽然旨在用于证明激光器械的功能使用，但是经常作为临床适应症予以推广。由于实例列表已经扩展，但FDA较少参与或未参与，所以确保每个程序都有足够的性能数据变得越来越困难。</w:t>
      </w:r>
    </w:p>
    <w:p w14:paraId="70EA0E1E">
      <w:pPr>
        <w:pStyle w:val="10"/>
        <w:tabs>
          <w:tab w:val="left" w:pos="1541"/>
        </w:tabs>
        <w:snapToGrid w:val="0"/>
        <w:spacing w:line="300" w:lineRule="auto"/>
        <w:ind w:left="1007" w:leftChars="235" w:hanging="490"/>
        <w:jc w:val="both"/>
        <w:rPr>
          <w:rFonts w:ascii="Arial" w:hAnsi="Arial" w:eastAsia="宋体" w:cs="Arial"/>
          <w:sz w:val="21"/>
          <w:szCs w:val="21"/>
          <w:lang w:eastAsia="zh-CN"/>
        </w:rPr>
      </w:pPr>
    </w:p>
    <w:p w14:paraId="550EA3BB">
      <w:pPr>
        <w:pStyle w:val="10"/>
        <w:numPr>
          <w:ilvl w:val="0"/>
          <w:numId w:val="3"/>
        </w:numPr>
        <w:tabs>
          <w:tab w:val="left" w:pos="1541"/>
        </w:tabs>
        <w:snapToGrid w:val="0"/>
        <w:spacing w:line="300" w:lineRule="auto"/>
        <w:ind w:left="516" w:leftChars="12" w:hanging="490"/>
        <w:jc w:val="both"/>
        <w:rPr>
          <w:rFonts w:ascii="Arial" w:hAnsi="Arial" w:eastAsia="宋体" w:cs="Arial"/>
          <w:sz w:val="21"/>
          <w:szCs w:val="21"/>
          <w:lang w:eastAsia="zh-CN"/>
        </w:rPr>
      </w:pPr>
      <w:r>
        <w:rPr>
          <w:rFonts w:ascii="Arial" w:hAnsi="Arial" w:eastAsia="宋体" w:cs="Arial"/>
          <w:sz w:val="21"/>
          <w:szCs w:val="21"/>
          <w:lang w:eastAsia="zh-CN"/>
        </w:rPr>
        <w:t>审查机构对标识程序的控制不足导致了支持许可待定510（k）提交资料所需的信息量（包括临床数据）具有不确定性。</w:t>
      </w:r>
    </w:p>
    <w:p w14:paraId="4A10D0BA">
      <w:pPr>
        <w:snapToGrid w:val="0"/>
        <w:spacing w:before="6" w:line="300" w:lineRule="auto"/>
        <w:jc w:val="both"/>
        <w:rPr>
          <w:rFonts w:ascii="Arial" w:hAnsi="Arial" w:eastAsia="宋体" w:cs="Arial"/>
          <w:sz w:val="21"/>
          <w:szCs w:val="21"/>
          <w:lang w:eastAsia="zh-CN"/>
        </w:rPr>
      </w:pPr>
    </w:p>
    <w:p w14:paraId="6E4173EB">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因此，本修订版一个主要目标是明确说明标识格式，包括适应症，并提供有关用于支持标签声明的数据要求的说明。FDA打算在不加重负担要求且不妨碍医疗器械行业重要部分的进展的情况下实现这一目标。</w:t>
      </w:r>
    </w:p>
    <w:p w14:paraId="7AE6C8AF">
      <w:pPr>
        <w:pStyle w:val="3"/>
        <w:snapToGrid w:val="0"/>
        <w:spacing w:line="300" w:lineRule="auto"/>
        <w:ind w:left="0"/>
        <w:jc w:val="both"/>
        <w:rPr>
          <w:rFonts w:ascii="Arial" w:hAnsi="Arial" w:eastAsia="宋体" w:cs="Arial"/>
          <w:sz w:val="21"/>
          <w:szCs w:val="21"/>
          <w:lang w:eastAsia="zh-CN"/>
        </w:rPr>
      </w:pPr>
    </w:p>
    <w:p w14:paraId="4C35209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为此，应在修订版</w:t>
      </w:r>
      <w:r>
        <w:rPr>
          <w:rFonts w:hint="eastAsia" w:ascii="Arial" w:hAnsi="Arial" w:eastAsia="宋体" w:cs="Arial"/>
          <w:b/>
          <w:sz w:val="21"/>
          <w:szCs w:val="21"/>
          <w:lang w:eastAsia="zh-CN"/>
        </w:rPr>
        <w:t>指南性</w:t>
      </w:r>
      <w:r>
        <w:rPr>
          <w:rFonts w:ascii="Arial" w:hAnsi="Arial" w:eastAsia="宋体" w:cs="Arial"/>
          <w:sz w:val="21"/>
          <w:szCs w:val="21"/>
          <w:lang w:eastAsia="zh-CN"/>
        </w:rPr>
        <w:t>文件中注明以下更改：</w:t>
      </w:r>
    </w:p>
    <w:p w14:paraId="75DE5D0F">
      <w:pPr>
        <w:snapToGrid w:val="0"/>
        <w:spacing w:before="1" w:line="300" w:lineRule="auto"/>
        <w:jc w:val="both"/>
        <w:rPr>
          <w:rFonts w:ascii="Arial" w:hAnsi="Arial" w:eastAsia="宋体" w:cs="Arial"/>
          <w:sz w:val="21"/>
          <w:szCs w:val="21"/>
          <w:lang w:eastAsia="zh-CN"/>
        </w:rPr>
      </w:pPr>
    </w:p>
    <w:p w14:paraId="3FF323FD">
      <w:pPr>
        <w:pStyle w:val="10"/>
        <w:numPr>
          <w:ilvl w:val="1"/>
          <w:numId w:val="2"/>
        </w:numPr>
        <w:tabs>
          <w:tab w:val="left" w:pos="1541"/>
        </w:tabs>
        <w:snapToGrid w:val="0"/>
        <w:spacing w:before="73" w:line="300" w:lineRule="auto"/>
        <w:ind w:left="517" w:hanging="516" w:hangingChars="246"/>
        <w:jc w:val="both"/>
        <w:rPr>
          <w:rFonts w:ascii="Arial" w:hAnsi="Arial" w:eastAsia="宋体" w:cs="Arial"/>
          <w:sz w:val="21"/>
          <w:szCs w:val="21"/>
          <w:lang w:eastAsia="zh-CN"/>
        </w:rPr>
      </w:pPr>
      <w:r>
        <w:rPr>
          <w:rFonts w:hint="eastAsia" w:ascii="Arial" w:hAnsi="Arial" w:eastAsia="宋体" w:cs="Arial"/>
          <w:sz w:val="21"/>
          <w:szCs w:val="21"/>
          <w:u w:val="single"/>
          <w:lang w:eastAsia="zh-CN"/>
        </w:rPr>
        <w:t>纳入定义</w:t>
      </w:r>
      <w:r>
        <w:rPr>
          <w:rFonts w:ascii="Arial" w:hAnsi="Arial" w:eastAsia="宋体" w:cs="Arial"/>
          <w:sz w:val="21"/>
          <w:szCs w:val="21"/>
          <w:lang w:eastAsia="zh-CN"/>
        </w:rPr>
        <w:t>：</w:t>
      </w:r>
      <w:r>
        <w:rPr>
          <w:rFonts w:hint="eastAsia" w:ascii="Arial" w:hAnsi="Arial" w:eastAsia="宋体" w:cs="Arial"/>
          <w:b/>
          <w:sz w:val="21"/>
          <w:szCs w:val="21"/>
          <w:lang w:eastAsia="zh-CN"/>
        </w:rPr>
        <w:t>预期用途</w:t>
      </w:r>
      <w:r>
        <w:rPr>
          <w:rFonts w:ascii="Arial" w:hAnsi="Arial" w:eastAsia="宋体" w:cs="Arial"/>
          <w:sz w:val="21"/>
          <w:szCs w:val="21"/>
          <w:lang w:eastAsia="zh-CN"/>
        </w:rPr>
        <w:t>和</w:t>
      </w:r>
      <w:r>
        <w:rPr>
          <w:rFonts w:hint="eastAsia" w:ascii="Arial" w:hAnsi="Arial" w:eastAsia="宋体" w:cs="Arial"/>
          <w:b/>
          <w:sz w:val="21"/>
          <w:szCs w:val="21"/>
          <w:lang w:eastAsia="zh-CN"/>
        </w:rPr>
        <w:t>适应症</w:t>
      </w:r>
      <w:r>
        <w:rPr>
          <w:rFonts w:ascii="Arial" w:hAnsi="Arial" w:eastAsia="宋体" w:cs="Arial"/>
          <w:sz w:val="21"/>
          <w:szCs w:val="21"/>
          <w:lang w:eastAsia="zh-CN"/>
        </w:rPr>
        <w:t>是易混淆的术语。为了了解510（k）程序监管决策的基础，了解这些差异是很重要的。这些在第III.A.节</w:t>
      </w:r>
      <w:r>
        <w:rPr>
          <w:rFonts w:ascii="宋体" w:hAnsi="宋体" w:eastAsia="宋体" w:cs="Arial"/>
          <w:sz w:val="21"/>
          <w:szCs w:val="21"/>
          <w:lang w:eastAsia="zh-CN"/>
        </w:rPr>
        <w:t>“</w:t>
      </w:r>
      <w:r>
        <w:rPr>
          <w:rFonts w:hint="eastAsia" w:ascii="Arial" w:hAnsi="Arial" w:eastAsia="宋体" w:cs="Arial"/>
          <w:b/>
          <w:sz w:val="21"/>
          <w:szCs w:val="21"/>
          <w:lang w:eastAsia="zh-CN"/>
        </w:rPr>
        <w:t>贴标</w:t>
      </w:r>
      <w:r>
        <w:rPr>
          <w:rFonts w:ascii="Arial" w:hAnsi="Arial" w:eastAsia="宋体" w:cs="Arial"/>
          <w:b/>
          <w:sz w:val="21"/>
          <w:szCs w:val="21"/>
          <w:lang w:eastAsia="zh-CN"/>
        </w:rPr>
        <w:t>-医疗激光器的适应症</w:t>
      </w:r>
      <w:r>
        <w:rPr>
          <w:rFonts w:ascii="宋体" w:hAnsi="宋体" w:eastAsia="宋体" w:cs="Arial"/>
          <w:sz w:val="21"/>
          <w:szCs w:val="21"/>
          <w:lang w:eastAsia="zh-CN"/>
        </w:rPr>
        <w:t>”</w:t>
      </w:r>
      <w:r>
        <w:rPr>
          <w:rFonts w:ascii="Arial" w:hAnsi="Arial" w:eastAsia="宋体" w:cs="Arial"/>
          <w:sz w:val="21"/>
          <w:szCs w:val="21"/>
          <w:lang w:eastAsia="zh-CN"/>
        </w:rPr>
        <w:t>中给出。有关这些术语的全面讨论可在</w:t>
      </w:r>
      <w:r>
        <w:rPr>
          <w:rFonts w:hint="eastAsia" w:ascii="Arial" w:hAnsi="Arial" w:eastAsia="宋体" w:cs="Arial"/>
          <w:b/>
          <w:sz w:val="21"/>
          <w:szCs w:val="21"/>
          <w:lang w:eastAsia="zh-CN"/>
        </w:rPr>
        <w:t>上市前通告</w:t>
      </w:r>
      <w:r>
        <w:rPr>
          <w:rFonts w:ascii="Arial" w:hAnsi="Arial" w:eastAsia="宋体" w:cs="Arial"/>
          <w:sz w:val="21"/>
          <w:szCs w:val="21"/>
          <w:lang w:eastAsia="zh-CN"/>
        </w:rPr>
        <w:t>：</w:t>
      </w:r>
      <w:r>
        <w:rPr>
          <w:rFonts w:hint="eastAsia" w:ascii="Arial" w:hAnsi="Arial" w:eastAsia="宋体" w:cs="Arial"/>
          <w:b/>
          <w:sz w:val="21"/>
          <w:szCs w:val="21"/>
          <w:lang w:eastAsia="zh-CN"/>
        </w:rPr>
        <w:t>医疗器械的</w:t>
      </w:r>
      <w:r>
        <w:rPr>
          <w:rFonts w:ascii="Arial" w:hAnsi="Arial" w:eastAsia="宋体" w:cs="Arial"/>
          <w:b/>
          <w:sz w:val="21"/>
          <w:szCs w:val="21"/>
          <w:lang w:eastAsia="zh-CN"/>
        </w:rPr>
        <w:t>510</w:t>
      </w:r>
      <w:r>
        <w:rPr>
          <w:rFonts w:hint="eastAsia" w:ascii="Arial" w:hAnsi="Arial" w:eastAsia="宋体" w:cs="Arial"/>
          <w:b/>
          <w:sz w:val="21"/>
          <w:szCs w:val="21"/>
          <w:lang w:eastAsia="zh-CN"/>
        </w:rPr>
        <w:t>（</w:t>
      </w:r>
      <w:r>
        <w:rPr>
          <w:rFonts w:ascii="Arial" w:hAnsi="Arial" w:eastAsia="宋体" w:cs="Arial"/>
          <w:b/>
          <w:sz w:val="21"/>
          <w:szCs w:val="21"/>
          <w:lang w:eastAsia="zh-CN"/>
        </w:rPr>
        <w:t>k</w:t>
      </w:r>
      <w:r>
        <w:rPr>
          <w:rFonts w:hint="eastAsia" w:ascii="Arial" w:hAnsi="Arial" w:eastAsia="宋体" w:cs="Arial"/>
          <w:b/>
          <w:sz w:val="21"/>
          <w:szCs w:val="21"/>
          <w:lang w:eastAsia="zh-CN"/>
        </w:rPr>
        <w:t>）监管要求</w:t>
      </w:r>
      <w:r>
        <w:rPr>
          <w:rFonts w:ascii="Arial" w:hAnsi="Arial" w:eastAsia="宋体" w:cs="Arial"/>
          <w:sz w:val="21"/>
          <w:szCs w:val="21"/>
          <w:lang w:eastAsia="zh-CN"/>
        </w:rPr>
        <w:t>，HHS出版物FDA 90-4158（可从小型制造商协助司获得）中找到。</w:t>
      </w:r>
    </w:p>
    <w:p w14:paraId="6744F2E8">
      <w:pPr>
        <w:pStyle w:val="10"/>
        <w:tabs>
          <w:tab w:val="left" w:pos="1541"/>
        </w:tabs>
        <w:snapToGrid w:val="0"/>
        <w:spacing w:before="73" w:line="300" w:lineRule="auto"/>
        <w:jc w:val="both"/>
        <w:rPr>
          <w:rFonts w:ascii="Arial" w:hAnsi="Arial" w:eastAsia="宋体" w:cs="Arial"/>
          <w:sz w:val="21"/>
          <w:szCs w:val="21"/>
          <w:lang w:eastAsia="zh-CN"/>
        </w:rPr>
      </w:pPr>
    </w:p>
    <w:p w14:paraId="6EDE429C">
      <w:pPr>
        <w:rPr>
          <w:rFonts w:ascii="Arial" w:hAnsi="Arial" w:eastAsia="宋体" w:cs="Arial"/>
          <w:sz w:val="21"/>
          <w:szCs w:val="21"/>
          <w:lang w:eastAsia="zh-CN"/>
        </w:rPr>
      </w:pPr>
      <w:r>
        <w:rPr>
          <w:rFonts w:ascii="Arial" w:hAnsi="Arial" w:eastAsia="宋体" w:cs="Arial"/>
          <w:sz w:val="21"/>
          <w:szCs w:val="21"/>
          <w:lang w:eastAsia="zh-CN"/>
        </w:rPr>
        <w:br w:type="page"/>
      </w:r>
    </w:p>
    <w:p w14:paraId="427AE8AF">
      <w:pPr>
        <w:pStyle w:val="10"/>
        <w:numPr>
          <w:ilvl w:val="1"/>
          <w:numId w:val="2"/>
        </w:numPr>
        <w:tabs>
          <w:tab w:val="left" w:pos="1541"/>
        </w:tabs>
        <w:snapToGrid w:val="0"/>
        <w:spacing w:before="73" w:line="300" w:lineRule="auto"/>
        <w:ind w:left="517" w:hanging="516" w:hangingChars="246"/>
        <w:jc w:val="both"/>
        <w:rPr>
          <w:rFonts w:ascii="Arial" w:hAnsi="Arial" w:eastAsia="宋体" w:cs="Arial"/>
          <w:sz w:val="21"/>
          <w:szCs w:val="21"/>
          <w:lang w:eastAsia="zh-CN"/>
        </w:rPr>
      </w:pPr>
      <w:r>
        <w:rPr>
          <w:rFonts w:ascii="Arial" w:hAnsi="Arial" w:eastAsia="宋体" w:cs="Arial"/>
          <w:sz w:val="21"/>
          <w:szCs w:val="21"/>
          <w:u w:val="single"/>
          <w:lang w:eastAsia="zh-CN"/>
        </w:rPr>
        <w:t>删除</w:t>
      </w:r>
      <w:r>
        <w:rPr>
          <w:rFonts w:ascii="宋体" w:hAnsi="宋体" w:eastAsia="宋体" w:cs="Arial"/>
          <w:sz w:val="21"/>
          <w:szCs w:val="21"/>
          <w:u w:val="single"/>
          <w:lang w:eastAsia="zh-CN"/>
        </w:rPr>
        <w:t>“</w:t>
      </w:r>
      <w:r>
        <w:rPr>
          <w:rFonts w:hint="eastAsia" w:ascii="Arial" w:hAnsi="Arial" w:eastAsia="宋体" w:cs="Arial"/>
          <w:b/>
          <w:sz w:val="21"/>
          <w:szCs w:val="21"/>
          <w:u w:val="single"/>
          <w:lang w:eastAsia="zh-CN"/>
        </w:rPr>
        <w:t>应用</w:t>
      </w:r>
      <w:r>
        <w:rPr>
          <w:rFonts w:ascii="宋体" w:hAnsi="宋体" w:eastAsia="宋体" w:cs="Arial"/>
          <w:sz w:val="21"/>
          <w:szCs w:val="21"/>
          <w:u w:val="single"/>
          <w:lang w:eastAsia="zh-CN"/>
        </w:rPr>
        <w:t>”</w:t>
      </w:r>
      <w:r>
        <w:rPr>
          <w:rFonts w:ascii="Arial" w:hAnsi="Arial" w:eastAsia="宋体" w:cs="Arial"/>
          <w:sz w:val="21"/>
          <w:szCs w:val="21"/>
          <w:u w:val="single"/>
          <w:lang w:eastAsia="zh-CN"/>
        </w:rPr>
        <w:t>部分：</w:t>
      </w:r>
      <w:r>
        <w:rPr>
          <w:rFonts w:ascii="Arial" w:hAnsi="Arial" w:eastAsia="宋体" w:cs="Arial"/>
          <w:sz w:val="21"/>
          <w:szCs w:val="21"/>
          <w:lang w:eastAsia="zh-CN"/>
        </w:rPr>
        <w:t>手术激光器的该小节已导致行业存在许多困惑。FDA期望激光器制造商遵守适用于所有医疗器械的标签要求，从而不再需要</w:t>
      </w:r>
      <w:r>
        <w:rPr>
          <w:rFonts w:ascii="宋体" w:hAnsi="宋体" w:eastAsia="宋体" w:cs="Arial"/>
          <w:sz w:val="21"/>
          <w:szCs w:val="21"/>
          <w:lang w:eastAsia="zh-CN"/>
        </w:rPr>
        <w:t>“</w:t>
      </w:r>
      <w:r>
        <w:rPr>
          <w:rFonts w:ascii="Arial" w:hAnsi="Arial" w:eastAsia="宋体" w:cs="Arial"/>
          <w:sz w:val="21"/>
          <w:szCs w:val="21"/>
          <w:lang w:eastAsia="zh-CN"/>
        </w:rPr>
        <w:t>应用</w:t>
      </w:r>
      <w:r>
        <w:rPr>
          <w:rFonts w:ascii="宋体" w:hAnsi="宋体" w:eastAsia="宋体" w:cs="Arial"/>
          <w:sz w:val="21"/>
          <w:szCs w:val="21"/>
          <w:lang w:eastAsia="zh-CN"/>
        </w:rPr>
        <w:t>”</w:t>
      </w:r>
      <w:r>
        <w:rPr>
          <w:rFonts w:ascii="Arial" w:hAnsi="Arial" w:eastAsia="宋体" w:cs="Arial"/>
          <w:sz w:val="21"/>
          <w:szCs w:val="21"/>
          <w:lang w:eastAsia="zh-CN"/>
        </w:rPr>
        <w:t>部分。用这种方法，我们将恢复本审查机构对贴标的控制，并考虑在510（k）提交资料中作为该器械适应症提供的拟定用途的任何示例。</w:t>
      </w:r>
    </w:p>
    <w:p w14:paraId="2310250E">
      <w:pPr>
        <w:pStyle w:val="10"/>
        <w:snapToGrid w:val="0"/>
        <w:spacing w:line="300" w:lineRule="auto"/>
        <w:jc w:val="both"/>
        <w:rPr>
          <w:rFonts w:ascii="Arial" w:hAnsi="Arial" w:eastAsia="宋体" w:cs="Arial"/>
          <w:sz w:val="21"/>
          <w:szCs w:val="21"/>
          <w:lang w:eastAsia="zh-CN"/>
        </w:rPr>
      </w:pPr>
    </w:p>
    <w:p w14:paraId="14AD4DB9">
      <w:pPr>
        <w:pStyle w:val="10"/>
        <w:numPr>
          <w:ilvl w:val="1"/>
          <w:numId w:val="2"/>
        </w:numPr>
        <w:tabs>
          <w:tab w:val="left" w:pos="1540"/>
        </w:tabs>
        <w:snapToGrid w:val="0"/>
        <w:spacing w:before="73" w:line="300" w:lineRule="auto"/>
        <w:ind w:left="517" w:hanging="516" w:hangingChars="246"/>
        <w:jc w:val="both"/>
        <w:rPr>
          <w:rFonts w:ascii="Arial" w:hAnsi="Arial" w:eastAsia="宋体" w:cs="Arial"/>
          <w:sz w:val="21"/>
          <w:szCs w:val="21"/>
          <w:lang w:eastAsia="zh-CN"/>
        </w:rPr>
      </w:pPr>
      <w:r>
        <w:rPr>
          <w:rFonts w:ascii="Arial" w:hAnsi="Arial" w:eastAsia="宋体" w:cs="Arial"/>
          <w:sz w:val="21"/>
          <w:szCs w:val="21"/>
          <w:u w:val="single"/>
          <w:lang w:eastAsia="zh-CN"/>
        </w:rPr>
        <w:t>说明临床研究的监管要求：</w:t>
      </w:r>
      <w:r>
        <w:rPr>
          <w:rFonts w:ascii="Arial" w:hAnsi="Arial" w:eastAsia="宋体" w:cs="Arial"/>
          <w:sz w:val="21"/>
          <w:szCs w:val="21"/>
          <w:lang w:eastAsia="zh-CN"/>
        </w:rPr>
        <w:t>申办方已经注意到此类困惑，并要求提供有关何时需要IDE的信息。第</w:t>
      </w:r>
      <w:r>
        <w:rPr>
          <w:rFonts w:ascii="Arial" w:hAnsi="Arial" w:eastAsia="宋体" w:cs="Arial"/>
          <w:b/>
          <w:sz w:val="21"/>
          <w:szCs w:val="21"/>
          <w:lang w:eastAsia="zh-CN"/>
        </w:rPr>
        <w:t>I.D.2</w:t>
      </w:r>
      <w:r>
        <w:rPr>
          <w:rFonts w:ascii="Arial" w:hAnsi="Arial" w:eastAsia="宋体" w:cs="Arial"/>
          <w:sz w:val="21"/>
          <w:szCs w:val="21"/>
          <w:lang w:eastAsia="zh-CN"/>
        </w:rPr>
        <w:t>节将提供详细讨论。</w:t>
      </w:r>
    </w:p>
    <w:p w14:paraId="52D78050">
      <w:pPr>
        <w:pStyle w:val="10"/>
        <w:tabs>
          <w:tab w:val="left" w:pos="1540"/>
        </w:tabs>
        <w:snapToGrid w:val="0"/>
        <w:spacing w:line="300" w:lineRule="auto"/>
        <w:jc w:val="both"/>
        <w:rPr>
          <w:rFonts w:ascii="Arial" w:hAnsi="Arial" w:eastAsia="宋体" w:cs="Arial"/>
          <w:sz w:val="21"/>
          <w:szCs w:val="21"/>
          <w:lang w:eastAsia="zh-CN"/>
        </w:rPr>
      </w:pPr>
    </w:p>
    <w:p w14:paraId="4CAE11D4">
      <w:pPr>
        <w:pStyle w:val="10"/>
        <w:numPr>
          <w:ilvl w:val="1"/>
          <w:numId w:val="2"/>
        </w:numPr>
        <w:tabs>
          <w:tab w:val="left" w:pos="1540"/>
        </w:tabs>
        <w:snapToGrid w:val="0"/>
        <w:spacing w:before="73" w:line="300" w:lineRule="auto"/>
        <w:ind w:left="517" w:hanging="516" w:hangingChars="246"/>
        <w:jc w:val="both"/>
        <w:rPr>
          <w:rFonts w:ascii="Arial" w:hAnsi="Arial" w:eastAsia="宋体" w:cs="Arial"/>
          <w:sz w:val="21"/>
          <w:szCs w:val="21"/>
          <w:lang w:eastAsia="zh-CN"/>
        </w:rPr>
      </w:pPr>
      <w:r>
        <w:rPr>
          <w:rFonts w:ascii="Arial" w:hAnsi="Arial" w:eastAsia="宋体" w:cs="Arial"/>
          <w:sz w:val="21"/>
          <w:szCs w:val="21"/>
          <w:u w:val="single"/>
          <w:lang w:eastAsia="zh-CN"/>
        </w:rPr>
        <w:t>添加对临床研究的讨论：</w:t>
      </w:r>
      <w:r>
        <w:rPr>
          <w:rFonts w:ascii="Arial" w:hAnsi="Arial" w:eastAsia="宋体" w:cs="Arial"/>
          <w:sz w:val="21"/>
          <w:szCs w:val="21"/>
          <w:lang w:eastAsia="zh-CN"/>
        </w:rPr>
        <w:t>当台架试验和动物性能数据单独不足以证明类似的安全性和有效性时，本</w:t>
      </w:r>
      <w:r>
        <w:rPr>
          <w:rFonts w:ascii="Arial" w:hAnsi="Arial" w:eastAsia="宋体" w:cs="Arial"/>
          <w:b/>
          <w:sz w:val="21"/>
          <w:szCs w:val="21"/>
          <w:lang w:eastAsia="zh-CN"/>
        </w:rPr>
        <w:t>指南</w:t>
      </w:r>
      <w:r>
        <w:rPr>
          <w:rFonts w:ascii="Arial" w:hAnsi="Arial" w:eastAsia="宋体" w:cs="Arial"/>
          <w:sz w:val="21"/>
          <w:szCs w:val="21"/>
          <w:lang w:eastAsia="zh-CN"/>
        </w:rPr>
        <w:t>强调临床数据在证明等同安全性和有效性方面的重要性。</w:t>
      </w:r>
    </w:p>
    <w:p w14:paraId="5BE8F8DF">
      <w:pPr>
        <w:snapToGrid w:val="0"/>
        <w:spacing w:before="6" w:line="300" w:lineRule="auto"/>
        <w:jc w:val="both"/>
        <w:rPr>
          <w:rFonts w:ascii="Arial" w:hAnsi="Arial" w:eastAsia="宋体" w:cs="Arial"/>
          <w:sz w:val="21"/>
          <w:szCs w:val="21"/>
          <w:lang w:eastAsia="zh-CN"/>
        </w:rPr>
      </w:pPr>
    </w:p>
    <w:p w14:paraId="53A9C253">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本指南并不是刻板或不修订的指南。激光技术正在快速发展。修订版指南性文件将根据需要进行修改，适应最先进激光技术和监管环境的变化。修订过程的一个重要部分是激光界将继续参与。FDA咨询小组成员还将继续并进一步参与决策过程。</w:t>
      </w:r>
    </w:p>
    <w:p w14:paraId="7F57CCD2">
      <w:pPr>
        <w:snapToGrid w:val="0"/>
        <w:spacing w:line="300" w:lineRule="auto"/>
        <w:jc w:val="both"/>
        <w:rPr>
          <w:rFonts w:ascii="Arial" w:hAnsi="Arial" w:eastAsia="宋体" w:cs="Arial"/>
          <w:sz w:val="21"/>
          <w:szCs w:val="21"/>
          <w:lang w:eastAsia="zh-CN"/>
        </w:rPr>
      </w:pPr>
    </w:p>
    <w:p w14:paraId="402B212B">
      <w:pPr>
        <w:snapToGrid w:val="0"/>
        <w:spacing w:before="11" w:line="300" w:lineRule="auto"/>
        <w:jc w:val="both"/>
        <w:rPr>
          <w:rFonts w:ascii="Arial" w:hAnsi="Arial" w:eastAsia="宋体" w:cs="Arial"/>
          <w:sz w:val="21"/>
          <w:szCs w:val="21"/>
          <w:lang w:eastAsia="zh-CN"/>
        </w:rPr>
      </w:pPr>
    </w:p>
    <w:p w14:paraId="21B55497">
      <w:pPr>
        <w:pStyle w:val="10"/>
        <w:numPr>
          <w:ilvl w:val="0"/>
          <w:numId w:val="2"/>
        </w:numPr>
        <w:tabs>
          <w:tab w:val="left" w:pos="546"/>
        </w:tabs>
        <w:snapToGrid w:val="0"/>
        <w:spacing w:line="300" w:lineRule="auto"/>
        <w:ind w:left="0" w:firstLine="0"/>
        <w:jc w:val="both"/>
        <w:rPr>
          <w:rFonts w:ascii="Arial" w:hAnsi="Arial" w:eastAsia="宋体" w:cs="Arial"/>
          <w:b/>
          <w:sz w:val="21"/>
          <w:szCs w:val="21"/>
          <w:lang w:eastAsia="zh-CN"/>
        </w:rPr>
      </w:pPr>
      <w:r>
        <w:rPr>
          <w:rFonts w:ascii="Arial" w:hAnsi="Arial" w:eastAsia="宋体" w:cs="Arial"/>
          <w:b/>
          <w:sz w:val="21"/>
          <w:szCs w:val="21"/>
          <w:lang w:eastAsia="zh-CN"/>
        </w:rPr>
        <w:t>激光器临床研究的政策和监管要求</w:t>
      </w:r>
    </w:p>
    <w:p w14:paraId="23DAB865">
      <w:pPr>
        <w:snapToGrid w:val="0"/>
        <w:spacing w:before="6" w:line="300" w:lineRule="auto"/>
        <w:jc w:val="both"/>
        <w:rPr>
          <w:rFonts w:ascii="Arial" w:hAnsi="Arial" w:eastAsia="宋体" w:cs="Arial"/>
          <w:b/>
          <w:bCs/>
          <w:sz w:val="21"/>
          <w:szCs w:val="21"/>
          <w:lang w:eastAsia="zh-CN"/>
        </w:rPr>
      </w:pPr>
    </w:p>
    <w:p w14:paraId="04FA3890">
      <w:pPr>
        <w:pStyle w:val="10"/>
        <w:numPr>
          <w:ilvl w:val="1"/>
          <w:numId w:val="2"/>
        </w:numPr>
        <w:tabs>
          <w:tab w:val="left" w:pos="1022"/>
        </w:tabs>
        <w:snapToGrid w:val="0"/>
        <w:spacing w:line="300" w:lineRule="auto"/>
        <w:ind w:left="517" w:hanging="516" w:hangingChars="246"/>
        <w:jc w:val="both"/>
        <w:rPr>
          <w:rFonts w:ascii="Arial" w:hAnsi="Arial" w:eastAsia="宋体" w:cs="Arial"/>
          <w:sz w:val="21"/>
          <w:szCs w:val="21"/>
        </w:rPr>
      </w:pPr>
      <w:r>
        <w:rPr>
          <w:rFonts w:ascii="Arial" w:hAnsi="Arial" w:eastAsia="宋体" w:cs="Arial"/>
          <w:sz w:val="21"/>
          <w:szCs w:val="21"/>
          <w:u w:val="single" w:color="000000"/>
          <w:lang w:eastAsia="zh-CN"/>
        </w:rPr>
        <w:t>引言</w:t>
      </w:r>
    </w:p>
    <w:p w14:paraId="318FD0A0">
      <w:pPr>
        <w:snapToGrid w:val="0"/>
        <w:spacing w:before="6" w:line="300" w:lineRule="auto"/>
        <w:jc w:val="both"/>
        <w:rPr>
          <w:rFonts w:ascii="Arial" w:hAnsi="Arial" w:eastAsia="宋体" w:cs="Arial"/>
          <w:sz w:val="21"/>
          <w:szCs w:val="21"/>
        </w:rPr>
      </w:pPr>
    </w:p>
    <w:p w14:paraId="0071246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FDA已经意识到在医疗激光器领域已经并将继续存在大量的研究活动。在文献中报道的有关该器械技术的研究数量反映了在基础和临床研究方面的巨大投入。</w:t>
      </w:r>
    </w:p>
    <w:p w14:paraId="0461A2E7">
      <w:pPr>
        <w:pStyle w:val="3"/>
        <w:snapToGrid w:val="0"/>
        <w:spacing w:line="300" w:lineRule="auto"/>
        <w:ind w:left="0"/>
        <w:jc w:val="both"/>
        <w:rPr>
          <w:rFonts w:ascii="Arial" w:hAnsi="Arial" w:eastAsia="宋体" w:cs="Arial"/>
          <w:sz w:val="21"/>
          <w:szCs w:val="21"/>
          <w:lang w:eastAsia="zh-CN"/>
        </w:rPr>
      </w:pPr>
    </w:p>
    <w:p w14:paraId="09DF9E00">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联邦法规（21 CFR 812）第21卷第812部分器械临床研究豁免（IDE）法规确定了对医疗器械进行临床研究的程序。IDE法规的目的是促进科学知识的创新和进步。因此，有关如何应用此类法规的法律和IDE法规有一定的界限。</w:t>
      </w:r>
    </w:p>
    <w:p w14:paraId="631DE0B2">
      <w:pPr>
        <w:snapToGrid w:val="0"/>
        <w:spacing w:before="6" w:line="300" w:lineRule="auto"/>
        <w:jc w:val="both"/>
        <w:rPr>
          <w:rFonts w:ascii="Arial" w:hAnsi="Arial" w:eastAsia="宋体" w:cs="Arial"/>
          <w:sz w:val="21"/>
          <w:szCs w:val="21"/>
          <w:lang w:eastAsia="zh-CN"/>
        </w:rPr>
      </w:pPr>
    </w:p>
    <w:p w14:paraId="369443D8">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所有IDE研究都需要机构审查委员会（IRB）的批准。重大风险器械研究也必须获得FDA的批准。</w:t>
      </w:r>
    </w:p>
    <w:p w14:paraId="55AA20CC">
      <w:pPr>
        <w:pStyle w:val="3"/>
        <w:snapToGrid w:val="0"/>
        <w:spacing w:line="300" w:lineRule="auto"/>
        <w:ind w:left="0"/>
        <w:jc w:val="both"/>
        <w:rPr>
          <w:rFonts w:ascii="Arial" w:hAnsi="Arial" w:eastAsia="宋体" w:cs="Arial"/>
          <w:sz w:val="21"/>
          <w:szCs w:val="21"/>
          <w:lang w:eastAsia="zh-CN"/>
        </w:rPr>
      </w:pPr>
    </w:p>
    <w:p w14:paraId="06187C9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制造商应协调/监测有关其许可器械的前瞻性研究，以优化所得临床数据的有用性，从而用于支持新适应症的上市申请。回顾性研究和未协调的研究活动在支持新适应症申请方面具有的价值可能有限。</w:t>
      </w:r>
    </w:p>
    <w:p w14:paraId="10D0CAAB">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 xml:space="preserve"> </w:t>
      </w:r>
    </w:p>
    <w:p w14:paraId="5B512CF6">
      <w:pPr>
        <w:pStyle w:val="3"/>
        <w:snapToGrid w:val="0"/>
        <w:spacing w:line="300" w:lineRule="auto"/>
        <w:ind w:left="0"/>
        <w:jc w:val="both"/>
        <w:rPr>
          <w:rFonts w:ascii="Arial" w:hAnsi="Arial" w:eastAsia="宋体" w:cs="Arial"/>
          <w:sz w:val="21"/>
          <w:szCs w:val="21"/>
          <w:lang w:eastAsia="zh-CN"/>
        </w:rPr>
      </w:pPr>
    </w:p>
    <w:p w14:paraId="25364BC9">
      <w:pPr>
        <w:pStyle w:val="3"/>
        <w:snapToGrid w:val="0"/>
        <w:spacing w:line="300" w:lineRule="auto"/>
        <w:ind w:left="0"/>
        <w:jc w:val="both"/>
        <w:rPr>
          <w:rFonts w:ascii="Arial" w:hAnsi="Arial" w:eastAsia="宋体" w:cs="Arial"/>
          <w:sz w:val="21"/>
          <w:szCs w:val="21"/>
          <w:lang w:eastAsia="zh-CN"/>
        </w:rPr>
      </w:pPr>
    </w:p>
    <w:p w14:paraId="635A1890">
      <w:pPr>
        <w:pStyle w:val="3"/>
        <w:snapToGrid w:val="0"/>
        <w:spacing w:line="300" w:lineRule="auto"/>
        <w:ind w:left="0"/>
        <w:jc w:val="both"/>
        <w:rPr>
          <w:rFonts w:ascii="Arial" w:hAnsi="Arial" w:eastAsia="宋体" w:cs="Arial"/>
          <w:sz w:val="21"/>
          <w:szCs w:val="21"/>
          <w:lang w:eastAsia="zh-CN"/>
        </w:rPr>
      </w:pPr>
    </w:p>
    <w:p w14:paraId="232B40D9">
      <w:pPr>
        <w:pStyle w:val="3"/>
        <w:snapToGrid w:val="0"/>
        <w:spacing w:line="300" w:lineRule="auto"/>
        <w:ind w:left="0"/>
        <w:jc w:val="both"/>
        <w:rPr>
          <w:rFonts w:ascii="Arial" w:hAnsi="Arial" w:eastAsia="宋体" w:cs="Arial"/>
          <w:sz w:val="21"/>
          <w:szCs w:val="21"/>
          <w:lang w:eastAsia="zh-CN"/>
        </w:rPr>
      </w:pPr>
    </w:p>
    <w:p w14:paraId="209A1635">
      <w:pPr>
        <w:pStyle w:val="3"/>
        <w:snapToGrid w:val="0"/>
        <w:spacing w:line="300" w:lineRule="auto"/>
        <w:ind w:left="0"/>
        <w:jc w:val="both"/>
        <w:rPr>
          <w:rFonts w:ascii="Arial" w:hAnsi="Arial" w:eastAsia="宋体" w:cs="Arial"/>
          <w:sz w:val="21"/>
          <w:szCs w:val="21"/>
          <w:lang w:eastAsia="zh-CN"/>
        </w:rPr>
      </w:pPr>
    </w:p>
    <w:p w14:paraId="1BC84674">
      <w:pPr>
        <w:pStyle w:val="3"/>
        <w:snapToGrid w:val="0"/>
        <w:spacing w:line="300" w:lineRule="auto"/>
        <w:ind w:left="0"/>
        <w:jc w:val="both"/>
        <w:rPr>
          <w:rFonts w:ascii="Arial" w:hAnsi="Arial" w:eastAsia="宋体" w:cs="Arial"/>
          <w:sz w:val="21"/>
          <w:szCs w:val="21"/>
          <w:lang w:eastAsia="zh-CN"/>
        </w:rPr>
      </w:pPr>
    </w:p>
    <w:p w14:paraId="0C8D184D">
      <w:pPr>
        <w:pStyle w:val="10"/>
        <w:pageBreakBefore/>
        <w:numPr>
          <w:ilvl w:val="1"/>
          <w:numId w:val="2"/>
        </w:numPr>
        <w:tabs>
          <w:tab w:val="left" w:pos="1023"/>
        </w:tabs>
        <w:snapToGrid w:val="0"/>
        <w:spacing w:line="300" w:lineRule="auto"/>
        <w:ind w:left="517" w:hanging="516" w:hangingChars="246"/>
        <w:jc w:val="both"/>
        <w:rPr>
          <w:rFonts w:ascii="Arial" w:hAnsi="Arial" w:eastAsia="宋体" w:cs="Arial"/>
          <w:sz w:val="21"/>
          <w:szCs w:val="21"/>
        </w:rPr>
      </w:pPr>
      <w:r>
        <w:rPr>
          <w:rFonts w:ascii="Arial" w:hAnsi="Arial" w:eastAsia="宋体" w:cs="Arial"/>
          <w:sz w:val="21"/>
          <w:szCs w:val="21"/>
          <w:u w:val="single" w:color="000000"/>
        </w:rPr>
        <w:t>监管</w:t>
      </w:r>
      <w:r>
        <w:rPr>
          <w:rFonts w:ascii="Arial" w:hAnsi="Arial" w:eastAsia="宋体" w:cs="Arial"/>
          <w:sz w:val="21"/>
          <w:szCs w:val="21"/>
          <w:u w:val="single" w:color="000000"/>
          <w:lang w:eastAsia="zh-CN"/>
        </w:rPr>
        <w:t>综述</w:t>
      </w:r>
      <w:r>
        <w:rPr>
          <w:rFonts w:ascii="Arial" w:hAnsi="Arial" w:eastAsia="宋体" w:cs="Arial"/>
          <w:sz w:val="21"/>
          <w:szCs w:val="21"/>
          <w:u w:val="single" w:color="000000"/>
        </w:rPr>
        <w:t>和政策</w:t>
      </w:r>
    </w:p>
    <w:p w14:paraId="043A9299">
      <w:pPr>
        <w:snapToGrid w:val="0"/>
        <w:spacing w:before="6" w:line="300" w:lineRule="auto"/>
        <w:jc w:val="both"/>
        <w:rPr>
          <w:rFonts w:ascii="Arial" w:hAnsi="Arial" w:eastAsia="宋体" w:cs="Arial"/>
          <w:sz w:val="21"/>
          <w:szCs w:val="21"/>
        </w:rPr>
      </w:pPr>
    </w:p>
    <w:p w14:paraId="5D9C419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制造商必须在美国上市其器械之前获得FDA许可。但事先销售器械来进行临床研究这一目的而获得上市前要求豁免的批准除外。IDE法规，21 CFR 812，提供了获得了进行临床研究程序的批准。FDA和当地IRB可批准有关重大风险器械（如法规中定义）的临床研究，且FDA已经将非重大风险器械研究的批准权委托给IRB。此外，根据21 CFR 50，所有研究均须遵守知情同意法规。</w:t>
      </w:r>
    </w:p>
    <w:p w14:paraId="47BF3205">
      <w:pPr>
        <w:snapToGrid w:val="0"/>
        <w:spacing w:before="6" w:line="300" w:lineRule="auto"/>
        <w:jc w:val="both"/>
        <w:rPr>
          <w:rFonts w:ascii="Arial" w:hAnsi="Arial" w:eastAsia="宋体" w:cs="Arial"/>
          <w:sz w:val="21"/>
          <w:szCs w:val="21"/>
          <w:lang w:eastAsia="zh-CN"/>
        </w:rPr>
      </w:pPr>
    </w:p>
    <w:p w14:paraId="4CB4CCCE">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FDA认为临床研究当中的新型外科激光手术是需要FDA批准IDE申请的重大风险器械。此外，因新适应症而经受临床研究的合法上市手术激光器也被视为需要FDA批准IDE研究的重大风险器械。因此，对于有关违法在美国商业销售的手术激光器的每项临床研究，都需要IDE批准。对于已合法上市的手术激光器，应为有关新适应症的每项临床研究获得IDE。</w:t>
      </w:r>
    </w:p>
    <w:p w14:paraId="6463DD6E">
      <w:pPr>
        <w:snapToGrid w:val="0"/>
        <w:spacing w:before="6" w:line="300" w:lineRule="auto"/>
        <w:jc w:val="both"/>
        <w:rPr>
          <w:rFonts w:ascii="Arial" w:hAnsi="Arial" w:eastAsia="宋体" w:cs="Arial"/>
          <w:sz w:val="21"/>
          <w:szCs w:val="21"/>
          <w:lang w:eastAsia="zh-CN"/>
        </w:rPr>
      </w:pPr>
    </w:p>
    <w:p w14:paraId="51255CC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为了促进手术激光器的临床研究，并避免负担过重的监管要求，21 CFR 812.2免除了有关在先前许可预期用途或适应症中进行研究的器械研究的IDE要求。因此，涉及合法上市手术激光器并针对在FDA已许可的预期用途或适应症范围内的适应症临床研究无需IDE批准。应在FDA许可的标签中列出器械的适应症，并在第III部分进行进一步讨论。</w:t>
      </w:r>
    </w:p>
    <w:p w14:paraId="2E0AA105">
      <w:pPr>
        <w:snapToGrid w:val="0"/>
        <w:spacing w:before="4" w:line="300" w:lineRule="auto"/>
        <w:jc w:val="both"/>
        <w:rPr>
          <w:rFonts w:ascii="Arial" w:hAnsi="Arial" w:eastAsia="宋体" w:cs="Arial"/>
          <w:sz w:val="21"/>
          <w:szCs w:val="21"/>
          <w:lang w:eastAsia="zh-CN"/>
        </w:rPr>
      </w:pPr>
    </w:p>
    <w:p w14:paraId="5AAED81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还应该指出的是，根据21 CFR 812.20（a）（1），FDA保留在其认为需要IDE时要求为某一研究获得IDE的权利。</w:t>
      </w:r>
    </w:p>
    <w:p w14:paraId="00CEAE0D">
      <w:pPr>
        <w:snapToGrid w:val="0"/>
        <w:spacing w:line="300" w:lineRule="auto"/>
        <w:jc w:val="both"/>
        <w:rPr>
          <w:rFonts w:ascii="Arial" w:hAnsi="Arial" w:eastAsia="宋体" w:cs="Arial"/>
          <w:sz w:val="21"/>
          <w:szCs w:val="21"/>
          <w:lang w:eastAsia="zh-CN"/>
        </w:rPr>
      </w:pPr>
    </w:p>
    <w:p w14:paraId="0FAC36C2">
      <w:pPr>
        <w:snapToGrid w:val="0"/>
        <w:spacing w:before="2" w:line="300" w:lineRule="auto"/>
        <w:jc w:val="both"/>
        <w:rPr>
          <w:rFonts w:ascii="Arial" w:hAnsi="Arial" w:eastAsia="宋体" w:cs="Arial"/>
          <w:sz w:val="21"/>
          <w:szCs w:val="21"/>
          <w:lang w:eastAsia="zh-CN"/>
        </w:rPr>
      </w:pPr>
    </w:p>
    <w:p w14:paraId="2AC1BE84">
      <w:pPr>
        <w:pStyle w:val="10"/>
        <w:numPr>
          <w:ilvl w:val="0"/>
          <w:numId w:val="2"/>
        </w:numPr>
        <w:tabs>
          <w:tab w:val="left" w:pos="546"/>
        </w:tabs>
        <w:snapToGrid w:val="0"/>
        <w:spacing w:line="300" w:lineRule="auto"/>
        <w:ind w:left="0" w:firstLine="0"/>
        <w:jc w:val="both"/>
        <w:rPr>
          <w:rFonts w:ascii="Arial" w:hAnsi="Arial" w:eastAsia="宋体" w:cs="Arial"/>
          <w:b/>
          <w:bCs/>
          <w:sz w:val="21"/>
          <w:szCs w:val="21"/>
        </w:rPr>
      </w:pPr>
      <w:r>
        <w:rPr>
          <w:rFonts w:ascii="Arial" w:hAnsi="Arial" w:eastAsia="宋体" w:cs="Arial"/>
          <w:b/>
          <w:sz w:val="21"/>
          <w:szCs w:val="21"/>
          <w:lang w:eastAsia="zh-CN"/>
        </w:rPr>
        <w:t>提交数据的一般原则</w:t>
      </w:r>
    </w:p>
    <w:p w14:paraId="5D6A89EB">
      <w:pPr>
        <w:pStyle w:val="10"/>
        <w:snapToGrid w:val="0"/>
        <w:spacing w:line="300" w:lineRule="auto"/>
        <w:jc w:val="both"/>
        <w:rPr>
          <w:rFonts w:ascii="Arial" w:hAnsi="Arial" w:eastAsia="宋体" w:cs="Arial"/>
          <w:sz w:val="21"/>
          <w:szCs w:val="21"/>
        </w:rPr>
      </w:pPr>
    </w:p>
    <w:p w14:paraId="1E22B174">
      <w:pPr>
        <w:pStyle w:val="10"/>
        <w:numPr>
          <w:ilvl w:val="1"/>
          <w:numId w:val="2"/>
        </w:numPr>
        <w:tabs>
          <w:tab w:val="left" w:pos="1541"/>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编辑考虑因素：</w:t>
      </w:r>
      <w:r>
        <w:rPr>
          <w:rFonts w:ascii="Arial" w:hAnsi="Arial" w:eastAsia="宋体" w:cs="Arial"/>
          <w:sz w:val="21"/>
          <w:szCs w:val="21"/>
          <w:lang w:eastAsia="zh-CN"/>
        </w:rPr>
        <w:t>除了对510（k）的科学内容进行仔细审查外，应在提交给FDA前认真编辑文件。应对其进行校对，以确保所有适当的页面/部分均已提供、适当指明、连续标页、清楚复制且清楚易读。</w:t>
      </w:r>
    </w:p>
    <w:p w14:paraId="149AF075">
      <w:pPr>
        <w:pStyle w:val="10"/>
        <w:tabs>
          <w:tab w:val="left" w:pos="1541"/>
        </w:tabs>
        <w:snapToGrid w:val="0"/>
        <w:spacing w:line="300" w:lineRule="auto"/>
        <w:ind w:left="937" w:leftChars="235" w:hanging="420" w:hangingChars="200"/>
        <w:jc w:val="both"/>
        <w:rPr>
          <w:rFonts w:ascii="Arial" w:hAnsi="Arial" w:eastAsia="宋体" w:cs="Arial"/>
          <w:sz w:val="21"/>
          <w:szCs w:val="21"/>
          <w:lang w:eastAsia="zh-CN"/>
        </w:rPr>
      </w:pPr>
    </w:p>
    <w:p w14:paraId="6BA3C104">
      <w:pPr>
        <w:pStyle w:val="10"/>
        <w:numPr>
          <w:ilvl w:val="1"/>
          <w:numId w:val="2"/>
        </w:numPr>
        <w:tabs>
          <w:tab w:val="left" w:pos="1541"/>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首字母缩略词：</w:t>
      </w:r>
      <w:r>
        <w:rPr>
          <w:rFonts w:ascii="Arial" w:hAnsi="Arial" w:eastAsia="宋体" w:cs="Arial"/>
          <w:sz w:val="21"/>
          <w:szCs w:val="21"/>
          <w:lang w:eastAsia="zh-CN"/>
        </w:rPr>
        <w:t>应尽可能使用重要同行评审期刊可接受的标准首字母缩略词。所有其他首字母缩略词应在其使用的每个部分的开头或在表格和图表的脚注中标识。</w:t>
      </w:r>
    </w:p>
    <w:p w14:paraId="7F044E0D">
      <w:pPr>
        <w:snapToGrid w:val="0"/>
        <w:spacing w:before="6" w:line="300" w:lineRule="auto"/>
        <w:ind w:left="937" w:leftChars="235" w:hanging="420" w:hangingChars="200"/>
        <w:jc w:val="both"/>
        <w:rPr>
          <w:rFonts w:ascii="Arial" w:hAnsi="Arial" w:eastAsia="宋体" w:cs="Arial"/>
          <w:sz w:val="21"/>
          <w:szCs w:val="21"/>
          <w:lang w:eastAsia="zh-CN"/>
        </w:rPr>
      </w:pPr>
    </w:p>
    <w:p w14:paraId="6DAA7CC9">
      <w:pPr>
        <w:pStyle w:val="10"/>
        <w:numPr>
          <w:ilvl w:val="1"/>
          <w:numId w:val="2"/>
        </w:numPr>
        <w:tabs>
          <w:tab w:val="left" w:pos="1541"/>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数据可用性：</w:t>
      </w:r>
      <w:r>
        <w:rPr>
          <w:rFonts w:ascii="Arial" w:hAnsi="Arial" w:eastAsia="宋体" w:cs="Arial"/>
          <w:sz w:val="21"/>
          <w:szCs w:val="21"/>
          <w:lang w:eastAsia="zh-CN"/>
        </w:rPr>
        <w:t>本文档概述了数据审查的典型情况。不可能预料可能需要FDA审查的所有情况。因此，提交申请的人员应该了解，在需要确定等同性时他们可能需要提交其他数据、以另一种格式提供数据或提供有关已提交信息的详细解释。</w:t>
      </w:r>
    </w:p>
    <w:p w14:paraId="497D1805">
      <w:pPr>
        <w:pStyle w:val="3"/>
        <w:snapToGrid w:val="0"/>
        <w:spacing w:line="300" w:lineRule="auto"/>
        <w:ind w:left="0"/>
        <w:jc w:val="both"/>
        <w:rPr>
          <w:rFonts w:ascii="Arial" w:hAnsi="Arial" w:eastAsia="宋体" w:cs="Arial"/>
          <w:sz w:val="21"/>
          <w:szCs w:val="21"/>
          <w:lang w:eastAsia="zh-CN"/>
        </w:rPr>
      </w:pPr>
    </w:p>
    <w:p w14:paraId="4ECABD1A">
      <w:pPr>
        <w:pStyle w:val="3"/>
        <w:snapToGrid w:val="0"/>
        <w:spacing w:line="300" w:lineRule="auto"/>
        <w:ind w:left="936" w:leftChars="425" w:hanging="1"/>
        <w:jc w:val="both"/>
        <w:rPr>
          <w:rFonts w:ascii="Arial" w:hAnsi="Arial" w:eastAsia="宋体" w:cs="Arial"/>
          <w:sz w:val="21"/>
          <w:szCs w:val="21"/>
          <w:lang w:eastAsia="zh-CN"/>
        </w:rPr>
      </w:pPr>
      <w:r>
        <w:rPr>
          <w:rFonts w:ascii="Arial" w:hAnsi="Arial" w:eastAsia="宋体" w:cs="Arial"/>
          <w:sz w:val="21"/>
          <w:szCs w:val="21"/>
          <w:lang w:eastAsia="zh-CN"/>
        </w:rPr>
        <w:t>申请人应以受控和结构清楚的格式保存510（k）提交资料的数据。这将允许申请人在需要时尽快向FDA提供额外的信息或分析。申请人在提交给FDA后确定的数据错误应立即提交给FDA。</w:t>
      </w:r>
    </w:p>
    <w:p w14:paraId="6B0501A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 xml:space="preserve"> </w:t>
      </w:r>
    </w:p>
    <w:p w14:paraId="35206DB2">
      <w:pPr>
        <w:rPr>
          <w:rFonts w:ascii="Arial" w:hAnsi="Arial" w:eastAsia="宋体" w:cs="Arial"/>
          <w:sz w:val="21"/>
          <w:szCs w:val="21"/>
          <w:lang w:eastAsia="zh-CN"/>
        </w:rPr>
      </w:pPr>
      <w:r>
        <w:rPr>
          <w:rFonts w:ascii="Arial" w:hAnsi="Arial" w:eastAsia="宋体" w:cs="Arial"/>
          <w:sz w:val="21"/>
          <w:szCs w:val="21"/>
          <w:lang w:eastAsia="zh-CN"/>
        </w:rPr>
        <w:br w:type="page"/>
      </w:r>
    </w:p>
    <w:p w14:paraId="33C51F89">
      <w:pPr>
        <w:pStyle w:val="10"/>
        <w:numPr>
          <w:ilvl w:val="1"/>
          <w:numId w:val="2"/>
        </w:numPr>
        <w:tabs>
          <w:tab w:val="left" w:pos="1541"/>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表格和图表：</w:t>
      </w:r>
      <w:r>
        <w:rPr>
          <w:rFonts w:ascii="Arial" w:hAnsi="Arial" w:eastAsia="宋体" w:cs="Arial"/>
          <w:sz w:val="21"/>
          <w:szCs w:val="21"/>
          <w:lang w:eastAsia="zh-CN"/>
        </w:rPr>
        <w:t>结构合理的表格对于申请以及对数据的评价至关重要。应清楚地标识所有表格，并用标注指向可充分说明数据性质的脚注或可访问的参考页。</w:t>
      </w:r>
    </w:p>
    <w:p w14:paraId="59FFCA17">
      <w:pPr>
        <w:pStyle w:val="3"/>
        <w:snapToGrid w:val="0"/>
        <w:spacing w:line="300" w:lineRule="auto"/>
        <w:ind w:left="0"/>
        <w:jc w:val="both"/>
        <w:rPr>
          <w:rFonts w:ascii="Arial" w:hAnsi="Arial" w:eastAsia="宋体" w:cs="Arial"/>
          <w:sz w:val="21"/>
          <w:szCs w:val="21"/>
          <w:lang w:eastAsia="zh-CN"/>
        </w:rPr>
      </w:pPr>
    </w:p>
    <w:p w14:paraId="32510A0A">
      <w:pPr>
        <w:pStyle w:val="3"/>
        <w:snapToGrid w:val="0"/>
        <w:spacing w:line="300" w:lineRule="auto"/>
        <w:ind w:left="936" w:leftChars="425" w:hanging="1"/>
        <w:jc w:val="both"/>
        <w:rPr>
          <w:rFonts w:ascii="Arial" w:hAnsi="Arial" w:eastAsia="宋体" w:cs="Arial"/>
          <w:sz w:val="21"/>
          <w:szCs w:val="21"/>
          <w:lang w:eastAsia="zh-CN"/>
        </w:rPr>
      </w:pPr>
      <w:r>
        <w:rPr>
          <w:rFonts w:ascii="Arial" w:hAnsi="Arial" w:eastAsia="宋体" w:cs="Arial"/>
          <w:sz w:val="21"/>
          <w:szCs w:val="21"/>
          <w:lang w:eastAsia="zh-CN"/>
        </w:rPr>
        <w:t>图表应该补充而不得代替数据表。应该以清晰的方式提供。</w:t>
      </w:r>
    </w:p>
    <w:p w14:paraId="65BBA0A1">
      <w:pPr>
        <w:pStyle w:val="10"/>
        <w:snapToGrid w:val="0"/>
        <w:spacing w:line="300" w:lineRule="auto"/>
        <w:jc w:val="both"/>
        <w:rPr>
          <w:rFonts w:ascii="Arial" w:hAnsi="Arial" w:eastAsia="宋体" w:cs="Arial"/>
          <w:sz w:val="21"/>
          <w:szCs w:val="21"/>
          <w:lang w:eastAsia="zh-CN"/>
        </w:rPr>
      </w:pPr>
    </w:p>
    <w:p w14:paraId="1927ED3B">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已发表文献：</w:t>
      </w:r>
      <w:r>
        <w:rPr>
          <w:rFonts w:ascii="Arial" w:hAnsi="Arial" w:eastAsia="宋体" w:cs="Arial"/>
          <w:sz w:val="21"/>
          <w:szCs w:val="21"/>
          <w:lang w:eastAsia="zh-CN"/>
        </w:rPr>
        <w:t>研究报告中引用的已发布方法或数据应附在研究报告中。其他引用的已发布报告或数据的重印本应附加到对其进行引用的部分。应总结所有引用的报告和数据，包括其如何与当前的提交资料有关的说明。参考引用应该完整（例如标题、作者、卷、页、年）。</w:t>
      </w:r>
    </w:p>
    <w:p w14:paraId="11D6EE97">
      <w:pPr>
        <w:pStyle w:val="10"/>
        <w:tabs>
          <w:tab w:val="left" w:pos="1540"/>
        </w:tabs>
        <w:snapToGrid w:val="0"/>
        <w:spacing w:line="300" w:lineRule="auto"/>
        <w:jc w:val="both"/>
        <w:rPr>
          <w:rFonts w:ascii="Arial" w:hAnsi="Arial" w:eastAsia="宋体" w:cs="Arial"/>
          <w:sz w:val="21"/>
          <w:szCs w:val="21"/>
          <w:lang w:eastAsia="zh-CN"/>
        </w:rPr>
      </w:pPr>
    </w:p>
    <w:p w14:paraId="0E58FF0A">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方案和数据分析：</w:t>
      </w:r>
      <w:r>
        <w:rPr>
          <w:rFonts w:ascii="Arial" w:hAnsi="Arial" w:eastAsia="宋体" w:cs="Arial"/>
          <w:sz w:val="21"/>
          <w:szCs w:val="21"/>
          <w:lang w:eastAsia="zh-CN"/>
        </w:rPr>
        <w:t>试验报告必须提供方案（目标、材料的准确描述、实验方法、控制）、观察结果、统计方法和分析、结论和评论。除非具体要求，请勿提交原始数据。有关方案的其他具体说明将在以下部分中介绍。</w:t>
      </w:r>
    </w:p>
    <w:p w14:paraId="0F199516">
      <w:pPr>
        <w:pStyle w:val="10"/>
        <w:tabs>
          <w:tab w:val="left" w:pos="1540"/>
        </w:tabs>
        <w:snapToGrid w:val="0"/>
        <w:spacing w:line="300" w:lineRule="auto"/>
        <w:jc w:val="both"/>
        <w:rPr>
          <w:rFonts w:ascii="Arial" w:hAnsi="Arial" w:eastAsia="宋体" w:cs="Arial"/>
          <w:sz w:val="21"/>
          <w:szCs w:val="21"/>
          <w:lang w:eastAsia="zh-CN"/>
        </w:rPr>
      </w:pPr>
    </w:p>
    <w:p w14:paraId="40E8672A">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u w:val="single"/>
          <w:lang w:eastAsia="zh-CN"/>
        </w:rPr>
        <w:t>对所提交数据的参考：</w:t>
      </w:r>
      <w:r>
        <w:rPr>
          <w:rFonts w:ascii="Arial" w:hAnsi="Arial" w:eastAsia="宋体" w:cs="Arial"/>
          <w:sz w:val="21"/>
          <w:szCs w:val="21"/>
          <w:lang w:eastAsia="zh-CN"/>
        </w:rPr>
        <w:t>为了支持510（k），申请人可以参考以前提交给FDA的任何信息。如果申请人没有提交</w:t>
      </w:r>
      <w:bookmarkStart w:id="1" w:name="OLE_LINK1"/>
      <w:bookmarkStart w:id="2" w:name="OLE_LINK2"/>
      <w:r>
        <w:rPr>
          <w:rFonts w:ascii="Arial" w:hAnsi="Arial" w:eastAsia="宋体" w:cs="Arial"/>
          <w:sz w:val="21"/>
          <w:szCs w:val="21"/>
          <w:lang w:eastAsia="zh-CN"/>
        </w:rPr>
        <w:t>参考数据</w:t>
      </w:r>
      <w:bookmarkEnd w:id="1"/>
      <w:bookmarkEnd w:id="2"/>
      <w:r>
        <w:rPr>
          <w:rFonts w:ascii="Arial" w:hAnsi="Arial" w:eastAsia="宋体" w:cs="Arial"/>
          <w:sz w:val="21"/>
          <w:szCs w:val="21"/>
          <w:lang w:eastAsia="zh-CN"/>
        </w:rPr>
        <w:t>，申请人必须提供给FDA，或使参考数据的提交者提供给FDA一份授权书。通常，当数据涉及的范围较小时，重新提交510（k）中的数据将有助于文件审查。</w:t>
      </w:r>
    </w:p>
    <w:p w14:paraId="1B58D6DC">
      <w:pPr>
        <w:snapToGrid w:val="0"/>
        <w:spacing w:before="8" w:line="300" w:lineRule="auto"/>
        <w:jc w:val="both"/>
        <w:rPr>
          <w:rFonts w:ascii="Arial" w:hAnsi="Arial" w:eastAsia="宋体" w:cs="Arial"/>
          <w:sz w:val="21"/>
          <w:szCs w:val="21"/>
          <w:lang w:eastAsia="zh-CN"/>
        </w:rPr>
      </w:pPr>
    </w:p>
    <w:p w14:paraId="026516F0">
      <w:pPr>
        <w:pStyle w:val="10"/>
        <w:numPr>
          <w:ilvl w:val="0"/>
          <w:numId w:val="2"/>
        </w:numPr>
        <w:tabs>
          <w:tab w:val="left" w:pos="546"/>
        </w:tabs>
        <w:snapToGrid w:val="0"/>
        <w:spacing w:line="300" w:lineRule="auto"/>
        <w:ind w:left="0" w:firstLine="0"/>
        <w:jc w:val="both"/>
        <w:rPr>
          <w:rFonts w:ascii="Arial" w:hAnsi="Arial" w:eastAsia="宋体" w:cs="Arial"/>
          <w:b/>
          <w:sz w:val="21"/>
          <w:szCs w:val="21"/>
          <w:lang w:eastAsia="zh-CN"/>
        </w:rPr>
      </w:pPr>
      <w:r>
        <w:rPr>
          <w:rFonts w:ascii="Arial" w:hAnsi="Arial" w:eastAsia="宋体" w:cs="Arial"/>
          <w:b/>
          <w:sz w:val="21"/>
          <w:szCs w:val="21"/>
          <w:lang w:eastAsia="zh-CN"/>
        </w:rPr>
        <w:t>补充性指南</w:t>
      </w:r>
    </w:p>
    <w:p w14:paraId="4A7E908D">
      <w:pPr>
        <w:snapToGrid w:val="0"/>
        <w:spacing w:before="6" w:line="300" w:lineRule="auto"/>
        <w:jc w:val="both"/>
        <w:rPr>
          <w:rFonts w:ascii="Arial" w:hAnsi="Arial" w:eastAsia="宋体" w:cs="Arial"/>
          <w:b/>
          <w:bCs/>
          <w:sz w:val="21"/>
          <w:szCs w:val="21"/>
        </w:rPr>
      </w:pPr>
    </w:p>
    <w:p w14:paraId="7D7CC724">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以下补充性FDA</w:t>
      </w:r>
      <w:r>
        <w:rPr>
          <w:rFonts w:hint="eastAsia" w:ascii="Arial" w:hAnsi="Arial" w:eastAsia="宋体" w:cs="Arial"/>
          <w:sz w:val="21"/>
          <w:szCs w:val="21"/>
          <w:lang w:eastAsia="zh-CN"/>
        </w:rPr>
        <w:t>指导</w:t>
      </w:r>
      <w:r>
        <w:rPr>
          <w:rFonts w:ascii="Arial" w:hAnsi="Arial" w:eastAsia="宋体" w:cs="Arial"/>
          <w:sz w:val="21"/>
          <w:szCs w:val="21"/>
          <w:lang w:eastAsia="zh-CN"/>
        </w:rPr>
        <w:t>性文件可从小型制造商协助司获得，电话：（800）638-2041或（301）443-6597：</w:t>
      </w:r>
    </w:p>
    <w:p w14:paraId="25D28ECF">
      <w:pPr>
        <w:pStyle w:val="3"/>
        <w:snapToGrid w:val="0"/>
        <w:spacing w:line="300" w:lineRule="auto"/>
        <w:ind w:left="0"/>
        <w:jc w:val="both"/>
        <w:rPr>
          <w:rFonts w:ascii="Arial" w:hAnsi="Arial" w:eastAsia="宋体" w:cs="Arial"/>
          <w:sz w:val="21"/>
          <w:szCs w:val="21"/>
          <w:lang w:eastAsia="zh-CN"/>
        </w:rPr>
      </w:pPr>
    </w:p>
    <w:p w14:paraId="376C5D47">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lang w:eastAsia="zh-CN"/>
        </w:rPr>
        <w:t>三方医疗器械生物相容性指南</w:t>
      </w:r>
    </w:p>
    <w:p w14:paraId="60051439">
      <w:pPr>
        <w:pStyle w:val="10"/>
        <w:tabs>
          <w:tab w:val="left" w:pos="1540"/>
        </w:tabs>
        <w:snapToGrid w:val="0"/>
        <w:spacing w:line="300" w:lineRule="auto"/>
        <w:ind w:left="937" w:leftChars="235" w:hanging="420" w:hangingChars="200"/>
        <w:jc w:val="both"/>
        <w:rPr>
          <w:rFonts w:ascii="Arial" w:hAnsi="Arial" w:eastAsia="宋体" w:cs="Arial"/>
          <w:sz w:val="21"/>
          <w:szCs w:val="21"/>
          <w:lang w:eastAsia="zh-CN"/>
        </w:rPr>
      </w:pPr>
    </w:p>
    <w:p w14:paraId="2D74B182">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lang w:eastAsia="zh-CN"/>
        </w:rPr>
        <w:t>ODE蓝皮书备忘录编号K90-1：510（k）无菌审查指南</w:t>
      </w:r>
    </w:p>
    <w:p w14:paraId="05213BC6">
      <w:pPr>
        <w:pStyle w:val="10"/>
        <w:tabs>
          <w:tab w:val="left" w:pos="1540"/>
        </w:tabs>
        <w:snapToGrid w:val="0"/>
        <w:spacing w:line="300" w:lineRule="auto"/>
        <w:ind w:left="937" w:leftChars="235" w:hanging="420" w:hangingChars="200"/>
        <w:jc w:val="both"/>
        <w:rPr>
          <w:rFonts w:ascii="Arial" w:hAnsi="Arial" w:eastAsia="宋体" w:cs="Arial"/>
          <w:sz w:val="21"/>
          <w:szCs w:val="21"/>
          <w:lang w:eastAsia="zh-CN"/>
        </w:rPr>
      </w:pPr>
    </w:p>
    <w:p w14:paraId="3116250B">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lang w:eastAsia="zh-CN"/>
        </w:rPr>
        <w:t>ODE蓝皮书备忘录编号G90-1：激光器和附件提交资料的综合审查</w:t>
      </w:r>
    </w:p>
    <w:p w14:paraId="670945AA">
      <w:pPr>
        <w:tabs>
          <w:tab w:val="left" w:pos="1540"/>
        </w:tabs>
        <w:snapToGrid w:val="0"/>
        <w:spacing w:line="300" w:lineRule="auto"/>
        <w:ind w:left="937" w:leftChars="235" w:hanging="420" w:hangingChars="200"/>
        <w:jc w:val="both"/>
        <w:rPr>
          <w:rFonts w:ascii="Arial" w:hAnsi="Arial" w:eastAsia="宋体" w:cs="Arial"/>
          <w:sz w:val="21"/>
          <w:szCs w:val="21"/>
          <w:lang w:eastAsia="zh-CN"/>
        </w:rPr>
      </w:pPr>
    </w:p>
    <w:p w14:paraId="050F8E37">
      <w:pPr>
        <w:pStyle w:val="10"/>
        <w:numPr>
          <w:ilvl w:val="1"/>
          <w:numId w:val="2"/>
        </w:numPr>
        <w:tabs>
          <w:tab w:val="left" w:pos="1540"/>
        </w:tabs>
        <w:snapToGrid w:val="0"/>
        <w:spacing w:line="300" w:lineRule="auto"/>
        <w:ind w:left="937" w:leftChars="235" w:hanging="420" w:hangingChars="200"/>
        <w:jc w:val="both"/>
        <w:rPr>
          <w:rFonts w:ascii="Arial" w:hAnsi="Arial" w:eastAsia="宋体" w:cs="Arial"/>
          <w:sz w:val="21"/>
          <w:szCs w:val="21"/>
          <w:lang w:eastAsia="zh-CN"/>
        </w:rPr>
      </w:pPr>
      <w:r>
        <w:rPr>
          <w:rFonts w:ascii="Arial" w:hAnsi="Arial" w:eastAsia="宋体" w:cs="Arial"/>
          <w:sz w:val="21"/>
          <w:szCs w:val="21"/>
          <w:lang w:eastAsia="zh-CN"/>
        </w:rPr>
        <w:t>ODE蓝皮书备忘录编号G91-1：器械标签指南</w:t>
      </w:r>
    </w:p>
    <w:p w14:paraId="5D36691B">
      <w:pPr>
        <w:pStyle w:val="10"/>
        <w:tabs>
          <w:tab w:val="left" w:pos="1540"/>
        </w:tabs>
        <w:snapToGrid w:val="0"/>
        <w:spacing w:before="1" w:line="300" w:lineRule="auto"/>
        <w:jc w:val="both"/>
        <w:rPr>
          <w:rFonts w:ascii="Arial" w:hAnsi="Arial" w:eastAsia="宋体" w:cs="Arial"/>
          <w:sz w:val="21"/>
          <w:szCs w:val="21"/>
          <w:lang w:eastAsia="zh-CN"/>
        </w:rPr>
      </w:pPr>
    </w:p>
    <w:p w14:paraId="79E2A65A">
      <w:pPr>
        <w:pStyle w:val="10"/>
        <w:tabs>
          <w:tab w:val="left" w:pos="1540"/>
        </w:tabs>
        <w:snapToGrid w:val="0"/>
        <w:spacing w:before="1" w:line="300" w:lineRule="auto"/>
        <w:jc w:val="both"/>
        <w:rPr>
          <w:rFonts w:ascii="Arial" w:hAnsi="Arial" w:eastAsia="宋体" w:cs="Arial"/>
          <w:sz w:val="21"/>
          <w:szCs w:val="21"/>
          <w:lang w:eastAsia="zh-CN"/>
        </w:rPr>
      </w:pPr>
    </w:p>
    <w:p w14:paraId="734E39EA">
      <w:pPr>
        <w:pStyle w:val="10"/>
        <w:tabs>
          <w:tab w:val="left" w:pos="1540"/>
        </w:tabs>
        <w:snapToGrid w:val="0"/>
        <w:spacing w:before="1" w:line="300" w:lineRule="auto"/>
        <w:jc w:val="both"/>
        <w:rPr>
          <w:rFonts w:ascii="Arial" w:hAnsi="Arial" w:eastAsia="宋体" w:cs="Arial"/>
          <w:sz w:val="21"/>
          <w:szCs w:val="21"/>
          <w:lang w:eastAsia="zh-CN"/>
        </w:rPr>
      </w:pPr>
    </w:p>
    <w:p w14:paraId="06FCC2A8">
      <w:pPr>
        <w:pStyle w:val="10"/>
        <w:tabs>
          <w:tab w:val="left" w:pos="1540"/>
        </w:tabs>
        <w:snapToGrid w:val="0"/>
        <w:spacing w:before="1" w:line="300" w:lineRule="auto"/>
        <w:jc w:val="both"/>
        <w:rPr>
          <w:rFonts w:ascii="Arial" w:hAnsi="Arial" w:eastAsia="宋体" w:cs="Arial"/>
          <w:sz w:val="21"/>
          <w:szCs w:val="21"/>
          <w:lang w:eastAsia="zh-CN"/>
        </w:rPr>
      </w:pPr>
    </w:p>
    <w:p w14:paraId="2F68188A">
      <w:pPr>
        <w:pStyle w:val="10"/>
        <w:tabs>
          <w:tab w:val="left" w:pos="1540"/>
        </w:tabs>
        <w:snapToGrid w:val="0"/>
        <w:spacing w:before="1" w:line="300" w:lineRule="auto"/>
        <w:jc w:val="both"/>
        <w:rPr>
          <w:rFonts w:ascii="Arial" w:hAnsi="Arial" w:eastAsia="宋体" w:cs="Arial"/>
          <w:sz w:val="21"/>
          <w:szCs w:val="21"/>
          <w:lang w:eastAsia="zh-CN"/>
        </w:rPr>
      </w:pPr>
    </w:p>
    <w:p w14:paraId="72FA2C92">
      <w:pPr>
        <w:pStyle w:val="10"/>
        <w:tabs>
          <w:tab w:val="left" w:pos="1540"/>
        </w:tabs>
        <w:snapToGrid w:val="0"/>
        <w:spacing w:before="1" w:line="300" w:lineRule="auto"/>
        <w:jc w:val="both"/>
        <w:rPr>
          <w:rFonts w:ascii="Arial" w:hAnsi="Arial" w:eastAsia="宋体" w:cs="Arial"/>
          <w:sz w:val="21"/>
          <w:szCs w:val="21"/>
          <w:lang w:eastAsia="zh-CN"/>
        </w:rPr>
      </w:pPr>
    </w:p>
    <w:p w14:paraId="4EA362FF">
      <w:pPr>
        <w:pStyle w:val="10"/>
        <w:tabs>
          <w:tab w:val="left" w:pos="1540"/>
        </w:tabs>
        <w:snapToGrid w:val="0"/>
        <w:spacing w:before="1" w:line="300" w:lineRule="auto"/>
        <w:jc w:val="both"/>
        <w:rPr>
          <w:rFonts w:ascii="Arial" w:hAnsi="Arial" w:eastAsia="宋体" w:cs="Arial"/>
          <w:sz w:val="21"/>
          <w:szCs w:val="21"/>
          <w:lang w:eastAsia="zh-CN"/>
        </w:rPr>
      </w:pPr>
    </w:p>
    <w:p w14:paraId="5B3F68F5">
      <w:pPr>
        <w:rPr>
          <w:rFonts w:ascii="Arial" w:hAnsi="Arial" w:eastAsia="宋体" w:cs="Arial"/>
          <w:b/>
          <w:bCs/>
          <w:sz w:val="21"/>
          <w:szCs w:val="21"/>
          <w:lang w:eastAsia="zh-CN"/>
        </w:rPr>
      </w:pPr>
      <w:r>
        <w:rPr>
          <w:rFonts w:ascii="Arial" w:hAnsi="Arial" w:eastAsia="宋体" w:cs="Arial"/>
          <w:sz w:val="21"/>
          <w:szCs w:val="21"/>
          <w:lang w:eastAsia="zh-CN"/>
        </w:rPr>
        <w:br w:type="page"/>
      </w:r>
    </w:p>
    <w:p w14:paraId="2261A816">
      <w:pPr>
        <w:pStyle w:val="2"/>
        <w:numPr>
          <w:ilvl w:val="0"/>
          <w:numId w:val="1"/>
        </w:numPr>
        <w:tabs>
          <w:tab w:val="left" w:pos="822"/>
        </w:tabs>
        <w:snapToGrid w:val="0"/>
        <w:spacing w:before="73"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医疗激光器上市前通告的内容</w:t>
      </w:r>
    </w:p>
    <w:p w14:paraId="5E223894">
      <w:pPr>
        <w:snapToGrid w:val="0"/>
        <w:spacing w:before="8" w:line="300" w:lineRule="auto"/>
        <w:jc w:val="both"/>
        <w:rPr>
          <w:rFonts w:ascii="Arial" w:hAnsi="Arial" w:eastAsia="宋体" w:cs="Arial"/>
          <w:b/>
          <w:bCs/>
          <w:sz w:val="21"/>
          <w:szCs w:val="21"/>
          <w:lang w:eastAsia="zh-CN"/>
        </w:rPr>
      </w:pPr>
    </w:p>
    <w:p w14:paraId="0FA81CF2">
      <w:pPr>
        <w:pStyle w:val="10"/>
        <w:numPr>
          <w:ilvl w:val="0"/>
          <w:numId w:val="4"/>
        </w:numPr>
        <w:tabs>
          <w:tab w:val="left" w:pos="821"/>
        </w:tabs>
        <w:snapToGrid w:val="0"/>
        <w:spacing w:line="300" w:lineRule="auto"/>
        <w:ind w:left="0" w:firstLine="0"/>
        <w:jc w:val="both"/>
        <w:rPr>
          <w:rFonts w:ascii="Arial" w:hAnsi="Arial" w:eastAsia="宋体" w:cs="Arial"/>
          <w:sz w:val="21"/>
          <w:szCs w:val="21"/>
        </w:rPr>
      </w:pPr>
      <w:r>
        <w:rPr>
          <w:rFonts w:ascii="Arial" w:hAnsi="Arial" w:eastAsia="宋体" w:cs="Arial"/>
          <w:b/>
          <w:sz w:val="21"/>
          <w:szCs w:val="21"/>
          <w:lang w:eastAsia="zh-CN"/>
        </w:rPr>
        <w:t>附信</w:t>
      </w:r>
    </w:p>
    <w:p w14:paraId="37813A8B">
      <w:pPr>
        <w:pStyle w:val="10"/>
        <w:snapToGrid w:val="0"/>
        <w:spacing w:line="300" w:lineRule="auto"/>
        <w:jc w:val="both"/>
        <w:rPr>
          <w:rFonts w:ascii="Arial" w:hAnsi="Arial" w:eastAsia="宋体" w:cs="Arial"/>
          <w:sz w:val="21"/>
          <w:szCs w:val="21"/>
        </w:rPr>
      </w:pPr>
    </w:p>
    <w:p w14:paraId="58D01E61">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器械名称：激光器的商品名称或专有名称，以及通用名称、常用名称或分类名称。</w:t>
      </w:r>
    </w:p>
    <w:p w14:paraId="025D46B5">
      <w:pPr>
        <w:pStyle w:val="10"/>
        <w:tabs>
          <w:tab w:val="left" w:pos="1541"/>
        </w:tabs>
        <w:snapToGrid w:val="0"/>
        <w:spacing w:line="300" w:lineRule="auto"/>
        <w:ind w:firstLine="840" w:firstLineChars="400"/>
        <w:jc w:val="both"/>
        <w:rPr>
          <w:rFonts w:ascii="Arial" w:hAnsi="Arial" w:eastAsia="宋体" w:cs="Arial"/>
          <w:sz w:val="21"/>
          <w:szCs w:val="21"/>
          <w:lang w:eastAsia="zh-CN"/>
        </w:rPr>
      </w:pPr>
    </w:p>
    <w:p w14:paraId="216D2F2D">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公司</w:t>
      </w:r>
      <w:r>
        <w:rPr>
          <w:rFonts w:ascii="Arial" w:hAnsi="Arial" w:eastAsia="宋体" w:cs="Arial"/>
          <w:sz w:val="21"/>
          <w:szCs w:val="21"/>
        </w:rPr>
        <w:t>注册编号</w:t>
      </w:r>
      <w:r>
        <w:rPr>
          <w:rFonts w:ascii="Arial" w:hAnsi="Arial" w:eastAsia="宋体" w:cs="Arial"/>
          <w:sz w:val="21"/>
          <w:szCs w:val="21"/>
          <w:lang w:eastAsia="zh-CN"/>
        </w:rPr>
        <w:t>。</w:t>
      </w:r>
    </w:p>
    <w:p w14:paraId="743C8B10">
      <w:pPr>
        <w:pStyle w:val="10"/>
        <w:tabs>
          <w:tab w:val="left" w:pos="1541"/>
        </w:tabs>
        <w:snapToGrid w:val="0"/>
        <w:spacing w:line="300" w:lineRule="auto"/>
        <w:ind w:firstLine="840" w:firstLineChars="400"/>
        <w:jc w:val="both"/>
        <w:rPr>
          <w:rFonts w:ascii="Arial" w:hAnsi="Arial" w:eastAsia="宋体" w:cs="Arial"/>
          <w:sz w:val="21"/>
          <w:szCs w:val="21"/>
        </w:rPr>
      </w:pPr>
    </w:p>
    <w:p w14:paraId="49CD6F15">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器械和小组的类别：如果没有分类，则应提供该测定依据的声明。</w:t>
      </w:r>
    </w:p>
    <w:p w14:paraId="7197EA93">
      <w:pPr>
        <w:pStyle w:val="10"/>
        <w:tabs>
          <w:tab w:val="left" w:pos="1541"/>
        </w:tabs>
        <w:snapToGrid w:val="0"/>
        <w:spacing w:line="300" w:lineRule="auto"/>
        <w:ind w:firstLine="840" w:firstLineChars="400"/>
        <w:jc w:val="both"/>
        <w:rPr>
          <w:rFonts w:ascii="Arial" w:hAnsi="Arial" w:eastAsia="宋体" w:cs="Arial"/>
          <w:sz w:val="21"/>
          <w:szCs w:val="21"/>
          <w:lang w:eastAsia="zh-CN"/>
        </w:rPr>
      </w:pPr>
    </w:p>
    <w:p w14:paraId="57836D0B">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性能标准：所有医疗激光器必须符合发光产品的性能标准（21 CFR 1040.10和1040.11）。</w:t>
      </w:r>
    </w:p>
    <w:p w14:paraId="6F0EA006">
      <w:pPr>
        <w:pStyle w:val="10"/>
        <w:tabs>
          <w:tab w:val="left" w:pos="1541"/>
        </w:tabs>
        <w:snapToGrid w:val="0"/>
        <w:spacing w:line="300" w:lineRule="auto"/>
        <w:ind w:firstLine="840" w:firstLineChars="400"/>
        <w:jc w:val="both"/>
        <w:rPr>
          <w:rFonts w:ascii="Arial" w:hAnsi="Arial" w:eastAsia="宋体" w:cs="Arial"/>
          <w:sz w:val="21"/>
          <w:szCs w:val="21"/>
          <w:lang w:eastAsia="zh-CN"/>
        </w:rPr>
      </w:pPr>
    </w:p>
    <w:p w14:paraId="6CB50F1B">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提交者的姓名和地址。</w:t>
      </w:r>
    </w:p>
    <w:p w14:paraId="74A83E42">
      <w:pPr>
        <w:pStyle w:val="10"/>
        <w:tabs>
          <w:tab w:val="left" w:pos="1541"/>
        </w:tabs>
        <w:snapToGrid w:val="0"/>
        <w:spacing w:line="300" w:lineRule="auto"/>
        <w:ind w:firstLine="840" w:firstLineChars="400"/>
        <w:jc w:val="both"/>
        <w:rPr>
          <w:rFonts w:ascii="Arial" w:hAnsi="Arial" w:eastAsia="宋体" w:cs="Arial"/>
          <w:sz w:val="21"/>
          <w:szCs w:val="21"/>
        </w:rPr>
      </w:pPr>
    </w:p>
    <w:p w14:paraId="444F86C9">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联系人、电话号码和传真号码。</w:t>
      </w:r>
    </w:p>
    <w:p w14:paraId="221F3F63">
      <w:pPr>
        <w:pStyle w:val="10"/>
        <w:tabs>
          <w:tab w:val="left" w:pos="1541"/>
        </w:tabs>
        <w:snapToGrid w:val="0"/>
        <w:spacing w:line="300" w:lineRule="auto"/>
        <w:ind w:firstLine="840" w:firstLineChars="400"/>
        <w:jc w:val="both"/>
        <w:rPr>
          <w:rFonts w:ascii="Arial" w:hAnsi="Arial" w:eastAsia="宋体" w:cs="Arial"/>
          <w:sz w:val="21"/>
          <w:szCs w:val="21"/>
          <w:lang w:eastAsia="zh-CN"/>
        </w:rPr>
      </w:pPr>
    </w:p>
    <w:p w14:paraId="43B5891A">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生产机构/机构的地址，以及灭菌地点（如适用）。</w:t>
      </w:r>
    </w:p>
    <w:p w14:paraId="2198F65C">
      <w:pPr>
        <w:pStyle w:val="10"/>
        <w:tabs>
          <w:tab w:val="left" w:pos="1541"/>
        </w:tabs>
        <w:snapToGrid w:val="0"/>
        <w:spacing w:line="300" w:lineRule="auto"/>
        <w:ind w:firstLine="840" w:firstLineChars="400"/>
        <w:jc w:val="both"/>
        <w:rPr>
          <w:rFonts w:ascii="Arial" w:hAnsi="Arial" w:eastAsia="宋体" w:cs="Arial"/>
          <w:sz w:val="21"/>
          <w:szCs w:val="21"/>
          <w:lang w:eastAsia="zh-CN"/>
        </w:rPr>
      </w:pPr>
    </w:p>
    <w:p w14:paraId="08946D67">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提交原因（例如，新型激光器或附件，新</w:t>
      </w:r>
      <w:r>
        <w:rPr>
          <w:rFonts w:hint="eastAsia" w:ascii="Arial" w:hAnsi="Arial" w:eastAsia="宋体" w:cs="Arial"/>
          <w:b/>
          <w:sz w:val="21"/>
          <w:szCs w:val="21"/>
          <w:lang w:eastAsia="zh-CN"/>
        </w:rPr>
        <w:t>适应症</w:t>
      </w:r>
      <w:r>
        <w:rPr>
          <w:rFonts w:ascii="Arial" w:hAnsi="Arial" w:eastAsia="宋体" w:cs="Arial"/>
          <w:sz w:val="21"/>
          <w:szCs w:val="21"/>
          <w:lang w:eastAsia="zh-CN"/>
        </w:rPr>
        <w:t>）。</w:t>
      </w:r>
    </w:p>
    <w:p w14:paraId="3A048EFB">
      <w:pPr>
        <w:snapToGrid w:val="0"/>
        <w:spacing w:before="7" w:line="300" w:lineRule="auto"/>
        <w:jc w:val="both"/>
        <w:rPr>
          <w:rFonts w:ascii="Arial" w:hAnsi="Arial" w:eastAsia="宋体" w:cs="Arial"/>
          <w:sz w:val="21"/>
          <w:szCs w:val="21"/>
          <w:lang w:eastAsia="zh-CN"/>
        </w:rPr>
      </w:pPr>
    </w:p>
    <w:p w14:paraId="0746DE08">
      <w:pPr>
        <w:pStyle w:val="2"/>
        <w:numPr>
          <w:ilvl w:val="0"/>
          <w:numId w:val="4"/>
        </w:numPr>
        <w:tabs>
          <w:tab w:val="left" w:pos="821"/>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lang w:eastAsia="zh-CN"/>
        </w:rPr>
        <w:t>目录</w:t>
      </w:r>
    </w:p>
    <w:p w14:paraId="5E51EDE9">
      <w:pPr>
        <w:snapToGrid w:val="0"/>
        <w:spacing w:before="6" w:line="300" w:lineRule="auto"/>
        <w:jc w:val="both"/>
        <w:rPr>
          <w:rFonts w:ascii="Arial" w:hAnsi="Arial" w:eastAsia="宋体" w:cs="Arial"/>
          <w:b/>
          <w:bCs/>
          <w:sz w:val="21"/>
          <w:szCs w:val="21"/>
        </w:rPr>
      </w:pPr>
    </w:p>
    <w:p w14:paraId="3C0124A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提供提交资料的完整目录。分页并以表格列出章节，以便于审查。</w:t>
      </w:r>
    </w:p>
    <w:p w14:paraId="3EB0FC40">
      <w:pPr>
        <w:snapToGrid w:val="0"/>
        <w:spacing w:before="2" w:line="300" w:lineRule="auto"/>
        <w:jc w:val="both"/>
        <w:rPr>
          <w:rFonts w:ascii="Arial" w:hAnsi="Arial" w:eastAsia="宋体" w:cs="Arial"/>
          <w:sz w:val="21"/>
          <w:szCs w:val="21"/>
          <w:lang w:eastAsia="zh-CN"/>
        </w:rPr>
      </w:pPr>
    </w:p>
    <w:p w14:paraId="16456362">
      <w:pPr>
        <w:pStyle w:val="2"/>
        <w:numPr>
          <w:ilvl w:val="0"/>
          <w:numId w:val="4"/>
        </w:numPr>
        <w:tabs>
          <w:tab w:val="left" w:pos="821"/>
        </w:tabs>
        <w:snapToGrid w:val="0"/>
        <w:spacing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实质等同性依据的概要</w:t>
      </w:r>
    </w:p>
    <w:p w14:paraId="033E99F3">
      <w:pPr>
        <w:snapToGrid w:val="0"/>
        <w:spacing w:before="6" w:line="300" w:lineRule="auto"/>
        <w:jc w:val="both"/>
        <w:rPr>
          <w:rFonts w:ascii="Arial" w:hAnsi="Arial" w:eastAsia="宋体" w:cs="Arial"/>
          <w:b/>
          <w:bCs/>
          <w:sz w:val="21"/>
          <w:szCs w:val="21"/>
          <w:lang w:eastAsia="zh-CN"/>
        </w:rPr>
      </w:pPr>
    </w:p>
    <w:p w14:paraId="6D8846E9">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提供实质等同性依据的简要介绍性概要以便于审查。参考提交资料的后续章节可获取更详细的信息。申请人可以选择在蓝皮书备忘录编号86-3中包含的</w:t>
      </w:r>
      <w:r>
        <w:rPr>
          <w:rFonts w:ascii="宋体" w:hAnsi="宋体" w:eastAsia="宋体" w:cs="Arial"/>
          <w:sz w:val="21"/>
          <w:szCs w:val="21"/>
          <w:lang w:eastAsia="zh-CN"/>
        </w:rPr>
        <w:t>“</w:t>
      </w:r>
      <w:r>
        <w:rPr>
          <w:rFonts w:ascii="Arial" w:hAnsi="Arial" w:eastAsia="宋体" w:cs="Arial"/>
          <w:sz w:val="21"/>
          <w:szCs w:val="21"/>
          <w:lang w:eastAsia="zh-CN"/>
        </w:rPr>
        <w:t>510（k）实质等同性决策程序</w:t>
      </w:r>
      <w:r>
        <w:rPr>
          <w:rFonts w:ascii="宋体" w:hAnsi="宋体" w:eastAsia="宋体" w:cs="Arial"/>
          <w:sz w:val="21"/>
          <w:szCs w:val="21"/>
          <w:lang w:eastAsia="zh-CN"/>
        </w:rPr>
        <w:t>”</w:t>
      </w:r>
      <w:r>
        <w:rPr>
          <w:rFonts w:ascii="Arial" w:hAnsi="Arial" w:eastAsia="宋体" w:cs="Arial"/>
          <w:sz w:val="21"/>
          <w:szCs w:val="21"/>
          <w:lang w:eastAsia="zh-CN"/>
        </w:rPr>
        <w:t>流程图中提供等同性分析。蓝皮书文件可从小型制造商协助司获得。</w:t>
      </w:r>
    </w:p>
    <w:p w14:paraId="61B336FB">
      <w:pPr>
        <w:snapToGrid w:val="0"/>
        <w:spacing w:before="2" w:line="300" w:lineRule="auto"/>
        <w:jc w:val="both"/>
        <w:rPr>
          <w:rFonts w:ascii="Arial" w:hAnsi="Arial" w:eastAsia="宋体" w:cs="Arial"/>
          <w:sz w:val="21"/>
          <w:szCs w:val="21"/>
          <w:lang w:eastAsia="zh-CN"/>
        </w:rPr>
      </w:pPr>
    </w:p>
    <w:p w14:paraId="508E2172">
      <w:pPr>
        <w:pStyle w:val="2"/>
        <w:numPr>
          <w:ilvl w:val="0"/>
          <w:numId w:val="4"/>
        </w:numPr>
        <w:tabs>
          <w:tab w:val="left" w:pos="821"/>
        </w:tabs>
        <w:snapToGrid w:val="0"/>
        <w:spacing w:line="300" w:lineRule="auto"/>
        <w:ind w:left="0" w:firstLine="0"/>
        <w:jc w:val="both"/>
        <w:rPr>
          <w:rFonts w:ascii="Arial" w:hAnsi="Arial" w:eastAsia="宋体" w:cs="Arial"/>
          <w:b w:val="0"/>
          <w:bCs w:val="0"/>
          <w:sz w:val="21"/>
          <w:szCs w:val="21"/>
        </w:rPr>
      </w:pPr>
      <w:r>
        <w:rPr>
          <w:rFonts w:ascii="Arial" w:hAnsi="Arial" w:eastAsia="宋体" w:cs="Arial"/>
          <w:b w:val="0"/>
          <w:bCs w:val="0"/>
          <w:sz w:val="21"/>
          <w:szCs w:val="21"/>
          <w:lang w:eastAsia="zh-CN"/>
        </w:rPr>
        <w:t>贴标</w:t>
      </w:r>
    </w:p>
    <w:p w14:paraId="47343EF0">
      <w:pPr>
        <w:snapToGrid w:val="0"/>
        <w:spacing w:before="6" w:line="300" w:lineRule="auto"/>
        <w:jc w:val="both"/>
        <w:rPr>
          <w:rFonts w:ascii="Arial" w:hAnsi="Arial" w:eastAsia="宋体" w:cs="Arial"/>
          <w:b/>
          <w:bCs/>
          <w:sz w:val="21"/>
          <w:szCs w:val="21"/>
        </w:rPr>
      </w:pPr>
    </w:p>
    <w:p w14:paraId="1EF8E7EB">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医疗激光器标签必须符合21 CFR 801、标签和21 CFR 1040.10和1040.11、发光产品性能标准的要求。必须提交以下贴标：</w:t>
      </w:r>
    </w:p>
    <w:p w14:paraId="6E029918">
      <w:pPr>
        <w:snapToGrid w:val="0"/>
        <w:spacing w:before="6" w:line="300" w:lineRule="auto"/>
        <w:jc w:val="both"/>
        <w:rPr>
          <w:rFonts w:ascii="Arial" w:hAnsi="Arial" w:eastAsia="宋体" w:cs="Arial"/>
          <w:sz w:val="21"/>
          <w:szCs w:val="21"/>
          <w:lang w:eastAsia="zh-CN"/>
        </w:rPr>
      </w:pPr>
    </w:p>
    <w:p w14:paraId="51AF920F">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标签</w:t>
      </w:r>
    </w:p>
    <w:p w14:paraId="75A21C82">
      <w:pPr>
        <w:snapToGrid w:val="0"/>
        <w:spacing w:before="10" w:line="300" w:lineRule="auto"/>
        <w:jc w:val="both"/>
        <w:rPr>
          <w:rFonts w:ascii="Arial" w:hAnsi="Arial" w:eastAsia="宋体" w:cs="Arial"/>
          <w:sz w:val="21"/>
          <w:szCs w:val="21"/>
        </w:rPr>
      </w:pPr>
    </w:p>
    <w:p w14:paraId="1F3EF98B">
      <w:pPr>
        <w:pStyle w:val="3"/>
        <w:snapToGrid w:val="0"/>
        <w:spacing w:line="300" w:lineRule="auto"/>
        <w:ind w:left="0" w:firstLine="1524" w:firstLineChars="726"/>
        <w:jc w:val="both"/>
        <w:rPr>
          <w:rFonts w:ascii="Arial" w:hAnsi="Arial" w:eastAsia="宋体" w:cs="Arial"/>
          <w:sz w:val="21"/>
          <w:szCs w:val="21"/>
          <w:lang w:eastAsia="zh-CN"/>
        </w:rPr>
      </w:pPr>
      <w:r>
        <w:rPr>
          <w:rFonts w:ascii="Arial" w:hAnsi="Arial" w:eastAsia="宋体" w:cs="Arial"/>
          <w:sz w:val="21"/>
          <w:szCs w:val="21"/>
          <w:lang w:eastAsia="zh-CN"/>
        </w:rPr>
        <w:t>应提供贴在器械上及其内包装的标签。</w:t>
      </w:r>
    </w:p>
    <w:p w14:paraId="40D01EF2">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 xml:space="preserve"> </w:t>
      </w:r>
    </w:p>
    <w:p w14:paraId="18908741">
      <w:pPr>
        <w:rPr>
          <w:rFonts w:ascii="Arial" w:hAnsi="Arial" w:eastAsia="宋体" w:cs="Arial"/>
          <w:sz w:val="21"/>
          <w:szCs w:val="21"/>
          <w:lang w:eastAsia="zh-CN"/>
        </w:rPr>
      </w:pPr>
      <w:r>
        <w:rPr>
          <w:rFonts w:ascii="Arial" w:hAnsi="Arial" w:eastAsia="宋体" w:cs="Arial"/>
          <w:sz w:val="21"/>
          <w:szCs w:val="21"/>
          <w:lang w:eastAsia="zh-CN"/>
        </w:rPr>
        <w:br w:type="page"/>
      </w:r>
    </w:p>
    <w:p w14:paraId="2A9E50BA">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贴标</w:t>
      </w:r>
    </w:p>
    <w:p w14:paraId="6BE9888B">
      <w:pPr>
        <w:snapToGrid w:val="0"/>
        <w:spacing w:before="10" w:line="300" w:lineRule="auto"/>
        <w:jc w:val="both"/>
        <w:rPr>
          <w:rFonts w:ascii="Arial" w:hAnsi="Arial" w:eastAsia="宋体" w:cs="Arial"/>
          <w:sz w:val="21"/>
          <w:szCs w:val="21"/>
        </w:rPr>
      </w:pPr>
    </w:p>
    <w:p w14:paraId="574E71CC">
      <w:pPr>
        <w:pStyle w:val="3"/>
        <w:snapToGrid w:val="0"/>
        <w:spacing w:line="300" w:lineRule="auto"/>
        <w:ind w:left="1509" w:leftChars="686" w:firstLine="6" w:firstLineChars="3"/>
        <w:jc w:val="both"/>
        <w:rPr>
          <w:rFonts w:ascii="Arial" w:hAnsi="Arial" w:eastAsia="宋体" w:cs="Arial"/>
          <w:sz w:val="21"/>
          <w:szCs w:val="21"/>
          <w:lang w:eastAsia="zh-CN"/>
        </w:rPr>
      </w:pPr>
      <w:r>
        <w:rPr>
          <w:rFonts w:ascii="Arial" w:hAnsi="Arial" w:eastAsia="宋体" w:cs="Arial"/>
          <w:sz w:val="21"/>
          <w:szCs w:val="21"/>
          <w:lang w:eastAsia="zh-CN"/>
        </w:rPr>
        <w:t>包装上或内部的标签必须包含有关激光器使用的信息。该信息通常以用户手册的形式提供。用户手册包括有关安装要求和程序、专业使用说明和维护程序的信息。第III部分提供了有关</w:t>
      </w:r>
      <w:r>
        <w:rPr>
          <w:rFonts w:hint="eastAsia" w:ascii="Arial" w:hAnsi="Arial" w:eastAsia="宋体" w:cs="Arial"/>
          <w:b/>
          <w:sz w:val="21"/>
          <w:szCs w:val="21"/>
          <w:lang w:eastAsia="zh-CN"/>
        </w:rPr>
        <w:t>标签</w:t>
      </w:r>
      <w:r>
        <w:rPr>
          <w:rFonts w:ascii="Arial" w:hAnsi="Arial" w:eastAsia="宋体" w:cs="Arial"/>
          <w:b/>
          <w:sz w:val="21"/>
          <w:szCs w:val="21"/>
          <w:lang w:eastAsia="zh-CN"/>
        </w:rPr>
        <w:t>-</w:t>
      </w:r>
      <w:r>
        <w:rPr>
          <w:rFonts w:hint="eastAsia" w:ascii="Arial" w:hAnsi="Arial" w:eastAsia="宋体" w:cs="Arial"/>
          <w:b/>
          <w:sz w:val="21"/>
          <w:szCs w:val="21"/>
          <w:lang w:eastAsia="zh-CN"/>
        </w:rPr>
        <w:t>医用激光适应症</w:t>
      </w:r>
      <w:r>
        <w:rPr>
          <w:rFonts w:ascii="Arial" w:hAnsi="Arial" w:eastAsia="宋体" w:cs="Arial"/>
          <w:sz w:val="21"/>
          <w:szCs w:val="21"/>
          <w:lang w:eastAsia="zh-CN"/>
        </w:rPr>
        <w:t>的详细讨论，第IV部分提供了关于</w:t>
      </w:r>
      <w:r>
        <w:rPr>
          <w:rFonts w:hint="eastAsia" w:ascii="Arial" w:hAnsi="Arial" w:eastAsia="宋体" w:cs="Arial"/>
          <w:b/>
          <w:sz w:val="21"/>
          <w:szCs w:val="21"/>
          <w:lang w:eastAsia="zh-CN"/>
        </w:rPr>
        <w:t>标签</w:t>
      </w:r>
      <w:r>
        <w:rPr>
          <w:rFonts w:ascii="Arial" w:hAnsi="Arial" w:eastAsia="宋体" w:cs="Arial"/>
          <w:b/>
          <w:sz w:val="21"/>
          <w:szCs w:val="21"/>
          <w:lang w:eastAsia="zh-CN"/>
        </w:rPr>
        <w:t>-</w:t>
      </w:r>
      <w:r>
        <w:rPr>
          <w:rFonts w:hint="eastAsia" w:ascii="Arial" w:hAnsi="Arial" w:eastAsia="宋体" w:cs="Arial"/>
          <w:b/>
          <w:sz w:val="21"/>
          <w:szCs w:val="21"/>
          <w:lang w:eastAsia="zh-CN"/>
        </w:rPr>
        <w:t>专业使用说明</w:t>
      </w:r>
      <w:r>
        <w:rPr>
          <w:rFonts w:ascii="Arial" w:hAnsi="Arial" w:eastAsia="宋体" w:cs="Arial"/>
          <w:sz w:val="21"/>
          <w:szCs w:val="21"/>
          <w:lang w:eastAsia="zh-CN"/>
        </w:rPr>
        <w:t>的详细建议。</w:t>
      </w:r>
    </w:p>
    <w:p w14:paraId="478420E9">
      <w:pPr>
        <w:snapToGrid w:val="0"/>
        <w:spacing w:before="4" w:line="300" w:lineRule="auto"/>
        <w:jc w:val="both"/>
        <w:rPr>
          <w:rFonts w:ascii="Arial" w:hAnsi="Arial" w:eastAsia="宋体" w:cs="Arial"/>
          <w:sz w:val="21"/>
          <w:szCs w:val="21"/>
          <w:lang w:eastAsia="zh-CN"/>
        </w:rPr>
      </w:pPr>
    </w:p>
    <w:p w14:paraId="45A46486">
      <w:pPr>
        <w:pStyle w:val="3"/>
        <w:snapToGrid w:val="0"/>
        <w:spacing w:line="300" w:lineRule="auto"/>
        <w:ind w:left="0"/>
        <w:jc w:val="both"/>
        <w:rPr>
          <w:rFonts w:ascii="Arial" w:hAnsi="Arial" w:eastAsia="宋体" w:cs="Arial"/>
          <w:sz w:val="21"/>
          <w:szCs w:val="21"/>
          <w:lang w:eastAsia="zh-CN"/>
        </w:rPr>
      </w:pPr>
    </w:p>
    <w:p w14:paraId="31D7839F">
      <w:pPr>
        <w:pStyle w:val="3"/>
        <w:snapToGrid w:val="0"/>
        <w:spacing w:line="300" w:lineRule="auto"/>
        <w:ind w:left="1509" w:leftChars="686" w:firstLine="6" w:firstLineChars="3"/>
        <w:jc w:val="both"/>
        <w:rPr>
          <w:rFonts w:ascii="Arial" w:hAnsi="Arial" w:eastAsia="宋体" w:cs="Arial"/>
          <w:sz w:val="21"/>
          <w:szCs w:val="21"/>
          <w:lang w:eastAsia="zh-CN"/>
        </w:rPr>
      </w:pPr>
      <w:r>
        <w:rPr>
          <w:rFonts w:ascii="Arial" w:hAnsi="Arial" w:eastAsia="宋体" w:cs="Arial"/>
          <w:sz w:val="21"/>
          <w:szCs w:val="21"/>
          <w:lang w:eastAsia="zh-CN"/>
        </w:rPr>
        <w:t>用户手册涉及的内容可能很广泛。为了方便审查过程，FDA特别关注用户手册中修改自以前已许可或法律上可接受的手册（例如，前76个用户手册）的部分。如果已在先前的510（k）提交资料中提交了用户手册，申请人可以参考该提交资料，并提供修改手册部分的副本。</w:t>
      </w:r>
    </w:p>
    <w:p w14:paraId="09F89CBA">
      <w:pPr>
        <w:snapToGrid w:val="0"/>
        <w:spacing w:before="6" w:line="300" w:lineRule="auto"/>
        <w:jc w:val="both"/>
        <w:rPr>
          <w:rFonts w:ascii="Arial" w:hAnsi="Arial" w:eastAsia="宋体" w:cs="Arial"/>
          <w:sz w:val="21"/>
          <w:szCs w:val="21"/>
          <w:lang w:eastAsia="zh-CN"/>
        </w:rPr>
      </w:pPr>
    </w:p>
    <w:p w14:paraId="5C581AA0">
      <w:pPr>
        <w:pStyle w:val="10"/>
        <w:numPr>
          <w:ilvl w:val="1"/>
          <w:numId w:val="4"/>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宣传资料</w:t>
      </w:r>
    </w:p>
    <w:p w14:paraId="00116478">
      <w:pPr>
        <w:snapToGrid w:val="0"/>
        <w:spacing w:before="10" w:line="300" w:lineRule="auto"/>
        <w:jc w:val="both"/>
        <w:rPr>
          <w:rFonts w:ascii="Arial" w:hAnsi="Arial" w:eastAsia="宋体" w:cs="Arial"/>
          <w:sz w:val="21"/>
          <w:szCs w:val="21"/>
        </w:rPr>
      </w:pPr>
    </w:p>
    <w:p w14:paraId="34EA631E">
      <w:pPr>
        <w:pStyle w:val="3"/>
        <w:snapToGrid w:val="0"/>
        <w:spacing w:line="300" w:lineRule="auto"/>
        <w:ind w:left="1509" w:leftChars="686" w:firstLine="6" w:firstLineChars="3"/>
        <w:jc w:val="both"/>
        <w:rPr>
          <w:rFonts w:ascii="Arial" w:hAnsi="Arial" w:eastAsia="宋体" w:cs="Arial"/>
          <w:sz w:val="21"/>
          <w:szCs w:val="21"/>
          <w:lang w:eastAsia="zh-CN"/>
        </w:rPr>
      </w:pPr>
      <w:r>
        <w:rPr>
          <w:rFonts w:ascii="Arial" w:hAnsi="Arial" w:eastAsia="宋体" w:cs="Arial"/>
          <w:sz w:val="21"/>
          <w:szCs w:val="21"/>
          <w:lang w:eastAsia="zh-CN"/>
        </w:rPr>
        <w:t>提供主题医疗激光器的草稿或最终宣传资料。这将有助于FDA确定该激光器的预期用途或适应症以及为该器械做出的任何相关声明。</w:t>
      </w:r>
    </w:p>
    <w:p w14:paraId="6FD90667">
      <w:pPr>
        <w:snapToGrid w:val="0"/>
        <w:spacing w:before="2" w:line="300" w:lineRule="auto"/>
        <w:jc w:val="both"/>
        <w:rPr>
          <w:rFonts w:ascii="Arial" w:hAnsi="Arial" w:eastAsia="宋体" w:cs="Arial"/>
          <w:sz w:val="21"/>
          <w:szCs w:val="21"/>
          <w:lang w:eastAsia="zh-CN"/>
        </w:rPr>
      </w:pPr>
    </w:p>
    <w:p w14:paraId="60240ADC">
      <w:pPr>
        <w:pStyle w:val="2"/>
        <w:numPr>
          <w:ilvl w:val="0"/>
          <w:numId w:val="4"/>
        </w:numPr>
        <w:tabs>
          <w:tab w:val="left" w:pos="822"/>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标准</w:t>
      </w:r>
    </w:p>
    <w:p w14:paraId="3A3A1E9A">
      <w:pPr>
        <w:snapToGrid w:val="0"/>
        <w:spacing w:before="6" w:line="300" w:lineRule="auto"/>
        <w:jc w:val="both"/>
        <w:rPr>
          <w:rFonts w:ascii="Arial" w:hAnsi="Arial" w:eastAsia="宋体" w:cs="Arial"/>
          <w:b/>
          <w:bCs/>
          <w:sz w:val="21"/>
          <w:szCs w:val="21"/>
        </w:rPr>
      </w:pPr>
    </w:p>
    <w:p w14:paraId="347A759B">
      <w:pPr>
        <w:pStyle w:val="3"/>
        <w:snapToGrid w:val="0"/>
        <w:spacing w:line="300" w:lineRule="auto"/>
        <w:ind w:left="811" w:leftChars="367" w:hanging="4" w:hangingChars="2"/>
        <w:jc w:val="both"/>
        <w:rPr>
          <w:rFonts w:ascii="Arial" w:hAnsi="Arial" w:eastAsia="宋体" w:cs="Arial"/>
          <w:sz w:val="21"/>
          <w:szCs w:val="21"/>
          <w:lang w:eastAsia="zh-CN"/>
        </w:rPr>
      </w:pPr>
      <w:r>
        <w:rPr>
          <w:rFonts w:ascii="Arial" w:hAnsi="Arial" w:eastAsia="宋体" w:cs="Arial"/>
          <w:sz w:val="21"/>
          <w:szCs w:val="21"/>
          <w:lang w:eastAsia="zh-CN"/>
        </w:rPr>
        <w:t>除了联邦激光器标准（21 CFR 1040.10和1040.11）外，还应注明器械满足的相关标准。提供标准的完整名称和识别字母和数字，包括标准出版的年份。申请人可以证明器械满足该标准。申请人有义务满足该标准，并维持有关这一事实的文档。满足标准的认证可以最大限度地减少FDA要求进行的审查范围。</w:t>
      </w:r>
    </w:p>
    <w:p w14:paraId="49E64006">
      <w:pPr>
        <w:snapToGrid w:val="0"/>
        <w:spacing w:line="300" w:lineRule="auto"/>
        <w:jc w:val="both"/>
        <w:rPr>
          <w:rFonts w:ascii="Arial" w:hAnsi="Arial" w:eastAsia="宋体" w:cs="Arial"/>
          <w:sz w:val="21"/>
          <w:szCs w:val="21"/>
          <w:lang w:eastAsia="zh-CN"/>
        </w:rPr>
      </w:pPr>
    </w:p>
    <w:p w14:paraId="10BB205C">
      <w:pPr>
        <w:pStyle w:val="2"/>
        <w:numPr>
          <w:ilvl w:val="0"/>
          <w:numId w:val="4"/>
        </w:numPr>
        <w:tabs>
          <w:tab w:val="left" w:pos="821"/>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器械</w:t>
      </w:r>
      <w:r>
        <w:rPr>
          <w:rFonts w:ascii="Arial" w:hAnsi="Arial" w:eastAsia="宋体" w:cs="Arial"/>
          <w:sz w:val="21"/>
          <w:szCs w:val="21"/>
          <w:lang w:eastAsia="zh-CN"/>
        </w:rPr>
        <w:t>描述</w:t>
      </w:r>
    </w:p>
    <w:p w14:paraId="08F449F2">
      <w:pPr>
        <w:snapToGrid w:val="0"/>
        <w:spacing w:before="6" w:line="300" w:lineRule="auto"/>
        <w:jc w:val="both"/>
        <w:rPr>
          <w:rFonts w:ascii="Arial" w:hAnsi="Arial" w:eastAsia="宋体" w:cs="Arial"/>
          <w:b/>
          <w:bCs/>
          <w:sz w:val="21"/>
          <w:szCs w:val="21"/>
        </w:rPr>
      </w:pPr>
    </w:p>
    <w:p w14:paraId="00AE9FD4">
      <w:pPr>
        <w:pStyle w:val="3"/>
        <w:snapToGrid w:val="0"/>
        <w:spacing w:line="300" w:lineRule="auto"/>
        <w:ind w:left="811" w:leftChars="367" w:hanging="4" w:hangingChars="2"/>
        <w:jc w:val="both"/>
        <w:rPr>
          <w:rFonts w:ascii="Arial" w:hAnsi="Arial" w:eastAsia="宋体" w:cs="Arial"/>
          <w:sz w:val="21"/>
          <w:szCs w:val="21"/>
          <w:lang w:eastAsia="zh-CN"/>
        </w:rPr>
      </w:pPr>
      <w:r>
        <w:rPr>
          <w:rFonts w:ascii="Arial" w:hAnsi="Arial" w:eastAsia="宋体" w:cs="Arial"/>
          <w:sz w:val="21"/>
          <w:szCs w:val="21"/>
          <w:lang w:eastAsia="zh-CN"/>
        </w:rPr>
        <w:t>申请人必须提交该器械的完整描述，包括所有型号、样式、型号和附件，包括以下内容：</w:t>
      </w:r>
    </w:p>
    <w:p w14:paraId="03828779">
      <w:pPr>
        <w:pStyle w:val="10"/>
        <w:snapToGrid w:val="0"/>
        <w:spacing w:line="300" w:lineRule="auto"/>
        <w:jc w:val="both"/>
        <w:rPr>
          <w:rFonts w:ascii="Arial" w:hAnsi="Arial" w:eastAsia="宋体" w:cs="Arial"/>
          <w:sz w:val="21"/>
          <w:szCs w:val="21"/>
          <w:lang w:eastAsia="zh-CN"/>
        </w:rPr>
      </w:pPr>
    </w:p>
    <w:p w14:paraId="35EC6E82">
      <w:pPr>
        <w:pStyle w:val="10"/>
        <w:numPr>
          <w:ilvl w:val="1"/>
          <w:numId w:val="4"/>
        </w:numPr>
        <w:tabs>
          <w:tab w:val="left" w:pos="1541"/>
        </w:tabs>
        <w:snapToGrid w:val="0"/>
        <w:spacing w:line="300" w:lineRule="auto"/>
        <w:ind w:left="1398" w:leftChars="375" w:hanging="573" w:hangingChars="273"/>
        <w:jc w:val="both"/>
        <w:rPr>
          <w:rFonts w:ascii="Arial" w:hAnsi="Arial" w:eastAsia="宋体" w:cs="Arial"/>
          <w:sz w:val="21"/>
          <w:szCs w:val="21"/>
          <w:lang w:eastAsia="zh-CN"/>
        </w:rPr>
      </w:pPr>
      <w:r>
        <w:rPr>
          <w:rFonts w:ascii="Arial" w:hAnsi="Arial" w:eastAsia="宋体" w:cs="Arial"/>
          <w:sz w:val="21"/>
          <w:szCs w:val="21"/>
          <w:lang w:eastAsia="zh-CN"/>
        </w:rPr>
        <w:t>足够详细的激光系统表示，以便分析系统（例如，详细的图纸或照片、来自用户手册的信息）；</w:t>
      </w:r>
    </w:p>
    <w:p w14:paraId="75B2A26C">
      <w:pPr>
        <w:pStyle w:val="10"/>
        <w:tabs>
          <w:tab w:val="left" w:pos="1541"/>
        </w:tabs>
        <w:snapToGrid w:val="0"/>
        <w:spacing w:line="300" w:lineRule="auto"/>
        <w:ind w:left="1398" w:leftChars="375" w:hanging="573" w:hangingChars="273"/>
        <w:jc w:val="both"/>
        <w:rPr>
          <w:rFonts w:ascii="Arial" w:hAnsi="Arial" w:eastAsia="宋体" w:cs="Arial"/>
          <w:sz w:val="21"/>
          <w:szCs w:val="21"/>
          <w:lang w:eastAsia="zh-CN"/>
        </w:rPr>
      </w:pPr>
    </w:p>
    <w:p w14:paraId="786AFE29">
      <w:pPr>
        <w:pStyle w:val="10"/>
        <w:numPr>
          <w:ilvl w:val="1"/>
          <w:numId w:val="4"/>
        </w:numPr>
        <w:tabs>
          <w:tab w:val="left" w:pos="1541"/>
        </w:tabs>
        <w:snapToGrid w:val="0"/>
        <w:spacing w:line="300" w:lineRule="auto"/>
        <w:ind w:left="1398" w:leftChars="375" w:hanging="573" w:hangingChars="273"/>
        <w:jc w:val="both"/>
        <w:rPr>
          <w:rFonts w:ascii="Arial" w:hAnsi="Arial" w:eastAsia="宋体" w:cs="Arial"/>
          <w:sz w:val="21"/>
          <w:szCs w:val="21"/>
          <w:lang w:eastAsia="zh-CN"/>
        </w:rPr>
      </w:pPr>
      <w:r>
        <w:rPr>
          <w:rFonts w:ascii="Arial" w:hAnsi="Arial" w:eastAsia="宋体" w:cs="Arial"/>
          <w:sz w:val="21"/>
          <w:szCs w:val="21"/>
          <w:lang w:eastAsia="zh-CN"/>
        </w:rPr>
        <w:t>应出现在标签中的激光系统预期用途和使用说明；</w:t>
      </w:r>
    </w:p>
    <w:p w14:paraId="2DF64A8F">
      <w:pPr>
        <w:pStyle w:val="10"/>
        <w:tabs>
          <w:tab w:val="left" w:pos="1541"/>
        </w:tabs>
        <w:snapToGrid w:val="0"/>
        <w:spacing w:line="300" w:lineRule="auto"/>
        <w:ind w:left="1398" w:leftChars="375" w:hanging="573" w:hangingChars="273"/>
        <w:jc w:val="both"/>
        <w:rPr>
          <w:rFonts w:ascii="Arial" w:hAnsi="Arial" w:eastAsia="宋体" w:cs="Arial"/>
          <w:sz w:val="21"/>
          <w:szCs w:val="21"/>
          <w:lang w:eastAsia="zh-CN"/>
        </w:rPr>
      </w:pPr>
    </w:p>
    <w:p w14:paraId="55944A93">
      <w:pPr>
        <w:pStyle w:val="10"/>
        <w:numPr>
          <w:ilvl w:val="1"/>
          <w:numId w:val="4"/>
        </w:numPr>
        <w:tabs>
          <w:tab w:val="left" w:pos="1541"/>
        </w:tabs>
        <w:snapToGrid w:val="0"/>
        <w:spacing w:line="300" w:lineRule="auto"/>
        <w:ind w:left="1398" w:leftChars="375" w:hanging="573" w:hangingChars="273"/>
        <w:jc w:val="both"/>
        <w:rPr>
          <w:rFonts w:ascii="Arial" w:hAnsi="Arial" w:eastAsia="宋体" w:cs="Arial"/>
          <w:sz w:val="21"/>
          <w:szCs w:val="21"/>
          <w:lang w:eastAsia="zh-CN"/>
        </w:rPr>
      </w:pPr>
      <w:r>
        <w:rPr>
          <w:rFonts w:ascii="Arial" w:hAnsi="Arial" w:eastAsia="宋体" w:cs="Arial"/>
          <w:sz w:val="21"/>
          <w:szCs w:val="21"/>
          <w:lang w:eastAsia="zh-CN"/>
        </w:rPr>
        <w:t>激光系统的规格；以及</w:t>
      </w:r>
    </w:p>
    <w:p w14:paraId="40DE04ED">
      <w:pPr>
        <w:pStyle w:val="10"/>
        <w:tabs>
          <w:tab w:val="left" w:pos="1541"/>
        </w:tabs>
        <w:snapToGrid w:val="0"/>
        <w:spacing w:line="300" w:lineRule="auto"/>
        <w:ind w:left="1398" w:leftChars="375" w:hanging="573" w:hangingChars="273"/>
        <w:jc w:val="both"/>
        <w:rPr>
          <w:rFonts w:ascii="Arial" w:hAnsi="Arial" w:eastAsia="宋体" w:cs="Arial"/>
          <w:sz w:val="21"/>
          <w:szCs w:val="21"/>
          <w:lang w:eastAsia="zh-CN"/>
        </w:rPr>
      </w:pPr>
    </w:p>
    <w:p w14:paraId="6C51539F">
      <w:pPr>
        <w:pStyle w:val="10"/>
        <w:numPr>
          <w:ilvl w:val="1"/>
          <w:numId w:val="4"/>
        </w:numPr>
        <w:tabs>
          <w:tab w:val="left" w:pos="1541"/>
        </w:tabs>
        <w:snapToGrid w:val="0"/>
        <w:spacing w:line="300" w:lineRule="auto"/>
        <w:ind w:left="1398" w:leftChars="375" w:hanging="573" w:hangingChars="273"/>
        <w:jc w:val="both"/>
        <w:rPr>
          <w:rFonts w:ascii="Arial" w:hAnsi="Arial" w:eastAsia="宋体" w:cs="Arial"/>
          <w:sz w:val="21"/>
          <w:szCs w:val="21"/>
          <w:lang w:eastAsia="zh-CN"/>
        </w:rPr>
      </w:pPr>
      <w:r>
        <w:rPr>
          <w:rFonts w:ascii="Arial" w:hAnsi="Arial" w:eastAsia="宋体" w:cs="Arial"/>
          <w:sz w:val="21"/>
          <w:szCs w:val="21"/>
          <w:lang w:eastAsia="zh-CN"/>
        </w:rPr>
        <w:t>可直接或间接联系患者的所有输送系统材料的完整清单。</w:t>
      </w:r>
    </w:p>
    <w:p w14:paraId="43A56EA4">
      <w:pPr>
        <w:pStyle w:val="10"/>
        <w:tabs>
          <w:tab w:val="left" w:pos="1541"/>
        </w:tabs>
        <w:snapToGrid w:val="0"/>
        <w:spacing w:line="300" w:lineRule="auto"/>
        <w:jc w:val="both"/>
        <w:rPr>
          <w:rFonts w:ascii="Arial" w:hAnsi="Arial" w:eastAsia="宋体" w:cs="Arial"/>
          <w:sz w:val="21"/>
          <w:szCs w:val="21"/>
          <w:lang w:eastAsia="zh-CN"/>
        </w:rPr>
      </w:pPr>
    </w:p>
    <w:p w14:paraId="4E14BA90">
      <w:pPr>
        <w:rPr>
          <w:rFonts w:ascii="Arial" w:hAnsi="Arial" w:eastAsia="宋体" w:cs="Arial"/>
          <w:b/>
          <w:bCs/>
          <w:sz w:val="21"/>
          <w:szCs w:val="21"/>
          <w:lang w:eastAsia="zh-CN"/>
        </w:rPr>
      </w:pPr>
      <w:r>
        <w:rPr>
          <w:rFonts w:ascii="Arial" w:hAnsi="Arial" w:eastAsia="宋体" w:cs="Arial"/>
          <w:sz w:val="21"/>
          <w:szCs w:val="21"/>
          <w:lang w:eastAsia="zh-CN"/>
        </w:rPr>
        <w:br w:type="page"/>
      </w:r>
    </w:p>
    <w:p w14:paraId="135F46BF">
      <w:pPr>
        <w:pStyle w:val="2"/>
        <w:numPr>
          <w:ilvl w:val="0"/>
          <w:numId w:val="4"/>
        </w:numPr>
        <w:tabs>
          <w:tab w:val="left" w:pos="822"/>
        </w:tabs>
        <w:snapToGrid w:val="0"/>
        <w:spacing w:before="73"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与合法上市器械的并排比较</w:t>
      </w:r>
    </w:p>
    <w:p w14:paraId="0E1C10BC">
      <w:pPr>
        <w:snapToGrid w:val="0"/>
        <w:spacing w:before="6" w:line="300" w:lineRule="auto"/>
        <w:jc w:val="both"/>
        <w:rPr>
          <w:rFonts w:ascii="Arial" w:hAnsi="Arial" w:eastAsia="宋体" w:cs="Arial"/>
          <w:b/>
          <w:bCs/>
          <w:sz w:val="21"/>
          <w:szCs w:val="21"/>
          <w:lang w:eastAsia="zh-CN"/>
        </w:rPr>
      </w:pPr>
    </w:p>
    <w:p w14:paraId="3CEBC2DB">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申请人必须将新型激光器与至少一个合法上市器械进行比较和对比，以确定实质等同性。申请人应尽可能提供比较器械的510（k）编号，以便于审核过程。应包括设计特性、规格、预期用途和贴标适应症、附件等的比较。信息不应仅限于激光源，而应包括系统本身的技术说明，包括用于比较激光器和拟定激光器的机械臂、光纤、尖端或激光手术刀等。比较特征的示例列表在附件C中列出。</w:t>
      </w:r>
    </w:p>
    <w:p w14:paraId="58265909">
      <w:pPr>
        <w:snapToGrid w:val="0"/>
        <w:spacing w:before="6" w:line="300" w:lineRule="auto"/>
        <w:ind w:left="838" w:leftChars="381"/>
        <w:jc w:val="both"/>
        <w:rPr>
          <w:rFonts w:ascii="Arial" w:hAnsi="Arial" w:eastAsia="宋体" w:cs="Arial"/>
          <w:sz w:val="21"/>
          <w:szCs w:val="21"/>
          <w:lang w:eastAsia="zh-CN"/>
        </w:rPr>
      </w:pPr>
    </w:p>
    <w:p w14:paraId="387C7852">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这种列表仅用于说明，并且可能不得视为详尽内容，因为情况可能因各种因素变化。除激光器之外的器械可以作为确定实质等同性（SE）的候选品。为了优化接收SE决策的可能性，重点应在于类似的技术。</w:t>
      </w:r>
    </w:p>
    <w:p w14:paraId="50E784E8">
      <w:pPr>
        <w:snapToGrid w:val="0"/>
        <w:spacing w:before="8" w:line="300" w:lineRule="auto"/>
        <w:jc w:val="both"/>
        <w:rPr>
          <w:rFonts w:ascii="Arial" w:hAnsi="Arial" w:eastAsia="宋体" w:cs="Arial"/>
          <w:sz w:val="21"/>
          <w:szCs w:val="21"/>
          <w:lang w:eastAsia="zh-CN"/>
        </w:rPr>
      </w:pPr>
    </w:p>
    <w:p w14:paraId="2F1478C3">
      <w:pPr>
        <w:pStyle w:val="2"/>
        <w:numPr>
          <w:ilvl w:val="0"/>
          <w:numId w:val="4"/>
        </w:numPr>
        <w:tabs>
          <w:tab w:val="left" w:pos="820"/>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性能数据</w:t>
      </w:r>
    </w:p>
    <w:p w14:paraId="505DE0DD">
      <w:pPr>
        <w:snapToGrid w:val="0"/>
        <w:spacing w:before="6" w:line="300" w:lineRule="auto"/>
        <w:jc w:val="both"/>
        <w:rPr>
          <w:rFonts w:ascii="Arial" w:hAnsi="Arial" w:eastAsia="宋体" w:cs="Arial"/>
          <w:b/>
          <w:bCs/>
          <w:sz w:val="21"/>
          <w:szCs w:val="21"/>
        </w:rPr>
      </w:pPr>
    </w:p>
    <w:p w14:paraId="7EBF65EB">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当仅提供描述性比较和信息不足以支持实质等同性测定时，应提供性能数据。本</w:t>
      </w:r>
      <w:r>
        <w:rPr>
          <w:rFonts w:hint="eastAsia" w:ascii="Arial" w:hAnsi="Arial" w:eastAsia="宋体" w:cs="Arial"/>
          <w:b/>
          <w:sz w:val="21"/>
          <w:szCs w:val="21"/>
          <w:lang w:eastAsia="zh-CN"/>
        </w:rPr>
        <w:t>指南</w:t>
      </w:r>
      <w:r>
        <w:rPr>
          <w:rFonts w:ascii="Arial" w:hAnsi="Arial" w:eastAsia="宋体" w:cs="Arial"/>
          <w:sz w:val="21"/>
          <w:szCs w:val="21"/>
          <w:lang w:eastAsia="zh-CN"/>
        </w:rPr>
        <w:t>第I.F.中节的建议将有助于申请人组合性能数据。当需要性能数据时，申请人应证明仅提供台架或非临床数据的提交资料。以下是有关这些数据的一般信息：</w:t>
      </w:r>
    </w:p>
    <w:p w14:paraId="5FCD68F3">
      <w:pPr>
        <w:snapToGrid w:val="0"/>
        <w:spacing w:before="4" w:line="300" w:lineRule="auto"/>
        <w:jc w:val="both"/>
        <w:rPr>
          <w:rFonts w:ascii="Arial" w:hAnsi="Arial" w:eastAsia="宋体" w:cs="Arial"/>
          <w:sz w:val="21"/>
          <w:szCs w:val="21"/>
          <w:lang w:eastAsia="zh-CN"/>
        </w:rPr>
      </w:pPr>
    </w:p>
    <w:p w14:paraId="334CC203">
      <w:pPr>
        <w:pStyle w:val="10"/>
        <w:numPr>
          <w:ilvl w:val="1"/>
          <w:numId w:val="4"/>
        </w:numPr>
        <w:tabs>
          <w:tab w:val="left" w:pos="1540"/>
        </w:tabs>
        <w:snapToGrid w:val="0"/>
        <w:spacing w:line="300" w:lineRule="auto"/>
        <w:ind w:left="878" w:leftChars="387" w:hanging="27" w:hangingChars="13"/>
        <w:jc w:val="both"/>
        <w:rPr>
          <w:rFonts w:ascii="Arial" w:hAnsi="Arial" w:eastAsia="宋体" w:cs="Arial"/>
          <w:sz w:val="21"/>
          <w:szCs w:val="21"/>
        </w:rPr>
      </w:pPr>
      <w:r>
        <w:rPr>
          <w:rFonts w:ascii="Arial" w:hAnsi="Arial" w:eastAsia="宋体" w:cs="Arial"/>
          <w:sz w:val="21"/>
          <w:szCs w:val="21"/>
        </w:rPr>
        <w:t>台</w:t>
      </w:r>
      <w:r>
        <w:rPr>
          <w:rFonts w:ascii="Arial" w:hAnsi="Arial" w:eastAsia="宋体" w:cs="Arial"/>
          <w:sz w:val="21"/>
          <w:szCs w:val="21"/>
          <w:lang w:eastAsia="zh-CN"/>
        </w:rPr>
        <w:t>架</w:t>
      </w:r>
      <w:r>
        <w:rPr>
          <w:rFonts w:ascii="Arial" w:hAnsi="Arial" w:eastAsia="宋体" w:cs="Arial"/>
          <w:sz w:val="21"/>
          <w:szCs w:val="21"/>
        </w:rPr>
        <w:t>数据</w:t>
      </w:r>
    </w:p>
    <w:p w14:paraId="27DAAD9E">
      <w:pPr>
        <w:snapToGrid w:val="0"/>
        <w:spacing w:before="10" w:line="300" w:lineRule="auto"/>
        <w:ind w:left="878" w:leftChars="387" w:hanging="27" w:hangingChars="13"/>
        <w:jc w:val="both"/>
        <w:rPr>
          <w:rFonts w:ascii="Arial" w:hAnsi="Arial" w:eastAsia="宋体" w:cs="Arial"/>
          <w:sz w:val="21"/>
          <w:szCs w:val="21"/>
        </w:rPr>
      </w:pPr>
    </w:p>
    <w:p w14:paraId="020D9600">
      <w:pPr>
        <w:pStyle w:val="3"/>
        <w:snapToGrid w:val="0"/>
        <w:spacing w:line="300" w:lineRule="auto"/>
        <w:ind w:left="1553" w:leftChars="705" w:hanging="2"/>
        <w:jc w:val="both"/>
        <w:rPr>
          <w:rFonts w:ascii="Arial" w:hAnsi="Arial" w:eastAsia="宋体" w:cs="Arial"/>
          <w:sz w:val="21"/>
          <w:szCs w:val="21"/>
          <w:lang w:eastAsia="zh-CN"/>
        </w:rPr>
      </w:pPr>
      <w:r>
        <w:rPr>
          <w:rFonts w:ascii="Arial" w:hAnsi="Arial" w:eastAsia="宋体" w:cs="Arial"/>
          <w:sz w:val="21"/>
          <w:szCs w:val="21"/>
          <w:lang w:eastAsia="zh-CN"/>
        </w:rPr>
        <w:t>这包括激光系统的台架试验，包括输送系统和其他附件，确认其规格，并将操作特性与已合法上市的器械系统进行比较。</w:t>
      </w:r>
    </w:p>
    <w:p w14:paraId="032C8744">
      <w:pPr>
        <w:snapToGrid w:val="0"/>
        <w:spacing w:before="6" w:line="300" w:lineRule="auto"/>
        <w:ind w:left="878" w:leftChars="387" w:hanging="27" w:hangingChars="13"/>
        <w:jc w:val="both"/>
        <w:rPr>
          <w:rFonts w:ascii="Arial" w:hAnsi="Arial" w:eastAsia="宋体" w:cs="Arial"/>
          <w:sz w:val="21"/>
          <w:szCs w:val="21"/>
          <w:lang w:eastAsia="zh-CN"/>
        </w:rPr>
      </w:pPr>
    </w:p>
    <w:p w14:paraId="1AB5F83A">
      <w:pPr>
        <w:pStyle w:val="10"/>
        <w:numPr>
          <w:ilvl w:val="1"/>
          <w:numId w:val="4"/>
        </w:numPr>
        <w:tabs>
          <w:tab w:val="left" w:pos="1540"/>
        </w:tabs>
        <w:snapToGrid w:val="0"/>
        <w:spacing w:line="300" w:lineRule="auto"/>
        <w:ind w:left="878" w:leftChars="387" w:hanging="27" w:hangingChars="13"/>
        <w:jc w:val="both"/>
        <w:rPr>
          <w:rFonts w:ascii="Arial" w:hAnsi="Arial" w:eastAsia="宋体" w:cs="Arial"/>
          <w:sz w:val="21"/>
          <w:szCs w:val="21"/>
        </w:rPr>
      </w:pPr>
      <w:r>
        <w:rPr>
          <w:rFonts w:ascii="Arial" w:hAnsi="Arial" w:eastAsia="宋体" w:cs="Arial"/>
          <w:sz w:val="21"/>
          <w:szCs w:val="21"/>
        </w:rPr>
        <w:t>体外数据</w:t>
      </w:r>
    </w:p>
    <w:p w14:paraId="242BC1B6">
      <w:pPr>
        <w:snapToGrid w:val="0"/>
        <w:spacing w:before="10" w:line="300" w:lineRule="auto"/>
        <w:ind w:left="878" w:leftChars="387" w:hanging="27" w:hangingChars="13"/>
        <w:jc w:val="both"/>
        <w:rPr>
          <w:rFonts w:ascii="Arial" w:hAnsi="Arial" w:eastAsia="宋体" w:cs="Arial"/>
          <w:sz w:val="21"/>
          <w:szCs w:val="21"/>
        </w:rPr>
      </w:pPr>
    </w:p>
    <w:p w14:paraId="0F8C6E3F">
      <w:pPr>
        <w:pStyle w:val="3"/>
        <w:snapToGrid w:val="0"/>
        <w:spacing w:line="300" w:lineRule="auto"/>
        <w:ind w:left="1553" w:leftChars="705" w:hanging="2"/>
        <w:jc w:val="both"/>
        <w:rPr>
          <w:rFonts w:ascii="Arial" w:hAnsi="Arial" w:eastAsia="宋体" w:cs="Arial"/>
          <w:sz w:val="21"/>
          <w:szCs w:val="21"/>
          <w:lang w:eastAsia="zh-CN"/>
        </w:rPr>
      </w:pPr>
      <w:r>
        <w:rPr>
          <w:rFonts w:ascii="Arial" w:hAnsi="Arial" w:eastAsia="宋体" w:cs="Arial"/>
          <w:sz w:val="21"/>
          <w:szCs w:val="21"/>
          <w:lang w:eastAsia="zh-CN"/>
        </w:rPr>
        <w:t>这可以包括细胞培养信息以及动物组织效应（包括尸体组织）的评价，以比较拟定器械和合法上市的器械之间的效应相似性。</w:t>
      </w:r>
    </w:p>
    <w:p w14:paraId="6CACA291">
      <w:pPr>
        <w:snapToGrid w:val="0"/>
        <w:spacing w:before="6" w:line="300" w:lineRule="auto"/>
        <w:ind w:left="878" w:leftChars="387" w:hanging="27" w:hangingChars="13"/>
        <w:jc w:val="both"/>
        <w:rPr>
          <w:rFonts w:ascii="Arial" w:hAnsi="Arial" w:eastAsia="宋体" w:cs="Arial"/>
          <w:sz w:val="21"/>
          <w:szCs w:val="21"/>
          <w:lang w:eastAsia="zh-CN"/>
        </w:rPr>
      </w:pPr>
    </w:p>
    <w:p w14:paraId="2197FF7D">
      <w:pPr>
        <w:pStyle w:val="10"/>
        <w:numPr>
          <w:ilvl w:val="1"/>
          <w:numId w:val="4"/>
        </w:numPr>
        <w:tabs>
          <w:tab w:val="left" w:pos="1540"/>
        </w:tabs>
        <w:snapToGrid w:val="0"/>
        <w:spacing w:line="300" w:lineRule="auto"/>
        <w:ind w:left="878" w:leftChars="387" w:hanging="27" w:hangingChars="13"/>
        <w:jc w:val="both"/>
        <w:rPr>
          <w:rFonts w:ascii="Arial" w:hAnsi="Arial" w:eastAsia="宋体" w:cs="Arial"/>
          <w:sz w:val="21"/>
          <w:szCs w:val="21"/>
        </w:rPr>
      </w:pPr>
      <w:r>
        <w:rPr>
          <w:rFonts w:ascii="Arial" w:hAnsi="Arial" w:eastAsia="宋体" w:cs="Arial"/>
          <w:sz w:val="21"/>
          <w:szCs w:val="21"/>
        </w:rPr>
        <w:t>体内数据</w:t>
      </w:r>
    </w:p>
    <w:p w14:paraId="255CB8BF">
      <w:pPr>
        <w:snapToGrid w:val="0"/>
        <w:spacing w:before="10" w:line="300" w:lineRule="auto"/>
        <w:ind w:left="878" w:leftChars="387" w:hanging="27" w:hangingChars="13"/>
        <w:jc w:val="both"/>
        <w:rPr>
          <w:rFonts w:ascii="Arial" w:hAnsi="Arial" w:eastAsia="宋体" w:cs="Arial"/>
          <w:sz w:val="21"/>
          <w:szCs w:val="21"/>
        </w:rPr>
      </w:pPr>
    </w:p>
    <w:p w14:paraId="16BCD46C">
      <w:pPr>
        <w:pStyle w:val="3"/>
        <w:snapToGrid w:val="0"/>
        <w:spacing w:line="300" w:lineRule="auto"/>
        <w:ind w:left="1553" w:leftChars="705" w:hanging="2"/>
        <w:jc w:val="both"/>
        <w:rPr>
          <w:rFonts w:ascii="Arial" w:hAnsi="Arial" w:eastAsia="宋体" w:cs="Arial"/>
          <w:sz w:val="21"/>
          <w:szCs w:val="21"/>
          <w:lang w:eastAsia="zh-CN"/>
        </w:rPr>
      </w:pPr>
      <w:r>
        <w:rPr>
          <w:rFonts w:ascii="Arial" w:hAnsi="Arial" w:eastAsia="宋体" w:cs="Arial"/>
          <w:sz w:val="21"/>
          <w:szCs w:val="21"/>
          <w:lang w:eastAsia="zh-CN"/>
        </w:rPr>
        <w:t>这包括评价活体动物中的组织效应，包括组织病理学、比较拟定器械和合法上市的器械之间的效应相似性。</w:t>
      </w:r>
    </w:p>
    <w:p w14:paraId="06834458">
      <w:pPr>
        <w:snapToGrid w:val="0"/>
        <w:spacing w:before="6" w:line="300" w:lineRule="auto"/>
        <w:ind w:left="878" w:leftChars="387" w:hanging="27" w:hangingChars="13"/>
        <w:jc w:val="both"/>
        <w:rPr>
          <w:rFonts w:ascii="Arial" w:hAnsi="Arial" w:eastAsia="宋体" w:cs="Arial"/>
          <w:sz w:val="21"/>
          <w:szCs w:val="21"/>
          <w:lang w:eastAsia="zh-CN"/>
        </w:rPr>
      </w:pPr>
    </w:p>
    <w:p w14:paraId="101CF37D">
      <w:pPr>
        <w:pStyle w:val="10"/>
        <w:numPr>
          <w:ilvl w:val="1"/>
          <w:numId w:val="4"/>
        </w:numPr>
        <w:tabs>
          <w:tab w:val="left" w:pos="1540"/>
        </w:tabs>
        <w:snapToGrid w:val="0"/>
        <w:spacing w:line="300" w:lineRule="auto"/>
        <w:ind w:left="878" w:leftChars="387" w:hanging="27" w:hangingChars="13"/>
        <w:jc w:val="both"/>
        <w:rPr>
          <w:rFonts w:ascii="Arial" w:hAnsi="Arial" w:eastAsia="宋体" w:cs="Arial"/>
          <w:sz w:val="21"/>
          <w:szCs w:val="21"/>
        </w:rPr>
      </w:pPr>
      <w:r>
        <w:rPr>
          <w:rFonts w:ascii="Arial" w:hAnsi="Arial" w:eastAsia="宋体" w:cs="Arial"/>
          <w:sz w:val="21"/>
          <w:szCs w:val="21"/>
        </w:rPr>
        <w:t>临床数据</w:t>
      </w:r>
    </w:p>
    <w:p w14:paraId="31F83BFB">
      <w:pPr>
        <w:snapToGrid w:val="0"/>
        <w:spacing w:before="10" w:line="300" w:lineRule="auto"/>
        <w:jc w:val="both"/>
        <w:rPr>
          <w:rFonts w:ascii="Arial" w:hAnsi="Arial" w:eastAsia="宋体" w:cs="Arial"/>
          <w:sz w:val="21"/>
          <w:szCs w:val="21"/>
        </w:rPr>
      </w:pPr>
    </w:p>
    <w:p w14:paraId="515E4F1A">
      <w:pPr>
        <w:pStyle w:val="3"/>
        <w:snapToGrid w:val="0"/>
        <w:spacing w:line="300" w:lineRule="auto"/>
        <w:ind w:left="1553" w:leftChars="705" w:hanging="2"/>
        <w:jc w:val="both"/>
        <w:rPr>
          <w:rFonts w:ascii="Arial" w:hAnsi="Arial" w:eastAsia="宋体" w:cs="Arial"/>
          <w:sz w:val="21"/>
          <w:szCs w:val="21"/>
          <w:lang w:eastAsia="zh-CN"/>
        </w:rPr>
      </w:pPr>
      <w:r>
        <w:rPr>
          <w:rFonts w:ascii="Arial" w:hAnsi="Arial" w:eastAsia="宋体" w:cs="Arial"/>
          <w:sz w:val="21"/>
          <w:szCs w:val="21"/>
          <w:lang w:eastAsia="zh-CN"/>
        </w:rPr>
        <w:t>当台架和动物组织性能数据单独无法充分预测新型激光器或新型适应证的类似安全性和有效性时，临床数据对于证明新型激光器或新型适应证的安全性和有效性等同于合法上市的器械来说至关重要。临床数据表明，当根据使用说明书使用时，拟定激光器及其附件，（1）允许外科医生到达预期部位，（2）以受控方式操作，（3）至少以与所声明的合法上市比较器械一样安全有效的方式达到预期手术效果和患者结果。</w:t>
      </w:r>
    </w:p>
    <w:p w14:paraId="731AEEC5">
      <w:pPr>
        <w:snapToGrid w:val="0"/>
        <w:spacing w:before="6" w:line="300" w:lineRule="auto"/>
        <w:jc w:val="both"/>
        <w:rPr>
          <w:rFonts w:ascii="Arial" w:hAnsi="Arial" w:eastAsia="宋体" w:cs="Arial"/>
          <w:sz w:val="21"/>
          <w:szCs w:val="21"/>
          <w:lang w:eastAsia="zh-CN"/>
        </w:rPr>
      </w:pPr>
    </w:p>
    <w:p w14:paraId="556B24F2">
      <w:pPr>
        <w:pStyle w:val="3"/>
        <w:snapToGrid w:val="0"/>
        <w:spacing w:line="300" w:lineRule="auto"/>
        <w:ind w:left="1553" w:leftChars="705" w:hanging="2"/>
        <w:jc w:val="both"/>
        <w:rPr>
          <w:rFonts w:ascii="Arial" w:hAnsi="Arial" w:eastAsia="宋体" w:cs="Arial"/>
          <w:sz w:val="21"/>
          <w:szCs w:val="21"/>
          <w:lang w:eastAsia="zh-CN"/>
        </w:rPr>
      </w:pPr>
      <w:r>
        <w:rPr>
          <w:rFonts w:ascii="Arial" w:hAnsi="Arial" w:eastAsia="宋体" w:cs="Arial"/>
          <w:sz w:val="21"/>
          <w:szCs w:val="21"/>
          <w:lang w:eastAsia="zh-CN"/>
        </w:rPr>
        <w:t>申请人经常就所需的临床数据类型、所需的研究设计以及必须提供的研究参数（如样本量）询问FDA。本</w:t>
      </w:r>
      <w:r>
        <w:rPr>
          <w:rFonts w:hint="eastAsia" w:ascii="Arial" w:hAnsi="Arial" w:eastAsia="宋体" w:cs="Arial"/>
          <w:b/>
          <w:sz w:val="21"/>
          <w:szCs w:val="21"/>
          <w:lang w:eastAsia="zh-CN"/>
        </w:rPr>
        <w:t>指南</w:t>
      </w:r>
      <w:r>
        <w:rPr>
          <w:rFonts w:ascii="Arial" w:hAnsi="Arial" w:eastAsia="宋体" w:cs="Arial"/>
          <w:sz w:val="21"/>
          <w:szCs w:val="21"/>
          <w:lang w:eastAsia="zh-CN"/>
        </w:rPr>
        <w:t>并不旨在提供有关临床研究设计的论述。在文献和其他FDA出版物，如</w:t>
      </w:r>
      <w:r>
        <w:rPr>
          <w:rFonts w:ascii="宋体" w:hAnsi="宋体" w:eastAsia="宋体" w:cs="Arial"/>
          <w:sz w:val="21"/>
          <w:szCs w:val="21"/>
          <w:lang w:eastAsia="zh-CN"/>
        </w:rPr>
        <w:t>“</w:t>
      </w:r>
      <w:r>
        <w:rPr>
          <w:rFonts w:ascii="Arial" w:hAnsi="Arial" w:eastAsia="宋体" w:cs="Arial"/>
          <w:sz w:val="21"/>
          <w:szCs w:val="21"/>
          <w:lang w:eastAsia="zh-CN"/>
        </w:rPr>
        <w:t>上市前批准（PMA）指南</w:t>
      </w:r>
      <w:r>
        <w:rPr>
          <w:rFonts w:ascii="宋体" w:hAnsi="宋体" w:eastAsia="宋体" w:cs="Arial"/>
          <w:sz w:val="21"/>
          <w:szCs w:val="21"/>
          <w:lang w:eastAsia="zh-CN"/>
        </w:rPr>
        <w:t>”</w:t>
      </w:r>
      <w:r>
        <w:rPr>
          <w:rFonts w:ascii="Arial" w:hAnsi="Arial" w:eastAsia="宋体" w:cs="Arial"/>
          <w:sz w:val="21"/>
          <w:szCs w:val="21"/>
          <w:lang w:eastAsia="zh-CN"/>
        </w:rPr>
        <w:t>，FDA 93-4214中有大量有关此主题的指南。研究的类型和参数将根据必须回答的临床问题的性质而有所不同。申请人应获得临床和统计专业知识，以帮助确定并获取所需的数据类型。FDA将根据具体要求为某些激光器适应症的特定要求提供进一步的指南。</w:t>
      </w:r>
    </w:p>
    <w:p w14:paraId="70DAE6CB">
      <w:pPr>
        <w:snapToGrid w:val="0"/>
        <w:spacing w:before="6" w:line="300" w:lineRule="auto"/>
        <w:jc w:val="both"/>
        <w:rPr>
          <w:rFonts w:ascii="Arial" w:hAnsi="Arial" w:eastAsia="宋体" w:cs="Arial"/>
          <w:sz w:val="21"/>
          <w:szCs w:val="21"/>
          <w:lang w:eastAsia="zh-CN"/>
        </w:rPr>
      </w:pPr>
    </w:p>
    <w:p w14:paraId="7DA31495">
      <w:pPr>
        <w:pStyle w:val="2"/>
        <w:numPr>
          <w:ilvl w:val="0"/>
          <w:numId w:val="4"/>
        </w:numPr>
        <w:tabs>
          <w:tab w:val="left" w:pos="821"/>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激光</w:t>
      </w:r>
      <w:r>
        <w:rPr>
          <w:rFonts w:ascii="Arial" w:hAnsi="Arial" w:eastAsia="宋体" w:cs="Arial"/>
          <w:sz w:val="21"/>
          <w:szCs w:val="21"/>
          <w:lang w:eastAsia="zh-CN"/>
        </w:rPr>
        <w:t>器</w:t>
      </w:r>
      <w:r>
        <w:rPr>
          <w:rFonts w:ascii="Arial" w:hAnsi="Arial" w:eastAsia="宋体" w:cs="Arial"/>
          <w:sz w:val="21"/>
          <w:szCs w:val="21"/>
        </w:rPr>
        <w:t>附件</w:t>
      </w:r>
    </w:p>
    <w:p w14:paraId="18D446B2">
      <w:pPr>
        <w:snapToGrid w:val="0"/>
        <w:spacing w:before="6" w:line="300" w:lineRule="auto"/>
        <w:jc w:val="both"/>
        <w:rPr>
          <w:rFonts w:ascii="Arial" w:hAnsi="Arial" w:eastAsia="宋体" w:cs="Arial"/>
          <w:b/>
          <w:bCs/>
          <w:sz w:val="21"/>
          <w:szCs w:val="21"/>
        </w:rPr>
      </w:pPr>
    </w:p>
    <w:p w14:paraId="7D03A884">
      <w:pPr>
        <w:pStyle w:val="3"/>
        <w:snapToGrid w:val="0"/>
        <w:spacing w:line="300" w:lineRule="auto"/>
        <w:ind w:left="812" w:leftChars="369"/>
        <w:jc w:val="both"/>
        <w:rPr>
          <w:rFonts w:ascii="Arial" w:hAnsi="Arial" w:eastAsia="宋体" w:cs="Arial"/>
          <w:sz w:val="21"/>
          <w:szCs w:val="21"/>
          <w:lang w:eastAsia="zh-CN"/>
        </w:rPr>
      </w:pPr>
      <w:r>
        <w:rPr>
          <w:rFonts w:ascii="Arial" w:hAnsi="Arial" w:eastAsia="宋体" w:cs="Arial"/>
          <w:sz w:val="21"/>
          <w:szCs w:val="21"/>
          <w:lang w:eastAsia="zh-CN"/>
        </w:rPr>
        <w:t>申请人应确定并完整描述制造商提供以与激光一起使用的所有附件。这些可能包括光纤、触头或手术刀，显微操纵器等。如果这些已经是先前申请的主题，则应该说明，并参考51O（k）文件编号（如适用），以便不再进行多余审查。</w:t>
      </w:r>
    </w:p>
    <w:p w14:paraId="6972B099">
      <w:pPr>
        <w:snapToGrid w:val="0"/>
        <w:spacing w:line="300" w:lineRule="auto"/>
        <w:jc w:val="both"/>
        <w:rPr>
          <w:rFonts w:ascii="Arial" w:hAnsi="Arial" w:eastAsia="宋体" w:cs="Arial"/>
          <w:sz w:val="21"/>
          <w:szCs w:val="21"/>
          <w:lang w:eastAsia="zh-CN"/>
        </w:rPr>
      </w:pPr>
    </w:p>
    <w:p w14:paraId="670853CE">
      <w:pPr>
        <w:snapToGrid w:val="0"/>
        <w:spacing w:before="2" w:line="300" w:lineRule="auto"/>
        <w:jc w:val="both"/>
        <w:rPr>
          <w:rFonts w:ascii="Arial" w:hAnsi="Arial" w:eastAsia="宋体" w:cs="Arial"/>
          <w:sz w:val="21"/>
          <w:szCs w:val="21"/>
          <w:lang w:eastAsia="zh-CN"/>
        </w:rPr>
      </w:pPr>
    </w:p>
    <w:p w14:paraId="21014475">
      <w:pPr>
        <w:pStyle w:val="2"/>
        <w:numPr>
          <w:ilvl w:val="0"/>
          <w:numId w:val="4"/>
        </w:numPr>
        <w:tabs>
          <w:tab w:val="left" w:pos="820"/>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灭菌信息</w:t>
      </w:r>
    </w:p>
    <w:p w14:paraId="42E65DC8">
      <w:pPr>
        <w:snapToGrid w:val="0"/>
        <w:spacing w:before="6" w:line="300" w:lineRule="auto"/>
        <w:jc w:val="both"/>
        <w:rPr>
          <w:rFonts w:ascii="Arial" w:hAnsi="Arial" w:eastAsia="宋体" w:cs="Arial"/>
          <w:b/>
          <w:bCs/>
          <w:sz w:val="21"/>
          <w:szCs w:val="21"/>
        </w:rPr>
      </w:pPr>
    </w:p>
    <w:p w14:paraId="617FA1FF">
      <w:pPr>
        <w:pStyle w:val="3"/>
        <w:snapToGrid w:val="0"/>
        <w:spacing w:line="300" w:lineRule="auto"/>
        <w:ind w:left="812" w:leftChars="369"/>
        <w:jc w:val="both"/>
        <w:rPr>
          <w:rFonts w:ascii="Arial" w:hAnsi="Arial" w:eastAsia="宋体" w:cs="Arial"/>
          <w:sz w:val="21"/>
          <w:szCs w:val="21"/>
          <w:lang w:eastAsia="zh-CN"/>
        </w:rPr>
      </w:pPr>
      <w:r>
        <w:rPr>
          <w:rFonts w:ascii="Arial" w:hAnsi="Arial" w:eastAsia="宋体" w:cs="Arial"/>
          <w:sz w:val="21"/>
          <w:szCs w:val="21"/>
          <w:lang w:eastAsia="zh-CN"/>
        </w:rPr>
        <w:t>对于无菌激光器的组件或附件，请提供以下信息：</w:t>
      </w:r>
    </w:p>
    <w:p w14:paraId="786BC60A">
      <w:pPr>
        <w:pStyle w:val="10"/>
        <w:snapToGrid w:val="0"/>
        <w:spacing w:line="300" w:lineRule="auto"/>
        <w:jc w:val="both"/>
        <w:rPr>
          <w:rFonts w:ascii="Arial" w:hAnsi="Arial" w:eastAsia="宋体" w:cs="Arial"/>
          <w:sz w:val="21"/>
          <w:szCs w:val="21"/>
          <w:lang w:eastAsia="zh-CN"/>
        </w:rPr>
      </w:pPr>
    </w:p>
    <w:p w14:paraId="74F81551">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rPr>
      </w:pPr>
      <w:r>
        <w:rPr>
          <w:rFonts w:ascii="Arial" w:hAnsi="Arial" w:eastAsia="宋体" w:cs="Arial"/>
          <w:sz w:val="21"/>
          <w:szCs w:val="21"/>
          <w:lang w:eastAsia="zh-CN"/>
        </w:rPr>
        <w:t>将</w:t>
      </w:r>
      <w:r>
        <w:rPr>
          <w:rFonts w:ascii="Arial" w:hAnsi="Arial" w:eastAsia="宋体" w:cs="Arial"/>
          <w:sz w:val="21"/>
          <w:szCs w:val="21"/>
        </w:rPr>
        <w:t>使用</w:t>
      </w:r>
      <w:r>
        <w:rPr>
          <w:rFonts w:ascii="Arial" w:hAnsi="Arial" w:eastAsia="宋体" w:cs="Arial"/>
          <w:sz w:val="21"/>
          <w:szCs w:val="21"/>
          <w:lang w:eastAsia="zh-CN"/>
        </w:rPr>
        <w:t>的</w:t>
      </w:r>
      <w:r>
        <w:rPr>
          <w:rFonts w:ascii="Arial" w:hAnsi="Arial" w:eastAsia="宋体" w:cs="Arial"/>
          <w:sz w:val="21"/>
          <w:szCs w:val="21"/>
        </w:rPr>
        <w:t>灭菌方法。</w:t>
      </w:r>
    </w:p>
    <w:p w14:paraId="1D9BD264">
      <w:pPr>
        <w:pStyle w:val="10"/>
        <w:tabs>
          <w:tab w:val="left" w:pos="1541"/>
        </w:tabs>
        <w:snapToGrid w:val="0"/>
        <w:spacing w:line="300" w:lineRule="auto"/>
        <w:ind w:left="1274" w:leftChars="369" w:hanging="462" w:hangingChars="220"/>
        <w:jc w:val="both"/>
        <w:rPr>
          <w:rFonts w:ascii="Arial" w:hAnsi="Arial" w:eastAsia="宋体" w:cs="Arial"/>
          <w:sz w:val="21"/>
          <w:szCs w:val="21"/>
        </w:rPr>
      </w:pPr>
    </w:p>
    <w:p w14:paraId="33B8E5BA">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将用于确认灭菌循环但不是确认数据本身的方法的描述。参考标准方法（例如，AAMI辐射标准）通常就已足够充分。</w:t>
      </w:r>
    </w:p>
    <w:p w14:paraId="051091D1">
      <w:pPr>
        <w:pStyle w:val="10"/>
        <w:tabs>
          <w:tab w:val="left" w:pos="1541"/>
        </w:tabs>
        <w:snapToGrid w:val="0"/>
        <w:spacing w:line="300" w:lineRule="auto"/>
        <w:ind w:left="1274" w:leftChars="369" w:hanging="462" w:hangingChars="220"/>
        <w:jc w:val="both"/>
        <w:rPr>
          <w:rFonts w:ascii="Arial" w:hAnsi="Arial" w:eastAsia="宋体" w:cs="Arial"/>
          <w:sz w:val="21"/>
          <w:szCs w:val="21"/>
          <w:lang w:eastAsia="zh-CN"/>
        </w:rPr>
      </w:pPr>
    </w:p>
    <w:p w14:paraId="7EEAF686">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公司打算达到的器械无菌保证水平（SAL）。对于接触人体正常无菌区域的器械，SAL应为10</w:t>
      </w:r>
      <w:r>
        <w:rPr>
          <w:rFonts w:ascii="Arial" w:hAnsi="Arial" w:eastAsia="宋体" w:cs="Arial"/>
          <w:sz w:val="21"/>
          <w:szCs w:val="21"/>
          <w:vertAlign w:val="superscript"/>
          <w:lang w:eastAsia="zh-CN"/>
        </w:rPr>
        <w:t>-6</w:t>
      </w:r>
      <w:r>
        <w:rPr>
          <w:rFonts w:ascii="Arial" w:hAnsi="Arial" w:eastAsia="宋体" w:cs="Arial"/>
          <w:sz w:val="21"/>
          <w:szCs w:val="21"/>
          <w:lang w:eastAsia="zh-CN"/>
        </w:rPr>
        <w:t>。</w:t>
      </w:r>
    </w:p>
    <w:p w14:paraId="42E2BED5">
      <w:pPr>
        <w:pStyle w:val="10"/>
        <w:tabs>
          <w:tab w:val="left" w:pos="1541"/>
        </w:tabs>
        <w:snapToGrid w:val="0"/>
        <w:spacing w:line="300" w:lineRule="auto"/>
        <w:ind w:left="1274" w:leftChars="369" w:hanging="462" w:hangingChars="220"/>
        <w:jc w:val="both"/>
        <w:rPr>
          <w:rFonts w:ascii="Arial" w:hAnsi="Arial" w:eastAsia="宋体" w:cs="Arial"/>
          <w:sz w:val="21"/>
          <w:szCs w:val="21"/>
          <w:lang w:eastAsia="zh-CN"/>
        </w:rPr>
      </w:pPr>
    </w:p>
    <w:p w14:paraId="0D41B760">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用于维护器械无菌性的包装描述（这不包括包装完整性试验数据）。</w:t>
      </w:r>
    </w:p>
    <w:p w14:paraId="5E697AA1">
      <w:pPr>
        <w:pStyle w:val="10"/>
        <w:snapToGrid w:val="0"/>
        <w:spacing w:line="300" w:lineRule="auto"/>
        <w:ind w:left="1274" w:leftChars="369" w:hanging="462" w:hangingChars="220"/>
        <w:jc w:val="both"/>
        <w:rPr>
          <w:rFonts w:ascii="Arial" w:hAnsi="Arial" w:eastAsia="宋体" w:cs="Arial"/>
          <w:sz w:val="21"/>
          <w:szCs w:val="21"/>
          <w:lang w:eastAsia="zh-CN"/>
        </w:rPr>
      </w:pPr>
    </w:p>
    <w:p w14:paraId="3CA8CE3E">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如果灭菌涉及EtO，则残留在器械上的环氧乙烷、氯乙醇和乙二醇的残留物的最大含量。这些水平应与有关EtO限值的联邦公报通告草案一致。</w:t>
      </w:r>
    </w:p>
    <w:p w14:paraId="419A7B81">
      <w:pPr>
        <w:pStyle w:val="10"/>
        <w:tabs>
          <w:tab w:val="left" w:pos="1541"/>
        </w:tabs>
        <w:snapToGrid w:val="0"/>
        <w:spacing w:line="300" w:lineRule="auto"/>
        <w:ind w:left="1274" w:leftChars="369" w:hanging="462" w:hangingChars="220"/>
        <w:jc w:val="both"/>
        <w:rPr>
          <w:rFonts w:ascii="Arial" w:hAnsi="Arial" w:eastAsia="宋体" w:cs="Arial"/>
          <w:sz w:val="21"/>
          <w:szCs w:val="21"/>
          <w:lang w:eastAsia="zh-CN"/>
        </w:rPr>
      </w:pPr>
    </w:p>
    <w:p w14:paraId="66A04F9D">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产品是否</w:t>
      </w:r>
      <w:r>
        <w:rPr>
          <w:rFonts w:ascii="宋体" w:hAnsi="宋体" w:eastAsia="宋体" w:cs="Arial"/>
          <w:sz w:val="21"/>
          <w:szCs w:val="21"/>
          <w:lang w:eastAsia="zh-CN"/>
        </w:rPr>
        <w:t>“</w:t>
      </w:r>
      <w:r>
        <w:rPr>
          <w:rFonts w:ascii="Arial" w:hAnsi="Arial" w:eastAsia="宋体" w:cs="Arial"/>
          <w:sz w:val="21"/>
          <w:szCs w:val="21"/>
          <w:lang w:eastAsia="zh-CN"/>
        </w:rPr>
        <w:t>无致热原</w:t>
      </w:r>
      <w:r>
        <w:rPr>
          <w:rFonts w:ascii="宋体" w:hAnsi="宋体" w:eastAsia="宋体" w:cs="Arial"/>
          <w:sz w:val="21"/>
          <w:szCs w:val="21"/>
          <w:lang w:eastAsia="zh-CN"/>
        </w:rPr>
        <w:t>”</w:t>
      </w:r>
      <w:r>
        <w:rPr>
          <w:rFonts w:ascii="Arial" w:hAnsi="Arial" w:eastAsia="宋体" w:cs="Arial"/>
          <w:sz w:val="21"/>
          <w:szCs w:val="21"/>
          <w:lang w:eastAsia="zh-CN"/>
        </w:rPr>
        <w:t>，以及用于做出该测定方法的确认。</w:t>
      </w:r>
    </w:p>
    <w:p w14:paraId="5B389F43">
      <w:pPr>
        <w:pStyle w:val="10"/>
        <w:tabs>
          <w:tab w:val="left" w:pos="1541"/>
        </w:tabs>
        <w:snapToGrid w:val="0"/>
        <w:spacing w:line="300" w:lineRule="auto"/>
        <w:ind w:left="1274" w:leftChars="369" w:hanging="462" w:hangingChars="220"/>
        <w:jc w:val="both"/>
        <w:rPr>
          <w:rFonts w:ascii="Arial" w:hAnsi="Arial" w:eastAsia="宋体" w:cs="Arial"/>
          <w:sz w:val="21"/>
          <w:szCs w:val="21"/>
          <w:lang w:eastAsia="zh-CN"/>
        </w:rPr>
      </w:pPr>
    </w:p>
    <w:p w14:paraId="42087942">
      <w:pPr>
        <w:pStyle w:val="10"/>
        <w:numPr>
          <w:ilvl w:val="1"/>
          <w:numId w:val="4"/>
        </w:numPr>
        <w:tabs>
          <w:tab w:val="left" w:pos="1541"/>
        </w:tabs>
        <w:snapToGrid w:val="0"/>
        <w:spacing w:line="300" w:lineRule="auto"/>
        <w:ind w:left="1274" w:leftChars="369" w:hanging="462" w:hangingChars="220"/>
        <w:jc w:val="both"/>
        <w:rPr>
          <w:rFonts w:ascii="Arial" w:hAnsi="Arial" w:eastAsia="宋体" w:cs="Arial"/>
          <w:sz w:val="21"/>
          <w:szCs w:val="21"/>
          <w:lang w:eastAsia="zh-CN"/>
        </w:rPr>
      </w:pPr>
      <w:r>
        <w:rPr>
          <w:rFonts w:ascii="Arial" w:hAnsi="Arial" w:eastAsia="宋体" w:cs="Arial"/>
          <w:sz w:val="21"/>
          <w:szCs w:val="21"/>
          <w:lang w:eastAsia="zh-CN"/>
        </w:rPr>
        <w:t>如果使用了辐射灭菌，辐射剂量以及其是否已确定。否则，在确定剂量后，应修改FDA的510（k）文件。</w:t>
      </w:r>
    </w:p>
    <w:p w14:paraId="02C5BC59">
      <w:pPr>
        <w:snapToGrid w:val="0"/>
        <w:spacing w:before="8" w:line="300" w:lineRule="auto"/>
        <w:ind w:left="1274" w:leftChars="369" w:hanging="462" w:hangingChars="220"/>
        <w:jc w:val="both"/>
        <w:rPr>
          <w:rFonts w:ascii="Arial" w:hAnsi="Arial" w:eastAsia="宋体" w:cs="Arial"/>
          <w:sz w:val="21"/>
          <w:szCs w:val="21"/>
          <w:lang w:eastAsia="zh-CN"/>
        </w:rPr>
      </w:pPr>
    </w:p>
    <w:p w14:paraId="4CEC922D">
      <w:pPr>
        <w:rPr>
          <w:rFonts w:ascii="Arial" w:hAnsi="Arial" w:eastAsia="宋体" w:cs="Arial"/>
          <w:b/>
          <w:bCs/>
          <w:sz w:val="21"/>
          <w:szCs w:val="21"/>
          <w:lang w:eastAsia="zh-CN"/>
        </w:rPr>
      </w:pPr>
      <w:r>
        <w:rPr>
          <w:rFonts w:ascii="Arial" w:hAnsi="Arial" w:eastAsia="宋体" w:cs="Arial"/>
          <w:sz w:val="21"/>
          <w:szCs w:val="21"/>
          <w:lang w:eastAsia="zh-CN"/>
        </w:rPr>
        <w:br w:type="page"/>
      </w:r>
    </w:p>
    <w:p w14:paraId="49D8C7C4">
      <w:pPr>
        <w:pStyle w:val="2"/>
        <w:numPr>
          <w:ilvl w:val="0"/>
          <w:numId w:val="4"/>
        </w:numPr>
        <w:tabs>
          <w:tab w:val="left" w:pos="820"/>
        </w:tabs>
        <w:snapToGrid w:val="0"/>
        <w:spacing w:before="73" w:line="300" w:lineRule="auto"/>
        <w:ind w:left="0" w:firstLine="0"/>
        <w:jc w:val="both"/>
        <w:rPr>
          <w:rFonts w:ascii="Arial" w:hAnsi="Arial" w:eastAsia="宋体" w:cs="Arial"/>
          <w:b w:val="0"/>
          <w:bCs w:val="0"/>
          <w:sz w:val="21"/>
          <w:szCs w:val="21"/>
        </w:rPr>
      </w:pPr>
      <w:r>
        <w:rPr>
          <w:rFonts w:ascii="Arial" w:hAnsi="Arial" w:eastAsia="宋体" w:cs="Arial"/>
          <w:sz w:val="21"/>
          <w:szCs w:val="21"/>
        </w:rPr>
        <w:t>510（k）</w:t>
      </w:r>
      <w:r>
        <w:rPr>
          <w:rFonts w:ascii="Arial" w:hAnsi="Arial" w:eastAsia="宋体" w:cs="Arial"/>
          <w:sz w:val="21"/>
          <w:szCs w:val="21"/>
          <w:lang w:eastAsia="zh-CN"/>
        </w:rPr>
        <w:t>摘要</w:t>
      </w:r>
      <w:r>
        <w:rPr>
          <w:rFonts w:ascii="Arial" w:hAnsi="Arial" w:eastAsia="宋体" w:cs="Arial"/>
          <w:sz w:val="21"/>
          <w:szCs w:val="21"/>
        </w:rPr>
        <w:t>或声明</w:t>
      </w:r>
    </w:p>
    <w:p w14:paraId="328FF785">
      <w:pPr>
        <w:snapToGrid w:val="0"/>
        <w:spacing w:before="6" w:line="300" w:lineRule="auto"/>
        <w:jc w:val="both"/>
        <w:rPr>
          <w:rFonts w:ascii="Arial" w:hAnsi="Arial" w:eastAsia="宋体" w:cs="Arial"/>
          <w:b/>
          <w:bCs/>
          <w:sz w:val="21"/>
          <w:szCs w:val="21"/>
        </w:rPr>
      </w:pPr>
    </w:p>
    <w:p w14:paraId="427CB19C">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根据该法案的1990年修正案的要求，所有提交510（k）的人员必须在510（k）中提供安全性和有效性信息摘要，其中，可以根据此类信息测定等同性，或者提供一份声明，其中应声明可以应要求将有关该器械的安全性和有效性信息提供给任何利益人，并且该信息不包括任何患者身份识别码。安全和有效性信息是指不良安全性和有效性信息、关于新型和比较器械的描述性信息以及性能/临床试验信息。</w:t>
      </w:r>
    </w:p>
    <w:p w14:paraId="3DC377B6">
      <w:pPr>
        <w:snapToGrid w:val="0"/>
        <w:spacing w:before="6" w:line="300" w:lineRule="auto"/>
        <w:jc w:val="both"/>
        <w:rPr>
          <w:rFonts w:ascii="Arial" w:hAnsi="Arial" w:eastAsia="宋体" w:cs="Arial"/>
          <w:sz w:val="21"/>
          <w:szCs w:val="21"/>
          <w:lang w:eastAsia="zh-CN"/>
        </w:rPr>
      </w:pPr>
    </w:p>
    <w:p w14:paraId="1012E84E">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如果选择了摘要选项，则应将其放在单独的页面上，并标识为510（k）摘要。</w:t>
      </w:r>
    </w:p>
    <w:p w14:paraId="1C1F5DD4">
      <w:pPr>
        <w:pStyle w:val="3"/>
        <w:snapToGrid w:val="0"/>
        <w:spacing w:line="300" w:lineRule="auto"/>
        <w:ind w:left="0"/>
        <w:jc w:val="both"/>
        <w:rPr>
          <w:rFonts w:ascii="Arial" w:hAnsi="Arial" w:eastAsia="宋体" w:cs="Arial"/>
          <w:sz w:val="21"/>
          <w:szCs w:val="21"/>
          <w:lang w:eastAsia="zh-CN"/>
        </w:rPr>
      </w:pPr>
    </w:p>
    <w:p w14:paraId="14C2BB40">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如果选择了声明选项，则应将其命名为510（k）声明。</w:t>
      </w:r>
    </w:p>
    <w:p w14:paraId="00333F10">
      <w:pPr>
        <w:snapToGrid w:val="0"/>
        <w:spacing w:before="7" w:line="300" w:lineRule="auto"/>
        <w:jc w:val="both"/>
        <w:rPr>
          <w:rFonts w:ascii="Arial" w:hAnsi="Arial" w:eastAsia="宋体" w:cs="Arial"/>
          <w:sz w:val="21"/>
          <w:szCs w:val="21"/>
          <w:lang w:eastAsia="zh-CN"/>
        </w:rPr>
      </w:pPr>
    </w:p>
    <w:p w14:paraId="5B145210">
      <w:pPr>
        <w:pStyle w:val="2"/>
        <w:numPr>
          <w:ilvl w:val="0"/>
          <w:numId w:val="4"/>
        </w:numPr>
        <w:tabs>
          <w:tab w:val="left" w:pos="822"/>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软件</w:t>
      </w:r>
      <w:r>
        <w:rPr>
          <w:rFonts w:ascii="Arial" w:hAnsi="Arial" w:eastAsia="宋体" w:cs="Arial"/>
          <w:sz w:val="21"/>
          <w:szCs w:val="21"/>
          <w:lang w:eastAsia="zh-CN"/>
        </w:rPr>
        <w:t>确认</w:t>
      </w:r>
      <w:r>
        <w:rPr>
          <w:rFonts w:ascii="Arial" w:hAnsi="Arial" w:eastAsia="宋体" w:cs="Arial"/>
          <w:sz w:val="21"/>
          <w:szCs w:val="21"/>
        </w:rPr>
        <w:t>信息</w:t>
      </w:r>
    </w:p>
    <w:p w14:paraId="74F08491">
      <w:pPr>
        <w:snapToGrid w:val="0"/>
        <w:spacing w:before="6" w:line="300" w:lineRule="auto"/>
        <w:jc w:val="both"/>
        <w:rPr>
          <w:rFonts w:ascii="Arial" w:hAnsi="Arial" w:eastAsia="宋体" w:cs="Arial"/>
          <w:b/>
          <w:bCs/>
          <w:sz w:val="21"/>
          <w:szCs w:val="21"/>
        </w:rPr>
      </w:pPr>
    </w:p>
    <w:p w14:paraId="193883F4">
      <w:pPr>
        <w:pStyle w:val="3"/>
        <w:snapToGrid w:val="0"/>
        <w:spacing w:line="300" w:lineRule="auto"/>
        <w:ind w:left="838" w:leftChars="381"/>
        <w:jc w:val="both"/>
        <w:rPr>
          <w:rFonts w:ascii="Arial" w:hAnsi="Arial" w:eastAsia="宋体" w:cs="Arial"/>
          <w:sz w:val="21"/>
          <w:szCs w:val="21"/>
          <w:lang w:eastAsia="zh-CN"/>
        </w:rPr>
      </w:pPr>
      <w:r>
        <w:rPr>
          <w:rFonts w:ascii="Arial" w:hAnsi="Arial" w:eastAsia="宋体" w:cs="Arial"/>
          <w:sz w:val="21"/>
          <w:szCs w:val="21"/>
          <w:lang w:eastAsia="zh-CN"/>
        </w:rPr>
        <w:t>如果器械由软件进行控制，那么提交资料必须提供</w:t>
      </w:r>
      <w:r>
        <w:rPr>
          <w:rFonts w:ascii="Arial" w:hAnsi="Arial" w:eastAsia="宋体" w:cs="Arial"/>
          <w:b/>
          <w:sz w:val="21"/>
          <w:szCs w:val="21"/>
          <w:lang w:eastAsia="zh-CN"/>
        </w:rPr>
        <w:t>FDA</w:t>
      </w:r>
      <w:r>
        <w:rPr>
          <w:rFonts w:hint="eastAsia" w:ascii="Arial" w:hAnsi="Arial" w:eastAsia="宋体" w:cs="Arial"/>
          <w:b/>
          <w:sz w:val="21"/>
          <w:szCs w:val="21"/>
          <w:lang w:eastAsia="zh-CN"/>
        </w:rPr>
        <w:t>审查员软件评价指南</w:t>
      </w:r>
      <w:r>
        <w:rPr>
          <w:rFonts w:ascii="Arial" w:hAnsi="Arial" w:eastAsia="宋体" w:cs="Arial"/>
          <w:sz w:val="21"/>
          <w:szCs w:val="21"/>
          <w:lang w:eastAsia="zh-CN"/>
        </w:rPr>
        <w:t>中概述的软件信息。该文件可从小型制造商援助司获得，电话：（800）638-2041。</w:t>
      </w:r>
    </w:p>
    <w:p w14:paraId="0BA9BA82">
      <w:pPr>
        <w:snapToGrid w:val="0"/>
        <w:spacing w:before="8" w:line="300" w:lineRule="auto"/>
        <w:jc w:val="both"/>
        <w:rPr>
          <w:rFonts w:ascii="Arial" w:hAnsi="Arial" w:eastAsia="宋体" w:cs="Arial"/>
          <w:sz w:val="21"/>
          <w:szCs w:val="21"/>
          <w:lang w:eastAsia="zh-CN"/>
        </w:rPr>
      </w:pPr>
    </w:p>
    <w:p w14:paraId="28CEAA2A">
      <w:pPr>
        <w:rPr>
          <w:rFonts w:ascii="Arial" w:hAnsi="Arial" w:eastAsia="宋体" w:cs="Arial"/>
          <w:b/>
          <w:sz w:val="21"/>
          <w:szCs w:val="21"/>
          <w:lang w:eastAsia="zh-CN"/>
        </w:rPr>
      </w:pPr>
      <w:r>
        <w:rPr>
          <w:rFonts w:ascii="Arial" w:hAnsi="Arial" w:eastAsia="宋体" w:cs="Arial"/>
          <w:b/>
          <w:sz w:val="21"/>
          <w:szCs w:val="21"/>
          <w:lang w:eastAsia="zh-CN"/>
        </w:rPr>
        <w:br w:type="page"/>
      </w:r>
    </w:p>
    <w:p w14:paraId="58836897">
      <w:pPr>
        <w:pStyle w:val="10"/>
        <w:numPr>
          <w:ilvl w:val="0"/>
          <w:numId w:val="1"/>
        </w:numPr>
        <w:tabs>
          <w:tab w:val="left" w:pos="822"/>
        </w:tabs>
        <w:snapToGrid w:val="0"/>
        <w:spacing w:before="73" w:line="300" w:lineRule="auto"/>
        <w:ind w:left="0" w:firstLine="0"/>
        <w:jc w:val="both"/>
        <w:rPr>
          <w:rFonts w:ascii="Arial" w:hAnsi="Arial" w:eastAsia="宋体" w:cs="Arial"/>
          <w:b/>
          <w:sz w:val="21"/>
          <w:szCs w:val="21"/>
          <w:lang w:eastAsia="zh-CN"/>
        </w:rPr>
      </w:pPr>
      <w:r>
        <w:rPr>
          <w:rFonts w:hint="eastAsia" w:ascii="Arial" w:hAnsi="Arial" w:eastAsia="宋体" w:cs="Arial"/>
          <w:b/>
          <w:sz w:val="21"/>
          <w:szCs w:val="21"/>
          <w:lang w:eastAsia="zh-CN"/>
        </w:rPr>
        <w:t>标签</w:t>
      </w:r>
      <w:r>
        <w:rPr>
          <w:rFonts w:ascii="Arial" w:hAnsi="Arial" w:eastAsia="宋体" w:cs="Arial"/>
          <w:b/>
          <w:sz w:val="21"/>
          <w:szCs w:val="21"/>
          <w:lang w:eastAsia="zh-CN"/>
        </w:rPr>
        <w:t>–</w:t>
      </w:r>
      <w:r>
        <w:rPr>
          <w:rFonts w:hint="eastAsia" w:ascii="Arial" w:hAnsi="Arial" w:eastAsia="宋体" w:cs="Arial"/>
          <w:b/>
          <w:sz w:val="21"/>
          <w:szCs w:val="21"/>
          <w:lang w:eastAsia="zh-CN"/>
        </w:rPr>
        <w:t>医疗激光器的适应症</w:t>
      </w:r>
    </w:p>
    <w:p w14:paraId="54D50F6E">
      <w:pPr>
        <w:snapToGrid w:val="0"/>
        <w:spacing w:before="8" w:line="300" w:lineRule="auto"/>
        <w:jc w:val="both"/>
        <w:rPr>
          <w:rFonts w:ascii="Arial" w:hAnsi="Arial" w:eastAsia="宋体" w:cs="Arial"/>
          <w:b/>
          <w:bCs/>
          <w:sz w:val="21"/>
          <w:szCs w:val="21"/>
          <w:lang w:eastAsia="zh-CN"/>
        </w:rPr>
      </w:pPr>
    </w:p>
    <w:p w14:paraId="523D5AFC">
      <w:pPr>
        <w:pStyle w:val="10"/>
        <w:numPr>
          <w:ilvl w:val="0"/>
          <w:numId w:val="5"/>
        </w:numPr>
        <w:tabs>
          <w:tab w:val="left" w:pos="821"/>
        </w:tabs>
        <w:snapToGrid w:val="0"/>
        <w:spacing w:line="300" w:lineRule="auto"/>
        <w:ind w:left="0" w:firstLine="0"/>
        <w:jc w:val="both"/>
        <w:rPr>
          <w:rFonts w:ascii="Arial" w:hAnsi="Arial" w:eastAsia="宋体" w:cs="Arial"/>
          <w:sz w:val="21"/>
          <w:szCs w:val="21"/>
          <w:lang w:eastAsia="zh-CN"/>
        </w:rPr>
      </w:pPr>
      <w:r>
        <w:rPr>
          <w:rFonts w:ascii="Arial" w:hAnsi="Arial" w:eastAsia="宋体" w:cs="Arial"/>
          <w:b/>
          <w:sz w:val="21"/>
          <w:szCs w:val="21"/>
          <w:lang w:eastAsia="zh-CN"/>
        </w:rPr>
        <w:t>手术工具的预期用途和适应症背景</w:t>
      </w:r>
    </w:p>
    <w:p w14:paraId="691488F6">
      <w:pPr>
        <w:snapToGrid w:val="0"/>
        <w:spacing w:before="8" w:line="300" w:lineRule="auto"/>
        <w:jc w:val="both"/>
        <w:rPr>
          <w:rFonts w:ascii="Arial" w:hAnsi="Arial" w:eastAsia="宋体" w:cs="Arial"/>
          <w:b/>
          <w:bCs/>
          <w:sz w:val="21"/>
          <w:szCs w:val="21"/>
          <w:lang w:eastAsia="zh-CN"/>
        </w:rPr>
      </w:pPr>
    </w:p>
    <w:p w14:paraId="6705D4BA">
      <w:pPr>
        <w:snapToGrid w:val="0"/>
        <w:spacing w:line="300" w:lineRule="auto"/>
        <w:ind w:left="836" w:leftChars="380"/>
        <w:jc w:val="both"/>
        <w:rPr>
          <w:rFonts w:ascii="Arial" w:hAnsi="Arial" w:eastAsia="宋体" w:cs="Arial"/>
          <w:sz w:val="21"/>
          <w:szCs w:val="21"/>
          <w:lang w:eastAsia="zh-CN"/>
        </w:rPr>
      </w:pPr>
      <w:r>
        <w:rPr>
          <w:rFonts w:ascii="Arial" w:hAnsi="Arial" w:eastAsia="宋体" w:cs="Arial"/>
          <w:sz w:val="21"/>
          <w:szCs w:val="21"/>
          <w:lang w:eastAsia="zh-CN"/>
        </w:rPr>
        <w:t>如</w:t>
      </w:r>
      <w:r>
        <w:rPr>
          <w:rFonts w:ascii="Arial" w:hAnsi="Arial" w:eastAsia="宋体" w:cs="Arial"/>
          <w:b/>
          <w:sz w:val="21"/>
          <w:szCs w:val="21"/>
          <w:lang w:eastAsia="zh-CN"/>
        </w:rPr>
        <w:t>I.C.</w:t>
      </w:r>
      <w:r>
        <w:rPr>
          <w:rFonts w:ascii="Arial" w:hAnsi="Arial" w:eastAsia="宋体" w:cs="Arial"/>
          <w:sz w:val="21"/>
          <w:szCs w:val="21"/>
          <w:lang w:eastAsia="zh-CN"/>
        </w:rPr>
        <w:t>所述，</w:t>
      </w:r>
      <w:r>
        <w:rPr>
          <w:rFonts w:hint="eastAsia" w:ascii="Arial" w:hAnsi="Arial" w:eastAsia="宋体" w:cs="Arial"/>
          <w:b/>
          <w:sz w:val="21"/>
          <w:szCs w:val="21"/>
          <w:lang w:eastAsia="zh-CN"/>
        </w:rPr>
        <w:t>修订</w:t>
      </w:r>
      <w:r>
        <w:rPr>
          <w:rFonts w:ascii="Arial" w:hAnsi="Arial" w:eastAsia="宋体" w:cs="Arial"/>
          <w:b/>
          <w:sz w:val="21"/>
          <w:szCs w:val="21"/>
          <w:lang w:eastAsia="zh-CN"/>
        </w:rPr>
        <w:t>1990</w:t>
      </w:r>
      <w:r>
        <w:rPr>
          <w:rFonts w:hint="eastAsia" w:ascii="Arial" w:hAnsi="Arial" w:eastAsia="宋体" w:cs="Arial"/>
          <w:b/>
          <w:sz w:val="21"/>
          <w:szCs w:val="21"/>
          <w:lang w:eastAsia="zh-CN"/>
        </w:rPr>
        <w:t>年指南的目标</w:t>
      </w:r>
      <w:r>
        <w:rPr>
          <w:rFonts w:ascii="Arial" w:hAnsi="Arial" w:eastAsia="宋体" w:cs="Arial"/>
          <w:sz w:val="21"/>
          <w:szCs w:val="21"/>
          <w:lang w:eastAsia="zh-CN"/>
        </w:rPr>
        <w:t>、</w:t>
      </w:r>
      <w:r>
        <w:rPr>
          <w:rFonts w:hint="eastAsia" w:ascii="Arial" w:hAnsi="Arial" w:eastAsia="宋体" w:cs="Arial"/>
          <w:b/>
          <w:sz w:val="21"/>
          <w:szCs w:val="21"/>
          <w:lang w:eastAsia="zh-CN"/>
        </w:rPr>
        <w:t>预期用途和适应症</w:t>
      </w:r>
      <w:r>
        <w:rPr>
          <w:rFonts w:ascii="Arial" w:hAnsi="Arial" w:eastAsia="宋体" w:cs="Arial"/>
          <w:sz w:val="21"/>
          <w:szCs w:val="21"/>
          <w:lang w:eastAsia="zh-CN"/>
        </w:rPr>
        <w:t>是易混淆的术语，为了遵循医疗激光器标签的目的，必须清楚其含义。因其适用于510（k）决策， 这些定义在此提供：</w:t>
      </w:r>
    </w:p>
    <w:p w14:paraId="59E1864B">
      <w:pPr>
        <w:snapToGrid w:val="0"/>
        <w:spacing w:before="6" w:line="300" w:lineRule="auto"/>
        <w:jc w:val="both"/>
        <w:rPr>
          <w:rFonts w:ascii="Arial" w:hAnsi="Arial" w:eastAsia="宋体" w:cs="Arial"/>
          <w:sz w:val="21"/>
          <w:szCs w:val="21"/>
          <w:lang w:eastAsia="zh-CN"/>
        </w:rPr>
      </w:pPr>
    </w:p>
    <w:p w14:paraId="6F53D62D">
      <w:pPr>
        <w:pStyle w:val="3"/>
        <w:snapToGrid w:val="0"/>
        <w:spacing w:line="300" w:lineRule="auto"/>
        <w:ind w:left="1244" w:leftChars="565" w:hanging="1"/>
        <w:jc w:val="both"/>
        <w:rPr>
          <w:rFonts w:ascii="Arial" w:hAnsi="Arial" w:eastAsia="宋体" w:cs="Arial"/>
          <w:sz w:val="21"/>
          <w:szCs w:val="21"/>
          <w:lang w:eastAsia="zh-CN"/>
        </w:rPr>
      </w:pPr>
      <w:r>
        <w:rPr>
          <w:rFonts w:ascii="Arial" w:hAnsi="Arial" w:eastAsia="宋体" w:cs="Arial"/>
          <w:sz w:val="21"/>
          <w:szCs w:val="21"/>
          <w:lang w:eastAsia="zh-CN"/>
        </w:rPr>
        <w:t>预期用途：这是指器械的一般功能用途，即辐射/组织相互作用的主要作用，代表器械使用的广泛或一般适应症。</w:t>
      </w:r>
    </w:p>
    <w:p w14:paraId="2A661D52">
      <w:pPr>
        <w:pStyle w:val="3"/>
        <w:snapToGrid w:val="0"/>
        <w:spacing w:line="300" w:lineRule="auto"/>
        <w:ind w:left="1246" w:leftChars="566" w:hanging="1"/>
        <w:jc w:val="both"/>
        <w:rPr>
          <w:rFonts w:ascii="Arial" w:hAnsi="Arial" w:eastAsia="宋体" w:cs="Arial"/>
          <w:sz w:val="21"/>
          <w:szCs w:val="21"/>
          <w:lang w:eastAsia="zh-CN"/>
        </w:rPr>
      </w:pPr>
    </w:p>
    <w:p w14:paraId="21D9BE53">
      <w:pPr>
        <w:pStyle w:val="3"/>
        <w:snapToGrid w:val="0"/>
        <w:spacing w:line="300" w:lineRule="auto"/>
        <w:ind w:left="1246" w:leftChars="566" w:hanging="1"/>
        <w:jc w:val="both"/>
        <w:rPr>
          <w:rFonts w:ascii="Arial" w:hAnsi="Arial" w:eastAsia="宋体" w:cs="Arial"/>
          <w:sz w:val="21"/>
          <w:szCs w:val="21"/>
          <w:lang w:eastAsia="zh-CN"/>
        </w:rPr>
      </w:pPr>
      <w:r>
        <w:rPr>
          <w:rFonts w:ascii="Arial" w:hAnsi="Arial" w:eastAsia="宋体" w:cs="Arial"/>
          <w:sz w:val="21"/>
          <w:szCs w:val="21"/>
          <w:lang w:eastAsia="zh-CN"/>
        </w:rPr>
        <w:t>适应症：这是指器械的特定手术、治疗或诊断用途或一组类似用途，即疾病、病症或病理学，该器械的主要作用是用于预防、治疗、治愈、缓解或诊断。</w:t>
      </w:r>
    </w:p>
    <w:p w14:paraId="2CC31574">
      <w:pPr>
        <w:snapToGrid w:val="0"/>
        <w:spacing w:before="6" w:line="300" w:lineRule="auto"/>
        <w:jc w:val="both"/>
        <w:rPr>
          <w:rFonts w:ascii="Arial" w:hAnsi="Arial" w:eastAsia="宋体" w:cs="Arial"/>
          <w:sz w:val="21"/>
          <w:szCs w:val="21"/>
          <w:lang w:eastAsia="zh-CN"/>
        </w:rPr>
      </w:pPr>
    </w:p>
    <w:p w14:paraId="2B603887">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这些术语相互补充，用于表明负责器械上市人员的客观意图。当这些术语在510（k）提交资料中一起使用或单独使用时，其必须明确一致反映与比较器械相比使用该器械的客观意图。重要的是要注意，激光器的功能使用可以在特定适应症中暗含。因此，如果激光器使用的新型适应症的特性改变了比较器械的预期用途，则其可能具有新的预期用途。如果发现激光器不具有与比较器械相同的预期用途或新技术特性引起新型的安全性或有效性问题，则该器械不具有实质等同性（NSE），并且必须通过上市前批准（PMA）过程进行评估。</w:t>
      </w:r>
    </w:p>
    <w:p w14:paraId="7E291BBE">
      <w:pPr>
        <w:snapToGrid w:val="0"/>
        <w:spacing w:before="6" w:line="300" w:lineRule="auto"/>
        <w:jc w:val="both"/>
        <w:rPr>
          <w:rFonts w:ascii="Arial" w:hAnsi="Arial" w:eastAsia="宋体" w:cs="Arial"/>
          <w:sz w:val="21"/>
          <w:szCs w:val="21"/>
          <w:lang w:eastAsia="zh-CN"/>
        </w:rPr>
      </w:pPr>
    </w:p>
    <w:p w14:paraId="32CE640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医疗激光器是将热、声或光子能量应用于人体组织以便影响组织结构的预期变化或引起反应以用于诊断的工具。能量通过输送机制从能量源传递到靶组织。能量可通过辐射的能量束从输送机制施加到靶组织（自由波束模式）或由与组织接触的探针（接触模式）传输。对于外科手术，根据所使用的模式和所施加的能量，能量的作用是生成组织的切割、凝固、蒸发、消融、光破坏或光化学反应。这些组织效应构成手术激光器的预期用途。</w:t>
      </w:r>
    </w:p>
    <w:p w14:paraId="165EB769">
      <w:pPr>
        <w:snapToGrid w:val="0"/>
        <w:spacing w:before="6" w:line="300" w:lineRule="auto"/>
        <w:jc w:val="both"/>
        <w:rPr>
          <w:rFonts w:ascii="Arial" w:hAnsi="Arial" w:eastAsia="宋体" w:cs="Arial"/>
          <w:sz w:val="21"/>
          <w:szCs w:val="21"/>
          <w:lang w:eastAsia="zh-CN"/>
        </w:rPr>
      </w:pPr>
    </w:p>
    <w:p w14:paraId="71968909">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有许多变量可决定激光能量对组织的影响。激光器的输出特性各不相同（例如，功率、波长、光斑尺寸和输送方式）。激光器的独特特性及其输送机制创造了迄今尚未存在的手术机会。组织相关变量包括例如组织成分、颜色、密度和血管分布。将激光能量引入使用部位并由用户施加的方式也较为重要。医生的专业知识和技能对于安全有效地使用任何手术工具至关重要。</w:t>
      </w:r>
    </w:p>
    <w:p w14:paraId="67CB8B3F">
      <w:pPr>
        <w:pStyle w:val="3"/>
        <w:snapToGrid w:val="0"/>
        <w:spacing w:before="73" w:line="300" w:lineRule="auto"/>
        <w:ind w:left="0"/>
        <w:jc w:val="both"/>
        <w:rPr>
          <w:rFonts w:ascii="Arial" w:hAnsi="Arial" w:eastAsia="宋体" w:cs="Arial"/>
          <w:sz w:val="21"/>
          <w:szCs w:val="21"/>
          <w:lang w:eastAsia="zh-CN"/>
        </w:rPr>
      </w:pPr>
    </w:p>
    <w:p w14:paraId="5C743341">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已上市的非激光手术器械标签中的</w:t>
      </w:r>
      <w:r>
        <w:rPr>
          <w:rFonts w:hint="eastAsia" w:ascii="Arial" w:hAnsi="Arial" w:eastAsia="宋体" w:cs="Arial"/>
          <w:b/>
          <w:sz w:val="21"/>
          <w:szCs w:val="21"/>
          <w:lang w:eastAsia="zh-CN"/>
        </w:rPr>
        <w:t>适应症</w:t>
      </w:r>
      <w:r>
        <w:rPr>
          <w:rFonts w:hint="eastAsia" w:ascii="Arial" w:hAnsi="Arial" w:eastAsia="宋体" w:cs="Arial"/>
          <w:sz w:val="21"/>
          <w:szCs w:val="21"/>
          <w:lang w:eastAsia="zh-CN"/>
        </w:rPr>
        <w:t>说明</w:t>
      </w:r>
      <w:r>
        <w:rPr>
          <w:rFonts w:ascii="Arial" w:hAnsi="Arial" w:eastAsia="宋体" w:cs="Arial"/>
          <w:sz w:val="21"/>
          <w:szCs w:val="21"/>
          <w:lang w:eastAsia="zh-CN"/>
        </w:rPr>
        <w:t>各不相同。其（1）由于人们普遍了解而未被声明（例如不锈钢外科手术刀），（2）在医疗专业领域内通常作为功能性能来进行声明（例如</w:t>
      </w:r>
      <w:r>
        <w:rPr>
          <w:rFonts w:ascii="宋体" w:hAnsi="宋体" w:eastAsia="宋体" w:cs="Arial"/>
          <w:sz w:val="21"/>
          <w:szCs w:val="21"/>
          <w:lang w:eastAsia="zh-CN"/>
        </w:rPr>
        <w:t>“</w:t>
      </w:r>
      <w:r>
        <w:rPr>
          <w:rFonts w:ascii="Arial" w:hAnsi="Arial" w:eastAsia="宋体" w:cs="Arial"/>
          <w:sz w:val="21"/>
          <w:szCs w:val="21"/>
          <w:lang w:eastAsia="zh-CN"/>
        </w:rPr>
        <w:t>一般外科手术，包括切开或切除软组织</w:t>
      </w:r>
      <w:bookmarkStart w:id="3" w:name="OLE_LINK4"/>
      <w:bookmarkStart w:id="4" w:name="OLE_LINK5"/>
      <w:r>
        <w:rPr>
          <w:rFonts w:ascii="宋体" w:hAnsi="宋体" w:eastAsia="宋体" w:cs="Arial"/>
          <w:sz w:val="21"/>
          <w:szCs w:val="21"/>
          <w:lang w:eastAsia="zh-CN"/>
        </w:rPr>
        <w:t>”</w:t>
      </w:r>
      <w:bookmarkEnd w:id="3"/>
      <w:bookmarkEnd w:id="4"/>
      <w:r>
        <w:rPr>
          <w:rFonts w:ascii="Arial" w:hAnsi="Arial" w:eastAsia="宋体" w:cs="Arial"/>
          <w:sz w:val="21"/>
          <w:szCs w:val="21"/>
          <w:lang w:eastAsia="zh-CN"/>
        </w:rPr>
        <w:t>），或（3）就某一手术、疾病症状的治疗（例如</w:t>
      </w:r>
      <w:r>
        <w:rPr>
          <w:rFonts w:ascii="宋体" w:hAnsi="宋体" w:eastAsia="宋体" w:cs="Arial"/>
          <w:sz w:val="21"/>
          <w:szCs w:val="21"/>
          <w:lang w:eastAsia="zh-CN"/>
        </w:rPr>
        <w:t>“</w:t>
      </w:r>
      <w:r>
        <w:rPr>
          <w:rFonts w:ascii="Arial" w:hAnsi="Arial" w:eastAsia="宋体" w:cs="Arial"/>
          <w:sz w:val="21"/>
          <w:szCs w:val="21"/>
          <w:lang w:eastAsia="zh-CN"/>
        </w:rPr>
        <w:t>尿道狭窄</w:t>
      </w:r>
      <w:r>
        <w:rPr>
          <w:rFonts w:ascii="宋体" w:hAnsi="宋体" w:eastAsia="宋体" w:cs="Arial"/>
          <w:sz w:val="21"/>
          <w:szCs w:val="21"/>
          <w:lang w:eastAsia="zh-CN"/>
        </w:rPr>
        <w:t>”</w:t>
      </w:r>
      <w:r>
        <w:rPr>
          <w:rFonts w:ascii="Arial" w:hAnsi="Arial" w:eastAsia="宋体" w:cs="Arial"/>
          <w:sz w:val="21"/>
          <w:szCs w:val="21"/>
          <w:lang w:eastAsia="zh-CN"/>
        </w:rPr>
        <w:t>）或预先存在的病症治疗（例如，</w:t>
      </w:r>
      <w:r>
        <w:rPr>
          <w:rFonts w:ascii="宋体" w:hAnsi="宋体" w:eastAsia="宋体" w:cs="Arial"/>
          <w:sz w:val="21"/>
          <w:szCs w:val="21"/>
          <w:lang w:eastAsia="zh-CN"/>
        </w:rPr>
        <w:t>“</w:t>
      </w:r>
      <w:r>
        <w:rPr>
          <w:rFonts w:ascii="Arial" w:hAnsi="Arial" w:eastAsia="宋体" w:cs="Arial"/>
          <w:sz w:val="21"/>
          <w:szCs w:val="21"/>
          <w:lang w:eastAsia="zh-CN"/>
        </w:rPr>
        <w:t>先天性特征的切除术</w:t>
      </w:r>
      <w:r>
        <w:rPr>
          <w:rFonts w:ascii="宋体" w:hAnsi="宋体" w:eastAsia="宋体" w:cs="Arial"/>
          <w:sz w:val="21"/>
          <w:szCs w:val="21"/>
          <w:lang w:eastAsia="zh-CN"/>
        </w:rPr>
        <w:t>”</w:t>
      </w:r>
      <w:r>
        <w:rPr>
          <w:rFonts w:ascii="Arial" w:hAnsi="Arial" w:eastAsia="宋体" w:cs="Arial"/>
          <w:sz w:val="21"/>
          <w:szCs w:val="21"/>
          <w:lang w:eastAsia="zh-CN"/>
        </w:rPr>
        <w:t>）进行特别声明。在某些情况下，一般功能能力可以根据具体的适应症来进行分类。</w:t>
      </w:r>
    </w:p>
    <w:p w14:paraId="0ABB00AC">
      <w:pPr>
        <w:snapToGrid w:val="0"/>
        <w:spacing w:before="6" w:line="300" w:lineRule="auto"/>
        <w:jc w:val="both"/>
        <w:rPr>
          <w:rFonts w:ascii="Arial" w:hAnsi="Arial" w:eastAsia="宋体" w:cs="Arial"/>
          <w:sz w:val="21"/>
          <w:szCs w:val="21"/>
          <w:lang w:eastAsia="zh-CN"/>
        </w:rPr>
      </w:pPr>
    </w:p>
    <w:p w14:paraId="39EAFB94">
      <w:pPr>
        <w:rPr>
          <w:rFonts w:ascii="Arial" w:hAnsi="Arial" w:eastAsia="宋体" w:cs="Arial"/>
          <w:sz w:val="21"/>
          <w:szCs w:val="21"/>
          <w:lang w:eastAsia="zh-CN"/>
        </w:rPr>
      </w:pPr>
      <w:r>
        <w:rPr>
          <w:rFonts w:ascii="Arial" w:hAnsi="Arial" w:eastAsia="宋体" w:cs="Arial"/>
          <w:sz w:val="21"/>
          <w:szCs w:val="21"/>
          <w:lang w:eastAsia="zh-CN"/>
        </w:rPr>
        <w:br w:type="page"/>
      </w:r>
    </w:p>
    <w:p w14:paraId="50FB8990">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特定程序、疾病和病症列表应在1976年前激光器标签中明显标注。在1990年之前上市的激光器还应提供一般和特定适应症的混合体。在1990年后获得许可的激光标签通常是有关一般用途说明以及应用</w:t>
      </w:r>
      <w:r>
        <w:rPr>
          <w:rFonts w:ascii="宋体" w:hAnsi="宋体" w:eastAsia="宋体" w:cs="Arial"/>
          <w:sz w:val="21"/>
          <w:szCs w:val="21"/>
          <w:lang w:eastAsia="zh-CN"/>
        </w:rPr>
        <w:t>“</w:t>
      </w:r>
      <w:r>
        <w:rPr>
          <w:rFonts w:ascii="Arial" w:hAnsi="Arial" w:eastAsia="宋体" w:cs="Arial"/>
          <w:sz w:val="21"/>
          <w:szCs w:val="21"/>
          <w:lang w:eastAsia="zh-CN"/>
        </w:rPr>
        <w:t>实例</w:t>
      </w:r>
      <w:r>
        <w:rPr>
          <w:rFonts w:ascii="宋体" w:hAnsi="宋体" w:eastAsia="宋体" w:cs="Arial"/>
          <w:sz w:val="21"/>
          <w:szCs w:val="21"/>
          <w:lang w:eastAsia="zh-CN"/>
        </w:rPr>
        <w:t>”</w:t>
      </w:r>
      <w:r>
        <w:rPr>
          <w:rFonts w:ascii="Arial" w:hAnsi="Arial" w:eastAsia="宋体" w:cs="Arial"/>
          <w:sz w:val="21"/>
          <w:szCs w:val="21"/>
          <w:lang w:eastAsia="zh-CN"/>
        </w:rPr>
        <w:t>的1990年激光器指南中的推荐格式的变体。本拟定指南性文件中有关医疗激光器适应症的格式和内容较为灵活，但不应再提供有关应用的单独部分。</w:t>
      </w:r>
    </w:p>
    <w:p w14:paraId="75FD4CA9">
      <w:pPr>
        <w:snapToGrid w:val="0"/>
        <w:spacing w:before="11" w:line="300" w:lineRule="auto"/>
        <w:jc w:val="both"/>
        <w:rPr>
          <w:rFonts w:ascii="Arial" w:hAnsi="Arial" w:eastAsia="宋体" w:cs="Arial"/>
          <w:sz w:val="21"/>
          <w:szCs w:val="21"/>
          <w:lang w:eastAsia="zh-CN"/>
        </w:rPr>
      </w:pPr>
    </w:p>
    <w:p w14:paraId="70284AEF">
      <w:pPr>
        <w:pStyle w:val="2"/>
        <w:numPr>
          <w:ilvl w:val="0"/>
          <w:numId w:val="5"/>
        </w:numPr>
        <w:tabs>
          <w:tab w:val="left" w:pos="820"/>
        </w:tabs>
        <w:snapToGrid w:val="0"/>
        <w:spacing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医疗激光器适应症或预期用途的原则</w:t>
      </w:r>
    </w:p>
    <w:p w14:paraId="253CDB32">
      <w:pPr>
        <w:snapToGrid w:val="0"/>
        <w:spacing w:before="6" w:line="300" w:lineRule="auto"/>
        <w:jc w:val="both"/>
        <w:rPr>
          <w:rFonts w:ascii="Arial" w:hAnsi="Arial" w:eastAsia="宋体" w:cs="Arial"/>
          <w:b/>
          <w:bCs/>
          <w:sz w:val="21"/>
          <w:szCs w:val="21"/>
          <w:lang w:eastAsia="zh-CN"/>
        </w:rPr>
      </w:pPr>
    </w:p>
    <w:p w14:paraId="6064DF96">
      <w:pPr>
        <w:pStyle w:val="3"/>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某些原则将适用于可接受的内容、基础、法规和医疗激光器适应症或预期用途的解释。</w:t>
      </w:r>
    </w:p>
    <w:p w14:paraId="57A1A737">
      <w:pPr>
        <w:pStyle w:val="10"/>
        <w:snapToGrid w:val="0"/>
        <w:spacing w:line="300" w:lineRule="auto"/>
        <w:jc w:val="both"/>
        <w:rPr>
          <w:rFonts w:ascii="Arial" w:hAnsi="Arial" w:eastAsia="宋体" w:cs="Arial"/>
          <w:sz w:val="21"/>
          <w:szCs w:val="21"/>
          <w:lang w:eastAsia="zh-CN"/>
        </w:rPr>
      </w:pPr>
    </w:p>
    <w:p w14:paraId="26E6E232">
      <w:pPr>
        <w:pStyle w:val="10"/>
        <w:numPr>
          <w:ilvl w:val="1"/>
          <w:numId w:val="5"/>
        </w:numPr>
        <w:tabs>
          <w:tab w:val="left" w:pos="1541"/>
        </w:tabs>
        <w:snapToGrid w:val="0"/>
        <w:spacing w:line="300" w:lineRule="auto"/>
        <w:ind w:left="1186" w:leftChars="381" w:hanging="348" w:hangingChars="166"/>
        <w:jc w:val="both"/>
        <w:rPr>
          <w:rFonts w:ascii="Arial" w:hAnsi="Arial" w:eastAsia="宋体" w:cs="Arial"/>
          <w:sz w:val="21"/>
          <w:szCs w:val="21"/>
          <w:lang w:eastAsia="zh-CN"/>
        </w:rPr>
      </w:pPr>
      <w:r>
        <w:rPr>
          <w:rFonts w:ascii="Arial" w:hAnsi="Arial" w:eastAsia="宋体" w:cs="Arial"/>
          <w:sz w:val="21"/>
          <w:szCs w:val="21"/>
          <w:lang w:eastAsia="zh-CN"/>
        </w:rPr>
        <w:t>有关器械拟定用途的SE测定必须基于该法案所要求以及FDA指南（例如，附件A）中说明的分析。技术的影响、分析标准的相似性和性能数据结果应在对拟定用途的等同性决定中作为因素加以考虑。</w:t>
      </w:r>
    </w:p>
    <w:p w14:paraId="3EE13B7F">
      <w:pPr>
        <w:pStyle w:val="10"/>
        <w:tabs>
          <w:tab w:val="left" w:pos="1541"/>
        </w:tabs>
        <w:snapToGrid w:val="0"/>
        <w:spacing w:line="300" w:lineRule="auto"/>
        <w:ind w:left="1186" w:leftChars="381" w:hanging="348" w:hangingChars="166"/>
        <w:jc w:val="both"/>
        <w:rPr>
          <w:rFonts w:ascii="Arial" w:hAnsi="Arial" w:eastAsia="宋体" w:cs="Arial"/>
          <w:sz w:val="21"/>
          <w:szCs w:val="21"/>
          <w:lang w:eastAsia="zh-CN"/>
        </w:rPr>
      </w:pPr>
    </w:p>
    <w:p w14:paraId="6DBDB558">
      <w:pPr>
        <w:pStyle w:val="10"/>
        <w:numPr>
          <w:ilvl w:val="1"/>
          <w:numId w:val="5"/>
        </w:numPr>
        <w:tabs>
          <w:tab w:val="left" w:pos="1541"/>
        </w:tabs>
        <w:snapToGrid w:val="0"/>
        <w:spacing w:line="300" w:lineRule="auto"/>
        <w:ind w:left="1186" w:leftChars="381" w:hanging="348" w:hangingChars="166"/>
        <w:jc w:val="both"/>
        <w:rPr>
          <w:rFonts w:ascii="Arial" w:hAnsi="Arial" w:eastAsia="宋体" w:cs="Arial"/>
          <w:sz w:val="21"/>
          <w:szCs w:val="21"/>
          <w:lang w:eastAsia="zh-CN"/>
        </w:rPr>
      </w:pPr>
      <w:r>
        <w:rPr>
          <w:rFonts w:ascii="Arial" w:hAnsi="Arial" w:eastAsia="宋体" w:cs="Arial"/>
          <w:sz w:val="21"/>
          <w:szCs w:val="21"/>
          <w:lang w:eastAsia="zh-CN"/>
        </w:rPr>
        <w:t>适应症或预期用途部分是提供有关器械使用的明确声明的内容。以下是说明性不可接受规范，除非已在上市申请中获得许可：许可适应症的临床应用、外推、再次声明和解释的示例可能代表了器械的新型适应症或预期用途。</w:t>
      </w:r>
    </w:p>
    <w:p w14:paraId="5D48873B">
      <w:pPr>
        <w:pStyle w:val="10"/>
        <w:tabs>
          <w:tab w:val="left" w:pos="1541"/>
        </w:tabs>
        <w:snapToGrid w:val="0"/>
        <w:spacing w:line="300" w:lineRule="auto"/>
        <w:ind w:left="1186" w:leftChars="381" w:hanging="348" w:hangingChars="166"/>
        <w:jc w:val="both"/>
        <w:rPr>
          <w:rFonts w:ascii="Arial" w:hAnsi="Arial" w:eastAsia="宋体" w:cs="Arial"/>
          <w:sz w:val="21"/>
          <w:szCs w:val="21"/>
          <w:lang w:eastAsia="zh-CN"/>
        </w:rPr>
      </w:pPr>
    </w:p>
    <w:p w14:paraId="148F5E88">
      <w:pPr>
        <w:pStyle w:val="10"/>
        <w:numPr>
          <w:ilvl w:val="1"/>
          <w:numId w:val="5"/>
        </w:numPr>
        <w:tabs>
          <w:tab w:val="left" w:pos="1541"/>
        </w:tabs>
        <w:snapToGrid w:val="0"/>
        <w:spacing w:line="300" w:lineRule="auto"/>
        <w:ind w:left="1186" w:leftChars="381" w:hanging="348" w:hangingChars="166"/>
        <w:jc w:val="both"/>
        <w:rPr>
          <w:rFonts w:ascii="Arial" w:hAnsi="Arial" w:eastAsia="宋体" w:cs="Arial"/>
          <w:sz w:val="21"/>
          <w:szCs w:val="21"/>
          <w:lang w:eastAsia="zh-CN"/>
        </w:rPr>
      </w:pPr>
      <w:r>
        <w:rPr>
          <w:rFonts w:ascii="Arial" w:hAnsi="Arial" w:eastAsia="宋体" w:cs="Arial"/>
          <w:sz w:val="21"/>
          <w:szCs w:val="21"/>
          <w:lang w:eastAsia="zh-CN"/>
        </w:rPr>
        <w:t>新型</w:t>
      </w:r>
      <w:r>
        <w:rPr>
          <w:rFonts w:hint="eastAsia" w:ascii="Arial" w:hAnsi="Arial" w:eastAsia="宋体" w:cs="Arial"/>
          <w:b/>
          <w:sz w:val="21"/>
          <w:szCs w:val="21"/>
          <w:lang w:eastAsia="zh-CN"/>
        </w:rPr>
        <w:t>适应症</w:t>
      </w:r>
      <w:r>
        <w:rPr>
          <w:rFonts w:ascii="Arial" w:hAnsi="Arial" w:eastAsia="宋体" w:cs="Arial"/>
          <w:sz w:val="21"/>
          <w:szCs w:val="21"/>
          <w:lang w:eastAsia="zh-CN"/>
        </w:rPr>
        <w:t>需要一份510（k）提交资料，并且必须基于有效的科学证据，其中，与比较器械相比，此类证据可为拟定用途提供激光器的安全性和有效性的合理保证。</w:t>
      </w:r>
    </w:p>
    <w:p w14:paraId="24AE3AC1">
      <w:pPr>
        <w:snapToGrid w:val="0"/>
        <w:spacing w:before="2" w:line="300" w:lineRule="auto"/>
        <w:jc w:val="both"/>
        <w:rPr>
          <w:rFonts w:ascii="Arial" w:hAnsi="Arial" w:eastAsia="宋体" w:cs="Arial"/>
          <w:sz w:val="21"/>
          <w:szCs w:val="21"/>
          <w:lang w:eastAsia="zh-CN"/>
        </w:rPr>
      </w:pPr>
    </w:p>
    <w:p w14:paraId="3819800D">
      <w:pPr>
        <w:pStyle w:val="2"/>
        <w:numPr>
          <w:ilvl w:val="0"/>
          <w:numId w:val="5"/>
        </w:numPr>
        <w:tabs>
          <w:tab w:val="left" w:pos="821"/>
        </w:tabs>
        <w:snapToGrid w:val="0"/>
        <w:spacing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适应症或预期用途声明的内容</w:t>
      </w:r>
    </w:p>
    <w:p w14:paraId="7CE0C96B">
      <w:pPr>
        <w:snapToGrid w:val="0"/>
        <w:spacing w:before="6" w:line="300" w:lineRule="auto"/>
        <w:jc w:val="both"/>
        <w:rPr>
          <w:rFonts w:ascii="Arial" w:hAnsi="Arial" w:eastAsia="宋体" w:cs="Arial"/>
          <w:b/>
          <w:bCs/>
          <w:sz w:val="21"/>
          <w:szCs w:val="21"/>
          <w:lang w:eastAsia="zh-CN"/>
        </w:rPr>
      </w:pPr>
    </w:p>
    <w:p w14:paraId="39B4885F">
      <w:pPr>
        <w:pStyle w:val="3"/>
        <w:snapToGrid w:val="0"/>
        <w:spacing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适应症或预期用途部分应说明以下内容：</w:t>
      </w:r>
    </w:p>
    <w:p w14:paraId="66A810EA">
      <w:pPr>
        <w:pStyle w:val="10"/>
        <w:snapToGrid w:val="0"/>
        <w:spacing w:line="300" w:lineRule="auto"/>
        <w:jc w:val="both"/>
        <w:rPr>
          <w:rFonts w:ascii="Arial" w:hAnsi="Arial" w:eastAsia="宋体" w:cs="Arial"/>
          <w:sz w:val="21"/>
          <w:szCs w:val="21"/>
          <w:lang w:eastAsia="zh-CN"/>
        </w:rPr>
      </w:pPr>
    </w:p>
    <w:p w14:paraId="0DAE2794">
      <w:pPr>
        <w:pStyle w:val="10"/>
        <w:numPr>
          <w:ilvl w:val="0"/>
          <w:numId w:val="6"/>
        </w:numPr>
        <w:tabs>
          <w:tab w:val="left" w:pos="1541"/>
        </w:tabs>
        <w:snapToGrid w:val="0"/>
        <w:spacing w:line="300" w:lineRule="auto"/>
        <w:ind w:left="0" w:firstLine="852" w:firstLineChars="406"/>
        <w:jc w:val="both"/>
        <w:rPr>
          <w:rFonts w:ascii="Arial" w:hAnsi="Arial" w:eastAsia="宋体" w:cs="Arial"/>
          <w:sz w:val="21"/>
          <w:szCs w:val="21"/>
          <w:lang w:eastAsia="zh-CN"/>
        </w:rPr>
      </w:pPr>
      <w:r>
        <w:rPr>
          <w:rFonts w:ascii="Arial" w:hAnsi="Arial" w:eastAsia="宋体" w:cs="Arial"/>
          <w:sz w:val="21"/>
          <w:szCs w:val="21"/>
          <w:lang w:eastAsia="zh-CN"/>
        </w:rPr>
        <w:t>激光器是否具有一般</w:t>
      </w:r>
      <w:r>
        <w:rPr>
          <w:rFonts w:hint="eastAsia" w:ascii="Arial" w:hAnsi="Arial" w:eastAsia="宋体" w:cs="Arial"/>
          <w:b/>
          <w:sz w:val="21"/>
          <w:szCs w:val="21"/>
          <w:lang w:eastAsia="zh-CN"/>
        </w:rPr>
        <w:t>预期用途</w:t>
      </w:r>
      <w:r>
        <w:rPr>
          <w:rFonts w:ascii="Arial" w:hAnsi="Arial" w:eastAsia="宋体" w:cs="Arial"/>
          <w:sz w:val="21"/>
          <w:szCs w:val="21"/>
          <w:lang w:eastAsia="zh-CN"/>
        </w:rPr>
        <w:t>，即功能能力，或具有特定用途；</w:t>
      </w:r>
    </w:p>
    <w:p w14:paraId="474A4FE6">
      <w:pPr>
        <w:pStyle w:val="10"/>
        <w:tabs>
          <w:tab w:val="left" w:pos="1541"/>
        </w:tabs>
        <w:snapToGrid w:val="0"/>
        <w:spacing w:line="300" w:lineRule="auto"/>
        <w:ind w:firstLine="852" w:firstLineChars="406"/>
        <w:jc w:val="both"/>
        <w:rPr>
          <w:rFonts w:ascii="Arial" w:hAnsi="Arial" w:eastAsia="宋体" w:cs="Arial"/>
          <w:sz w:val="21"/>
          <w:szCs w:val="21"/>
          <w:lang w:eastAsia="zh-CN"/>
        </w:rPr>
      </w:pPr>
    </w:p>
    <w:p w14:paraId="41D0CFB0">
      <w:pPr>
        <w:pStyle w:val="10"/>
        <w:numPr>
          <w:ilvl w:val="0"/>
          <w:numId w:val="6"/>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rPr>
        <w:t>预期医疗专业领域；</w:t>
      </w:r>
    </w:p>
    <w:p w14:paraId="4FDC3A36">
      <w:pPr>
        <w:pStyle w:val="10"/>
        <w:tabs>
          <w:tab w:val="left" w:pos="1541"/>
        </w:tabs>
        <w:snapToGrid w:val="0"/>
        <w:spacing w:line="300" w:lineRule="auto"/>
        <w:ind w:firstLine="852" w:firstLineChars="406"/>
        <w:jc w:val="both"/>
        <w:rPr>
          <w:rFonts w:ascii="Arial" w:hAnsi="Arial" w:eastAsia="宋体" w:cs="Arial"/>
          <w:sz w:val="21"/>
          <w:szCs w:val="21"/>
        </w:rPr>
      </w:pPr>
    </w:p>
    <w:p w14:paraId="1468BEEA">
      <w:pPr>
        <w:pStyle w:val="10"/>
        <w:numPr>
          <w:ilvl w:val="0"/>
          <w:numId w:val="6"/>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lang w:eastAsia="zh-CN"/>
        </w:rPr>
        <w:t>靶组织</w:t>
      </w:r>
      <w:r>
        <w:rPr>
          <w:rFonts w:ascii="Arial" w:hAnsi="Arial" w:eastAsia="宋体" w:cs="Arial"/>
          <w:sz w:val="21"/>
          <w:szCs w:val="21"/>
        </w:rPr>
        <w:t>类型；</w:t>
      </w:r>
    </w:p>
    <w:p w14:paraId="5652D973">
      <w:pPr>
        <w:pStyle w:val="10"/>
        <w:tabs>
          <w:tab w:val="left" w:pos="1541"/>
        </w:tabs>
        <w:snapToGrid w:val="0"/>
        <w:spacing w:line="300" w:lineRule="auto"/>
        <w:ind w:firstLine="852" w:firstLineChars="406"/>
        <w:jc w:val="both"/>
        <w:rPr>
          <w:rFonts w:ascii="Arial" w:hAnsi="Arial" w:eastAsia="宋体" w:cs="Arial"/>
          <w:sz w:val="21"/>
          <w:szCs w:val="21"/>
        </w:rPr>
      </w:pPr>
    </w:p>
    <w:p w14:paraId="62CEF7D4">
      <w:pPr>
        <w:pStyle w:val="10"/>
        <w:numPr>
          <w:ilvl w:val="0"/>
          <w:numId w:val="6"/>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rPr>
        <w:t>程序</w:t>
      </w:r>
      <w:r>
        <w:rPr>
          <w:rFonts w:ascii="Arial" w:hAnsi="Arial" w:eastAsia="宋体" w:cs="Arial"/>
          <w:sz w:val="21"/>
          <w:szCs w:val="21"/>
          <w:lang w:eastAsia="zh-CN"/>
        </w:rPr>
        <w:t>性</w:t>
      </w:r>
      <w:r>
        <w:rPr>
          <w:rFonts w:ascii="Arial" w:hAnsi="Arial" w:eastAsia="宋体" w:cs="Arial"/>
          <w:sz w:val="21"/>
          <w:szCs w:val="21"/>
        </w:rPr>
        <w:t>参数；以及</w:t>
      </w:r>
    </w:p>
    <w:p w14:paraId="55496ED0">
      <w:pPr>
        <w:pStyle w:val="10"/>
        <w:tabs>
          <w:tab w:val="left" w:pos="1541"/>
        </w:tabs>
        <w:snapToGrid w:val="0"/>
        <w:spacing w:line="300" w:lineRule="auto"/>
        <w:ind w:firstLine="852" w:firstLineChars="406"/>
        <w:jc w:val="both"/>
        <w:rPr>
          <w:rFonts w:ascii="Arial" w:hAnsi="Arial" w:eastAsia="宋体" w:cs="Arial"/>
          <w:sz w:val="21"/>
          <w:szCs w:val="21"/>
        </w:rPr>
      </w:pPr>
    </w:p>
    <w:p w14:paraId="3BD58350">
      <w:pPr>
        <w:pStyle w:val="10"/>
        <w:numPr>
          <w:ilvl w:val="0"/>
          <w:numId w:val="6"/>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rPr>
        <w:t>其他因素。</w:t>
      </w:r>
    </w:p>
    <w:p w14:paraId="45E6D26B">
      <w:pPr>
        <w:snapToGrid w:val="0"/>
        <w:spacing w:line="300" w:lineRule="auto"/>
        <w:jc w:val="both"/>
        <w:rPr>
          <w:rFonts w:ascii="Arial" w:hAnsi="Arial" w:eastAsia="宋体" w:cs="Arial"/>
          <w:sz w:val="21"/>
          <w:szCs w:val="21"/>
        </w:rPr>
      </w:pPr>
    </w:p>
    <w:p w14:paraId="16C25B45">
      <w:pPr>
        <w:snapToGrid w:val="0"/>
        <w:spacing w:before="4" w:line="300" w:lineRule="auto"/>
        <w:jc w:val="both"/>
        <w:rPr>
          <w:rFonts w:ascii="Arial" w:hAnsi="Arial" w:eastAsia="宋体" w:cs="Arial"/>
          <w:sz w:val="21"/>
          <w:szCs w:val="21"/>
        </w:rPr>
      </w:pPr>
    </w:p>
    <w:p w14:paraId="527BD689">
      <w:pPr>
        <w:pStyle w:val="10"/>
        <w:numPr>
          <w:ilvl w:val="1"/>
          <w:numId w:val="5"/>
        </w:numPr>
        <w:tabs>
          <w:tab w:val="left" w:pos="1541"/>
        </w:tabs>
        <w:snapToGrid w:val="0"/>
        <w:spacing w:line="300" w:lineRule="auto"/>
        <w:ind w:left="0" w:firstLine="852" w:firstLineChars="406"/>
        <w:jc w:val="both"/>
        <w:rPr>
          <w:rFonts w:ascii="Arial" w:hAnsi="Arial" w:eastAsia="宋体" w:cs="Arial"/>
          <w:sz w:val="21"/>
          <w:szCs w:val="21"/>
          <w:lang w:eastAsia="zh-CN"/>
        </w:rPr>
      </w:pPr>
      <w:r>
        <w:rPr>
          <w:rFonts w:ascii="Arial" w:hAnsi="Arial" w:eastAsia="宋体" w:cs="Arial"/>
          <w:sz w:val="21"/>
          <w:szCs w:val="21"/>
          <w:lang w:eastAsia="zh-CN"/>
        </w:rPr>
        <w:t>第一标准：一般与特定适应症</w:t>
      </w:r>
    </w:p>
    <w:p w14:paraId="2FF4EBB0">
      <w:pPr>
        <w:snapToGrid w:val="0"/>
        <w:spacing w:before="10" w:line="300" w:lineRule="auto"/>
        <w:jc w:val="both"/>
        <w:rPr>
          <w:rFonts w:ascii="Arial" w:hAnsi="Arial" w:eastAsia="宋体" w:cs="Arial"/>
          <w:sz w:val="21"/>
          <w:szCs w:val="21"/>
          <w:lang w:eastAsia="zh-CN"/>
        </w:rPr>
      </w:pPr>
    </w:p>
    <w:p w14:paraId="42CCF656">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某些激光器在一些医疗专业领域具有广泛的手术效用。对于这些激光器，适应症可以表述为使用的一般适应症。本指南的附录中列出了容许一般适应症声明的标准。关于标签格式的第IV B.节将描述一般适应症声明的科学和医学基础。</w:t>
      </w:r>
    </w:p>
    <w:p w14:paraId="6153AEF0">
      <w:pPr>
        <w:pStyle w:val="3"/>
        <w:snapToGrid w:val="0"/>
        <w:spacing w:before="73" w:line="300" w:lineRule="auto"/>
        <w:ind w:left="0"/>
        <w:jc w:val="both"/>
        <w:rPr>
          <w:rFonts w:ascii="Arial" w:hAnsi="Arial" w:eastAsia="宋体" w:cs="Arial"/>
          <w:sz w:val="21"/>
          <w:szCs w:val="21"/>
          <w:lang w:eastAsia="zh-CN"/>
        </w:rPr>
      </w:pPr>
    </w:p>
    <w:p w14:paraId="1BED4D21">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某些其他激光器专用于特定适应症，或者可能没有足够的知识或数据来确定医疗专业领域中的一般适应症声明。在这些情况下，在标签中必须注明特定适应症。如果适当，可以指出具体的疾病。</w:t>
      </w:r>
    </w:p>
    <w:p w14:paraId="3A0A92BE">
      <w:pPr>
        <w:snapToGrid w:val="0"/>
        <w:spacing w:before="6" w:line="300" w:lineRule="auto"/>
        <w:jc w:val="both"/>
        <w:rPr>
          <w:rFonts w:ascii="Arial" w:hAnsi="Arial" w:eastAsia="宋体" w:cs="Arial"/>
          <w:sz w:val="21"/>
          <w:szCs w:val="21"/>
          <w:lang w:eastAsia="zh-CN"/>
        </w:rPr>
      </w:pPr>
    </w:p>
    <w:p w14:paraId="3C4509EC">
      <w:pPr>
        <w:pStyle w:val="10"/>
        <w:numPr>
          <w:ilvl w:val="1"/>
          <w:numId w:val="5"/>
        </w:numPr>
        <w:tabs>
          <w:tab w:val="left" w:pos="1541"/>
        </w:tabs>
        <w:snapToGrid w:val="0"/>
        <w:spacing w:line="300" w:lineRule="auto"/>
        <w:ind w:left="0" w:firstLine="852" w:firstLineChars="406"/>
        <w:jc w:val="both"/>
        <w:rPr>
          <w:rFonts w:ascii="Arial" w:hAnsi="Arial" w:eastAsia="宋体" w:cs="Arial"/>
          <w:sz w:val="21"/>
          <w:szCs w:val="21"/>
          <w:lang w:eastAsia="zh-CN"/>
        </w:rPr>
      </w:pPr>
      <w:r>
        <w:rPr>
          <w:rFonts w:ascii="Arial" w:hAnsi="Arial" w:eastAsia="宋体" w:cs="Arial"/>
          <w:sz w:val="21"/>
          <w:szCs w:val="21"/>
          <w:lang w:eastAsia="zh-CN"/>
        </w:rPr>
        <w:t>第二标准：手术或医疗专业领域</w:t>
      </w:r>
    </w:p>
    <w:p w14:paraId="15E47655">
      <w:pPr>
        <w:snapToGrid w:val="0"/>
        <w:spacing w:before="10" w:line="300" w:lineRule="auto"/>
        <w:jc w:val="both"/>
        <w:rPr>
          <w:rFonts w:ascii="Arial" w:hAnsi="Arial" w:eastAsia="宋体" w:cs="Arial"/>
          <w:sz w:val="21"/>
          <w:szCs w:val="21"/>
          <w:lang w:eastAsia="zh-CN"/>
        </w:rPr>
      </w:pPr>
    </w:p>
    <w:p w14:paraId="74EF9D0A">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应声明为一般与特定适应症的激光器的手术或医疗专业领域。根据适应症的适用范围，在标签中可能会根据专业领域分类适应症。</w:t>
      </w:r>
    </w:p>
    <w:p w14:paraId="653C7C1D">
      <w:pPr>
        <w:snapToGrid w:val="0"/>
        <w:spacing w:before="6" w:line="300" w:lineRule="auto"/>
        <w:jc w:val="both"/>
        <w:rPr>
          <w:rFonts w:ascii="Arial" w:hAnsi="Arial" w:eastAsia="宋体" w:cs="Arial"/>
          <w:sz w:val="21"/>
          <w:szCs w:val="21"/>
          <w:lang w:eastAsia="zh-CN"/>
        </w:rPr>
      </w:pPr>
    </w:p>
    <w:p w14:paraId="5CFF56FA">
      <w:pPr>
        <w:pStyle w:val="10"/>
        <w:numPr>
          <w:ilvl w:val="1"/>
          <w:numId w:val="5"/>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rPr>
        <w:t>第三标准：</w:t>
      </w:r>
      <w:r>
        <w:rPr>
          <w:rFonts w:ascii="Arial" w:hAnsi="Arial" w:eastAsia="宋体" w:cs="Arial"/>
          <w:sz w:val="21"/>
          <w:szCs w:val="21"/>
          <w:lang w:eastAsia="zh-CN"/>
        </w:rPr>
        <w:t>靶组织</w:t>
      </w:r>
    </w:p>
    <w:p w14:paraId="0C517FE0">
      <w:pPr>
        <w:snapToGrid w:val="0"/>
        <w:spacing w:before="10" w:line="300" w:lineRule="auto"/>
        <w:jc w:val="both"/>
        <w:rPr>
          <w:rFonts w:ascii="Arial" w:hAnsi="Arial" w:eastAsia="宋体" w:cs="Arial"/>
          <w:sz w:val="21"/>
          <w:szCs w:val="21"/>
        </w:rPr>
      </w:pPr>
    </w:p>
    <w:p w14:paraId="543D027B">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通用激光器的适应症部分应整体描述靶组织的类型。关于标签格式的第IV B.节更详细地描述了关于组织相互作用的支持性数据。</w:t>
      </w:r>
    </w:p>
    <w:p w14:paraId="5F62429B">
      <w:pPr>
        <w:snapToGrid w:val="0"/>
        <w:spacing w:before="6" w:line="300" w:lineRule="auto"/>
        <w:jc w:val="both"/>
        <w:rPr>
          <w:rFonts w:ascii="Arial" w:hAnsi="Arial" w:eastAsia="宋体" w:cs="Arial"/>
          <w:sz w:val="21"/>
          <w:szCs w:val="21"/>
          <w:lang w:eastAsia="zh-CN"/>
        </w:rPr>
      </w:pPr>
    </w:p>
    <w:p w14:paraId="6E8660F3">
      <w:pPr>
        <w:pStyle w:val="10"/>
        <w:numPr>
          <w:ilvl w:val="1"/>
          <w:numId w:val="5"/>
        </w:numPr>
        <w:tabs>
          <w:tab w:val="left" w:pos="1541"/>
        </w:tabs>
        <w:snapToGrid w:val="0"/>
        <w:spacing w:line="300" w:lineRule="auto"/>
        <w:ind w:left="0" w:firstLine="852" w:firstLineChars="406"/>
        <w:jc w:val="both"/>
        <w:rPr>
          <w:rFonts w:ascii="Arial" w:hAnsi="Arial" w:eastAsia="宋体" w:cs="Arial"/>
          <w:sz w:val="21"/>
          <w:szCs w:val="21"/>
          <w:lang w:eastAsia="zh-CN"/>
        </w:rPr>
      </w:pPr>
      <w:r>
        <w:rPr>
          <w:rFonts w:ascii="Arial" w:hAnsi="Arial" w:eastAsia="宋体" w:cs="Arial"/>
          <w:sz w:val="21"/>
          <w:szCs w:val="21"/>
          <w:lang w:eastAsia="zh-CN"/>
        </w:rPr>
        <w:t>第四标准：程序性参数</w:t>
      </w:r>
    </w:p>
    <w:p w14:paraId="61D464D2">
      <w:pPr>
        <w:snapToGrid w:val="0"/>
        <w:spacing w:before="10" w:line="300" w:lineRule="auto"/>
        <w:jc w:val="both"/>
        <w:rPr>
          <w:rFonts w:ascii="Arial" w:hAnsi="Arial" w:eastAsia="宋体" w:cs="Arial"/>
          <w:sz w:val="21"/>
          <w:szCs w:val="21"/>
          <w:lang w:eastAsia="zh-CN"/>
        </w:rPr>
      </w:pPr>
    </w:p>
    <w:p w14:paraId="04307790">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适应症必须提供足够详细的程序性参数，以表征由数据支持的安全且有效的使用条件。这些术语应包括与模式（接触或自由束）、手术方法（开放或闭合）、相关仪器和操作条件相关的术语。</w:t>
      </w:r>
    </w:p>
    <w:p w14:paraId="35BF87FD">
      <w:pPr>
        <w:pStyle w:val="3"/>
        <w:snapToGrid w:val="0"/>
        <w:spacing w:before="73" w:line="300" w:lineRule="auto"/>
        <w:ind w:left="1525" w:leftChars="693" w:firstLine="10" w:firstLineChars="5"/>
        <w:jc w:val="both"/>
        <w:rPr>
          <w:rFonts w:ascii="Arial" w:hAnsi="Arial" w:eastAsia="宋体" w:cs="Arial"/>
          <w:sz w:val="21"/>
          <w:szCs w:val="21"/>
          <w:lang w:eastAsia="zh-CN"/>
        </w:rPr>
      </w:pPr>
    </w:p>
    <w:p w14:paraId="517DC21A">
      <w:pPr>
        <w:pStyle w:val="10"/>
        <w:numPr>
          <w:ilvl w:val="1"/>
          <w:numId w:val="5"/>
        </w:numPr>
        <w:tabs>
          <w:tab w:val="left" w:pos="1541"/>
        </w:tabs>
        <w:snapToGrid w:val="0"/>
        <w:spacing w:line="300" w:lineRule="auto"/>
        <w:ind w:left="0" w:firstLine="852" w:firstLineChars="406"/>
        <w:jc w:val="both"/>
        <w:rPr>
          <w:rFonts w:ascii="Arial" w:hAnsi="Arial" w:eastAsia="宋体" w:cs="Arial"/>
          <w:sz w:val="21"/>
          <w:szCs w:val="21"/>
        </w:rPr>
      </w:pPr>
      <w:r>
        <w:rPr>
          <w:rFonts w:ascii="Arial" w:hAnsi="Arial" w:eastAsia="宋体" w:cs="Arial"/>
          <w:sz w:val="21"/>
          <w:szCs w:val="21"/>
          <w:lang w:eastAsia="zh-CN"/>
        </w:rPr>
        <w:t>其他因素</w:t>
      </w:r>
    </w:p>
    <w:p w14:paraId="3BAA6C24">
      <w:pPr>
        <w:snapToGrid w:val="0"/>
        <w:spacing w:before="10" w:line="300" w:lineRule="auto"/>
        <w:jc w:val="both"/>
        <w:rPr>
          <w:rFonts w:ascii="Arial" w:hAnsi="Arial" w:eastAsia="宋体" w:cs="Arial"/>
          <w:sz w:val="21"/>
          <w:szCs w:val="21"/>
        </w:rPr>
      </w:pPr>
    </w:p>
    <w:p w14:paraId="367D74F4">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激光器可以具有用于一个专业领域的一般适应症和用于另一专业领域的特定适应症。</w:t>
      </w:r>
    </w:p>
    <w:p w14:paraId="18AD85E7">
      <w:pPr>
        <w:pStyle w:val="3"/>
        <w:snapToGrid w:val="0"/>
        <w:spacing w:line="300" w:lineRule="auto"/>
        <w:ind w:left="0"/>
        <w:jc w:val="both"/>
        <w:rPr>
          <w:rFonts w:ascii="Arial" w:hAnsi="Arial" w:eastAsia="宋体" w:cs="Arial"/>
          <w:sz w:val="21"/>
          <w:szCs w:val="21"/>
          <w:lang w:eastAsia="zh-CN"/>
        </w:rPr>
      </w:pPr>
    </w:p>
    <w:p w14:paraId="7198EB94">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在适当的情况下，手术或医疗专业（例如普通外科手术）领域中使用说明的一般预期用途或适应症可接受，因为其可提供最大的灵活性。</w:t>
      </w:r>
    </w:p>
    <w:p w14:paraId="0D73F2E4">
      <w:pPr>
        <w:pStyle w:val="3"/>
        <w:snapToGrid w:val="0"/>
        <w:spacing w:line="300" w:lineRule="auto"/>
        <w:ind w:left="0"/>
        <w:jc w:val="both"/>
        <w:rPr>
          <w:rFonts w:ascii="Arial" w:hAnsi="Arial" w:eastAsia="宋体" w:cs="Arial"/>
          <w:sz w:val="21"/>
          <w:szCs w:val="21"/>
          <w:lang w:eastAsia="zh-CN"/>
        </w:rPr>
      </w:pPr>
    </w:p>
    <w:p w14:paraId="31F66735">
      <w:pPr>
        <w:pStyle w:val="3"/>
        <w:snapToGrid w:val="0"/>
        <w:spacing w:before="73" w:line="300" w:lineRule="auto"/>
        <w:ind w:left="1525" w:leftChars="693" w:firstLine="10" w:firstLineChars="5"/>
        <w:jc w:val="both"/>
        <w:rPr>
          <w:rFonts w:ascii="Arial" w:hAnsi="Arial" w:eastAsia="宋体" w:cs="Arial"/>
          <w:sz w:val="21"/>
          <w:szCs w:val="21"/>
          <w:lang w:eastAsia="zh-CN"/>
        </w:rPr>
      </w:pPr>
      <w:r>
        <w:rPr>
          <w:rFonts w:ascii="Arial" w:hAnsi="Arial" w:eastAsia="宋体" w:cs="Arial"/>
          <w:sz w:val="21"/>
          <w:szCs w:val="21"/>
          <w:lang w:eastAsia="zh-CN"/>
        </w:rPr>
        <w:t>心血管激光器涉及手术激光器的新预期用途，并应受制于上市前批准。</w:t>
      </w:r>
    </w:p>
    <w:p w14:paraId="61648587">
      <w:pPr>
        <w:pStyle w:val="3"/>
        <w:snapToGrid w:val="0"/>
        <w:spacing w:before="73" w:line="300" w:lineRule="auto"/>
        <w:ind w:left="1525" w:leftChars="693" w:firstLine="10" w:firstLineChars="5"/>
        <w:jc w:val="both"/>
        <w:rPr>
          <w:rFonts w:ascii="Arial" w:hAnsi="Arial" w:eastAsia="宋体" w:cs="Arial"/>
          <w:sz w:val="21"/>
          <w:szCs w:val="21"/>
          <w:lang w:eastAsia="zh-CN"/>
        </w:rPr>
      </w:pPr>
    </w:p>
    <w:p w14:paraId="1DA90F97">
      <w:pPr>
        <w:snapToGrid w:val="0"/>
        <w:spacing w:before="8" w:line="300" w:lineRule="auto"/>
        <w:jc w:val="both"/>
        <w:rPr>
          <w:rFonts w:ascii="Arial" w:hAnsi="Arial" w:eastAsia="宋体" w:cs="Arial"/>
          <w:sz w:val="21"/>
          <w:szCs w:val="21"/>
          <w:lang w:eastAsia="zh-CN"/>
        </w:rPr>
      </w:pPr>
    </w:p>
    <w:p w14:paraId="4B993094">
      <w:pPr>
        <w:rPr>
          <w:rFonts w:ascii="Arial" w:hAnsi="Arial" w:eastAsia="宋体" w:cs="Arial"/>
          <w:b/>
          <w:bCs/>
          <w:sz w:val="21"/>
          <w:szCs w:val="21"/>
          <w:lang w:eastAsia="zh-CN"/>
        </w:rPr>
      </w:pPr>
      <w:r>
        <w:rPr>
          <w:rFonts w:ascii="Arial" w:hAnsi="Arial" w:eastAsia="宋体" w:cs="Arial"/>
          <w:sz w:val="21"/>
          <w:szCs w:val="21"/>
          <w:lang w:eastAsia="zh-CN"/>
        </w:rPr>
        <w:br w:type="page"/>
      </w:r>
    </w:p>
    <w:p w14:paraId="5ACC764A">
      <w:pPr>
        <w:pStyle w:val="2"/>
        <w:numPr>
          <w:ilvl w:val="0"/>
          <w:numId w:val="1"/>
        </w:numPr>
        <w:tabs>
          <w:tab w:val="left" w:pos="821"/>
        </w:tabs>
        <w:snapToGrid w:val="0"/>
        <w:spacing w:before="73" w:line="300" w:lineRule="auto"/>
        <w:ind w:left="0" w:firstLine="0"/>
        <w:jc w:val="both"/>
        <w:rPr>
          <w:rFonts w:ascii="Arial" w:hAnsi="Arial" w:eastAsia="宋体" w:cs="Arial"/>
          <w:b w:val="0"/>
          <w:bCs w:val="0"/>
          <w:sz w:val="21"/>
          <w:szCs w:val="21"/>
        </w:rPr>
      </w:pPr>
      <w:r>
        <w:rPr>
          <w:rFonts w:ascii="Arial" w:hAnsi="Arial" w:eastAsia="宋体" w:cs="Arial"/>
          <w:sz w:val="21"/>
          <w:szCs w:val="21"/>
          <w:lang w:eastAsia="zh-CN"/>
        </w:rPr>
        <w:t>贴标</w:t>
      </w:r>
      <w:r>
        <w:rPr>
          <w:rFonts w:ascii="Arial" w:hAnsi="Arial" w:eastAsia="宋体" w:cs="Arial"/>
          <w:sz w:val="21"/>
          <w:szCs w:val="21"/>
        </w:rPr>
        <w:t>-专业使用说明</w:t>
      </w:r>
    </w:p>
    <w:p w14:paraId="675D14DF">
      <w:pPr>
        <w:snapToGrid w:val="0"/>
        <w:spacing w:before="8" w:line="300" w:lineRule="auto"/>
        <w:jc w:val="both"/>
        <w:rPr>
          <w:rFonts w:ascii="Arial" w:hAnsi="Arial" w:eastAsia="宋体" w:cs="Arial"/>
          <w:b/>
          <w:bCs/>
          <w:sz w:val="21"/>
          <w:szCs w:val="21"/>
        </w:rPr>
      </w:pPr>
    </w:p>
    <w:p w14:paraId="03952480">
      <w:pPr>
        <w:pStyle w:val="10"/>
        <w:numPr>
          <w:ilvl w:val="0"/>
          <w:numId w:val="7"/>
        </w:numPr>
        <w:tabs>
          <w:tab w:val="left" w:pos="821"/>
        </w:tabs>
        <w:snapToGrid w:val="0"/>
        <w:spacing w:line="300" w:lineRule="auto"/>
        <w:ind w:left="0" w:firstLine="0"/>
        <w:jc w:val="both"/>
        <w:rPr>
          <w:rFonts w:ascii="Arial" w:hAnsi="Arial" w:eastAsia="宋体" w:cs="Arial"/>
          <w:sz w:val="21"/>
          <w:szCs w:val="21"/>
        </w:rPr>
      </w:pPr>
      <w:r>
        <w:rPr>
          <w:rFonts w:ascii="Arial" w:hAnsi="Arial" w:eastAsia="宋体" w:cs="Arial"/>
          <w:b/>
          <w:sz w:val="21"/>
          <w:szCs w:val="21"/>
          <w:lang w:eastAsia="zh-CN"/>
        </w:rPr>
        <w:t>引言</w:t>
      </w:r>
    </w:p>
    <w:p w14:paraId="03910E93">
      <w:pPr>
        <w:snapToGrid w:val="0"/>
        <w:spacing w:before="6" w:line="300" w:lineRule="auto"/>
        <w:jc w:val="both"/>
        <w:rPr>
          <w:rFonts w:ascii="Arial" w:hAnsi="Arial" w:eastAsia="宋体" w:cs="Arial"/>
          <w:b/>
          <w:bCs/>
          <w:sz w:val="21"/>
          <w:szCs w:val="21"/>
        </w:rPr>
      </w:pPr>
    </w:p>
    <w:p w14:paraId="6C4403AD">
      <w:pPr>
        <w:pStyle w:val="3"/>
        <w:snapToGrid w:val="0"/>
        <w:spacing w:line="300" w:lineRule="auto"/>
        <w:ind w:left="0" w:firstLine="840" w:firstLineChars="400"/>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使用说明</w:t>
      </w:r>
      <w:r>
        <w:rPr>
          <w:rFonts w:ascii="宋体" w:hAnsi="宋体" w:eastAsia="宋体" w:cs="Arial"/>
          <w:sz w:val="21"/>
          <w:szCs w:val="21"/>
          <w:lang w:eastAsia="zh-CN"/>
        </w:rPr>
        <w:t>”</w:t>
      </w:r>
      <w:r>
        <w:rPr>
          <w:rFonts w:ascii="Arial" w:hAnsi="Arial" w:eastAsia="宋体" w:cs="Arial"/>
          <w:sz w:val="21"/>
          <w:szCs w:val="21"/>
          <w:lang w:eastAsia="zh-CN"/>
        </w:rPr>
        <w:t>部分的详细程度应适合于激光系统的复杂程度。有效标签的目的包括</w:t>
      </w:r>
    </w:p>
    <w:p w14:paraId="674AF839">
      <w:pPr>
        <w:pStyle w:val="10"/>
        <w:snapToGrid w:val="0"/>
        <w:spacing w:line="300" w:lineRule="auto"/>
        <w:jc w:val="both"/>
        <w:rPr>
          <w:rFonts w:ascii="Arial" w:hAnsi="Arial" w:eastAsia="宋体" w:cs="Arial"/>
          <w:sz w:val="21"/>
          <w:szCs w:val="21"/>
          <w:lang w:eastAsia="zh-CN"/>
        </w:rPr>
      </w:pPr>
    </w:p>
    <w:p w14:paraId="1BA5FE36">
      <w:pPr>
        <w:pStyle w:val="10"/>
        <w:numPr>
          <w:ilvl w:val="1"/>
          <w:numId w:val="7"/>
        </w:numPr>
        <w:tabs>
          <w:tab w:val="left" w:pos="2260"/>
        </w:tabs>
        <w:snapToGrid w:val="0"/>
        <w:spacing w:line="300" w:lineRule="auto"/>
        <w:ind w:left="1892" w:leftChars="669" w:hanging="420" w:hangingChars="200"/>
        <w:jc w:val="both"/>
        <w:rPr>
          <w:rFonts w:ascii="Arial" w:hAnsi="Arial" w:eastAsia="宋体" w:cs="Arial"/>
          <w:sz w:val="21"/>
          <w:szCs w:val="21"/>
        </w:rPr>
      </w:pPr>
      <w:r>
        <w:rPr>
          <w:rFonts w:ascii="Arial" w:hAnsi="Arial" w:eastAsia="宋体" w:cs="Arial"/>
          <w:sz w:val="21"/>
          <w:szCs w:val="21"/>
        </w:rPr>
        <w:t>充分表征激光器</w:t>
      </w:r>
      <w:r>
        <w:rPr>
          <w:rFonts w:ascii="Arial" w:hAnsi="Arial" w:eastAsia="宋体" w:cs="Arial"/>
          <w:sz w:val="21"/>
          <w:szCs w:val="21"/>
          <w:lang w:eastAsia="zh-CN"/>
        </w:rPr>
        <w:t>本身特性</w:t>
      </w:r>
      <w:r>
        <w:rPr>
          <w:rFonts w:ascii="Arial" w:hAnsi="Arial" w:eastAsia="宋体" w:cs="Arial"/>
          <w:sz w:val="21"/>
          <w:szCs w:val="21"/>
        </w:rPr>
        <w:t>；</w:t>
      </w:r>
    </w:p>
    <w:p w14:paraId="2B0F83C7">
      <w:pPr>
        <w:pStyle w:val="10"/>
        <w:tabs>
          <w:tab w:val="left" w:pos="2260"/>
        </w:tabs>
        <w:snapToGrid w:val="0"/>
        <w:spacing w:line="300" w:lineRule="auto"/>
        <w:ind w:left="1892" w:leftChars="669" w:hanging="420" w:hangingChars="200"/>
        <w:jc w:val="both"/>
        <w:rPr>
          <w:rFonts w:ascii="Arial" w:hAnsi="Arial" w:eastAsia="宋体" w:cs="Arial"/>
          <w:sz w:val="21"/>
          <w:szCs w:val="21"/>
        </w:rPr>
      </w:pPr>
    </w:p>
    <w:p w14:paraId="0169D3BA">
      <w:pPr>
        <w:pStyle w:val="10"/>
        <w:numPr>
          <w:ilvl w:val="1"/>
          <w:numId w:val="7"/>
        </w:numPr>
        <w:tabs>
          <w:tab w:val="left" w:pos="2260"/>
        </w:tabs>
        <w:snapToGrid w:val="0"/>
        <w:spacing w:line="300" w:lineRule="auto"/>
        <w:ind w:left="1892" w:leftChars="669" w:hanging="420" w:hangingChars="200"/>
        <w:jc w:val="both"/>
        <w:rPr>
          <w:rFonts w:ascii="Arial" w:hAnsi="Arial" w:eastAsia="宋体" w:cs="Arial"/>
          <w:sz w:val="21"/>
          <w:szCs w:val="21"/>
          <w:lang w:eastAsia="zh-CN"/>
        </w:rPr>
      </w:pPr>
      <w:r>
        <w:rPr>
          <w:rFonts w:ascii="Arial" w:hAnsi="Arial" w:eastAsia="宋体" w:cs="Arial"/>
          <w:sz w:val="21"/>
          <w:szCs w:val="21"/>
          <w:lang w:eastAsia="zh-CN"/>
        </w:rPr>
        <w:t>提供有关组织相互作用的充分信息；</w:t>
      </w:r>
    </w:p>
    <w:p w14:paraId="590F76E4">
      <w:pPr>
        <w:pStyle w:val="10"/>
        <w:tabs>
          <w:tab w:val="left" w:pos="2260"/>
        </w:tabs>
        <w:snapToGrid w:val="0"/>
        <w:spacing w:line="300" w:lineRule="auto"/>
        <w:ind w:left="1892" w:leftChars="669" w:hanging="420" w:hangingChars="200"/>
        <w:jc w:val="both"/>
        <w:rPr>
          <w:rFonts w:ascii="Arial" w:hAnsi="Arial" w:eastAsia="宋体" w:cs="Arial"/>
          <w:sz w:val="21"/>
          <w:szCs w:val="21"/>
          <w:lang w:eastAsia="zh-CN"/>
        </w:rPr>
      </w:pPr>
    </w:p>
    <w:p w14:paraId="34737DE2">
      <w:pPr>
        <w:pStyle w:val="10"/>
        <w:numPr>
          <w:ilvl w:val="1"/>
          <w:numId w:val="7"/>
        </w:numPr>
        <w:tabs>
          <w:tab w:val="left" w:pos="2260"/>
        </w:tabs>
        <w:snapToGrid w:val="0"/>
        <w:spacing w:line="300" w:lineRule="auto"/>
        <w:ind w:left="1892" w:leftChars="669" w:hanging="420" w:hangingChars="200"/>
        <w:jc w:val="both"/>
        <w:rPr>
          <w:rFonts w:ascii="Arial" w:hAnsi="Arial" w:eastAsia="宋体" w:cs="Arial"/>
          <w:sz w:val="21"/>
          <w:szCs w:val="21"/>
          <w:lang w:eastAsia="zh-CN"/>
        </w:rPr>
      </w:pPr>
      <w:r>
        <w:rPr>
          <w:rFonts w:ascii="Arial" w:hAnsi="Arial" w:eastAsia="宋体" w:cs="Arial"/>
          <w:sz w:val="21"/>
          <w:szCs w:val="21"/>
          <w:lang w:eastAsia="zh-CN"/>
        </w:rPr>
        <w:t>关于注意事项、警告、并发症和其他安全相关声明的信息，以确保符合OSHA、EPA和其他国家安全标准；以及</w:t>
      </w:r>
    </w:p>
    <w:p w14:paraId="09DAF455">
      <w:pPr>
        <w:pStyle w:val="10"/>
        <w:tabs>
          <w:tab w:val="left" w:pos="2260"/>
        </w:tabs>
        <w:snapToGrid w:val="0"/>
        <w:spacing w:line="300" w:lineRule="auto"/>
        <w:ind w:left="1892" w:leftChars="669" w:hanging="420" w:hangingChars="200"/>
        <w:jc w:val="both"/>
        <w:rPr>
          <w:rFonts w:ascii="Arial" w:hAnsi="Arial" w:eastAsia="宋体" w:cs="Arial"/>
          <w:sz w:val="21"/>
          <w:szCs w:val="21"/>
          <w:lang w:eastAsia="zh-CN"/>
        </w:rPr>
      </w:pPr>
    </w:p>
    <w:p w14:paraId="689510C2">
      <w:pPr>
        <w:pStyle w:val="10"/>
        <w:numPr>
          <w:ilvl w:val="1"/>
          <w:numId w:val="7"/>
        </w:numPr>
        <w:tabs>
          <w:tab w:val="left" w:pos="2260"/>
        </w:tabs>
        <w:snapToGrid w:val="0"/>
        <w:spacing w:line="300" w:lineRule="auto"/>
        <w:ind w:left="1892" w:leftChars="669" w:hanging="420" w:hangingChars="200"/>
        <w:jc w:val="both"/>
        <w:rPr>
          <w:rFonts w:ascii="Arial" w:hAnsi="Arial" w:eastAsia="宋体" w:cs="Arial"/>
          <w:sz w:val="21"/>
          <w:szCs w:val="21"/>
          <w:lang w:eastAsia="zh-CN"/>
        </w:rPr>
      </w:pPr>
      <w:r>
        <w:rPr>
          <w:rFonts w:ascii="Arial" w:hAnsi="Arial" w:eastAsia="宋体" w:cs="Arial"/>
          <w:sz w:val="21"/>
          <w:szCs w:val="21"/>
          <w:lang w:eastAsia="zh-CN"/>
        </w:rPr>
        <w:t>充分的使用说明，包括预防性维护、校准和安全性试验的说明。</w:t>
      </w:r>
    </w:p>
    <w:p w14:paraId="4BA6A528">
      <w:pPr>
        <w:snapToGrid w:val="0"/>
        <w:spacing w:before="6" w:line="300" w:lineRule="auto"/>
        <w:jc w:val="both"/>
        <w:rPr>
          <w:rFonts w:ascii="Arial" w:hAnsi="Arial" w:eastAsia="宋体" w:cs="Arial"/>
          <w:sz w:val="21"/>
          <w:szCs w:val="21"/>
          <w:lang w:eastAsia="zh-CN"/>
        </w:rPr>
      </w:pPr>
    </w:p>
    <w:p w14:paraId="3A224616">
      <w:pPr>
        <w:pStyle w:val="3"/>
        <w:snapToGrid w:val="0"/>
        <w:spacing w:line="300" w:lineRule="auto"/>
        <w:ind w:left="823" w:leftChars="374" w:firstLine="10" w:firstLineChars="5"/>
        <w:jc w:val="both"/>
        <w:rPr>
          <w:rFonts w:ascii="Arial" w:hAnsi="Arial" w:eastAsia="宋体" w:cs="Arial"/>
          <w:sz w:val="21"/>
          <w:szCs w:val="21"/>
          <w:lang w:eastAsia="zh-CN"/>
        </w:rPr>
      </w:pPr>
      <w:r>
        <w:rPr>
          <w:rFonts w:ascii="Arial" w:hAnsi="Arial" w:eastAsia="宋体" w:cs="Arial"/>
          <w:sz w:val="21"/>
          <w:szCs w:val="21"/>
          <w:lang w:eastAsia="zh-CN"/>
        </w:rPr>
        <w:t>使用说明适用于整个激光系统，整个激光系统通常由激光源以及适当附件组成。附件包括传送或输送元件（波导、机械臂、光纤等），以及用于将能量输送到组织（自由光束、触头或手</w:t>
      </w:r>
      <w:bookmarkStart w:id="5" w:name="OLE_LINK6"/>
      <w:bookmarkStart w:id="6" w:name="OLE_LINK7"/>
      <w:r>
        <w:rPr>
          <w:rFonts w:ascii="Arial" w:hAnsi="Arial" w:eastAsia="宋体" w:cs="Arial"/>
          <w:sz w:val="21"/>
          <w:szCs w:val="21"/>
          <w:lang w:eastAsia="zh-CN"/>
        </w:rPr>
        <w:t>术刀</w:t>
      </w:r>
      <w:bookmarkEnd w:id="5"/>
      <w:bookmarkEnd w:id="6"/>
      <w:r>
        <w:rPr>
          <w:rFonts w:ascii="Arial" w:hAnsi="Arial" w:eastAsia="宋体" w:cs="Arial"/>
          <w:sz w:val="21"/>
          <w:szCs w:val="21"/>
          <w:lang w:eastAsia="zh-CN"/>
        </w:rPr>
        <w:t>等）的方法。由于该系统适用于临床环境，因此是使用说明的重点。根据510（k）许可的附件未标记特定适应症，但用户应参考与激光系统附带的专业使用说明。</w:t>
      </w:r>
    </w:p>
    <w:p w14:paraId="0B5E1141">
      <w:pPr>
        <w:snapToGrid w:val="0"/>
        <w:spacing w:before="6" w:line="300" w:lineRule="auto"/>
        <w:jc w:val="both"/>
        <w:rPr>
          <w:rFonts w:ascii="Arial" w:hAnsi="Arial" w:eastAsia="宋体" w:cs="Arial"/>
          <w:sz w:val="21"/>
          <w:szCs w:val="21"/>
          <w:lang w:eastAsia="zh-CN"/>
        </w:rPr>
      </w:pPr>
    </w:p>
    <w:p w14:paraId="4D9132CD">
      <w:pPr>
        <w:pStyle w:val="3"/>
        <w:snapToGrid w:val="0"/>
        <w:spacing w:line="300" w:lineRule="auto"/>
        <w:ind w:left="823" w:leftChars="374" w:firstLine="10" w:firstLineChars="5"/>
        <w:jc w:val="both"/>
        <w:rPr>
          <w:rFonts w:ascii="Arial" w:hAnsi="Arial" w:eastAsia="宋体" w:cs="Arial"/>
          <w:sz w:val="21"/>
          <w:szCs w:val="21"/>
          <w:lang w:eastAsia="zh-CN"/>
        </w:rPr>
      </w:pPr>
      <w:r>
        <w:rPr>
          <w:rFonts w:ascii="Arial" w:hAnsi="Arial" w:eastAsia="宋体" w:cs="Arial"/>
          <w:sz w:val="21"/>
          <w:szCs w:val="21"/>
          <w:lang w:eastAsia="zh-CN"/>
        </w:rPr>
        <w:t>用于提供专业使用标签的一般格式有利于各当事人。其有助于CDRH审查员记录其对510（k）的审查情况，并提高有关这些通知决定的一致性。为医疗激光器准备510（k）时，制造商也可从指南受益。指南可使有关更多信息或修改的要求变少，并且使评价通知过程中的延迟变少。全面且一致的专业标签有助于临床医生选择激光器以及其安全有效使用。</w:t>
      </w:r>
    </w:p>
    <w:p w14:paraId="23945390">
      <w:pPr>
        <w:snapToGrid w:val="0"/>
        <w:spacing w:line="300" w:lineRule="auto"/>
        <w:jc w:val="both"/>
        <w:rPr>
          <w:rFonts w:ascii="Arial" w:hAnsi="Arial" w:eastAsia="宋体" w:cs="Arial"/>
          <w:sz w:val="21"/>
          <w:szCs w:val="21"/>
          <w:lang w:eastAsia="zh-CN"/>
        </w:rPr>
      </w:pPr>
    </w:p>
    <w:p w14:paraId="31F95E0D">
      <w:pPr>
        <w:snapToGrid w:val="0"/>
        <w:spacing w:before="2" w:line="300" w:lineRule="auto"/>
        <w:jc w:val="both"/>
        <w:rPr>
          <w:rFonts w:ascii="Arial" w:hAnsi="Arial" w:eastAsia="宋体" w:cs="Arial"/>
          <w:sz w:val="21"/>
          <w:szCs w:val="21"/>
          <w:lang w:eastAsia="zh-CN"/>
        </w:rPr>
      </w:pPr>
    </w:p>
    <w:p w14:paraId="33F89300">
      <w:pPr>
        <w:pStyle w:val="2"/>
        <w:numPr>
          <w:ilvl w:val="0"/>
          <w:numId w:val="7"/>
        </w:numPr>
        <w:tabs>
          <w:tab w:val="left" w:pos="820"/>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lang w:eastAsia="zh-CN"/>
        </w:rPr>
        <w:t>普通</w:t>
      </w:r>
      <w:r>
        <w:rPr>
          <w:rFonts w:ascii="Arial" w:hAnsi="Arial" w:eastAsia="宋体" w:cs="Arial"/>
          <w:sz w:val="21"/>
          <w:szCs w:val="21"/>
        </w:rPr>
        <w:t>标签格式</w:t>
      </w:r>
    </w:p>
    <w:p w14:paraId="6318F7A9">
      <w:pPr>
        <w:snapToGrid w:val="0"/>
        <w:spacing w:before="6" w:line="300" w:lineRule="auto"/>
        <w:jc w:val="both"/>
        <w:rPr>
          <w:rFonts w:ascii="Arial" w:hAnsi="Arial" w:eastAsia="宋体" w:cs="Arial"/>
          <w:b/>
          <w:bCs/>
          <w:sz w:val="21"/>
          <w:szCs w:val="21"/>
        </w:rPr>
      </w:pPr>
    </w:p>
    <w:p w14:paraId="1A6430F8">
      <w:pPr>
        <w:pStyle w:val="3"/>
        <w:snapToGrid w:val="0"/>
        <w:spacing w:line="300" w:lineRule="auto"/>
        <w:ind w:left="823" w:leftChars="374" w:firstLine="10" w:firstLineChars="5"/>
        <w:jc w:val="both"/>
        <w:rPr>
          <w:rFonts w:ascii="Arial" w:hAnsi="Arial" w:eastAsia="宋体" w:cs="Arial"/>
          <w:sz w:val="21"/>
          <w:szCs w:val="21"/>
          <w:lang w:eastAsia="zh-CN"/>
        </w:rPr>
      </w:pPr>
      <w:r>
        <w:rPr>
          <w:rFonts w:ascii="Arial" w:hAnsi="Arial" w:eastAsia="宋体" w:cs="Arial"/>
          <w:sz w:val="21"/>
          <w:szCs w:val="21"/>
          <w:lang w:eastAsia="zh-CN"/>
        </w:rPr>
        <w:t>医疗激光器的普通标签格式是CDRH审查员在进行并记录其审查时使用的指南。格式的标题和格式类似于处方药和一些医疗器械附带的包装说明书。我们鼓励制造商将此标签格式中列出的信息纳入每个医疗激光器随附的用户手册中的特殊部分。</w:t>
      </w:r>
    </w:p>
    <w:p w14:paraId="26724B76">
      <w:pPr>
        <w:pStyle w:val="3"/>
        <w:snapToGrid w:val="0"/>
        <w:spacing w:line="300" w:lineRule="auto"/>
        <w:ind w:left="0"/>
        <w:jc w:val="both"/>
        <w:rPr>
          <w:rFonts w:ascii="Arial" w:hAnsi="Arial" w:eastAsia="宋体" w:cs="Arial"/>
          <w:sz w:val="21"/>
          <w:szCs w:val="21"/>
          <w:lang w:eastAsia="zh-CN"/>
        </w:rPr>
      </w:pPr>
    </w:p>
    <w:p w14:paraId="7BB36113">
      <w:pPr>
        <w:pStyle w:val="3"/>
        <w:snapToGrid w:val="0"/>
        <w:spacing w:line="300" w:lineRule="auto"/>
        <w:ind w:left="823" w:leftChars="374" w:firstLine="10" w:firstLineChars="5"/>
        <w:jc w:val="both"/>
        <w:rPr>
          <w:rFonts w:ascii="Arial" w:hAnsi="Arial" w:eastAsia="宋体" w:cs="Arial"/>
          <w:sz w:val="21"/>
          <w:szCs w:val="21"/>
          <w:lang w:eastAsia="zh-CN"/>
        </w:rPr>
      </w:pPr>
      <w:r>
        <w:rPr>
          <w:rFonts w:ascii="Arial" w:hAnsi="Arial" w:eastAsia="宋体" w:cs="Arial"/>
          <w:sz w:val="21"/>
          <w:szCs w:val="21"/>
          <w:lang w:eastAsia="zh-CN"/>
        </w:rPr>
        <w:t>以下标签标题和描述性意见补充了ODE蓝皮书备忘录编号G91-1：</w:t>
      </w:r>
    </w:p>
    <w:p w14:paraId="75E83E96">
      <w:pPr>
        <w:snapToGrid w:val="0"/>
        <w:spacing w:before="6" w:line="300" w:lineRule="auto"/>
        <w:jc w:val="both"/>
        <w:rPr>
          <w:rFonts w:ascii="Arial" w:hAnsi="Arial" w:eastAsia="宋体" w:cs="Arial"/>
          <w:sz w:val="21"/>
          <w:szCs w:val="21"/>
          <w:lang w:eastAsia="zh-CN"/>
        </w:rPr>
      </w:pPr>
    </w:p>
    <w:p w14:paraId="32D39448">
      <w:pPr>
        <w:rPr>
          <w:rFonts w:ascii="Arial" w:hAnsi="Arial" w:eastAsia="宋体" w:cs="Arial"/>
          <w:sz w:val="21"/>
          <w:szCs w:val="21"/>
          <w:lang w:eastAsia="zh-CN"/>
        </w:rPr>
      </w:pPr>
      <w:r>
        <w:rPr>
          <w:rFonts w:ascii="Arial" w:hAnsi="Arial" w:eastAsia="宋体" w:cs="Arial"/>
          <w:sz w:val="21"/>
          <w:szCs w:val="21"/>
          <w:lang w:eastAsia="zh-CN"/>
        </w:rPr>
        <w:br w:type="page"/>
      </w:r>
    </w:p>
    <w:p w14:paraId="3E6EF9A6">
      <w:pPr>
        <w:pStyle w:val="10"/>
        <w:numPr>
          <w:ilvl w:val="1"/>
          <w:numId w:val="7"/>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医疗激光器产品描述</w:t>
      </w:r>
    </w:p>
    <w:p w14:paraId="63BA1FDE">
      <w:pPr>
        <w:snapToGrid w:val="0"/>
        <w:spacing w:before="10" w:line="300" w:lineRule="auto"/>
        <w:ind w:firstLine="840" w:firstLineChars="400"/>
        <w:jc w:val="both"/>
        <w:rPr>
          <w:rFonts w:ascii="Arial" w:hAnsi="Arial" w:eastAsia="宋体" w:cs="Arial"/>
          <w:sz w:val="21"/>
          <w:szCs w:val="21"/>
        </w:rPr>
      </w:pPr>
    </w:p>
    <w:p w14:paraId="13591FE7">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本节应包括激光器的简要描述，包括型号或其他名称、操作原理、设计特征、性能规格和其他类似信息。</w:t>
      </w:r>
    </w:p>
    <w:p w14:paraId="672C3833">
      <w:pPr>
        <w:snapToGrid w:val="0"/>
        <w:spacing w:before="6" w:line="300" w:lineRule="auto"/>
        <w:ind w:firstLine="840" w:firstLineChars="400"/>
        <w:jc w:val="both"/>
        <w:rPr>
          <w:rFonts w:ascii="Arial" w:hAnsi="Arial" w:eastAsia="宋体" w:cs="Arial"/>
          <w:sz w:val="21"/>
          <w:szCs w:val="21"/>
          <w:lang w:eastAsia="zh-CN"/>
        </w:rPr>
      </w:pPr>
    </w:p>
    <w:p w14:paraId="00A9AA7F">
      <w:pPr>
        <w:pStyle w:val="10"/>
        <w:numPr>
          <w:ilvl w:val="1"/>
          <w:numId w:val="7"/>
        </w:numPr>
        <w:tabs>
          <w:tab w:val="left" w:pos="1540"/>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一般生物和物理特性</w:t>
      </w:r>
    </w:p>
    <w:p w14:paraId="12FC97E6">
      <w:pPr>
        <w:snapToGrid w:val="0"/>
        <w:spacing w:before="10" w:line="300" w:lineRule="auto"/>
        <w:ind w:firstLine="840" w:firstLineChars="400"/>
        <w:jc w:val="both"/>
        <w:rPr>
          <w:rFonts w:ascii="Arial" w:hAnsi="Arial" w:eastAsia="宋体" w:cs="Arial"/>
          <w:sz w:val="21"/>
          <w:szCs w:val="21"/>
        </w:rPr>
      </w:pPr>
    </w:p>
    <w:p w14:paraId="0810A653">
      <w:pPr>
        <w:pStyle w:val="3"/>
        <w:snapToGrid w:val="0"/>
        <w:spacing w:line="300" w:lineRule="auto"/>
        <w:ind w:left="1566" w:leftChars="711" w:hanging="2"/>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一般特性</w:t>
      </w:r>
      <w:r>
        <w:rPr>
          <w:rFonts w:ascii="宋体" w:hAnsi="宋体" w:eastAsia="宋体" w:cs="Arial"/>
          <w:sz w:val="21"/>
          <w:szCs w:val="21"/>
          <w:lang w:eastAsia="zh-CN"/>
        </w:rPr>
        <w:t>”</w:t>
      </w:r>
      <w:r>
        <w:rPr>
          <w:rFonts w:ascii="Arial" w:hAnsi="Arial" w:eastAsia="宋体" w:cs="Arial"/>
          <w:sz w:val="21"/>
          <w:szCs w:val="21"/>
          <w:lang w:eastAsia="zh-CN"/>
        </w:rPr>
        <w:t>部分应包括激光器在其物理学和对组织的生物影响方面的独特特征。信息必须足以使用户预期临床效果、了解像差并将一个激光器与另一个激光器进行比较。</w:t>
      </w:r>
    </w:p>
    <w:p w14:paraId="041E71F8">
      <w:pPr>
        <w:pStyle w:val="3"/>
        <w:snapToGrid w:val="0"/>
        <w:spacing w:line="300" w:lineRule="auto"/>
        <w:ind w:left="0" w:firstLine="840" w:firstLineChars="400"/>
        <w:jc w:val="both"/>
        <w:rPr>
          <w:rFonts w:ascii="Arial" w:hAnsi="Arial" w:eastAsia="宋体" w:cs="Arial"/>
          <w:sz w:val="21"/>
          <w:szCs w:val="21"/>
          <w:lang w:eastAsia="zh-CN"/>
        </w:rPr>
      </w:pPr>
    </w:p>
    <w:p w14:paraId="1A5EC844">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信息可以以表格或其他格式呈现，以清晰简明的方式传达信息。信息可以按类别呈现，例如非接触式光束或接触光束（尖端/手术刀）。其可以包括所总结的临床信息，为用户提供信息框架。</w:t>
      </w:r>
    </w:p>
    <w:p w14:paraId="68DF3812">
      <w:pPr>
        <w:snapToGrid w:val="0"/>
        <w:spacing w:before="6" w:line="300" w:lineRule="auto"/>
        <w:ind w:firstLine="840" w:firstLineChars="400"/>
        <w:jc w:val="both"/>
        <w:rPr>
          <w:rFonts w:ascii="Arial" w:hAnsi="Arial" w:eastAsia="宋体" w:cs="Arial"/>
          <w:sz w:val="21"/>
          <w:szCs w:val="21"/>
          <w:lang w:eastAsia="zh-CN"/>
        </w:rPr>
      </w:pPr>
    </w:p>
    <w:p w14:paraId="24890077">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对于通用领域内的广泛潜在用途，具有用于专业领域的普通手术用途的激光器，例如用于普通外科手术、皮肤科，神经病学等中的手术工具的激光器，必须与比较器械一样安全有效。为了使特定激光器适用于专业领域的一般预期用途，申请人必须提供数据，以证明激光器符合一般预期用途的指定性能特征。性能概况应纳入附件D中。可以定期修改概况以反映当前信息。</w:t>
      </w:r>
    </w:p>
    <w:p w14:paraId="2DB05BC1">
      <w:pPr>
        <w:snapToGrid w:val="0"/>
        <w:spacing w:before="6" w:line="300" w:lineRule="auto"/>
        <w:ind w:firstLine="840" w:firstLineChars="400"/>
        <w:jc w:val="both"/>
        <w:rPr>
          <w:rFonts w:ascii="Arial" w:hAnsi="Arial" w:eastAsia="宋体" w:cs="Arial"/>
          <w:sz w:val="21"/>
          <w:szCs w:val="21"/>
          <w:lang w:eastAsia="zh-CN"/>
        </w:rPr>
      </w:pPr>
    </w:p>
    <w:p w14:paraId="4CA5D777">
      <w:pPr>
        <w:pStyle w:val="10"/>
        <w:numPr>
          <w:ilvl w:val="1"/>
          <w:numId w:val="7"/>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适应症</w:t>
      </w:r>
    </w:p>
    <w:p w14:paraId="6F4F0BA8">
      <w:pPr>
        <w:snapToGrid w:val="0"/>
        <w:spacing w:before="1" w:line="300" w:lineRule="auto"/>
        <w:ind w:firstLine="840" w:firstLineChars="400"/>
        <w:jc w:val="both"/>
        <w:rPr>
          <w:rFonts w:ascii="Arial" w:hAnsi="Arial" w:eastAsia="宋体" w:cs="Arial"/>
          <w:sz w:val="21"/>
          <w:szCs w:val="21"/>
        </w:rPr>
      </w:pPr>
    </w:p>
    <w:p w14:paraId="2FA9DC5F">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适应症部分应符合上述第III.C节规定的标准。</w:t>
      </w:r>
    </w:p>
    <w:p w14:paraId="653D69DF">
      <w:pPr>
        <w:snapToGrid w:val="0"/>
        <w:spacing w:before="10" w:line="300" w:lineRule="auto"/>
        <w:ind w:firstLine="840" w:firstLineChars="400"/>
        <w:jc w:val="both"/>
        <w:rPr>
          <w:rFonts w:ascii="Arial" w:hAnsi="Arial" w:eastAsia="宋体" w:cs="Arial"/>
          <w:sz w:val="21"/>
          <w:szCs w:val="21"/>
          <w:lang w:eastAsia="zh-CN"/>
        </w:rPr>
      </w:pPr>
    </w:p>
    <w:p w14:paraId="49171A80">
      <w:pPr>
        <w:pStyle w:val="10"/>
        <w:numPr>
          <w:ilvl w:val="1"/>
          <w:numId w:val="7"/>
        </w:numPr>
        <w:tabs>
          <w:tab w:val="left" w:pos="1541"/>
        </w:tabs>
        <w:snapToGrid w:val="0"/>
        <w:spacing w:line="300" w:lineRule="auto"/>
        <w:ind w:left="0" w:firstLine="840" w:firstLineChars="400"/>
        <w:jc w:val="both"/>
        <w:rPr>
          <w:rFonts w:ascii="Arial" w:hAnsi="Arial" w:eastAsia="宋体" w:cs="Arial"/>
          <w:sz w:val="21"/>
          <w:szCs w:val="21"/>
        </w:rPr>
      </w:pPr>
      <w:r>
        <w:rPr>
          <w:rFonts w:ascii="Arial" w:hAnsi="Arial" w:eastAsia="宋体" w:cs="Arial"/>
          <w:sz w:val="21"/>
          <w:szCs w:val="21"/>
        </w:rPr>
        <w:t>禁忌症</w:t>
      </w:r>
    </w:p>
    <w:p w14:paraId="6DB87AFA">
      <w:pPr>
        <w:snapToGrid w:val="0"/>
        <w:spacing w:before="10" w:line="300" w:lineRule="auto"/>
        <w:ind w:firstLine="840" w:firstLineChars="400"/>
        <w:jc w:val="both"/>
        <w:rPr>
          <w:rFonts w:ascii="Arial" w:hAnsi="Arial" w:eastAsia="宋体" w:cs="Arial"/>
          <w:sz w:val="21"/>
          <w:szCs w:val="21"/>
        </w:rPr>
      </w:pPr>
    </w:p>
    <w:p w14:paraId="43F99C25">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旨在确定不应使用激光器的情况，因为风险明显超过了可能收益。激光器使用可能属于禁忌症，例如，当与靶子相邻的组织存在不可接受的风险时，例如可能被激光器的热或声效应不可逆地损坏临界神经或血管时，当患者具有使得使用激光器的风险不可接受的医疗病症，或当激光器本身的某些特性在某些环境中可呈现不可接受的风险时。可能存在浸润性癌症等医疗病症，其排除了在选定情况下使用激光器，或者可能对使用激光造成不可接受的问题的附件（内窥镜等）。最后，如果要使用激光器，可能会有不可避免的火灾或爆炸风险。</w:t>
      </w:r>
    </w:p>
    <w:p w14:paraId="4531D72D">
      <w:pPr>
        <w:snapToGrid w:val="0"/>
        <w:spacing w:before="6" w:line="300" w:lineRule="auto"/>
        <w:ind w:firstLine="840" w:firstLineChars="400"/>
        <w:jc w:val="both"/>
        <w:rPr>
          <w:rFonts w:ascii="Arial" w:hAnsi="Arial" w:eastAsia="宋体" w:cs="Arial"/>
          <w:sz w:val="21"/>
          <w:szCs w:val="21"/>
          <w:lang w:eastAsia="zh-CN"/>
        </w:rPr>
      </w:pPr>
    </w:p>
    <w:p w14:paraId="6F8099FB">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禁忌症可以是一般禁忌症或可以限于特定的手术情况。应列出已知危险，而不是理论上的可能性。如果没有已知的禁忌症，那么此部分应该说明</w:t>
      </w:r>
      <w:r>
        <w:rPr>
          <w:rFonts w:ascii="宋体" w:hAnsi="宋体" w:eastAsia="宋体" w:cs="Arial"/>
          <w:sz w:val="21"/>
          <w:szCs w:val="21"/>
          <w:lang w:eastAsia="zh-CN"/>
        </w:rPr>
        <w:t>“</w:t>
      </w:r>
      <w:r>
        <w:rPr>
          <w:rFonts w:ascii="Arial" w:hAnsi="Arial" w:eastAsia="宋体" w:cs="Arial"/>
          <w:sz w:val="21"/>
          <w:szCs w:val="21"/>
          <w:lang w:eastAsia="zh-CN"/>
        </w:rPr>
        <w:t>无已知禁忌症</w:t>
      </w:r>
      <w:r>
        <w:rPr>
          <w:rFonts w:ascii="宋体" w:hAnsi="宋体" w:eastAsia="宋体" w:cs="Arial"/>
          <w:sz w:val="21"/>
          <w:szCs w:val="21"/>
          <w:lang w:eastAsia="zh-CN"/>
        </w:rPr>
        <w:t>”</w:t>
      </w:r>
      <w:r>
        <w:rPr>
          <w:rFonts w:ascii="Arial" w:hAnsi="Arial" w:eastAsia="宋体" w:cs="Arial"/>
          <w:sz w:val="21"/>
          <w:szCs w:val="21"/>
          <w:lang w:eastAsia="zh-CN"/>
        </w:rPr>
        <w:t>。</w:t>
      </w:r>
    </w:p>
    <w:p w14:paraId="2243DDBE">
      <w:pPr>
        <w:snapToGrid w:val="0"/>
        <w:spacing w:before="6" w:line="300" w:lineRule="auto"/>
        <w:ind w:firstLine="840" w:firstLineChars="400"/>
        <w:jc w:val="both"/>
        <w:rPr>
          <w:rFonts w:ascii="Arial" w:hAnsi="Arial" w:eastAsia="宋体" w:cs="Arial"/>
          <w:sz w:val="21"/>
          <w:szCs w:val="21"/>
          <w:lang w:eastAsia="zh-CN"/>
        </w:rPr>
      </w:pPr>
    </w:p>
    <w:p w14:paraId="43A37E4F">
      <w:pPr>
        <w:rPr>
          <w:rFonts w:ascii="Arial" w:hAnsi="Arial" w:eastAsia="宋体" w:cs="Arial"/>
          <w:sz w:val="21"/>
          <w:szCs w:val="21"/>
          <w:lang w:eastAsia="zh-CN"/>
        </w:rPr>
      </w:pPr>
      <w:r>
        <w:rPr>
          <w:rFonts w:ascii="Arial" w:hAnsi="Arial" w:eastAsia="宋体" w:cs="Arial"/>
          <w:sz w:val="21"/>
          <w:szCs w:val="21"/>
          <w:lang w:eastAsia="zh-CN"/>
        </w:rPr>
        <w:br w:type="page"/>
      </w:r>
    </w:p>
    <w:p w14:paraId="73AB5500">
      <w:pPr>
        <w:pStyle w:val="10"/>
        <w:numPr>
          <w:ilvl w:val="1"/>
          <w:numId w:val="7"/>
        </w:numPr>
        <w:tabs>
          <w:tab w:val="left" w:pos="1540"/>
        </w:tabs>
        <w:snapToGrid w:val="0"/>
        <w:spacing w:before="73"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警告（包括已证明的问题）</w:t>
      </w:r>
    </w:p>
    <w:p w14:paraId="6193A697">
      <w:pPr>
        <w:snapToGrid w:val="0"/>
        <w:spacing w:before="10" w:line="300" w:lineRule="auto"/>
        <w:jc w:val="both"/>
        <w:rPr>
          <w:rFonts w:ascii="Arial" w:hAnsi="Arial" w:eastAsia="宋体" w:cs="Arial"/>
          <w:sz w:val="21"/>
          <w:szCs w:val="21"/>
          <w:lang w:eastAsia="zh-CN"/>
        </w:rPr>
      </w:pPr>
    </w:p>
    <w:p w14:paraId="6D826B80">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此部分应介绍严重的不良反应和潜在的安全隐患、由其造成的使用限制以及当其发生时应采取的措施。当有合理证据显示严重危害与使用器械有关时，请提供任何警告。但无需证明因果关系。</w:t>
      </w:r>
    </w:p>
    <w:p w14:paraId="499251B3">
      <w:pPr>
        <w:pStyle w:val="3"/>
        <w:snapToGrid w:val="0"/>
        <w:spacing w:line="300" w:lineRule="auto"/>
        <w:ind w:left="0"/>
        <w:jc w:val="both"/>
        <w:rPr>
          <w:rFonts w:ascii="Arial" w:hAnsi="Arial" w:eastAsia="宋体" w:cs="Arial"/>
          <w:sz w:val="21"/>
          <w:szCs w:val="21"/>
          <w:lang w:eastAsia="zh-CN"/>
        </w:rPr>
      </w:pPr>
    </w:p>
    <w:p w14:paraId="636E130E">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示例可能包括在直肠手术期间点燃甲烷气体的风险；在某些手术中使用同轴气体时，空气（气体）栓塞的风险；或在长时间手术期间电解质失衡以及液体膨胀的风险。应适当警告用户激光器并不是有效的凝固器，或者直径大于Xmm的静脉无法使用激光器进行成功凝固。</w:t>
      </w:r>
    </w:p>
    <w:p w14:paraId="7D69B717">
      <w:pPr>
        <w:snapToGrid w:val="0"/>
        <w:spacing w:before="6" w:line="300" w:lineRule="auto"/>
        <w:jc w:val="both"/>
        <w:rPr>
          <w:rFonts w:ascii="Arial" w:hAnsi="Arial" w:eastAsia="宋体" w:cs="Arial"/>
          <w:sz w:val="21"/>
          <w:szCs w:val="21"/>
          <w:lang w:eastAsia="zh-CN"/>
        </w:rPr>
      </w:pPr>
    </w:p>
    <w:p w14:paraId="4D297E36">
      <w:pPr>
        <w:pStyle w:val="10"/>
        <w:numPr>
          <w:ilvl w:val="1"/>
          <w:numId w:val="7"/>
        </w:numPr>
        <w:tabs>
          <w:tab w:val="left" w:pos="1541"/>
        </w:tabs>
        <w:snapToGrid w:val="0"/>
        <w:spacing w:before="73" w:line="300" w:lineRule="auto"/>
        <w:ind w:left="0" w:firstLine="840" w:firstLineChars="400"/>
        <w:jc w:val="both"/>
        <w:rPr>
          <w:rFonts w:ascii="Arial" w:hAnsi="Arial" w:eastAsia="宋体" w:cs="Arial"/>
          <w:sz w:val="21"/>
          <w:szCs w:val="21"/>
          <w:lang w:eastAsia="zh-CN"/>
        </w:rPr>
      </w:pPr>
      <w:r>
        <w:rPr>
          <w:rFonts w:ascii="Arial" w:hAnsi="Arial" w:eastAsia="宋体" w:cs="Arial"/>
          <w:sz w:val="21"/>
          <w:szCs w:val="21"/>
          <w:lang w:eastAsia="zh-CN"/>
        </w:rPr>
        <w:t>注意事项（包括理论问题）</w:t>
      </w:r>
    </w:p>
    <w:p w14:paraId="280CA5DF">
      <w:pPr>
        <w:snapToGrid w:val="0"/>
        <w:spacing w:before="10" w:line="300" w:lineRule="auto"/>
        <w:jc w:val="both"/>
        <w:rPr>
          <w:rFonts w:ascii="Arial" w:hAnsi="Arial" w:eastAsia="宋体" w:cs="Arial"/>
          <w:sz w:val="21"/>
          <w:szCs w:val="21"/>
          <w:lang w:eastAsia="zh-CN"/>
        </w:rPr>
      </w:pPr>
    </w:p>
    <w:p w14:paraId="60D74AD8">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应包括有关需要特殊护理的情况或状况或旨在保护医师或手术室人员以及患者的信息。这些信息可能包括有关防护服或眼镜和烟雾气雾剂抽空的需求。其应该包括关于医生在使用激光器方面应接受适当培训的需求的声明。其可能包括关于使用湿包装来降低火灾和组织损伤的风险的声明。应提醒外科医生与其他激光器相比，或者与非接触光束和尖端/手术刀使用相比，激光器的穿透深度（非接触光束）。此外，还应提供有关可以用来避免可能用于光纤的尖端融化的最大功率的注意事项。</w:t>
      </w:r>
    </w:p>
    <w:p w14:paraId="488416C2">
      <w:pPr>
        <w:snapToGrid w:val="0"/>
        <w:spacing w:before="6" w:line="300" w:lineRule="auto"/>
        <w:jc w:val="both"/>
        <w:rPr>
          <w:rFonts w:ascii="Arial" w:hAnsi="Arial" w:eastAsia="宋体" w:cs="Arial"/>
          <w:sz w:val="21"/>
          <w:szCs w:val="21"/>
          <w:lang w:eastAsia="zh-CN"/>
        </w:rPr>
      </w:pPr>
    </w:p>
    <w:p w14:paraId="2DA0623E">
      <w:pPr>
        <w:pStyle w:val="10"/>
        <w:numPr>
          <w:ilvl w:val="1"/>
          <w:numId w:val="7"/>
        </w:numPr>
        <w:tabs>
          <w:tab w:val="left" w:pos="1541"/>
        </w:tabs>
        <w:snapToGrid w:val="0"/>
        <w:spacing w:before="73"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不良反应</w:t>
      </w:r>
    </w:p>
    <w:p w14:paraId="594B3F20">
      <w:pPr>
        <w:snapToGrid w:val="0"/>
        <w:spacing w:before="10" w:line="300" w:lineRule="auto"/>
        <w:jc w:val="both"/>
        <w:rPr>
          <w:rFonts w:ascii="Arial" w:hAnsi="Arial" w:eastAsia="宋体" w:cs="Arial"/>
          <w:sz w:val="21"/>
          <w:szCs w:val="21"/>
        </w:rPr>
      </w:pPr>
    </w:p>
    <w:p w14:paraId="46D3CC46">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此部分应确定与使用该器械合理相关的非预期影响，此类影响可能为该器械影响的一部分，或其发生率可能无法预测。此部分应包括与使用激光合理相关的所有不良反应，包括</w:t>
      </w:r>
      <w:r>
        <w:rPr>
          <w:rFonts w:ascii="宋体" w:hAnsi="宋体" w:eastAsia="宋体" w:cs="Arial"/>
          <w:sz w:val="21"/>
          <w:szCs w:val="21"/>
          <w:lang w:eastAsia="zh-CN"/>
        </w:rPr>
        <w:t>“</w:t>
      </w:r>
      <w:r>
        <w:rPr>
          <w:rFonts w:ascii="Arial" w:hAnsi="Arial" w:eastAsia="宋体" w:cs="Arial"/>
          <w:sz w:val="21"/>
          <w:szCs w:val="21"/>
          <w:lang w:eastAsia="zh-CN"/>
        </w:rPr>
        <w:t>禁忌症、警告和注意事项</w:t>
      </w:r>
      <w:r>
        <w:rPr>
          <w:rFonts w:ascii="宋体" w:hAnsi="宋体" w:eastAsia="宋体" w:cs="Arial"/>
          <w:sz w:val="21"/>
          <w:szCs w:val="21"/>
          <w:lang w:eastAsia="zh-CN"/>
        </w:rPr>
        <w:t>”</w:t>
      </w:r>
      <w:r>
        <w:rPr>
          <w:rFonts w:ascii="Arial" w:hAnsi="Arial" w:eastAsia="宋体" w:cs="Arial"/>
          <w:sz w:val="21"/>
          <w:szCs w:val="21"/>
          <w:lang w:eastAsia="zh-CN"/>
        </w:rPr>
        <w:t>部分中提到的那些不良反应。有关这些影响以及其发生时应采取的任何步骤的其他信息，请参阅不良反应列表以及指示读者参阅标签的其他部分的声明。</w:t>
      </w:r>
    </w:p>
    <w:p w14:paraId="21A38B14">
      <w:pPr>
        <w:snapToGrid w:val="0"/>
        <w:spacing w:before="6" w:line="300" w:lineRule="auto"/>
        <w:jc w:val="both"/>
        <w:rPr>
          <w:rFonts w:ascii="Arial" w:hAnsi="Arial" w:eastAsia="宋体" w:cs="Arial"/>
          <w:sz w:val="21"/>
          <w:szCs w:val="21"/>
          <w:lang w:eastAsia="zh-CN"/>
        </w:rPr>
      </w:pPr>
    </w:p>
    <w:p w14:paraId="5B4F4B1E">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不良反应按照由其严重程度和频率确定的临床显著性以降序列出。支持性数据应以有效的科学证据为依据。</w:t>
      </w:r>
    </w:p>
    <w:p w14:paraId="6DF91060">
      <w:pPr>
        <w:snapToGrid w:val="0"/>
        <w:spacing w:before="6" w:line="300" w:lineRule="auto"/>
        <w:jc w:val="both"/>
        <w:rPr>
          <w:rFonts w:ascii="Arial" w:hAnsi="Arial" w:eastAsia="宋体" w:cs="Arial"/>
          <w:sz w:val="21"/>
          <w:szCs w:val="21"/>
          <w:lang w:eastAsia="zh-CN"/>
        </w:rPr>
      </w:pPr>
    </w:p>
    <w:p w14:paraId="21BE15B7">
      <w:pPr>
        <w:pStyle w:val="10"/>
        <w:numPr>
          <w:ilvl w:val="1"/>
          <w:numId w:val="7"/>
        </w:numPr>
        <w:tabs>
          <w:tab w:val="left" w:pos="1541"/>
        </w:tabs>
        <w:snapToGrid w:val="0"/>
        <w:spacing w:before="73"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使用说明书</w:t>
      </w:r>
    </w:p>
    <w:p w14:paraId="2C26245C">
      <w:pPr>
        <w:snapToGrid w:val="0"/>
        <w:spacing w:before="10" w:line="300" w:lineRule="auto"/>
        <w:jc w:val="both"/>
        <w:rPr>
          <w:rFonts w:ascii="Arial" w:hAnsi="Arial" w:eastAsia="宋体" w:cs="Arial"/>
          <w:sz w:val="21"/>
          <w:szCs w:val="21"/>
        </w:rPr>
      </w:pPr>
    </w:p>
    <w:p w14:paraId="5B65F340">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应提供关键或重要的使用信息。对于一般的预期用途，信息不应限制外科医生，也不应限制医疗判断，且并不旨在影响医学实践。相反，其旨在增加外科医生的专业技能，并作为一个现成的参考来源。所附示例（附件B）演示了信息如何提供有关探针、光纤尖端或附件的特殊说明。其还可能包括一些一般信息，其中，此类旨在帮助医师熟练使用激光器。对于特定预期用途，使用说明书将提供精确的使用说明。</w:t>
      </w:r>
    </w:p>
    <w:p w14:paraId="710C6C56">
      <w:pPr>
        <w:snapToGrid w:val="0"/>
        <w:spacing w:before="6" w:line="300" w:lineRule="auto"/>
        <w:jc w:val="both"/>
        <w:rPr>
          <w:rFonts w:ascii="Arial" w:hAnsi="Arial" w:eastAsia="宋体" w:cs="Arial"/>
          <w:sz w:val="21"/>
          <w:szCs w:val="21"/>
          <w:lang w:eastAsia="zh-CN"/>
        </w:rPr>
      </w:pPr>
    </w:p>
    <w:p w14:paraId="1F3FB7D5">
      <w:pPr>
        <w:rPr>
          <w:rFonts w:ascii="Arial" w:hAnsi="Arial" w:eastAsia="宋体" w:cs="Arial"/>
          <w:sz w:val="21"/>
          <w:szCs w:val="21"/>
          <w:lang w:eastAsia="zh-CN"/>
        </w:rPr>
      </w:pPr>
      <w:r>
        <w:rPr>
          <w:rFonts w:ascii="Arial" w:hAnsi="Arial" w:eastAsia="宋体" w:cs="Arial"/>
          <w:sz w:val="21"/>
          <w:szCs w:val="21"/>
          <w:lang w:eastAsia="zh-CN"/>
        </w:rPr>
        <w:br w:type="page"/>
      </w:r>
    </w:p>
    <w:p w14:paraId="1929F7AC">
      <w:pPr>
        <w:pStyle w:val="10"/>
        <w:numPr>
          <w:ilvl w:val="1"/>
          <w:numId w:val="7"/>
        </w:numPr>
        <w:tabs>
          <w:tab w:val="left" w:pos="1541"/>
        </w:tabs>
        <w:snapToGrid w:val="0"/>
        <w:spacing w:before="73" w:line="300" w:lineRule="auto"/>
        <w:ind w:left="0" w:firstLine="840" w:firstLineChars="400"/>
        <w:jc w:val="both"/>
        <w:rPr>
          <w:rFonts w:ascii="Arial" w:hAnsi="Arial" w:eastAsia="宋体" w:cs="Arial"/>
          <w:sz w:val="21"/>
          <w:szCs w:val="21"/>
        </w:rPr>
      </w:pPr>
      <w:r>
        <w:rPr>
          <w:rFonts w:ascii="Arial" w:hAnsi="Arial" w:eastAsia="宋体" w:cs="Arial"/>
          <w:sz w:val="21"/>
          <w:szCs w:val="21"/>
          <w:lang w:eastAsia="zh-CN"/>
        </w:rPr>
        <w:t>参考书目</w:t>
      </w:r>
    </w:p>
    <w:p w14:paraId="1FC475A8">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此部分旨在通过向外科医生提供对支持标签声明的文献的现成参考来支持标签。因此，不应提供器械标签中有关未许可用途的文献。</w:t>
      </w:r>
    </w:p>
    <w:p w14:paraId="26754090">
      <w:pPr>
        <w:pStyle w:val="3"/>
        <w:snapToGrid w:val="0"/>
        <w:spacing w:line="300" w:lineRule="auto"/>
        <w:ind w:left="0"/>
        <w:jc w:val="both"/>
        <w:rPr>
          <w:rFonts w:ascii="Arial" w:hAnsi="Arial" w:eastAsia="宋体" w:cs="Arial"/>
          <w:sz w:val="21"/>
          <w:szCs w:val="21"/>
          <w:lang w:eastAsia="zh-CN"/>
        </w:rPr>
      </w:pPr>
    </w:p>
    <w:p w14:paraId="43701EAF">
      <w:pPr>
        <w:pStyle w:val="3"/>
        <w:snapToGrid w:val="0"/>
        <w:spacing w:line="300" w:lineRule="auto"/>
        <w:ind w:left="1566" w:leftChars="711" w:hanging="2"/>
        <w:jc w:val="both"/>
        <w:rPr>
          <w:rFonts w:ascii="Arial" w:hAnsi="Arial" w:eastAsia="宋体" w:cs="Arial"/>
          <w:sz w:val="21"/>
          <w:szCs w:val="21"/>
          <w:lang w:eastAsia="zh-CN"/>
        </w:rPr>
      </w:pPr>
      <w:r>
        <w:rPr>
          <w:rFonts w:ascii="Arial" w:hAnsi="Arial" w:eastAsia="宋体" w:cs="Arial"/>
          <w:sz w:val="21"/>
          <w:szCs w:val="21"/>
          <w:lang w:eastAsia="zh-CN"/>
        </w:rPr>
        <w:t>如果使用了多专业说明书，则</w:t>
      </w:r>
      <w:r>
        <w:rPr>
          <w:rFonts w:ascii="宋体" w:hAnsi="宋体" w:eastAsia="宋体" w:cs="Arial"/>
          <w:sz w:val="21"/>
          <w:szCs w:val="21"/>
          <w:lang w:eastAsia="zh-CN"/>
        </w:rPr>
        <w:t>“</w:t>
      </w:r>
      <w:r>
        <w:rPr>
          <w:rFonts w:ascii="Arial" w:hAnsi="Arial" w:eastAsia="宋体" w:cs="Arial"/>
          <w:sz w:val="21"/>
          <w:szCs w:val="21"/>
          <w:lang w:eastAsia="zh-CN"/>
        </w:rPr>
        <w:t>参考书目</w:t>
      </w:r>
      <w:r>
        <w:rPr>
          <w:rFonts w:ascii="宋体" w:hAnsi="宋体" w:eastAsia="宋体" w:cs="Arial"/>
          <w:sz w:val="21"/>
          <w:szCs w:val="21"/>
          <w:lang w:eastAsia="zh-CN"/>
        </w:rPr>
        <w:t>”</w:t>
      </w:r>
      <w:r>
        <w:rPr>
          <w:rFonts w:ascii="Arial" w:hAnsi="Arial" w:eastAsia="宋体" w:cs="Arial"/>
          <w:sz w:val="21"/>
          <w:szCs w:val="21"/>
          <w:lang w:eastAsia="zh-CN"/>
        </w:rPr>
        <w:t>可以由外科专业划分，以便于想要确定特别相关文章的外科医生。如果为每个外科专业使用了单独说明书，参考书目仅适用于该专业和预期用途。</w:t>
      </w:r>
    </w:p>
    <w:p w14:paraId="4DF0721C">
      <w:pPr>
        <w:snapToGrid w:val="0"/>
        <w:spacing w:before="2" w:line="300" w:lineRule="auto"/>
        <w:jc w:val="both"/>
        <w:rPr>
          <w:rFonts w:ascii="Arial" w:hAnsi="Arial" w:eastAsia="宋体" w:cs="Arial"/>
          <w:sz w:val="21"/>
          <w:szCs w:val="21"/>
          <w:lang w:eastAsia="zh-CN"/>
        </w:rPr>
      </w:pPr>
    </w:p>
    <w:p w14:paraId="336DF874">
      <w:pPr>
        <w:pStyle w:val="2"/>
        <w:numPr>
          <w:ilvl w:val="0"/>
          <w:numId w:val="7"/>
        </w:numPr>
        <w:tabs>
          <w:tab w:val="left" w:pos="345"/>
        </w:tabs>
        <w:snapToGrid w:val="0"/>
        <w:spacing w:line="300" w:lineRule="auto"/>
        <w:ind w:left="0" w:firstLine="0"/>
        <w:jc w:val="both"/>
        <w:rPr>
          <w:rFonts w:ascii="Arial" w:hAnsi="Arial" w:eastAsia="宋体" w:cs="Arial"/>
          <w:b w:val="0"/>
          <w:bCs w:val="0"/>
          <w:sz w:val="21"/>
          <w:szCs w:val="21"/>
        </w:rPr>
      </w:pPr>
      <w:r>
        <w:rPr>
          <w:rFonts w:ascii="Arial" w:hAnsi="Arial" w:eastAsia="宋体" w:cs="Arial"/>
          <w:sz w:val="21"/>
          <w:szCs w:val="21"/>
        </w:rPr>
        <w:t>附件/组件</w:t>
      </w:r>
      <w:r>
        <w:rPr>
          <w:rFonts w:ascii="Arial" w:hAnsi="Arial" w:eastAsia="宋体" w:cs="Arial"/>
          <w:sz w:val="21"/>
          <w:szCs w:val="21"/>
          <w:lang w:eastAsia="zh-CN"/>
        </w:rPr>
        <w:t>贴标</w:t>
      </w:r>
    </w:p>
    <w:p w14:paraId="5BD44B02">
      <w:pPr>
        <w:snapToGrid w:val="0"/>
        <w:spacing w:before="6" w:line="300" w:lineRule="auto"/>
        <w:jc w:val="both"/>
        <w:rPr>
          <w:rFonts w:ascii="Arial" w:hAnsi="Arial" w:eastAsia="宋体" w:cs="Arial"/>
          <w:b/>
          <w:bCs/>
          <w:sz w:val="21"/>
          <w:szCs w:val="21"/>
        </w:rPr>
      </w:pPr>
    </w:p>
    <w:p w14:paraId="4C238A9C">
      <w:pPr>
        <w:pStyle w:val="3"/>
        <w:snapToGrid w:val="0"/>
        <w:spacing w:line="300" w:lineRule="auto"/>
        <w:ind w:left="350" w:leftChars="158" w:hanging="2" w:hangingChars="1"/>
        <w:jc w:val="both"/>
        <w:rPr>
          <w:rFonts w:ascii="Arial" w:hAnsi="Arial" w:eastAsia="宋体" w:cs="Arial"/>
          <w:sz w:val="21"/>
          <w:szCs w:val="21"/>
          <w:lang w:eastAsia="zh-CN"/>
        </w:rPr>
      </w:pPr>
      <w:r>
        <w:rPr>
          <w:rFonts w:ascii="Arial" w:hAnsi="Arial" w:eastAsia="宋体" w:cs="Arial"/>
          <w:sz w:val="21"/>
          <w:szCs w:val="21"/>
          <w:lang w:eastAsia="zh-CN"/>
        </w:rPr>
        <w:t>标签中的信息来源于有关整个激光系统的数据，旨在提供有关该系统专业使用说明。激光系统（光纤、波导、手术尖端、显微操纵器、软件、硬件等）的附件或组件可以作为替换件或单独器械提供，但应当进行标识以建议用户参考激光器配备的用户手册以获得完整的临床使用信息。</w:t>
      </w:r>
    </w:p>
    <w:p w14:paraId="2B21FCFC">
      <w:pPr>
        <w:pStyle w:val="3"/>
        <w:snapToGrid w:val="0"/>
        <w:spacing w:line="300" w:lineRule="auto"/>
        <w:ind w:left="350" w:leftChars="158" w:hanging="2" w:hangingChars="1"/>
        <w:jc w:val="both"/>
        <w:rPr>
          <w:rFonts w:ascii="Arial" w:hAnsi="Arial" w:eastAsia="宋体" w:cs="Arial"/>
          <w:sz w:val="21"/>
          <w:szCs w:val="21"/>
          <w:lang w:eastAsia="zh-CN"/>
        </w:rPr>
      </w:pPr>
    </w:p>
    <w:p w14:paraId="7F2A5EAF">
      <w:pPr>
        <w:pStyle w:val="3"/>
        <w:snapToGrid w:val="0"/>
        <w:spacing w:line="300" w:lineRule="auto"/>
        <w:ind w:left="350" w:leftChars="158" w:hanging="2" w:hangingChars="1"/>
        <w:jc w:val="both"/>
        <w:rPr>
          <w:rFonts w:ascii="Arial" w:hAnsi="Arial" w:eastAsia="宋体" w:cs="Arial"/>
          <w:sz w:val="21"/>
          <w:szCs w:val="21"/>
          <w:lang w:eastAsia="zh-CN"/>
        </w:rPr>
      </w:pPr>
      <w:r>
        <w:rPr>
          <w:rFonts w:ascii="Arial" w:hAnsi="Arial" w:eastAsia="宋体" w:cs="Arial"/>
          <w:sz w:val="21"/>
          <w:szCs w:val="21"/>
          <w:lang w:eastAsia="zh-CN"/>
        </w:rPr>
        <w:t>附件的标识不得添加或修改用户手册中必须提供的激光系统标签（临床适应症、禁忌症、警告、注意事项等）。但附件可影响使用所需的标称功率或限制可以在不会对设备或患者造成任何风险的情况下的使用功率的情况除外。</w:t>
      </w:r>
    </w:p>
    <w:p w14:paraId="074BDE62">
      <w:pPr>
        <w:snapToGrid w:val="0"/>
        <w:spacing w:before="11" w:line="300" w:lineRule="auto"/>
        <w:ind w:left="350" w:leftChars="158" w:hanging="2" w:hangingChars="1"/>
        <w:jc w:val="both"/>
        <w:rPr>
          <w:rFonts w:ascii="Arial" w:hAnsi="Arial" w:eastAsia="宋体" w:cs="Arial"/>
          <w:sz w:val="21"/>
          <w:szCs w:val="21"/>
          <w:lang w:eastAsia="zh-CN"/>
        </w:rPr>
      </w:pPr>
    </w:p>
    <w:p w14:paraId="59EA7942">
      <w:pPr>
        <w:pStyle w:val="3"/>
        <w:snapToGrid w:val="0"/>
        <w:spacing w:line="300" w:lineRule="auto"/>
        <w:ind w:left="350" w:leftChars="158" w:hanging="2" w:hangingChars="1"/>
        <w:jc w:val="both"/>
        <w:rPr>
          <w:rFonts w:ascii="Arial" w:hAnsi="Arial" w:eastAsia="宋体" w:cs="Arial"/>
          <w:sz w:val="21"/>
          <w:szCs w:val="21"/>
          <w:lang w:eastAsia="zh-CN"/>
        </w:rPr>
      </w:pPr>
      <w:r>
        <w:rPr>
          <w:rFonts w:ascii="Arial" w:hAnsi="Arial" w:eastAsia="宋体" w:cs="Arial"/>
          <w:sz w:val="21"/>
          <w:szCs w:val="21"/>
          <w:lang w:eastAsia="zh-CN"/>
        </w:rPr>
        <w:t>组件或附件的贴标应提供足够精确的规格或性能数据，以便与原始组件或附件进行比较，并允许用户确定组件或附件是否与配有其的激光系统相容。附件C中的信息可以提供有关应包括在组件或附件标签中规格的意见。</w:t>
      </w:r>
    </w:p>
    <w:p w14:paraId="0E6A12C9">
      <w:pPr>
        <w:pStyle w:val="3"/>
        <w:snapToGrid w:val="0"/>
        <w:spacing w:line="300" w:lineRule="auto"/>
        <w:ind w:left="350" w:leftChars="158" w:hanging="2" w:hangingChars="1"/>
        <w:jc w:val="both"/>
        <w:rPr>
          <w:rFonts w:ascii="Arial" w:hAnsi="Arial" w:eastAsia="宋体" w:cs="Arial"/>
          <w:sz w:val="21"/>
          <w:szCs w:val="21"/>
          <w:lang w:eastAsia="zh-CN"/>
        </w:rPr>
      </w:pPr>
    </w:p>
    <w:p w14:paraId="36F29BBA">
      <w:pPr>
        <w:pStyle w:val="3"/>
        <w:snapToGrid w:val="0"/>
        <w:spacing w:line="300" w:lineRule="auto"/>
        <w:ind w:left="350" w:leftChars="158" w:hanging="2" w:hangingChars="1"/>
        <w:jc w:val="both"/>
        <w:rPr>
          <w:rFonts w:ascii="Arial" w:hAnsi="Arial" w:eastAsia="宋体" w:cs="Arial"/>
          <w:sz w:val="21"/>
          <w:szCs w:val="21"/>
          <w:lang w:eastAsia="zh-CN"/>
        </w:rPr>
      </w:pPr>
      <w:r>
        <w:rPr>
          <w:rFonts w:ascii="Arial" w:hAnsi="Arial" w:eastAsia="宋体" w:cs="Arial"/>
          <w:sz w:val="21"/>
          <w:szCs w:val="21"/>
          <w:lang w:eastAsia="zh-CN"/>
        </w:rPr>
        <w:t>专门用于治疗特定疾病、病症或程序的附件可能需要PMA。</w:t>
      </w:r>
    </w:p>
    <w:p w14:paraId="144DA61D">
      <w:pPr>
        <w:rPr>
          <w:rFonts w:ascii="Arial" w:hAnsi="Arial" w:eastAsia="宋体" w:cs="Arial"/>
          <w:sz w:val="21"/>
          <w:szCs w:val="21"/>
          <w:lang w:eastAsia="zh-CN"/>
        </w:rPr>
      </w:pPr>
      <w:r>
        <w:rPr>
          <w:rFonts w:ascii="Arial" w:hAnsi="Arial" w:eastAsia="宋体" w:cs="Arial"/>
          <w:sz w:val="21"/>
          <w:szCs w:val="21"/>
          <w:lang w:eastAsia="zh-CN"/>
        </w:rPr>
        <w:br w:type="page"/>
      </w:r>
    </w:p>
    <w:p w14:paraId="1EBE83D1">
      <w:pPr>
        <w:snapToGrid w:val="0"/>
        <w:spacing w:before="6" w:line="300" w:lineRule="auto"/>
        <w:jc w:val="both"/>
        <w:rPr>
          <w:rFonts w:ascii="Arial" w:hAnsi="Arial" w:eastAsia="宋体" w:cs="Arial"/>
          <w:sz w:val="21"/>
          <w:szCs w:val="21"/>
          <w:lang w:eastAsia="zh-CN"/>
        </w:rPr>
      </w:pPr>
    </w:p>
    <w:p w14:paraId="5D738149">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附件A</w:t>
      </w:r>
    </w:p>
    <w:p w14:paraId="425F9BC7">
      <w:pPr>
        <w:snapToGrid w:val="0"/>
        <w:spacing w:before="10" w:line="300" w:lineRule="auto"/>
        <w:jc w:val="center"/>
        <w:rPr>
          <w:rFonts w:ascii="Arial" w:hAnsi="Arial" w:eastAsia="宋体" w:cs="Arial"/>
          <w:sz w:val="21"/>
          <w:szCs w:val="21"/>
          <w:lang w:eastAsia="zh-CN"/>
        </w:rPr>
      </w:pPr>
    </w:p>
    <w:p w14:paraId="1EA9BF0E">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实质等同性决策流程图</w:t>
      </w:r>
    </w:p>
    <w:p w14:paraId="3D90DF53">
      <w:pPr>
        <w:rPr>
          <w:rFonts w:ascii="Arial" w:hAnsi="Arial" w:eastAsia="宋体" w:cs="Arial"/>
          <w:sz w:val="21"/>
          <w:szCs w:val="21"/>
          <w:lang w:eastAsia="zh-CN"/>
        </w:rPr>
      </w:pPr>
      <w:r>
        <w:rPr>
          <w:rFonts w:ascii="Arial" w:hAnsi="Arial" w:eastAsia="宋体" w:cs="Arial"/>
          <w:sz w:val="21"/>
          <w:szCs w:val="21"/>
          <w:lang w:eastAsia="zh-CN"/>
        </w:rPr>
        <w:br w:type="page"/>
      </w:r>
    </w:p>
    <w:p w14:paraId="050E8FD1">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附件</w:t>
      </w:r>
      <w:r>
        <w:rPr>
          <w:rFonts w:ascii="Arial" w:hAnsi="Arial" w:eastAsia="宋体" w:cs="Arial"/>
          <w:spacing w:val="-7"/>
          <w:sz w:val="21"/>
          <w:szCs w:val="21"/>
          <w:lang w:eastAsia="zh-CN"/>
        </w:rPr>
        <w:t xml:space="preserve"> </w:t>
      </w:r>
      <w:r>
        <w:rPr>
          <w:rFonts w:ascii="Arial" w:hAnsi="Arial" w:eastAsia="宋体" w:cs="Arial"/>
          <w:sz w:val="21"/>
          <w:szCs w:val="21"/>
          <w:lang w:eastAsia="zh-CN"/>
        </w:rPr>
        <w:t>B</w:t>
      </w:r>
    </w:p>
    <w:p w14:paraId="643F98FF">
      <w:pPr>
        <w:snapToGrid w:val="0"/>
        <w:spacing w:before="10" w:line="300" w:lineRule="auto"/>
        <w:jc w:val="center"/>
        <w:rPr>
          <w:rFonts w:ascii="Arial" w:hAnsi="Arial" w:eastAsia="宋体" w:cs="Arial"/>
          <w:sz w:val="21"/>
          <w:szCs w:val="21"/>
          <w:lang w:eastAsia="zh-CN"/>
        </w:rPr>
      </w:pPr>
    </w:p>
    <w:p w14:paraId="5E079C3A">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专业使用说明示例</w:t>
      </w:r>
    </w:p>
    <w:p w14:paraId="0952979E">
      <w:pPr>
        <w:snapToGrid w:val="0"/>
        <w:spacing w:before="6" w:line="300" w:lineRule="auto"/>
        <w:jc w:val="both"/>
        <w:rPr>
          <w:rFonts w:ascii="Arial" w:hAnsi="Arial" w:eastAsia="宋体" w:cs="Arial"/>
          <w:sz w:val="21"/>
          <w:szCs w:val="21"/>
          <w:lang w:eastAsia="zh-CN"/>
        </w:rPr>
      </w:pPr>
    </w:p>
    <w:p w14:paraId="3289539B">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描述</w:t>
      </w:r>
    </w:p>
    <w:p w14:paraId="32615D4C">
      <w:pPr>
        <w:snapToGrid w:val="0"/>
        <w:spacing w:before="10" w:line="300" w:lineRule="auto"/>
        <w:jc w:val="both"/>
        <w:rPr>
          <w:rFonts w:ascii="Arial" w:hAnsi="Arial" w:eastAsia="宋体" w:cs="Arial"/>
          <w:sz w:val="21"/>
          <w:szCs w:val="21"/>
          <w:lang w:eastAsia="zh-CN"/>
        </w:rPr>
      </w:pPr>
    </w:p>
    <w:p w14:paraId="7C00CBC6">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Acme Laser是一种由激光控制台、电源和光纤传输系统组成的钬激光系统。钬激光器使用钇铝石榴石（Ho：YAG）的钬掺杂晶体杆作为放置在光共振腔中的活性介质，以产生波长为2.1微米的增幅相干光束。微处理器用于控制前面板的电子元件。Ho：YAG激光束与氦氖光束光学结合并聚焦成光纤。电源单元内装有独立的水冷系统。钬激光器以脉冲模式运行，有固定的脉冲宽度，脉冲串的脉冲持续时间长。但是，脉冲数可以在预设范围内进行调整。有关器械规格、输送系统、光学系统、冷却系统、电子系统、安全功能以及激光器械的控制和操作的详细信息，请参阅手册。</w:t>
      </w:r>
    </w:p>
    <w:p w14:paraId="1A789A28">
      <w:pPr>
        <w:snapToGrid w:val="0"/>
        <w:spacing w:before="6" w:line="300" w:lineRule="auto"/>
        <w:jc w:val="both"/>
        <w:rPr>
          <w:rFonts w:ascii="Arial" w:hAnsi="Arial" w:eastAsia="宋体" w:cs="Arial"/>
          <w:sz w:val="21"/>
          <w:szCs w:val="21"/>
          <w:lang w:eastAsia="zh-CN"/>
        </w:rPr>
      </w:pPr>
    </w:p>
    <w:p w14:paraId="5E5B9FF2">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一般特性</w:t>
      </w:r>
    </w:p>
    <w:p w14:paraId="19A55A9A">
      <w:pPr>
        <w:snapToGrid w:val="0"/>
        <w:spacing w:before="10" w:line="300" w:lineRule="auto"/>
        <w:jc w:val="both"/>
        <w:rPr>
          <w:rFonts w:ascii="Arial" w:hAnsi="Arial" w:eastAsia="宋体" w:cs="Arial"/>
          <w:sz w:val="21"/>
          <w:szCs w:val="21"/>
          <w:lang w:eastAsia="zh-CN"/>
        </w:rPr>
      </w:pPr>
    </w:p>
    <w:p w14:paraId="21239EBC">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工作台等</w:t>
      </w:r>
    </w:p>
    <w:p w14:paraId="4097F322">
      <w:pPr>
        <w:snapToGrid w:val="0"/>
        <w:spacing w:before="10" w:line="300" w:lineRule="auto"/>
        <w:jc w:val="both"/>
        <w:rPr>
          <w:rFonts w:ascii="Arial" w:hAnsi="Arial" w:eastAsia="宋体" w:cs="Arial"/>
          <w:sz w:val="21"/>
          <w:szCs w:val="21"/>
          <w:lang w:eastAsia="zh-CN"/>
        </w:rPr>
      </w:pPr>
    </w:p>
    <w:p w14:paraId="3432278E">
      <w:pPr>
        <w:pStyle w:val="3"/>
        <w:snapToGrid w:val="0"/>
        <w:spacing w:line="300" w:lineRule="auto"/>
        <w:ind w:left="855" w:leftChars="388" w:hanging="1"/>
        <w:jc w:val="both"/>
        <w:rPr>
          <w:rFonts w:ascii="Arial" w:hAnsi="Arial" w:eastAsia="宋体" w:cs="Arial"/>
          <w:sz w:val="21"/>
          <w:szCs w:val="21"/>
          <w:lang w:eastAsia="zh-CN"/>
        </w:rPr>
      </w:pPr>
      <w:r>
        <w:rPr>
          <w:rFonts w:ascii="Arial" w:hAnsi="Arial" w:eastAsia="宋体" w:cs="Arial"/>
          <w:sz w:val="21"/>
          <w:szCs w:val="21"/>
          <w:lang w:eastAsia="zh-CN"/>
        </w:rPr>
        <w:t>焦点与能量信息：动物组织中或来自临床经验的能量与切割/光凝率，能量与效应或能量与穿透深度等</w:t>
      </w:r>
    </w:p>
    <w:p w14:paraId="035E255D">
      <w:pPr>
        <w:snapToGrid w:val="0"/>
        <w:spacing w:before="6" w:line="300" w:lineRule="auto"/>
        <w:jc w:val="both"/>
        <w:rPr>
          <w:rFonts w:ascii="Arial" w:hAnsi="Arial" w:eastAsia="宋体" w:cs="Arial"/>
          <w:sz w:val="21"/>
          <w:szCs w:val="21"/>
          <w:lang w:eastAsia="zh-CN"/>
        </w:rPr>
      </w:pPr>
    </w:p>
    <w:p w14:paraId="4578C306">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相关临床数据来自研究者进行临床研究，请参考参考书目</w:t>
      </w:r>
    </w:p>
    <w:p w14:paraId="396CE735">
      <w:pPr>
        <w:snapToGrid w:val="0"/>
        <w:spacing w:before="6" w:line="300" w:lineRule="auto"/>
        <w:jc w:val="both"/>
        <w:rPr>
          <w:rFonts w:ascii="Arial" w:hAnsi="Arial" w:eastAsia="宋体" w:cs="Arial"/>
          <w:sz w:val="21"/>
          <w:szCs w:val="21"/>
          <w:lang w:eastAsia="zh-CN"/>
        </w:rPr>
      </w:pPr>
    </w:p>
    <w:p w14:paraId="57F7F87E">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性能概括（如有需要）</w:t>
      </w:r>
    </w:p>
    <w:p w14:paraId="6F61BE69">
      <w:pPr>
        <w:pStyle w:val="3"/>
        <w:snapToGrid w:val="0"/>
        <w:spacing w:line="300" w:lineRule="auto"/>
        <w:ind w:left="0"/>
        <w:jc w:val="both"/>
        <w:rPr>
          <w:rFonts w:ascii="Arial" w:hAnsi="Arial" w:eastAsia="宋体" w:cs="Arial"/>
          <w:sz w:val="21"/>
          <w:szCs w:val="21"/>
          <w:lang w:eastAsia="zh-CN"/>
        </w:rPr>
      </w:pPr>
    </w:p>
    <w:p w14:paraId="2C46CE62">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适应症</w:t>
      </w:r>
    </w:p>
    <w:p w14:paraId="2936D86D">
      <w:pPr>
        <w:pStyle w:val="3"/>
        <w:snapToGrid w:val="0"/>
        <w:spacing w:line="300" w:lineRule="auto"/>
        <w:ind w:left="0"/>
        <w:jc w:val="both"/>
        <w:rPr>
          <w:rFonts w:ascii="Arial" w:hAnsi="Arial" w:eastAsia="宋体" w:cs="Arial"/>
          <w:sz w:val="21"/>
          <w:szCs w:val="21"/>
          <w:lang w:eastAsia="zh-CN"/>
        </w:rPr>
      </w:pPr>
    </w:p>
    <w:p w14:paraId="778A6055">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特定适应症示例：</w:t>
      </w:r>
    </w:p>
    <w:p w14:paraId="137CD13B">
      <w:pPr>
        <w:pStyle w:val="3"/>
        <w:snapToGrid w:val="0"/>
        <w:spacing w:line="300" w:lineRule="auto"/>
        <w:ind w:left="418" w:leftChars="190"/>
        <w:jc w:val="both"/>
        <w:rPr>
          <w:rFonts w:ascii="Arial" w:hAnsi="Arial" w:eastAsia="宋体" w:cs="Arial"/>
          <w:sz w:val="21"/>
          <w:szCs w:val="21"/>
          <w:lang w:eastAsia="zh-CN"/>
        </w:rPr>
      </w:pPr>
    </w:p>
    <w:p w14:paraId="4EC59947">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Acme激光器用于经皮激光椎间盘减压术（PLDD）。</w:t>
      </w:r>
    </w:p>
    <w:p w14:paraId="52C90F34">
      <w:pPr>
        <w:snapToGrid w:val="0"/>
        <w:spacing w:before="10" w:line="300" w:lineRule="auto"/>
        <w:jc w:val="both"/>
        <w:rPr>
          <w:rFonts w:ascii="Arial" w:hAnsi="Arial" w:eastAsia="宋体" w:cs="Arial"/>
          <w:sz w:val="21"/>
          <w:szCs w:val="21"/>
          <w:lang w:eastAsia="zh-CN"/>
        </w:rPr>
      </w:pPr>
    </w:p>
    <w:p w14:paraId="459514D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一般适应症示例：</w:t>
      </w:r>
    </w:p>
    <w:p w14:paraId="7F8B33EA">
      <w:pPr>
        <w:snapToGrid w:val="0"/>
        <w:spacing w:before="10" w:line="300" w:lineRule="auto"/>
        <w:jc w:val="both"/>
        <w:rPr>
          <w:rFonts w:ascii="Arial" w:hAnsi="Arial" w:eastAsia="宋体" w:cs="Arial"/>
          <w:sz w:val="21"/>
          <w:szCs w:val="21"/>
          <w:lang w:eastAsia="zh-CN"/>
        </w:rPr>
      </w:pPr>
    </w:p>
    <w:p w14:paraId="51B2F7B1">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Acme激光是一种通用外科手术器械，以自由束模式用于普通外科的开放/封闭外科手术中光凝、切割/切除软组织（肌肉、结缔组织、器官），或对接触模式中的软组织进行切割、切除、切开或凝固。</w:t>
      </w:r>
    </w:p>
    <w:p w14:paraId="36E56C40">
      <w:pPr>
        <w:snapToGrid w:val="0"/>
        <w:spacing w:before="6" w:line="300" w:lineRule="auto"/>
        <w:jc w:val="both"/>
        <w:rPr>
          <w:rFonts w:ascii="Arial" w:hAnsi="Arial" w:eastAsia="宋体" w:cs="Arial"/>
          <w:sz w:val="21"/>
          <w:szCs w:val="21"/>
          <w:lang w:eastAsia="zh-CN"/>
        </w:rPr>
      </w:pPr>
    </w:p>
    <w:p w14:paraId="5E384BF8">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禁忌症</w:t>
      </w:r>
    </w:p>
    <w:p w14:paraId="3ACA3005">
      <w:pPr>
        <w:snapToGrid w:val="0"/>
        <w:spacing w:before="10" w:line="300" w:lineRule="auto"/>
        <w:jc w:val="both"/>
        <w:rPr>
          <w:rFonts w:ascii="Arial" w:hAnsi="Arial" w:eastAsia="宋体" w:cs="Arial"/>
          <w:sz w:val="21"/>
          <w:szCs w:val="21"/>
          <w:lang w:eastAsia="zh-CN"/>
        </w:rPr>
      </w:pPr>
    </w:p>
    <w:p w14:paraId="341A7268">
      <w:pPr>
        <w:pStyle w:val="3"/>
        <w:snapToGrid w:val="0"/>
        <w:spacing w:line="300" w:lineRule="auto"/>
        <w:ind w:left="418" w:leftChars="190"/>
        <w:jc w:val="both"/>
        <w:rPr>
          <w:rFonts w:ascii="Arial" w:hAnsi="Arial" w:eastAsia="宋体" w:cs="Arial"/>
          <w:sz w:val="21"/>
          <w:szCs w:val="21"/>
          <w:lang w:eastAsia="zh-CN"/>
        </w:rPr>
      </w:pPr>
      <w:r>
        <w:rPr>
          <w:rFonts w:ascii="Arial" w:hAnsi="Arial" w:eastAsia="宋体" w:cs="Arial"/>
          <w:sz w:val="21"/>
          <w:szCs w:val="21"/>
          <w:lang w:eastAsia="zh-CN"/>
        </w:rPr>
        <w:t>特定适应症：Acme激光器禁用于脊柱狭窄、周围神经病变、不稳定心绞痛和充血性心力衰竭患者。</w:t>
      </w:r>
    </w:p>
    <w:p w14:paraId="1A917A76">
      <w:pPr>
        <w:pStyle w:val="3"/>
        <w:snapToGrid w:val="0"/>
        <w:spacing w:line="300" w:lineRule="auto"/>
        <w:ind w:left="0"/>
        <w:jc w:val="both"/>
        <w:rPr>
          <w:rFonts w:ascii="Arial" w:hAnsi="Arial" w:eastAsia="宋体" w:cs="Arial"/>
          <w:sz w:val="21"/>
          <w:szCs w:val="21"/>
          <w:lang w:eastAsia="zh-CN"/>
        </w:rPr>
      </w:pPr>
    </w:p>
    <w:p w14:paraId="57A475AC">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一般预期用途：禁用于不适合进行手术或难以忍受麻醉的患者。</w:t>
      </w:r>
    </w:p>
    <w:p w14:paraId="3130E65C">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警告和注意事项</w:t>
      </w:r>
    </w:p>
    <w:p w14:paraId="5D44C516">
      <w:pPr>
        <w:snapToGrid w:val="0"/>
        <w:spacing w:before="10" w:line="300" w:lineRule="auto"/>
        <w:jc w:val="both"/>
        <w:rPr>
          <w:rFonts w:ascii="Arial" w:hAnsi="Arial" w:eastAsia="宋体" w:cs="Arial"/>
          <w:sz w:val="21"/>
          <w:szCs w:val="21"/>
          <w:lang w:eastAsia="zh-CN"/>
        </w:rPr>
      </w:pPr>
    </w:p>
    <w:p w14:paraId="27AD850E">
      <w:pPr>
        <w:pStyle w:val="3"/>
        <w:snapToGrid w:val="0"/>
        <w:spacing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示例：</w:t>
      </w:r>
    </w:p>
    <w:p w14:paraId="0609290E">
      <w:pPr>
        <w:snapToGrid w:val="0"/>
        <w:spacing w:before="10" w:line="300" w:lineRule="auto"/>
        <w:jc w:val="both"/>
        <w:rPr>
          <w:rFonts w:ascii="Arial" w:hAnsi="Arial" w:eastAsia="宋体" w:cs="Arial"/>
          <w:sz w:val="21"/>
          <w:szCs w:val="21"/>
          <w:lang w:eastAsia="zh-CN"/>
        </w:rPr>
      </w:pPr>
    </w:p>
    <w:p w14:paraId="0BDCE2D0">
      <w:pPr>
        <w:pStyle w:val="3"/>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易燃或易爆麻醉气体等；</w:t>
      </w:r>
    </w:p>
    <w:p w14:paraId="1CCBAEF3">
      <w:pPr>
        <w:snapToGrid w:val="0"/>
        <w:spacing w:before="10" w:line="300" w:lineRule="auto"/>
        <w:ind w:left="924" w:leftChars="420" w:firstLine="4" w:firstLineChars="2"/>
        <w:jc w:val="both"/>
        <w:rPr>
          <w:rFonts w:ascii="Arial" w:hAnsi="Arial" w:eastAsia="宋体" w:cs="Arial"/>
          <w:sz w:val="21"/>
          <w:szCs w:val="21"/>
          <w:lang w:eastAsia="zh-CN"/>
        </w:rPr>
      </w:pPr>
    </w:p>
    <w:p w14:paraId="3DBBAB3B">
      <w:pPr>
        <w:pStyle w:val="3"/>
        <w:tabs>
          <w:tab w:val="left" w:pos="5628"/>
        </w:tabs>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有点燃易燃附件或设备风险的高氧浓度地方（支气管镜，手术铺巾吸收性包装等）；</w:t>
      </w:r>
    </w:p>
    <w:p w14:paraId="7F97D33F">
      <w:pPr>
        <w:snapToGrid w:val="0"/>
        <w:spacing w:before="6" w:line="300" w:lineRule="auto"/>
        <w:ind w:left="924" w:leftChars="420" w:firstLine="4" w:firstLineChars="2"/>
        <w:jc w:val="both"/>
        <w:rPr>
          <w:rFonts w:ascii="Arial" w:hAnsi="Arial" w:eastAsia="宋体" w:cs="Arial"/>
          <w:sz w:val="21"/>
          <w:szCs w:val="21"/>
          <w:lang w:eastAsia="zh-CN"/>
        </w:rPr>
      </w:pPr>
    </w:p>
    <w:p w14:paraId="04801257">
      <w:pPr>
        <w:pStyle w:val="3"/>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气体栓塞（特别重要，已有记录或极有可能）；</w:t>
      </w:r>
    </w:p>
    <w:p w14:paraId="5AC5B347">
      <w:pPr>
        <w:pStyle w:val="3"/>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手术延长时电解质失衡以及液体膨胀；</w:t>
      </w:r>
    </w:p>
    <w:p w14:paraId="5E9A01AF">
      <w:pPr>
        <w:pStyle w:val="3"/>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手术期间杂散辐射或反射激光束/能量；</w:t>
      </w:r>
    </w:p>
    <w:p w14:paraId="34C71669">
      <w:pPr>
        <w:pStyle w:val="3"/>
        <w:tabs>
          <w:tab w:val="left" w:pos="7401"/>
        </w:tabs>
        <w:snapToGrid w:val="0"/>
        <w:spacing w:before="7"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如果在手术期间受到杂散或散射的激光辐照的影响，对可能会受到不良反应的组织或器官的风险；以及</w:t>
      </w:r>
    </w:p>
    <w:p w14:paraId="5D44772A">
      <w:pPr>
        <w:snapToGrid w:val="0"/>
        <w:spacing w:before="6" w:line="300" w:lineRule="auto"/>
        <w:ind w:left="924" w:leftChars="420" w:firstLine="4" w:firstLineChars="2"/>
        <w:jc w:val="both"/>
        <w:rPr>
          <w:rFonts w:ascii="Arial" w:hAnsi="Arial" w:eastAsia="宋体" w:cs="Arial"/>
          <w:sz w:val="21"/>
          <w:szCs w:val="21"/>
          <w:lang w:eastAsia="zh-CN"/>
        </w:rPr>
      </w:pPr>
    </w:p>
    <w:p w14:paraId="57C2EDAA">
      <w:pPr>
        <w:pStyle w:val="3"/>
        <w:snapToGrid w:val="0"/>
        <w:spacing w:line="300" w:lineRule="auto"/>
        <w:ind w:left="924" w:leftChars="420" w:firstLine="4" w:firstLineChars="2"/>
        <w:jc w:val="both"/>
        <w:rPr>
          <w:rFonts w:ascii="Arial" w:hAnsi="Arial" w:eastAsia="宋体" w:cs="Arial"/>
          <w:sz w:val="21"/>
          <w:szCs w:val="21"/>
          <w:lang w:eastAsia="zh-CN"/>
        </w:rPr>
      </w:pPr>
      <w:r>
        <w:rPr>
          <w:rFonts w:ascii="Arial" w:hAnsi="Arial" w:eastAsia="宋体" w:cs="Arial"/>
          <w:sz w:val="21"/>
          <w:szCs w:val="21"/>
          <w:lang w:eastAsia="zh-CN"/>
        </w:rPr>
        <w:t>患者相关问题和应该采取以保护患者免受杂散激光辐射的措施。</w:t>
      </w:r>
    </w:p>
    <w:p w14:paraId="58FB466C">
      <w:pPr>
        <w:snapToGrid w:val="0"/>
        <w:spacing w:before="6" w:line="300" w:lineRule="auto"/>
        <w:jc w:val="both"/>
        <w:rPr>
          <w:rFonts w:ascii="Arial" w:hAnsi="Arial" w:eastAsia="宋体" w:cs="Arial"/>
          <w:sz w:val="21"/>
          <w:szCs w:val="21"/>
          <w:lang w:eastAsia="zh-CN"/>
        </w:rPr>
      </w:pPr>
    </w:p>
    <w:p w14:paraId="3A2AF6F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不良反应</w:t>
      </w:r>
    </w:p>
    <w:p w14:paraId="6B9B0E59">
      <w:pPr>
        <w:snapToGrid w:val="0"/>
        <w:spacing w:before="10" w:line="300" w:lineRule="auto"/>
        <w:jc w:val="both"/>
        <w:rPr>
          <w:rFonts w:ascii="Arial" w:hAnsi="Arial" w:eastAsia="宋体" w:cs="Arial"/>
          <w:sz w:val="21"/>
          <w:szCs w:val="21"/>
          <w:lang w:eastAsia="zh-CN"/>
        </w:rPr>
      </w:pPr>
    </w:p>
    <w:p w14:paraId="36F893A9">
      <w:pPr>
        <w:pStyle w:val="3"/>
        <w:snapToGrid w:val="0"/>
        <w:spacing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列出所有影响。</w:t>
      </w:r>
    </w:p>
    <w:p w14:paraId="60383014">
      <w:pPr>
        <w:snapToGrid w:val="0"/>
        <w:spacing w:before="10" w:line="300" w:lineRule="auto"/>
        <w:jc w:val="both"/>
        <w:rPr>
          <w:rFonts w:ascii="Arial" w:hAnsi="Arial" w:eastAsia="宋体" w:cs="Arial"/>
          <w:sz w:val="21"/>
          <w:szCs w:val="21"/>
          <w:lang w:eastAsia="zh-CN"/>
        </w:rPr>
      </w:pPr>
    </w:p>
    <w:p w14:paraId="58425007">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使用说明或特殊说明</w:t>
      </w:r>
    </w:p>
    <w:p w14:paraId="15A97F36">
      <w:pPr>
        <w:snapToGrid w:val="0"/>
        <w:spacing w:before="6" w:line="300" w:lineRule="auto"/>
        <w:jc w:val="both"/>
        <w:rPr>
          <w:rFonts w:ascii="Arial" w:hAnsi="Arial" w:eastAsia="宋体" w:cs="Arial"/>
          <w:sz w:val="21"/>
          <w:szCs w:val="21"/>
          <w:lang w:eastAsia="zh-CN"/>
        </w:rPr>
      </w:pPr>
    </w:p>
    <w:p w14:paraId="5B2A06F1">
      <w:pPr>
        <w:pStyle w:val="3"/>
        <w:snapToGrid w:val="0"/>
        <w:spacing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说明可能包括外科医生以更低能量开始，更短的脉冲串，并根据需要逐渐增加的建议。</w:t>
      </w:r>
    </w:p>
    <w:p w14:paraId="6F3B38EF">
      <w:pPr>
        <w:snapToGrid w:val="0"/>
        <w:spacing w:before="6" w:line="300" w:lineRule="auto"/>
        <w:jc w:val="both"/>
        <w:rPr>
          <w:rFonts w:ascii="Arial" w:hAnsi="Arial" w:eastAsia="宋体" w:cs="Arial"/>
          <w:sz w:val="21"/>
          <w:szCs w:val="21"/>
          <w:lang w:eastAsia="zh-CN"/>
        </w:rPr>
      </w:pPr>
    </w:p>
    <w:p w14:paraId="48F89F3C">
      <w:pPr>
        <w:pStyle w:val="3"/>
        <w:snapToGrid w:val="0"/>
        <w:spacing w:line="300" w:lineRule="auto"/>
        <w:ind w:left="405" w:leftChars="184" w:firstLine="12" w:firstLineChars="6"/>
        <w:jc w:val="both"/>
        <w:rPr>
          <w:rFonts w:ascii="Arial" w:hAnsi="Arial" w:eastAsia="宋体" w:cs="Arial"/>
          <w:sz w:val="21"/>
          <w:szCs w:val="21"/>
          <w:lang w:eastAsia="zh-CN"/>
        </w:rPr>
      </w:pPr>
      <w:r>
        <w:rPr>
          <w:rFonts w:ascii="Arial" w:hAnsi="Arial" w:eastAsia="宋体" w:cs="Arial"/>
          <w:sz w:val="21"/>
          <w:szCs w:val="21"/>
          <w:lang w:eastAsia="zh-CN"/>
        </w:rPr>
        <w:t>对于具有特定适应症的激光器，可能需要提供关于用于预期用途的功率设置的一般信息。这些可以在标签的后续部分中以不同的形式提供。</w:t>
      </w:r>
    </w:p>
    <w:p w14:paraId="23D3BEAA">
      <w:pPr>
        <w:snapToGrid w:val="0"/>
        <w:spacing w:before="6" w:line="300" w:lineRule="auto"/>
        <w:jc w:val="both"/>
        <w:rPr>
          <w:rFonts w:ascii="Arial" w:hAnsi="Arial" w:eastAsia="宋体" w:cs="Arial"/>
          <w:sz w:val="21"/>
          <w:szCs w:val="21"/>
          <w:lang w:eastAsia="zh-CN"/>
        </w:rPr>
      </w:pPr>
    </w:p>
    <w:p w14:paraId="79CB05C3">
      <w:pPr>
        <w:pStyle w:val="3"/>
        <w:snapToGrid w:val="0"/>
        <w:spacing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其可能被引导至特定设备、尖端/手术刀、附件/辅助部件等。</w:t>
      </w:r>
    </w:p>
    <w:p w14:paraId="2267CBE7">
      <w:pPr>
        <w:pStyle w:val="3"/>
        <w:snapToGrid w:val="0"/>
        <w:spacing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示例：</w:t>
      </w:r>
    </w:p>
    <w:p w14:paraId="1E4D826D">
      <w:pPr>
        <w:pStyle w:val="3"/>
        <w:snapToGrid w:val="0"/>
        <w:spacing w:line="300" w:lineRule="auto"/>
        <w:ind w:left="0" w:firstLine="978" w:firstLineChars="466"/>
        <w:jc w:val="both"/>
        <w:rPr>
          <w:rFonts w:ascii="Arial" w:hAnsi="Arial" w:eastAsia="宋体" w:cs="Arial"/>
          <w:sz w:val="21"/>
          <w:szCs w:val="21"/>
          <w:lang w:eastAsia="zh-CN"/>
        </w:rPr>
      </w:pPr>
      <w:r>
        <w:rPr>
          <w:rFonts w:ascii="Arial" w:hAnsi="Arial" w:eastAsia="宋体" w:cs="Arial"/>
          <w:sz w:val="21"/>
          <w:szCs w:val="21"/>
          <w:lang w:eastAsia="zh-CN"/>
        </w:rPr>
        <w:t>内镜/宫腔镜/腹腔镜</w:t>
      </w:r>
    </w:p>
    <w:p w14:paraId="722D405C">
      <w:pPr>
        <w:pStyle w:val="3"/>
        <w:snapToGrid w:val="0"/>
        <w:spacing w:line="300" w:lineRule="auto"/>
        <w:ind w:left="0" w:firstLine="978" w:firstLineChars="466"/>
        <w:jc w:val="both"/>
        <w:rPr>
          <w:rFonts w:ascii="Arial" w:hAnsi="Arial" w:eastAsia="宋体" w:cs="Arial"/>
          <w:sz w:val="21"/>
          <w:szCs w:val="21"/>
          <w:lang w:eastAsia="zh-CN"/>
        </w:rPr>
      </w:pPr>
      <w:r>
        <w:rPr>
          <w:rFonts w:ascii="Arial" w:hAnsi="Arial" w:eastAsia="宋体" w:cs="Arial"/>
          <w:sz w:val="21"/>
          <w:szCs w:val="21"/>
          <w:lang w:eastAsia="zh-CN"/>
        </w:rPr>
        <w:t>裂隙灯</w:t>
      </w:r>
    </w:p>
    <w:p w14:paraId="7DFD95D6">
      <w:pPr>
        <w:pStyle w:val="3"/>
        <w:snapToGrid w:val="0"/>
        <w:spacing w:line="300" w:lineRule="auto"/>
        <w:ind w:left="0" w:firstLine="978" w:firstLineChars="466"/>
        <w:jc w:val="both"/>
        <w:rPr>
          <w:rFonts w:ascii="Arial" w:hAnsi="Arial" w:eastAsia="宋体" w:cs="Arial"/>
          <w:sz w:val="21"/>
          <w:szCs w:val="21"/>
          <w:lang w:eastAsia="zh-CN"/>
        </w:rPr>
      </w:pPr>
      <w:r>
        <w:rPr>
          <w:rFonts w:ascii="Arial" w:hAnsi="Arial" w:eastAsia="宋体" w:cs="Arial"/>
          <w:sz w:val="21"/>
          <w:szCs w:val="21"/>
          <w:lang w:eastAsia="zh-CN"/>
        </w:rPr>
        <w:t>光纤（接触与非接触）弯曲半径，处理，灭菌，最大功率</w:t>
      </w:r>
    </w:p>
    <w:p w14:paraId="1B506CB0">
      <w:pPr>
        <w:pStyle w:val="3"/>
        <w:snapToGrid w:val="0"/>
        <w:spacing w:line="300" w:lineRule="auto"/>
        <w:ind w:left="0" w:firstLine="978" w:firstLineChars="466"/>
        <w:jc w:val="both"/>
        <w:rPr>
          <w:rFonts w:ascii="Arial" w:hAnsi="Arial" w:eastAsia="宋体" w:cs="Arial"/>
          <w:sz w:val="21"/>
          <w:szCs w:val="21"/>
          <w:lang w:eastAsia="zh-CN"/>
        </w:rPr>
      </w:pPr>
      <w:r>
        <w:rPr>
          <w:rFonts w:ascii="Arial" w:hAnsi="Arial" w:eastAsia="宋体" w:cs="Arial"/>
          <w:sz w:val="21"/>
          <w:szCs w:val="21"/>
          <w:lang w:eastAsia="zh-CN"/>
        </w:rPr>
        <w:t>波导</w:t>
      </w:r>
    </w:p>
    <w:p w14:paraId="6A5B31AB">
      <w:pPr>
        <w:pStyle w:val="3"/>
        <w:snapToGrid w:val="0"/>
        <w:spacing w:line="300" w:lineRule="auto"/>
        <w:ind w:left="0" w:firstLine="978" w:firstLineChars="466"/>
        <w:jc w:val="both"/>
        <w:rPr>
          <w:rFonts w:ascii="Arial" w:hAnsi="Arial" w:eastAsia="宋体" w:cs="Arial"/>
          <w:sz w:val="21"/>
          <w:szCs w:val="21"/>
          <w:lang w:eastAsia="zh-CN"/>
        </w:rPr>
      </w:pPr>
      <w:r>
        <w:rPr>
          <w:rFonts w:ascii="Arial" w:hAnsi="Arial" w:eastAsia="宋体" w:cs="Arial"/>
          <w:sz w:val="21"/>
          <w:szCs w:val="21"/>
          <w:lang w:eastAsia="zh-CN"/>
        </w:rPr>
        <w:t>其他（例如，使用尖端或其他附件是否会影响可使用的最大激光功率设置）</w:t>
      </w:r>
    </w:p>
    <w:p w14:paraId="51D7A297">
      <w:pPr>
        <w:snapToGrid w:val="0"/>
        <w:spacing w:before="6" w:line="300" w:lineRule="auto"/>
        <w:jc w:val="both"/>
        <w:rPr>
          <w:rFonts w:ascii="Arial" w:hAnsi="Arial" w:eastAsia="宋体" w:cs="Arial"/>
          <w:sz w:val="21"/>
          <w:szCs w:val="21"/>
          <w:lang w:eastAsia="zh-CN"/>
        </w:rPr>
      </w:pPr>
    </w:p>
    <w:p w14:paraId="4DA7A634">
      <w:pPr>
        <w:rPr>
          <w:rFonts w:ascii="Arial" w:hAnsi="Arial" w:eastAsia="宋体" w:cs="Arial"/>
          <w:sz w:val="21"/>
          <w:szCs w:val="21"/>
          <w:lang w:eastAsia="zh-CN"/>
        </w:rPr>
      </w:pPr>
      <w:r>
        <w:rPr>
          <w:rFonts w:ascii="Arial" w:hAnsi="Arial" w:eastAsia="宋体" w:cs="Arial"/>
          <w:sz w:val="21"/>
          <w:szCs w:val="21"/>
          <w:lang w:eastAsia="zh-CN"/>
        </w:rPr>
        <w:br w:type="page"/>
      </w:r>
    </w:p>
    <w:p w14:paraId="3D3C03DE">
      <w:pPr>
        <w:pStyle w:val="3"/>
        <w:snapToGrid w:val="0"/>
        <w:spacing w:before="73"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校准程序</w:t>
      </w:r>
    </w:p>
    <w:p w14:paraId="01414A0F">
      <w:pPr>
        <w:snapToGrid w:val="0"/>
        <w:spacing w:before="10" w:line="300" w:lineRule="auto"/>
        <w:jc w:val="both"/>
        <w:rPr>
          <w:rFonts w:ascii="Arial" w:hAnsi="Arial" w:eastAsia="宋体" w:cs="Arial"/>
          <w:sz w:val="21"/>
          <w:szCs w:val="21"/>
          <w:lang w:eastAsia="zh-CN"/>
        </w:rPr>
      </w:pPr>
    </w:p>
    <w:p w14:paraId="54E80F39">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特殊特性或使用说明</w:t>
      </w:r>
    </w:p>
    <w:p w14:paraId="5EFBF499">
      <w:pPr>
        <w:snapToGrid w:val="0"/>
        <w:spacing w:before="10" w:line="300" w:lineRule="auto"/>
        <w:jc w:val="both"/>
        <w:rPr>
          <w:rFonts w:ascii="Arial" w:hAnsi="Arial" w:eastAsia="宋体" w:cs="Arial"/>
          <w:sz w:val="21"/>
          <w:szCs w:val="21"/>
          <w:lang w:eastAsia="zh-CN"/>
        </w:rPr>
      </w:pPr>
    </w:p>
    <w:p w14:paraId="58539803">
      <w:pPr>
        <w:pStyle w:val="3"/>
        <w:snapToGrid w:val="0"/>
        <w:spacing w:line="300" w:lineRule="auto"/>
        <w:ind w:left="406" w:leftChars="184" w:hanging="1"/>
        <w:jc w:val="both"/>
        <w:rPr>
          <w:rFonts w:ascii="Arial" w:hAnsi="Arial" w:eastAsia="宋体" w:cs="Arial"/>
          <w:sz w:val="21"/>
          <w:szCs w:val="21"/>
          <w:lang w:eastAsia="zh-CN"/>
        </w:rPr>
      </w:pPr>
      <w:r>
        <w:rPr>
          <w:rFonts w:ascii="Arial" w:hAnsi="Arial" w:eastAsia="宋体" w:cs="Arial"/>
          <w:sz w:val="21"/>
          <w:szCs w:val="21"/>
          <w:lang w:eastAsia="zh-CN"/>
        </w:rPr>
        <w:t>这可以包括通常使用的关于常用能量范围、脉冲持续时间或脉冲数等的信息。根据预期用途，这些可能是特定程序或外科专业，并可用于非接触（自由光束）或尖端/手术刀。</w:t>
      </w:r>
    </w:p>
    <w:p w14:paraId="46D58823">
      <w:pPr>
        <w:pStyle w:val="3"/>
        <w:snapToGrid w:val="0"/>
        <w:spacing w:line="300" w:lineRule="auto"/>
        <w:ind w:left="406" w:leftChars="184" w:hanging="1"/>
        <w:jc w:val="both"/>
        <w:rPr>
          <w:rFonts w:ascii="Arial" w:hAnsi="Arial" w:eastAsia="宋体" w:cs="Arial"/>
          <w:sz w:val="21"/>
          <w:szCs w:val="21"/>
          <w:lang w:eastAsia="zh-CN"/>
        </w:rPr>
      </w:pPr>
    </w:p>
    <w:p w14:paraId="54AE2194">
      <w:pPr>
        <w:pStyle w:val="3"/>
        <w:snapToGrid w:val="0"/>
        <w:spacing w:line="300" w:lineRule="auto"/>
        <w:ind w:left="406" w:leftChars="184" w:hanging="1"/>
        <w:jc w:val="both"/>
        <w:rPr>
          <w:rFonts w:ascii="Arial" w:hAnsi="Arial" w:eastAsia="宋体" w:cs="Arial"/>
          <w:sz w:val="21"/>
          <w:szCs w:val="21"/>
          <w:lang w:eastAsia="zh-CN"/>
        </w:rPr>
      </w:pPr>
      <w:r>
        <w:rPr>
          <w:rFonts w:ascii="Arial" w:hAnsi="Arial" w:eastAsia="宋体" w:cs="Arial"/>
          <w:sz w:val="21"/>
          <w:szCs w:val="21"/>
          <w:lang w:eastAsia="zh-CN"/>
        </w:rPr>
        <w:t>与激光系统分开销售的配件和附件没有标明特定适应症。相反，标签应指明用户使用系统手册来获取特定说明。请参见附件/组件。</w:t>
      </w:r>
    </w:p>
    <w:p w14:paraId="059160B6">
      <w:pPr>
        <w:snapToGrid w:val="0"/>
        <w:spacing w:before="6" w:line="300" w:lineRule="auto"/>
        <w:jc w:val="both"/>
        <w:rPr>
          <w:rFonts w:ascii="Arial" w:hAnsi="Arial" w:eastAsia="宋体" w:cs="Arial"/>
          <w:sz w:val="21"/>
          <w:szCs w:val="21"/>
          <w:lang w:eastAsia="zh-CN"/>
        </w:rPr>
      </w:pPr>
    </w:p>
    <w:p w14:paraId="6ADC583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参考书目</w:t>
      </w:r>
    </w:p>
    <w:p w14:paraId="50AC76A1">
      <w:pPr>
        <w:snapToGrid w:val="0"/>
        <w:spacing w:before="10" w:line="300" w:lineRule="auto"/>
        <w:jc w:val="both"/>
        <w:rPr>
          <w:rFonts w:ascii="Arial" w:hAnsi="Arial" w:eastAsia="宋体" w:cs="Arial"/>
          <w:sz w:val="21"/>
          <w:szCs w:val="21"/>
          <w:lang w:eastAsia="zh-CN"/>
        </w:rPr>
      </w:pPr>
    </w:p>
    <w:p w14:paraId="07F2C13A">
      <w:pPr>
        <w:pStyle w:val="3"/>
        <w:snapToGrid w:val="0"/>
        <w:spacing w:line="300" w:lineRule="auto"/>
        <w:ind w:left="406" w:leftChars="184" w:hanging="1"/>
        <w:jc w:val="both"/>
        <w:rPr>
          <w:rFonts w:ascii="Arial" w:hAnsi="Arial" w:eastAsia="宋体" w:cs="Arial"/>
          <w:sz w:val="21"/>
          <w:szCs w:val="21"/>
          <w:lang w:eastAsia="zh-CN"/>
        </w:rPr>
      </w:pPr>
      <w:r>
        <w:rPr>
          <w:rFonts w:ascii="Arial" w:hAnsi="Arial" w:eastAsia="宋体" w:cs="Arial"/>
          <w:sz w:val="21"/>
          <w:szCs w:val="21"/>
          <w:lang w:eastAsia="zh-CN"/>
        </w:rPr>
        <w:t>如果仅将一个文件（普通标签格式）用于激光器，则可以由外科专业组织。</w:t>
      </w:r>
    </w:p>
    <w:p w14:paraId="22751DCE">
      <w:pPr>
        <w:snapToGrid w:val="0"/>
        <w:spacing w:before="6" w:line="300" w:lineRule="auto"/>
        <w:jc w:val="both"/>
        <w:rPr>
          <w:rFonts w:ascii="Arial" w:hAnsi="Arial" w:eastAsia="宋体" w:cs="Arial"/>
          <w:sz w:val="21"/>
          <w:szCs w:val="21"/>
          <w:lang w:eastAsia="zh-CN"/>
        </w:rPr>
      </w:pPr>
    </w:p>
    <w:p w14:paraId="1CC0C393">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其他</w:t>
      </w:r>
    </w:p>
    <w:p w14:paraId="1532736E">
      <w:pPr>
        <w:snapToGrid w:val="0"/>
        <w:spacing w:before="10" w:line="300" w:lineRule="auto"/>
        <w:jc w:val="both"/>
        <w:rPr>
          <w:rFonts w:ascii="Arial" w:hAnsi="Arial" w:eastAsia="宋体" w:cs="Arial"/>
          <w:sz w:val="21"/>
          <w:szCs w:val="21"/>
          <w:lang w:eastAsia="zh-CN"/>
        </w:rPr>
      </w:pPr>
    </w:p>
    <w:p w14:paraId="0337CB3F">
      <w:pPr>
        <w:pStyle w:val="3"/>
        <w:snapToGrid w:val="0"/>
        <w:spacing w:line="300" w:lineRule="auto"/>
        <w:ind w:left="406" w:leftChars="184" w:hanging="1"/>
        <w:jc w:val="both"/>
        <w:rPr>
          <w:rFonts w:ascii="Arial" w:hAnsi="Arial" w:eastAsia="宋体" w:cs="Arial"/>
          <w:sz w:val="21"/>
          <w:szCs w:val="21"/>
          <w:lang w:eastAsia="zh-CN"/>
        </w:rPr>
      </w:pPr>
      <w:r>
        <w:rPr>
          <w:rFonts w:ascii="Arial" w:hAnsi="Arial" w:eastAsia="宋体" w:cs="Arial"/>
          <w:sz w:val="21"/>
          <w:szCs w:val="21"/>
          <w:lang w:eastAsia="zh-CN"/>
        </w:rPr>
        <w:t>视情况而定</w:t>
      </w:r>
    </w:p>
    <w:p w14:paraId="2FA8CB64">
      <w:pPr>
        <w:snapToGrid w:val="0"/>
        <w:spacing w:before="4" w:line="300" w:lineRule="auto"/>
        <w:jc w:val="both"/>
        <w:rPr>
          <w:rFonts w:ascii="Arial" w:hAnsi="Arial" w:eastAsia="宋体" w:cs="Arial"/>
          <w:sz w:val="21"/>
          <w:szCs w:val="21"/>
          <w:lang w:eastAsia="zh-CN"/>
        </w:rPr>
      </w:pPr>
    </w:p>
    <w:p w14:paraId="5304556C">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修订日期：</w:t>
      </w:r>
    </w:p>
    <w:p w14:paraId="7EBEDB7E">
      <w:pPr>
        <w:snapToGrid w:val="0"/>
        <w:spacing w:before="4" w:line="300" w:lineRule="auto"/>
        <w:jc w:val="both"/>
        <w:rPr>
          <w:rFonts w:ascii="Arial" w:hAnsi="Arial" w:eastAsia="宋体" w:cs="Arial"/>
          <w:sz w:val="21"/>
          <w:szCs w:val="21"/>
          <w:lang w:eastAsia="zh-CN"/>
        </w:rPr>
      </w:pPr>
    </w:p>
    <w:p w14:paraId="5B2334CA">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u w:val="single" w:color="000000"/>
          <w:lang w:eastAsia="zh-CN"/>
        </w:rPr>
        <w:t>附件标签示例</w:t>
      </w:r>
    </w:p>
    <w:p w14:paraId="41316244">
      <w:pPr>
        <w:snapToGrid w:val="0"/>
        <w:spacing w:before="6" w:line="300" w:lineRule="auto"/>
        <w:jc w:val="both"/>
        <w:rPr>
          <w:rFonts w:ascii="Arial" w:hAnsi="Arial" w:eastAsia="宋体" w:cs="Arial"/>
          <w:sz w:val="21"/>
          <w:szCs w:val="21"/>
          <w:lang w:eastAsia="zh-CN"/>
        </w:rPr>
      </w:pPr>
    </w:p>
    <w:p w14:paraId="05EBA0EA">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以下指南可能有助于审查原始供应商或其他供应商的组件或附件的标签：</w:t>
      </w:r>
    </w:p>
    <w:p w14:paraId="458CE9CD">
      <w:pPr>
        <w:pStyle w:val="3"/>
        <w:snapToGrid w:val="0"/>
        <w:spacing w:line="300" w:lineRule="auto"/>
        <w:ind w:left="0"/>
        <w:jc w:val="both"/>
        <w:rPr>
          <w:rFonts w:ascii="Arial" w:hAnsi="Arial" w:eastAsia="宋体" w:cs="Arial"/>
          <w:sz w:val="21"/>
          <w:szCs w:val="21"/>
          <w:lang w:eastAsia="zh-CN"/>
        </w:rPr>
      </w:pPr>
    </w:p>
    <w:p w14:paraId="26C7EDF6">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型号</w:t>
      </w:r>
    </w:p>
    <w:p w14:paraId="260066C7">
      <w:pPr>
        <w:pStyle w:val="3"/>
        <w:snapToGrid w:val="0"/>
        <w:spacing w:line="300" w:lineRule="auto"/>
        <w:ind w:left="0"/>
        <w:jc w:val="both"/>
        <w:rPr>
          <w:rFonts w:ascii="Arial" w:hAnsi="Arial" w:eastAsia="宋体" w:cs="Arial"/>
          <w:sz w:val="21"/>
          <w:szCs w:val="21"/>
          <w:lang w:eastAsia="zh-CN"/>
        </w:rPr>
      </w:pPr>
    </w:p>
    <w:p w14:paraId="1B5A44E4">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物理规格（所选示例–未详尽）</w:t>
      </w:r>
    </w:p>
    <w:p w14:paraId="736BD04C">
      <w:pPr>
        <w:snapToGrid w:val="0"/>
        <w:spacing w:before="11" w:line="300" w:lineRule="auto"/>
        <w:jc w:val="both"/>
        <w:rPr>
          <w:rFonts w:ascii="Arial" w:hAnsi="Arial" w:eastAsia="宋体" w:cs="Arial"/>
          <w:sz w:val="21"/>
          <w:szCs w:val="21"/>
          <w:lang w:eastAsia="zh-CN"/>
        </w:rPr>
      </w:pPr>
    </w:p>
    <w:p w14:paraId="290A7A29">
      <w:pPr>
        <w:pStyle w:val="3"/>
        <w:snapToGrid w:val="0"/>
        <w:spacing w:before="7"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光纤：长度、直径。材料，特定波长的传输、发散角、最大功率传输等。</w:t>
      </w:r>
    </w:p>
    <w:p w14:paraId="2B67D41D">
      <w:pPr>
        <w:pStyle w:val="3"/>
        <w:snapToGrid w:val="0"/>
        <w:spacing w:before="7"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尖端/手术刀：材料、尺寸、最高工作温度、形状图等。</w:t>
      </w:r>
    </w:p>
    <w:p w14:paraId="3FE8C791">
      <w:pPr>
        <w:pStyle w:val="3"/>
        <w:snapToGrid w:val="0"/>
        <w:spacing w:before="7"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所需耦合器：耦合到激光源或连接尖端/手术刀</w:t>
      </w:r>
    </w:p>
    <w:p w14:paraId="5D23E115">
      <w:pPr>
        <w:pStyle w:val="3"/>
        <w:snapToGrid w:val="0"/>
        <w:spacing w:before="7" w:line="300" w:lineRule="auto"/>
        <w:ind w:left="0" w:firstLine="420" w:firstLineChars="200"/>
        <w:jc w:val="both"/>
        <w:rPr>
          <w:rFonts w:ascii="Arial" w:hAnsi="Arial" w:eastAsia="宋体" w:cs="Arial"/>
          <w:sz w:val="21"/>
          <w:szCs w:val="21"/>
          <w:lang w:eastAsia="zh-CN"/>
        </w:rPr>
      </w:pPr>
      <w:r>
        <w:rPr>
          <w:rFonts w:ascii="Arial" w:hAnsi="Arial" w:eastAsia="宋体" w:cs="Arial"/>
          <w:sz w:val="21"/>
          <w:szCs w:val="21"/>
          <w:lang w:eastAsia="zh-CN"/>
        </w:rPr>
        <w:t>硬件/软件兼容性信息</w:t>
      </w:r>
    </w:p>
    <w:p w14:paraId="3BD111EC">
      <w:pPr>
        <w:snapToGrid w:val="0"/>
        <w:spacing w:before="10" w:line="300" w:lineRule="auto"/>
        <w:jc w:val="both"/>
        <w:rPr>
          <w:rFonts w:ascii="Arial" w:hAnsi="Arial" w:eastAsia="宋体" w:cs="Arial"/>
          <w:sz w:val="21"/>
          <w:szCs w:val="21"/>
          <w:lang w:eastAsia="zh-CN"/>
        </w:rPr>
      </w:pPr>
    </w:p>
    <w:p w14:paraId="44A3C367">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关于组件或附件相容的激光器的型号或一般描述性声明。有关附件或组件不相容的激光器或系统的具体信息。</w:t>
      </w:r>
    </w:p>
    <w:p w14:paraId="1DBE8320">
      <w:pPr>
        <w:snapToGrid w:val="0"/>
        <w:spacing w:line="300" w:lineRule="auto"/>
        <w:jc w:val="both"/>
        <w:rPr>
          <w:rFonts w:ascii="Arial" w:hAnsi="Arial" w:eastAsia="宋体" w:cs="Arial"/>
          <w:sz w:val="21"/>
          <w:szCs w:val="21"/>
          <w:lang w:eastAsia="zh-CN"/>
        </w:rPr>
      </w:pPr>
    </w:p>
    <w:p w14:paraId="156B7284">
      <w:pPr>
        <w:snapToGrid w:val="0"/>
        <w:spacing w:line="300" w:lineRule="auto"/>
        <w:jc w:val="both"/>
        <w:rPr>
          <w:rFonts w:ascii="Arial" w:hAnsi="Arial" w:eastAsia="宋体" w:cs="Arial"/>
          <w:sz w:val="21"/>
          <w:szCs w:val="21"/>
          <w:lang w:eastAsia="zh-CN"/>
        </w:rPr>
      </w:pPr>
    </w:p>
    <w:p w14:paraId="55B25370">
      <w:pPr>
        <w:snapToGrid w:val="0"/>
        <w:spacing w:before="1" w:line="300" w:lineRule="auto"/>
        <w:jc w:val="both"/>
        <w:rPr>
          <w:rFonts w:ascii="Arial" w:hAnsi="Arial" w:eastAsia="宋体" w:cs="Arial"/>
          <w:sz w:val="21"/>
          <w:szCs w:val="21"/>
          <w:lang w:eastAsia="zh-CN"/>
        </w:rPr>
      </w:pPr>
    </w:p>
    <w:p w14:paraId="6D981E65">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修订日期</w:t>
      </w:r>
    </w:p>
    <w:p w14:paraId="713B942B">
      <w:pPr>
        <w:rPr>
          <w:rFonts w:ascii="Arial" w:hAnsi="Arial" w:eastAsia="宋体" w:cs="Arial"/>
          <w:sz w:val="21"/>
          <w:szCs w:val="21"/>
          <w:lang w:eastAsia="zh-CN"/>
        </w:rPr>
      </w:pPr>
      <w:r>
        <w:rPr>
          <w:rFonts w:ascii="Arial" w:hAnsi="Arial" w:eastAsia="宋体" w:cs="Arial"/>
          <w:sz w:val="21"/>
          <w:szCs w:val="21"/>
          <w:lang w:eastAsia="zh-CN"/>
        </w:rPr>
        <w:br w:type="page"/>
      </w:r>
    </w:p>
    <w:p w14:paraId="6A7C63BF">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pacing w:val="-7"/>
          <w:sz w:val="21"/>
          <w:szCs w:val="21"/>
          <w:lang w:eastAsia="zh-CN"/>
        </w:rPr>
        <w:t xml:space="preserve">附件 </w:t>
      </w:r>
      <w:r>
        <w:rPr>
          <w:rFonts w:ascii="Arial" w:hAnsi="Arial" w:eastAsia="宋体" w:cs="Arial"/>
          <w:sz w:val="21"/>
          <w:szCs w:val="21"/>
          <w:lang w:eastAsia="zh-CN"/>
        </w:rPr>
        <w:t>C</w:t>
      </w:r>
    </w:p>
    <w:p w14:paraId="703CC5EC">
      <w:pPr>
        <w:snapToGrid w:val="0"/>
        <w:spacing w:before="10" w:line="300" w:lineRule="auto"/>
        <w:jc w:val="center"/>
        <w:rPr>
          <w:rFonts w:ascii="Arial" w:hAnsi="Arial" w:eastAsia="宋体" w:cs="Arial"/>
          <w:sz w:val="21"/>
          <w:szCs w:val="21"/>
          <w:lang w:eastAsia="zh-CN"/>
        </w:rPr>
      </w:pPr>
    </w:p>
    <w:p w14:paraId="0A1B0903">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用于确定激光器实质等同性的规格示例</w:t>
      </w:r>
    </w:p>
    <w:p w14:paraId="0D3D3A58">
      <w:pPr>
        <w:snapToGrid w:val="0"/>
        <w:spacing w:line="300" w:lineRule="auto"/>
        <w:jc w:val="both"/>
        <w:rPr>
          <w:rFonts w:ascii="Arial" w:hAnsi="Arial" w:eastAsia="宋体" w:cs="Arial"/>
          <w:sz w:val="21"/>
          <w:szCs w:val="21"/>
          <w:lang w:eastAsia="zh-CN"/>
        </w:rPr>
      </w:pPr>
    </w:p>
    <w:p w14:paraId="05173B35">
      <w:pPr>
        <w:snapToGrid w:val="0"/>
        <w:spacing w:before="11" w:line="300" w:lineRule="auto"/>
        <w:jc w:val="both"/>
        <w:rPr>
          <w:rFonts w:ascii="Arial" w:hAnsi="Arial" w:eastAsia="宋体" w:cs="Arial"/>
          <w:sz w:val="21"/>
          <w:szCs w:val="21"/>
          <w:lang w:eastAsia="zh-CN"/>
        </w:rPr>
      </w:pPr>
    </w:p>
    <w:p w14:paraId="5A7A42EB">
      <w:pPr>
        <w:pStyle w:val="3"/>
        <w:snapToGrid w:val="0"/>
        <w:spacing w:line="300" w:lineRule="auto"/>
        <w:ind w:left="0"/>
        <w:jc w:val="both"/>
        <w:rPr>
          <w:rFonts w:ascii="Arial" w:hAnsi="Arial" w:eastAsia="宋体" w:cs="Arial"/>
          <w:sz w:val="21"/>
          <w:szCs w:val="21"/>
        </w:rPr>
      </w:pPr>
      <w:r>
        <w:rPr>
          <w:rFonts w:ascii="Arial" w:hAnsi="Arial" w:eastAsia="宋体" w:cs="Arial"/>
          <w:sz w:val="21"/>
          <w:szCs w:val="21"/>
          <w:lang w:eastAsia="zh-CN"/>
        </w:rPr>
        <w:t>以下示例并不详尽，并且可能不是所有激光器所需，或者可能不适合于某些激光器。</w:t>
      </w:r>
      <w:r>
        <w:rPr>
          <w:rFonts w:ascii="Arial" w:hAnsi="Arial" w:eastAsia="宋体" w:cs="Arial"/>
          <w:sz w:val="21"/>
          <w:szCs w:val="21"/>
        </w:rPr>
        <w:t>.</w:t>
      </w:r>
    </w:p>
    <w:p w14:paraId="10107167">
      <w:pPr>
        <w:snapToGrid w:val="0"/>
        <w:spacing w:line="300" w:lineRule="auto"/>
        <w:jc w:val="both"/>
        <w:rPr>
          <w:rFonts w:ascii="Arial" w:hAnsi="Arial" w:eastAsia="宋体" w:cs="Arial"/>
          <w:sz w:val="21"/>
          <w:szCs w:val="21"/>
        </w:rPr>
      </w:pPr>
    </w:p>
    <w:p w14:paraId="365B3EB4">
      <w:pPr>
        <w:snapToGrid w:val="0"/>
        <w:spacing w:before="11" w:line="300" w:lineRule="auto"/>
        <w:jc w:val="both"/>
        <w:rPr>
          <w:rFonts w:ascii="Arial" w:hAnsi="Arial" w:eastAsia="宋体" w:cs="Arial"/>
          <w:sz w:val="21"/>
          <w:szCs w:val="21"/>
        </w:rPr>
      </w:pPr>
    </w:p>
    <w:p w14:paraId="3597EEEF">
      <w:pPr>
        <w:pStyle w:val="3"/>
        <w:snapToGrid w:val="0"/>
        <w:spacing w:line="300" w:lineRule="auto"/>
        <w:ind w:left="0"/>
        <w:jc w:val="center"/>
        <w:rPr>
          <w:rFonts w:ascii="Arial" w:hAnsi="Arial" w:eastAsia="宋体" w:cs="Arial"/>
          <w:sz w:val="21"/>
          <w:szCs w:val="21"/>
        </w:rPr>
      </w:pPr>
      <w:r>
        <w:rPr>
          <w:rFonts w:ascii="Arial" w:hAnsi="Arial" w:eastAsia="宋体" w:cs="Arial"/>
          <w:sz w:val="21"/>
          <w:szCs w:val="21"/>
        </w:rPr>
        <w:t>激光</w:t>
      </w:r>
      <w:r>
        <w:rPr>
          <w:rFonts w:ascii="Arial" w:hAnsi="Arial" w:eastAsia="宋体" w:cs="Arial"/>
          <w:sz w:val="21"/>
          <w:szCs w:val="21"/>
          <w:lang w:eastAsia="zh-CN"/>
        </w:rPr>
        <w:t>器</w:t>
      </w:r>
      <w:r>
        <w:rPr>
          <w:rFonts w:ascii="Arial" w:hAnsi="Arial" w:eastAsia="宋体" w:cs="Arial"/>
          <w:sz w:val="21"/>
          <w:szCs w:val="21"/>
        </w:rPr>
        <w:t>输出特性</w:t>
      </w:r>
    </w:p>
    <w:p w14:paraId="3972229B">
      <w:pPr>
        <w:snapToGrid w:val="0"/>
        <w:spacing w:before="10" w:line="300" w:lineRule="auto"/>
        <w:jc w:val="both"/>
        <w:rPr>
          <w:rFonts w:ascii="Arial" w:hAnsi="Arial" w:eastAsia="宋体" w:cs="Arial"/>
          <w:sz w:val="21"/>
          <w:szCs w:val="21"/>
        </w:rPr>
      </w:pPr>
    </w:p>
    <w:tbl>
      <w:tblPr>
        <w:tblStyle w:val="9"/>
        <w:tblW w:w="5000" w:type="pct"/>
        <w:tblInd w:w="0" w:type="dxa"/>
        <w:tblLayout w:type="autofit"/>
        <w:tblCellMar>
          <w:top w:w="0" w:type="dxa"/>
          <w:left w:w="0" w:type="dxa"/>
          <w:bottom w:w="0" w:type="dxa"/>
          <w:right w:w="0" w:type="dxa"/>
        </w:tblCellMar>
      </w:tblPr>
      <w:tblGrid>
        <w:gridCol w:w="4389"/>
        <w:gridCol w:w="5623"/>
      </w:tblGrid>
      <w:tr w14:paraId="30C4414D">
        <w:tblPrEx>
          <w:tblCellMar>
            <w:top w:w="0" w:type="dxa"/>
            <w:left w:w="0" w:type="dxa"/>
            <w:bottom w:w="0" w:type="dxa"/>
            <w:right w:w="0" w:type="dxa"/>
          </w:tblCellMar>
        </w:tblPrEx>
        <w:tc>
          <w:tcPr>
            <w:tcW w:w="2192" w:type="pct"/>
            <w:tcBorders>
              <w:top w:val="single" w:color="000000" w:sz="16" w:space="0"/>
              <w:left w:val="single" w:color="000000" w:sz="16" w:space="0"/>
              <w:bottom w:val="single" w:color="000000" w:sz="16" w:space="0"/>
              <w:right w:val="single" w:color="000000" w:sz="6" w:space="0"/>
            </w:tcBorders>
            <w:vAlign w:val="center"/>
          </w:tcPr>
          <w:p w14:paraId="0A4240B5">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rPr>
              <w:t>数量</w:t>
            </w:r>
          </w:p>
        </w:tc>
        <w:tc>
          <w:tcPr>
            <w:tcW w:w="2808" w:type="pct"/>
            <w:tcBorders>
              <w:top w:val="single" w:color="000000" w:sz="16" w:space="0"/>
              <w:left w:val="single" w:color="000000" w:sz="6" w:space="0"/>
              <w:bottom w:val="single" w:color="000000" w:sz="16" w:space="0"/>
              <w:right w:val="single" w:color="000000" w:sz="16" w:space="0"/>
            </w:tcBorders>
            <w:vAlign w:val="center"/>
          </w:tcPr>
          <w:p w14:paraId="41B4702E">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lang w:eastAsia="zh-CN"/>
              </w:rPr>
              <w:t>单位</w:t>
            </w:r>
          </w:p>
        </w:tc>
      </w:tr>
      <w:tr w14:paraId="53A317D3">
        <w:tblPrEx>
          <w:tblCellMar>
            <w:top w:w="0" w:type="dxa"/>
            <w:left w:w="0" w:type="dxa"/>
            <w:bottom w:w="0" w:type="dxa"/>
            <w:right w:w="0" w:type="dxa"/>
          </w:tblCellMar>
        </w:tblPrEx>
        <w:tc>
          <w:tcPr>
            <w:tcW w:w="2192" w:type="pct"/>
            <w:tcBorders>
              <w:top w:val="single" w:color="000000" w:sz="16" w:space="0"/>
              <w:left w:val="single" w:color="000000" w:sz="16" w:space="0"/>
              <w:bottom w:val="single" w:color="000000" w:sz="6" w:space="0"/>
              <w:right w:val="single" w:color="000000" w:sz="6" w:space="0"/>
            </w:tcBorders>
            <w:vAlign w:val="center"/>
          </w:tcPr>
          <w:p w14:paraId="70C4CCED">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电源（CW激光器）</w:t>
            </w:r>
          </w:p>
        </w:tc>
        <w:tc>
          <w:tcPr>
            <w:tcW w:w="2808" w:type="pct"/>
            <w:tcBorders>
              <w:top w:val="single" w:color="000000" w:sz="16" w:space="0"/>
              <w:left w:val="single" w:color="000000" w:sz="6" w:space="0"/>
              <w:bottom w:val="single" w:color="000000" w:sz="6" w:space="0"/>
              <w:right w:val="single" w:color="000000" w:sz="16" w:space="0"/>
            </w:tcBorders>
            <w:vAlign w:val="center"/>
          </w:tcPr>
          <w:p w14:paraId="7FFDAD80">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W, mW等</w:t>
            </w:r>
          </w:p>
        </w:tc>
      </w:tr>
      <w:tr w14:paraId="0176F2DF">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328AFB42">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可用功率</w:t>
            </w:r>
            <w:r>
              <w:rPr>
                <w:rFonts w:ascii="Arial" w:hAnsi="Arial" w:eastAsia="宋体" w:cs="Arial"/>
                <w:sz w:val="21"/>
                <w:szCs w:val="21"/>
                <w:lang w:eastAsia="zh-CN"/>
              </w:rPr>
              <w:t>增量</w:t>
            </w:r>
          </w:p>
        </w:tc>
        <w:tc>
          <w:tcPr>
            <w:tcW w:w="2808" w:type="pct"/>
            <w:tcBorders>
              <w:top w:val="single" w:color="000000" w:sz="6" w:space="0"/>
              <w:left w:val="single" w:color="000000" w:sz="6" w:space="0"/>
              <w:bottom w:val="single" w:color="000000" w:sz="6" w:space="0"/>
              <w:right w:val="single" w:color="000000" w:sz="16" w:space="0"/>
            </w:tcBorders>
            <w:vAlign w:val="center"/>
          </w:tcPr>
          <w:p w14:paraId="5A3C2E15">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W, mW等</w:t>
            </w:r>
          </w:p>
        </w:tc>
      </w:tr>
      <w:tr w14:paraId="467BD2CD">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0C35B215">
            <w:pPr>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能量（脉冲和超脉冲）</w:t>
            </w:r>
          </w:p>
        </w:tc>
        <w:tc>
          <w:tcPr>
            <w:tcW w:w="2808" w:type="pct"/>
            <w:tcBorders>
              <w:top w:val="single" w:color="000000" w:sz="6" w:space="0"/>
              <w:left w:val="single" w:color="000000" w:sz="6" w:space="0"/>
              <w:bottom w:val="single" w:color="000000" w:sz="6" w:space="0"/>
              <w:right w:val="single" w:color="000000" w:sz="16" w:space="0"/>
            </w:tcBorders>
            <w:vAlign w:val="center"/>
          </w:tcPr>
          <w:p w14:paraId="674DB68B">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J, mJ等</w:t>
            </w:r>
          </w:p>
        </w:tc>
      </w:tr>
      <w:tr w14:paraId="03847DFF">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0224AF66">
            <w:pPr>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如果为脉冲，完成方法</w:t>
            </w:r>
          </w:p>
        </w:tc>
        <w:tc>
          <w:tcPr>
            <w:tcW w:w="2808" w:type="pct"/>
            <w:tcBorders>
              <w:top w:val="single" w:color="000000" w:sz="6" w:space="0"/>
              <w:left w:val="single" w:color="000000" w:sz="6" w:space="0"/>
              <w:bottom w:val="single" w:color="000000" w:sz="6" w:space="0"/>
              <w:right w:val="single" w:color="000000" w:sz="16" w:space="0"/>
            </w:tcBorders>
            <w:vAlign w:val="center"/>
          </w:tcPr>
          <w:p w14:paraId="0FF1D010">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Q开关，锁模，快门等</w:t>
            </w:r>
          </w:p>
        </w:tc>
      </w:tr>
      <w:tr w14:paraId="51BE776E">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68B25495">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脉冲长度</w:t>
            </w:r>
          </w:p>
        </w:tc>
        <w:tc>
          <w:tcPr>
            <w:tcW w:w="2808" w:type="pct"/>
            <w:tcBorders>
              <w:top w:val="single" w:color="000000" w:sz="6" w:space="0"/>
              <w:left w:val="single" w:color="000000" w:sz="6" w:space="0"/>
              <w:bottom w:val="single" w:color="000000" w:sz="6" w:space="0"/>
              <w:right w:val="single" w:color="000000" w:sz="16" w:space="0"/>
            </w:tcBorders>
            <w:vAlign w:val="center"/>
          </w:tcPr>
          <w:p w14:paraId="5FC2AD06">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s, ms, µs, ns等</w:t>
            </w:r>
          </w:p>
        </w:tc>
      </w:tr>
      <w:tr w14:paraId="44EE4239">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2BE394B2">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脉冲频率</w:t>
            </w:r>
          </w:p>
        </w:tc>
        <w:tc>
          <w:tcPr>
            <w:tcW w:w="2808" w:type="pct"/>
            <w:tcBorders>
              <w:top w:val="single" w:color="000000" w:sz="6" w:space="0"/>
              <w:left w:val="single" w:color="000000" w:sz="6" w:space="0"/>
              <w:bottom w:val="single" w:color="000000" w:sz="6" w:space="0"/>
              <w:right w:val="single" w:color="000000" w:sz="16" w:space="0"/>
            </w:tcBorders>
            <w:vAlign w:val="center"/>
          </w:tcPr>
          <w:p w14:paraId="16117AE0">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Hz, kHz等</w:t>
            </w:r>
          </w:p>
        </w:tc>
      </w:tr>
      <w:tr w14:paraId="115515DF">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19365F25">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脉冲</w:t>
            </w:r>
            <w:r>
              <w:rPr>
                <w:rFonts w:ascii="Arial" w:hAnsi="Arial" w:eastAsia="宋体" w:cs="Arial"/>
                <w:sz w:val="21"/>
                <w:szCs w:val="21"/>
                <w:lang w:eastAsia="zh-CN"/>
              </w:rPr>
              <w:t>串</w:t>
            </w:r>
            <w:r>
              <w:rPr>
                <w:rFonts w:ascii="Arial" w:hAnsi="Arial" w:eastAsia="宋体" w:cs="Arial"/>
                <w:sz w:val="21"/>
                <w:szCs w:val="21"/>
              </w:rPr>
              <w:t>时间</w:t>
            </w:r>
          </w:p>
        </w:tc>
        <w:tc>
          <w:tcPr>
            <w:tcW w:w="2808" w:type="pct"/>
            <w:tcBorders>
              <w:top w:val="single" w:color="000000" w:sz="6" w:space="0"/>
              <w:left w:val="single" w:color="000000" w:sz="6" w:space="0"/>
              <w:bottom w:val="single" w:color="000000" w:sz="6" w:space="0"/>
              <w:right w:val="single" w:color="000000" w:sz="16" w:space="0"/>
            </w:tcBorders>
            <w:vAlign w:val="center"/>
          </w:tcPr>
          <w:p w14:paraId="52F7A8BE">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s, ms, µs等</w:t>
            </w:r>
          </w:p>
        </w:tc>
      </w:tr>
      <w:tr w14:paraId="62C8543D">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048B85E3">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光束直径</w:t>
            </w:r>
          </w:p>
        </w:tc>
        <w:tc>
          <w:tcPr>
            <w:tcW w:w="2808" w:type="pct"/>
            <w:tcBorders>
              <w:top w:val="single" w:color="000000" w:sz="6" w:space="0"/>
              <w:left w:val="single" w:color="000000" w:sz="6" w:space="0"/>
              <w:bottom w:val="single" w:color="000000" w:sz="6" w:space="0"/>
              <w:right w:val="single" w:color="000000" w:sz="16" w:space="0"/>
            </w:tcBorders>
            <w:vAlign w:val="center"/>
          </w:tcPr>
          <w:p w14:paraId="11968319">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出口µm, mm, cm等（光纤、裂隙灯等）</w:t>
            </w:r>
          </w:p>
        </w:tc>
      </w:tr>
      <w:tr w14:paraId="6FC038B5">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1B6E646C">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目标尺寸</w:t>
            </w:r>
          </w:p>
        </w:tc>
        <w:tc>
          <w:tcPr>
            <w:tcW w:w="2808" w:type="pct"/>
            <w:tcBorders>
              <w:top w:val="single" w:color="000000" w:sz="6" w:space="0"/>
              <w:left w:val="single" w:color="000000" w:sz="6" w:space="0"/>
              <w:bottom w:val="single" w:color="000000" w:sz="6" w:space="0"/>
              <w:right w:val="single" w:color="000000" w:sz="16" w:space="0"/>
            </w:tcBorders>
            <w:vAlign w:val="center"/>
          </w:tcPr>
          <w:p w14:paraId="575E8706">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rPr>
              <w:t>mm</w:t>
            </w:r>
            <w:r>
              <w:rPr>
                <w:rFonts w:ascii="Arial" w:hAnsi="Arial" w:eastAsia="宋体" w:cs="Arial"/>
                <w:position w:val="9"/>
                <w:sz w:val="21"/>
                <w:szCs w:val="21"/>
                <w:vertAlign w:val="superscript"/>
              </w:rPr>
              <w:t>2</w:t>
            </w:r>
            <w:r>
              <w:rPr>
                <w:rFonts w:ascii="Arial" w:hAnsi="Arial" w:eastAsia="宋体" w:cs="Arial"/>
                <w:sz w:val="21"/>
                <w:szCs w:val="21"/>
              </w:rPr>
              <w:t>, µm</w:t>
            </w:r>
            <w:r>
              <w:rPr>
                <w:rFonts w:ascii="Arial" w:hAnsi="Arial" w:eastAsia="宋体" w:cs="Arial"/>
                <w:position w:val="9"/>
                <w:sz w:val="21"/>
                <w:szCs w:val="21"/>
                <w:vertAlign w:val="superscript"/>
              </w:rPr>
              <w:t>2</w:t>
            </w:r>
            <w:r>
              <w:rPr>
                <w:rFonts w:ascii="Arial" w:hAnsi="Arial" w:eastAsia="宋体" w:cs="Arial"/>
                <w:sz w:val="21"/>
                <w:szCs w:val="21"/>
                <w:lang w:eastAsia="zh-CN"/>
              </w:rPr>
              <w:t>等</w:t>
            </w:r>
          </w:p>
        </w:tc>
      </w:tr>
      <w:tr w14:paraId="32FB63F7">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0E2042B5">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波长</w:t>
            </w:r>
          </w:p>
        </w:tc>
        <w:tc>
          <w:tcPr>
            <w:tcW w:w="2808" w:type="pct"/>
            <w:tcBorders>
              <w:top w:val="single" w:color="000000" w:sz="6" w:space="0"/>
              <w:left w:val="single" w:color="000000" w:sz="6" w:space="0"/>
              <w:bottom w:val="single" w:color="000000" w:sz="6" w:space="0"/>
              <w:right w:val="single" w:color="000000" w:sz="16" w:space="0"/>
            </w:tcBorders>
            <w:vAlign w:val="center"/>
          </w:tcPr>
          <w:p w14:paraId="3B948B77">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rPr>
              <w:t>nm, µm, A</w:t>
            </w:r>
            <w:r>
              <w:rPr>
                <w:rFonts w:ascii="Arial" w:hAnsi="Arial" w:eastAsia="宋体" w:cs="Arial"/>
                <w:sz w:val="21"/>
                <w:szCs w:val="21"/>
                <w:lang w:eastAsia="zh-CN"/>
              </w:rPr>
              <w:t>等</w:t>
            </w:r>
          </w:p>
        </w:tc>
      </w:tr>
      <w:tr w14:paraId="5D1776B8">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21FCF09F">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光束模式</w:t>
            </w:r>
          </w:p>
        </w:tc>
        <w:tc>
          <w:tcPr>
            <w:tcW w:w="2808" w:type="pct"/>
            <w:tcBorders>
              <w:top w:val="single" w:color="000000" w:sz="6" w:space="0"/>
              <w:left w:val="single" w:color="000000" w:sz="6" w:space="0"/>
              <w:bottom w:val="single" w:color="000000" w:sz="6" w:space="0"/>
              <w:right w:val="single" w:color="000000" w:sz="16" w:space="0"/>
            </w:tcBorders>
            <w:vAlign w:val="center"/>
          </w:tcPr>
          <w:p w14:paraId="60D1A7D0">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lang w:eastAsia="zh-CN"/>
              </w:rPr>
              <w:t>多模式，低位，</w:t>
            </w:r>
            <w:r>
              <w:rPr>
                <w:rFonts w:ascii="Arial" w:hAnsi="Arial" w:eastAsia="宋体" w:cs="Arial"/>
                <w:sz w:val="21"/>
                <w:szCs w:val="21"/>
              </w:rPr>
              <w:t>TEM</w:t>
            </w:r>
            <w:r>
              <w:rPr>
                <w:rFonts w:ascii="Arial" w:hAnsi="Arial" w:eastAsia="宋体" w:cs="Arial"/>
                <w:position w:val="-2"/>
                <w:sz w:val="21"/>
                <w:szCs w:val="21"/>
              </w:rPr>
              <w:t>00</w:t>
            </w:r>
            <w:r>
              <w:rPr>
                <w:rFonts w:ascii="Arial" w:hAnsi="Arial" w:eastAsia="宋体" w:cs="Arial"/>
                <w:sz w:val="21"/>
                <w:szCs w:val="21"/>
              </w:rPr>
              <w:t>等</w:t>
            </w:r>
          </w:p>
        </w:tc>
      </w:tr>
      <w:tr w14:paraId="3137C705">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6" w:space="0"/>
              <w:right w:val="single" w:color="000000" w:sz="6" w:space="0"/>
            </w:tcBorders>
            <w:vAlign w:val="center"/>
          </w:tcPr>
          <w:p w14:paraId="284EFCCC">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光束发散角</w:t>
            </w:r>
          </w:p>
        </w:tc>
        <w:tc>
          <w:tcPr>
            <w:tcW w:w="2808" w:type="pct"/>
            <w:tcBorders>
              <w:top w:val="single" w:color="000000" w:sz="6" w:space="0"/>
              <w:left w:val="single" w:color="000000" w:sz="6" w:space="0"/>
              <w:bottom w:val="single" w:color="000000" w:sz="6" w:space="0"/>
              <w:right w:val="single" w:color="000000" w:sz="16" w:space="0"/>
            </w:tcBorders>
            <w:vAlign w:val="center"/>
          </w:tcPr>
          <w:p w14:paraId="57E43BFE">
            <w:pPr>
              <w:pStyle w:val="11"/>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position w:val="-8"/>
                <w:sz w:val="21"/>
                <w:szCs w:val="21"/>
              </w:rPr>
              <w:t>0</w:t>
            </w:r>
            <w:r>
              <w:rPr>
                <w:rFonts w:ascii="Arial" w:hAnsi="Arial" w:eastAsia="宋体" w:cs="Arial"/>
                <w:sz w:val="21"/>
                <w:szCs w:val="21"/>
                <w:vertAlign w:val="superscript"/>
              </w:rPr>
              <w:t>o</w:t>
            </w:r>
          </w:p>
        </w:tc>
      </w:tr>
      <w:tr w14:paraId="116B867C">
        <w:tblPrEx>
          <w:tblCellMar>
            <w:top w:w="0" w:type="dxa"/>
            <w:left w:w="0" w:type="dxa"/>
            <w:bottom w:w="0" w:type="dxa"/>
            <w:right w:w="0" w:type="dxa"/>
          </w:tblCellMar>
        </w:tblPrEx>
        <w:tc>
          <w:tcPr>
            <w:tcW w:w="2192" w:type="pct"/>
            <w:tcBorders>
              <w:top w:val="single" w:color="000000" w:sz="6" w:space="0"/>
              <w:left w:val="single" w:color="000000" w:sz="16" w:space="0"/>
              <w:bottom w:val="single" w:color="000000" w:sz="16" w:space="0"/>
              <w:right w:val="single" w:color="000000" w:sz="6" w:space="0"/>
            </w:tcBorders>
            <w:vAlign w:val="center"/>
          </w:tcPr>
          <w:p w14:paraId="1FE9C7EA">
            <w:pPr>
              <w:snapToGrid w:val="0"/>
              <w:spacing w:before="48" w:beforeLines="20" w:after="48" w:afterLines="20" w:line="280" w:lineRule="exact"/>
              <w:ind w:left="44" w:leftChars="20" w:right="44" w:rightChars="20"/>
              <w:jc w:val="both"/>
              <w:rPr>
                <w:rFonts w:ascii="Arial" w:hAnsi="Arial" w:eastAsia="宋体" w:cs="Arial"/>
                <w:sz w:val="21"/>
                <w:szCs w:val="21"/>
              </w:rPr>
            </w:pPr>
            <w:r>
              <w:rPr>
                <w:rFonts w:ascii="Arial" w:hAnsi="Arial" w:eastAsia="宋体" w:cs="Arial"/>
                <w:sz w:val="21"/>
                <w:szCs w:val="21"/>
              </w:rPr>
              <w:t>占空比</w:t>
            </w:r>
          </w:p>
        </w:tc>
        <w:tc>
          <w:tcPr>
            <w:tcW w:w="2808" w:type="pct"/>
            <w:tcBorders>
              <w:top w:val="single" w:color="000000" w:sz="6" w:space="0"/>
              <w:left w:val="single" w:color="000000" w:sz="6" w:space="0"/>
              <w:bottom w:val="single" w:color="000000" w:sz="16" w:space="0"/>
              <w:right w:val="single" w:color="000000" w:sz="16" w:space="0"/>
            </w:tcBorders>
            <w:vAlign w:val="center"/>
          </w:tcPr>
          <w:p w14:paraId="04BD9430">
            <w:pPr>
              <w:pStyle w:val="11"/>
              <w:snapToGrid w:val="0"/>
              <w:spacing w:before="48" w:beforeLines="20" w:after="48" w:afterLines="20" w:line="280" w:lineRule="exact"/>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无单位</w:t>
            </w:r>
          </w:p>
        </w:tc>
      </w:tr>
    </w:tbl>
    <w:p w14:paraId="150C3175">
      <w:pPr>
        <w:snapToGrid w:val="0"/>
        <w:spacing w:before="6" w:line="300" w:lineRule="auto"/>
        <w:jc w:val="both"/>
        <w:rPr>
          <w:rFonts w:ascii="Arial" w:hAnsi="Arial" w:eastAsia="宋体" w:cs="Arial"/>
          <w:sz w:val="21"/>
          <w:szCs w:val="21"/>
        </w:rPr>
      </w:pPr>
    </w:p>
    <w:p w14:paraId="2D1D4CA7">
      <w:pPr>
        <w:rPr>
          <w:rFonts w:ascii="Arial" w:hAnsi="Arial" w:eastAsia="宋体" w:cs="Arial"/>
          <w:sz w:val="21"/>
          <w:szCs w:val="21"/>
        </w:rPr>
      </w:pPr>
      <w:r>
        <w:rPr>
          <w:rFonts w:ascii="Arial" w:hAnsi="Arial" w:eastAsia="宋体" w:cs="Arial"/>
          <w:sz w:val="21"/>
          <w:szCs w:val="21"/>
        </w:rPr>
        <w:br w:type="page"/>
      </w:r>
    </w:p>
    <w:p w14:paraId="1ED83300">
      <w:pPr>
        <w:snapToGrid w:val="0"/>
        <w:spacing w:before="10" w:line="300" w:lineRule="auto"/>
        <w:jc w:val="center"/>
        <w:rPr>
          <w:rFonts w:ascii="Arial" w:hAnsi="Arial" w:eastAsia="宋体" w:cs="Arial"/>
          <w:sz w:val="21"/>
          <w:szCs w:val="21"/>
        </w:rPr>
      </w:pPr>
      <w:r>
        <w:rPr>
          <w:rFonts w:ascii="Arial" w:hAnsi="Arial" w:eastAsia="宋体" w:cs="Arial"/>
          <w:sz w:val="21"/>
          <w:szCs w:val="21"/>
        </w:rPr>
        <w:t>激光</w:t>
      </w:r>
      <w:r>
        <w:rPr>
          <w:rFonts w:ascii="Arial" w:hAnsi="Arial" w:eastAsia="宋体" w:cs="Arial"/>
          <w:sz w:val="21"/>
          <w:szCs w:val="21"/>
          <w:lang w:eastAsia="zh-CN"/>
        </w:rPr>
        <w:t>器</w:t>
      </w:r>
      <w:r>
        <w:rPr>
          <w:rFonts w:ascii="Arial" w:hAnsi="Arial" w:eastAsia="宋体" w:cs="Arial"/>
          <w:sz w:val="21"/>
          <w:szCs w:val="21"/>
        </w:rPr>
        <w:t>特性</w:t>
      </w:r>
    </w:p>
    <w:tbl>
      <w:tblPr>
        <w:tblStyle w:val="9"/>
        <w:tblW w:w="5000" w:type="pct"/>
        <w:tblInd w:w="0" w:type="dxa"/>
        <w:tblLayout w:type="autofit"/>
        <w:tblCellMar>
          <w:top w:w="0" w:type="dxa"/>
          <w:left w:w="0" w:type="dxa"/>
          <w:bottom w:w="0" w:type="dxa"/>
          <w:right w:w="0" w:type="dxa"/>
        </w:tblCellMar>
      </w:tblPr>
      <w:tblGrid>
        <w:gridCol w:w="10012"/>
      </w:tblGrid>
      <w:tr w14:paraId="2D58F727">
        <w:tblPrEx>
          <w:tblCellMar>
            <w:top w:w="0" w:type="dxa"/>
            <w:left w:w="0" w:type="dxa"/>
            <w:bottom w:w="0" w:type="dxa"/>
            <w:right w:w="0" w:type="dxa"/>
          </w:tblCellMar>
        </w:tblPrEx>
        <w:tc>
          <w:tcPr>
            <w:tcW w:w="5000" w:type="pct"/>
            <w:tcBorders>
              <w:top w:val="single" w:color="000000" w:sz="16" w:space="0"/>
              <w:left w:val="single" w:color="000000" w:sz="16" w:space="0"/>
              <w:bottom w:val="single" w:color="000000" w:sz="6" w:space="0"/>
              <w:right w:val="single" w:color="000000" w:sz="16" w:space="0"/>
            </w:tcBorders>
            <w:vAlign w:val="center"/>
          </w:tcPr>
          <w:p w14:paraId="7BE535D8">
            <w:pPr>
              <w:snapToGrid w:val="0"/>
              <w:spacing w:before="48" w:beforeLines="20" w:after="48" w:afterLines="20" w:line="300"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目标光束（类型，波长，精度，与处理光束同轴等）</w:t>
            </w:r>
          </w:p>
        </w:tc>
      </w:tr>
      <w:tr w14:paraId="6BEAD8F2">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4765F3C2">
            <w:pPr>
              <w:snapToGrid w:val="0"/>
              <w:spacing w:before="48" w:beforeLines="20" w:after="48" w:afterLines="20" w:line="300"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控制（描述电源，读数等）</w:t>
            </w:r>
          </w:p>
        </w:tc>
      </w:tr>
      <w:tr w14:paraId="540F5467">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114F77EF">
            <w:pPr>
              <w:snapToGrid w:val="0"/>
              <w:spacing w:before="48" w:beforeLines="20" w:after="48" w:afterLines="20" w:line="300" w:lineRule="auto"/>
              <w:ind w:left="44" w:leftChars="20" w:right="44" w:rightChars="20"/>
              <w:jc w:val="both"/>
              <w:rPr>
                <w:rFonts w:ascii="Arial" w:hAnsi="Arial" w:eastAsia="宋体" w:cs="Arial"/>
                <w:sz w:val="21"/>
                <w:szCs w:val="21"/>
              </w:rPr>
            </w:pPr>
            <w:r>
              <w:rPr>
                <w:rFonts w:ascii="Arial" w:hAnsi="Arial" w:eastAsia="宋体" w:cs="Arial"/>
                <w:sz w:val="21"/>
                <w:szCs w:val="21"/>
              </w:rPr>
              <w:t>激光介质</w:t>
            </w:r>
          </w:p>
        </w:tc>
      </w:tr>
      <w:tr w14:paraId="54DCD85A">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30C1608F">
            <w:pPr>
              <w:snapToGrid w:val="0"/>
              <w:spacing w:before="48" w:beforeLines="20" w:after="48" w:afterLines="20" w:line="300" w:lineRule="auto"/>
              <w:ind w:left="44" w:leftChars="20" w:right="44" w:rightChars="20"/>
              <w:jc w:val="both"/>
              <w:rPr>
                <w:rFonts w:ascii="Arial" w:hAnsi="Arial" w:eastAsia="宋体" w:cs="Arial"/>
                <w:sz w:val="21"/>
                <w:szCs w:val="21"/>
              </w:rPr>
            </w:pPr>
            <w:r>
              <w:rPr>
                <w:rFonts w:ascii="Arial" w:hAnsi="Arial" w:eastAsia="宋体" w:cs="Arial"/>
                <w:sz w:val="21"/>
                <w:szCs w:val="21"/>
              </w:rPr>
              <w:t>能量源</w:t>
            </w:r>
          </w:p>
        </w:tc>
      </w:tr>
      <w:tr w14:paraId="13AA184C">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72D16F47">
            <w:pPr>
              <w:snapToGrid w:val="0"/>
              <w:spacing w:before="48" w:beforeLines="20" w:after="48" w:afterLines="20" w:line="300" w:lineRule="auto"/>
              <w:ind w:left="44" w:leftChars="20" w:right="44" w:rightChars="20"/>
              <w:jc w:val="both"/>
              <w:rPr>
                <w:rFonts w:ascii="Arial" w:hAnsi="Arial" w:eastAsia="宋体" w:cs="Arial"/>
                <w:sz w:val="21"/>
                <w:szCs w:val="21"/>
              </w:rPr>
            </w:pPr>
            <w:r>
              <w:rPr>
                <w:rFonts w:ascii="Arial" w:hAnsi="Arial" w:eastAsia="宋体" w:cs="Arial"/>
                <w:sz w:val="21"/>
                <w:szCs w:val="21"/>
              </w:rPr>
              <w:t>冷却方式</w:t>
            </w:r>
          </w:p>
        </w:tc>
      </w:tr>
      <w:tr w14:paraId="50ED38AA">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0C494F19">
            <w:pPr>
              <w:snapToGrid w:val="0"/>
              <w:spacing w:before="48" w:beforeLines="20" w:after="48" w:afterLines="20" w:line="300"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显示（控制面板，打印输出等）</w:t>
            </w:r>
          </w:p>
        </w:tc>
      </w:tr>
      <w:tr w14:paraId="4CE39BDE">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6" w:space="0"/>
              <w:right w:val="single" w:color="000000" w:sz="16" w:space="0"/>
            </w:tcBorders>
            <w:vAlign w:val="center"/>
          </w:tcPr>
          <w:p w14:paraId="38F9B010">
            <w:pPr>
              <w:snapToGrid w:val="0"/>
              <w:spacing w:before="48" w:beforeLines="20" w:after="48" w:afterLines="20" w:line="300" w:lineRule="auto"/>
              <w:ind w:left="44" w:leftChars="20" w:right="44" w:rightChars="20"/>
              <w:jc w:val="both"/>
              <w:rPr>
                <w:rFonts w:ascii="Arial" w:hAnsi="Arial" w:eastAsia="宋体" w:cs="Arial"/>
                <w:sz w:val="21"/>
                <w:szCs w:val="21"/>
              </w:rPr>
            </w:pPr>
            <w:r>
              <w:rPr>
                <w:rFonts w:ascii="Arial" w:hAnsi="Arial" w:eastAsia="宋体" w:cs="Arial"/>
                <w:sz w:val="21"/>
                <w:szCs w:val="21"/>
              </w:rPr>
              <w:t>电源校准</w:t>
            </w:r>
          </w:p>
        </w:tc>
      </w:tr>
      <w:tr w14:paraId="75608488">
        <w:tc>
          <w:tcPr>
            <w:tcW w:w="5000" w:type="pct"/>
            <w:tcBorders>
              <w:top w:val="single" w:color="000000" w:sz="6" w:space="0"/>
              <w:left w:val="single" w:color="000000" w:sz="16" w:space="0"/>
              <w:bottom w:val="single" w:color="000000" w:sz="6" w:space="0"/>
              <w:right w:val="single" w:color="000000" w:sz="16" w:space="0"/>
            </w:tcBorders>
            <w:vAlign w:val="center"/>
          </w:tcPr>
          <w:p w14:paraId="70255F51">
            <w:pPr>
              <w:snapToGrid w:val="0"/>
              <w:spacing w:before="48" w:beforeLines="20" w:after="48" w:afterLines="20" w:line="300"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软件（描述，规格等）ODE审查员指南可从小型制造商协助司获得）</w:t>
            </w:r>
          </w:p>
        </w:tc>
      </w:tr>
      <w:tr w14:paraId="6E91DA18">
        <w:tblPrEx>
          <w:tblCellMar>
            <w:top w:w="0" w:type="dxa"/>
            <w:left w:w="0" w:type="dxa"/>
            <w:bottom w:w="0" w:type="dxa"/>
            <w:right w:w="0" w:type="dxa"/>
          </w:tblCellMar>
        </w:tblPrEx>
        <w:tc>
          <w:tcPr>
            <w:tcW w:w="5000" w:type="pct"/>
            <w:tcBorders>
              <w:top w:val="single" w:color="000000" w:sz="6" w:space="0"/>
              <w:left w:val="single" w:color="000000" w:sz="16" w:space="0"/>
              <w:bottom w:val="single" w:color="000000" w:sz="16" w:space="0"/>
              <w:right w:val="single" w:color="000000" w:sz="16" w:space="0"/>
            </w:tcBorders>
            <w:vAlign w:val="center"/>
          </w:tcPr>
          <w:p w14:paraId="49B6EA28">
            <w:pPr>
              <w:snapToGrid w:val="0"/>
              <w:spacing w:before="48" w:beforeLines="20" w:after="48" w:afterLines="20" w:line="300"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硬件（说明，规格等）</w:t>
            </w:r>
          </w:p>
        </w:tc>
      </w:tr>
    </w:tbl>
    <w:p w14:paraId="7E86E8C5">
      <w:pPr>
        <w:snapToGrid w:val="0"/>
        <w:spacing w:before="1" w:line="300" w:lineRule="auto"/>
        <w:jc w:val="both"/>
        <w:rPr>
          <w:rFonts w:ascii="Arial" w:hAnsi="Arial" w:eastAsia="宋体" w:cs="Arial"/>
          <w:sz w:val="21"/>
          <w:szCs w:val="21"/>
          <w:lang w:eastAsia="zh-CN"/>
        </w:rPr>
      </w:pPr>
    </w:p>
    <w:p w14:paraId="6E58FB29">
      <w:pPr>
        <w:pStyle w:val="3"/>
        <w:snapToGrid w:val="0"/>
        <w:spacing w:before="73" w:line="300" w:lineRule="auto"/>
        <w:ind w:left="0"/>
        <w:jc w:val="both"/>
        <w:rPr>
          <w:rFonts w:ascii="Arial" w:hAnsi="Arial" w:eastAsia="宋体" w:cs="Arial"/>
          <w:sz w:val="21"/>
          <w:szCs w:val="21"/>
        </w:rPr>
      </w:pPr>
      <w:r>
        <w:rPr>
          <w:rFonts w:ascii="Arial" w:hAnsi="Arial" w:eastAsia="宋体" w:cs="Arial"/>
          <w:sz w:val="21"/>
          <w:szCs w:val="21"/>
        </w:rPr>
        <w:t>附件和其他信息</w:t>
      </w:r>
    </w:p>
    <w:p w14:paraId="6310B555">
      <w:pPr>
        <w:snapToGrid w:val="0"/>
        <w:spacing w:before="10" w:line="300" w:lineRule="auto"/>
        <w:jc w:val="both"/>
        <w:rPr>
          <w:rFonts w:ascii="Arial" w:hAnsi="Arial" w:eastAsia="宋体" w:cs="Arial"/>
          <w:sz w:val="21"/>
          <w:szCs w:val="21"/>
        </w:rPr>
      </w:pPr>
    </w:p>
    <w:p w14:paraId="14EFE8AA">
      <w:pPr>
        <w:pStyle w:val="10"/>
        <w:numPr>
          <w:ilvl w:val="0"/>
          <w:numId w:val="8"/>
        </w:numPr>
        <w:tabs>
          <w:tab w:val="left" w:pos="861"/>
        </w:tabs>
        <w:snapToGrid w:val="0"/>
        <w:spacing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固定镜机械臂*</w:t>
      </w:r>
    </w:p>
    <w:p w14:paraId="5E0BF065">
      <w:pPr>
        <w:pStyle w:val="3"/>
        <w:snapToGrid w:val="0"/>
        <w:spacing w:line="300" w:lineRule="auto"/>
        <w:ind w:left="405" w:hanging="405" w:hangingChars="193"/>
        <w:jc w:val="both"/>
        <w:rPr>
          <w:rFonts w:ascii="Arial" w:hAnsi="Arial" w:eastAsia="宋体" w:cs="Arial"/>
          <w:sz w:val="21"/>
          <w:szCs w:val="21"/>
          <w:lang w:eastAsia="zh-CN"/>
        </w:rPr>
      </w:pPr>
    </w:p>
    <w:p w14:paraId="488D9BE3">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说明/图表，对齐方式如何维护、材料规格、光束如何退出机械臂的描述（直径，发散度等）</w:t>
      </w:r>
    </w:p>
    <w:p w14:paraId="62888D26">
      <w:pPr>
        <w:snapToGrid w:val="0"/>
        <w:spacing w:before="6" w:line="300" w:lineRule="auto"/>
        <w:ind w:left="405" w:hanging="405" w:hangingChars="193"/>
        <w:jc w:val="both"/>
        <w:rPr>
          <w:rFonts w:ascii="Arial" w:hAnsi="Arial" w:eastAsia="宋体" w:cs="Arial"/>
          <w:sz w:val="21"/>
          <w:szCs w:val="21"/>
          <w:lang w:eastAsia="zh-CN"/>
        </w:rPr>
      </w:pPr>
    </w:p>
    <w:p w14:paraId="361366B7">
      <w:pPr>
        <w:pStyle w:val="10"/>
        <w:numPr>
          <w:ilvl w:val="0"/>
          <w:numId w:val="8"/>
        </w:numPr>
        <w:tabs>
          <w:tab w:val="left" w:pos="861"/>
        </w:tabs>
        <w:snapToGrid w:val="0"/>
        <w:spacing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光纤*</w:t>
      </w:r>
    </w:p>
    <w:p w14:paraId="7419F5A3">
      <w:pPr>
        <w:pStyle w:val="3"/>
        <w:snapToGrid w:val="0"/>
        <w:spacing w:line="300" w:lineRule="auto"/>
        <w:ind w:left="405" w:hanging="405" w:hangingChars="193"/>
        <w:jc w:val="both"/>
        <w:rPr>
          <w:rFonts w:ascii="Arial" w:hAnsi="Arial" w:eastAsia="宋体" w:cs="Arial"/>
          <w:sz w:val="21"/>
          <w:szCs w:val="21"/>
          <w:lang w:eastAsia="zh-CN"/>
        </w:rPr>
      </w:pPr>
    </w:p>
    <w:p w14:paraId="2E197888">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材料、长度、各种长度的传输、可传输的最大功率、毒性、灭菌、特殊处理要求、与激光和尖端等的耦合描述、同轴能力（如果有）、包层（如果有）、透镜配置 （如果有）、光纤的远端（光斑尺寸、焦距）等</w:t>
      </w:r>
    </w:p>
    <w:p w14:paraId="61C4B196">
      <w:pPr>
        <w:snapToGrid w:val="0"/>
        <w:spacing w:before="6" w:line="300" w:lineRule="auto"/>
        <w:ind w:left="405" w:hanging="405" w:hangingChars="193"/>
        <w:jc w:val="both"/>
        <w:rPr>
          <w:rFonts w:ascii="Arial" w:hAnsi="Arial" w:eastAsia="宋体" w:cs="Arial"/>
          <w:sz w:val="21"/>
          <w:szCs w:val="21"/>
          <w:lang w:eastAsia="zh-CN"/>
        </w:rPr>
      </w:pPr>
    </w:p>
    <w:p w14:paraId="17788273">
      <w:pPr>
        <w:pStyle w:val="10"/>
        <w:numPr>
          <w:ilvl w:val="0"/>
          <w:numId w:val="8"/>
        </w:numPr>
        <w:tabs>
          <w:tab w:val="left" w:pos="861"/>
        </w:tabs>
        <w:snapToGrid w:val="0"/>
        <w:spacing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触头/手术刀*</w:t>
      </w:r>
    </w:p>
    <w:p w14:paraId="7DD9A98F">
      <w:pPr>
        <w:pStyle w:val="3"/>
        <w:snapToGrid w:val="0"/>
        <w:spacing w:line="300" w:lineRule="auto"/>
        <w:ind w:left="405" w:hanging="405" w:hangingChars="193"/>
        <w:jc w:val="both"/>
        <w:rPr>
          <w:rFonts w:ascii="Arial" w:hAnsi="Arial" w:eastAsia="宋体" w:cs="Arial"/>
          <w:sz w:val="21"/>
          <w:szCs w:val="21"/>
          <w:lang w:eastAsia="zh-CN"/>
        </w:rPr>
      </w:pPr>
    </w:p>
    <w:p w14:paraId="6ECB9BA1">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材料和特性、热限制（如果有）、对激光源（如果有）的功率限制、描述（每个提供的尺寸、图表）等</w:t>
      </w:r>
    </w:p>
    <w:p w14:paraId="158215EA">
      <w:pPr>
        <w:snapToGrid w:val="0"/>
        <w:spacing w:before="6" w:line="300" w:lineRule="auto"/>
        <w:ind w:left="405" w:hanging="405" w:hangingChars="193"/>
        <w:jc w:val="both"/>
        <w:rPr>
          <w:rFonts w:ascii="Arial" w:hAnsi="Arial" w:eastAsia="宋体" w:cs="Arial"/>
          <w:sz w:val="21"/>
          <w:szCs w:val="21"/>
          <w:lang w:eastAsia="zh-CN"/>
        </w:rPr>
      </w:pPr>
    </w:p>
    <w:p w14:paraId="0B48DBB6">
      <w:pPr>
        <w:pStyle w:val="10"/>
        <w:numPr>
          <w:ilvl w:val="0"/>
          <w:numId w:val="8"/>
        </w:numPr>
        <w:tabs>
          <w:tab w:val="left" w:pos="861"/>
        </w:tabs>
        <w:snapToGrid w:val="0"/>
        <w:spacing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手机*</w:t>
      </w:r>
    </w:p>
    <w:p w14:paraId="51DB71C7">
      <w:pPr>
        <w:pStyle w:val="3"/>
        <w:snapToGrid w:val="0"/>
        <w:spacing w:line="300" w:lineRule="auto"/>
        <w:ind w:left="405" w:hanging="405" w:hangingChars="193"/>
        <w:jc w:val="both"/>
        <w:rPr>
          <w:rFonts w:ascii="Arial" w:hAnsi="Arial" w:eastAsia="宋体" w:cs="Arial"/>
          <w:sz w:val="21"/>
          <w:szCs w:val="21"/>
          <w:lang w:eastAsia="zh-CN"/>
        </w:rPr>
      </w:pPr>
    </w:p>
    <w:p w14:paraId="4DF278BC">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材料/图表、可接受光纤或波导等的直径限制</w:t>
      </w:r>
    </w:p>
    <w:p w14:paraId="480F036F">
      <w:pPr>
        <w:snapToGrid w:val="0"/>
        <w:spacing w:before="10" w:line="300" w:lineRule="auto"/>
        <w:ind w:left="405" w:hanging="405" w:hangingChars="193"/>
        <w:jc w:val="both"/>
        <w:rPr>
          <w:rFonts w:ascii="Arial" w:hAnsi="Arial" w:eastAsia="宋体" w:cs="Arial"/>
          <w:sz w:val="21"/>
          <w:szCs w:val="21"/>
          <w:lang w:eastAsia="zh-CN"/>
        </w:rPr>
      </w:pPr>
    </w:p>
    <w:p w14:paraId="508DAB55">
      <w:pPr>
        <w:pStyle w:val="10"/>
        <w:numPr>
          <w:ilvl w:val="0"/>
          <w:numId w:val="8"/>
        </w:numPr>
        <w:tabs>
          <w:tab w:val="left" w:pos="861"/>
        </w:tabs>
        <w:snapToGrid w:val="0"/>
        <w:spacing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显微操纵器*</w:t>
      </w:r>
    </w:p>
    <w:p w14:paraId="644BCD99">
      <w:pPr>
        <w:pStyle w:val="3"/>
        <w:snapToGrid w:val="0"/>
        <w:spacing w:line="300" w:lineRule="auto"/>
        <w:ind w:left="405" w:hanging="405" w:hangingChars="193"/>
        <w:jc w:val="both"/>
        <w:rPr>
          <w:rFonts w:ascii="Arial" w:hAnsi="Arial" w:eastAsia="宋体" w:cs="Arial"/>
          <w:sz w:val="21"/>
          <w:szCs w:val="21"/>
          <w:lang w:eastAsia="zh-CN"/>
        </w:rPr>
      </w:pPr>
    </w:p>
    <w:p w14:paraId="00AF0449">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说明和图片/图表、输入功率、光点尺寸、光束对准、光束控制、散焦、对激光源或光纤的附件描述等。</w:t>
      </w:r>
    </w:p>
    <w:p w14:paraId="300F862B">
      <w:pPr>
        <w:snapToGrid w:val="0"/>
        <w:spacing w:before="6" w:line="300" w:lineRule="auto"/>
        <w:ind w:left="405" w:hanging="405" w:hangingChars="193"/>
        <w:jc w:val="both"/>
        <w:rPr>
          <w:rFonts w:ascii="Arial" w:hAnsi="Arial" w:eastAsia="宋体" w:cs="Arial"/>
          <w:sz w:val="21"/>
          <w:szCs w:val="21"/>
          <w:lang w:eastAsia="zh-CN"/>
        </w:rPr>
      </w:pPr>
    </w:p>
    <w:p w14:paraId="68AD41B5">
      <w:pPr>
        <w:rPr>
          <w:rFonts w:ascii="Arial" w:hAnsi="Arial" w:eastAsia="宋体" w:cs="Arial"/>
          <w:sz w:val="21"/>
          <w:szCs w:val="21"/>
          <w:lang w:eastAsia="zh-CN"/>
        </w:rPr>
      </w:pPr>
      <w:r>
        <w:rPr>
          <w:rFonts w:ascii="Arial" w:hAnsi="Arial" w:eastAsia="宋体" w:cs="Arial"/>
          <w:sz w:val="21"/>
          <w:szCs w:val="21"/>
          <w:lang w:eastAsia="zh-CN"/>
        </w:rPr>
        <w:br w:type="page"/>
      </w:r>
    </w:p>
    <w:p w14:paraId="1B024C29">
      <w:pPr>
        <w:pStyle w:val="10"/>
        <w:numPr>
          <w:ilvl w:val="0"/>
          <w:numId w:val="8"/>
        </w:numPr>
        <w:tabs>
          <w:tab w:val="left" w:pos="821"/>
        </w:tabs>
        <w:snapToGrid w:val="0"/>
        <w:spacing w:before="73" w:line="300" w:lineRule="auto"/>
        <w:ind w:left="405" w:hanging="405" w:hangingChars="193"/>
        <w:jc w:val="both"/>
        <w:rPr>
          <w:rFonts w:ascii="Arial" w:hAnsi="Arial" w:eastAsia="宋体" w:cs="Arial"/>
          <w:sz w:val="21"/>
          <w:szCs w:val="21"/>
          <w:lang w:eastAsia="zh-CN"/>
        </w:rPr>
      </w:pPr>
      <w:r>
        <w:rPr>
          <w:rFonts w:ascii="Arial" w:hAnsi="Arial" w:eastAsia="宋体" w:cs="Arial"/>
          <w:sz w:val="21"/>
          <w:szCs w:val="21"/>
          <w:lang w:eastAsia="zh-CN"/>
        </w:rPr>
        <w:t>内窥镜、支气管镜等</w:t>
      </w:r>
    </w:p>
    <w:p w14:paraId="5799ECB3">
      <w:pPr>
        <w:pStyle w:val="3"/>
        <w:tabs>
          <w:tab w:val="left" w:pos="3705"/>
        </w:tabs>
        <w:snapToGrid w:val="0"/>
        <w:spacing w:line="300" w:lineRule="auto"/>
        <w:ind w:left="0"/>
        <w:jc w:val="both"/>
        <w:rPr>
          <w:rFonts w:ascii="Arial" w:hAnsi="Arial" w:eastAsia="宋体" w:cs="Arial"/>
          <w:sz w:val="21"/>
          <w:szCs w:val="21"/>
          <w:lang w:eastAsia="zh-CN"/>
        </w:rPr>
      </w:pPr>
    </w:p>
    <w:p w14:paraId="6957F13B">
      <w:pPr>
        <w:pStyle w:val="3"/>
        <w:snapToGrid w:val="0"/>
        <w:spacing w:line="300" w:lineRule="auto"/>
        <w:ind w:left="376" w:leftChars="171" w:firstLine="6" w:firstLineChars="3"/>
        <w:jc w:val="both"/>
        <w:rPr>
          <w:rFonts w:ascii="Arial" w:hAnsi="Arial" w:eastAsia="宋体" w:cs="Arial"/>
          <w:sz w:val="21"/>
          <w:szCs w:val="21"/>
          <w:lang w:eastAsia="zh-CN"/>
        </w:rPr>
      </w:pPr>
      <w:r>
        <w:rPr>
          <w:rFonts w:ascii="Arial" w:hAnsi="Arial" w:eastAsia="宋体" w:cs="Arial"/>
          <w:sz w:val="21"/>
          <w:szCs w:val="21"/>
          <w:lang w:eastAsia="zh-CN"/>
        </w:rPr>
        <w:t>如果这些是激光器使用的一部分，则应适当地提供关键规格，例如，可以使用的激光器光纤或波导的直径，可使用的通道数等限制 。</w:t>
      </w:r>
    </w:p>
    <w:p w14:paraId="6113E49B">
      <w:pPr>
        <w:snapToGrid w:val="0"/>
        <w:spacing w:before="6" w:line="300" w:lineRule="auto"/>
        <w:jc w:val="both"/>
        <w:rPr>
          <w:rFonts w:ascii="Arial" w:hAnsi="Arial" w:eastAsia="宋体" w:cs="Arial"/>
          <w:sz w:val="21"/>
          <w:szCs w:val="21"/>
          <w:lang w:eastAsia="zh-CN"/>
        </w:rPr>
      </w:pPr>
    </w:p>
    <w:p w14:paraId="04F5F093">
      <w:pPr>
        <w:pStyle w:val="3"/>
        <w:tabs>
          <w:tab w:val="left" w:pos="1540"/>
        </w:tabs>
        <w:snapToGrid w:val="0"/>
        <w:spacing w:line="300" w:lineRule="auto"/>
        <w:ind w:left="865" w:leftChars="170" w:hanging="491" w:hangingChars="247"/>
        <w:jc w:val="both"/>
        <w:rPr>
          <w:rFonts w:ascii="Arial" w:hAnsi="Arial" w:eastAsia="宋体" w:cs="Arial"/>
          <w:sz w:val="21"/>
          <w:szCs w:val="21"/>
          <w:lang w:eastAsia="zh-CN"/>
        </w:rPr>
      </w:pPr>
      <w:r>
        <w:rPr>
          <w:rFonts w:ascii="Arial" w:hAnsi="Arial" w:eastAsia="宋体" w:cs="Arial"/>
          <w:w w:val="95"/>
          <w:sz w:val="21"/>
          <w:szCs w:val="21"/>
          <w:lang w:eastAsia="zh-CN"/>
        </w:rPr>
        <w:t>*</w:t>
      </w:r>
      <w:r>
        <w:rPr>
          <w:rFonts w:ascii="Arial" w:hAnsi="Arial" w:eastAsia="宋体" w:cs="Arial"/>
          <w:w w:val="95"/>
          <w:sz w:val="21"/>
          <w:szCs w:val="21"/>
          <w:lang w:eastAsia="zh-CN"/>
        </w:rPr>
        <w:tab/>
      </w:r>
      <w:r>
        <w:rPr>
          <w:rFonts w:ascii="Arial" w:hAnsi="Arial" w:eastAsia="宋体" w:cs="Arial"/>
          <w:sz w:val="21"/>
          <w:szCs w:val="21"/>
          <w:lang w:eastAsia="zh-CN"/>
        </w:rPr>
        <w:t>光纤、触头/手术刀和显微操纵器的标签应提供足够的信息，以指南用户选择与其激光器相容的附件。</w:t>
      </w:r>
    </w:p>
    <w:p w14:paraId="51A58113">
      <w:pPr>
        <w:snapToGrid w:val="0"/>
        <w:spacing w:before="6" w:line="300" w:lineRule="auto"/>
        <w:jc w:val="both"/>
        <w:rPr>
          <w:rFonts w:ascii="Arial" w:hAnsi="Arial" w:eastAsia="宋体" w:cs="Arial"/>
          <w:sz w:val="21"/>
          <w:szCs w:val="21"/>
          <w:lang w:eastAsia="zh-CN"/>
        </w:rPr>
      </w:pPr>
    </w:p>
    <w:p w14:paraId="31B14E02">
      <w:pPr>
        <w:pStyle w:val="3"/>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如果激光器的技术规格不同，申请人必须提供足够的数据来证明这些特性差异不会影响性能（临床使用、适用性等），并且必须提供足够的使用说明来指南外科医生选择和使用激光器（请参见标签格式）。</w:t>
      </w:r>
    </w:p>
    <w:p w14:paraId="33479266">
      <w:pPr>
        <w:rPr>
          <w:rFonts w:ascii="Arial" w:hAnsi="Arial" w:eastAsia="宋体" w:cs="Arial"/>
          <w:sz w:val="21"/>
          <w:szCs w:val="21"/>
          <w:lang w:eastAsia="zh-CN"/>
        </w:rPr>
      </w:pPr>
      <w:r>
        <w:rPr>
          <w:rFonts w:ascii="Arial" w:hAnsi="Arial" w:eastAsia="宋体" w:cs="Arial"/>
          <w:sz w:val="21"/>
          <w:szCs w:val="21"/>
          <w:lang w:eastAsia="zh-CN"/>
        </w:rPr>
        <w:br w:type="page"/>
      </w:r>
    </w:p>
    <w:p w14:paraId="13E45355">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附件D</w:t>
      </w:r>
    </w:p>
    <w:p w14:paraId="01D7BE46">
      <w:pPr>
        <w:snapToGrid w:val="0"/>
        <w:spacing w:before="10" w:line="300" w:lineRule="auto"/>
        <w:jc w:val="center"/>
        <w:rPr>
          <w:rFonts w:ascii="Arial" w:hAnsi="Arial" w:eastAsia="宋体" w:cs="Arial"/>
          <w:sz w:val="21"/>
          <w:szCs w:val="21"/>
          <w:lang w:eastAsia="zh-CN"/>
        </w:rPr>
      </w:pPr>
    </w:p>
    <w:p w14:paraId="58EE975B">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一般医疗专业性能概况</w:t>
      </w:r>
    </w:p>
    <w:p w14:paraId="3E7AE31E">
      <w:pPr>
        <w:snapToGrid w:val="0"/>
        <w:spacing w:before="1" w:line="300" w:lineRule="auto"/>
        <w:jc w:val="both"/>
        <w:rPr>
          <w:rFonts w:ascii="Arial" w:hAnsi="Arial" w:eastAsia="宋体" w:cs="Arial"/>
          <w:sz w:val="21"/>
          <w:szCs w:val="21"/>
          <w:lang w:eastAsia="zh-CN"/>
        </w:rPr>
      </w:pPr>
    </w:p>
    <w:p w14:paraId="0932BC21">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在FDA收到咨询小组的意见和其他提交资料之后，由FDA进行填写。</w:t>
      </w:r>
    </w:p>
    <w:p w14:paraId="306283AC">
      <w:pPr>
        <w:snapToGrid w:val="0"/>
        <w:spacing w:line="300" w:lineRule="auto"/>
        <w:jc w:val="both"/>
        <w:rPr>
          <w:rFonts w:ascii="Arial" w:hAnsi="Arial" w:eastAsia="宋体" w:cs="Arial"/>
          <w:sz w:val="21"/>
          <w:szCs w:val="21"/>
          <w:lang w:eastAsia="zh-CN"/>
        </w:rPr>
      </w:pPr>
    </w:p>
    <w:p w14:paraId="5C1834DB">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果一般概况无法确定，则一般声明不可接受，并且必须使用特定使用方法。例如，如果存在一个有关临床应用的重要领域且其尚处于研究当中，对主要组织类型的影响尚未评价，在技术上尚不可行或安全性尚未确定。</w:t>
      </w:r>
    </w:p>
    <w:p w14:paraId="49513F1E">
      <w:pPr>
        <w:snapToGrid w:val="0"/>
        <w:spacing w:line="300" w:lineRule="auto"/>
        <w:jc w:val="both"/>
        <w:rPr>
          <w:rFonts w:ascii="Arial" w:hAnsi="Arial" w:eastAsia="宋体" w:cs="Arial"/>
          <w:b/>
          <w:bCs/>
          <w:sz w:val="21"/>
          <w:szCs w:val="21"/>
          <w:lang w:eastAsia="zh-CN"/>
        </w:rPr>
      </w:pPr>
    </w:p>
    <w:p w14:paraId="006C7A34">
      <w:pPr>
        <w:snapToGrid w:val="0"/>
        <w:spacing w:before="9" w:line="300" w:lineRule="auto"/>
        <w:jc w:val="both"/>
        <w:rPr>
          <w:rFonts w:ascii="Arial" w:hAnsi="Arial" w:eastAsia="宋体" w:cs="Arial"/>
          <w:b/>
          <w:bCs/>
          <w:sz w:val="21"/>
          <w:szCs w:val="21"/>
          <w:lang w:eastAsia="zh-CN"/>
        </w:rPr>
      </w:pPr>
    </w:p>
    <w:p w14:paraId="0B6668DA">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普通外科</w:t>
      </w:r>
    </w:p>
    <w:p w14:paraId="4506C960">
      <w:pPr>
        <w:snapToGrid w:val="0"/>
        <w:spacing w:before="1" w:line="300" w:lineRule="auto"/>
        <w:jc w:val="both"/>
        <w:rPr>
          <w:rFonts w:ascii="Arial" w:hAnsi="Arial" w:eastAsia="宋体" w:cs="Arial"/>
          <w:sz w:val="21"/>
          <w:szCs w:val="21"/>
          <w:lang w:eastAsia="zh-CN"/>
        </w:rPr>
      </w:pPr>
    </w:p>
    <w:p w14:paraId="100B3E19">
      <w:pPr>
        <w:snapToGrid w:val="0"/>
        <w:spacing w:before="1" w:line="300" w:lineRule="auto"/>
        <w:jc w:val="both"/>
        <w:rPr>
          <w:rFonts w:ascii="Arial" w:hAnsi="Arial" w:eastAsia="宋体" w:cs="Arial"/>
          <w:sz w:val="21"/>
          <w:szCs w:val="21"/>
          <w:lang w:eastAsia="zh-CN"/>
        </w:rPr>
      </w:pPr>
    </w:p>
    <w:p w14:paraId="670CAF5F">
      <w:pPr>
        <w:pStyle w:val="2"/>
        <w:snapToGrid w:val="0"/>
        <w:spacing w:line="300" w:lineRule="auto"/>
        <w:ind w:left="0" w:firstLine="0"/>
        <w:jc w:val="both"/>
        <w:rPr>
          <w:rFonts w:ascii="Arial" w:hAnsi="Arial" w:eastAsia="宋体" w:cs="Arial"/>
          <w:b w:val="0"/>
          <w:bCs w:val="0"/>
          <w:sz w:val="21"/>
          <w:szCs w:val="21"/>
          <w:lang w:eastAsia="zh-CN"/>
        </w:rPr>
      </w:pPr>
      <w:r>
        <w:rPr>
          <w:rFonts w:ascii="Arial" w:hAnsi="Arial" w:eastAsia="宋体" w:cs="Arial"/>
          <w:sz w:val="21"/>
          <w:szCs w:val="21"/>
          <w:lang w:eastAsia="zh-CN"/>
        </w:rPr>
        <w:t>应提供以下信息：</w:t>
      </w:r>
    </w:p>
    <w:p w14:paraId="53BA948A">
      <w:pPr>
        <w:snapToGrid w:val="0"/>
        <w:spacing w:before="6" w:line="300" w:lineRule="auto"/>
        <w:jc w:val="both"/>
        <w:rPr>
          <w:rFonts w:ascii="Arial" w:hAnsi="Arial" w:eastAsia="宋体" w:cs="Arial"/>
          <w:b/>
          <w:bCs/>
          <w:sz w:val="21"/>
          <w:szCs w:val="21"/>
          <w:lang w:eastAsia="zh-CN"/>
        </w:rPr>
      </w:pPr>
    </w:p>
    <w:p w14:paraId="284230E8">
      <w:pPr>
        <w:pStyle w:val="3"/>
        <w:snapToGrid w:val="0"/>
        <w:spacing w:before="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激光器的物理特性</w:t>
      </w:r>
    </w:p>
    <w:p w14:paraId="679ED136">
      <w:pPr>
        <w:pStyle w:val="3"/>
        <w:snapToGrid w:val="0"/>
        <w:spacing w:before="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可用的输送机制</w:t>
      </w:r>
    </w:p>
    <w:p w14:paraId="1C45D72A">
      <w:pPr>
        <w:pStyle w:val="3"/>
        <w:snapToGrid w:val="0"/>
        <w:spacing w:before="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专业领域内的一般组织类型</w:t>
      </w:r>
    </w:p>
    <w:p w14:paraId="0820273C">
      <w:pPr>
        <w:pStyle w:val="3"/>
        <w:snapToGrid w:val="0"/>
        <w:spacing w:before="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激光对组织的影响</w:t>
      </w:r>
    </w:p>
    <w:p w14:paraId="4BB53C85">
      <w:pPr>
        <w:pStyle w:val="3"/>
        <w:snapToGrid w:val="0"/>
        <w:spacing w:before="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确认一般专业使用的可接受性，包括体外、体内数据和临床数据</w:t>
      </w:r>
    </w:p>
    <w:p w14:paraId="71A7096E">
      <w:pPr>
        <w:snapToGrid w:val="0"/>
        <w:spacing w:line="300" w:lineRule="auto"/>
        <w:jc w:val="both"/>
        <w:rPr>
          <w:rFonts w:ascii="Arial" w:hAnsi="Arial" w:eastAsia="宋体" w:cs="Arial"/>
          <w:sz w:val="21"/>
          <w:szCs w:val="21"/>
          <w:lang w:eastAsia="zh-CN"/>
        </w:rPr>
      </w:pPr>
    </w:p>
    <w:p w14:paraId="6EDF5F61">
      <w:pPr>
        <w:snapToGrid w:val="0"/>
        <w:spacing w:before="4" w:line="300" w:lineRule="auto"/>
        <w:jc w:val="both"/>
        <w:rPr>
          <w:rFonts w:ascii="Arial" w:hAnsi="Arial" w:eastAsia="宋体" w:cs="Arial"/>
          <w:sz w:val="21"/>
          <w:szCs w:val="21"/>
          <w:lang w:eastAsia="zh-CN"/>
        </w:rPr>
      </w:pPr>
    </w:p>
    <w:p w14:paraId="47C70AB5">
      <w:pPr>
        <w:pStyle w:val="3"/>
        <w:snapToGrid w:val="0"/>
        <w:spacing w:line="300" w:lineRule="auto"/>
        <w:ind w:left="0"/>
        <w:jc w:val="center"/>
        <w:rPr>
          <w:rFonts w:ascii="Arial" w:hAnsi="Arial" w:eastAsia="宋体" w:cs="Arial"/>
          <w:sz w:val="21"/>
          <w:szCs w:val="21"/>
          <w:u w:val="single"/>
          <w:lang w:eastAsia="zh-CN"/>
        </w:rPr>
      </w:pPr>
      <w:r>
        <w:rPr>
          <w:rFonts w:hint="eastAsia" w:ascii="Arial" w:hAnsi="Arial" w:eastAsia="宋体" w:cs="Arial"/>
          <w:sz w:val="21"/>
          <w:szCs w:val="21"/>
          <w:u w:val="single"/>
          <w:lang w:eastAsia="zh-CN"/>
        </w:rPr>
        <w:t>其他相关概括</w:t>
      </w:r>
    </w:p>
    <w:p w14:paraId="7730A9E9">
      <w:pPr>
        <w:snapToGrid w:val="0"/>
        <w:spacing w:before="6" w:line="300" w:lineRule="auto"/>
        <w:jc w:val="center"/>
        <w:rPr>
          <w:rFonts w:ascii="Arial" w:hAnsi="Arial" w:eastAsia="宋体" w:cs="Arial"/>
          <w:sz w:val="21"/>
          <w:szCs w:val="21"/>
          <w:lang w:eastAsia="zh-CN"/>
        </w:rPr>
      </w:pPr>
    </w:p>
    <w:p w14:paraId="658F32D9">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泌尿科</w:t>
      </w:r>
    </w:p>
    <w:p w14:paraId="7B4CAE3F">
      <w:pPr>
        <w:pStyle w:val="3"/>
        <w:snapToGrid w:val="0"/>
        <w:spacing w:before="73"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皮肤科</w:t>
      </w:r>
    </w:p>
    <w:p w14:paraId="03508C0F">
      <w:pPr>
        <w:pStyle w:val="3"/>
        <w:snapToGrid w:val="0"/>
        <w:spacing w:before="73" w:line="300" w:lineRule="auto"/>
        <w:ind w:left="0"/>
        <w:jc w:val="center"/>
        <w:rPr>
          <w:rFonts w:ascii="Arial" w:hAnsi="Arial" w:eastAsia="宋体" w:cs="Arial"/>
          <w:sz w:val="21"/>
          <w:szCs w:val="21"/>
        </w:rPr>
      </w:pPr>
      <w:r>
        <w:rPr>
          <w:rFonts w:ascii="Arial" w:hAnsi="Arial" w:eastAsia="宋体" w:cs="Arial"/>
          <w:sz w:val="21"/>
          <w:szCs w:val="21"/>
        </w:rPr>
        <w:t>骨科</w:t>
      </w:r>
    </w:p>
    <w:p w14:paraId="66BF77A1">
      <w:pPr>
        <w:pStyle w:val="3"/>
        <w:snapToGrid w:val="0"/>
        <w:spacing w:before="73" w:line="300" w:lineRule="auto"/>
        <w:ind w:left="0"/>
        <w:jc w:val="center"/>
        <w:rPr>
          <w:rFonts w:ascii="Arial" w:hAnsi="Arial" w:eastAsia="宋体" w:cs="Arial"/>
          <w:sz w:val="21"/>
          <w:szCs w:val="21"/>
        </w:rPr>
      </w:pPr>
      <w:r>
        <w:rPr>
          <w:rFonts w:ascii="Arial" w:hAnsi="Arial" w:eastAsia="宋体" w:cs="Arial"/>
          <w:sz w:val="21"/>
          <w:szCs w:val="21"/>
        </w:rPr>
        <w:t>神经学</w:t>
      </w:r>
    </w:p>
    <w:p w14:paraId="4B4C7C52">
      <w:pPr>
        <w:snapToGrid w:val="0"/>
        <w:spacing w:line="300" w:lineRule="auto"/>
        <w:jc w:val="both"/>
        <w:rPr>
          <w:rFonts w:hint="eastAsia" w:eastAsia="宋体"/>
          <w:lang w:eastAsia="zh-CN"/>
        </w:rPr>
      </w:pPr>
    </w:p>
    <w:p w14:paraId="307FDA5D">
      <w:pPr>
        <w:snapToGrid w:val="0"/>
        <w:spacing w:line="300" w:lineRule="auto"/>
        <w:jc w:val="center"/>
        <w:rPr>
          <w:rFonts w:hint="eastAsia" w:eastAsia="宋体"/>
          <w:lang w:eastAsia="zh-CN"/>
        </w:rPr>
      </w:pPr>
    </w:p>
    <w:p w14:paraId="7F6CCF8B">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2240" w:h="15840"/>
      <w:pgMar w:top="1134" w:right="1134" w:bottom="1134" w:left="1134" w:header="850" w:footer="85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201660982"/>
      <w:docPartObj>
        <w:docPartGallery w:val="AutoText"/>
      </w:docPartObj>
    </w:sdtPr>
    <w:sdtEndPr>
      <w:rPr>
        <w:rFonts w:ascii="Arial" w:hAnsi="Arial" w:cs="Arial"/>
      </w:rPr>
    </w:sdtEndPr>
    <w:sdtContent>
      <w:p w14:paraId="5DE95E28">
        <w:pPr>
          <w:pStyle w:val="5"/>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27</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8AB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506E">
    <w:pPr>
      <w:tabs>
        <w:tab w:val="left" w:pos="4354"/>
      </w:tabs>
      <w:ind w:left="20"/>
      <w:rPr>
        <w:rFonts w:ascii="Arial" w:hAnsi="Arial" w:eastAsia="宋体" w:cs="Arial"/>
        <w:sz w:val="21"/>
        <w:szCs w:val="21"/>
        <w:lang w:eastAsia="zh-CN"/>
      </w:rPr>
    </w:pPr>
    <w:r>
      <w:rPr>
        <w:rFonts w:ascii="Arial" w:hAnsi="Arial" w:eastAsia="宋体" w:cs="Arial"/>
        <w:sz w:val="21"/>
        <w:szCs w:val="21"/>
        <w:lang w:eastAsia="zh-CN"/>
      </w:rPr>
      <w:t>激光器指南</w:t>
    </w:r>
    <w:r>
      <w:rPr>
        <w:rFonts w:ascii="Arial" w:hAnsi="Arial" w:eastAsia="宋体" w:cs="Arial"/>
        <w:sz w:val="21"/>
        <w:szCs w:val="21"/>
      </w:rPr>
      <w:t>510</w:t>
    </w:r>
    <w:r>
      <w:rPr>
        <w:rFonts w:ascii="Arial" w:hAnsi="Arial" w:eastAsia="宋体" w:cs="Arial"/>
        <w:sz w:val="21"/>
        <w:szCs w:val="21"/>
        <w:lang w:eastAsia="zh-CN"/>
      </w:rPr>
      <w:t>（k）</w:t>
    </w:r>
    <w:r>
      <w:rPr>
        <w:rFonts w:ascii="Arial" w:hAnsi="Arial" w:eastAsia="宋体" w:cs="Arial"/>
        <w:sz w:val="21"/>
        <w:szCs w:val="21"/>
        <w:lang w:eastAsia="zh-CN"/>
      </w:rPr>
      <w:tab/>
    </w:r>
    <w:r>
      <w:rPr>
        <w:rFonts w:ascii="Arial" w:hAnsi="Arial" w:eastAsia="宋体" w:cs="Arial"/>
        <w:b/>
        <w:sz w:val="21"/>
        <w:szCs w:val="21"/>
        <w:lang w:eastAsia="zh-CN"/>
      </w:rPr>
      <w:t>草案</w:t>
    </w:r>
  </w:p>
  <w:p w14:paraId="45EAD2A8">
    <w:pPr>
      <w:pStyle w:val="3"/>
      <w:ind w:left="20"/>
      <w:rPr>
        <w:rFonts w:ascii="Courier New" w:hAnsi="Courier New" w:cs="Courier New" w:eastAsiaTheme="minorEastAsia"/>
        <w:lang w:eastAsia="zh-CN"/>
      </w:rPr>
    </w:pPr>
  </w:p>
  <w:p w14:paraId="74F6D007">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33023"/>
    <w:multiLevelType w:val="multilevel"/>
    <w:tmpl w:val="03F33023"/>
    <w:lvl w:ilvl="0" w:tentative="0">
      <w:start w:val="1"/>
      <w:numFmt w:val="bullet"/>
      <w:lvlText w:val="•"/>
      <w:lvlJc w:val="left"/>
      <w:pPr>
        <w:ind w:left="1540" w:hanging="720"/>
      </w:pPr>
      <w:rPr>
        <w:rFonts w:hint="default" w:ascii="Times New Roman" w:hAnsi="Times New Roman" w:eastAsia="Times New Roman"/>
        <w:w w:val="99"/>
        <w:sz w:val="20"/>
        <w:szCs w:val="20"/>
      </w:rPr>
    </w:lvl>
    <w:lvl w:ilvl="1" w:tentative="0">
      <w:start w:val="1"/>
      <w:numFmt w:val="bullet"/>
      <w:lvlText w:val="•"/>
      <w:lvlJc w:val="left"/>
      <w:pPr>
        <w:ind w:left="2338" w:hanging="720"/>
      </w:pPr>
      <w:rPr>
        <w:rFonts w:hint="default"/>
      </w:rPr>
    </w:lvl>
    <w:lvl w:ilvl="2" w:tentative="0">
      <w:start w:val="1"/>
      <w:numFmt w:val="bullet"/>
      <w:lvlText w:val="•"/>
      <w:lvlJc w:val="left"/>
      <w:pPr>
        <w:ind w:left="3136" w:hanging="720"/>
      </w:pPr>
      <w:rPr>
        <w:rFonts w:hint="default"/>
      </w:rPr>
    </w:lvl>
    <w:lvl w:ilvl="3" w:tentative="0">
      <w:start w:val="1"/>
      <w:numFmt w:val="bullet"/>
      <w:lvlText w:val="•"/>
      <w:lvlJc w:val="left"/>
      <w:pPr>
        <w:ind w:left="3934" w:hanging="720"/>
      </w:pPr>
      <w:rPr>
        <w:rFonts w:hint="default"/>
      </w:rPr>
    </w:lvl>
    <w:lvl w:ilvl="4" w:tentative="0">
      <w:start w:val="1"/>
      <w:numFmt w:val="bullet"/>
      <w:lvlText w:val="•"/>
      <w:lvlJc w:val="left"/>
      <w:pPr>
        <w:ind w:left="4732" w:hanging="720"/>
      </w:pPr>
      <w:rPr>
        <w:rFonts w:hint="default"/>
      </w:rPr>
    </w:lvl>
    <w:lvl w:ilvl="5" w:tentative="0">
      <w:start w:val="1"/>
      <w:numFmt w:val="bullet"/>
      <w:lvlText w:val="•"/>
      <w:lvlJc w:val="left"/>
      <w:pPr>
        <w:ind w:left="5530" w:hanging="720"/>
      </w:pPr>
      <w:rPr>
        <w:rFonts w:hint="default"/>
      </w:rPr>
    </w:lvl>
    <w:lvl w:ilvl="6" w:tentative="0">
      <w:start w:val="1"/>
      <w:numFmt w:val="bullet"/>
      <w:lvlText w:val="•"/>
      <w:lvlJc w:val="left"/>
      <w:pPr>
        <w:ind w:left="6328" w:hanging="720"/>
      </w:pPr>
      <w:rPr>
        <w:rFonts w:hint="default"/>
      </w:rPr>
    </w:lvl>
    <w:lvl w:ilvl="7" w:tentative="0">
      <w:start w:val="1"/>
      <w:numFmt w:val="bullet"/>
      <w:lvlText w:val="•"/>
      <w:lvlJc w:val="left"/>
      <w:pPr>
        <w:ind w:left="7126" w:hanging="720"/>
      </w:pPr>
      <w:rPr>
        <w:rFonts w:hint="default"/>
      </w:rPr>
    </w:lvl>
    <w:lvl w:ilvl="8" w:tentative="0">
      <w:start w:val="1"/>
      <w:numFmt w:val="bullet"/>
      <w:lvlText w:val="•"/>
      <w:lvlJc w:val="left"/>
      <w:pPr>
        <w:ind w:left="7924" w:hanging="720"/>
      </w:pPr>
      <w:rPr>
        <w:rFonts w:hint="default"/>
      </w:rPr>
    </w:lvl>
  </w:abstractNum>
  <w:abstractNum w:abstractNumId="1">
    <w:nsid w:val="07EB72D9"/>
    <w:multiLevelType w:val="multilevel"/>
    <w:tmpl w:val="07EB72D9"/>
    <w:lvl w:ilvl="0" w:tentative="0">
      <w:start w:val="1"/>
      <w:numFmt w:val="upperLetter"/>
      <w:lvlText w:val="%1."/>
      <w:lvlJc w:val="left"/>
      <w:pPr>
        <w:ind w:left="820" w:hanging="720"/>
      </w:pPr>
      <w:rPr>
        <w:rFonts w:hint="default" w:ascii="Arial" w:hAnsi="Arial" w:eastAsia="Times New Roman" w:cs="Arial"/>
        <w:b/>
        <w:bCs/>
        <w:w w:val="99"/>
        <w:sz w:val="21"/>
        <w:szCs w:val="21"/>
      </w:rPr>
    </w:lvl>
    <w:lvl w:ilvl="1" w:tentative="0">
      <w:start w:val="1"/>
      <w:numFmt w:val="decimal"/>
      <w:lvlText w:val="%2."/>
      <w:lvlJc w:val="left"/>
      <w:pPr>
        <w:ind w:left="1540" w:hanging="720"/>
      </w:pPr>
      <w:rPr>
        <w:rFonts w:hint="default" w:ascii="Arial" w:hAnsi="Arial" w:eastAsia="Times New Roman" w:cs="Arial"/>
        <w:w w:val="99"/>
        <w:sz w:val="21"/>
        <w:szCs w:val="21"/>
      </w:rPr>
    </w:lvl>
    <w:lvl w:ilvl="2" w:tentative="0">
      <w:start w:val="1"/>
      <w:numFmt w:val="bullet"/>
      <w:lvlText w:val="•"/>
      <w:lvlJc w:val="left"/>
      <w:pPr>
        <w:ind w:left="2428" w:hanging="720"/>
      </w:pPr>
      <w:rPr>
        <w:rFonts w:hint="default"/>
      </w:rPr>
    </w:lvl>
    <w:lvl w:ilvl="3" w:tentative="0">
      <w:start w:val="1"/>
      <w:numFmt w:val="bullet"/>
      <w:lvlText w:val="•"/>
      <w:lvlJc w:val="left"/>
      <w:pPr>
        <w:ind w:left="3317" w:hanging="720"/>
      </w:pPr>
      <w:rPr>
        <w:rFonts w:hint="default"/>
      </w:rPr>
    </w:lvl>
    <w:lvl w:ilvl="4" w:tentative="0">
      <w:start w:val="1"/>
      <w:numFmt w:val="bullet"/>
      <w:lvlText w:val="•"/>
      <w:lvlJc w:val="left"/>
      <w:pPr>
        <w:ind w:left="4206" w:hanging="720"/>
      </w:pPr>
      <w:rPr>
        <w:rFonts w:hint="default"/>
      </w:rPr>
    </w:lvl>
    <w:lvl w:ilvl="5" w:tentative="0">
      <w:start w:val="1"/>
      <w:numFmt w:val="bullet"/>
      <w:lvlText w:val="•"/>
      <w:lvlJc w:val="left"/>
      <w:pPr>
        <w:ind w:left="5095" w:hanging="720"/>
      </w:pPr>
      <w:rPr>
        <w:rFonts w:hint="default"/>
      </w:rPr>
    </w:lvl>
    <w:lvl w:ilvl="6" w:tentative="0">
      <w:start w:val="1"/>
      <w:numFmt w:val="bullet"/>
      <w:lvlText w:val="•"/>
      <w:lvlJc w:val="left"/>
      <w:pPr>
        <w:ind w:left="5984" w:hanging="720"/>
      </w:pPr>
      <w:rPr>
        <w:rFonts w:hint="default"/>
      </w:rPr>
    </w:lvl>
    <w:lvl w:ilvl="7" w:tentative="0">
      <w:start w:val="1"/>
      <w:numFmt w:val="bullet"/>
      <w:lvlText w:val="•"/>
      <w:lvlJc w:val="left"/>
      <w:pPr>
        <w:ind w:left="6873" w:hanging="720"/>
      </w:pPr>
      <w:rPr>
        <w:rFonts w:hint="default"/>
      </w:rPr>
    </w:lvl>
    <w:lvl w:ilvl="8" w:tentative="0">
      <w:start w:val="1"/>
      <w:numFmt w:val="bullet"/>
      <w:lvlText w:val="•"/>
      <w:lvlJc w:val="left"/>
      <w:pPr>
        <w:ind w:left="7762" w:hanging="720"/>
      </w:pPr>
      <w:rPr>
        <w:rFonts w:hint="default"/>
      </w:rPr>
    </w:lvl>
  </w:abstractNum>
  <w:abstractNum w:abstractNumId="2">
    <w:nsid w:val="365A514D"/>
    <w:multiLevelType w:val="multilevel"/>
    <w:tmpl w:val="365A514D"/>
    <w:lvl w:ilvl="0" w:tentative="0">
      <w:start w:val="1"/>
      <w:numFmt w:val="upperLetter"/>
      <w:lvlText w:val="%1."/>
      <w:lvlJc w:val="left"/>
      <w:pPr>
        <w:ind w:left="820" w:hanging="720"/>
      </w:pPr>
      <w:rPr>
        <w:rFonts w:hint="default" w:ascii="Arial" w:hAnsi="Arial" w:eastAsia="Times New Roman" w:cs="Arial"/>
        <w:b/>
        <w:bCs/>
        <w:w w:val="99"/>
        <w:sz w:val="21"/>
        <w:szCs w:val="21"/>
      </w:rPr>
    </w:lvl>
    <w:lvl w:ilvl="1" w:tentative="0">
      <w:start w:val="1"/>
      <w:numFmt w:val="decimal"/>
      <w:lvlText w:val="%2."/>
      <w:lvlJc w:val="left"/>
      <w:pPr>
        <w:ind w:left="1540" w:hanging="720"/>
      </w:pPr>
      <w:rPr>
        <w:rFonts w:hint="default" w:ascii="Arial" w:hAnsi="Arial" w:eastAsia="Times New Roman" w:cs="Arial"/>
        <w:w w:val="99"/>
        <w:sz w:val="21"/>
        <w:szCs w:val="21"/>
      </w:rPr>
    </w:lvl>
    <w:lvl w:ilvl="2" w:tentative="0">
      <w:start w:val="1"/>
      <w:numFmt w:val="bullet"/>
      <w:lvlText w:val="•"/>
      <w:lvlJc w:val="left"/>
      <w:pPr>
        <w:ind w:left="2426" w:hanging="720"/>
      </w:pPr>
      <w:rPr>
        <w:rFonts w:hint="default"/>
      </w:rPr>
    </w:lvl>
    <w:lvl w:ilvl="3" w:tentative="0">
      <w:start w:val="1"/>
      <w:numFmt w:val="bullet"/>
      <w:lvlText w:val="•"/>
      <w:lvlJc w:val="left"/>
      <w:pPr>
        <w:ind w:left="3313" w:hanging="720"/>
      </w:pPr>
      <w:rPr>
        <w:rFonts w:hint="default"/>
      </w:rPr>
    </w:lvl>
    <w:lvl w:ilvl="4" w:tentative="0">
      <w:start w:val="1"/>
      <w:numFmt w:val="bullet"/>
      <w:lvlText w:val="•"/>
      <w:lvlJc w:val="left"/>
      <w:pPr>
        <w:ind w:left="4200" w:hanging="720"/>
      </w:pPr>
      <w:rPr>
        <w:rFonts w:hint="default"/>
      </w:rPr>
    </w:lvl>
    <w:lvl w:ilvl="5" w:tentative="0">
      <w:start w:val="1"/>
      <w:numFmt w:val="bullet"/>
      <w:lvlText w:val="•"/>
      <w:lvlJc w:val="left"/>
      <w:pPr>
        <w:ind w:left="5086" w:hanging="720"/>
      </w:pPr>
      <w:rPr>
        <w:rFonts w:hint="default"/>
      </w:rPr>
    </w:lvl>
    <w:lvl w:ilvl="6" w:tentative="0">
      <w:start w:val="1"/>
      <w:numFmt w:val="bullet"/>
      <w:lvlText w:val="•"/>
      <w:lvlJc w:val="left"/>
      <w:pPr>
        <w:ind w:left="5973" w:hanging="720"/>
      </w:pPr>
      <w:rPr>
        <w:rFonts w:hint="default"/>
      </w:rPr>
    </w:lvl>
    <w:lvl w:ilvl="7" w:tentative="0">
      <w:start w:val="1"/>
      <w:numFmt w:val="bullet"/>
      <w:lvlText w:val="•"/>
      <w:lvlJc w:val="left"/>
      <w:pPr>
        <w:ind w:left="6860" w:hanging="720"/>
      </w:pPr>
      <w:rPr>
        <w:rFonts w:hint="default"/>
      </w:rPr>
    </w:lvl>
    <w:lvl w:ilvl="8" w:tentative="0">
      <w:start w:val="1"/>
      <w:numFmt w:val="bullet"/>
      <w:lvlText w:val="•"/>
      <w:lvlJc w:val="left"/>
      <w:pPr>
        <w:ind w:left="7746" w:hanging="720"/>
      </w:pPr>
      <w:rPr>
        <w:rFonts w:hint="default"/>
      </w:rPr>
    </w:lvl>
  </w:abstractNum>
  <w:abstractNum w:abstractNumId="3">
    <w:nsid w:val="4DDB0007"/>
    <w:multiLevelType w:val="multilevel"/>
    <w:tmpl w:val="4DDB0007"/>
    <w:lvl w:ilvl="0" w:tentative="0">
      <w:start w:val="1"/>
      <w:numFmt w:val="upperLetter"/>
      <w:lvlText w:val="%1."/>
      <w:lvlJc w:val="left"/>
      <w:pPr>
        <w:ind w:left="820" w:hanging="720"/>
      </w:pPr>
      <w:rPr>
        <w:rFonts w:hint="default" w:ascii="Arial" w:hAnsi="Arial" w:eastAsia="Times New Roman" w:cs="Arial"/>
        <w:b/>
        <w:bCs/>
        <w:w w:val="99"/>
        <w:sz w:val="20"/>
        <w:szCs w:val="20"/>
      </w:rPr>
    </w:lvl>
    <w:lvl w:ilvl="1" w:tentative="0">
      <w:start w:val="1"/>
      <w:numFmt w:val="decimal"/>
      <w:lvlText w:val="%2."/>
      <w:lvlJc w:val="left"/>
      <w:pPr>
        <w:ind w:left="1540" w:hanging="721"/>
      </w:pPr>
      <w:rPr>
        <w:rFonts w:hint="default" w:ascii="Arial" w:hAnsi="Arial" w:eastAsia="Times New Roman" w:cs="Arial"/>
        <w:spacing w:val="0"/>
        <w:w w:val="99"/>
        <w:sz w:val="21"/>
        <w:szCs w:val="21"/>
      </w:rPr>
    </w:lvl>
    <w:lvl w:ilvl="2" w:tentative="0">
      <w:start w:val="1"/>
      <w:numFmt w:val="bullet"/>
      <w:lvlText w:val="•"/>
      <w:lvlJc w:val="left"/>
      <w:pPr>
        <w:ind w:left="1540" w:hanging="721"/>
      </w:pPr>
      <w:rPr>
        <w:rFonts w:hint="default"/>
      </w:rPr>
    </w:lvl>
    <w:lvl w:ilvl="3" w:tentative="0">
      <w:start w:val="1"/>
      <w:numFmt w:val="bullet"/>
      <w:lvlText w:val="•"/>
      <w:lvlJc w:val="left"/>
      <w:pPr>
        <w:ind w:left="2535" w:hanging="721"/>
      </w:pPr>
      <w:rPr>
        <w:rFonts w:hint="default"/>
      </w:rPr>
    </w:lvl>
    <w:lvl w:ilvl="4" w:tentative="0">
      <w:start w:val="1"/>
      <w:numFmt w:val="bullet"/>
      <w:lvlText w:val="•"/>
      <w:lvlJc w:val="left"/>
      <w:pPr>
        <w:ind w:left="3530" w:hanging="721"/>
      </w:pPr>
      <w:rPr>
        <w:rFonts w:hint="default"/>
      </w:rPr>
    </w:lvl>
    <w:lvl w:ilvl="5" w:tentative="0">
      <w:start w:val="1"/>
      <w:numFmt w:val="bullet"/>
      <w:lvlText w:val="•"/>
      <w:lvlJc w:val="left"/>
      <w:pPr>
        <w:ind w:left="4525" w:hanging="721"/>
      </w:pPr>
      <w:rPr>
        <w:rFonts w:hint="default"/>
      </w:rPr>
    </w:lvl>
    <w:lvl w:ilvl="6" w:tentative="0">
      <w:start w:val="1"/>
      <w:numFmt w:val="bullet"/>
      <w:lvlText w:val="•"/>
      <w:lvlJc w:val="left"/>
      <w:pPr>
        <w:ind w:left="5520" w:hanging="721"/>
      </w:pPr>
      <w:rPr>
        <w:rFonts w:hint="default"/>
      </w:rPr>
    </w:lvl>
    <w:lvl w:ilvl="7" w:tentative="0">
      <w:start w:val="1"/>
      <w:numFmt w:val="bullet"/>
      <w:lvlText w:val="•"/>
      <w:lvlJc w:val="left"/>
      <w:pPr>
        <w:ind w:left="6515" w:hanging="721"/>
      </w:pPr>
      <w:rPr>
        <w:rFonts w:hint="default"/>
      </w:rPr>
    </w:lvl>
    <w:lvl w:ilvl="8" w:tentative="0">
      <w:start w:val="1"/>
      <w:numFmt w:val="bullet"/>
      <w:lvlText w:val="•"/>
      <w:lvlJc w:val="left"/>
      <w:pPr>
        <w:ind w:left="7510" w:hanging="721"/>
      </w:pPr>
      <w:rPr>
        <w:rFonts w:hint="default"/>
      </w:rPr>
    </w:lvl>
  </w:abstractNum>
  <w:abstractNum w:abstractNumId="4">
    <w:nsid w:val="60F96E0E"/>
    <w:multiLevelType w:val="multilevel"/>
    <w:tmpl w:val="60F96E0E"/>
    <w:lvl w:ilvl="0" w:tentative="0">
      <w:start w:val="1"/>
      <w:numFmt w:val="bullet"/>
      <w:lvlText w:val=""/>
      <w:lvlJc w:val="left"/>
      <w:pPr>
        <w:ind w:left="1540" w:hanging="720"/>
      </w:pPr>
      <w:rPr>
        <w:rFonts w:hint="default" w:ascii="Wingdings 2" w:hAnsi="Wingdings 2"/>
        <w:w w:val="74"/>
        <w:sz w:val="20"/>
        <w:szCs w:val="20"/>
      </w:rPr>
    </w:lvl>
    <w:lvl w:ilvl="1" w:tentative="0">
      <w:start w:val="1"/>
      <w:numFmt w:val="bullet"/>
      <w:lvlText w:val="•"/>
      <w:lvlJc w:val="left"/>
      <w:pPr>
        <w:ind w:left="2342" w:hanging="720"/>
      </w:pPr>
      <w:rPr>
        <w:rFonts w:hint="default"/>
      </w:rPr>
    </w:lvl>
    <w:lvl w:ilvl="2" w:tentative="0">
      <w:start w:val="1"/>
      <w:numFmt w:val="bullet"/>
      <w:lvlText w:val="•"/>
      <w:lvlJc w:val="left"/>
      <w:pPr>
        <w:ind w:left="3144" w:hanging="720"/>
      </w:pPr>
      <w:rPr>
        <w:rFonts w:hint="default"/>
      </w:rPr>
    </w:lvl>
    <w:lvl w:ilvl="3" w:tentative="0">
      <w:start w:val="1"/>
      <w:numFmt w:val="bullet"/>
      <w:lvlText w:val="•"/>
      <w:lvlJc w:val="left"/>
      <w:pPr>
        <w:ind w:left="3946" w:hanging="720"/>
      </w:pPr>
      <w:rPr>
        <w:rFonts w:hint="default"/>
      </w:rPr>
    </w:lvl>
    <w:lvl w:ilvl="4" w:tentative="0">
      <w:start w:val="1"/>
      <w:numFmt w:val="bullet"/>
      <w:lvlText w:val="•"/>
      <w:lvlJc w:val="left"/>
      <w:pPr>
        <w:ind w:left="4748" w:hanging="720"/>
      </w:pPr>
      <w:rPr>
        <w:rFonts w:hint="default"/>
      </w:rPr>
    </w:lvl>
    <w:lvl w:ilvl="5" w:tentative="0">
      <w:start w:val="1"/>
      <w:numFmt w:val="bullet"/>
      <w:lvlText w:val="•"/>
      <w:lvlJc w:val="left"/>
      <w:pPr>
        <w:ind w:left="5550" w:hanging="720"/>
      </w:pPr>
      <w:rPr>
        <w:rFonts w:hint="default"/>
      </w:rPr>
    </w:lvl>
    <w:lvl w:ilvl="6" w:tentative="0">
      <w:start w:val="1"/>
      <w:numFmt w:val="bullet"/>
      <w:lvlText w:val="•"/>
      <w:lvlJc w:val="left"/>
      <w:pPr>
        <w:ind w:left="6352" w:hanging="720"/>
      </w:pPr>
      <w:rPr>
        <w:rFonts w:hint="default"/>
      </w:rPr>
    </w:lvl>
    <w:lvl w:ilvl="7" w:tentative="0">
      <w:start w:val="1"/>
      <w:numFmt w:val="bullet"/>
      <w:lvlText w:val="•"/>
      <w:lvlJc w:val="left"/>
      <w:pPr>
        <w:ind w:left="7154" w:hanging="720"/>
      </w:pPr>
      <w:rPr>
        <w:rFonts w:hint="default"/>
      </w:rPr>
    </w:lvl>
    <w:lvl w:ilvl="8" w:tentative="0">
      <w:start w:val="1"/>
      <w:numFmt w:val="bullet"/>
      <w:lvlText w:val="•"/>
      <w:lvlJc w:val="left"/>
      <w:pPr>
        <w:ind w:left="7956" w:hanging="720"/>
      </w:pPr>
      <w:rPr>
        <w:rFonts w:hint="default"/>
      </w:rPr>
    </w:lvl>
  </w:abstractNum>
  <w:abstractNum w:abstractNumId="5">
    <w:nsid w:val="66035B28"/>
    <w:multiLevelType w:val="multilevel"/>
    <w:tmpl w:val="66035B28"/>
    <w:lvl w:ilvl="0" w:tentative="0">
      <w:start w:val="1"/>
      <w:numFmt w:val="upperLetter"/>
      <w:lvlText w:val="%1."/>
      <w:lvlJc w:val="left"/>
      <w:pPr>
        <w:ind w:left="820" w:hanging="720"/>
      </w:pPr>
      <w:rPr>
        <w:rFonts w:hint="default" w:ascii="Arial" w:hAnsi="Arial" w:eastAsia="Times New Roman" w:cs="Arial"/>
        <w:b/>
        <w:bCs/>
        <w:w w:val="99"/>
        <w:sz w:val="21"/>
        <w:szCs w:val="21"/>
      </w:rPr>
    </w:lvl>
    <w:lvl w:ilvl="1" w:tentative="0">
      <w:start w:val="1"/>
      <w:numFmt w:val="decimal"/>
      <w:lvlText w:val="%2."/>
      <w:lvlJc w:val="left"/>
      <w:pPr>
        <w:ind w:left="2260" w:hanging="720"/>
      </w:pPr>
      <w:rPr>
        <w:rFonts w:hint="default" w:ascii="Arial" w:hAnsi="Arial" w:eastAsia="Times New Roman" w:cs="Arial"/>
        <w:w w:val="99"/>
        <w:sz w:val="21"/>
        <w:szCs w:val="21"/>
      </w:rPr>
    </w:lvl>
    <w:lvl w:ilvl="2" w:tentative="0">
      <w:start w:val="1"/>
      <w:numFmt w:val="bullet"/>
      <w:lvlText w:val="•"/>
      <w:lvlJc w:val="left"/>
      <w:pPr>
        <w:ind w:left="2260" w:hanging="720"/>
      </w:pPr>
      <w:rPr>
        <w:rFonts w:hint="default"/>
      </w:rPr>
    </w:lvl>
    <w:lvl w:ilvl="3" w:tentative="0">
      <w:start w:val="1"/>
      <w:numFmt w:val="bullet"/>
      <w:lvlText w:val="•"/>
      <w:lvlJc w:val="left"/>
      <w:pPr>
        <w:ind w:left="3170" w:hanging="720"/>
      </w:pPr>
      <w:rPr>
        <w:rFonts w:hint="default"/>
      </w:rPr>
    </w:lvl>
    <w:lvl w:ilvl="4" w:tentative="0">
      <w:start w:val="1"/>
      <w:numFmt w:val="bullet"/>
      <w:lvlText w:val="•"/>
      <w:lvlJc w:val="left"/>
      <w:pPr>
        <w:ind w:left="4080" w:hanging="720"/>
      </w:pPr>
      <w:rPr>
        <w:rFonts w:hint="default"/>
      </w:rPr>
    </w:lvl>
    <w:lvl w:ilvl="5" w:tentative="0">
      <w:start w:val="1"/>
      <w:numFmt w:val="bullet"/>
      <w:lvlText w:val="•"/>
      <w:lvlJc w:val="left"/>
      <w:pPr>
        <w:ind w:left="4990" w:hanging="720"/>
      </w:pPr>
      <w:rPr>
        <w:rFonts w:hint="default"/>
      </w:rPr>
    </w:lvl>
    <w:lvl w:ilvl="6" w:tentative="0">
      <w:start w:val="1"/>
      <w:numFmt w:val="bullet"/>
      <w:lvlText w:val="•"/>
      <w:lvlJc w:val="left"/>
      <w:pPr>
        <w:ind w:left="5900" w:hanging="720"/>
      </w:pPr>
      <w:rPr>
        <w:rFonts w:hint="default"/>
      </w:rPr>
    </w:lvl>
    <w:lvl w:ilvl="7" w:tentative="0">
      <w:start w:val="1"/>
      <w:numFmt w:val="bullet"/>
      <w:lvlText w:val="•"/>
      <w:lvlJc w:val="left"/>
      <w:pPr>
        <w:ind w:left="6810" w:hanging="720"/>
      </w:pPr>
      <w:rPr>
        <w:rFonts w:hint="default"/>
      </w:rPr>
    </w:lvl>
    <w:lvl w:ilvl="8" w:tentative="0">
      <w:start w:val="1"/>
      <w:numFmt w:val="bullet"/>
      <w:lvlText w:val="•"/>
      <w:lvlJc w:val="left"/>
      <w:pPr>
        <w:ind w:left="7720" w:hanging="720"/>
      </w:pPr>
      <w:rPr>
        <w:rFonts w:hint="default"/>
      </w:rPr>
    </w:lvl>
  </w:abstractNum>
  <w:abstractNum w:abstractNumId="6">
    <w:nsid w:val="69AD5B0A"/>
    <w:multiLevelType w:val="multilevel"/>
    <w:tmpl w:val="69AD5B0A"/>
    <w:lvl w:ilvl="0" w:tentative="0">
      <w:start w:val="1"/>
      <w:numFmt w:val="upperRoman"/>
      <w:lvlText w:val="%1."/>
      <w:lvlJc w:val="left"/>
      <w:pPr>
        <w:ind w:left="821" w:hanging="721"/>
      </w:pPr>
      <w:rPr>
        <w:rFonts w:hint="default" w:ascii="Arial" w:hAnsi="Arial" w:eastAsia="Times New Roman" w:cs="Arial"/>
        <w:b/>
        <w:bCs/>
        <w:w w:val="99"/>
        <w:sz w:val="21"/>
        <w:szCs w:val="21"/>
      </w:rPr>
    </w:lvl>
    <w:lvl w:ilvl="1" w:tentative="0">
      <w:start w:val="1"/>
      <w:numFmt w:val="bullet"/>
      <w:lvlText w:val="•"/>
      <w:lvlJc w:val="left"/>
      <w:pPr>
        <w:ind w:left="1688" w:hanging="721"/>
      </w:pPr>
      <w:rPr>
        <w:rFonts w:hint="default"/>
      </w:rPr>
    </w:lvl>
    <w:lvl w:ilvl="2" w:tentative="0">
      <w:start w:val="1"/>
      <w:numFmt w:val="bullet"/>
      <w:lvlText w:val="•"/>
      <w:lvlJc w:val="left"/>
      <w:pPr>
        <w:ind w:left="2556" w:hanging="721"/>
      </w:pPr>
      <w:rPr>
        <w:rFonts w:hint="default"/>
      </w:rPr>
    </w:lvl>
    <w:lvl w:ilvl="3" w:tentative="0">
      <w:start w:val="1"/>
      <w:numFmt w:val="bullet"/>
      <w:lvlText w:val="•"/>
      <w:lvlJc w:val="left"/>
      <w:pPr>
        <w:ind w:left="3424" w:hanging="721"/>
      </w:pPr>
      <w:rPr>
        <w:rFonts w:hint="default"/>
      </w:rPr>
    </w:lvl>
    <w:lvl w:ilvl="4" w:tentative="0">
      <w:start w:val="1"/>
      <w:numFmt w:val="bullet"/>
      <w:lvlText w:val="•"/>
      <w:lvlJc w:val="left"/>
      <w:pPr>
        <w:ind w:left="4292" w:hanging="721"/>
      </w:pPr>
      <w:rPr>
        <w:rFonts w:hint="default"/>
      </w:rPr>
    </w:lvl>
    <w:lvl w:ilvl="5" w:tentative="0">
      <w:start w:val="1"/>
      <w:numFmt w:val="bullet"/>
      <w:lvlText w:val="•"/>
      <w:lvlJc w:val="left"/>
      <w:pPr>
        <w:ind w:left="5160" w:hanging="721"/>
      </w:pPr>
      <w:rPr>
        <w:rFonts w:hint="default"/>
      </w:rPr>
    </w:lvl>
    <w:lvl w:ilvl="6" w:tentative="0">
      <w:start w:val="1"/>
      <w:numFmt w:val="bullet"/>
      <w:lvlText w:val="•"/>
      <w:lvlJc w:val="left"/>
      <w:pPr>
        <w:ind w:left="6028" w:hanging="721"/>
      </w:pPr>
      <w:rPr>
        <w:rFonts w:hint="default"/>
      </w:rPr>
    </w:lvl>
    <w:lvl w:ilvl="7" w:tentative="0">
      <w:start w:val="1"/>
      <w:numFmt w:val="bullet"/>
      <w:lvlText w:val="•"/>
      <w:lvlJc w:val="left"/>
      <w:pPr>
        <w:ind w:left="6896" w:hanging="721"/>
      </w:pPr>
      <w:rPr>
        <w:rFonts w:hint="default"/>
      </w:rPr>
    </w:lvl>
    <w:lvl w:ilvl="8" w:tentative="0">
      <w:start w:val="1"/>
      <w:numFmt w:val="bullet"/>
      <w:lvlText w:val="•"/>
      <w:lvlJc w:val="left"/>
      <w:pPr>
        <w:ind w:left="7764" w:hanging="721"/>
      </w:pPr>
      <w:rPr>
        <w:rFonts w:hint="default"/>
      </w:rPr>
    </w:lvl>
  </w:abstractNum>
  <w:abstractNum w:abstractNumId="7">
    <w:nsid w:val="7B3B4BF5"/>
    <w:multiLevelType w:val="multilevel"/>
    <w:tmpl w:val="7B3B4BF5"/>
    <w:lvl w:ilvl="0" w:tentative="0">
      <w:start w:val="1"/>
      <w:numFmt w:val="decimal"/>
      <w:lvlText w:val="%1."/>
      <w:lvlJc w:val="left"/>
      <w:pPr>
        <w:ind w:left="860" w:hanging="721"/>
      </w:pPr>
      <w:rPr>
        <w:rFonts w:hint="default" w:ascii="Arial" w:hAnsi="Arial" w:eastAsia="Times New Roman" w:cs="Arial"/>
        <w:spacing w:val="0"/>
        <w:w w:val="99"/>
        <w:sz w:val="21"/>
        <w:szCs w:val="21"/>
      </w:rPr>
    </w:lvl>
    <w:lvl w:ilvl="1" w:tentative="0">
      <w:start w:val="1"/>
      <w:numFmt w:val="bullet"/>
      <w:lvlText w:val="•"/>
      <w:lvlJc w:val="left"/>
      <w:pPr>
        <w:ind w:left="1540" w:hanging="721"/>
      </w:pPr>
      <w:rPr>
        <w:rFonts w:hint="default"/>
      </w:rPr>
    </w:lvl>
    <w:lvl w:ilvl="2" w:tentative="0">
      <w:start w:val="1"/>
      <w:numFmt w:val="bullet"/>
      <w:lvlText w:val="•"/>
      <w:lvlJc w:val="left"/>
      <w:pPr>
        <w:ind w:left="2428" w:hanging="721"/>
      </w:pPr>
      <w:rPr>
        <w:rFonts w:hint="default"/>
      </w:rPr>
    </w:lvl>
    <w:lvl w:ilvl="3" w:tentative="0">
      <w:start w:val="1"/>
      <w:numFmt w:val="bullet"/>
      <w:lvlText w:val="•"/>
      <w:lvlJc w:val="left"/>
      <w:pPr>
        <w:ind w:left="3317" w:hanging="721"/>
      </w:pPr>
      <w:rPr>
        <w:rFonts w:hint="default"/>
      </w:rPr>
    </w:lvl>
    <w:lvl w:ilvl="4" w:tentative="0">
      <w:start w:val="1"/>
      <w:numFmt w:val="bullet"/>
      <w:lvlText w:val="•"/>
      <w:lvlJc w:val="left"/>
      <w:pPr>
        <w:ind w:left="4206" w:hanging="721"/>
      </w:pPr>
      <w:rPr>
        <w:rFonts w:hint="default"/>
      </w:rPr>
    </w:lvl>
    <w:lvl w:ilvl="5" w:tentative="0">
      <w:start w:val="1"/>
      <w:numFmt w:val="bullet"/>
      <w:lvlText w:val="•"/>
      <w:lvlJc w:val="left"/>
      <w:pPr>
        <w:ind w:left="5095" w:hanging="721"/>
      </w:pPr>
      <w:rPr>
        <w:rFonts w:hint="default"/>
      </w:rPr>
    </w:lvl>
    <w:lvl w:ilvl="6" w:tentative="0">
      <w:start w:val="1"/>
      <w:numFmt w:val="bullet"/>
      <w:lvlText w:val="•"/>
      <w:lvlJc w:val="left"/>
      <w:pPr>
        <w:ind w:left="5984" w:hanging="721"/>
      </w:pPr>
      <w:rPr>
        <w:rFonts w:hint="default"/>
      </w:rPr>
    </w:lvl>
    <w:lvl w:ilvl="7" w:tentative="0">
      <w:start w:val="1"/>
      <w:numFmt w:val="bullet"/>
      <w:lvlText w:val="•"/>
      <w:lvlJc w:val="left"/>
      <w:pPr>
        <w:ind w:left="6873" w:hanging="721"/>
      </w:pPr>
      <w:rPr>
        <w:rFonts w:hint="default"/>
      </w:rPr>
    </w:lvl>
    <w:lvl w:ilvl="8" w:tentative="0">
      <w:start w:val="1"/>
      <w:numFmt w:val="bullet"/>
      <w:lvlText w:val="•"/>
      <w:lvlJc w:val="left"/>
      <w:pPr>
        <w:ind w:left="7762" w:hanging="721"/>
      </w:pPr>
      <w:rPr>
        <w:rFont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A6"/>
    <w:rsid w:val="00031E69"/>
    <w:rsid w:val="000478D0"/>
    <w:rsid w:val="00050A1D"/>
    <w:rsid w:val="00051BA4"/>
    <w:rsid w:val="00053F9A"/>
    <w:rsid w:val="00065A0A"/>
    <w:rsid w:val="00082F3A"/>
    <w:rsid w:val="000B1844"/>
    <w:rsid w:val="000C2CB7"/>
    <w:rsid w:val="000D5997"/>
    <w:rsid w:val="000D6CAB"/>
    <w:rsid w:val="000E4333"/>
    <w:rsid w:val="000E62BB"/>
    <w:rsid w:val="00112EAF"/>
    <w:rsid w:val="00113CAF"/>
    <w:rsid w:val="0013579B"/>
    <w:rsid w:val="00173D2D"/>
    <w:rsid w:val="00177FA3"/>
    <w:rsid w:val="0018188B"/>
    <w:rsid w:val="00182278"/>
    <w:rsid w:val="001A35AC"/>
    <w:rsid w:val="001D083C"/>
    <w:rsid w:val="001F16E7"/>
    <w:rsid w:val="001F63C1"/>
    <w:rsid w:val="002043FE"/>
    <w:rsid w:val="002115CC"/>
    <w:rsid w:val="00242DA6"/>
    <w:rsid w:val="00244E13"/>
    <w:rsid w:val="002459D8"/>
    <w:rsid w:val="00251C1D"/>
    <w:rsid w:val="002566ED"/>
    <w:rsid w:val="00256A58"/>
    <w:rsid w:val="00266FBA"/>
    <w:rsid w:val="00296115"/>
    <w:rsid w:val="00297E57"/>
    <w:rsid w:val="002C05FC"/>
    <w:rsid w:val="002D14FF"/>
    <w:rsid w:val="002D585B"/>
    <w:rsid w:val="003138DD"/>
    <w:rsid w:val="00333BEE"/>
    <w:rsid w:val="00352B6A"/>
    <w:rsid w:val="00363AD4"/>
    <w:rsid w:val="003D3104"/>
    <w:rsid w:val="003D6E38"/>
    <w:rsid w:val="003F5D54"/>
    <w:rsid w:val="00405D78"/>
    <w:rsid w:val="00406A5F"/>
    <w:rsid w:val="00420DFA"/>
    <w:rsid w:val="00432D26"/>
    <w:rsid w:val="004420DD"/>
    <w:rsid w:val="00444106"/>
    <w:rsid w:val="00446602"/>
    <w:rsid w:val="004814DE"/>
    <w:rsid w:val="004B077B"/>
    <w:rsid w:val="004D62ED"/>
    <w:rsid w:val="004E0208"/>
    <w:rsid w:val="00556F12"/>
    <w:rsid w:val="005645DA"/>
    <w:rsid w:val="00585A27"/>
    <w:rsid w:val="00596561"/>
    <w:rsid w:val="005A3F59"/>
    <w:rsid w:val="005A65E5"/>
    <w:rsid w:val="005C70F9"/>
    <w:rsid w:val="005D6F10"/>
    <w:rsid w:val="005E7328"/>
    <w:rsid w:val="00634A5C"/>
    <w:rsid w:val="00684046"/>
    <w:rsid w:val="006C22F3"/>
    <w:rsid w:val="00703BC9"/>
    <w:rsid w:val="00725E20"/>
    <w:rsid w:val="00744AB9"/>
    <w:rsid w:val="00755B29"/>
    <w:rsid w:val="0075604C"/>
    <w:rsid w:val="007E7018"/>
    <w:rsid w:val="008042C3"/>
    <w:rsid w:val="00815E7B"/>
    <w:rsid w:val="00816AE6"/>
    <w:rsid w:val="00820AC9"/>
    <w:rsid w:val="00825565"/>
    <w:rsid w:val="0085730C"/>
    <w:rsid w:val="00865A8E"/>
    <w:rsid w:val="00885A08"/>
    <w:rsid w:val="008B5258"/>
    <w:rsid w:val="008C198F"/>
    <w:rsid w:val="008D51BF"/>
    <w:rsid w:val="008E3721"/>
    <w:rsid w:val="009123DD"/>
    <w:rsid w:val="009661E3"/>
    <w:rsid w:val="009A156E"/>
    <w:rsid w:val="009B653F"/>
    <w:rsid w:val="009C3C24"/>
    <w:rsid w:val="009E3F89"/>
    <w:rsid w:val="009E6EBE"/>
    <w:rsid w:val="00A11559"/>
    <w:rsid w:val="00A20C60"/>
    <w:rsid w:val="00A2489A"/>
    <w:rsid w:val="00A77D80"/>
    <w:rsid w:val="00AC6A51"/>
    <w:rsid w:val="00AD5B14"/>
    <w:rsid w:val="00AD78BE"/>
    <w:rsid w:val="00B33F22"/>
    <w:rsid w:val="00B41B89"/>
    <w:rsid w:val="00B54F3E"/>
    <w:rsid w:val="00B62EE4"/>
    <w:rsid w:val="00B6486E"/>
    <w:rsid w:val="00B91852"/>
    <w:rsid w:val="00BA26E3"/>
    <w:rsid w:val="00BA5953"/>
    <w:rsid w:val="00BB1BD9"/>
    <w:rsid w:val="00BB719D"/>
    <w:rsid w:val="00BE755C"/>
    <w:rsid w:val="00C272DF"/>
    <w:rsid w:val="00C27914"/>
    <w:rsid w:val="00C31019"/>
    <w:rsid w:val="00C35A98"/>
    <w:rsid w:val="00C731C4"/>
    <w:rsid w:val="00C778BE"/>
    <w:rsid w:val="00C834DA"/>
    <w:rsid w:val="00C87728"/>
    <w:rsid w:val="00C9642A"/>
    <w:rsid w:val="00C96614"/>
    <w:rsid w:val="00CB4CFF"/>
    <w:rsid w:val="00CB7312"/>
    <w:rsid w:val="00D066A0"/>
    <w:rsid w:val="00D22031"/>
    <w:rsid w:val="00DA3DD2"/>
    <w:rsid w:val="00DB2F59"/>
    <w:rsid w:val="00DD02BB"/>
    <w:rsid w:val="00DD60E4"/>
    <w:rsid w:val="00DE44B2"/>
    <w:rsid w:val="00E37D96"/>
    <w:rsid w:val="00E37F6B"/>
    <w:rsid w:val="00E41E3D"/>
    <w:rsid w:val="00E8364F"/>
    <w:rsid w:val="00E860BE"/>
    <w:rsid w:val="00E93D28"/>
    <w:rsid w:val="00EA0044"/>
    <w:rsid w:val="00EC0090"/>
    <w:rsid w:val="00ED1D94"/>
    <w:rsid w:val="00EF5C70"/>
    <w:rsid w:val="00F36CA4"/>
    <w:rsid w:val="00F758A1"/>
    <w:rsid w:val="00FC7368"/>
    <w:rsid w:val="00FD1D57"/>
    <w:rsid w:val="00FD373F"/>
    <w:rsid w:val="00FE36DB"/>
    <w:rsid w:val="00FF04E3"/>
    <w:rsid w:val="00FF746A"/>
    <w:rsid w:val="1465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820" w:hanging="720"/>
      <w:outlineLvl w:val="0"/>
    </w:pPr>
    <w:rPr>
      <w:rFonts w:ascii="Times New Roman" w:hAnsi="Times New Roman" w:eastAsia="Times New Roman"/>
      <w:b/>
      <w:bCs/>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540"/>
    </w:pPr>
    <w:rPr>
      <w:rFonts w:ascii="Times New Roman" w:hAnsi="Times New Roman" w:eastAsia="Times New Roman"/>
      <w:sz w:val="20"/>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99"/>
    <w:rPr>
      <w:sz w:val="18"/>
      <w:szCs w:val="18"/>
    </w:rPr>
  </w:style>
  <w:style w:type="character" w:customStyle="1" w:styleId="13">
    <w:name w:val="页脚 Char"/>
    <w:basedOn w:val="8"/>
    <w:link w:val="5"/>
    <w:uiPriority w:val="99"/>
    <w:rPr>
      <w:sz w:val="18"/>
      <w:szCs w:val="18"/>
    </w:rPr>
  </w:style>
  <w:style w:type="character" w:customStyle="1" w:styleId="14">
    <w:name w:val="web-item2"/>
    <w:basedOn w:val="8"/>
    <w:uiPriority w:val="0"/>
    <w:rPr>
      <w:sz w:val="18"/>
      <w:szCs w:val="18"/>
    </w:r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0DD2-61D5-42AF-A314-925F9AB395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14093</Words>
  <Characters>14925</Characters>
  <Lines>109</Lines>
  <Paragraphs>30</Paragraphs>
  <TotalTime>0</TotalTime>
  <ScaleCrop>false</ScaleCrop>
  <LinksUpToDate>false</LinksUpToDate>
  <CharactersWithSpaces>14974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2017-06-09T07:09:00Z</dcterms:created>
  <dc:creator>cathy-wen</dc:creator>
  <cp:lastModifiedBy>太极箫客</cp:lastModifiedBy>
  <dcterms:modified xsi:type="dcterms:W3CDTF">2025-08-14T06:14:25Z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1998-05-06T00:00:00Z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DAD889FE5E6743688DF6CB4A475FAB03_12</vt:lpwstr>
  </property>
</Properties>
</file>