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1C2D1">
      <w:pPr>
        <w:spacing w:line="560" w:lineRule="exact"/>
        <w:rPr>
          <w:rFonts w:ascii="黑体" w:hAnsi="黑体" w:eastAsia="黑体"/>
          <w:color w:val="000000"/>
          <w:sz w:val="32"/>
          <w:szCs w:val="32"/>
        </w:rPr>
      </w:pPr>
      <w:bookmarkStart w:id="0" w:name="_GoBack"/>
      <w:bookmarkEnd w:id="0"/>
      <w:r>
        <w:rPr>
          <w:rFonts w:hint="eastAsia" w:ascii="黑体" w:hAnsi="黑体" w:eastAsia="黑体"/>
          <w:color w:val="000000"/>
          <w:sz w:val="32"/>
          <w:szCs w:val="32"/>
        </w:rPr>
        <w:t>附件1</w:t>
      </w:r>
    </w:p>
    <w:p w14:paraId="014B7F1B">
      <w:pPr>
        <w:spacing w:line="640" w:lineRule="exact"/>
        <w:jc w:val="center"/>
        <w:rPr>
          <w:rFonts w:ascii="方正小标宋简体" w:eastAsia="方正小标宋简体"/>
          <w:color w:val="000000"/>
          <w:sz w:val="36"/>
          <w:szCs w:val="36"/>
        </w:rPr>
      </w:pPr>
    </w:p>
    <w:p w14:paraId="4857E49B">
      <w:pPr>
        <w:spacing w:line="640" w:lineRule="exact"/>
        <w:jc w:val="center"/>
        <w:rPr>
          <w:rFonts w:ascii="方正小标宋简体" w:eastAsia="方正小标宋简体"/>
          <w:color w:val="000000"/>
          <w:sz w:val="44"/>
          <w:szCs w:val="44"/>
        </w:rPr>
      </w:pPr>
      <w:r>
        <w:rPr>
          <w:rFonts w:hint="eastAsia" w:ascii="方正小标宋简体" w:eastAsia="方正小标宋简体"/>
          <w:color w:val="000000"/>
          <w:spacing w:val="12"/>
          <w:kern w:val="0"/>
          <w:sz w:val="44"/>
          <w:szCs w:val="44"/>
          <w:fitText w:val="5544" w:id="-1738840064"/>
        </w:rPr>
        <w:t>医疗器械生产质量管理规</w:t>
      </w:r>
      <w:r>
        <w:rPr>
          <w:rFonts w:hint="eastAsia" w:ascii="方正小标宋简体" w:eastAsia="方正小标宋简体"/>
          <w:color w:val="000000"/>
          <w:spacing w:val="0"/>
          <w:kern w:val="0"/>
          <w:sz w:val="44"/>
          <w:szCs w:val="44"/>
          <w:fitText w:val="5544" w:id="-1738840064"/>
        </w:rPr>
        <w:t>范</w:t>
      </w:r>
    </w:p>
    <w:p w14:paraId="6EE9F82E">
      <w:pPr>
        <w:spacing w:line="640" w:lineRule="exact"/>
        <w:jc w:val="center"/>
        <w:rPr>
          <w:rFonts w:ascii="方正小标宋简体" w:eastAsia="方正小标宋简体"/>
          <w:color w:val="000000"/>
          <w:sz w:val="44"/>
          <w:szCs w:val="44"/>
        </w:rPr>
      </w:pPr>
      <w:r>
        <w:rPr>
          <w:rFonts w:hint="eastAsia" w:ascii="方正小标宋简体" w:eastAsia="方正小标宋简体"/>
          <w:color w:val="000000"/>
          <w:spacing w:val="144"/>
          <w:kern w:val="0"/>
          <w:sz w:val="44"/>
          <w:szCs w:val="44"/>
          <w:fitText w:val="5544" w:id="-1738840063"/>
        </w:rPr>
        <w:t>现场检查指导原</w:t>
      </w:r>
      <w:r>
        <w:rPr>
          <w:rFonts w:hint="eastAsia" w:ascii="方正小标宋简体" w:eastAsia="方正小标宋简体"/>
          <w:color w:val="000000"/>
          <w:spacing w:val="4"/>
          <w:kern w:val="0"/>
          <w:sz w:val="44"/>
          <w:szCs w:val="44"/>
          <w:fitText w:val="5544" w:id="-1738840063"/>
        </w:rPr>
        <w:t>则</w:t>
      </w:r>
    </w:p>
    <w:p w14:paraId="20E2FB44">
      <w:pPr>
        <w:spacing w:line="640" w:lineRule="exact"/>
        <w:jc w:val="center"/>
        <w:rPr>
          <w:rFonts w:ascii="方正小标宋简体" w:eastAsia="方正小标宋简体"/>
          <w:color w:val="000000"/>
          <w:sz w:val="44"/>
          <w:szCs w:val="44"/>
        </w:rPr>
      </w:pPr>
    </w:p>
    <w:tbl>
      <w:tblPr>
        <w:tblStyle w:val="6"/>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98"/>
        <w:gridCol w:w="1224"/>
        <w:gridCol w:w="7134"/>
      </w:tblGrid>
      <w:tr w14:paraId="4120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blHeader/>
          <w:jc w:val="center"/>
        </w:trPr>
        <w:tc>
          <w:tcPr>
            <w:tcW w:w="498" w:type="dxa"/>
          </w:tcPr>
          <w:p w14:paraId="3ECE319A">
            <w:pPr>
              <w:widowControl/>
              <w:adjustRightInd w:val="0"/>
              <w:snapToGrid w:val="0"/>
              <w:spacing w:line="360" w:lineRule="exact"/>
              <w:jc w:val="center"/>
              <w:rPr>
                <w:rFonts w:ascii="Calibri" w:hAnsi="Calibri" w:eastAsia="仿宋_GB2312"/>
                <w:b/>
                <w:bCs/>
                <w:color w:val="000000"/>
                <w:kern w:val="0"/>
                <w:szCs w:val="21"/>
              </w:rPr>
            </w:pPr>
            <w:r>
              <w:rPr>
                <w:rFonts w:hint="eastAsia" w:ascii="Calibri" w:hAnsi="Calibri" w:eastAsia="仿宋_GB2312"/>
                <w:b/>
                <w:bCs/>
                <w:color w:val="000000"/>
                <w:kern w:val="0"/>
                <w:szCs w:val="21"/>
              </w:rPr>
              <w:t>章节</w:t>
            </w:r>
          </w:p>
        </w:tc>
        <w:tc>
          <w:tcPr>
            <w:tcW w:w="1224" w:type="dxa"/>
            <w:tcMar>
              <w:left w:w="57" w:type="dxa"/>
              <w:right w:w="57" w:type="dxa"/>
            </w:tcMar>
            <w:vAlign w:val="center"/>
          </w:tcPr>
          <w:p w14:paraId="0751A8E1">
            <w:pPr>
              <w:widowControl/>
              <w:adjustRightInd w:val="0"/>
              <w:snapToGrid w:val="0"/>
              <w:spacing w:line="360" w:lineRule="exact"/>
              <w:jc w:val="center"/>
              <w:rPr>
                <w:rFonts w:ascii="Calibri" w:hAnsi="Calibri" w:eastAsia="仿宋_GB2312"/>
                <w:b/>
                <w:bCs/>
                <w:color w:val="000000"/>
                <w:kern w:val="0"/>
                <w:szCs w:val="21"/>
              </w:rPr>
            </w:pPr>
            <w:r>
              <w:rPr>
                <w:rFonts w:hint="eastAsia" w:ascii="Calibri" w:hAnsi="Calibri" w:eastAsia="仿宋_GB2312"/>
                <w:b/>
                <w:bCs/>
                <w:color w:val="000000"/>
                <w:kern w:val="0"/>
                <w:szCs w:val="21"/>
              </w:rPr>
              <w:t>条款</w:t>
            </w:r>
          </w:p>
        </w:tc>
        <w:tc>
          <w:tcPr>
            <w:tcW w:w="7134" w:type="dxa"/>
            <w:tcMar>
              <w:left w:w="57" w:type="dxa"/>
              <w:right w:w="57" w:type="dxa"/>
            </w:tcMar>
            <w:vAlign w:val="center"/>
          </w:tcPr>
          <w:p w14:paraId="62C88199">
            <w:pPr>
              <w:widowControl/>
              <w:adjustRightInd w:val="0"/>
              <w:snapToGrid w:val="0"/>
              <w:spacing w:line="360" w:lineRule="exact"/>
              <w:jc w:val="center"/>
              <w:rPr>
                <w:rFonts w:ascii="Calibri" w:hAnsi="Calibri" w:eastAsia="仿宋_GB2312"/>
                <w:b/>
                <w:bCs/>
                <w:color w:val="000000"/>
                <w:kern w:val="0"/>
                <w:szCs w:val="21"/>
              </w:rPr>
            </w:pPr>
            <w:r>
              <w:rPr>
                <w:rFonts w:hint="eastAsia" w:ascii="Calibri" w:hAnsi="Calibri" w:eastAsia="仿宋_GB2312"/>
                <w:b/>
                <w:bCs/>
                <w:color w:val="000000"/>
                <w:kern w:val="0"/>
                <w:szCs w:val="21"/>
              </w:rPr>
              <w:t>内容</w:t>
            </w:r>
          </w:p>
        </w:tc>
      </w:tr>
      <w:tr w14:paraId="4662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14:paraId="201F0911">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机</w:t>
            </w:r>
          </w:p>
          <w:p w14:paraId="61AB9A9B">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构</w:t>
            </w:r>
          </w:p>
          <w:p w14:paraId="0F570673">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和</w:t>
            </w:r>
          </w:p>
          <w:p w14:paraId="189F30F6">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人</w:t>
            </w:r>
          </w:p>
          <w:p w14:paraId="2E261646">
            <w:pPr>
              <w:widowControl/>
              <w:adjustRightInd w:val="0"/>
              <w:snapToGrid w:val="0"/>
              <w:spacing w:line="360" w:lineRule="exact"/>
              <w:jc w:val="center"/>
              <w:rPr>
                <w:rFonts w:ascii="Calibri" w:hAnsi="Calibri" w:eastAsia="仿宋_GB2312"/>
                <w:b/>
                <w:bCs/>
                <w:color w:val="000000"/>
                <w:kern w:val="0"/>
                <w:sz w:val="44"/>
                <w:szCs w:val="21"/>
              </w:rPr>
            </w:pPr>
            <w:r>
              <w:rPr>
                <w:rFonts w:hint="eastAsia" w:ascii="Calibri" w:hAnsi="Calibri" w:eastAsia="仿宋_GB2312"/>
                <w:b/>
                <w:color w:val="000000"/>
                <w:kern w:val="0"/>
                <w:sz w:val="28"/>
                <w:szCs w:val="28"/>
              </w:rPr>
              <w:t>员</w:t>
            </w:r>
          </w:p>
        </w:tc>
        <w:tc>
          <w:tcPr>
            <w:tcW w:w="1224" w:type="dxa"/>
            <w:tcMar>
              <w:left w:w="57" w:type="dxa"/>
              <w:right w:w="57" w:type="dxa"/>
            </w:tcMar>
            <w:vAlign w:val="center"/>
          </w:tcPr>
          <w:p w14:paraId="06314B28">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1.1.1</w:t>
            </w:r>
          </w:p>
        </w:tc>
        <w:tc>
          <w:tcPr>
            <w:tcW w:w="7134" w:type="dxa"/>
            <w:tcMar>
              <w:left w:w="57" w:type="dxa"/>
              <w:right w:w="57" w:type="dxa"/>
            </w:tcMar>
            <w:vAlign w:val="center"/>
          </w:tcPr>
          <w:p w14:paraId="2C1CFB33">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应当建立与医疗器械生产相适应的管理机构，具备组织机构图。</w:t>
            </w:r>
          </w:p>
          <w:p w14:paraId="6EDD99CF">
            <w:pPr>
              <w:widowControl/>
              <w:adjustRightInd w:val="0"/>
              <w:snapToGrid w:val="0"/>
              <w:rPr>
                <w:rFonts w:ascii="Calibri" w:eastAsia="仿宋_GB2312"/>
                <w:b/>
                <w:color w:val="000000"/>
                <w:kern w:val="0"/>
                <w:szCs w:val="21"/>
              </w:rPr>
            </w:pPr>
            <w:r>
              <w:rPr>
                <w:rFonts w:hint="eastAsia" w:ascii="Calibri" w:hAnsi="Calibri" w:eastAsia="仿宋_GB2312"/>
                <w:b/>
                <w:color w:val="000000"/>
                <w:kern w:val="0"/>
                <w:szCs w:val="21"/>
              </w:rPr>
              <w:t>查看提供的质量手册，是否包括企业的组织机构图，是否明确各部门的相互关系。</w:t>
            </w:r>
          </w:p>
        </w:tc>
      </w:tr>
      <w:tr w14:paraId="20A4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14:paraId="4C381C4A">
            <w:pPr>
              <w:widowControl/>
              <w:adjustRightInd w:val="0"/>
              <w:snapToGrid w:val="0"/>
              <w:spacing w:line="360" w:lineRule="exact"/>
              <w:jc w:val="center"/>
              <w:rPr>
                <w:rFonts w:ascii="Calibri" w:hAnsi="Calibri" w:eastAsia="仿宋_GB2312"/>
                <w:b/>
                <w:color w:val="000000"/>
                <w:kern w:val="0"/>
                <w:sz w:val="28"/>
                <w:szCs w:val="28"/>
              </w:rPr>
            </w:pPr>
          </w:p>
        </w:tc>
        <w:tc>
          <w:tcPr>
            <w:tcW w:w="1224" w:type="dxa"/>
            <w:tcMar>
              <w:left w:w="57" w:type="dxa"/>
              <w:right w:w="57" w:type="dxa"/>
            </w:tcMar>
            <w:vAlign w:val="center"/>
          </w:tcPr>
          <w:p w14:paraId="1FA22963">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*1.1.2</w:t>
            </w:r>
          </w:p>
        </w:tc>
        <w:tc>
          <w:tcPr>
            <w:tcW w:w="7134" w:type="dxa"/>
            <w:tcMar>
              <w:left w:w="57" w:type="dxa"/>
              <w:right w:w="57" w:type="dxa"/>
            </w:tcMar>
            <w:vAlign w:val="center"/>
          </w:tcPr>
          <w:p w14:paraId="2B1A8106">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应当明确各部门的职责和权限，明确质量管理职能。</w:t>
            </w:r>
          </w:p>
          <w:p w14:paraId="32D496A7">
            <w:pPr>
              <w:widowControl/>
              <w:adjustRightInd w:val="0"/>
              <w:snapToGrid w:val="0"/>
              <w:rPr>
                <w:rStyle w:val="19"/>
                <w:rFonts w:ascii="Calibri" w:eastAsia="仿宋_GB2312"/>
                <w:b/>
                <w:color w:val="000000"/>
              </w:rPr>
            </w:pPr>
            <w:r>
              <w:rPr>
                <w:rFonts w:hint="eastAsia" w:ascii="Calibri" w:hAnsi="Calibri" w:eastAsia="仿宋_GB2312"/>
                <w:b/>
                <w:color w:val="000000"/>
                <w:kern w:val="0"/>
                <w:szCs w:val="21"/>
              </w:rPr>
              <w:t>查看企业的质量手册，程序文件或相关文件，是否对各部门的职责权限作出规定；质量管理部门应当能独立行使职能</w:t>
            </w:r>
            <w:r>
              <w:rPr>
                <w:rFonts w:ascii="Calibri" w:hAnsi="Calibri" w:eastAsia="仿宋_GB2312"/>
                <w:b/>
                <w:color w:val="000000"/>
                <w:kern w:val="0"/>
                <w:szCs w:val="21"/>
              </w:rPr>
              <w:t xml:space="preserve">, </w:t>
            </w:r>
            <w:r>
              <w:rPr>
                <w:rFonts w:hint="eastAsia" w:ascii="Calibri" w:hAnsi="Calibri" w:eastAsia="仿宋_GB2312"/>
                <w:b/>
                <w:color w:val="000000"/>
                <w:kern w:val="0"/>
                <w:szCs w:val="21"/>
              </w:rPr>
              <w:t>查看质量管理部门的文件，是否明确规定对产品质量的相关事宜负有决策的权利。</w:t>
            </w:r>
          </w:p>
        </w:tc>
      </w:tr>
      <w:tr w14:paraId="13E5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590A5E18">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7DC89376">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1.1.3</w:t>
            </w:r>
          </w:p>
        </w:tc>
        <w:tc>
          <w:tcPr>
            <w:tcW w:w="7134" w:type="dxa"/>
            <w:tcMar>
              <w:left w:w="57" w:type="dxa"/>
              <w:right w:w="57" w:type="dxa"/>
            </w:tcMar>
            <w:vAlign w:val="center"/>
          </w:tcPr>
          <w:p w14:paraId="12CE006B">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生产管理部门和质量管理部门负责人不得互相兼任。</w:t>
            </w:r>
          </w:p>
          <w:p w14:paraId="03F2C7BD">
            <w:pPr>
              <w:widowControl/>
              <w:adjustRightInd w:val="0"/>
              <w:snapToGrid w:val="0"/>
              <w:rPr>
                <w:rStyle w:val="19"/>
                <w:rFonts w:ascii="Calibri" w:eastAsia="仿宋_GB2312"/>
                <w:b/>
                <w:color w:val="000000"/>
              </w:rPr>
            </w:pPr>
            <w:r>
              <w:rPr>
                <w:rFonts w:hint="eastAsia" w:ascii="Calibri" w:hAnsi="Calibri" w:eastAsia="仿宋_GB2312"/>
                <w:b/>
                <w:color w:val="000000"/>
                <w:kern w:val="0"/>
                <w:szCs w:val="21"/>
              </w:rPr>
              <w:t>查看公司的任职文件或授权文件并对照相关生产、检验等履行职责的记录，核实是否与授权一致。</w:t>
            </w:r>
          </w:p>
        </w:tc>
      </w:tr>
      <w:tr w14:paraId="619B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29" w:hRule="atLeast"/>
          <w:jc w:val="center"/>
        </w:trPr>
        <w:tc>
          <w:tcPr>
            <w:tcW w:w="498" w:type="dxa"/>
            <w:vMerge w:val="continue"/>
          </w:tcPr>
          <w:p w14:paraId="61AE0322">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6BBB1028">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1.2.1</w:t>
            </w:r>
          </w:p>
        </w:tc>
        <w:tc>
          <w:tcPr>
            <w:tcW w:w="7134" w:type="dxa"/>
            <w:tcMar>
              <w:left w:w="57" w:type="dxa"/>
              <w:right w:w="57" w:type="dxa"/>
            </w:tcMar>
            <w:vAlign w:val="center"/>
          </w:tcPr>
          <w:p w14:paraId="0267C273">
            <w:pPr>
              <w:widowControl/>
              <w:adjustRightInd w:val="0"/>
              <w:snapToGrid w:val="0"/>
              <w:rPr>
                <w:rFonts w:ascii="Calibri" w:eastAsia="仿宋_GB2312"/>
                <w:color w:val="000000"/>
                <w:kern w:val="0"/>
                <w:szCs w:val="21"/>
              </w:rPr>
            </w:pPr>
            <w:r>
              <w:rPr>
                <w:rFonts w:hint="eastAsia" w:ascii="Calibri" w:hAnsi="Calibri" w:eastAsia="仿宋_GB2312"/>
                <w:color w:val="000000"/>
                <w:kern w:val="0"/>
                <w:szCs w:val="21"/>
              </w:rPr>
              <w:t>企业负责人应当是医疗器械产品质量的主要责任人。</w:t>
            </w:r>
          </w:p>
        </w:tc>
      </w:tr>
      <w:tr w14:paraId="5B3A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2221B44A">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020E44EB">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1.2.2</w:t>
            </w:r>
          </w:p>
        </w:tc>
        <w:tc>
          <w:tcPr>
            <w:tcW w:w="7134" w:type="dxa"/>
            <w:tcMar>
              <w:left w:w="57" w:type="dxa"/>
              <w:right w:w="57" w:type="dxa"/>
            </w:tcMar>
            <w:vAlign w:val="center"/>
          </w:tcPr>
          <w:p w14:paraId="78768A2A">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企业负责人应当组织制定质量方针和质量目标。</w:t>
            </w:r>
          </w:p>
          <w:p w14:paraId="769F6032">
            <w:pPr>
              <w:widowControl/>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查看质量方针和质量目标的制定程序、批准人员。</w:t>
            </w:r>
          </w:p>
        </w:tc>
      </w:tr>
      <w:tr w14:paraId="0DA6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6AA1BE1D">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5A076135">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1.2.3</w:t>
            </w:r>
          </w:p>
        </w:tc>
        <w:tc>
          <w:tcPr>
            <w:tcW w:w="7134" w:type="dxa"/>
            <w:tcMar>
              <w:left w:w="57" w:type="dxa"/>
              <w:right w:w="57" w:type="dxa"/>
            </w:tcMar>
            <w:vAlign w:val="center"/>
          </w:tcPr>
          <w:p w14:paraId="68292610">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企业负责人应当确保质量管理体系有效运行所需的人力资源、基础设施和工作环境。</w:t>
            </w:r>
          </w:p>
        </w:tc>
      </w:tr>
      <w:tr w14:paraId="534C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38F313FC">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6052752C">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1.2.4</w:t>
            </w:r>
          </w:p>
        </w:tc>
        <w:tc>
          <w:tcPr>
            <w:tcW w:w="7134" w:type="dxa"/>
            <w:tcMar>
              <w:left w:w="57" w:type="dxa"/>
              <w:right w:w="57" w:type="dxa"/>
            </w:tcMar>
            <w:vAlign w:val="center"/>
          </w:tcPr>
          <w:p w14:paraId="566615E4">
            <w:pPr>
              <w:pStyle w:val="13"/>
              <w:ind w:firstLine="0" w:firstLineChars="0"/>
              <w:rPr>
                <w:rFonts w:ascii="Calibri" w:hAnsi="Calibri" w:eastAsia="仿宋_GB2312"/>
                <w:color w:val="000000"/>
                <w:kern w:val="0"/>
                <w:szCs w:val="21"/>
              </w:rPr>
            </w:pPr>
            <w:r>
              <w:rPr>
                <w:rFonts w:hint="eastAsia" w:ascii="Calibri" w:hAnsi="Calibri" w:eastAsia="仿宋_GB2312"/>
                <w:color w:val="000000"/>
                <w:kern w:val="0"/>
                <w:szCs w:val="21"/>
              </w:rPr>
              <w:t>企业负责人应当组织实施管理评审，定期对质量管理体系运行情况进行评估，并持续改进。</w:t>
            </w:r>
          </w:p>
          <w:p w14:paraId="25629DCD">
            <w:pPr>
              <w:widowControl/>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查看管理评审文件和记录，核实企业负责人是否组织实施管理评审。</w:t>
            </w:r>
          </w:p>
        </w:tc>
      </w:tr>
      <w:tr w14:paraId="3EA1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3B4B709E">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582C2AA6">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*1.2.5</w:t>
            </w:r>
          </w:p>
        </w:tc>
        <w:tc>
          <w:tcPr>
            <w:tcW w:w="7134" w:type="dxa"/>
            <w:tcMar>
              <w:left w:w="57" w:type="dxa"/>
              <w:right w:w="57" w:type="dxa"/>
            </w:tcMar>
            <w:vAlign w:val="center"/>
          </w:tcPr>
          <w:p w14:paraId="316D068F">
            <w:pPr>
              <w:widowControl/>
              <w:adjustRightInd w:val="0"/>
              <w:snapToGrid w:val="0"/>
              <w:rPr>
                <w:rFonts w:ascii="Calibri" w:hAnsi="Calibri" w:eastAsia="仿宋_GB2312"/>
                <w:color w:val="000000"/>
                <w:kern w:val="0"/>
                <w:szCs w:val="21"/>
              </w:rPr>
            </w:pPr>
            <w:r>
              <w:rPr>
                <w:rFonts w:hint="eastAsia" w:ascii="Calibri" w:hAnsi="Calibri" w:eastAsia="仿宋_GB2312"/>
                <w:color w:val="000000"/>
                <w:szCs w:val="21"/>
              </w:rPr>
              <w:t>企</w:t>
            </w:r>
            <w:r>
              <w:rPr>
                <w:rFonts w:hint="eastAsia" w:ascii="Calibri" w:hAnsi="Calibri" w:eastAsia="仿宋_GB2312"/>
                <w:color w:val="000000"/>
                <w:kern w:val="0"/>
                <w:szCs w:val="21"/>
              </w:rPr>
              <w:t>业负责人应当确保企业按照法律、法规和规章的要求组织生产。</w:t>
            </w:r>
          </w:p>
        </w:tc>
      </w:tr>
      <w:tr w14:paraId="5BD3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536455BA">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4B399C82">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1.3.1</w:t>
            </w:r>
          </w:p>
        </w:tc>
        <w:tc>
          <w:tcPr>
            <w:tcW w:w="7134" w:type="dxa"/>
            <w:tcMar>
              <w:left w:w="57" w:type="dxa"/>
              <w:right w:w="57" w:type="dxa"/>
            </w:tcMar>
            <w:vAlign w:val="center"/>
          </w:tcPr>
          <w:p w14:paraId="7C35FC31">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企业负责人应当确定一名管理者代表。</w:t>
            </w:r>
          </w:p>
          <w:p w14:paraId="3E18E341">
            <w:pPr>
              <w:widowControl/>
              <w:adjustRightInd w:val="0"/>
              <w:snapToGrid w:val="0"/>
              <w:rPr>
                <w:rFonts w:ascii="Calibri" w:eastAsia="仿宋_GB2312"/>
                <w:b/>
                <w:color w:val="000000"/>
                <w:szCs w:val="21"/>
              </w:rPr>
            </w:pPr>
            <w:r>
              <w:rPr>
                <w:rFonts w:hint="eastAsia" w:ascii="Calibri" w:hAnsi="Calibri" w:eastAsia="仿宋_GB2312"/>
                <w:b/>
                <w:color w:val="000000"/>
                <w:kern w:val="0"/>
                <w:szCs w:val="21"/>
              </w:rPr>
              <w:t>查看管理者代表的任命文件。</w:t>
            </w:r>
            <w:r>
              <w:rPr>
                <w:rFonts w:ascii="Calibri" w:hAnsi="Calibri" w:eastAsia="仿宋_GB2312"/>
                <w:b/>
                <w:color w:val="000000"/>
                <w:kern w:val="0"/>
                <w:szCs w:val="21"/>
              </w:rPr>
              <w:t xml:space="preserve"> </w:t>
            </w:r>
          </w:p>
        </w:tc>
      </w:tr>
      <w:tr w14:paraId="2F9D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4AB60B9F">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44E8BF7C">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*1.3.2</w:t>
            </w:r>
          </w:p>
        </w:tc>
        <w:tc>
          <w:tcPr>
            <w:tcW w:w="7134" w:type="dxa"/>
            <w:tcMar>
              <w:left w:w="57" w:type="dxa"/>
              <w:right w:w="57" w:type="dxa"/>
            </w:tcMar>
            <w:vAlign w:val="center"/>
          </w:tcPr>
          <w:p w14:paraId="3006C107">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管理者代表应当负责建立、实施并保持质量管理体系，报告质量管理体系的运行情况和改进需求，提高员工满足法规、规章和顾客要求的意识。</w:t>
            </w:r>
          </w:p>
          <w:p w14:paraId="0E28003D">
            <w:pPr>
              <w:widowControl/>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查看是否对上述职责作出明确规定。查看管理者代表报告质量管理体系运行情况和改进的相关记录。</w:t>
            </w:r>
          </w:p>
        </w:tc>
      </w:tr>
      <w:tr w14:paraId="38FD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96" w:hRule="atLeast"/>
          <w:jc w:val="center"/>
        </w:trPr>
        <w:tc>
          <w:tcPr>
            <w:tcW w:w="498" w:type="dxa"/>
            <w:vMerge w:val="continue"/>
          </w:tcPr>
          <w:p w14:paraId="564F2F69">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36DAB400">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1.4.1</w:t>
            </w:r>
          </w:p>
        </w:tc>
        <w:tc>
          <w:tcPr>
            <w:tcW w:w="7134" w:type="dxa"/>
            <w:tcMar>
              <w:left w:w="57" w:type="dxa"/>
              <w:right w:w="57" w:type="dxa"/>
            </w:tcMar>
            <w:vAlign w:val="center"/>
          </w:tcPr>
          <w:p w14:paraId="7F382A34">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技术、生产、质量管理部门负责人应当熟悉医疗器械法律法规，具有质量管理的实践经验，应当有能力对生产管理和质量管理中实际问题作出正确判断和处理。</w:t>
            </w:r>
          </w:p>
          <w:p w14:paraId="28B814AA">
            <w:pPr>
              <w:widowControl/>
              <w:adjustRightInd w:val="0"/>
              <w:snapToGrid w:val="0"/>
              <w:rPr>
                <w:rFonts w:ascii="Calibri" w:hAnsi="Calibri" w:eastAsia="仿宋_GB2312"/>
                <w:b/>
                <w:color w:val="000000"/>
                <w:szCs w:val="21"/>
              </w:rPr>
            </w:pPr>
            <w:r>
              <w:rPr>
                <w:rFonts w:hint="eastAsia" w:ascii="Calibri" w:hAnsi="Calibri" w:eastAsia="仿宋_GB2312"/>
                <w:b/>
                <w:color w:val="000000"/>
                <w:szCs w:val="21"/>
              </w:rPr>
              <w:t>查看相关部门负责人的任职资格要求，是否对专业知识、工作技能、工作经历作出规定；查看考核评价记录</w:t>
            </w:r>
            <w:r>
              <w:rPr>
                <w:rFonts w:hint="eastAsia" w:ascii="Calibri" w:hAnsi="Calibri" w:eastAsia="仿宋_GB2312"/>
                <w:b/>
                <w:color w:val="000000"/>
                <w:kern w:val="0"/>
                <w:szCs w:val="21"/>
              </w:rPr>
              <w:t>，</w:t>
            </w:r>
            <w:r>
              <w:rPr>
                <w:rFonts w:hint="eastAsia" w:ascii="Calibri" w:hAnsi="Calibri" w:eastAsia="仿宋_GB2312"/>
                <w:b/>
                <w:color w:val="000000"/>
                <w:szCs w:val="21"/>
              </w:rPr>
              <w:t>现场询问，确定是否符合要求。</w:t>
            </w:r>
          </w:p>
        </w:tc>
      </w:tr>
      <w:tr w14:paraId="1B5E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498" w:type="dxa"/>
            <w:vMerge w:val="continue"/>
          </w:tcPr>
          <w:p w14:paraId="6EB153AC">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23E3E18D">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1.5.1</w:t>
            </w:r>
          </w:p>
        </w:tc>
        <w:tc>
          <w:tcPr>
            <w:tcW w:w="7134" w:type="dxa"/>
            <w:tcMar>
              <w:left w:w="57" w:type="dxa"/>
              <w:right w:w="57" w:type="dxa"/>
            </w:tcMar>
            <w:vAlign w:val="center"/>
          </w:tcPr>
          <w:p w14:paraId="78509FA2">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应当配备与生产产品相适应的专业技术人员、管理人员和操作人员。</w:t>
            </w:r>
          </w:p>
          <w:p w14:paraId="4808F9A5">
            <w:pPr>
              <w:widowControl/>
              <w:adjustRightInd w:val="0"/>
              <w:snapToGrid w:val="0"/>
              <w:rPr>
                <w:rFonts w:ascii="Calibri" w:hAnsi="Calibri" w:eastAsia="仿宋_GB2312"/>
                <w:b/>
                <w:color w:val="000000"/>
                <w:szCs w:val="21"/>
              </w:rPr>
            </w:pPr>
            <w:r>
              <w:rPr>
                <w:rFonts w:hint="eastAsia" w:ascii="Calibri" w:hAnsi="Calibri" w:eastAsia="仿宋_GB2312"/>
                <w:b/>
                <w:color w:val="000000"/>
                <w:szCs w:val="21"/>
              </w:rPr>
              <w:t>查看相关人员的资格要求。</w:t>
            </w:r>
          </w:p>
        </w:tc>
      </w:tr>
      <w:tr w14:paraId="2520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37" w:hRule="atLeast"/>
          <w:jc w:val="center"/>
        </w:trPr>
        <w:tc>
          <w:tcPr>
            <w:tcW w:w="498" w:type="dxa"/>
            <w:vMerge w:val="continue"/>
          </w:tcPr>
          <w:p w14:paraId="018F31D1">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6D76C177">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*1.5.2</w:t>
            </w:r>
          </w:p>
        </w:tc>
        <w:tc>
          <w:tcPr>
            <w:tcW w:w="7134" w:type="dxa"/>
            <w:tcMar>
              <w:left w:w="57" w:type="dxa"/>
              <w:right w:w="57" w:type="dxa"/>
            </w:tcMar>
            <w:vAlign w:val="center"/>
          </w:tcPr>
          <w:p w14:paraId="7FE8E851">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应当具有相应的质量检验机构或专职检验人员。</w:t>
            </w:r>
          </w:p>
          <w:p w14:paraId="25255AFF">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查看组织机构图、部门职责要求、岗位人员任命等文件确认是否符合要求。</w:t>
            </w:r>
          </w:p>
        </w:tc>
      </w:tr>
      <w:tr w14:paraId="6540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71" w:hRule="atLeast"/>
          <w:jc w:val="center"/>
        </w:trPr>
        <w:tc>
          <w:tcPr>
            <w:tcW w:w="498" w:type="dxa"/>
            <w:vMerge w:val="continue"/>
          </w:tcPr>
          <w:p w14:paraId="71BDF76D">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1FC9FAA0">
            <w:pPr>
              <w:widowControl/>
              <w:adjustRightInd w:val="0"/>
              <w:snapToGrid w:val="0"/>
              <w:spacing w:line="360" w:lineRule="exact"/>
              <w:jc w:val="center"/>
              <w:rPr>
                <w:rStyle w:val="21"/>
                <w:rFonts w:ascii="Calibri" w:hAnsi="Calibri" w:eastAsia="仿宋_GB2312"/>
                <w:color w:val="000000"/>
              </w:rPr>
            </w:pPr>
            <w:r>
              <w:rPr>
                <w:rFonts w:ascii="Calibri" w:hAnsi="Calibri" w:eastAsia="仿宋_GB2312"/>
                <w:color w:val="000000"/>
                <w:kern w:val="0"/>
                <w:szCs w:val="21"/>
              </w:rPr>
              <w:t>*1.6.1</w:t>
            </w:r>
          </w:p>
        </w:tc>
        <w:tc>
          <w:tcPr>
            <w:tcW w:w="7134" w:type="dxa"/>
            <w:tcMar>
              <w:left w:w="57" w:type="dxa"/>
              <w:right w:w="57" w:type="dxa"/>
            </w:tcMar>
            <w:vAlign w:val="center"/>
          </w:tcPr>
          <w:p w14:paraId="22A08081">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从事影响产品质量工作的人员，应当经过与其岗位要求相适应的培训，具有相关的理论知识和实际操作技能。</w:t>
            </w:r>
          </w:p>
          <w:p w14:paraId="026E8712">
            <w:pPr>
              <w:widowControl/>
              <w:adjustRightInd w:val="0"/>
              <w:snapToGrid w:val="0"/>
              <w:rPr>
                <w:rFonts w:ascii="Calibri" w:hAnsi="Calibri" w:eastAsia="仿宋_GB2312"/>
                <w:b/>
                <w:color w:val="000000"/>
                <w:szCs w:val="21"/>
              </w:rPr>
            </w:pPr>
            <w:r>
              <w:rPr>
                <w:rStyle w:val="19"/>
                <w:rFonts w:hint="eastAsia" w:ascii="Calibri" w:eastAsia="仿宋_GB2312"/>
                <w:b/>
                <w:i w:val="0"/>
                <w:color w:val="000000"/>
              </w:rPr>
              <w:t>应当确定影响医疗器械质量的岗位，规定这些岗位人员所必须具备的专业知识水平（包括学历要求）、工作技能、工作经验。查看培训内容、培训记录和考核记录，是否符合要求。</w:t>
            </w:r>
          </w:p>
        </w:tc>
      </w:tr>
      <w:tr w14:paraId="7B9E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7281CC0A">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787DA0DA">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1.7.1</w:t>
            </w:r>
          </w:p>
        </w:tc>
        <w:tc>
          <w:tcPr>
            <w:tcW w:w="7134" w:type="dxa"/>
            <w:tcMar>
              <w:left w:w="57" w:type="dxa"/>
              <w:right w:w="57" w:type="dxa"/>
            </w:tcMar>
            <w:vAlign w:val="center"/>
          </w:tcPr>
          <w:p w14:paraId="0690C9E7">
            <w:pPr>
              <w:widowControl/>
              <w:adjustRightInd w:val="0"/>
              <w:snapToGrid w:val="0"/>
              <w:rPr>
                <w:rStyle w:val="19"/>
                <w:rFonts w:ascii="Calibri" w:eastAsia="仿宋_GB2312"/>
              </w:rPr>
            </w:pPr>
            <w:r>
              <w:rPr>
                <w:rFonts w:hint="eastAsia" w:ascii="Calibri" w:hAnsi="Calibri" w:eastAsia="仿宋_GB2312"/>
                <w:color w:val="000000"/>
                <w:szCs w:val="21"/>
              </w:rPr>
              <w:t>应当对从事与产品质量有影响人员的健康进行管理，建立健康档案。</w:t>
            </w:r>
          </w:p>
        </w:tc>
      </w:tr>
      <w:tr w14:paraId="1A97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14:paraId="054B2805">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厂房与设施</w:t>
            </w:r>
          </w:p>
          <w:p w14:paraId="2F4B0A94">
            <w:pPr>
              <w:adjustRightInd w:val="0"/>
              <w:snapToGrid w:val="0"/>
              <w:spacing w:line="360" w:lineRule="exact"/>
              <w:jc w:val="center"/>
              <w:rPr>
                <w:rFonts w:ascii="Calibri" w:hAnsi="Calibri" w:eastAsia="仿宋_GB2312"/>
                <w:b/>
                <w:bCs/>
                <w:color w:val="000000"/>
                <w:kern w:val="0"/>
                <w:sz w:val="28"/>
                <w:szCs w:val="28"/>
              </w:rPr>
            </w:pPr>
          </w:p>
        </w:tc>
        <w:tc>
          <w:tcPr>
            <w:tcW w:w="1224" w:type="dxa"/>
            <w:tcMar>
              <w:left w:w="57" w:type="dxa"/>
              <w:right w:w="57" w:type="dxa"/>
            </w:tcMar>
            <w:vAlign w:val="center"/>
          </w:tcPr>
          <w:p w14:paraId="6CE1A388">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2.1.1</w:t>
            </w:r>
          </w:p>
        </w:tc>
        <w:tc>
          <w:tcPr>
            <w:tcW w:w="7134" w:type="dxa"/>
            <w:tcMar>
              <w:left w:w="57" w:type="dxa"/>
              <w:right w:w="57" w:type="dxa"/>
            </w:tcMar>
            <w:vAlign w:val="center"/>
          </w:tcPr>
          <w:p w14:paraId="274B9B75">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厂房与设施应当符合产品的生产要求。</w:t>
            </w:r>
          </w:p>
        </w:tc>
      </w:tr>
      <w:tr w14:paraId="5E41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46B52313">
            <w:pPr>
              <w:adjustRightInd w:val="0"/>
              <w:snapToGrid w:val="0"/>
              <w:spacing w:line="360" w:lineRule="exact"/>
              <w:rPr>
                <w:rFonts w:ascii="Calibri" w:hAnsi="Calibri" w:eastAsia="仿宋_GB2312"/>
                <w:b/>
                <w:color w:val="000000"/>
                <w:kern w:val="0"/>
                <w:sz w:val="24"/>
              </w:rPr>
            </w:pPr>
          </w:p>
        </w:tc>
        <w:tc>
          <w:tcPr>
            <w:tcW w:w="1224" w:type="dxa"/>
            <w:tcMar>
              <w:left w:w="57" w:type="dxa"/>
              <w:right w:w="57" w:type="dxa"/>
            </w:tcMar>
            <w:vAlign w:val="center"/>
          </w:tcPr>
          <w:p w14:paraId="2E0F683F">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2.1.2</w:t>
            </w:r>
          </w:p>
        </w:tc>
        <w:tc>
          <w:tcPr>
            <w:tcW w:w="7134" w:type="dxa"/>
            <w:tcMar>
              <w:left w:w="57" w:type="dxa"/>
              <w:right w:w="57" w:type="dxa"/>
            </w:tcMar>
            <w:vAlign w:val="center"/>
          </w:tcPr>
          <w:p w14:paraId="201EF249">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生产、行政和辅助区的总体布局应当合理，不得互相妨碍。</w:t>
            </w:r>
          </w:p>
        </w:tc>
      </w:tr>
      <w:tr w14:paraId="6B55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14BA7842">
            <w:pPr>
              <w:adjustRightInd w:val="0"/>
              <w:snapToGrid w:val="0"/>
              <w:spacing w:line="360" w:lineRule="exact"/>
              <w:rPr>
                <w:rFonts w:ascii="Calibri" w:hAnsi="Calibri" w:eastAsia="仿宋_GB2312"/>
                <w:color w:val="000000"/>
                <w:kern w:val="0"/>
                <w:szCs w:val="21"/>
              </w:rPr>
            </w:pPr>
          </w:p>
        </w:tc>
        <w:tc>
          <w:tcPr>
            <w:tcW w:w="1224" w:type="dxa"/>
            <w:tcMar>
              <w:left w:w="57" w:type="dxa"/>
              <w:right w:w="57" w:type="dxa"/>
            </w:tcMar>
            <w:vAlign w:val="center"/>
          </w:tcPr>
          <w:p w14:paraId="50A4416F">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*2.2.1</w:t>
            </w:r>
          </w:p>
        </w:tc>
        <w:tc>
          <w:tcPr>
            <w:tcW w:w="7134" w:type="dxa"/>
            <w:tcMar>
              <w:left w:w="57" w:type="dxa"/>
              <w:right w:w="57" w:type="dxa"/>
            </w:tcMar>
            <w:vAlign w:val="center"/>
          </w:tcPr>
          <w:p w14:paraId="486F27C6">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厂房与设施应当根据所生产产品的特性、工艺流程及相应的洁净级别要求进行合理设计、布局和使用。</w:t>
            </w:r>
          </w:p>
        </w:tc>
      </w:tr>
      <w:tr w14:paraId="6D22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529BF987">
            <w:pPr>
              <w:adjustRightInd w:val="0"/>
              <w:snapToGrid w:val="0"/>
              <w:spacing w:line="360" w:lineRule="exact"/>
              <w:rPr>
                <w:rFonts w:ascii="Calibri" w:hAnsi="Calibri" w:eastAsia="仿宋_GB2312"/>
                <w:color w:val="000000"/>
                <w:kern w:val="0"/>
                <w:szCs w:val="21"/>
              </w:rPr>
            </w:pPr>
          </w:p>
        </w:tc>
        <w:tc>
          <w:tcPr>
            <w:tcW w:w="1224" w:type="dxa"/>
            <w:tcMar>
              <w:left w:w="57" w:type="dxa"/>
              <w:right w:w="57" w:type="dxa"/>
            </w:tcMar>
            <w:vAlign w:val="center"/>
          </w:tcPr>
          <w:p w14:paraId="44C0A0F6">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2.2.2</w:t>
            </w:r>
          </w:p>
        </w:tc>
        <w:tc>
          <w:tcPr>
            <w:tcW w:w="7134" w:type="dxa"/>
            <w:tcMar>
              <w:left w:w="57" w:type="dxa"/>
              <w:right w:w="57" w:type="dxa"/>
            </w:tcMar>
            <w:vAlign w:val="center"/>
          </w:tcPr>
          <w:p w14:paraId="2CEBCCF1">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生产环境应当整洁、符合产品质量需要及相关技术标准的要求。</w:t>
            </w:r>
          </w:p>
        </w:tc>
      </w:tr>
      <w:tr w14:paraId="2209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75" w:hRule="atLeast"/>
          <w:jc w:val="center"/>
        </w:trPr>
        <w:tc>
          <w:tcPr>
            <w:tcW w:w="498" w:type="dxa"/>
            <w:vMerge w:val="continue"/>
          </w:tcPr>
          <w:p w14:paraId="4EBEFB77">
            <w:pPr>
              <w:adjustRightInd w:val="0"/>
              <w:snapToGrid w:val="0"/>
              <w:spacing w:line="360" w:lineRule="exact"/>
              <w:rPr>
                <w:rFonts w:ascii="Calibri" w:hAnsi="Calibri" w:eastAsia="仿宋_GB2312"/>
                <w:color w:val="000000"/>
                <w:kern w:val="0"/>
                <w:szCs w:val="21"/>
              </w:rPr>
            </w:pPr>
          </w:p>
        </w:tc>
        <w:tc>
          <w:tcPr>
            <w:tcW w:w="1224" w:type="dxa"/>
            <w:tcMar>
              <w:left w:w="57" w:type="dxa"/>
              <w:right w:w="57" w:type="dxa"/>
            </w:tcMar>
            <w:vAlign w:val="center"/>
          </w:tcPr>
          <w:p w14:paraId="0FC1EBDC">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2.2.3</w:t>
            </w:r>
          </w:p>
        </w:tc>
        <w:tc>
          <w:tcPr>
            <w:tcW w:w="7134" w:type="dxa"/>
            <w:tcMar>
              <w:left w:w="57" w:type="dxa"/>
              <w:right w:w="57" w:type="dxa"/>
            </w:tcMar>
            <w:vAlign w:val="center"/>
          </w:tcPr>
          <w:p w14:paraId="1D82126B">
            <w:pPr>
              <w:widowControl/>
              <w:adjustRightInd w:val="0"/>
              <w:snapToGrid w:val="0"/>
              <w:rPr>
                <w:rFonts w:ascii="Calibri" w:hAnsi="Calibri" w:eastAsia="仿宋_GB2312"/>
                <w:color w:val="000000"/>
                <w:kern w:val="0"/>
                <w:sz w:val="32"/>
                <w:szCs w:val="32"/>
              </w:rPr>
            </w:pPr>
            <w:r>
              <w:rPr>
                <w:rFonts w:hint="eastAsia" w:ascii="Calibri" w:hAnsi="Calibri" w:eastAsia="仿宋_GB2312"/>
                <w:color w:val="000000"/>
                <w:szCs w:val="21"/>
              </w:rPr>
              <w:t>产品有特殊要求的，应当确保厂房的外部环境不能对产品质量产生影响，必要时应当进行验证。</w:t>
            </w:r>
          </w:p>
        </w:tc>
      </w:tr>
      <w:tr w14:paraId="6874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14:paraId="5A244742">
            <w:pPr>
              <w:adjustRightInd w:val="0"/>
              <w:snapToGrid w:val="0"/>
              <w:spacing w:line="360" w:lineRule="exact"/>
              <w:rPr>
                <w:rFonts w:ascii="Calibri" w:hAnsi="Calibri" w:eastAsia="仿宋_GB2312"/>
                <w:color w:val="000000"/>
                <w:kern w:val="0"/>
                <w:szCs w:val="21"/>
              </w:rPr>
            </w:pPr>
          </w:p>
        </w:tc>
        <w:tc>
          <w:tcPr>
            <w:tcW w:w="1224" w:type="dxa"/>
            <w:tcMar>
              <w:left w:w="57" w:type="dxa"/>
              <w:right w:w="57" w:type="dxa"/>
            </w:tcMar>
            <w:vAlign w:val="center"/>
          </w:tcPr>
          <w:p w14:paraId="3CCEA54A">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2.3.1</w:t>
            </w:r>
          </w:p>
        </w:tc>
        <w:tc>
          <w:tcPr>
            <w:tcW w:w="7134" w:type="dxa"/>
            <w:tcMar>
              <w:left w:w="57" w:type="dxa"/>
              <w:right w:w="57" w:type="dxa"/>
            </w:tcMar>
            <w:vAlign w:val="center"/>
          </w:tcPr>
          <w:p w14:paraId="5EA7DA74">
            <w:pPr>
              <w:widowControl/>
              <w:adjustRightInd w:val="0"/>
              <w:snapToGrid w:val="0"/>
              <w:rPr>
                <w:rFonts w:ascii="Calibri" w:hAnsi="Calibri" w:eastAsia="仿宋_GB2312"/>
                <w:color w:val="000000"/>
                <w:kern w:val="0"/>
                <w:sz w:val="32"/>
                <w:szCs w:val="32"/>
              </w:rPr>
            </w:pPr>
            <w:r>
              <w:rPr>
                <w:rFonts w:hint="eastAsia" w:ascii="Calibri" w:hAnsi="Calibri" w:eastAsia="仿宋_GB2312"/>
                <w:color w:val="000000"/>
                <w:szCs w:val="21"/>
              </w:rPr>
              <w:t>厂房应当确保生产和贮存产品质量以及相关设备性能不会直接或间接地受到影响。</w:t>
            </w:r>
          </w:p>
        </w:tc>
      </w:tr>
      <w:tr w14:paraId="3E8A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56A33CBB">
            <w:pPr>
              <w:adjustRightInd w:val="0"/>
              <w:snapToGrid w:val="0"/>
              <w:spacing w:line="360" w:lineRule="exact"/>
              <w:rPr>
                <w:rFonts w:ascii="Calibri" w:hAnsi="Calibri" w:eastAsia="仿宋_GB2312"/>
                <w:color w:val="000000"/>
                <w:kern w:val="0"/>
                <w:szCs w:val="21"/>
              </w:rPr>
            </w:pPr>
          </w:p>
        </w:tc>
        <w:tc>
          <w:tcPr>
            <w:tcW w:w="1224" w:type="dxa"/>
            <w:tcMar>
              <w:left w:w="57" w:type="dxa"/>
              <w:right w:w="57" w:type="dxa"/>
            </w:tcMar>
            <w:vAlign w:val="center"/>
          </w:tcPr>
          <w:p w14:paraId="4F5DC88B">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2.3.2</w:t>
            </w:r>
          </w:p>
        </w:tc>
        <w:tc>
          <w:tcPr>
            <w:tcW w:w="7134" w:type="dxa"/>
            <w:tcMar>
              <w:left w:w="57" w:type="dxa"/>
              <w:right w:w="57" w:type="dxa"/>
            </w:tcMar>
            <w:vAlign w:val="center"/>
          </w:tcPr>
          <w:p w14:paraId="5BE36AF0">
            <w:pPr>
              <w:widowControl/>
              <w:adjustRightInd w:val="0"/>
              <w:snapToGrid w:val="0"/>
              <w:rPr>
                <w:rFonts w:ascii="Calibri" w:hAnsi="Calibri" w:eastAsia="仿宋_GB2312"/>
                <w:color w:val="000000"/>
                <w:kern w:val="0"/>
                <w:szCs w:val="21"/>
              </w:rPr>
            </w:pPr>
            <w:r>
              <w:rPr>
                <w:rFonts w:hint="eastAsia" w:ascii="Calibri" w:hAnsi="Calibri" w:eastAsia="仿宋_GB2312"/>
                <w:color w:val="000000"/>
                <w:szCs w:val="21"/>
              </w:rPr>
              <w:t>厂房应当有适当的照明、温度、湿度和通风控制条件。</w:t>
            </w:r>
          </w:p>
        </w:tc>
      </w:tr>
      <w:tr w14:paraId="752A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49" w:hRule="atLeast"/>
          <w:jc w:val="center"/>
        </w:trPr>
        <w:tc>
          <w:tcPr>
            <w:tcW w:w="498" w:type="dxa"/>
            <w:vMerge w:val="continue"/>
          </w:tcPr>
          <w:p w14:paraId="5FDE9454">
            <w:pPr>
              <w:adjustRightInd w:val="0"/>
              <w:snapToGrid w:val="0"/>
              <w:spacing w:line="360" w:lineRule="exact"/>
              <w:rPr>
                <w:rFonts w:ascii="Calibri" w:hAnsi="Calibri" w:eastAsia="仿宋_GB2312"/>
                <w:color w:val="000000"/>
                <w:kern w:val="0"/>
                <w:szCs w:val="21"/>
              </w:rPr>
            </w:pPr>
          </w:p>
        </w:tc>
        <w:tc>
          <w:tcPr>
            <w:tcW w:w="1224" w:type="dxa"/>
            <w:tcMar>
              <w:left w:w="57" w:type="dxa"/>
              <w:right w:w="57" w:type="dxa"/>
            </w:tcMar>
            <w:vAlign w:val="center"/>
          </w:tcPr>
          <w:p w14:paraId="78ED430A">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2.4.1</w:t>
            </w:r>
          </w:p>
        </w:tc>
        <w:tc>
          <w:tcPr>
            <w:tcW w:w="7134" w:type="dxa"/>
            <w:tcMar>
              <w:left w:w="57" w:type="dxa"/>
              <w:right w:w="57" w:type="dxa"/>
            </w:tcMar>
            <w:vAlign w:val="center"/>
          </w:tcPr>
          <w:p w14:paraId="4131BF62">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厂房与设施的设计和安装应当根据产品特性采取必要措施，有效防止昆虫或其他动物进入。</w:t>
            </w:r>
          </w:p>
          <w:p w14:paraId="2C87EA0B">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现场查看是否配备了相关设施。</w:t>
            </w:r>
          </w:p>
        </w:tc>
      </w:tr>
      <w:tr w14:paraId="3023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11" w:hRule="atLeast"/>
          <w:jc w:val="center"/>
        </w:trPr>
        <w:tc>
          <w:tcPr>
            <w:tcW w:w="498" w:type="dxa"/>
            <w:vMerge w:val="continue"/>
          </w:tcPr>
          <w:p w14:paraId="7A9E6218">
            <w:pPr>
              <w:adjustRightInd w:val="0"/>
              <w:snapToGrid w:val="0"/>
              <w:spacing w:line="360" w:lineRule="exact"/>
              <w:rPr>
                <w:rFonts w:ascii="Calibri" w:hAnsi="Calibri" w:eastAsia="仿宋_GB2312"/>
                <w:color w:val="000000"/>
                <w:kern w:val="0"/>
                <w:szCs w:val="21"/>
              </w:rPr>
            </w:pPr>
          </w:p>
        </w:tc>
        <w:tc>
          <w:tcPr>
            <w:tcW w:w="1224" w:type="dxa"/>
            <w:tcMar>
              <w:left w:w="57" w:type="dxa"/>
              <w:right w:w="57" w:type="dxa"/>
            </w:tcMar>
            <w:vAlign w:val="center"/>
          </w:tcPr>
          <w:p w14:paraId="29261B65">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2.4.2</w:t>
            </w:r>
          </w:p>
        </w:tc>
        <w:tc>
          <w:tcPr>
            <w:tcW w:w="7134" w:type="dxa"/>
            <w:tcMar>
              <w:left w:w="57" w:type="dxa"/>
              <w:right w:w="57" w:type="dxa"/>
            </w:tcMar>
            <w:vAlign w:val="center"/>
          </w:tcPr>
          <w:p w14:paraId="35F5C217">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对厂房与设施的维护和维修不应影响产品质量。</w:t>
            </w:r>
          </w:p>
        </w:tc>
      </w:tr>
      <w:tr w14:paraId="0F7C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95" w:hRule="atLeast"/>
          <w:jc w:val="center"/>
        </w:trPr>
        <w:tc>
          <w:tcPr>
            <w:tcW w:w="498" w:type="dxa"/>
            <w:vMerge w:val="continue"/>
            <w:vAlign w:val="center"/>
          </w:tcPr>
          <w:p w14:paraId="66E4A46E">
            <w:pPr>
              <w:adjustRightInd w:val="0"/>
              <w:snapToGrid w:val="0"/>
              <w:spacing w:line="360" w:lineRule="exact"/>
              <w:rPr>
                <w:rFonts w:ascii="Calibri" w:hAnsi="Calibri" w:eastAsia="仿宋_GB2312"/>
                <w:color w:val="000000"/>
                <w:kern w:val="0"/>
                <w:szCs w:val="21"/>
              </w:rPr>
            </w:pPr>
          </w:p>
        </w:tc>
        <w:tc>
          <w:tcPr>
            <w:tcW w:w="1224" w:type="dxa"/>
            <w:tcMar>
              <w:left w:w="57" w:type="dxa"/>
              <w:right w:w="57" w:type="dxa"/>
            </w:tcMar>
            <w:vAlign w:val="center"/>
          </w:tcPr>
          <w:p w14:paraId="6C84FBB5">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2.5.1</w:t>
            </w:r>
          </w:p>
        </w:tc>
        <w:tc>
          <w:tcPr>
            <w:tcW w:w="7134" w:type="dxa"/>
            <w:tcMar>
              <w:left w:w="57" w:type="dxa"/>
              <w:right w:w="57" w:type="dxa"/>
            </w:tcMar>
            <w:vAlign w:val="center"/>
          </w:tcPr>
          <w:p w14:paraId="44B9303C">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生产区应当有足够空间，并与产品生产规模、品种相适应。</w:t>
            </w:r>
          </w:p>
        </w:tc>
      </w:tr>
      <w:tr w14:paraId="0545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2FA6B4F0">
            <w:pPr>
              <w:adjustRightInd w:val="0"/>
              <w:snapToGrid w:val="0"/>
              <w:spacing w:line="360" w:lineRule="exact"/>
              <w:rPr>
                <w:rFonts w:ascii="Calibri" w:hAnsi="Calibri" w:eastAsia="仿宋_GB2312"/>
                <w:color w:val="000000"/>
                <w:kern w:val="0"/>
                <w:szCs w:val="21"/>
              </w:rPr>
            </w:pPr>
          </w:p>
        </w:tc>
        <w:tc>
          <w:tcPr>
            <w:tcW w:w="1224" w:type="dxa"/>
            <w:tcMar>
              <w:left w:w="57" w:type="dxa"/>
              <w:right w:w="57" w:type="dxa"/>
            </w:tcMar>
            <w:vAlign w:val="center"/>
          </w:tcPr>
          <w:p w14:paraId="29782525">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2.6.1</w:t>
            </w:r>
          </w:p>
        </w:tc>
        <w:tc>
          <w:tcPr>
            <w:tcW w:w="7134" w:type="dxa"/>
            <w:tcMar>
              <w:left w:w="57" w:type="dxa"/>
              <w:right w:w="57" w:type="dxa"/>
            </w:tcMar>
            <w:vAlign w:val="center"/>
          </w:tcPr>
          <w:p w14:paraId="0135BAA3">
            <w:pPr>
              <w:widowControl/>
              <w:adjustRightInd w:val="0"/>
              <w:snapToGrid w:val="0"/>
              <w:rPr>
                <w:rStyle w:val="21"/>
                <w:rFonts w:ascii="Calibri" w:eastAsia="仿宋_GB2312"/>
                <w:b/>
                <w:i w:val="0"/>
                <w:color w:val="000000"/>
              </w:rPr>
            </w:pPr>
            <w:r>
              <w:rPr>
                <w:rFonts w:hint="eastAsia" w:ascii="Calibri" w:hAnsi="Calibri" w:eastAsia="仿宋_GB2312"/>
                <w:color w:val="000000"/>
                <w:szCs w:val="21"/>
              </w:rPr>
              <w:t>仓储区应当能够满足原材料、包装材料、中间品、产品等贮存条件和要求。</w:t>
            </w:r>
          </w:p>
        </w:tc>
      </w:tr>
      <w:tr w14:paraId="4731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95" w:hRule="atLeast"/>
          <w:jc w:val="center"/>
        </w:trPr>
        <w:tc>
          <w:tcPr>
            <w:tcW w:w="498" w:type="dxa"/>
            <w:vMerge w:val="continue"/>
          </w:tcPr>
          <w:p w14:paraId="5C8651C0">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27FB1BAF">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2.6.2</w:t>
            </w:r>
          </w:p>
        </w:tc>
        <w:tc>
          <w:tcPr>
            <w:tcW w:w="7134" w:type="dxa"/>
            <w:tcMar>
              <w:left w:w="57" w:type="dxa"/>
              <w:right w:w="57" w:type="dxa"/>
            </w:tcMar>
            <w:vAlign w:val="center"/>
          </w:tcPr>
          <w:p w14:paraId="6761D67F">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仓储区应当按照待验、合格、不合格、退货或召回等进行有序、分区存放各类材料和产品，便于检查和监控。</w:t>
            </w:r>
          </w:p>
          <w:p w14:paraId="2F6EC2BE">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现场查看是否设置了相关区域并进行了标识，对各类物料是否按规定区域存放，</w:t>
            </w:r>
            <w:r>
              <w:rPr>
                <w:rFonts w:hint="eastAsia" w:ascii="Calibri" w:hAnsi="Calibri" w:eastAsia="仿宋_GB2312"/>
                <w:b/>
                <w:color w:val="000000"/>
                <w:szCs w:val="21"/>
              </w:rPr>
              <w:t>应当有各类物品的贮存记录。</w:t>
            </w:r>
          </w:p>
        </w:tc>
      </w:tr>
      <w:tr w14:paraId="1A1A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5CF1A76E">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3DB10991">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*2.7.1</w:t>
            </w:r>
          </w:p>
        </w:tc>
        <w:tc>
          <w:tcPr>
            <w:tcW w:w="7134" w:type="dxa"/>
            <w:tcMar>
              <w:left w:w="57" w:type="dxa"/>
              <w:right w:w="57" w:type="dxa"/>
            </w:tcMar>
            <w:vAlign w:val="center"/>
          </w:tcPr>
          <w:p w14:paraId="4BC8DB03">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应当配备与产品生产规模、品种、检验要求相适应的检验场所和设施。</w:t>
            </w:r>
          </w:p>
          <w:p w14:paraId="7386EC09">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对照产品生产工艺的要求和产品检验要求以及检验方法，核实企业是否具备相关检测条件。</w:t>
            </w:r>
          </w:p>
        </w:tc>
      </w:tr>
      <w:tr w14:paraId="0AC4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14:paraId="74CADF4E">
            <w:pPr>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设</w:t>
            </w:r>
          </w:p>
          <w:p w14:paraId="25E5B2B7">
            <w:pPr>
              <w:adjustRightInd w:val="0"/>
              <w:snapToGrid w:val="0"/>
              <w:spacing w:line="360" w:lineRule="exact"/>
              <w:jc w:val="center"/>
              <w:rPr>
                <w:rFonts w:ascii="Calibri" w:hAnsi="Calibri" w:eastAsia="仿宋_GB2312"/>
                <w:b/>
                <w:bCs/>
                <w:color w:val="000000"/>
                <w:kern w:val="0"/>
                <w:sz w:val="28"/>
                <w:szCs w:val="28"/>
              </w:rPr>
            </w:pPr>
          </w:p>
          <w:p w14:paraId="7805E839">
            <w:pPr>
              <w:adjustRightInd w:val="0"/>
              <w:snapToGrid w:val="0"/>
              <w:spacing w:line="360" w:lineRule="exact"/>
              <w:jc w:val="center"/>
              <w:rPr>
                <w:rFonts w:ascii="Calibri" w:hAnsi="Calibri" w:eastAsia="仿宋_GB2312"/>
                <w:b/>
                <w:bCs/>
                <w:color w:val="000000"/>
                <w:kern w:val="0"/>
                <w:sz w:val="28"/>
                <w:szCs w:val="28"/>
              </w:rPr>
            </w:pPr>
          </w:p>
          <w:p w14:paraId="15AAD96E">
            <w:pPr>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备</w:t>
            </w:r>
          </w:p>
          <w:p w14:paraId="56641B37">
            <w:pPr>
              <w:adjustRightInd w:val="0"/>
              <w:snapToGrid w:val="0"/>
              <w:spacing w:line="360" w:lineRule="exact"/>
              <w:jc w:val="center"/>
              <w:rPr>
                <w:rFonts w:ascii="Calibri" w:hAnsi="Calibri" w:eastAsia="仿宋_GB2312"/>
                <w:b/>
                <w:bCs/>
                <w:color w:val="000000"/>
                <w:kern w:val="0"/>
                <w:sz w:val="30"/>
                <w:szCs w:val="30"/>
              </w:rPr>
            </w:pPr>
          </w:p>
        </w:tc>
        <w:tc>
          <w:tcPr>
            <w:tcW w:w="1224" w:type="dxa"/>
            <w:tcMar>
              <w:left w:w="57" w:type="dxa"/>
              <w:right w:w="57" w:type="dxa"/>
            </w:tcMar>
            <w:vAlign w:val="center"/>
          </w:tcPr>
          <w:p w14:paraId="5974E70B">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*3.1.1</w:t>
            </w:r>
          </w:p>
        </w:tc>
        <w:tc>
          <w:tcPr>
            <w:tcW w:w="7134" w:type="dxa"/>
            <w:tcMar>
              <w:left w:w="57" w:type="dxa"/>
              <w:right w:w="57" w:type="dxa"/>
            </w:tcMar>
            <w:vAlign w:val="center"/>
          </w:tcPr>
          <w:p w14:paraId="74D07792">
            <w:pPr>
              <w:adjustRightInd w:val="0"/>
              <w:snapToGrid w:val="0"/>
              <w:rPr>
                <w:rFonts w:ascii="Calibri" w:hAnsi="Calibri" w:eastAsia="仿宋_GB2312"/>
                <w:color w:val="000000"/>
                <w:szCs w:val="21"/>
              </w:rPr>
            </w:pPr>
            <w:r>
              <w:rPr>
                <w:rFonts w:hint="eastAsia" w:ascii="Calibri" w:hAnsi="Calibri" w:eastAsia="仿宋_GB2312"/>
                <w:color w:val="000000"/>
                <w:szCs w:val="21"/>
              </w:rPr>
              <w:t>应当配备与所生产产品和规模相匹配的生产设备、工艺装备，应当确保有效运行。</w:t>
            </w:r>
          </w:p>
          <w:p w14:paraId="7C880F6D">
            <w:pPr>
              <w:adjustRightInd w:val="0"/>
              <w:snapToGrid w:val="0"/>
              <w:rPr>
                <w:rStyle w:val="19"/>
                <w:rFonts w:ascii="Calibri" w:eastAsia="仿宋_GB2312"/>
                <w:b/>
                <w:i w:val="0"/>
                <w:color w:val="000000"/>
              </w:rPr>
            </w:pPr>
            <w:r>
              <w:rPr>
                <w:rStyle w:val="19"/>
                <w:rFonts w:hint="eastAsia" w:ascii="Calibri" w:eastAsia="仿宋_GB2312"/>
                <w:b/>
                <w:i w:val="0"/>
                <w:color w:val="000000"/>
              </w:rPr>
              <w:t>对照生产工艺流程图，查看设备清单，所列设备是否满足生产需要；核查现场设备是否与设备清单相关内容一致；应当制定设备管理制度。</w:t>
            </w:r>
          </w:p>
        </w:tc>
      </w:tr>
      <w:tr w14:paraId="500A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38C5C453">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16098603">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3.2.1</w:t>
            </w:r>
          </w:p>
        </w:tc>
        <w:tc>
          <w:tcPr>
            <w:tcW w:w="7134" w:type="dxa"/>
            <w:tcMar>
              <w:left w:w="57" w:type="dxa"/>
              <w:right w:w="57" w:type="dxa"/>
            </w:tcMar>
            <w:vAlign w:val="center"/>
          </w:tcPr>
          <w:p w14:paraId="0666DD1C">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生产设备的设计、选型、安装、维修和维护应当符合预定用途，便于操作、清洁和维护。</w:t>
            </w:r>
          </w:p>
          <w:p w14:paraId="333D419B">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查看生产设备验证记录，确认是否满足预定要求。现场查看生产设备是否便于操作、清洁和维护。</w:t>
            </w:r>
          </w:p>
        </w:tc>
      </w:tr>
      <w:tr w14:paraId="0A73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97" w:hRule="atLeast"/>
          <w:jc w:val="center"/>
        </w:trPr>
        <w:tc>
          <w:tcPr>
            <w:tcW w:w="498" w:type="dxa"/>
            <w:vMerge w:val="continue"/>
          </w:tcPr>
          <w:p w14:paraId="43BF618C">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200E1825">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3.2.2</w:t>
            </w:r>
          </w:p>
        </w:tc>
        <w:tc>
          <w:tcPr>
            <w:tcW w:w="7134" w:type="dxa"/>
            <w:tcMar>
              <w:left w:w="57" w:type="dxa"/>
              <w:right w:w="57" w:type="dxa"/>
            </w:tcMar>
            <w:vAlign w:val="center"/>
          </w:tcPr>
          <w:p w14:paraId="57C10693">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生产设备应当有明显的状态标识，防止非预期使用。</w:t>
            </w:r>
          </w:p>
          <w:p w14:paraId="23262C04">
            <w:pPr>
              <w:widowControl/>
              <w:tabs>
                <w:tab w:val="left" w:pos="2860"/>
              </w:tabs>
              <w:adjustRightInd w:val="0"/>
              <w:snapToGrid w:val="0"/>
              <w:rPr>
                <w:rStyle w:val="19"/>
                <w:rFonts w:ascii="Calibri" w:eastAsia="仿宋_GB2312"/>
                <w:b/>
                <w:i w:val="0"/>
                <w:color w:val="000000"/>
              </w:rPr>
            </w:pPr>
            <w:r>
              <w:rPr>
                <w:rStyle w:val="19"/>
                <w:rFonts w:hint="eastAsia" w:ascii="Calibri" w:eastAsia="仿宋_GB2312"/>
                <w:b/>
                <w:i w:val="0"/>
                <w:color w:val="000000"/>
              </w:rPr>
              <w:t>现场查看生产设备标识。</w:t>
            </w:r>
            <w:r>
              <w:rPr>
                <w:rStyle w:val="19"/>
                <w:rFonts w:ascii="Calibri" w:eastAsia="仿宋_GB2312"/>
                <w:b/>
                <w:i w:val="0"/>
                <w:color w:val="000000"/>
              </w:rPr>
              <w:tab/>
            </w:r>
          </w:p>
        </w:tc>
      </w:tr>
      <w:tr w14:paraId="0E51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21" w:hRule="atLeast"/>
          <w:jc w:val="center"/>
        </w:trPr>
        <w:tc>
          <w:tcPr>
            <w:tcW w:w="498" w:type="dxa"/>
            <w:vMerge w:val="continue"/>
          </w:tcPr>
          <w:p w14:paraId="06D82092">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2C6645AD">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3.2.3</w:t>
            </w:r>
          </w:p>
        </w:tc>
        <w:tc>
          <w:tcPr>
            <w:tcW w:w="7134" w:type="dxa"/>
            <w:tcMar>
              <w:left w:w="57" w:type="dxa"/>
              <w:right w:w="57" w:type="dxa"/>
            </w:tcMar>
            <w:vAlign w:val="center"/>
          </w:tcPr>
          <w:p w14:paraId="6A8BC002">
            <w:pPr>
              <w:widowControl/>
              <w:adjustRightInd w:val="0"/>
              <w:snapToGrid w:val="0"/>
              <w:rPr>
                <w:rStyle w:val="19"/>
                <w:rFonts w:ascii="Calibri" w:eastAsia="仿宋_GB2312"/>
                <w:i w:val="0"/>
                <w:color w:val="000000"/>
              </w:rPr>
            </w:pPr>
            <w:r>
              <w:rPr>
                <w:rFonts w:hint="eastAsia" w:ascii="Calibri" w:hAnsi="Calibri" w:eastAsia="仿宋_GB2312"/>
                <w:color w:val="000000"/>
                <w:szCs w:val="21"/>
              </w:rPr>
              <w:t>应当建立生产设备使用、清洁、维护和维修的操作规程，并保存相应的设备操作记录。</w:t>
            </w:r>
          </w:p>
        </w:tc>
      </w:tr>
      <w:tr w14:paraId="138C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7943209C">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1F46F1F7">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*3.3.1</w:t>
            </w:r>
          </w:p>
        </w:tc>
        <w:tc>
          <w:tcPr>
            <w:tcW w:w="7134" w:type="dxa"/>
            <w:tcMar>
              <w:left w:w="57" w:type="dxa"/>
              <w:right w:w="57" w:type="dxa"/>
            </w:tcMar>
            <w:vAlign w:val="center"/>
          </w:tcPr>
          <w:p w14:paraId="7FBD5CC7">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应当配备与产品检验要求相适应的检验仪器和设备，主要检验仪器和设备应当具有明确的操作规程。</w:t>
            </w:r>
          </w:p>
          <w:p w14:paraId="1E9D4C82">
            <w:pPr>
              <w:widowControl/>
              <w:adjustRightInd w:val="0"/>
              <w:snapToGrid w:val="0"/>
              <w:rPr>
                <w:rFonts w:ascii="Calibri" w:hAnsi="Calibri" w:eastAsia="仿宋_GB2312"/>
                <w:b/>
                <w:color w:val="000000"/>
                <w:szCs w:val="21"/>
              </w:rPr>
            </w:pPr>
            <w:r>
              <w:rPr>
                <w:rStyle w:val="19"/>
                <w:rFonts w:hint="eastAsia" w:ascii="Calibri" w:eastAsia="仿宋_GB2312"/>
                <w:b/>
                <w:i w:val="0"/>
                <w:color w:val="000000"/>
              </w:rPr>
              <w:t>对照产品检验要求和检验方法，核实企业是否具备相关检测设备。主要检测设备是否制定了操作规程。</w:t>
            </w:r>
          </w:p>
        </w:tc>
      </w:tr>
      <w:tr w14:paraId="581A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14:paraId="1FA47AE3">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040B15C9">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3.4.1</w:t>
            </w:r>
          </w:p>
        </w:tc>
        <w:tc>
          <w:tcPr>
            <w:tcW w:w="7134" w:type="dxa"/>
            <w:tcMar>
              <w:left w:w="57" w:type="dxa"/>
              <w:right w:w="57" w:type="dxa"/>
            </w:tcMar>
            <w:vAlign w:val="center"/>
          </w:tcPr>
          <w:p w14:paraId="384F5FCA">
            <w:pPr>
              <w:widowControl/>
              <w:adjustRightInd w:val="0"/>
              <w:snapToGrid w:val="0"/>
              <w:rPr>
                <w:rStyle w:val="19"/>
                <w:rFonts w:ascii="Calibri" w:eastAsia="仿宋_GB2312"/>
                <w:i w:val="0"/>
                <w:color w:val="000000"/>
              </w:rPr>
            </w:pPr>
            <w:r>
              <w:rPr>
                <w:rFonts w:hint="eastAsia" w:ascii="Calibri" w:hAnsi="Calibri" w:eastAsia="仿宋_GB2312"/>
                <w:color w:val="000000"/>
                <w:szCs w:val="21"/>
              </w:rPr>
              <w:t>应当建立检验仪器和设备的使用记录，记录内容应当包括使用、校准、维护和维修等情况。</w:t>
            </w:r>
          </w:p>
        </w:tc>
      </w:tr>
      <w:tr w14:paraId="7C16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14:paraId="10E53559">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443C4FC1">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3.5.1</w:t>
            </w:r>
          </w:p>
        </w:tc>
        <w:tc>
          <w:tcPr>
            <w:tcW w:w="7134" w:type="dxa"/>
            <w:tcMar>
              <w:left w:w="57" w:type="dxa"/>
              <w:right w:w="57" w:type="dxa"/>
            </w:tcMar>
            <w:vAlign w:val="center"/>
          </w:tcPr>
          <w:p w14:paraId="58CC7056">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应当配备适当的计量器具，计量器具的量程和精度应当满足使用要求，计量器具应当标明其校准有效期，保存相应记录。</w:t>
            </w:r>
          </w:p>
          <w:p w14:paraId="35FE6930">
            <w:pPr>
              <w:widowControl/>
              <w:adjustRightInd w:val="0"/>
              <w:snapToGrid w:val="0"/>
              <w:rPr>
                <w:rFonts w:ascii="Calibri" w:hAnsi="Calibri" w:eastAsia="仿宋_GB2312"/>
                <w:b/>
                <w:color w:val="000000"/>
                <w:szCs w:val="21"/>
              </w:rPr>
            </w:pPr>
            <w:r>
              <w:rPr>
                <w:rStyle w:val="19"/>
                <w:rFonts w:hint="eastAsia" w:ascii="Calibri" w:eastAsia="仿宋_GB2312"/>
                <w:b/>
                <w:i w:val="0"/>
                <w:color w:val="000000"/>
              </w:rPr>
              <w:t>查看计量器具的校准记录，确定是否在有效期内使用。</w:t>
            </w:r>
          </w:p>
        </w:tc>
      </w:tr>
      <w:tr w14:paraId="1734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61" w:hRule="atLeast"/>
          <w:jc w:val="center"/>
        </w:trPr>
        <w:tc>
          <w:tcPr>
            <w:tcW w:w="498" w:type="dxa"/>
            <w:vMerge w:val="restart"/>
            <w:vAlign w:val="center"/>
          </w:tcPr>
          <w:p w14:paraId="767E310B">
            <w:pPr>
              <w:widowControl/>
              <w:adjustRightInd w:val="0"/>
              <w:snapToGrid w:val="0"/>
              <w:spacing w:line="360" w:lineRule="exact"/>
              <w:jc w:val="center"/>
              <w:rPr>
                <w:rFonts w:eastAsia="仿宋_GB2312"/>
                <w:b/>
                <w:color w:val="000000"/>
                <w:kern w:val="0"/>
                <w:sz w:val="28"/>
                <w:szCs w:val="28"/>
              </w:rPr>
            </w:pPr>
          </w:p>
          <w:p w14:paraId="622C7A8A">
            <w:pPr>
              <w:widowControl/>
              <w:adjustRightInd w:val="0"/>
              <w:snapToGrid w:val="0"/>
              <w:spacing w:line="360" w:lineRule="exact"/>
              <w:jc w:val="center"/>
              <w:rPr>
                <w:rFonts w:eastAsia="仿宋_GB2312"/>
                <w:b/>
                <w:color w:val="000000"/>
                <w:kern w:val="0"/>
                <w:sz w:val="28"/>
                <w:szCs w:val="28"/>
              </w:rPr>
            </w:pPr>
          </w:p>
          <w:p w14:paraId="5F65F099">
            <w:pPr>
              <w:widowControl/>
              <w:adjustRightInd w:val="0"/>
              <w:snapToGrid w:val="0"/>
              <w:spacing w:line="360" w:lineRule="exact"/>
              <w:jc w:val="center"/>
              <w:rPr>
                <w:rFonts w:eastAsia="仿宋_GB2312"/>
                <w:b/>
                <w:color w:val="000000"/>
                <w:kern w:val="0"/>
                <w:sz w:val="28"/>
                <w:szCs w:val="28"/>
              </w:rPr>
            </w:pPr>
          </w:p>
          <w:p w14:paraId="64CC1012">
            <w:pPr>
              <w:widowControl/>
              <w:adjustRightInd w:val="0"/>
              <w:snapToGrid w:val="0"/>
              <w:spacing w:line="360" w:lineRule="exact"/>
              <w:jc w:val="center"/>
              <w:rPr>
                <w:rFonts w:eastAsia="仿宋_GB2312"/>
                <w:b/>
                <w:color w:val="000000"/>
                <w:kern w:val="0"/>
                <w:sz w:val="28"/>
                <w:szCs w:val="28"/>
              </w:rPr>
            </w:pPr>
          </w:p>
          <w:p w14:paraId="0391715D">
            <w:pPr>
              <w:widowControl/>
              <w:adjustRightInd w:val="0"/>
              <w:snapToGrid w:val="0"/>
              <w:spacing w:line="360" w:lineRule="exact"/>
              <w:jc w:val="center"/>
              <w:rPr>
                <w:rFonts w:eastAsia="仿宋_GB2312"/>
                <w:b/>
                <w:color w:val="000000"/>
                <w:kern w:val="0"/>
                <w:sz w:val="28"/>
                <w:szCs w:val="28"/>
              </w:rPr>
            </w:pPr>
          </w:p>
          <w:p w14:paraId="7DB6A2B2">
            <w:pPr>
              <w:widowControl/>
              <w:adjustRightInd w:val="0"/>
              <w:snapToGrid w:val="0"/>
              <w:spacing w:line="360" w:lineRule="exact"/>
              <w:jc w:val="center"/>
              <w:rPr>
                <w:rFonts w:eastAsia="仿宋_GB2312"/>
                <w:b/>
                <w:color w:val="000000"/>
                <w:kern w:val="0"/>
                <w:sz w:val="28"/>
                <w:szCs w:val="28"/>
              </w:rPr>
            </w:pPr>
          </w:p>
          <w:p w14:paraId="628C836B">
            <w:pPr>
              <w:widowControl/>
              <w:adjustRightInd w:val="0"/>
              <w:snapToGrid w:val="0"/>
              <w:spacing w:line="360" w:lineRule="exact"/>
              <w:jc w:val="center"/>
              <w:rPr>
                <w:rFonts w:eastAsia="仿宋_GB2312"/>
                <w:b/>
                <w:color w:val="000000"/>
                <w:kern w:val="0"/>
                <w:sz w:val="28"/>
                <w:szCs w:val="28"/>
              </w:rPr>
            </w:pPr>
          </w:p>
          <w:p w14:paraId="439A8A58">
            <w:pPr>
              <w:widowControl/>
              <w:adjustRightInd w:val="0"/>
              <w:snapToGrid w:val="0"/>
              <w:spacing w:line="360" w:lineRule="exact"/>
              <w:jc w:val="center"/>
              <w:rPr>
                <w:rFonts w:eastAsia="仿宋_GB2312"/>
                <w:b/>
                <w:color w:val="000000"/>
                <w:kern w:val="0"/>
                <w:sz w:val="28"/>
                <w:szCs w:val="28"/>
              </w:rPr>
            </w:pPr>
          </w:p>
          <w:p w14:paraId="1ABA3015">
            <w:pPr>
              <w:widowControl/>
              <w:adjustRightInd w:val="0"/>
              <w:snapToGrid w:val="0"/>
              <w:spacing w:line="360" w:lineRule="exact"/>
              <w:jc w:val="center"/>
              <w:rPr>
                <w:rFonts w:eastAsia="仿宋_GB2312"/>
                <w:b/>
                <w:color w:val="000000"/>
                <w:kern w:val="0"/>
                <w:sz w:val="28"/>
                <w:szCs w:val="28"/>
              </w:rPr>
            </w:pPr>
          </w:p>
          <w:p w14:paraId="73D34E7F">
            <w:pPr>
              <w:widowControl/>
              <w:adjustRightInd w:val="0"/>
              <w:snapToGrid w:val="0"/>
              <w:spacing w:line="360" w:lineRule="exact"/>
              <w:jc w:val="center"/>
              <w:rPr>
                <w:rFonts w:eastAsia="仿宋_GB2312"/>
                <w:b/>
                <w:color w:val="000000"/>
                <w:kern w:val="0"/>
                <w:sz w:val="28"/>
                <w:szCs w:val="28"/>
              </w:rPr>
            </w:pPr>
          </w:p>
          <w:p w14:paraId="0C77592C">
            <w:pPr>
              <w:widowControl/>
              <w:adjustRightInd w:val="0"/>
              <w:snapToGrid w:val="0"/>
              <w:spacing w:line="360" w:lineRule="exact"/>
              <w:jc w:val="center"/>
              <w:rPr>
                <w:rFonts w:eastAsia="仿宋_GB2312"/>
                <w:b/>
                <w:color w:val="000000"/>
                <w:kern w:val="0"/>
                <w:sz w:val="28"/>
                <w:szCs w:val="28"/>
              </w:rPr>
            </w:pPr>
          </w:p>
          <w:p w14:paraId="59A4AA59">
            <w:pPr>
              <w:widowControl/>
              <w:adjustRightInd w:val="0"/>
              <w:snapToGrid w:val="0"/>
              <w:spacing w:line="360" w:lineRule="exact"/>
              <w:jc w:val="center"/>
              <w:rPr>
                <w:rFonts w:eastAsia="仿宋_GB2312"/>
                <w:b/>
                <w:color w:val="000000"/>
                <w:kern w:val="0"/>
                <w:sz w:val="28"/>
                <w:szCs w:val="28"/>
              </w:rPr>
            </w:pPr>
          </w:p>
          <w:p w14:paraId="1D280F78">
            <w:pPr>
              <w:widowControl/>
              <w:adjustRightInd w:val="0"/>
              <w:snapToGrid w:val="0"/>
              <w:spacing w:line="360" w:lineRule="exact"/>
              <w:jc w:val="center"/>
              <w:rPr>
                <w:rFonts w:eastAsia="仿宋_GB2312"/>
                <w:b/>
                <w:color w:val="000000"/>
                <w:kern w:val="0"/>
                <w:sz w:val="28"/>
                <w:szCs w:val="28"/>
              </w:rPr>
            </w:pPr>
          </w:p>
          <w:p w14:paraId="24E64117">
            <w:pPr>
              <w:widowControl/>
              <w:adjustRightInd w:val="0"/>
              <w:snapToGrid w:val="0"/>
              <w:spacing w:line="360" w:lineRule="exact"/>
              <w:jc w:val="center"/>
              <w:rPr>
                <w:rFonts w:ascii="Calibri" w:hAnsi="Calibri" w:eastAsia="仿宋_GB2312"/>
                <w:b/>
                <w:color w:val="000000"/>
                <w:kern w:val="0"/>
                <w:sz w:val="28"/>
                <w:szCs w:val="28"/>
              </w:rPr>
            </w:pPr>
          </w:p>
          <w:p w14:paraId="305BE8AC">
            <w:pPr>
              <w:widowControl/>
              <w:adjustRightInd w:val="0"/>
              <w:snapToGrid w:val="0"/>
              <w:spacing w:line="360" w:lineRule="exact"/>
              <w:jc w:val="center"/>
              <w:rPr>
                <w:rFonts w:eastAsia="仿宋_GB2312"/>
                <w:b/>
                <w:color w:val="000000"/>
                <w:kern w:val="0"/>
                <w:sz w:val="28"/>
                <w:szCs w:val="28"/>
              </w:rPr>
            </w:pPr>
            <w:r>
              <w:rPr>
                <w:rFonts w:hint="eastAsia" w:ascii="Calibri" w:hAnsi="Calibri" w:eastAsia="仿宋_GB2312"/>
                <w:b/>
                <w:color w:val="000000"/>
                <w:kern w:val="0"/>
                <w:sz w:val="28"/>
                <w:szCs w:val="28"/>
              </w:rPr>
              <w:t>文</w:t>
            </w:r>
          </w:p>
          <w:p w14:paraId="50F9D5BE">
            <w:pPr>
              <w:widowControl/>
              <w:adjustRightInd w:val="0"/>
              <w:snapToGrid w:val="0"/>
              <w:spacing w:line="360" w:lineRule="exact"/>
              <w:jc w:val="center"/>
              <w:rPr>
                <w:rFonts w:ascii="Calibri" w:hAnsi="Calibri" w:eastAsia="仿宋_GB2312"/>
                <w:b/>
                <w:color w:val="000000"/>
                <w:kern w:val="0"/>
                <w:sz w:val="28"/>
                <w:szCs w:val="28"/>
              </w:rPr>
            </w:pPr>
          </w:p>
          <w:p w14:paraId="1B89A9E6">
            <w:pPr>
              <w:widowControl/>
              <w:adjustRightInd w:val="0"/>
              <w:snapToGrid w:val="0"/>
              <w:spacing w:line="360" w:lineRule="exact"/>
              <w:jc w:val="center"/>
              <w:rPr>
                <w:rFonts w:eastAsia="仿宋_GB2312"/>
                <w:b/>
                <w:color w:val="000000"/>
                <w:kern w:val="0"/>
                <w:sz w:val="28"/>
                <w:szCs w:val="28"/>
              </w:rPr>
            </w:pPr>
            <w:r>
              <w:rPr>
                <w:rFonts w:hint="eastAsia" w:ascii="Calibri" w:hAnsi="Calibri" w:eastAsia="仿宋_GB2312"/>
                <w:b/>
                <w:color w:val="000000"/>
                <w:kern w:val="0"/>
                <w:sz w:val="28"/>
                <w:szCs w:val="28"/>
              </w:rPr>
              <w:t>件</w:t>
            </w:r>
          </w:p>
          <w:p w14:paraId="0B47A829">
            <w:pPr>
              <w:widowControl/>
              <w:adjustRightInd w:val="0"/>
              <w:snapToGrid w:val="0"/>
              <w:spacing w:line="360" w:lineRule="exact"/>
              <w:jc w:val="center"/>
              <w:rPr>
                <w:rFonts w:ascii="Calibri" w:hAnsi="Calibri" w:eastAsia="仿宋_GB2312"/>
                <w:b/>
                <w:color w:val="000000"/>
                <w:kern w:val="0"/>
                <w:sz w:val="28"/>
                <w:szCs w:val="28"/>
              </w:rPr>
            </w:pPr>
          </w:p>
          <w:p w14:paraId="570AEAEF">
            <w:pPr>
              <w:widowControl/>
              <w:adjustRightInd w:val="0"/>
              <w:snapToGrid w:val="0"/>
              <w:spacing w:line="360" w:lineRule="exact"/>
              <w:jc w:val="center"/>
              <w:rPr>
                <w:rFonts w:eastAsia="仿宋_GB2312"/>
                <w:b/>
                <w:color w:val="000000"/>
                <w:kern w:val="0"/>
                <w:sz w:val="28"/>
                <w:szCs w:val="28"/>
              </w:rPr>
            </w:pPr>
            <w:r>
              <w:rPr>
                <w:rFonts w:hint="eastAsia" w:ascii="Calibri" w:hAnsi="Calibri" w:eastAsia="仿宋_GB2312"/>
                <w:b/>
                <w:color w:val="000000"/>
                <w:kern w:val="0"/>
                <w:sz w:val="28"/>
                <w:szCs w:val="28"/>
              </w:rPr>
              <w:t>管</w:t>
            </w:r>
          </w:p>
          <w:p w14:paraId="58E3BBF3">
            <w:pPr>
              <w:widowControl/>
              <w:adjustRightInd w:val="0"/>
              <w:snapToGrid w:val="0"/>
              <w:spacing w:line="360" w:lineRule="exact"/>
              <w:jc w:val="center"/>
              <w:rPr>
                <w:rFonts w:eastAsia="仿宋_GB2312"/>
                <w:b/>
                <w:color w:val="000000"/>
                <w:kern w:val="0"/>
                <w:sz w:val="28"/>
                <w:szCs w:val="28"/>
              </w:rPr>
            </w:pPr>
          </w:p>
          <w:p w14:paraId="33AE2D0C">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理</w:t>
            </w:r>
          </w:p>
          <w:p w14:paraId="3C03020C">
            <w:pPr>
              <w:adjustRightInd w:val="0"/>
              <w:snapToGrid w:val="0"/>
              <w:spacing w:line="360" w:lineRule="exact"/>
              <w:jc w:val="center"/>
              <w:rPr>
                <w:rFonts w:ascii="Calibri" w:hAnsi="Calibri" w:eastAsia="仿宋_GB2312"/>
                <w:b/>
                <w:bCs/>
                <w:color w:val="000000"/>
                <w:kern w:val="0"/>
                <w:sz w:val="44"/>
                <w:szCs w:val="21"/>
              </w:rPr>
            </w:pPr>
          </w:p>
        </w:tc>
        <w:tc>
          <w:tcPr>
            <w:tcW w:w="1224" w:type="dxa"/>
            <w:tcMar>
              <w:left w:w="57" w:type="dxa"/>
              <w:right w:w="57" w:type="dxa"/>
            </w:tcMar>
            <w:vAlign w:val="center"/>
          </w:tcPr>
          <w:p w14:paraId="5A725449">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*4.1.1</w:t>
            </w:r>
          </w:p>
        </w:tc>
        <w:tc>
          <w:tcPr>
            <w:tcW w:w="7134" w:type="dxa"/>
            <w:tcMar>
              <w:left w:w="57" w:type="dxa"/>
              <w:right w:w="57" w:type="dxa"/>
            </w:tcMar>
            <w:vAlign w:val="center"/>
          </w:tcPr>
          <w:p w14:paraId="6F184AC2">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应当建立健全质量管理体系文件，包括质量方针和质量目标、质量手册、程序文件、技术文件和记录，以及法规要求的其他文件。</w:t>
            </w:r>
          </w:p>
          <w:p w14:paraId="11F8F74E">
            <w:pPr>
              <w:widowControl/>
              <w:adjustRightInd w:val="0"/>
              <w:snapToGrid w:val="0"/>
              <w:rPr>
                <w:rStyle w:val="19"/>
                <w:rFonts w:ascii="Calibri" w:eastAsia="仿宋_GB2312"/>
                <w:b/>
                <w:i w:val="0"/>
                <w:color w:val="000000"/>
              </w:rPr>
            </w:pPr>
            <w:r>
              <w:rPr>
                <w:rFonts w:hint="eastAsia" w:ascii="Calibri" w:hAnsi="Calibri" w:eastAsia="仿宋_GB2312"/>
                <w:b/>
                <w:color w:val="000000"/>
                <w:kern w:val="0"/>
                <w:szCs w:val="21"/>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r>
      <w:tr w14:paraId="5EF9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46695968">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5297BDE0">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4.1.2</w:t>
            </w:r>
          </w:p>
        </w:tc>
        <w:tc>
          <w:tcPr>
            <w:tcW w:w="7134" w:type="dxa"/>
            <w:tcMar>
              <w:left w:w="57" w:type="dxa"/>
              <w:right w:w="57" w:type="dxa"/>
            </w:tcMar>
            <w:vAlign w:val="center"/>
          </w:tcPr>
          <w:p w14:paraId="225C2513">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质量手册应当对质量管理体系作出规定。</w:t>
            </w:r>
          </w:p>
          <w:p w14:paraId="4407168E">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查看企业的</w:t>
            </w:r>
            <w:r>
              <w:rPr>
                <w:rFonts w:hint="eastAsia" w:ascii="Calibri" w:hAnsi="Calibri" w:eastAsia="仿宋_GB2312"/>
                <w:b/>
                <w:color w:val="000000"/>
                <w:kern w:val="0"/>
                <w:szCs w:val="21"/>
              </w:rPr>
              <w:t>质量手册，应当包括企业质量目标、组织机构及职责、质量体系的适用范围和要求。</w:t>
            </w:r>
          </w:p>
        </w:tc>
      </w:tr>
      <w:tr w14:paraId="590D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15" w:hRule="atLeast"/>
          <w:jc w:val="center"/>
        </w:trPr>
        <w:tc>
          <w:tcPr>
            <w:tcW w:w="498" w:type="dxa"/>
            <w:vMerge w:val="continue"/>
            <w:vAlign w:val="center"/>
          </w:tcPr>
          <w:p w14:paraId="152C164D">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57603AA0">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4.1.3</w:t>
            </w:r>
          </w:p>
        </w:tc>
        <w:tc>
          <w:tcPr>
            <w:tcW w:w="7134" w:type="dxa"/>
            <w:tcMar>
              <w:left w:w="57" w:type="dxa"/>
              <w:right w:w="57" w:type="dxa"/>
            </w:tcMar>
            <w:vAlign w:val="center"/>
          </w:tcPr>
          <w:p w14:paraId="21B5DDE0">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程序文件应当根据产品生产和质量管理过程中需要建立的各种工作程序而制定，包含本规范所规定的各项程序文件。</w:t>
            </w:r>
          </w:p>
        </w:tc>
      </w:tr>
      <w:tr w14:paraId="2161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25" w:hRule="atLeast"/>
          <w:jc w:val="center"/>
        </w:trPr>
        <w:tc>
          <w:tcPr>
            <w:tcW w:w="498" w:type="dxa"/>
            <w:vMerge w:val="continue"/>
          </w:tcPr>
          <w:p w14:paraId="7901CA9D">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54C6DB86">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*4.1.4</w:t>
            </w:r>
          </w:p>
        </w:tc>
        <w:tc>
          <w:tcPr>
            <w:tcW w:w="7134" w:type="dxa"/>
            <w:tcMar>
              <w:left w:w="57" w:type="dxa"/>
              <w:right w:w="57" w:type="dxa"/>
            </w:tcMar>
            <w:vAlign w:val="center"/>
          </w:tcPr>
          <w:p w14:paraId="6BE0927F">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技术文件应当包括产品技术要求及相关标准、生产工艺规程、作业指导书、检验和试验操作规程、安装和服务操作规程等相关文件。</w:t>
            </w:r>
          </w:p>
        </w:tc>
      </w:tr>
      <w:tr w14:paraId="6435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22011CD6">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1FBC0FB7">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4.2.1</w:t>
            </w:r>
          </w:p>
        </w:tc>
        <w:tc>
          <w:tcPr>
            <w:tcW w:w="7134" w:type="dxa"/>
            <w:tcMar>
              <w:left w:w="57" w:type="dxa"/>
              <w:right w:w="57" w:type="dxa"/>
            </w:tcMar>
            <w:vAlign w:val="center"/>
          </w:tcPr>
          <w:p w14:paraId="0CB3AE62">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应当建立文件控制程序，系统地设计、制定、审核、批准和发放质量管理体系文件。</w:t>
            </w:r>
          </w:p>
        </w:tc>
      </w:tr>
      <w:tr w14:paraId="1946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14:paraId="78C83437">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33882C99">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4.2.2</w:t>
            </w:r>
          </w:p>
        </w:tc>
        <w:tc>
          <w:tcPr>
            <w:tcW w:w="7134" w:type="dxa"/>
            <w:tcMar>
              <w:left w:w="57" w:type="dxa"/>
              <w:right w:w="57" w:type="dxa"/>
            </w:tcMar>
            <w:vAlign w:val="center"/>
          </w:tcPr>
          <w:p w14:paraId="0A23C4EC">
            <w:pPr>
              <w:adjustRightInd w:val="0"/>
              <w:snapToGrid w:val="0"/>
              <w:rPr>
                <w:rStyle w:val="19"/>
                <w:rFonts w:ascii="Calibri" w:eastAsia="仿宋_GB2312"/>
                <w:i w:val="0"/>
                <w:dstrike/>
                <w:color w:val="000000"/>
              </w:rPr>
            </w:pPr>
            <w:r>
              <w:rPr>
                <w:rFonts w:hint="eastAsia" w:ascii="Calibri" w:hAnsi="Calibri" w:eastAsia="仿宋_GB2312"/>
                <w:color w:val="000000"/>
                <w:kern w:val="0"/>
                <w:szCs w:val="21"/>
              </w:rPr>
              <w:t>文件的起草、修订、审核、批准、替换或撤销、复制、保管和销毁等应当按照控制程序管理，并有相应的文件分发、撤销、复制和销毁记录。</w:t>
            </w:r>
          </w:p>
        </w:tc>
      </w:tr>
      <w:tr w14:paraId="6CD3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14:paraId="3A43FE7C">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5D86B0C3">
            <w:pPr>
              <w:widowControl/>
              <w:adjustRightInd w:val="0"/>
              <w:snapToGrid w:val="0"/>
              <w:spacing w:line="360" w:lineRule="exact"/>
              <w:jc w:val="center"/>
              <w:rPr>
                <w:rStyle w:val="21"/>
                <w:rFonts w:ascii="Calibri" w:hAnsi="Calibri" w:eastAsia="仿宋_GB2312"/>
                <w:color w:val="000000"/>
                <w:u w:val="none"/>
              </w:rPr>
            </w:pPr>
            <w:r>
              <w:rPr>
                <w:rFonts w:ascii="Calibri" w:hAnsi="Calibri" w:eastAsia="仿宋_GB2312"/>
                <w:color w:val="000000"/>
                <w:kern w:val="0"/>
                <w:szCs w:val="21"/>
              </w:rPr>
              <w:t>4.</w:t>
            </w:r>
            <w:r>
              <w:rPr>
                <w:rFonts w:ascii="Calibri" w:hAnsi="Calibri" w:eastAsia="仿宋_GB2312"/>
                <w:iCs/>
                <w:color w:val="000000"/>
                <w:kern w:val="0"/>
                <w:szCs w:val="21"/>
              </w:rPr>
              <w:t>2.3</w:t>
            </w:r>
          </w:p>
        </w:tc>
        <w:tc>
          <w:tcPr>
            <w:tcW w:w="7134" w:type="dxa"/>
            <w:tcMar>
              <w:left w:w="57" w:type="dxa"/>
              <w:right w:w="57" w:type="dxa"/>
            </w:tcMar>
            <w:vAlign w:val="center"/>
          </w:tcPr>
          <w:p w14:paraId="13382141">
            <w:pPr>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文件更新或修订时应当按规定评审和批准，能够识别文件的更改和修订状态。</w:t>
            </w:r>
          </w:p>
          <w:p w14:paraId="6B606A1E">
            <w:pPr>
              <w:adjustRightInd w:val="0"/>
              <w:snapToGrid w:val="0"/>
              <w:rPr>
                <w:rStyle w:val="19"/>
                <w:rFonts w:ascii="Calibri" w:eastAsia="仿宋_GB2312"/>
                <w:b/>
                <w:i w:val="0"/>
                <w:color w:val="000000"/>
              </w:rPr>
            </w:pPr>
            <w:r>
              <w:rPr>
                <w:rStyle w:val="19"/>
                <w:rFonts w:hint="eastAsia" w:ascii="Calibri" w:eastAsia="仿宋_GB2312"/>
                <w:b/>
                <w:i w:val="0"/>
                <w:color w:val="000000"/>
              </w:rPr>
              <w:t>查看相关记录确认文件的更新或修订是否经过评审和批准；其更改和修订状态是否能够得到识别。</w:t>
            </w:r>
          </w:p>
        </w:tc>
      </w:tr>
      <w:tr w14:paraId="1644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17670BCE">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673C9F3F">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4.2.4</w:t>
            </w:r>
          </w:p>
        </w:tc>
        <w:tc>
          <w:tcPr>
            <w:tcW w:w="7134" w:type="dxa"/>
            <w:tcMar>
              <w:left w:w="57" w:type="dxa"/>
              <w:right w:w="57" w:type="dxa"/>
            </w:tcMar>
            <w:vAlign w:val="center"/>
          </w:tcPr>
          <w:p w14:paraId="1BB623AF">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分发和使用的文件应当为适宜的文本，已撤销或作废的文件应当进行标识，防止误用。</w:t>
            </w:r>
          </w:p>
          <w:p w14:paraId="3583A45A">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到工作现场抽查现场使用的文件，确认是否是有效版本。作废文件是否明确标识。</w:t>
            </w:r>
          </w:p>
        </w:tc>
      </w:tr>
      <w:tr w14:paraId="5E0C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55" w:hRule="atLeast"/>
          <w:jc w:val="center"/>
        </w:trPr>
        <w:tc>
          <w:tcPr>
            <w:tcW w:w="498" w:type="dxa"/>
            <w:vMerge w:val="continue"/>
          </w:tcPr>
          <w:p w14:paraId="6A1A9BA4">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19D1D8AB">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4.3.1</w:t>
            </w:r>
          </w:p>
        </w:tc>
        <w:tc>
          <w:tcPr>
            <w:tcW w:w="7134" w:type="dxa"/>
            <w:tcMar>
              <w:left w:w="57" w:type="dxa"/>
              <w:right w:w="57" w:type="dxa"/>
            </w:tcMar>
            <w:vAlign w:val="center"/>
          </w:tcPr>
          <w:p w14:paraId="2271D5CA">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应当确定作废的技术文件等必要的质量管理体系文件的保存期限，满足产品维修和产品质量责任追溯等需要。</w:t>
            </w:r>
          </w:p>
          <w:p w14:paraId="04236CAB">
            <w:pPr>
              <w:widowControl/>
              <w:adjustRightInd w:val="0"/>
              <w:snapToGrid w:val="0"/>
              <w:rPr>
                <w:rStyle w:val="19"/>
                <w:rFonts w:ascii="Calibri" w:eastAsia="仿宋_GB2312"/>
                <w:b/>
                <w:i w:val="0"/>
                <w:color w:val="000000"/>
              </w:rPr>
            </w:pPr>
            <w:r>
              <w:rPr>
                <w:rFonts w:hint="eastAsia" w:ascii="Calibri" w:hAnsi="Calibri" w:eastAsia="仿宋_GB2312"/>
                <w:b/>
                <w:color w:val="000000"/>
                <w:kern w:val="0"/>
                <w:szCs w:val="21"/>
              </w:rPr>
              <w:t>保存期限应当不少于企业所规定的医疗器械寿命期。</w:t>
            </w:r>
          </w:p>
        </w:tc>
      </w:tr>
      <w:tr w14:paraId="13DF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251B592B">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25387FCB">
            <w:pPr>
              <w:widowControl/>
              <w:adjustRightInd w:val="0"/>
              <w:snapToGrid w:val="0"/>
              <w:spacing w:line="360" w:lineRule="exact"/>
              <w:jc w:val="center"/>
              <w:rPr>
                <w:rStyle w:val="21"/>
                <w:rFonts w:ascii="Calibri" w:hAnsi="Calibri" w:eastAsia="仿宋_GB2312"/>
                <w:color w:val="000000"/>
                <w:u w:val="none"/>
              </w:rPr>
            </w:pPr>
            <w:r>
              <w:rPr>
                <w:rFonts w:ascii="Calibri" w:hAnsi="Calibri" w:eastAsia="仿宋_GB2312"/>
                <w:color w:val="000000"/>
                <w:kern w:val="0"/>
                <w:szCs w:val="21"/>
              </w:rPr>
              <w:t>4.</w:t>
            </w:r>
            <w:r>
              <w:rPr>
                <w:rFonts w:ascii="Calibri" w:hAnsi="Calibri" w:eastAsia="仿宋_GB2312"/>
                <w:iCs/>
                <w:color w:val="000000"/>
                <w:kern w:val="0"/>
                <w:szCs w:val="21"/>
              </w:rPr>
              <w:t>4.1</w:t>
            </w:r>
          </w:p>
        </w:tc>
        <w:tc>
          <w:tcPr>
            <w:tcW w:w="7134" w:type="dxa"/>
            <w:tcMar>
              <w:left w:w="57" w:type="dxa"/>
              <w:right w:w="57" w:type="dxa"/>
            </w:tcMar>
            <w:vAlign w:val="center"/>
          </w:tcPr>
          <w:p w14:paraId="038B58EE">
            <w:pPr>
              <w:widowControl/>
              <w:adjustRightInd w:val="0"/>
              <w:snapToGrid w:val="0"/>
              <w:rPr>
                <w:rFonts w:ascii="Calibri" w:eastAsia="仿宋_GB2312"/>
                <w:color w:val="000000"/>
                <w:kern w:val="0"/>
                <w:szCs w:val="21"/>
              </w:rPr>
            </w:pPr>
            <w:r>
              <w:rPr>
                <w:rFonts w:hint="eastAsia" w:ascii="Calibri" w:hAnsi="Calibri" w:eastAsia="仿宋_GB2312"/>
                <w:color w:val="000000"/>
                <w:kern w:val="0"/>
                <w:szCs w:val="21"/>
              </w:rPr>
              <w:t>应当建立记录控制程序，包括记录的标识、保管、检索、保存期限和处置要求等。</w:t>
            </w:r>
          </w:p>
        </w:tc>
      </w:tr>
      <w:tr w14:paraId="16B4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78EDF57F">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5BEFFC26">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4.4.2</w:t>
            </w:r>
          </w:p>
        </w:tc>
        <w:tc>
          <w:tcPr>
            <w:tcW w:w="7134" w:type="dxa"/>
            <w:tcMar>
              <w:left w:w="57" w:type="dxa"/>
              <w:right w:w="57" w:type="dxa"/>
            </w:tcMar>
            <w:vAlign w:val="center"/>
          </w:tcPr>
          <w:p w14:paraId="20A9371E">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记录应当保证产品生产、质量控制等活动可追溯性。</w:t>
            </w:r>
          </w:p>
        </w:tc>
      </w:tr>
      <w:tr w14:paraId="062F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19ADA881">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36262EFC">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4.4.3</w:t>
            </w:r>
          </w:p>
        </w:tc>
        <w:tc>
          <w:tcPr>
            <w:tcW w:w="7134" w:type="dxa"/>
            <w:tcMar>
              <w:left w:w="57" w:type="dxa"/>
              <w:right w:w="57" w:type="dxa"/>
            </w:tcMar>
            <w:vAlign w:val="center"/>
          </w:tcPr>
          <w:p w14:paraId="71E55661">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记录应当清晰、完整，易于识别和检索，防止破损和丢失。</w:t>
            </w:r>
          </w:p>
        </w:tc>
      </w:tr>
      <w:tr w14:paraId="5EC9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71" w:hRule="atLeast"/>
          <w:jc w:val="center"/>
        </w:trPr>
        <w:tc>
          <w:tcPr>
            <w:tcW w:w="498" w:type="dxa"/>
            <w:vMerge w:val="continue"/>
          </w:tcPr>
          <w:p w14:paraId="7250A861">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1B587C63">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4.4.4</w:t>
            </w:r>
          </w:p>
        </w:tc>
        <w:tc>
          <w:tcPr>
            <w:tcW w:w="7134" w:type="dxa"/>
            <w:tcMar>
              <w:left w:w="57" w:type="dxa"/>
              <w:right w:w="57" w:type="dxa"/>
            </w:tcMar>
            <w:vAlign w:val="center"/>
          </w:tcPr>
          <w:p w14:paraId="2CA8B237">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记录不得随意涂改或销毁，更改记录应当签注姓名和日期，并使原有信息仍清晰可辨，必要时，应当说明更改的理由。</w:t>
            </w:r>
          </w:p>
        </w:tc>
      </w:tr>
      <w:tr w14:paraId="605F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7A74259C">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54D3BCAB">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4.4.5</w:t>
            </w:r>
          </w:p>
        </w:tc>
        <w:tc>
          <w:tcPr>
            <w:tcW w:w="7134" w:type="dxa"/>
            <w:tcMar>
              <w:left w:w="57" w:type="dxa"/>
              <w:right w:w="57" w:type="dxa"/>
            </w:tcMar>
            <w:vAlign w:val="center"/>
          </w:tcPr>
          <w:p w14:paraId="59F9D4A5">
            <w:pPr>
              <w:adjustRightInd w:val="0"/>
              <w:snapToGrid w:val="0"/>
              <w:rPr>
                <w:rFonts w:ascii="Calibri" w:eastAsia="仿宋_GB2312"/>
                <w:color w:val="000000"/>
                <w:szCs w:val="21"/>
              </w:rPr>
            </w:pPr>
            <w:r>
              <w:rPr>
                <w:rFonts w:hint="eastAsia" w:ascii="Calibri" w:hAnsi="Calibri" w:eastAsia="仿宋_GB2312"/>
                <w:color w:val="000000"/>
                <w:kern w:val="0"/>
                <w:szCs w:val="21"/>
              </w:rPr>
              <w:t>记录的保存期限至少相当于生产企业所规定的医疗器械的寿命期，但从放行产品的日期起不少于</w:t>
            </w:r>
            <w:r>
              <w:rPr>
                <w:rFonts w:ascii="Calibri" w:hAnsi="Calibri" w:eastAsia="仿宋_GB2312"/>
                <w:color w:val="000000"/>
                <w:kern w:val="0"/>
                <w:szCs w:val="21"/>
              </w:rPr>
              <w:t>2年，或符合相关法规要求，并可追溯。</w:t>
            </w:r>
          </w:p>
        </w:tc>
      </w:tr>
      <w:tr w14:paraId="16CE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96" w:hRule="atLeast"/>
          <w:jc w:val="center"/>
        </w:trPr>
        <w:tc>
          <w:tcPr>
            <w:tcW w:w="498" w:type="dxa"/>
            <w:vMerge w:val="restart"/>
            <w:vAlign w:val="center"/>
          </w:tcPr>
          <w:p w14:paraId="508AAB97">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设计开发</w:t>
            </w:r>
          </w:p>
        </w:tc>
        <w:tc>
          <w:tcPr>
            <w:tcW w:w="1224" w:type="dxa"/>
            <w:tcMar>
              <w:left w:w="57" w:type="dxa"/>
              <w:right w:w="57" w:type="dxa"/>
            </w:tcMar>
            <w:vAlign w:val="center"/>
          </w:tcPr>
          <w:p w14:paraId="72E5B125">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5.1.1</w:t>
            </w:r>
          </w:p>
        </w:tc>
        <w:tc>
          <w:tcPr>
            <w:tcW w:w="7134" w:type="dxa"/>
            <w:tcMar>
              <w:left w:w="57" w:type="dxa"/>
              <w:right w:w="57" w:type="dxa"/>
            </w:tcMar>
            <w:vAlign w:val="center"/>
          </w:tcPr>
          <w:p w14:paraId="70C9CADB">
            <w:pPr>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应当建立设计控制程序并形成文件，对医疗器械的设计和开发过程实施策划和控制。</w:t>
            </w:r>
          </w:p>
          <w:p w14:paraId="08781B7D">
            <w:pPr>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查看设计控制</w:t>
            </w:r>
            <w:r>
              <w:rPr>
                <w:rFonts w:ascii="Calibri" w:hAnsi="Calibri" w:eastAsia="仿宋_GB2312"/>
                <w:b/>
                <w:color w:val="000000"/>
                <w:kern w:val="0"/>
                <w:szCs w:val="21"/>
              </w:rPr>
              <w:t>程序文件</w:t>
            </w:r>
            <w:r>
              <w:rPr>
                <w:rFonts w:hint="eastAsia" w:ascii="Calibri" w:hAnsi="Calibri" w:eastAsia="仿宋_GB2312"/>
                <w:b/>
                <w:color w:val="000000"/>
                <w:kern w:val="0"/>
                <w:szCs w:val="21"/>
              </w:rPr>
              <w:t>，应当</w:t>
            </w:r>
            <w:r>
              <w:rPr>
                <w:rFonts w:ascii="Calibri" w:hAnsi="Calibri" w:eastAsia="仿宋_GB2312"/>
                <w:b/>
                <w:color w:val="000000"/>
                <w:kern w:val="0"/>
                <w:szCs w:val="21"/>
              </w:rPr>
              <w:t>清晰、可操作，能控制设计开发过程，</w:t>
            </w:r>
            <w:r>
              <w:rPr>
                <w:rFonts w:hint="eastAsia" w:ascii="Calibri" w:hAnsi="Calibri" w:eastAsia="仿宋_GB2312"/>
                <w:b/>
                <w:color w:val="000000"/>
                <w:kern w:val="0"/>
                <w:szCs w:val="21"/>
              </w:rPr>
              <w:t>至少包括以下内容：</w:t>
            </w:r>
          </w:p>
          <w:p w14:paraId="02C33B7E">
            <w:pPr>
              <w:adjustRightInd w:val="0"/>
              <w:snapToGrid w:val="0"/>
              <w:rPr>
                <w:rFonts w:ascii="Calibri" w:hAnsi="Calibri" w:eastAsia="仿宋_GB2312"/>
                <w:color w:val="000000"/>
                <w:kern w:val="0"/>
                <w:szCs w:val="21"/>
              </w:rPr>
            </w:pPr>
            <w:r>
              <w:rPr>
                <w:rFonts w:ascii="Calibri" w:hAnsi="Calibri" w:eastAsia="仿宋_GB2312"/>
                <w:b/>
                <w:color w:val="000000"/>
                <w:kern w:val="0"/>
                <w:szCs w:val="21"/>
              </w:rPr>
              <w:t>1.设计和开发的各个阶段的划分；</w:t>
            </w:r>
            <w:r>
              <w:rPr>
                <w:rFonts w:ascii="Calibri" w:hAnsi="Calibri" w:eastAsia="仿宋_GB2312"/>
                <w:b/>
                <w:color w:val="000000"/>
                <w:kern w:val="0"/>
                <w:szCs w:val="21"/>
              </w:rPr>
              <w:br w:type="textWrapping"/>
            </w:r>
            <w:r>
              <w:rPr>
                <w:rFonts w:ascii="Calibri" w:hAnsi="Calibri" w:eastAsia="仿宋_GB2312"/>
                <w:b/>
                <w:color w:val="000000"/>
                <w:kern w:val="0"/>
                <w:szCs w:val="21"/>
              </w:rPr>
              <w:t>2.适合于每个设计和开发阶段的评审、验证、确认和设计转换活动;</w:t>
            </w:r>
            <w:r>
              <w:rPr>
                <w:rFonts w:ascii="Calibri" w:hAnsi="Calibri" w:eastAsia="仿宋_GB2312"/>
                <w:b/>
                <w:color w:val="000000"/>
                <w:kern w:val="0"/>
                <w:szCs w:val="21"/>
              </w:rPr>
              <w:br w:type="textWrapping"/>
            </w:r>
            <w:r>
              <w:rPr>
                <w:rFonts w:ascii="Calibri" w:hAnsi="Calibri" w:eastAsia="仿宋_GB2312"/>
                <w:b/>
                <w:color w:val="000000"/>
                <w:kern w:val="0"/>
                <w:szCs w:val="21"/>
              </w:rPr>
              <w:t>3.设计和开发各阶段人员和部门的职责、权限和沟通；</w:t>
            </w:r>
            <w:r>
              <w:rPr>
                <w:rFonts w:ascii="Calibri" w:hAnsi="Calibri" w:eastAsia="仿宋_GB2312"/>
                <w:b/>
                <w:color w:val="000000"/>
                <w:kern w:val="0"/>
                <w:szCs w:val="21"/>
              </w:rPr>
              <w:br w:type="textWrapping"/>
            </w:r>
            <w:r>
              <w:rPr>
                <w:rFonts w:ascii="Calibri" w:hAnsi="Calibri" w:eastAsia="仿宋_GB2312"/>
                <w:b/>
                <w:color w:val="000000"/>
                <w:kern w:val="0"/>
                <w:szCs w:val="21"/>
              </w:rPr>
              <w:t>4.风险管理要求。</w:t>
            </w:r>
          </w:p>
        </w:tc>
      </w:tr>
      <w:tr w14:paraId="359D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638" w:hRule="atLeast"/>
          <w:jc w:val="center"/>
        </w:trPr>
        <w:tc>
          <w:tcPr>
            <w:tcW w:w="498" w:type="dxa"/>
            <w:vMerge w:val="continue"/>
          </w:tcPr>
          <w:p w14:paraId="78607E9A">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28E5D98D">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5.2.1</w:t>
            </w:r>
          </w:p>
        </w:tc>
        <w:tc>
          <w:tcPr>
            <w:tcW w:w="7134" w:type="dxa"/>
            <w:tcMar>
              <w:left w:w="57" w:type="dxa"/>
              <w:right w:w="57" w:type="dxa"/>
            </w:tcMar>
            <w:vAlign w:val="center"/>
          </w:tcPr>
          <w:p w14:paraId="14D7B697">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在进行</w:t>
            </w:r>
            <w:r>
              <w:rPr>
                <w:rFonts w:hint="eastAsia" w:ascii="Calibri" w:hAnsi="Calibri" w:eastAsia="仿宋_GB2312"/>
                <w:color w:val="FF0000"/>
                <w:kern w:val="0"/>
                <w:szCs w:val="21"/>
              </w:rPr>
              <w:t>设计和开发策划</w:t>
            </w:r>
            <w:r>
              <w:rPr>
                <w:rFonts w:hint="eastAsia" w:ascii="Calibri" w:hAnsi="Calibri" w:eastAsia="仿宋_GB2312"/>
                <w:color w:val="000000"/>
                <w:kern w:val="0"/>
                <w:szCs w:val="21"/>
              </w:rPr>
              <w:t>时，应当确定设计和开发的阶段及对各阶段的评审、验证、确认和设计转换等活动，应当识别和确定各个部门设计和开发的活动和接口，明确职责和分工。</w:t>
            </w:r>
          </w:p>
          <w:p w14:paraId="32847375">
            <w:pPr>
              <w:widowControl/>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查看设计和开发策划资料，应当</w:t>
            </w:r>
            <w:r>
              <w:rPr>
                <w:rFonts w:ascii="Calibri" w:hAnsi="Calibri" w:eastAsia="仿宋_GB2312"/>
                <w:b/>
                <w:color w:val="000000"/>
                <w:kern w:val="0"/>
                <w:szCs w:val="21"/>
              </w:rPr>
              <w:t>根据产品的特点，对设计开发活动进行策划，并将策划结果形成文件。</w:t>
            </w:r>
            <w:r>
              <w:rPr>
                <w:rFonts w:hint="eastAsia" w:ascii="Calibri" w:hAnsi="Calibri" w:eastAsia="仿宋_GB2312"/>
                <w:b/>
                <w:color w:val="000000"/>
                <w:kern w:val="0"/>
                <w:szCs w:val="21"/>
              </w:rPr>
              <w:t>至少包括以下内容：</w:t>
            </w:r>
            <w:r>
              <w:rPr>
                <w:rFonts w:ascii="Calibri" w:hAnsi="Calibri" w:eastAsia="仿宋_GB2312"/>
                <w:b/>
                <w:color w:val="000000"/>
                <w:kern w:val="0"/>
                <w:szCs w:val="21"/>
              </w:rPr>
              <w:br w:type="textWrapping"/>
            </w:r>
            <w:r>
              <w:rPr>
                <w:rFonts w:ascii="Calibri" w:hAnsi="Calibri" w:eastAsia="仿宋_GB2312"/>
                <w:b/>
                <w:color w:val="000000"/>
                <w:kern w:val="0"/>
                <w:szCs w:val="21"/>
              </w:rPr>
              <w:t>1.设计和开发项目的目标和意义的描述</w:t>
            </w:r>
            <w:r>
              <w:rPr>
                <w:rFonts w:hint="eastAsia" w:ascii="Calibri" w:hAnsi="Calibri" w:eastAsia="仿宋_GB2312"/>
                <w:b/>
                <w:color w:val="000000"/>
                <w:kern w:val="0"/>
                <w:szCs w:val="21"/>
              </w:rPr>
              <w:t>，技术指标分析；</w:t>
            </w:r>
            <w:r>
              <w:rPr>
                <w:rFonts w:ascii="Calibri" w:hAnsi="Calibri" w:eastAsia="仿宋_GB2312"/>
                <w:b/>
                <w:color w:val="000000"/>
                <w:kern w:val="0"/>
                <w:szCs w:val="21"/>
              </w:rPr>
              <w:br w:type="textWrapping"/>
            </w:r>
            <w:r>
              <w:rPr>
                <w:rFonts w:ascii="Calibri" w:hAnsi="Calibri" w:eastAsia="仿宋_GB2312"/>
                <w:b/>
                <w:color w:val="000000"/>
                <w:kern w:val="0"/>
                <w:szCs w:val="21"/>
              </w:rPr>
              <w:t>2.确定了设计和开发各阶段，以及适合于每个设计和开发阶段的评审、验证、确认和设计转换活动</w:t>
            </w:r>
            <w:r>
              <w:rPr>
                <w:rFonts w:hint="eastAsia" w:ascii="Calibri" w:hAnsi="Calibri" w:eastAsia="仿宋_GB2312"/>
                <w:b/>
                <w:color w:val="000000"/>
                <w:kern w:val="0"/>
                <w:szCs w:val="21"/>
              </w:rPr>
              <w:t>；</w:t>
            </w:r>
          </w:p>
          <w:p w14:paraId="1E4E169D">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3．应</w:t>
            </w:r>
            <w:r>
              <w:rPr>
                <w:rFonts w:hint="eastAsia" w:ascii="Calibri" w:hAnsi="Calibri" w:eastAsia="仿宋_GB2312"/>
                <w:b/>
                <w:color w:val="000000"/>
                <w:kern w:val="0"/>
                <w:szCs w:val="21"/>
              </w:rPr>
              <w:t>当识别和确定各个部门设计和开发的活动和接口，明确各阶段的人员或组织的职责、评审人员的组成，以及各阶段预期的输出结果；</w:t>
            </w:r>
            <w:r>
              <w:rPr>
                <w:rFonts w:ascii="Calibri" w:hAnsi="Calibri" w:eastAsia="仿宋_GB2312"/>
                <w:b/>
                <w:color w:val="000000"/>
                <w:kern w:val="0"/>
                <w:szCs w:val="21"/>
              </w:rPr>
              <w:br w:type="textWrapping"/>
            </w:r>
            <w:r>
              <w:rPr>
                <w:rFonts w:ascii="Calibri" w:hAnsi="Calibri" w:eastAsia="仿宋_GB2312"/>
                <w:b/>
                <w:color w:val="000000"/>
                <w:kern w:val="0"/>
                <w:szCs w:val="21"/>
              </w:rPr>
              <w:t>4.主要任务和阶段性任务的策划安排与整个项目的一致；</w:t>
            </w:r>
            <w:r>
              <w:rPr>
                <w:rFonts w:ascii="Calibri" w:hAnsi="Calibri" w:eastAsia="仿宋_GB2312"/>
                <w:b/>
                <w:color w:val="000000"/>
                <w:kern w:val="0"/>
                <w:szCs w:val="21"/>
              </w:rPr>
              <w:br w:type="textWrapping"/>
            </w:r>
            <w:r>
              <w:rPr>
                <w:rFonts w:ascii="Calibri" w:hAnsi="Calibri" w:eastAsia="仿宋_GB2312"/>
                <w:b/>
                <w:color w:val="000000"/>
                <w:kern w:val="0"/>
                <w:szCs w:val="21"/>
              </w:rPr>
              <w:t>5.确定产品技术要求的制定、验证、确认和生产活动所需的测量装置；</w:t>
            </w:r>
            <w:r>
              <w:rPr>
                <w:rFonts w:ascii="Calibri" w:hAnsi="Calibri" w:eastAsia="仿宋_GB2312"/>
                <w:b/>
                <w:color w:val="000000"/>
                <w:kern w:val="0"/>
                <w:szCs w:val="21"/>
              </w:rPr>
              <w:br w:type="textWrapping"/>
            </w:r>
            <w:r>
              <w:rPr>
                <w:rFonts w:ascii="Calibri" w:hAnsi="Calibri" w:eastAsia="仿宋_GB2312"/>
                <w:b/>
                <w:color w:val="000000"/>
                <w:kern w:val="0"/>
                <w:szCs w:val="21"/>
              </w:rPr>
              <w:t>6.风险管理活动。</w:t>
            </w:r>
          </w:p>
          <w:p w14:paraId="34C646F9">
            <w:pPr>
              <w:widowControl/>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应当</w:t>
            </w:r>
            <w:r>
              <w:rPr>
                <w:rFonts w:ascii="Calibri" w:hAnsi="Calibri" w:eastAsia="仿宋_GB2312"/>
                <w:b/>
                <w:color w:val="000000"/>
                <w:kern w:val="0"/>
                <w:szCs w:val="21"/>
              </w:rPr>
              <w:t>按照策划实施设计和开发</w:t>
            </w:r>
            <w:r>
              <w:rPr>
                <w:rFonts w:hint="eastAsia" w:ascii="Calibri" w:hAnsi="Calibri" w:eastAsia="仿宋_GB2312"/>
                <w:b/>
                <w:color w:val="000000"/>
                <w:kern w:val="0"/>
                <w:szCs w:val="21"/>
              </w:rPr>
              <w:t>。</w:t>
            </w:r>
            <w:r>
              <w:rPr>
                <w:rFonts w:ascii="Calibri" w:hAnsi="Calibri" w:eastAsia="仿宋_GB2312"/>
                <w:b/>
                <w:color w:val="000000"/>
                <w:kern w:val="0"/>
                <w:szCs w:val="21"/>
              </w:rPr>
              <w:t>当偏离计划而需要修改计划时，应</w:t>
            </w:r>
            <w:r>
              <w:rPr>
                <w:rFonts w:hint="eastAsia" w:ascii="Calibri" w:hAnsi="Calibri" w:eastAsia="仿宋_GB2312"/>
                <w:b/>
                <w:color w:val="000000"/>
                <w:kern w:val="0"/>
                <w:szCs w:val="21"/>
              </w:rPr>
              <w:t>当</w:t>
            </w:r>
            <w:r>
              <w:rPr>
                <w:rFonts w:ascii="Calibri" w:hAnsi="Calibri" w:eastAsia="仿宋_GB2312"/>
                <w:b/>
                <w:color w:val="000000"/>
                <w:kern w:val="0"/>
                <w:szCs w:val="21"/>
              </w:rPr>
              <w:t>对计划重新评审和批准。</w:t>
            </w:r>
          </w:p>
        </w:tc>
      </w:tr>
      <w:tr w14:paraId="0B83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790277A0">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6EB4254A">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5.3.1</w:t>
            </w:r>
          </w:p>
        </w:tc>
        <w:tc>
          <w:tcPr>
            <w:tcW w:w="7134" w:type="dxa"/>
            <w:tcMar>
              <w:left w:w="57" w:type="dxa"/>
              <w:right w:w="57" w:type="dxa"/>
            </w:tcMar>
            <w:vAlign w:val="center"/>
          </w:tcPr>
          <w:p w14:paraId="100784F1">
            <w:pPr>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设计和开发输入应当包括</w:t>
            </w:r>
            <w:r>
              <w:rPr>
                <w:rFonts w:hint="eastAsia" w:ascii="Calibri" w:hAnsi="Calibri" w:eastAsia="仿宋_GB2312"/>
                <w:color w:val="000000"/>
                <w:kern w:val="0"/>
                <w:szCs w:val="21"/>
                <w:highlight w:val="yellow"/>
              </w:rPr>
              <w:t>预期用途规定的功能、性能和安全要求、法规要求、风险管理控制措施和其他要求</w:t>
            </w:r>
            <w:r>
              <w:rPr>
                <w:rFonts w:hint="eastAsia" w:ascii="Calibri" w:hAnsi="Calibri" w:eastAsia="仿宋_GB2312"/>
                <w:color w:val="000000"/>
                <w:kern w:val="0"/>
                <w:szCs w:val="21"/>
              </w:rPr>
              <w:t>。</w:t>
            </w:r>
          </w:p>
        </w:tc>
      </w:tr>
      <w:tr w14:paraId="7712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5A16249C">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1E875568">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5.3.2</w:t>
            </w:r>
          </w:p>
        </w:tc>
        <w:tc>
          <w:tcPr>
            <w:tcW w:w="7134" w:type="dxa"/>
            <w:tcMar>
              <w:left w:w="57" w:type="dxa"/>
              <w:right w:w="57" w:type="dxa"/>
            </w:tcMar>
            <w:vAlign w:val="center"/>
          </w:tcPr>
          <w:p w14:paraId="48E43D5D">
            <w:pPr>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应当对设计和开发输入进行评审并得到批准，保持相关记录。</w:t>
            </w:r>
          </w:p>
        </w:tc>
      </w:tr>
      <w:tr w14:paraId="145B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2D8DEED1">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390F8298">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*5.4.1</w:t>
            </w:r>
          </w:p>
        </w:tc>
        <w:tc>
          <w:tcPr>
            <w:tcW w:w="7134" w:type="dxa"/>
            <w:tcMar>
              <w:left w:w="57" w:type="dxa"/>
              <w:right w:w="57" w:type="dxa"/>
            </w:tcMar>
            <w:vAlign w:val="center"/>
          </w:tcPr>
          <w:p w14:paraId="2311E3AD">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highlight w:val="yellow"/>
              </w:rPr>
              <w:t>设计和开发输出</w:t>
            </w:r>
            <w:r>
              <w:rPr>
                <w:rFonts w:hint="eastAsia" w:ascii="Calibri" w:hAnsi="Calibri" w:eastAsia="仿宋_GB2312"/>
                <w:color w:val="000000"/>
                <w:kern w:val="0"/>
                <w:szCs w:val="21"/>
              </w:rPr>
              <w:t>应当满足输入要求，包括采购、生产和服务所需的相关信息、产品技术要求等。</w:t>
            </w:r>
          </w:p>
          <w:p w14:paraId="00583141">
            <w:pPr>
              <w:widowControl/>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w:t>
            </w:r>
            <w:r>
              <w:rPr>
                <w:rFonts w:ascii="Calibri" w:hAnsi="Calibri" w:eastAsia="仿宋_GB2312"/>
                <w:b/>
                <w:color w:val="000000"/>
                <w:kern w:val="0"/>
                <w:szCs w:val="21"/>
              </w:rPr>
              <w:t>设计和开发输出</w:t>
            </w:r>
            <w:r>
              <w:rPr>
                <w:rFonts w:hint="eastAsia" w:ascii="Calibri" w:hAnsi="Calibri" w:eastAsia="仿宋_GB2312"/>
                <w:b/>
                <w:color w:val="000000"/>
                <w:kern w:val="0"/>
                <w:szCs w:val="21"/>
              </w:rPr>
              <w:t>资料，至少符合以下要求</w:t>
            </w:r>
            <w:r>
              <w:rPr>
                <w:rFonts w:ascii="Calibri" w:hAnsi="Calibri" w:eastAsia="仿宋_GB2312"/>
                <w:b/>
                <w:color w:val="000000"/>
                <w:kern w:val="0"/>
                <w:szCs w:val="21"/>
              </w:rPr>
              <w:t>：</w:t>
            </w:r>
          </w:p>
          <w:p w14:paraId="52663014">
            <w:pPr>
              <w:widowControl/>
              <w:adjustRightInd w:val="0"/>
              <w:snapToGrid w:val="0"/>
              <w:rPr>
                <w:rFonts w:ascii="Calibri" w:hAnsi="Calibri" w:eastAsia="仿宋_GB2312"/>
                <w:b/>
                <w:color w:val="FF0000"/>
                <w:kern w:val="0"/>
                <w:szCs w:val="21"/>
              </w:rPr>
            </w:pPr>
            <w:r>
              <w:rPr>
                <w:rFonts w:ascii="Calibri" w:hAnsi="Calibri" w:eastAsia="仿宋_GB2312"/>
                <w:b/>
                <w:color w:val="FF0000"/>
                <w:kern w:val="0"/>
                <w:szCs w:val="21"/>
              </w:rPr>
              <w:t>1.采购信息，如原材料、包装材料、组件和部件技术要求；</w:t>
            </w:r>
          </w:p>
          <w:p w14:paraId="354F4237">
            <w:pPr>
              <w:widowControl/>
              <w:adjustRightInd w:val="0"/>
              <w:snapToGrid w:val="0"/>
              <w:rPr>
                <w:rFonts w:ascii="Calibri" w:hAnsi="Calibri" w:eastAsia="仿宋_GB2312"/>
                <w:b/>
                <w:color w:val="FF0000"/>
                <w:kern w:val="0"/>
                <w:szCs w:val="21"/>
              </w:rPr>
            </w:pPr>
            <w:r>
              <w:rPr>
                <w:rFonts w:ascii="Calibri" w:hAnsi="Calibri" w:eastAsia="仿宋_GB2312"/>
                <w:b/>
                <w:color w:val="FF0000"/>
                <w:kern w:val="0"/>
                <w:szCs w:val="21"/>
              </w:rPr>
              <w:t>2.生产和服务所需的信息，如产品图纸（包括零部件图纸）、工艺配方、作业指导书、环境要求等；</w:t>
            </w:r>
          </w:p>
          <w:p w14:paraId="3CABFCC4">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3.产品技术要求；</w:t>
            </w:r>
          </w:p>
          <w:p w14:paraId="2D0CBB4E">
            <w:pPr>
              <w:widowControl/>
              <w:adjustRightInd w:val="0"/>
              <w:snapToGrid w:val="0"/>
              <w:rPr>
                <w:rFonts w:ascii="Calibri" w:hAnsi="Calibri" w:eastAsia="仿宋_GB2312"/>
                <w:b/>
                <w:color w:val="000000"/>
                <w:kern w:val="0"/>
                <w:szCs w:val="21"/>
              </w:rPr>
            </w:pPr>
            <w:r>
              <w:rPr>
                <w:rFonts w:ascii="Calibri" w:hAnsi="Calibri" w:eastAsia="仿宋_GB2312"/>
                <w:b/>
                <w:color w:val="FF0000"/>
                <w:kern w:val="0"/>
                <w:szCs w:val="21"/>
              </w:rPr>
              <w:t>4.</w:t>
            </w:r>
            <w:r>
              <w:rPr>
                <w:rFonts w:hint="eastAsia" w:ascii="Calibri" w:hAnsi="Calibri" w:eastAsia="仿宋_GB2312"/>
                <w:b/>
                <w:color w:val="FF0000"/>
                <w:kern w:val="0"/>
                <w:szCs w:val="21"/>
              </w:rPr>
              <w:t>产品检验规程或指导书；</w:t>
            </w:r>
          </w:p>
          <w:p w14:paraId="5C7A597B">
            <w:pPr>
              <w:widowControl/>
              <w:adjustRightInd w:val="0"/>
              <w:snapToGrid w:val="0"/>
              <w:rPr>
                <w:rFonts w:ascii="Calibri" w:hAnsi="Calibri" w:eastAsia="仿宋_GB2312"/>
                <w:b/>
                <w:color w:val="FF0000"/>
                <w:kern w:val="0"/>
                <w:szCs w:val="21"/>
              </w:rPr>
            </w:pPr>
            <w:r>
              <w:rPr>
                <w:rFonts w:ascii="Calibri" w:hAnsi="Calibri" w:eastAsia="仿宋_GB2312"/>
                <w:b/>
                <w:color w:val="FF0000"/>
                <w:kern w:val="0"/>
                <w:szCs w:val="21"/>
              </w:rPr>
              <w:t>5.规定产品的安全和正常使用所必须的产品特性，如产品使用说明书、包装和标签要求等。产品使用说明书是否与注册申报和批准的一致；</w:t>
            </w:r>
          </w:p>
          <w:p w14:paraId="5CC79BB9">
            <w:pPr>
              <w:widowControl/>
              <w:adjustRightInd w:val="0"/>
              <w:snapToGrid w:val="0"/>
              <w:rPr>
                <w:rFonts w:ascii="Calibri" w:hAnsi="Calibri" w:eastAsia="仿宋_GB2312"/>
                <w:b/>
                <w:color w:val="FF0000"/>
                <w:kern w:val="0"/>
                <w:szCs w:val="21"/>
              </w:rPr>
            </w:pPr>
            <w:r>
              <w:rPr>
                <w:rFonts w:ascii="Calibri" w:hAnsi="Calibri" w:eastAsia="仿宋_GB2312"/>
                <w:b/>
                <w:color w:val="FF0000"/>
                <w:kern w:val="0"/>
                <w:szCs w:val="21"/>
              </w:rPr>
              <w:t>6.标识和可追溯性要求；</w:t>
            </w:r>
          </w:p>
          <w:p w14:paraId="70ADF274">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7.提交给注册审批部门的文件，如研究资料、产品技术要求、注册检验报告、</w:t>
            </w:r>
            <w:r>
              <w:rPr>
                <w:rFonts w:hint="eastAsia" w:ascii="Calibri" w:hAnsi="Calibri" w:eastAsia="仿宋_GB2312"/>
                <w:b/>
                <w:color w:val="000000"/>
                <w:kern w:val="0"/>
                <w:szCs w:val="21"/>
              </w:rPr>
              <w:t>临床评价资料（如有）、医疗器械安全有效基本要求清单等；</w:t>
            </w:r>
          </w:p>
          <w:p w14:paraId="5C3B3BB5">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8.样机或样品；</w:t>
            </w:r>
          </w:p>
          <w:p w14:paraId="676E7A6C">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9.生物学评价结果和记录，包括材料的主要性能要求。</w:t>
            </w:r>
          </w:p>
        </w:tc>
      </w:tr>
      <w:tr w14:paraId="31C4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159B5633">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034696D5">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5.4.2</w:t>
            </w:r>
          </w:p>
        </w:tc>
        <w:tc>
          <w:tcPr>
            <w:tcW w:w="7134" w:type="dxa"/>
            <w:tcMar>
              <w:left w:w="57" w:type="dxa"/>
              <w:right w:w="57" w:type="dxa"/>
            </w:tcMar>
            <w:vAlign w:val="center"/>
          </w:tcPr>
          <w:p w14:paraId="4615149D">
            <w:pPr>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设计和开发输出应当得到批准，保持相关记录。</w:t>
            </w:r>
          </w:p>
        </w:tc>
      </w:tr>
      <w:tr w14:paraId="340F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5ED97ADA">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584AE5DE">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5.5.1</w:t>
            </w:r>
          </w:p>
        </w:tc>
        <w:tc>
          <w:tcPr>
            <w:tcW w:w="7134" w:type="dxa"/>
            <w:tcMar>
              <w:left w:w="57" w:type="dxa"/>
              <w:right w:w="57" w:type="dxa"/>
            </w:tcMar>
          </w:tcPr>
          <w:p w14:paraId="4C616C56">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应当在设计和开发过程中开展设计和开发到生产的转换活动，以使设计和开发的输出在成为最终产品规范前得以验证，确保设计和开发输出适用于生产。</w:t>
            </w:r>
          </w:p>
          <w:p w14:paraId="5085EE4A">
            <w:pPr>
              <w:widowControl/>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查看相关文件，至少符合以下要求：</w:t>
            </w:r>
          </w:p>
          <w:p w14:paraId="3D137EED">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1.应当在设计和开发过程中开展设计转换活动以解决可生产性、部件及材料的可获得性、所需的生产设备、操作人员的培训等；</w:t>
            </w:r>
          </w:p>
          <w:p w14:paraId="2FF90F1C">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2.设计转换活动应当将产品的每一技术要求正确转化成与产品实现相关的具体过程或程序；</w:t>
            </w:r>
          </w:p>
          <w:p w14:paraId="00C563D1">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3.设计转换活动的记录应当表明设计和开发输出在成为最终产品规范前得到验证，并保留验证记录，以确保设计和开发的输出适于生产；</w:t>
            </w:r>
          </w:p>
          <w:p w14:paraId="2F92F6B5">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4. 应当对特殊过程的转换</w:t>
            </w:r>
            <w:r>
              <w:rPr>
                <w:rFonts w:hint="eastAsia" w:ascii="Calibri" w:hAnsi="Calibri" w:eastAsia="仿宋_GB2312"/>
                <w:b/>
                <w:color w:val="000000"/>
                <w:kern w:val="0"/>
                <w:szCs w:val="21"/>
              </w:rPr>
              <w:t>进行</w:t>
            </w:r>
            <w:r>
              <w:rPr>
                <w:rFonts w:ascii="Calibri" w:hAnsi="Calibri" w:eastAsia="仿宋_GB2312"/>
                <w:b/>
                <w:color w:val="000000"/>
                <w:kern w:val="0"/>
                <w:szCs w:val="21"/>
              </w:rPr>
              <w:t>确认，确保其结果适用于生产</w:t>
            </w:r>
            <w:r>
              <w:rPr>
                <w:rFonts w:hint="eastAsia" w:ascii="Calibri" w:hAnsi="Calibri" w:eastAsia="仿宋_GB2312"/>
                <w:b/>
                <w:color w:val="000000"/>
                <w:kern w:val="0"/>
                <w:szCs w:val="21"/>
              </w:rPr>
              <w:t>，并</w:t>
            </w:r>
            <w:r>
              <w:rPr>
                <w:rFonts w:ascii="Calibri" w:hAnsi="Calibri" w:eastAsia="仿宋_GB2312"/>
                <w:b/>
                <w:color w:val="000000"/>
                <w:kern w:val="0"/>
                <w:szCs w:val="21"/>
              </w:rPr>
              <w:t>保留确认记录。</w:t>
            </w:r>
          </w:p>
        </w:tc>
      </w:tr>
      <w:tr w14:paraId="254D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9" w:hRule="atLeast"/>
          <w:jc w:val="center"/>
        </w:trPr>
        <w:tc>
          <w:tcPr>
            <w:tcW w:w="498" w:type="dxa"/>
            <w:vMerge w:val="continue"/>
          </w:tcPr>
          <w:p w14:paraId="4B86608E">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7D330E59">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5.6.1</w:t>
            </w:r>
          </w:p>
        </w:tc>
        <w:tc>
          <w:tcPr>
            <w:tcW w:w="7134" w:type="dxa"/>
            <w:tcMar>
              <w:left w:w="57" w:type="dxa"/>
              <w:right w:w="57" w:type="dxa"/>
            </w:tcMar>
            <w:vAlign w:val="center"/>
          </w:tcPr>
          <w:p w14:paraId="2ABA5DED">
            <w:pPr>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应当在设计和开发的适宜阶段安排评审，保持评审结果及任何必要措施的记录。</w:t>
            </w:r>
          </w:p>
          <w:p w14:paraId="4AB20EA9">
            <w:pPr>
              <w:widowControl/>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查看相关文件和记录，至少符合以下要求：</w:t>
            </w:r>
          </w:p>
          <w:p w14:paraId="2BE940C3">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1.应当按设计开发策划的结果，在适宜的阶段进行设计和开发评审；</w:t>
            </w:r>
          </w:p>
          <w:p w14:paraId="2E664ABD">
            <w:pPr>
              <w:widowControl/>
              <w:adjustRightInd w:val="0"/>
              <w:snapToGrid w:val="0"/>
              <w:rPr>
                <w:rFonts w:ascii="Calibri" w:hAnsi="Calibri" w:eastAsia="仿宋_GB2312"/>
                <w:color w:val="000000"/>
                <w:kern w:val="0"/>
                <w:szCs w:val="21"/>
              </w:rPr>
            </w:pPr>
            <w:r>
              <w:rPr>
                <w:rFonts w:ascii="Calibri" w:hAnsi="Calibri" w:eastAsia="仿宋_GB2312"/>
                <w:b/>
                <w:color w:val="000000"/>
                <w:kern w:val="0"/>
                <w:szCs w:val="21"/>
              </w:rPr>
              <w:t>2.应当保持设计和开发评审记录，包括评审结果和评审所采取必要措施的记录。</w:t>
            </w:r>
          </w:p>
        </w:tc>
      </w:tr>
      <w:tr w14:paraId="0C29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92" w:hRule="atLeast"/>
          <w:jc w:val="center"/>
        </w:trPr>
        <w:tc>
          <w:tcPr>
            <w:tcW w:w="498" w:type="dxa"/>
            <w:vMerge w:val="continue"/>
          </w:tcPr>
          <w:p w14:paraId="3BE01515">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1E959382">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5.7.1</w:t>
            </w:r>
          </w:p>
        </w:tc>
        <w:tc>
          <w:tcPr>
            <w:tcW w:w="7134" w:type="dxa"/>
            <w:tcMar>
              <w:left w:w="57" w:type="dxa"/>
              <w:right w:w="57" w:type="dxa"/>
            </w:tcMar>
            <w:vAlign w:val="center"/>
          </w:tcPr>
          <w:p w14:paraId="6B48A3A3">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应当对设计和开发进行验证，以确保设计和开发输出满足输入的要求，并保持验证结果和任何必要措施的记录。</w:t>
            </w:r>
          </w:p>
          <w:p w14:paraId="5CBA9402">
            <w:pPr>
              <w:widowControl/>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查看相关文件和记录，至少符合以下要求：</w:t>
            </w:r>
          </w:p>
          <w:p w14:paraId="7CCCEADD">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1.应当结合策划的结果，在适宜的阶段进行设计和开发验证，确保设计开发输出满足输入的要求；</w:t>
            </w:r>
          </w:p>
          <w:p w14:paraId="5C5B0DD4">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2.应当保持设计和开发验证记录、验证结果和任何必要措施的记录；</w:t>
            </w:r>
          </w:p>
          <w:p w14:paraId="2C2E6D6F">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3.若设计和开发验证采用的是可供选择的计算方法或经证实的设计进行比较的方法，应当评审所用的方法的适宜性，确认方法是否科学和有效。</w:t>
            </w:r>
          </w:p>
        </w:tc>
      </w:tr>
      <w:tr w14:paraId="09D8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76" w:hRule="atLeast"/>
          <w:jc w:val="center"/>
        </w:trPr>
        <w:tc>
          <w:tcPr>
            <w:tcW w:w="498" w:type="dxa"/>
            <w:vMerge w:val="continue"/>
          </w:tcPr>
          <w:p w14:paraId="1FB05756">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4B134546">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5.8.1</w:t>
            </w:r>
          </w:p>
        </w:tc>
        <w:tc>
          <w:tcPr>
            <w:tcW w:w="7134" w:type="dxa"/>
            <w:tcMar>
              <w:left w:w="57" w:type="dxa"/>
              <w:right w:w="57" w:type="dxa"/>
            </w:tcMar>
            <w:vAlign w:val="center"/>
          </w:tcPr>
          <w:p w14:paraId="3D556FC3">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应当对设计和开发进行确认，以确保产品满足规定的使用要求或者预期用途的要求，并保持确认结果和任何必要措施的记录。</w:t>
            </w:r>
          </w:p>
          <w:p w14:paraId="11AD63CF">
            <w:pPr>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查看相关文件和记录，至少符合以下要求：</w:t>
            </w:r>
          </w:p>
          <w:p w14:paraId="43DAB91E">
            <w:pPr>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1.应当在适宜阶段进行设计和开发确认，确保产品满足规定的使用要求或预期用途的要求；</w:t>
            </w:r>
          </w:p>
          <w:p w14:paraId="38FC813A">
            <w:pPr>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2.设计和开发确认活动应当在产品交付和实施之前进行；</w:t>
            </w:r>
          </w:p>
          <w:p w14:paraId="49F652EE">
            <w:pPr>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3.应当保持设计和开发确认记录，包括临床评价或临床试验的记录，保持确认结果和任何必要措施的记录。</w:t>
            </w:r>
          </w:p>
        </w:tc>
      </w:tr>
      <w:tr w14:paraId="22AB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17" w:hRule="atLeast"/>
          <w:jc w:val="center"/>
        </w:trPr>
        <w:tc>
          <w:tcPr>
            <w:tcW w:w="498" w:type="dxa"/>
            <w:vMerge w:val="continue"/>
          </w:tcPr>
          <w:p w14:paraId="49D6566E">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3EBE9260">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5.9.1</w:t>
            </w:r>
          </w:p>
        </w:tc>
        <w:tc>
          <w:tcPr>
            <w:tcW w:w="7134" w:type="dxa"/>
            <w:tcMar>
              <w:left w:w="57" w:type="dxa"/>
              <w:right w:w="57" w:type="dxa"/>
            </w:tcMar>
            <w:vAlign w:val="center"/>
          </w:tcPr>
          <w:p w14:paraId="3002539A">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确认可采用临床评价或者性能评价。进行临床试验时应当符合医疗器械临床试验法规的要求。</w:t>
            </w:r>
          </w:p>
          <w:p w14:paraId="644E15E8">
            <w:pPr>
              <w:adjustRightInd w:val="0"/>
              <w:snapToGrid w:val="0"/>
              <w:rPr>
                <w:rFonts w:ascii="Calibri" w:hAnsi="Calibri" w:eastAsia="仿宋_GB2312"/>
                <w:b/>
                <w:color w:val="000000"/>
                <w:kern w:val="0"/>
                <w:szCs w:val="21"/>
              </w:rPr>
            </w:pPr>
            <w:r>
              <w:rPr>
                <w:rFonts w:hint="eastAsia" w:ascii="Calibri" w:eastAsia="仿宋_GB2312"/>
                <w:b/>
                <w:color w:val="000000"/>
                <w:kern w:val="0"/>
                <w:szCs w:val="21"/>
              </w:rPr>
              <w:t>查看临床评价报告及其支持材料。若开展临床试验的，其临床试验应当符合法规要求并提供相应的证明材料。对于需要进行临床评价或性能评价的医疗器械，应当能够提供评价报告和（或）材料。</w:t>
            </w:r>
          </w:p>
        </w:tc>
      </w:tr>
      <w:tr w14:paraId="7884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97" w:hRule="atLeast"/>
          <w:jc w:val="center"/>
        </w:trPr>
        <w:tc>
          <w:tcPr>
            <w:tcW w:w="498" w:type="dxa"/>
            <w:vMerge w:val="continue"/>
          </w:tcPr>
          <w:p w14:paraId="2192780D">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0B145E92">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5.10.1</w:t>
            </w:r>
          </w:p>
        </w:tc>
        <w:tc>
          <w:tcPr>
            <w:tcW w:w="7134" w:type="dxa"/>
            <w:tcMar>
              <w:left w:w="57" w:type="dxa"/>
              <w:right w:w="57" w:type="dxa"/>
            </w:tcMar>
            <w:vAlign w:val="center"/>
          </w:tcPr>
          <w:p w14:paraId="277CC455">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应当对设计和开发的更改进行识别并保持记录。</w:t>
            </w:r>
          </w:p>
        </w:tc>
      </w:tr>
      <w:tr w14:paraId="28EC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87" w:hRule="atLeast"/>
          <w:jc w:val="center"/>
        </w:trPr>
        <w:tc>
          <w:tcPr>
            <w:tcW w:w="498" w:type="dxa"/>
            <w:vMerge w:val="continue"/>
          </w:tcPr>
          <w:p w14:paraId="16FAA232">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282D0ABE">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w:t>
            </w:r>
            <w:r>
              <w:rPr>
                <w:rFonts w:ascii="Calibri" w:hAnsi="Calibri" w:eastAsia="仿宋_GB2312"/>
                <w:color w:val="000000"/>
                <w:szCs w:val="21"/>
              </w:rPr>
              <w:t>10.2</w:t>
            </w:r>
          </w:p>
        </w:tc>
        <w:tc>
          <w:tcPr>
            <w:tcW w:w="7134" w:type="dxa"/>
            <w:tcMar>
              <w:left w:w="57" w:type="dxa"/>
              <w:right w:w="57" w:type="dxa"/>
            </w:tcMar>
            <w:vAlign w:val="center"/>
          </w:tcPr>
          <w:p w14:paraId="6301E5CD">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必要时，应当对设计和开发更改进行评审、验证和确认，并在实施前得到批准。</w:t>
            </w:r>
          </w:p>
          <w:p w14:paraId="5AD9CDF3">
            <w:pPr>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查看设计和开发更改的评审记录，至少符合以下要求：</w:t>
            </w:r>
          </w:p>
          <w:p w14:paraId="70BED35E">
            <w:pPr>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1.</w:t>
            </w:r>
            <w:r>
              <w:rPr>
                <w:rFonts w:hint="eastAsia" w:ascii="Calibri" w:hAnsi="Calibri" w:eastAsia="仿宋_GB2312"/>
                <w:b/>
                <w:color w:val="000000"/>
                <w:kern w:val="0"/>
                <w:szCs w:val="21"/>
              </w:rPr>
              <w:t>应当包括更改对产品组成部分和已交付产品的影响；</w:t>
            </w:r>
          </w:p>
          <w:p w14:paraId="63BFB329">
            <w:pPr>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2.设计和开发更改的实施应符合医疗器械产品注册的有关规定；</w:t>
            </w:r>
          </w:p>
          <w:p w14:paraId="4C490908">
            <w:pPr>
              <w:pStyle w:val="13"/>
              <w:widowControl/>
              <w:adjustRightInd w:val="0"/>
              <w:snapToGrid w:val="0"/>
              <w:ind w:firstLine="0" w:firstLineChars="0"/>
              <w:rPr>
                <w:rFonts w:ascii="Calibri" w:hAnsi="Calibri" w:eastAsia="仿宋_GB2312"/>
                <w:b/>
                <w:color w:val="000000"/>
                <w:kern w:val="0"/>
                <w:szCs w:val="21"/>
              </w:rPr>
            </w:pPr>
            <w:r>
              <w:rPr>
                <w:rFonts w:ascii="Calibri" w:hAnsi="Calibri" w:eastAsia="仿宋_GB2312"/>
                <w:b/>
                <w:color w:val="000000"/>
                <w:kern w:val="0"/>
                <w:szCs w:val="21"/>
              </w:rPr>
              <w:t>3.</w:t>
            </w:r>
            <w:r>
              <w:rPr>
                <w:rFonts w:hint="eastAsia" w:ascii="Calibri" w:hAnsi="Calibri" w:eastAsia="仿宋_GB2312"/>
                <w:b/>
                <w:color w:val="000000"/>
                <w:kern w:val="0"/>
                <w:szCs w:val="21"/>
              </w:rPr>
              <w:t>设计更改的内容和结果涉及到改变医疗器械产品注册证（备案凭证）所载明的内容时，企业应当进行风险分析，并按照相关法规的规定，申请变更注册（备案），以满足法规的要求。</w:t>
            </w:r>
          </w:p>
        </w:tc>
      </w:tr>
      <w:tr w14:paraId="3087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27" w:hRule="atLeast"/>
          <w:jc w:val="center"/>
        </w:trPr>
        <w:tc>
          <w:tcPr>
            <w:tcW w:w="498" w:type="dxa"/>
            <w:vMerge w:val="continue"/>
          </w:tcPr>
          <w:p w14:paraId="0BC40CAD">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7B270131">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*5.10.3</w:t>
            </w:r>
          </w:p>
        </w:tc>
        <w:tc>
          <w:tcPr>
            <w:tcW w:w="7134" w:type="dxa"/>
            <w:tcMar>
              <w:left w:w="57" w:type="dxa"/>
              <w:right w:w="57" w:type="dxa"/>
            </w:tcMar>
            <w:vAlign w:val="center"/>
          </w:tcPr>
          <w:p w14:paraId="2265A56C">
            <w:pPr>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当选用的材料、零件或者产品功能的改变可能影响到医疗器械产品安全性、有效性时，应当评价因改动可能带来的风险，必要时采取措施将风险降低到可接受水平，同时应当符合相关法规的要求。</w:t>
            </w:r>
          </w:p>
        </w:tc>
      </w:tr>
      <w:tr w14:paraId="171E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02" w:hRule="atLeast"/>
          <w:jc w:val="center"/>
        </w:trPr>
        <w:tc>
          <w:tcPr>
            <w:tcW w:w="498" w:type="dxa"/>
            <w:vMerge w:val="continue"/>
          </w:tcPr>
          <w:p w14:paraId="65DD3E45">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73AACC55">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5.11.1</w:t>
            </w:r>
          </w:p>
        </w:tc>
        <w:tc>
          <w:tcPr>
            <w:tcW w:w="7134" w:type="dxa"/>
            <w:tcMar>
              <w:left w:w="57" w:type="dxa"/>
              <w:right w:w="57" w:type="dxa"/>
            </w:tcMar>
            <w:vAlign w:val="center"/>
          </w:tcPr>
          <w:p w14:paraId="7A6DCEF6">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应当在包括设计和开发在内的产品实现全过程中，制定风险管理的要求并形成文件，保持相关记录。</w:t>
            </w:r>
          </w:p>
          <w:p w14:paraId="61A9BDC2">
            <w:pPr>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查看风险管理文件和记录，至少符合以下要求：</w:t>
            </w:r>
          </w:p>
          <w:p w14:paraId="47E1A833">
            <w:pPr>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1.风险管理应当覆盖企业开发的产品实现的全过程；</w:t>
            </w:r>
          </w:p>
          <w:p w14:paraId="36FE7582">
            <w:pPr>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2.</w:t>
            </w:r>
            <w:r>
              <w:rPr>
                <w:rFonts w:hint="eastAsia" w:ascii="Calibri" w:hAnsi="Calibri" w:eastAsia="仿宋_GB2312"/>
                <w:b/>
                <w:color w:val="000000"/>
                <w:kern w:val="0"/>
                <w:szCs w:val="21"/>
              </w:rPr>
              <w:t>应当建立对医疗器械进行风险管理的文件，保持相关记录，以确定实施的证据；</w:t>
            </w:r>
          </w:p>
          <w:p w14:paraId="5AEED2EB">
            <w:pPr>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3.</w:t>
            </w:r>
            <w:r>
              <w:rPr>
                <w:rFonts w:hint="eastAsia" w:ascii="Calibri" w:hAnsi="Calibri" w:eastAsia="仿宋_GB2312"/>
                <w:b/>
                <w:color w:val="000000"/>
                <w:kern w:val="0"/>
                <w:szCs w:val="21"/>
              </w:rPr>
              <w:t>应当将医疗器械产品的风险控制在可接受水平。</w:t>
            </w:r>
          </w:p>
        </w:tc>
      </w:tr>
      <w:tr w14:paraId="0A42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14:paraId="0386CDD1">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采</w:t>
            </w:r>
          </w:p>
          <w:p w14:paraId="6592896A">
            <w:pPr>
              <w:widowControl/>
              <w:adjustRightInd w:val="0"/>
              <w:snapToGrid w:val="0"/>
              <w:spacing w:line="360" w:lineRule="exact"/>
              <w:jc w:val="center"/>
              <w:rPr>
                <w:rFonts w:ascii="Calibri" w:hAnsi="Calibri" w:eastAsia="仿宋_GB2312"/>
                <w:b/>
                <w:color w:val="000000"/>
                <w:kern w:val="0"/>
                <w:sz w:val="28"/>
                <w:szCs w:val="28"/>
              </w:rPr>
            </w:pPr>
          </w:p>
          <w:p w14:paraId="41AE9414">
            <w:pPr>
              <w:widowControl/>
              <w:adjustRightInd w:val="0"/>
              <w:snapToGrid w:val="0"/>
              <w:spacing w:line="360" w:lineRule="exact"/>
              <w:jc w:val="center"/>
              <w:rPr>
                <w:rFonts w:ascii="Calibri" w:hAnsi="Calibri" w:eastAsia="仿宋_GB2312"/>
                <w:b/>
                <w:color w:val="000000"/>
                <w:kern w:val="0"/>
                <w:sz w:val="28"/>
                <w:szCs w:val="28"/>
              </w:rPr>
            </w:pPr>
          </w:p>
          <w:p w14:paraId="6173A4AC">
            <w:pPr>
              <w:widowControl/>
              <w:adjustRightInd w:val="0"/>
              <w:snapToGrid w:val="0"/>
              <w:spacing w:line="360" w:lineRule="exact"/>
              <w:jc w:val="center"/>
              <w:rPr>
                <w:rFonts w:ascii="Calibri" w:hAnsi="Calibri" w:eastAsia="仿宋_GB2312"/>
                <w:b/>
                <w:bCs/>
                <w:color w:val="000000"/>
                <w:kern w:val="0"/>
                <w:sz w:val="44"/>
                <w:szCs w:val="21"/>
              </w:rPr>
            </w:pPr>
            <w:r>
              <w:rPr>
                <w:rFonts w:hint="eastAsia" w:ascii="Calibri" w:hAnsi="Calibri" w:eastAsia="仿宋_GB2312"/>
                <w:b/>
                <w:color w:val="000000"/>
                <w:kern w:val="0"/>
                <w:sz w:val="28"/>
                <w:szCs w:val="28"/>
              </w:rPr>
              <w:t>购</w:t>
            </w:r>
          </w:p>
        </w:tc>
        <w:tc>
          <w:tcPr>
            <w:tcW w:w="1224" w:type="dxa"/>
            <w:tcMar>
              <w:left w:w="57" w:type="dxa"/>
              <w:right w:w="57" w:type="dxa"/>
            </w:tcMar>
            <w:vAlign w:val="center"/>
          </w:tcPr>
          <w:p w14:paraId="2C81396C">
            <w:pPr>
              <w:widowControl/>
              <w:adjustRightInd w:val="0"/>
              <w:snapToGrid w:val="0"/>
              <w:spacing w:line="360" w:lineRule="exact"/>
              <w:jc w:val="center"/>
              <w:rPr>
                <w:rStyle w:val="21"/>
                <w:rFonts w:ascii="Calibri" w:hAnsi="Calibri" w:eastAsia="仿宋_GB2312"/>
                <w:color w:val="000000"/>
                <w:u w:val="none"/>
              </w:rPr>
            </w:pPr>
            <w:r>
              <w:rPr>
                <w:rFonts w:ascii="Calibri" w:hAnsi="Calibri" w:eastAsia="仿宋_GB2312"/>
                <w:iCs/>
                <w:color w:val="000000"/>
                <w:kern w:val="0"/>
                <w:szCs w:val="21"/>
              </w:rPr>
              <w:t>*</w:t>
            </w:r>
            <w:r>
              <w:rPr>
                <w:rFonts w:ascii="Calibri" w:hAnsi="Calibri" w:eastAsia="仿宋_GB2312"/>
                <w:color w:val="000000"/>
                <w:kern w:val="0"/>
                <w:szCs w:val="21"/>
              </w:rPr>
              <w:t>6.</w:t>
            </w:r>
            <w:r>
              <w:rPr>
                <w:rFonts w:ascii="Calibri" w:hAnsi="Calibri" w:eastAsia="仿宋_GB2312"/>
                <w:iCs/>
                <w:color w:val="000000"/>
                <w:kern w:val="0"/>
                <w:szCs w:val="21"/>
              </w:rPr>
              <w:t>1.1</w:t>
            </w:r>
          </w:p>
        </w:tc>
        <w:tc>
          <w:tcPr>
            <w:tcW w:w="7134" w:type="dxa"/>
            <w:tcMar>
              <w:left w:w="57" w:type="dxa"/>
              <w:right w:w="57" w:type="dxa"/>
            </w:tcMar>
            <w:vAlign w:val="center"/>
          </w:tcPr>
          <w:p w14:paraId="74849D07">
            <w:pPr>
              <w:widowControl/>
              <w:adjustRightInd w:val="0"/>
              <w:snapToGrid w:val="0"/>
              <w:rPr>
                <w:rStyle w:val="19"/>
                <w:b/>
                <w:i w:val="0"/>
                <w:color w:val="000000"/>
              </w:rPr>
            </w:pPr>
            <w:r>
              <w:rPr>
                <w:rFonts w:hint="eastAsia" w:ascii="Calibri" w:hAnsi="Calibri" w:eastAsia="仿宋_GB2312"/>
                <w:color w:val="000000"/>
                <w:kern w:val="0"/>
                <w:szCs w:val="21"/>
              </w:rPr>
              <w:t>应当建立采购控制程序。</w:t>
            </w:r>
          </w:p>
          <w:p w14:paraId="1E89099C">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采购程序内容至少包括：采购流程、合格供应商的选择、评价和再评价规定、采购物品检验或验证的要求、采购记录的要求。</w:t>
            </w:r>
          </w:p>
        </w:tc>
      </w:tr>
      <w:tr w14:paraId="4AF9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14:paraId="3079806C">
            <w:pPr>
              <w:widowControl/>
              <w:adjustRightInd w:val="0"/>
              <w:snapToGrid w:val="0"/>
              <w:spacing w:line="360" w:lineRule="exact"/>
              <w:jc w:val="center"/>
              <w:rPr>
                <w:rFonts w:ascii="Calibri" w:hAnsi="Calibri" w:eastAsia="仿宋_GB2312"/>
                <w:b/>
                <w:color w:val="000000"/>
                <w:kern w:val="0"/>
                <w:sz w:val="28"/>
                <w:szCs w:val="28"/>
              </w:rPr>
            </w:pPr>
          </w:p>
        </w:tc>
        <w:tc>
          <w:tcPr>
            <w:tcW w:w="1224" w:type="dxa"/>
            <w:tcMar>
              <w:left w:w="57" w:type="dxa"/>
              <w:right w:w="57" w:type="dxa"/>
            </w:tcMar>
            <w:vAlign w:val="center"/>
          </w:tcPr>
          <w:p w14:paraId="40408960">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*6.1.2</w:t>
            </w:r>
          </w:p>
        </w:tc>
        <w:tc>
          <w:tcPr>
            <w:tcW w:w="7134" w:type="dxa"/>
            <w:tcMar>
              <w:left w:w="57" w:type="dxa"/>
              <w:right w:w="57" w:type="dxa"/>
            </w:tcMar>
            <w:vAlign w:val="center"/>
          </w:tcPr>
          <w:p w14:paraId="06E2EF10">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应当确保采购物品符合规定的要求，且不低于法律法规的相关规定和国家强制性标准的相关要求。</w:t>
            </w:r>
          </w:p>
        </w:tc>
      </w:tr>
      <w:tr w14:paraId="388D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14:paraId="6E6101C8">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1A8E39B0">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6.2.1</w:t>
            </w:r>
          </w:p>
        </w:tc>
        <w:tc>
          <w:tcPr>
            <w:tcW w:w="7134" w:type="dxa"/>
            <w:tcMar>
              <w:left w:w="57" w:type="dxa"/>
              <w:right w:w="57" w:type="dxa"/>
            </w:tcMar>
            <w:vAlign w:val="center"/>
          </w:tcPr>
          <w:p w14:paraId="5D47DB4B">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应当根据采购物品对产品的影响，确定对采购物品实行控制的方式和程度。</w:t>
            </w:r>
          </w:p>
          <w:p w14:paraId="28B4BB97">
            <w:pPr>
              <w:widowControl/>
              <w:adjustRightInd w:val="0"/>
              <w:snapToGrid w:val="0"/>
              <w:rPr>
                <w:rStyle w:val="19"/>
                <w:rFonts w:ascii="Calibri" w:eastAsia="仿宋_GB2312"/>
                <w:b/>
                <w:i w:val="0"/>
                <w:color w:val="000000"/>
              </w:rPr>
            </w:pPr>
            <w:r>
              <w:rPr>
                <w:rFonts w:hint="eastAsia" w:ascii="Calibri" w:hAnsi="Calibri" w:eastAsia="仿宋_GB2312"/>
                <w:b/>
                <w:color w:val="000000"/>
                <w:kern w:val="0"/>
                <w:szCs w:val="21"/>
              </w:rPr>
              <w:t>查看对采购物品实施控制方式和程度的规定，核实控制方式和程度能够满足产品要求。</w:t>
            </w:r>
          </w:p>
        </w:tc>
      </w:tr>
      <w:tr w14:paraId="3A1A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23A3E8C5">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62259439">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6.3.1</w:t>
            </w:r>
          </w:p>
        </w:tc>
        <w:tc>
          <w:tcPr>
            <w:tcW w:w="7134" w:type="dxa"/>
            <w:tcMar>
              <w:left w:w="57" w:type="dxa"/>
              <w:right w:w="57" w:type="dxa"/>
            </w:tcMar>
            <w:vAlign w:val="center"/>
          </w:tcPr>
          <w:p w14:paraId="56B4338F">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w:t>
            </w:r>
            <w:r>
              <w:rPr>
                <w:rFonts w:hint="eastAsia" w:ascii="Calibri" w:hAnsi="Calibri" w:eastAsia="仿宋_GB2312"/>
                <w:color w:val="FF0000"/>
                <w:kern w:val="0"/>
                <w:szCs w:val="21"/>
              </w:rPr>
              <w:t>供应商审核制度</w:t>
            </w:r>
            <w:r>
              <w:rPr>
                <w:rFonts w:hint="eastAsia" w:ascii="Calibri" w:hAnsi="Calibri" w:eastAsia="仿宋_GB2312"/>
                <w:color w:val="000000"/>
                <w:kern w:val="0"/>
                <w:szCs w:val="21"/>
              </w:rPr>
              <w:t>，对供应商进行审核评价。必要时，应当进行现场审核。</w:t>
            </w:r>
          </w:p>
          <w:p w14:paraId="5A2AE185">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是否符合</w:t>
            </w:r>
            <w:r>
              <w:rPr>
                <w:rStyle w:val="19"/>
                <w:rFonts w:hint="eastAsia" w:ascii="Calibri" w:eastAsia="仿宋_GB2312"/>
                <w:b/>
                <w:i w:val="0"/>
                <w:color w:val="FF0000"/>
              </w:rPr>
              <w:t>《</w:t>
            </w:r>
            <w:r>
              <w:rPr>
                <w:rFonts w:hint="eastAsia" w:ascii="Calibri" w:eastAsia="仿宋_GB2312"/>
                <w:b/>
                <w:iCs/>
                <w:color w:val="FF0000"/>
              </w:rPr>
              <w:t>医疗器械生产企业供应商审核指南</w:t>
            </w:r>
            <w:r>
              <w:rPr>
                <w:rStyle w:val="19"/>
                <w:rFonts w:hint="eastAsia" w:ascii="Calibri" w:eastAsia="仿宋_GB2312"/>
                <w:b/>
                <w:i w:val="0"/>
                <w:color w:val="FF0000"/>
              </w:rPr>
              <w:t>》</w:t>
            </w:r>
            <w:r>
              <w:rPr>
                <w:rStyle w:val="19"/>
                <w:rFonts w:hint="eastAsia" w:ascii="Calibri" w:eastAsia="仿宋_GB2312"/>
                <w:b/>
                <w:i w:val="0"/>
                <w:color w:val="000000"/>
              </w:rPr>
              <w:t>的要求。</w:t>
            </w:r>
          </w:p>
        </w:tc>
      </w:tr>
      <w:tr w14:paraId="5203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27957425">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2B95683D">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6.3.2</w:t>
            </w:r>
          </w:p>
        </w:tc>
        <w:tc>
          <w:tcPr>
            <w:tcW w:w="7134" w:type="dxa"/>
            <w:tcMar>
              <w:left w:w="57" w:type="dxa"/>
              <w:right w:w="57" w:type="dxa"/>
            </w:tcMar>
            <w:vAlign w:val="center"/>
          </w:tcPr>
          <w:p w14:paraId="1DCCB9DD">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应当保留供方评价的结果和评价过程的记录。</w:t>
            </w:r>
          </w:p>
        </w:tc>
      </w:tr>
      <w:tr w14:paraId="18A0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5B3B0096">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019258C2">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*6.4.1</w:t>
            </w:r>
          </w:p>
        </w:tc>
        <w:tc>
          <w:tcPr>
            <w:tcW w:w="7134" w:type="dxa"/>
            <w:tcMar>
              <w:left w:w="57" w:type="dxa"/>
              <w:right w:w="57" w:type="dxa"/>
            </w:tcMar>
            <w:vAlign w:val="center"/>
          </w:tcPr>
          <w:p w14:paraId="6663AAEB">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应当与主要原材料供应商签订质量协议，明确双方所承担的质量责任。</w:t>
            </w:r>
          </w:p>
        </w:tc>
      </w:tr>
      <w:tr w14:paraId="1B7E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7090D0AF">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7EA2CA13">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6.5.1</w:t>
            </w:r>
          </w:p>
        </w:tc>
        <w:tc>
          <w:tcPr>
            <w:tcW w:w="7134" w:type="dxa"/>
            <w:tcMar>
              <w:left w:w="57" w:type="dxa"/>
              <w:right w:w="57" w:type="dxa"/>
            </w:tcMar>
            <w:vAlign w:val="center"/>
          </w:tcPr>
          <w:p w14:paraId="462F2886">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采购时应当明确采购信息，清晰表述采购要求，包括采购物品类别、验收准则、规格型号、规程、图样等内容。</w:t>
            </w:r>
          </w:p>
          <w:p w14:paraId="1A326CA1">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从采购清单中抽查相关采购物品的采购要求，确认是否符合本条要求。</w:t>
            </w:r>
          </w:p>
        </w:tc>
      </w:tr>
      <w:tr w14:paraId="2BC8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52E032BB">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7E07196E">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6.5.2</w:t>
            </w:r>
          </w:p>
        </w:tc>
        <w:tc>
          <w:tcPr>
            <w:tcW w:w="7134" w:type="dxa"/>
            <w:tcMar>
              <w:left w:w="57" w:type="dxa"/>
              <w:right w:w="57" w:type="dxa"/>
            </w:tcMar>
            <w:vAlign w:val="center"/>
          </w:tcPr>
          <w:p w14:paraId="71678792">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应当建立采购记录，包括采购合同、原材料清单、供应商资质证明文件、质量标准、检验报告及验收标准等。</w:t>
            </w:r>
          </w:p>
        </w:tc>
      </w:tr>
      <w:tr w14:paraId="142F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537576CA">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5C5B113A">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*6.5.3</w:t>
            </w:r>
          </w:p>
        </w:tc>
        <w:tc>
          <w:tcPr>
            <w:tcW w:w="7134" w:type="dxa"/>
            <w:tcMar>
              <w:left w:w="57" w:type="dxa"/>
              <w:right w:w="57" w:type="dxa"/>
            </w:tcMar>
            <w:vAlign w:val="center"/>
          </w:tcPr>
          <w:p w14:paraId="2CB0C2DA">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采购记录应当满足可追溯要求。</w:t>
            </w:r>
          </w:p>
        </w:tc>
      </w:tr>
      <w:tr w14:paraId="0864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0C5B5BDB">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27DF98C2">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6.6.1</w:t>
            </w:r>
          </w:p>
        </w:tc>
        <w:tc>
          <w:tcPr>
            <w:tcW w:w="7134" w:type="dxa"/>
            <w:tcMar>
              <w:left w:w="57" w:type="dxa"/>
              <w:right w:w="57" w:type="dxa"/>
            </w:tcMar>
            <w:vAlign w:val="center"/>
          </w:tcPr>
          <w:p w14:paraId="47F406CB">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应当对采购物品进行检验或验证，确保满足生产要求。</w:t>
            </w:r>
          </w:p>
          <w:p w14:paraId="77B57C0D">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查看采购物品的检验或验证记录。</w:t>
            </w:r>
          </w:p>
        </w:tc>
      </w:tr>
      <w:tr w14:paraId="6D3F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14:paraId="21A0C95F">
            <w:pPr>
              <w:widowControl/>
              <w:adjustRightInd w:val="0"/>
              <w:snapToGrid w:val="0"/>
              <w:spacing w:line="360" w:lineRule="exact"/>
              <w:jc w:val="center"/>
              <w:rPr>
                <w:rFonts w:eastAsia="仿宋_GB2312"/>
                <w:b/>
                <w:color w:val="000000"/>
                <w:kern w:val="0"/>
                <w:sz w:val="28"/>
                <w:szCs w:val="28"/>
              </w:rPr>
            </w:pPr>
          </w:p>
          <w:p w14:paraId="3059F450">
            <w:pPr>
              <w:widowControl/>
              <w:adjustRightInd w:val="0"/>
              <w:snapToGrid w:val="0"/>
              <w:spacing w:line="360" w:lineRule="exact"/>
              <w:jc w:val="center"/>
              <w:rPr>
                <w:rFonts w:eastAsia="仿宋_GB2312"/>
                <w:b/>
                <w:color w:val="000000"/>
                <w:kern w:val="0"/>
                <w:sz w:val="28"/>
                <w:szCs w:val="28"/>
              </w:rPr>
            </w:pPr>
          </w:p>
          <w:p w14:paraId="05FE80C0">
            <w:pPr>
              <w:widowControl/>
              <w:adjustRightInd w:val="0"/>
              <w:snapToGrid w:val="0"/>
              <w:spacing w:line="360" w:lineRule="exact"/>
              <w:jc w:val="center"/>
              <w:rPr>
                <w:rFonts w:eastAsia="仿宋_GB2312"/>
                <w:b/>
                <w:color w:val="000000"/>
                <w:kern w:val="0"/>
                <w:sz w:val="28"/>
                <w:szCs w:val="28"/>
              </w:rPr>
            </w:pPr>
          </w:p>
          <w:p w14:paraId="0F9DF781">
            <w:pPr>
              <w:widowControl/>
              <w:adjustRightInd w:val="0"/>
              <w:snapToGrid w:val="0"/>
              <w:spacing w:line="360" w:lineRule="exact"/>
              <w:jc w:val="center"/>
              <w:rPr>
                <w:rFonts w:eastAsia="仿宋_GB2312"/>
                <w:b/>
                <w:color w:val="000000"/>
                <w:kern w:val="0"/>
                <w:sz w:val="28"/>
                <w:szCs w:val="28"/>
              </w:rPr>
            </w:pPr>
          </w:p>
          <w:p w14:paraId="3A2CDAB8">
            <w:pPr>
              <w:widowControl/>
              <w:adjustRightInd w:val="0"/>
              <w:snapToGrid w:val="0"/>
              <w:spacing w:line="360" w:lineRule="exact"/>
              <w:jc w:val="center"/>
              <w:rPr>
                <w:rFonts w:eastAsia="仿宋_GB2312"/>
                <w:b/>
                <w:color w:val="000000"/>
                <w:kern w:val="0"/>
                <w:sz w:val="28"/>
                <w:szCs w:val="28"/>
              </w:rPr>
            </w:pPr>
          </w:p>
          <w:p w14:paraId="65CF89ED">
            <w:pPr>
              <w:widowControl/>
              <w:adjustRightInd w:val="0"/>
              <w:snapToGrid w:val="0"/>
              <w:spacing w:line="360" w:lineRule="exact"/>
              <w:jc w:val="center"/>
              <w:rPr>
                <w:rFonts w:eastAsia="仿宋_GB2312"/>
                <w:b/>
                <w:color w:val="000000"/>
                <w:kern w:val="0"/>
                <w:sz w:val="28"/>
                <w:szCs w:val="28"/>
              </w:rPr>
            </w:pPr>
          </w:p>
          <w:p w14:paraId="65EB3511">
            <w:pPr>
              <w:widowControl/>
              <w:adjustRightInd w:val="0"/>
              <w:snapToGrid w:val="0"/>
              <w:spacing w:line="360" w:lineRule="exact"/>
              <w:jc w:val="center"/>
              <w:rPr>
                <w:rFonts w:eastAsia="仿宋_GB2312"/>
                <w:b/>
                <w:color w:val="000000"/>
                <w:kern w:val="0"/>
                <w:sz w:val="28"/>
                <w:szCs w:val="28"/>
              </w:rPr>
            </w:pPr>
          </w:p>
          <w:p w14:paraId="0B5FC391">
            <w:pPr>
              <w:widowControl/>
              <w:adjustRightInd w:val="0"/>
              <w:snapToGrid w:val="0"/>
              <w:spacing w:line="360" w:lineRule="exact"/>
              <w:jc w:val="center"/>
              <w:rPr>
                <w:rFonts w:eastAsia="仿宋_GB2312"/>
                <w:b/>
                <w:color w:val="000000"/>
                <w:kern w:val="0"/>
                <w:sz w:val="28"/>
                <w:szCs w:val="28"/>
              </w:rPr>
            </w:pPr>
          </w:p>
          <w:p w14:paraId="73DE44D9">
            <w:pPr>
              <w:widowControl/>
              <w:adjustRightInd w:val="0"/>
              <w:snapToGrid w:val="0"/>
              <w:spacing w:line="360" w:lineRule="exact"/>
              <w:jc w:val="center"/>
              <w:rPr>
                <w:rFonts w:eastAsia="仿宋_GB2312"/>
                <w:b/>
                <w:color w:val="000000"/>
                <w:kern w:val="0"/>
                <w:sz w:val="28"/>
                <w:szCs w:val="28"/>
              </w:rPr>
            </w:pPr>
          </w:p>
          <w:p w14:paraId="31043B5C">
            <w:pPr>
              <w:widowControl/>
              <w:adjustRightInd w:val="0"/>
              <w:snapToGrid w:val="0"/>
              <w:spacing w:line="360" w:lineRule="exact"/>
              <w:jc w:val="center"/>
              <w:rPr>
                <w:rFonts w:eastAsia="仿宋_GB2312"/>
                <w:b/>
                <w:color w:val="000000"/>
                <w:kern w:val="0"/>
                <w:sz w:val="28"/>
                <w:szCs w:val="28"/>
              </w:rPr>
            </w:pPr>
          </w:p>
          <w:p w14:paraId="0A65FC16">
            <w:pPr>
              <w:widowControl/>
              <w:adjustRightInd w:val="0"/>
              <w:snapToGrid w:val="0"/>
              <w:spacing w:line="360" w:lineRule="exact"/>
              <w:jc w:val="center"/>
              <w:rPr>
                <w:rFonts w:eastAsia="仿宋_GB2312"/>
                <w:b/>
                <w:color w:val="000000"/>
                <w:kern w:val="0"/>
                <w:sz w:val="28"/>
                <w:szCs w:val="28"/>
              </w:rPr>
            </w:pPr>
            <w:r>
              <w:rPr>
                <w:rFonts w:hint="eastAsia" w:ascii="Calibri" w:hAnsi="Calibri" w:eastAsia="仿宋_GB2312"/>
                <w:b/>
                <w:color w:val="000000"/>
                <w:kern w:val="0"/>
                <w:sz w:val="28"/>
                <w:szCs w:val="28"/>
              </w:rPr>
              <w:t>生</w:t>
            </w:r>
          </w:p>
          <w:p w14:paraId="05848C4C">
            <w:pPr>
              <w:widowControl/>
              <w:adjustRightInd w:val="0"/>
              <w:snapToGrid w:val="0"/>
              <w:spacing w:line="360" w:lineRule="exact"/>
              <w:jc w:val="center"/>
              <w:rPr>
                <w:rFonts w:eastAsia="仿宋_GB2312"/>
                <w:b/>
                <w:color w:val="000000"/>
                <w:kern w:val="0"/>
                <w:sz w:val="28"/>
                <w:szCs w:val="28"/>
              </w:rPr>
            </w:pPr>
          </w:p>
          <w:p w14:paraId="4906EAD8">
            <w:pPr>
              <w:widowControl/>
              <w:adjustRightInd w:val="0"/>
              <w:snapToGrid w:val="0"/>
              <w:spacing w:line="360" w:lineRule="exact"/>
              <w:jc w:val="center"/>
              <w:rPr>
                <w:rFonts w:eastAsia="仿宋_GB2312"/>
                <w:b/>
                <w:color w:val="000000"/>
                <w:kern w:val="0"/>
                <w:sz w:val="28"/>
                <w:szCs w:val="28"/>
              </w:rPr>
            </w:pPr>
            <w:r>
              <w:rPr>
                <w:rFonts w:hint="eastAsia" w:ascii="Calibri" w:hAnsi="Calibri" w:eastAsia="仿宋_GB2312"/>
                <w:b/>
                <w:color w:val="000000"/>
                <w:kern w:val="0"/>
                <w:sz w:val="28"/>
                <w:szCs w:val="28"/>
              </w:rPr>
              <w:t>产</w:t>
            </w:r>
          </w:p>
          <w:p w14:paraId="296C32E4">
            <w:pPr>
              <w:widowControl/>
              <w:adjustRightInd w:val="0"/>
              <w:snapToGrid w:val="0"/>
              <w:spacing w:line="360" w:lineRule="exact"/>
              <w:jc w:val="center"/>
              <w:rPr>
                <w:rFonts w:ascii="Calibri" w:hAnsi="Calibri" w:eastAsia="仿宋_GB2312"/>
                <w:b/>
                <w:color w:val="000000"/>
                <w:kern w:val="0"/>
                <w:sz w:val="28"/>
                <w:szCs w:val="28"/>
              </w:rPr>
            </w:pPr>
          </w:p>
          <w:p w14:paraId="36E9272D">
            <w:pPr>
              <w:widowControl/>
              <w:adjustRightInd w:val="0"/>
              <w:snapToGrid w:val="0"/>
              <w:spacing w:line="360" w:lineRule="exact"/>
              <w:jc w:val="center"/>
              <w:rPr>
                <w:rFonts w:eastAsia="仿宋_GB2312"/>
                <w:b/>
                <w:color w:val="000000"/>
                <w:kern w:val="0"/>
                <w:sz w:val="28"/>
                <w:szCs w:val="28"/>
              </w:rPr>
            </w:pPr>
            <w:r>
              <w:rPr>
                <w:rFonts w:hint="eastAsia" w:ascii="Calibri" w:hAnsi="Calibri" w:eastAsia="仿宋_GB2312"/>
                <w:b/>
                <w:color w:val="000000"/>
                <w:kern w:val="0"/>
                <w:sz w:val="28"/>
                <w:szCs w:val="28"/>
              </w:rPr>
              <w:t>管</w:t>
            </w:r>
          </w:p>
          <w:p w14:paraId="2990B4BA">
            <w:pPr>
              <w:widowControl/>
              <w:adjustRightInd w:val="0"/>
              <w:snapToGrid w:val="0"/>
              <w:spacing w:line="360" w:lineRule="exact"/>
              <w:jc w:val="center"/>
              <w:rPr>
                <w:rFonts w:ascii="Calibri" w:hAnsi="Calibri" w:eastAsia="仿宋_GB2312"/>
                <w:b/>
                <w:color w:val="000000"/>
                <w:kern w:val="0"/>
                <w:sz w:val="28"/>
                <w:szCs w:val="28"/>
              </w:rPr>
            </w:pPr>
          </w:p>
          <w:p w14:paraId="2F721312">
            <w:pPr>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理</w:t>
            </w:r>
          </w:p>
          <w:p w14:paraId="465268AA">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62861467">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*7.1.1</w:t>
            </w:r>
          </w:p>
        </w:tc>
        <w:tc>
          <w:tcPr>
            <w:tcW w:w="7134" w:type="dxa"/>
            <w:tcMar>
              <w:left w:w="57" w:type="dxa"/>
              <w:right w:w="57" w:type="dxa"/>
            </w:tcMar>
            <w:vAlign w:val="center"/>
          </w:tcPr>
          <w:p w14:paraId="4CC99AAB">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应当按照建立的质量管理体系进行生产，以保证产品符合强制性标准和经注册或者备案的产品技术要求。</w:t>
            </w:r>
          </w:p>
        </w:tc>
      </w:tr>
      <w:tr w14:paraId="7913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36D83A20">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203AA230">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*7.2.1</w:t>
            </w:r>
          </w:p>
        </w:tc>
        <w:tc>
          <w:tcPr>
            <w:tcW w:w="7134" w:type="dxa"/>
            <w:tcMar>
              <w:left w:w="57" w:type="dxa"/>
              <w:right w:w="57" w:type="dxa"/>
            </w:tcMar>
            <w:vAlign w:val="center"/>
          </w:tcPr>
          <w:p w14:paraId="046CC6A3">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应当编制生产工艺规程、作业指导书等，明确关键工序和特殊过程。</w:t>
            </w:r>
          </w:p>
          <w:p w14:paraId="5C0CFB5C">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查看相关文件；是否明确关键工序和特殊过程，对关键工序和特殊过程的重要参数是否做验证或确认的规定。</w:t>
            </w:r>
          </w:p>
        </w:tc>
      </w:tr>
      <w:tr w14:paraId="10C1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14:paraId="08060B0F">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6AE2F8D1">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7.3.1</w:t>
            </w:r>
          </w:p>
        </w:tc>
        <w:tc>
          <w:tcPr>
            <w:tcW w:w="7134" w:type="dxa"/>
            <w:tcMar>
              <w:left w:w="57" w:type="dxa"/>
              <w:right w:w="57" w:type="dxa"/>
            </w:tcMar>
            <w:vAlign w:val="center"/>
          </w:tcPr>
          <w:p w14:paraId="207056E0">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在生产过程中需要对原材料、中间品等进行清洁处理的，应当明确清洁方法和要求，并对清洁效果进行验证。</w:t>
            </w:r>
          </w:p>
        </w:tc>
      </w:tr>
      <w:tr w14:paraId="5567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6B66AF9F">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5D6C65EA">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7.4.1</w:t>
            </w:r>
          </w:p>
        </w:tc>
        <w:tc>
          <w:tcPr>
            <w:tcW w:w="7134" w:type="dxa"/>
            <w:tcMar>
              <w:left w:w="57" w:type="dxa"/>
              <w:right w:w="57" w:type="dxa"/>
            </w:tcMar>
            <w:vAlign w:val="center"/>
          </w:tcPr>
          <w:p w14:paraId="228EA54A">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应当根据生产工艺特点对环境进行监测，并保存记录。</w:t>
            </w:r>
          </w:p>
        </w:tc>
      </w:tr>
      <w:tr w14:paraId="3EA8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9" w:hRule="atLeast"/>
          <w:jc w:val="center"/>
        </w:trPr>
        <w:tc>
          <w:tcPr>
            <w:tcW w:w="498" w:type="dxa"/>
            <w:vMerge w:val="continue"/>
          </w:tcPr>
          <w:p w14:paraId="0B6B3D7B">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2C224863">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7.5.1</w:t>
            </w:r>
          </w:p>
        </w:tc>
        <w:tc>
          <w:tcPr>
            <w:tcW w:w="7134" w:type="dxa"/>
            <w:tcMar>
              <w:left w:w="57" w:type="dxa"/>
              <w:right w:w="57" w:type="dxa"/>
            </w:tcMar>
            <w:vAlign w:val="center"/>
          </w:tcPr>
          <w:p w14:paraId="3A3FDA5A">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应当对生产的特殊过程进行确认，并保存记录，包括确认方案，确认方法、操作人员、结果评价、再确认等内容。</w:t>
            </w:r>
          </w:p>
        </w:tc>
      </w:tr>
      <w:tr w14:paraId="468A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91" w:hRule="atLeast"/>
          <w:jc w:val="center"/>
        </w:trPr>
        <w:tc>
          <w:tcPr>
            <w:tcW w:w="498" w:type="dxa"/>
            <w:vMerge w:val="continue"/>
          </w:tcPr>
          <w:p w14:paraId="625423E6">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50F20984">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7.5.2</w:t>
            </w:r>
          </w:p>
        </w:tc>
        <w:tc>
          <w:tcPr>
            <w:tcW w:w="7134" w:type="dxa"/>
            <w:tcMar>
              <w:left w:w="57" w:type="dxa"/>
              <w:right w:w="57" w:type="dxa"/>
            </w:tcMar>
            <w:vAlign w:val="center"/>
          </w:tcPr>
          <w:p w14:paraId="7063FA6C">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生产过程中采用的计算机软件对产品质量有影响的，应当进行验证或确认。</w:t>
            </w:r>
          </w:p>
        </w:tc>
      </w:tr>
      <w:tr w14:paraId="48F8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5A2E009D">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31DA6AB1">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*7.6.1</w:t>
            </w:r>
          </w:p>
        </w:tc>
        <w:tc>
          <w:tcPr>
            <w:tcW w:w="7134" w:type="dxa"/>
            <w:tcMar>
              <w:left w:w="57" w:type="dxa"/>
              <w:right w:w="57" w:type="dxa"/>
            </w:tcMar>
            <w:vAlign w:val="center"/>
          </w:tcPr>
          <w:p w14:paraId="233BD21B">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每批（台）产品均应当有</w:t>
            </w:r>
            <w:r>
              <w:rPr>
                <w:rFonts w:hint="eastAsia" w:ascii="Calibri" w:hAnsi="Calibri" w:eastAsia="仿宋_GB2312"/>
                <w:color w:val="FF0000"/>
                <w:kern w:val="0"/>
                <w:szCs w:val="21"/>
              </w:rPr>
              <w:t>生产记录</w:t>
            </w:r>
            <w:r>
              <w:rPr>
                <w:rFonts w:hint="eastAsia" w:ascii="Calibri" w:hAnsi="Calibri" w:eastAsia="仿宋_GB2312"/>
                <w:color w:val="000000"/>
                <w:kern w:val="0"/>
                <w:szCs w:val="21"/>
              </w:rPr>
              <w:t>，并满足可追溯的要求。</w:t>
            </w:r>
            <w:r>
              <w:rPr>
                <w:rFonts w:ascii="Calibri" w:hAnsi="Calibri" w:eastAsia="仿宋_GB2312"/>
                <w:color w:val="000000"/>
                <w:kern w:val="0"/>
                <w:szCs w:val="21"/>
              </w:rPr>
              <w:t xml:space="preserve"> </w:t>
            </w:r>
          </w:p>
        </w:tc>
      </w:tr>
      <w:tr w14:paraId="48E0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73CD2A89">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20E5BAEA">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7.6.2</w:t>
            </w:r>
          </w:p>
        </w:tc>
        <w:tc>
          <w:tcPr>
            <w:tcW w:w="7134" w:type="dxa"/>
            <w:tcMar>
              <w:left w:w="57" w:type="dxa"/>
              <w:right w:w="57" w:type="dxa"/>
            </w:tcMar>
            <w:vAlign w:val="center"/>
          </w:tcPr>
          <w:p w14:paraId="28406146">
            <w:pPr>
              <w:widowControl/>
              <w:adjustRightInd w:val="0"/>
              <w:snapToGrid w:val="0"/>
              <w:rPr>
                <w:rStyle w:val="19"/>
                <w:rFonts w:ascii="Calibri" w:eastAsia="仿宋_GB2312"/>
                <w:i w:val="0"/>
                <w:color w:val="000000"/>
              </w:rPr>
            </w:pPr>
            <w:r>
              <w:rPr>
                <w:rFonts w:hint="eastAsia" w:ascii="Calibri" w:hAnsi="Calibri" w:eastAsia="仿宋_GB2312"/>
                <w:color w:val="FF0000"/>
                <w:kern w:val="0"/>
                <w:szCs w:val="21"/>
              </w:rPr>
              <w:t>生产记录</w:t>
            </w:r>
            <w:r>
              <w:rPr>
                <w:rFonts w:hint="eastAsia" w:ascii="Calibri" w:hAnsi="Calibri" w:eastAsia="仿宋_GB2312"/>
                <w:color w:val="000000"/>
                <w:kern w:val="0"/>
                <w:szCs w:val="21"/>
              </w:rPr>
              <w:t>应当包括：产品名称、规格型号、</w:t>
            </w:r>
            <w:r>
              <w:rPr>
                <w:rFonts w:hint="eastAsia" w:ascii="Calibri" w:hAnsi="Calibri" w:eastAsia="仿宋_GB2312"/>
                <w:color w:val="FF0000"/>
                <w:kern w:val="0"/>
                <w:szCs w:val="21"/>
              </w:rPr>
              <w:t>原材料批号</w:t>
            </w:r>
            <w:r>
              <w:rPr>
                <w:rFonts w:hint="eastAsia" w:ascii="Calibri" w:hAnsi="Calibri" w:eastAsia="仿宋_GB2312"/>
                <w:color w:val="000000"/>
                <w:kern w:val="0"/>
                <w:szCs w:val="21"/>
              </w:rPr>
              <w:t>、生产批号或产品编号、生产日期、数量、主要设备、工艺参数、操作人员等内容。</w:t>
            </w:r>
          </w:p>
        </w:tc>
      </w:tr>
      <w:tr w14:paraId="5E3C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6A51907D">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5620E938">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7.7.1</w:t>
            </w:r>
          </w:p>
        </w:tc>
        <w:tc>
          <w:tcPr>
            <w:tcW w:w="7134" w:type="dxa"/>
            <w:tcMar>
              <w:left w:w="57" w:type="dxa"/>
              <w:right w:w="57" w:type="dxa"/>
            </w:tcMar>
            <w:vAlign w:val="center"/>
          </w:tcPr>
          <w:p w14:paraId="479FF311">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应当建立产品标识控制程序，用适宜的方法对产品进行标识，以便识别，防止混用和错用。</w:t>
            </w:r>
          </w:p>
        </w:tc>
      </w:tr>
      <w:tr w14:paraId="7BA0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5A785098">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54B8CE81">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*7.8.1</w:t>
            </w:r>
          </w:p>
        </w:tc>
        <w:tc>
          <w:tcPr>
            <w:tcW w:w="7134" w:type="dxa"/>
            <w:tcMar>
              <w:left w:w="57" w:type="dxa"/>
              <w:right w:w="57" w:type="dxa"/>
            </w:tcMar>
            <w:vAlign w:val="center"/>
          </w:tcPr>
          <w:p w14:paraId="50D70B4C">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应当在生产过程中标识产品的检验状态，防止不合格中间产品流向下道工序。</w:t>
            </w:r>
          </w:p>
          <w:p w14:paraId="64D933AE">
            <w:pPr>
              <w:widowControl/>
              <w:adjustRightInd w:val="0"/>
              <w:snapToGrid w:val="0"/>
              <w:rPr>
                <w:rFonts w:ascii="Calibri" w:hAnsi="Calibri" w:eastAsia="仿宋_GB2312"/>
                <w:b/>
                <w:color w:val="000000"/>
                <w:kern w:val="0"/>
                <w:szCs w:val="21"/>
              </w:rPr>
            </w:pPr>
            <w:r>
              <w:rPr>
                <w:rStyle w:val="19"/>
                <w:rFonts w:hint="eastAsia" w:ascii="Calibri" w:eastAsia="仿宋_GB2312"/>
                <w:b/>
                <w:i w:val="0"/>
                <w:color w:val="000000"/>
              </w:rPr>
              <w:t>查看是否对检验状态标识方法作出规定，现场查看生产过程中的检验状态标识，是否符合文件规定。</w:t>
            </w:r>
          </w:p>
        </w:tc>
      </w:tr>
      <w:tr w14:paraId="754A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58A484F5">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3A8D9A20">
            <w:pPr>
              <w:widowControl/>
              <w:adjustRightInd w:val="0"/>
              <w:snapToGrid w:val="0"/>
              <w:spacing w:line="360" w:lineRule="exact"/>
              <w:jc w:val="center"/>
              <w:rPr>
                <w:rStyle w:val="21"/>
                <w:rFonts w:ascii="Calibri" w:hAnsi="Calibri" w:eastAsia="仿宋_GB2312"/>
                <w:i w:val="0"/>
                <w:color w:val="000000"/>
                <w:u w:val="none"/>
              </w:rPr>
            </w:pPr>
            <w:r>
              <w:rPr>
                <w:rFonts w:ascii="Calibri" w:hAnsi="Calibri" w:eastAsia="仿宋_GB2312"/>
                <w:iCs/>
                <w:color w:val="000000"/>
                <w:kern w:val="0"/>
                <w:szCs w:val="21"/>
              </w:rPr>
              <w:t>*</w:t>
            </w:r>
            <w:r>
              <w:rPr>
                <w:rFonts w:ascii="Calibri" w:hAnsi="Calibri" w:eastAsia="仿宋_GB2312"/>
                <w:color w:val="000000"/>
                <w:kern w:val="0"/>
                <w:szCs w:val="21"/>
              </w:rPr>
              <w:t>7.</w:t>
            </w:r>
            <w:r>
              <w:rPr>
                <w:rFonts w:ascii="Calibri" w:hAnsi="Calibri" w:eastAsia="仿宋_GB2312"/>
                <w:iCs/>
                <w:color w:val="000000"/>
                <w:kern w:val="0"/>
                <w:szCs w:val="21"/>
              </w:rPr>
              <w:t>9.1</w:t>
            </w:r>
          </w:p>
        </w:tc>
        <w:tc>
          <w:tcPr>
            <w:tcW w:w="7134" w:type="dxa"/>
            <w:tcMar>
              <w:left w:w="57" w:type="dxa"/>
              <w:right w:w="57" w:type="dxa"/>
            </w:tcMar>
            <w:vAlign w:val="center"/>
          </w:tcPr>
          <w:p w14:paraId="655E7F69">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应当建立产品的</w:t>
            </w:r>
            <w:r>
              <w:rPr>
                <w:rFonts w:hint="eastAsia" w:ascii="Calibri" w:hAnsi="Calibri" w:eastAsia="仿宋_GB2312"/>
                <w:color w:val="FF0000"/>
                <w:kern w:val="0"/>
                <w:szCs w:val="21"/>
              </w:rPr>
              <w:t>可追溯性程序，规定产品追溯范围、程度、标识和必要的记录。</w:t>
            </w:r>
          </w:p>
        </w:tc>
      </w:tr>
      <w:tr w14:paraId="0ED1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516A8D67">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7FBF97D5">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iCs/>
                <w:color w:val="000000"/>
                <w:kern w:val="0"/>
                <w:szCs w:val="21"/>
              </w:rPr>
              <w:t>*</w:t>
            </w:r>
            <w:r>
              <w:rPr>
                <w:rFonts w:ascii="Calibri" w:hAnsi="Calibri" w:eastAsia="仿宋_GB2312"/>
                <w:color w:val="000000"/>
                <w:kern w:val="0"/>
                <w:szCs w:val="21"/>
              </w:rPr>
              <w:t>7.10.1</w:t>
            </w:r>
          </w:p>
        </w:tc>
        <w:tc>
          <w:tcPr>
            <w:tcW w:w="7134" w:type="dxa"/>
            <w:tcMar>
              <w:left w:w="57" w:type="dxa"/>
              <w:right w:w="57" w:type="dxa"/>
            </w:tcMar>
            <w:vAlign w:val="center"/>
          </w:tcPr>
          <w:p w14:paraId="7430CA66">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产品的说明书、标签应当符合相关法律法规及标准要求。</w:t>
            </w:r>
          </w:p>
        </w:tc>
      </w:tr>
      <w:tr w14:paraId="29E8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1CF4511B">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63D83280">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7.11.1</w:t>
            </w:r>
          </w:p>
        </w:tc>
        <w:tc>
          <w:tcPr>
            <w:tcW w:w="7134" w:type="dxa"/>
            <w:tcMar>
              <w:left w:w="57" w:type="dxa"/>
              <w:right w:w="57" w:type="dxa"/>
            </w:tcMar>
            <w:vAlign w:val="center"/>
          </w:tcPr>
          <w:p w14:paraId="78165374">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应当建立产品防护程序，规定产品及其组成部分的防护要求，包括污染防护、静电防护、粉尘防护、腐蚀防护、运输防护等要求。防护应当包括标识、搬运、包装、贮存和保护等。</w:t>
            </w:r>
          </w:p>
          <w:p w14:paraId="0B8C8C1E">
            <w:pPr>
              <w:widowControl/>
              <w:adjustRightInd w:val="0"/>
              <w:snapToGrid w:val="0"/>
              <w:rPr>
                <w:rFonts w:ascii="Calibri" w:hAnsi="Calibri" w:eastAsia="仿宋_GB2312"/>
                <w:b/>
                <w:color w:val="000000"/>
                <w:kern w:val="0"/>
                <w:szCs w:val="21"/>
              </w:rPr>
            </w:pPr>
            <w:r>
              <w:rPr>
                <w:rStyle w:val="19"/>
                <w:rFonts w:hint="eastAsia" w:ascii="Calibri" w:eastAsia="仿宋_GB2312"/>
                <w:b/>
                <w:i w:val="0"/>
                <w:color w:val="000000"/>
              </w:rPr>
              <w:t>现场查看产品防护程序是否符合规范要求；现场查看并抽查相关记录，确认产品防护符合要求。</w:t>
            </w:r>
          </w:p>
        </w:tc>
      </w:tr>
      <w:tr w14:paraId="40DB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14:paraId="4967A8EC">
            <w:pPr>
              <w:widowControl/>
              <w:adjustRightInd w:val="0"/>
              <w:snapToGrid w:val="0"/>
              <w:spacing w:line="360" w:lineRule="exact"/>
              <w:jc w:val="center"/>
              <w:rPr>
                <w:rFonts w:ascii="Calibri" w:hAnsi="Calibri" w:eastAsia="仿宋_GB2312"/>
                <w:color w:val="000000"/>
                <w:kern w:val="0"/>
                <w:szCs w:val="21"/>
              </w:rPr>
            </w:pPr>
            <w:r>
              <w:rPr>
                <w:rFonts w:hint="eastAsia" w:ascii="Calibri" w:hAnsi="Calibri" w:eastAsia="仿宋_GB2312"/>
                <w:b/>
                <w:color w:val="000000"/>
                <w:kern w:val="0"/>
                <w:sz w:val="28"/>
                <w:szCs w:val="28"/>
              </w:rPr>
              <w:t>质量控制</w:t>
            </w:r>
          </w:p>
        </w:tc>
        <w:tc>
          <w:tcPr>
            <w:tcW w:w="1224" w:type="dxa"/>
            <w:tcMar>
              <w:left w:w="57" w:type="dxa"/>
              <w:right w:w="57" w:type="dxa"/>
            </w:tcMar>
            <w:vAlign w:val="center"/>
          </w:tcPr>
          <w:p w14:paraId="28C841D3">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8.1.1</w:t>
            </w:r>
          </w:p>
        </w:tc>
        <w:tc>
          <w:tcPr>
            <w:tcW w:w="7134" w:type="dxa"/>
            <w:tcMar>
              <w:left w:w="57" w:type="dxa"/>
              <w:right w:w="57" w:type="dxa"/>
            </w:tcMar>
            <w:vAlign w:val="center"/>
          </w:tcPr>
          <w:p w14:paraId="2591F832">
            <w:pPr>
              <w:widowControl/>
              <w:tabs>
                <w:tab w:val="left" w:pos="3285"/>
              </w:tabs>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应当建立质量控制程序，规定产品检验部门、人员、操作等要求。</w:t>
            </w:r>
          </w:p>
          <w:p w14:paraId="6BEB6702">
            <w:pPr>
              <w:widowControl/>
              <w:tabs>
                <w:tab w:val="left" w:pos="3285"/>
              </w:tabs>
              <w:adjustRightInd w:val="0"/>
              <w:snapToGrid w:val="0"/>
              <w:rPr>
                <w:rFonts w:ascii="Calibri" w:hAnsi="Calibri" w:eastAsia="仿宋_GB2312"/>
                <w:b/>
                <w:color w:val="000000"/>
                <w:kern w:val="0"/>
                <w:szCs w:val="21"/>
              </w:rPr>
            </w:pPr>
            <w:r>
              <w:rPr>
                <w:rStyle w:val="19"/>
                <w:rFonts w:hint="eastAsia" w:ascii="Calibri" w:eastAsia="仿宋_GB2312"/>
                <w:b/>
                <w:i w:val="0"/>
                <w:color w:val="000000"/>
              </w:rPr>
              <w:t>查看质量控制程序，是否对产品的检验部门职责、人员资质、检验操作规程等作出规定。</w:t>
            </w:r>
          </w:p>
        </w:tc>
      </w:tr>
      <w:tr w14:paraId="58DE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14:paraId="481D97EE">
            <w:pPr>
              <w:widowControl/>
              <w:adjustRightInd w:val="0"/>
              <w:snapToGrid w:val="0"/>
              <w:spacing w:line="360" w:lineRule="exact"/>
              <w:jc w:val="center"/>
              <w:rPr>
                <w:rFonts w:ascii="Calibri" w:hAnsi="Calibri" w:eastAsia="仿宋_GB2312"/>
                <w:b/>
                <w:color w:val="000000"/>
                <w:kern w:val="0"/>
                <w:sz w:val="28"/>
                <w:szCs w:val="28"/>
              </w:rPr>
            </w:pPr>
          </w:p>
        </w:tc>
        <w:tc>
          <w:tcPr>
            <w:tcW w:w="1224" w:type="dxa"/>
            <w:tcMar>
              <w:left w:w="57" w:type="dxa"/>
              <w:right w:w="57" w:type="dxa"/>
            </w:tcMar>
            <w:vAlign w:val="center"/>
          </w:tcPr>
          <w:p w14:paraId="325A5B08">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8.1.2</w:t>
            </w:r>
          </w:p>
        </w:tc>
        <w:tc>
          <w:tcPr>
            <w:tcW w:w="7134" w:type="dxa"/>
            <w:tcMar>
              <w:left w:w="57" w:type="dxa"/>
              <w:right w:w="57" w:type="dxa"/>
            </w:tcMar>
            <w:vAlign w:val="center"/>
          </w:tcPr>
          <w:p w14:paraId="4F630604">
            <w:pPr>
              <w:widowControl/>
              <w:tabs>
                <w:tab w:val="left" w:pos="3285"/>
              </w:tabs>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应当规定检验仪器和设备的使用、校准等要求，以及产品放行的程序。</w:t>
            </w:r>
          </w:p>
          <w:p w14:paraId="24EAA591">
            <w:pPr>
              <w:widowControl/>
              <w:tabs>
                <w:tab w:val="left" w:pos="3285"/>
              </w:tabs>
              <w:adjustRightInd w:val="0"/>
              <w:snapToGrid w:val="0"/>
              <w:rPr>
                <w:rStyle w:val="19"/>
                <w:rFonts w:ascii="Calibri" w:eastAsia="仿宋_GB2312"/>
                <w:b/>
                <w:i w:val="0"/>
                <w:color w:val="000000"/>
              </w:rPr>
            </w:pPr>
            <w:r>
              <w:rPr>
                <w:rStyle w:val="19"/>
                <w:rFonts w:hint="eastAsia" w:ascii="Calibri" w:eastAsia="仿宋_GB2312"/>
                <w:b/>
                <w:i w:val="0"/>
                <w:color w:val="000000"/>
              </w:rPr>
              <w:t>查看质量控制程序，</w:t>
            </w:r>
            <w:r>
              <w:rPr>
                <w:rStyle w:val="19"/>
                <w:rFonts w:hint="eastAsia" w:ascii="Calibri" w:eastAsia="仿宋_GB2312"/>
                <w:b/>
                <w:i w:val="0"/>
                <w:color w:val="FF0000"/>
              </w:rPr>
              <w:t>是否对检验仪器、设备的使用和校准作出规定</w:t>
            </w:r>
            <w:r>
              <w:rPr>
                <w:rStyle w:val="19"/>
                <w:rFonts w:hint="eastAsia" w:ascii="Calibri" w:eastAsia="仿宋_GB2312"/>
                <w:b/>
                <w:i w:val="0"/>
                <w:color w:val="000000"/>
              </w:rPr>
              <w:t>。</w:t>
            </w:r>
          </w:p>
        </w:tc>
      </w:tr>
      <w:tr w14:paraId="615F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66C42387">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0D93D5A0">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8.2.1</w:t>
            </w:r>
          </w:p>
        </w:tc>
        <w:tc>
          <w:tcPr>
            <w:tcW w:w="7134" w:type="dxa"/>
            <w:tcMar>
              <w:left w:w="57" w:type="dxa"/>
              <w:right w:w="57" w:type="dxa"/>
            </w:tcMar>
            <w:vAlign w:val="center"/>
          </w:tcPr>
          <w:p w14:paraId="7B771DF5">
            <w:pPr>
              <w:widowControl/>
              <w:adjustRightInd w:val="0"/>
              <w:snapToGrid w:val="0"/>
              <w:rPr>
                <w:rFonts w:ascii="Calibri" w:hAnsi="Calibri" w:eastAsia="仿宋_GB2312"/>
                <w:bCs/>
                <w:color w:val="000000"/>
                <w:szCs w:val="21"/>
              </w:rPr>
            </w:pPr>
            <w:r>
              <w:rPr>
                <w:rFonts w:hint="eastAsia" w:ascii="Calibri" w:hAnsi="Calibri" w:eastAsia="仿宋_GB2312"/>
                <w:bCs/>
                <w:color w:val="000000"/>
                <w:szCs w:val="21"/>
              </w:rPr>
              <w:t>应当定期对检验仪器和设备进行校准或检定，并予以标识。</w:t>
            </w:r>
          </w:p>
          <w:p w14:paraId="23C5411B">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查看检验仪器和设备是否按规定实施了校准或检定，是否进行了标识。</w:t>
            </w:r>
          </w:p>
        </w:tc>
      </w:tr>
      <w:tr w14:paraId="5A914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27F5EE0C">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20BA10F6">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8.2.2</w:t>
            </w:r>
          </w:p>
        </w:tc>
        <w:tc>
          <w:tcPr>
            <w:tcW w:w="7134" w:type="dxa"/>
            <w:tcMar>
              <w:left w:w="57" w:type="dxa"/>
              <w:right w:w="57" w:type="dxa"/>
            </w:tcMar>
            <w:vAlign w:val="center"/>
          </w:tcPr>
          <w:p w14:paraId="1D29759A">
            <w:pPr>
              <w:widowControl/>
              <w:adjustRightInd w:val="0"/>
              <w:snapToGrid w:val="0"/>
              <w:rPr>
                <w:rStyle w:val="19"/>
                <w:rFonts w:ascii="Calibri" w:eastAsia="仿宋_GB2312"/>
                <w:i w:val="0"/>
                <w:color w:val="000000"/>
              </w:rPr>
            </w:pPr>
            <w:r>
              <w:rPr>
                <w:rFonts w:hint="eastAsia" w:ascii="Calibri" w:hAnsi="Calibri" w:eastAsia="仿宋_GB2312"/>
                <w:bCs/>
                <w:color w:val="000000"/>
                <w:szCs w:val="21"/>
              </w:rPr>
              <w:t>应当规定检验仪器和设备在搬运、维护、贮存期间的防护要求，防止检验结果失准。</w:t>
            </w:r>
          </w:p>
        </w:tc>
      </w:tr>
      <w:tr w14:paraId="4138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48" w:hRule="atLeast"/>
          <w:jc w:val="center"/>
        </w:trPr>
        <w:tc>
          <w:tcPr>
            <w:tcW w:w="498" w:type="dxa"/>
            <w:vMerge w:val="continue"/>
          </w:tcPr>
          <w:p w14:paraId="1329A22F">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3F3FA7FC">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8.2.3</w:t>
            </w:r>
          </w:p>
        </w:tc>
        <w:tc>
          <w:tcPr>
            <w:tcW w:w="7134" w:type="dxa"/>
            <w:tcMar>
              <w:left w:w="57" w:type="dxa"/>
              <w:right w:w="57" w:type="dxa"/>
            </w:tcMar>
            <w:vAlign w:val="center"/>
          </w:tcPr>
          <w:p w14:paraId="081C5042">
            <w:pPr>
              <w:widowControl/>
              <w:adjustRightInd w:val="0"/>
              <w:snapToGrid w:val="0"/>
              <w:rPr>
                <w:rFonts w:ascii="Calibri" w:hAnsi="Calibri" w:eastAsia="仿宋_GB2312"/>
                <w:bCs/>
                <w:color w:val="000000"/>
                <w:szCs w:val="21"/>
              </w:rPr>
            </w:pPr>
            <w:r>
              <w:rPr>
                <w:rFonts w:hint="eastAsia" w:ascii="Calibri" w:hAnsi="Calibri" w:eastAsia="仿宋_GB2312"/>
                <w:bCs/>
                <w:color w:val="000000"/>
                <w:szCs w:val="21"/>
              </w:rPr>
              <w:t>当发现检验仪器和设备不符合要求时，应当对以往检验结果进行评价，并保存验证记录。</w:t>
            </w:r>
          </w:p>
          <w:p w14:paraId="413FA20F">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查看设备使用、维护记录，当检验仪器设备不符合要求的情况，是否对以往检测的结果进行了评价，并保存相关记录。</w:t>
            </w:r>
          </w:p>
        </w:tc>
      </w:tr>
      <w:tr w14:paraId="6C58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3F2DE2D3">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5E639244">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8.2.4</w:t>
            </w:r>
          </w:p>
        </w:tc>
        <w:tc>
          <w:tcPr>
            <w:tcW w:w="7134" w:type="dxa"/>
            <w:tcMar>
              <w:left w:w="57" w:type="dxa"/>
              <w:right w:w="57" w:type="dxa"/>
            </w:tcMar>
            <w:vAlign w:val="center"/>
          </w:tcPr>
          <w:p w14:paraId="2CEF1DD6">
            <w:pPr>
              <w:widowControl/>
              <w:tabs>
                <w:tab w:val="left" w:pos="3285"/>
              </w:tabs>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对用于检验的计算机软件，应当进行确认。</w:t>
            </w:r>
          </w:p>
        </w:tc>
      </w:tr>
      <w:tr w14:paraId="616D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15" w:hRule="atLeast"/>
          <w:jc w:val="center"/>
        </w:trPr>
        <w:tc>
          <w:tcPr>
            <w:tcW w:w="498" w:type="dxa"/>
            <w:vMerge w:val="continue"/>
          </w:tcPr>
          <w:p w14:paraId="14869775">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0A6D1389">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*8.3.1</w:t>
            </w:r>
          </w:p>
        </w:tc>
        <w:tc>
          <w:tcPr>
            <w:tcW w:w="7134" w:type="dxa"/>
            <w:tcMar>
              <w:left w:w="57" w:type="dxa"/>
              <w:right w:w="57" w:type="dxa"/>
            </w:tcMar>
            <w:vAlign w:val="center"/>
          </w:tcPr>
          <w:p w14:paraId="159332CF">
            <w:pPr>
              <w:widowControl/>
              <w:adjustRightInd w:val="0"/>
              <w:snapToGrid w:val="0"/>
              <w:rPr>
                <w:rStyle w:val="21"/>
                <w:rFonts w:ascii="Calibri" w:eastAsia="仿宋_GB2312"/>
                <w:i w:val="0"/>
                <w:color w:val="000000"/>
                <w:u w:val="none"/>
              </w:rPr>
            </w:pPr>
            <w:r>
              <w:rPr>
                <w:rStyle w:val="21"/>
                <w:rFonts w:hint="eastAsia" w:ascii="Calibri" w:eastAsia="仿宋_GB2312"/>
                <w:i w:val="0"/>
                <w:color w:val="000000"/>
                <w:u w:val="none"/>
              </w:rPr>
              <w:t>应当根据强制性标准以及经注册或者备案的产品技术要求制定产品的检验规程</w:t>
            </w:r>
            <w:r>
              <w:rPr>
                <w:rFonts w:hint="eastAsia" w:ascii="Calibri" w:hAnsi="Calibri" w:eastAsia="仿宋_GB2312"/>
                <w:color w:val="000000"/>
                <w:kern w:val="0"/>
                <w:szCs w:val="21"/>
              </w:rPr>
              <w:t>，并出具相应的检验报告或证书</w:t>
            </w:r>
            <w:r>
              <w:rPr>
                <w:rStyle w:val="21"/>
                <w:rFonts w:hint="eastAsia" w:ascii="Calibri" w:eastAsia="仿宋_GB2312"/>
                <w:i w:val="0"/>
                <w:color w:val="000000"/>
                <w:u w:val="none"/>
              </w:rPr>
              <w:t>。</w:t>
            </w:r>
          </w:p>
          <w:p w14:paraId="4B10DFFA">
            <w:pPr>
              <w:widowControl/>
              <w:adjustRightInd w:val="0"/>
              <w:snapToGrid w:val="0"/>
              <w:rPr>
                <w:rStyle w:val="18"/>
                <w:rFonts w:ascii="Calibri" w:eastAsia="仿宋_GB2312"/>
                <w:bCs w:val="0"/>
                <w:i w:val="0"/>
                <w:color w:val="000000"/>
                <w:szCs w:val="21"/>
              </w:rPr>
            </w:pPr>
            <w:r>
              <w:rPr>
                <w:rStyle w:val="19"/>
                <w:rFonts w:hint="eastAsia" w:ascii="Calibri" w:eastAsia="仿宋_GB2312"/>
                <w:b/>
                <w:i w:val="0"/>
                <w:color w:val="000000"/>
              </w:rPr>
              <w:t>查看产品检验规程是否涵盖强制性标准以及经注册或者备案的产品技术要求</w:t>
            </w:r>
            <w:r>
              <w:rPr>
                <w:rFonts w:hint="eastAsia" w:ascii="Calibri" w:eastAsia="仿宋_GB2312"/>
                <w:b/>
                <w:iCs/>
                <w:color w:val="000000"/>
              </w:rPr>
              <w:t>的性能指标</w:t>
            </w:r>
            <w:r>
              <w:rPr>
                <w:rStyle w:val="19"/>
                <w:rFonts w:hint="eastAsia" w:ascii="Calibri" w:eastAsia="仿宋_GB2312"/>
                <w:b/>
                <w:i w:val="0"/>
                <w:color w:val="000000"/>
              </w:rPr>
              <w:t>；确认检验记录是否能够证实产品符合要求；查看是否根据检验规程及检验结果出具相应的检验报告或证书。</w:t>
            </w:r>
          </w:p>
        </w:tc>
      </w:tr>
      <w:tr w14:paraId="12A9729C">
        <w:tblPrEx>
          <w:tblCellMar>
            <w:top w:w="57" w:type="dxa"/>
            <w:left w:w="108" w:type="dxa"/>
            <w:bottom w:w="57" w:type="dxa"/>
            <w:right w:w="108" w:type="dxa"/>
          </w:tblCellMar>
        </w:tblPrEx>
        <w:trPr>
          <w:trHeight w:val="567" w:hRule="atLeast"/>
          <w:jc w:val="center"/>
        </w:trPr>
        <w:tc>
          <w:tcPr>
            <w:tcW w:w="498" w:type="dxa"/>
            <w:vMerge w:val="continue"/>
          </w:tcPr>
          <w:p w14:paraId="3B9C5BA5">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787489AD">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8.3.2</w:t>
            </w:r>
          </w:p>
        </w:tc>
        <w:tc>
          <w:tcPr>
            <w:tcW w:w="7134" w:type="dxa"/>
            <w:tcMar>
              <w:left w:w="57" w:type="dxa"/>
              <w:right w:w="57" w:type="dxa"/>
            </w:tcMar>
            <w:vAlign w:val="center"/>
          </w:tcPr>
          <w:p w14:paraId="29D2AFA7">
            <w:pPr>
              <w:widowControl/>
              <w:tabs>
                <w:tab w:val="left" w:pos="3285"/>
              </w:tabs>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r>
      <w:tr w14:paraId="1BDA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099E9574">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23D84142">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*8.4.1</w:t>
            </w:r>
          </w:p>
        </w:tc>
        <w:tc>
          <w:tcPr>
            <w:tcW w:w="7134" w:type="dxa"/>
            <w:tcMar>
              <w:left w:w="57" w:type="dxa"/>
              <w:right w:w="57" w:type="dxa"/>
            </w:tcMar>
            <w:vAlign w:val="center"/>
          </w:tcPr>
          <w:p w14:paraId="3A4C4AB5">
            <w:pPr>
              <w:widowControl/>
              <w:tabs>
                <w:tab w:val="left" w:pos="3285"/>
              </w:tabs>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每批（台）产品均应当有批检验记录，并满足可追溯要求。</w:t>
            </w:r>
          </w:p>
        </w:tc>
      </w:tr>
      <w:tr w14:paraId="65E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34A0397B">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01C9EE17">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8.4.2</w:t>
            </w:r>
          </w:p>
        </w:tc>
        <w:tc>
          <w:tcPr>
            <w:tcW w:w="7134" w:type="dxa"/>
            <w:tcMar>
              <w:left w:w="57" w:type="dxa"/>
              <w:right w:w="57" w:type="dxa"/>
            </w:tcMar>
            <w:vAlign w:val="center"/>
          </w:tcPr>
          <w:p w14:paraId="3ABFA9FE">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检验记录应当包括进货检验、过程检验和成品检验的检验记录、检验报告或证书等。</w:t>
            </w:r>
          </w:p>
        </w:tc>
      </w:tr>
      <w:tr w14:paraId="1A03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43396C73">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0D025D62">
            <w:pPr>
              <w:widowControl/>
              <w:adjustRightInd w:val="0"/>
              <w:snapToGrid w:val="0"/>
              <w:spacing w:line="360" w:lineRule="exact"/>
              <w:jc w:val="center"/>
              <w:rPr>
                <w:rFonts w:ascii="Calibri" w:hAnsi="Calibri" w:eastAsia="仿宋_GB2312"/>
                <w:color w:val="000000"/>
                <w:kern w:val="0"/>
                <w:szCs w:val="21"/>
                <w:highlight w:val="yellow"/>
              </w:rPr>
            </w:pPr>
            <w:r>
              <w:rPr>
                <w:rFonts w:ascii="Calibri" w:hAnsi="Calibri" w:eastAsia="仿宋_GB2312"/>
                <w:color w:val="000000"/>
                <w:kern w:val="0"/>
                <w:szCs w:val="21"/>
              </w:rPr>
              <w:t>*8.5.1</w:t>
            </w:r>
          </w:p>
        </w:tc>
        <w:tc>
          <w:tcPr>
            <w:tcW w:w="7134" w:type="dxa"/>
            <w:tcMar>
              <w:left w:w="57" w:type="dxa"/>
              <w:right w:w="57" w:type="dxa"/>
            </w:tcMar>
            <w:vAlign w:val="center"/>
          </w:tcPr>
          <w:p w14:paraId="2EC537C4">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应当规定产品放行程序、条件和放行批准要求。</w:t>
            </w:r>
          </w:p>
          <w:p w14:paraId="5EF938C3">
            <w:pPr>
              <w:widowControl/>
              <w:adjustRightInd w:val="0"/>
              <w:snapToGrid w:val="0"/>
              <w:rPr>
                <w:rFonts w:ascii="Calibri" w:hAnsi="Calibri" w:eastAsia="仿宋_GB2312"/>
                <w:b/>
                <w:color w:val="000000"/>
                <w:kern w:val="0"/>
                <w:szCs w:val="21"/>
                <w:highlight w:val="yellow"/>
              </w:rPr>
            </w:pPr>
            <w:r>
              <w:rPr>
                <w:rStyle w:val="19"/>
                <w:rFonts w:hint="eastAsia" w:ascii="Calibri" w:eastAsia="仿宋_GB2312"/>
                <w:b/>
                <w:i w:val="0"/>
                <w:color w:val="000000"/>
              </w:rPr>
              <w:t>查看产品放行程序，是否明确了放行的条件和放行批准的要求。应当规定有权放行产品人员及其职责权限，并应当保持批准的记录。</w:t>
            </w:r>
          </w:p>
        </w:tc>
      </w:tr>
      <w:tr w14:paraId="47ED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117397A0">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1A8C9498">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8.5.2</w:t>
            </w:r>
          </w:p>
        </w:tc>
        <w:tc>
          <w:tcPr>
            <w:tcW w:w="7134" w:type="dxa"/>
            <w:tcMar>
              <w:left w:w="57" w:type="dxa"/>
              <w:right w:w="57" w:type="dxa"/>
            </w:tcMar>
            <w:vAlign w:val="center"/>
          </w:tcPr>
          <w:p w14:paraId="1E2D38ED">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放行的产品应当附有合格证明。</w:t>
            </w:r>
          </w:p>
        </w:tc>
      </w:tr>
      <w:tr w14:paraId="0F83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0444570E">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4CCC6577">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8.6.1</w:t>
            </w:r>
          </w:p>
        </w:tc>
        <w:tc>
          <w:tcPr>
            <w:tcW w:w="7134" w:type="dxa"/>
            <w:tcMar>
              <w:left w:w="57" w:type="dxa"/>
              <w:right w:w="57" w:type="dxa"/>
            </w:tcMar>
            <w:vAlign w:val="center"/>
          </w:tcPr>
          <w:p w14:paraId="585D549B">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应当根据产品和工艺特点制定留样管理规定，按规定进行留样，并保持留样观察记录。</w:t>
            </w:r>
          </w:p>
        </w:tc>
      </w:tr>
      <w:tr w14:paraId="3826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14:paraId="466AFBBC">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销</w:t>
            </w:r>
          </w:p>
          <w:p w14:paraId="11483CEE">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售</w:t>
            </w:r>
          </w:p>
          <w:p w14:paraId="1B5643F0">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和售后</w:t>
            </w:r>
          </w:p>
          <w:p w14:paraId="577920FB">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服</w:t>
            </w:r>
          </w:p>
          <w:p w14:paraId="5CF3325F">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务</w:t>
            </w:r>
          </w:p>
          <w:p w14:paraId="78E043A5">
            <w:pPr>
              <w:adjustRightInd w:val="0"/>
              <w:snapToGrid w:val="0"/>
              <w:spacing w:line="360" w:lineRule="exact"/>
              <w:jc w:val="center"/>
              <w:rPr>
                <w:rFonts w:ascii="Calibri" w:hAnsi="Calibri" w:eastAsia="仿宋_GB2312"/>
                <w:b/>
                <w:color w:val="000000"/>
                <w:kern w:val="0"/>
                <w:sz w:val="28"/>
                <w:szCs w:val="28"/>
              </w:rPr>
            </w:pPr>
          </w:p>
        </w:tc>
        <w:tc>
          <w:tcPr>
            <w:tcW w:w="1224" w:type="dxa"/>
            <w:tcMar>
              <w:left w:w="57" w:type="dxa"/>
              <w:right w:w="57" w:type="dxa"/>
            </w:tcMar>
            <w:vAlign w:val="center"/>
          </w:tcPr>
          <w:p w14:paraId="4E9008AD">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*9.1.1</w:t>
            </w:r>
          </w:p>
        </w:tc>
        <w:tc>
          <w:tcPr>
            <w:tcW w:w="7134" w:type="dxa"/>
            <w:tcMar>
              <w:left w:w="57" w:type="dxa"/>
              <w:right w:w="57" w:type="dxa"/>
            </w:tcMar>
            <w:vAlign w:val="center"/>
          </w:tcPr>
          <w:p w14:paraId="06A9B8E1">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w:t>
            </w:r>
            <w:r>
              <w:rPr>
                <w:rFonts w:hint="eastAsia" w:ascii="Calibri" w:hAnsi="Calibri" w:eastAsia="仿宋_GB2312"/>
                <w:color w:val="FF0000"/>
                <w:kern w:val="0"/>
                <w:szCs w:val="21"/>
              </w:rPr>
              <w:t>产品销售记录</w:t>
            </w:r>
            <w:r>
              <w:rPr>
                <w:rFonts w:hint="eastAsia" w:ascii="Calibri" w:hAnsi="Calibri" w:eastAsia="仿宋_GB2312"/>
                <w:color w:val="000000"/>
                <w:kern w:val="0"/>
                <w:szCs w:val="21"/>
              </w:rPr>
              <w:t>，并满足可追溯要求。</w:t>
            </w:r>
          </w:p>
        </w:tc>
      </w:tr>
      <w:tr w14:paraId="06AF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vAlign w:val="center"/>
          </w:tcPr>
          <w:p w14:paraId="31BEE631">
            <w:pPr>
              <w:widowControl/>
              <w:adjustRightInd w:val="0"/>
              <w:snapToGrid w:val="0"/>
              <w:spacing w:line="360" w:lineRule="exact"/>
              <w:jc w:val="center"/>
              <w:rPr>
                <w:rFonts w:ascii="Calibri" w:hAnsi="Calibri" w:eastAsia="仿宋_GB2312"/>
                <w:b/>
                <w:color w:val="000000"/>
                <w:kern w:val="0"/>
                <w:sz w:val="28"/>
                <w:szCs w:val="28"/>
              </w:rPr>
            </w:pPr>
          </w:p>
        </w:tc>
        <w:tc>
          <w:tcPr>
            <w:tcW w:w="1224" w:type="dxa"/>
            <w:tcMar>
              <w:left w:w="57" w:type="dxa"/>
              <w:right w:w="57" w:type="dxa"/>
            </w:tcMar>
            <w:vAlign w:val="center"/>
          </w:tcPr>
          <w:p w14:paraId="0391C09E">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9.1.2</w:t>
            </w:r>
          </w:p>
        </w:tc>
        <w:tc>
          <w:tcPr>
            <w:tcW w:w="7134" w:type="dxa"/>
            <w:tcMar>
              <w:left w:w="57" w:type="dxa"/>
              <w:right w:w="57" w:type="dxa"/>
            </w:tcMar>
            <w:vAlign w:val="center"/>
          </w:tcPr>
          <w:p w14:paraId="09972693">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销售记录至少应当包括：</w:t>
            </w:r>
            <w:r>
              <w:rPr>
                <w:rFonts w:hint="eastAsia" w:ascii="Calibri" w:hAnsi="Calibri" w:eastAsia="仿宋_GB2312"/>
                <w:color w:val="FF0000"/>
                <w:kern w:val="0"/>
                <w:szCs w:val="21"/>
              </w:rPr>
              <w:t>医疗器械名称、规格、型号、数量、生产批号、有效期、销售日期、购货单位名称、地址、联系方式</w:t>
            </w:r>
            <w:r>
              <w:rPr>
                <w:rFonts w:hint="eastAsia" w:ascii="Calibri" w:hAnsi="Calibri" w:eastAsia="仿宋_GB2312"/>
                <w:color w:val="000000"/>
                <w:kern w:val="0"/>
                <w:szCs w:val="21"/>
              </w:rPr>
              <w:t>等内容。</w:t>
            </w:r>
          </w:p>
        </w:tc>
      </w:tr>
      <w:tr w14:paraId="7105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14CA2C71">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2B17AF63">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9.2.1</w:t>
            </w:r>
          </w:p>
        </w:tc>
        <w:tc>
          <w:tcPr>
            <w:tcW w:w="7134" w:type="dxa"/>
            <w:tcMar>
              <w:left w:w="57" w:type="dxa"/>
              <w:right w:w="57" w:type="dxa"/>
            </w:tcMar>
            <w:vAlign w:val="center"/>
          </w:tcPr>
          <w:p w14:paraId="46B0359E">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直接销售自产产品或者选择医疗器械经营企业，应当符合医疗器械相关法规和规范要求。</w:t>
            </w:r>
          </w:p>
        </w:tc>
      </w:tr>
      <w:tr w14:paraId="1D95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04D449DD">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5F225603">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9.2.2</w:t>
            </w:r>
          </w:p>
        </w:tc>
        <w:tc>
          <w:tcPr>
            <w:tcW w:w="7134" w:type="dxa"/>
            <w:tcMar>
              <w:left w:w="57" w:type="dxa"/>
              <w:right w:w="57" w:type="dxa"/>
            </w:tcMar>
            <w:vAlign w:val="center"/>
          </w:tcPr>
          <w:p w14:paraId="434A89CE">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发现医疗器械经营企业存在违法违规经营行为时，应当及时向当地食品药品监督管理部门报告。</w:t>
            </w:r>
          </w:p>
        </w:tc>
      </w:tr>
      <w:tr w14:paraId="052B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92" w:hRule="atLeast"/>
          <w:jc w:val="center"/>
        </w:trPr>
        <w:tc>
          <w:tcPr>
            <w:tcW w:w="498" w:type="dxa"/>
            <w:vMerge w:val="continue"/>
          </w:tcPr>
          <w:p w14:paraId="0B5F2362">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5BDD2F35">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9.3.1</w:t>
            </w:r>
          </w:p>
        </w:tc>
        <w:tc>
          <w:tcPr>
            <w:tcW w:w="7134" w:type="dxa"/>
            <w:tcMar>
              <w:left w:w="57" w:type="dxa"/>
              <w:right w:w="57" w:type="dxa"/>
            </w:tcMar>
            <w:vAlign w:val="center"/>
          </w:tcPr>
          <w:p w14:paraId="4F68DE78">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应当具备与所生产产品相适应的售后服务能力，建立健全</w:t>
            </w:r>
            <w:r>
              <w:rPr>
                <w:rFonts w:hint="eastAsia" w:ascii="Calibri" w:hAnsi="Calibri" w:eastAsia="仿宋_GB2312"/>
                <w:color w:val="FF0000"/>
                <w:kern w:val="0"/>
                <w:szCs w:val="21"/>
              </w:rPr>
              <w:t>售后服务制度</w:t>
            </w:r>
            <w:r>
              <w:rPr>
                <w:rFonts w:hint="eastAsia" w:ascii="Calibri" w:hAnsi="Calibri" w:eastAsia="仿宋_GB2312"/>
                <w:color w:val="000000"/>
                <w:kern w:val="0"/>
                <w:szCs w:val="21"/>
              </w:rPr>
              <w:t>。</w:t>
            </w:r>
          </w:p>
        </w:tc>
      </w:tr>
      <w:tr w14:paraId="5ADD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8" w:hRule="atLeast"/>
          <w:jc w:val="center"/>
        </w:trPr>
        <w:tc>
          <w:tcPr>
            <w:tcW w:w="498" w:type="dxa"/>
            <w:vMerge w:val="continue"/>
          </w:tcPr>
          <w:p w14:paraId="6E6AB72B">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0F01E316">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9.3.2</w:t>
            </w:r>
          </w:p>
        </w:tc>
        <w:tc>
          <w:tcPr>
            <w:tcW w:w="7134" w:type="dxa"/>
            <w:tcMar>
              <w:left w:w="57" w:type="dxa"/>
              <w:right w:w="57" w:type="dxa"/>
            </w:tcMar>
            <w:vAlign w:val="center"/>
          </w:tcPr>
          <w:p w14:paraId="56717D36">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应当规定售后服务要求并建立</w:t>
            </w:r>
            <w:r>
              <w:rPr>
                <w:rFonts w:hint="eastAsia" w:ascii="Calibri" w:hAnsi="Calibri" w:eastAsia="仿宋_GB2312"/>
                <w:color w:val="FF0000"/>
                <w:kern w:val="0"/>
                <w:szCs w:val="21"/>
              </w:rPr>
              <w:t>售后服务记录</w:t>
            </w:r>
            <w:r>
              <w:rPr>
                <w:rFonts w:hint="eastAsia" w:ascii="Calibri" w:hAnsi="Calibri" w:eastAsia="仿宋_GB2312"/>
                <w:color w:val="000000"/>
                <w:kern w:val="0"/>
                <w:szCs w:val="21"/>
              </w:rPr>
              <w:t>，并满足可追溯的要求。</w:t>
            </w:r>
          </w:p>
        </w:tc>
      </w:tr>
      <w:tr w14:paraId="28F0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79AA6340">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18AE7E32">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9.4.1</w:t>
            </w:r>
          </w:p>
        </w:tc>
        <w:tc>
          <w:tcPr>
            <w:tcW w:w="7134" w:type="dxa"/>
            <w:tcMar>
              <w:left w:w="57" w:type="dxa"/>
              <w:right w:w="57" w:type="dxa"/>
            </w:tcMar>
            <w:vAlign w:val="center"/>
          </w:tcPr>
          <w:p w14:paraId="792C0606">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需要由企业安装的医疗器械，应当确定安装要求和安装验证的接收标准，建立安装和验收记录。</w:t>
            </w:r>
          </w:p>
        </w:tc>
      </w:tr>
      <w:tr w14:paraId="1DAF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1B597BCD">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52EF187A">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9.4.2</w:t>
            </w:r>
          </w:p>
        </w:tc>
        <w:tc>
          <w:tcPr>
            <w:tcW w:w="7134" w:type="dxa"/>
            <w:tcMar>
              <w:left w:w="57" w:type="dxa"/>
              <w:right w:w="57" w:type="dxa"/>
            </w:tcMar>
            <w:vAlign w:val="center"/>
          </w:tcPr>
          <w:p w14:paraId="398AD238">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由使用单位或其他企业进行安装、维修的，应当提供安装要求、标准和维修零部件、资料、密码等，并进行指导。</w:t>
            </w:r>
          </w:p>
        </w:tc>
      </w:tr>
      <w:tr w14:paraId="04E5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6F5943A7">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4E8550E8">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9.5.1</w:t>
            </w:r>
          </w:p>
        </w:tc>
        <w:tc>
          <w:tcPr>
            <w:tcW w:w="7134" w:type="dxa"/>
            <w:tcMar>
              <w:left w:w="57" w:type="dxa"/>
              <w:right w:w="57" w:type="dxa"/>
            </w:tcMar>
            <w:vAlign w:val="center"/>
          </w:tcPr>
          <w:p w14:paraId="6B7DBC34">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应当建立顾客反馈处理程序，对顾客反馈信息进行跟踪分析。</w:t>
            </w:r>
          </w:p>
          <w:p w14:paraId="51AA149F">
            <w:pPr>
              <w:widowControl/>
              <w:adjustRightInd w:val="0"/>
              <w:snapToGrid w:val="0"/>
              <w:rPr>
                <w:rFonts w:ascii="Calibri" w:hAnsi="Calibri" w:eastAsia="仿宋_GB2312"/>
                <w:b/>
                <w:color w:val="000000"/>
                <w:kern w:val="0"/>
                <w:szCs w:val="21"/>
              </w:rPr>
            </w:pPr>
            <w:r>
              <w:rPr>
                <w:rStyle w:val="19"/>
                <w:rFonts w:hint="eastAsia" w:ascii="Calibri" w:eastAsia="仿宋_GB2312"/>
                <w:b/>
                <w:i w:val="0"/>
                <w:color w:val="000000"/>
              </w:rPr>
              <w:t>查看程序文件是否对上述活动的实施作出了规定，并对顾客反馈信息进行了跟踪和分析。</w:t>
            </w:r>
          </w:p>
        </w:tc>
      </w:tr>
      <w:tr w14:paraId="4805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14:paraId="03478012">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不</w:t>
            </w:r>
          </w:p>
          <w:p w14:paraId="6908EC28">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合</w:t>
            </w:r>
          </w:p>
          <w:p w14:paraId="1658AE87">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格</w:t>
            </w:r>
          </w:p>
          <w:p w14:paraId="632C1C0D">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品</w:t>
            </w:r>
          </w:p>
          <w:p w14:paraId="2E3D029A">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控</w:t>
            </w:r>
          </w:p>
          <w:p w14:paraId="7599ACA7">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制</w:t>
            </w:r>
          </w:p>
          <w:p w14:paraId="2381734A">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383091A9">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10.1.1</w:t>
            </w:r>
          </w:p>
        </w:tc>
        <w:tc>
          <w:tcPr>
            <w:tcW w:w="7134" w:type="dxa"/>
            <w:tcMar>
              <w:left w:w="57" w:type="dxa"/>
              <w:right w:w="57" w:type="dxa"/>
            </w:tcMar>
            <w:vAlign w:val="center"/>
          </w:tcPr>
          <w:p w14:paraId="3A50C794">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应当建立不合格品控制程序，规定</w:t>
            </w:r>
            <w:r>
              <w:rPr>
                <w:rFonts w:hint="eastAsia" w:ascii="Calibri" w:hAnsi="Calibri" w:eastAsia="仿宋_GB2312"/>
                <w:color w:val="FF0000"/>
                <w:kern w:val="0"/>
                <w:szCs w:val="21"/>
              </w:rPr>
              <w:t>不合格品控制的部门和人员的职责与权限</w:t>
            </w:r>
            <w:r>
              <w:rPr>
                <w:rFonts w:hint="eastAsia" w:ascii="Calibri" w:hAnsi="Calibri" w:eastAsia="仿宋_GB2312"/>
                <w:color w:val="000000"/>
                <w:kern w:val="0"/>
                <w:szCs w:val="21"/>
              </w:rPr>
              <w:t>。</w:t>
            </w:r>
          </w:p>
        </w:tc>
      </w:tr>
      <w:tr w14:paraId="0906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0CB53336">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1E7A5C49">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*10.2.1</w:t>
            </w:r>
          </w:p>
        </w:tc>
        <w:tc>
          <w:tcPr>
            <w:tcW w:w="7134" w:type="dxa"/>
            <w:tcMar>
              <w:left w:w="57" w:type="dxa"/>
              <w:right w:w="57" w:type="dxa"/>
            </w:tcMar>
            <w:vAlign w:val="center"/>
          </w:tcPr>
          <w:p w14:paraId="573322CD">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应当对不合格品进行标识、记录、隔离、评审，根据评审结果，应当对不合格品采取相应的处置措施。</w:t>
            </w:r>
          </w:p>
          <w:p w14:paraId="5FCAFAD9">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现场查看不合格品的标识、隔离是否符合程序文件的规定，抽查不合格品处理记录，是否按文件的规定进行评审。</w:t>
            </w:r>
          </w:p>
        </w:tc>
      </w:tr>
      <w:tr w14:paraId="5DA2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4DAB6679">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43872080">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10.3.1</w:t>
            </w:r>
          </w:p>
        </w:tc>
        <w:tc>
          <w:tcPr>
            <w:tcW w:w="7134" w:type="dxa"/>
            <w:tcMar>
              <w:left w:w="57" w:type="dxa"/>
              <w:right w:w="57" w:type="dxa"/>
            </w:tcMar>
            <w:vAlign w:val="center"/>
          </w:tcPr>
          <w:p w14:paraId="31F6A199">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在产品销售后发现产品不合格时，应及时采取相应措施，如召回、销毁等措施。现场查看在产品销售后发现不合格时的处置措施，是否召回和销毁等。</w:t>
            </w:r>
          </w:p>
        </w:tc>
      </w:tr>
      <w:tr w14:paraId="7997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31EEBA06">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2E634B0D">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10.4.1</w:t>
            </w:r>
          </w:p>
        </w:tc>
        <w:tc>
          <w:tcPr>
            <w:tcW w:w="7134" w:type="dxa"/>
            <w:tcMar>
              <w:left w:w="57" w:type="dxa"/>
              <w:right w:w="57" w:type="dxa"/>
            </w:tcMar>
            <w:vAlign w:val="center"/>
          </w:tcPr>
          <w:p w14:paraId="32430784">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不合格品可以返工的，企业应当编制</w:t>
            </w:r>
            <w:r>
              <w:rPr>
                <w:rFonts w:hint="eastAsia" w:ascii="Calibri" w:hAnsi="Calibri" w:eastAsia="仿宋_GB2312"/>
                <w:color w:val="FF0000"/>
                <w:kern w:val="0"/>
                <w:szCs w:val="21"/>
              </w:rPr>
              <w:t>返工控制文件</w:t>
            </w:r>
            <w:r>
              <w:rPr>
                <w:rFonts w:hint="eastAsia" w:ascii="Calibri" w:hAnsi="Calibri" w:eastAsia="仿宋_GB2312"/>
                <w:color w:val="000000"/>
                <w:kern w:val="0"/>
                <w:szCs w:val="21"/>
              </w:rPr>
              <w:t>。返工控制文件应当包括作业指导书、重新检验和重新验证等内容。</w:t>
            </w:r>
          </w:p>
          <w:p w14:paraId="50842BF8">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查看返工控制文件，是否对可以返工的不合格品作出规定；抽查返工活动记录，确认是否符合返工控制文件的要求。</w:t>
            </w:r>
          </w:p>
        </w:tc>
      </w:tr>
      <w:tr w14:paraId="35C0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481C0A77">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76CA417B">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10.4.2</w:t>
            </w:r>
          </w:p>
        </w:tc>
        <w:tc>
          <w:tcPr>
            <w:tcW w:w="7134" w:type="dxa"/>
            <w:tcMar>
              <w:left w:w="57" w:type="dxa"/>
              <w:right w:w="57" w:type="dxa"/>
            </w:tcMar>
            <w:vAlign w:val="center"/>
          </w:tcPr>
          <w:p w14:paraId="483F0C1C">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不能返工的，应当建立相关处置制度。</w:t>
            </w:r>
          </w:p>
        </w:tc>
      </w:tr>
      <w:tr w14:paraId="0A63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restart"/>
            <w:vAlign w:val="center"/>
          </w:tcPr>
          <w:p w14:paraId="33517685">
            <w:pPr>
              <w:widowControl/>
              <w:adjustRightInd w:val="0"/>
              <w:snapToGrid w:val="0"/>
              <w:spacing w:line="360" w:lineRule="exact"/>
              <w:jc w:val="center"/>
              <w:rPr>
                <w:rFonts w:ascii="Calibri" w:hAnsi="Calibri" w:eastAsia="仿宋_GB2312"/>
                <w:b/>
                <w:color w:val="000000"/>
                <w:kern w:val="0"/>
                <w:sz w:val="28"/>
                <w:szCs w:val="28"/>
              </w:rPr>
            </w:pPr>
          </w:p>
          <w:p w14:paraId="573C936C">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不良事件监测</w:t>
            </w:r>
          </w:p>
          <w:p w14:paraId="49F07E89">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w:t>
            </w:r>
          </w:p>
          <w:p w14:paraId="2A33219E">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分</w:t>
            </w:r>
          </w:p>
          <w:p w14:paraId="069D67B2">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析</w:t>
            </w:r>
          </w:p>
          <w:p w14:paraId="5F9FBB1B">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和</w:t>
            </w:r>
          </w:p>
          <w:p w14:paraId="0DD9D16E">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改</w:t>
            </w:r>
          </w:p>
          <w:p w14:paraId="78441B89">
            <w:pPr>
              <w:widowControl/>
              <w:adjustRightInd w:val="0"/>
              <w:snapToGrid w:val="0"/>
              <w:spacing w:line="360" w:lineRule="exact"/>
              <w:jc w:val="center"/>
              <w:rPr>
                <w:rFonts w:ascii="Calibri" w:hAnsi="Calibri" w:eastAsia="仿宋_GB2312"/>
                <w:color w:val="000000"/>
                <w:kern w:val="0"/>
                <w:szCs w:val="21"/>
              </w:rPr>
            </w:pPr>
            <w:r>
              <w:rPr>
                <w:rFonts w:hint="eastAsia" w:ascii="Calibri" w:hAnsi="Calibri" w:eastAsia="仿宋_GB2312"/>
                <w:b/>
                <w:color w:val="000000"/>
                <w:kern w:val="0"/>
                <w:sz w:val="28"/>
                <w:szCs w:val="28"/>
              </w:rPr>
              <w:t>进</w:t>
            </w:r>
          </w:p>
        </w:tc>
        <w:tc>
          <w:tcPr>
            <w:tcW w:w="1224" w:type="dxa"/>
            <w:tcMar>
              <w:left w:w="57" w:type="dxa"/>
              <w:right w:w="57" w:type="dxa"/>
            </w:tcMar>
            <w:vAlign w:val="center"/>
          </w:tcPr>
          <w:p w14:paraId="67E147E9">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11.1.1</w:t>
            </w:r>
          </w:p>
        </w:tc>
        <w:tc>
          <w:tcPr>
            <w:tcW w:w="7134" w:type="dxa"/>
            <w:tcMar>
              <w:left w:w="57" w:type="dxa"/>
              <w:right w:w="57" w:type="dxa"/>
            </w:tcMar>
            <w:vAlign w:val="center"/>
          </w:tcPr>
          <w:p w14:paraId="48909A46">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应当指定相关部门负责接收、调查、评价和处理顾客投诉，并保持相关记录。</w:t>
            </w:r>
          </w:p>
          <w:p w14:paraId="6E7B4718">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查看有关职责权限的文件，确定是否对上述活动作出规定。</w:t>
            </w:r>
          </w:p>
        </w:tc>
      </w:tr>
      <w:tr w14:paraId="4385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1F3A064C">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10105BF1">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*11.2.1</w:t>
            </w:r>
          </w:p>
        </w:tc>
        <w:tc>
          <w:tcPr>
            <w:tcW w:w="7134" w:type="dxa"/>
            <w:tcMar>
              <w:left w:w="57" w:type="dxa"/>
              <w:right w:w="57" w:type="dxa"/>
            </w:tcMar>
            <w:vAlign w:val="center"/>
          </w:tcPr>
          <w:p w14:paraId="5EA3E738">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应当按照有关法规要求建立医疗器械不良事件监测制度，开展不良事件监测和再评价工作，保持相关记录。</w:t>
            </w:r>
          </w:p>
          <w:p w14:paraId="50EA31CC">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查看企业建立的不良事件的监测制度，是否</w:t>
            </w:r>
            <w:r>
              <w:rPr>
                <w:rFonts w:hint="eastAsia" w:ascii="Calibri" w:hAnsi="Calibri" w:eastAsia="仿宋_GB2312"/>
                <w:b/>
                <w:color w:val="000000"/>
                <w:kern w:val="0"/>
                <w:szCs w:val="21"/>
              </w:rPr>
              <w:t>规定了可疑不良事件管理人员的职责、报告原则、上报程序、上报时限，制定了启动实施医疗器械再评价的程序和文件等，并符合法规要求。</w:t>
            </w:r>
            <w:r>
              <w:rPr>
                <w:rStyle w:val="19"/>
                <w:rFonts w:hint="eastAsia" w:ascii="Calibri" w:eastAsia="仿宋_GB2312"/>
                <w:b/>
                <w:i w:val="0"/>
                <w:color w:val="000000"/>
              </w:rPr>
              <w:t>查看相关记录，确认是否存在不良事件，并按规定要求实施。</w:t>
            </w:r>
          </w:p>
        </w:tc>
      </w:tr>
      <w:tr w14:paraId="662D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6CC92733">
            <w:pPr>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7BF1C8D5">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11.3.1</w:t>
            </w:r>
          </w:p>
        </w:tc>
        <w:tc>
          <w:tcPr>
            <w:tcW w:w="7134" w:type="dxa"/>
            <w:tcMar>
              <w:left w:w="57" w:type="dxa"/>
              <w:right w:w="57" w:type="dxa"/>
            </w:tcMar>
            <w:vAlign w:val="center"/>
          </w:tcPr>
          <w:p w14:paraId="05B29695">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应当建立数据分析程序，收集分析与产品质量、不良事件、顾客反馈和质量管理体系运行有关的数据，验证产品安全性和有效性，并保持相关记录。</w:t>
            </w:r>
          </w:p>
          <w:p w14:paraId="2F4787B4">
            <w:pPr>
              <w:widowControl/>
              <w:adjustRightInd w:val="0"/>
              <w:snapToGrid w:val="0"/>
              <w:rPr>
                <w:rFonts w:ascii="Calibri" w:hAnsi="Calibri" w:eastAsia="仿宋_GB2312"/>
                <w:b/>
                <w:color w:val="000000"/>
                <w:kern w:val="0"/>
                <w:szCs w:val="21"/>
              </w:rPr>
            </w:pPr>
            <w:r>
              <w:rPr>
                <w:rStyle w:val="19"/>
                <w:rFonts w:hint="eastAsia" w:ascii="Calibri" w:eastAsia="仿宋_GB2312"/>
                <w:b/>
                <w:i w:val="0"/>
                <w:color w:val="000000"/>
              </w:rPr>
              <w:t>查看数据分析的实施记录，是否按程序规定进行，是否应用了统计技术并保留了数据分析结果的记录。</w:t>
            </w:r>
          </w:p>
        </w:tc>
      </w:tr>
      <w:tr w14:paraId="3E39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07F87784">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620DB54E">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11.4.1</w:t>
            </w:r>
          </w:p>
        </w:tc>
        <w:tc>
          <w:tcPr>
            <w:tcW w:w="7134" w:type="dxa"/>
            <w:tcMar>
              <w:left w:w="57" w:type="dxa"/>
              <w:right w:w="57" w:type="dxa"/>
            </w:tcMar>
            <w:vAlign w:val="center"/>
          </w:tcPr>
          <w:p w14:paraId="42F14D93">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应当建立纠正措施程序，确定产生问题的原因，采取有效措施，防止相关问题再次发生。</w:t>
            </w:r>
          </w:p>
        </w:tc>
      </w:tr>
      <w:tr w14:paraId="1C51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4A2908B5">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233FE1F8">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11.4.2</w:t>
            </w:r>
          </w:p>
        </w:tc>
        <w:tc>
          <w:tcPr>
            <w:tcW w:w="7134" w:type="dxa"/>
            <w:tcMar>
              <w:left w:w="57" w:type="dxa"/>
              <w:right w:w="57" w:type="dxa"/>
            </w:tcMar>
            <w:vAlign w:val="center"/>
          </w:tcPr>
          <w:p w14:paraId="64CCB53E">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应当建立预防措施程序，确定潜在问题的原因，采取有效措施，防止问题发生。</w:t>
            </w:r>
          </w:p>
        </w:tc>
      </w:tr>
      <w:tr w14:paraId="3FBB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0F70F496">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7B63D8A2">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*11.5.1</w:t>
            </w:r>
          </w:p>
        </w:tc>
        <w:tc>
          <w:tcPr>
            <w:tcW w:w="7134" w:type="dxa"/>
            <w:tcMar>
              <w:left w:w="57" w:type="dxa"/>
              <w:right w:w="57" w:type="dxa"/>
            </w:tcMar>
            <w:vAlign w:val="center"/>
          </w:tcPr>
          <w:p w14:paraId="407ABD42">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对存在安全隐患的医疗器械，应当按照有关法规要求采取召回等措施，并按规定向有关部门报告。</w:t>
            </w:r>
          </w:p>
        </w:tc>
      </w:tr>
      <w:tr w14:paraId="59DB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101CD75D">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3D7ECBE6">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11.6.1</w:t>
            </w:r>
          </w:p>
        </w:tc>
        <w:tc>
          <w:tcPr>
            <w:tcW w:w="7134" w:type="dxa"/>
            <w:tcMar>
              <w:left w:w="57" w:type="dxa"/>
              <w:right w:w="57" w:type="dxa"/>
            </w:tcMar>
            <w:vAlign w:val="center"/>
          </w:tcPr>
          <w:p w14:paraId="44610A79">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应当建立产品信息告知程序，及时将产品变动、使用等补充信息通知使用单位、相关企业或消费者。</w:t>
            </w:r>
          </w:p>
        </w:tc>
      </w:tr>
      <w:tr w14:paraId="3BB1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5BC54FD0">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3B93B58E">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11.7.1</w:t>
            </w:r>
          </w:p>
        </w:tc>
        <w:tc>
          <w:tcPr>
            <w:tcW w:w="7134" w:type="dxa"/>
            <w:tcMar>
              <w:left w:w="57" w:type="dxa"/>
              <w:right w:w="57" w:type="dxa"/>
            </w:tcMar>
            <w:vAlign w:val="center"/>
          </w:tcPr>
          <w:p w14:paraId="2CA8DE01">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应当建立质量管理体系内部审核程序，规定审核的准则、范围、频次、参加人员、方法、记录要求、纠正预防措施有效性的评定等内容，以确保质量管理体系符合本规范的要求。</w:t>
            </w:r>
          </w:p>
          <w:p w14:paraId="6559A8E6">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查看内部审核程序是否包括了上述内容。查看内审资料，实施内审的人员是否经过培训，内审的记录是否符合要求，针对内审发现的问题是否采取了纠正措施，是否有效。</w:t>
            </w:r>
          </w:p>
        </w:tc>
      </w:tr>
      <w:tr w14:paraId="008D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498" w:type="dxa"/>
            <w:vMerge w:val="continue"/>
          </w:tcPr>
          <w:p w14:paraId="1F9F53C5">
            <w:pPr>
              <w:widowControl/>
              <w:adjustRightInd w:val="0"/>
              <w:snapToGrid w:val="0"/>
              <w:spacing w:line="360" w:lineRule="exact"/>
              <w:jc w:val="center"/>
              <w:rPr>
                <w:rFonts w:ascii="Calibri" w:hAnsi="Calibri" w:eastAsia="仿宋_GB2312"/>
                <w:color w:val="000000"/>
                <w:kern w:val="0"/>
                <w:szCs w:val="21"/>
              </w:rPr>
            </w:pPr>
          </w:p>
        </w:tc>
        <w:tc>
          <w:tcPr>
            <w:tcW w:w="1224" w:type="dxa"/>
            <w:tcMar>
              <w:left w:w="57" w:type="dxa"/>
              <w:right w:w="57" w:type="dxa"/>
            </w:tcMar>
            <w:vAlign w:val="center"/>
          </w:tcPr>
          <w:p w14:paraId="3E5D61EA">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*11.8.1</w:t>
            </w:r>
          </w:p>
        </w:tc>
        <w:tc>
          <w:tcPr>
            <w:tcW w:w="7134" w:type="dxa"/>
            <w:tcMar>
              <w:left w:w="57" w:type="dxa"/>
              <w:right w:w="57" w:type="dxa"/>
            </w:tcMar>
            <w:vAlign w:val="center"/>
          </w:tcPr>
          <w:p w14:paraId="1F823470">
            <w:pPr>
              <w:widowControl/>
              <w:adjustRightInd w:val="0"/>
              <w:snapToGrid w:val="0"/>
              <w:rPr>
                <w:rFonts w:ascii="Calibri" w:hAnsi="Calibri" w:eastAsia="仿宋_GB2312"/>
                <w:iCs/>
                <w:color w:val="000000"/>
                <w:kern w:val="0"/>
                <w:szCs w:val="21"/>
              </w:rPr>
            </w:pPr>
            <w:r>
              <w:rPr>
                <w:rFonts w:hint="eastAsia" w:ascii="Calibri" w:hAnsi="Calibri" w:eastAsia="仿宋_GB2312"/>
                <w:color w:val="000000"/>
                <w:kern w:val="0"/>
                <w:szCs w:val="21"/>
              </w:rPr>
              <w:t>应当定期开展管理评审，对质量管理体系进行评价和审核，以确保其</w:t>
            </w:r>
            <w:r>
              <w:rPr>
                <w:rFonts w:hint="eastAsia" w:ascii="Calibri" w:hAnsi="Calibri" w:eastAsia="仿宋_GB2312"/>
                <w:iCs/>
                <w:color w:val="000000"/>
                <w:kern w:val="0"/>
                <w:szCs w:val="21"/>
              </w:rPr>
              <w:t>持续的适宜性、充分性和有效性。</w:t>
            </w:r>
          </w:p>
          <w:p w14:paraId="61226BC7">
            <w:pPr>
              <w:widowControl/>
              <w:adjustRightInd w:val="0"/>
              <w:snapToGrid w:val="0"/>
              <w:rPr>
                <w:rFonts w:ascii="Calibri" w:eastAsia="仿宋_GB2312"/>
                <w:b/>
                <w:color w:val="000000"/>
                <w:sz w:val="30"/>
                <w:szCs w:val="30"/>
              </w:rPr>
            </w:pPr>
            <w:r>
              <w:rPr>
                <w:rStyle w:val="19"/>
                <w:rFonts w:hint="eastAsia" w:ascii="Calibri" w:eastAsia="仿宋_GB2312"/>
                <w:b/>
                <w:i w:val="0"/>
                <w:color w:val="000000"/>
              </w:rPr>
              <w:t>查看</w:t>
            </w:r>
            <w:r>
              <w:rPr>
                <w:rFonts w:hint="eastAsia" w:ascii="Calibri" w:hAnsi="Calibri" w:eastAsia="仿宋_GB2312"/>
                <w:b/>
                <w:color w:val="000000"/>
                <w:kern w:val="0"/>
                <w:szCs w:val="21"/>
              </w:rPr>
              <w:t>管理评审文件和记录，应包括管理评审计划、管理评审报告以及相关改进措施，管理评审报告中是否包括了对法规符合性的评价。</w:t>
            </w:r>
            <w:r>
              <w:rPr>
                <w:rStyle w:val="19"/>
                <w:rFonts w:hint="eastAsia" w:ascii="Calibri" w:eastAsia="仿宋_GB2312"/>
                <w:b/>
                <w:i w:val="0"/>
                <w:color w:val="000000"/>
              </w:rPr>
              <w:t>是否在规定时间内进行了管理评审，是否提出了改进措施并落实具体职责和要求，是否按计划实施。</w:t>
            </w:r>
          </w:p>
        </w:tc>
      </w:tr>
    </w:tbl>
    <w:p w14:paraId="50C92CE7">
      <w:pPr>
        <w:spacing w:line="360" w:lineRule="auto"/>
        <w:jc w:val="left"/>
        <w:rPr>
          <w:rFonts w:ascii="仿宋_GB2312" w:eastAsia="仿宋_GB2312"/>
          <w:color w:val="000000"/>
          <w:sz w:val="28"/>
          <w:szCs w:val="28"/>
        </w:rPr>
      </w:pPr>
    </w:p>
    <w:p w14:paraId="50CC7BDA">
      <w:pPr>
        <w:spacing w:line="360" w:lineRule="auto"/>
        <w:ind w:firstLine="560" w:firstLineChars="200"/>
        <w:rPr>
          <w:rFonts w:ascii="黑体" w:hAnsi="黑体" w:eastAsia="黑体"/>
          <w:color w:val="000000"/>
          <w:sz w:val="28"/>
          <w:szCs w:val="28"/>
        </w:rPr>
      </w:pPr>
      <w:r>
        <w:rPr>
          <w:rFonts w:hint="eastAsia" w:ascii="黑体" w:hAnsi="黑体" w:eastAsia="黑体"/>
          <w:color w:val="000000"/>
          <w:sz w:val="28"/>
          <w:szCs w:val="28"/>
        </w:rPr>
        <w:t>注解：</w:t>
      </w:r>
    </w:p>
    <w:p w14:paraId="4FB828A5">
      <w:pPr>
        <w:spacing w:line="360" w:lineRule="auto"/>
        <w:ind w:firstLine="560" w:firstLineChars="200"/>
        <w:rPr>
          <w:rFonts w:ascii="Calibri" w:eastAsia="仿宋_GB2312"/>
          <w:color w:val="000000"/>
          <w:sz w:val="28"/>
          <w:szCs w:val="28"/>
        </w:rPr>
      </w:pPr>
      <w:r>
        <w:rPr>
          <w:rFonts w:hint="eastAsia" w:ascii="Calibri" w:eastAsia="仿宋_GB2312"/>
          <w:color w:val="000000"/>
          <w:sz w:val="28"/>
          <w:szCs w:val="28"/>
        </w:rPr>
        <w:t>本指导原则条款编号的编排方式为：</w:t>
      </w:r>
      <w:r>
        <w:rPr>
          <w:rFonts w:ascii="Calibri" w:eastAsia="仿宋_GB2312"/>
          <w:color w:val="000000"/>
          <w:sz w:val="28"/>
          <w:szCs w:val="28"/>
        </w:rPr>
        <w:t>X</w:t>
      </w:r>
      <w:r>
        <w:rPr>
          <w:rFonts w:ascii="Calibri" w:eastAsia="仿宋_GB2312"/>
          <w:color w:val="000000"/>
          <w:sz w:val="28"/>
          <w:szCs w:val="28"/>
          <w:vertAlign w:val="subscript"/>
        </w:rPr>
        <w:t>1</w:t>
      </w:r>
      <w:r>
        <w:rPr>
          <w:rFonts w:hint="eastAsia" w:ascii="Calibri" w:eastAsia="仿宋_GB2312"/>
          <w:color w:val="000000"/>
          <w:sz w:val="28"/>
          <w:szCs w:val="28"/>
          <w:vertAlign w:val="subscript"/>
        </w:rPr>
        <w:t>。</w:t>
      </w:r>
      <w:r>
        <w:rPr>
          <w:rFonts w:ascii="Calibri" w:eastAsia="仿宋_GB2312"/>
          <w:color w:val="000000"/>
          <w:sz w:val="28"/>
          <w:szCs w:val="28"/>
        </w:rPr>
        <w:t>X</w:t>
      </w:r>
      <w:r>
        <w:rPr>
          <w:rFonts w:ascii="Calibri" w:eastAsia="仿宋_GB2312"/>
          <w:color w:val="000000"/>
          <w:sz w:val="28"/>
          <w:szCs w:val="28"/>
          <w:vertAlign w:val="subscript"/>
        </w:rPr>
        <w:t>2</w:t>
      </w:r>
      <w:r>
        <w:rPr>
          <w:rFonts w:hint="eastAsia" w:ascii="Calibri" w:eastAsia="仿宋_GB2312"/>
          <w:color w:val="000000"/>
          <w:sz w:val="28"/>
          <w:szCs w:val="28"/>
          <w:vertAlign w:val="subscript"/>
        </w:rPr>
        <w:t>。</w:t>
      </w:r>
      <w:r>
        <w:rPr>
          <w:rFonts w:ascii="Calibri" w:eastAsia="仿宋_GB2312"/>
          <w:color w:val="000000"/>
          <w:sz w:val="28"/>
          <w:szCs w:val="28"/>
        </w:rPr>
        <w:t>X</w:t>
      </w:r>
      <w:r>
        <w:rPr>
          <w:rFonts w:ascii="Calibri" w:eastAsia="仿宋_GB2312"/>
          <w:color w:val="000000"/>
          <w:sz w:val="28"/>
          <w:szCs w:val="28"/>
          <w:vertAlign w:val="subscript"/>
        </w:rPr>
        <w:t>3</w:t>
      </w:r>
      <w:r>
        <w:rPr>
          <w:rFonts w:hint="eastAsia" w:ascii="Calibri" w:eastAsia="仿宋_GB2312"/>
          <w:color w:val="000000"/>
          <w:sz w:val="28"/>
          <w:szCs w:val="28"/>
        </w:rPr>
        <w:t>，其中</w:t>
      </w:r>
      <w:r>
        <w:rPr>
          <w:rFonts w:ascii="Calibri" w:eastAsia="仿宋_GB2312"/>
          <w:color w:val="000000"/>
          <w:sz w:val="28"/>
          <w:szCs w:val="28"/>
        </w:rPr>
        <w:t>X</w:t>
      </w:r>
      <w:r>
        <w:rPr>
          <w:rFonts w:ascii="Calibri" w:eastAsia="仿宋_GB2312"/>
          <w:color w:val="000000"/>
          <w:sz w:val="28"/>
          <w:szCs w:val="28"/>
          <w:vertAlign w:val="subscript"/>
        </w:rPr>
        <w:t>1</w:t>
      </w:r>
      <w:r>
        <w:rPr>
          <w:rFonts w:hint="eastAsia" w:ascii="Calibri" w:eastAsia="仿宋_GB2312"/>
          <w:color w:val="000000"/>
          <w:sz w:val="28"/>
          <w:szCs w:val="28"/>
        </w:rPr>
        <w:t>为章节的顺序号，如</w:t>
      </w:r>
      <w:r>
        <w:rPr>
          <w:rFonts w:ascii="Calibri" w:eastAsia="仿宋_GB2312"/>
          <w:color w:val="000000"/>
          <w:sz w:val="28"/>
          <w:szCs w:val="28"/>
        </w:rPr>
        <w:t>1.1.1</w:t>
      </w:r>
      <w:r>
        <w:rPr>
          <w:rFonts w:hint="eastAsia" w:ascii="Calibri" w:eastAsia="仿宋_GB2312"/>
          <w:color w:val="000000"/>
          <w:sz w:val="28"/>
          <w:szCs w:val="28"/>
        </w:rPr>
        <w:t>的第一位</w:t>
      </w:r>
      <w:r>
        <w:rPr>
          <w:rFonts w:ascii="Calibri" w:eastAsia="仿宋_GB2312"/>
          <w:color w:val="000000"/>
          <w:sz w:val="28"/>
          <w:szCs w:val="28"/>
        </w:rPr>
        <w:t>X</w:t>
      </w:r>
      <w:r>
        <w:rPr>
          <w:rFonts w:ascii="Calibri" w:eastAsia="仿宋_GB2312"/>
          <w:color w:val="000000"/>
          <w:sz w:val="28"/>
          <w:szCs w:val="28"/>
          <w:vertAlign w:val="subscript"/>
        </w:rPr>
        <w:t>1</w:t>
      </w:r>
      <w:r>
        <w:rPr>
          <w:rFonts w:hint="eastAsia" w:ascii="Calibri" w:eastAsia="仿宋_GB2312"/>
          <w:color w:val="000000"/>
          <w:sz w:val="28"/>
          <w:szCs w:val="28"/>
        </w:rPr>
        <w:t>表示“机构与人员”章节，</w:t>
      </w:r>
      <w:r>
        <w:rPr>
          <w:rFonts w:ascii="Calibri" w:eastAsia="仿宋_GB2312"/>
          <w:color w:val="000000"/>
          <w:sz w:val="28"/>
          <w:szCs w:val="28"/>
        </w:rPr>
        <w:t>2.1.1</w:t>
      </w:r>
      <w:r>
        <w:rPr>
          <w:rFonts w:hint="eastAsia" w:ascii="Calibri" w:eastAsia="仿宋_GB2312"/>
          <w:color w:val="000000"/>
          <w:sz w:val="28"/>
          <w:szCs w:val="28"/>
        </w:rPr>
        <w:t>的第一位</w:t>
      </w:r>
      <w:r>
        <w:rPr>
          <w:rFonts w:ascii="Calibri" w:eastAsia="仿宋_GB2312"/>
          <w:color w:val="000000"/>
          <w:sz w:val="28"/>
          <w:szCs w:val="28"/>
        </w:rPr>
        <w:t>X</w:t>
      </w:r>
      <w:r>
        <w:rPr>
          <w:rFonts w:ascii="Calibri" w:eastAsia="仿宋_GB2312"/>
          <w:color w:val="000000"/>
          <w:sz w:val="28"/>
          <w:szCs w:val="28"/>
          <w:vertAlign w:val="subscript"/>
        </w:rPr>
        <w:t>1</w:t>
      </w:r>
      <w:r>
        <w:rPr>
          <w:rFonts w:hint="eastAsia" w:ascii="Calibri" w:eastAsia="仿宋_GB2312"/>
          <w:color w:val="000000"/>
          <w:sz w:val="28"/>
          <w:szCs w:val="28"/>
        </w:rPr>
        <w:t>表示“厂房与设施”章节；</w:t>
      </w:r>
      <w:r>
        <w:rPr>
          <w:rFonts w:ascii="Calibri" w:eastAsia="仿宋_GB2312"/>
          <w:color w:val="000000"/>
          <w:sz w:val="28"/>
          <w:szCs w:val="28"/>
        </w:rPr>
        <w:t>X</w:t>
      </w:r>
      <w:r>
        <w:rPr>
          <w:rFonts w:ascii="Calibri" w:eastAsia="仿宋_GB2312"/>
          <w:color w:val="000000"/>
          <w:sz w:val="28"/>
          <w:szCs w:val="28"/>
          <w:vertAlign w:val="subscript"/>
        </w:rPr>
        <w:t>2</w:t>
      </w:r>
      <w:r>
        <w:rPr>
          <w:rFonts w:hint="eastAsia" w:ascii="Calibri" w:eastAsia="仿宋_GB2312"/>
          <w:color w:val="000000"/>
          <w:sz w:val="28"/>
          <w:szCs w:val="28"/>
        </w:rPr>
        <w:t>为同一章节内条款的顺序号，如</w:t>
      </w:r>
      <w:r>
        <w:rPr>
          <w:rFonts w:ascii="Calibri" w:eastAsia="仿宋_GB2312"/>
          <w:color w:val="000000"/>
          <w:sz w:val="28"/>
          <w:szCs w:val="28"/>
        </w:rPr>
        <w:t>1.1.1</w:t>
      </w:r>
      <w:r>
        <w:rPr>
          <w:rFonts w:hint="eastAsia" w:ascii="Calibri" w:eastAsia="仿宋_GB2312"/>
          <w:color w:val="000000"/>
          <w:sz w:val="28"/>
          <w:szCs w:val="28"/>
        </w:rPr>
        <w:t>的第二位</w:t>
      </w:r>
      <w:r>
        <w:rPr>
          <w:rFonts w:ascii="Calibri" w:eastAsia="仿宋_GB2312"/>
          <w:color w:val="000000"/>
          <w:sz w:val="28"/>
          <w:szCs w:val="28"/>
        </w:rPr>
        <w:t>X</w:t>
      </w:r>
      <w:r>
        <w:rPr>
          <w:rFonts w:ascii="Calibri" w:eastAsia="仿宋_GB2312"/>
          <w:color w:val="000000"/>
          <w:sz w:val="28"/>
          <w:szCs w:val="28"/>
          <w:vertAlign w:val="subscript"/>
        </w:rPr>
        <w:t>2</w:t>
      </w:r>
      <w:r>
        <w:rPr>
          <w:rFonts w:hint="eastAsia" w:ascii="Calibri" w:eastAsia="仿宋_GB2312"/>
          <w:color w:val="000000"/>
          <w:sz w:val="28"/>
          <w:szCs w:val="28"/>
        </w:rPr>
        <w:t>表示“机构与人员”章节第一条要求，</w:t>
      </w:r>
      <w:r>
        <w:rPr>
          <w:rFonts w:ascii="Calibri" w:eastAsia="仿宋_GB2312"/>
          <w:color w:val="000000"/>
          <w:sz w:val="28"/>
          <w:szCs w:val="28"/>
        </w:rPr>
        <w:t>1.2.1</w:t>
      </w:r>
      <w:r>
        <w:rPr>
          <w:rFonts w:hint="eastAsia" w:ascii="Calibri" w:eastAsia="仿宋_GB2312"/>
          <w:color w:val="000000"/>
          <w:sz w:val="28"/>
          <w:szCs w:val="28"/>
        </w:rPr>
        <w:t>的第二位</w:t>
      </w:r>
      <w:r>
        <w:rPr>
          <w:rFonts w:ascii="Calibri" w:eastAsia="仿宋_GB2312"/>
          <w:color w:val="000000"/>
          <w:sz w:val="28"/>
          <w:szCs w:val="28"/>
        </w:rPr>
        <w:t>X</w:t>
      </w:r>
      <w:r>
        <w:rPr>
          <w:rFonts w:ascii="Calibri" w:eastAsia="仿宋_GB2312"/>
          <w:color w:val="000000"/>
          <w:sz w:val="28"/>
          <w:szCs w:val="28"/>
          <w:vertAlign w:val="subscript"/>
        </w:rPr>
        <w:t>2</w:t>
      </w:r>
      <w:r>
        <w:rPr>
          <w:rFonts w:hint="eastAsia" w:ascii="Calibri" w:eastAsia="仿宋_GB2312"/>
          <w:color w:val="000000"/>
          <w:sz w:val="28"/>
          <w:szCs w:val="28"/>
        </w:rPr>
        <w:t>表示“机构与人员”章节第二条要求；</w:t>
      </w:r>
      <w:r>
        <w:rPr>
          <w:rFonts w:ascii="Calibri" w:eastAsia="仿宋_GB2312"/>
          <w:color w:val="000000"/>
          <w:sz w:val="28"/>
          <w:szCs w:val="28"/>
        </w:rPr>
        <w:t>X</w:t>
      </w:r>
      <w:r>
        <w:rPr>
          <w:rFonts w:ascii="Calibri" w:eastAsia="仿宋_GB2312"/>
          <w:color w:val="000000"/>
          <w:sz w:val="28"/>
          <w:szCs w:val="28"/>
          <w:vertAlign w:val="subscript"/>
        </w:rPr>
        <w:t>3</w:t>
      </w:r>
      <w:r>
        <w:rPr>
          <w:rFonts w:hint="eastAsia" w:ascii="Calibri" w:eastAsia="仿宋_GB2312"/>
          <w:color w:val="000000"/>
          <w:sz w:val="28"/>
          <w:szCs w:val="28"/>
        </w:rPr>
        <w:t>为同一条款内细化的检查指导的顺序号，如</w:t>
      </w:r>
      <w:r>
        <w:rPr>
          <w:rFonts w:ascii="Calibri" w:eastAsia="仿宋_GB2312"/>
          <w:color w:val="000000"/>
          <w:sz w:val="28"/>
          <w:szCs w:val="28"/>
        </w:rPr>
        <w:t>1.1.1</w:t>
      </w:r>
      <w:r>
        <w:rPr>
          <w:rFonts w:hint="eastAsia" w:ascii="Calibri" w:eastAsia="仿宋_GB2312"/>
          <w:color w:val="000000"/>
          <w:sz w:val="28"/>
          <w:szCs w:val="28"/>
        </w:rPr>
        <w:t>的第三位</w:t>
      </w:r>
      <w:r>
        <w:rPr>
          <w:rFonts w:ascii="Calibri" w:eastAsia="仿宋_GB2312"/>
          <w:color w:val="000000"/>
          <w:sz w:val="28"/>
          <w:szCs w:val="28"/>
        </w:rPr>
        <w:t>X</w:t>
      </w:r>
      <w:r>
        <w:rPr>
          <w:rFonts w:ascii="Calibri" w:eastAsia="仿宋_GB2312"/>
          <w:color w:val="000000"/>
          <w:sz w:val="28"/>
          <w:szCs w:val="28"/>
          <w:vertAlign w:val="subscript"/>
        </w:rPr>
        <w:t>3</w:t>
      </w:r>
      <w:r>
        <w:rPr>
          <w:rFonts w:hint="eastAsia" w:ascii="Calibri" w:eastAsia="仿宋_GB2312"/>
          <w:color w:val="000000"/>
          <w:sz w:val="28"/>
          <w:szCs w:val="28"/>
        </w:rPr>
        <w:t>表示“机构与人员”章节对第一条要求细化的第一个检查要点，</w:t>
      </w:r>
      <w:r>
        <w:rPr>
          <w:rFonts w:ascii="Calibri" w:eastAsia="仿宋_GB2312"/>
          <w:color w:val="000000"/>
          <w:sz w:val="28"/>
          <w:szCs w:val="28"/>
        </w:rPr>
        <w:t>1.1.2</w:t>
      </w:r>
      <w:r>
        <w:rPr>
          <w:rFonts w:hint="eastAsia" w:ascii="Calibri" w:eastAsia="仿宋_GB2312"/>
          <w:color w:val="000000"/>
          <w:sz w:val="28"/>
          <w:szCs w:val="28"/>
        </w:rPr>
        <w:t>的第三位</w:t>
      </w:r>
      <w:r>
        <w:rPr>
          <w:rFonts w:ascii="Calibri" w:eastAsia="仿宋_GB2312"/>
          <w:color w:val="000000"/>
          <w:sz w:val="28"/>
          <w:szCs w:val="28"/>
        </w:rPr>
        <w:t>X</w:t>
      </w:r>
      <w:r>
        <w:rPr>
          <w:rFonts w:ascii="Calibri" w:eastAsia="仿宋_GB2312"/>
          <w:color w:val="000000"/>
          <w:sz w:val="28"/>
          <w:szCs w:val="28"/>
          <w:vertAlign w:val="subscript"/>
        </w:rPr>
        <w:t>3</w:t>
      </w:r>
      <w:r>
        <w:rPr>
          <w:rFonts w:hint="eastAsia" w:ascii="Calibri" w:eastAsia="仿宋_GB2312"/>
          <w:color w:val="000000"/>
          <w:sz w:val="28"/>
          <w:szCs w:val="28"/>
        </w:rPr>
        <w:t>表示“机构与人员”章节对第一条要求细化的第二个检查要点。</w:t>
      </w:r>
    </w:p>
    <w:p w14:paraId="66FC2299">
      <w:pPr>
        <w:spacing w:line="360" w:lineRule="auto"/>
        <w:ind w:firstLine="560" w:firstLineChars="200"/>
        <w:rPr>
          <w:rFonts w:ascii="Calibri" w:eastAsia="黑体"/>
          <w:color w:val="000000"/>
          <w:sz w:val="30"/>
          <w:szCs w:val="30"/>
        </w:rPr>
      </w:pPr>
      <w:r>
        <w:rPr>
          <w:rFonts w:hint="eastAsia" w:ascii="Calibri" w:eastAsia="仿宋_GB2312"/>
          <w:color w:val="000000"/>
          <w:sz w:val="28"/>
          <w:szCs w:val="28"/>
        </w:rPr>
        <w:t>其他章节编号规则相同。</w:t>
      </w:r>
    </w:p>
    <w:p w14:paraId="71C82D8F">
      <w:pPr>
        <w:spacing w:line="360" w:lineRule="auto"/>
        <w:ind w:firstLine="720"/>
        <w:jc w:val="left"/>
        <w:rPr>
          <w:rFonts w:ascii="Calibri" w:eastAsia="黑体"/>
          <w:color w:val="000000"/>
          <w:sz w:val="30"/>
          <w:szCs w:val="30"/>
        </w:rPr>
      </w:pPr>
    </w:p>
    <w:p w14:paraId="41D08EB4">
      <w:pPr>
        <w:spacing w:line="560" w:lineRule="exact"/>
        <w:rPr>
          <w:rFonts w:hint="eastAsia" w:eastAsia="宋体"/>
          <w:lang w:eastAsia="zh-CN"/>
        </w:rPr>
      </w:pPr>
    </w:p>
    <w:p w14:paraId="4722BAC9">
      <w:pPr>
        <w:spacing w:line="560" w:lineRule="exact"/>
        <w:jc w:val="center"/>
        <w:rPr>
          <w:rFonts w:hint="eastAsia" w:eastAsia="宋体"/>
          <w:lang w:eastAsia="zh-CN"/>
        </w:rPr>
      </w:pPr>
    </w:p>
    <w:p w14:paraId="67774268">
      <w:pPr>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headerReference r:id="rId3" w:type="even"/>
      <w:footerReference r:id="rId5" w:type="even"/>
      <w:pgSz w:w="11906" w:h="16838"/>
      <w:pgMar w:top="1440" w:right="1700" w:bottom="1440" w:left="156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A083A">
    <w:pPr>
      <w:pStyle w:val="4"/>
      <w:wordWrap w:val="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7</w:t>
    </w:r>
    <w:r>
      <w:rPr>
        <w:sz w:val="28"/>
        <w:szCs w:val="28"/>
        <w:lang w:val="zh-CN"/>
      </w:rPr>
      <w:fldChar w:fldCharType="end"/>
    </w:r>
    <w:r>
      <w:rPr>
        <w:sz w:val="28"/>
        <w:szCs w:val="28"/>
        <w:lang w:val="zh-CN"/>
      </w:rPr>
      <w:t xml:space="preserve"> </w:t>
    </w:r>
    <w:r>
      <w:rPr>
        <w:rFonts w:hint="eastAsia"/>
        <w:sz w:val="28"/>
        <w:szCs w:val="28"/>
        <w:lang w:val="zh-CN"/>
      </w:rPr>
      <w:t>—</w:t>
    </w:r>
    <w:r>
      <w:rPr>
        <w:rFonts w:hint="eastAsia"/>
        <w:color w:val="FFFFFF"/>
        <w:sz w:val="28"/>
        <w:szCs w:val="28"/>
        <w:lang w:val="zh-CN"/>
      </w:rPr>
      <w:t>—</w:t>
    </w:r>
  </w:p>
  <w:p w14:paraId="289A42E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804549"/>
      <w:docPartObj>
        <w:docPartGallery w:val="AutoText"/>
      </w:docPartObj>
    </w:sdtPr>
    <w:sdtContent>
      <w:sdt>
        <w:sdtPr>
          <w:id w:val="1844737098"/>
          <w:docPartObj>
            <w:docPartGallery w:val="AutoText"/>
          </w:docPartObj>
        </w:sdtPr>
        <w:sdtContent>
          <w:p w14:paraId="7A8CC017">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w:t>
            </w:r>
            <w:r>
              <w:rPr>
                <w:b/>
                <w:bCs/>
                <w:sz w:val="24"/>
                <w:szCs w:val="24"/>
              </w:rPr>
              <w:fldChar w:fldCharType="end"/>
            </w:r>
          </w:p>
        </w:sdtContent>
      </w:sdt>
    </w:sdtContent>
  </w:sdt>
  <w:p w14:paraId="5A13B713">
    <w:pPr>
      <w:pStyle w:val="4"/>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691D6">
    <w:pPr>
      <w:pStyle w:val="5"/>
    </w:pPr>
    <w:r>
      <w:rPr>
        <w:rFonts w:hint="eastAsia"/>
      </w:rPr>
      <w:t xml:space="preserve">医疗器械生产质量管理规范 </w:t>
    </w:r>
    <w:r>
      <w:t xml:space="preserve"> </w:t>
    </w:r>
    <w:r>
      <w:rPr>
        <w:rFonts w:hint="eastAsia"/>
      </w:rPr>
      <w:t>现场检查指导原则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580046"/>
    <w:rsid w:val="000058E0"/>
    <w:rsid w:val="000166E6"/>
    <w:rsid w:val="00035408"/>
    <w:rsid w:val="00035B1D"/>
    <w:rsid w:val="000435B6"/>
    <w:rsid w:val="00045861"/>
    <w:rsid w:val="00054C3D"/>
    <w:rsid w:val="000621DE"/>
    <w:rsid w:val="00072189"/>
    <w:rsid w:val="00072748"/>
    <w:rsid w:val="000770DE"/>
    <w:rsid w:val="00081A3C"/>
    <w:rsid w:val="000843F4"/>
    <w:rsid w:val="00090E1C"/>
    <w:rsid w:val="00095D22"/>
    <w:rsid w:val="000A361C"/>
    <w:rsid w:val="000A4E32"/>
    <w:rsid w:val="000B2799"/>
    <w:rsid w:val="000C2276"/>
    <w:rsid w:val="000C2BAE"/>
    <w:rsid w:val="000D08D5"/>
    <w:rsid w:val="000D6108"/>
    <w:rsid w:val="000E2DC9"/>
    <w:rsid w:val="000F424B"/>
    <w:rsid w:val="001038D9"/>
    <w:rsid w:val="00104C75"/>
    <w:rsid w:val="001054A5"/>
    <w:rsid w:val="0010732F"/>
    <w:rsid w:val="001117CB"/>
    <w:rsid w:val="001149AC"/>
    <w:rsid w:val="00115B8F"/>
    <w:rsid w:val="0011781F"/>
    <w:rsid w:val="0013580E"/>
    <w:rsid w:val="00137F18"/>
    <w:rsid w:val="00146E05"/>
    <w:rsid w:val="00154FD9"/>
    <w:rsid w:val="00155899"/>
    <w:rsid w:val="00155977"/>
    <w:rsid w:val="00162CAB"/>
    <w:rsid w:val="0016602B"/>
    <w:rsid w:val="00166336"/>
    <w:rsid w:val="00175C29"/>
    <w:rsid w:val="0017678A"/>
    <w:rsid w:val="0018280E"/>
    <w:rsid w:val="00184AA7"/>
    <w:rsid w:val="0018609E"/>
    <w:rsid w:val="0019044B"/>
    <w:rsid w:val="001920FF"/>
    <w:rsid w:val="001A0867"/>
    <w:rsid w:val="001A1054"/>
    <w:rsid w:val="001B022E"/>
    <w:rsid w:val="001B2082"/>
    <w:rsid w:val="001B6F9D"/>
    <w:rsid w:val="001C060C"/>
    <w:rsid w:val="001C1D02"/>
    <w:rsid w:val="001C48AE"/>
    <w:rsid w:val="001D346C"/>
    <w:rsid w:val="001F021A"/>
    <w:rsid w:val="00201761"/>
    <w:rsid w:val="002021EA"/>
    <w:rsid w:val="00212119"/>
    <w:rsid w:val="00216671"/>
    <w:rsid w:val="002173D0"/>
    <w:rsid w:val="00221CAA"/>
    <w:rsid w:val="00233490"/>
    <w:rsid w:val="002418ED"/>
    <w:rsid w:val="00245568"/>
    <w:rsid w:val="00247991"/>
    <w:rsid w:val="002558EA"/>
    <w:rsid w:val="0025764C"/>
    <w:rsid w:val="00263B3D"/>
    <w:rsid w:val="002712CE"/>
    <w:rsid w:val="00272D88"/>
    <w:rsid w:val="0027395F"/>
    <w:rsid w:val="00274324"/>
    <w:rsid w:val="00274CDF"/>
    <w:rsid w:val="002815ED"/>
    <w:rsid w:val="0029326B"/>
    <w:rsid w:val="002966B7"/>
    <w:rsid w:val="0029779B"/>
    <w:rsid w:val="002A1A30"/>
    <w:rsid w:val="002A51A9"/>
    <w:rsid w:val="002B0AAE"/>
    <w:rsid w:val="002B172C"/>
    <w:rsid w:val="002B67B7"/>
    <w:rsid w:val="002B6F5B"/>
    <w:rsid w:val="002C0C54"/>
    <w:rsid w:val="002C37C2"/>
    <w:rsid w:val="002D32FD"/>
    <w:rsid w:val="002D73E0"/>
    <w:rsid w:val="002E155E"/>
    <w:rsid w:val="002E5240"/>
    <w:rsid w:val="002E765B"/>
    <w:rsid w:val="002F3CB9"/>
    <w:rsid w:val="002F45D0"/>
    <w:rsid w:val="002F5BB3"/>
    <w:rsid w:val="00306C35"/>
    <w:rsid w:val="0032104C"/>
    <w:rsid w:val="003231A4"/>
    <w:rsid w:val="003250CF"/>
    <w:rsid w:val="00326E52"/>
    <w:rsid w:val="0033205A"/>
    <w:rsid w:val="00336CCC"/>
    <w:rsid w:val="003409A7"/>
    <w:rsid w:val="00341610"/>
    <w:rsid w:val="00342A55"/>
    <w:rsid w:val="00345CEF"/>
    <w:rsid w:val="00351C9B"/>
    <w:rsid w:val="003549AC"/>
    <w:rsid w:val="00360674"/>
    <w:rsid w:val="00365F32"/>
    <w:rsid w:val="00367151"/>
    <w:rsid w:val="00367B41"/>
    <w:rsid w:val="00372B39"/>
    <w:rsid w:val="00382CEC"/>
    <w:rsid w:val="00383FD7"/>
    <w:rsid w:val="0039046C"/>
    <w:rsid w:val="00392AE1"/>
    <w:rsid w:val="00397B3F"/>
    <w:rsid w:val="003A0B9B"/>
    <w:rsid w:val="003B1302"/>
    <w:rsid w:val="003B39E5"/>
    <w:rsid w:val="003B4D03"/>
    <w:rsid w:val="003B5CE2"/>
    <w:rsid w:val="003C2D47"/>
    <w:rsid w:val="003C66FA"/>
    <w:rsid w:val="003C6F14"/>
    <w:rsid w:val="003D2A6D"/>
    <w:rsid w:val="003D42E4"/>
    <w:rsid w:val="003D5049"/>
    <w:rsid w:val="003F3127"/>
    <w:rsid w:val="003F4362"/>
    <w:rsid w:val="00402227"/>
    <w:rsid w:val="00405A21"/>
    <w:rsid w:val="00414853"/>
    <w:rsid w:val="00415FFC"/>
    <w:rsid w:val="00416863"/>
    <w:rsid w:val="00420105"/>
    <w:rsid w:val="00433EA1"/>
    <w:rsid w:val="00434643"/>
    <w:rsid w:val="00437341"/>
    <w:rsid w:val="00437644"/>
    <w:rsid w:val="004520FC"/>
    <w:rsid w:val="00456C46"/>
    <w:rsid w:val="004614D3"/>
    <w:rsid w:val="00463CE1"/>
    <w:rsid w:val="004671AB"/>
    <w:rsid w:val="004750F0"/>
    <w:rsid w:val="00476BF5"/>
    <w:rsid w:val="004862C0"/>
    <w:rsid w:val="0049038D"/>
    <w:rsid w:val="00493E16"/>
    <w:rsid w:val="0049442B"/>
    <w:rsid w:val="0049533E"/>
    <w:rsid w:val="00495B42"/>
    <w:rsid w:val="004A4AAD"/>
    <w:rsid w:val="004A5157"/>
    <w:rsid w:val="004B0E6F"/>
    <w:rsid w:val="004B2E52"/>
    <w:rsid w:val="004D110A"/>
    <w:rsid w:val="004E5F5D"/>
    <w:rsid w:val="004F1873"/>
    <w:rsid w:val="004F4083"/>
    <w:rsid w:val="004F49C1"/>
    <w:rsid w:val="004F4C8B"/>
    <w:rsid w:val="004F6A65"/>
    <w:rsid w:val="00503E9C"/>
    <w:rsid w:val="005048FD"/>
    <w:rsid w:val="00504C3A"/>
    <w:rsid w:val="00505129"/>
    <w:rsid w:val="005109A1"/>
    <w:rsid w:val="00515025"/>
    <w:rsid w:val="00515F47"/>
    <w:rsid w:val="00516DA9"/>
    <w:rsid w:val="00526411"/>
    <w:rsid w:val="0053020E"/>
    <w:rsid w:val="00532C56"/>
    <w:rsid w:val="00535B1C"/>
    <w:rsid w:val="005360FB"/>
    <w:rsid w:val="00540319"/>
    <w:rsid w:val="00544054"/>
    <w:rsid w:val="00545DC4"/>
    <w:rsid w:val="0056501F"/>
    <w:rsid w:val="0057435B"/>
    <w:rsid w:val="00580046"/>
    <w:rsid w:val="0058263C"/>
    <w:rsid w:val="00582F58"/>
    <w:rsid w:val="00587324"/>
    <w:rsid w:val="00592CFC"/>
    <w:rsid w:val="00593519"/>
    <w:rsid w:val="005939EC"/>
    <w:rsid w:val="005A5154"/>
    <w:rsid w:val="005B22AC"/>
    <w:rsid w:val="005B2BCA"/>
    <w:rsid w:val="005B5E70"/>
    <w:rsid w:val="005C0263"/>
    <w:rsid w:val="005C03B7"/>
    <w:rsid w:val="005C13A2"/>
    <w:rsid w:val="005C1501"/>
    <w:rsid w:val="005C5337"/>
    <w:rsid w:val="005D05DC"/>
    <w:rsid w:val="005D7703"/>
    <w:rsid w:val="005E24D3"/>
    <w:rsid w:val="005E44E1"/>
    <w:rsid w:val="005E4787"/>
    <w:rsid w:val="005E71BE"/>
    <w:rsid w:val="005F11BB"/>
    <w:rsid w:val="005F279A"/>
    <w:rsid w:val="005F57ED"/>
    <w:rsid w:val="005F64C4"/>
    <w:rsid w:val="005F732C"/>
    <w:rsid w:val="00604071"/>
    <w:rsid w:val="00613A2D"/>
    <w:rsid w:val="00615E38"/>
    <w:rsid w:val="00620A4F"/>
    <w:rsid w:val="0062108C"/>
    <w:rsid w:val="006211E5"/>
    <w:rsid w:val="00624C7D"/>
    <w:rsid w:val="00625121"/>
    <w:rsid w:val="006263F7"/>
    <w:rsid w:val="00631F40"/>
    <w:rsid w:val="00636BF9"/>
    <w:rsid w:val="00641E77"/>
    <w:rsid w:val="0064332C"/>
    <w:rsid w:val="006515AA"/>
    <w:rsid w:val="00663211"/>
    <w:rsid w:val="00663B22"/>
    <w:rsid w:val="00663CED"/>
    <w:rsid w:val="006645C5"/>
    <w:rsid w:val="00666705"/>
    <w:rsid w:val="00672543"/>
    <w:rsid w:val="00675B30"/>
    <w:rsid w:val="00676C14"/>
    <w:rsid w:val="00684C33"/>
    <w:rsid w:val="00692AF3"/>
    <w:rsid w:val="00695F57"/>
    <w:rsid w:val="006A1ADA"/>
    <w:rsid w:val="006A2FC3"/>
    <w:rsid w:val="006A4E52"/>
    <w:rsid w:val="006A7CC4"/>
    <w:rsid w:val="006B1C05"/>
    <w:rsid w:val="006B732D"/>
    <w:rsid w:val="006C3AD0"/>
    <w:rsid w:val="006C41CC"/>
    <w:rsid w:val="006D2866"/>
    <w:rsid w:val="006D30BC"/>
    <w:rsid w:val="006D382E"/>
    <w:rsid w:val="006E1491"/>
    <w:rsid w:val="006E1F79"/>
    <w:rsid w:val="006E2164"/>
    <w:rsid w:val="006E7197"/>
    <w:rsid w:val="006F23DB"/>
    <w:rsid w:val="006F23EE"/>
    <w:rsid w:val="007068C9"/>
    <w:rsid w:val="00711C1B"/>
    <w:rsid w:val="007150D1"/>
    <w:rsid w:val="0072427E"/>
    <w:rsid w:val="0073065D"/>
    <w:rsid w:val="0073085B"/>
    <w:rsid w:val="00734F89"/>
    <w:rsid w:val="0074180E"/>
    <w:rsid w:val="00741FA7"/>
    <w:rsid w:val="00753B87"/>
    <w:rsid w:val="00756D6D"/>
    <w:rsid w:val="0077240A"/>
    <w:rsid w:val="007842A0"/>
    <w:rsid w:val="00790223"/>
    <w:rsid w:val="00791D27"/>
    <w:rsid w:val="007A4EF2"/>
    <w:rsid w:val="007A6268"/>
    <w:rsid w:val="007B1046"/>
    <w:rsid w:val="007B2737"/>
    <w:rsid w:val="007B7F2C"/>
    <w:rsid w:val="007C5DA7"/>
    <w:rsid w:val="007C76DB"/>
    <w:rsid w:val="007D3729"/>
    <w:rsid w:val="007D62B0"/>
    <w:rsid w:val="007E6C31"/>
    <w:rsid w:val="007F3D26"/>
    <w:rsid w:val="00801557"/>
    <w:rsid w:val="0080427F"/>
    <w:rsid w:val="00805A8F"/>
    <w:rsid w:val="00805DD2"/>
    <w:rsid w:val="008078A2"/>
    <w:rsid w:val="00807BF6"/>
    <w:rsid w:val="0081281A"/>
    <w:rsid w:val="0081695D"/>
    <w:rsid w:val="008229E9"/>
    <w:rsid w:val="00823AC7"/>
    <w:rsid w:val="00825FC6"/>
    <w:rsid w:val="0083653A"/>
    <w:rsid w:val="008427B0"/>
    <w:rsid w:val="00843155"/>
    <w:rsid w:val="00845B89"/>
    <w:rsid w:val="0084605B"/>
    <w:rsid w:val="00850BD1"/>
    <w:rsid w:val="0085192D"/>
    <w:rsid w:val="00854007"/>
    <w:rsid w:val="008635A4"/>
    <w:rsid w:val="008637C7"/>
    <w:rsid w:val="0086519E"/>
    <w:rsid w:val="0086568C"/>
    <w:rsid w:val="00865887"/>
    <w:rsid w:val="00867341"/>
    <w:rsid w:val="00871B47"/>
    <w:rsid w:val="008731E0"/>
    <w:rsid w:val="00875F97"/>
    <w:rsid w:val="0087650F"/>
    <w:rsid w:val="0087720A"/>
    <w:rsid w:val="008779D8"/>
    <w:rsid w:val="00882AD2"/>
    <w:rsid w:val="008844DA"/>
    <w:rsid w:val="00893A74"/>
    <w:rsid w:val="00896771"/>
    <w:rsid w:val="008A6261"/>
    <w:rsid w:val="008A6B66"/>
    <w:rsid w:val="008A6F4B"/>
    <w:rsid w:val="008B09C6"/>
    <w:rsid w:val="008C6545"/>
    <w:rsid w:val="008D053F"/>
    <w:rsid w:val="008D0E00"/>
    <w:rsid w:val="008D26E3"/>
    <w:rsid w:val="008D31B3"/>
    <w:rsid w:val="008D4AE4"/>
    <w:rsid w:val="008D5796"/>
    <w:rsid w:val="008D5FEE"/>
    <w:rsid w:val="008E0545"/>
    <w:rsid w:val="008E4C38"/>
    <w:rsid w:val="008E6444"/>
    <w:rsid w:val="008E7284"/>
    <w:rsid w:val="008E7529"/>
    <w:rsid w:val="008F1982"/>
    <w:rsid w:val="00911746"/>
    <w:rsid w:val="00911966"/>
    <w:rsid w:val="00911B82"/>
    <w:rsid w:val="0092713C"/>
    <w:rsid w:val="009342B3"/>
    <w:rsid w:val="00940976"/>
    <w:rsid w:val="00941068"/>
    <w:rsid w:val="00943A58"/>
    <w:rsid w:val="009441FA"/>
    <w:rsid w:val="00944DDE"/>
    <w:rsid w:val="00951B82"/>
    <w:rsid w:val="009528A3"/>
    <w:rsid w:val="009530A1"/>
    <w:rsid w:val="009577BA"/>
    <w:rsid w:val="00963EE0"/>
    <w:rsid w:val="00975AB0"/>
    <w:rsid w:val="00977202"/>
    <w:rsid w:val="009803C6"/>
    <w:rsid w:val="0098785B"/>
    <w:rsid w:val="00987CAA"/>
    <w:rsid w:val="0099760E"/>
    <w:rsid w:val="009A688F"/>
    <w:rsid w:val="009A7386"/>
    <w:rsid w:val="009A7A0F"/>
    <w:rsid w:val="009B1477"/>
    <w:rsid w:val="009B178D"/>
    <w:rsid w:val="009B351F"/>
    <w:rsid w:val="009B6485"/>
    <w:rsid w:val="009B7E73"/>
    <w:rsid w:val="009C3980"/>
    <w:rsid w:val="009C3A17"/>
    <w:rsid w:val="009C3B4F"/>
    <w:rsid w:val="009C7ABE"/>
    <w:rsid w:val="009D2743"/>
    <w:rsid w:val="009D2BC1"/>
    <w:rsid w:val="009E5F3F"/>
    <w:rsid w:val="009F127B"/>
    <w:rsid w:val="00A050ED"/>
    <w:rsid w:val="00A0735F"/>
    <w:rsid w:val="00A11008"/>
    <w:rsid w:val="00A11CD7"/>
    <w:rsid w:val="00A249B6"/>
    <w:rsid w:val="00A24FBF"/>
    <w:rsid w:val="00A25299"/>
    <w:rsid w:val="00A25AC2"/>
    <w:rsid w:val="00A3170A"/>
    <w:rsid w:val="00A343DD"/>
    <w:rsid w:val="00A41D5D"/>
    <w:rsid w:val="00A42178"/>
    <w:rsid w:val="00A42700"/>
    <w:rsid w:val="00A47308"/>
    <w:rsid w:val="00A50852"/>
    <w:rsid w:val="00A528FA"/>
    <w:rsid w:val="00A5758F"/>
    <w:rsid w:val="00A66AEA"/>
    <w:rsid w:val="00A66E87"/>
    <w:rsid w:val="00A72A9E"/>
    <w:rsid w:val="00A775CF"/>
    <w:rsid w:val="00A8065F"/>
    <w:rsid w:val="00A92B37"/>
    <w:rsid w:val="00A92F15"/>
    <w:rsid w:val="00AA504F"/>
    <w:rsid w:val="00AC53E5"/>
    <w:rsid w:val="00AC7A11"/>
    <w:rsid w:val="00AE1128"/>
    <w:rsid w:val="00AE2AEC"/>
    <w:rsid w:val="00AF4A36"/>
    <w:rsid w:val="00B03A43"/>
    <w:rsid w:val="00B0411C"/>
    <w:rsid w:val="00B05831"/>
    <w:rsid w:val="00B0642E"/>
    <w:rsid w:val="00B07ACF"/>
    <w:rsid w:val="00B109AB"/>
    <w:rsid w:val="00B316B4"/>
    <w:rsid w:val="00B3179C"/>
    <w:rsid w:val="00B32416"/>
    <w:rsid w:val="00B34851"/>
    <w:rsid w:val="00B348FF"/>
    <w:rsid w:val="00B36783"/>
    <w:rsid w:val="00B64CBC"/>
    <w:rsid w:val="00B64D43"/>
    <w:rsid w:val="00B651AB"/>
    <w:rsid w:val="00B74746"/>
    <w:rsid w:val="00B77275"/>
    <w:rsid w:val="00B81697"/>
    <w:rsid w:val="00B819C0"/>
    <w:rsid w:val="00B945A1"/>
    <w:rsid w:val="00BA287E"/>
    <w:rsid w:val="00BA32E0"/>
    <w:rsid w:val="00BA7011"/>
    <w:rsid w:val="00BB3EA6"/>
    <w:rsid w:val="00BB6363"/>
    <w:rsid w:val="00BB790F"/>
    <w:rsid w:val="00BC6F55"/>
    <w:rsid w:val="00BE0D2C"/>
    <w:rsid w:val="00BE192E"/>
    <w:rsid w:val="00BE2E3B"/>
    <w:rsid w:val="00BE3F6C"/>
    <w:rsid w:val="00BE4AE1"/>
    <w:rsid w:val="00BE6F62"/>
    <w:rsid w:val="00BE7A1D"/>
    <w:rsid w:val="00BF4CD7"/>
    <w:rsid w:val="00C1422D"/>
    <w:rsid w:val="00C21C30"/>
    <w:rsid w:val="00C31E88"/>
    <w:rsid w:val="00C33412"/>
    <w:rsid w:val="00C34359"/>
    <w:rsid w:val="00C36A15"/>
    <w:rsid w:val="00C3715F"/>
    <w:rsid w:val="00C379B6"/>
    <w:rsid w:val="00C432F9"/>
    <w:rsid w:val="00C456C0"/>
    <w:rsid w:val="00C5111A"/>
    <w:rsid w:val="00C51D82"/>
    <w:rsid w:val="00C526BD"/>
    <w:rsid w:val="00C53902"/>
    <w:rsid w:val="00C55837"/>
    <w:rsid w:val="00C55BB0"/>
    <w:rsid w:val="00C64D08"/>
    <w:rsid w:val="00C66D87"/>
    <w:rsid w:val="00C6736D"/>
    <w:rsid w:val="00C6778B"/>
    <w:rsid w:val="00C706C7"/>
    <w:rsid w:val="00C73791"/>
    <w:rsid w:val="00C75EEE"/>
    <w:rsid w:val="00C77B4B"/>
    <w:rsid w:val="00C82501"/>
    <w:rsid w:val="00C82C8E"/>
    <w:rsid w:val="00C8543E"/>
    <w:rsid w:val="00C951D7"/>
    <w:rsid w:val="00C95612"/>
    <w:rsid w:val="00C979BC"/>
    <w:rsid w:val="00C97BD3"/>
    <w:rsid w:val="00CA6058"/>
    <w:rsid w:val="00CB1402"/>
    <w:rsid w:val="00CB2313"/>
    <w:rsid w:val="00CB423F"/>
    <w:rsid w:val="00CC78A7"/>
    <w:rsid w:val="00CD3CE5"/>
    <w:rsid w:val="00CD4476"/>
    <w:rsid w:val="00CD7861"/>
    <w:rsid w:val="00CE33DB"/>
    <w:rsid w:val="00CE3B0D"/>
    <w:rsid w:val="00CE7BB0"/>
    <w:rsid w:val="00CE7DFF"/>
    <w:rsid w:val="00CF2C3E"/>
    <w:rsid w:val="00CF3C80"/>
    <w:rsid w:val="00CF7D9D"/>
    <w:rsid w:val="00D0266D"/>
    <w:rsid w:val="00D040B7"/>
    <w:rsid w:val="00D05FA9"/>
    <w:rsid w:val="00D16084"/>
    <w:rsid w:val="00D20667"/>
    <w:rsid w:val="00D21A12"/>
    <w:rsid w:val="00D24ABF"/>
    <w:rsid w:val="00D2621F"/>
    <w:rsid w:val="00D27237"/>
    <w:rsid w:val="00D27D38"/>
    <w:rsid w:val="00D301E0"/>
    <w:rsid w:val="00D30422"/>
    <w:rsid w:val="00D35209"/>
    <w:rsid w:val="00D43BA0"/>
    <w:rsid w:val="00D47238"/>
    <w:rsid w:val="00D54010"/>
    <w:rsid w:val="00D55EA1"/>
    <w:rsid w:val="00D6031B"/>
    <w:rsid w:val="00D60A4B"/>
    <w:rsid w:val="00D66058"/>
    <w:rsid w:val="00D701DB"/>
    <w:rsid w:val="00D82108"/>
    <w:rsid w:val="00D837E4"/>
    <w:rsid w:val="00D86DDF"/>
    <w:rsid w:val="00D966B2"/>
    <w:rsid w:val="00DA4BBF"/>
    <w:rsid w:val="00DC5ACF"/>
    <w:rsid w:val="00DC7C44"/>
    <w:rsid w:val="00DD1288"/>
    <w:rsid w:val="00DD2779"/>
    <w:rsid w:val="00DD3FC8"/>
    <w:rsid w:val="00DD46E9"/>
    <w:rsid w:val="00DD6747"/>
    <w:rsid w:val="00DD715D"/>
    <w:rsid w:val="00DE49DF"/>
    <w:rsid w:val="00DF1C80"/>
    <w:rsid w:val="00DF1E8B"/>
    <w:rsid w:val="00DF308D"/>
    <w:rsid w:val="00DF788C"/>
    <w:rsid w:val="00E02D53"/>
    <w:rsid w:val="00E07BF5"/>
    <w:rsid w:val="00E10807"/>
    <w:rsid w:val="00E16634"/>
    <w:rsid w:val="00E31EC0"/>
    <w:rsid w:val="00E378AE"/>
    <w:rsid w:val="00E531C3"/>
    <w:rsid w:val="00E63F44"/>
    <w:rsid w:val="00E6616B"/>
    <w:rsid w:val="00E70ADC"/>
    <w:rsid w:val="00E70D8C"/>
    <w:rsid w:val="00E7468B"/>
    <w:rsid w:val="00E832C3"/>
    <w:rsid w:val="00E92432"/>
    <w:rsid w:val="00E9282C"/>
    <w:rsid w:val="00E933C8"/>
    <w:rsid w:val="00E94293"/>
    <w:rsid w:val="00E9564B"/>
    <w:rsid w:val="00EA094A"/>
    <w:rsid w:val="00EA7F21"/>
    <w:rsid w:val="00EB1FF0"/>
    <w:rsid w:val="00EB415F"/>
    <w:rsid w:val="00EB67C5"/>
    <w:rsid w:val="00EC667F"/>
    <w:rsid w:val="00EC764D"/>
    <w:rsid w:val="00ED28FB"/>
    <w:rsid w:val="00ED6656"/>
    <w:rsid w:val="00EE552C"/>
    <w:rsid w:val="00F03967"/>
    <w:rsid w:val="00F230DD"/>
    <w:rsid w:val="00F23783"/>
    <w:rsid w:val="00F246E2"/>
    <w:rsid w:val="00F276A8"/>
    <w:rsid w:val="00F31B7A"/>
    <w:rsid w:val="00F31E2B"/>
    <w:rsid w:val="00F362DA"/>
    <w:rsid w:val="00F43A20"/>
    <w:rsid w:val="00F443B1"/>
    <w:rsid w:val="00F44499"/>
    <w:rsid w:val="00F46879"/>
    <w:rsid w:val="00F477AB"/>
    <w:rsid w:val="00F4785A"/>
    <w:rsid w:val="00F50379"/>
    <w:rsid w:val="00F60CB0"/>
    <w:rsid w:val="00F620FB"/>
    <w:rsid w:val="00F62E1E"/>
    <w:rsid w:val="00F708B9"/>
    <w:rsid w:val="00F71F80"/>
    <w:rsid w:val="00F7208F"/>
    <w:rsid w:val="00F76236"/>
    <w:rsid w:val="00F77E81"/>
    <w:rsid w:val="00F83EA2"/>
    <w:rsid w:val="00F85CA0"/>
    <w:rsid w:val="00F91338"/>
    <w:rsid w:val="00F9262D"/>
    <w:rsid w:val="00F960B0"/>
    <w:rsid w:val="00F97BE4"/>
    <w:rsid w:val="00FA1EAD"/>
    <w:rsid w:val="00FA281F"/>
    <w:rsid w:val="00FA7559"/>
    <w:rsid w:val="00FB04D4"/>
    <w:rsid w:val="00FB1735"/>
    <w:rsid w:val="00FB1A35"/>
    <w:rsid w:val="00FB5A25"/>
    <w:rsid w:val="00FB6AFE"/>
    <w:rsid w:val="00FB707C"/>
    <w:rsid w:val="00FC0649"/>
    <w:rsid w:val="00FD0821"/>
    <w:rsid w:val="00FD3782"/>
    <w:rsid w:val="00FD4AB3"/>
    <w:rsid w:val="00FD6219"/>
    <w:rsid w:val="00FE1CD2"/>
    <w:rsid w:val="00FE29D4"/>
    <w:rsid w:val="00FF4558"/>
    <w:rsid w:val="189B290C"/>
    <w:rsid w:val="43CD1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28"/>
    <w:qFormat/>
    <w:uiPriority w:val="0"/>
    <w:pPr>
      <w:spacing w:after="120"/>
    </w:pPr>
  </w:style>
  <w:style w:type="paragraph" w:styleId="3">
    <w:name w:val="Balloon Text"/>
    <w:basedOn w:val="1"/>
    <w:link w:val="17"/>
    <w:unhideWhenUsed/>
    <w:qFormat/>
    <w:uiPriority w:val="99"/>
    <w:rPr>
      <w:sz w:val="18"/>
      <w:szCs w:val="18"/>
    </w:rPr>
  </w:style>
  <w:style w:type="paragraph" w:styleId="4">
    <w:name w:val="footer"/>
    <w:basedOn w:val="1"/>
    <w:link w:val="16"/>
    <w:unhideWhenUsed/>
    <w:uiPriority w:val="99"/>
    <w:pPr>
      <w:tabs>
        <w:tab w:val="center" w:pos="4153"/>
        <w:tab w:val="right" w:pos="8306"/>
      </w:tabs>
      <w:snapToGrid w:val="0"/>
      <w:jc w:val="left"/>
    </w:pPr>
    <w:rPr>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character" w:styleId="8">
    <w:name w:val="Strong"/>
    <w:qFormat/>
    <w:uiPriority w:val="22"/>
    <w:rPr>
      <w:b/>
      <w:bCs/>
    </w:rPr>
  </w:style>
  <w:style w:type="character" w:styleId="9">
    <w:name w:val="Emphasis"/>
    <w:qFormat/>
    <w:uiPriority w:val="20"/>
    <w:rPr>
      <w:i/>
      <w:iCs/>
    </w:rPr>
  </w:style>
  <w:style w:type="paragraph" w:customStyle="1" w:styleId="10">
    <w:name w:val="删除修改"/>
    <w:basedOn w:val="1"/>
    <w:link w:val="20"/>
    <w:qFormat/>
    <w:uiPriority w:val="0"/>
    <w:pPr>
      <w:widowControl/>
      <w:adjustRightInd w:val="0"/>
      <w:snapToGrid w:val="0"/>
      <w:spacing w:line="360" w:lineRule="exact"/>
      <w:jc w:val="left"/>
    </w:pPr>
    <w:rPr>
      <w:i/>
      <w:dstrike/>
      <w:color w:val="FF0000"/>
    </w:rPr>
  </w:style>
  <w:style w:type="paragraph" w:customStyle="1" w:styleId="11">
    <w:name w:val="引用1"/>
    <w:basedOn w:val="1"/>
    <w:next w:val="1"/>
    <w:link w:val="22"/>
    <w:qFormat/>
    <w:uiPriority w:val="29"/>
    <w:rPr>
      <w:i/>
      <w:iCs/>
      <w:color w:val="000000"/>
    </w:rPr>
  </w:style>
  <w:style w:type="paragraph" w:customStyle="1" w:styleId="12">
    <w:name w:val="明显引用1"/>
    <w:basedOn w:val="1"/>
    <w:next w:val="1"/>
    <w:link w:val="23"/>
    <w:qFormat/>
    <w:uiPriority w:val="30"/>
    <w:pPr>
      <w:pBdr>
        <w:bottom w:val="single" w:color="4F81BD" w:sz="4" w:space="4"/>
      </w:pBdr>
      <w:spacing w:before="200" w:after="280"/>
      <w:ind w:left="936" w:right="936"/>
    </w:pPr>
    <w:rPr>
      <w:b/>
      <w:bCs/>
      <w:i/>
      <w:iCs/>
      <w:color w:val="4F81BD"/>
    </w:rPr>
  </w:style>
  <w:style w:type="paragraph" w:customStyle="1" w:styleId="13">
    <w:name w:val="列表段落1"/>
    <w:basedOn w:val="1"/>
    <w:qFormat/>
    <w:uiPriority w:val="34"/>
    <w:pPr>
      <w:ind w:firstLine="420" w:firstLineChars="200"/>
    </w:p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5">
    <w:name w:val="页眉 字符"/>
    <w:link w:val="5"/>
    <w:qFormat/>
    <w:uiPriority w:val="99"/>
    <w:rPr>
      <w:rFonts w:ascii="Times New Roman" w:hAnsi="Times New Roman"/>
      <w:kern w:val="2"/>
      <w:sz w:val="18"/>
      <w:szCs w:val="18"/>
    </w:rPr>
  </w:style>
  <w:style w:type="character" w:customStyle="1" w:styleId="16">
    <w:name w:val="页脚 字符"/>
    <w:link w:val="4"/>
    <w:uiPriority w:val="99"/>
    <w:rPr>
      <w:rFonts w:ascii="Times New Roman" w:hAnsi="Times New Roman"/>
      <w:kern w:val="2"/>
      <w:sz w:val="18"/>
      <w:szCs w:val="18"/>
    </w:rPr>
  </w:style>
  <w:style w:type="character" w:customStyle="1" w:styleId="17">
    <w:name w:val="批注框文本 字符"/>
    <w:link w:val="3"/>
    <w:semiHidden/>
    <w:qFormat/>
    <w:uiPriority w:val="99"/>
    <w:rPr>
      <w:rFonts w:ascii="Times New Roman" w:hAnsi="Times New Roman"/>
      <w:kern w:val="2"/>
      <w:sz w:val="18"/>
      <w:szCs w:val="18"/>
    </w:rPr>
  </w:style>
  <w:style w:type="character" w:customStyle="1" w:styleId="18">
    <w:name w:val="明显强调1"/>
    <w:qFormat/>
    <w:uiPriority w:val="21"/>
    <w:rPr>
      <w:b/>
      <w:bCs/>
      <w:i/>
      <w:iCs/>
      <w:color w:val="4F81BD"/>
    </w:rPr>
  </w:style>
  <w:style w:type="character" w:customStyle="1" w:styleId="19">
    <w:name w:val="不明显强调1"/>
    <w:qFormat/>
    <w:uiPriority w:val="19"/>
    <w:rPr>
      <w:i/>
      <w:iCs/>
      <w:color w:val="548DD4"/>
    </w:rPr>
  </w:style>
  <w:style w:type="character" w:customStyle="1" w:styleId="20">
    <w:name w:val="删除修改 Char"/>
    <w:link w:val="10"/>
    <w:uiPriority w:val="0"/>
    <w:rPr>
      <w:rFonts w:ascii="Times New Roman" w:hAnsi="Times New Roman"/>
      <w:i/>
      <w:dstrike/>
      <w:color w:val="FF0000"/>
      <w:kern w:val="2"/>
      <w:sz w:val="21"/>
      <w:szCs w:val="24"/>
    </w:rPr>
  </w:style>
  <w:style w:type="character" w:customStyle="1" w:styleId="21">
    <w:name w:val="讨论疑问"/>
    <w:qFormat/>
    <w:uiPriority w:val="1"/>
    <w:rPr>
      <w:i/>
      <w:iCs/>
      <w:color w:val="1F497D"/>
      <w:u w:val="double" w:color="FF0000"/>
    </w:rPr>
  </w:style>
  <w:style w:type="character" w:customStyle="1" w:styleId="22">
    <w:name w:val="引用 Char"/>
    <w:link w:val="11"/>
    <w:uiPriority w:val="29"/>
    <w:rPr>
      <w:rFonts w:ascii="Times New Roman" w:hAnsi="Times New Roman"/>
      <w:i/>
      <w:iCs/>
      <w:color w:val="000000"/>
      <w:kern w:val="2"/>
      <w:sz w:val="21"/>
      <w:szCs w:val="24"/>
    </w:rPr>
  </w:style>
  <w:style w:type="character" w:customStyle="1" w:styleId="23">
    <w:name w:val="明显引用 Char"/>
    <w:link w:val="12"/>
    <w:uiPriority w:val="30"/>
    <w:rPr>
      <w:rFonts w:ascii="Times New Roman" w:hAnsi="Times New Roman"/>
      <w:b/>
      <w:bCs/>
      <w:i/>
      <w:iCs/>
      <w:color w:val="4F81BD"/>
      <w:kern w:val="2"/>
      <w:sz w:val="21"/>
      <w:szCs w:val="24"/>
    </w:rPr>
  </w:style>
  <w:style w:type="character" w:customStyle="1" w:styleId="24">
    <w:name w:val="不明显参考1"/>
    <w:qFormat/>
    <w:uiPriority w:val="31"/>
    <w:rPr>
      <w:smallCaps/>
      <w:color w:val="C0504D"/>
      <w:u w:val="single"/>
    </w:rPr>
  </w:style>
  <w:style w:type="character" w:customStyle="1" w:styleId="25">
    <w:name w:val="明显参考1"/>
    <w:qFormat/>
    <w:uiPriority w:val="32"/>
    <w:rPr>
      <w:b/>
      <w:bCs/>
      <w:smallCaps/>
      <w:color w:val="C0504D"/>
      <w:spacing w:val="5"/>
      <w:u w:val="single"/>
    </w:rPr>
  </w:style>
  <w:style w:type="character" w:customStyle="1" w:styleId="26">
    <w:name w:val="书籍标题1"/>
    <w:qFormat/>
    <w:uiPriority w:val="33"/>
    <w:rPr>
      <w:b/>
      <w:bCs/>
      <w:smallCaps/>
      <w:spacing w:val="5"/>
    </w:rPr>
  </w:style>
  <w:style w:type="character" w:customStyle="1" w:styleId="27">
    <w:name w:val="修改标记"/>
    <w:qFormat/>
    <w:uiPriority w:val="1"/>
    <w:rPr>
      <w:rFonts w:ascii="宋体" w:hAnsi="宋体" w:cs="宋体"/>
      <w:i/>
      <w:color w:val="auto"/>
      <w:kern w:val="0"/>
      <w:szCs w:val="21"/>
      <w:u w:val="none" w:color="FF0000"/>
      <w:bdr w:val="single" w:color="FF0000" w:sz="4" w:space="0"/>
      <w:shd w:val="clear" w:color="auto" w:fill="92D050"/>
    </w:rPr>
  </w:style>
  <w:style w:type="character" w:customStyle="1" w:styleId="28">
    <w:name w:val="正文文本 字符"/>
    <w:basedOn w:val="7"/>
    <w:link w:val="2"/>
    <w:uiPriority w:val="0"/>
    <w:rPr>
      <w:rFonts w:ascii="Times New Roman" w:hAnsi="Times New Roman"/>
      <w:kern w:val="2"/>
      <w:sz w:val="21"/>
      <w:szCs w:val="24"/>
    </w:rPr>
  </w:style>
  <w:style w:type="character" w:customStyle="1" w:styleId="29">
    <w:name w:val="不明显强调11"/>
    <w:qFormat/>
    <w:uiPriority w:val="0"/>
    <w:rPr>
      <w:i/>
      <w:iCs/>
      <w:color w:val="548DD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CUSTOMER</Company>
  <Pages>11</Pages>
  <Words>8927</Words>
  <Characters>9542</Characters>
  <Lines>72</Lines>
  <Paragraphs>20</Paragraphs>
  <TotalTime>309</TotalTime>
  <ScaleCrop>false</ScaleCrop>
  <LinksUpToDate>false</LinksUpToDate>
  <CharactersWithSpaces>9547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2015-09-01T09:35:00Z</dcterms:created>
  <dc:creator>LENOVO USER</dc:creator>
  <cp:lastModifiedBy>太极箫客</cp:lastModifiedBy>
  <cp:lastPrinted>2021-10-27T03:43:00Z</cp:lastPrinted>
  <dcterms:modified xsi:type="dcterms:W3CDTF">2025-08-14T06:14:55Z</dcterms:modified>
  <dc:title>附件1</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F9A49A6FBF0045769B4FCD4A874D7D69_12</vt:lpwstr>
  </property>
</Properties>
</file>