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3B67">
      <w:pPr>
        <w:widowControl/>
        <w:shd w:val="clear" w:color="auto" w:fill="FFFFFF"/>
        <w:spacing w:after="210"/>
        <w:jc w:val="center"/>
        <w:outlineLvl w:val="0"/>
        <w:rPr>
          <w:rFonts w:ascii="Microsoft YaHei UI" w:hAnsi="Microsoft YaHei UI" w:eastAsia="Microsoft YaHei UI" w:cs="宋体"/>
          <w:color w:val="222222"/>
          <w:spacing w:val="8"/>
          <w:kern w:val="36"/>
          <w:sz w:val="33"/>
          <w:szCs w:val="33"/>
        </w:rPr>
      </w:pPr>
      <w:bookmarkStart w:id="0" w:name="_GoBack"/>
      <w:bookmarkEnd w:id="0"/>
      <w:r>
        <w:rPr>
          <w:rFonts w:hint="eastAsia" w:ascii="Microsoft YaHei UI" w:hAnsi="Microsoft YaHei UI" w:eastAsia="Microsoft YaHei UI" w:cs="宋体"/>
          <w:color w:val="222222"/>
          <w:spacing w:val="8"/>
          <w:kern w:val="36"/>
          <w:sz w:val="33"/>
          <w:szCs w:val="33"/>
        </w:rPr>
        <w:t>ISO 13485:2016 及 欧盟MDR 关联对比一览表</w:t>
      </w:r>
    </w:p>
    <w:p w14:paraId="282DC6FC">
      <w:pPr>
        <w:widowControl/>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b/>
          <w:bCs/>
          <w:kern w:val="0"/>
          <w:sz w:val="24"/>
          <w:szCs w:val="24"/>
        </w:rPr>
        <w:t># 前言 #</w:t>
      </w:r>
      <w:r>
        <w:rPr>
          <w:rFonts w:ascii="宋体" w:hAnsi="宋体" w:eastAsia="宋体" w:cs="宋体"/>
          <w:kern w:val="0"/>
          <w:sz w:val="24"/>
          <w:szCs w:val="24"/>
        </w:rPr>
        <w:br w:type="textWrapping"/>
      </w:r>
    </w:p>
    <w:p w14:paraId="7F377C06">
      <w:pPr>
        <w:widowControl/>
        <w:jc w:val="left"/>
        <w:rPr>
          <w:rFonts w:ascii="宋体" w:hAnsi="宋体" w:eastAsia="宋体" w:cs="宋体"/>
          <w:kern w:val="0"/>
          <w:sz w:val="24"/>
          <w:szCs w:val="24"/>
        </w:rPr>
      </w:pPr>
      <w:r>
        <w:rPr>
          <w:rFonts w:ascii="宋体" w:hAnsi="宋体" w:eastAsia="宋体" w:cs="宋体"/>
          <w:color w:val="000000"/>
          <w:kern w:val="0"/>
          <w:sz w:val="24"/>
          <w:szCs w:val="24"/>
        </w:rPr>
        <w:t>   本文对ISO 13485:2016及MDR法规之间的关联以及详细的要求做了详细梳理，基于PDCA：策划，实施，检查，改进四个阶段分别阐述，旨在为厂家在申请MDR认证过程中提供体系方面的指引及参考。</w:t>
      </w:r>
    </w:p>
    <w:p w14:paraId="59D34918">
      <w:pPr>
        <w:widowControl/>
        <w:shd w:val="clear" w:color="auto" w:fill="FFFFFF"/>
        <w:jc w:val="left"/>
        <w:rPr>
          <w:rFonts w:hint="eastAsia" w:ascii="Microsoft YaHei UI" w:hAnsi="Microsoft YaHei UI" w:eastAsia="Microsoft YaHei UI" w:cs="宋体"/>
          <w:color w:val="222222"/>
          <w:spacing w:val="8"/>
          <w:kern w:val="0"/>
          <w:sz w:val="24"/>
          <w:szCs w:val="24"/>
        </w:rPr>
      </w:pPr>
    </w:p>
    <w:p w14:paraId="19A7F2D7">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4-Quality management system-总要求</w:t>
      </w:r>
    </w:p>
    <w:tbl>
      <w:tblPr>
        <w:tblStyle w:val="6"/>
        <w:tblW w:w="10155" w:type="dxa"/>
        <w:tblInd w:w="0" w:type="dxa"/>
        <w:tblLayout w:type="autofit"/>
        <w:tblCellMar>
          <w:top w:w="0" w:type="dxa"/>
          <w:left w:w="0" w:type="dxa"/>
          <w:bottom w:w="0" w:type="dxa"/>
          <w:right w:w="0" w:type="dxa"/>
        </w:tblCellMar>
      </w:tblPr>
      <w:tblGrid>
        <w:gridCol w:w="2835"/>
        <w:gridCol w:w="7320"/>
      </w:tblGrid>
      <w:tr w14:paraId="57D7700A">
        <w:tblPrEx>
          <w:tblCellMar>
            <w:top w:w="0" w:type="dxa"/>
            <w:left w:w="0" w:type="dxa"/>
            <w:bottom w:w="0" w:type="dxa"/>
            <w:right w:w="0" w:type="dxa"/>
          </w:tblCellMar>
        </w:tblPrEx>
        <w:trPr>
          <w:trHeight w:val="330" w:hRule="atLeast"/>
        </w:trPr>
        <w:tc>
          <w:tcPr>
            <w:tcW w:w="10155" w:type="dxa"/>
            <w:gridSpan w:val="2"/>
            <w:tcBorders>
              <w:top w:val="nil"/>
              <w:left w:val="nil"/>
              <w:bottom w:val="single" w:color="auto" w:sz="4" w:space="0"/>
              <w:right w:val="nil"/>
            </w:tcBorders>
            <w:tcMar>
              <w:top w:w="0" w:type="dxa"/>
              <w:left w:w="105" w:type="dxa"/>
              <w:bottom w:w="0" w:type="dxa"/>
              <w:right w:w="105" w:type="dxa"/>
            </w:tcMar>
          </w:tcPr>
          <w:p w14:paraId="5B1BE2C4">
            <w:pPr>
              <w:widowControl/>
              <w:wordWrap w:val="0"/>
              <w:jc w:val="left"/>
              <w:rPr>
                <w:rFonts w:ascii="宋体" w:hAnsi="宋体" w:eastAsia="宋体" w:cs="宋体"/>
                <w:kern w:val="0"/>
                <w:sz w:val="24"/>
                <w:szCs w:val="24"/>
              </w:rPr>
            </w:pPr>
          </w:p>
        </w:tc>
      </w:tr>
      <w:tr w14:paraId="6D8E1B7A">
        <w:tblPrEx>
          <w:tblCellMar>
            <w:top w:w="0" w:type="dxa"/>
            <w:left w:w="0" w:type="dxa"/>
            <w:bottom w:w="0" w:type="dxa"/>
            <w:right w:w="0" w:type="dxa"/>
          </w:tblCellMar>
        </w:tblPrEx>
        <w:trPr>
          <w:trHeight w:val="33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7EF20C9E">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4.1.1 </w:t>
            </w:r>
            <w:r>
              <w:rPr>
                <w:rFonts w:hint="eastAsia" w:ascii="宋体" w:hAnsi="宋体" w:eastAsia="宋体" w:cs="宋体"/>
                <w:b/>
                <w:bCs/>
                <w:color w:val="000000"/>
                <w:kern w:val="0"/>
                <w:sz w:val="18"/>
                <w:szCs w:val="18"/>
              </w:rPr>
              <w:t>总要求</w:t>
            </w:r>
          </w:p>
          <w:p w14:paraId="26DAF333">
            <w:pPr>
              <w:widowControl/>
              <w:wordWrap w:val="0"/>
              <w:jc w:val="left"/>
              <w:rPr>
                <w:rFonts w:ascii="宋体" w:hAnsi="宋体" w:eastAsia="宋体" w:cs="宋体"/>
                <w:kern w:val="0"/>
                <w:sz w:val="24"/>
                <w:szCs w:val="24"/>
              </w:rPr>
            </w:pPr>
            <w:r>
              <w:rPr>
                <w:rFonts w:hint="eastAsia" w:ascii="宋体" w:hAnsi="宋体" w:eastAsia="宋体" w:cs="宋体"/>
                <w:b/>
                <w:bCs/>
                <w:color w:val="000000"/>
                <w:kern w:val="0"/>
                <w:sz w:val="18"/>
                <w:szCs w:val="18"/>
              </w:rPr>
              <w:t>过程文件要求：</w:t>
            </w:r>
          </w:p>
          <w:p w14:paraId="38B0B149">
            <w:pPr>
              <w:widowControl/>
              <w:wordWrap w:val="0"/>
              <w:jc w:val="left"/>
              <w:rPr>
                <w:rFonts w:ascii="宋体" w:hAnsi="宋体" w:eastAsia="宋体" w:cs="宋体"/>
                <w:kern w:val="0"/>
                <w:sz w:val="24"/>
                <w:szCs w:val="24"/>
              </w:rPr>
            </w:pPr>
            <w:r>
              <w:rPr>
                <w:rFonts w:hint="eastAsia" w:ascii="宋体" w:hAnsi="宋体" w:eastAsia="宋体" w:cs="宋体"/>
                <w:b/>
                <w:bCs/>
                <w:color w:val="000000"/>
                <w:kern w:val="0"/>
                <w:sz w:val="18"/>
                <w:szCs w:val="18"/>
              </w:rPr>
              <w:t>法规符合性控制程序产品分类控制程序合格评定控制程序</w:t>
            </w:r>
          </w:p>
        </w:tc>
      </w:tr>
      <w:tr w14:paraId="5112F3DD">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7FC10EFA">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识别</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2C68902C">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10-9,3rd paragraph(a)</w:t>
            </w:r>
          </w:p>
          <w:p w14:paraId="426FAB7F">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合规策略，包括遵守合格评定程序和系统所涵盖的设备修改管理程序</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1</w:t>
            </w:r>
            <w:r>
              <w:rPr>
                <w:rFonts w:hint="eastAsia" w:ascii="宋体" w:hAnsi="宋体" w:eastAsia="宋体" w:cs="宋体"/>
                <w:kern w:val="0"/>
                <w:sz w:val="18"/>
                <w:szCs w:val="18"/>
              </w:rPr>
              <w:t>监管合规策略，包括识别相关法律要求、资格、分类、等效处理、选择和遵守合格评定程序的过程</w:t>
            </w:r>
          </w:p>
        </w:tc>
      </w:tr>
      <w:tr w14:paraId="7A897739">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F223F1F">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建立</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3FDC804C">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10-9(3rd)paragraph(a)</w:t>
            </w:r>
          </w:p>
          <w:p w14:paraId="0932BD01">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合规策略，包括遵守合格评定程序和系统所涵盖的设备修改管理程序；</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1</w:t>
            </w:r>
            <w:r>
              <w:rPr>
                <w:rFonts w:hint="eastAsia" w:ascii="宋体" w:hAnsi="宋体" w:eastAsia="宋体" w:cs="宋体"/>
                <w:kern w:val="0"/>
                <w:sz w:val="18"/>
                <w:szCs w:val="18"/>
              </w:rPr>
              <w:t>监管合规策略，包括识别相关法律要求、资格、分类、等效处理、选择和遵守合格评定程序的过程</w:t>
            </w:r>
            <w:r>
              <w:rPr>
                <w:rFonts w:ascii="Calibri" w:hAnsi="Calibri" w:eastAsia="宋体" w:cs="Calibri"/>
                <w:kern w:val="0"/>
                <w:sz w:val="18"/>
                <w:szCs w:val="18"/>
              </w:rPr>
              <w:t>Article 32 SSCP</w:t>
            </w:r>
          </w:p>
        </w:tc>
      </w:tr>
      <w:tr w14:paraId="7D43C7C0">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06AFB7D4">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实施和保持</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1E2BE5B5">
            <w:pPr>
              <w:widowControl/>
              <w:wordWrap w:val="0"/>
              <w:jc w:val="left"/>
              <w:rPr>
                <w:rFonts w:ascii="宋体" w:hAnsi="宋体" w:eastAsia="宋体" w:cs="宋体"/>
                <w:kern w:val="0"/>
                <w:sz w:val="24"/>
                <w:szCs w:val="24"/>
              </w:rPr>
            </w:pPr>
            <w:r>
              <w:rPr>
                <w:rFonts w:ascii="宋体" w:hAnsi="宋体" w:eastAsia="宋体" w:cs="宋体"/>
                <w:kern w:val="0"/>
                <w:sz w:val="18"/>
                <w:szCs w:val="18"/>
              </w:rPr>
              <w:t>Annex XI 4</w:t>
            </w:r>
          </w:p>
          <w:p w14:paraId="1518123F">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制造商应确保实施批准用于制造相关器械的质量管理体系，并按照第</w:t>
            </w:r>
            <w:r>
              <w:rPr>
                <w:rFonts w:ascii="宋体" w:hAnsi="宋体" w:eastAsia="宋体" w:cs="宋体"/>
                <w:kern w:val="0"/>
                <w:sz w:val="18"/>
                <w:szCs w:val="18"/>
              </w:rPr>
              <w:t> 6 </w:t>
            </w:r>
            <w:r>
              <w:rPr>
                <w:rFonts w:hint="eastAsia" w:ascii="宋体" w:hAnsi="宋体" w:eastAsia="宋体" w:cs="宋体"/>
                <w:kern w:val="0"/>
                <w:sz w:val="18"/>
                <w:szCs w:val="18"/>
              </w:rPr>
              <w:t>节的规定进行最终验证，并接受第</w:t>
            </w:r>
            <w:r>
              <w:rPr>
                <w:rFonts w:ascii="宋体" w:hAnsi="宋体" w:eastAsia="宋体" w:cs="宋体"/>
                <w:kern w:val="0"/>
                <w:sz w:val="18"/>
                <w:szCs w:val="18"/>
              </w:rPr>
              <w:t> 7 </w:t>
            </w:r>
            <w:r>
              <w:rPr>
                <w:rFonts w:hint="eastAsia" w:ascii="宋体" w:hAnsi="宋体" w:eastAsia="宋体" w:cs="宋体"/>
                <w:kern w:val="0"/>
                <w:sz w:val="18"/>
                <w:szCs w:val="18"/>
              </w:rPr>
              <w:t>节所述的监督。</w:t>
            </w:r>
            <w:r>
              <w:rPr>
                <w:rFonts w:ascii="宋体" w:hAnsi="宋体" w:eastAsia="宋体" w:cs="宋体"/>
                <w:kern w:val="0"/>
                <w:sz w:val="18"/>
                <w:szCs w:val="18"/>
              </w:rPr>
              <w:t>Annex XI 6.2</w:t>
            </w:r>
          </w:p>
          <w:p w14:paraId="5780A4EC">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质量管理体系的实施应确保符合欧盟型式检验证书中描述的类型以及本法规适用于每个阶段的设备的规定。制造商对其质量管理体系所采用的所有要素、要求和规定，应以质量手册和质量方案、质量计划和质量记录等书面政策和程序的形式，系统、有序地形成文件。</w:t>
            </w:r>
          </w:p>
        </w:tc>
      </w:tr>
      <w:tr w14:paraId="0700D1F2">
        <w:tblPrEx>
          <w:tblCellMar>
            <w:top w:w="0" w:type="dxa"/>
            <w:left w:w="0" w:type="dxa"/>
            <w:bottom w:w="0" w:type="dxa"/>
            <w:right w:w="0" w:type="dxa"/>
          </w:tblCellMar>
        </w:tblPrEx>
        <w:trPr>
          <w:trHeight w:val="28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2C52FEAC">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4.1.2 </w:t>
            </w:r>
            <w:r>
              <w:rPr>
                <w:rFonts w:hint="eastAsia" w:ascii="宋体" w:hAnsi="宋体" w:eastAsia="宋体" w:cs="宋体"/>
                <w:b/>
                <w:bCs/>
                <w:color w:val="000000"/>
                <w:kern w:val="0"/>
                <w:sz w:val="18"/>
                <w:szCs w:val="18"/>
              </w:rPr>
              <w:t>过程确定</w:t>
            </w:r>
          </w:p>
        </w:tc>
      </w:tr>
      <w:tr w14:paraId="66765C11">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4582F300">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角色识别</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4BB128C8">
            <w:pPr>
              <w:widowControl/>
              <w:wordWrap w:val="0"/>
              <w:jc w:val="left"/>
              <w:rPr>
                <w:rFonts w:ascii="宋体" w:hAnsi="宋体" w:eastAsia="宋体" w:cs="宋体"/>
                <w:kern w:val="0"/>
                <w:sz w:val="24"/>
                <w:szCs w:val="24"/>
              </w:rPr>
            </w:pPr>
          </w:p>
        </w:tc>
      </w:tr>
      <w:tr w14:paraId="065BFA36">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65B6E917">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风险管理</w:t>
            </w:r>
          </w:p>
          <w:p w14:paraId="35190D4B">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过程文件控制：</w:t>
            </w:r>
          </w:p>
          <w:p w14:paraId="1D1FCC57">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风险管理控制程序</w:t>
            </w:r>
          </w:p>
          <w:p w14:paraId="67EEF421">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br w:type="textWrapping"/>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5187D9D">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10-2</w:t>
            </w:r>
          </w:p>
          <w:p w14:paraId="2797D1E5">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制造商应建立、记录、实施和维护附录</w:t>
            </w:r>
            <w:r>
              <w:rPr>
                <w:rFonts w:ascii="宋体" w:hAnsi="宋体" w:eastAsia="宋体" w:cs="宋体"/>
                <w:kern w:val="0"/>
                <w:sz w:val="18"/>
                <w:szCs w:val="18"/>
              </w:rPr>
              <w:t> I </w:t>
            </w:r>
            <w:r>
              <w:rPr>
                <w:rFonts w:hint="eastAsia" w:ascii="宋体" w:hAnsi="宋体" w:eastAsia="宋体" w:cs="宋体"/>
                <w:kern w:val="0"/>
                <w:sz w:val="18"/>
                <w:szCs w:val="18"/>
              </w:rPr>
              <w:t>第</w:t>
            </w:r>
            <w:r>
              <w:rPr>
                <w:rFonts w:ascii="宋体" w:hAnsi="宋体" w:eastAsia="宋体" w:cs="宋体"/>
                <w:kern w:val="0"/>
                <w:sz w:val="18"/>
                <w:szCs w:val="18"/>
              </w:rPr>
              <w:t>3 </w:t>
            </w:r>
            <w:r>
              <w:rPr>
                <w:rFonts w:hint="eastAsia" w:ascii="宋体" w:hAnsi="宋体" w:eastAsia="宋体" w:cs="宋体"/>
                <w:kern w:val="0"/>
                <w:sz w:val="18"/>
                <w:szCs w:val="18"/>
              </w:rPr>
              <w:t>节所述的风险管理系统。</w:t>
            </w:r>
            <w:r>
              <w:rPr>
                <w:rFonts w:ascii="宋体" w:hAnsi="宋体" w:eastAsia="宋体" w:cs="宋体"/>
                <w:kern w:val="0"/>
                <w:sz w:val="18"/>
                <w:szCs w:val="18"/>
              </w:rPr>
              <w:t>Article 10-9 paragraph(e)</w:t>
            </w:r>
            <w:r>
              <w:rPr>
                <w:rFonts w:hint="eastAsia" w:ascii="宋体" w:hAnsi="宋体" w:eastAsia="宋体" w:cs="宋体"/>
                <w:kern w:val="0"/>
                <w:sz w:val="18"/>
                <w:szCs w:val="18"/>
              </w:rPr>
              <w:t>附件一第</w:t>
            </w:r>
            <w:r>
              <w:rPr>
                <w:rFonts w:ascii="宋体" w:hAnsi="宋体" w:eastAsia="宋体" w:cs="宋体"/>
                <w:kern w:val="0"/>
                <w:sz w:val="18"/>
                <w:szCs w:val="18"/>
              </w:rPr>
              <w:t> 3 </w:t>
            </w:r>
            <w:r>
              <w:rPr>
                <w:rFonts w:hint="eastAsia" w:ascii="宋体" w:hAnsi="宋体" w:eastAsia="宋体" w:cs="宋体"/>
                <w:kern w:val="0"/>
                <w:sz w:val="18"/>
                <w:szCs w:val="18"/>
              </w:rPr>
              <w:t>节中规定的风险管理；</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3</w:t>
            </w:r>
            <w:r>
              <w:rPr>
                <w:rFonts w:hint="eastAsia" w:ascii="宋体" w:hAnsi="宋体" w:eastAsia="宋体" w:cs="宋体"/>
                <w:kern w:val="0"/>
                <w:sz w:val="18"/>
                <w:szCs w:val="18"/>
              </w:rPr>
              <w:t>附录</w:t>
            </w:r>
            <w:r>
              <w:rPr>
                <w:rFonts w:ascii="Calibri" w:hAnsi="Calibri" w:eastAsia="宋体" w:cs="Calibri"/>
                <w:kern w:val="0"/>
                <w:sz w:val="18"/>
                <w:szCs w:val="18"/>
              </w:rPr>
              <w:t> I </w:t>
            </w:r>
            <w:r>
              <w:rPr>
                <w:rFonts w:hint="eastAsia" w:ascii="宋体" w:hAnsi="宋体" w:eastAsia="宋体" w:cs="宋体"/>
                <w:kern w:val="0"/>
                <w:sz w:val="18"/>
                <w:szCs w:val="18"/>
              </w:rPr>
              <w:t>第</w:t>
            </w:r>
            <w:r>
              <w:rPr>
                <w:rFonts w:ascii="Calibri" w:hAnsi="Calibri" w:eastAsia="宋体" w:cs="Calibri"/>
                <w:kern w:val="0"/>
                <w:sz w:val="18"/>
                <w:szCs w:val="18"/>
              </w:rPr>
              <w:t> 3 </w:t>
            </w:r>
            <w:r>
              <w:rPr>
                <w:rFonts w:hint="eastAsia" w:ascii="宋体" w:hAnsi="宋体" w:eastAsia="宋体" w:cs="宋体"/>
                <w:kern w:val="0"/>
                <w:sz w:val="18"/>
                <w:szCs w:val="18"/>
              </w:rPr>
              <w:t>节中提到的风险管理，</w:t>
            </w:r>
          </w:p>
        </w:tc>
      </w:tr>
      <w:tr w14:paraId="76B3430D">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119AB00E">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相互作用</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7660B2AB">
            <w:pPr>
              <w:widowControl/>
              <w:wordWrap w:val="0"/>
              <w:jc w:val="left"/>
              <w:rPr>
                <w:rFonts w:ascii="宋体" w:hAnsi="宋体" w:eastAsia="宋体" w:cs="宋体"/>
                <w:kern w:val="0"/>
                <w:sz w:val="24"/>
                <w:szCs w:val="24"/>
              </w:rPr>
            </w:pPr>
          </w:p>
        </w:tc>
      </w:tr>
      <w:tr w14:paraId="30BDCF77">
        <w:tblPrEx>
          <w:tblCellMar>
            <w:top w:w="0" w:type="dxa"/>
            <w:left w:w="0" w:type="dxa"/>
            <w:bottom w:w="0" w:type="dxa"/>
            <w:right w:w="0" w:type="dxa"/>
          </w:tblCellMar>
        </w:tblPrEx>
        <w:trPr>
          <w:trHeight w:val="30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56205085">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4.1.3 </w:t>
            </w:r>
            <w:r>
              <w:rPr>
                <w:rFonts w:hint="eastAsia" w:ascii="宋体" w:hAnsi="宋体" w:eastAsia="宋体" w:cs="宋体"/>
                <w:b/>
                <w:bCs/>
                <w:color w:val="000000"/>
                <w:kern w:val="0"/>
                <w:sz w:val="18"/>
                <w:szCs w:val="18"/>
              </w:rPr>
              <w:t>过程控制</w:t>
            </w:r>
          </w:p>
        </w:tc>
      </w:tr>
      <w:tr w14:paraId="25255CF0">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7CCCD734">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过程控制</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5968D0F6">
            <w:pPr>
              <w:widowControl/>
              <w:wordWrap w:val="0"/>
              <w:jc w:val="left"/>
              <w:rPr>
                <w:rFonts w:ascii="宋体" w:hAnsi="宋体" w:eastAsia="宋体" w:cs="宋体"/>
                <w:kern w:val="0"/>
                <w:sz w:val="24"/>
                <w:szCs w:val="24"/>
              </w:rPr>
            </w:pPr>
          </w:p>
        </w:tc>
      </w:tr>
      <w:tr w14:paraId="1AFA8AC8">
        <w:tblPrEx>
          <w:tblCellMar>
            <w:top w:w="0" w:type="dxa"/>
            <w:left w:w="0" w:type="dxa"/>
            <w:bottom w:w="0" w:type="dxa"/>
            <w:right w:w="0" w:type="dxa"/>
          </w:tblCellMar>
        </w:tblPrEx>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256B286C">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4.1.4 </w:t>
            </w:r>
            <w:r>
              <w:rPr>
                <w:rFonts w:hint="eastAsia" w:ascii="宋体" w:hAnsi="宋体" w:eastAsia="宋体" w:cs="宋体"/>
                <w:b/>
                <w:bCs/>
                <w:color w:val="000000"/>
                <w:kern w:val="0"/>
                <w:sz w:val="18"/>
                <w:szCs w:val="18"/>
              </w:rPr>
              <w:t>过程更改</w:t>
            </w:r>
          </w:p>
        </w:tc>
      </w:tr>
      <w:tr w14:paraId="043AA3C4">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18AAE271">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过程更改</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过程文件控制：变更控制</w:t>
            </w:r>
            <w:r>
              <w:rPr>
                <w:rFonts w:ascii="Calibri" w:hAnsi="Calibri" w:eastAsia="宋体" w:cs="Calibri"/>
                <w:kern w:val="0"/>
                <w:sz w:val="18"/>
                <w:szCs w:val="18"/>
              </w:rPr>
              <w:t>/</w:t>
            </w:r>
            <w:r>
              <w:rPr>
                <w:rFonts w:hint="eastAsia" w:ascii="宋体" w:hAnsi="宋体" w:eastAsia="宋体" w:cs="宋体"/>
                <w:kern w:val="0"/>
                <w:sz w:val="18"/>
                <w:szCs w:val="18"/>
              </w:rPr>
              <w:t>产品和体系重大变更通知公告机构程序</w:t>
            </w:r>
            <w:r>
              <w:rPr>
                <w:rFonts w:hint="eastAsia" w:ascii="宋体" w:hAnsi="宋体" w:eastAsia="宋体" w:cs="宋体"/>
                <w:color w:val="000000"/>
                <w:kern w:val="0"/>
                <w:sz w:val="18"/>
                <w:szCs w:val="18"/>
              </w:rPr>
              <w:br w:type="textWrapping"/>
            </w:r>
            <w:r>
              <w:rPr>
                <w:rFonts w:ascii="宋体" w:hAnsi="宋体" w:eastAsia="宋体" w:cs="宋体"/>
                <w:kern w:val="0"/>
                <w:sz w:val="24"/>
                <w:szCs w:val="24"/>
              </w:rPr>
              <w:br w:type="textWrapping"/>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6EBDBCF9">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8</w:t>
            </w:r>
          </w:p>
          <w:p w14:paraId="000797F1">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设计或质量管理体系变更的管理；和</w:t>
            </w:r>
          </w:p>
          <w:p w14:paraId="3E5CB937">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2.4</w:t>
            </w:r>
          </w:p>
          <w:p w14:paraId="063A4375">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相关制造商应通知批准质量管理体系的公告机构任何对质量管理体系或所涵盖的设备范围进行重大更改的计划。公告机构应评估提议的变更，确定是否需要进行额外审核，并验证在这些变更之后质量管理体系是否仍满足第</w:t>
            </w:r>
            <w:r>
              <w:rPr>
                <w:rFonts w:ascii="Calibri" w:hAnsi="Calibri" w:eastAsia="宋体" w:cs="Calibri"/>
                <w:kern w:val="0"/>
                <w:sz w:val="18"/>
                <w:szCs w:val="18"/>
              </w:rPr>
              <w:t> 2.2 </w:t>
            </w:r>
            <w:r>
              <w:rPr>
                <w:rFonts w:hint="eastAsia" w:ascii="宋体" w:hAnsi="宋体" w:eastAsia="宋体" w:cs="宋体"/>
                <w:kern w:val="0"/>
                <w:sz w:val="18"/>
                <w:szCs w:val="18"/>
              </w:rPr>
              <w:t>节中提及的要求。它应将其决定通知制造商，该决定应包含评估结论，如果适用，还应包含附加审核的结论。对质量管理体系或所涵盖的设备范围的任何实质性变更的批准应采取补充欧盟质量管理体系证书的形式。</w:t>
            </w:r>
          </w:p>
        </w:tc>
      </w:tr>
      <w:tr w14:paraId="7436EA74">
        <w:tblPrEx>
          <w:tblCellMar>
            <w:top w:w="0" w:type="dxa"/>
            <w:left w:w="0" w:type="dxa"/>
            <w:bottom w:w="0" w:type="dxa"/>
            <w:right w:w="0" w:type="dxa"/>
          </w:tblCellMar>
        </w:tblPrEx>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58A95BE3">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4.1.5 </w:t>
            </w:r>
            <w:r>
              <w:rPr>
                <w:rFonts w:hint="eastAsia" w:ascii="宋体" w:hAnsi="宋体" w:eastAsia="宋体" w:cs="宋体"/>
                <w:b/>
                <w:bCs/>
                <w:color w:val="000000"/>
                <w:kern w:val="0"/>
                <w:sz w:val="18"/>
                <w:szCs w:val="18"/>
              </w:rPr>
              <w:t>外包控制</w:t>
            </w:r>
          </w:p>
        </w:tc>
      </w:tr>
      <w:tr w14:paraId="469AE67E">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79CD5FEB">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外包控制</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过程文件控制：外包过程控制程序</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6E5BD45">
            <w:pPr>
              <w:widowControl/>
              <w:wordWrap w:val="0"/>
              <w:jc w:val="left"/>
              <w:rPr>
                <w:rFonts w:ascii="宋体" w:hAnsi="宋体" w:eastAsia="宋体" w:cs="宋体"/>
                <w:kern w:val="0"/>
                <w:sz w:val="24"/>
                <w:szCs w:val="24"/>
              </w:rPr>
            </w:pPr>
            <w:r>
              <w:rPr>
                <w:rFonts w:ascii="宋体" w:hAnsi="宋体" w:eastAsia="宋体" w:cs="宋体"/>
                <w:kern w:val="0"/>
                <w:sz w:val="18"/>
                <w:szCs w:val="18"/>
              </w:rPr>
              <w:t>Article 9,3rd paragraph(d)</w:t>
            </w:r>
            <w:r>
              <w:rPr>
                <w:rFonts w:ascii="宋体" w:hAnsi="宋体" w:eastAsia="宋体" w:cs="宋体"/>
                <w:kern w:val="0"/>
                <w:sz w:val="24"/>
                <w:szCs w:val="24"/>
              </w:rPr>
              <w:br w:type="textWrapping"/>
            </w:r>
            <w:r>
              <w:rPr>
                <w:rFonts w:hint="eastAsia" w:ascii="宋体" w:hAnsi="宋体" w:eastAsia="宋体" w:cs="宋体"/>
                <w:kern w:val="0"/>
                <w:sz w:val="18"/>
                <w:szCs w:val="18"/>
              </w:rPr>
              <w:t>资源管理，包括选择和控制供应商和分包商；</w:t>
            </w:r>
          </w:p>
        </w:tc>
      </w:tr>
      <w:tr w14:paraId="129769AA">
        <w:tblPrEx>
          <w:tblCellMar>
            <w:top w:w="0" w:type="dxa"/>
            <w:left w:w="0" w:type="dxa"/>
            <w:bottom w:w="0" w:type="dxa"/>
            <w:right w:w="0" w:type="dxa"/>
          </w:tblCellMar>
        </w:tblPrEx>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3F89553A">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4.1.6 </w:t>
            </w:r>
            <w:r>
              <w:rPr>
                <w:rFonts w:hint="eastAsia" w:ascii="宋体" w:hAnsi="宋体" w:eastAsia="宋体" w:cs="宋体"/>
                <w:b/>
                <w:bCs/>
                <w:color w:val="000000"/>
                <w:kern w:val="0"/>
                <w:sz w:val="18"/>
                <w:szCs w:val="18"/>
              </w:rPr>
              <w:t>软件确认</w:t>
            </w:r>
            <w:r>
              <w:rPr>
                <w:rFonts w:hint="eastAsia" w:ascii="宋体" w:hAnsi="宋体" w:eastAsia="宋体" w:cs="宋体"/>
                <w:b/>
                <w:bCs/>
                <w:kern w:val="0"/>
                <w:sz w:val="18"/>
                <w:szCs w:val="18"/>
              </w:rPr>
              <w:t>过程文件控制：计算机软件确认控制程序</w:t>
            </w:r>
          </w:p>
        </w:tc>
      </w:tr>
      <w:tr w14:paraId="7989F911">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55BD5F32">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生产和服务</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5CF9E318">
            <w:pPr>
              <w:widowControl/>
              <w:wordWrap w:val="0"/>
              <w:jc w:val="left"/>
              <w:rPr>
                <w:rFonts w:ascii="宋体" w:hAnsi="宋体" w:eastAsia="宋体" w:cs="宋体"/>
                <w:kern w:val="0"/>
                <w:sz w:val="24"/>
                <w:szCs w:val="24"/>
              </w:rPr>
            </w:pPr>
          </w:p>
        </w:tc>
      </w:tr>
      <w:tr w14:paraId="53EB3D3C">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3D24E9DA">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监视和测量</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4C2C2098">
            <w:pPr>
              <w:widowControl/>
              <w:wordWrap w:val="0"/>
              <w:jc w:val="left"/>
              <w:rPr>
                <w:rFonts w:ascii="宋体" w:hAnsi="宋体" w:eastAsia="宋体" w:cs="宋体"/>
                <w:kern w:val="0"/>
                <w:sz w:val="24"/>
                <w:szCs w:val="24"/>
              </w:rPr>
            </w:pPr>
          </w:p>
        </w:tc>
      </w:tr>
    </w:tbl>
    <w:p w14:paraId="029914B9">
      <w:pPr>
        <w:widowControl/>
        <w:jc w:val="left"/>
        <w:rPr>
          <w:rFonts w:ascii="宋体" w:hAnsi="宋体" w:eastAsia="宋体" w:cs="宋体"/>
          <w:kern w:val="0"/>
          <w:sz w:val="24"/>
          <w:szCs w:val="24"/>
        </w:rPr>
      </w:pPr>
    </w:p>
    <w:p w14:paraId="45BC9C3A">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P-</w:t>
      </w:r>
      <w:r>
        <w:rPr>
          <w:rFonts w:hint="eastAsia" w:ascii="宋体" w:hAnsi="宋体" w:eastAsia="宋体" w:cs="宋体"/>
          <w:b/>
          <w:bCs/>
          <w:color w:val="000000"/>
          <w:spacing w:val="8"/>
          <w:kern w:val="0"/>
          <w:sz w:val="24"/>
          <w:szCs w:val="24"/>
        </w:rPr>
        <w:t>策划</w:t>
      </w:r>
    </w:p>
    <w:p w14:paraId="6FC23E8D">
      <w:pPr>
        <w:widowControl/>
        <w:jc w:val="left"/>
        <w:rPr>
          <w:rFonts w:ascii="宋体" w:hAnsi="宋体" w:eastAsia="宋体" w:cs="宋体"/>
          <w:kern w:val="0"/>
          <w:sz w:val="24"/>
          <w:szCs w:val="24"/>
        </w:rPr>
      </w:pPr>
    </w:p>
    <w:tbl>
      <w:tblPr>
        <w:tblStyle w:val="6"/>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0"/>
        <w:gridCol w:w="7325"/>
      </w:tblGrid>
      <w:tr w14:paraId="7033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09E6A422">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5.1  </w:t>
            </w:r>
            <w:r>
              <w:rPr>
                <w:rFonts w:hint="eastAsia" w:ascii="宋体" w:hAnsi="宋体" w:eastAsia="宋体" w:cs="宋体"/>
                <w:b/>
                <w:bCs/>
                <w:color w:val="000000"/>
                <w:kern w:val="0"/>
                <w:sz w:val="18"/>
                <w:szCs w:val="18"/>
              </w:rPr>
              <w:t>管理承诺</w:t>
            </w:r>
          </w:p>
        </w:tc>
      </w:tr>
      <w:tr w14:paraId="3ECC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7CC5272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w:t>
            </w:r>
            <w:r>
              <w:rPr>
                <w:rFonts w:hint="eastAsia" w:ascii="宋体" w:hAnsi="宋体" w:eastAsia="宋体" w:cs="宋体"/>
                <w:color w:val="000000"/>
                <w:kern w:val="0"/>
                <w:sz w:val="18"/>
                <w:szCs w:val="18"/>
              </w:rPr>
              <w:t>向组织传达满足顾客和法律法规要求的重要性</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制定质量方针</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确保制定质量目标</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进行管理评审</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确保资源的可获得性。</w:t>
            </w:r>
          </w:p>
        </w:tc>
        <w:tc>
          <w:tcPr>
            <w:tcW w:w="7325" w:type="dxa"/>
            <w:shd w:val="clear" w:color="auto" w:fill="F2F2F2"/>
            <w:tcMar>
              <w:top w:w="0" w:type="dxa"/>
              <w:left w:w="105" w:type="dxa"/>
              <w:bottom w:w="0" w:type="dxa"/>
              <w:right w:w="105" w:type="dxa"/>
            </w:tcMar>
            <w:vAlign w:val="center"/>
          </w:tcPr>
          <w:p w14:paraId="327B49D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6</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2.2,2nd paragraph(a)Annex  XI 4Annex  XI 6.2,,2nd paragraph,reference Anenx IX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2.2(a)</w:t>
            </w:r>
          </w:p>
        </w:tc>
      </w:tr>
      <w:tr w14:paraId="78B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558C0C0D">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5.2  </w:t>
            </w:r>
            <w:r>
              <w:rPr>
                <w:rFonts w:hint="eastAsia" w:ascii="宋体" w:hAnsi="宋体" w:eastAsia="宋体" w:cs="宋体"/>
                <w:b/>
                <w:bCs/>
                <w:color w:val="000000"/>
                <w:kern w:val="0"/>
                <w:sz w:val="18"/>
                <w:szCs w:val="18"/>
              </w:rPr>
              <w:t>以顾客为关注焦点</w:t>
            </w:r>
          </w:p>
        </w:tc>
      </w:tr>
      <w:tr w14:paraId="5FC8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tcPr>
          <w:p w14:paraId="27F792D4">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5.3  </w:t>
            </w:r>
            <w:r>
              <w:rPr>
                <w:rFonts w:hint="eastAsia" w:ascii="宋体" w:hAnsi="宋体" w:eastAsia="宋体" w:cs="宋体"/>
                <w:b/>
                <w:bCs/>
                <w:color w:val="000000"/>
                <w:kern w:val="0"/>
                <w:sz w:val="18"/>
                <w:szCs w:val="18"/>
              </w:rPr>
              <w:t>质量方针</w:t>
            </w:r>
          </w:p>
        </w:tc>
      </w:tr>
      <w:tr w14:paraId="291F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2CBB50FF">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5.4  </w:t>
            </w:r>
            <w:r>
              <w:rPr>
                <w:rFonts w:hint="eastAsia" w:ascii="宋体" w:hAnsi="宋体" w:eastAsia="宋体" w:cs="宋体"/>
                <w:b/>
                <w:bCs/>
                <w:color w:val="000000"/>
                <w:kern w:val="0"/>
                <w:sz w:val="18"/>
                <w:szCs w:val="18"/>
              </w:rPr>
              <w:t>策划</w:t>
            </w:r>
          </w:p>
        </w:tc>
      </w:tr>
      <w:tr w14:paraId="1080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E2EFD9"/>
            <w:tcMar>
              <w:top w:w="0" w:type="dxa"/>
              <w:left w:w="105" w:type="dxa"/>
              <w:bottom w:w="0" w:type="dxa"/>
              <w:right w:w="105" w:type="dxa"/>
            </w:tcMar>
          </w:tcPr>
          <w:p w14:paraId="267924AC">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5.4.1  </w:t>
            </w:r>
            <w:r>
              <w:rPr>
                <w:rFonts w:hint="eastAsia" w:ascii="宋体" w:hAnsi="宋体" w:eastAsia="宋体" w:cs="宋体"/>
                <w:color w:val="000000"/>
                <w:kern w:val="0"/>
                <w:sz w:val="18"/>
                <w:szCs w:val="18"/>
              </w:rPr>
              <w:t>质量目标</w:t>
            </w:r>
          </w:p>
        </w:tc>
      </w:tr>
      <w:tr w14:paraId="0420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3156CB12">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法规要求；产品要求；可测量</w:t>
            </w:r>
          </w:p>
        </w:tc>
        <w:tc>
          <w:tcPr>
            <w:tcW w:w="7325" w:type="dxa"/>
            <w:shd w:val="clear" w:color="auto" w:fill="F2F2F2"/>
            <w:tcMar>
              <w:top w:w="0" w:type="dxa"/>
              <w:left w:w="105" w:type="dxa"/>
              <w:bottom w:w="0" w:type="dxa"/>
              <w:right w:w="105" w:type="dxa"/>
            </w:tcMar>
            <w:vAlign w:val="center"/>
          </w:tcPr>
          <w:p w14:paraId="69B9488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 2.2,2nd paragraph(a)Annex  XI 6.2,,2nd paragraph,reference Anenx IX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2.2(a)</w:t>
            </w:r>
          </w:p>
        </w:tc>
      </w:tr>
      <w:tr w14:paraId="36AE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68E2A13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5.4.2  </w:t>
            </w:r>
            <w:r>
              <w:rPr>
                <w:rFonts w:hint="eastAsia" w:ascii="宋体" w:hAnsi="宋体" w:eastAsia="宋体" w:cs="宋体"/>
                <w:color w:val="000000"/>
                <w:kern w:val="0"/>
                <w:sz w:val="18"/>
                <w:szCs w:val="18"/>
              </w:rPr>
              <w:t>质量管理体系策划</w:t>
            </w:r>
          </w:p>
        </w:tc>
        <w:tc>
          <w:tcPr>
            <w:tcW w:w="7325" w:type="dxa"/>
            <w:shd w:val="clear" w:color="auto" w:fill="E2EFD9"/>
            <w:tcMar>
              <w:top w:w="0" w:type="dxa"/>
              <w:left w:w="105" w:type="dxa"/>
              <w:bottom w:w="0" w:type="dxa"/>
              <w:right w:w="105" w:type="dxa"/>
            </w:tcMar>
          </w:tcPr>
          <w:p w14:paraId="594E94CA">
            <w:pPr>
              <w:widowControl/>
              <w:wordWrap w:val="0"/>
              <w:jc w:val="left"/>
              <w:rPr>
                <w:rFonts w:ascii="宋体" w:hAnsi="宋体" w:eastAsia="宋体" w:cs="宋体"/>
                <w:kern w:val="0"/>
                <w:sz w:val="24"/>
                <w:szCs w:val="24"/>
              </w:rPr>
            </w:pPr>
            <w:r>
              <w:rPr>
                <w:rFonts w:ascii="Calibri" w:hAnsi="Calibri" w:eastAsia="宋体" w:cs="Calibri"/>
                <w:kern w:val="0"/>
                <w:szCs w:val="21"/>
              </w:rPr>
              <w:t>Annex IX 2.1,bullet 7</w:t>
            </w:r>
          </w:p>
        </w:tc>
      </w:tr>
      <w:tr w14:paraId="3C7A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6F020B5C">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5.5  </w:t>
            </w:r>
            <w:r>
              <w:rPr>
                <w:rFonts w:hint="eastAsia" w:ascii="宋体" w:hAnsi="宋体" w:eastAsia="宋体" w:cs="宋体"/>
                <w:b/>
                <w:bCs/>
                <w:color w:val="000000"/>
                <w:kern w:val="0"/>
                <w:sz w:val="18"/>
                <w:szCs w:val="18"/>
              </w:rPr>
              <w:t>职责、权限与沟通</w:t>
            </w:r>
          </w:p>
        </w:tc>
      </w:tr>
      <w:tr w14:paraId="191E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F2F2F2"/>
            <w:tcMar>
              <w:top w:w="0" w:type="dxa"/>
              <w:left w:w="105" w:type="dxa"/>
              <w:bottom w:w="0" w:type="dxa"/>
              <w:right w:w="105" w:type="dxa"/>
            </w:tcMar>
          </w:tcPr>
          <w:p w14:paraId="4992A05C">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5.5.1  </w:t>
            </w:r>
            <w:r>
              <w:rPr>
                <w:rFonts w:hint="eastAsia" w:ascii="宋体" w:hAnsi="宋体" w:eastAsia="宋体" w:cs="宋体"/>
                <w:color w:val="000000"/>
                <w:kern w:val="0"/>
                <w:sz w:val="18"/>
                <w:szCs w:val="18"/>
              </w:rPr>
              <w:t>职责与权限</w:t>
            </w:r>
          </w:p>
        </w:tc>
      </w:tr>
      <w:tr w14:paraId="4054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4CEACADD">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组织机构图职责权限规定</w:t>
            </w:r>
            <w:r>
              <w:rPr>
                <w:rFonts w:ascii="宋体" w:hAnsi="宋体" w:eastAsia="宋体" w:cs="宋体"/>
                <w:kern w:val="0"/>
                <w:sz w:val="24"/>
                <w:szCs w:val="24"/>
              </w:rPr>
              <w:br w:type="textWrapping"/>
            </w:r>
          </w:p>
        </w:tc>
        <w:tc>
          <w:tcPr>
            <w:tcW w:w="7325" w:type="dxa"/>
            <w:shd w:val="clear" w:color="auto" w:fill="E2EFD9"/>
            <w:tcMar>
              <w:top w:w="0" w:type="dxa"/>
              <w:left w:w="105" w:type="dxa"/>
              <w:bottom w:w="0" w:type="dxa"/>
              <w:right w:w="105" w:type="dxa"/>
            </w:tcMar>
            <w:vAlign w:val="center"/>
          </w:tcPr>
          <w:p w14:paraId="66756297">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b</w:t>
            </w:r>
            <w:r>
              <w:rPr>
                <w:rFonts w:hint="eastAsia" w:ascii="宋体" w:hAnsi="宋体" w:eastAsia="宋体" w:cs="宋体"/>
                <w:kern w:val="0"/>
                <w:sz w:val="18"/>
                <w:szCs w:val="18"/>
              </w:rPr>
              <w:t>）</w:t>
            </w:r>
            <w:r>
              <w:rPr>
                <w:rFonts w:ascii="宋体" w:hAnsi="宋体" w:eastAsia="宋体" w:cs="宋体"/>
                <w:kern w:val="0"/>
                <w:sz w:val="18"/>
                <w:szCs w:val="18"/>
              </w:rPr>
              <w:t>indent 1Annex XI 6.2,2nd paragraph,reference to Annex IX,2.2(b),indent 1Article 15 </w:t>
            </w:r>
            <w:r>
              <w:rPr>
                <w:rFonts w:hint="eastAsia" w:ascii="宋体" w:hAnsi="宋体" w:eastAsia="宋体" w:cs="宋体"/>
                <w:kern w:val="0"/>
                <w:sz w:val="18"/>
                <w:szCs w:val="18"/>
              </w:rPr>
              <w:t>合规负责人</w:t>
            </w:r>
            <w:r>
              <w:rPr>
                <w:rFonts w:ascii="Calibri" w:hAnsi="Calibri" w:eastAsia="宋体" w:cs="Calibri"/>
                <w:kern w:val="0"/>
                <w:sz w:val="18"/>
                <w:szCs w:val="18"/>
              </w:rPr>
              <w:t>MDCG</w:t>
            </w:r>
            <w:r>
              <w:rPr>
                <w:rFonts w:hint="eastAsia" w:ascii="宋体" w:hAnsi="宋体" w:eastAsia="宋体" w:cs="宋体"/>
                <w:kern w:val="0"/>
                <w:sz w:val="18"/>
                <w:szCs w:val="18"/>
              </w:rPr>
              <w:t>：</w:t>
            </w:r>
            <w:r>
              <w:rPr>
                <w:rFonts w:ascii="Calibri" w:hAnsi="Calibri" w:eastAsia="宋体" w:cs="Calibri"/>
                <w:kern w:val="0"/>
                <w:sz w:val="18"/>
                <w:szCs w:val="18"/>
              </w:rPr>
              <w:t>MDCG 2019-7 guidance on article 15 of the MDR and IVDRregarding a "personresponsible for regulatory compliance"(PRRC)</w:t>
            </w:r>
          </w:p>
        </w:tc>
      </w:tr>
      <w:tr w14:paraId="41F0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F2F2F2"/>
            <w:tcMar>
              <w:top w:w="0" w:type="dxa"/>
              <w:left w:w="105" w:type="dxa"/>
              <w:bottom w:w="0" w:type="dxa"/>
              <w:right w:w="105" w:type="dxa"/>
            </w:tcMar>
          </w:tcPr>
          <w:p w14:paraId="7676ADA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5.5.2  </w:t>
            </w:r>
            <w:r>
              <w:rPr>
                <w:rFonts w:hint="eastAsia" w:ascii="宋体" w:hAnsi="宋体" w:eastAsia="宋体" w:cs="宋体"/>
                <w:color w:val="000000"/>
                <w:kern w:val="0"/>
                <w:sz w:val="18"/>
                <w:szCs w:val="18"/>
              </w:rPr>
              <w:t>管理者代表</w:t>
            </w:r>
          </w:p>
        </w:tc>
      </w:tr>
      <w:tr w14:paraId="3D16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E2EFD9"/>
            <w:tcMar>
              <w:top w:w="0" w:type="dxa"/>
              <w:left w:w="105" w:type="dxa"/>
              <w:bottom w:w="0" w:type="dxa"/>
              <w:right w:w="105" w:type="dxa"/>
            </w:tcMar>
          </w:tcPr>
          <w:p w14:paraId="3E64D39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5.5.3  </w:t>
            </w:r>
            <w:r>
              <w:rPr>
                <w:rFonts w:hint="eastAsia" w:ascii="宋体" w:hAnsi="宋体" w:eastAsia="宋体" w:cs="宋体"/>
                <w:color w:val="000000"/>
                <w:kern w:val="0"/>
                <w:sz w:val="18"/>
                <w:szCs w:val="18"/>
              </w:rPr>
              <w:t>内部沟通</w:t>
            </w:r>
          </w:p>
        </w:tc>
      </w:tr>
      <w:tr w14:paraId="4D98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00B0F0"/>
            <w:tcMar>
              <w:top w:w="0" w:type="dxa"/>
              <w:left w:w="105" w:type="dxa"/>
              <w:bottom w:w="0" w:type="dxa"/>
              <w:right w:w="105" w:type="dxa"/>
            </w:tcMar>
          </w:tcPr>
          <w:p w14:paraId="1B9210B8">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5.6  </w:t>
            </w:r>
            <w:r>
              <w:rPr>
                <w:rFonts w:hint="eastAsia" w:ascii="宋体" w:hAnsi="宋体" w:eastAsia="宋体" w:cs="宋体"/>
                <w:b/>
                <w:bCs/>
                <w:color w:val="000000"/>
                <w:kern w:val="0"/>
                <w:sz w:val="18"/>
                <w:szCs w:val="18"/>
              </w:rPr>
              <w:t>管理评审</w:t>
            </w:r>
            <w:r>
              <w:rPr>
                <w:rFonts w:hint="eastAsia" w:ascii="宋体" w:hAnsi="宋体" w:eastAsia="宋体" w:cs="宋体"/>
                <w:b/>
                <w:bCs/>
                <w:kern w:val="0"/>
                <w:sz w:val="18"/>
                <w:szCs w:val="18"/>
              </w:rPr>
              <w:t>过程控制文件：管理评审控制程序</w:t>
            </w:r>
          </w:p>
        </w:tc>
      </w:tr>
      <w:tr w14:paraId="619C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EA5B912">
            <w:pPr>
              <w:widowControl/>
              <w:wordWrap w:val="0"/>
              <w:jc w:val="center"/>
              <w:rPr>
                <w:rFonts w:ascii="宋体" w:hAnsi="宋体" w:eastAsia="宋体" w:cs="宋体"/>
                <w:kern w:val="0"/>
                <w:sz w:val="24"/>
                <w:szCs w:val="24"/>
              </w:rPr>
            </w:pPr>
            <w:r>
              <w:rPr>
                <w:rFonts w:ascii="宋体" w:hAnsi="宋体" w:eastAsia="宋体" w:cs="宋体"/>
                <w:color w:val="000000"/>
                <w:kern w:val="0"/>
                <w:sz w:val="18"/>
                <w:szCs w:val="18"/>
              </w:rPr>
              <w:t>5.6.1  </w:t>
            </w:r>
            <w:r>
              <w:rPr>
                <w:rFonts w:hint="eastAsia" w:ascii="宋体" w:hAnsi="宋体" w:eastAsia="宋体" w:cs="宋体"/>
                <w:color w:val="000000"/>
                <w:kern w:val="0"/>
                <w:sz w:val="18"/>
                <w:szCs w:val="18"/>
              </w:rPr>
              <w:t>管理评审总则</w:t>
            </w:r>
          </w:p>
        </w:tc>
        <w:tc>
          <w:tcPr>
            <w:tcW w:w="7325" w:type="dxa"/>
            <w:shd w:val="clear" w:color="auto" w:fill="F2F2F2"/>
            <w:tcMar>
              <w:top w:w="0" w:type="dxa"/>
              <w:left w:w="105" w:type="dxa"/>
              <w:bottom w:w="0" w:type="dxa"/>
              <w:right w:w="105" w:type="dxa"/>
            </w:tcMar>
          </w:tcPr>
          <w:p w14:paraId="16B9DAE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p w14:paraId="7310ABC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w:t>
            </w:r>
          </w:p>
        </w:tc>
      </w:tr>
      <w:tr w14:paraId="2F09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A7B9FCA">
            <w:pPr>
              <w:widowControl/>
              <w:wordWrap w:val="0"/>
              <w:jc w:val="center"/>
              <w:rPr>
                <w:rFonts w:ascii="宋体" w:hAnsi="宋体" w:eastAsia="宋体" w:cs="宋体"/>
                <w:kern w:val="0"/>
                <w:sz w:val="24"/>
                <w:szCs w:val="24"/>
              </w:rPr>
            </w:pPr>
            <w:r>
              <w:rPr>
                <w:rFonts w:ascii="宋体" w:hAnsi="宋体" w:eastAsia="宋体" w:cs="宋体"/>
                <w:color w:val="000000"/>
                <w:kern w:val="0"/>
                <w:sz w:val="18"/>
                <w:szCs w:val="18"/>
              </w:rPr>
              <w:t>5.6.2  </w:t>
            </w:r>
            <w:r>
              <w:rPr>
                <w:rFonts w:hint="eastAsia" w:ascii="宋体" w:hAnsi="宋体" w:eastAsia="宋体" w:cs="宋体"/>
                <w:color w:val="000000"/>
                <w:kern w:val="0"/>
                <w:sz w:val="18"/>
                <w:szCs w:val="18"/>
              </w:rPr>
              <w:t>管理评审输入</w:t>
            </w:r>
          </w:p>
        </w:tc>
        <w:tc>
          <w:tcPr>
            <w:tcW w:w="7325" w:type="dxa"/>
            <w:shd w:val="clear" w:color="auto" w:fill="E2EFD9"/>
            <w:tcMar>
              <w:top w:w="0" w:type="dxa"/>
              <w:left w:w="105" w:type="dxa"/>
              <w:bottom w:w="0" w:type="dxa"/>
              <w:right w:w="105" w:type="dxa"/>
            </w:tcMar>
          </w:tcPr>
          <w:p w14:paraId="33ADD67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10-9,1st paragraph,2nd sentence2.2,2nd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8</w:t>
            </w:r>
          </w:p>
        </w:tc>
      </w:tr>
      <w:tr w14:paraId="724A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0DB74FCC">
            <w:pPr>
              <w:widowControl/>
              <w:wordWrap w:val="0"/>
              <w:jc w:val="center"/>
              <w:rPr>
                <w:rFonts w:ascii="宋体" w:hAnsi="宋体" w:eastAsia="宋体" w:cs="宋体"/>
                <w:kern w:val="0"/>
                <w:sz w:val="24"/>
                <w:szCs w:val="24"/>
              </w:rPr>
            </w:pPr>
            <w:r>
              <w:rPr>
                <w:rFonts w:ascii="宋体" w:hAnsi="宋体" w:eastAsia="宋体" w:cs="宋体"/>
                <w:color w:val="000000"/>
                <w:kern w:val="0"/>
                <w:sz w:val="18"/>
                <w:szCs w:val="18"/>
              </w:rPr>
              <w:t>5.6.3  </w:t>
            </w:r>
            <w:r>
              <w:rPr>
                <w:rFonts w:hint="eastAsia" w:ascii="宋体" w:hAnsi="宋体" w:eastAsia="宋体" w:cs="宋体"/>
                <w:color w:val="000000"/>
                <w:kern w:val="0"/>
                <w:sz w:val="18"/>
                <w:szCs w:val="18"/>
              </w:rPr>
              <w:t>管理评审输出</w:t>
            </w:r>
          </w:p>
        </w:tc>
        <w:tc>
          <w:tcPr>
            <w:tcW w:w="7325" w:type="dxa"/>
            <w:shd w:val="clear" w:color="auto" w:fill="F2F2F2"/>
            <w:tcMar>
              <w:top w:w="0" w:type="dxa"/>
              <w:left w:w="105" w:type="dxa"/>
              <w:bottom w:w="0" w:type="dxa"/>
              <w:right w:w="105" w:type="dxa"/>
            </w:tcMar>
          </w:tcPr>
          <w:p w14:paraId="4C7CFEE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10-9,1st paragraph,2nd sentence2.2,2nd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8</w:t>
            </w:r>
          </w:p>
        </w:tc>
      </w:tr>
    </w:tbl>
    <w:p w14:paraId="7A4B6962">
      <w:pPr>
        <w:widowControl/>
        <w:jc w:val="left"/>
        <w:rPr>
          <w:rFonts w:hint="eastAsia" w:ascii="宋体" w:hAnsi="宋体" w:eastAsia="宋体" w:cs="宋体"/>
          <w:kern w:val="0"/>
          <w:sz w:val="24"/>
          <w:szCs w:val="24"/>
        </w:rPr>
      </w:pPr>
    </w:p>
    <w:tbl>
      <w:tblPr>
        <w:tblStyle w:val="6"/>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0"/>
        <w:gridCol w:w="7325"/>
      </w:tblGrid>
      <w:tr w14:paraId="74E9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00B0F0"/>
            <w:tcMar>
              <w:top w:w="0" w:type="dxa"/>
              <w:left w:w="105" w:type="dxa"/>
              <w:bottom w:w="0" w:type="dxa"/>
              <w:right w:w="105" w:type="dxa"/>
            </w:tcMar>
          </w:tcPr>
          <w:p w14:paraId="777F97A2">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6.1  </w:t>
            </w:r>
            <w:r>
              <w:rPr>
                <w:rFonts w:hint="eastAsia" w:ascii="宋体" w:hAnsi="宋体" w:eastAsia="宋体" w:cs="宋体"/>
                <w:b/>
                <w:bCs/>
                <w:color w:val="000000"/>
                <w:kern w:val="0"/>
                <w:sz w:val="18"/>
                <w:szCs w:val="18"/>
              </w:rPr>
              <w:t>资源提供</w:t>
            </w:r>
          </w:p>
        </w:tc>
      </w:tr>
      <w:tr w14:paraId="29AF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0" w:type="dxa"/>
            <w:shd w:val="clear" w:color="auto" w:fill="F2F2F2"/>
            <w:tcMar>
              <w:top w:w="0" w:type="dxa"/>
              <w:left w:w="105" w:type="dxa"/>
              <w:bottom w:w="0" w:type="dxa"/>
              <w:right w:w="105" w:type="dxa"/>
            </w:tcMar>
          </w:tcPr>
          <w:p w14:paraId="2F649DE8">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人、物、环</w:t>
            </w:r>
          </w:p>
        </w:tc>
        <w:tc>
          <w:tcPr>
            <w:tcW w:w="7325" w:type="dxa"/>
            <w:shd w:val="clear" w:color="auto" w:fill="F2F2F2"/>
            <w:tcMar>
              <w:top w:w="0" w:type="dxa"/>
              <w:left w:w="105" w:type="dxa"/>
              <w:bottom w:w="0" w:type="dxa"/>
              <w:right w:w="105" w:type="dxa"/>
            </w:tcMar>
          </w:tcPr>
          <w:p w14:paraId="420A8C2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w:t>
            </w:r>
          </w:p>
        </w:tc>
      </w:tr>
      <w:tr w14:paraId="022E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45AFBE93">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6.2  </w:t>
            </w:r>
            <w:r>
              <w:rPr>
                <w:rFonts w:hint="eastAsia" w:ascii="宋体" w:hAnsi="宋体" w:eastAsia="宋体" w:cs="宋体"/>
                <w:b/>
                <w:bCs/>
                <w:color w:val="000000"/>
                <w:kern w:val="0"/>
                <w:sz w:val="18"/>
                <w:szCs w:val="18"/>
              </w:rPr>
              <w:t>人力资源</w:t>
            </w:r>
          </w:p>
        </w:tc>
      </w:tr>
      <w:tr w14:paraId="3893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5D755B2B">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能力；培训</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过程控制程序：人力资源控制程序</w:t>
            </w:r>
          </w:p>
        </w:tc>
        <w:tc>
          <w:tcPr>
            <w:tcW w:w="7325" w:type="dxa"/>
            <w:shd w:val="clear" w:color="auto" w:fill="E2EFD9"/>
            <w:tcMar>
              <w:top w:w="0" w:type="dxa"/>
              <w:left w:w="105" w:type="dxa"/>
              <w:bottom w:w="0" w:type="dxa"/>
              <w:right w:w="105" w:type="dxa"/>
            </w:tcMar>
            <w:vAlign w:val="center"/>
          </w:tcPr>
          <w:p w14:paraId="7A375A62">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15.1</w:t>
            </w:r>
            <w:r>
              <w:rPr>
                <w:rFonts w:ascii="宋体" w:hAnsi="宋体" w:eastAsia="宋体" w:cs="宋体"/>
                <w:kern w:val="0"/>
                <w:sz w:val="24"/>
                <w:szCs w:val="24"/>
              </w:rPr>
              <w:br w:type="textWrapping"/>
            </w:r>
            <w:r>
              <w:rPr>
                <w:rFonts w:ascii="宋体" w:hAnsi="宋体" w:eastAsia="宋体" w:cs="宋体"/>
                <w:kern w:val="0"/>
                <w:sz w:val="18"/>
                <w:szCs w:val="18"/>
              </w:rPr>
              <w:t>MDCG</w:t>
            </w:r>
            <w:r>
              <w:rPr>
                <w:rFonts w:hint="eastAsia" w:ascii="宋体" w:hAnsi="宋体" w:eastAsia="宋体" w:cs="宋体"/>
                <w:kern w:val="0"/>
                <w:sz w:val="18"/>
                <w:szCs w:val="18"/>
              </w:rPr>
              <w:t>：</w:t>
            </w:r>
            <w:r>
              <w:rPr>
                <w:rFonts w:ascii="宋体" w:hAnsi="宋体" w:eastAsia="宋体" w:cs="宋体"/>
                <w:kern w:val="0"/>
                <w:sz w:val="18"/>
                <w:szCs w:val="18"/>
              </w:rPr>
              <w:t>MDCG 2019-7 guidance onarticle 15 of the MDR and IVDRregarding a "person responsible for regulatorycompliance"(PRRC)</w:t>
            </w:r>
            <w:r>
              <w:rPr>
                <w:rFonts w:ascii="Calibri" w:hAnsi="Calibri" w:eastAsia="宋体" w:cs="Calibri"/>
                <w:kern w:val="0"/>
                <w:sz w:val="18"/>
                <w:szCs w:val="18"/>
              </w:rPr>
              <w:t>Article 34</w:t>
            </w:r>
          </w:p>
        </w:tc>
      </w:tr>
      <w:tr w14:paraId="4A5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0A49BFEF">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6.3  </w:t>
            </w:r>
            <w:r>
              <w:rPr>
                <w:rFonts w:hint="eastAsia" w:ascii="宋体" w:hAnsi="宋体" w:eastAsia="宋体" w:cs="宋体"/>
                <w:b/>
                <w:bCs/>
                <w:color w:val="000000"/>
                <w:kern w:val="0"/>
                <w:sz w:val="18"/>
                <w:szCs w:val="18"/>
              </w:rPr>
              <w:t>基础设施</w:t>
            </w:r>
          </w:p>
        </w:tc>
      </w:tr>
      <w:tr w14:paraId="45B9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F2F2F2"/>
            <w:tcMar>
              <w:top w:w="0" w:type="dxa"/>
              <w:left w:w="105" w:type="dxa"/>
              <w:bottom w:w="0" w:type="dxa"/>
              <w:right w:w="105" w:type="dxa"/>
            </w:tcMar>
          </w:tcPr>
          <w:p w14:paraId="348DF9EA">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建筑物、过程设备、支持性服务</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过程控制程序：基础设施与设备管理控制程序</w:t>
            </w:r>
          </w:p>
        </w:tc>
      </w:tr>
      <w:tr w14:paraId="6537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739639E4">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6.4  </w:t>
            </w:r>
            <w:r>
              <w:rPr>
                <w:rFonts w:hint="eastAsia" w:ascii="宋体" w:hAnsi="宋体" w:eastAsia="宋体" w:cs="宋体"/>
                <w:b/>
                <w:bCs/>
                <w:color w:val="000000"/>
                <w:kern w:val="0"/>
                <w:sz w:val="18"/>
                <w:szCs w:val="18"/>
              </w:rPr>
              <w:t>工作环境和污染控制</w:t>
            </w:r>
          </w:p>
        </w:tc>
      </w:tr>
      <w:tr w14:paraId="4E35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27A3B26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6.4.1  </w:t>
            </w:r>
            <w:r>
              <w:rPr>
                <w:rFonts w:hint="eastAsia" w:ascii="宋体" w:hAnsi="宋体" w:eastAsia="宋体" w:cs="宋体"/>
                <w:color w:val="000000"/>
                <w:kern w:val="0"/>
                <w:sz w:val="18"/>
                <w:szCs w:val="18"/>
              </w:rPr>
              <w:t>工作环境</w:t>
            </w:r>
          </w:p>
        </w:tc>
        <w:tc>
          <w:tcPr>
            <w:tcW w:w="7325" w:type="dxa"/>
            <w:shd w:val="clear" w:color="auto" w:fill="E2EFD9"/>
            <w:tcMar>
              <w:top w:w="0" w:type="dxa"/>
              <w:left w:w="105" w:type="dxa"/>
              <w:bottom w:w="0" w:type="dxa"/>
              <w:right w:w="105" w:type="dxa"/>
            </w:tcMar>
          </w:tcPr>
          <w:p w14:paraId="4DFF177E">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特定人员的健康、清洁和着装</w:t>
            </w:r>
          </w:p>
        </w:tc>
      </w:tr>
      <w:tr w14:paraId="11A5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tcPr>
          <w:p w14:paraId="65E5146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6.4.2  </w:t>
            </w:r>
            <w:r>
              <w:rPr>
                <w:rFonts w:hint="eastAsia" w:ascii="宋体" w:hAnsi="宋体" w:eastAsia="宋体" w:cs="宋体"/>
                <w:color w:val="000000"/>
                <w:kern w:val="0"/>
                <w:sz w:val="18"/>
                <w:szCs w:val="18"/>
              </w:rPr>
              <w:t>污染控制</w:t>
            </w:r>
          </w:p>
        </w:tc>
        <w:tc>
          <w:tcPr>
            <w:tcW w:w="7325" w:type="dxa"/>
            <w:shd w:val="clear" w:color="auto" w:fill="F2F2F2"/>
            <w:tcMar>
              <w:top w:w="0" w:type="dxa"/>
              <w:left w:w="105" w:type="dxa"/>
              <w:bottom w:w="0" w:type="dxa"/>
              <w:right w:w="105" w:type="dxa"/>
            </w:tcMar>
          </w:tcPr>
          <w:p w14:paraId="204BA92D">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工作环境、人员、产品</w:t>
            </w:r>
          </w:p>
        </w:tc>
      </w:tr>
    </w:tbl>
    <w:p w14:paraId="27341484">
      <w:pPr>
        <w:widowControl/>
        <w:shd w:val="clear" w:color="auto" w:fill="FFFFFF"/>
        <w:jc w:val="left"/>
        <w:rPr>
          <w:rFonts w:ascii="Microsoft YaHei UI" w:hAnsi="Microsoft YaHei UI" w:eastAsia="Microsoft YaHei UI" w:cs="宋体"/>
          <w:color w:val="5872D1"/>
          <w:spacing w:val="8"/>
          <w:kern w:val="0"/>
          <w:sz w:val="27"/>
          <w:szCs w:val="27"/>
        </w:rPr>
      </w:pPr>
    </w:p>
    <w:p w14:paraId="1403E4AC">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D-实施</w:t>
      </w:r>
    </w:p>
    <w:p w14:paraId="7468505B">
      <w:pPr>
        <w:widowControl/>
        <w:jc w:val="left"/>
        <w:rPr>
          <w:rFonts w:ascii="宋体" w:hAnsi="宋体" w:eastAsia="宋体" w:cs="宋体"/>
          <w:kern w:val="0"/>
          <w:sz w:val="24"/>
          <w:szCs w:val="24"/>
        </w:rPr>
      </w:pPr>
    </w:p>
    <w:tbl>
      <w:tblPr>
        <w:tblStyle w:val="6"/>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61"/>
        <w:gridCol w:w="7294"/>
      </w:tblGrid>
      <w:tr w14:paraId="7E9F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60DFA3E6">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4.2.1  </w:t>
            </w:r>
            <w:r>
              <w:rPr>
                <w:rFonts w:hint="eastAsia" w:ascii="宋体" w:hAnsi="宋体" w:eastAsia="宋体" w:cs="宋体"/>
                <w:b/>
                <w:bCs/>
                <w:color w:val="000000"/>
                <w:kern w:val="0"/>
                <w:sz w:val="18"/>
                <w:szCs w:val="18"/>
              </w:rPr>
              <w:t>文件要求总则</w:t>
            </w:r>
          </w:p>
        </w:tc>
      </w:tr>
      <w:tr w14:paraId="1B41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F2F2F2"/>
            <w:tcMar>
              <w:top w:w="0" w:type="dxa"/>
              <w:left w:w="105" w:type="dxa"/>
              <w:bottom w:w="0" w:type="dxa"/>
              <w:right w:w="105" w:type="dxa"/>
            </w:tcMar>
            <w:vAlign w:val="center"/>
          </w:tcPr>
          <w:p w14:paraId="4C70B7A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2.1,bullet 2</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5</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6</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2.2,1st paragraph</w:t>
            </w:r>
            <w:r>
              <w:rPr>
                <w:rFonts w:hint="eastAsia" w:ascii="宋体" w:hAnsi="宋体" w:eastAsia="宋体" w:cs="宋体"/>
                <w:color w:val="000000"/>
                <w:kern w:val="0"/>
                <w:sz w:val="18"/>
                <w:szCs w:val="18"/>
              </w:rPr>
              <w:t>；</w:t>
            </w:r>
            <w:r>
              <w:rPr>
                <w:rFonts w:hint="eastAsia" w:ascii="宋体" w:hAnsi="宋体" w:eastAsia="宋体" w:cs="宋体"/>
                <w:color w:val="000000"/>
                <w:kern w:val="0"/>
                <w:szCs w:val="21"/>
              </w:rPr>
              <w:t>合规策略，包括遵守合格评定程序和系统所涵盖的设备修改管理程序</w:t>
            </w:r>
            <w:r>
              <w:rPr>
                <w:rFonts w:ascii="Calibri" w:hAnsi="Calibri" w:eastAsia="宋体" w:cs="Calibri"/>
                <w:color w:val="000000"/>
                <w:kern w:val="0"/>
                <w:szCs w:val="21"/>
              </w:rPr>
              <w:t>;</w:t>
            </w:r>
            <w:r>
              <w:rPr>
                <w:rFonts w:ascii="宋体" w:hAnsi="宋体" w:eastAsia="宋体" w:cs="宋体"/>
                <w:color w:val="000000"/>
                <w:kern w:val="0"/>
                <w:sz w:val="18"/>
                <w:szCs w:val="18"/>
              </w:rPr>
              <w:t>Annex  XI 12,1st paragraph</w:t>
            </w:r>
          </w:p>
        </w:tc>
      </w:tr>
      <w:tr w14:paraId="1E8F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41C786E6">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4.2.2  </w:t>
            </w:r>
            <w:r>
              <w:rPr>
                <w:rFonts w:hint="eastAsia" w:ascii="宋体" w:hAnsi="宋体" w:eastAsia="宋体" w:cs="宋体"/>
                <w:b/>
                <w:bCs/>
                <w:color w:val="000000"/>
                <w:kern w:val="0"/>
                <w:sz w:val="18"/>
                <w:szCs w:val="18"/>
              </w:rPr>
              <w:t>质量手册</w:t>
            </w:r>
            <w:r>
              <w:rPr>
                <w:rFonts w:hint="eastAsia" w:ascii="宋体" w:hAnsi="宋体" w:eastAsia="宋体" w:cs="宋体"/>
                <w:b/>
                <w:bCs/>
                <w:kern w:val="0"/>
                <w:sz w:val="18"/>
                <w:szCs w:val="18"/>
              </w:rPr>
              <w:t>手册引用标准，及上市后监管等</w:t>
            </w:r>
            <w:r>
              <w:rPr>
                <w:rFonts w:ascii="宋体" w:hAnsi="宋体" w:eastAsia="宋体" w:cs="宋体"/>
                <w:b/>
                <w:bCs/>
                <w:kern w:val="0"/>
                <w:sz w:val="18"/>
                <w:szCs w:val="18"/>
              </w:rPr>
              <w:t>1.</w:t>
            </w:r>
            <w:r>
              <w:rPr>
                <w:rFonts w:hint="eastAsia" w:ascii="宋体" w:hAnsi="宋体" w:eastAsia="宋体" w:cs="宋体"/>
                <w:b/>
                <w:bCs/>
                <w:kern w:val="0"/>
                <w:sz w:val="18"/>
                <w:szCs w:val="18"/>
              </w:rPr>
              <w:t>法规范围加入</w:t>
            </w:r>
            <w:r>
              <w:rPr>
                <w:rFonts w:ascii="宋体" w:hAnsi="宋体" w:eastAsia="宋体" w:cs="宋体"/>
                <w:b/>
                <w:bCs/>
                <w:kern w:val="0"/>
                <w:sz w:val="18"/>
                <w:szCs w:val="18"/>
              </w:rPr>
              <w:t>MDR2.</w:t>
            </w:r>
            <w:r>
              <w:rPr>
                <w:rFonts w:hint="eastAsia" w:ascii="宋体" w:hAnsi="宋体" w:eastAsia="宋体" w:cs="宋体"/>
                <w:b/>
                <w:bCs/>
                <w:kern w:val="0"/>
                <w:sz w:val="18"/>
                <w:szCs w:val="18"/>
              </w:rPr>
              <w:t>角色及相关职责要求修改进口商，经销商，授权代表</w:t>
            </w:r>
            <w:r>
              <w:rPr>
                <w:rFonts w:ascii="宋体" w:hAnsi="宋体" w:eastAsia="宋体" w:cs="宋体"/>
                <w:b/>
                <w:bCs/>
                <w:kern w:val="0"/>
                <w:sz w:val="18"/>
                <w:szCs w:val="18"/>
              </w:rPr>
              <w:t> </w:t>
            </w:r>
            <w:r>
              <w:rPr>
                <w:rFonts w:hint="eastAsia" w:ascii="宋体" w:hAnsi="宋体" w:eastAsia="宋体" w:cs="宋体"/>
                <w:b/>
                <w:bCs/>
                <w:kern w:val="0"/>
                <w:sz w:val="18"/>
                <w:szCs w:val="18"/>
              </w:rPr>
              <w:t>，制造商</w:t>
            </w:r>
            <w:r>
              <w:rPr>
                <w:rFonts w:ascii="宋体" w:hAnsi="宋体" w:eastAsia="宋体" w:cs="宋体"/>
                <w:b/>
                <w:bCs/>
                <w:kern w:val="0"/>
                <w:sz w:val="18"/>
                <w:szCs w:val="18"/>
              </w:rPr>
              <w:t>3.</w:t>
            </w:r>
            <w:r>
              <w:rPr>
                <w:rFonts w:hint="eastAsia" w:ascii="宋体" w:hAnsi="宋体" w:eastAsia="宋体" w:cs="宋体"/>
                <w:b/>
                <w:bCs/>
                <w:kern w:val="0"/>
                <w:sz w:val="18"/>
                <w:szCs w:val="18"/>
              </w:rPr>
              <w:t>内容增加</w:t>
            </w:r>
            <w:r>
              <w:rPr>
                <w:rFonts w:ascii="宋体" w:hAnsi="宋体" w:eastAsia="宋体" w:cs="宋体"/>
                <w:b/>
                <w:bCs/>
                <w:kern w:val="0"/>
                <w:sz w:val="18"/>
                <w:szCs w:val="18"/>
              </w:rPr>
              <w:t>MDR</w:t>
            </w:r>
            <w:r>
              <w:rPr>
                <w:rFonts w:hint="eastAsia" w:ascii="宋体" w:hAnsi="宋体" w:eastAsia="宋体" w:cs="宋体"/>
                <w:b/>
                <w:bCs/>
                <w:kern w:val="0"/>
                <w:sz w:val="18"/>
                <w:szCs w:val="18"/>
              </w:rPr>
              <w:t>新的要求</w:t>
            </w:r>
            <w:r>
              <w:rPr>
                <w:rFonts w:ascii="Calibri" w:hAnsi="Calibri" w:eastAsia="宋体" w:cs="Calibri"/>
                <w:b/>
                <w:bCs/>
                <w:kern w:val="0"/>
                <w:sz w:val="18"/>
                <w:szCs w:val="18"/>
              </w:rPr>
              <w:t>4.</w:t>
            </w:r>
            <w:r>
              <w:rPr>
                <w:rFonts w:hint="eastAsia" w:ascii="宋体" w:hAnsi="宋体" w:eastAsia="宋体" w:cs="宋体"/>
                <w:b/>
                <w:bCs/>
                <w:kern w:val="0"/>
                <w:sz w:val="18"/>
                <w:szCs w:val="18"/>
              </w:rPr>
              <w:t>组织结构图需要包括法规符合性负责人</w:t>
            </w:r>
            <w:r>
              <w:rPr>
                <w:rFonts w:hint="eastAsia" w:ascii="宋体" w:hAnsi="宋体" w:eastAsia="宋体" w:cs="宋体"/>
                <w:b/>
                <w:bCs/>
                <w:kern w:val="0"/>
                <w:sz w:val="18"/>
                <w:szCs w:val="18"/>
              </w:rPr>
              <w:br w:type="textWrapping"/>
            </w:r>
          </w:p>
        </w:tc>
      </w:tr>
      <w:tr w14:paraId="18F9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tcPr>
          <w:p w14:paraId="70E84057">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4.2.3  </w:t>
            </w:r>
            <w:r>
              <w:rPr>
                <w:rFonts w:hint="eastAsia" w:ascii="宋体" w:hAnsi="宋体" w:eastAsia="宋体" w:cs="宋体"/>
                <w:b/>
                <w:bCs/>
                <w:color w:val="000000"/>
                <w:kern w:val="0"/>
                <w:sz w:val="18"/>
                <w:szCs w:val="18"/>
              </w:rPr>
              <w:t>医疗器械文档</w:t>
            </w:r>
          </w:p>
        </w:tc>
      </w:tr>
      <w:tr w14:paraId="1A7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91" w:type="dxa"/>
            <w:shd w:val="clear" w:color="auto" w:fill="E2EFD9"/>
            <w:tcMar>
              <w:top w:w="0" w:type="dxa"/>
              <w:left w:w="105" w:type="dxa"/>
              <w:bottom w:w="0" w:type="dxa"/>
              <w:right w:w="105" w:type="dxa"/>
            </w:tcMar>
          </w:tcPr>
          <w:p w14:paraId="2DCDE4BE">
            <w:pPr>
              <w:widowControl/>
              <w:wordWrap w:val="0"/>
              <w:jc w:val="left"/>
              <w:rPr>
                <w:rFonts w:ascii="宋体" w:hAnsi="宋体" w:eastAsia="宋体" w:cs="宋体"/>
                <w:kern w:val="0"/>
                <w:sz w:val="24"/>
                <w:szCs w:val="24"/>
              </w:rPr>
            </w:pPr>
            <w:r>
              <w:rPr>
                <w:rFonts w:ascii="宋体" w:hAnsi="宋体" w:eastAsia="宋体" w:cs="宋体"/>
                <w:kern w:val="0"/>
                <w:sz w:val="18"/>
                <w:szCs w:val="18"/>
              </w:rPr>
              <w:t>如适用，组织应以清晰、有组织、易于检索和表达明确的方式提出其编制的技术文件及其总结，并应特别包括以下要素及欧盟对CE</w:t>
            </w:r>
            <w:r>
              <w:rPr>
                <w:rFonts w:hint="eastAsia" w:ascii="宋体" w:hAnsi="宋体" w:eastAsia="宋体" w:cs="宋体"/>
                <w:kern w:val="0"/>
                <w:sz w:val="18"/>
                <w:szCs w:val="18"/>
              </w:rPr>
              <w:t>技术要求：</w:t>
            </w:r>
          </w:p>
          <w:p w14:paraId="4ECD12B5">
            <w:pPr>
              <w:widowControl/>
              <w:wordWrap w:val="0"/>
              <w:jc w:val="left"/>
              <w:rPr>
                <w:rFonts w:ascii="宋体" w:hAnsi="宋体" w:eastAsia="宋体" w:cs="宋体"/>
                <w:kern w:val="0"/>
                <w:sz w:val="24"/>
                <w:szCs w:val="24"/>
              </w:rPr>
            </w:pPr>
            <w:r>
              <w:rPr>
                <w:rFonts w:ascii="宋体" w:hAnsi="宋体" w:eastAsia="宋体" w:cs="宋体"/>
                <w:kern w:val="0"/>
                <w:sz w:val="18"/>
                <w:szCs w:val="18"/>
              </w:rPr>
              <w:t>a)</w:t>
            </w:r>
            <w:r>
              <w:rPr>
                <w:rFonts w:hint="eastAsia" w:ascii="宋体" w:hAnsi="宋体" w:eastAsia="宋体" w:cs="宋体"/>
                <w:kern w:val="0"/>
                <w:sz w:val="18"/>
                <w:szCs w:val="18"/>
              </w:rPr>
              <w:t>器械说明与性能指标</w:t>
            </w:r>
            <w:r>
              <w:rPr>
                <w:rFonts w:ascii="宋体" w:hAnsi="宋体" w:eastAsia="宋体" w:cs="宋体"/>
                <w:kern w:val="0"/>
                <w:sz w:val="18"/>
                <w:szCs w:val="18"/>
              </w:rPr>
              <w:t>b)</w:t>
            </w:r>
            <w:r>
              <w:rPr>
                <w:rFonts w:hint="eastAsia" w:ascii="宋体" w:hAnsi="宋体" w:eastAsia="宋体" w:cs="宋体"/>
                <w:kern w:val="0"/>
                <w:sz w:val="18"/>
                <w:szCs w:val="18"/>
              </w:rPr>
              <w:t>制造商提供的信息</w:t>
            </w:r>
            <w:r>
              <w:rPr>
                <w:rFonts w:ascii="宋体" w:hAnsi="宋体" w:eastAsia="宋体" w:cs="宋体"/>
                <w:kern w:val="0"/>
                <w:sz w:val="18"/>
                <w:szCs w:val="18"/>
              </w:rPr>
              <w:t>c)</w:t>
            </w:r>
            <w:r>
              <w:rPr>
                <w:rFonts w:hint="eastAsia" w:ascii="宋体" w:hAnsi="宋体" w:eastAsia="宋体" w:cs="宋体"/>
                <w:kern w:val="0"/>
                <w:sz w:val="18"/>
                <w:szCs w:val="18"/>
              </w:rPr>
              <w:t>设计与制造信息</w:t>
            </w:r>
            <w:r>
              <w:rPr>
                <w:rFonts w:ascii="宋体" w:hAnsi="宋体" w:eastAsia="宋体" w:cs="宋体"/>
                <w:kern w:val="0"/>
                <w:sz w:val="18"/>
                <w:szCs w:val="18"/>
              </w:rPr>
              <w:t>d)</w:t>
            </w:r>
            <w:r>
              <w:rPr>
                <w:rFonts w:hint="eastAsia" w:ascii="宋体" w:hAnsi="宋体" w:eastAsia="宋体" w:cs="宋体"/>
                <w:kern w:val="0"/>
                <w:sz w:val="18"/>
                <w:szCs w:val="18"/>
              </w:rPr>
              <w:t>通用安全与性能要求</w:t>
            </w:r>
            <w:r>
              <w:rPr>
                <w:rFonts w:ascii="宋体" w:hAnsi="宋体" w:eastAsia="宋体" w:cs="宋体"/>
                <w:kern w:val="0"/>
                <w:sz w:val="18"/>
                <w:szCs w:val="18"/>
              </w:rPr>
              <w:t>e)</w:t>
            </w:r>
            <w:r>
              <w:rPr>
                <w:rFonts w:hint="eastAsia" w:ascii="宋体" w:hAnsi="宋体" w:eastAsia="宋体" w:cs="宋体"/>
                <w:kern w:val="0"/>
                <w:sz w:val="18"/>
                <w:szCs w:val="18"/>
              </w:rPr>
              <w:t>风险利益分析和风险管理</w:t>
            </w:r>
            <w:r>
              <w:rPr>
                <w:rFonts w:ascii="宋体" w:hAnsi="宋体" w:eastAsia="宋体" w:cs="宋体"/>
                <w:kern w:val="0"/>
                <w:sz w:val="18"/>
                <w:szCs w:val="18"/>
              </w:rPr>
              <w:t>f)</w:t>
            </w:r>
            <w:r>
              <w:rPr>
                <w:rFonts w:hint="eastAsia" w:ascii="宋体" w:hAnsi="宋体" w:eastAsia="宋体" w:cs="宋体"/>
                <w:kern w:val="0"/>
                <w:sz w:val="18"/>
                <w:szCs w:val="18"/>
              </w:rPr>
              <w:t>产品验证与确认</w:t>
            </w:r>
            <w:r>
              <w:rPr>
                <w:rFonts w:ascii="Calibri" w:hAnsi="Calibri" w:eastAsia="宋体" w:cs="Calibri"/>
                <w:kern w:val="0"/>
                <w:sz w:val="18"/>
                <w:szCs w:val="18"/>
              </w:rPr>
              <w:t>g)PMS plan</w:t>
            </w:r>
          </w:p>
        </w:tc>
        <w:tc>
          <w:tcPr>
            <w:tcW w:w="7364" w:type="dxa"/>
            <w:shd w:val="clear" w:color="auto" w:fill="E2EFD9"/>
            <w:tcMar>
              <w:top w:w="0" w:type="dxa"/>
              <w:left w:w="105" w:type="dxa"/>
              <w:bottom w:w="0" w:type="dxa"/>
              <w:right w:w="105" w:type="dxa"/>
            </w:tcMar>
            <w:vAlign w:val="center"/>
          </w:tcPr>
          <w:p w14:paraId="2C5380B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10-4,1st paragraphArticle  10-5Article  10-9,3rd paragraph(b)Article10-11Article  10-15Annex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6Annex  XI 6.1,bullet 2Annex  IX-7</w:t>
            </w:r>
          </w:p>
        </w:tc>
      </w:tr>
      <w:tr w14:paraId="0B9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13825F60">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4.2.4  </w:t>
            </w:r>
            <w:r>
              <w:rPr>
                <w:rFonts w:hint="eastAsia" w:ascii="宋体" w:hAnsi="宋体" w:eastAsia="宋体" w:cs="宋体"/>
                <w:b/>
                <w:bCs/>
                <w:color w:val="000000"/>
                <w:kern w:val="0"/>
                <w:sz w:val="18"/>
                <w:szCs w:val="18"/>
              </w:rPr>
              <w:t>文件控制</w:t>
            </w:r>
          </w:p>
        </w:tc>
      </w:tr>
      <w:tr w14:paraId="4212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91" w:type="dxa"/>
            <w:shd w:val="clear" w:color="auto" w:fill="F2F2F2"/>
            <w:tcMar>
              <w:top w:w="0" w:type="dxa"/>
              <w:left w:w="105" w:type="dxa"/>
              <w:bottom w:w="0" w:type="dxa"/>
              <w:right w:w="105" w:type="dxa"/>
            </w:tcMar>
            <w:vAlign w:val="center"/>
          </w:tcPr>
          <w:p w14:paraId="6D94EDC4">
            <w:pPr>
              <w:widowControl/>
              <w:wordWrap w:val="0"/>
              <w:jc w:val="left"/>
              <w:rPr>
                <w:rFonts w:ascii="宋体" w:hAnsi="宋体" w:eastAsia="宋体" w:cs="宋体"/>
                <w:kern w:val="0"/>
                <w:sz w:val="24"/>
                <w:szCs w:val="24"/>
              </w:rPr>
            </w:pPr>
            <w:r>
              <w:rPr>
                <w:rFonts w:ascii="宋体" w:hAnsi="宋体" w:eastAsia="宋体" w:cs="宋体"/>
                <w:kern w:val="0"/>
                <w:sz w:val="18"/>
                <w:szCs w:val="18"/>
              </w:rPr>
              <w:t>过程控制文件：</w:t>
            </w:r>
          </w:p>
          <w:p w14:paraId="05727A48">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文件控制程序</w:t>
            </w:r>
            <w:r>
              <w:rPr>
                <w:rFonts w:ascii="宋体" w:hAnsi="宋体" w:eastAsia="宋体" w:cs="宋体"/>
                <w:kern w:val="0"/>
                <w:sz w:val="18"/>
                <w:szCs w:val="18"/>
              </w:rPr>
              <w:t>CE</w:t>
            </w:r>
            <w:r>
              <w:rPr>
                <w:rFonts w:hint="eastAsia" w:ascii="宋体" w:hAnsi="宋体" w:eastAsia="宋体" w:cs="宋体"/>
                <w:kern w:val="0"/>
                <w:sz w:val="18"/>
                <w:szCs w:val="18"/>
              </w:rPr>
              <w:t>产品技术文件控制程序</w:t>
            </w:r>
            <w:r>
              <w:rPr>
                <w:rFonts w:ascii="宋体" w:hAnsi="宋体" w:eastAsia="宋体" w:cs="宋体"/>
                <w:kern w:val="0"/>
                <w:sz w:val="18"/>
                <w:szCs w:val="18"/>
              </w:rPr>
              <w:t>CE</w:t>
            </w:r>
            <w:r>
              <w:rPr>
                <w:rFonts w:hint="eastAsia" w:ascii="宋体" w:hAnsi="宋体" w:eastAsia="宋体" w:cs="宋体"/>
                <w:kern w:val="0"/>
                <w:sz w:val="18"/>
                <w:szCs w:val="18"/>
              </w:rPr>
              <w:t>技术文件应符合附录</w:t>
            </w:r>
            <w:r>
              <w:rPr>
                <w:rFonts w:ascii="宋体" w:hAnsi="宋体" w:eastAsia="宋体" w:cs="宋体"/>
                <w:kern w:val="0"/>
                <w:sz w:val="18"/>
                <w:szCs w:val="18"/>
              </w:rPr>
              <w:t>II&amp;III</w:t>
            </w:r>
            <w:r>
              <w:rPr>
                <w:rFonts w:hint="eastAsia" w:ascii="宋体" w:hAnsi="宋体" w:eastAsia="宋体" w:cs="宋体"/>
                <w:kern w:val="0"/>
                <w:sz w:val="18"/>
                <w:szCs w:val="18"/>
              </w:rPr>
              <w:t>要求；并按法规要求予以保留；外来文件的更新；</w:t>
            </w:r>
            <w:r>
              <w:rPr>
                <w:rFonts w:ascii="宋体" w:hAnsi="宋体" w:eastAsia="宋体" w:cs="宋体"/>
                <w:kern w:val="0"/>
                <w:sz w:val="18"/>
                <w:szCs w:val="18"/>
              </w:rPr>
              <w:t>MDR GAP analysis；</w:t>
            </w:r>
            <w:r>
              <w:rPr>
                <w:rFonts w:hint="eastAsia" w:ascii="宋体" w:hAnsi="宋体" w:eastAsia="宋体" w:cs="宋体"/>
                <w:kern w:val="0"/>
                <w:sz w:val="18"/>
                <w:szCs w:val="18"/>
              </w:rPr>
              <w:t>文件保存期限要求；</w:t>
            </w:r>
          </w:p>
        </w:tc>
        <w:tc>
          <w:tcPr>
            <w:tcW w:w="7364" w:type="dxa"/>
            <w:shd w:val="clear" w:color="auto" w:fill="F2F2F2"/>
            <w:tcMar>
              <w:top w:w="0" w:type="dxa"/>
              <w:left w:w="105" w:type="dxa"/>
              <w:bottom w:w="0" w:type="dxa"/>
              <w:right w:w="105" w:type="dxa"/>
            </w:tcMar>
            <w:vAlign w:val="center"/>
          </w:tcPr>
          <w:p w14:paraId="13C9DC39">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10-4,1st paragraph</w:t>
            </w:r>
            <w:r>
              <w:rPr>
                <w:rFonts w:hint="eastAsia" w:ascii="宋体" w:hAnsi="宋体" w:eastAsia="宋体" w:cs="宋体"/>
                <w:kern w:val="0"/>
                <w:sz w:val="18"/>
                <w:szCs w:val="18"/>
              </w:rPr>
              <w:t>非定制设备的制造商应制定并更新这些设备的技术文件。技术文件应允许评估设备是否符合本法规的要求。技术文件应包括附件</w:t>
            </w:r>
            <w:r>
              <w:rPr>
                <w:rFonts w:ascii="Calibri" w:hAnsi="Calibri" w:eastAsia="宋体" w:cs="Calibri"/>
                <w:kern w:val="0"/>
                <w:sz w:val="18"/>
                <w:szCs w:val="18"/>
              </w:rPr>
              <w:t> II </w:t>
            </w:r>
            <w:r>
              <w:rPr>
                <w:rFonts w:hint="eastAsia" w:ascii="宋体" w:hAnsi="宋体" w:eastAsia="宋体" w:cs="宋体"/>
                <w:kern w:val="0"/>
                <w:sz w:val="18"/>
                <w:szCs w:val="18"/>
              </w:rPr>
              <w:t>和</w:t>
            </w:r>
            <w:r>
              <w:rPr>
                <w:rFonts w:ascii="Calibri" w:hAnsi="Calibri" w:eastAsia="宋体" w:cs="Calibri"/>
                <w:kern w:val="0"/>
                <w:sz w:val="18"/>
                <w:szCs w:val="18"/>
              </w:rPr>
              <w:t> III </w:t>
            </w:r>
            <w:r>
              <w:rPr>
                <w:rFonts w:hint="eastAsia" w:ascii="宋体" w:hAnsi="宋体" w:eastAsia="宋体" w:cs="宋体"/>
                <w:kern w:val="0"/>
                <w:sz w:val="18"/>
                <w:szCs w:val="18"/>
              </w:rPr>
              <w:t>中列出的要素。</w:t>
            </w:r>
          </w:p>
        </w:tc>
      </w:tr>
      <w:tr w14:paraId="47E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4FA6AAB3">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4.2.5  </w:t>
            </w:r>
            <w:r>
              <w:rPr>
                <w:rFonts w:hint="eastAsia" w:ascii="宋体" w:hAnsi="宋体" w:eastAsia="宋体" w:cs="宋体"/>
                <w:b/>
                <w:bCs/>
                <w:color w:val="000000"/>
                <w:kern w:val="0"/>
                <w:sz w:val="18"/>
                <w:szCs w:val="18"/>
              </w:rPr>
              <w:t>记录控制</w:t>
            </w:r>
          </w:p>
        </w:tc>
      </w:tr>
      <w:tr w14:paraId="5004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91" w:type="dxa"/>
            <w:shd w:val="clear" w:color="auto" w:fill="E2EFD9"/>
            <w:tcMar>
              <w:top w:w="0" w:type="dxa"/>
              <w:left w:w="105" w:type="dxa"/>
              <w:bottom w:w="0" w:type="dxa"/>
              <w:right w:w="105" w:type="dxa"/>
            </w:tcMar>
            <w:vAlign w:val="center"/>
          </w:tcPr>
          <w:p w14:paraId="496E55F2">
            <w:pPr>
              <w:widowControl/>
              <w:wordWrap w:val="0"/>
              <w:jc w:val="left"/>
              <w:rPr>
                <w:rFonts w:ascii="宋体" w:hAnsi="宋体" w:eastAsia="宋体" w:cs="宋体"/>
                <w:kern w:val="0"/>
                <w:sz w:val="24"/>
                <w:szCs w:val="24"/>
              </w:rPr>
            </w:pPr>
            <w:r>
              <w:rPr>
                <w:rFonts w:ascii="宋体" w:hAnsi="宋体" w:eastAsia="宋体" w:cs="宋体"/>
                <w:kern w:val="0"/>
                <w:sz w:val="18"/>
                <w:szCs w:val="18"/>
              </w:rPr>
              <w:t>明确组织记录文件类型，并受控保存；</w:t>
            </w:r>
            <w:r>
              <w:rPr>
                <w:rFonts w:ascii="宋体" w:hAnsi="宋体" w:eastAsia="宋体" w:cs="宋体"/>
                <w:kern w:val="0"/>
                <w:sz w:val="24"/>
                <w:szCs w:val="24"/>
              </w:rPr>
              <w:br w:type="textWrapping"/>
            </w:r>
          </w:p>
        </w:tc>
        <w:tc>
          <w:tcPr>
            <w:tcW w:w="7364" w:type="dxa"/>
            <w:shd w:val="clear" w:color="auto" w:fill="E2EFD9"/>
            <w:tcMar>
              <w:top w:w="0" w:type="dxa"/>
              <w:left w:w="105" w:type="dxa"/>
              <w:bottom w:w="0" w:type="dxa"/>
              <w:right w:w="105" w:type="dxa"/>
            </w:tcMar>
            <w:vAlign w:val="center"/>
          </w:tcPr>
          <w:p w14:paraId="28E40E44">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10-8,1st</w:t>
            </w:r>
            <w:r>
              <w:rPr>
                <w:rFonts w:ascii="宋体" w:hAnsi="宋体" w:eastAsia="宋体" w:cs="宋体"/>
                <w:kern w:val="0"/>
                <w:sz w:val="24"/>
                <w:szCs w:val="24"/>
              </w:rPr>
              <w:br w:type="textWrapping"/>
            </w:r>
            <w:r>
              <w:rPr>
                <w:rFonts w:hint="eastAsia" w:ascii="宋体" w:hAnsi="宋体" w:eastAsia="宋体" w:cs="宋体"/>
                <w:kern w:val="0"/>
                <w:sz w:val="18"/>
                <w:szCs w:val="18"/>
              </w:rPr>
              <w:t>制造商应将根据第</w:t>
            </w:r>
            <w:r>
              <w:rPr>
                <w:rFonts w:ascii="宋体" w:hAnsi="宋体" w:eastAsia="宋体" w:cs="宋体"/>
                <w:kern w:val="0"/>
                <w:sz w:val="18"/>
                <w:szCs w:val="18"/>
              </w:rPr>
              <w:t>56 </w:t>
            </w:r>
            <w:r>
              <w:rPr>
                <w:rFonts w:hint="eastAsia" w:ascii="宋体" w:hAnsi="宋体" w:eastAsia="宋体" w:cs="宋体"/>
                <w:kern w:val="0"/>
                <w:sz w:val="18"/>
                <w:szCs w:val="18"/>
              </w:rPr>
              <w:t>条颁发的技术文件、欧盟符合性声明以及任何相关证书（包括任何修改和补充）的副本（如适用）保存至少</w:t>
            </w:r>
            <w:r>
              <w:rPr>
                <w:rFonts w:ascii="宋体" w:hAnsi="宋体" w:eastAsia="宋体" w:cs="宋体"/>
                <w:kern w:val="0"/>
                <w:sz w:val="18"/>
                <w:szCs w:val="18"/>
              </w:rPr>
              <w:t>10 </w:t>
            </w:r>
            <w:r>
              <w:rPr>
                <w:rFonts w:hint="eastAsia" w:ascii="宋体" w:hAnsi="宋体" w:eastAsia="宋体" w:cs="宋体"/>
                <w:kern w:val="0"/>
                <w:sz w:val="18"/>
                <w:szCs w:val="18"/>
              </w:rPr>
              <w:t>年，以供主管当局使用在欧盟符合性声明涵盖的最后一个设备投放市场后。对于植入式器械，期限应为最后一个器械投放市场后至少</w:t>
            </w:r>
            <w:r>
              <w:rPr>
                <w:rFonts w:ascii="宋体" w:hAnsi="宋体" w:eastAsia="宋体" w:cs="宋体"/>
                <w:kern w:val="0"/>
                <w:sz w:val="18"/>
                <w:szCs w:val="18"/>
              </w:rPr>
              <w:t>15 </w:t>
            </w:r>
            <w:r>
              <w:rPr>
                <w:rFonts w:hint="eastAsia" w:ascii="宋体" w:hAnsi="宋体" w:eastAsia="宋体" w:cs="宋体"/>
                <w:kern w:val="0"/>
                <w:sz w:val="18"/>
                <w:szCs w:val="18"/>
              </w:rPr>
              <w:t>年。</w:t>
            </w:r>
            <w:r>
              <w:rPr>
                <w:rFonts w:ascii="宋体" w:hAnsi="宋体" w:eastAsia="宋体" w:cs="宋体"/>
                <w:kern w:val="0"/>
                <w:sz w:val="18"/>
                <w:szCs w:val="18"/>
              </w:rPr>
              <w:t>Article 10-8,3rd  paragraph</w:t>
            </w:r>
            <w:r>
              <w:rPr>
                <w:rFonts w:hint="eastAsia" w:ascii="宋体" w:hAnsi="宋体" w:eastAsia="宋体" w:cs="宋体"/>
                <w:kern w:val="0"/>
                <w:sz w:val="18"/>
                <w:szCs w:val="18"/>
              </w:rPr>
              <w:t>在欧盟以外注册营业地的制造商，为了使其授权代表能够完成第</w:t>
            </w:r>
            <w:r>
              <w:rPr>
                <w:rFonts w:ascii="Calibri" w:hAnsi="Calibri" w:eastAsia="宋体" w:cs="Calibri"/>
                <w:kern w:val="0"/>
                <w:sz w:val="18"/>
                <w:szCs w:val="18"/>
              </w:rPr>
              <w:t> 11 </w:t>
            </w:r>
            <w:r>
              <w:rPr>
                <w:rFonts w:hint="eastAsia" w:ascii="宋体" w:hAnsi="宋体" w:eastAsia="宋体" w:cs="宋体"/>
                <w:kern w:val="0"/>
                <w:sz w:val="18"/>
                <w:szCs w:val="18"/>
              </w:rPr>
              <w:t>条第</w:t>
            </w:r>
            <w:r>
              <w:rPr>
                <w:rFonts w:ascii="Calibri" w:hAnsi="Calibri" w:eastAsia="宋体" w:cs="Calibri"/>
                <w:kern w:val="0"/>
                <w:sz w:val="18"/>
                <w:szCs w:val="18"/>
              </w:rPr>
              <w:t> 3 </w:t>
            </w:r>
            <w:r>
              <w:rPr>
                <w:rFonts w:hint="eastAsia" w:ascii="宋体" w:hAnsi="宋体" w:eastAsia="宋体" w:cs="宋体"/>
                <w:kern w:val="0"/>
                <w:sz w:val="18"/>
                <w:szCs w:val="18"/>
              </w:rPr>
              <w:t>款中提到的任务，应确保授权代表拥有永久可用的必要文件。</w:t>
            </w:r>
          </w:p>
        </w:tc>
      </w:tr>
    </w:tbl>
    <w:p w14:paraId="45DAAEC7">
      <w:pPr>
        <w:widowControl/>
        <w:jc w:val="left"/>
        <w:rPr>
          <w:rFonts w:ascii="宋体" w:hAnsi="宋体" w:eastAsia="宋体" w:cs="宋体"/>
          <w:kern w:val="0"/>
          <w:sz w:val="24"/>
          <w:szCs w:val="24"/>
        </w:rPr>
      </w:pPr>
    </w:p>
    <w:tbl>
      <w:tblPr>
        <w:tblStyle w:val="6"/>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0"/>
        <w:gridCol w:w="7325"/>
      </w:tblGrid>
      <w:tr w14:paraId="5A62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716FD757">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7.1  </w:t>
            </w:r>
            <w:r>
              <w:rPr>
                <w:rFonts w:hint="eastAsia" w:ascii="宋体" w:hAnsi="宋体" w:eastAsia="宋体" w:cs="宋体"/>
                <w:b/>
                <w:bCs/>
                <w:color w:val="000000"/>
                <w:kern w:val="0"/>
                <w:sz w:val="18"/>
                <w:szCs w:val="18"/>
              </w:rPr>
              <w:t>产品实现的策划</w:t>
            </w:r>
          </w:p>
          <w:p w14:paraId="6AA516A5">
            <w:pPr>
              <w:widowControl/>
              <w:wordWrap w:val="0"/>
              <w:jc w:val="left"/>
              <w:rPr>
                <w:rFonts w:ascii="宋体" w:hAnsi="宋体" w:eastAsia="宋体" w:cs="宋体"/>
                <w:kern w:val="0"/>
                <w:sz w:val="24"/>
                <w:szCs w:val="24"/>
              </w:rPr>
            </w:pPr>
            <w:r>
              <w:rPr>
                <w:rFonts w:ascii="宋体" w:hAnsi="宋体" w:eastAsia="宋体" w:cs="宋体"/>
                <w:kern w:val="0"/>
                <w:sz w:val="24"/>
                <w:szCs w:val="24"/>
              </w:rPr>
              <w:br w:type="textWrapping"/>
            </w:r>
          </w:p>
        </w:tc>
      </w:tr>
      <w:tr w14:paraId="0CBB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525D8CF">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产品实现过程</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目标、要求资源检测活动及准则予以记录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风险管理控制程序更新</w:t>
            </w:r>
          </w:p>
        </w:tc>
        <w:tc>
          <w:tcPr>
            <w:tcW w:w="7325" w:type="dxa"/>
            <w:shd w:val="clear" w:color="auto" w:fill="F2F2F2"/>
            <w:tcMar>
              <w:top w:w="0" w:type="dxa"/>
              <w:left w:w="105" w:type="dxa"/>
              <w:bottom w:w="0" w:type="dxa"/>
              <w:right w:w="105" w:type="dxa"/>
            </w:tcMar>
            <w:vAlign w:val="center"/>
          </w:tcPr>
          <w:p w14:paraId="67FB491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10-1Article10-9,3rd  paragraph(g)Annex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IX,2.2(a)</w:t>
            </w:r>
          </w:p>
          <w:p w14:paraId="2E30445C">
            <w:pPr>
              <w:widowControl/>
              <w:wordWrap w:val="0"/>
              <w:jc w:val="left"/>
              <w:rPr>
                <w:rFonts w:ascii="宋体" w:hAnsi="宋体" w:eastAsia="宋体" w:cs="宋体"/>
                <w:kern w:val="0"/>
                <w:sz w:val="24"/>
                <w:szCs w:val="24"/>
              </w:rPr>
            </w:pPr>
          </w:p>
        </w:tc>
      </w:tr>
      <w:tr w14:paraId="4D76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4225005D">
            <w:pPr>
              <w:widowControl/>
              <w:wordWrap w:val="0"/>
              <w:jc w:val="left"/>
              <w:rPr>
                <w:rFonts w:ascii="宋体" w:hAnsi="宋体" w:eastAsia="宋体" w:cs="宋体"/>
                <w:kern w:val="0"/>
                <w:sz w:val="18"/>
                <w:szCs w:val="18"/>
              </w:rPr>
            </w:pPr>
            <w:r>
              <w:rPr>
                <w:rFonts w:hint="eastAsia" w:ascii="宋体" w:hAnsi="宋体" w:eastAsia="宋体" w:cs="宋体"/>
                <w:color w:val="000000"/>
                <w:kern w:val="0"/>
                <w:sz w:val="18"/>
                <w:szCs w:val="18"/>
              </w:rPr>
              <w:t>风险管理</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过程控制文件：风险管理控制程序</w:t>
            </w:r>
          </w:p>
          <w:p w14:paraId="09E17916">
            <w:pPr>
              <w:widowControl/>
              <w:wordWrap w:val="0"/>
              <w:jc w:val="left"/>
              <w:rPr>
                <w:rFonts w:hint="eastAsia" w:ascii="宋体" w:hAnsi="宋体" w:eastAsia="宋体" w:cs="宋体"/>
                <w:kern w:val="0"/>
                <w:sz w:val="24"/>
                <w:szCs w:val="24"/>
              </w:rPr>
            </w:pPr>
          </w:p>
        </w:tc>
        <w:tc>
          <w:tcPr>
            <w:tcW w:w="7325" w:type="dxa"/>
            <w:shd w:val="clear" w:color="auto" w:fill="E2EFD9"/>
            <w:tcMar>
              <w:top w:w="0" w:type="dxa"/>
              <w:left w:w="105" w:type="dxa"/>
              <w:bottom w:w="0" w:type="dxa"/>
              <w:right w:w="105" w:type="dxa"/>
            </w:tcMar>
            <w:vAlign w:val="center"/>
          </w:tcPr>
          <w:p w14:paraId="29EEE93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10-2Article  10-9,3rd paragraph(e)Annex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3</w:t>
            </w:r>
          </w:p>
        </w:tc>
      </w:tr>
      <w:tr w14:paraId="298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4D350B7E">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7.2  </w:t>
            </w:r>
            <w:r>
              <w:rPr>
                <w:rFonts w:hint="eastAsia" w:ascii="宋体" w:hAnsi="宋体" w:eastAsia="宋体" w:cs="宋体"/>
                <w:b/>
                <w:bCs/>
                <w:color w:val="000000"/>
                <w:kern w:val="0"/>
                <w:sz w:val="18"/>
                <w:szCs w:val="18"/>
              </w:rPr>
              <w:t>与顾客有关的过程</w:t>
            </w:r>
          </w:p>
          <w:p w14:paraId="0706C388">
            <w:pPr>
              <w:widowControl/>
              <w:wordWrap w:val="0"/>
              <w:jc w:val="left"/>
              <w:rPr>
                <w:rFonts w:ascii="宋体" w:hAnsi="宋体" w:eastAsia="宋体" w:cs="宋体"/>
                <w:kern w:val="0"/>
                <w:sz w:val="24"/>
                <w:szCs w:val="24"/>
              </w:rPr>
            </w:pPr>
          </w:p>
        </w:tc>
      </w:tr>
      <w:tr w14:paraId="00CB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60C1342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7.2.1  </w:t>
            </w:r>
            <w:r>
              <w:rPr>
                <w:rFonts w:hint="eastAsia" w:ascii="宋体" w:hAnsi="宋体" w:eastAsia="宋体" w:cs="宋体"/>
                <w:color w:val="000000"/>
                <w:kern w:val="0"/>
                <w:sz w:val="18"/>
                <w:szCs w:val="18"/>
              </w:rPr>
              <w:t>产品要求的确定</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tcPr>
          <w:p w14:paraId="6EF9D0C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10-1Article10-9,3rd  paragraph(b)Annex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56A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AE11E5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7.2.2  </w:t>
            </w:r>
            <w:r>
              <w:rPr>
                <w:rFonts w:hint="eastAsia" w:ascii="宋体" w:hAnsi="宋体" w:eastAsia="宋体" w:cs="宋体"/>
                <w:color w:val="000000"/>
                <w:kern w:val="0"/>
                <w:sz w:val="18"/>
                <w:szCs w:val="18"/>
              </w:rPr>
              <w:t>产品要求的评审</w:t>
            </w:r>
          </w:p>
        </w:tc>
        <w:tc>
          <w:tcPr>
            <w:tcW w:w="7325" w:type="dxa"/>
            <w:shd w:val="clear" w:color="auto" w:fill="E2EFD9"/>
            <w:tcMar>
              <w:top w:w="0" w:type="dxa"/>
              <w:left w:w="105" w:type="dxa"/>
              <w:bottom w:w="0" w:type="dxa"/>
              <w:right w:w="105" w:type="dxa"/>
            </w:tcMar>
            <w:vAlign w:val="center"/>
          </w:tcPr>
          <w:p w14:paraId="1956E3B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2DAC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45D047A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7.2.3  </w:t>
            </w:r>
            <w:r>
              <w:rPr>
                <w:rFonts w:hint="eastAsia" w:ascii="宋体" w:hAnsi="宋体" w:eastAsia="宋体" w:cs="宋体"/>
                <w:color w:val="000000"/>
                <w:kern w:val="0"/>
                <w:sz w:val="18"/>
                <w:szCs w:val="18"/>
              </w:rPr>
              <w:t>沟通</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顾客：产品相关；反馈；忠告性通知监管部门：适用的法规要求与监管机构进行沟通。</w:t>
            </w:r>
          </w:p>
        </w:tc>
        <w:tc>
          <w:tcPr>
            <w:tcW w:w="7325" w:type="dxa"/>
            <w:shd w:val="clear" w:color="auto" w:fill="F2F2F2"/>
            <w:tcMar>
              <w:top w:w="0" w:type="dxa"/>
              <w:left w:w="105" w:type="dxa"/>
              <w:bottom w:w="0" w:type="dxa"/>
              <w:right w:w="105" w:type="dxa"/>
            </w:tcMar>
            <w:vAlign w:val="center"/>
          </w:tcPr>
          <w:p w14:paraId="6259E4D3">
            <w:pPr>
              <w:widowControl/>
              <w:wordWrap w:val="0"/>
              <w:jc w:val="left"/>
              <w:rPr>
                <w:rFonts w:ascii="宋体" w:hAnsi="宋体" w:eastAsia="宋体" w:cs="宋体"/>
                <w:kern w:val="0"/>
                <w:sz w:val="24"/>
                <w:szCs w:val="24"/>
              </w:rPr>
            </w:pPr>
            <w:r>
              <w:rPr>
                <w:rFonts w:ascii="宋体" w:hAnsi="宋体" w:eastAsia="宋体" w:cs="宋体"/>
                <w:kern w:val="0"/>
                <w:sz w:val="18"/>
                <w:szCs w:val="18"/>
              </w:rPr>
              <w:br w:type="textWrapping"/>
            </w:r>
            <w:r>
              <w:rPr>
                <w:rFonts w:ascii="宋体" w:hAnsi="宋体" w:eastAsia="宋体" w:cs="宋体"/>
                <w:kern w:val="0"/>
                <w:sz w:val="18"/>
                <w:szCs w:val="18"/>
              </w:rPr>
              <w:t>9,3rd paragraph(j)</w:t>
            </w:r>
            <w:r>
              <w:rPr>
                <w:rFonts w:hint="eastAsia" w:ascii="宋体" w:hAnsi="宋体" w:eastAsia="宋体" w:cs="宋体"/>
                <w:kern w:val="0"/>
                <w:sz w:val="18"/>
                <w:szCs w:val="18"/>
              </w:rPr>
              <w:t>处理与主管当局、公告机构、其他经济运营商、客户和</w:t>
            </w:r>
            <w:r>
              <w:rPr>
                <w:rFonts w:ascii="Calibri" w:hAnsi="Calibri" w:eastAsia="宋体" w:cs="Calibri"/>
                <w:kern w:val="0"/>
                <w:sz w:val="18"/>
                <w:szCs w:val="18"/>
              </w:rPr>
              <w:t>/</w:t>
            </w:r>
            <w:r>
              <w:rPr>
                <w:rFonts w:hint="eastAsia" w:ascii="宋体" w:hAnsi="宋体" w:eastAsia="宋体" w:cs="宋体"/>
                <w:kern w:val="0"/>
                <w:sz w:val="18"/>
                <w:szCs w:val="18"/>
              </w:rPr>
              <w:t>或其他利益相关者的沟通；</w:t>
            </w:r>
            <w:r>
              <w:rPr>
                <w:rFonts w:ascii="宋体" w:hAnsi="宋体" w:eastAsia="宋体" w:cs="宋体"/>
                <w:kern w:val="0"/>
                <w:sz w:val="24"/>
                <w:szCs w:val="24"/>
              </w:rPr>
              <w:br w:type="textWrapping"/>
            </w:r>
            <w:r>
              <w:rPr>
                <w:rFonts w:ascii="宋体" w:hAnsi="宋体" w:eastAsia="宋体" w:cs="宋体"/>
                <w:kern w:val="0"/>
                <w:sz w:val="24"/>
                <w:szCs w:val="24"/>
              </w:rPr>
              <w:br w:type="textWrapping"/>
            </w:r>
          </w:p>
        </w:tc>
      </w:tr>
      <w:tr w14:paraId="1F1C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tcPr>
          <w:p w14:paraId="4A439E4D">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7.3  </w:t>
            </w:r>
            <w:r>
              <w:rPr>
                <w:rFonts w:hint="eastAsia" w:ascii="宋体" w:hAnsi="宋体" w:eastAsia="宋体" w:cs="宋体"/>
                <w:b/>
                <w:bCs/>
                <w:color w:val="000000"/>
                <w:kern w:val="0"/>
                <w:sz w:val="18"/>
                <w:szCs w:val="18"/>
              </w:rPr>
              <w:t>设计和开发</w:t>
            </w:r>
            <w:r>
              <w:rPr>
                <w:rFonts w:hint="eastAsia" w:ascii="宋体" w:hAnsi="宋体" w:eastAsia="宋体" w:cs="宋体"/>
                <w:b/>
                <w:bCs/>
                <w:color w:val="000000"/>
                <w:kern w:val="0"/>
                <w:sz w:val="18"/>
                <w:szCs w:val="18"/>
              </w:rPr>
              <w:br w:type="textWrapping"/>
            </w:r>
            <w:r>
              <w:rPr>
                <w:rFonts w:hint="eastAsia" w:ascii="宋体" w:hAnsi="宋体" w:eastAsia="宋体" w:cs="宋体"/>
                <w:b/>
                <w:bCs/>
                <w:kern w:val="0"/>
                <w:sz w:val="18"/>
                <w:szCs w:val="18"/>
              </w:rPr>
              <w:t>过程控制文件：设计开发控制程序</w:t>
            </w:r>
            <w:r>
              <w:rPr>
                <w:rFonts w:ascii="宋体" w:hAnsi="宋体" w:eastAsia="宋体" w:cs="宋体"/>
                <w:b/>
                <w:bCs/>
                <w:kern w:val="0"/>
                <w:sz w:val="18"/>
                <w:szCs w:val="18"/>
              </w:rPr>
              <w:t>CE</w:t>
            </w:r>
            <w:r>
              <w:rPr>
                <w:rFonts w:hint="eastAsia" w:ascii="宋体" w:hAnsi="宋体" w:eastAsia="宋体" w:cs="宋体"/>
                <w:b/>
                <w:bCs/>
                <w:kern w:val="0"/>
                <w:sz w:val="18"/>
                <w:szCs w:val="18"/>
              </w:rPr>
              <w:t>标识产品分类控制程序</w:t>
            </w:r>
            <w:r>
              <w:rPr>
                <w:rFonts w:ascii="宋体" w:hAnsi="宋体" w:eastAsia="宋体" w:cs="宋体"/>
                <w:b/>
                <w:bCs/>
                <w:kern w:val="0"/>
                <w:sz w:val="18"/>
                <w:szCs w:val="18"/>
              </w:rPr>
              <w:t>CE</w:t>
            </w:r>
            <w:r>
              <w:rPr>
                <w:rFonts w:hint="eastAsia" w:ascii="宋体" w:hAnsi="宋体" w:eastAsia="宋体" w:cs="宋体"/>
                <w:b/>
                <w:bCs/>
                <w:kern w:val="0"/>
                <w:sz w:val="18"/>
                <w:szCs w:val="18"/>
              </w:rPr>
              <w:t>产品标签和语言控制程序临床评估控制程序当前技术水平控制</w:t>
            </w:r>
            <w:r>
              <w:rPr>
                <w:rFonts w:ascii="Calibri" w:hAnsi="Calibri" w:eastAsia="宋体" w:cs="Calibri"/>
                <w:b/>
                <w:bCs/>
                <w:kern w:val="0"/>
                <w:sz w:val="18"/>
                <w:szCs w:val="18"/>
              </w:rPr>
              <w:t>PMCF</w:t>
            </w:r>
            <w:r>
              <w:rPr>
                <w:rFonts w:hint="eastAsia" w:ascii="宋体" w:hAnsi="宋体" w:eastAsia="宋体" w:cs="宋体"/>
                <w:b/>
                <w:bCs/>
                <w:kern w:val="0"/>
                <w:sz w:val="18"/>
                <w:szCs w:val="18"/>
              </w:rPr>
              <w:t>控制程序</w:t>
            </w:r>
          </w:p>
        </w:tc>
      </w:tr>
      <w:tr w14:paraId="217A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F6E371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7.3.1  </w:t>
            </w:r>
            <w:r>
              <w:rPr>
                <w:rFonts w:hint="eastAsia" w:ascii="宋体" w:hAnsi="宋体" w:eastAsia="宋体" w:cs="宋体"/>
                <w:color w:val="000000"/>
                <w:kern w:val="0"/>
                <w:sz w:val="18"/>
                <w:szCs w:val="18"/>
              </w:rPr>
              <w:t>总则</w:t>
            </w:r>
            <w:r>
              <w:rPr>
                <w:rFonts w:ascii="宋体" w:hAnsi="宋体" w:eastAsia="宋体" w:cs="宋体"/>
                <w:kern w:val="0"/>
                <w:sz w:val="24"/>
                <w:szCs w:val="24"/>
              </w:rPr>
              <w:br w:type="textWrapping"/>
            </w:r>
          </w:p>
        </w:tc>
        <w:tc>
          <w:tcPr>
            <w:tcW w:w="7325" w:type="dxa"/>
            <w:shd w:val="clear" w:color="auto" w:fill="E2EFD9"/>
            <w:tcMar>
              <w:top w:w="0" w:type="dxa"/>
              <w:left w:w="105" w:type="dxa"/>
              <w:bottom w:w="0" w:type="dxa"/>
              <w:right w:w="105" w:type="dxa"/>
            </w:tcMar>
            <w:vAlign w:val="center"/>
          </w:tcPr>
          <w:p w14:paraId="324523C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5</w:t>
            </w:r>
          </w:p>
        </w:tc>
      </w:tr>
      <w:tr w14:paraId="0BA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78101B3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7.3.2  </w:t>
            </w:r>
            <w:r>
              <w:rPr>
                <w:rFonts w:hint="eastAsia" w:ascii="宋体" w:hAnsi="宋体" w:eastAsia="宋体" w:cs="宋体"/>
                <w:color w:val="000000"/>
                <w:kern w:val="0"/>
                <w:sz w:val="18"/>
                <w:szCs w:val="18"/>
              </w:rPr>
              <w:t>设计开发策划</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阶段、验证、职权、方法、资源</w:t>
            </w:r>
          </w:p>
        </w:tc>
        <w:tc>
          <w:tcPr>
            <w:tcW w:w="7325" w:type="dxa"/>
            <w:shd w:val="clear" w:color="auto" w:fill="F2F2F2"/>
            <w:tcMar>
              <w:top w:w="0" w:type="dxa"/>
              <w:left w:w="105" w:type="dxa"/>
              <w:bottom w:w="0" w:type="dxa"/>
              <w:right w:w="105" w:type="dxa"/>
            </w:tcMar>
            <w:vAlign w:val="center"/>
          </w:tcPr>
          <w:p w14:paraId="1CF2048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paragraph(g)</w:t>
            </w:r>
          </w:p>
        </w:tc>
      </w:tr>
      <w:tr w14:paraId="5AC7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8D802D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7.3.3  </w:t>
            </w:r>
            <w:r>
              <w:rPr>
                <w:rFonts w:hint="eastAsia" w:ascii="宋体" w:hAnsi="宋体" w:eastAsia="宋体" w:cs="宋体"/>
                <w:color w:val="000000"/>
                <w:kern w:val="0"/>
                <w:sz w:val="18"/>
                <w:szCs w:val="18"/>
              </w:rPr>
              <w:t>设计开发输入</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要求、风险</w:t>
            </w:r>
          </w:p>
        </w:tc>
        <w:tc>
          <w:tcPr>
            <w:tcW w:w="7325" w:type="dxa"/>
            <w:shd w:val="clear" w:color="auto" w:fill="E2EFD9"/>
            <w:tcMar>
              <w:top w:w="0" w:type="dxa"/>
              <w:left w:w="105" w:type="dxa"/>
              <w:bottom w:w="0" w:type="dxa"/>
              <w:right w:w="105" w:type="dxa"/>
            </w:tcMar>
          </w:tcPr>
          <w:p w14:paraId="51F262D9">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10-7-UDI</w:t>
            </w:r>
            <w:r>
              <w:rPr>
                <w:rFonts w:ascii="宋体" w:hAnsi="宋体" w:eastAsia="宋体" w:cs="宋体"/>
                <w:kern w:val="0"/>
                <w:sz w:val="24"/>
                <w:szCs w:val="24"/>
              </w:rPr>
              <w:br w:type="textWrapping"/>
            </w:r>
            <w:r>
              <w:rPr>
                <w:rFonts w:ascii="宋体" w:hAnsi="宋体" w:eastAsia="宋体" w:cs="宋体"/>
                <w:kern w:val="0"/>
                <w:sz w:val="18"/>
                <w:szCs w:val="18"/>
              </w:rPr>
              <w:t>Article 10-9,1st paragraph,2nd sentence</w:t>
            </w:r>
            <w:r>
              <w:rPr>
                <w:rFonts w:hint="eastAsia" w:ascii="宋体" w:hAnsi="宋体" w:eastAsia="宋体" w:cs="宋体"/>
                <w:kern w:val="0"/>
                <w:sz w:val="18"/>
                <w:szCs w:val="18"/>
              </w:rPr>
              <w:t>；</w:t>
            </w:r>
            <w:r>
              <w:rPr>
                <w:rFonts w:ascii="宋体" w:hAnsi="宋体" w:eastAsia="宋体" w:cs="宋体"/>
                <w:kern w:val="0"/>
                <w:sz w:val="18"/>
                <w:szCs w:val="18"/>
              </w:rPr>
              <w:t>Article10-9,3rd paragraph(b)</w:t>
            </w:r>
            <w:r>
              <w:rPr>
                <w:rFonts w:hint="eastAsia" w:ascii="宋体" w:hAnsi="宋体" w:eastAsia="宋体" w:cs="宋体"/>
                <w:kern w:val="0"/>
                <w:sz w:val="18"/>
                <w:szCs w:val="18"/>
              </w:rPr>
              <w:t>；</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2-</w:t>
            </w:r>
            <w:r>
              <w:rPr>
                <w:rFonts w:hint="eastAsia" w:ascii="宋体" w:hAnsi="宋体" w:eastAsia="宋体" w:cs="宋体"/>
                <w:kern w:val="0"/>
                <w:sz w:val="18"/>
                <w:szCs w:val="18"/>
              </w:rPr>
              <w:t>协调标准</w:t>
            </w:r>
            <w:r>
              <w:rPr>
                <w:rFonts w:ascii="宋体" w:hAnsi="宋体" w:eastAsia="宋体" w:cs="宋体"/>
                <w:kern w:val="0"/>
                <w:sz w:val="18"/>
                <w:szCs w:val="18"/>
              </w:rPr>
              <w:t>/CS</w:t>
            </w:r>
            <w:r>
              <w:rPr>
                <w:rFonts w:hint="eastAsia" w:ascii="宋体" w:hAnsi="宋体" w:eastAsia="宋体" w:cs="宋体"/>
                <w:kern w:val="0"/>
                <w:sz w:val="18"/>
                <w:szCs w:val="18"/>
              </w:rPr>
              <w:t>要求；</w:t>
            </w:r>
            <w:r>
              <w:rPr>
                <w:rFonts w:ascii="宋体" w:hAnsi="宋体" w:eastAsia="宋体" w:cs="宋体"/>
                <w:kern w:val="0"/>
                <w:sz w:val="18"/>
                <w:szCs w:val="18"/>
              </w:rPr>
              <w:t>Article 10-11-</w:t>
            </w:r>
            <w:r>
              <w:rPr>
                <w:rFonts w:hint="eastAsia" w:ascii="宋体" w:hAnsi="宋体" w:eastAsia="宋体" w:cs="宋体"/>
                <w:kern w:val="0"/>
                <w:sz w:val="18"/>
                <w:szCs w:val="18"/>
              </w:rPr>
              <w:t>标签及语言控制</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6-Annex 1 </w:t>
            </w:r>
            <w:r>
              <w:rPr>
                <w:rFonts w:hint="eastAsia" w:ascii="宋体" w:hAnsi="宋体" w:eastAsia="宋体" w:cs="宋体"/>
                <w:kern w:val="0"/>
                <w:sz w:val="18"/>
                <w:szCs w:val="18"/>
              </w:rPr>
              <w:t>第</w:t>
            </w:r>
            <w:r>
              <w:rPr>
                <w:rFonts w:ascii="宋体" w:hAnsi="宋体" w:eastAsia="宋体" w:cs="宋体"/>
                <w:kern w:val="0"/>
                <w:sz w:val="18"/>
                <w:szCs w:val="18"/>
              </w:rPr>
              <w:t>III</w:t>
            </w:r>
            <w:r>
              <w:rPr>
                <w:rFonts w:hint="eastAsia" w:ascii="宋体" w:hAnsi="宋体" w:eastAsia="宋体" w:cs="宋体"/>
                <w:kern w:val="0"/>
                <w:sz w:val="18"/>
                <w:szCs w:val="18"/>
              </w:rPr>
              <w:t>章要求</w:t>
            </w:r>
            <w:r>
              <w:rPr>
                <w:rFonts w:ascii="宋体" w:hAnsi="宋体" w:eastAsia="宋体" w:cs="宋体"/>
                <w:kern w:val="0"/>
                <w:sz w:val="18"/>
                <w:szCs w:val="18"/>
              </w:rPr>
              <w:t>-</w:t>
            </w:r>
            <w:r>
              <w:rPr>
                <w:rFonts w:hint="eastAsia" w:ascii="宋体" w:hAnsi="宋体" w:eastAsia="宋体" w:cs="宋体"/>
                <w:kern w:val="0"/>
                <w:sz w:val="18"/>
                <w:szCs w:val="18"/>
              </w:rPr>
              <w:t>随附文件</w:t>
            </w:r>
            <w:r>
              <w:rPr>
                <w:rFonts w:ascii="Calibri" w:hAnsi="Calibri" w:eastAsia="宋体" w:cs="Calibri"/>
                <w:kern w:val="0"/>
                <w:sz w:val="18"/>
                <w:szCs w:val="18"/>
              </w:rPr>
              <w:t>Annex IX 2.2,2nd paragraph</w:t>
            </w:r>
            <w:r>
              <w:rPr>
                <w:rFonts w:hint="eastAsia" w:ascii="宋体" w:hAnsi="宋体" w:eastAsia="宋体" w:cs="宋体"/>
                <w:kern w:val="0"/>
                <w:sz w:val="18"/>
                <w:szCs w:val="18"/>
              </w:rPr>
              <w:t>（</w:t>
            </w:r>
            <w:r>
              <w:rPr>
                <w:rFonts w:ascii="Calibri" w:hAnsi="Calibri" w:eastAsia="宋体" w:cs="Calibri"/>
                <w:kern w:val="0"/>
                <w:sz w:val="18"/>
                <w:szCs w:val="18"/>
              </w:rPr>
              <w:t>c</w:t>
            </w:r>
            <w:r>
              <w:rPr>
                <w:rFonts w:hint="eastAsia" w:ascii="宋体" w:hAnsi="宋体" w:eastAsia="宋体" w:cs="宋体"/>
                <w:kern w:val="0"/>
                <w:sz w:val="18"/>
                <w:szCs w:val="18"/>
              </w:rPr>
              <w:t>）</w:t>
            </w:r>
            <w:r>
              <w:rPr>
                <w:rFonts w:ascii="Calibri" w:hAnsi="Calibri" w:eastAsia="宋体" w:cs="Calibri"/>
                <w:kern w:val="0"/>
                <w:sz w:val="18"/>
                <w:szCs w:val="18"/>
              </w:rPr>
              <w:t>indent 8-</w:t>
            </w:r>
            <w:r>
              <w:rPr>
                <w:rFonts w:hint="eastAsia" w:ascii="宋体" w:hAnsi="宋体" w:eastAsia="宋体" w:cs="宋体"/>
                <w:kern w:val="0"/>
                <w:sz w:val="18"/>
                <w:szCs w:val="18"/>
              </w:rPr>
              <w:t>变更控制</w:t>
            </w:r>
          </w:p>
        </w:tc>
      </w:tr>
      <w:tr w14:paraId="1C68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tcPr>
          <w:p w14:paraId="21C267A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7.3.4  </w:t>
            </w:r>
            <w:r>
              <w:rPr>
                <w:rFonts w:hint="eastAsia" w:ascii="宋体" w:hAnsi="宋体" w:eastAsia="宋体" w:cs="宋体"/>
                <w:color w:val="000000"/>
                <w:kern w:val="0"/>
                <w:sz w:val="18"/>
                <w:szCs w:val="18"/>
              </w:rPr>
              <w:t>设计开发输出</w:t>
            </w:r>
          </w:p>
        </w:tc>
        <w:tc>
          <w:tcPr>
            <w:tcW w:w="7325" w:type="dxa"/>
            <w:shd w:val="clear" w:color="auto" w:fill="F2F2F2"/>
            <w:tcMar>
              <w:top w:w="0" w:type="dxa"/>
              <w:left w:w="105" w:type="dxa"/>
              <w:bottom w:w="0" w:type="dxa"/>
              <w:right w:w="105" w:type="dxa"/>
            </w:tcMar>
            <w:vAlign w:val="center"/>
          </w:tcPr>
          <w:p w14:paraId="3A103FB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Article10-9,3rd  paragraph(b) GSPR</w:t>
            </w:r>
          </w:p>
        </w:tc>
      </w:tr>
      <w:tr w14:paraId="7108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70F9D99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7.3.5  </w:t>
            </w:r>
            <w:r>
              <w:rPr>
                <w:rFonts w:hint="eastAsia" w:ascii="宋体" w:hAnsi="宋体" w:eastAsia="宋体" w:cs="宋体"/>
                <w:color w:val="000000"/>
                <w:kern w:val="0"/>
                <w:sz w:val="18"/>
                <w:szCs w:val="18"/>
              </w:rPr>
              <w:t>设计开发评审</w:t>
            </w:r>
          </w:p>
        </w:tc>
        <w:tc>
          <w:tcPr>
            <w:tcW w:w="7325" w:type="dxa"/>
            <w:shd w:val="clear" w:color="auto" w:fill="E2EFD9"/>
            <w:tcMar>
              <w:top w:w="0" w:type="dxa"/>
              <w:left w:w="105" w:type="dxa"/>
              <w:bottom w:w="0" w:type="dxa"/>
              <w:right w:w="105" w:type="dxa"/>
            </w:tcMar>
          </w:tcPr>
          <w:p w14:paraId="3C1E49F5">
            <w:pPr>
              <w:widowControl/>
              <w:wordWrap w:val="0"/>
              <w:jc w:val="left"/>
              <w:rPr>
                <w:rFonts w:ascii="宋体" w:hAnsi="宋体" w:eastAsia="宋体" w:cs="宋体"/>
                <w:kern w:val="0"/>
                <w:sz w:val="24"/>
                <w:szCs w:val="24"/>
              </w:rPr>
            </w:pPr>
            <w:r>
              <w:rPr>
                <w:rFonts w:ascii="宋体" w:hAnsi="宋体" w:eastAsia="宋体" w:cs="宋体"/>
                <w:kern w:val="0"/>
                <w:sz w:val="18"/>
                <w:szCs w:val="18"/>
              </w:rPr>
              <w:t>Article10-9,3rd paragraph(b)-GSRP</w:t>
            </w:r>
            <w:r>
              <w:rPr>
                <w:rFonts w:ascii="宋体" w:hAnsi="宋体" w:eastAsia="宋体" w:cs="宋体"/>
                <w:kern w:val="0"/>
                <w:sz w:val="24"/>
                <w:szCs w:val="24"/>
              </w:rPr>
              <w:br w:type="textWrapping"/>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b</w:t>
            </w:r>
            <w:r>
              <w:rPr>
                <w:rFonts w:hint="eastAsia" w:ascii="宋体" w:hAnsi="宋体" w:eastAsia="宋体" w:cs="宋体"/>
                <w:kern w:val="0"/>
                <w:sz w:val="18"/>
                <w:szCs w:val="18"/>
              </w:rPr>
              <w:t>）</w:t>
            </w:r>
            <w:r>
              <w:rPr>
                <w:rFonts w:ascii="宋体" w:hAnsi="宋体" w:eastAsia="宋体" w:cs="宋体"/>
                <w:kern w:val="0"/>
                <w:sz w:val="18"/>
                <w:szCs w:val="18"/>
              </w:rPr>
              <w:t>indent 2-</w:t>
            </w:r>
            <w:r>
              <w:rPr>
                <w:rFonts w:hint="eastAsia" w:ascii="宋体" w:hAnsi="宋体" w:eastAsia="宋体" w:cs="宋体"/>
                <w:kern w:val="0"/>
                <w:sz w:val="18"/>
                <w:szCs w:val="18"/>
              </w:rPr>
              <w:t>不合格品控制</w:t>
            </w:r>
            <w:r>
              <w:rPr>
                <w:rFonts w:ascii="Calibri" w:hAnsi="Calibri" w:eastAsia="宋体" w:cs="Calibri"/>
                <w:kern w:val="0"/>
                <w:sz w:val="18"/>
                <w:szCs w:val="18"/>
              </w:rPr>
              <w:t>Annex XI 6.2,2nd paragraph,reference to Annex IX,2.2(b),indent2-</w:t>
            </w:r>
            <w:r>
              <w:rPr>
                <w:rFonts w:hint="eastAsia" w:ascii="宋体" w:hAnsi="宋体" w:eastAsia="宋体" w:cs="宋体"/>
                <w:kern w:val="0"/>
                <w:sz w:val="18"/>
                <w:szCs w:val="18"/>
              </w:rPr>
              <w:t>不合格品控制</w:t>
            </w:r>
          </w:p>
        </w:tc>
      </w:tr>
      <w:tr w14:paraId="7C5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B2CF45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7.3.6  </w:t>
            </w:r>
            <w:r>
              <w:rPr>
                <w:rFonts w:hint="eastAsia" w:ascii="宋体" w:hAnsi="宋体" w:eastAsia="宋体" w:cs="宋体"/>
                <w:color w:val="000000"/>
                <w:kern w:val="0"/>
                <w:sz w:val="18"/>
                <w:szCs w:val="18"/>
              </w:rPr>
              <w:t>设计开发验证</w:t>
            </w:r>
          </w:p>
        </w:tc>
        <w:tc>
          <w:tcPr>
            <w:tcW w:w="7325" w:type="dxa"/>
            <w:shd w:val="clear" w:color="auto" w:fill="F2F2F2"/>
            <w:tcMar>
              <w:top w:w="0" w:type="dxa"/>
              <w:left w:w="105" w:type="dxa"/>
              <w:bottom w:w="0" w:type="dxa"/>
              <w:right w:w="105" w:type="dxa"/>
            </w:tcMar>
          </w:tcPr>
          <w:p w14:paraId="66A5A95B">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5</w:t>
            </w:r>
            <w:r>
              <w:rPr>
                <w:rFonts w:hint="eastAsia" w:ascii="宋体" w:hAnsi="宋体" w:eastAsia="宋体" w:cs="宋体"/>
                <w:kern w:val="0"/>
                <w:sz w:val="18"/>
                <w:szCs w:val="18"/>
              </w:rPr>
              <w:t>满足有关设计和构造的适用特定要求的解决方案，包括适当的临床前评估，特别是附件</w:t>
            </w:r>
            <w:r>
              <w:rPr>
                <w:rFonts w:ascii="Calibri" w:hAnsi="Calibri" w:eastAsia="宋体" w:cs="Calibri"/>
                <w:kern w:val="0"/>
                <w:sz w:val="18"/>
                <w:szCs w:val="18"/>
              </w:rPr>
              <w:t> I </w:t>
            </w:r>
            <w:r>
              <w:rPr>
                <w:rFonts w:hint="eastAsia" w:ascii="宋体" w:hAnsi="宋体" w:eastAsia="宋体" w:cs="宋体"/>
                <w:kern w:val="0"/>
                <w:sz w:val="18"/>
                <w:szCs w:val="18"/>
              </w:rPr>
              <w:t>第</w:t>
            </w:r>
            <w:r>
              <w:rPr>
                <w:rFonts w:ascii="Calibri" w:hAnsi="Calibri" w:eastAsia="宋体" w:cs="Calibri"/>
                <w:kern w:val="0"/>
                <w:sz w:val="18"/>
                <w:szCs w:val="18"/>
              </w:rPr>
              <w:t> II </w:t>
            </w:r>
            <w:r>
              <w:rPr>
                <w:rFonts w:hint="eastAsia" w:ascii="宋体" w:hAnsi="宋体" w:eastAsia="宋体" w:cs="宋体"/>
                <w:kern w:val="0"/>
                <w:sz w:val="18"/>
                <w:szCs w:val="18"/>
              </w:rPr>
              <w:t>章的要求，</w:t>
            </w:r>
          </w:p>
        </w:tc>
      </w:tr>
      <w:tr w14:paraId="60C2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61600B7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7.3.7  </w:t>
            </w:r>
            <w:r>
              <w:rPr>
                <w:rFonts w:hint="eastAsia" w:ascii="宋体" w:hAnsi="宋体" w:eastAsia="宋体" w:cs="宋体"/>
                <w:color w:val="000000"/>
                <w:kern w:val="0"/>
                <w:sz w:val="18"/>
                <w:szCs w:val="18"/>
              </w:rPr>
              <w:t>设计和开发确认</w:t>
            </w:r>
          </w:p>
        </w:tc>
        <w:tc>
          <w:tcPr>
            <w:tcW w:w="7325" w:type="dxa"/>
            <w:shd w:val="clear" w:color="auto" w:fill="E2EFD9"/>
            <w:tcMar>
              <w:top w:w="0" w:type="dxa"/>
              <w:left w:w="105" w:type="dxa"/>
              <w:bottom w:w="0" w:type="dxa"/>
              <w:right w:w="105" w:type="dxa"/>
            </w:tcMar>
          </w:tcPr>
          <w:p w14:paraId="3CA457E7">
            <w:pPr>
              <w:widowControl/>
              <w:wordWrap w:val="0"/>
              <w:jc w:val="left"/>
              <w:rPr>
                <w:rFonts w:ascii="宋体" w:hAnsi="宋体" w:eastAsia="宋体" w:cs="宋体"/>
                <w:kern w:val="0"/>
                <w:sz w:val="24"/>
                <w:szCs w:val="24"/>
              </w:rPr>
            </w:pPr>
            <w:r>
              <w:rPr>
                <w:rFonts w:ascii="宋体" w:hAnsi="宋体" w:eastAsia="宋体" w:cs="宋体"/>
                <w:kern w:val="0"/>
                <w:sz w:val="18"/>
                <w:szCs w:val="18"/>
              </w:rPr>
              <w:t>Annex I</w:t>
            </w:r>
            <w:r>
              <w:rPr>
                <w:rFonts w:hint="eastAsia" w:ascii="宋体" w:hAnsi="宋体" w:eastAsia="宋体" w:cs="宋体"/>
                <w:kern w:val="0"/>
                <w:sz w:val="18"/>
                <w:szCs w:val="18"/>
              </w:rPr>
              <w:t>（</w:t>
            </w:r>
            <w:r>
              <w:rPr>
                <w:rFonts w:ascii="宋体" w:hAnsi="宋体" w:eastAsia="宋体" w:cs="宋体"/>
                <w:kern w:val="0"/>
                <w:sz w:val="18"/>
                <w:szCs w:val="18"/>
              </w:rPr>
              <w:t>1</w:t>
            </w:r>
            <w:r>
              <w:rPr>
                <w:rFonts w:hint="eastAsia" w:ascii="宋体" w:hAnsi="宋体" w:eastAsia="宋体" w:cs="宋体"/>
                <w:kern w:val="0"/>
                <w:sz w:val="18"/>
                <w:szCs w:val="18"/>
              </w:rPr>
              <w:t>）</w:t>
            </w:r>
          </w:p>
          <w:p w14:paraId="07CD0EF0">
            <w:pPr>
              <w:widowControl/>
              <w:wordWrap w:val="0"/>
              <w:jc w:val="left"/>
              <w:rPr>
                <w:rFonts w:ascii="宋体" w:hAnsi="宋体" w:eastAsia="宋体" w:cs="宋体"/>
                <w:kern w:val="0"/>
                <w:sz w:val="24"/>
                <w:szCs w:val="24"/>
              </w:rPr>
            </w:pPr>
            <w:r>
              <w:rPr>
                <w:rFonts w:ascii="宋体" w:hAnsi="宋体" w:eastAsia="宋体" w:cs="宋体"/>
                <w:kern w:val="0"/>
                <w:sz w:val="18"/>
                <w:szCs w:val="18"/>
              </w:rPr>
              <w:t>Article 32.2 SSCP</w:t>
            </w:r>
            <w:r>
              <w:rPr>
                <w:rFonts w:hint="eastAsia" w:ascii="宋体" w:hAnsi="宋体" w:eastAsia="宋体" w:cs="宋体"/>
                <w:kern w:val="0"/>
                <w:sz w:val="18"/>
                <w:szCs w:val="18"/>
              </w:rPr>
              <w:t>要求</w:t>
            </w:r>
            <w:r>
              <w:rPr>
                <w:rFonts w:ascii="Calibri" w:hAnsi="Calibri" w:eastAsia="宋体" w:cs="Calibri"/>
                <w:kern w:val="0"/>
                <w:sz w:val="18"/>
                <w:szCs w:val="18"/>
              </w:rPr>
              <w:t>Article 10-3 </w:t>
            </w:r>
            <w:r>
              <w:rPr>
                <w:rFonts w:hint="eastAsia" w:ascii="宋体" w:hAnsi="宋体" w:eastAsia="宋体" w:cs="宋体"/>
                <w:kern w:val="0"/>
                <w:sz w:val="18"/>
                <w:szCs w:val="18"/>
              </w:rPr>
              <w:t>临床评价</w:t>
            </w:r>
          </w:p>
        </w:tc>
      </w:tr>
      <w:tr w14:paraId="1881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2D6868C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7.3.8  </w:t>
            </w:r>
            <w:r>
              <w:rPr>
                <w:rFonts w:hint="eastAsia" w:ascii="宋体" w:hAnsi="宋体" w:eastAsia="宋体" w:cs="宋体"/>
                <w:color w:val="000000"/>
                <w:kern w:val="0"/>
                <w:sz w:val="18"/>
                <w:szCs w:val="18"/>
              </w:rPr>
              <w:t>设计和开发转换</w:t>
            </w:r>
          </w:p>
        </w:tc>
        <w:tc>
          <w:tcPr>
            <w:tcW w:w="7325" w:type="dxa"/>
            <w:shd w:val="clear" w:color="auto" w:fill="F2F2F2"/>
            <w:tcMar>
              <w:top w:w="0" w:type="dxa"/>
              <w:left w:w="105" w:type="dxa"/>
              <w:bottom w:w="0" w:type="dxa"/>
              <w:right w:w="105" w:type="dxa"/>
            </w:tcMar>
          </w:tcPr>
          <w:p w14:paraId="19882F0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paragraph(g)</w:t>
            </w:r>
          </w:p>
        </w:tc>
      </w:tr>
      <w:tr w14:paraId="456D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4579766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7.3.9  </w:t>
            </w:r>
            <w:r>
              <w:rPr>
                <w:rFonts w:hint="eastAsia" w:ascii="宋体" w:hAnsi="宋体" w:eastAsia="宋体" w:cs="宋体"/>
                <w:color w:val="000000"/>
                <w:kern w:val="0"/>
                <w:sz w:val="18"/>
                <w:szCs w:val="18"/>
              </w:rPr>
              <w:t>设计和开发更改控制</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tcPr>
          <w:p w14:paraId="5FBF355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10-9,1st paragraph,2nd sentenceArticle  10-9,3rd paragraph(a)Annex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1Annex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8</w:t>
            </w:r>
          </w:p>
        </w:tc>
      </w:tr>
      <w:tr w14:paraId="3A83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06C778B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7.3.10  </w:t>
            </w:r>
            <w:r>
              <w:rPr>
                <w:rFonts w:hint="eastAsia" w:ascii="宋体" w:hAnsi="宋体" w:eastAsia="宋体" w:cs="宋体"/>
                <w:color w:val="000000"/>
                <w:kern w:val="0"/>
                <w:sz w:val="18"/>
                <w:szCs w:val="18"/>
              </w:rPr>
              <w:t>设计和开发文档</w:t>
            </w:r>
          </w:p>
        </w:tc>
        <w:tc>
          <w:tcPr>
            <w:tcW w:w="7325" w:type="dxa"/>
            <w:shd w:val="clear" w:color="auto" w:fill="E2EFD9"/>
            <w:tcMar>
              <w:top w:w="0" w:type="dxa"/>
              <w:left w:w="105" w:type="dxa"/>
              <w:bottom w:w="0" w:type="dxa"/>
              <w:right w:w="105" w:type="dxa"/>
            </w:tcMar>
          </w:tcPr>
          <w:p w14:paraId="2D6FF12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6F18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5E16DC35">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7.4  </w:t>
            </w:r>
            <w:r>
              <w:rPr>
                <w:rFonts w:hint="eastAsia" w:ascii="宋体" w:hAnsi="宋体" w:eastAsia="宋体" w:cs="宋体"/>
                <w:b/>
                <w:bCs/>
                <w:color w:val="000000"/>
                <w:kern w:val="0"/>
                <w:sz w:val="18"/>
                <w:szCs w:val="18"/>
              </w:rPr>
              <w:t>采购</w:t>
            </w:r>
          </w:p>
          <w:p w14:paraId="2E0ACAF3">
            <w:pPr>
              <w:widowControl/>
              <w:wordWrap w:val="0"/>
              <w:jc w:val="left"/>
              <w:rPr>
                <w:rFonts w:ascii="宋体" w:hAnsi="宋体" w:eastAsia="宋体" w:cs="宋体"/>
                <w:kern w:val="0"/>
                <w:sz w:val="24"/>
                <w:szCs w:val="24"/>
              </w:rPr>
            </w:pPr>
          </w:p>
        </w:tc>
      </w:tr>
      <w:tr w14:paraId="1243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F36A3B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7.4.1  </w:t>
            </w:r>
            <w:r>
              <w:rPr>
                <w:rFonts w:hint="eastAsia" w:ascii="宋体" w:hAnsi="宋体" w:eastAsia="宋体" w:cs="宋体"/>
                <w:color w:val="000000"/>
                <w:kern w:val="0"/>
                <w:sz w:val="18"/>
                <w:szCs w:val="18"/>
              </w:rPr>
              <w:t>采购过程</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评价准则</w:t>
            </w:r>
            <w:r>
              <w:rPr>
                <w:rFonts w:ascii="宋体" w:hAnsi="宋体" w:eastAsia="宋体" w:cs="宋体"/>
                <w:kern w:val="0"/>
                <w:sz w:val="24"/>
                <w:szCs w:val="24"/>
              </w:rPr>
              <w:br w:type="textWrapping"/>
            </w:r>
            <w:r>
              <w:rPr>
                <w:rFonts w:hint="eastAsia" w:ascii="宋体" w:hAnsi="宋体" w:eastAsia="宋体" w:cs="宋体"/>
                <w:kern w:val="0"/>
                <w:sz w:val="18"/>
                <w:szCs w:val="18"/>
              </w:rPr>
              <w:t>过程控制文件采购控制程序</w:t>
            </w:r>
          </w:p>
        </w:tc>
        <w:tc>
          <w:tcPr>
            <w:tcW w:w="7325" w:type="dxa"/>
            <w:shd w:val="clear" w:color="auto" w:fill="F2F2F2"/>
            <w:tcMar>
              <w:top w:w="0" w:type="dxa"/>
              <w:left w:w="105" w:type="dxa"/>
              <w:bottom w:w="0" w:type="dxa"/>
              <w:right w:w="105" w:type="dxa"/>
            </w:tcMar>
            <w:vAlign w:val="center"/>
          </w:tcPr>
          <w:p w14:paraId="0E3494F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9,3rd paragraph(d)Annex  XI 6.2,2nd paragraph,reference to Annex IX,2.2(b),indent 3Annex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3</w:t>
            </w:r>
          </w:p>
        </w:tc>
      </w:tr>
      <w:tr w14:paraId="13CD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4752C3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7.4.2  </w:t>
            </w:r>
            <w:r>
              <w:rPr>
                <w:rFonts w:hint="eastAsia" w:ascii="宋体" w:hAnsi="宋体" w:eastAsia="宋体" w:cs="宋体"/>
                <w:color w:val="000000"/>
                <w:kern w:val="0"/>
                <w:sz w:val="18"/>
                <w:szCs w:val="18"/>
              </w:rPr>
              <w:t>采购信息</w:t>
            </w:r>
          </w:p>
        </w:tc>
        <w:tc>
          <w:tcPr>
            <w:tcW w:w="7325" w:type="dxa"/>
            <w:shd w:val="clear" w:color="auto" w:fill="E2EFD9"/>
            <w:tcMar>
              <w:top w:w="0" w:type="dxa"/>
              <w:left w:w="105" w:type="dxa"/>
              <w:bottom w:w="0" w:type="dxa"/>
              <w:right w:w="105" w:type="dxa"/>
            </w:tcMar>
          </w:tcPr>
          <w:p w14:paraId="0E2DF2E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735A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459290C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7.4.3  </w:t>
            </w:r>
            <w:r>
              <w:rPr>
                <w:rFonts w:hint="eastAsia" w:ascii="宋体" w:hAnsi="宋体" w:eastAsia="宋体" w:cs="宋体"/>
                <w:color w:val="000000"/>
                <w:kern w:val="0"/>
                <w:sz w:val="18"/>
                <w:szCs w:val="18"/>
              </w:rPr>
              <w:t>采购产品的验证</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原材料检验</w:t>
            </w:r>
          </w:p>
        </w:tc>
        <w:tc>
          <w:tcPr>
            <w:tcW w:w="7325" w:type="dxa"/>
            <w:shd w:val="clear" w:color="auto" w:fill="F2F2F2"/>
            <w:tcMar>
              <w:top w:w="0" w:type="dxa"/>
              <w:left w:w="105" w:type="dxa"/>
              <w:bottom w:w="0" w:type="dxa"/>
              <w:right w:w="105" w:type="dxa"/>
            </w:tcMar>
            <w:vAlign w:val="center"/>
          </w:tcPr>
          <w:p w14:paraId="22C825B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IX,2.2(e)</w:t>
            </w:r>
            <w:r>
              <w:rPr>
                <w:rFonts w:ascii="宋体" w:hAnsi="宋体" w:eastAsia="宋体" w:cs="宋体"/>
                <w:kern w:val="0"/>
                <w:sz w:val="24"/>
                <w:szCs w:val="24"/>
              </w:rPr>
              <w:br w:type="textWrapping"/>
            </w:r>
          </w:p>
        </w:tc>
      </w:tr>
      <w:tr w14:paraId="11F2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77F1CA7D">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7.5  </w:t>
            </w:r>
            <w:r>
              <w:rPr>
                <w:rFonts w:hint="eastAsia" w:ascii="宋体" w:hAnsi="宋体" w:eastAsia="宋体" w:cs="宋体"/>
                <w:b/>
                <w:bCs/>
                <w:color w:val="000000"/>
                <w:kern w:val="0"/>
                <w:sz w:val="18"/>
                <w:szCs w:val="18"/>
              </w:rPr>
              <w:t>产品和服务提供</w:t>
            </w:r>
          </w:p>
        </w:tc>
      </w:tr>
      <w:tr w14:paraId="638F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0EF6F25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7.5.1  </w:t>
            </w:r>
            <w:r>
              <w:rPr>
                <w:rFonts w:hint="eastAsia" w:ascii="宋体" w:hAnsi="宋体" w:eastAsia="宋体" w:cs="宋体"/>
                <w:color w:val="000000"/>
                <w:kern w:val="0"/>
                <w:sz w:val="18"/>
                <w:szCs w:val="18"/>
              </w:rPr>
              <w:t>生产和服务提供的控制</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策划、实施、监视、控制</w:t>
            </w:r>
          </w:p>
        </w:tc>
        <w:tc>
          <w:tcPr>
            <w:tcW w:w="7325" w:type="dxa"/>
            <w:shd w:val="clear" w:color="auto" w:fill="E2EFD9"/>
            <w:tcMar>
              <w:top w:w="0" w:type="dxa"/>
              <w:left w:w="105" w:type="dxa"/>
              <w:bottom w:w="0" w:type="dxa"/>
              <w:right w:w="105" w:type="dxa"/>
            </w:tcMar>
            <w:vAlign w:val="center"/>
          </w:tcPr>
          <w:p w14:paraId="32BBA40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10-1Article  10-9,3rd paragraph(g)Article  10-11Annex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6Annex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IX,2.2(d)</w:t>
            </w:r>
          </w:p>
        </w:tc>
      </w:tr>
      <w:tr w14:paraId="611E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DE947D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7.5.2  </w:t>
            </w:r>
            <w:r>
              <w:rPr>
                <w:rFonts w:hint="eastAsia" w:ascii="宋体" w:hAnsi="宋体" w:eastAsia="宋体" w:cs="宋体"/>
                <w:color w:val="000000"/>
                <w:kern w:val="0"/>
                <w:sz w:val="18"/>
                <w:szCs w:val="18"/>
              </w:rPr>
              <w:t>产品的清洁</w:t>
            </w:r>
          </w:p>
        </w:tc>
        <w:tc>
          <w:tcPr>
            <w:tcW w:w="7325" w:type="dxa"/>
            <w:shd w:val="clear" w:color="auto" w:fill="F2F2F2"/>
            <w:tcMar>
              <w:top w:w="0" w:type="dxa"/>
              <w:left w:w="105" w:type="dxa"/>
              <w:bottom w:w="0" w:type="dxa"/>
              <w:right w:w="105" w:type="dxa"/>
            </w:tcMar>
            <w:vAlign w:val="center"/>
          </w:tcPr>
          <w:p w14:paraId="19760EB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4DE1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70AE584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7.5.3  </w:t>
            </w:r>
            <w:r>
              <w:rPr>
                <w:rFonts w:hint="eastAsia" w:ascii="宋体" w:hAnsi="宋体" w:eastAsia="宋体" w:cs="宋体"/>
                <w:color w:val="000000"/>
                <w:kern w:val="0"/>
                <w:sz w:val="18"/>
                <w:szCs w:val="18"/>
              </w:rPr>
              <w:t>安装活动</w:t>
            </w:r>
          </w:p>
        </w:tc>
        <w:tc>
          <w:tcPr>
            <w:tcW w:w="7325" w:type="dxa"/>
            <w:shd w:val="clear" w:color="auto" w:fill="E2EFD9"/>
            <w:tcMar>
              <w:top w:w="0" w:type="dxa"/>
              <w:left w:w="105" w:type="dxa"/>
              <w:bottom w:w="0" w:type="dxa"/>
              <w:right w:w="105" w:type="dxa"/>
            </w:tcMar>
            <w:vAlign w:val="center"/>
          </w:tcPr>
          <w:p w14:paraId="6B7DA2F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29B8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6574C2F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7.5.4  </w:t>
            </w:r>
            <w:r>
              <w:rPr>
                <w:rFonts w:hint="eastAsia" w:ascii="宋体" w:hAnsi="宋体" w:eastAsia="宋体" w:cs="宋体"/>
                <w:color w:val="000000"/>
                <w:kern w:val="0"/>
                <w:sz w:val="18"/>
                <w:szCs w:val="18"/>
              </w:rPr>
              <w:t>服务活动</w:t>
            </w:r>
          </w:p>
        </w:tc>
        <w:tc>
          <w:tcPr>
            <w:tcW w:w="7325" w:type="dxa"/>
            <w:shd w:val="clear" w:color="auto" w:fill="F2F2F2"/>
            <w:tcMar>
              <w:top w:w="0" w:type="dxa"/>
              <w:left w:w="105" w:type="dxa"/>
              <w:bottom w:w="0" w:type="dxa"/>
              <w:right w:w="105" w:type="dxa"/>
            </w:tcMar>
            <w:vAlign w:val="center"/>
          </w:tcPr>
          <w:p w14:paraId="4B69824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51F9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5F9429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7.5.5  </w:t>
            </w:r>
            <w:r>
              <w:rPr>
                <w:rFonts w:hint="eastAsia" w:ascii="宋体" w:hAnsi="宋体" w:eastAsia="宋体" w:cs="宋体"/>
                <w:color w:val="000000"/>
                <w:kern w:val="0"/>
                <w:sz w:val="18"/>
                <w:szCs w:val="18"/>
              </w:rPr>
              <w:t>无菌医疗器械的专用要求</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灭菌记录</w:t>
            </w:r>
          </w:p>
        </w:tc>
        <w:tc>
          <w:tcPr>
            <w:tcW w:w="7325" w:type="dxa"/>
            <w:shd w:val="clear" w:color="auto" w:fill="E2EFD9"/>
            <w:tcMar>
              <w:top w:w="0" w:type="dxa"/>
              <w:left w:w="105" w:type="dxa"/>
              <w:bottom w:w="0" w:type="dxa"/>
              <w:right w:w="105" w:type="dxa"/>
            </w:tcMar>
            <w:vAlign w:val="center"/>
          </w:tcPr>
          <w:p w14:paraId="367C19E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r>
              <w:rPr>
                <w:rFonts w:ascii="宋体" w:hAnsi="宋体" w:eastAsia="宋体" w:cs="宋体"/>
                <w:kern w:val="0"/>
                <w:sz w:val="24"/>
                <w:szCs w:val="24"/>
              </w:rPr>
              <w:br w:type="textWrapping"/>
            </w:r>
          </w:p>
        </w:tc>
      </w:tr>
      <w:tr w14:paraId="5F07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7524432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7.5.6  </w:t>
            </w:r>
            <w:r>
              <w:rPr>
                <w:rFonts w:hint="eastAsia" w:ascii="宋体" w:hAnsi="宋体" w:eastAsia="宋体" w:cs="宋体"/>
                <w:color w:val="000000"/>
                <w:kern w:val="0"/>
                <w:sz w:val="18"/>
                <w:szCs w:val="18"/>
              </w:rPr>
              <w:t>生产和服务提供过程的确认</w:t>
            </w:r>
            <w:r>
              <w:rPr>
                <w:rFonts w:ascii="宋体" w:hAnsi="宋体" w:eastAsia="宋体" w:cs="宋体"/>
                <w:kern w:val="0"/>
                <w:sz w:val="24"/>
                <w:szCs w:val="24"/>
              </w:rPr>
              <w:br w:type="textWrapping"/>
            </w:r>
            <w:r>
              <w:rPr>
                <w:rFonts w:ascii="宋体" w:hAnsi="宋体" w:eastAsia="宋体" w:cs="宋体"/>
                <w:color w:val="000000"/>
                <w:kern w:val="0"/>
                <w:sz w:val="18"/>
                <w:szCs w:val="18"/>
              </w:rPr>
              <w:t>IQ;OP;PQ</w:t>
            </w:r>
          </w:p>
        </w:tc>
        <w:tc>
          <w:tcPr>
            <w:tcW w:w="7325" w:type="dxa"/>
            <w:shd w:val="clear" w:color="auto" w:fill="F2F2F2"/>
            <w:tcMar>
              <w:top w:w="0" w:type="dxa"/>
              <w:left w:w="105" w:type="dxa"/>
              <w:bottom w:w="0" w:type="dxa"/>
              <w:right w:w="105" w:type="dxa"/>
            </w:tcMar>
            <w:vAlign w:val="center"/>
          </w:tcPr>
          <w:p w14:paraId="0B30DD5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p>
          <w:p w14:paraId="6CA78EC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IX,2.2(d)</w:t>
            </w:r>
          </w:p>
          <w:p w14:paraId="731DF32F">
            <w:pPr>
              <w:widowControl/>
              <w:wordWrap w:val="0"/>
              <w:jc w:val="left"/>
              <w:rPr>
                <w:rFonts w:ascii="宋体" w:hAnsi="宋体" w:eastAsia="宋体" w:cs="宋体"/>
                <w:kern w:val="0"/>
                <w:sz w:val="24"/>
                <w:szCs w:val="24"/>
              </w:rPr>
            </w:pPr>
            <w:r>
              <w:rPr>
                <w:rFonts w:ascii="宋体" w:hAnsi="宋体" w:eastAsia="宋体" w:cs="宋体"/>
                <w:kern w:val="0"/>
                <w:sz w:val="24"/>
                <w:szCs w:val="24"/>
              </w:rPr>
              <w:br w:type="textWrapping"/>
            </w:r>
          </w:p>
        </w:tc>
      </w:tr>
      <w:tr w14:paraId="0995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6F7BF0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7.5.7  </w:t>
            </w:r>
            <w:r>
              <w:rPr>
                <w:rFonts w:hint="eastAsia" w:ascii="宋体" w:hAnsi="宋体" w:eastAsia="宋体" w:cs="宋体"/>
                <w:color w:val="000000"/>
                <w:kern w:val="0"/>
                <w:sz w:val="18"/>
                <w:szCs w:val="18"/>
              </w:rPr>
              <w:t>灭菌过程和无菌屏障系统确认的专用要求</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灭菌控制</w:t>
            </w:r>
          </w:p>
        </w:tc>
        <w:tc>
          <w:tcPr>
            <w:tcW w:w="7325" w:type="dxa"/>
            <w:shd w:val="clear" w:color="auto" w:fill="E2EFD9"/>
            <w:tcMar>
              <w:top w:w="0" w:type="dxa"/>
              <w:left w:w="105" w:type="dxa"/>
              <w:bottom w:w="0" w:type="dxa"/>
              <w:right w:w="105" w:type="dxa"/>
            </w:tcMar>
            <w:vAlign w:val="center"/>
          </w:tcPr>
          <w:p w14:paraId="5968190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IX,2.2(d)</w:t>
            </w:r>
            <w:r>
              <w:rPr>
                <w:rFonts w:ascii="宋体" w:hAnsi="宋体" w:eastAsia="宋体" w:cs="宋体"/>
                <w:kern w:val="0"/>
                <w:sz w:val="24"/>
                <w:szCs w:val="24"/>
              </w:rPr>
              <w:br w:type="textWrapping"/>
            </w:r>
          </w:p>
        </w:tc>
      </w:tr>
      <w:tr w14:paraId="6E0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998B95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7.5.8  </w:t>
            </w:r>
            <w:r>
              <w:rPr>
                <w:rFonts w:hint="eastAsia" w:ascii="宋体" w:hAnsi="宋体" w:eastAsia="宋体" w:cs="宋体"/>
                <w:color w:val="000000"/>
                <w:kern w:val="0"/>
                <w:sz w:val="18"/>
                <w:szCs w:val="18"/>
              </w:rPr>
              <w:t>标识</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vAlign w:val="center"/>
          </w:tcPr>
          <w:p w14:paraId="530B27B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7</w:t>
            </w:r>
            <w:r>
              <w:rPr>
                <w:rFonts w:ascii="宋体" w:hAnsi="宋体" w:eastAsia="宋体" w:cs="宋体"/>
                <w:kern w:val="0"/>
                <w:sz w:val="24"/>
                <w:szCs w:val="24"/>
              </w:rPr>
              <w:br w:type="textWrapping"/>
            </w:r>
          </w:p>
        </w:tc>
      </w:tr>
      <w:tr w14:paraId="22A7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11C14A1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7.5.9  </w:t>
            </w:r>
            <w:r>
              <w:rPr>
                <w:rFonts w:hint="eastAsia" w:ascii="宋体" w:hAnsi="宋体" w:eastAsia="宋体" w:cs="宋体"/>
                <w:color w:val="000000"/>
                <w:kern w:val="0"/>
                <w:sz w:val="18"/>
                <w:szCs w:val="18"/>
              </w:rPr>
              <w:t>可追溯性</w:t>
            </w:r>
          </w:p>
        </w:tc>
        <w:tc>
          <w:tcPr>
            <w:tcW w:w="7325" w:type="dxa"/>
            <w:shd w:val="clear" w:color="auto" w:fill="E2EFD9"/>
            <w:tcMar>
              <w:top w:w="0" w:type="dxa"/>
              <w:left w:w="105" w:type="dxa"/>
              <w:bottom w:w="0" w:type="dxa"/>
              <w:right w:w="105" w:type="dxa"/>
            </w:tcMar>
            <w:vAlign w:val="center"/>
          </w:tcPr>
          <w:p w14:paraId="3F43AF4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7Annex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p>
        </w:tc>
      </w:tr>
      <w:tr w14:paraId="6883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3D5095A">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7.5.10  </w:t>
            </w:r>
            <w:r>
              <w:rPr>
                <w:rFonts w:hint="eastAsia" w:ascii="宋体" w:hAnsi="宋体" w:eastAsia="宋体" w:cs="宋体"/>
                <w:color w:val="000000"/>
                <w:kern w:val="0"/>
                <w:sz w:val="18"/>
                <w:szCs w:val="18"/>
              </w:rPr>
              <w:t>顾客财产</w:t>
            </w:r>
          </w:p>
        </w:tc>
        <w:tc>
          <w:tcPr>
            <w:tcW w:w="7325" w:type="dxa"/>
            <w:shd w:val="clear" w:color="auto" w:fill="F2F2F2"/>
            <w:tcMar>
              <w:top w:w="0" w:type="dxa"/>
              <w:left w:w="105" w:type="dxa"/>
              <w:bottom w:w="0" w:type="dxa"/>
              <w:right w:w="105" w:type="dxa"/>
            </w:tcMar>
            <w:vAlign w:val="center"/>
          </w:tcPr>
          <w:p w14:paraId="6ED47B1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6C55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04B4B5D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7.5.11  </w:t>
            </w:r>
            <w:r>
              <w:rPr>
                <w:rFonts w:hint="eastAsia" w:ascii="宋体" w:hAnsi="宋体" w:eastAsia="宋体" w:cs="宋体"/>
                <w:color w:val="000000"/>
                <w:kern w:val="0"/>
                <w:sz w:val="18"/>
                <w:szCs w:val="18"/>
              </w:rPr>
              <w:t>产品防护</w:t>
            </w:r>
          </w:p>
        </w:tc>
        <w:tc>
          <w:tcPr>
            <w:tcW w:w="7325" w:type="dxa"/>
            <w:shd w:val="clear" w:color="auto" w:fill="E2EFD9"/>
            <w:tcMar>
              <w:top w:w="0" w:type="dxa"/>
              <w:left w:w="105" w:type="dxa"/>
              <w:bottom w:w="0" w:type="dxa"/>
              <w:right w:w="105" w:type="dxa"/>
            </w:tcMar>
            <w:vAlign w:val="center"/>
          </w:tcPr>
          <w:p w14:paraId="23B1855A">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0FAA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28DBB48D">
            <w:pPr>
              <w:widowControl/>
              <w:wordWrap w:val="0"/>
              <w:jc w:val="left"/>
              <w:rPr>
                <w:rFonts w:ascii="宋体" w:hAnsi="宋体" w:eastAsia="宋体" w:cs="宋体"/>
                <w:kern w:val="0"/>
                <w:sz w:val="24"/>
                <w:szCs w:val="24"/>
              </w:rPr>
            </w:pPr>
            <w:r>
              <w:rPr>
                <w:rFonts w:ascii="PingFangTC-light" w:hAnsi="PingFangTC-light" w:eastAsia="宋体" w:cs="宋体"/>
                <w:b/>
                <w:bCs/>
                <w:color w:val="000000"/>
                <w:kern w:val="0"/>
                <w:sz w:val="18"/>
                <w:szCs w:val="18"/>
              </w:rPr>
              <w:t>7.6  监视和测量设备的控制</w:t>
            </w:r>
            <w:r>
              <w:rPr>
                <w:rFonts w:hint="eastAsia" w:ascii="宋体" w:hAnsi="宋体" w:eastAsia="宋体" w:cs="宋体"/>
                <w:b/>
                <w:bCs/>
                <w:color w:val="000000"/>
                <w:kern w:val="0"/>
                <w:sz w:val="18"/>
                <w:szCs w:val="18"/>
              </w:rPr>
              <w:t>8.2 监视和测量</w:t>
            </w:r>
          </w:p>
        </w:tc>
      </w:tr>
      <w:tr w14:paraId="09CE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5C8BD9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8.2.5  </w:t>
            </w:r>
            <w:r>
              <w:rPr>
                <w:rFonts w:hint="eastAsia" w:ascii="宋体" w:hAnsi="宋体" w:eastAsia="宋体" w:cs="宋体"/>
                <w:color w:val="000000"/>
                <w:kern w:val="0"/>
                <w:sz w:val="18"/>
                <w:szCs w:val="18"/>
              </w:rPr>
              <w:t>过程的监视和测量</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tcPr>
          <w:p w14:paraId="511E130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IX,2.2(b),indent 2Annex  XI 6.2,2nd paragraph,reference to Annex IX,2.2(e)Annex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A11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419729E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8.2.6  </w:t>
            </w:r>
            <w:r>
              <w:rPr>
                <w:rFonts w:hint="eastAsia" w:ascii="宋体" w:hAnsi="宋体" w:eastAsia="宋体" w:cs="宋体"/>
                <w:color w:val="000000"/>
                <w:kern w:val="0"/>
                <w:sz w:val="18"/>
                <w:szCs w:val="18"/>
              </w:rPr>
              <w:t>产品的监视和测量</w:t>
            </w:r>
            <w:r>
              <w:rPr>
                <w:rFonts w:ascii="宋体" w:hAnsi="宋体" w:eastAsia="宋体" w:cs="宋体"/>
                <w:kern w:val="0"/>
                <w:sz w:val="24"/>
                <w:szCs w:val="24"/>
              </w:rPr>
              <w:br w:type="textWrapping"/>
            </w:r>
          </w:p>
        </w:tc>
        <w:tc>
          <w:tcPr>
            <w:tcW w:w="7325" w:type="dxa"/>
            <w:shd w:val="clear" w:color="auto" w:fill="E2EFD9"/>
            <w:tcMar>
              <w:top w:w="0" w:type="dxa"/>
              <w:left w:w="105" w:type="dxa"/>
              <w:bottom w:w="0" w:type="dxa"/>
              <w:right w:w="105" w:type="dxa"/>
            </w:tcMar>
          </w:tcPr>
          <w:p w14:paraId="5F2F711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IX,2.2(b),indent 2Annex  XI 6.2,2nd paragraph,reference to Annex IX,2.2(e)Annex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C40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44C7B390">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8.3  </w:t>
            </w:r>
            <w:r>
              <w:rPr>
                <w:rFonts w:hint="eastAsia" w:ascii="宋体" w:hAnsi="宋体" w:eastAsia="宋体" w:cs="宋体"/>
                <w:b/>
                <w:bCs/>
                <w:color w:val="000000"/>
                <w:kern w:val="0"/>
                <w:sz w:val="18"/>
                <w:szCs w:val="18"/>
              </w:rPr>
              <w:t>不合格品控制</w:t>
            </w:r>
          </w:p>
        </w:tc>
      </w:tr>
      <w:tr w14:paraId="069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1D5141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8.3.1  </w:t>
            </w:r>
            <w:r>
              <w:rPr>
                <w:rFonts w:hint="eastAsia" w:ascii="宋体" w:hAnsi="宋体" w:eastAsia="宋体" w:cs="宋体"/>
                <w:color w:val="000000"/>
                <w:kern w:val="0"/>
                <w:sz w:val="18"/>
                <w:szCs w:val="18"/>
              </w:rPr>
              <w:t>不合格品控制总则</w:t>
            </w:r>
          </w:p>
        </w:tc>
        <w:tc>
          <w:tcPr>
            <w:tcW w:w="7325" w:type="dxa"/>
            <w:shd w:val="clear" w:color="auto" w:fill="F2F2F2"/>
            <w:tcMar>
              <w:top w:w="0" w:type="dxa"/>
              <w:left w:w="105" w:type="dxa"/>
              <w:bottom w:w="0" w:type="dxa"/>
              <w:right w:w="105" w:type="dxa"/>
            </w:tcMar>
          </w:tcPr>
          <w:p w14:paraId="3670204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7CD5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F0AB57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8.3.2  </w:t>
            </w:r>
            <w:r>
              <w:rPr>
                <w:rFonts w:hint="eastAsia" w:ascii="宋体" w:hAnsi="宋体" w:eastAsia="宋体" w:cs="宋体"/>
                <w:color w:val="000000"/>
                <w:kern w:val="0"/>
                <w:sz w:val="18"/>
                <w:szCs w:val="18"/>
              </w:rPr>
              <w:t>交付前发现不合格品的相应措施</w:t>
            </w:r>
          </w:p>
        </w:tc>
        <w:tc>
          <w:tcPr>
            <w:tcW w:w="7325" w:type="dxa"/>
            <w:shd w:val="clear" w:color="auto" w:fill="E2EFD9"/>
            <w:tcMar>
              <w:top w:w="0" w:type="dxa"/>
              <w:left w:w="105" w:type="dxa"/>
              <w:bottom w:w="0" w:type="dxa"/>
              <w:right w:w="105" w:type="dxa"/>
            </w:tcMar>
          </w:tcPr>
          <w:p w14:paraId="48E10DA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25BC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CA7B51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8.3.3  </w:t>
            </w:r>
            <w:r>
              <w:rPr>
                <w:rFonts w:hint="eastAsia" w:ascii="宋体" w:hAnsi="宋体" w:eastAsia="宋体" w:cs="宋体"/>
                <w:color w:val="000000"/>
                <w:kern w:val="0"/>
                <w:sz w:val="18"/>
                <w:szCs w:val="18"/>
              </w:rPr>
              <w:t>交付后发现不合格品的响应措施</w:t>
            </w:r>
          </w:p>
        </w:tc>
        <w:tc>
          <w:tcPr>
            <w:tcW w:w="7325" w:type="dxa"/>
            <w:shd w:val="clear" w:color="auto" w:fill="F2F2F2"/>
            <w:tcMar>
              <w:top w:w="0" w:type="dxa"/>
              <w:left w:w="105" w:type="dxa"/>
              <w:bottom w:w="0" w:type="dxa"/>
              <w:right w:w="105" w:type="dxa"/>
            </w:tcMar>
          </w:tcPr>
          <w:p w14:paraId="68DA565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w:t>
            </w:r>
          </w:p>
          <w:p w14:paraId="1B304465">
            <w:pPr>
              <w:widowControl/>
              <w:wordWrap w:val="0"/>
              <w:jc w:val="left"/>
              <w:rPr>
                <w:rFonts w:ascii="宋体" w:hAnsi="宋体" w:eastAsia="宋体" w:cs="宋体"/>
                <w:kern w:val="0"/>
                <w:sz w:val="24"/>
                <w:szCs w:val="24"/>
              </w:rPr>
            </w:pPr>
          </w:p>
        </w:tc>
      </w:tr>
      <w:tr w14:paraId="6926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4D9D1ED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8.3.4  </w:t>
            </w:r>
            <w:r>
              <w:rPr>
                <w:rFonts w:hint="eastAsia" w:ascii="宋体" w:hAnsi="宋体" w:eastAsia="宋体" w:cs="宋体"/>
                <w:color w:val="000000"/>
                <w:kern w:val="0"/>
                <w:sz w:val="18"/>
                <w:szCs w:val="18"/>
              </w:rPr>
              <w:t>返工</w:t>
            </w:r>
          </w:p>
        </w:tc>
        <w:tc>
          <w:tcPr>
            <w:tcW w:w="7325" w:type="dxa"/>
            <w:shd w:val="clear" w:color="auto" w:fill="E2EFD9"/>
            <w:tcMar>
              <w:top w:w="0" w:type="dxa"/>
              <w:left w:w="105" w:type="dxa"/>
              <w:bottom w:w="0" w:type="dxa"/>
              <w:right w:w="105" w:type="dxa"/>
            </w:tcMar>
          </w:tcPr>
          <w:p w14:paraId="1FB4762C">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bl>
    <w:p w14:paraId="79227940">
      <w:pPr>
        <w:widowControl/>
        <w:jc w:val="left"/>
        <w:rPr>
          <w:rFonts w:ascii="宋体" w:hAnsi="宋体" w:eastAsia="宋体" w:cs="宋体"/>
          <w:kern w:val="0"/>
          <w:sz w:val="24"/>
          <w:szCs w:val="24"/>
        </w:rPr>
      </w:pPr>
    </w:p>
    <w:p w14:paraId="3A928423">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C-检查</w:t>
      </w:r>
    </w:p>
    <w:p w14:paraId="21E3FE2B">
      <w:pPr>
        <w:widowControl/>
        <w:jc w:val="left"/>
        <w:rPr>
          <w:rFonts w:ascii="宋体" w:hAnsi="宋体" w:eastAsia="宋体" w:cs="宋体"/>
          <w:kern w:val="0"/>
          <w:sz w:val="24"/>
          <w:szCs w:val="24"/>
        </w:rPr>
      </w:pPr>
    </w:p>
    <w:tbl>
      <w:tblPr>
        <w:tblStyle w:val="6"/>
        <w:tblW w:w="10155" w:type="dxa"/>
        <w:tblInd w:w="0" w:type="dxa"/>
        <w:tblLayout w:type="autofit"/>
        <w:tblCellMar>
          <w:top w:w="0" w:type="dxa"/>
          <w:left w:w="0" w:type="dxa"/>
          <w:bottom w:w="0" w:type="dxa"/>
          <w:right w:w="0" w:type="dxa"/>
        </w:tblCellMar>
      </w:tblPr>
      <w:tblGrid>
        <w:gridCol w:w="2830"/>
        <w:gridCol w:w="7325"/>
      </w:tblGrid>
      <w:tr w14:paraId="3E49D35C">
        <w:tblPrEx>
          <w:tblCellMar>
            <w:top w:w="0" w:type="dxa"/>
            <w:left w:w="0" w:type="dxa"/>
            <w:bottom w:w="0" w:type="dxa"/>
            <w:right w:w="0" w:type="dxa"/>
          </w:tblCellMar>
        </w:tblPrEx>
        <w:trPr>
          <w:trHeight w:val="33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429A8E17">
            <w:pPr>
              <w:widowControl/>
              <w:wordWrap w:val="0"/>
              <w:jc w:val="left"/>
              <w:rPr>
                <w:rFonts w:ascii="宋体" w:hAnsi="宋体" w:eastAsia="宋体" w:cs="宋体"/>
                <w:kern w:val="0"/>
                <w:sz w:val="24"/>
                <w:szCs w:val="24"/>
              </w:rPr>
            </w:pPr>
            <w:r>
              <w:rPr>
                <w:rFonts w:ascii="宋体" w:hAnsi="宋体" w:eastAsia="宋体" w:cs="宋体"/>
                <w:b/>
                <w:bCs/>
                <w:color w:val="231F20"/>
                <w:kern w:val="0"/>
                <w:sz w:val="18"/>
                <w:szCs w:val="18"/>
              </w:rPr>
              <w:t>8  </w:t>
            </w:r>
            <w:r>
              <w:rPr>
                <w:rFonts w:hint="eastAsia" w:ascii="宋体" w:hAnsi="宋体" w:eastAsia="宋体" w:cs="宋体"/>
                <w:b/>
                <w:bCs/>
                <w:color w:val="231F20"/>
                <w:kern w:val="0"/>
                <w:sz w:val="18"/>
                <w:szCs w:val="18"/>
              </w:rPr>
              <w:t>测量、分析和改进</w:t>
            </w:r>
          </w:p>
        </w:tc>
      </w:tr>
      <w:tr w14:paraId="0085AE6F">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313E437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8.1  </w:t>
            </w:r>
            <w:r>
              <w:rPr>
                <w:rFonts w:hint="eastAsia" w:ascii="宋体" w:hAnsi="宋体" w:eastAsia="宋体" w:cs="宋体"/>
                <w:color w:val="231F20"/>
                <w:kern w:val="0"/>
                <w:sz w:val="18"/>
                <w:szCs w:val="18"/>
              </w:rPr>
              <w:t>总则</w:t>
            </w:r>
          </w:p>
        </w:tc>
        <w:tc>
          <w:tcPr>
            <w:tcW w:w="732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3CAE29C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w:t>
            </w:r>
          </w:p>
        </w:tc>
      </w:tr>
      <w:tr w14:paraId="72C02C0B">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2381847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8.2.1  </w:t>
            </w:r>
            <w:r>
              <w:rPr>
                <w:rFonts w:hint="eastAsia" w:ascii="宋体" w:hAnsi="宋体" w:eastAsia="宋体" w:cs="宋体"/>
                <w:color w:val="000000"/>
                <w:kern w:val="0"/>
                <w:sz w:val="18"/>
                <w:szCs w:val="18"/>
              </w:rPr>
              <w:t>反馈</w:t>
            </w:r>
          </w:p>
        </w:tc>
        <w:tc>
          <w:tcPr>
            <w:tcW w:w="732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3AC355D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paragraph(i)Article 10-10Annex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8Annex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9Annex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2Annex XI 6.2,2nd paragraph,reference  to Annex IX,2.2(b),indent 2Annex  XI 13</w:t>
            </w:r>
          </w:p>
        </w:tc>
      </w:tr>
      <w:tr w14:paraId="2B905CC6">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5166A6E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8.2.2  </w:t>
            </w:r>
            <w:r>
              <w:rPr>
                <w:rFonts w:hint="eastAsia" w:ascii="宋体" w:hAnsi="宋体" w:eastAsia="宋体" w:cs="宋体"/>
                <w:color w:val="000000"/>
                <w:kern w:val="0"/>
                <w:sz w:val="18"/>
                <w:szCs w:val="18"/>
              </w:rPr>
              <w:t>投诉处置</w:t>
            </w:r>
          </w:p>
        </w:tc>
        <w:tc>
          <w:tcPr>
            <w:tcW w:w="732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6A1E683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w:t>
            </w:r>
          </w:p>
        </w:tc>
      </w:tr>
      <w:tr w14:paraId="2893B811">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C43CF2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8.2.3  </w:t>
            </w:r>
            <w:r>
              <w:rPr>
                <w:rFonts w:hint="eastAsia" w:ascii="宋体" w:hAnsi="宋体" w:eastAsia="宋体" w:cs="宋体"/>
                <w:color w:val="000000"/>
                <w:kern w:val="0"/>
                <w:sz w:val="18"/>
                <w:szCs w:val="18"/>
              </w:rPr>
              <w:t>向监管机构报告</w:t>
            </w:r>
          </w:p>
        </w:tc>
        <w:tc>
          <w:tcPr>
            <w:tcW w:w="732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306EDFF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10-13.</w:t>
            </w:r>
          </w:p>
        </w:tc>
      </w:tr>
      <w:tr w14:paraId="5E28B59B">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46091EC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8.2.4  </w:t>
            </w:r>
            <w:r>
              <w:rPr>
                <w:rFonts w:hint="eastAsia" w:ascii="宋体" w:hAnsi="宋体" w:eastAsia="宋体" w:cs="宋体"/>
                <w:color w:val="000000"/>
                <w:kern w:val="0"/>
                <w:sz w:val="18"/>
                <w:szCs w:val="18"/>
              </w:rPr>
              <w:t>内部审核</w:t>
            </w:r>
            <w:r>
              <w:rPr>
                <w:rFonts w:ascii="宋体" w:hAnsi="宋体" w:eastAsia="宋体" w:cs="宋体"/>
                <w:kern w:val="0"/>
                <w:sz w:val="18"/>
                <w:szCs w:val="18"/>
              </w:rPr>
              <w:t> </w:t>
            </w:r>
            <w:r>
              <w:rPr>
                <w:rFonts w:hint="eastAsia" w:ascii="宋体" w:hAnsi="宋体" w:eastAsia="宋体" w:cs="宋体"/>
                <w:color w:val="000000"/>
                <w:kern w:val="0"/>
                <w:sz w:val="18"/>
                <w:szCs w:val="18"/>
              </w:rPr>
              <w:t>内审计划、内审检查表、内审报告增加</w:t>
            </w:r>
            <w:r>
              <w:rPr>
                <w:rFonts w:ascii="宋体" w:hAnsi="宋体" w:eastAsia="宋体" w:cs="宋体"/>
                <w:color w:val="000000"/>
                <w:kern w:val="0"/>
                <w:sz w:val="18"/>
                <w:szCs w:val="18"/>
              </w:rPr>
              <w:t>MDR</w:t>
            </w:r>
            <w:r>
              <w:rPr>
                <w:rFonts w:hint="eastAsia" w:ascii="宋体" w:hAnsi="宋体" w:eastAsia="宋体" w:cs="宋体"/>
                <w:color w:val="000000"/>
                <w:kern w:val="0"/>
                <w:sz w:val="18"/>
                <w:szCs w:val="18"/>
              </w:rPr>
              <w:t>内容</w:t>
            </w:r>
          </w:p>
        </w:tc>
        <w:tc>
          <w:tcPr>
            <w:tcW w:w="732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66EE470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99A52B9">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ACBED2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8.4 </w:t>
            </w:r>
            <w:r>
              <w:rPr>
                <w:rFonts w:hint="eastAsia" w:ascii="宋体" w:hAnsi="宋体" w:eastAsia="宋体" w:cs="宋体"/>
                <w:color w:val="000000"/>
                <w:kern w:val="0"/>
                <w:sz w:val="18"/>
                <w:szCs w:val="18"/>
              </w:rPr>
              <w:t>数据分析</w:t>
            </w:r>
          </w:p>
        </w:tc>
        <w:tc>
          <w:tcPr>
            <w:tcW w:w="732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5C54BB1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bl>
    <w:p w14:paraId="7064563A">
      <w:pPr>
        <w:widowControl/>
        <w:jc w:val="left"/>
        <w:rPr>
          <w:rFonts w:ascii="宋体" w:hAnsi="宋体" w:eastAsia="宋体" w:cs="宋体"/>
          <w:kern w:val="0"/>
          <w:sz w:val="24"/>
          <w:szCs w:val="24"/>
        </w:rPr>
      </w:pPr>
    </w:p>
    <w:p w14:paraId="2C94FE61">
      <w:pPr>
        <w:widowControl/>
        <w:jc w:val="left"/>
        <w:rPr>
          <w:rFonts w:ascii="宋体" w:hAnsi="宋体" w:eastAsia="宋体" w:cs="宋体"/>
          <w:kern w:val="0"/>
          <w:sz w:val="24"/>
          <w:szCs w:val="24"/>
        </w:rPr>
      </w:pPr>
    </w:p>
    <w:p w14:paraId="03004670">
      <w:pPr>
        <w:widowControl/>
        <w:jc w:val="left"/>
        <w:rPr>
          <w:rFonts w:ascii="宋体" w:hAnsi="宋体" w:eastAsia="宋体" w:cs="宋体"/>
          <w:kern w:val="0"/>
          <w:sz w:val="24"/>
          <w:szCs w:val="24"/>
        </w:rPr>
      </w:pPr>
    </w:p>
    <w:p w14:paraId="1FA88CD4">
      <w:pPr>
        <w:widowControl/>
        <w:jc w:val="left"/>
        <w:rPr>
          <w:rFonts w:hint="eastAsia" w:ascii="宋体" w:hAnsi="宋体" w:eastAsia="宋体" w:cs="宋体"/>
          <w:kern w:val="0"/>
          <w:sz w:val="24"/>
          <w:szCs w:val="24"/>
        </w:rPr>
      </w:pPr>
    </w:p>
    <w:p w14:paraId="544CD2CD">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A-改进</w:t>
      </w:r>
    </w:p>
    <w:p w14:paraId="223FD353">
      <w:pPr>
        <w:widowControl/>
        <w:jc w:val="left"/>
        <w:rPr>
          <w:rFonts w:ascii="宋体" w:hAnsi="宋体" w:eastAsia="宋体" w:cs="宋体"/>
          <w:kern w:val="0"/>
          <w:sz w:val="24"/>
          <w:szCs w:val="24"/>
        </w:rPr>
      </w:pPr>
    </w:p>
    <w:tbl>
      <w:tblPr>
        <w:tblStyle w:val="6"/>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73"/>
        <w:gridCol w:w="7282"/>
      </w:tblGrid>
      <w:tr w14:paraId="1E4D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059ACA42">
            <w:pPr>
              <w:widowControl/>
              <w:wordWrap w:val="0"/>
              <w:jc w:val="left"/>
              <w:rPr>
                <w:rFonts w:ascii="宋体" w:hAnsi="宋体" w:eastAsia="宋体" w:cs="宋体"/>
                <w:kern w:val="0"/>
                <w:sz w:val="24"/>
                <w:szCs w:val="24"/>
              </w:rPr>
            </w:pPr>
            <w:r>
              <w:rPr>
                <w:rFonts w:ascii="宋体" w:hAnsi="宋体" w:eastAsia="宋体" w:cs="宋体"/>
                <w:b/>
                <w:bCs/>
                <w:color w:val="231F20"/>
                <w:kern w:val="0"/>
                <w:sz w:val="18"/>
                <w:szCs w:val="18"/>
              </w:rPr>
              <w:t>8.1  </w:t>
            </w:r>
            <w:r>
              <w:rPr>
                <w:rFonts w:hint="eastAsia" w:ascii="宋体" w:hAnsi="宋体" w:eastAsia="宋体" w:cs="宋体"/>
                <w:b/>
                <w:bCs/>
                <w:color w:val="231F20"/>
                <w:kern w:val="0"/>
                <w:sz w:val="18"/>
                <w:szCs w:val="18"/>
              </w:rPr>
              <w:t>总则</w:t>
            </w:r>
          </w:p>
        </w:tc>
      </w:tr>
      <w:tr w14:paraId="5EB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F2F2F2"/>
            <w:tcMar>
              <w:top w:w="0" w:type="dxa"/>
              <w:left w:w="105" w:type="dxa"/>
              <w:bottom w:w="0" w:type="dxa"/>
              <w:right w:w="105" w:type="dxa"/>
            </w:tcMar>
            <w:vAlign w:val="center"/>
          </w:tcPr>
          <w:p w14:paraId="2FB570D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w:t>
            </w:r>
          </w:p>
        </w:tc>
      </w:tr>
      <w:tr w14:paraId="6AE6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16B64E4C">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w:t>
            </w:r>
            <w:r>
              <w:rPr>
                <w:rFonts w:ascii="宋体" w:hAnsi="宋体" w:eastAsia="宋体" w:cs="宋体"/>
                <w:b/>
                <w:bCs/>
                <w:color w:val="231F20"/>
                <w:kern w:val="0"/>
                <w:sz w:val="18"/>
                <w:szCs w:val="18"/>
              </w:rPr>
              <w:t>.2 </w:t>
            </w:r>
            <w:r>
              <w:rPr>
                <w:rFonts w:hint="eastAsia" w:ascii="宋体" w:hAnsi="宋体" w:eastAsia="宋体" w:cs="宋体"/>
                <w:b/>
                <w:bCs/>
                <w:color w:val="231F20"/>
                <w:kern w:val="0"/>
                <w:sz w:val="18"/>
                <w:szCs w:val="18"/>
              </w:rPr>
              <w:t>监视和测量</w:t>
            </w:r>
          </w:p>
        </w:tc>
      </w:tr>
      <w:tr w14:paraId="0684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6D0E133">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8.2.1 </w:t>
            </w:r>
            <w:r>
              <w:rPr>
                <w:rFonts w:hint="eastAsia" w:ascii="宋体" w:hAnsi="宋体" w:eastAsia="宋体" w:cs="宋体"/>
                <w:color w:val="231F20"/>
                <w:kern w:val="0"/>
                <w:sz w:val="18"/>
                <w:szCs w:val="18"/>
              </w:rPr>
              <w:t>反馈</w:t>
            </w:r>
          </w:p>
        </w:tc>
        <w:tc>
          <w:tcPr>
            <w:tcW w:w="7325" w:type="dxa"/>
            <w:shd w:val="clear" w:color="auto" w:fill="E2EFD9"/>
            <w:tcMar>
              <w:top w:w="0" w:type="dxa"/>
              <w:left w:w="105" w:type="dxa"/>
              <w:bottom w:w="0" w:type="dxa"/>
              <w:right w:w="105" w:type="dxa"/>
            </w:tcMar>
            <w:vAlign w:val="center"/>
          </w:tcPr>
          <w:p w14:paraId="365C1B0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paragraph(i)Article  10-10Annex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8Annex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9Annex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2Annex  XI 6.2,2nd paragraph,reference to Annex IX,2.2(b),indent 2Annex  XI 13</w:t>
            </w:r>
          </w:p>
        </w:tc>
      </w:tr>
      <w:tr w14:paraId="58D8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2662DEEA">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8.2.2 </w:t>
            </w:r>
            <w:r>
              <w:rPr>
                <w:rFonts w:hint="eastAsia" w:ascii="宋体" w:hAnsi="宋体" w:eastAsia="宋体" w:cs="宋体"/>
                <w:color w:val="231F20"/>
                <w:kern w:val="0"/>
                <w:sz w:val="18"/>
                <w:szCs w:val="18"/>
              </w:rPr>
              <w:t>投诉处理</w:t>
            </w:r>
          </w:p>
        </w:tc>
        <w:tc>
          <w:tcPr>
            <w:tcW w:w="7325" w:type="dxa"/>
            <w:shd w:val="clear" w:color="auto" w:fill="F2F2F2"/>
            <w:tcMar>
              <w:top w:w="0" w:type="dxa"/>
              <w:left w:w="105" w:type="dxa"/>
              <w:bottom w:w="0" w:type="dxa"/>
              <w:right w:w="105" w:type="dxa"/>
            </w:tcMar>
            <w:vAlign w:val="center"/>
          </w:tcPr>
          <w:p w14:paraId="3A0E7CD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w:t>
            </w:r>
          </w:p>
        </w:tc>
      </w:tr>
      <w:tr w14:paraId="585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77AB0B71">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8.2.3 </w:t>
            </w:r>
            <w:r>
              <w:rPr>
                <w:rFonts w:hint="eastAsia" w:ascii="宋体" w:hAnsi="宋体" w:eastAsia="宋体" w:cs="宋体"/>
                <w:color w:val="231F20"/>
                <w:kern w:val="0"/>
                <w:sz w:val="18"/>
                <w:szCs w:val="18"/>
              </w:rPr>
              <w:t>法规机构报告</w:t>
            </w:r>
          </w:p>
        </w:tc>
        <w:tc>
          <w:tcPr>
            <w:tcW w:w="7325" w:type="dxa"/>
            <w:shd w:val="clear" w:color="auto" w:fill="E2EFD9"/>
            <w:tcMar>
              <w:top w:w="0" w:type="dxa"/>
              <w:left w:w="105" w:type="dxa"/>
              <w:bottom w:w="0" w:type="dxa"/>
              <w:right w:w="105" w:type="dxa"/>
            </w:tcMar>
            <w:vAlign w:val="center"/>
          </w:tcPr>
          <w:p w14:paraId="77E2F1B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10-12Article  10-13</w:t>
            </w:r>
          </w:p>
        </w:tc>
      </w:tr>
      <w:tr w14:paraId="718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91081D3">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8.2.4 </w:t>
            </w:r>
            <w:r>
              <w:rPr>
                <w:rFonts w:hint="eastAsia" w:ascii="宋体" w:hAnsi="宋体" w:eastAsia="宋体" w:cs="宋体"/>
                <w:color w:val="231F20"/>
                <w:kern w:val="0"/>
                <w:sz w:val="18"/>
                <w:szCs w:val="18"/>
              </w:rPr>
              <w:t>内部审核</w:t>
            </w:r>
          </w:p>
        </w:tc>
        <w:tc>
          <w:tcPr>
            <w:tcW w:w="7325" w:type="dxa"/>
            <w:shd w:val="clear" w:color="auto" w:fill="F2F2F2"/>
            <w:tcMar>
              <w:top w:w="0" w:type="dxa"/>
              <w:left w:w="105" w:type="dxa"/>
              <w:bottom w:w="0" w:type="dxa"/>
              <w:right w:w="105" w:type="dxa"/>
            </w:tcMar>
            <w:vAlign w:val="center"/>
          </w:tcPr>
          <w:p w14:paraId="69515DF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4317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vAlign w:val="center"/>
          </w:tcPr>
          <w:p w14:paraId="7EE57072">
            <w:pPr>
              <w:widowControl/>
              <w:wordWrap w:val="0"/>
              <w:jc w:val="left"/>
              <w:rPr>
                <w:rFonts w:ascii="宋体" w:hAnsi="宋体" w:eastAsia="宋体" w:cs="宋体"/>
                <w:kern w:val="0"/>
                <w:sz w:val="24"/>
                <w:szCs w:val="24"/>
              </w:rPr>
            </w:pPr>
            <w:r>
              <w:rPr>
                <w:rFonts w:ascii="Cambria" w:hAnsi="Cambria" w:eastAsia="宋体" w:cs="宋体"/>
                <w:b/>
                <w:bCs/>
                <w:color w:val="231F20"/>
                <w:kern w:val="0"/>
                <w:sz w:val="18"/>
                <w:szCs w:val="18"/>
              </w:rPr>
              <w:t>8.4 </w:t>
            </w:r>
            <w:r>
              <w:rPr>
                <w:rFonts w:hint="eastAsia" w:ascii="宋体" w:hAnsi="宋体" w:eastAsia="宋体" w:cs="宋体"/>
                <w:b/>
                <w:bCs/>
                <w:color w:val="231F20"/>
                <w:kern w:val="0"/>
                <w:sz w:val="18"/>
                <w:szCs w:val="18"/>
              </w:rPr>
              <w:t>数据分析</w:t>
            </w:r>
          </w:p>
        </w:tc>
      </w:tr>
      <w:tr w14:paraId="03C7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E2EFD9"/>
            <w:tcMar>
              <w:top w:w="0" w:type="dxa"/>
              <w:left w:w="105" w:type="dxa"/>
              <w:bottom w:w="0" w:type="dxa"/>
              <w:right w:w="105" w:type="dxa"/>
            </w:tcMar>
            <w:vAlign w:val="center"/>
          </w:tcPr>
          <w:p w14:paraId="00E59D1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67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vAlign w:val="center"/>
          </w:tcPr>
          <w:p w14:paraId="25B89D4E">
            <w:pPr>
              <w:widowControl/>
              <w:wordWrap w:val="0"/>
              <w:jc w:val="left"/>
              <w:rPr>
                <w:rFonts w:ascii="宋体" w:hAnsi="宋体" w:eastAsia="宋体" w:cs="宋体"/>
                <w:kern w:val="0"/>
                <w:sz w:val="24"/>
                <w:szCs w:val="24"/>
              </w:rPr>
            </w:pPr>
            <w:r>
              <w:rPr>
                <w:rFonts w:ascii="Cambria" w:hAnsi="Cambria" w:eastAsia="宋体" w:cs="宋体"/>
                <w:b/>
                <w:bCs/>
                <w:color w:val="231F20"/>
                <w:kern w:val="0"/>
                <w:sz w:val="18"/>
                <w:szCs w:val="18"/>
              </w:rPr>
              <w:t>8.5 </w:t>
            </w:r>
            <w:r>
              <w:rPr>
                <w:rFonts w:hint="eastAsia" w:ascii="宋体" w:hAnsi="宋体" w:eastAsia="宋体" w:cs="宋体"/>
                <w:b/>
                <w:bCs/>
                <w:color w:val="231F20"/>
                <w:kern w:val="0"/>
                <w:sz w:val="18"/>
                <w:szCs w:val="18"/>
              </w:rPr>
              <w:t>改进</w:t>
            </w:r>
          </w:p>
        </w:tc>
      </w:tr>
      <w:tr w14:paraId="343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F49B326">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8.5.1 </w:t>
            </w:r>
            <w:r>
              <w:rPr>
                <w:rFonts w:hint="eastAsia" w:ascii="宋体" w:hAnsi="宋体" w:eastAsia="宋体" w:cs="宋体"/>
                <w:color w:val="231F20"/>
                <w:kern w:val="0"/>
                <w:sz w:val="18"/>
                <w:szCs w:val="18"/>
              </w:rPr>
              <w:t>总则</w:t>
            </w:r>
          </w:p>
        </w:tc>
        <w:tc>
          <w:tcPr>
            <w:tcW w:w="7325" w:type="dxa"/>
            <w:shd w:val="clear" w:color="auto" w:fill="F2F2F2"/>
            <w:tcMar>
              <w:top w:w="0" w:type="dxa"/>
              <w:left w:w="105" w:type="dxa"/>
              <w:bottom w:w="0" w:type="dxa"/>
              <w:right w:w="105" w:type="dxa"/>
            </w:tcMar>
            <w:vAlign w:val="center"/>
          </w:tcPr>
          <w:p w14:paraId="696A75C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paragraph(m)Article  10-109,3rd  paragraph(i)Annex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8Annex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9Annex  XI 13</w:t>
            </w:r>
          </w:p>
        </w:tc>
      </w:tr>
      <w:tr w14:paraId="389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12FB4186">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8.5.2 </w:t>
            </w:r>
            <w:r>
              <w:rPr>
                <w:rFonts w:hint="eastAsia" w:ascii="宋体" w:hAnsi="宋体" w:eastAsia="宋体" w:cs="宋体"/>
                <w:color w:val="231F20"/>
                <w:kern w:val="0"/>
                <w:sz w:val="18"/>
                <w:szCs w:val="18"/>
              </w:rPr>
              <w:t>纠错措施</w:t>
            </w:r>
          </w:p>
        </w:tc>
        <w:tc>
          <w:tcPr>
            <w:tcW w:w="7325" w:type="dxa"/>
            <w:shd w:val="clear" w:color="auto" w:fill="E2EFD9"/>
            <w:tcMar>
              <w:top w:w="0" w:type="dxa"/>
              <w:left w:w="105" w:type="dxa"/>
              <w:bottom w:w="0" w:type="dxa"/>
              <w:right w:w="105" w:type="dxa"/>
            </w:tcMar>
          </w:tcPr>
          <w:p w14:paraId="4C0D62C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paragraph(l)</w:t>
            </w:r>
          </w:p>
        </w:tc>
      </w:tr>
      <w:tr w14:paraId="3FD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tcPr>
          <w:p w14:paraId="681244C7">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8.5.3 </w:t>
            </w:r>
            <w:r>
              <w:rPr>
                <w:rFonts w:hint="eastAsia" w:ascii="宋体" w:hAnsi="宋体" w:eastAsia="宋体" w:cs="宋体"/>
                <w:color w:val="231F20"/>
                <w:kern w:val="0"/>
                <w:sz w:val="18"/>
                <w:szCs w:val="18"/>
              </w:rPr>
              <w:t>防护措施</w:t>
            </w:r>
          </w:p>
        </w:tc>
        <w:tc>
          <w:tcPr>
            <w:tcW w:w="7325" w:type="dxa"/>
            <w:shd w:val="clear" w:color="auto" w:fill="F2F2F2"/>
            <w:tcMar>
              <w:top w:w="0" w:type="dxa"/>
              <w:left w:w="105" w:type="dxa"/>
              <w:bottom w:w="0" w:type="dxa"/>
              <w:right w:w="105" w:type="dxa"/>
            </w:tcMar>
          </w:tcPr>
          <w:p w14:paraId="1FE56EE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paragraph(l)</w:t>
            </w:r>
          </w:p>
        </w:tc>
      </w:tr>
    </w:tbl>
    <w:p w14:paraId="0A623708">
      <w:pPr>
        <w:tabs>
          <w:tab w:val="left" w:pos="3119"/>
        </w:tabs>
      </w:pPr>
    </w:p>
    <w:p w14:paraId="617DBF2C">
      <w:pPr>
        <w:widowControl/>
        <w:shd w:val="clear" w:color="auto" w:fill="FFFFFF"/>
        <w:spacing w:after="210"/>
        <w:jc w:val="center"/>
        <w:outlineLvl w:val="0"/>
        <w:rPr>
          <w:rFonts w:hint="eastAsia" w:eastAsia="等线"/>
          <w:lang w:eastAsia="zh-CN"/>
        </w:rPr>
      </w:pPr>
    </w:p>
    <w:p w14:paraId="0CDFA926">
      <w:pPr>
        <w:widowControl/>
        <w:shd w:val="clear" w:color="auto" w:fill="FFFFFF"/>
        <w:spacing w:after="210"/>
        <w:jc w:val="center"/>
        <w:outlineLvl w:val="0"/>
        <w:rPr>
          <w:rFonts w:hint="eastAsia" w:eastAsia="等线"/>
          <w:lang w:eastAsia="zh-CN"/>
        </w:rPr>
      </w:pPr>
    </w:p>
    <w:p w14:paraId="7F3FB781">
      <w:pPr>
        <w:widowControl/>
        <w:shd w:val="clear" w:color="auto" w:fill="FFFFFF"/>
        <w:spacing w:after="21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851" w:right="707" w:bottom="851"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ingFangTC-ligh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4E"/>
    <w:rsid w:val="00424F1C"/>
    <w:rsid w:val="005171C2"/>
    <w:rsid w:val="007525E3"/>
    <w:rsid w:val="00776875"/>
    <w:rsid w:val="00976246"/>
    <w:rsid w:val="009D3E1E"/>
    <w:rsid w:val="00AB5FA2"/>
    <w:rsid w:val="00C505A1"/>
    <w:rsid w:val="00E4324E"/>
    <w:rsid w:val="00EE31EB"/>
    <w:rsid w:val="00FC6844"/>
    <w:rsid w:val="4B87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字符"/>
    <w:basedOn w:val="7"/>
    <w:link w:val="2"/>
    <w:qFormat/>
    <w:uiPriority w:val="9"/>
    <w:rPr>
      <w:rFonts w:ascii="宋体" w:hAnsi="宋体" w:eastAsia="宋体" w:cs="宋体"/>
      <w:b/>
      <w:bCs/>
      <w:kern w:val="36"/>
      <w:sz w:val="48"/>
      <w:szCs w:val="48"/>
    </w:r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1035</Words>
  <Characters>1434</Characters>
  <Lines>63</Lines>
  <Paragraphs>17</Paragraphs>
  <TotalTime>11</TotalTime>
  <ScaleCrop>false</ScaleCrop>
  <LinksUpToDate>false</LinksUpToDate>
  <CharactersWithSpaces>1516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2022-05-17T01:42:00Z</dcterms:created>
  <dc:creator>Comma Bio</dc:creator>
  <cp:lastModifiedBy>太极箫客</cp:lastModifiedBy>
  <dcterms:modified xsi:type="dcterms:W3CDTF">2025-08-14T06:14:04Z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3D49A59075A04542A324B2B6843FC9D3_12</vt:lpwstr>
  </property>
</Properties>
</file>