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B57D2">
      <w:pPr>
        <w:snapToGrid w:val="0"/>
        <w:spacing w:line="300" w:lineRule="auto"/>
        <w:rPr>
          <w:rFonts w:ascii="Arial" w:hAnsi="Arial" w:eastAsia="宋体" w:cs="Arial"/>
          <w:sz w:val="20"/>
          <w:szCs w:val="20"/>
        </w:rPr>
      </w:pPr>
      <w:bookmarkStart w:id="0" w:name="_GoBack"/>
      <w:bookmarkEnd w:id="0"/>
    </w:p>
    <w:p w14:paraId="3B1A2219">
      <w:pPr>
        <w:snapToGrid w:val="0"/>
        <w:spacing w:before="11" w:line="300" w:lineRule="auto"/>
        <w:rPr>
          <w:rFonts w:ascii="Arial" w:hAnsi="Arial" w:eastAsia="宋体" w:cs="Arial"/>
          <w:sz w:val="20"/>
          <w:szCs w:val="20"/>
        </w:rPr>
      </w:pPr>
    </w:p>
    <w:p w14:paraId="4824C959">
      <w:pPr>
        <w:snapToGrid w:val="0"/>
        <w:spacing w:before="38" w:line="300" w:lineRule="auto"/>
        <w:jc w:val="center"/>
        <w:rPr>
          <w:rFonts w:ascii="Arial" w:hAnsi="Arial" w:eastAsia="宋体" w:cs="Arial"/>
          <w:sz w:val="48"/>
          <w:szCs w:val="48"/>
          <w:lang w:eastAsia="zh-CN"/>
        </w:rPr>
      </w:pPr>
      <w:r>
        <w:rPr>
          <w:rFonts w:ascii="Arial" w:hAnsi="Arial" w:eastAsia="宋体" w:cs="Arial"/>
          <w:sz w:val="48"/>
          <w:szCs w:val="48"/>
          <w:lang w:eastAsia="zh-CN"/>
        </w:rPr>
        <w:t>行业指南</w:t>
      </w:r>
    </w:p>
    <w:p w14:paraId="15582138">
      <w:pPr>
        <w:snapToGrid w:val="0"/>
        <w:spacing w:before="305" w:line="300" w:lineRule="auto"/>
        <w:jc w:val="center"/>
        <w:rPr>
          <w:rFonts w:ascii="Arial" w:hAnsi="Arial" w:eastAsia="宋体" w:cs="Arial"/>
          <w:sz w:val="60"/>
          <w:szCs w:val="60"/>
          <w:lang w:eastAsia="zh-CN"/>
        </w:rPr>
      </w:pPr>
      <w:r>
        <w:rPr>
          <w:rFonts w:ascii="Arial" w:hAnsi="Arial" w:eastAsia="宋体" w:cs="Arial"/>
          <w:b/>
          <w:sz w:val="60"/>
          <w:lang w:eastAsia="zh-CN"/>
        </w:rPr>
        <w:t>磨皮术器械指南</w:t>
      </w:r>
    </w:p>
    <w:p w14:paraId="26C3AF9E">
      <w:pPr>
        <w:snapToGrid w:val="0"/>
        <w:spacing w:before="10" w:line="300" w:lineRule="auto"/>
        <w:rPr>
          <w:rFonts w:ascii="Arial" w:hAnsi="Arial" w:eastAsia="宋体" w:cs="Arial"/>
          <w:b/>
          <w:bCs/>
          <w:sz w:val="49"/>
          <w:szCs w:val="49"/>
          <w:lang w:eastAsia="zh-CN"/>
        </w:rPr>
      </w:pPr>
    </w:p>
    <w:p w14:paraId="6DD7E3C2">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文件发布日期：1999年3月2日</w:t>
      </w:r>
    </w:p>
    <w:p w14:paraId="357509FA">
      <w:pPr>
        <w:snapToGrid w:val="0"/>
        <w:spacing w:line="300" w:lineRule="auto"/>
        <w:rPr>
          <w:rFonts w:ascii="Arial" w:hAnsi="Arial" w:eastAsia="宋体" w:cs="Arial"/>
          <w:b/>
          <w:bCs/>
          <w:sz w:val="28"/>
          <w:szCs w:val="28"/>
          <w:lang w:eastAsia="zh-CN"/>
        </w:rPr>
      </w:pPr>
    </w:p>
    <w:p w14:paraId="76C30BB9">
      <w:pPr>
        <w:snapToGrid w:val="0"/>
        <w:spacing w:line="300" w:lineRule="auto"/>
        <w:rPr>
          <w:rFonts w:ascii="Arial" w:hAnsi="Arial" w:eastAsia="宋体" w:cs="Arial"/>
          <w:b/>
          <w:bCs/>
          <w:sz w:val="28"/>
          <w:szCs w:val="28"/>
          <w:lang w:eastAsia="zh-CN"/>
        </w:rPr>
      </w:pPr>
    </w:p>
    <w:p w14:paraId="2B33584F">
      <w:pPr>
        <w:snapToGrid w:val="0"/>
        <w:spacing w:line="300" w:lineRule="auto"/>
        <w:rPr>
          <w:rFonts w:ascii="Arial" w:hAnsi="Arial" w:eastAsia="宋体" w:cs="Arial"/>
          <w:b/>
          <w:bCs/>
          <w:sz w:val="28"/>
          <w:szCs w:val="28"/>
          <w:lang w:eastAsia="zh-CN"/>
        </w:rPr>
      </w:pPr>
    </w:p>
    <w:p w14:paraId="4BB37A07">
      <w:pPr>
        <w:snapToGrid w:val="0"/>
        <w:spacing w:line="300" w:lineRule="auto"/>
        <w:rPr>
          <w:rFonts w:ascii="Arial" w:hAnsi="Arial" w:eastAsia="宋体" w:cs="Arial"/>
          <w:b/>
          <w:bCs/>
          <w:sz w:val="28"/>
          <w:szCs w:val="28"/>
          <w:lang w:eastAsia="zh-CN"/>
        </w:rPr>
      </w:pPr>
    </w:p>
    <w:p w14:paraId="406E038A">
      <w:pPr>
        <w:snapToGrid w:val="0"/>
        <w:spacing w:line="300" w:lineRule="auto"/>
        <w:rPr>
          <w:rFonts w:ascii="Arial" w:hAnsi="Arial" w:eastAsia="宋体" w:cs="Arial"/>
          <w:b/>
          <w:bCs/>
          <w:sz w:val="28"/>
          <w:szCs w:val="28"/>
          <w:lang w:eastAsia="zh-CN"/>
        </w:rPr>
      </w:pPr>
    </w:p>
    <w:p w14:paraId="15D34FE3">
      <w:pPr>
        <w:snapToGrid w:val="0"/>
        <w:spacing w:line="300" w:lineRule="auto"/>
        <w:rPr>
          <w:rFonts w:ascii="Arial" w:hAnsi="Arial" w:eastAsia="宋体" w:cs="Arial"/>
          <w:b/>
          <w:bCs/>
          <w:sz w:val="28"/>
          <w:szCs w:val="28"/>
          <w:lang w:eastAsia="zh-CN"/>
        </w:rPr>
      </w:pPr>
    </w:p>
    <w:p w14:paraId="63A28978">
      <w:pPr>
        <w:snapToGrid w:val="0"/>
        <w:spacing w:line="300" w:lineRule="auto"/>
        <w:rPr>
          <w:rFonts w:ascii="Arial" w:hAnsi="Arial" w:eastAsia="宋体" w:cs="Arial"/>
          <w:b/>
          <w:bCs/>
          <w:sz w:val="28"/>
          <w:szCs w:val="28"/>
          <w:lang w:eastAsia="zh-CN"/>
        </w:rPr>
      </w:pPr>
    </w:p>
    <w:p w14:paraId="379EF5F9">
      <w:pPr>
        <w:snapToGrid w:val="0"/>
        <w:spacing w:line="300" w:lineRule="auto"/>
        <w:rPr>
          <w:rFonts w:ascii="Arial" w:hAnsi="Arial" w:eastAsia="宋体" w:cs="Arial"/>
          <w:b/>
          <w:bCs/>
          <w:sz w:val="28"/>
          <w:szCs w:val="28"/>
          <w:lang w:eastAsia="zh-CN"/>
        </w:rPr>
      </w:pPr>
    </w:p>
    <w:p w14:paraId="325CA52F">
      <w:pPr>
        <w:snapToGrid w:val="0"/>
        <w:spacing w:line="300" w:lineRule="auto"/>
        <w:rPr>
          <w:rFonts w:ascii="Arial" w:hAnsi="Arial" w:eastAsia="宋体" w:cs="Arial"/>
          <w:b/>
          <w:bCs/>
          <w:sz w:val="28"/>
          <w:szCs w:val="28"/>
          <w:lang w:eastAsia="zh-CN"/>
        </w:rPr>
      </w:pPr>
    </w:p>
    <w:p w14:paraId="762192BB">
      <w:pPr>
        <w:snapToGrid w:val="0"/>
        <w:spacing w:line="300" w:lineRule="auto"/>
        <w:rPr>
          <w:rFonts w:ascii="Arial" w:hAnsi="Arial" w:eastAsia="宋体" w:cs="Arial"/>
          <w:b/>
          <w:bCs/>
          <w:sz w:val="28"/>
          <w:szCs w:val="28"/>
          <w:lang w:eastAsia="zh-CN"/>
        </w:rPr>
      </w:pPr>
    </w:p>
    <w:p w14:paraId="408D61A0">
      <w:pPr>
        <w:snapToGrid w:val="0"/>
        <w:spacing w:line="300" w:lineRule="auto"/>
        <w:rPr>
          <w:rFonts w:ascii="Arial" w:hAnsi="Arial" w:eastAsia="宋体" w:cs="Arial"/>
          <w:b/>
          <w:bCs/>
          <w:sz w:val="28"/>
          <w:szCs w:val="28"/>
          <w:lang w:eastAsia="zh-CN"/>
        </w:rPr>
      </w:pPr>
    </w:p>
    <w:p w14:paraId="2521094C">
      <w:pPr>
        <w:pStyle w:val="3"/>
        <w:snapToGrid w:val="0"/>
        <w:spacing w:before="198" w:line="300" w:lineRule="auto"/>
        <w:ind w:left="0"/>
        <w:jc w:val="right"/>
        <w:rPr>
          <w:rFonts w:ascii="Arial" w:hAnsi="Arial" w:eastAsia="宋体" w:cs="Arial"/>
          <w:b w:val="0"/>
          <w:bCs w:val="0"/>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1280160</wp:posOffset>
            </wp:positionH>
            <wp:positionV relativeFrom="paragraph">
              <wp:posOffset>-58420</wp:posOffset>
            </wp:positionV>
            <wp:extent cx="880745" cy="984250"/>
            <wp:effectExtent l="0" t="0" r="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80745" cy="984250"/>
                    </a:xfrm>
                    <a:prstGeom prst="rect">
                      <a:avLst/>
                    </a:prstGeom>
                    <a:noFill/>
                  </pic:spPr>
                </pic:pic>
              </a:graphicData>
            </a:graphic>
          </wp:anchor>
        </w:drawing>
      </w:r>
      <w:r>
        <w:rPr>
          <w:rFonts w:ascii="Arial" w:hAnsi="Arial" w:eastAsia="宋体" w:cs="Arial"/>
          <w:lang w:eastAsia="zh-CN"/>
        </w:rPr>
        <w:t>美国卫生与公众服务部</w:t>
      </w:r>
    </w:p>
    <w:p w14:paraId="36A5937B">
      <w:pPr>
        <w:snapToGrid w:val="0"/>
        <w:spacing w:before="7" w:line="300" w:lineRule="auto"/>
        <w:ind w:firstLine="1238"/>
        <w:jc w:val="right"/>
        <w:rPr>
          <w:rFonts w:ascii="Arial" w:hAnsi="Arial" w:eastAsia="宋体" w:cs="Arial"/>
          <w:b/>
          <w:spacing w:val="-1"/>
          <w:w w:val="99"/>
          <w:sz w:val="24"/>
          <w:lang w:eastAsia="zh-CN"/>
        </w:rPr>
      </w:pPr>
      <w:r>
        <w:rPr>
          <w:rFonts w:ascii="Arial" w:hAnsi="Arial" w:eastAsia="宋体" w:cs="Arial"/>
          <w:b/>
          <w:bCs/>
          <w:sz w:val="24"/>
          <w:szCs w:val="24"/>
          <w:lang w:eastAsia="zh-CN"/>
        </w:rPr>
        <w:t>食品药品监督管理局</w:t>
      </w:r>
      <w:r>
        <w:rPr>
          <w:rFonts w:ascii="Arial" w:hAnsi="Arial" w:eastAsia="宋体" w:cs="Arial"/>
          <w:b/>
          <w:spacing w:val="-1"/>
          <w:w w:val="99"/>
          <w:sz w:val="24"/>
          <w:lang w:eastAsia="zh-CN"/>
        </w:rPr>
        <w:t xml:space="preserve"> </w:t>
      </w:r>
    </w:p>
    <w:p w14:paraId="53AB4905">
      <w:pPr>
        <w:snapToGrid w:val="0"/>
        <w:spacing w:before="7" w:line="300" w:lineRule="auto"/>
        <w:ind w:firstLine="1238"/>
        <w:jc w:val="right"/>
        <w:rPr>
          <w:rFonts w:ascii="Arial" w:hAnsi="Arial" w:eastAsia="宋体" w:cs="Arial"/>
          <w:sz w:val="24"/>
          <w:szCs w:val="24"/>
          <w:lang w:eastAsia="zh-CN"/>
        </w:rPr>
      </w:pPr>
      <w:r>
        <w:rPr>
          <w:rFonts w:ascii="Arial" w:hAnsi="Arial" w:eastAsia="宋体" w:cs="Arial"/>
          <w:b/>
          <w:bCs/>
          <w:sz w:val="24"/>
          <w:szCs w:val="24"/>
          <w:lang w:eastAsia="zh-CN"/>
        </w:rPr>
        <w:t>器械</w:t>
      </w:r>
      <w:r>
        <w:rPr>
          <w:rFonts w:hint="eastAsia" w:ascii="Arial" w:hAnsi="Arial" w:eastAsia="宋体" w:cs="Arial"/>
          <w:b/>
          <w:bCs/>
          <w:sz w:val="24"/>
          <w:szCs w:val="24"/>
          <w:lang w:eastAsia="zh-CN"/>
        </w:rPr>
        <w:t>和</w:t>
      </w:r>
      <w:r>
        <w:rPr>
          <w:rFonts w:ascii="Arial" w:hAnsi="Arial" w:eastAsia="宋体" w:cs="Arial"/>
          <w:b/>
          <w:bCs/>
          <w:sz w:val="24"/>
          <w:szCs w:val="24"/>
          <w:lang w:eastAsia="zh-CN"/>
        </w:rPr>
        <w:t>放射</w:t>
      </w:r>
      <w:r>
        <w:rPr>
          <w:rFonts w:hint="eastAsia" w:ascii="Arial" w:hAnsi="Arial" w:eastAsia="宋体" w:cs="Arial"/>
          <w:b/>
          <w:bCs/>
          <w:sz w:val="24"/>
          <w:szCs w:val="24"/>
          <w:lang w:eastAsia="zh-CN"/>
        </w:rPr>
        <w:t>卫生</w:t>
      </w:r>
      <w:r>
        <w:rPr>
          <w:rFonts w:ascii="Arial" w:hAnsi="Arial" w:eastAsia="宋体" w:cs="Arial"/>
          <w:b/>
          <w:bCs/>
          <w:sz w:val="24"/>
          <w:szCs w:val="24"/>
          <w:lang w:eastAsia="zh-CN"/>
        </w:rPr>
        <w:t>中心</w:t>
      </w:r>
    </w:p>
    <w:p w14:paraId="3E7F8491">
      <w:pPr>
        <w:snapToGrid w:val="0"/>
        <w:spacing w:before="6" w:line="300" w:lineRule="auto"/>
        <w:rPr>
          <w:rFonts w:ascii="Arial" w:hAnsi="Arial" w:eastAsia="宋体" w:cs="Arial"/>
          <w:b/>
          <w:bCs/>
          <w:sz w:val="24"/>
          <w:szCs w:val="24"/>
          <w:lang w:eastAsia="zh-CN"/>
        </w:rPr>
      </w:pPr>
    </w:p>
    <w:p w14:paraId="390EF589">
      <w:pPr>
        <w:snapToGrid w:val="0"/>
        <w:spacing w:line="300" w:lineRule="auto"/>
        <w:ind w:hanging="704"/>
        <w:jc w:val="right"/>
        <w:rPr>
          <w:rFonts w:ascii="Arial" w:hAnsi="Arial" w:eastAsia="宋体" w:cs="Arial"/>
          <w:b/>
          <w:spacing w:val="-1"/>
          <w:sz w:val="24"/>
          <w:lang w:eastAsia="zh-CN"/>
        </w:rPr>
      </w:pPr>
      <w:r>
        <w:rPr>
          <w:rFonts w:ascii="Arial" w:hAnsi="Arial" w:eastAsia="宋体" w:cs="Arial"/>
          <w:b/>
          <w:sz w:val="24"/>
          <w:lang w:eastAsia="zh-CN"/>
        </w:rPr>
        <w:t>整形和重建手术器械分部</w:t>
      </w:r>
      <w:r>
        <w:rPr>
          <w:rFonts w:ascii="Arial" w:hAnsi="Arial" w:eastAsia="宋体" w:cs="Arial"/>
          <w:b/>
          <w:spacing w:val="-1"/>
          <w:sz w:val="24"/>
          <w:lang w:eastAsia="zh-CN"/>
        </w:rPr>
        <w:t xml:space="preserve"> </w:t>
      </w:r>
    </w:p>
    <w:p w14:paraId="3F85FDB2">
      <w:pPr>
        <w:snapToGrid w:val="0"/>
        <w:spacing w:line="300" w:lineRule="auto"/>
        <w:ind w:hanging="704"/>
        <w:jc w:val="right"/>
        <w:rPr>
          <w:rFonts w:ascii="Arial" w:hAnsi="Arial" w:eastAsia="宋体" w:cs="Arial"/>
          <w:sz w:val="24"/>
          <w:szCs w:val="24"/>
          <w:lang w:eastAsia="zh-CN"/>
        </w:rPr>
      </w:pPr>
      <w:r>
        <w:rPr>
          <w:rFonts w:ascii="Arial" w:hAnsi="Arial" w:eastAsia="宋体" w:cs="Arial"/>
          <w:b/>
          <w:sz w:val="24"/>
          <w:lang w:eastAsia="zh-CN"/>
        </w:rPr>
        <w:t>通用和恢复器械部</w:t>
      </w:r>
    </w:p>
    <w:p w14:paraId="185C72F1">
      <w:pPr>
        <w:snapToGrid w:val="0"/>
        <w:spacing w:line="300" w:lineRule="auto"/>
        <w:jc w:val="right"/>
        <w:rPr>
          <w:rFonts w:ascii="Arial" w:hAnsi="Arial" w:eastAsia="宋体" w:cs="Arial"/>
          <w:sz w:val="24"/>
          <w:szCs w:val="24"/>
          <w:lang w:eastAsia="zh-CN"/>
        </w:rPr>
      </w:pPr>
      <w:r>
        <w:rPr>
          <w:rFonts w:ascii="Arial" w:hAnsi="Arial" w:eastAsia="宋体" w:cs="Arial"/>
          <w:b/>
          <w:sz w:val="24"/>
          <w:lang w:eastAsia="zh-CN"/>
        </w:rPr>
        <w:t>器械评估办公室</w:t>
      </w:r>
    </w:p>
    <w:p w14:paraId="6E991717">
      <w:pPr>
        <w:snapToGrid w:val="0"/>
        <w:spacing w:line="300" w:lineRule="auto"/>
        <w:jc w:val="right"/>
        <w:rPr>
          <w:rFonts w:ascii="Arial" w:hAnsi="Arial" w:eastAsia="宋体" w:cs="Arial"/>
          <w:sz w:val="24"/>
          <w:szCs w:val="24"/>
          <w:lang w:eastAsia="zh-CN"/>
        </w:rPr>
        <w:sectPr>
          <w:type w:val="continuous"/>
          <w:pgSz w:w="12240" w:h="15840"/>
          <w:pgMar w:top="1134" w:right="1134" w:bottom="1134" w:left="1134" w:header="720" w:footer="720" w:gutter="0"/>
          <w:cols w:space="720" w:num="1"/>
          <w:docGrid w:linePitch="299" w:charSpace="0"/>
        </w:sectPr>
      </w:pPr>
    </w:p>
    <w:p w14:paraId="061177C2">
      <w:pPr>
        <w:snapToGrid w:val="0"/>
        <w:spacing w:before="12" w:line="300" w:lineRule="auto"/>
        <w:jc w:val="center"/>
        <w:rPr>
          <w:rFonts w:ascii="Arial" w:hAnsi="Arial" w:eastAsia="宋体" w:cs="Arial"/>
          <w:b/>
          <w:sz w:val="48"/>
          <w:szCs w:val="48"/>
        </w:rPr>
      </w:pPr>
      <w:r>
        <w:rPr>
          <w:rFonts w:ascii="Arial" w:hAnsi="Arial" w:eastAsia="宋体" w:cs="Arial"/>
          <w:b/>
          <w:sz w:val="48"/>
          <w:szCs w:val="48"/>
          <w:lang w:eastAsia="zh-CN"/>
        </w:rPr>
        <w:t>前言</w:t>
      </w:r>
    </w:p>
    <w:p w14:paraId="02F964D3">
      <w:pPr>
        <w:snapToGrid w:val="0"/>
        <w:spacing w:line="300" w:lineRule="auto"/>
        <w:rPr>
          <w:rFonts w:ascii="Arial" w:hAnsi="Arial" w:eastAsia="宋体" w:cs="Arial"/>
          <w:b/>
          <w:bCs/>
          <w:sz w:val="20"/>
          <w:szCs w:val="20"/>
        </w:rPr>
      </w:pPr>
    </w:p>
    <w:p w14:paraId="3A4A48CB">
      <w:pPr>
        <w:snapToGrid w:val="0"/>
        <w:spacing w:before="7" w:line="300" w:lineRule="auto"/>
        <w:rPr>
          <w:rFonts w:ascii="Arial" w:hAnsi="Arial" w:eastAsia="宋体" w:cs="Arial"/>
          <w:b/>
          <w:bCs/>
          <w:sz w:val="25"/>
          <w:szCs w:val="25"/>
        </w:rPr>
      </w:pPr>
    </w:p>
    <w:p w14:paraId="75764B52">
      <w:pPr>
        <w:pStyle w:val="2"/>
        <w:snapToGrid w:val="0"/>
        <w:spacing w:before="53" w:line="300" w:lineRule="auto"/>
        <w:ind w:left="0"/>
        <w:rPr>
          <w:rFonts w:ascii="Arial" w:hAnsi="Arial" w:eastAsia="宋体" w:cs="Arial"/>
          <w:bCs w:val="0"/>
        </w:rPr>
      </w:pPr>
      <w:r>
        <w:rPr>
          <w:rFonts w:hint="eastAsia" w:ascii="Arial" w:hAnsi="Arial" w:eastAsia="宋体" w:cs="Arial"/>
          <w:bCs w:val="0"/>
          <w:lang w:eastAsia="zh-CN"/>
        </w:rPr>
        <w:t>公共评论</w:t>
      </w:r>
    </w:p>
    <w:p w14:paraId="268293BC">
      <w:pPr>
        <w:snapToGrid w:val="0"/>
        <w:spacing w:before="9" w:line="300" w:lineRule="auto"/>
        <w:rPr>
          <w:rFonts w:ascii="Arial" w:hAnsi="Arial" w:eastAsia="宋体" w:cs="Arial"/>
          <w:b/>
          <w:bCs/>
          <w:sz w:val="36"/>
          <w:szCs w:val="36"/>
        </w:rPr>
      </w:pPr>
    </w:p>
    <w:p w14:paraId="266989F4">
      <w:pPr>
        <w:pStyle w:val="4"/>
        <w:snapToGrid w:val="0"/>
        <w:spacing w:line="300" w:lineRule="auto"/>
        <w:ind w:left="0"/>
        <w:jc w:val="both"/>
        <w:rPr>
          <w:rFonts w:ascii="Arial" w:hAnsi="Arial" w:eastAsia="宋体" w:cs="Arial"/>
          <w:lang w:eastAsia="zh-CN"/>
        </w:rPr>
      </w:pPr>
      <w:r>
        <w:rPr>
          <w:rFonts w:hint="eastAsia" w:ascii="Arial" w:hAnsi="Arial" w:eastAsia="宋体" w:cs="Arial"/>
          <w:lang w:eastAsia="zh-CN"/>
        </w:rPr>
        <w:t>任何机构</w:t>
      </w:r>
      <w:r>
        <w:rPr>
          <w:rFonts w:ascii="Arial" w:hAnsi="Arial" w:eastAsia="宋体" w:cs="Arial"/>
          <w:lang w:eastAsia="zh-CN"/>
        </w:rPr>
        <w:t>可随时提交评论和建议至</w:t>
      </w:r>
      <w:r>
        <w:rPr>
          <w:rFonts w:ascii="Arial" w:hAnsi="Arial" w:eastAsia="宋体" w:cs="Arial"/>
        </w:rPr>
        <w:t>Stephen</w:t>
      </w:r>
      <w:r>
        <w:rPr>
          <w:rFonts w:ascii="Arial" w:hAnsi="Arial" w:eastAsia="宋体" w:cs="Arial"/>
          <w:spacing w:val="-6"/>
        </w:rPr>
        <w:t xml:space="preserve"> </w:t>
      </w:r>
      <w:r>
        <w:rPr>
          <w:rFonts w:ascii="Arial" w:hAnsi="Arial" w:eastAsia="宋体" w:cs="Arial"/>
        </w:rPr>
        <w:t>P.</w:t>
      </w:r>
      <w:r>
        <w:rPr>
          <w:rFonts w:ascii="Arial" w:hAnsi="Arial" w:eastAsia="宋体" w:cs="Arial"/>
          <w:spacing w:val="-6"/>
        </w:rPr>
        <w:t xml:space="preserve"> </w:t>
      </w:r>
      <w:r>
        <w:rPr>
          <w:rFonts w:ascii="Arial" w:hAnsi="Arial" w:eastAsia="宋体" w:cs="Arial"/>
        </w:rPr>
        <w:t>Rhodes</w:t>
      </w:r>
      <w:r>
        <w:rPr>
          <w:rFonts w:ascii="Arial" w:hAnsi="Arial" w:eastAsia="宋体" w:cs="Arial"/>
          <w:lang w:eastAsia="zh-CN"/>
        </w:rPr>
        <w:t>，（地址为：</w:t>
      </w:r>
      <w:r>
        <w:rPr>
          <w:rFonts w:ascii="Arial" w:hAnsi="Arial" w:eastAsia="宋体" w:cs="Arial"/>
        </w:rPr>
        <w:t>HFZ-410,</w:t>
      </w:r>
      <w:r>
        <w:rPr>
          <w:rFonts w:ascii="Arial" w:hAnsi="Arial" w:eastAsia="宋体" w:cs="Arial"/>
          <w:spacing w:val="-6"/>
        </w:rPr>
        <w:t xml:space="preserve"> </w:t>
      </w:r>
      <w:r>
        <w:rPr>
          <w:rFonts w:ascii="Arial" w:hAnsi="Arial" w:eastAsia="宋体" w:cs="Arial"/>
        </w:rPr>
        <w:t>9200</w:t>
      </w:r>
      <w:r>
        <w:rPr>
          <w:rFonts w:ascii="Arial" w:hAnsi="Arial" w:eastAsia="宋体" w:cs="Arial"/>
          <w:spacing w:val="-6"/>
        </w:rPr>
        <w:t xml:space="preserve"> </w:t>
      </w:r>
      <w:r>
        <w:rPr>
          <w:rFonts w:ascii="Arial" w:hAnsi="Arial" w:eastAsia="宋体" w:cs="Arial"/>
        </w:rPr>
        <w:t>Corporate</w:t>
      </w:r>
      <w:r>
        <w:rPr>
          <w:rFonts w:ascii="Arial" w:hAnsi="Arial" w:eastAsia="宋体" w:cs="Arial"/>
          <w:spacing w:val="-6"/>
        </w:rPr>
        <w:t xml:space="preserve"> </w:t>
      </w:r>
      <w:r>
        <w:rPr>
          <w:rFonts w:ascii="Arial" w:hAnsi="Arial" w:eastAsia="宋体" w:cs="Arial"/>
        </w:rPr>
        <w:t>Boulevard,</w:t>
      </w:r>
      <w:r>
        <w:rPr>
          <w:rFonts w:ascii="Arial" w:hAnsi="Arial" w:eastAsia="宋体" w:cs="Arial"/>
          <w:spacing w:val="-6"/>
        </w:rPr>
        <w:t xml:space="preserve"> </w:t>
      </w:r>
      <w:r>
        <w:rPr>
          <w:rFonts w:ascii="Arial" w:hAnsi="Arial" w:eastAsia="宋体" w:cs="Arial"/>
        </w:rPr>
        <w:t>Rockville,</w:t>
      </w:r>
      <w:r>
        <w:rPr>
          <w:rFonts w:ascii="Arial" w:hAnsi="Arial" w:eastAsia="宋体" w:cs="Arial"/>
          <w:spacing w:val="-6"/>
        </w:rPr>
        <w:t xml:space="preserve"> </w:t>
      </w:r>
      <w:r>
        <w:rPr>
          <w:rFonts w:ascii="Arial" w:hAnsi="Arial" w:eastAsia="宋体" w:cs="Arial"/>
        </w:rPr>
        <w:t>Maryland</w:t>
      </w:r>
      <w:r>
        <w:rPr>
          <w:rFonts w:ascii="Arial" w:hAnsi="Arial" w:eastAsia="宋体" w:cs="Arial"/>
          <w:spacing w:val="-6"/>
        </w:rPr>
        <w:t xml:space="preserve"> </w:t>
      </w:r>
      <w:r>
        <w:rPr>
          <w:rFonts w:ascii="Arial" w:hAnsi="Arial" w:eastAsia="宋体" w:cs="Arial"/>
        </w:rPr>
        <w:t>20850</w:t>
      </w:r>
      <w:r>
        <w:rPr>
          <w:rFonts w:ascii="Arial" w:hAnsi="Arial" w:eastAsia="宋体" w:cs="Arial"/>
          <w:lang w:eastAsia="zh-CN"/>
        </w:rPr>
        <w:t>），供部门审议。文件下次修订或更新时，机构才会受理评论。有关使用或解释本指南的问题，请联系Anthony D. Watson，电话：（301）594-3090或电子邮件：ADW@cdrh.fda.gov。</w:t>
      </w:r>
    </w:p>
    <w:p w14:paraId="5605D3D9">
      <w:pPr>
        <w:snapToGrid w:val="0"/>
        <w:spacing w:line="300" w:lineRule="auto"/>
        <w:jc w:val="both"/>
        <w:rPr>
          <w:rFonts w:ascii="Arial" w:hAnsi="Arial" w:eastAsia="宋体" w:cs="Arial"/>
          <w:sz w:val="24"/>
          <w:szCs w:val="24"/>
          <w:lang w:eastAsia="zh-CN"/>
        </w:rPr>
      </w:pPr>
    </w:p>
    <w:p w14:paraId="436EBE2A">
      <w:pPr>
        <w:snapToGrid w:val="0"/>
        <w:spacing w:before="10" w:line="300" w:lineRule="auto"/>
        <w:jc w:val="both"/>
        <w:rPr>
          <w:rFonts w:ascii="Arial" w:hAnsi="Arial" w:eastAsia="宋体" w:cs="Arial"/>
          <w:sz w:val="25"/>
          <w:szCs w:val="25"/>
          <w:lang w:eastAsia="zh-CN"/>
        </w:rPr>
      </w:pPr>
    </w:p>
    <w:p w14:paraId="63CE5A01">
      <w:pPr>
        <w:pStyle w:val="2"/>
        <w:snapToGrid w:val="0"/>
        <w:spacing w:line="300" w:lineRule="auto"/>
        <w:ind w:left="0"/>
        <w:jc w:val="both"/>
        <w:rPr>
          <w:rFonts w:ascii="Arial" w:hAnsi="Arial" w:eastAsia="宋体" w:cs="Arial"/>
          <w:bCs w:val="0"/>
          <w:lang w:eastAsia="zh-CN"/>
        </w:rPr>
      </w:pPr>
      <w:r>
        <w:rPr>
          <w:rFonts w:hint="eastAsia" w:ascii="Arial" w:hAnsi="Arial" w:eastAsia="宋体" w:cs="Arial"/>
          <w:bCs w:val="0"/>
          <w:lang w:eastAsia="zh-CN"/>
        </w:rPr>
        <w:t>其他副本</w:t>
      </w:r>
    </w:p>
    <w:p w14:paraId="18491608">
      <w:pPr>
        <w:snapToGrid w:val="0"/>
        <w:spacing w:before="9" w:line="300" w:lineRule="auto"/>
        <w:jc w:val="both"/>
        <w:rPr>
          <w:rFonts w:ascii="Arial" w:hAnsi="Arial" w:eastAsia="宋体" w:cs="Arial"/>
          <w:b/>
          <w:bCs/>
          <w:sz w:val="36"/>
          <w:szCs w:val="36"/>
          <w:lang w:eastAsia="zh-CN"/>
        </w:rPr>
      </w:pPr>
    </w:p>
    <w:p w14:paraId="53358AB8">
      <w:pPr>
        <w:pStyle w:val="4"/>
        <w:snapToGrid w:val="0"/>
        <w:spacing w:line="300" w:lineRule="auto"/>
        <w:ind w:left="0"/>
        <w:jc w:val="both"/>
        <w:rPr>
          <w:rFonts w:ascii="Arial" w:hAnsi="Arial" w:eastAsia="宋体" w:cs="Arial"/>
          <w:lang w:eastAsia="zh-CN"/>
        </w:rPr>
      </w:pPr>
      <w:r>
        <w:rPr>
          <w:rFonts w:ascii="Arial" w:hAnsi="Arial" w:eastAsia="宋体" w:cs="Arial"/>
          <w:lang w:eastAsia="zh-CN"/>
        </w:rPr>
        <w:t>互联网主页：http</w:t>
      </w:r>
      <w:r>
        <w:rPr>
          <w:rFonts w:hint="eastAsia" w:ascii="Arial" w:hAnsi="Arial" w:eastAsia="宋体" w:cs="Arial"/>
          <w:lang w:eastAsia="zh-CN"/>
        </w:rPr>
        <w:t>:</w:t>
      </w:r>
      <w:r>
        <w:rPr>
          <w:rFonts w:ascii="Arial" w:hAnsi="Arial" w:eastAsia="宋体" w:cs="Arial"/>
          <w:lang w:eastAsia="zh-CN"/>
        </w:rPr>
        <w:t>//www.fda.gov/cdrh/index.html或CDRH 资源索取自动回传系统，电话：1-800-899-0381或301-827-0111，请在提示输入文件货架编号时</w:t>
      </w:r>
      <w:r>
        <w:rPr>
          <w:rFonts w:hint="eastAsia" w:ascii="Arial" w:hAnsi="Arial" w:eastAsia="宋体" w:cs="Arial"/>
          <w:lang w:eastAsia="zh-CN"/>
        </w:rPr>
        <w:t>指定</w:t>
      </w:r>
      <w:r>
        <w:rPr>
          <w:rFonts w:ascii="Arial" w:hAnsi="Arial" w:eastAsia="宋体" w:cs="Arial"/>
          <w:lang w:eastAsia="zh-CN"/>
        </w:rPr>
        <w:t>编号2248。</w:t>
      </w:r>
    </w:p>
    <w:p w14:paraId="3A937DDA">
      <w:pPr>
        <w:snapToGrid w:val="0"/>
        <w:spacing w:line="300" w:lineRule="auto"/>
        <w:rPr>
          <w:rFonts w:ascii="Arial" w:hAnsi="Arial" w:eastAsia="宋体" w:cs="Arial"/>
          <w:lang w:eastAsia="zh-CN"/>
        </w:rPr>
      </w:pPr>
    </w:p>
    <w:p w14:paraId="26C61A92">
      <w:pPr>
        <w:rPr>
          <w:rFonts w:ascii="Arial" w:hAnsi="Arial" w:eastAsia="宋体" w:cs="Arial"/>
          <w:b/>
          <w:sz w:val="40"/>
          <w:lang w:eastAsia="zh-CN"/>
        </w:rPr>
        <w:sectPr>
          <w:footerReference r:id="rId3" w:type="default"/>
          <w:pgSz w:w="12240" w:h="15840"/>
          <w:pgMar w:top="1134" w:right="1134" w:bottom="1134" w:left="1134" w:header="0" w:footer="1011" w:gutter="0"/>
          <w:pgNumType w:start="1"/>
          <w:cols w:space="720" w:num="1"/>
          <w:docGrid w:linePitch="299" w:charSpace="0"/>
        </w:sectPr>
      </w:pPr>
    </w:p>
    <w:p w14:paraId="23D513AC">
      <w:pPr>
        <w:snapToGrid w:val="0"/>
        <w:spacing w:before="56" w:line="276" w:lineRule="auto"/>
        <w:jc w:val="center"/>
        <w:rPr>
          <w:rFonts w:ascii="Arial" w:hAnsi="Arial" w:eastAsia="宋体" w:cs="Arial"/>
          <w:sz w:val="40"/>
          <w:szCs w:val="40"/>
          <w:lang w:eastAsia="zh-CN"/>
        </w:rPr>
      </w:pPr>
      <w:r>
        <w:rPr>
          <w:rFonts w:hint="eastAsia" w:ascii="Arial" w:hAnsi="Arial" w:eastAsia="宋体" w:cs="Arial"/>
          <w:b/>
          <w:sz w:val="40"/>
          <w:lang w:eastAsia="zh-CN"/>
        </w:rPr>
        <w:t>磨皮术</w:t>
      </w:r>
      <w:r>
        <w:rPr>
          <w:rFonts w:ascii="Arial" w:hAnsi="Arial" w:eastAsia="宋体" w:cs="Arial"/>
          <w:b/>
          <w:sz w:val="40"/>
          <w:lang w:eastAsia="zh-CN"/>
        </w:rPr>
        <w:t>器械指南</w:t>
      </w:r>
      <w:r>
        <w:rPr>
          <w:rFonts w:ascii="Arial" w:hAnsi="Arial" w:eastAsia="宋体" w:cs="Arial"/>
          <w:b/>
          <w:sz w:val="40"/>
          <w:vertAlign w:val="superscript"/>
          <w:lang w:eastAsia="zh-CN"/>
        </w:rPr>
        <w:t>1</w:t>
      </w:r>
    </w:p>
    <w:p w14:paraId="25766676">
      <w:pPr>
        <w:snapToGrid w:val="0"/>
        <w:spacing w:before="5" w:line="276" w:lineRule="auto"/>
        <w:rPr>
          <w:rFonts w:ascii="Arial" w:hAnsi="Arial" w:eastAsia="宋体" w:cs="Arial"/>
          <w:b/>
          <w:bCs/>
          <w:sz w:val="15"/>
          <w:szCs w:val="15"/>
          <w:lang w:eastAsia="zh-CN"/>
        </w:rPr>
      </w:pPr>
    </w:p>
    <w:p w14:paraId="06685BF9">
      <w:pPr>
        <w:pStyle w:val="3"/>
        <w:snapToGrid w:val="0"/>
        <w:spacing w:before="69" w:line="276" w:lineRule="auto"/>
        <w:ind w:left="0"/>
        <w:rPr>
          <w:rFonts w:ascii="Arial" w:hAnsi="Arial" w:eastAsia="宋体" w:cs="Arial"/>
          <w:bCs w:val="0"/>
          <w:lang w:eastAsia="zh-CN"/>
        </w:rPr>
      </w:pPr>
      <w:r>
        <w:rPr>
          <w:rFonts w:hint="eastAsia" w:ascii="Arial" w:hAnsi="Arial" w:eastAsia="宋体" w:cs="Arial"/>
          <w:bCs w:val="0"/>
          <w:lang w:eastAsia="zh-CN"/>
        </w:rPr>
        <w:t>目的</w:t>
      </w:r>
    </w:p>
    <w:p w14:paraId="504898F5">
      <w:pPr>
        <w:snapToGrid w:val="0"/>
        <w:spacing w:before="10" w:line="276" w:lineRule="auto"/>
        <w:jc w:val="both"/>
        <w:rPr>
          <w:rFonts w:ascii="Arial" w:hAnsi="Arial" w:eastAsia="宋体" w:cs="Arial"/>
          <w:b/>
          <w:bCs/>
          <w:sz w:val="18"/>
          <w:szCs w:val="18"/>
          <w:lang w:eastAsia="zh-CN"/>
        </w:rPr>
      </w:pPr>
    </w:p>
    <w:p w14:paraId="5951E462">
      <w:pPr>
        <w:pStyle w:val="4"/>
        <w:snapToGrid w:val="0"/>
        <w:spacing w:before="69" w:line="276" w:lineRule="auto"/>
        <w:ind w:left="0"/>
        <w:jc w:val="both"/>
        <w:rPr>
          <w:rFonts w:ascii="Arial" w:hAnsi="Arial" w:eastAsia="宋体" w:cs="Arial"/>
          <w:lang w:eastAsia="zh-CN"/>
        </w:rPr>
      </w:pPr>
      <w:r>
        <w:rPr>
          <w:rFonts w:ascii="Arial" w:hAnsi="Arial" w:eastAsia="宋体" w:cs="Arial"/>
          <w:lang w:eastAsia="zh-CN"/>
        </w:rPr>
        <w:t>本指导性文件旨在</w:t>
      </w:r>
      <w:r>
        <w:rPr>
          <w:rFonts w:hint="eastAsia" w:ascii="Arial" w:hAnsi="Arial" w:eastAsia="宋体" w:cs="Arial"/>
          <w:lang w:eastAsia="zh-CN"/>
        </w:rPr>
        <w:t>辅助</w:t>
      </w:r>
      <w:r>
        <w:rPr>
          <w:rFonts w:ascii="Arial" w:hAnsi="Arial" w:eastAsia="宋体" w:cs="Arial"/>
          <w:lang w:eastAsia="zh-CN"/>
        </w:rPr>
        <w:t>向FDA提交用于打磨或侵蚀皮肤器械的上市前通告的</w:t>
      </w:r>
      <w:r>
        <w:rPr>
          <w:rFonts w:hint="eastAsia" w:ascii="Arial" w:hAnsi="Arial" w:eastAsia="宋体" w:cs="Arial"/>
          <w:lang w:eastAsia="zh-CN"/>
        </w:rPr>
        <w:t>人员</w:t>
      </w:r>
      <w:r>
        <w:rPr>
          <w:rFonts w:ascii="Arial" w:hAnsi="Arial" w:eastAsia="宋体" w:cs="Arial"/>
          <w:lang w:eastAsia="zh-CN"/>
        </w:rPr>
        <w:t>。</w:t>
      </w:r>
    </w:p>
    <w:p w14:paraId="2713E6B7">
      <w:pPr>
        <w:snapToGrid w:val="0"/>
        <w:spacing w:before="11" w:line="276" w:lineRule="auto"/>
        <w:jc w:val="both"/>
        <w:rPr>
          <w:rFonts w:ascii="Arial" w:hAnsi="Arial" w:eastAsia="宋体" w:cs="Arial"/>
          <w:sz w:val="24"/>
          <w:szCs w:val="24"/>
          <w:lang w:eastAsia="zh-CN"/>
        </w:rPr>
      </w:pPr>
    </w:p>
    <w:p w14:paraId="4B19783F">
      <w:pPr>
        <w:pStyle w:val="3"/>
        <w:snapToGrid w:val="0"/>
        <w:spacing w:line="276" w:lineRule="auto"/>
        <w:ind w:left="0"/>
        <w:jc w:val="both"/>
        <w:rPr>
          <w:rFonts w:ascii="Arial" w:hAnsi="Arial" w:eastAsia="宋体" w:cs="Arial"/>
          <w:bCs w:val="0"/>
          <w:lang w:eastAsia="zh-CN"/>
        </w:rPr>
      </w:pPr>
      <w:r>
        <w:rPr>
          <w:rFonts w:hint="eastAsia" w:ascii="Arial" w:hAnsi="Arial" w:eastAsia="宋体" w:cs="Arial"/>
          <w:bCs w:val="0"/>
          <w:lang w:eastAsia="zh-CN"/>
        </w:rPr>
        <w:t>法规分类</w:t>
      </w:r>
    </w:p>
    <w:p w14:paraId="43AAAD12">
      <w:pPr>
        <w:snapToGrid w:val="0"/>
        <w:spacing w:before="10" w:line="276" w:lineRule="auto"/>
        <w:jc w:val="both"/>
        <w:rPr>
          <w:rFonts w:ascii="Arial" w:hAnsi="Arial" w:eastAsia="宋体" w:cs="Arial"/>
          <w:b/>
          <w:bCs/>
          <w:sz w:val="18"/>
          <w:szCs w:val="18"/>
          <w:lang w:eastAsia="zh-CN"/>
        </w:rPr>
      </w:pPr>
    </w:p>
    <w:p w14:paraId="2F2C819E">
      <w:pPr>
        <w:pStyle w:val="4"/>
        <w:snapToGrid w:val="0"/>
        <w:spacing w:line="276" w:lineRule="auto"/>
        <w:ind w:left="0"/>
        <w:jc w:val="both"/>
        <w:rPr>
          <w:rFonts w:ascii="Arial" w:hAnsi="Arial" w:eastAsia="宋体" w:cs="Arial"/>
          <w:lang w:eastAsia="zh-CN"/>
        </w:rPr>
      </w:pPr>
      <w:r>
        <w:rPr>
          <w:rFonts w:ascii="Arial" w:hAnsi="Arial" w:eastAsia="宋体" w:cs="Arial"/>
          <w:lang w:eastAsia="zh-CN"/>
        </w:rPr>
        <w:t>磨皮术器械属于一种已上市器械，其适用于一般磨皮术、疤痕修复术、痤疮疤痕修复术和纹身移除术。磨皮术器械有两种类型：手动和电动。</w:t>
      </w:r>
    </w:p>
    <w:p w14:paraId="7B38E846">
      <w:pPr>
        <w:pStyle w:val="4"/>
        <w:snapToGrid w:val="0"/>
        <w:spacing w:line="276" w:lineRule="auto"/>
        <w:ind w:left="0"/>
        <w:jc w:val="both"/>
        <w:rPr>
          <w:rFonts w:ascii="Arial" w:hAnsi="Arial" w:eastAsia="宋体" w:cs="Arial"/>
          <w:lang w:eastAsia="zh-CN"/>
        </w:rPr>
      </w:pPr>
    </w:p>
    <w:p w14:paraId="2B109B11">
      <w:pPr>
        <w:pStyle w:val="4"/>
        <w:snapToGrid w:val="0"/>
        <w:spacing w:line="276" w:lineRule="auto"/>
        <w:ind w:left="0"/>
        <w:jc w:val="both"/>
        <w:rPr>
          <w:rFonts w:ascii="Arial" w:hAnsi="Arial" w:eastAsia="宋体" w:cs="Arial"/>
          <w:spacing w:val="-4"/>
          <w:lang w:eastAsia="zh-CN"/>
        </w:rPr>
      </w:pPr>
      <w:r>
        <w:rPr>
          <w:rFonts w:ascii="Arial" w:hAnsi="Arial" w:eastAsia="宋体" w:cs="Arial"/>
          <w:spacing w:val="-4"/>
          <w:lang w:eastAsia="zh-CN"/>
        </w:rPr>
        <w:t>根据21 CFR 878.4800，手动磨皮术器械的分类为I类器械，并于1994年</w:t>
      </w:r>
      <w:r>
        <w:rPr>
          <w:rFonts w:hint="eastAsia" w:ascii="Arial" w:hAnsi="Arial" w:eastAsia="宋体" w:cs="Arial"/>
          <w:spacing w:val="-4"/>
          <w:lang w:eastAsia="zh-CN"/>
        </w:rPr>
        <w:t>豁免</w:t>
      </w:r>
      <w:r>
        <w:rPr>
          <w:rFonts w:ascii="Arial" w:hAnsi="Arial" w:eastAsia="宋体" w:cs="Arial"/>
          <w:spacing w:val="-4"/>
          <w:lang w:eastAsia="zh-CN"/>
        </w:rPr>
        <w:t>上市前通告程序。</w:t>
      </w:r>
    </w:p>
    <w:p w14:paraId="2385F5C7">
      <w:pPr>
        <w:pStyle w:val="4"/>
        <w:snapToGrid w:val="0"/>
        <w:spacing w:line="276" w:lineRule="auto"/>
        <w:ind w:left="0"/>
        <w:jc w:val="both"/>
        <w:rPr>
          <w:rFonts w:ascii="Arial" w:hAnsi="Arial" w:eastAsia="宋体" w:cs="Arial"/>
          <w:lang w:eastAsia="zh-CN"/>
        </w:rPr>
      </w:pPr>
    </w:p>
    <w:p w14:paraId="1A41E80F">
      <w:pPr>
        <w:pStyle w:val="4"/>
        <w:snapToGrid w:val="0"/>
        <w:spacing w:line="276" w:lineRule="auto"/>
        <w:ind w:left="0"/>
        <w:jc w:val="both"/>
        <w:rPr>
          <w:rFonts w:ascii="Arial" w:hAnsi="Arial" w:eastAsia="宋体" w:cs="Arial"/>
          <w:lang w:eastAsia="zh-CN"/>
        </w:rPr>
      </w:pPr>
      <w:r>
        <w:rPr>
          <w:rFonts w:ascii="Arial" w:hAnsi="Arial" w:eastAsia="宋体" w:cs="Arial"/>
          <w:lang w:eastAsia="zh-CN"/>
        </w:rPr>
        <w:t>根据21 CFR 878.4820，电动磨皮术器械的分类为I类器械，并于1998年2月通过“</w:t>
      </w:r>
      <w:r>
        <w:rPr>
          <w:rFonts w:hint="eastAsia" w:ascii="Arial" w:hAnsi="Arial" w:eastAsia="宋体" w:cs="Arial"/>
          <w:lang w:eastAsia="zh-CN"/>
        </w:rPr>
        <w:t>食品药品监督管理局现代化法案</w:t>
      </w:r>
      <w:r>
        <w:rPr>
          <w:rFonts w:ascii="Arial" w:hAnsi="Arial" w:eastAsia="宋体" w:cs="Arial"/>
          <w:lang w:eastAsia="zh-CN"/>
        </w:rPr>
        <w:t>”</w:t>
      </w:r>
      <w:r>
        <w:rPr>
          <w:rFonts w:hint="eastAsia" w:ascii="Arial" w:hAnsi="Arial" w:eastAsia="宋体" w:cs="Arial"/>
          <w:lang w:eastAsia="zh-CN"/>
        </w:rPr>
        <w:t>豁免</w:t>
      </w:r>
      <w:r>
        <w:rPr>
          <w:rFonts w:ascii="Arial" w:hAnsi="Arial" w:eastAsia="宋体" w:cs="Arial"/>
          <w:lang w:eastAsia="zh-CN"/>
        </w:rPr>
        <w:t>上市前通告程序。</w:t>
      </w:r>
    </w:p>
    <w:p w14:paraId="2BB0F14B">
      <w:pPr>
        <w:snapToGrid w:val="0"/>
        <w:spacing w:before="6" w:line="276" w:lineRule="auto"/>
        <w:jc w:val="both"/>
        <w:rPr>
          <w:rFonts w:ascii="Arial" w:hAnsi="Arial" w:eastAsia="宋体" w:cs="Arial"/>
          <w:sz w:val="24"/>
          <w:szCs w:val="24"/>
          <w:lang w:eastAsia="zh-CN"/>
        </w:rPr>
      </w:pPr>
    </w:p>
    <w:p w14:paraId="525AD055">
      <w:pPr>
        <w:pStyle w:val="4"/>
        <w:snapToGrid w:val="0"/>
        <w:spacing w:line="276" w:lineRule="auto"/>
        <w:ind w:left="0"/>
        <w:jc w:val="both"/>
        <w:rPr>
          <w:rFonts w:ascii="Arial" w:hAnsi="Arial" w:eastAsia="宋体" w:cs="Arial"/>
          <w:lang w:eastAsia="zh-CN"/>
        </w:rPr>
      </w:pPr>
      <w:r>
        <w:rPr>
          <w:rFonts w:ascii="Arial" w:hAnsi="Arial" w:eastAsia="宋体" w:cs="Arial"/>
          <w:lang w:eastAsia="zh-CN"/>
        </w:rPr>
        <w:t>如21 CFR 878.9中所述，I类器械的豁免不适用于以下情况：1）该器械旨在用于不同的用途，例如不同的医疗目的；或2）该器械使用不同的基础科学技术运行。因此，只要申办方打算上市类似于已合法上市的磨皮术器械的磨皮术器械，其无需提交上市前通告（510（k））。然而，如果申办方打算上市具有与上述不同的适应症、包含用于与已合法上市器械适应症不同的适应症的输出参数（压力、每分钟转数）、通过不同的作用方式运行或使用不同的打磨基片的磨皮术器械，则需要提交510（k）。</w:t>
      </w:r>
    </w:p>
    <w:p w14:paraId="42E6D14F">
      <w:pPr>
        <w:snapToGrid w:val="0"/>
        <w:spacing w:before="11" w:line="276" w:lineRule="auto"/>
        <w:rPr>
          <w:rFonts w:ascii="Arial" w:hAnsi="Arial" w:eastAsia="宋体" w:cs="Arial"/>
          <w:sz w:val="24"/>
          <w:szCs w:val="24"/>
          <w:lang w:eastAsia="zh-CN"/>
        </w:rPr>
      </w:pPr>
    </w:p>
    <w:p w14:paraId="2E0D89EA">
      <w:pPr>
        <w:pStyle w:val="3"/>
        <w:snapToGrid w:val="0"/>
        <w:spacing w:line="276" w:lineRule="auto"/>
        <w:ind w:left="0"/>
        <w:rPr>
          <w:rFonts w:ascii="Arial" w:hAnsi="Arial" w:eastAsia="宋体" w:cs="Arial"/>
          <w:bCs w:val="0"/>
          <w:lang w:eastAsia="zh-CN"/>
        </w:rPr>
      </w:pPr>
      <w:r>
        <w:rPr>
          <w:rFonts w:hint="eastAsia" w:ascii="Arial" w:hAnsi="Arial" w:eastAsia="宋体" w:cs="Arial"/>
          <w:bCs w:val="0"/>
          <w:lang w:eastAsia="zh-CN"/>
        </w:rPr>
        <w:t>目录</w:t>
      </w:r>
    </w:p>
    <w:p w14:paraId="212DDEB7">
      <w:pPr>
        <w:snapToGrid w:val="0"/>
        <w:spacing w:before="10" w:line="276" w:lineRule="auto"/>
        <w:rPr>
          <w:rFonts w:ascii="Arial" w:hAnsi="Arial" w:eastAsia="宋体" w:cs="Arial"/>
          <w:b/>
          <w:bCs/>
          <w:sz w:val="18"/>
          <w:szCs w:val="18"/>
          <w:lang w:eastAsia="zh-CN"/>
        </w:rPr>
      </w:pPr>
    </w:p>
    <w:p w14:paraId="2CC5D6D6">
      <w:pPr>
        <w:pStyle w:val="4"/>
        <w:snapToGrid w:val="0"/>
        <w:spacing w:before="69" w:line="276" w:lineRule="auto"/>
        <w:ind w:left="0"/>
        <w:rPr>
          <w:rFonts w:ascii="Arial" w:hAnsi="Arial" w:eastAsia="宋体" w:cs="Arial"/>
          <w:lang w:eastAsia="zh-CN"/>
        </w:rPr>
      </w:pPr>
      <w:r>
        <w:rPr>
          <w:rFonts w:ascii="Arial" w:hAnsi="Arial" w:eastAsia="宋体" w:cs="Arial"/>
          <w:lang w:eastAsia="zh-CN"/>
        </w:rPr>
        <w:t>用于磨皮术器械的510（k）应包含：</w:t>
      </w:r>
    </w:p>
    <w:p w14:paraId="634C0ED7">
      <w:pPr>
        <w:snapToGrid w:val="0"/>
        <w:spacing w:before="3" w:line="276" w:lineRule="auto"/>
        <w:rPr>
          <w:rFonts w:ascii="Arial" w:hAnsi="Arial" w:eastAsia="宋体" w:cs="Arial"/>
          <w:sz w:val="25"/>
          <w:szCs w:val="25"/>
          <w:lang w:eastAsia="zh-CN"/>
        </w:rPr>
      </w:pPr>
    </w:p>
    <w:p w14:paraId="452DECAF">
      <w:pPr>
        <w:pStyle w:val="12"/>
        <w:numPr>
          <w:ilvl w:val="0"/>
          <w:numId w:val="1"/>
        </w:numPr>
        <w:tabs>
          <w:tab w:val="left" w:pos="500"/>
        </w:tabs>
        <w:snapToGrid w:val="0"/>
        <w:spacing w:before="4" w:line="276" w:lineRule="auto"/>
        <w:ind w:left="357" w:hanging="357"/>
        <w:rPr>
          <w:rFonts w:ascii="Arial" w:hAnsi="Arial" w:eastAsia="宋体" w:cs="Arial"/>
          <w:sz w:val="24"/>
          <w:szCs w:val="24"/>
        </w:rPr>
      </w:pPr>
      <w:r>
        <w:rPr>
          <w:rFonts w:ascii="Arial" w:hAnsi="Arial" w:eastAsia="宋体" w:cs="Arial"/>
          <w:sz w:val="24"/>
          <w:szCs w:val="24"/>
        </w:rPr>
        <w:t>适应症</w:t>
      </w:r>
      <w:r>
        <w:rPr>
          <w:rFonts w:ascii="Arial" w:hAnsi="Arial" w:eastAsia="宋体" w:cs="Arial"/>
          <w:sz w:val="24"/>
          <w:szCs w:val="24"/>
          <w:lang w:eastAsia="zh-CN"/>
        </w:rPr>
        <w:t>表</w:t>
      </w:r>
    </w:p>
    <w:p w14:paraId="7013C86B">
      <w:pPr>
        <w:pStyle w:val="12"/>
        <w:numPr>
          <w:ilvl w:val="0"/>
          <w:numId w:val="1"/>
        </w:numPr>
        <w:tabs>
          <w:tab w:val="left" w:pos="500"/>
        </w:tabs>
        <w:snapToGrid w:val="0"/>
        <w:spacing w:before="4" w:line="276" w:lineRule="auto"/>
        <w:ind w:left="357" w:hanging="357"/>
        <w:rPr>
          <w:rFonts w:ascii="Arial" w:hAnsi="Arial" w:eastAsia="宋体" w:cs="Arial"/>
          <w:sz w:val="24"/>
          <w:szCs w:val="24"/>
          <w:lang w:eastAsia="zh-CN"/>
        </w:rPr>
      </w:pPr>
      <w:r>
        <w:rPr>
          <w:rFonts w:ascii="Arial" w:hAnsi="Arial" w:eastAsia="宋体" w:cs="Arial"/>
          <w:sz w:val="24"/>
          <w:szCs w:val="24"/>
          <w:lang w:eastAsia="zh-CN"/>
        </w:rPr>
        <w:t>510（k）摘要或510（k）声明</w:t>
      </w:r>
    </w:p>
    <w:p w14:paraId="0D84B87B">
      <w:pPr>
        <w:pStyle w:val="12"/>
        <w:numPr>
          <w:ilvl w:val="0"/>
          <w:numId w:val="1"/>
        </w:numPr>
        <w:tabs>
          <w:tab w:val="left" w:pos="500"/>
        </w:tabs>
        <w:snapToGrid w:val="0"/>
        <w:spacing w:before="4" w:line="276" w:lineRule="auto"/>
        <w:ind w:left="357" w:hanging="357"/>
        <w:rPr>
          <w:rFonts w:ascii="Arial" w:hAnsi="Arial" w:eastAsia="宋体" w:cs="Arial"/>
          <w:sz w:val="24"/>
          <w:szCs w:val="24"/>
        </w:rPr>
      </w:pPr>
      <w:r>
        <w:rPr>
          <w:rFonts w:ascii="Arial" w:hAnsi="Arial" w:eastAsia="宋体" w:cs="Arial"/>
          <w:sz w:val="24"/>
          <w:szCs w:val="24"/>
        </w:rPr>
        <w:t>真实</w:t>
      </w:r>
      <w:r>
        <w:rPr>
          <w:rFonts w:ascii="Arial" w:hAnsi="Arial" w:eastAsia="宋体" w:cs="Arial"/>
          <w:sz w:val="24"/>
          <w:szCs w:val="24"/>
          <w:lang w:eastAsia="zh-CN"/>
        </w:rPr>
        <w:t>性</w:t>
      </w:r>
      <w:r>
        <w:rPr>
          <w:rFonts w:ascii="Arial" w:hAnsi="Arial" w:eastAsia="宋体" w:cs="Arial"/>
          <w:sz w:val="24"/>
          <w:szCs w:val="24"/>
        </w:rPr>
        <w:t>和准确</w:t>
      </w:r>
      <w:r>
        <w:rPr>
          <w:rFonts w:ascii="Arial" w:hAnsi="Arial" w:eastAsia="宋体" w:cs="Arial"/>
          <w:sz w:val="24"/>
          <w:szCs w:val="24"/>
          <w:lang w:eastAsia="zh-CN"/>
        </w:rPr>
        <w:t>性</w:t>
      </w:r>
      <w:r>
        <w:rPr>
          <w:rFonts w:ascii="Arial" w:hAnsi="Arial" w:eastAsia="宋体" w:cs="Arial"/>
          <w:sz w:val="24"/>
          <w:szCs w:val="24"/>
        </w:rPr>
        <w:t>声明</w:t>
      </w:r>
    </w:p>
    <w:p w14:paraId="449FA94A">
      <w:pPr>
        <w:pStyle w:val="12"/>
        <w:numPr>
          <w:ilvl w:val="0"/>
          <w:numId w:val="1"/>
        </w:numPr>
        <w:tabs>
          <w:tab w:val="left" w:pos="500"/>
        </w:tabs>
        <w:snapToGrid w:val="0"/>
        <w:spacing w:before="4" w:line="276" w:lineRule="auto"/>
        <w:ind w:left="357" w:hanging="357"/>
        <w:rPr>
          <w:rFonts w:ascii="Arial" w:hAnsi="Arial" w:eastAsia="宋体" w:cs="Arial"/>
          <w:sz w:val="24"/>
          <w:szCs w:val="24"/>
          <w:lang w:eastAsia="zh-CN"/>
        </w:rPr>
      </w:pPr>
      <w:r>
        <w:rPr>
          <w:rFonts w:ascii="Arial" w:hAnsi="Arial" w:eastAsia="宋体" w:cs="Arial"/>
          <w:sz w:val="24"/>
          <w:szCs w:val="24"/>
          <w:lang w:eastAsia="zh-CN"/>
        </w:rPr>
        <w:t>器械说明，包括原理图或设计图</w:t>
      </w:r>
    </w:p>
    <w:p w14:paraId="6431BD6D">
      <w:pPr>
        <w:pStyle w:val="12"/>
        <w:numPr>
          <w:ilvl w:val="0"/>
          <w:numId w:val="1"/>
        </w:numPr>
        <w:tabs>
          <w:tab w:val="left" w:pos="500"/>
        </w:tabs>
        <w:snapToGrid w:val="0"/>
        <w:spacing w:before="4" w:line="276" w:lineRule="auto"/>
        <w:ind w:left="357" w:hanging="357"/>
        <w:rPr>
          <w:rFonts w:ascii="Arial" w:hAnsi="Arial" w:eastAsia="宋体" w:cs="Arial"/>
          <w:sz w:val="24"/>
          <w:szCs w:val="24"/>
        </w:rPr>
      </w:pPr>
      <w:r>
        <w:rPr>
          <w:rFonts w:ascii="Arial" w:hAnsi="Arial" w:eastAsia="宋体" w:cs="Arial"/>
          <w:sz w:val="24"/>
          <w:szCs w:val="24"/>
        </w:rPr>
        <w:t>灭菌信息</w:t>
      </w:r>
    </w:p>
    <w:p w14:paraId="7AB908FB">
      <w:pPr>
        <w:pStyle w:val="12"/>
        <w:numPr>
          <w:ilvl w:val="0"/>
          <w:numId w:val="1"/>
        </w:numPr>
        <w:tabs>
          <w:tab w:val="left" w:pos="500"/>
        </w:tabs>
        <w:snapToGrid w:val="0"/>
        <w:spacing w:before="4" w:line="276" w:lineRule="auto"/>
        <w:ind w:left="357" w:hanging="357"/>
        <w:rPr>
          <w:rFonts w:ascii="Arial" w:hAnsi="Arial" w:eastAsia="宋体" w:cs="Arial"/>
          <w:sz w:val="24"/>
          <w:szCs w:val="24"/>
        </w:rPr>
      </w:pPr>
      <w:r>
        <w:rPr>
          <w:rFonts w:ascii="Arial" w:hAnsi="Arial" w:eastAsia="宋体" w:cs="Arial"/>
          <w:sz w:val="24"/>
          <w:szCs w:val="24"/>
          <w:lang w:eastAsia="zh-CN"/>
        </w:rPr>
        <w:t>比较器械标签</w:t>
      </w:r>
    </w:p>
    <w:p w14:paraId="332A37B5">
      <w:pPr>
        <w:pStyle w:val="12"/>
        <w:numPr>
          <w:ilvl w:val="0"/>
          <w:numId w:val="1"/>
        </w:numPr>
        <w:tabs>
          <w:tab w:val="left" w:pos="500"/>
        </w:tabs>
        <w:snapToGrid w:val="0"/>
        <w:spacing w:before="4" w:line="276" w:lineRule="auto"/>
        <w:ind w:left="357" w:hanging="357"/>
        <w:rPr>
          <w:rFonts w:ascii="Arial" w:hAnsi="Arial" w:eastAsia="宋体" w:cs="Arial"/>
          <w:sz w:val="24"/>
          <w:szCs w:val="24"/>
        </w:rPr>
      </w:pPr>
      <w:r>
        <w:rPr>
          <w:rFonts w:ascii="Arial" w:hAnsi="Arial" w:eastAsia="宋体" w:cs="Arial"/>
          <w:sz w:val="24"/>
          <w:szCs w:val="24"/>
          <w:lang w:eastAsia="zh-CN"/>
        </w:rPr>
        <w:t>拟定</w:t>
      </w:r>
      <w:r>
        <w:rPr>
          <w:rFonts w:ascii="Arial" w:hAnsi="Arial" w:eastAsia="宋体" w:cs="Arial"/>
          <w:sz w:val="24"/>
          <w:szCs w:val="24"/>
        </w:rPr>
        <w:t>器械标签</w:t>
      </w:r>
    </w:p>
    <w:p w14:paraId="123F4F05">
      <w:pPr>
        <w:snapToGrid w:val="0"/>
        <w:spacing w:before="2" w:line="276" w:lineRule="auto"/>
        <w:rPr>
          <w:rFonts w:ascii="Arial" w:hAnsi="Arial" w:eastAsia="宋体" w:cs="Arial"/>
          <w:sz w:val="10"/>
          <w:szCs w:val="10"/>
        </w:rPr>
      </w:pPr>
    </w:p>
    <w:p w14:paraId="5BCF2843">
      <w:pPr>
        <w:snapToGrid w:val="0"/>
        <w:spacing w:line="276" w:lineRule="auto"/>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989320" cy="9525"/>
                <wp:effectExtent l="9525" t="9525" r="1905" b="0"/>
                <wp:docPr id="2" name="Group 2"/>
                <wp:cNvGraphicFramePr/>
                <a:graphic xmlns:a="http://schemas.openxmlformats.org/drawingml/2006/main">
                  <a:graphicData uri="http://schemas.microsoft.com/office/word/2010/wordprocessingGroup">
                    <wpg:wgp>
                      <wpg:cNvGrpSpPr/>
                      <wpg:grpSpPr>
                        <a:xfrm>
                          <a:off x="0" y="0"/>
                          <a:ext cx="5989320" cy="9525"/>
                          <a:chOff x="0" y="0"/>
                          <a:chExt cx="9432" cy="15"/>
                        </a:xfrm>
                      </wpg:grpSpPr>
                      <wpg:grpSp>
                        <wpg:cNvPr id="3" name="Group 3"/>
                        <wpg:cNvGrpSpPr/>
                        <wpg:grpSpPr>
                          <a:xfrm>
                            <a:off x="7" y="7"/>
                            <a:ext cx="9418" cy="2"/>
                            <a:chOff x="7" y="7"/>
                            <a:chExt cx="9418" cy="2"/>
                          </a:xfrm>
                        </wpg:grpSpPr>
                        <wps:wsp>
                          <wps:cNvPr id="4" name="Freeform 4"/>
                          <wps:cNvSpPr/>
                          <wps:spPr bwMode="auto">
                            <a:xfrm>
                              <a:off x="7" y="7"/>
                              <a:ext cx="9418" cy="2"/>
                            </a:xfrm>
                            <a:custGeom>
                              <a:avLst/>
                              <a:gdLst>
                                <a:gd name="T0" fmla="+- 0 7 7"/>
                                <a:gd name="T1" fmla="*/ T0 w 9418"/>
                                <a:gd name="T2" fmla="+- 0 9425 7"/>
                                <a:gd name="T3" fmla="*/ T2 w 9418"/>
                              </a:gdLst>
                              <a:ahLst/>
                              <a:cxnLst>
                                <a:cxn ang="0">
                                  <a:pos x="T1" y="0"/>
                                </a:cxn>
                                <a:cxn ang="0">
                                  <a:pos x="T3" y="0"/>
                                </a:cxn>
                              </a:cxnLst>
                              <a:rect l="0" t="0" r="r" b="b"/>
                              <a:pathLst>
                                <a:path w="9418">
                                  <a:moveTo>
                                    <a:pt x="0" y="0"/>
                                  </a:moveTo>
                                  <a:lnTo>
                                    <a:pt x="9418"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75pt;width:471.6pt;" coordsize="9432,15" o:gfxdata="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JEnjNDUAAAAAwEAAA8AAAAAAAAAAQAgAAAAIgAAAGRycy9kb3du&#10;cmV2LnhtbFBLAQIUABQAAAAIAIdO4kBJRuxmIAMAAPgHAAAOAAAAAAAAAAEAIAAAACMBAABkcnMv&#10;ZTJvRG9jLnhtbFBLBQYAAAAABgAGAFkBAAC1BgAAAAA=&#10;">
                <o:lock v:ext="edit" aspectratio="f"/>
                <v:group id="Group 3" o:spid="_x0000_s1026" o:spt="203" style="position:absolute;left:7;top:7;height:2;width:9418;" coordorigin="7,7" coordsize="9418,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4" o:spid="_x0000_s1026" o:spt="100" style="position:absolute;left:7;top:7;height:2;width:9418;" filled="f" stroked="t" coordsize="9418,1" o:gfxdata="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mhzxvQAA&#10;ANoAAAAPAAAAAAAAAAEAIAAAACIAAABkcnMvZG93bnJldi54bWxQSwECFAAUAAAACACHTuJAMy8F&#10;njsAAAA5AAAAEAAAAAAAAAABACAAAAAMAQAAZHJzL3NoYXBleG1sLnhtbFBLBQYAAAAABgAGAFsB&#10;AAC2AwAAAAA=&#10;" path="m0,0l9418,0e">
                    <v:path o:connectlocs="0,0;9418,0" o:connectangles="0,0"/>
                    <v:fill on="f" focussize="0,0"/>
                    <v:stroke weight="0.72pt" color="#000000" joinstyle="round"/>
                    <v:imagedata o:title=""/>
                    <o:lock v:ext="edit" aspectratio="f"/>
                  </v:shape>
                </v:group>
                <w10:wrap type="none"/>
                <w10:anchorlock/>
              </v:group>
            </w:pict>
          </mc:Fallback>
        </mc:AlternateContent>
      </w:r>
    </w:p>
    <w:p w14:paraId="2CDFD677">
      <w:pPr>
        <w:snapToGrid w:val="0"/>
        <w:spacing w:line="276" w:lineRule="auto"/>
        <w:jc w:val="both"/>
        <w:rPr>
          <w:rFonts w:ascii="Arial" w:hAnsi="Arial" w:eastAsia="宋体" w:cs="Arial"/>
          <w:lang w:eastAsia="zh-CN"/>
        </w:rPr>
      </w:pPr>
      <w:r>
        <w:rPr>
          <w:rFonts w:ascii="Arial" w:hAnsi="Arial" w:eastAsia="宋体" w:cs="Arial"/>
          <w:spacing w:val="-3"/>
          <w:position w:val="10"/>
          <w:sz w:val="14"/>
          <w:szCs w:val="14"/>
          <w:lang w:eastAsia="zh-CN"/>
        </w:rPr>
        <w:t>1</w:t>
      </w:r>
      <w:r>
        <w:rPr>
          <w:rFonts w:ascii="Arial" w:hAnsi="Arial" w:eastAsia="宋体" w:cs="Arial"/>
          <w:lang w:eastAsia="zh-CN"/>
        </w:rPr>
        <w:t>本文件旨在提供指南。其代表本审查机构目前关于这一主题的见解。其不会为任何人创造或赋予任何权利，也不对FDA或公众具有约束力。如果替代方法满足适用的法律、法规或其两者的要求，可以使用替代方法。</w:t>
      </w:r>
    </w:p>
    <w:p w14:paraId="1885CFEA">
      <w:pPr>
        <w:snapToGrid w:val="0"/>
        <w:spacing w:line="300" w:lineRule="auto"/>
        <w:rPr>
          <w:rFonts w:ascii="Arial" w:hAnsi="Arial" w:eastAsia="宋体" w:cs="Arial"/>
          <w:lang w:eastAsia="zh-CN"/>
        </w:rPr>
        <w:sectPr>
          <w:footerReference r:id="rId4" w:type="default"/>
          <w:pgSz w:w="12240" w:h="15840"/>
          <w:pgMar w:top="1134" w:right="1134" w:bottom="1134" w:left="1134" w:header="0" w:footer="1011" w:gutter="0"/>
          <w:pgNumType w:start="1"/>
          <w:cols w:space="720" w:num="1"/>
          <w:docGrid w:linePitch="299" w:charSpace="0"/>
        </w:sectPr>
      </w:pPr>
    </w:p>
    <w:p w14:paraId="5EA45A47">
      <w:pPr>
        <w:pStyle w:val="4"/>
        <w:snapToGrid w:val="0"/>
        <w:spacing w:before="41" w:line="300" w:lineRule="auto"/>
        <w:ind w:left="0"/>
        <w:jc w:val="both"/>
        <w:rPr>
          <w:rFonts w:ascii="Arial" w:hAnsi="Arial" w:eastAsia="宋体" w:cs="Arial"/>
          <w:lang w:eastAsia="zh-CN"/>
        </w:rPr>
      </w:pPr>
      <w:r>
        <w:rPr>
          <w:rFonts w:ascii="Arial" w:hAnsi="Arial" w:eastAsia="宋体" w:cs="Arial"/>
          <w:lang w:eastAsia="zh-CN"/>
        </w:rPr>
        <w:t>对于一般磨皮术、疤痕修复术和纹身移除术之外的磨皮术器械适应症，应提供将器械的安全性和有效性与合法上市的磨皮术器械进行比较的数据。因为其不满足21 CFR§812.3（m）中所述的任何标准，FDA认为，该器械属于非重大风险器械。FDA建议，非重大风险器械的临床试验的申办方应在开始研究之前向本审查机构提供研究方案的副本，以确保方案可提供足够的数据，以便做出该器械与合法上市的器械实质等同的决定。</w:t>
      </w:r>
    </w:p>
    <w:p w14:paraId="336683CE">
      <w:pPr>
        <w:snapToGrid w:val="0"/>
        <w:spacing w:before="6" w:line="300" w:lineRule="auto"/>
        <w:jc w:val="both"/>
        <w:rPr>
          <w:rFonts w:ascii="Arial" w:hAnsi="Arial" w:eastAsia="宋体" w:cs="Arial"/>
          <w:sz w:val="24"/>
          <w:szCs w:val="24"/>
          <w:lang w:eastAsia="zh-CN"/>
        </w:rPr>
      </w:pPr>
    </w:p>
    <w:p w14:paraId="21A08A51">
      <w:pPr>
        <w:pStyle w:val="4"/>
        <w:snapToGrid w:val="0"/>
        <w:spacing w:line="300" w:lineRule="auto"/>
        <w:ind w:left="0"/>
        <w:jc w:val="both"/>
        <w:rPr>
          <w:rFonts w:ascii="Arial" w:hAnsi="Arial" w:eastAsia="宋体" w:cs="Arial"/>
          <w:lang w:eastAsia="zh-CN"/>
        </w:rPr>
      </w:pPr>
      <w:r>
        <w:rPr>
          <w:rFonts w:ascii="Arial" w:hAnsi="Arial" w:eastAsia="宋体" w:cs="Arial"/>
          <w:lang w:eastAsia="zh-CN"/>
        </w:rPr>
        <w:t>在器械说明中，请提供材料成分、作用方式和输出参数。同样，在本节中，应提供拟定器械和比较器械之间的比较。</w:t>
      </w:r>
    </w:p>
    <w:p w14:paraId="16BB13FC">
      <w:pPr>
        <w:pStyle w:val="4"/>
        <w:snapToGrid w:val="0"/>
        <w:spacing w:line="300" w:lineRule="auto"/>
        <w:ind w:left="0"/>
        <w:jc w:val="both"/>
        <w:rPr>
          <w:rFonts w:ascii="Arial" w:hAnsi="Arial" w:eastAsia="宋体" w:cs="Arial"/>
          <w:lang w:eastAsia="zh-CN"/>
        </w:rPr>
      </w:pPr>
    </w:p>
    <w:p w14:paraId="566FD917">
      <w:pPr>
        <w:pStyle w:val="4"/>
        <w:snapToGrid w:val="0"/>
        <w:spacing w:line="300" w:lineRule="auto"/>
        <w:ind w:left="0"/>
        <w:jc w:val="both"/>
        <w:rPr>
          <w:rFonts w:ascii="Arial" w:hAnsi="Arial" w:eastAsia="宋体" w:cs="Arial"/>
          <w:lang w:eastAsia="zh-CN"/>
        </w:rPr>
      </w:pPr>
      <w:r>
        <w:rPr>
          <w:rFonts w:ascii="Arial" w:hAnsi="Arial" w:eastAsia="宋体" w:cs="Arial"/>
          <w:lang w:eastAsia="zh-CN"/>
        </w:rPr>
        <w:t>510（k）的灭菌部分应明确已预先灭菌或在使用前需要进行灭菌的器械组件。也应指明灭菌方式、</w:t>
      </w:r>
      <w:r>
        <w:rPr>
          <w:rFonts w:hint="eastAsia" w:ascii="Arial" w:hAnsi="Arial" w:eastAsia="宋体" w:cs="Arial"/>
          <w:lang w:eastAsia="zh-CN"/>
        </w:rPr>
        <w:t>工艺</w:t>
      </w:r>
      <w:r>
        <w:rPr>
          <w:rFonts w:ascii="Arial" w:hAnsi="Arial" w:eastAsia="宋体" w:cs="Arial"/>
          <w:lang w:eastAsia="zh-CN"/>
        </w:rPr>
        <w:t>无菌保证水平（SAL）和确认方法。标签应</w:t>
      </w:r>
      <w:r>
        <w:rPr>
          <w:rFonts w:hint="eastAsia" w:ascii="Arial" w:hAnsi="Arial" w:eastAsia="宋体" w:cs="Arial"/>
          <w:lang w:eastAsia="zh-CN"/>
        </w:rPr>
        <w:t>包含所有</w:t>
      </w:r>
      <w:r>
        <w:rPr>
          <w:rFonts w:ascii="Arial" w:hAnsi="Arial" w:eastAsia="宋体" w:cs="Arial"/>
          <w:lang w:eastAsia="zh-CN"/>
        </w:rPr>
        <w:t>非灭菌器械或可重复使用</w:t>
      </w:r>
      <w:r>
        <w:rPr>
          <w:rFonts w:hint="eastAsia" w:ascii="Arial" w:hAnsi="Arial" w:eastAsia="宋体" w:cs="Arial"/>
          <w:lang w:eastAsia="zh-CN"/>
        </w:rPr>
        <w:t>部件</w:t>
      </w:r>
      <w:r>
        <w:rPr>
          <w:rFonts w:ascii="Arial" w:hAnsi="Arial" w:eastAsia="宋体" w:cs="Arial"/>
          <w:lang w:eastAsia="zh-CN"/>
        </w:rPr>
        <w:t>灭菌确认方法的说明。</w:t>
      </w:r>
    </w:p>
    <w:p w14:paraId="0828E102">
      <w:pPr>
        <w:snapToGrid w:val="0"/>
        <w:spacing w:line="300" w:lineRule="auto"/>
        <w:rPr>
          <w:rFonts w:hint="eastAsia" w:eastAsia="宋体"/>
          <w:lang w:eastAsia="zh-CN"/>
        </w:rPr>
      </w:pPr>
    </w:p>
    <w:p w14:paraId="3887A42F">
      <w:pPr>
        <w:snapToGrid w:val="0"/>
        <w:spacing w:line="300" w:lineRule="auto"/>
        <w:jc w:val="center"/>
        <w:rPr>
          <w:rFonts w:hint="eastAsia" w:eastAsia="宋体"/>
          <w:lang w:eastAsia="zh-CN"/>
        </w:rPr>
      </w:pPr>
    </w:p>
    <w:p w14:paraId="448DA64D">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2240" w:h="15840"/>
      <w:pgMar w:top="1134" w:right="1134" w:bottom="1134" w:left="1134" w:header="0" w:footer="101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949C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74715">
    <w:pPr>
      <w:pStyle w:val="6"/>
      <w:jc w:val="center"/>
      <w:rPr>
        <w:rFonts w:ascii="Arial" w:hAnsi="Arial" w:eastAsia="宋体" w:cs="Arial"/>
        <w:sz w:val="24"/>
        <w:szCs w:val="24"/>
      </w:rPr>
    </w:pPr>
    <w:r>
      <w:rPr>
        <w:rFonts w:ascii="Arial" w:hAnsi="Arial" w:eastAsia="宋体" w:cs="Arial"/>
        <w:spacing w:val="-1"/>
        <w:sz w:val="24"/>
        <w:szCs w:val="24"/>
        <w:lang w:eastAsia="zh-CN"/>
      </w:rPr>
      <w:t>第</w:t>
    </w:r>
    <w:r>
      <w:rPr>
        <w:rFonts w:ascii="Arial" w:hAnsi="Arial" w:eastAsia="宋体" w:cs="Arial"/>
        <w:spacing w:val="-1"/>
        <w:sz w:val="24"/>
        <w:szCs w:val="24"/>
      </w:rPr>
      <w:t xml:space="preserve"> </w:t>
    </w:r>
    <w:r>
      <w:rPr>
        <w:rFonts w:ascii="Arial" w:hAnsi="Arial" w:eastAsia="宋体" w:cs="Arial"/>
        <w:sz w:val="24"/>
        <w:szCs w:val="24"/>
      </w:rPr>
      <w:fldChar w:fldCharType="begin"/>
    </w:r>
    <w:r>
      <w:rPr>
        <w:rFonts w:ascii="Arial" w:hAnsi="Arial" w:eastAsia="宋体" w:cs="Arial"/>
        <w:sz w:val="24"/>
        <w:szCs w:val="24"/>
      </w:rPr>
      <w:instrText xml:space="preserve"> PAGE </w:instrText>
    </w:r>
    <w:r>
      <w:rPr>
        <w:rFonts w:ascii="Arial" w:hAnsi="Arial" w:eastAsia="宋体" w:cs="Arial"/>
        <w:sz w:val="24"/>
        <w:szCs w:val="24"/>
      </w:rPr>
      <w:fldChar w:fldCharType="separate"/>
    </w:r>
    <w:r>
      <w:rPr>
        <w:rFonts w:ascii="Arial" w:hAnsi="Arial" w:eastAsia="宋体" w:cs="Arial"/>
        <w:sz w:val="24"/>
        <w:szCs w:val="24"/>
      </w:rPr>
      <w:t>1</w:t>
    </w:r>
    <w:r>
      <w:rPr>
        <w:rFonts w:ascii="Arial" w:hAnsi="Arial" w:eastAsia="宋体" w:cs="Arial"/>
        <w:sz w:val="24"/>
        <w:szCs w:val="24"/>
      </w:rPr>
      <w:fldChar w:fldCharType="end"/>
    </w:r>
    <w:r>
      <w:rPr>
        <w:rFonts w:ascii="Arial" w:hAnsi="Arial" w:eastAsia="宋体" w:cs="Arial"/>
        <w:sz w:val="24"/>
        <w:szCs w:val="24"/>
        <w:lang w:eastAsia="zh-CN"/>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6D47">
    <w:pPr>
      <w:pStyle w:val="6"/>
      <w:jc w:val="center"/>
      <w:rPr>
        <w:rFonts w:ascii="Arial" w:hAnsi="Arial" w:eastAsia="宋体" w:cs="Arial"/>
        <w:sz w:val="24"/>
        <w:szCs w:val="24"/>
      </w:rPr>
    </w:pPr>
    <w:r>
      <w:rPr>
        <w:rFonts w:ascii="Arial" w:hAnsi="Arial" w:eastAsia="宋体" w:cs="Arial"/>
        <w:spacing w:val="-1"/>
        <w:sz w:val="24"/>
        <w:szCs w:val="24"/>
        <w:lang w:eastAsia="zh-CN"/>
      </w:rPr>
      <w:t>第</w:t>
    </w:r>
    <w:r>
      <w:rPr>
        <w:rFonts w:ascii="Arial" w:hAnsi="Arial" w:eastAsia="宋体" w:cs="Arial"/>
        <w:spacing w:val="-1"/>
        <w:sz w:val="24"/>
        <w:szCs w:val="24"/>
      </w:rPr>
      <w:t xml:space="preserve"> </w:t>
    </w:r>
    <w:r>
      <w:rPr>
        <w:rFonts w:ascii="Arial" w:hAnsi="Arial" w:eastAsia="宋体" w:cs="Arial"/>
        <w:sz w:val="24"/>
        <w:szCs w:val="24"/>
      </w:rPr>
      <w:fldChar w:fldCharType="begin"/>
    </w:r>
    <w:r>
      <w:rPr>
        <w:rFonts w:ascii="Arial" w:hAnsi="Arial" w:eastAsia="宋体" w:cs="Arial"/>
        <w:sz w:val="24"/>
        <w:szCs w:val="24"/>
      </w:rPr>
      <w:instrText xml:space="preserve"> PAGE </w:instrText>
    </w:r>
    <w:r>
      <w:rPr>
        <w:rFonts w:ascii="Arial" w:hAnsi="Arial" w:eastAsia="宋体" w:cs="Arial"/>
        <w:sz w:val="24"/>
        <w:szCs w:val="24"/>
      </w:rPr>
      <w:fldChar w:fldCharType="separate"/>
    </w:r>
    <w:r>
      <w:rPr>
        <w:rFonts w:ascii="Arial" w:hAnsi="Arial" w:eastAsia="宋体" w:cs="Arial"/>
        <w:sz w:val="24"/>
        <w:szCs w:val="24"/>
      </w:rPr>
      <w:t>2</w:t>
    </w:r>
    <w:r>
      <w:rPr>
        <w:rFonts w:ascii="Arial" w:hAnsi="Arial" w:eastAsia="宋体" w:cs="Arial"/>
        <w:sz w:val="24"/>
        <w:szCs w:val="24"/>
      </w:rPr>
      <w:fldChar w:fldCharType="end"/>
    </w:r>
    <w:r>
      <w:rPr>
        <w:rFonts w:ascii="Arial" w:hAnsi="Arial" w:eastAsia="宋体" w:cs="Arial"/>
        <w:sz w:val="24"/>
        <w:szCs w:val="24"/>
        <w:lang w:eastAsia="zh-CN"/>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724B8"/>
    <w:multiLevelType w:val="multilevel"/>
    <w:tmpl w:val="623724B8"/>
    <w:lvl w:ilvl="0" w:tentative="0">
      <w:start w:val="1"/>
      <w:numFmt w:val="bullet"/>
      <w:lvlText w:val=""/>
      <w:lvlJc w:val="left"/>
      <w:pPr>
        <w:ind w:left="500" w:hanging="360"/>
      </w:pPr>
      <w:rPr>
        <w:rFonts w:hint="default" w:ascii="Symbol" w:hAnsi="Symbol" w:eastAsia="Symbol"/>
        <w:w w:val="100"/>
      </w:rPr>
    </w:lvl>
    <w:lvl w:ilvl="1" w:tentative="0">
      <w:start w:val="1"/>
      <w:numFmt w:val="bullet"/>
      <w:lvlText w:val="•"/>
      <w:lvlJc w:val="left"/>
      <w:pPr>
        <w:ind w:left="1414" w:hanging="360"/>
      </w:pPr>
      <w:rPr>
        <w:rFonts w:hint="default"/>
      </w:rPr>
    </w:lvl>
    <w:lvl w:ilvl="2" w:tentative="0">
      <w:start w:val="1"/>
      <w:numFmt w:val="bullet"/>
      <w:lvlText w:val="•"/>
      <w:lvlJc w:val="left"/>
      <w:pPr>
        <w:ind w:left="2328" w:hanging="360"/>
      </w:pPr>
      <w:rPr>
        <w:rFonts w:hint="default"/>
      </w:rPr>
    </w:lvl>
    <w:lvl w:ilvl="3" w:tentative="0">
      <w:start w:val="1"/>
      <w:numFmt w:val="bullet"/>
      <w:lvlText w:val="•"/>
      <w:lvlJc w:val="left"/>
      <w:pPr>
        <w:ind w:left="3242" w:hanging="360"/>
      </w:pPr>
      <w:rPr>
        <w:rFonts w:hint="default"/>
      </w:rPr>
    </w:lvl>
    <w:lvl w:ilvl="4" w:tentative="0">
      <w:start w:val="1"/>
      <w:numFmt w:val="bullet"/>
      <w:lvlText w:val="•"/>
      <w:lvlJc w:val="left"/>
      <w:pPr>
        <w:ind w:left="4156" w:hanging="360"/>
      </w:pPr>
      <w:rPr>
        <w:rFonts w:hint="default"/>
      </w:rPr>
    </w:lvl>
    <w:lvl w:ilvl="5" w:tentative="0">
      <w:start w:val="1"/>
      <w:numFmt w:val="bullet"/>
      <w:lvlText w:val="•"/>
      <w:lvlJc w:val="left"/>
      <w:pPr>
        <w:ind w:left="5070" w:hanging="360"/>
      </w:pPr>
      <w:rPr>
        <w:rFonts w:hint="default"/>
      </w:rPr>
    </w:lvl>
    <w:lvl w:ilvl="6" w:tentative="0">
      <w:start w:val="1"/>
      <w:numFmt w:val="bullet"/>
      <w:lvlText w:val="•"/>
      <w:lvlJc w:val="left"/>
      <w:pPr>
        <w:ind w:left="5984" w:hanging="360"/>
      </w:pPr>
      <w:rPr>
        <w:rFonts w:hint="default"/>
      </w:rPr>
    </w:lvl>
    <w:lvl w:ilvl="7" w:tentative="0">
      <w:start w:val="1"/>
      <w:numFmt w:val="bullet"/>
      <w:lvlText w:val="•"/>
      <w:lvlJc w:val="left"/>
      <w:pPr>
        <w:ind w:left="6898" w:hanging="360"/>
      </w:pPr>
      <w:rPr>
        <w:rFonts w:hint="default"/>
      </w:rPr>
    </w:lvl>
    <w:lvl w:ilvl="8" w:tentative="0">
      <w:start w:val="1"/>
      <w:numFmt w:val="bullet"/>
      <w:lvlText w:val="•"/>
      <w:lvlJc w:val="left"/>
      <w:pPr>
        <w:ind w:left="78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57"/>
    <w:rsid w:val="000C5805"/>
    <w:rsid w:val="00193C6B"/>
    <w:rsid w:val="001A6C34"/>
    <w:rsid w:val="001F1FC6"/>
    <w:rsid w:val="00242A0B"/>
    <w:rsid w:val="002E10FA"/>
    <w:rsid w:val="002E40B1"/>
    <w:rsid w:val="004E409A"/>
    <w:rsid w:val="005441C7"/>
    <w:rsid w:val="00595D85"/>
    <w:rsid w:val="005B75F9"/>
    <w:rsid w:val="005D1E65"/>
    <w:rsid w:val="006637D2"/>
    <w:rsid w:val="00697003"/>
    <w:rsid w:val="006E385E"/>
    <w:rsid w:val="007A686A"/>
    <w:rsid w:val="00814434"/>
    <w:rsid w:val="008E36EE"/>
    <w:rsid w:val="009307E1"/>
    <w:rsid w:val="00955BE9"/>
    <w:rsid w:val="00967D2A"/>
    <w:rsid w:val="00B301EE"/>
    <w:rsid w:val="00B455AA"/>
    <w:rsid w:val="00B56628"/>
    <w:rsid w:val="00B65CE5"/>
    <w:rsid w:val="00BA7B92"/>
    <w:rsid w:val="00C37E78"/>
    <w:rsid w:val="00C5148F"/>
    <w:rsid w:val="00CA2743"/>
    <w:rsid w:val="00CF045C"/>
    <w:rsid w:val="00D354B9"/>
    <w:rsid w:val="00F52B93"/>
    <w:rsid w:val="00F92D96"/>
    <w:rsid w:val="00F93357"/>
    <w:rsid w:val="00FE1D64"/>
    <w:rsid w:val="00FF4640"/>
    <w:rsid w:val="00FF6730"/>
    <w:rsid w:val="0DBC6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100"/>
      <w:outlineLvl w:val="0"/>
    </w:pPr>
    <w:rPr>
      <w:rFonts w:ascii="Times New Roman" w:hAnsi="Times New Roman" w:eastAsia="Times New Roman"/>
      <w:b/>
      <w:bCs/>
      <w:sz w:val="36"/>
      <w:szCs w:val="36"/>
    </w:rPr>
  </w:style>
  <w:style w:type="paragraph" w:styleId="3">
    <w:name w:val="heading 2"/>
    <w:basedOn w:val="1"/>
    <w:qFormat/>
    <w:uiPriority w:val="1"/>
    <w:pPr>
      <w:ind w:left="140"/>
      <w:outlineLvl w:val="1"/>
    </w:pPr>
    <w:rPr>
      <w:rFonts w:ascii="Times New Roman" w:hAnsi="Times New Roman" w:eastAsia="Times New Roman"/>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500"/>
    </w:pPr>
    <w:rPr>
      <w:rFonts w:ascii="Times New Roman" w:hAnsi="Times New Roman" w:eastAsia="Times New Roman"/>
      <w:sz w:val="24"/>
      <w:szCs w:val="24"/>
    </w:rPr>
  </w:style>
  <w:style w:type="paragraph" w:styleId="5">
    <w:name w:val="Balloon Text"/>
    <w:basedOn w:val="1"/>
    <w:link w:val="16"/>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7"/>
    <w:qFormat/>
    <w:uiPriority w:val="99"/>
    <w:rPr>
      <w:sz w:val="18"/>
      <w:szCs w:val="18"/>
    </w:rPr>
  </w:style>
  <w:style w:type="character" w:customStyle="1" w:styleId="15">
    <w:name w:val="页脚 Char"/>
    <w:basedOn w:val="9"/>
    <w:link w:val="6"/>
    <w:uiPriority w:val="99"/>
    <w:rPr>
      <w:sz w:val="18"/>
      <w:szCs w:val="18"/>
    </w:rPr>
  </w:style>
  <w:style w:type="character" w:customStyle="1" w:styleId="16">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67FE79-548E-49A0-A498-4AA95B7CD81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1141</Words>
  <Characters>1373</Characters>
  <Lines>10</Lines>
  <Paragraphs>2</Paragraphs>
  <TotalTime>0</TotalTime>
  <ScaleCrop>false</ScaleCrop>
  <LinksUpToDate>false</LinksUpToDate>
  <CharactersWithSpaces>1393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2017-05-12T07:42:00Z</dcterms:created>
  <dc:creator>Theresa Mcdonald</dc:creator>
  <cp:lastModifiedBy>太极箫客</cp:lastModifiedBy>
  <dcterms:modified xsi:type="dcterms:W3CDTF">2025-08-14T06:14:03Z</dcterms:modified>
  <dc:title>DGRD.PDF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2017-03-18T00:00:00Z</vt:filetime>
  </property>
  <property fmtid="{D5CDD505-2E9C-101B-9397-08002B2CF9AE}" pid="3" name="Creator">
    <vt:lpwstr>Microsoft Word </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B3DDB85F9F034F31A5C7C3D6C7ADF96B_12</vt:lpwstr>
  </property>
</Properties>
</file>