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4E32313">
      <w:pPr>
        <w:widowControl/>
        <w:spacing w:line="520" w:lineRule="exact"/>
        <w:rPr>
          <w:rFonts w:eastAsia="黑体"/>
          <w:bCs/>
          <w:sz w:val="32"/>
          <w:szCs w:val="32"/>
        </w:rPr>
      </w:pPr>
      <w:bookmarkStart w:id="8" w:name="_GoBack"/>
      <w:bookmarkEnd w:id="8"/>
      <w:r>
        <w:rPr>
          <w:rFonts w:eastAsia="黑体"/>
          <w:bCs/>
          <w:sz w:val="32"/>
          <w:szCs w:val="32"/>
        </w:rPr>
        <w:t>附件19</w:t>
      </w:r>
    </w:p>
    <w:p w14:paraId="6A3B5597">
      <w:pPr>
        <w:widowControl/>
        <w:spacing w:line="520" w:lineRule="exact"/>
        <w:rPr>
          <w:rFonts w:eastAsia="黑体"/>
          <w:bCs/>
          <w:sz w:val="32"/>
          <w:szCs w:val="32"/>
        </w:rPr>
      </w:pPr>
    </w:p>
    <w:p w14:paraId="0DA35882">
      <w:pPr>
        <w:widowControl/>
        <w:spacing w:line="520" w:lineRule="exact"/>
        <w:jc w:val="center"/>
        <w:rPr>
          <w:rFonts w:eastAsia="方正小标宋简体"/>
          <w:bCs/>
          <w:sz w:val="44"/>
          <w:szCs w:val="32"/>
        </w:rPr>
      </w:pPr>
      <w:r>
        <w:rPr>
          <w:rFonts w:eastAsia="方正小标宋简体"/>
          <w:bCs/>
          <w:sz w:val="44"/>
          <w:szCs w:val="32"/>
        </w:rPr>
        <w:t>医用红外额温计注册审查指导原则</w:t>
      </w:r>
    </w:p>
    <w:p w14:paraId="6CECB03A">
      <w:pPr>
        <w:spacing w:line="520" w:lineRule="exact"/>
        <w:ind w:firstLine="640" w:firstLineChars="200"/>
        <w:jc w:val="center"/>
        <w:rPr>
          <w:rFonts w:eastAsia="仿宋_GB2312"/>
          <w:sz w:val="32"/>
          <w:szCs w:val="32"/>
        </w:rPr>
      </w:pPr>
    </w:p>
    <w:p w14:paraId="0B885876">
      <w:pPr>
        <w:spacing w:line="520" w:lineRule="exact"/>
        <w:ind w:firstLine="640" w:firstLineChars="200"/>
        <w:rPr>
          <w:rFonts w:eastAsia="仿宋_GB2312"/>
          <w:color w:val="000000"/>
          <w:sz w:val="32"/>
          <w:szCs w:val="32"/>
        </w:rPr>
      </w:pPr>
      <w:r>
        <w:rPr>
          <w:rFonts w:eastAsia="仿宋_GB2312"/>
          <w:color w:val="000000"/>
          <w:sz w:val="32"/>
          <w:szCs w:val="32"/>
        </w:rPr>
        <w:t>本指导原则旨在指导和规范注册申请人对医用红外额温计产品的注册申报资料的准备及撰写，同时有助于审评机构对该类产品科学规范的审评，提高审评工作的质量和效率。</w:t>
      </w:r>
    </w:p>
    <w:p w14:paraId="13B907BB">
      <w:pPr>
        <w:spacing w:line="520" w:lineRule="exact"/>
        <w:ind w:firstLine="640" w:firstLineChars="200"/>
        <w:rPr>
          <w:rFonts w:eastAsia="仿宋_GB2312"/>
          <w:color w:val="000000"/>
          <w:sz w:val="32"/>
          <w:szCs w:val="32"/>
        </w:rPr>
      </w:pPr>
      <w:r>
        <w:rPr>
          <w:rFonts w:eastAsia="仿宋_GB2312"/>
          <w:color w:val="000000"/>
          <w:sz w:val="32"/>
          <w:szCs w:val="32"/>
        </w:rPr>
        <w:t>本指导原则是对医用红外额温计产品的一般要求，注册申请人应依据产品的具体特性确定相关内容是否适用，若不适用，需具体阐述理由及相应的科学依据，并依据产品的具体特性对注册申报资料的内容进行充实和细化。</w:t>
      </w:r>
    </w:p>
    <w:p w14:paraId="4154B6BE">
      <w:pPr>
        <w:spacing w:line="520" w:lineRule="exact"/>
        <w:ind w:firstLine="640" w:firstLineChars="200"/>
        <w:rPr>
          <w:rFonts w:eastAsia="仿宋_GB2312"/>
          <w:color w:val="000000"/>
          <w:sz w:val="32"/>
          <w:szCs w:val="32"/>
        </w:rPr>
      </w:pPr>
      <w:r>
        <w:rPr>
          <w:rFonts w:eastAsia="仿宋_GB2312"/>
          <w:color w:val="000000"/>
          <w:sz w:val="32"/>
          <w:szCs w:val="32"/>
        </w:rPr>
        <w:t>本指导原则是对注册申请人和</w:t>
      </w:r>
      <w:r>
        <w:rPr>
          <w:rFonts w:hint="eastAsia" w:eastAsia="仿宋_GB2312"/>
          <w:color w:val="000000"/>
          <w:sz w:val="32"/>
          <w:szCs w:val="32"/>
        </w:rPr>
        <w:t>技术审评</w:t>
      </w:r>
      <w:r>
        <w:rPr>
          <w:rFonts w:eastAsia="仿宋_GB2312"/>
          <w:color w:val="000000"/>
          <w:sz w:val="32"/>
          <w:szCs w:val="32"/>
        </w:rPr>
        <w:t>人员的指导性文件，但不包括注册审批等行政事项，亦不作为法规强制执行，应在遵循相关法规的前提下使用本指导原则。如果有能够满足相关法规要求的其它方法也可以采用，但是需要提供详细的研究资料和验证资料。</w:t>
      </w:r>
    </w:p>
    <w:p w14:paraId="072B4370">
      <w:pPr>
        <w:spacing w:line="520" w:lineRule="exact"/>
        <w:ind w:firstLine="640" w:firstLineChars="200"/>
        <w:rPr>
          <w:rFonts w:eastAsia="仿宋_GB2312"/>
          <w:color w:val="000000"/>
          <w:sz w:val="32"/>
          <w:szCs w:val="32"/>
        </w:rPr>
      </w:pPr>
      <w:r>
        <w:rPr>
          <w:rFonts w:eastAsia="仿宋_GB2312"/>
          <w:color w:val="000000"/>
          <w:sz w:val="32"/>
          <w:szCs w:val="32"/>
        </w:rPr>
        <w:t>本指导原则是在现行法规和标准体系以及当前认知水平下制定的，随着法规和标准体系的不断完善，以及科学技术的不断发展，本指导原则相关内容也将适时进行调整。</w:t>
      </w:r>
    </w:p>
    <w:p w14:paraId="5C6A974D">
      <w:pPr>
        <w:spacing w:line="520" w:lineRule="exact"/>
        <w:ind w:firstLine="640" w:firstLineChars="200"/>
        <w:rPr>
          <w:rFonts w:eastAsia="黑体"/>
          <w:color w:val="000000"/>
          <w:sz w:val="32"/>
          <w:szCs w:val="32"/>
        </w:rPr>
      </w:pPr>
      <w:r>
        <w:rPr>
          <w:rFonts w:eastAsia="黑体"/>
          <w:color w:val="000000"/>
          <w:sz w:val="32"/>
          <w:szCs w:val="32"/>
        </w:rPr>
        <w:t>一、适用范围</w:t>
      </w:r>
    </w:p>
    <w:p w14:paraId="6D0EA7CE">
      <w:pPr>
        <w:spacing w:line="520" w:lineRule="exact"/>
        <w:ind w:firstLine="640" w:firstLineChars="200"/>
        <w:rPr>
          <w:rFonts w:eastAsia="仿宋_GB2312"/>
          <w:color w:val="000000"/>
          <w:sz w:val="32"/>
          <w:szCs w:val="32"/>
        </w:rPr>
      </w:pPr>
      <w:r>
        <w:rPr>
          <w:rFonts w:eastAsia="仿宋_GB2312"/>
          <w:color w:val="000000"/>
          <w:sz w:val="32"/>
          <w:szCs w:val="32"/>
        </w:rPr>
        <w:t>本指导原则的适用范围为通过红外温度传感器接收被测人体额头的红外辐射，配合适当的算法修正额头与参考身体部位温度的温差，输出显示参考身体部位温度的体外医用红外体温计。</w:t>
      </w:r>
    </w:p>
    <w:p w14:paraId="6F0ED5C5">
      <w:pPr>
        <w:widowControl/>
        <w:spacing w:line="520" w:lineRule="exact"/>
        <w:ind w:firstLine="640" w:firstLineChars="200"/>
        <w:outlineLvl w:val="0"/>
        <w:rPr>
          <w:rFonts w:eastAsia="黑体"/>
          <w:kern w:val="0"/>
          <w:sz w:val="32"/>
          <w:szCs w:val="32"/>
        </w:rPr>
      </w:pPr>
      <w:r>
        <w:rPr>
          <w:rFonts w:eastAsia="黑体"/>
          <w:kern w:val="0"/>
          <w:sz w:val="32"/>
          <w:szCs w:val="32"/>
        </w:rPr>
        <w:t>二、注册审查要点</w:t>
      </w:r>
    </w:p>
    <w:p w14:paraId="79D3E3F0">
      <w:pPr>
        <w:widowControl/>
        <w:spacing w:line="520" w:lineRule="exact"/>
        <w:ind w:firstLine="640" w:firstLineChars="200"/>
        <w:outlineLvl w:val="0"/>
        <w:rPr>
          <w:rFonts w:eastAsia="楷体_GB2312"/>
          <w:color w:val="000000"/>
          <w:sz w:val="32"/>
          <w:szCs w:val="32"/>
        </w:rPr>
      </w:pPr>
      <w:r>
        <w:rPr>
          <w:rFonts w:eastAsia="楷体_GB2312"/>
          <w:color w:val="000000"/>
          <w:sz w:val="32"/>
          <w:szCs w:val="32"/>
        </w:rPr>
        <w:t>（一）监管信息</w:t>
      </w:r>
    </w:p>
    <w:p w14:paraId="66CF2439">
      <w:pPr>
        <w:spacing w:line="520" w:lineRule="exact"/>
        <w:ind w:firstLine="640" w:firstLineChars="200"/>
        <w:rPr>
          <w:rFonts w:eastAsia="仿宋_GB2312"/>
          <w:color w:val="000000"/>
          <w:sz w:val="32"/>
          <w:szCs w:val="32"/>
        </w:rPr>
      </w:pPr>
      <w:r>
        <w:rPr>
          <w:rFonts w:eastAsia="仿宋_GB2312"/>
          <w:color w:val="000000"/>
          <w:sz w:val="32"/>
          <w:szCs w:val="32"/>
        </w:rPr>
        <w:t>1.产品名称</w:t>
      </w:r>
    </w:p>
    <w:p w14:paraId="3DF70558">
      <w:pPr>
        <w:spacing w:line="520" w:lineRule="exact"/>
        <w:ind w:firstLine="640" w:firstLineChars="200"/>
        <w:rPr>
          <w:rFonts w:eastAsia="仿宋_GB2312"/>
          <w:color w:val="000000"/>
          <w:sz w:val="32"/>
          <w:szCs w:val="32"/>
        </w:rPr>
      </w:pPr>
      <w:r>
        <w:rPr>
          <w:rFonts w:eastAsia="仿宋_GB2312"/>
          <w:color w:val="000000"/>
          <w:sz w:val="32"/>
          <w:szCs w:val="32"/>
        </w:rPr>
        <w:t>产品命名应符合</w:t>
      </w:r>
      <w:bookmarkStart w:id="0" w:name="_Hlk83937860"/>
      <w:r>
        <w:rPr>
          <w:rFonts w:eastAsia="仿宋_GB2312"/>
          <w:color w:val="000000"/>
          <w:sz w:val="32"/>
          <w:szCs w:val="32"/>
        </w:rPr>
        <w:t>《医疗器械通用名称命名规则》</w:t>
      </w:r>
      <w:bookmarkEnd w:id="0"/>
      <w:r>
        <w:rPr>
          <w:rFonts w:eastAsia="仿宋_GB2312"/>
          <w:color w:val="000000"/>
          <w:sz w:val="32"/>
          <w:szCs w:val="32"/>
        </w:rPr>
        <w:t>、《医用诊察和监护器械通用名称命名指导原则》和国家标准、行业标准中的通用名称要求，如：医用红外额温仪、医用红外额温计。</w:t>
      </w:r>
    </w:p>
    <w:p w14:paraId="2D78F905">
      <w:pPr>
        <w:spacing w:line="520" w:lineRule="exact"/>
        <w:ind w:firstLine="640" w:firstLineChars="200"/>
        <w:rPr>
          <w:rFonts w:eastAsia="仿宋_GB2312"/>
          <w:color w:val="000000"/>
          <w:sz w:val="32"/>
          <w:szCs w:val="32"/>
        </w:rPr>
      </w:pPr>
      <w:r>
        <w:rPr>
          <w:rFonts w:eastAsia="仿宋_GB2312"/>
          <w:color w:val="000000"/>
          <w:sz w:val="32"/>
          <w:szCs w:val="32"/>
        </w:rPr>
        <w:t>产品名称应为通用名，不应包括产品型号、系列。</w:t>
      </w:r>
    </w:p>
    <w:p w14:paraId="5E98BC0A">
      <w:pPr>
        <w:spacing w:line="52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w:t>
      </w:r>
      <w:r>
        <w:rPr>
          <w:rFonts w:eastAsia="仿宋_GB2312"/>
          <w:color w:val="000000"/>
          <w:sz w:val="32"/>
          <w:szCs w:val="32"/>
        </w:rPr>
        <w:t>分类编码</w:t>
      </w:r>
    </w:p>
    <w:p w14:paraId="64B7F267">
      <w:pPr>
        <w:spacing w:line="520" w:lineRule="exact"/>
        <w:ind w:firstLine="640" w:firstLineChars="200"/>
        <w:rPr>
          <w:rFonts w:eastAsia="仿宋_GB2312"/>
          <w:color w:val="000000"/>
          <w:sz w:val="32"/>
          <w:szCs w:val="32"/>
        </w:rPr>
      </w:pPr>
      <w:r>
        <w:rPr>
          <w:rFonts w:eastAsia="仿宋_GB2312"/>
          <w:color w:val="000000"/>
          <w:sz w:val="32"/>
          <w:szCs w:val="32"/>
        </w:rPr>
        <w:t>医用红外额温计在</w:t>
      </w:r>
      <w:bookmarkStart w:id="1" w:name="_Hlk83937842"/>
      <w:r>
        <w:rPr>
          <w:rFonts w:eastAsia="仿宋_GB2312"/>
          <w:color w:val="000000"/>
          <w:sz w:val="32"/>
          <w:szCs w:val="32"/>
        </w:rPr>
        <w:t>《医疗器械分类目录》</w:t>
      </w:r>
      <w:bookmarkEnd w:id="1"/>
      <w:r>
        <w:rPr>
          <w:rFonts w:eastAsia="仿宋_GB2312"/>
          <w:color w:val="000000"/>
          <w:sz w:val="32"/>
          <w:szCs w:val="32"/>
        </w:rPr>
        <w:t>中，管理类别为第</w:t>
      </w:r>
      <w:r>
        <w:rPr>
          <w:rFonts w:eastAsia="仿宋_GB2312"/>
          <w:sz w:val="32"/>
          <w:szCs w:val="32"/>
        </w:rPr>
        <w:t>II</w:t>
      </w:r>
      <w:r>
        <w:rPr>
          <w:rFonts w:eastAsia="仿宋_GB2312"/>
          <w:color w:val="000000"/>
          <w:sz w:val="32"/>
          <w:szCs w:val="32"/>
        </w:rPr>
        <w:t>类，产品分类编码为07-03-04。</w:t>
      </w:r>
    </w:p>
    <w:p w14:paraId="5061476A">
      <w:pPr>
        <w:spacing w:line="52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w:t>
      </w:r>
      <w:r>
        <w:rPr>
          <w:rFonts w:eastAsia="仿宋_GB2312"/>
          <w:color w:val="000000"/>
          <w:sz w:val="32"/>
          <w:szCs w:val="32"/>
        </w:rPr>
        <w:t>注册单元划分的原则</w:t>
      </w:r>
    </w:p>
    <w:p w14:paraId="4C89DA5D">
      <w:pPr>
        <w:spacing w:line="520" w:lineRule="exact"/>
        <w:ind w:firstLine="640" w:firstLineChars="200"/>
        <w:rPr>
          <w:rFonts w:eastAsia="仿宋_GB2312"/>
          <w:color w:val="000000"/>
          <w:sz w:val="32"/>
          <w:szCs w:val="32"/>
        </w:rPr>
      </w:pPr>
      <w:r>
        <w:rPr>
          <w:rFonts w:eastAsia="仿宋_GB2312"/>
          <w:color w:val="000000"/>
          <w:sz w:val="32"/>
          <w:szCs w:val="32"/>
        </w:rPr>
        <w:t>申报产品注册单元的划分应符合《医疗器械注册单元划分指导原则》的要求实施。</w:t>
      </w:r>
    </w:p>
    <w:p w14:paraId="06BF66F3">
      <w:pPr>
        <w:spacing w:line="520" w:lineRule="exact"/>
        <w:ind w:firstLine="640" w:firstLineChars="200"/>
        <w:rPr>
          <w:rFonts w:eastAsia="仿宋_GB2312"/>
          <w:color w:val="000000"/>
          <w:sz w:val="32"/>
          <w:szCs w:val="32"/>
        </w:rPr>
      </w:pPr>
      <w:r>
        <w:rPr>
          <w:rFonts w:eastAsia="仿宋_GB2312"/>
          <w:color w:val="000000"/>
          <w:sz w:val="32"/>
          <w:szCs w:val="32"/>
        </w:rPr>
        <w:t>4.产品列表、既往沟通记录、主文档授权信以及其它管理信息</w:t>
      </w:r>
    </w:p>
    <w:p w14:paraId="4DC8DF60">
      <w:pPr>
        <w:spacing w:line="520" w:lineRule="exact"/>
        <w:ind w:firstLine="640" w:firstLineChars="200"/>
        <w:jc w:val="left"/>
        <w:rPr>
          <w:rFonts w:eastAsia="仿宋_GB2312"/>
          <w:color w:val="000000"/>
          <w:sz w:val="32"/>
          <w:szCs w:val="32"/>
        </w:rPr>
      </w:pPr>
      <w:r>
        <w:rPr>
          <w:rFonts w:eastAsia="仿宋_GB2312"/>
          <w:color w:val="000000"/>
          <w:sz w:val="32"/>
          <w:szCs w:val="32"/>
        </w:rPr>
        <w:t>应有所提交申报资料的目录，包括监管信息所涉及的所有标题和小标题，写明目录序号、目录标题、适用情况、上传文件名称、上传文件页码，注明目录中各内容的页码。适用情况应列明CR（适用性提交）目录是否适用。</w:t>
      </w:r>
    </w:p>
    <w:p w14:paraId="54D11B43">
      <w:pPr>
        <w:spacing w:line="520" w:lineRule="exact"/>
        <w:ind w:firstLine="640" w:firstLineChars="200"/>
        <w:jc w:val="left"/>
        <w:rPr>
          <w:rFonts w:eastAsia="仿宋_GB2312"/>
          <w:color w:val="000000"/>
          <w:sz w:val="32"/>
          <w:szCs w:val="32"/>
        </w:rPr>
      </w:pPr>
      <w:r>
        <w:rPr>
          <w:rFonts w:eastAsia="仿宋_GB2312"/>
          <w:color w:val="000000"/>
          <w:sz w:val="32"/>
          <w:szCs w:val="32"/>
        </w:rPr>
        <w:t>4.1申请表</w:t>
      </w:r>
    </w:p>
    <w:p w14:paraId="4E9D51BD">
      <w:pPr>
        <w:spacing w:line="520" w:lineRule="exact"/>
        <w:ind w:firstLine="640" w:firstLineChars="200"/>
        <w:jc w:val="left"/>
        <w:rPr>
          <w:rFonts w:eastAsia="仿宋_GB2312"/>
          <w:color w:val="000000"/>
          <w:sz w:val="32"/>
          <w:szCs w:val="32"/>
        </w:rPr>
      </w:pPr>
      <w:r>
        <w:rPr>
          <w:rFonts w:eastAsia="仿宋_GB2312"/>
          <w:color w:val="000000"/>
          <w:sz w:val="32"/>
          <w:szCs w:val="32"/>
        </w:rPr>
        <w:t>按照填表要求填写，上传带有数据校验码的申请表文件。</w:t>
      </w:r>
    </w:p>
    <w:p w14:paraId="00525A7B">
      <w:pPr>
        <w:spacing w:line="520" w:lineRule="exact"/>
        <w:ind w:firstLine="640" w:firstLineChars="200"/>
        <w:jc w:val="left"/>
        <w:rPr>
          <w:rFonts w:eastAsia="仿宋_GB2312"/>
          <w:color w:val="000000"/>
          <w:sz w:val="32"/>
          <w:szCs w:val="32"/>
        </w:rPr>
      </w:pPr>
      <w:r>
        <w:rPr>
          <w:rFonts w:eastAsia="仿宋_GB2312"/>
          <w:color w:val="000000"/>
          <w:sz w:val="32"/>
          <w:szCs w:val="32"/>
        </w:rPr>
        <w:t>4.2产品列表</w:t>
      </w:r>
    </w:p>
    <w:p w14:paraId="05608BC5">
      <w:pPr>
        <w:spacing w:line="520" w:lineRule="exact"/>
        <w:ind w:firstLine="640" w:firstLineChars="200"/>
        <w:jc w:val="left"/>
        <w:rPr>
          <w:rFonts w:eastAsia="仿宋_GB2312"/>
          <w:color w:val="000000"/>
          <w:sz w:val="32"/>
          <w:szCs w:val="32"/>
        </w:rPr>
      </w:pPr>
      <w:r>
        <w:rPr>
          <w:rFonts w:eastAsia="仿宋_GB2312"/>
          <w:color w:val="000000"/>
          <w:sz w:val="32"/>
          <w:szCs w:val="32"/>
        </w:rPr>
        <w:t>以表格形式列出拟申报产品的型号、规格、结构及组成、附件，以及每个型号规格的标识（如型号或部件的编号，器械唯一标识等）和描述说明（如尺寸、材质等）。</w:t>
      </w:r>
    </w:p>
    <w:p w14:paraId="5F10540E">
      <w:pPr>
        <w:spacing w:line="520" w:lineRule="exact"/>
        <w:ind w:firstLine="640" w:firstLineChars="200"/>
        <w:jc w:val="left"/>
        <w:rPr>
          <w:rFonts w:eastAsia="仿宋_GB2312"/>
          <w:color w:val="000000"/>
          <w:sz w:val="32"/>
          <w:szCs w:val="32"/>
        </w:rPr>
      </w:pPr>
      <w:r>
        <w:rPr>
          <w:rFonts w:eastAsia="仿宋_GB2312"/>
          <w:color w:val="000000"/>
          <w:sz w:val="32"/>
          <w:szCs w:val="32"/>
        </w:rPr>
        <w:t>4.3既往沟通记录（CR）</w:t>
      </w:r>
    </w:p>
    <w:p w14:paraId="5C7E38A3">
      <w:pPr>
        <w:spacing w:line="520" w:lineRule="exact"/>
        <w:ind w:firstLine="640" w:firstLineChars="200"/>
        <w:rPr>
          <w:rFonts w:eastAsia="仿宋_GB2312"/>
          <w:color w:val="000000"/>
          <w:sz w:val="32"/>
          <w:szCs w:val="32"/>
        </w:rPr>
      </w:pPr>
      <w:r>
        <w:rPr>
          <w:rFonts w:eastAsia="仿宋_GB2312"/>
          <w:color w:val="000000"/>
          <w:sz w:val="32"/>
          <w:szCs w:val="32"/>
        </w:rPr>
        <w:t>4.3.1在产品申报前，如果申请人与监管机构针对申报产品以会议形式进行了沟通，或者申报产品与既往注册申报相关。应当提供下列内容（CR）：</w:t>
      </w:r>
    </w:p>
    <w:p w14:paraId="2DD5F83D">
      <w:pPr>
        <w:spacing w:line="520" w:lineRule="exact"/>
        <w:ind w:firstLine="640" w:firstLineChars="200"/>
        <w:rPr>
          <w:rFonts w:eastAsia="仿宋_GB2312"/>
          <w:color w:val="000000"/>
          <w:sz w:val="32"/>
          <w:szCs w:val="32"/>
        </w:rPr>
      </w:pPr>
      <w:r>
        <w:rPr>
          <w:rFonts w:eastAsia="仿宋_GB2312"/>
          <w:color w:val="000000"/>
          <w:sz w:val="32"/>
          <w:szCs w:val="32"/>
        </w:rPr>
        <w:t>（1）列出监管机构回复的申报前沟通。</w:t>
      </w:r>
    </w:p>
    <w:p w14:paraId="6E03BDBB">
      <w:pPr>
        <w:spacing w:line="520" w:lineRule="exact"/>
        <w:ind w:firstLine="640" w:firstLineChars="200"/>
        <w:rPr>
          <w:rFonts w:eastAsia="仿宋_GB2312"/>
          <w:color w:val="000000"/>
          <w:sz w:val="32"/>
          <w:szCs w:val="32"/>
        </w:rPr>
      </w:pPr>
      <w:r>
        <w:rPr>
          <w:rFonts w:eastAsia="仿宋_GB2312"/>
          <w:color w:val="000000"/>
          <w:sz w:val="32"/>
          <w:szCs w:val="32"/>
        </w:rPr>
        <w:t>（2）既往注册申报产品的受理号。</w:t>
      </w:r>
    </w:p>
    <w:p w14:paraId="7687B593">
      <w:pPr>
        <w:spacing w:line="520" w:lineRule="exact"/>
        <w:ind w:firstLine="640" w:firstLineChars="200"/>
        <w:rPr>
          <w:rFonts w:eastAsia="仿宋_GB2312"/>
          <w:color w:val="000000"/>
          <w:sz w:val="32"/>
          <w:szCs w:val="32"/>
        </w:rPr>
      </w:pPr>
      <w:r>
        <w:rPr>
          <w:rFonts w:eastAsia="仿宋_GB2312"/>
          <w:color w:val="000000"/>
          <w:sz w:val="32"/>
          <w:szCs w:val="32"/>
        </w:rPr>
        <w:t>（3）既往申报前沟通的相关资料如既往申报会议前提交的信息、会议议程、演示幻灯片、最终的会议纪要、会议中待办事项的回复，以及所有与申请相关的电子邮件。</w:t>
      </w:r>
    </w:p>
    <w:p w14:paraId="778D1497">
      <w:pPr>
        <w:spacing w:line="520" w:lineRule="exact"/>
        <w:ind w:firstLine="640" w:firstLineChars="200"/>
        <w:rPr>
          <w:rFonts w:eastAsia="仿宋_GB2312"/>
          <w:color w:val="000000"/>
          <w:sz w:val="32"/>
          <w:szCs w:val="32"/>
        </w:rPr>
      </w:pPr>
      <w:r>
        <w:rPr>
          <w:rFonts w:eastAsia="仿宋_GB2312"/>
          <w:color w:val="000000"/>
          <w:sz w:val="32"/>
          <w:szCs w:val="32"/>
        </w:rPr>
        <w:t>（4）既往申报（如自行撤销/不予注册上市申请、临床试验审批申请等）中监管机构已明确的相关问题。</w:t>
      </w:r>
    </w:p>
    <w:p w14:paraId="099CD47A">
      <w:pPr>
        <w:spacing w:line="520" w:lineRule="exact"/>
        <w:ind w:firstLine="640" w:firstLineChars="200"/>
        <w:rPr>
          <w:rFonts w:eastAsia="仿宋_GB2312"/>
          <w:color w:val="000000"/>
          <w:sz w:val="32"/>
          <w:szCs w:val="32"/>
        </w:rPr>
      </w:pPr>
      <w:r>
        <w:rPr>
          <w:rFonts w:eastAsia="仿宋_GB2312"/>
          <w:color w:val="000000"/>
          <w:sz w:val="32"/>
          <w:szCs w:val="32"/>
        </w:rPr>
        <w:t>（5）在申报前沟通中，申请人明确提出的问题，以及监管机构提供的建议。</w:t>
      </w:r>
    </w:p>
    <w:p w14:paraId="3CA07423">
      <w:pPr>
        <w:spacing w:line="520" w:lineRule="exact"/>
        <w:ind w:firstLine="640" w:firstLineChars="200"/>
        <w:rPr>
          <w:rFonts w:eastAsia="仿宋_GB2312"/>
          <w:color w:val="000000"/>
          <w:sz w:val="32"/>
          <w:szCs w:val="32"/>
        </w:rPr>
      </w:pPr>
      <w:r>
        <w:rPr>
          <w:rFonts w:eastAsia="仿宋_GB2312"/>
          <w:color w:val="000000"/>
          <w:sz w:val="32"/>
          <w:szCs w:val="32"/>
        </w:rPr>
        <w:t>（6）说明在本次申报中如何解决上述问题。</w:t>
      </w:r>
    </w:p>
    <w:p w14:paraId="726B94E7">
      <w:pPr>
        <w:spacing w:line="520" w:lineRule="exact"/>
        <w:ind w:firstLine="640" w:firstLineChars="200"/>
        <w:rPr>
          <w:rFonts w:eastAsia="仿宋_GB2312"/>
          <w:color w:val="000000"/>
          <w:sz w:val="32"/>
          <w:szCs w:val="32"/>
        </w:rPr>
      </w:pPr>
      <w:r>
        <w:rPr>
          <w:rFonts w:eastAsia="仿宋_GB2312"/>
          <w:color w:val="000000"/>
          <w:sz w:val="32"/>
          <w:szCs w:val="32"/>
        </w:rPr>
        <w:t>如不适用，应当明确声明申报产品没有既往申报和/或申报前沟通。</w:t>
      </w:r>
    </w:p>
    <w:p w14:paraId="3D8FBBF3">
      <w:pPr>
        <w:spacing w:line="520" w:lineRule="exact"/>
        <w:ind w:firstLine="640" w:firstLineChars="200"/>
        <w:rPr>
          <w:rFonts w:eastAsia="仿宋_GB2312"/>
          <w:color w:val="000000"/>
          <w:sz w:val="32"/>
          <w:szCs w:val="32"/>
        </w:rPr>
      </w:pPr>
      <w:r>
        <w:rPr>
          <w:rFonts w:eastAsia="仿宋_GB2312"/>
          <w:color w:val="000000"/>
          <w:sz w:val="32"/>
          <w:szCs w:val="32"/>
        </w:rPr>
        <w:t>4.4主文档授权信（CR）</w:t>
      </w:r>
    </w:p>
    <w:p w14:paraId="656FA91F">
      <w:pPr>
        <w:spacing w:line="520" w:lineRule="exact"/>
        <w:ind w:firstLine="640" w:firstLineChars="200"/>
        <w:rPr>
          <w:rFonts w:eastAsia="仿宋_GB2312"/>
          <w:color w:val="000000"/>
          <w:sz w:val="32"/>
          <w:szCs w:val="32"/>
        </w:rPr>
      </w:pPr>
      <w:r>
        <w:rPr>
          <w:rFonts w:eastAsia="仿宋_GB2312"/>
          <w:color w:val="000000"/>
          <w:sz w:val="32"/>
          <w:szCs w:val="32"/>
        </w:rPr>
        <w:t>如适用，申请人应当对主文档引用的情况进行说明。申请人应当提交由主文档所有者或其备案代理机构出具的授权申请人引用主文档信息的授权信。授权信中应当包括引用主文档的申请人信息、产品名称、已备案的主文档编号、授权引用的主文档页码/章节信息等内容。</w:t>
      </w:r>
    </w:p>
    <w:p w14:paraId="7FE7A8FF">
      <w:pPr>
        <w:spacing w:line="520" w:lineRule="exact"/>
        <w:ind w:firstLine="640" w:firstLineChars="200"/>
        <w:jc w:val="left"/>
        <w:rPr>
          <w:rFonts w:eastAsia="仿宋_GB2312"/>
          <w:color w:val="000000"/>
          <w:sz w:val="32"/>
          <w:szCs w:val="32"/>
        </w:rPr>
      </w:pPr>
      <w:r>
        <w:rPr>
          <w:rFonts w:eastAsia="仿宋_GB2312"/>
          <w:color w:val="000000"/>
          <w:sz w:val="32"/>
          <w:szCs w:val="32"/>
        </w:rPr>
        <w:t>4.5其它管理信息（CR）</w:t>
      </w:r>
    </w:p>
    <w:p w14:paraId="3285287C">
      <w:pPr>
        <w:spacing w:line="520" w:lineRule="exact"/>
        <w:ind w:firstLine="640" w:firstLineChars="200"/>
        <w:jc w:val="left"/>
        <w:rPr>
          <w:rFonts w:eastAsia="仿宋_GB2312"/>
          <w:color w:val="000000"/>
          <w:sz w:val="32"/>
          <w:szCs w:val="32"/>
        </w:rPr>
      </w:pPr>
      <w:r>
        <w:rPr>
          <w:rFonts w:eastAsia="仿宋_GB2312"/>
          <w:color w:val="000000"/>
          <w:sz w:val="32"/>
          <w:szCs w:val="32"/>
        </w:rPr>
        <w:t>申报优先产品的企业可上传相关优先审批理由及依据（CR）。</w:t>
      </w:r>
    </w:p>
    <w:p w14:paraId="2FB34EA3">
      <w:pPr>
        <w:spacing w:line="520" w:lineRule="exact"/>
        <w:ind w:firstLine="640" w:firstLineChars="200"/>
        <w:rPr>
          <w:rFonts w:eastAsia="仿宋_GB2312"/>
          <w:color w:val="000000"/>
          <w:sz w:val="32"/>
          <w:szCs w:val="32"/>
        </w:rPr>
      </w:pPr>
      <w:r>
        <w:rPr>
          <w:rFonts w:eastAsia="仿宋_GB2312"/>
          <w:color w:val="000000"/>
          <w:sz w:val="32"/>
          <w:szCs w:val="32"/>
        </w:rPr>
        <w:t>创新医疗器械产品首次注册申请的小微企业可上传小微企业认定相关资料（上一年度企业所得税纳税申报表（须经税务部门盖章）或上一年度有效统计表（统计部门出具）（CR）。</w:t>
      </w:r>
    </w:p>
    <w:p w14:paraId="3D72C631">
      <w:pPr>
        <w:widowControl/>
        <w:spacing w:line="520" w:lineRule="exact"/>
        <w:ind w:firstLine="566" w:firstLineChars="177"/>
        <w:outlineLvl w:val="0"/>
        <w:rPr>
          <w:rFonts w:eastAsia="楷体_GB2312"/>
          <w:color w:val="000000"/>
          <w:sz w:val="32"/>
          <w:szCs w:val="32"/>
        </w:rPr>
      </w:pPr>
      <w:r>
        <w:rPr>
          <w:rFonts w:eastAsia="楷体_GB2312"/>
          <w:color w:val="000000"/>
          <w:sz w:val="32"/>
          <w:szCs w:val="32"/>
        </w:rPr>
        <w:t>（二）综述资料</w:t>
      </w:r>
    </w:p>
    <w:p w14:paraId="1D75C47C">
      <w:pPr>
        <w:spacing w:line="520" w:lineRule="exact"/>
        <w:ind w:firstLine="640" w:firstLineChars="200"/>
        <w:rPr>
          <w:rFonts w:eastAsia="仿宋_GB2312"/>
          <w:color w:val="000000"/>
          <w:sz w:val="32"/>
          <w:szCs w:val="32"/>
        </w:rPr>
      </w:pPr>
      <w:r>
        <w:rPr>
          <w:rFonts w:eastAsia="仿宋_GB2312"/>
          <w:color w:val="000000"/>
          <w:sz w:val="32"/>
          <w:szCs w:val="32"/>
        </w:rPr>
        <w:t>1.器械一般组成</w:t>
      </w:r>
    </w:p>
    <w:p w14:paraId="5C57CCEC">
      <w:pPr>
        <w:spacing w:line="520" w:lineRule="exact"/>
        <w:ind w:firstLine="420" w:firstLineChars="200"/>
        <w:rPr>
          <w:rFonts w:eastAsia="仿宋_GB2312"/>
          <w:color w:val="000000"/>
          <w:sz w:val="32"/>
          <w:szCs w:val="32"/>
        </w:rPr>
      </w:pPr>
      <w:r>
        <w:drawing>
          <wp:anchor distT="0" distB="0" distL="114300" distR="114300" simplePos="0" relativeHeight="251661312" behindDoc="0" locked="0" layoutInCell="1" allowOverlap="1">
            <wp:simplePos x="0" y="0"/>
            <wp:positionH relativeFrom="column">
              <wp:posOffset>525145</wp:posOffset>
            </wp:positionH>
            <wp:positionV relativeFrom="paragraph">
              <wp:posOffset>1195070</wp:posOffset>
            </wp:positionV>
            <wp:extent cx="4762500" cy="1381125"/>
            <wp:effectExtent l="0" t="0" r="0" b="952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762500" cy="1381125"/>
                    </a:xfrm>
                    <a:prstGeom prst="rect">
                      <a:avLst/>
                    </a:prstGeom>
                    <a:noFill/>
                    <a:ln>
                      <a:noFill/>
                    </a:ln>
                  </pic:spPr>
                </pic:pic>
              </a:graphicData>
            </a:graphic>
          </wp:anchor>
        </w:drawing>
      </w:r>
      <w:r>
        <w:rPr>
          <w:rFonts w:eastAsia="仿宋_GB2312"/>
          <w:color w:val="000000"/>
          <w:sz w:val="32"/>
          <w:szCs w:val="32"/>
        </w:rPr>
        <w:t>医用红外额温计一般由外壳、操作按键、电路组件、测温探头（红外传感器）、测距探头（如有）、蜂鸣器（如有）、显示屏、电源等组成。产品结构图及实物图示例如图1、图2。</w:t>
      </w:r>
      <w:r>
        <w:rPr>
          <w:kern w:val="0"/>
          <w:sz w:val="24"/>
        </w:rPr>
        <w:fldChar w:fldCharType="begin"/>
      </w:r>
      <w:r>
        <w:rPr>
          <w:kern w:val="0"/>
          <w:sz w:val="24"/>
        </w:rPr>
        <w:instrText xml:space="preserve">INCLUDEPICTURE \d "C:\\Users\\lenovo\\AppData\\Roaming\\Tencent\\Users\\936893202\\QQ\\WinTemp\\RichOle\\J8`96DR~0WQH1PLN21IIXQS.png" \* MERGEFORMATINET </w:instrText>
      </w:r>
      <w:r>
        <w:rPr>
          <w:kern w:val="0"/>
          <w:sz w:val="24"/>
        </w:rPr>
        <w:fldChar w:fldCharType="end"/>
      </w:r>
    </w:p>
    <w:p w14:paraId="1FF3BDC0">
      <w:pPr>
        <w:widowControl/>
        <w:spacing w:line="520" w:lineRule="exact"/>
        <w:jc w:val="center"/>
        <w:rPr>
          <w:rFonts w:eastAsia="黑体"/>
          <w:sz w:val="28"/>
          <w:szCs w:val="28"/>
        </w:rPr>
      </w:pPr>
      <w:r>
        <w:rPr>
          <w:rFonts w:eastAsia="黑体"/>
          <w:sz w:val="28"/>
          <w:szCs w:val="28"/>
        </w:rPr>
        <w:drawing>
          <wp:anchor distT="0" distB="0" distL="114300" distR="114300" simplePos="0" relativeHeight="251660288" behindDoc="0" locked="0" layoutInCell="1" allowOverlap="1">
            <wp:simplePos x="0" y="0"/>
            <wp:positionH relativeFrom="column">
              <wp:posOffset>3335020</wp:posOffset>
            </wp:positionH>
            <wp:positionV relativeFrom="paragraph">
              <wp:posOffset>2186940</wp:posOffset>
            </wp:positionV>
            <wp:extent cx="1452880" cy="2021205"/>
            <wp:effectExtent l="0" t="0" r="0" b="0"/>
            <wp:wrapTopAndBottom/>
            <wp:docPr id="6" name="图片 6" descr="YT-5 图片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YT-5 图片1_副本"/>
                    <pic:cNvPicPr>
                      <a:picLocks noChangeAspect="1"/>
                    </pic:cNvPicPr>
                  </pic:nvPicPr>
                  <pic:blipFill>
                    <a:blip r:embed="rId7"/>
                    <a:stretch>
                      <a:fillRect/>
                    </a:stretch>
                  </pic:blipFill>
                  <pic:spPr>
                    <a:xfrm>
                      <a:off x="0" y="0"/>
                      <a:ext cx="1452880" cy="2021205"/>
                    </a:xfrm>
                    <a:prstGeom prst="rect">
                      <a:avLst/>
                    </a:prstGeom>
                  </pic:spPr>
                </pic:pic>
              </a:graphicData>
            </a:graphic>
          </wp:anchor>
        </w:drawing>
      </w:r>
      <w:r>
        <w:rPr>
          <w:rFonts w:eastAsia="黑体"/>
          <w:sz w:val="28"/>
          <w:szCs w:val="28"/>
        </w:rPr>
        <w:drawing>
          <wp:anchor distT="0" distB="0" distL="114300" distR="114300" simplePos="0" relativeHeight="251659264" behindDoc="0" locked="0" layoutInCell="1" allowOverlap="1">
            <wp:simplePos x="0" y="0"/>
            <wp:positionH relativeFrom="column">
              <wp:posOffset>791845</wp:posOffset>
            </wp:positionH>
            <wp:positionV relativeFrom="paragraph">
              <wp:posOffset>2035175</wp:posOffset>
            </wp:positionV>
            <wp:extent cx="1540510" cy="2172335"/>
            <wp:effectExtent l="0" t="0" r="2540" b="0"/>
            <wp:wrapTopAndBottom/>
            <wp:docPr id="1" name="图片 1" descr="YT-1产品图片-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YT-1产品图片-示意图"/>
                    <pic:cNvPicPr>
                      <a:picLocks noChangeAspect="1"/>
                    </pic:cNvPicPr>
                  </pic:nvPicPr>
                  <pic:blipFill>
                    <a:blip r:embed="rId8"/>
                    <a:stretch>
                      <a:fillRect/>
                    </a:stretch>
                  </pic:blipFill>
                  <pic:spPr>
                    <a:xfrm>
                      <a:off x="0" y="0"/>
                      <a:ext cx="1540510" cy="2172335"/>
                    </a:xfrm>
                    <a:prstGeom prst="rect">
                      <a:avLst/>
                    </a:prstGeom>
                  </pic:spPr>
                </pic:pic>
              </a:graphicData>
            </a:graphic>
          </wp:anchor>
        </w:drawing>
      </w:r>
      <w:r>
        <w:rPr>
          <w:rFonts w:eastAsia="黑体"/>
          <w:sz w:val="28"/>
          <w:szCs w:val="28"/>
        </w:rPr>
        <w:t>图1医用红外额温计结构图示例</w:t>
      </w:r>
    </w:p>
    <w:p w14:paraId="6E688D1B">
      <w:pPr>
        <w:widowControl/>
        <w:spacing w:line="520" w:lineRule="exact"/>
        <w:jc w:val="center"/>
        <w:rPr>
          <w:rFonts w:eastAsia="黑体"/>
          <w:sz w:val="28"/>
          <w:szCs w:val="28"/>
        </w:rPr>
      </w:pPr>
      <w:r>
        <w:rPr>
          <w:rFonts w:eastAsia="黑体"/>
          <w:sz w:val="28"/>
          <w:szCs w:val="28"/>
        </w:rPr>
        <w:t>图2医用红外额温计实物图示例</w:t>
      </w:r>
    </w:p>
    <w:p w14:paraId="6293FD27">
      <w:pPr>
        <w:spacing w:line="520" w:lineRule="exact"/>
        <w:ind w:firstLine="640" w:firstLineChars="200"/>
        <w:rPr>
          <w:rFonts w:eastAsia="仿宋_GB2312"/>
          <w:color w:val="000000"/>
          <w:sz w:val="32"/>
          <w:szCs w:val="32"/>
        </w:rPr>
      </w:pPr>
      <w:r>
        <w:rPr>
          <w:rFonts w:eastAsia="仿宋_GB2312"/>
          <w:color w:val="000000"/>
          <w:sz w:val="32"/>
          <w:szCs w:val="32"/>
        </w:rPr>
        <w:t>2.产品主要部件功能</w:t>
      </w:r>
    </w:p>
    <w:p w14:paraId="09DF8203">
      <w:pPr>
        <w:spacing w:line="520" w:lineRule="exact"/>
        <w:ind w:firstLine="640" w:firstLineChars="200"/>
        <w:rPr>
          <w:rFonts w:eastAsia="仿宋_GB2312"/>
          <w:color w:val="000000"/>
          <w:sz w:val="32"/>
          <w:szCs w:val="32"/>
        </w:rPr>
      </w:pPr>
      <w:r>
        <w:rPr>
          <w:rFonts w:eastAsia="仿宋_GB2312"/>
          <w:color w:val="000000"/>
          <w:sz w:val="32"/>
          <w:szCs w:val="32"/>
        </w:rPr>
        <w:t>测温探头：用于接收被测对象额头的红外辐射。</w:t>
      </w:r>
    </w:p>
    <w:p w14:paraId="6972FC6C">
      <w:pPr>
        <w:spacing w:line="520" w:lineRule="exact"/>
        <w:ind w:firstLine="640" w:firstLineChars="200"/>
        <w:rPr>
          <w:rFonts w:eastAsia="仿宋_GB2312"/>
          <w:color w:val="000000"/>
          <w:sz w:val="32"/>
          <w:szCs w:val="32"/>
        </w:rPr>
      </w:pPr>
      <w:r>
        <w:rPr>
          <w:rFonts w:eastAsia="仿宋_GB2312"/>
          <w:color w:val="000000"/>
          <w:sz w:val="32"/>
          <w:szCs w:val="32"/>
        </w:rPr>
        <w:t>测距探头：用于感知器械测试端与被测人额头合适的测试距离。</w:t>
      </w:r>
    </w:p>
    <w:p w14:paraId="22EE0294">
      <w:pPr>
        <w:spacing w:line="520" w:lineRule="exact"/>
        <w:ind w:firstLine="640" w:firstLineChars="200"/>
        <w:rPr>
          <w:rFonts w:eastAsia="仿宋_GB2312"/>
          <w:color w:val="000000"/>
          <w:sz w:val="32"/>
          <w:szCs w:val="32"/>
        </w:rPr>
      </w:pPr>
      <w:r>
        <w:rPr>
          <w:rFonts w:eastAsia="仿宋_GB2312"/>
          <w:color w:val="000000"/>
          <w:sz w:val="32"/>
          <w:szCs w:val="32"/>
        </w:rPr>
        <w:t>电路组件：信息采集处理、功能控制的核心器件，将光信号转变成电信号，并输出温度值。</w:t>
      </w:r>
    </w:p>
    <w:p w14:paraId="16C8FF96">
      <w:pPr>
        <w:spacing w:line="520" w:lineRule="exact"/>
        <w:ind w:firstLine="640" w:firstLineChars="200"/>
        <w:rPr>
          <w:rFonts w:eastAsia="仿宋_GB2312"/>
          <w:color w:val="000000"/>
          <w:sz w:val="32"/>
          <w:szCs w:val="32"/>
        </w:rPr>
      </w:pPr>
      <w:r>
        <w:rPr>
          <w:rFonts w:eastAsia="仿宋_GB2312"/>
          <w:color w:val="000000"/>
          <w:sz w:val="32"/>
          <w:szCs w:val="32"/>
        </w:rPr>
        <w:t>显示屏：提供用户显示界面。</w:t>
      </w:r>
    </w:p>
    <w:p w14:paraId="59FC2741">
      <w:pPr>
        <w:spacing w:line="520" w:lineRule="exact"/>
        <w:ind w:firstLine="640" w:firstLineChars="200"/>
        <w:rPr>
          <w:rFonts w:eastAsia="仿宋_GB2312"/>
          <w:color w:val="000000"/>
          <w:sz w:val="32"/>
          <w:szCs w:val="32"/>
        </w:rPr>
      </w:pPr>
      <w:r>
        <w:rPr>
          <w:rFonts w:eastAsia="仿宋_GB2312"/>
          <w:color w:val="000000"/>
          <w:sz w:val="32"/>
          <w:szCs w:val="32"/>
        </w:rPr>
        <w:t>电源：一般采用锂电池或干电池，作为内部供电电源。</w:t>
      </w:r>
    </w:p>
    <w:p w14:paraId="27063752">
      <w:pPr>
        <w:spacing w:line="520" w:lineRule="exact"/>
        <w:ind w:firstLine="640" w:firstLineChars="200"/>
        <w:rPr>
          <w:rFonts w:eastAsia="仿宋_GB2312"/>
          <w:color w:val="000000"/>
          <w:sz w:val="32"/>
          <w:szCs w:val="32"/>
        </w:rPr>
      </w:pPr>
      <w:r>
        <w:rPr>
          <w:rFonts w:eastAsia="仿宋_GB2312"/>
          <w:color w:val="000000"/>
          <w:sz w:val="32"/>
          <w:szCs w:val="32"/>
        </w:rPr>
        <w:t>3.工作原理描述</w:t>
      </w:r>
    </w:p>
    <w:p w14:paraId="14B36CEA">
      <w:pPr>
        <w:spacing w:line="520" w:lineRule="exact"/>
        <w:ind w:firstLine="640" w:firstLineChars="200"/>
        <w:rPr>
          <w:rFonts w:eastAsia="仿宋_GB2312"/>
          <w:color w:val="000000"/>
          <w:sz w:val="32"/>
          <w:szCs w:val="32"/>
        </w:rPr>
      </w:pPr>
      <w:r>
        <w:rPr>
          <w:rFonts w:eastAsia="仿宋_GB2312"/>
          <w:color w:val="000000"/>
          <w:sz w:val="32"/>
          <w:szCs w:val="32"/>
        </w:rPr>
        <w:t>申请人应详细说明产品的工作原理。</w:t>
      </w:r>
    </w:p>
    <w:p w14:paraId="2E8D46A9">
      <w:pPr>
        <w:spacing w:line="520" w:lineRule="exact"/>
        <w:ind w:firstLine="640" w:firstLineChars="200"/>
        <w:rPr>
          <w:rFonts w:eastAsia="仿宋_GB2312"/>
          <w:color w:val="000000"/>
          <w:sz w:val="32"/>
          <w:szCs w:val="32"/>
        </w:rPr>
      </w:pPr>
      <w:r>
        <w:rPr>
          <w:rFonts w:eastAsia="仿宋_GB2312"/>
          <w:color w:val="000000"/>
          <w:sz w:val="32"/>
          <w:szCs w:val="32"/>
        </w:rPr>
        <w:t>医用红外额温计的工作原理一般为：自然界中一切温度高于绝对零度（-273.15</w:t>
      </w:r>
      <w:r>
        <w:rPr>
          <w:rFonts w:hint="eastAsia" w:eastAsia="仿宋_GB2312"/>
          <w:sz w:val="32"/>
          <w:szCs w:val="32"/>
        </w:rPr>
        <w:t>℃</w:t>
      </w:r>
      <w:r>
        <w:rPr>
          <w:rFonts w:eastAsia="仿宋_GB2312"/>
          <w:color w:val="000000"/>
          <w:sz w:val="32"/>
          <w:szCs w:val="32"/>
        </w:rPr>
        <w:t>）的物体都会辐射出红外线，而辐射出的红外线的能量和温度是正相关的关系。利用这种关系，医用红外额温计通过红外温度传感器接收被测人体额头的红外辐射，配合适当的算法修正额头与参考身体部位温度的温差，输出显示参考身体部位温度。</w:t>
      </w:r>
    </w:p>
    <w:p w14:paraId="75928711">
      <w:pPr>
        <w:spacing w:line="520" w:lineRule="exact"/>
        <w:ind w:firstLine="640" w:firstLineChars="200"/>
        <w:rPr>
          <w:rFonts w:eastAsia="仿宋_GB2312"/>
          <w:color w:val="000000"/>
          <w:sz w:val="32"/>
          <w:szCs w:val="32"/>
        </w:rPr>
      </w:pPr>
      <w:r>
        <w:rPr>
          <w:rFonts w:eastAsia="仿宋_GB2312"/>
          <w:color w:val="000000"/>
          <w:sz w:val="32"/>
          <w:szCs w:val="32"/>
        </w:rPr>
        <w:t>因该产品为非治疗类医疗器械，故本指导原则不包含产品作用机理的内容。</w:t>
      </w:r>
    </w:p>
    <w:p w14:paraId="12D9AD22">
      <w:pPr>
        <w:spacing w:line="520" w:lineRule="exact"/>
        <w:ind w:firstLine="640" w:firstLineChars="200"/>
        <w:rPr>
          <w:rFonts w:eastAsia="仿宋_GB2312"/>
          <w:color w:val="000000"/>
          <w:sz w:val="32"/>
          <w:szCs w:val="32"/>
        </w:rPr>
      </w:pPr>
      <w:r>
        <w:rPr>
          <w:rFonts w:eastAsia="仿宋_GB2312"/>
          <w:color w:val="000000"/>
          <w:sz w:val="32"/>
          <w:szCs w:val="32"/>
        </w:rPr>
        <w:t>4.适用范围、预期使用环境和禁忌证</w:t>
      </w:r>
    </w:p>
    <w:p w14:paraId="66C26A68">
      <w:pPr>
        <w:spacing w:line="520" w:lineRule="exact"/>
        <w:ind w:firstLine="640" w:firstLineChars="200"/>
        <w:rPr>
          <w:rFonts w:eastAsia="仿宋_GB2312"/>
          <w:color w:val="000000"/>
          <w:sz w:val="32"/>
          <w:szCs w:val="32"/>
        </w:rPr>
      </w:pPr>
      <w:r>
        <w:rPr>
          <w:rFonts w:eastAsia="仿宋_GB2312"/>
          <w:color w:val="000000"/>
          <w:sz w:val="32"/>
          <w:szCs w:val="32"/>
        </w:rPr>
        <w:t>适用范围：该产品采用红外感温方法，通过测量人额头的热辐射，显示或输出被测对象的体温。</w:t>
      </w:r>
    </w:p>
    <w:p w14:paraId="01EE4E76">
      <w:pPr>
        <w:spacing w:line="520" w:lineRule="exact"/>
        <w:ind w:firstLine="640" w:firstLineChars="200"/>
        <w:rPr>
          <w:rFonts w:eastAsia="仿宋_GB2312"/>
          <w:color w:val="000000"/>
          <w:sz w:val="32"/>
          <w:szCs w:val="32"/>
        </w:rPr>
      </w:pPr>
      <w:r>
        <w:rPr>
          <w:rFonts w:eastAsia="仿宋_GB2312"/>
          <w:color w:val="000000"/>
          <w:sz w:val="32"/>
          <w:szCs w:val="32"/>
        </w:rPr>
        <w:t>预期使用环境：该产品正常工作条件一般为环境温度16</w:t>
      </w:r>
      <w:r>
        <w:rPr>
          <w:rFonts w:hint="eastAsia" w:eastAsia="仿宋_GB2312"/>
          <w:sz w:val="32"/>
          <w:szCs w:val="32"/>
        </w:rPr>
        <w:t>℃</w:t>
      </w:r>
      <w:r>
        <w:rPr>
          <w:rFonts w:eastAsia="仿宋_GB2312"/>
          <w:color w:val="000000"/>
          <w:sz w:val="32"/>
          <w:szCs w:val="32"/>
        </w:rPr>
        <w:t>~35</w:t>
      </w:r>
      <w:r>
        <w:rPr>
          <w:rFonts w:hint="eastAsia" w:eastAsia="仿宋_GB2312"/>
          <w:sz w:val="32"/>
          <w:szCs w:val="32"/>
        </w:rPr>
        <w:t>℃</w:t>
      </w:r>
      <w:r>
        <w:rPr>
          <w:rFonts w:eastAsia="仿宋_GB2312"/>
          <w:color w:val="000000"/>
          <w:sz w:val="32"/>
          <w:szCs w:val="32"/>
        </w:rPr>
        <w:t>，相对湿度≤85%，大气压力70kPa~106kPa。如果其标称工作条件超过该范围，申请人应在后文第（七）节中提供研究资料并对其测得结果的可信度给予明确说明。</w:t>
      </w:r>
    </w:p>
    <w:p w14:paraId="278BB2CF">
      <w:pPr>
        <w:spacing w:line="520" w:lineRule="exact"/>
        <w:ind w:firstLine="640" w:firstLineChars="200"/>
        <w:rPr>
          <w:rFonts w:eastAsia="仿宋_GB2312"/>
          <w:color w:val="000000"/>
          <w:sz w:val="32"/>
          <w:szCs w:val="32"/>
        </w:rPr>
      </w:pPr>
      <w:r>
        <w:rPr>
          <w:rFonts w:eastAsia="仿宋_GB2312"/>
          <w:color w:val="000000"/>
          <w:sz w:val="32"/>
          <w:szCs w:val="32"/>
        </w:rPr>
        <w:t>预期使用地点：医疗机构、实验室、家庭等。</w:t>
      </w:r>
    </w:p>
    <w:p w14:paraId="28891CDA">
      <w:pPr>
        <w:spacing w:line="520" w:lineRule="exact"/>
        <w:ind w:firstLine="640" w:firstLineChars="200"/>
        <w:rPr>
          <w:rFonts w:eastAsia="仿宋_GB2312"/>
          <w:color w:val="000000"/>
          <w:sz w:val="32"/>
          <w:szCs w:val="32"/>
        </w:rPr>
      </w:pPr>
      <w:r>
        <w:rPr>
          <w:rFonts w:eastAsia="仿宋_GB2312"/>
          <w:color w:val="000000"/>
          <w:sz w:val="32"/>
          <w:szCs w:val="32"/>
        </w:rPr>
        <w:t>适用人群：无特定适用人群，应根据临床验证资料确定。</w:t>
      </w:r>
    </w:p>
    <w:p w14:paraId="1A825FD4">
      <w:pPr>
        <w:spacing w:line="520" w:lineRule="exact"/>
        <w:ind w:firstLine="640" w:firstLineChars="200"/>
        <w:rPr>
          <w:rFonts w:eastAsia="仿宋_GB2312"/>
          <w:color w:val="000000"/>
          <w:sz w:val="32"/>
          <w:szCs w:val="32"/>
        </w:rPr>
      </w:pPr>
      <w:r>
        <w:rPr>
          <w:rFonts w:eastAsia="仿宋_GB2312"/>
          <w:color w:val="000000"/>
          <w:sz w:val="32"/>
          <w:szCs w:val="32"/>
        </w:rPr>
        <w:t>禁忌证：尚未发现明确的禁忌证要求。</w:t>
      </w:r>
    </w:p>
    <w:p w14:paraId="34F063B7">
      <w:pPr>
        <w:spacing w:line="520" w:lineRule="exact"/>
        <w:ind w:firstLine="640" w:firstLineChars="200"/>
        <w:rPr>
          <w:rFonts w:eastAsia="仿宋_GB2312"/>
          <w:color w:val="000000"/>
          <w:sz w:val="32"/>
          <w:szCs w:val="32"/>
        </w:rPr>
      </w:pPr>
      <w:r>
        <w:rPr>
          <w:rFonts w:eastAsia="仿宋_GB2312"/>
          <w:color w:val="000000"/>
          <w:sz w:val="32"/>
          <w:szCs w:val="32"/>
        </w:rPr>
        <w:t>5.不良事件情况</w:t>
      </w:r>
    </w:p>
    <w:p w14:paraId="1AE0BC79">
      <w:pPr>
        <w:spacing w:line="520" w:lineRule="exact"/>
        <w:ind w:firstLine="640" w:firstLineChars="200"/>
        <w:rPr>
          <w:rFonts w:eastAsia="仿宋_GB2312"/>
          <w:color w:val="000000"/>
          <w:sz w:val="32"/>
          <w:szCs w:val="32"/>
        </w:rPr>
      </w:pPr>
      <w:r>
        <w:rPr>
          <w:rFonts w:eastAsia="仿宋_GB2312"/>
          <w:color w:val="000000"/>
          <w:sz w:val="32"/>
          <w:szCs w:val="32"/>
        </w:rPr>
        <w:t>国内未见严重不良事件报道，现有报告均为一般事件。事件主要表现有：无法测量体温、测量温度不准确、按键失灵、显示屏显示数字缓慢不清晰等。造成上述现象的原因主要有：超过产品可使用的环境温度无法工作、当产品从一个环境温度转移到另一个环境温度后未按照制造商规定的要求稳定一段时间再测量造成的测量不准确、按键损坏、电池电量耗尽、个别元件松动或需换置等。注册申请人在风险分析时应关注同品种产品的不良事件历史记录。</w:t>
      </w:r>
    </w:p>
    <w:p w14:paraId="636E8D4C">
      <w:pPr>
        <w:widowControl/>
        <w:spacing w:line="520" w:lineRule="exact"/>
        <w:ind w:firstLine="640" w:firstLineChars="200"/>
        <w:outlineLvl w:val="0"/>
        <w:rPr>
          <w:rFonts w:eastAsia="楷体_GB2312"/>
          <w:color w:val="000000"/>
          <w:sz w:val="32"/>
          <w:szCs w:val="32"/>
        </w:rPr>
      </w:pPr>
      <w:r>
        <w:rPr>
          <w:rFonts w:eastAsia="楷体_GB2312"/>
          <w:color w:val="000000"/>
          <w:sz w:val="32"/>
          <w:szCs w:val="32"/>
        </w:rPr>
        <w:t>（三）非临床资料</w:t>
      </w:r>
    </w:p>
    <w:p w14:paraId="40344C5C">
      <w:pPr>
        <w:spacing w:line="520" w:lineRule="exact"/>
        <w:ind w:firstLine="640" w:firstLineChars="200"/>
        <w:rPr>
          <w:rFonts w:eastAsia="仿宋_GB2312"/>
          <w:color w:val="000000"/>
          <w:sz w:val="32"/>
          <w:szCs w:val="32"/>
        </w:rPr>
      </w:pPr>
      <w:r>
        <w:rPr>
          <w:rFonts w:eastAsia="仿宋_GB2312"/>
          <w:color w:val="000000"/>
          <w:sz w:val="32"/>
          <w:szCs w:val="32"/>
        </w:rPr>
        <w:t>1.产品风险管理资料</w:t>
      </w:r>
    </w:p>
    <w:p w14:paraId="792ADC0D">
      <w:pPr>
        <w:spacing w:line="520" w:lineRule="exact"/>
        <w:ind w:firstLine="640" w:firstLineChars="200"/>
        <w:rPr>
          <w:rFonts w:eastAsia="仿宋_GB2312"/>
          <w:color w:val="000000"/>
          <w:sz w:val="32"/>
          <w:szCs w:val="32"/>
        </w:rPr>
      </w:pPr>
      <w:r>
        <w:rPr>
          <w:rFonts w:eastAsia="仿宋_GB2312"/>
          <w:color w:val="000000"/>
          <w:sz w:val="32"/>
          <w:szCs w:val="32"/>
        </w:rPr>
        <w:t>产品在进行风险分析时应符合YY/T 0316标准的要求。</w:t>
      </w:r>
    </w:p>
    <w:p w14:paraId="504FC2FB">
      <w:pPr>
        <w:spacing w:line="520" w:lineRule="exact"/>
        <w:ind w:firstLine="640" w:firstLineChars="200"/>
        <w:rPr>
          <w:rFonts w:eastAsia="仿宋_GB2312"/>
          <w:color w:val="000000"/>
          <w:sz w:val="32"/>
          <w:szCs w:val="32"/>
        </w:rPr>
      </w:pPr>
      <w:r>
        <w:rPr>
          <w:rFonts w:eastAsia="仿宋_GB2312"/>
          <w:color w:val="000000"/>
          <w:sz w:val="32"/>
          <w:szCs w:val="32"/>
        </w:rPr>
        <w:t>申请人在进行风险分析时，至少应考虑表1中的主要危险(源)，申请人还应根据自身产品特点确定其他危险(源)。针对产品的各项风险，应采取应对措施，确保风险降到可接受的程度。</w:t>
      </w:r>
    </w:p>
    <w:p w14:paraId="0D4F163B">
      <w:pPr>
        <w:spacing w:line="520" w:lineRule="exact"/>
        <w:ind w:firstLine="640" w:firstLineChars="200"/>
        <w:rPr>
          <w:rFonts w:eastAsia="仿宋_GB2312"/>
          <w:color w:val="000000"/>
          <w:sz w:val="32"/>
          <w:szCs w:val="32"/>
        </w:rPr>
      </w:pPr>
    </w:p>
    <w:p w14:paraId="6675CF2F">
      <w:pPr>
        <w:spacing w:line="520" w:lineRule="exact"/>
        <w:ind w:firstLine="560" w:firstLineChars="200"/>
        <w:jc w:val="center"/>
        <w:rPr>
          <w:rFonts w:eastAsia="黑体"/>
          <w:sz w:val="28"/>
          <w:szCs w:val="28"/>
        </w:rPr>
      </w:pPr>
      <w:r>
        <w:rPr>
          <w:rFonts w:eastAsia="黑体"/>
          <w:sz w:val="28"/>
          <w:szCs w:val="28"/>
        </w:rPr>
        <w:t>表1 医用红外额温计的危害类型及形成因素</w:t>
      </w:r>
    </w:p>
    <w:tbl>
      <w:tblPr>
        <w:tblStyle w:val="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845"/>
        <w:gridCol w:w="2312"/>
        <w:gridCol w:w="2226"/>
      </w:tblGrid>
      <w:tr w14:paraId="3A71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545" w:type="dxa"/>
            <w:vAlign w:val="center"/>
          </w:tcPr>
          <w:p w14:paraId="19BECE4E">
            <w:pPr>
              <w:spacing w:line="520" w:lineRule="exact"/>
              <w:jc w:val="center"/>
              <w:rPr>
                <w:rFonts w:eastAsia="仿宋_GB2312"/>
                <w:color w:val="000000"/>
                <w:sz w:val="28"/>
                <w:szCs w:val="28"/>
              </w:rPr>
            </w:pPr>
            <w:r>
              <w:rPr>
                <w:rFonts w:eastAsia="仿宋_GB2312"/>
                <w:color w:val="000000"/>
                <w:sz w:val="28"/>
                <w:szCs w:val="28"/>
              </w:rPr>
              <w:t>危害类型</w:t>
            </w:r>
          </w:p>
        </w:tc>
        <w:tc>
          <w:tcPr>
            <w:tcW w:w="2845" w:type="dxa"/>
            <w:vAlign w:val="center"/>
          </w:tcPr>
          <w:p w14:paraId="1C05886E">
            <w:pPr>
              <w:spacing w:line="520" w:lineRule="exact"/>
              <w:ind w:left="-86" w:leftChars="-41" w:right="-126" w:rightChars="-60"/>
              <w:jc w:val="center"/>
              <w:rPr>
                <w:rFonts w:eastAsia="仿宋_GB2312"/>
                <w:color w:val="000000"/>
                <w:sz w:val="28"/>
                <w:szCs w:val="28"/>
              </w:rPr>
            </w:pPr>
            <w:r>
              <w:rPr>
                <w:rFonts w:eastAsia="仿宋_GB2312"/>
                <w:color w:val="000000"/>
                <w:sz w:val="28"/>
                <w:szCs w:val="28"/>
              </w:rPr>
              <w:t>可预见的事件序列</w:t>
            </w:r>
          </w:p>
        </w:tc>
        <w:tc>
          <w:tcPr>
            <w:tcW w:w="2312" w:type="dxa"/>
            <w:vAlign w:val="center"/>
          </w:tcPr>
          <w:p w14:paraId="3196BE38">
            <w:pPr>
              <w:spacing w:line="520" w:lineRule="exact"/>
              <w:jc w:val="center"/>
              <w:rPr>
                <w:rFonts w:eastAsia="仿宋_GB2312"/>
                <w:color w:val="000000"/>
                <w:sz w:val="28"/>
                <w:szCs w:val="28"/>
              </w:rPr>
            </w:pPr>
            <w:r>
              <w:rPr>
                <w:rFonts w:eastAsia="仿宋_GB2312"/>
                <w:color w:val="000000"/>
                <w:sz w:val="28"/>
                <w:szCs w:val="28"/>
              </w:rPr>
              <w:t>危害处境</w:t>
            </w:r>
          </w:p>
        </w:tc>
        <w:tc>
          <w:tcPr>
            <w:tcW w:w="2226" w:type="dxa"/>
            <w:vAlign w:val="center"/>
          </w:tcPr>
          <w:p w14:paraId="3913A2DA">
            <w:pPr>
              <w:spacing w:line="520" w:lineRule="exact"/>
              <w:jc w:val="center"/>
              <w:rPr>
                <w:rFonts w:eastAsia="仿宋_GB2312"/>
                <w:color w:val="000000"/>
                <w:sz w:val="28"/>
                <w:szCs w:val="28"/>
              </w:rPr>
            </w:pPr>
            <w:r>
              <w:rPr>
                <w:rFonts w:eastAsia="仿宋_GB2312"/>
                <w:color w:val="000000"/>
                <w:sz w:val="28"/>
                <w:szCs w:val="28"/>
              </w:rPr>
              <w:t>损害</w:t>
            </w:r>
          </w:p>
        </w:tc>
      </w:tr>
      <w:tr w14:paraId="3B0C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545" w:type="dxa"/>
            <w:vMerge w:val="restart"/>
            <w:vAlign w:val="center"/>
          </w:tcPr>
          <w:p w14:paraId="525B95B5">
            <w:pPr>
              <w:spacing w:line="520" w:lineRule="exact"/>
              <w:jc w:val="left"/>
              <w:rPr>
                <w:rFonts w:eastAsia="仿宋_GB2312"/>
                <w:color w:val="000000"/>
                <w:sz w:val="28"/>
                <w:szCs w:val="28"/>
              </w:rPr>
            </w:pPr>
            <w:r>
              <w:rPr>
                <w:rFonts w:eastAsia="仿宋_GB2312"/>
                <w:color w:val="000000"/>
                <w:sz w:val="28"/>
                <w:szCs w:val="28"/>
              </w:rPr>
              <w:t>电磁能量</w:t>
            </w:r>
          </w:p>
        </w:tc>
        <w:tc>
          <w:tcPr>
            <w:tcW w:w="2845" w:type="dxa"/>
            <w:vMerge w:val="restart"/>
            <w:vAlign w:val="center"/>
          </w:tcPr>
          <w:p w14:paraId="0F116352">
            <w:pPr>
              <w:spacing w:line="520" w:lineRule="exact"/>
              <w:jc w:val="left"/>
              <w:rPr>
                <w:rFonts w:eastAsia="仿宋_GB2312"/>
                <w:color w:val="000000"/>
                <w:sz w:val="28"/>
                <w:szCs w:val="28"/>
              </w:rPr>
            </w:pPr>
            <w:r>
              <w:rPr>
                <w:rFonts w:eastAsia="仿宋_GB2312"/>
                <w:color w:val="000000"/>
                <w:sz w:val="28"/>
                <w:szCs w:val="28"/>
              </w:rPr>
              <w:t>可能共同使用的设备（移动电话、电磁炉、微波炉等）对医用红外额温计的电磁干扰，医用红外额温计产生的电磁场对可能共同使用的设备的影响等</w:t>
            </w:r>
          </w:p>
        </w:tc>
        <w:tc>
          <w:tcPr>
            <w:tcW w:w="2312" w:type="dxa"/>
            <w:vAlign w:val="center"/>
          </w:tcPr>
          <w:p w14:paraId="0DEF5CB8">
            <w:pPr>
              <w:spacing w:line="520" w:lineRule="exact"/>
              <w:jc w:val="left"/>
              <w:rPr>
                <w:rFonts w:eastAsia="仿宋_GB2312"/>
                <w:color w:val="000000"/>
                <w:sz w:val="28"/>
                <w:szCs w:val="28"/>
              </w:rPr>
            </w:pPr>
            <w:r>
              <w:rPr>
                <w:rFonts w:eastAsia="仿宋_GB2312"/>
                <w:color w:val="000000"/>
                <w:sz w:val="28"/>
                <w:szCs w:val="28"/>
              </w:rPr>
              <w:t>依据过高读数服用退烧药物，导致药物剂量过量</w:t>
            </w:r>
          </w:p>
        </w:tc>
        <w:tc>
          <w:tcPr>
            <w:tcW w:w="2226" w:type="dxa"/>
            <w:vAlign w:val="center"/>
          </w:tcPr>
          <w:p w14:paraId="1DA33123">
            <w:pPr>
              <w:spacing w:line="520" w:lineRule="exact"/>
              <w:jc w:val="left"/>
              <w:rPr>
                <w:rFonts w:eastAsia="仿宋_GB2312"/>
                <w:color w:val="000000"/>
                <w:sz w:val="28"/>
                <w:szCs w:val="28"/>
              </w:rPr>
            </w:pPr>
            <w:r>
              <w:rPr>
                <w:rFonts w:eastAsia="仿宋_GB2312"/>
                <w:color w:val="000000"/>
                <w:sz w:val="28"/>
                <w:szCs w:val="28"/>
              </w:rPr>
              <w:t>体温降低，严重时可能危及生命</w:t>
            </w:r>
          </w:p>
        </w:tc>
      </w:tr>
      <w:tr w14:paraId="3583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545" w:type="dxa"/>
            <w:vMerge w:val="continue"/>
            <w:vAlign w:val="center"/>
          </w:tcPr>
          <w:p w14:paraId="07871A63">
            <w:pPr>
              <w:spacing w:line="520" w:lineRule="exact"/>
              <w:ind w:firstLine="560" w:firstLineChars="200"/>
              <w:jc w:val="left"/>
              <w:rPr>
                <w:rFonts w:eastAsia="仿宋_GB2312"/>
                <w:color w:val="000000"/>
                <w:sz w:val="28"/>
                <w:szCs w:val="28"/>
              </w:rPr>
            </w:pPr>
          </w:p>
        </w:tc>
        <w:tc>
          <w:tcPr>
            <w:tcW w:w="2845" w:type="dxa"/>
            <w:vMerge w:val="continue"/>
            <w:vAlign w:val="center"/>
          </w:tcPr>
          <w:p w14:paraId="15B6F3E3">
            <w:pPr>
              <w:spacing w:line="520" w:lineRule="exact"/>
              <w:ind w:firstLine="560" w:firstLineChars="200"/>
              <w:jc w:val="left"/>
              <w:rPr>
                <w:rFonts w:eastAsia="仿宋_GB2312"/>
                <w:color w:val="000000"/>
                <w:sz w:val="28"/>
                <w:szCs w:val="28"/>
              </w:rPr>
            </w:pPr>
          </w:p>
        </w:tc>
        <w:tc>
          <w:tcPr>
            <w:tcW w:w="2312" w:type="dxa"/>
            <w:vAlign w:val="center"/>
          </w:tcPr>
          <w:p w14:paraId="2CF269BD">
            <w:pPr>
              <w:spacing w:line="520" w:lineRule="exact"/>
              <w:jc w:val="left"/>
              <w:rPr>
                <w:rFonts w:eastAsia="仿宋_GB2312"/>
                <w:color w:val="000000"/>
                <w:sz w:val="28"/>
                <w:szCs w:val="28"/>
              </w:rPr>
            </w:pPr>
            <w:r>
              <w:rPr>
                <w:rFonts w:eastAsia="仿宋_GB2312"/>
                <w:color w:val="000000"/>
                <w:sz w:val="28"/>
                <w:szCs w:val="28"/>
              </w:rPr>
              <w:t>依据过低读数延误服药/治疗</w:t>
            </w:r>
          </w:p>
        </w:tc>
        <w:tc>
          <w:tcPr>
            <w:tcW w:w="2226" w:type="dxa"/>
            <w:vAlign w:val="center"/>
          </w:tcPr>
          <w:p w14:paraId="373755A4">
            <w:pPr>
              <w:spacing w:line="520" w:lineRule="exact"/>
              <w:jc w:val="left"/>
              <w:rPr>
                <w:rFonts w:eastAsia="仿宋_GB2312"/>
                <w:color w:val="000000"/>
                <w:sz w:val="28"/>
                <w:szCs w:val="28"/>
              </w:rPr>
            </w:pPr>
            <w:r>
              <w:rPr>
                <w:rFonts w:eastAsia="仿宋_GB2312"/>
                <w:color w:val="000000"/>
                <w:sz w:val="28"/>
                <w:szCs w:val="28"/>
              </w:rPr>
              <w:t>未及时采取降温措施导致未及时控制体温上升，严重时延误治疗</w:t>
            </w:r>
          </w:p>
        </w:tc>
      </w:tr>
      <w:tr w14:paraId="47C5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1545" w:type="dxa"/>
            <w:vMerge w:val="continue"/>
            <w:vAlign w:val="center"/>
          </w:tcPr>
          <w:p w14:paraId="3F970C65">
            <w:pPr>
              <w:spacing w:line="520" w:lineRule="exact"/>
              <w:ind w:firstLine="560" w:firstLineChars="200"/>
              <w:jc w:val="left"/>
              <w:rPr>
                <w:rFonts w:eastAsia="仿宋_GB2312"/>
                <w:color w:val="000000"/>
                <w:sz w:val="28"/>
                <w:szCs w:val="28"/>
              </w:rPr>
            </w:pPr>
          </w:p>
        </w:tc>
        <w:tc>
          <w:tcPr>
            <w:tcW w:w="2845" w:type="dxa"/>
            <w:vAlign w:val="center"/>
          </w:tcPr>
          <w:p w14:paraId="35F2E4A1">
            <w:pPr>
              <w:spacing w:line="520" w:lineRule="exact"/>
              <w:jc w:val="left"/>
              <w:rPr>
                <w:rFonts w:eastAsia="仿宋_GB2312"/>
                <w:color w:val="000000"/>
                <w:sz w:val="28"/>
                <w:szCs w:val="28"/>
              </w:rPr>
            </w:pPr>
            <w:r>
              <w:rPr>
                <w:rFonts w:eastAsia="仿宋_GB2312"/>
                <w:color w:val="000000"/>
                <w:sz w:val="28"/>
                <w:szCs w:val="28"/>
              </w:rPr>
              <w:t>网电源中有浪涌能量（适用于可连接网电源的产品）</w:t>
            </w:r>
          </w:p>
        </w:tc>
        <w:tc>
          <w:tcPr>
            <w:tcW w:w="2312" w:type="dxa"/>
            <w:vAlign w:val="center"/>
          </w:tcPr>
          <w:p w14:paraId="09756C03">
            <w:pPr>
              <w:spacing w:line="520" w:lineRule="exact"/>
              <w:jc w:val="left"/>
              <w:rPr>
                <w:rFonts w:eastAsia="仿宋_GB2312"/>
                <w:color w:val="000000"/>
                <w:sz w:val="28"/>
                <w:szCs w:val="28"/>
              </w:rPr>
            </w:pPr>
            <w:r>
              <w:rPr>
                <w:rFonts w:eastAsia="仿宋_GB2312"/>
                <w:color w:val="000000"/>
                <w:sz w:val="28"/>
                <w:szCs w:val="28"/>
              </w:rPr>
              <w:t>设备故障、寿命缩短</w:t>
            </w:r>
          </w:p>
        </w:tc>
        <w:tc>
          <w:tcPr>
            <w:tcW w:w="2226" w:type="dxa"/>
            <w:vAlign w:val="center"/>
          </w:tcPr>
          <w:p w14:paraId="501C5911">
            <w:pPr>
              <w:spacing w:line="520" w:lineRule="exact"/>
              <w:jc w:val="left"/>
              <w:rPr>
                <w:rFonts w:eastAsia="仿宋_GB2312"/>
                <w:color w:val="000000"/>
                <w:sz w:val="28"/>
                <w:szCs w:val="28"/>
              </w:rPr>
            </w:pPr>
            <w:r>
              <w:rPr>
                <w:rFonts w:eastAsia="仿宋_GB2312"/>
                <w:color w:val="000000"/>
                <w:sz w:val="28"/>
                <w:szCs w:val="28"/>
              </w:rPr>
              <w:t>产品无法正常使用</w:t>
            </w:r>
          </w:p>
        </w:tc>
      </w:tr>
      <w:tr w14:paraId="2892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545" w:type="dxa"/>
            <w:vMerge w:val="continue"/>
            <w:vAlign w:val="center"/>
          </w:tcPr>
          <w:p w14:paraId="41BF4FB8">
            <w:pPr>
              <w:spacing w:line="520" w:lineRule="exact"/>
              <w:ind w:firstLine="560" w:firstLineChars="200"/>
              <w:jc w:val="left"/>
              <w:rPr>
                <w:rFonts w:eastAsia="仿宋_GB2312"/>
                <w:color w:val="000000"/>
                <w:sz w:val="28"/>
                <w:szCs w:val="28"/>
              </w:rPr>
            </w:pPr>
          </w:p>
        </w:tc>
        <w:tc>
          <w:tcPr>
            <w:tcW w:w="2845" w:type="dxa"/>
            <w:vAlign w:val="center"/>
          </w:tcPr>
          <w:p w14:paraId="5EBE12FF">
            <w:pPr>
              <w:spacing w:line="520" w:lineRule="exact"/>
              <w:jc w:val="left"/>
              <w:rPr>
                <w:rFonts w:eastAsia="仿宋_GB2312"/>
                <w:color w:val="000000"/>
                <w:sz w:val="28"/>
                <w:szCs w:val="28"/>
              </w:rPr>
            </w:pPr>
            <w:r>
              <w:rPr>
                <w:rFonts w:eastAsia="仿宋_GB2312"/>
                <w:color w:val="000000"/>
                <w:sz w:val="28"/>
                <w:szCs w:val="28"/>
              </w:rPr>
              <w:t>静电放电</w:t>
            </w:r>
          </w:p>
        </w:tc>
        <w:tc>
          <w:tcPr>
            <w:tcW w:w="2312" w:type="dxa"/>
            <w:vAlign w:val="center"/>
          </w:tcPr>
          <w:p w14:paraId="3DF1743E">
            <w:pPr>
              <w:spacing w:line="520" w:lineRule="exact"/>
              <w:jc w:val="left"/>
              <w:rPr>
                <w:rFonts w:eastAsia="仿宋_GB2312"/>
                <w:color w:val="000000"/>
                <w:sz w:val="28"/>
                <w:szCs w:val="28"/>
              </w:rPr>
            </w:pPr>
            <w:r>
              <w:rPr>
                <w:rFonts w:eastAsia="仿宋_GB2312"/>
                <w:color w:val="000000"/>
                <w:sz w:val="28"/>
                <w:szCs w:val="28"/>
              </w:rPr>
              <w:t>干扰程序运行</w:t>
            </w:r>
          </w:p>
        </w:tc>
        <w:tc>
          <w:tcPr>
            <w:tcW w:w="2226" w:type="dxa"/>
            <w:vAlign w:val="center"/>
          </w:tcPr>
          <w:p w14:paraId="4C372330">
            <w:pPr>
              <w:spacing w:line="520" w:lineRule="exact"/>
              <w:jc w:val="left"/>
              <w:rPr>
                <w:rFonts w:eastAsia="仿宋_GB2312"/>
                <w:color w:val="000000"/>
                <w:sz w:val="28"/>
                <w:szCs w:val="28"/>
              </w:rPr>
            </w:pPr>
            <w:r>
              <w:rPr>
                <w:rFonts w:eastAsia="仿宋_GB2312"/>
                <w:color w:val="000000"/>
                <w:sz w:val="28"/>
                <w:szCs w:val="28"/>
              </w:rPr>
              <w:t>导致测量结果误差过大或数据擦除</w:t>
            </w:r>
          </w:p>
        </w:tc>
      </w:tr>
      <w:tr w14:paraId="1E89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Align w:val="center"/>
          </w:tcPr>
          <w:p w14:paraId="0BA75203">
            <w:pPr>
              <w:spacing w:line="520" w:lineRule="exact"/>
              <w:jc w:val="left"/>
              <w:rPr>
                <w:rFonts w:eastAsia="仿宋_GB2312"/>
                <w:color w:val="000000"/>
                <w:sz w:val="28"/>
                <w:szCs w:val="28"/>
              </w:rPr>
            </w:pPr>
            <w:r>
              <w:rPr>
                <w:rFonts w:eastAsia="仿宋_GB2312"/>
                <w:color w:val="000000"/>
                <w:sz w:val="28"/>
                <w:szCs w:val="28"/>
              </w:rPr>
              <w:t>漏电流</w:t>
            </w:r>
          </w:p>
        </w:tc>
        <w:tc>
          <w:tcPr>
            <w:tcW w:w="2845" w:type="dxa"/>
            <w:vAlign w:val="center"/>
          </w:tcPr>
          <w:p w14:paraId="0692C5A6">
            <w:pPr>
              <w:widowControl/>
              <w:spacing w:line="520" w:lineRule="exact"/>
              <w:jc w:val="left"/>
              <w:rPr>
                <w:rFonts w:eastAsia="仿宋_GB2312"/>
                <w:color w:val="000000"/>
                <w:sz w:val="28"/>
                <w:szCs w:val="28"/>
              </w:rPr>
            </w:pPr>
            <w:r>
              <w:rPr>
                <w:rFonts w:eastAsia="仿宋_GB2312"/>
                <w:color w:val="000000"/>
                <w:sz w:val="28"/>
                <w:szCs w:val="28"/>
              </w:rPr>
              <w:t>可触及外壳、感温探头应用部分与带电部分隔离/保护不够</w:t>
            </w:r>
          </w:p>
        </w:tc>
        <w:tc>
          <w:tcPr>
            <w:tcW w:w="2312" w:type="dxa"/>
            <w:vAlign w:val="center"/>
          </w:tcPr>
          <w:p w14:paraId="23A8C890">
            <w:pPr>
              <w:spacing w:line="520" w:lineRule="exact"/>
              <w:jc w:val="left"/>
              <w:rPr>
                <w:rFonts w:eastAsia="仿宋_GB2312"/>
                <w:color w:val="000000"/>
                <w:sz w:val="28"/>
                <w:szCs w:val="28"/>
              </w:rPr>
            </w:pPr>
            <w:r>
              <w:rPr>
                <w:rFonts w:eastAsia="仿宋_GB2312"/>
                <w:color w:val="000000"/>
                <w:sz w:val="28"/>
                <w:szCs w:val="28"/>
              </w:rPr>
              <w:t>漏电流超出允许值</w:t>
            </w:r>
          </w:p>
        </w:tc>
        <w:tc>
          <w:tcPr>
            <w:tcW w:w="2226" w:type="dxa"/>
            <w:vAlign w:val="center"/>
          </w:tcPr>
          <w:p w14:paraId="646C605E">
            <w:pPr>
              <w:spacing w:line="520" w:lineRule="exact"/>
              <w:jc w:val="left"/>
              <w:rPr>
                <w:rFonts w:eastAsia="仿宋_GB2312"/>
                <w:color w:val="000000"/>
                <w:sz w:val="28"/>
                <w:szCs w:val="28"/>
              </w:rPr>
            </w:pPr>
            <w:r>
              <w:rPr>
                <w:rFonts w:eastAsia="仿宋_GB2312"/>
                <w:color w:val="000000"/>
                <w:sz w:val="28"/>
                <w:szCs w:val="28"/>
              </w:rPr>
              <w:t>导致人体触电</w:t>
            </w:r>
          </w:p>
        </w:tc>
      </w:tr>
      <w:tr w14:paraId="242E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trPr>
        <w:tc>
          <w:tcPr>
            <w:tcW w:w="1545" w:type="dxa"/>
            <w:vAlign w:val="center"/>
          </w:tcPr>
          <w:p w14:paraId="5A522817">
            <w:pPr>
              <w:spacing w:line="520" w:lineRule="exact"/>
              <w:jc w:val="left"/>
              <w:rPr>
                <w:rFonts w:eastAsia="仿宋_GB2312"/>
                <w:color w:val="000000"/>
                <w:sz w:val="28"/>
                <w:szCs w:val="28"/>
              </w:rPr>
            </w:pPr>
            <w:r>
              <w:rPr>
                <w:rFonts w:eastAsia="仿宋_GB2312"/>
                <w:color w:val="000000"/>
                <w:sz w:val="28"/>
                <w:szCs w:val="28"/>
              </w:rPr>
              <w:t>机械能</w:t>
            </w:r>
          </w:p>
        </w:tc>
        <w:tc>
          <w:tcPr>
            <w:tcW w:w="2845" w:type="dxa"/>
            <w:vAlign w:val="center"/>
          </w:tcPr>
          <w:p w14:paraId="0EB36225">
            <w:pPr>
              <w:spacing w:line="520" w:lineRule="exact"/>
              <w:jc w:val="left"/>
              <w:rPr>
                <w:rFonts w:eastAsia="仿宋_GB2312"/>
                <w:color w:val="000000"/>
                <w:sz w:val="28"/>
                <w:szCs w:val="28"/>
              </w:rPr>
            </w:pPr>
            <w:r>
              <w:rPr>
                <w:rFonts w:eastAsia="仿宋_GB2312"/>
                <w:color w:val="000000"/>
                <w:sz w:val="28"/>
                <w:szCs w:val="28"/>
              </w:rPr>
              <w:t>产品意外坠落</w:t>
            </w:r>
          </w:p>
        </w:tc>
        <w:tc>
          <w:tcPr>
            <w:tcW w:w="2312" w:type="dxa"/>
            <w:vAlign w:val="center"/>
          </w:tcPr>
          <w:p w14:paraId="5178DE81">
            <w:pPr>
              <w:spacing w:line="520" w:lineRule="exact"/>
              <w:jc w:val="left"/>
              <w:rPr>
                <w:rFonts w:eastAsia="仿宋_GB2312"/>
                <w:color w:val="000000"/>
                <w:sz w:val="28"/>
                <w:szCs w:val="28"/>
              </w:rPr>
            </w:pPr>
            <w:r>
              <w:rPr>
                <w:rFonts w:eastAsia="仿宋_GB2312"/>
                <w:color w:val="000000"/>
                <w:sz w:val="28"/>
                <w:szCs w:val="28"/>
              </w:rPr>
              <w:t>机械部件松动，液晶板接触不良</w:t>
            </w:r>
          </w:p>
        </w:tc>
        <w:tc>
          <w:tcPr>
            <w:tcW w:w="2226" w:type="dxa"/>
            <w:vAlign w:val="center"/>
          </w:tcPr>
          <w:p w14:paraId="1FA4F97B">
            <w:pPr>
              <w:spacing w:line="520" w:lineRule="exact"/>
              <w:jc w:val="left"/>
              <w:rPr>
                <w:rFonts w:eastAsia="仿宋_GB2312"/>
                <w:color w:val="000000"/>
                <w:sz w:val="28"/>
                <w:szCs w:val="28"/>
              </w:rPr>
            </w:pPr>
            <w:r>
              <w:rPr>
                <w:rFonts w:eastAsia="仿宋_GB2312"/>
                <w:color w:val="000000"/>
                <w:sz w:val="28"/>
                <w:szCs w:val="28"/>
              </w:rPr>
              <w:t>无法测量或测量误差过大，数据无法读取，严重时延误治疗</w:t>
            </w:r>
          </w:p>
        </w:tc>
      </w:tr>
      <w:tr w14:paraId="3079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1545" w:type="dxa"/>
            <w:vMerge w:val="restart"/>
            <w:vAlign w:val="center"/>
          </w:tcPr>
          <w:p w14:paraId="26478B13">
            <w:pPr>
              <w:spacing w:line="520" w:lineRule="exact"/>
              <w:jc w:val="left"/>
              <w:rPr>
                <w:rFonts w:eastAsia="仿宋_GB2312"/>
                <w:color w:val="000000"/>
                <w:sz w:val="28"/>
                <w:szCs w:val="28"/>
              </w:rPr>
            </w:pPr>
            <w:r>
              <w:rPr>
                <w:rFonts w:eastAsia="仿宋_GB2312"/>
                <w:color w:val="000000"/>
                <w:sz w:val="28"/>
                <w:szCs w:val="28"/>
              </w:rPr>
              <w:t>不正确的测量</w:t>
            </w:r>
          </w:p>
        </w:tc>
        <w:tc>
          <w:tcPr>
            <w:tcW w:w="2845" w:type="dxa"/>
            <w:vMerge w:val="restart"/>
            <w:vAlign w:val="center"/>
          </w:tcPr>
          <w:p w14:paraId="0D29361E">
            <w:pPr>
              <w:widowControl/>
              <w:spacing w:line="520" w:lineRule="exact"/>
              <w:jc w:val="left"/>
              <w:rPr>
                <w:rFonts w:eastAsia="仿宋_GB2312"/>
                <w:color w:val="000000"/>
                <w:sz w:val="28"/>
                <w:szCs w:val="28"/>
              </w:rPr>
            </w:pPr>
            <w:r>
              <w:rPr>
                <w:rFonts w:eastAsia="仿宋_GB2312"/>
                <w:color w:val="000000"/>
                <w:sz w:val="28"/>
                <w:szCs w:val="28"/>
              </w:rPr>
              <w:t>电池电压过低，不能正常测量或测量不准。</w:t>
            </w:r>
          </w:p>
        </w:tc>
        <w:tc>
          <w:tcPr>
            <w:tcW w:w="2312" w:type="dxa"/>
            <w:vAlign w:val="center"/>
          </w:tcPr>
          <w:p w14:paraId="62BAF188">
            <w:pPr>
              <w:spacing w:line="520" w:lineRule="exact"/>
              <w:jc w:val="left"/>
              <w:rPr>
                <w:rFonts w:eastAsia="仿宋_GB2312"/>
                <w:color w:val="000000"/>
                <w:sz w:val="28"/>
                <w:szCs w:val="28"/>
              </w:rPr>
            </w:pPr>
            <w:r>
              <w:rPr>
                <w:rFonts w:eastAsia="仿宋_GB2312"/>
                <w:color w:val="000000"/>
                <w:sz w:val="28"/>
                <w:szCs w:val="28"/>
              </w:rPr>
              <w:t>依据过高读数服用超剂量药物</w:t>
            </w:r>
          </w:p>
        </w:tc>
        <w:tc>
          <w:tcPr>
            <w:tcW w:w="2226" w:type="dxa"/>
            <w:vAlign w:val="center"/>
          </w:tcPr>
          <w:p w14:paraId="498AE9E1">
            <w:pPr>
              <w:spacing w:line="520" w:lineRule="exact"/>
              <w:jc w:val="left"/>
              <w:rPr>
                <w:rFonts w:eastAsia="仿宋_GB2312"/>
                <w:color w:val="000000"/>
                <w:sz w:val="28"/>
                <w:szCs w:val="28"/>
              </w:rPr>
            </w:pPr>
            <w:r>
              <w:rPr>
                <w:rFonts w:eastAsia="仿宋_GB2312"/>
                <w:color w:val="000000"/>
                <w:sz w:val="28"/>
                <w:szCs w:val="28"/>
              </w:rPr>
              <w:t>体温降低，严重时可能危及生命</w:t>
            </w:r>
          </w:p>
        </w:tc>
      </w:tr>
      <w:tr w14:paraId="313F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trPr>
        <w:tc>
          <w:tcPr>
            <w:tcW w:w="1545" w:type="dxa"/>
            <w:vMerge w:val="continue"/>
            <w:vAlign w:val="center"/>
          </w:tcPr>
          <w:p w14:paraId="7A014F6D">
            <w:pPr>
              <w:spacing w:line="520" w:lineRule="exact"/>
              <w:ind w:firstLine="560" w:firstLineChars="200"/>
              <w:jc w:val="left"/>
              <w:rPr>
                <w:rFonts w:eastAsia="仿宋_GB2312"/>
                <w:color w:val="000000"/>
                <w:sz w:val="28"/>
                <w:szCs w:val="28"/>
              </w:rPr>
            </w:pPr>
          </w:p>
        </w:tc>
        <w:tc>
          <w:tcPr>
            <w:tcW w:w="2845" w:type="dxa"/>
            <w:vMerge w:val="continue"/>
            <w:vAlign w:val="center"/>
          </w:tcPr>
          <w:p w14:paraId="32A05CA7">
            <w:pPr>
              <w:spacing w:line="520" w:lineRule="exact"/>
              <w:ind w:left="-100" w:firstLine="560" w:firstLineChars="200"/>
              <w:jc w:val="left"/>
              <w:rPr>
                <w:rFonts w:eastAsia="仿宋_GB2312"/>
                <w:color w:val="000000"/>
                <w:sz w:val="28"/>
                <w:szCs w:val="28"/>
              </w:rPr>
            </w:pPr>
          </w:p>
        </w:tc>
        <w:tc>
          <w:tcPr>
            <w:tcW w:w="2312" w:type="dxa"/>
            <w:vAlign w:val="center"/>
          </w:tcPr>
          <w:p w14:paraId="69082AE6">
            <w:pPr>
              <w:spacing w:line="520" w:lineRule="exact"/>
              <w:jc w:val="left"/>
              <w:rPr>
                <w:rFonts w:eastAsia="仿宋_GB2312"/>
                <w:color w:val="000000"/>
                <w:sz w:val="28"/>
                <w:szCs w:val="28"/>
              </w:rPr>
            </w:pPr>
            <w:r>
              <w:rPr>
                <w:rFonts w:eastAsia="仿宋_GB2312"/>
                <w:color w:val="000000"/>
                <w:sz w:val="28"/>
                <w:szCs w:val="28"/>
              </w:rPr>
              <w:t>依据过低读数延误服药</w:t>
            </w:r>
          </w:p>
        </w:tc>
        <w:tc>
          <w:tcPr>
            <w:tcW w:w="2226" w:type="dxa"/>
            <w:vAlign w:val="center"/>
          </w:tcPr>
          <w:p w14:paraId="29C00ACC">
            <w:pPr>
              <w:spacing w:line="520" w:lineRule="exact"/>
              <w:jc w:val="left"/>
              <w:rPr>
                <w:rFonts w:eastAsia="仿宋_GB2312"/>
                <w:color w:val="000000"/>
                <w:sz w:val="28"/>
                <w:szCs w:val="28"/>
              </w:rPr>
            </w:pPr>
            <w:r>
              <w:rPr>
                <w:rFonts w:eastAsia="仿宋_GB2312"/>
                <w:color w:val="000000"/>
                <w:sz w:val="28"/>
                <w:szCs w:val="28"/>
              </w:rPr>
              <w:t>未及时采取降温措施，未控制体温上升，体温过高严重时引起病情加重</w:t>
            </w:r>
          </w:p>
        </w:tc>
      </w:tr>
      <w:tr w14:paraId="172B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1545" w:type="dxa"/>
            <w:vAlign w:val="center"/>
          </w:tcPr>
          <w:p w14:paraId="2ECF9FE2">
            <w:pPr>
              <w:spacing w:line="520" w:lineRule="exact"/>
              <w:jc w:val="left"/>
              <w:rPr>
                <w:rFonts w:eastAsia="仿宋_GB2312"/>
                <w:color w:val="000000"/>
                <w:sz w:val="28"/>
                <w:szCs w:val="28"/>
              </w:rPr>
            </w:pPr>
            <w:r>
              <w:rPr>
                <w:rFonts w:eastAsia="仿宋_GB2312"/>
                <w:color w:val="000000"/>
                <w:sz w:val="28"/>
                <w:szCs w:val="28"/>
              </w:rPr>
              <w:t>生物学</w:t>
            </w:r>
          </w:p>
        </w:tc>
        <w:tc>
          <w:tcPr>
            <w:tcW w:w="2845" w:type="dxa"/>
            <w:vAlign w:val="center"/>
          </w:tcPr>
          <w:p w14:paraId="0A3F41FE">
            <w:pPr>
              <w:spacing w:line="520" w:lineRule="exact"/>
              <w:ind w:left="-99" w:leftChars="-47"/>
              <w:jc w:val="left"/>
              <w:rPr>
                <w:rFonts w:eastAsia="仿宋_GB2312"/>
                <w:color w:val="000000"/>
                <w:sz w:val="28"/>
                <w:szCs w:val="28"/>
              </w:rPr>
            </w:pPr>
            <w:r>
              <w:rPr>
                <w:rFonts w:eastAsia="仿宋_GB2312"/>
                <w:color w:val="000000"/>
                <w:sz w:val="28"/>
                <w:szCs w:val="28"/>
              </w:rPr>
              <w:t>使用生物相容性不良的材质制作外壳</w:t>
            </w:r>
          </w:p>
        </w:tc>
        <w:tc>
          <w:tcPr>
            <w:tcW w:w="2312" w:type="dxa"/>
            <w:vAlign w:val="center"/>
          </w:tcPr>
          <w:p w14:paraId="499C62A2">
            <w:pPr>
              <w:spacing w:line="520" w:lineRule="exact"/>
              <w:jc w:val="left"/>
              <w:rPr>
                <w:rFonts w:eastAsia="仿宋_GB2312"/>
                <w:color w:val="000000"/>
                <w:sz w:val="28"/>
                <w:szCs w:val="28"/>
              </w:rPr>
            </w:pPr>
            <w:r>
              <w:rPr>
                <w:rFonts w:eastAsia="仿宋_GB2312"/>
                <w:color w:val="000000"/>
                <w:sz w:val="28"/>
                <w:szCs w:val="28"/>
              </w:rPr>
              <w:t>人体接触</w:t>
            </w:r>
          </w:p>
        </w:tc>
        <w:tc>
          <w:tcPr>
            <w:tcW w:w="2226" w:type="dxa"/>
            <w:vAlign w:val="center"/>
          </w:tcPr>
          <w:p w14:paraId="2D632029">
            <w:pPr>
              <w:spacing w:line="520" w:lineRule="exact"/>
              <w:jc w:val="left"/>
              <w:rPr>
                <w:rFonts w:eastAsia="仿宋_GB2312"/>
                <w:color w:val="000000"/>
                <w:sz w:val="28"/>
                <w:szCs w:val="28"/>
              </w:rPr>
            </w:pPr>
            <w:r>
              <w:rPr>
                <w:rFonts w:eastAsia="仿宋_GB2312"/>
                <w:color w:val="000000"/>
                <w:sz w:val="28"/>
                <w:szCs w:val="28"/>
              </w:rPr>
              <w:t>皮肤过敏</w:t>
            </w:r>
            <w:bookmarkStart w:id="2" w:name="OLE_LINK18"/>
            <w:bookmarkStart w:id="3" w:name="OLE_LINK19"/>
            <w:r>
              <w:rPr>
                <w:rFonts w:eastAsia="仿宋_GB2312"/>
                <w:color w:val="000000"/>
                <w:sz w:val="28"/>
                <w:szCs w:val="28"/>
              </w:rPr>
              <w:t>、</w:t>
            </w:r>
            <w:bookmarkEnd w:id="2"/>
            <w:bookmarkEnd w:id="3"/>
            <w:r>
              <w:rPr>
                <w:rFonts w:eastAsia="仿宋_GB2312"/>
                <w:color w:val="000000"/>
                <w:sz w:val="28"/>
                <w:szCs w:val="28"/>
              </w:rPr>
              <w:t>刺激</w:t>
            </w:r>
          </w:p>
        </w:tc>
      </w:tr>
      <w:tr w14:paraId="3F27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1545" w:type="dxa"/>
            <w:vAlign w:val="center"/>
          </w:tcPr>
          <w:p w14:paraId="3E031A23">
            <w:pPr>
              <w:spacing w:line="520" w:lineRule="exact"/>
              <w:jc w:val="left"/>
              <w:rPr>
                <w:rFonts w:eastAsia="仿宋_GB2312"/>
                <w:color w:val="000000"/>
                <w:sz w:val="28"/>
                <w:szCs w:val="28"/>
              </w:rPr>
            </w:pPr>
            <w:r>
              <w:rPr>
                <w:rFonts w:eastAsia="仿宋_GB2312"/>
                <w:color w:val="000000"/>
                <w:sz w:val="28"/>
                <w:szCs w:val="28"/>
              </w:rPr>
              <w:t>化学</w:t>
            </w:r>
          </w:p>
        </w:tc>
        <w:tc>
          <w:tcPr>
            <w:tcW w:w="2845" w:type="dxa"/>
            <w:vAlign w:val="center"/>
          </w:tcPr>
          <w:p w14:paraId="6CF5AF99">
            <w:pPr>
              <w:spacing w:line="520" w:lineRule="exact"/>
              <w:ind w:left="-99" w:leftChars="-47"/>
              <w:jc w:val="left"/>
              <w:rPr>
                <w:rFonts w:eastAsia="仿宋_GB2312"/>
                <w:color w:val="000000"/>
                <w:sz w:val="28"/>
                <w:szCs w:val="28"/>
              </w:rPr>
            </w:pPr>
            <w:r>
              <w:rPr>
                <w:rFonts w:eastAsia="仿宋_GB2312"/>
                <w:color w:val="000000"/>
                <w:sz w:val="28"/>
                <w:szCs w:val="28"/>
              </w:rPr>
              <w:t>长时间不使用的电池未经取出，造成电池漏液</w:t>
            </w:r>
          </w:p>
        </w:tc>
        <w:tc>
          <w:tcPr>
            <w:tcW w:w="2312" w:type="dxa"/>
            <w:vAlign w:val="center"/>
          </w:tcPr>
          <w:p w14:paraId="2D52EF2C">
            <w:pPr>
              <w:spacing w:line="520" w:lineRule="exact"/>
              <w:jc w:val="left"/>
              <w:rPr>
                <w:rFonts w:eastAsia="仿宋_GB2312"/>
                <w:color w:val="000000"/>
                <w:sz w:val="28"/>
                <w:szCs w:val="28"/>
              </w:rPr>
            </w:pPr>
            <w:r>
              <w:rPr>
                <w:rFonts w:eastAsia="仿宋_GB2312"/>
                <w:color w:val="000000"/>
                <w:sz w:val="28"/>
                <w:szCs w:val="28"/>
              </w:rPr>
              <w:t>电路腐蚀、设备故障，无法工作</w:t>
            </w:r>
          </w:p>
        </w:tc>
        <w:tc>
          <w:tcPr>
            <w:tcW w:w="2226" w:type="dxa"/>
            <w:vAlign w:val="center"/>
          </w:tcPr>
          <w:p w14:paraId="5E2C131E">
            <w:pPr>
              <w:spacing w:line="520" w:lineRule="exact"/>
              <w:jc w:val="left"/>
              <w:rPr>
                <w:rFonts w:eastAsia="仿宋_GB2312"/>
                <w:color w:val="000000"/>
                <w:sz w:val="28"/>
                <w:szCs w:val="28"/>
              </w:rPr>
            </w:pPr>
            <w:r>
              <w:rPr>
                <w:rFonts w:eastAsia="仿宋_GB2312"/>
                <w:color w:val="000000"/>
                <w:sz w:val="28"/>
                <w:szCs w:val="28"/>
              </w:rPr>
              <w:t>产品损坏导致无法正常使用</w:t>
            </w:r>
          </w:p>
        </w:tc>
      </w:tr>
      <w:tr w14:paraId="582E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545" w:type="dxa"/>
            <w:vMerge w:val="restart"/>
            <w:vAlign w:val="center"/>
          </w:tcPr>
          <w:p w14:paraId="774E411B">
            <w:pPr>
              <w:spacing w:line="520" w:lineRule="exact"/>
              <w:jc w:val="left"/>
              <w:rPr>
                <w:rFonts w:eastAsia="仿宋_GB2312"/>
                <w:color w:val="000000"/>
                <w:sz w:val="28"/>
                <w:szCs w:val="28"/>
              </w:rPr>
            </w:pPr>
            <w:r>
              <w:rPr>
                <w:rFonts w:eastAsia="仿宋_GB2312"/>
                <w:color w:val="000000"/>
                <w:sz w:val="28"/>
                <w:szCs w:val="28"/>
              </w:rPr>
              <w:t>操作错误</w:t>
            </w:r>
          </w:p>
        </w:tc>
        <w:tc>
          <w:tcPr>
            <w:tcW w:w="2845" w:type="dxa"/>
            <w:vAlign w:val="center"/>
          </w:tcPr>
          <w:p w14:paraId="0ABA1CA8">
            <w:pPr>
              <w:widowControl/>
              <w:spacing w:line="520" w:lineRule="exact"/>
              <w:jc w:val="left"/>
              <w:rPr>
                <w:rFonts w:eastAsia="仿宋_GB2312"/>
                <w:color w:val="000000"/>
                <w:sz w:val="28"/>
                <w:szCs w:val="28"/>
              </w:rPr>
            </w:pPr>
            <w:r>
              <w:rPr>
                <w:rFonts w:eastAsia="仿宋_GB2312"/>
                <w:color w:val="000000"/>
                <w:sz w:val="28"/>
                <w:szCs w:val="28"/>
              </w:rPr>
              <w:t>测量部位不正确</w:t>
            </w:r>
          </w:p>
        </w:tc>
        <w:tc>
          <w:tcPr>
            <w:tcW w:w="2312" w:type="dxa"/>
            <w:vMerge w:val="restart"/>
            <w:vAlign w:val="center"/>
          </w:tcPr>
          <w:p w14:paraId="4E819CE9">
            <w:pPr>
              <w:spacing w:line="520" w:lineRule="exact"/>
              <w:jc w:val="left"/>
              <w:rPr>
                <w:rFonts w:eastAsia="仿宋_GB2312"/>
                <w:color w:val="000000"/>
                <w:sz w:val="28"/>
                <w:szCs w:val="28"/>
              </w:rPr>
            </w:pPr>
            <w:r>
              <w:rPr>
                <w:rFonts w:eastAsia="仿宋_GB2312"/>
                <w:color w:val="000000"/>
                <w:sz w:val="28"/>
                <w:szCs w:val="28"/>
              </w:rPr>
              <w:t>体温计无法测得人体真实体温</w:t>
            </w:r>
          </w:p>
        </w:tc>
        <w:tc>
          <w:tcPr>
            <w:tcW w:w="2226" w:type="dxa"/>
            <w:vMerge w:val="restart"/>
            <w:vAlign w:val="center"/>
          </w:tcPr>
          <w:p w14:paraId="3A316FA9">
            <w:pPr>
              <w:widowControl/>
              <w:spacing w:line="520" w:lineRule="exact"/>
              <w:jc w:val="left"/>
              <w:rPr>
                <w:rFonts w:eastAsia="仿宋_GB2312"/>
                <w:color w:val="000000"/>
                <w:sz w:val="28"/>
                <w:szCs w:val="28"/>
              </w:rPr>
            </w:pPr>
            <w:r>
              <w:rPr>
                <w:rFonts w:eastAsia="仿宋_GB2312"/>
                <w:color w:val="000000"/>
                <w:sz w:val="28"/>
                <w:szCs w:val="28"/>
              </w:rPr>
              <w:t>测量误差过大，影响对病情的判断，严重时延误治疗</w:t>
            </w:r>
          </w:p>
        </w:tc>
      </w:tr>
      <w:tr w14:paraId="180F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545" w:type="dxa"/>
            <w:vMerge w:val="continue"/>
            <w:vAlign w:val="center"/>
          </w:tcPr>
          <w:p w14:paraId="3AAB5005">
            <w:pPr>
              <w:spacing w:line="520" w:lineRule="exact"/>
              <w:ind w:firstLine="560" w:firstLineChars="200"/>
              <w:jc w:val="left"/>
              <w:rPr>
                <w:rFonts w:eastAsia="仿宋_GB2312"/>
                <w:color w:val="000000"/>
                <w:sz w:val="28"/>
                <w:szCs w:val="28"/>
              </w:rPr>
            </w:pPr>
          </w:p>
        </w:tc>
        <w:tc>
          <w:tcPr>
            <w:tcW w:w="2845" w:type="dxa"/>
            <w:vAlign w:val="center"/>
          </w:tcPr>
          <w:p w14:paraId="48AD274D">
            <w:pPr>
              <w:widowControl/>
              <w:spacing w:line="520" w:lineRule="exact"/>
              <w:jc w:val="left"/>
              <w:rPr>
                <w:rFonts w:eastAsia="仿宋_GB2312"/>
                <w:color w:val="000000"/>
                <w:sz w:val="28"/>
                <w:szCs w:val="28"/>
              </w:rPr>
            </w:pPr>
            <w:r>
              <w:rPr>
                <w:rFonts w:eastAsia="仿宋_GB2312"/>
                <w:color w:val="000000"/>
                <w:sz w:val="28"/>
                <w:szCs w:val="28"/>
              </w:rPr>
              <w:t>测量方法不当</w:t>
            </w:r>
          </w:p>
        </w:tc>
        <w:tc>
          <w:tcPr>
            <w:tcW w:w="2312" w:type="dxa"/>
            <w:vMerge w:val="continue"/>
            <w:vAlign w:val="center"/>
          </w:tcPr>
          <w:p w14:paraId="5C7598F7">
            <w:pPr>
              <w:spacing w:line="520" w:lineRule="exact"/>
              <w:ind w:firstLine="560" w:firstLineChars="200"/>
              <w:jc w:val="left"/>
              <w:rPr>
                <w:rFonts w:eastAsia="仿宋_GB2312"/>
                <w:color w:val="000000"/>
                <w:sz w:val="28"/>
                <w:szCs w:val="28"/>
              </w:rPr>
            </w:pPr>
          </w:p>
        </w:tc>
        <w:tc>
          <w:tcPr>
            <w:tcW w:w="2226" w:type="dxa"/>
            <w:vMerge w:val="continue"/>
            <w:vAlign w:val="center"/>
          </w:tcPr>
          <w:p w14:paraId="3F53173F">
            <w:pPr>
              <w:spacing w:line="520" w:lineRule="exact"/>
              <w:ind w:firstLine="560" w:firstLineChars="200"/>
              <w:jc w:val="left"/>
              <w:rPr>
                <w:rFonts w:eastAsia="仿宋_GB2312"/>
                <w:color w:val="000000"/>
                <w:sz w:val="28"/>
                <w:szCs w:val="28"/>
              </w:rPr>
            </w:pPr>
          </w:p>
        </w:tc>
      </w:tr>
      <w:tr w14:paraId="6B34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45" w:type="dxa"/>
            <w:vMerge w:val="continue"/>
            <w:vAlign w:val="center"/>
          </w:tcPr>
          <w:p w14:paraId="5C27E4EB">
            <w:pPr>
              <w:spacing w:line="520" w:lineRule="exact"/>
              <w:ind w:firstLine="560" w:firstLineChars="200"/>
              <w:jc w:val="left"/>
              <w:rPr>
                <w:rFonts w:eastAsia="仿宋_GB2312"/>
                <w:color w:val="000000"/>
                <w:sz w:val="28"/>
                <w:szCs w:val="28"/>
              </w:rPr>
            </w:pPr>
          </w:p>
        </w:tc>
        <w:tc>
          <w:tcPr>
            <w:tcW w:w="2845" w:type="dxa"/>
            <w:vAlign w:val="center"/>
          </w:tcPr>
          <w:p w14:paraId="1B555634">
            <w:pPr>
              <w:spacing w:line="520" w:lineRule="exact"/>
              <w:ind w:left="-99"/>
              <w:jc w:val="left"/>
              <w:rPr>
                <w:rFonts w:eastAsia="仿宋_GB2312"/>
                <w:color w:val="000000"/>
                <w:sz w:val="28"/>
                <w:szCs w:val="28"/>
              </w:rPr>
            </w:pPr>
            <w:r>
              <w:rPr>
                <w:rFonts w:eastAsia="仿宋_GB2312"/>
                <w:color w:val="000000"/>
                <w:sz w:val="28"/>
                <w:szCs w:val="28"/>
              </w:rPr>
              <w:t>在规定的温湿度范围外测量</w:t>
            </w:r>
          </w:p>
        </w:tc>
        <w:tc>
          <w:tcPr>
            <w:tcW w:w="2312" w:type="dxa"/>
            <w:vMerge w:val="continue"/>
            <w:vAlign w:val="center"/>
          </w:tcPr>
          <w:p w14:paraId="67608572">
            <w:pPr>
              <w:spacing w:line="520" w:lineRule="exact"/>
              <w:ind w:firstLine="560" w:firstLineChars="200"/>
              <w:jc w:val="left"/>
              <w:rPr>
                <w:rFonts w:eastAsia="仿宋_GB2312"/>
                <w:color w:val="000000"/>
                <w:sz w:val="28"/>
                <w:szCs w:val="28"/>
              </w:rPr>
            </w:pPr>
          </w:p>
        </w:tc>
        <w:tc>
          <w:tcPr>
            <w:tcW w:w="2226" w:type="dxa"/>
            <w:vMerge w:val="continue"/>
            <w:vAlign w:val="center"/>
          </w:tcPr>
          <w:p w14:paraId="7BBB3105">
            <w:pPr>
              <w:spacing w:line="520" w:lineRule="exact"/>
              <w:ind w:firstLine="560" w:firstLineChars="200"/>
              <w:jc w:val="left"/>
              <w:rPr>
                <w:rFonts w:eastAsia="仿宋_GB2312"/>
                <w:color w:val="000000"/>
                <w:sz w:val="28"/>
                <w:szCs w:val="28"/>
              </w:rPr>
            </w:pPr>
          </w:p>
        </w:tc>
      </w:tr>
      <w:tr w14:paraId="613D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45" w:type="dxa"/>
            <w:vMerge w:val="continue"/>
            <w:vAlign w:val="center"/>
          </w:tcPr>
          <w:p w14:paraId="134D40E2">
            <w:pPr>
              <w:spacing w:line="520" w:lineRule="exact"/>
              <w:ind w:firstLine="560" w:firstLineChars="200"/>
              <w:jc w:val="left"/>
              <w:rPr>
                <w:rFonts w:eastAsia="仿宋_GB2312"/>
                <w:color w:val="000000"/>
                <w:sz w:val="28"/>
                <w:szCs w:val="28"/>
              </w:rPr>
            </w:pPr>
          </w:p>
        </w:tc>
        <w:tc>
          <w:tcPr>
            <w:tcW w:w="2845" w:type="dxa"/>
            <w:vAlign w:val="center"/>
          </w:tcPr>
          <w:p w14:paraId="13D18F0B">
            <w:pPr>
              <w:spacing w:line="520" w:lineRule="exact"/>
              <w:jc w:val="left"/>
              <w:rPr>
                <w:rFonts w:eastAsia="仿宋_GB2312"/>
                <w:color w:val="000000"/>
                <w:sz w:val="28"/>
                <w:szCs w:val="28"/>
              </w:rPr>
            </w:pPr>
            <w:r>
              <w:rPr>
                <w:rFonts w:eastAsia="仿宋_GB2312"/>
                <w:color w:val="000000"/>
                <w:sz w:val="28"/>
                <w:szCs w:val="28"/>
              </w:rPr>
              <w:t>在超出正常使用范围的变化环境中测量</w:t>
            </w:r>
          </w:p>
        </w:tc>
        <w:tc>
          <w:tcPr>
            <w:tcW w:w="2312" w:type="dxa"/>
            <w:vMerge w:val="continue"/>
            <w:vAlign w:val="center"/>
          </w:tcPr>
          <w:p w14:paraId="1201324F">
            <w:pPr>
              <w:spacing w:line="520" w:lineRule="exact"/>
              <w:ind w:firstLine="560" w:firstLineChars="200"/>
              <w:jc w:val="left"/>
              <w:rPr>
                <w:rFonts w:eastAsia="仿宋_GB2312"/>
                <w:color w:val="000000"/>
                <w:sz w:val="28"/>
                <w:szCs w:val="28"/>
              </w:rPr>
            </w:pPr>
          </w:p>
        </w:tc>
        <w:tc>
          <w:tcPr>
            <w:tcW w:w="2226" w:type="dxa"/>
            <w:vMerge w:val="continue"/>
            <w:vAlign w:val="center"/>
          </w:tcPr>
          <w:p w14:paraId="002C1CD4">
            <w:pPr>
              <w:spacing w:line="520" w:lineRule="exact"/>
              <w:ind w:firstLine="560" w:firstLineChars="200"/>
              <w:jc w:val="left"/>
              <w:rPr>
                <w:rFonts w:eastAsia="仿宋_GB2312"/>
                <w:color w:val="000000"/>
                <w:sz w:val="28"/>
                <w:szCs w:val="28"/>
              </w:rPr>
            </w:pPr>
          </w:p>
        </w:tc>
      </w:tr>
      <w:tr w14:paraId="5859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45" w:type="dxa"/>
            <w:vMerge w:val="continue"/>
            <w:vAlign w:val="center"/>
          </w:tcPr>
          <w:p w14:paraId="066AB610">
            <w:pPr>
              <w:spacing w:line="520" w:lineRule="exact"/>
              <w:ind w:firstLine="560" w:firstLineChars="200"/>
              <w:jc w:val="left"/>
              <w:rPr>
                <w:rFonts w:eastAsia="仿宋_GB2312"/>
                <w:color w:val="000000"/>
                <w:sz w:val="28"/>
                <w:szCs w:val="28"/>
              </w:rPr>
            </w:pPr>
          </w:p>
        </w:tc>
        <w:tc>
          <w:tcPr>
            <w:tcW w:w="2845" w:type="dxa"/>
            <w:vAlign w:val="center"/>
          </w:tcPr>
          <w:p w14:paraId="154CCE14">
            <w:pPr>
              <w:spacing w:line="520" w:lineRule="exact"/>
              <w:jc w:val="left"/>
              <w:rPr>
                <w:rFonts w:eastAsia="仿宋_GB2312"/>
                <w:color w:val="000000"/>
                <w:sz w:val="28"/>
                <w:szCs w:val="28"/>
              </w:rPr>
            </w:pPr>
            <w:r>
              <w:rPr>
                <w:rFonts w:eastAsia="仿宋_GB2312"/>
                <w:color w:val="000000"/>
                <w:sz w:val="28"/>
                <w:szCs w:val="28"/>
              </w:rPr>
              <w:t>不正确的测量距离</w:t>
            </w:r>
          </w:p>
        </w:tc>
        <w:tc>
          <w:tcPr>
            <w:tcW w:w="2312" w:type="dxa"/>
            <w:vMerge w:val="continue"/>
            <w:vAlign w:val="center"/>
          </w:tcPr>
          <w:p w14:paraId="187553E5">
            <w:pPr>
              <w:spacing w:line="520" w:lineRule="exact"/>
              <w:ind w:firstLine="560" w:firstLineChars="200"/>
              <w:jc w:val="left"/>
              <w:rPr>
                <w:rFonts w:eastAsia="仿宋_GB2312"/>
                <w:color w:val="000000"/>
                <w:sz w:val="28"/>
                <w:szCs w:val="28"/>
              </w:rPr>
            </w:pPr>
          </w:p>
        </w:tc>
        <w:tc>
          <w:tcPr>
            <w:tcW w:w="2226" w:type="dxa"/>
            <w:vMerge w:val="continue"/>
            <w:vAlign w:val="center"/>
          </w:tcPr>
          <w:p w14:paraId="7DC1EA37">
            <w:pPr>
              <w:spacing w:line="520" w:lineRule="exact"/>
              <w:ind w:firstLine="560" w:firstLineChars="200"/>
              <w:jc w:val="left"/>
              <w:rPr>
                <w:rFonts w:eastAsia="仿宋_GB2312"/>
                <w:color w:val="000000"/>
                <w:sz w:val="28"/>
                <w:szCs w:val="28"/>
              </w:rPr>
            </w:pPr>
          </w:p>
        </w:tc>
      </w:tr>
      <w:tr w14:paraId="282C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45" w:type="dxa"/>
            <w:vMerge w:val="restart"/>
            <w:vAlign w:val="center"/>
          </w:tcPr>
          <w:p w14:paraId="6FD6AAB3">
            <w:pPr>
              <w:spacing w:line="520" w:lineRule="exact"/>
              <w:jc w:val="left"/>
              <w:rPr>
                <w:rFonts w:eastAsia="仿宋_GB2312"/>
                <w:color w:val="000000"/>
                <w:sz w:val="28"/>
                <w:szCs w:val="28"/>
              </w:rPr>
            </w:pPr>
            <w:r>
              <w:rPr>
                <w:rFonts w:eastAsia="仿宋_GB2312"/>
                <w:color w:val="000000"/>
                <w:sz w:val="28"/>
                <w:szCs w:val="28"/>
              </w:rPr>
              <w:t>不完整的说明书</w:t>
            </w:r>
          </w:p>
        </w:tc>
        <w:tc>
          <w:tcPr>
            <w:tcW w:w="2845" w:type="dxa"/>
            <w:vAlign w:val="center"/>
          </w:tcPr>
          <w:p w14:paraId="67F80D3F">
            <w:pPr>
              <w:spacing w:line="520" w:lineRule="exact"/>
              <w:ind w:left="-99"/>
              <w:jc w:val="left"/>
              <w:rPr>
                <w:rFonts w:eastAsia="仿宋_GB2312"/>
                <w:color w:val="000000"/>
                <w:sz w:val="28"/>
                <w:szCs w:val="28"/>
              </w:rPr>
            </w:pPr>
            <w:r>
              <w:rPr>
                <w:rFonts w:eastAsia="仿宋_GB2312"/>
                <w:color w:val="000000"/>
                <w:sz w:val="28"/>
                <w:szCs w:val="28"/>
              </w:rPr>
              <w:t>未对错误操作进行说明</w:t>
            </w:r>
          </w:p>
        </w:tc>
        <w:tc>
          <w:tcPr>
            <w:tcW w:w="2312" w:type="dxa"/>
            <w:vAlign w:val="center"/>
          </w:tcPr>
          <w:p w14:paraId="0E473950">
            <w:pPr>
              <w:spacing w:line="520" w:lineRule="exact"/>
              <w:jc w:val="left"/>
              <w:rPr>
                <w:rFonts w:eastAsia="仿宋_GB2312"/>
                <w:color w:val="000000"/>
                <w:sz w:val="28"/>
                <w:szCs w:val="28"/>
              </w:rPr>
            </w:pPr>
            <w:r>
              <w:rPr>
                <w:rFonts w:eastAsia="仿宋_GB2312"/>
                <w:color w:val="000000"/>
                <w:sz w:val="28"/>
                <w:szCs w:val="28"/>
              </w:rPr>
              <w:t>导致操作错误，见“操作错误”</w:t>
            </w:r>
          </w:p>
        </w:tc>
        <w:tc>
          <w:tcPr>
            <w:tcW w:w="2226" w:type="dxa"/>
            <w:vAlign w:val="center"/>
          </w:tcPr>
          <w:p w14:paraId="0EF2D889">
            <w:pPr>
              <w:spacing w:line="520" w:lineRule="exact"/>
              <w:jc w:val="left"/>
              <w:rPr>
                <w:rFonts w:eastAsia="仿宋_GB2312"/>
                <w:color w:val="000000"/>
                <w:sz w:val="28"/>
                <w:szCs w:val="28"/>
              </w:rPr>
            </w:pPr>
            <w:r>
              <w:rPr>
                <w:rFonts w:eastAsia="仿宋_GB2312"/>
                <w:color w:val="000000"/>
                <w:sz w:val="28"/>
                <w:szCs w:val="28"/>
              </w:rPr>
              <w:t>测量失败；测量值误差过大，见“不正确的测量”</w:t>
            </w:r>
          </w:p>
        </w:tc>
      </w:tr>
      <w:tr w14:paraId="4643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45" w:type="dxa"/>
            <w:vMerge w:val="continue"/>
            <w:vAlign w:val="center"/>
          </w:tcPr>
          <w:p w14:paraId="6199105B">
            <w:pPr>
              <w:spacing w:line="520" w:lineRule="exact"/>
              <w:ind w:firstLine="560" w:firstLineChars="200"/>
              <w:jc w:val="left"/>
              <w:rPr>
                <w:rFonts w:eastAsia="仿宋_GB2312"/>
                <w:color w:val="000000"/>
                <w:sz w:val="28"/>
                <w:szCs w:val="28"/>
              </w:rPr>
            </w:pPr>
          </w:p>
        </w:tc>
        <w:tc>
          <w:tcPr>
            <w:tcW w:w="2845" w:type="dxa"/>
            <w:vAlign w:val="center"/>
          </w:tcPr>
          <w:p w14:paraId="053E95A9">
            <w:pPr>
              <w:spacing w:line="520" w:lineRule="exact"/>
              <w:ind w:left="-99"/>
              <w:jc w:val="left"/>
              <w:rPr>
                <w:rFonts w:eastAsia="仿宋_GB2312"/>
                <w:color w:val="000000"/>
                <w:sz w:val="28"/>
                <w:szCs w:val="28"/>
              </w:rPr>
            </w:pPr>
            <w:r>
              <w:rPr>
                <w:rFonts w:eastAsia="仿宋_GB2312"/>
                <w:color w:val="000000"/>
                <w:sz w:val="28"/>
                <w:szCs w:val="28"/>
              </w:rPr>
              <w:t>不正确的消毒方法</w:t>
            </w:r>
          </w:p>
        </w:tc>
        <w:tc>
          <w:tcPr>
            <w:tcW w:w="2312" w:type="dxa"/>
            <w:vAlign w:val="center"/>
          </w:tcPr>
          <w:p w14:paraId="57CCD034">
            <w:pPr>
              <w:spacing w:line="520" w:lineRule="exact"/>
              <w:jc w:val="left"/>
              <w:rPr>
                <w:rFonts w:eastAsia="仿宋_GB2312"/>
                <w:color w:val="000000"/>
                <w:sz w:val="28"/>
                <w:szCs w:val="28"/>
              </w:rPr>
            </w:pPr>
            <w:r>
              <w:rPr>
                <w:rFonts w:eastAsia="仿宋_GB2312"/>
                <w:color w:val="000000"/>
                <w:sz w:val="28"/>
                <w:szCs w:val="28"/>
              </w:rPr>
              <w:t>使用有腐蚀性的清洁剂、消毒剂。产品部件</w:t>
            </w:r>
            <w:bookmarkStart w:id="4" w:name="OLE_LINK20"/>
            <w:bookmarkStart w:id="5" w:name="OLE_LINK21"/>
            <w:r>
              <w:rPr>
                <w:rFonts w:eastAsia="仿宋_GB2312"/>
                <w:color w:val="000000"/>
                <w:sz w:val="28"/>
                <w:szCs w:val="28"/>
              </w:rPr>
              <w:t>腐蚀</w:t>
            </w:r>
            <w:bookmarkEnd w:id="4"/>
            <w:bookmarkEnd w:id="5"/>
            <w:r>
              <w:rPr>
                <w:rFonts w:eastAsia="仿宋_GB2312"/>
                <w:color w:val="000000"/>
                <w:sz w:val="28"/>
                <w:szCs w:val="28"/>
              </w:rPr>
              <w:t>，设备故障，无法工作</w:t>
            </w:r>
          </w:p>
        </w:tc>
        <w:tc>
          <w:tcPr>
            <w:tcW w:w="2226" w:type="dxa"/>
            <w:vAlign w:val="center"/>
          </w:tcPr>
          <w:p w14:paraId="2729FACB">
            <w:pPr>
              <w:spacing w:line="520" w:lineRule="exact"/>
              <w:jc w:val="left"/>
              <w:rPr>
                <w:rFonts w:eastAsia="仿宋_GB2312"/>
                <w:color w:val="000000"/>
                <w:sz w:val="28"/>
                <w:szCs w:val="28"/>
              </w:rPr>
            </w:pPr>
            <w:r>
              <w:rPr>
                <w:rFonts w:eastAsia="仿宋_GB2312"/>
                <w:color w:val="000000"/>
                <w:sz w:val="28"/>
                <w:szCs w:val="28"/>
              </w:rPr>
              <w:t>产品部件腐蚀，防护性能降低，无法正常使用</w:t>
            </w:r>
          </w:p>
        </w:tc>
      </w:tr>
      <w:tr w14:paraId="48D6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45" w:type="dxa"/>
            <w:vMerge w:val="continue"/>
            <w:vAlign w:val="center"/>
          </w:tcPr>
          <w:p w14:paraId="777500D7">
            <w:pPr>
              <w:spacing w:line="520" w:lineRule="exact"/>
              <w:ind w:firstLine="560" w:firstLineChars="200"/>
              <w:jc w:val="left"/>
              <w:rPr>
                <w:rFonts w:eastAsia="仿宋_GB2312"/>
                <w:color w:val="000000"/>
                <w:sz w:val="28"/>
                <w:szCs w:val="28"/>
              </w:rPr>
            </w:pPr>
          </w:p>
        </w:tc>
        <w:tc>
          <w:tcPr>
            <w:tcW w:w="2845" w:type="dxa"/>
            <w:vAlign w:val="center"/>
          </w:tcPr>
          <w:p w14:paraId="2C91AC3C">
            <w:pPr>
              <w:spacing w:line="520" w:lineRule="exact"/>
              <w:ind w:left="-99"/>
              <w:jc w:val="left"/>
              <w:rPr>
                <w:rFonts w:eastAsia="仿宋_GB2312"/>
                <w:color w:val="000000"/>
                <w:sz w:val="28"/>
                <w:szCs w:val="28"/>
              </w:rPr>
            </w:pPr>
            <w:r>
              <w:rPr>
                <w:rFonts w:eastAsia="仿宋_GB2312"/>
                <w:color w:val="000000"/>
                <w:sz w:val="28"/>
                <w:szCs w:val="28"/>
              </w:rPr>
              <w:t>不正确的产品贮存条件</w:t>
            </w:r>
          </w:p>
        </w:tc>
        <w:tc>
          <w:tcPr>
            <w:tcW w:w="2312" w:type="dxa"/>
            <w:vAlign w:val="center"/>
          </w:tcPr>
          <w:p w14:paraId="0A580434">
            <w:pPr>
              <w:spacing w:line="520" w:lineRule="exact"/>
              <w:jc w:val="left"/>
              <w:rPr>
                <w:rFonts w:eastAsia="仿宋_GB2312"/>
                <w:color w:val="000000"/>
                <w:sz w:val="28"/>
                <w:szCs w:val="28"/>
              </w:rPr>
            </w:pPr>
            <w:r>
              <w:rPr>
                <w:rFonts w:eastAsia="仿宋_GB2312"/>
                <w:color w:val="000000"/>
                <w:sz w:val="28"/>
                <w:szCs w:val="28"/>
              </w:rPr>
              <w:t>器件老化，部件寿命降低</w:t>
            </w:r>
          </w:p>
        </w:tc>
        <w:tc>
          <w:tcPr>
            <w:tcW w:w="2226" w:type="dxa"/>
            <w:vAlign w:val="center"/>
          </w:tcPr>
          <w:p w14:paraId="554A81A7">
            <w:pPr>
              <w:spacing w:line="520" w:lineRule="exact"/>
              <w:jc w:val="left"/>
              <w:rPr>
                <w:rFonts w:eastAsia="仿宋_GB2312"/>
                <w:color w:val="000000"/>
                <w:sz w:val="28"/>
                <w:szCs w:val="28"/>
              </w:rPr>
            </w:pPr>
            <w:r>
              <w:rPr>
                <w:rFonts w:eastAsia="仿宋_GB2312"/>
                <w:color w:val="000000"/>
                <w:sz w:val="28"/>
                <w:szCs w:val="28"/>
              </w:rPr>
              <w:t>产品寿命降低，导致测量值误差过大，见“不正确的测量”</w:t>
            </w:r>
          </w:p>
        </w:tc>
      </w:tr>
      <w:tr w14:paraId="3351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45" w:type="dxa"/>
            <w:vMerge w:val="continue"/>
            <w:vAlign w:val="center"/>
          </w:tcPr>
          <w:p w14:paraId="789ABC5A">
            <w:pPr>
              <w:spacing w:line="520" w:lineRule="exact"/>
              <w:ind w:firstLine="560" w:firstLineChars="200"/>
              <w:jc w:val="left"/>
              <w:rPr>
                <w:rFonts w:eastAsia="仿宋_GB2312"/>
                <w:color w:val="000000"/>
                <w:sz w:val="28"/>
                <w:szCs w:val="28"/>
              </w:rPr>
            </w:pPr>
          </w:p>
        </w:tc>
        <w:tc>
          <w:tcPr>
            <w:tcW w:w="2845" w:type="dxa"/>
            <w:vAlign w:val="center"/>
          </w:tcPr>
          <w:p w14:paraId="23CCBCB8">
            <w:pPr>
              <w:spacing w:line="520" w:lineRule="exact"/>
              <w:ind w:left="-99"/>
              <w:jc w:val="left"/>
              <w:rPr>
                <w:rFonts w:eastAsia="仿宋_GB2312"/>
                <w:color w:val="000000"/>
                <w:sz w:val="28"/>
                <w:szCs w:val="28"/>
              </w:rPr>
            </w:pPr>
            <w:r>
              <w:rPr>
                <w:rFonts w:eastAsia="仿宋_GB2312"/>
                <w:color w:val="000000"/>
                <w:sz w:val="28"/>
                <w:szCs w:val="28"/>
              </w:rPr>
              <w:t>未规定校验周期</w:t>
            </w:r>
          </w:p>
        </w:tc>
        <w:tc>
          <w:tcPr>
            <w:tcW w:w="2312" w:type="dxa"/>
            <w:vAlign w:val="center"/>
          </w:tcPr>
          <w:p w14:paraId="42BFED2D">
            <w:pPr>
              <w:spacing w:line="520" w:lineRule="exact"/>
              <w:jc w:val="left"/>
              <w:rPr>
                <w:rFonts w:eastAsia="仿宋_GB2312"/>
                <w:color w:val="000000"/>
                <w:sz w:val="28"/>
                <w:szCs w:val="28"/>
              </w:rPr>
            </w:pPr>
            <w:r>
              <w:rPr>
                <w:rFonts w:eastAsia="仿宋_GB2312"/>
                <w:color w:val="000000"/>
                <w:sz w:val="28"/>
                <w:szCs w:val="28"/>
              </w:rPr>
              <w:t>传感器存在偏差，未对设备进行校准</w:t>
            </w:r>
          </w:p>
        </w:tc>
        <w:tc>
          <w:tcPr>
            <w:tcW w:w="2226" w:type="dxa"/>
            <w:vAlign w:val="center"/>
          </w:tcPr>
          <w:p w14:paraId="60098255">
            <w:pPr>
              <w:spacing w:line="520" w:lineRule="exact"/>
              <w:jc w:val="left"/>
              <w:rPr>
                <w:rFonts w:eastAsia="仿宋_GB2312"/>
                <w:color w:val="000000"/>
                <w:sz w:val="28"/>
                <w:szCs w:val="28"/>
              </w:rPr>
            </w:pPr>
            <w:r>
              <w:rPr>
                <w:rFonts w:eastAsia="仿宋_GB2312"/>
                <w:color w:val="000000"/>
                <w:sz w:val="28"/>
                <w:szCs w:val="28"/>
              </w:rPr>
              <w:t>见“不正确的测量”</w:t>
            </w:r>
          </w:p>
        </w:tc>
      </w:tr>
    </w:tbl>
    <w:p w14:paraId="000847AB">
      <w:pPr>
        <w:spacing w:line="520" w:lineRule="exact"/>
        <w:ind w:firstLine="640" w:firstLineChars="200"/>
        <w:rPr>
          <w:rFonts w:eastAsia="仿宋_GB2312"/>
          <w:bCs/>
          <w:color w:val="000000"/>
          <w:sz w:val="32"/>
          <w:szCs w:val="32"/>
        </w:rPr>
      </w:pPr>
    </w:p>
    <w:p w14:paraId="4F508852">
      <w:pPr>
        <w:spacing w:line="520" w:lineRule="exact"/>
        <w:ind w:firstLine="640" w:firstLineChars="200"/>
        <w:rPr>
          <w:rFonts w:eastAsia="仿宋_GB2312"/>
          <w:color w:val="000000"/>
          <w:sz w:val="32"/>
          <w:szCs w:val="32"/>
        </w:rPr>
      </w:pPr>
      <w:r>
        <w:rPr>
          <w:rFonts w:eastAsia="仿宋_GB2312"/>
          <w:color w:val="000000"/>
          <w:sz w:val="32"/>
          <w:szCs w:val="32"/>
        </w:rPr>
        <w:t>2.产品技术要求及检验报告</w:t>
      </w:r>
    </w:p>
    <w:p w14:paraId="6114E1E6">
      <w:pPr>
        <w:spacing w:line="520" w:lineRule="exact"/>
        <w:ind w:firstLine="640" w:firstLineChars="200"/>
        <w:rPr>
          <w:rFonts w:eastAsia="仿宋_GB2312"/>
          <w:color w:val="000000"/>
          <w:sz w:val="32"/>
          <w:szCs w:val="32"/>
        </w:rPr>
      </w:pPr>
      <w:r>
        <w:rPr>
          <w:rFonts w:eastAsia="仿宋_GB2312"/>
          <w:color w:val="000000"/>
          <w:sz w:val="32"/>
          <w:szCs w:val="32"/>
        </w:rPr>
        <w:t>2.1申报产品适用标准情况</w:t>
      </w:r>
    </w:p>
    <w:p w14:paraId="43C8E84A">
      <w:pPr>
        <w:spacing w:line="520" w:lineRule="exact"/>
        <w:ind w:left="178" w:leftChars="85" w:firstLine="496" w:firstLineChars="155"/>
        <w:jc w:val="left"/>
        <w:rPr>
          <w:rFonts w:eastAsia="仿宋_GB2312"/>
          <w:color w:val="000000"/>
          <w:sz w:val="32"/>
          <w:szCs w:val="32"/>
        </w:rPr>
      </w:pPr>
      <w:r>
        <w:rPr>
          <w:rFonts w:eastAsia="仿宋_GB2312"/>
          <w:color w:val="000000"/>
          <w:sz w:val="32"/>
          <w:szCs w:val="32"/>
        </w:rPr>
        <w:t>申报产品应当符合适用的强制性标准。对于强制性行业标准，若申报产品结构特征、预期用途、使用方式等与强制性标准的适用范围不一致，申请人应当提出不适用强制性标准的说明，并提供经验证的证明性资料。</w:t>
      </w:r>
    </w:p>
    <w:p w14:paraId="1F86BBB0">
      <w:pPr>
        <w:spacing w:line="520" w:lineRule="exact"/>
        <w:ind w:firstLine="640" w:firstLineChars="200"/>
        <w:rPr>
          <w:rFonts w:eastAsia="仿宋_GB2312"/>
          <w:color w:val="000000"/>
          <w:sz w:val="32"/>
          <w:szCs w:val="32"/>
        </w:rPr>
      </w:pPr>
      <w:r>
        <w:rPr>
          <w:rFonts w:eastAsia="仿宋_GB2312"/>
          <w:color w:val="000000"/>
          <w:sz w:val="32"/>
          <w:szCs w:val="32"/>
        </w:rPr>
        <w:t>2.2产品技术要求</w:t>
      </w:r>
    </w:p>
    <w:p w14:paraId="4A224F83">
      <w:pPr>
        <w:spacing w:line="520" w:lineRule="exact"/>
        <w:ind w:firstLine="640" w:firstLineChars="200"/>
        <w:rPr>
          <w:rFonts w:eastAsia="仿宋_GB2312"/>
          <w:color w:val="000000"/>
          <w:sz w:val="32"/>
          <w:szCs w:val="32"/>
        </w:rPr>
      </w:pPr>
      <w:r>
        <w:rPr>
          <w:rFonts w:eastAsia="仿宋_GB2312"/>
          <w:color w:val="000000"/>
          <w:sz w:val="32"/>
          <w:szCs w:val="32"/>
        </w:rPr>
        <w:t>医疗器械产品技术要求应当按照相关要求的规定编制。</w:t>
      </w:r>
    </w:p>
    <w:p w14:paraId="5896584E">
      <w:pPr>
        <w:spacing w:line="520" w:lineRule="exact"/>
        <w:ind w:firstLine="640" w:firstLineChars="200"/>
        <w:rPr>
          <w:rFonts w:eastAsia="仿宋_GB2312"/>
          <w:color w:val="000000"/>
          <w:sz w:val="32"/>
          <w:szCs w:val="32"/>
        </w:rPr>
      </w:pPr>
      <w:r>
        <w:rPr>
          <w:rFonts w:eastAsia="仿宋_GB2312"/>
          <w:color w:val="000000"/>
          <w:sz w:val="32"/>
          <w:szCs w:val="32"/>
        </w:rPr>
        <w:t>2.3检验报告</w:t>
      </w:r>
    </w:p>
    <w:p w14:paraId="6FEFDD1C">
      <w:pPr>
        <w:spacing w:line="520" w:lineRule="exact"/>
        <w:ind w:firstLine="640" w:firstLineChars="200"/>
        <w:rPr>
          <w:rFonts w:eastAsia="仿宋_GB2312"/>
          <w:color w:val="000000"/>
          <w:sz w:val="32"/>
          <w:szCs w:val="32"/>
        </w:rPr>
      </w:pPr>
      <w:r>
        <w:rPr>
          <w:rFonts w:eastAsia="仿宋_GB2312"/>
          <w:color w:val="000000"/>
          <w:sz w:val="32"/>
          <w:szCs w:val="32"/>
        </w:rPr>
        <w:t>可提交以下任一形式的检验报告：</w:t>
      </w:r>
    </w:p>
    <w:p w14:paraId="38A1FF16">
      <w:pPr>
        <w:spacing w:line="520" w:lineRule="exact"/>
        <w:ind w:firstLine="640" w:firstLineChars="200"/>
        <w:rPr>
          <w:rFonts w:eastAsia="仿宋_GB2312"/>
          <w:color w:val="000000"/>
          <w:sz w:val="32"/>
          <w:szCs w:val="32"/>
        </w:rPr>
      </w:pPr>
      <w:r>
        <w:rPr>
          <w:rFonts w:hint="eastAsia" w:eastAsia="仿宋_GB2312"/>
          <w:color w:val="000000"/>
          <w:sz w:val="32"/>
          <w:szCs w:val="32"/>
        </w:rPr>
        <w:t>2.3.1</w:t>
      </w:r>
      <w:r>
        <w:rPr>
          <w:rFonts w:eastAsia="仿宋_GB2312"/>
          <w:color w:val="000000"/>
          <w:sz w:val="32"/>
          <w:szCs w:val="32"/>
        </w:rPr>
        <w:t>申请人出具的自检报告。</w:t>
      </w:r>
    </w:p>
    <w:p w14:paraId="3B37E5DB">
      <w:pPr>
        <w:spacing w:line="520" w:lineRule="exact"/>
        <w:ind w:firstLine="640" w:firstLineChars="200"/>
        <w:rPr>
          <w:rFonts w:eastAsia="仿宋_GB2312"/>
          <w:color w:val="000000"/>
          <w:sz w:val="32"/>
          <w:szCs w:val="32"/>
        </w:rPr>
      </w:pPr>
      <w:r>
        <w:rPr>
          <w:rFonts w:hint="eastAsia" w:eastAsia="仿宋_GB2312"/>
          <w:color w:val="000000"/>
          <w:sz w:val="32"/>
          <w:szCs w:val="32"/>
        </w:rPr>
        <w:t>2.3.2</w:t>
      </w:r>
      <w:r>
        <w:rPr>
          <w:rFonts w:eastAsia="仿宋_GB2312"/>
          <w:color w:val="000000"/>
          <w:sz w:val="32"/>
          <w:szCs w:val="32"/>
        </w:rPr>
        <w:t>委托有资质的医疗器械检验机构出具的检验报告</w:t>
      </w:r>
    </w:p>
    <w:p w14:paraId="0BB70D04">
      <w:pPr>
        <w:spacing w:line="520" w:lineRule="exact"/>
        <w:ind w:firstLine="640" w:firstLineChars="200"/>
        <w:rPr>
          <w:rFonts w:eastAsia="仿宋_GB2312"/>
          <w:color w:val="000000"/>
          <w:sz w:val="32"/>
          <w:szCs w:val="32"/>
        </w:rPr>
      </w:pPr>
      <w:r>
        <w:rPr>
          <w:rFonts w:eastAsia="仿宋_GB2312"/>
          <w:color w:val="000000"/>
          <w:sz w:val="32"/>
          <w:szCs w:val="32"/>
        </w:rPr>
        <w:t>2.4产品技术要求性能指标</w:t>
      </w:r>
    </w:p>
    <w:p w14:paraId="592BAF34">
      <w:pPr>
        <w:spacing w:line="520" w:lineRule="exact"/>
        <w:ind w:firstLine="640" w:firstLineChars="200"/>
        <w:rPr>
          <w:rFonts w:eastAsia="仿宋_GB2312"/>
          <w:color w:val="000000"/>
          <w:sz w:val="32"/>
          <w:szCs w:val="32"/>
        </w:rPr>
      </w:pPr>
      <w:r>
        <w:rPr>
          <w:rFonts w:eastAsia="仿宋_GB2312"/>
          <w:color w:val="000000"/>
          <w:sz w:val="32"/>
          <w:szCs w:val="32"/>
        </w:rPr>
        <w:t>本条款给出医用红外额温计产品需要满足的主要技术指标，企业可参考相应的国家标准、行业标准，根据企业自身产品的技术特点制定相应的要求，但不得低于相关强制性国家标准、行业标准的要求。如有不适用条款（包括国家标准、行业标准要求），企业应在研究资料的产品性能研究中说明理由。</w:t>
      </w:r>
    </w:p>
    <w:p w14:paraId="407EFDF3">
      <w:pPr>
        <w:spacing w:line="520" w:lineRule="exact"/>
        <w:ind w:firstLine="640" w:firstLineChars="200"/>
        <w:rPr>
          <w:rFonts w:eastAsia="仿宋_GB2312"/>
          <w:color w:val="000000"/>
          <w:sz w:val="32"/>
          <w:szCs w:val="32"/>
        </w:rPr>
      </w:pPr>
      <w:r>
        <w:rPr>
          <w:rFonts w:eastAsia="仿宋_GB2312"/>
          <w:color w:val="000000"/>
          <w:sz w:val="32"/>
          <w:szCs w:val="32"/>
        </w:rPr>
        <w:t>医用红外额温计产品主要性能一般包括：</w:t>
      </w:r>
    </w:p>
    <w:p w14:paraId="2956051B">
      <w:pPr>
        <w:spacing w:line="520" w:lineRule="exact"/>
        <w:ind w:firstLine="640" w:firstLineChars="200"/>
        <w:rPr>
          <w:rFonts w:eastAsia="仿宋_GB2312"/>
          <w:color w:val="000000"/>
          <w:sz w:val="32"/>
          <w:szCs w:val="32"/>
        </w:rPr>
      </w:pPr>
      <w:r>
        <w:rPr>
          <w:rFonts w:hint="eastAsia" w:eastAsia="仿宋_GB2312"/>
          <w:color w:val="000000"/>
          <w:sz w:val="32"/>
          <w:szCs w:val="32"/>
        </w:rPr>
        <w:t>2.4.1</w:t>
      </w:r>
      <w:r>
        <w:rPr>
          <w:rFonts w:eastAsia="仿宋_GB2312"/>
          <w:color w:val="000000"/>
          <w:sz w:val="32"/>
          <w:szCs w:val="32"/>
        </w:rPr>
        <w:t>外观与结构</w:t>
      </w:r>
    </w:p>
    <w:p w14:paraId="44B782F8">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.1</w:t>
      </w:r>
      <w:r>
        <w:rPr>
          <w:rFonts w:hint="eastAsia" w:eastAsia="仿宋_GB2312"/>
          <w:color w:val="000000"/>
          <w:sz w:val="32"/>
          <w:szCs w:val="32"/>
        </w:rPr>
        <w:t>.1</w:t>
      </w:r>
      <w:r>
        <w:rPr>
          <w:rFonts w:eastAsia="仿宋_GB2312"/>
          <w:color w:val="000000"/>
          <w:sz w:val="32"/>
          <w:szCs w:val="32"/>
        </w:rPr>
        <w:t>外表不应有明显划痕、污垢、破损和变形。</w:t>
      </w:r>
    </w:p>
    <w:p w14:paraId="38FBB167">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.1</w:t>
      </w:r>
      <w:r>
        <w:rPr>
          <w:rFonts w:hint="eastAsia" w:eastAsia="仿宋_GB2312"/>
          <w:color w:val="000000"/>
          <w:sz w:val="32"/>
          <w:szCs w:val="32"/>
        </w:rPr>
        <w:t>.2</w:t>
      </w:r>
      <w:r>
        <w:rPr>
          <w:rFonts w:eastAsia="仿宋_GB2312"/>
          <w:color w:val="000000"/>
          <w:sz w:val="32"/>
          <w:szCs w:val="32"/>
        </w:rPr>
        <w:t>控制面板上文字和标志应准确、清晰、牢固。</w:t>
      </w:r>
    </w:p>
    <w:p w14:paraId="765987B2">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.1</w:t>
      </w:r>
      <w:r>
        <w:rPr>
          <w:rFonts w:hint="eastAsia" w:eastAsia="仿宋_GB2312"/>
          <w:color w:val="000000"/>
          <w:sz w:val="32"/>
          <w:szCs w:val="32"/>
        </w:rPr>
        <w:t>.3</w:t>
      </w:r>
      <w:r>
        <w:rPr>
          <w:rFonts w:eastAsia="仿宋_GB2312"/>
          <w:color w:val="000000"/>
          <w:sz w:val="32"/>
          <w:szCs w:val="32"/>
        </w:rPr>
        <w:t>控制和调节机构应灵活可靠，紧固件应无松动。</w:t>
      </w:r>
    </w:p>
    <w:p w14:paraId="0292DCD9">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.1</w:t>
      </w:r>
      <w:r>
        <w:rPr>
          <w:rFonts w:hint="eastAsia" w:eastAsia="仿宋_GB2312"/>
          <w:color w:val="000000"/>
          <w:sz w:val="32"/>
          <w:szCs w:val="32"/>
        </w:rPr>
        <w:t>.4</w:t>
      </w:r>
      <w:r>
        <w:rPr>
          <w:rFonts w:eastAsia="仿宋_GB2312"/>
          <w:color w:val="000000"/>
          <w:sz w:val="32"/>
          <w:szCs w:val="32"/>
        </w:rPr>
        <w:t>功能键应有明确的标识、指示。</w:t>
      </w:r>
    </w:p>
    <w:p w14:paraId="52F8044A">
      <w:pPr>
        <w:spacing w:line="520" w:lineRule="exact"/>
        <w:ind w:firstLine="640" w:firstLineChars="200"/>
        <w:rPr>
          <w:rFonts w:eastAsia="仿宋_GB2312"/>
          <w:color w:val="000000"/>
          <w:sz w:val="32"/>
          <w:szCs w:val="32"/>
        </w:rPr>
      </w:pPr>
      <w:r>
        <w:rPr>
          <w:rFonts w:hint="eastAsia" w:eastAsia="仿宋_GB2312"/>
          <w:color w:val="000000"/>
          <w:sz w:val="32"/>
          <w:szCs w:val="32"/>
        </w:rPr>
        <w:t>2.4.2</w:t>
      </w:r>
      <w:r>
        <w:rPr>
          <w:rFonts w:eastAsia="仿宋_GB2312"/>
          <w:color w:val="000000"/>
          <w:sz w:val="32"/>
          <w:szCs w:val="32"/>
        </w:rPr>
        <w:t>测量温度显示范围</w:t>
      </w:r>
    </w:p>
    <w:p w14:paraId="5A4C2974">
      <w:pPr>
        <w:spacing w:line="520" w:lineRule="exact"/>
        <w:ind w:firstLine="640" w:firstLineChars="200"/>
        <w:rPr>
          <w:rFonts w:eastAsia="仿宋_GB2312"/>
          <w:color w:val="000000"/>
          <w:sz w:val="32"/>
          <w:szCs w:val="32"/>
        </w:rPr>
      </w:pPr>
      <w:r>
        <w:rPr>
          <w:rFonts w:eastAsia="仿宋_GB2312"/>
          <w:color w:val="000000"/>
          <w:sz w:val="32"/>
          <w:szCs w:val="32"/>
        </w:rPr>
        <w:t>温度显示范围不应窄于32.0</w:t>
      </w:r>
      <w:r>
        <w:rPr>
          <w:rFonts w:hint="eastAsia" w:eastAsia="仿宋_GB2312"/>
          <w:sz w:val="32"/>
          <w:szCs w:val="32"/>
        </w:rPr>
        <w:t>℃</w:t>
      </w:r>
      <w:r>
        <w:rPr>
          <w:rFonts w:eastAsia="仿宋_GB2312"/>
          <w:color w:val="000000"/>
          <w:sz w:val="32"/>
          <w:szCs w:val="32"/>
        </w:rPr>
        <w:t>～42.0</w:t>
      </w:r>
      <w:r>
        <w:rPr>
          <w:rFonts w:hint="eastAsia" w:eastAsia="仿宋_GB2312"/>
          <w:sz w:val="32"/>
          <w:szCs w:val="32"/>
        </w:rPr>
        <w:t>℃</w:t>
      </w:r>
      <w:r>
        <w:rPr>
          <w:rFonts w:eastAsia="仿宋_GB2312"/>
          <w:color w:val="000000"/>
          <w:sz w:val="32"/>
          <w:szCs w:val="32"/>
        </w:rPr>
        <w:t>。</w:t>
      </w:r>
    </w:p>
    <w:p w14:paraId="0F3E1B59">
      <w:pPr>
        <w:spacing w:line="520" w:lineRule="exact"/>
        <w:ind w:firstLine="640" w:firstLineChars="200"/>
        <w:rPr>
          <w:rFonts w:eastAsia="仿宋_GB2312"/>
          <w:color w:val="000000"/>
          <w:sz w:val="32"/>
          <w:szCs w:val="32"/>
        </w:rPr>
      </w:pPr>
      <w:r>
        <w:rPr>
          <w:rFonts w:hint="eastAsia" w:eastAsia="仿宋_GB2312"/>
          <w:color w:val="000000"/>
          <w:sz w:val="32"/>
          <w:szCs w:val="32"/>
        </w:rPr>
        <w:t>2.4.3</w:t>
      </w:r>
      <w:r>
        <w:rPr>
          <w:rFonts w:eastAsia="仿宋_GB2312"/>
          <w:color w:val="000000"/>
          <w:sz w:val="32"/>
          <w:szCs w:val="32"/>
        </w:rPr>
        <w:t>最大允许误差</w:t>
      </w:r>
    </w:p>
    <w:p w14:paraId="27A4A1D3">
      <w:pPr>
        <w:spacing w:line="520" w:lineRule="exact"/>
        <w:ind w:firstLine="640" w:firstLineChars="200"/>
        <w:rPr>
          <w:rFonts w:eastAsia="仿宋_GB2312"/>
          <w:color w:val="000000"/>
          <w:sz w:val="32"/>
          <w:szCs w:val="32"/>
        </w:rPr>
      </w:pPr>
      <w:r>
        <w:rPr>
          <w:rFonts w:hint="eastAsia" w:eastAsia="仿宋_GB2312"/>
          <w:color w:val="000000"/>
          <w:sz w:val="32"/>
          <w:szCs w:val="32"/>
        </w:rPr>
        <w:t>2.4.3.1</w:t>
      </w:r>
      <w:r>
        <w:rPr>
          <w:rFonts w:eastAsia="仿宋_GB2312"/>
          <w:color w:val="000000"/>
          <w:sz w:val="32"/>
          <w:szCs w:val="32"/>
        </w:rPr>
        <w:t>规定的温度显示范围内最大允许误差</w:t>
      </w:r>
    </w:p>
    <w:p w14:paraId="1BF933D6">
      <w:pPr>
        <w:spacing w:line="520" w:lineRule="exact"/>
        <w:ind w:firstLine="640" w:firstLineChars="200"/>
        <w:rPr>
          <w:rFonts w:eastAsia="仿宋_GB2312"/>
          <w:color w:val="000000"/>
          <w:sz w:val="32"/>
          <w:szCs w:val="32"/>
        </w:rPr>
      </w:pPr>
      <w:r>
        <w:rPr>
          <w:rFonts w:eastAsia="仿宋_GB2312"/>
          <w:color w:val="000000"/>
          <w:sz w:val="32"/>
          <w:szCs w:val="32"/>
        </w:rPr>
        <w:t>在35.0</w:t>
      </w:r>
      <w:r>
        <w:rPr>
          <w:rFonts w:hint="eastAsia" w:eastAsia="仿宋_GB2312"/>
          <w:sz w:val="32"/>
          <w:szCs w:val="32"/>
        </w:rPr>
        <w:t>℃</w:t>
      </w:r>
      <w:r>
        <w:rPr>
          <w:rFonts w:eastAsia="仿宋_GB2312"/>
          <w:color w:val="000000"/>
          <w:sz w:val="32"/>
          <w:szCs w:val="32"/>
        </w:rPr>
        <w:t>-42.0</w:t>
      </w:r>
      <w:r>
        <w:rPr>
          <w:rFonts w:hint="eastAsia" w:eastAsia="仿宋_GB2312"/>
          <w:sz w:val="32"/>
          <w:szCs w:val="32"/>
        </w:rPr>
        <w:t>℃</w:t>
      </w:r>
      <w:r>
        <w:rPr>
          <w:rFonts w:eastAsia="仿宋_GB2312"/>
          <w:color w:val="000000"/>
          <w:sz w:val="32"/>
          <w:szCs w:val="32"/>
        </w:rPr>
        <w:t>温度范围内，最大允许误差±0.2</w:t>
      </w:r>
      <w:r>
        <w:rPr>
          <w:rFonts w:hint="eastAsia" w:eastAsia="仿宋_GB2312"/>
          <w:sz w:val="32"/>
          <w:szCs w:val="32"/>
        </w:rPr>
        <w:t>℃</w:t>
      </w:r>
      <w:r>
        <w:rPr>
          <w:rFonts w:eastAsia="仿宋_GB2312"/>
          <w:color w:val="000000"/>
          <w:sz w:val="32"/>
          <w:szCs w:val="32"/>
        </w:rPr>
        <w:t>。</w:t>
      </w:r>
    </w:p>
    <w:p w14:paraId="50871347">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3.2 规定的温度显示范围外最大允许误差</w:t>
      </w:r>
    </w:p>
    <w:p w14:paraId="2BBE6749">
      <w:pPr>
        <w:spacing w:line="520" w:lineRule="exact"/>
        <w:ind w:firstLine="640" w:firstLineChars="200"/>
        <w:rPr>
          <w:rFonts w:eastAsia="仿宋_GB2312"/>
          <w:color w:val="000000"/>
          <w:sz w:val="32"/>
          <w:szCs w:val="32"/>
        </w:rPr>
      </w:pPr>
      <w:r>
        <w:rPr>
          <w:rFonts w:eastAsia="仿宋_GB2312"/>
          <w:color w:val="000000"/>
          <w:sz w:val="32"/>
          <w:szCs w:val="32"/>
        </w:rPr>
        <w:t>在35.0</w:t>
      </w:r>
      <w:r>
        <w:rPr>
          <w:rFonts w:hint="eastAsia" w:eastAsia="仿宋_GB2312"/>
          <w:sz w:val="32"/>
          <w:szCs w:val="32"/>
        </w:rPr>
        <w:t>℃</w:t>
      </w:r>
      <w:r>
        <w:rPr>
          <w:rFonts w:eastAsia="仿宋_GB2312"/>
          <w:color w:val="000000"/>
          <w:sz w:val="32"/>
          <w:szCs w:val="32"/>
        </w:rPr>
        <w:t>-42.0</w:t>
      </w:r>
      <w:r>
        <w:rPr>
          <w:rFonts w:hint="eastAsia" w:eastAsia="仿宋_GB2312"/>
          <w:sz w:val="32"/>
          <w:szCs w:val="32"/>
        </w:rPr>
        <w:t>℃</w:t>
      </w:r>
      <w:r>
        <w:rPr>
          <w:rFonts w:eastAsia="仿宋_GB2312"/>
          <w:color w:val="000000"/>
          <w:sz w:val="32"/>
          <w:szCs w:val="32"/>
        </w:rPr>
        <w:t>温度范围外，最大允许误差±0.3</w:t>
      </w:r>
      <w:r>
        <w:rPr>
          <w:rFonts w:hint="eastAsia" w:eastAsia="仿宋_GB2312"/>
          <w:sz w:val="32"/>
          <w:szCs w:val="32"/>
        </w:rPr>
        <w:t>℃</w:t>
      </w:r>
      <w:r>
        <w:rPr>
          <w:rFonts w:eastAsia="仿宋_GB2312"/>
          <w:color w:val="000000"/>
          <w:sz w:val="32"/>
          <w:szCs w:val="32"/>
        </w:rPr>
        <w:t>。</w:t>
      </w:r>
    </w:p>
    <w:p w14:paraId="7BD733BB">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3.3 变化环境条件下最大允许误差</w:t>
      </w:r>
    </w:p>
    <w:p w14:paraId="1FF72115">
      <w:pPr>
        <w:spacing w:line="520" w:lineRule="exact"/>
        <w:ind w:firstLine="640" w:firstLineChars="200"/>
        <w:rPr>
          <w:rFonts w:eastAsia="仿宋_GB2312"/>
          <w:color w:val="000000"/>
          <w:sz w:val="32"/>
          <w:szCs w:val="32"/>
        </w:rPr>
      </w:pPr>
      <w:r>
        <w:rPr>
          <w:rFonts w:eastAsia="仿宋_GB2312"/>
          <w:color w:val="000000"/>
          <w:sz w:val="32"/>
          <w:szCs w:val="32"/>
        </w:rPr>
        <w:t>变化环境条件下，医用红外额温计在 35.0</w:t>
      </w:r>
      <w:r>
        <w:rPr>
          <w:rFonts w:hint="eastAsia" w:eastAsia="仿宋_GB2312"/>
          <w:sz w:val="32"/>
          <w:szCs w:val="32"/>
        </w:rPr>
        <w:t>℃</w:t>
      </w:r>
      <w:r>
        <w:rPr>
          <w:rFonts w:eastAsia="仿宋_GB2312"/>
          <w:color w:val="000000"/>
          <w:sz w:val="32"/>
          <w:szCs w:val="32"/>
        </w:rPr>
        <w:t>～42.0</w:t>
      </w:r>
      <w:r>
        <w:rPr>
          <w:rFonts w:hint="eastAsia" w:eastAsia="仿宋_GB2312"/>
          <w:sz w:val="32"/>
          <w:szCs w:val="32"/>
        </w:rPr>
        <w:t>℃</w:t>
      </w:r>
      <w:r>
        <w:rPr>
          <w:rFonts w:eastAsia="仿宋_GB2312"/>
          <w:color w:val="000000"/>
          <w:sz w:val="32"/>
          <w:szCs w:val="32"/>
        </w:rPr>
        <w:t>温度显示范围内最大允许误差应符合最大允许误差±0.2</w:t>
      </w:r>
      <w:r>
        <w:rPr>
          <w:rFonts w:hint="eastAsia" w:eastAsia="仿宋_GB2312"/>
          <w:sz w:val="32"/>
          <w:szCs w:val="32"/>
        </w:rPr>
        <w:t>℃</w:t>
      </w:r>
      <w:r>
        <w:rPr>
          <w:rFonts w:eastAsia="仿宋_GB2312"/>
          <w:color w:val="000000"/>
          <w:sz w:val="32"/>
          <w:szCs w:val="32"/>
        </w:rPr>
        <w:t>的要求。若医用红外额温计不具备符合最大允许误差要求的能力，应停止提供读数。</w:t>
      </w:r>
    </w:p>
    <w:p w14:paraId="42B450E2">
      <w:pPr>
        <w:spacing w:line="520" w:lineRule="exact"/>
        <w:ind w:firstLine="640" w:firstLineChars="200"/>
        <w:rPr>
          <w:rFonts w:eastAsia="仿宋_GB2312"/>
          <w:color w:val="000000"/>
          <w:sz w:val="32"/>
          <w:szCs w:val="32"/>
        </w:rPr>
      </w:pPr>
      <w:r>
        <w:rPr>
          <w:rFonts w:hint="eastAsia" w:eastAsia="仿宋_GB2312"/>
          <w:color w:val="000000"/>
          <w:sz w:val="32"/>
          <w:szCs w:val="32"/>
        </w:rPr>
        <w:t>2.4.4</w:t>
      </w:r>
      <w:r>
        <w:rPr>
          <w:rFonts w:eastAsia="仿宋_GB2312"/>
          <w:color w:val="000000"/>
          <w:sz w:val="32"/>
          <w:szCs w:val="32"/>
        </w:rPr>
        <w:t>测量单位</w:t>
      </w:r>
    </w:p>
    <w:p w14:paraId="53679A66">
      <w:pPr>
        <w:spacing w:line="520" w:lineRule="exact"/>
        <w:ind w:firstLine="640" w:firstLineChars="200"/>
        <w:rPr>
          <w:rFonts w:eastAsia="仿宋_GB2312"/>
          <w:color w:val="000000"/>
          <w:sz w:val="32"/>
          <w:szCs w:val="32"/>
        </w:rPr>
      </w:pPr>
      <w:r>
        <w:rPr>
          <w:rFonts w:hint="eastAsia" w:eastAsia="仿宋_GB2312"/>
          <w:color w:val="000000"/>
          <w:sz w:val="32"/>
          <w:szCs w:val="32"/>
        </w:rPr>
        <w:t>2.4.5</w:t>
      </w:r>
      <w:r>
        <w:rPr>
          <w:rFonts w:eastAsia="仿宋_GB2312"/>
          <w:color w:val="000000"/>
          <w:sz w:val="32"/>
          <w:szCs w:val="32"/>
        </w:rPr>
        <w:t>抗跌落性</w:t>
      </w:r>
    </w:p>
    <w:p w14:paraId="50418E82">
      <w:pPr>
        <w:spacing w:line="520" w:lineRule="exact"/>
        <w:ind w:firstLine="640" w:firstLineChars="200"/>
        <w:rPr>
          <w:rFonts w:eastAsia="仿宋_GB2312"/>
          <w:color w:val="000000"/>
          <w:sz w:val="32"/>
          <w:szCs w:val="32"/>
        </w:rPr>
      </w:pPr>
      <w:r>
        <w:rPr>
          <w:rFonts w:eastAsia="仿宋_GB2312"/>
          <w:color w:val="000000"/>
          <w:sz w:val="32"/>
          <w:szCs w:val="32"/>
        </w:rPr>
        <w:t>医用红外额温计在正常使用时从垂直距离1m高处以三次不同起始姿态自由跌落到一个硬质表面上后应符合在35.0</w:t>
      </w:r>
      <w:r>
        <w:rPr>
          <w:rFonts w:hint="eastAsia" w:eastAsia="仿宋_GB2312"/>
          <w:sz w:val="32"/>
          <w:szCs w:val="32"/>
        </w:rPr>
        <w:t>℃</w:t>
      </w:r>
      <w:r>
        <w:rPr>
          <w:rFonts w:eastAsia="仿宋_GB2312"/>
          <w:color w:val="000000"/>
          <w:sz w:val="32"/>
          <w:szCs w:val="32"/>
        </w:rPr>
        <w:t>-42.0</w:t>
      </w:r>
      <w:r>
        <w:rPr>
          <w:rFonts w:hint="eastAsia" w:eastAsia="仿宋_GB2312"/>
          <w:sz w:val="32"/>
          <w:szCs w:val="32"/>
        </w:rPr>
        <w:t>℃</w:t>
      </w:r>
      <w:r>
        <w:rPr>
          <w:rFonts w:eastAsia="仿宋_GB2312"/>
          <w:color w:val="000000"/>
          <w:sz w:val="32"/>
          <w:szCs w:val="32"/>
        </w:rPr>
        <w:t>温度范围内，最大允许误差±0.2</w:t>
      </w:r>
      <w:r>
        <w:rPr>
          <w:rFonts w:hint="eastAsia" w:eastAsia="仿宋_GB2312"/>
          <w:sz w:val="32"/>
          <w:szCs w:val="32"/>
        </w:rPr>
        <w:t>℃</w:t>
      </w:r>
      <w:r>
        <w:rPr>
          <w:rFonts w:eastAsia="仿宋_GB2312"/>
          <w:color w:val="000000"/>
          <w:sz w:val="32"/>
          <w:szCs w:val="32"/>
        </w:rPr>
        <w:t xml:space="preserve">的要求。  </w:t>
      </w:r>
    </w:p>
    <w:p w14:paraId="0E07AB86">
      <w:pPr>
        <w:spacing w:line="520" w:lineRule="exact"/>
        <w:ind w:firstLine="640" w:firstLineChars="200"/>
        <w:rPr>
          <w:rFonts w:eastAsia="仿宋_GB2312"/>
          <w:color w:val="000000"/>
          <w:sz w:val="32"/>
          <w:szCs w:val="32"/>
        </w:rPr>
      </w:pPr>
      <w:r>
        <w:rPr>
          <w:rFonts w:hint="eastAsia" w:eastAsia="仿宋_GB2312"/>
          <w:color w:val="000000"/>
          <w:sz w:val="32"/>
          <w:szCs w:val="32"/>
        </w:rPr>
        <w:t>2.4.6</w:t>
      </w:r>
      <w:r>
        <w:rPr>
          <w:rFonts w:eastAsia="仿宋_GB2312"/>
          <w:color w:val="000000"/>
          <w:sz w:val="32"/>
          <w:szCs w:val="32"/>
        </w:rPr>
        <w:t>指示单元</w:t>
      </w:r>
    </w:p>
    <w:p w14:paraId="25DD5CC1">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6.1分辨力</w:t>
      </w:r>
    </w:p>
    <w:p w14:paraId="020B8747">
      <w:pPr>
        <w:spacing w:line="520" w:lineRule="exact"/>
        <w:ind w:firstLine="640" w:firstLineChars="200"/>
        <w:rPr>
          <w:rFonts w:eastAsia="仿宋_GB2312"/>
          <w:color w:val="000000"/>
          <w:sz w:val="32"/>
          <w:szCs w:val="32"/>
        </w:rPr>
      </w:pPr>
      <w:r>
        <w:rPr>
          <w:rFonts w:eastAsia="仿宋_GB2312"/>
          <w:color w:val="000000"/>
          <w:sz w:val="32"/>
          <w:szCs w:val="32"/>
        </w:rPr>
        <w:t>显示分辨率为0.1</w:t>
      </w:r>
      <w:r>
        <w:rPr>
          <w:rFonts w:hint="eastAsia" w:eastAsia="仿宋_GB2312"/>
          <w:sz w:val="32"/>
          <w:szCs w:val="32"/>
        </w:rPr>
        <w:t>℃</w:t>
      </w:r>
      <w:r>
        <w:rPr>
          <w:rFonts w:eastAsia="仿宋_GB2312"/>
          <w:color w:val="000000"/>
          <w:sz w:val="32"/>
          <w:szCs w:val="32"/>
        </w:rPr>
        <w:t>或更小。</w:t>
      </w:r>
    </w:p>
    <w:p w14:paraId="3964E26F">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6.2显示</w:t>
      </w:r>
    </w:p>
    <w:p w14:paraId="672CBB31">
      <w:pPr>
        <w:spacing w:line="520" w:lineRule="exact"/>
        <w:ind w:firstLine="640" w:firstLineChars="200"/>
        <w:rPr>
          <w:rFonts w:eastAsia="仿宋_GB2312"/>
          <w:color w:val="000000"/>
          <w:sz w:val="32"/>
          <w:szCs w:val="32"/>
        </w:rPr>
      </w:pPr>
      <w:r>
        <w:rPr>
          <w:rFonts w:eastAsia="仿宋_GB2312"/>
          <w:color w:val="000000"/>
          <w:sz w:val="32"/>
          <w:szCs w:val="32"/>
        </w:rPr>
        <w:t>医用红外额温计显示器的数值高度至少为4mm。</w:t>
      </w:r>
    </w:p>
    <w:p w14:paraId="451F625D">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6.3提示/报警功能</w:t>
      </w:r>
    </w:p>
    <w:p w14:paraId="33204BE3">
      <w:pPr>
        <w:spacing w:line="520" w:lineRule="exact"/>
        <w:ind w:firstLine="640" w:firstLineChars="200"/>
        <w:rPr>
          <w:rFonts w:eastAsia="仿宋_GB2312"/>
          <w:color w:val="000000"/>
          <w:sz w:val="32"/>
          <w:szCs w:val="32"/>
        </w:rPr>
      </w:pPr>
      <w:r>
        <w:rPr>
          <w:rFonts w:eastAsia="仿宋_GB2312"/>
          <w:color w:val="000000"/>
          <w:sz w:val="32"/>
          <w:szCs w:val="32"/>
        </w:rPr>
        <w:t>当以下一个或多个数据超出制造商固定的限度时，医用红外额温计应有声、光或震动的提示/报警信号，或停止提供温度读数。</w:t>
      </w:r>
    </w:p>
    <w:p w14:paraId="7F2D18D2">
      <w:pPr>
        <w:spacing w:line="520" w:lineRule="exact"/>
        <w:ind w:firstLine="640" w:firstLineChars="200"/>
        <w:rPr>
          <w:rFonts w:eastAsia="仿宋_GB2312"/>
          <w:color w:val="FF0000"/>
          <w:sz w:val="32"/>
          <w:szCs w:val="32"/>
        </w:rPr>
      </w:pPr>
      <w:r>
        <w:rPr>
          <w:rFonts w:hint="eastAsia" w:eastAsia="仿宋_GB2312"/>
          <w:color w:val="000000"/>
          <w:sz w:val="32"/>
          <w:szCs w:val="32"/>
        </w:rPr>
        <w:t>2.4.</w:t>
      </w:r>
      <w:r>
        <w:rPr>
          <w:rFonts w:eastAsia="仿宋_GB2312"/>
          <w:color w:val="000000"/>
          <w:sz w:val="32"/>
          <w:szCs w:val="32"/>
        </w:rPr>
        <w:t xml:space="preserve">6.3.1电源电压 </w:t>
      </w:r>
      <w:r>
        <w:rPr>
          <w:rFonts w:eastAsia="仿宋_GB2312"/>
          <w:color w:val="FF0000"/>
          <w:sz w:val="32"/>
          <w:szCs w:val="32"/>
        </w:rPr>
        <w:t xml:space="preserve"> </w:t>
      </w:r>
    </w:p>
    <w:p w14:paraId="38A039BA">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6.3.2显示范围</w:t>
      </w:r>
    </w:p>
    <w:p w14:paraId="06C0E793">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6.3.3超温提示功能</w:t>
      </w:r>
    </w:p>
    <w:p w14:paraId="794B8019">
      <w:pPr>
        <w:spacing w:line="520" w:lineRule="exact"/>
        <w:ind w:firstLine="640" w:firstLineChars="200"/>
        <w:rPr>
          <w:rFonts w:eastAsia="仿宋_GB2312"/>
          <w:color w:val="000000"/>
          <w:sz w:val="32"/>
          <w:szCs w:val="32"/>
        </w:rPr>
      </w:pPr>
      <w:r>
        <w:rPr>
          <w:rFonts w:hint="eastAsia" w:eastAsia="仿宋_GB2312"/>
          <w:color w:val="000000"/>
          <w:sz w:val="32"/>
          <w:szCs w:val="32"/>
        </w:rPr>
        <w:t>2.4.7</w:t>
      </w:r>
      <w:r>
        <w:rPr>
          <w:rFonts w:eastAsia="仿宋_GB2312"/>
          <w:color w:val="000000"/>
          <w:sz w:val="32"/>
          <w:szCs w:val="32"/>
        </w:rPr>
        <w:t>自动关机功能</w:t>
      </w:r>
    </w:p>
    <w:p w14:paraId="654B5E82">
      <w:pPr>
        <w:spacing w:line="520" w:lineRule="exact"/>
        <w:ind w:firstLine="640" w:firstLineChars="200"/>
        <w:rPr>
          <w:rFonts w:eastAsia="仿宋_GB2312"/>
          <w:color w:val="000000"/>
          <w:sz w:val="32"/>
          <w:szCs w:val="32"/>
        </w:rPr>
      </w:pPr>
      <w:r>
        <w:rPr>
          <w:rFonts w:eastAsia="仿宋_GB2312"/>
          <w:color w:val="000000"/>
          <w:sz w:val="32"/>
          <w:szCs w:val="32"/>
        </w:rPr>
        <w:t>内部直流供电的医用红外额温计应具有自动关机功能。</w:t>
      </w:r>
    </w:p>
    <w:p w14:paraId="4B07AA0C">
      <w:pPr>
        <w:spacing w:line="520" w:lineRule="exact"/>
        <w:ind w:firstLine="640" w:firstLineChars="200"/>
        <w:rPr>
          <w:rFonts w:eastAsia="仿宋_GB2312"/>
          <w:color w:val="000000"/>
          <w:sz w:val="32"/>
          <w:szCs w:val="32"/>
        </w:rPr>
      </w:pPr>
      <w:r>
        <w:rPr>
          <w:rFonts w:hint="eastAsia" w:eastAsia="仿宋_GB2312"/>
          <w:color w:val="000000"/>
          <w:sz w:val="32"/>
          <w:szCs w:val="32"/>
        </w:rPr>
        <w:t>2.4.8</w:t>
      </w:r>
      <w:r>
        <w:rPr>
          <w:rFonts w:eastAsia="仿宋_GB2312"/>
          <w:color w:val="000000"/>
          <w:sz w:val="32"/>
          <w:szCs w:val="32"/>
        </w:rPr>
        <w:t>自检功能（若适用）</w:t>
      </w:r>
    </w:p>
    <w:p w14:paraId="2B9FC2FB">
      <w:pPr>
        <w:spacing w:line="520" w:lineRule="exact"/>
        <w:ind w:firstLine="640" w:firstLineChars="200"/>
        <w:rPr>
          <w:rFonts w:eastAsia="仿宋_GB2312"/>
          <w:color w:val="000000"/>
          <w:sz w:val="32"/>
          <w:szCs w:val="32"/>
        </w:rPr>
      </w:pPr>
      <w:r>
        <w:rPr>
          <w:rFonts w:eastAsia="仿宋_GB2312"/>
          <w:color w:val="000000"/>
          <w:sz w:val="32"/>
          <w:szCs w:val="32"/>
        </w:rPr>
        <w:t>具有自检功能，并给出相应提示信息，同时应在使用说明书中清晰描述并提供操作指南。</w:t>
      </w:r>
    </w:p>
    <w:p w14:paraId="73D89B6F">
      <w:pPr>
        <w:spacing w:line="520" w:lineRule="exact"/>
        <w:ind w:firstLine="640" w:firstLineChars="200"/>
        <w:rPr>
          <w:rFonts w:eastAsia="仿宋_GB2312"/>
          <w:color w:val="000000"/>
          <w:sz w:val="32"/>
          <w:szCs w:val="32"/>
        </w:rPr>
      </w:pPr>
      <w:r>
        <w:rPr>
          <w:rFonts w:hint="eastAsia" w:eastAsia="仿宋_GB2312"/>
          <w:color w:val="000000"/>
          <w:sz w:val="32"/>
          <w:szCs w:val="32"/>
        </w:rPr>
        <w:t>2.4.9</w:t>
      </w:r>
      <w:r>
        <w:rPr>
          <w:rFonts w:eastAsia="仿宋_GB2312"/>
          <w:color w:val="000000"/>
          <w:sz w:val="32"/>
          <w:szCs w:val="32"/>
        </w:rPr>
        <w:t>模式（如适用）</w:t>
      </w:r>
    </w:p>
    <w:p w14:paraId="25A0E682">
      <w:pPr>
        <w:spacing w:line="520" w:lineRule="exact"/>
        <w:ind w:firstLine="640" w:firstLineChars="200"/>
        <w:rPr>
          <w:rFonts w:eastAsia="仿宋_GB2312"/>
          <w:color w:val="000000"/>
          <w:sz w:val="32"/>
          <w:szCs w:val="32"/>
        </w:rPr>
      </w:pPr>
      <w:r>
        <w:rPr>
          <w:rFonts w:eastAsia="仿宋_GB2312"/>
          <w:color w:val="000000"/>
          <w:sz w:val="32"/>
          <w:szCs w:val="32"/>
        </w:rPr>
        <w:t>具有体温模式和/或校准模式，并对当前所处模式给出提示信息。</w:t>
      </w:r>
    </w:p>
    <w:p w14:paraId="6D740C7E">
      <w:pPr>
        <w:spacing w:line="520" w:lineRule="exact"/>
        <w:ind w:firstLine="640" w:firstLineChars="200"/>
        <w:rPr>
          <w:rFonts w:eastAsia="仿宋_GB2312"/>
          <w:color w:val="000000"/>
          <w:sz w:val="32"/>
          <w:szCs w:val="32"/>
        </w:rPr>
      </w:pPr>
      <w:r>
        <w:rPr>
          <w:rFonts w:hint="eastAsia" w:eastAsia="仿宋_GB2312"/>
          <w:color w:val="000000"/>
          <w:sz w:val="32"/>
          <w:szCs w:val="32"/>
        </w:rPr>
        <w:t>2.4.10</w:t>
      </w:r>
      <w:r>
        <w:rPr>
          <w:rFonts w:eastAsia="仿宋_GB2312"/>
          <w:color w:val="000000"/>
          <w:sz w:val="32"/>
          <w:szCs w:val="32"/>
        </w:rPr>
        <w:t>清洁和消毒</w:t>
      </w:r>
    </w:p>
    <w:p w14:paraId="37888016">
      <w:pPr>
        <w:spacing w:line="520" w:lineRule="exact"/>
        <w:ind w:firstLine="640" w:firstLineChars="200"/>
        <w:rPr>
          <w:rFonts w:eastAsia="仿宋_GB2312"/>
          <w:color w:val="000000"/>
          <w:sz w:val="32"/>
          <w:szCs w:val="32"/>
        </w:rPr>
      </w:pPr>
      <w:r>
        <w:rPr>
          <w:rFonts w:eastAsia="仿宋_GB2312"/>
          <w:color w:val="000000"/>
          <w:sz w:val="32"/>
          <w:szCs w:val="32"/>
        </w:rPr>
        <w:t>医用红外额温计应能进行清洁和消毒。制造商应在使用说明书中给出清洁和消毒的指导方法说明。在按照该方法对其进行清洁和消毒后，其表面的文字和标志应不受影响，且正常工作条件下的最大允许误差应符合3.1的要求。</w:t>
      </w:r>
    </w:p>
    <w:p w14:paraId="0991618A">
      <w:pPr>
        <w:spacing w:line="520" w:lineRule="exact"/>
        <w:ind w:firstLine="640" w:firstLineChars="200"/>
        <w:rPr>
          <w:rFonts w:eastAsia="仿宋_GB2312"/>
          <w:color w:val="000000"/>
          <w:sz w:val="32"/>
          <w:szCs w:val="32"/>
        </w:rPr>
      </w:pPr>
      <w:r>
        <w:rPr>
          <w:rFonts w:hint="eastAsia" w:eastAsia="仿宋_GB2312"/>
          <w:color w:val="000000"/>
          <w:sz w:val="32"/>
          <w:szCs w:val="32"/>
        </w:rPr>
        <w:t>2.4.11</w:t>
      </w:r>
      <w:r>
        <w:rPr>
          <w:rFonts w:eastAsia="仿宋_GB2312"/>
          <w:color w:val="000000"/>
          <w:sz w:val="32"/>
          <w:szCs w:val="32"/>
        </w:rPr>
        <w:t>数据传输功能（如适用）</w:t>
      </w:r>
    </w:p>
    <w:p w14:paraId="50CDACA8">
      <w:pPr>
        <w:spacing w:line="520" w:lineRule="exact"/>
        <w:ind w:firstLine="640" w:firstLineChars="200"/>
        <w:rPr>
          <w:rFonts w:eastAsia="仿宋_GB2312"/>
          <w:color w:val="000000"/>
          <w:sz w:val="32"/>
          <w:szCs w:val="32"/>
        </w:rPr>
      </w:pPr>
      <w:r>
        <w:rPr>
          <w:rFonts w:hint="eastAsia" w:eastAsia="仿宋_GB2312"/>
          <w:color w:val="000000"/>
          <w:sz w:val="32"/>
          <w:szCs w:val="32"/>
        </w:rPr>
        <w:t>2.4.12</w:t>
      </w:r>
      <w:r>
        <w:rPr>
          <w:rFonts w:eastAsia="仿宋_GB2312"/>
          <w:color w:val="000000"/>
          <w:sz w:val="32"/>
          <w:szCs w:val="32"/>
        </w:rPr>
        <w:t>数据接口（如适用）</w:t>
      </w:r>
    </w:p>
    <w:p w14:paraId="30D6CB02">
      <w:pPr>
        <w:spacing w:line="520" w:lineRule="exact"/>
        <w:ind w:firstLine="640" w:firstLineChars="200"/>
        <w:rPr>
          <w:rFonts w:eastAsia="仿宋_GB2312"/>
          <w:color w:val="000000"/>
          <w:sz w:val="32"/>
          <w:szCs w:val="32"/>
        </w:rPr>
      </w:pPr>
      <w:r>
        <w:rPr>
          <w:rFonts w:eastAsia="仿宋_GB2312"/>
          <w:color w:val="000000"/>
          <w:sz w:val="32"/>
          <w:szCs w:val="32"/>
        </w:rPr>
        <w:t>明确传输协议/存储格式。</w:t>
      </w:r>
    </w:p>
    <w:p w14:paraId="633BEA2C">
      <w:pPr>
        <w:spacing w:line="520" w:lineRule="exact"/>
        <w:ind w:firstLine="640" w:firstLineChars="200"/>
        <w:rPr>
          <w:rFonts w:eastAsia="仿宋_GB2312"/>
          <w:color w:val="000000"/>
          <w:sz w:val="32"/>
          <w:szCs w:val="32"/>
        </w:rPr>
      </w:pPr>
      <w:r>
        <w:rPr>
          <w:rFonts w:hint="eastAsia" w:eastAsia="仿宋_GB2312"/>
          <w:color w:val="000000"/>
          <w:sz w:val="32"/>
          <w:szCs w:val="32"/>
        </w:rPr>
        <w:t>2.4.13</w:t>
      </w:r>
      <w:r>
        <w:rPr>
          <w:rFonts w:eastAsia="仿宋_GB2312"/>
          <w:color w:val="000000"/>
          <w:sz w:val="32"/>
          <w:szCs w:val="32"/>
        </w:rPr>
        <w:t>用户访问控制（如适用）</w:t>
      </w:r>
    </w:p>
    <w:p w14:paraId="44CFA9BD">
      <w:pPr>
        <w:spacing w:line="520" w:lineRule="exact"/>
        <w:ind w:firstLine="640" w:firstLineChars="200"/>
        <w:rPr>
          <w:rFonts w:eastAsia="仿宋_GB2312"/>
          <w:color w:val="000000"/>
          <w:sz w:val="32"/>
          <w:szCs w:val="32"/>
        </w:rPr>
      </w:pPr>
      <w:r>
        <w:rPr>
          <w:rFonts w:eastAsia="仿宋_GB2312"/>
          <w:color w:val="000000"/>
          <w:sz w:val="32"/>
          <w:szCs w:val="32"/>
        </w:rPr>
        <w:t>明确用户身份鉴别方法、用户类型及权限。</w:t>
      </w:r>
    </w:p>
    <w:p w14:paraId="03B0541E">
      <w:pPr>
        <w:spacing w:line="520" w:lineRule="exact"/>
        <w:ind w:firstLine="640" w:firstLineChars="200"/>
        <w:rPr>
          <w:rFonts w:eastAsia="仿宋_GB2312"/>
          <w:color w:val="000000"/>
          <w:sz w:val="32"/>
          <w:szCs w:val="32"/>
        </w:rPr>
      </w:pPr>
      <w:r>
        <w:rPr>
          <w:rFonts w:hint="eastAsia" w:eastAsia="仿宋_GB2312"/>
          <w:color w:val="000000"/>
          <w:sz w:val="32"/>
          <w:szCs w:val="32"/>
        </w:rPr>
        <w:t>2.4.14</w:t>
      </w:r>
      <w:r>
        <w:rPr>
          <w:rFonts w:eastAsia="仿宋_GB2312"/>
          <w:color w:val="000000"/>
          <w:sz w:val="32"/>
          <w:szCs w:val="32"/>
        </w:rPr>
        <w:t>其他功能性指标要求</w:t>
      </w:r>
    </w:p>
    <w:p w14:paraId="094FFD9C">
      <w:pPr>
        <w:spacing w:line="520" w:lineRule="exact"/>
        <w:ind w:firstLine="640" w:firstLineChars="200"/>
        <w:rPr>
          <w:rFonts w:eastAsia="仿宋_GB2312"/>
          <w:color w:val="000000"/>
          <w:sz w:val="32"/>
          <w:szCs w:val="32"/>
        </w:rPr>
      </w:pPr>
      <w:r>
        <w:rPr>
          <w:rFonts w:eastAsia="仿宋_GB2312"/>
          <w:color w:val="000000"/>
          <w:sz w:val="32"/>
          <w:szCs w:val="32"/>
        </w:rPr>
        <w:t>医用红外额温计应具备制造商在随机文件或使用说明书中规定的各项功能，如数据存储、高温提示功能、测量响应时间、有效测量距离等。</w:t>
      </w:r>
    </w:p>
    <w:p w14:paraId="4C2A804E">
      <w:pPr>
        <w:spacing w:line="520" w:lineRule="exact"/>
        <w:ind w:firstLine="640" w:firstLineChars="200"/>
        <w:rPr>
          <w:rFonts w:eastAsia="仿宋_GB2312"/>
          <w:color w:val="000000"/>
          <w:sz w:val="32"/>
          <w:szCs w:val="32"/>
        </w:rPr>
      </w:pPr>
      <w:r>
        <w:rPr>
          <w:rFonts w:hint="eastAsia" w:eastAsia="仿宋_GB2312"/>
          <w:color w:val="000000"/>
          <w:sz w:val="32"/>
          <w:szCs w:val="32"/>
        </w:rPr>
        <w:t>2.4.15</w:t>
      </w:r>
      <w:r>
        <w:rPr>
          <w:rFonts w:eastAsia="仿宋_GB2312"/>
          <w:color w:val="000000"/>
          <w:sz w:val="32"/>
          <w:szCs w:val="32"/>
        </w:rPr>
        <w:t>安全要求：</w:t>
      </w:r>
    </w:p>
    <w:p w14:paraId="54506EED">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15.1医用红外额温计应符合GB 9706.1中规定的要求。</w:t>
      </w:r>
    </w:p>
    <w:p w14:paraId="7C29979D">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15.2医用红外额温计应符合YY 0505中规定的要求。</w:t>
      </w:r>
    </w:p>
    <w:p w14:paraId="1C8BF065">
      <w:pPr>
        <w:spacing w:line="520" w:lineRule="exact"/>
        <w:ind w:firstLine="640" w:firstLineChars="200"/>
        <w:rPr>
          <w:rFonts w:eastAsia="仿宋_GB2312"/>
          <w:color w:val="000000"/>
          <w:sz w:val="32"/>
          <w:szCs w:val="32"/>
        </w:rPr>
      </w:pPr>
      <w:r>
        <w:rPr>
          <w:rFonts w:hint="eastAsia" w:eastAsia="仿宋_GB2312"/>
          <w:color w:val="000000"/>
          <w:sz w:val="32"/>
          <w:szCs w:val="32"/>
        </w:rPr>
        <w:t>2.4.16</w:t>
      </w:r>
      <w:r>
        <w:rPr>
          <w:rFonts w:eastAsia="仿宋_GB2312"/>
          <w:color w:val="000000"/>
          <w:sz w:val="32"/>
          <w:szCs w:val="32"/>
        </w:rPr>
        <w:t>环境试验</w:t>
      </w:r>
    </w:p>
    <w:p w14:paraId="1B165A8A">
      <w:pPr>
        <w:spacing w:line="520" w:lineRule="exact"/>
        <w:ind w:firstLine="640" w:firstLineChars="200"/>
        <w:rPr>
          <w:rFonts w:eastAsia="仿宋_GB2312"/>
          <w:color w:val="000000"/>
          <w:sz w:val="32"/>
          <w:szCs w:val="32"/>
        </w:rPr>
      </w:pPr>
      <w:r>
        <w:rPr>
          <w:rFonts w:eastAsia="仿宋_GB2312"/>
          <w:color w:val="000000"/>
          <w:sz w:val="32"/>
          <w:szCs w:val="32"/>
        </w:rPr>
        <w:t>建议参照GB/T 14710的要求进行试验。</w:t>
      </w:r>
    </w:p>
    <w:p w14:paraId="4D6B1197">
      <w:pPr>
        <w:spacing w:line="520" w:lineRule="exact"/>
        <w:ind w:firstLine="640" w:firstLineChars="200"/>
        <w:rPr>
          <w:rFonts w:eastAsia="仿宋_GB2312"/>
          <w:color w:val="000000"/>
          <w:sz w:val="32"/>
          <w:szCs w:val="32"/>
        </w:rPr>
      </w:pPr>
      <w:r>
        <w:rPr>
          <w:rFonts w:eastAsia="CESI仿宋-GB2312"/>
          <w:color w:val="000000"/>
          <w:sz w:val="32"/>
          <w:szCs w:val="32"/>
        </w:rPr>
        <w:t>3</w:t>
      </w:r>
      <w:r>
        <w:rPr>
          <w:rFonts w:eastAsia="仿宋_GB2312"/>
          <w:color w:val="000000"/>
          <w:sz w:val="32"/>
          <w:szCs w:val="32"/>
        </w:rPr>
        <w:t>.研究资料</w:t>
      </w:r>
    </w:p>
    <w:p w14:paraId="30E5D5B5">
      <w:pPr>
        <w:spacing w:line="520" w:lineRule="exact"/>
        <w:ind w:firstLine="640" w:firstLineChars="200"/>
        <w:rPr>
          <w:rFonts w:eastAsia="仿宋_GB2312"/>
          <w:color w:val="000000"/>
          <w:sz w:val="32"/>
          <w:szCs w:val="32"/>
        </w:rPr>
      </w:pPr>
      <w:r>
        <w:rPr>
          <w:rFonts w:eastAsia="仿宋_GB2312"/>
          <w:color w:val="000000"/>
          <w:sz w:val="32"/>
          <w:szCs w:val="32"/>
        </w:rPr>
        <w:t>3.1产品性能研究</w:t>
      </w:r>
    </w:p>
    <w:p w14:paraId="04BD441A">
      <w:pPr>
        <w:spacing w:line="520" w:lineRule="exact"/>
        <w:ind w:firstLine="640" w:firstLineChars="200"/>
        <w:rPr>
          <w:rFonts w:eastAsia="仿宋_GB2312"/>
          <w:color w:val="000000"/>
          <w:sz w:val="32"/>
          <w:szCs w:val="32"/>
        </w:rPr>
      </w:pPr>
      <w:r>
        <w:rPr>
          <w:rFonts w:eastAsia="仿宋_GB2312"/>
          <w:color w:val="000000"/>
          <w:sz w:val="32"/>
          <w:szCs w:val="32"/>
        </w:rPr>
        <w:t>3.1.1应当提供产品性能研究资料以及产品技术要求的研究和编制说明，包括功能性、安全性指标以及其他相关指标的确定依据，所采用的标准或方法、采用的原因及理论基础。如：显示范围、分辨力、最大允许误差等主要性能要求参照GB/T 21417.1中相应要求确定。</w:t>
      </w:r>
    </w:p>
    <w:p w14:paraId="5DA78364">
      <w:pPr>
        <w:spacing w:line="520" w:lineRule="exact"/>
        <w:ind w:firstLine="640" w:firstLineChars="200"/>
        <w:rPr>
          <w:rFonts w:eastAsia="仿宋_GB2312"/>
          <w:color w:val="000000"/>
          <w:sz w:val="32"/>
          <w:szCs w:val="32"/>
        </w:rPr>
      </w:pPr>
      <w:r>
        <w:rPr>
          <w:rFonts w:eastAsia="仿宋_GB2312"/>
          <w:color w:val="000000"/>
          <w:sz w:val="32"/>
          <w:szCs w:val="32"/>
        </w:rPr>
        <w:t>3.1.2应描述所采用的国家标准、行业标准中不适用条款的理由。</w:t>
      </w:r>
    </w:p>
    <w:p w14:paraId="2E5162F9">
      <w:pPr>
        <w:spacing w:line="520" w:lineRule="exact"/>
        <w:ind w:firstLine="640" w:firstLineChars="200"/>
        <w:rPr>
          <w:rFonts w:eastAsia="仿宋_GB2312"/>
          <w:color w:val="000000"/>
          <w:sz w:val="32"/>
          <w:szCs w:val="32"/>
        </w:rPr>
      </w:pPr>
      <w:r>
        <w:rPr>
          <w:rFonts w:eastAsia="仿宋_GB2312"/>
          <w:color w:val="000000"/>
          <w:sz w:val="32"/>
          <w:szCs w:val="32"/>
        </w:rPr>
        <w:t>3.1.3如有附加的产品功能及检测方法，给出其制定的相关的依据。</w:t>
      </w:r>
    </w:p>
    <w:p w14:paraId="14FB3F17">
      <w:pPr>
        <w:spacing w:line="520" w:lineRule="exact"/>
        <w:ind w:firstLine="640" w:firstLineChars="200"/>
        <w:rPr>
          <w:rFonts w:eastAsia="仿宋_GB2312"/>
          <w:color w:val="000000"/>
          <w:sz w:val="32"/>
          <w:szCs w:val="32"/>
        </w:rPr>
      </w:pPr>
      <w:r>
        <w:rPr>
          <w:rFonts w:eastAsia="仿宋_GB2312"/>
          <w:color w:val="000000"/>
          <w:sz w:val="32"/>
          <w:szCs w:val="32"/>
        </w:rPr>
        <w:t>3.2生物相容性研究</w:t>
      </w:r>
    </w:p>
    <w:p w14:paraId="4E8D5BBD">
      <w:pPr>
        <w:spacing w:line="520" w:lineRule="exact"/>
        <w:ind w:firstLine="640" w:firstLineChars="200"/>
        <w:rPr>
          <w:rFonts w:eastAsia="仿宋_GB2312"/>
          <w:color w:val="000000"/>
          <w:sz w:val="32"/>
          <w:szCs w:val="32"/>
        </w:rPr>
      </w:pPr>
      <w:r>
        <w:rPr>
          <w:rFonts w:eastAsia="仿宋_GB2312"/>
          <w:color w:val="000000"/>
          <w:sz w:val="32"/>
          <w:szCs w:val="32"/>
        </w:rPr>
        <w:t>生物相容性评价根据GB/T 16886.1标准进行。申报资料应描述产品所用材料及其与人体接触的性质，如：操作按键、外壳可能与患者和/或操作者的皮肤存在直接接触。生物相容性评价研究应给出实施或豁免生物学试验的理由和论证，并对现有数据或试验结果进行评价。如实施生物学试验，应按照GB/T 16886.1标准提供相关研究。</w:t>
      </w:r>
    </w:p>
    <w:p w14:paraId="6EA1D0FE">
      <w:pPr>
        <w:spacing w:line="520" w:lineRule="exact"/>
        <w:ind w:firstLine="640" w:firstLineChars="200"/>
        <w:rPr>
          <w:rFonts w:eastAsia="仿宋_GB2312"/>
          <w:color w:val="000000"/>
          <w:sz w:val="32"/>
          <w:szCs w:val="32"/>
        </w:rPr>
      </w:pPr>
      <w:r>
        <w:rPr>
          <w:rFonts w:eastAsia="仿宋_GB2312"/>
          <w:color w:val="000000"/>
          <w:sz w:val="32"/>
          <w:szCs w:val="32"/>
        </w:rPr>
        <w:t>3.3灭菌/消毒工艺研究</w:t>
      </w:r>
    </w:p>
    <w:p w14:paraId="64EB31D4">
      <w:pPr>
        <w:spacing w:line="520" w:lineRule="exact"/>
        <w:ind w:firstLine="640" w:firstLineChars="200"/>
        <w:rPr>
          <w:rFonts w:eastAsia="仿宋_GB2312"/>
          <w:color w:val="000000"/>
          <w:sz w:val="32"/>
          <w:szCs w:val="32"/>
        </w:rPr>
      </w:pPr>
      <w:r>
        <w:rPr>
          <w:rFonts w:eastAsia="仿宋_GB2312"/>
          <w:color w:val="000000"/>
          <w:sz w:val="32"/>
          <w:szCs w:val="32"/>
        </w:rPr>
        <w:t>本产品属于终端用户消毒产品。应当明确推荐的消毒工艺（方法和参数）以及所推荐消毒方法确定的依据，可参考《医疗机构消毒技术规范》，消毒方法如：采用75%浓度乙醇对产品表面进行擦拭；红外传感器部分使用干净的棉签或镜头吹嘴进行清洁；产品消毒后一般需静置一段时间再使用，其表面的文字和标志应不受影响，不应出现性能降级和功能退化的现象。</w:t>
      </w:r>
    </w:p>
    <w:p w14:paraId="1546953F">
      <w:pPr>
        <w:spacing w:line="520" w:lineRule="exact"/>
        <w:ind w:firstLine="640" w:firstLineChars="200"/>
        <w:rPr>
          <w:rFonts w:eastAsia="仿宋_GB2312"/>
          <w:color w:val="000000"/>
          <w:sz w:val="32"/>
          <w:szCs w:val="32"/>
        </w:rPr>
      </w:pPr>
      <w:r>
        <w:rPr>
          <w:rFonts w:eastAsia="仿宋_GB2312"/>
          <w:color w:val="000000"/>
          <w:sz w:val="32"/>
          <w:szCs w:val="32"/>
        </w:rPr>
        <w:t>3.4稳定性研究</w:t>
      </w:r>
    </w:p>
    <w:p w14:paraId="7549CBB3">
      <w:pPr>
        <w:spacing w:line="520" w:lineRule="exact"/>
        <w:ind w:firstLine="640" w:firstLineChars="200"/>
        <w:rPr>
          <w:rFonts w:eastAsia="仿宋_GB2312"/>
          <w:color w:val="000000"/>
          <w:sz w:val="32"/>
          <w:szCs w:val="32"/>
        </w:rPr>
      </w:pPr>
      <w:r>
        <w:rPr>
          <w:rFonts w:eastAsia="仿宋_GB2312"/>
          <w:color w:val="000000"/>
          <w:sz w:val="32"/>
          <w:szCs w:val="32"/>
        </w:rPr>
        <w:t>应提供产品使用期限的验证报告，如：加速老化试验报告、疲劳试验报告、不可拆卸电池使用寿命验证资料、依据具有固定使用期限的关键组件（如红外传感器、主板、按键）评估产品有效期的评价报告，可参照《有源医疗器械使用期限注册技术审查指导原则》的要求进行评价。</w:t>
      </w:r>
    </w:p>
    <w:p w14:paraId="4D3DFBB5">
      <w:pPr>
        <w:spacing w:line="520" w:lineRule="exact"/>
        <w:ind w:firstLine="640" w:firstLineChars="200"/>
        <w:rPr>
          <w:rFonts w:eastAsia="仿宋_GB2312"/>
          <w:color w:val="000000"/>
          <w:sz w:val="32"/>
          <w:szCs w:val="32"/>
        </w:rPr>
      </w:pPr>
      <w:r>
        <w:rPr>
          <w:rFonts w:eastAsia="仿宋_GB2312"/>
          <w:color w:val="000000"/>
          <w:sz w:val="32"/>
          <w:szCs w:val="32"/>
        </w:rPr>
        <w:t>提供在宣称运输储存条件下，保持包装完整性的依据。应进行跌落、堆码试验，观察包装外观是否有不可接受的异常现象，对产品进行性能、功能测试，证明包装能够保持产品完整性和功能性。</w:t>
      </w:r>
    </w:p>
    <w:p w14:paraId="2FEBA7EB">
      <w:pPr>
        <w:spacing w:line="520" w:lineRule="exact"/>
        <w:ind w:firstLine="640" w:firstLineChars="200"/>
        <w:rPr>
          <w:rFonts w:eastAsia="仿宋_GB2312"/>
          <w:color w:val="000000"/>
          <w:sz w:val="32"/>
          <w:szCs w:val="32"/>
        </w:rPr>
      </w:pPr>
      <w:r>
        <w:rPr>
          <w:rFonts w:eastAsia="仿宋_GB2312"/>
          <w:color w:val="000000"/>
          <w:sz w:val="32"/>
          <w:szCs w:val="32"/>
        </w:rPr>
        <w:t>3.5软件研究</w:t>
      </w:r>
    </w:p>
    <w:p w14:paraId="475E58BF">
      <w:pPr>
        <w:spacing w:line="520" w:lineRule="exact"/>
        <w:ind w:firstLine="640" w:firstLineChars="200"/>
        <w:rPr>
          <w:rFonts w:eastAsia="仿宋_GB2312"/>
          <w:color w:val="000000"/>
          <w:sz w:val="32"/>
          <w:szCs w:val="32"/>
        </w:rPr>
      </w:pPr>
      <w:r>
        <w:rPr>
          <w:rFonts w:eastAsia="仿宋_GB2312"/>
          <w:color w:val="000000"/>
          <w:sz w:val="32"/>
          <w:szCs w:val="32"/>
        </w:rPr>
        <w:t>软件研究应参见</w:t>
      </w:r>
      <w:bookmarkStart w:id="6" w:name="_Hlk83937918"/>
      <w:r>
        <w:rPr>
          <w:rFonts w:eastAsia="仿宋_GB2312"/>
          <w:color w:val="000000"/>
          <w:sz w:val="32"/>
          <w:szCs w:val="32"/>
        </w:rPr>
        <w:t>《医疗器械软件注册技术审查指导原则》</w:t>
      </w:r>
      <w:bookmarkEnd w:id="6"/>
      <w:r>
        <w:rPr>
          <w:rFonts w:eastAsia="仿宋_GB2312"/>
          <w:color w:val="000000"/>
          <w:sz w:val="32"/>
          <w:szCs w:val="32"/>
        </w:rPr>
        <w:t>。申请人应提交一份单独的医疗器械软件描述文档，内容包括基本信息、实现过程和核心算法，详尽程度取决于软件的安全性级别和复杂程度。同时，应当出具关于软件版本命名规则的声明，明确软件版本的全部字段含义，确定软件的完整版本和发布版本。</w:t>
      </w:r>
    </w:p>
    <w:p w14:paraId="42B646B5">
      <w:pPr>
        <w:spacing w:line="520" w:lineRule="exact"/>
        <w:ind w:firstLine="640" w:firstLineChars="200"/>
        <w:rPr>
          <w:rFonts w:eastAsia="仿宋_GB2312"/>
          <w:color w:val="000000"/>
          <w:sz w:val="32"/>
          <w:szCs w:val="32"/>
        </w:rPr>
      </w:pPr>
      <w:r>
        <w:rPr>
          <w:rFonts w:eastAsia="仿宋_GB2312"/>
          <w:color w:val="000000"/>
          <w:sz w:val="32"/>
          <w:szCs w:val="32"/>
        </w:rPr>
        <w:t>根据医用红外额温计的工作原理，结合其预期用途、使用环境、核心功能，建议软件按安全性级别不低于B级进行管理。</w:t>
      </w:r>
    </w:p>
    <w:p w14:paraId="0C2FA87C">
      <w:pPr>
        <w:spacing w:line="520" w:lineRule="exact"/>
        <w:ind w:firstLine="640" w:firstLineChars="200"/>
        <w:rPr>
          <w:rFonts w:eastAsia="仿宋_GB2312"/>
          <w:color w:val="000000"/>
          <w:sz w:val="32"/>
          <w:szCs w:val="32"/>
        </w:rPr>
      </w:pPr>
      <w:r>
        <w:rPr>
          <w:rFonts w:eastAsia="仿宋_GB2312"/>
          <w:color w:val="000000"/>
          <w:sz w:val="32"/>
          <w:szCs w:val="32"/>
        </w:rPr>
        <w:t>对于具有网络连接功能的产品（目前已有产品可通过蓝牙连接进行电子数据交换），需提供网络安全描述文档，确保电子数据的完整性、安全性、可得性，建议参照</w:t>
      </w:r>
      <w:bookmarkStart w:id="7" w:name="_Hlk83937929"/>
      <w:r>
        <w:rPr>
          <w:rFonts w:eastAsia="仿宋_GB2312"/>
          <w:color w:val="000000"/>
          <w:sz w:val="32"/>
          <w:szCs w:val="32"/>
        </w:rPr>
        <w:t>《医疗器械网络安全注册技术审查指导原则》</w:t>
      </w:r>
      <w:bookmarkEnd w:id="7"/>
      <w:r>
        <w:rPr>
          <w:rFonts w:eastAsia="仿宋_GB2312"/>
          <w:color w:val="000000"/>
          <w:sz w:val="32"/>
          <w:szCs w:val="32"/>
        </w:rPr>
        <w:t>提供。</w:t>
      </w:r>
    </w:p>
    <w:p w14:paraId="56F2FB19">
      <w:pPr>
        <w:spacing w:line="520" w:lineRule="exact"/>
        <w:ind w:firstLine="640" w:firstLineChars="200"/>
        <w:rPr>
          <w:rFonts w:eastAsia="仿宋_GB2312"/>
          <w:color w:val="000000"/>
          <w:sz w:val="32"/>
          <w:szCs w:val="32"/>
        </w:rPr>
      </w:pPr>
      <w:r>
        <w:rPr>
          <w:rFonts w:eastAsia="仿宋_GB2312"/>
          <w:color w:val="000000"/>
          <w:sz w:val="32"/>
          <w:szCs w:val="32"/>
        </w:rPr>
        <w:t>3.6其他资料</w:t>
      </w:r>
    </w:p>
    <w:p w14:paraId="7A87D8C5">
      <w:pPr>
        <w:spacing w:line="520" w:lineRule="exact"/>
        <w:ind w:firstLine="640" w:firstLineChars="200"/>
        <w:rPr>
          <w:rFonts w:eastAsia="仿宋_GB2312"/>
          <w:color w:val="000000"/>
          <w:sz w:val="32"/>
          <w:szCs w:val="32"/>
        </w:rPr>
      </w:pPr>
      <w:r>
        <w:rPr>
          <w:rFonts w:eastAsia="仿宋_GB2312"/>
          <w:color w:val="000000"/>
          <w:sz w:val="32"/>
          <w:szCs w:val="32"/>
        </w:rPr>
        <w:t>医用红外额温计属于免于进行临床评价的医疗器械，申请人应按照《列入免于进行临床评价医疗器械目录产品对比说明技术指导原则》的要求提交相关资料。</w:t>
      </w:r>
    </w:p>
    <w:p w14:paraId="6441CE7E">
      <w:pPr>
        <w:spacing w:line="520" w:lineRule="exact"/>
        <w:ind w:firstLine="640" w:firstLineChars="200"/>
        <w:rPr>
          <w:rFonts w:eastAsia="仿宋_GB2312"/>
          <w:color w:val="000000"/>
          <w:sz w:val="32"/>
          <w:szCs w:val="32"/>
        </w:rPr>
      </w:pPr>
      <w:r>
        <w:rPr>
          <w:rFonts w:eastAsia="仿宋_GB2312"/>
          <w:color w:val="000000"/>
          <w:sz w:val="32"/>
          <w:szCs w:val="32"/>
        </w:rPr>
        <w:t>注册申请人应提供针对临床准确度的临床验证资料。可参考GB/T 21417.1中临床准确度的临床试验程序来进行验证，需注意临床验证时测量部位和参考体温计的选择，应确保整个体系临床评价的统计结论满足：</w:t>
      </w:r>
    </w:p>
    <w:p w14:paraId="528B74F7">
      <w:pPr>
        <w:spacing w:line="520" w:lineRule="exact"/>
        <w:ind w:firstLine="640" w:firstLineChars="200"/>
        <w:rPr>
          <w:rFonts w:eastAsia="仿宋_GB2312"/>
          <w:color w:val="000000"/>
          <w:sz w:val="32"/>
          <w:szCs w:val="32"/>
        </w:rPr>
      </w:pPr>
      <w:r>
        <w:rPr>
          <w:rFonts w:eastAsia="仿宋_GB2312"/>
          <w:color w:val="000000"/>
          <w:sz w:val="32"/>
          <w:szCs w:val="32"/>
        </w:rPr>
        <w:t>临床重复性不超过±0.3</w:t>
      </w:r>
      <w:r>
        <w:rPr>
          <w:rFonts w:hint="eastAsia" w:eastAsia="仿宋_GB2312"/>
          <w:sz w:val="32"/>
          <w:szCs w:val="32"/>
        </w:rPr>
        <w:t>℃</w:t>
      </w:r>
      <w:r>
        <w:rPr>
          <w:rFonts w:eastAsia="仿宋_GB2312"/>
          <w:color w:val="000000"/>
          <w:sz w:val="32"/>
          <w:szCs w:val="32"/>
        </w:rPr>
        <w:t>范围。</w:t>
      </w:r>
    </w:p>
    <w:p w14:paraId="764412E2">
      <w:pPr>
        <w:spacing w:line="520" w:lineRule="exact"/>
        <w:ind w:firstLine="640" w:firstLineChars="200"/>
        <w:rPr>
          <w:rFonts w:eastAsia="仿宋_GB2312"/>
          <w:color w:val="000000"/>
          <w:sz w:val="32"/>
          <w:szCs w:val="32"/>
        </w:rPr>
      </w:pPr>
      <w:r>
        <w:rPr>
          <w:rFonts w:eastAsia="仿宋_GB2312"/>
          <w:color w:val="000000"/>
          <w:sz w:val="32"/>
          <w:szCs w:val="32"/>
        </w:rPr>
        <w:t>临床偏差和临床标准偏差符合使用说明书的宣称值。</w:t>
      </w:r>
    </w:p>
    <w:p w14:paraId="1FDD8837">
      <w:pPr>
        <w:spacing w:line="520" w:lineRule="exact"/>
        <w:ind w:firstLine="640" w:firstLineChars="200"/>
        <w:rPr>
          <w:rFonts w:eastAsia="仿宋_GB2312"/>
          <w:color w:val="000000"/>
          <w:sz w:val="32"/>
          <w:szCs w:val="32"/>
        </w:rPr>
      </w:pPr>
      <w:r>
        <w:rPr>
          <w:rFonts w:eastAsia="仿宋_GB2312"/>
          <w:color w:val="000000"/>
          <w:sz w:val="32"/>
          <w:szCs w:val="32"/>
        </w:rPr>
        <w:t>注册申请人也可自行制定合理、科学的临床验证方案，需重点考虑验证的人群、例数及评价标准，最终得到的验证报告应符合验证方案的要求，并且要求数据真实、统计可靠。</w:t>
      </w:r>
    </w:p>
    <w:p w14:paraId="1F6682F3">
      <w:pPr>
        <w:widowControl/>
        <w:spacing w:line="520" w:lineRule="exact"/>
        <w:ind w:firstLine="425" w:firstLineChars="133"/>
        <w:outlineLvl w:val="0"/>
        <w:rPr>
          <w:rFonts w:eastAsia="楷体_GB2312"/>
          <w:color w:val="000000"/>
          <w:sz w:val="32"/>
          <w:szCs w:val="32"/>
        </w:rPr>
      </w:pPr>
      <w:r>
        <w:rPr>
          <w:rFonts w:eastAsia="楷体_GB2312"/>
          <w:color w:val="000000"/>
          <w:sz w:val="32"/>
          <w:szCs w:val="32"/>
        </w:rPr>
        <w:t>（四）临床评价资料</w:t>
      </w:r>
    </w:p>
    <w:p w14:paraId="1DF2E62D">
      <w:pPr>
        <w:widowControl/>
        <w:spacing w:line="520" w:lineRule="exact"/>
        <w:ind w:firstLine="425" w:firstLineChars="133"/>
        <w:outlineLvl w:val="0"/>
        <w:rPr>
          <w:rFonts w:eastAsia="仿宋_GB2312"/>
          <w:color w:val="000000"/>
          <w:sz w:val="32"/>
          <w:szCs w:val="32"/>
        </w:rPr>
      </w:pPr>
      <w:r>
        <w:rPr>
          <w:rFonts w:hint="eastAsia" w:eastAsia="仿宋_GB2312"/>
          <w:color w:val="000000"/>
          <w:sz w:val="32"/>
          <w:szCs w:val="32"/>
        </w:rPr>
        <w:t>该产品</w:t>
      </w:r>
      <w:r>
        <w:rPr>
          <w:rFonts w:eastAsia="仿宋_GB2312"/>
          <w:color w:val="000000"/>
          <w:sz w:val="32"/>
          <w:szCs w:val="32"/>
        </w:rPr>
        <w:t>列入《</w:t>
      </w:r>
      <w:r>
        <w:rPr>
          <w:rFonts w:hint="eastAsia" w:eastAsia="仿宋_GB2312"/>
          <w:color w:val="000000"/>
          <w:sz w:val="32"/>
          <w:szCs w:val="32"/>
        </w:rPr>
        <w:t>免于临床评价医疗器械目录</w:t>
      </w:r>
      <w:r>
        <w:rPr>
          <w:rFonts w:eastAsia="仿宋_GB2312"/>
          <w:color w:val="000000"/>
          <w:sz w:val="32"/>
          <w:szCs w:val="32"/>
        </w:rPr>
        <w:t>》</w:t>
      </w:r>
      <w:r>
        <w:rPr>
          <w:rFonts w:hint="eastAsia" w:eastAsia="仿宋_GB2312"/>
          <w:color w:val="000000"/>
          <w:sz w:val="32"/>
          <w:szCs w:val="32"/>
        </w:rPr>
        <w:t>，申请人</w:t>
      </w:r>
      <w:r>
        <w:rPr>
          <w:rFonts w:eastAsia="仿宋_GB2312"/>
          <w:color w:val="000000"/>
          <w:sz w:val="32"/>
          <w:szCs w:val="32"/>
        </w:rPr>
        <w:t>无需提交</w:t>
      </w:r>
      <w:r>
        <w:rPr>
          <w:rFonts w:hint="eastAsia" w:eastAsia="仿宋_GB2312"/>
          <w:color w:val="000000"/>
          <w:sz w:val="32"/>
          <w:szCs w:val="32"/>
        </w:rPr>
        <w:t>临床</w:t>
      </w:r>
      <w:r>
        <w:rPr>
          <w:rFonts w:eastAsia="仿宋_GB2312"/>
          <w:color w:val="000000"/>
          <w:sz w:val="32"/>
          <w:szCs w:val="32"/>
        </w:rPr>
        <w:t>评价资料。</w:t>
      </w:r>
    </w:p>
    <w:p w14:paraId="46ABC918">
      <w:pPr>
        <w:widowControl/>
        <w:spacing w:line="520" w:lineRule="exact"/>
        <w:ind w:firstLine="425" w:firstLineChars="133"/>
        <w:outlineLvl w:val="0"/>
        <w:rPr>
          <w:rFonts w:eastAsia="楷体_GB2312"/>
          <w:color w:val="000000"/>
          <w:sz w:val="32"/>
          <w:szCs w:val="32"/>
        </w:rPr>
      </w:pPr>
      <w:r>
        <w:rPr>
          <w:rFonts w:eastAsia="楷体_GB2312"/>
          <w:color w:val="000000"/>
          <w:sz w:val="32"/>
          <w:szCs w:val="32"/>
        </w:rPr>
        <w:t>（五）产品说明书和标签样稿</w:t>
      </w:r>
    </w:p>
    <w:p w14:paraId="278EA632">
      <w:pPr>
        <w:spacing w:line="520" w:lineRule="exact"/>
        <w:ind w:firstLine="640" w:firstLineChars="200"/>
        <w:rPr>
          <w:rFonts w:eastAsia="仿宋_GB2312"/>
          <w:color w:val="000000"/>
          <w:sz w:val="32"/>
          <w:szCs w:val="32"/>
        </w:rPr>
      </w:pPr>
      <w:r>
        <w:rPr>
          <w:rFonts w:eastAsia="仿宋_GB2312"/>
          <w:color w:val="000000"/>
          <w:sz w:val="32"/>
          <w:szCs w:val="32"/>
        </w:rPr>
        <w:t>医用红外额温计产品的说明书、标签应符合《医疗器械说明书和标签管理规定》和GB 9706.1、YY 0505、YY/T 0466.1等标准中的相关要求。还应包括以下内容：</w:t>
      </w:r>
    </w:p>
    <w:p w14:paraId="291843DE">
      <w:pPr>
        <w:spacing w:line="520" w:lineRule="exact"/>
        <w:ind w:left="707"/>
        <w:rPr>
          <w:rFonts w:eastAsia="仿宋_GB2312"/>
          <w:color w:val="000000"/>
          <w:sz w:val="32"/>
          <w:szCs w:val="32"/>
        </w:rPr>
      </w:pPr>
      <w:r>
        <w:rPr>
          <w:rFonts w:hint="eastAsia" w:eastAsia="仿宋_GB2312"/>
          <w:color w:val="000000"/>
          <w:sz w:val="32"/>
          <w:szCs w:val="32"/>
        </w:rPr>
        <w:t>1.</w:t>
      </w:r>
      <w:r>
        <w:rPr>
          <w:rFonts w:eastAsia="仿宋_GB2312"/>
          <w:color w:val="000000"/>
          <w:sz w:val="32"/>
          <w:szCs w:val="32"/>
        </w:rPr>
        <w:t>明确产品的测量部位仅限于额部，并明确所测量的具体位置。明确产品适用人群。</w:t>
      </w:r>
    </w:p>
    <w:p w14:paraId="3546D12E">
      <w:pPr>
        <w:spacing w:line="520" w:lineRule="exact"/>
        <w:ind w:left="707"/>
        <w:rPr>
          <w:rFonts w:eastAsia="仿宋_GB2312"/>
          <w:color w:val="000000"/>
          <w:sz w:val="32"/>
          <w:szCs w:val="32"/>
        </w:rPr>
      </w:pPr>
      <w:r>
        <w:rPr>
          <w:rFonts w:eastAsia="仿宋_GB2312"/>
          <w:color w:val="000000"/>
          <w:sz w:val="32"/>
          <w:szCs w:val="32"/>
        </w:rPr>
        <w:t>2.明确测量温度显示范围、最大允许误差、测量响应时间、有效测量距离、正常工作和贮存条件、温度单位等。</w:t>
      </w:r>
    </w:p>
    <w:p w14:paraId="4A3F6C2F">
      <w:pPr>
        <w:spacing w:line="520" w:lineRule="exact"/>
        <w:ind w:left="707"/>
        <w:rPr>
          <w:rFonts w:eastAsia="仿宋_GB2312"/>
          <w:color w:val="000000"/>
          <w:sz w:val="32"/>
          <w:szCs w:val="32"/>
        </w:rPr>
      </w:pPr>
      <w:r>
        <w:rPr>
          <w:rFonts w:hint="eastAsia" w:eastAsia="仿宋_GB2312"/>
          <w:color w:val="000000"/>
          <w:sz w:val="32"/>
          <w:szCs w:val="32"/>
        </w:rPr>
        <w:t>3.</w:t>
      </w:r>
      <w:r>
        <w:rPr>
          <w:rFonts w:eastAsia="仿宋_GB2312"/>
          <w:color w:val="000000"/>
          <w:sz w:val="32"/>
          <w:szCs w:val="32"/>
        </w:rPr>
        <w:t>应包括对使用警告总结的章节。</w:t>
      </w:r>
    </w:p>
    <w:p w14:paraId="143565AE">
      <w:pPr>
        <w:spacing w:line="520" w:lineRule="exact"/>
        <w:ind w:left="707"/>
        <w:rPr>
          <w:rFonts w:eastAsia="仿宋_GB2312"/>
          <w:color w:val="000000"/>
          <w:sz w:val="32"/>
          <w:szCs w:val="32"/>
        </w:rPr>
      </w:pPr>
      <w:r>
        <w:rPr>
          <w:rFonts w:eastAsia="仿宋_GB2312"/>
          <w:color w:val="000000"/>
          <w:sz w:val="32"/>
          <w:szCs w:val="32"/>
        </w:rPr>
        <w:t>4.介绍如何拆包、安装、进行使用前检查，获取帮助服务的渠道、标准操作程序、常规维护、清洁消毒方法及频次建议。</w:t>
      </w:r>
    </w:p>
    <w:p w14:paraId="07035CBD">
      <w:pPr>
        <w:spacing w:line="520" w:lineRule="exact"/>
        <w:ind w:left="707"/>
        <w:rPr>
          <w:rFonts w:eastAsia="仿宋_GB2312"/>
          <w:color w:val="000000"/>
          <w:sz w:val="32"/>
          <w:szCs w:val="32"/>
        </w:rPr>
      </w:pPr>
      <w:r>
        <w:rPr>
          <w:rFonts w:eastAsia="仿宋_GB2312"/>
          <w:color w:val="000000"/>
          <w:sz w:val="32"/>
          <w:szCs w:val="32"/>
        </w:rPr>
        <w:t>5.提示用户：不正确的操作会影响体温测量结果；测量者的操作以及被测者的身体状况会影响体温测量；环境条件变化可能导致测量结果不准，说明该情况下的使用方法；声明如果在制造商指定的温度和湿度范围外储存或使用，产品可能无法达到声称的性能；未及时清洁镜头脏污、未及时复校、电池电压过低可能会导致测量结果不准；测量时应防止额头被遮盖；告知使用者可能影响温度测量准确性的其他情况。</w:t>
      </w:r>
    </w:p>
    <w:p w14:paraId="5EE20F15">
      <w:pPr>
        <w:spacing w:line="520" w:lineRule="exact"/>
        <w:ind w:left="707"/>
        <w:rPr>
          <w:rFonts w:eastAsia="仿宋_GB2312"/>
          <w:color w:val="000000"/>
          <w:sz w:val="32"/>
          <w:szCs w:val="32"/>
        </w:rPr>
      </w:pPr>
      <w:r>
        <w:rPr>
          <w:rFonts w:hint="eastAsia" w:eastAsia="仿宋_GB2312"/>
          <w:color w:val="000000"/>
          <w:sz w:val="32"/>
          <w:szCs w:val="32"/>
        </w:rPr>
        <w:t>6.</w:t>
      </w:r>
      <w:r>
        <w:rPr>
          <w:rFonts w:eastAsia="仿宋_GB2312"/>
          <w:color w:val="000000"/>
          <w:sz w:val="32"/>
          <w:szCs w:val="32"/>
        </w:rPr>
        <w:t>提示用户关注并提供产品再校准时间间隔、送校方式的建议及信息。</w:t>
      </w:r>
    </w:p>
    <w:p w14:paraId="14E3592E">
      <w:pPr>
        <w:spacing w:line="520" w:lineRule="exact"/>
        <w:ind w:left="707"/>
        <w:rPr>
          <w:rFonts w:eastAsia="仿宋_GB2312"/>
          <w:color w:val="000000"/>
          <w:sz w:val="32"/>
          <w:szCs w:val="32"/>
        </w:rPr>
      </w:pPr>
      <w:r>
        <w:rPr>
          <w:rFonts w:eastAsia="仿宋_GB2312"/>
          <w:color w:val="000000"/>
          <w:sz w:val="32"/>
          <w:szCs w:val="32"/>
        </w:rPr>
        <w:t>7.明确产品的临床准确度，明确研究使用的标准体温计类型及验证对象的人群、身体部位。</w:t>
      </w:r>
    </w:p>
    <w:p w14:paraId="2C517AC2">
      <w:pPr>
        <w:spacing w:line="520" w:lineRule="exact"/>
        <w:ind w:left="707"/>
        <w:rPr>
          <w:rFonts w:eastAsia="仿宋_GB2312"/>
          <w:color w:val="000000"/>
          <w:sz w:val="32"/>
          <w:szCs w:val="32"/>
        </w:rPr>
      </w:pPr>
      <w:r>
        <w:rPr>
          <w:rFonts w:eastAsia="仿宋_GB2312"/>
          <w:color w:val="000000"/>
          <w:sz w:val="32"/>
          <w:szCs w:val="32"/>
        </w:rPr>
        <w:t>8.提供内部电源选择和更换的指导说明。</w:t>
      </w:r>
    </w:p>
    <w:p w14:paraId="4534B6DF">
      <w:pPr>
        <w:spacing w:line="520" w:lineRule="exact"/>
        <w:ind w:left="707"/>
        <w:rPr>
          <w:rFonts w:eastAsia="仿宋_GB2312"/>
          <w:color w:val="000000"/>
          <w:sz w:val="32"/>
          <w:szCs w:val="32"/>
        </w:rPr>
      </w:pPr>
      <w:r>
        <w:rPr>
          <w:rFonts w:eastAsia="仿宋_GB2312"/>
          <w:color w:val="000000"/>
          <w:sz w:val="32"/>
          <w:szCs w:val="32"/>
        </w:rPr>
        <w:t>9.明确不同显示模式适用的检测对象（如适用）。</w:t>
      </w:r>
    </w:p>
    <w:p w14:paraId="3B673926">
      <w:pPr>
        <w:spacing w:line="520" w:lineRule="exact"/>
        <w:ind w:left="707"/>
        <w:rPr>
          <w:rFonts w:eastAsia="仿宋_GB2312"/>
          <w:color w:val="000000"/>
          <w:sz w:val="32"/>
          <w:szCs w:val="32"/>
        </w:rPr>
      </w:pPr>
      <w:r>
        <w:rPr>
          <w:rFonts w:eastAsia="仿宋_GB2312"/>
          <w:color w:val="000000"/>
          <w:sz w:val="32"/>
          <w:szCs w:val="32"/>
        </w:rPr>
        <w:t>10.应给出可存储数据量的提示信息（如适用）。</w:t>
      </w:r>
    </w:p>
    <w:p w14:paraId="156BD85E">
      <w:pPr>
        <w:spacing w:line="520" w:lineRule="exact"/>
        <w:ind w:left="707"/>
        <w:rPr>
          <w:rFonts w:eastAsia="仿宋_GB2312"/>
          <w:color w:val="000000"/>
          <w:sz w:val="32"/>
          <w:szCs w:val="32"/>
        </w:rPr>
      </w:pPr>
      <w:r>
        <w:rPr>
          <w:rFonts w:eastAsia="仿宋_GB2312"/>
          <w:color w:val="000000"/>
          <w:sz w:val="32"/>
          <w:szCs w:val="32"/>
        </w:rPr>
        <w:t>11.应提供数据传输功能的使用方法（如适用）。</w:t>
      </w:r>
    </w:p>
    <w:p w14:paraId="625AF67A">
      <w:pPr>
        <w:widowControl/>
        <w:spacing w:line="520" w:lineRule="exact"/>
        <w:ind w:firstLine="425" w:firstLineChars="133"/>
        <w:outlineLvl w:val="0"/>
        <w:rPr>
          <w:rFonts w:eastAsia="楷体_GB2312"/>
          <w:color w:val="000000"/>
          <w:sz w:val="32"/>
          <w:szCs w:val="32"/>
        </w:rPr>
      </w:pPr>
      <w:r>
        <w:rPr>
          <w:rFonts w:eastAsia="楷体_GB2312"/>
          <w:color w:val="000000"/>
          <w:sz w:val="32"/>
          <w:szCs w:val="32"/>
        </w:rPr>
        <w:t>（六）质量管理体系文件</w:t>
      </w:r>
    </w:p>
    <w:p w14:paraId="00543C0E">
      <w:pPr>
        <w:spacing w:line="520" w:lineRule="exact"/>
        <w:ind w:firstLine="640" w:firstLineChars="200"/>
        <w:rPr>
          <w:rFonts w:eastAsia="仿宋_GB2312"/>
          <w:color w:val="000000"/>
          <w:sz w:val="32"/>
          <w:szCs w:val="32"/>
        </w:rPr>
      </w:pPr>
      <w:r>
        <w:rPr>
          <w:rFonts w:eastAsia="仿宋_GB2312"/>
          <w:color w:val="000000"/>
          <w:sz w:val="32"/>
          <w:szCs w:val="32"/>
        </w:rPr>
        <w:t>应对器械工作原理和总体生产工艺作简要说明。生产加工工艺可采用流程图的形式，注明关键工艺和特殊工艺，说明过程控制点，温度校正环境温湿度要求等，产品主要工序有注塑、焊接电子元器件、组装、温度校正等工序。</w:t>
      </w:r>
    </w:p>
    <w:p w14:paraId="27F39731">
      <w:pPr>
        <w:spacing w:line="520" w:lineRule="exact"/>
        <w:ind w:firstLine="640" w:firstLineChars="200"/>
        <w:rPr>
          <w:rFonts w:eastAsia="仿宋_GB2312"/>
          <w:color w:val="000000"/>
          <w:sz w:val="32"/>
          <w:szCs w:val="32"/>
        </w:rPr>
      </w:pPr>
      <w:r>
        <w:rPr>
          <w:rFonts w:eastAsia="仿宋_GB2312"/>
          <w:color w:val="000000"/>
          <w:sz w:val="32"/>
          <w:szCs w:val="32"/>
        </w:rPr>
        <w:t>提供生产器械或其部件的所有地址和联络信息。如适用，应当提供外包生产、重要组件或原材料的生产、关键工艺过程等情况的所有重要供应商名称和地址。</w:t>
      </w:r>
    </w:p>
    <w:p w14:paraId="6974AE72">
      <w:pPr>
        <w:spacing w:line="520" w:lineRule="exact"/>
        <w:ind w:firstLine="640" w:firstLineChars="200"/>
        <w:rPr>
          <w:rFonts w:eastAsia="仿宋_GB2312"/>
          <w:color w:val="000000"/>
          <w:sz w:val="32"/>
          <w:szCs w:val="32"/>
        </w:rPr>
      </w:pPr>
      <w:r>
        <w:rPr>
          <w:rFonts w:eastAsia="仿宋_GB2312"/>
          <w:color w:val="000000"/>
          <w:sz w:val="32"/>
          <w:szCs w:val="32"/>
        </w:rPr>
        <w:t>该产品的生产应符合《医疗器械生产监督管理办法》中对二类医疗器械产品的要求。</w:t>
      </w:r>
    </w:p>
    <w:p w14:paraId="7BF2E992">
      <w:pPr>
        <w:spacing w:line="520" w:lineRule="exact"/>
        <w:ind w:firstLine="640" w:firstLineChars="200"/>
        <w:rPr>
          <w:rFonts w:eastAsia="仿宋_GB2312"/>
          <w:color w:val="000000"/>
          <w:sz w:val="32"/>
          <w:szCs w:val="32"/>
        </w:rPr>
      </w:pPr>
      <w:r>
        <w:rPr>
          <w:rFonts w:eastAsia="仿宋_GB2312"/>
          <w:color w:val="000000"/>
          <w:sz w:val="32"/>
          <w:szCs w:val="32"/>
        </w:rPr>
        <w:t>1.综述：申请人应当承诺已按照相关法规要求建立相应的质量管理体系，随时接受质量管理体系核查。</w:t>
      </w:r>
    </w:p>
    <w:p w14:paraId="7EE266D1">
      <w:pPr>
        <w:spacing w:line="520" w:lineRule="exact"/>
        <w:ind w:firstLine="640" w:firstLineChars="200"/>
        <w:rPr>
          <w:rFonts w:eastAsia="仿宋_GB2312"/>
          <w:color w:val="000000"/>
          <w:sz w:val="32"/>
          <w:szCs w:val="32"/>
        </w:rPr>
      </w:pPr>
      <w:r>
        <w:rPr>
          <w:rFonts w:eastAsia="仿宋_GB2312"/>
          <w:color w:val="000000"/>
          <w:sz w:val="32"/>
          <w:szCs w:val="32"/>
        </w:rPr>
        <w:t>2.生产制造信息</w:t>
      </w:r>
    </w:p>
    <w:p w14:paraId="1FF00AD3">
      <w:pPr>
        <w:spacing w:line="520" w:lineRule="exact"/>
        <w:ind w:firstLine="640" w:firstLineChars="200"/>
        <w:rPr>
          <w:rFonts w:eastAsia="仿宋_GB2312"/>
          <w:color w:val="000000"/>
          <w:sz w:val="32"/>
          <w:szCs w:val="32"/>
        </w:rPr>
      </w:pPr>
      <w:r>
        <w:rPr>
          <w:rFonts w:eastAsia="仿宋_GB2312"/>
          <w:color w:val="000000"/>
          <w:sz w:val="32"/>
          <w:szCs w:val="32"/>
        </w:rPr>
        <w:t>2.1产品描述信息</w:t>
      </w:r>
    </w:p>
    <w:p w14:paraId="648E7737">
      <w:pPr>
        <w:spacing w:line="520" w:lineRule="exact"/>
        <w:ind w:firstLine="640" w:firstLineChars="200"/>
        <w:rPr>
          <w:rFonts w:eastAsia="仿宋_GB2312"/>
          <w:color w:val="000000"/>
          <w:sz w:val="32"/>
          <w:szCs w:val="32"/>
        </w:rPr>
      </w:pPr>
      <w:r>
        <w:rPr>
          <w:rFonts w:eastAsia="仿宋_GB2312"/>
          <w:color w:val="000000"/>
          <w:sz w:val="32"/>
          <w:szCs w:val="32"/>
        </w:rPr>
        <w:t>器械工作原理和总体生产工艺的简要说明。</w:t>
      </w:r>
    </w:p>
    <w:p w14:paraId="22311750">
      <w:pPr>
        <w:spacing w:line="520" w:lineRule="exact"/>
        <w:ind w:firstLine="640" w:firstLineChars="200"/>
        <w:rPr>
          <w:rFonts w:eastAsia="仿宋_GB2312"/>
          <w:color w:val="000000"/>
          <w:sz w:val="32"/>
          <w:szCs w:val="32"/>
        </w:rPr>
      </w:pPr>
      <w:r>
        <w:rPr>
          <w:rFonts w:eastAsia="仿宋_GB2312"/>
          <w:color w:val="000000"/>
          <w:sz w:val="32"/>
          <w:szCs w:val="32"/>
        </w:rPr>
        <w:t>2.2一般生产信息</w:t>
      </w:r>
    </w:p>
    <w:p w14:paraId="6CF5DF21">
      <w:pPr>
        <w:spacing w:line="520" w:lineRule="exact"/>
        <w:ind w:firstLine="640" w:firstLineChars="200"/>
        <w:rPr>
          <w:rFonts w:eastAsia="仿宋_GB2312"/>
          <w:color w:val="000000"/>
          <w:sz w:val="32"/>
          <w:szCs w:val="32"/>
        </w:rPr>
      </w:pPr>
      <w:r>
        <w:rPr>
          <w:rFonts w:eastAsia="仿宋_GB2312"/>
          <w:color w:val="000000"/>
          <w:sz w:val="32"/>
          <w:szCs w:val="32"/>
        </w:rPr>
        <w:t>提供生产器械或其部件的所有地址和联络信息。</w:t>
      </w:r>
    </w:p>
    <w:p w14:paraId="0583B092">
      <w:pPr>
        <w:spacing w:line="520" w:lineRule="exact"/>
        <w:ind w:firstLine="640" w:firstLineChars="200"/>
        <w:rPr>
          <w:rFonts w:eastAsia="仿宋_GB2312"/>
          <w:color w:val="000000"/>
          <w:sz w:val="32"/>
          <w:szCs w:val="32"/>
        </w:rPr>
      </w:pPr>
      <w:r>
        <w:rPr>
          <w:rFonts w:eastAsia="仿宋_GB2312"/>
          <w:color w:val="000000"/>
          <w:sz w:val="32"/>
          <w:szCs w:val="32"/>
        </w:rPr>
        <w:t>如适用，应当提供外包生产、重要组件或原材料的生产、关键工艺过程等情况的所有重要供应商名称和地址。</w:t>
      </w:r>
    </w:p>
    <w:p w14:paraId="1FF52009">
      <w:pPr>
        <w:spacing w:line="520" w:lineRule="exact"/>
        <w:ind w:firstLine="640" w:firstLineChars="200"/>
        <w:rPr>
          <w:rFonts w:eastAsia="仿宋_GB2312"/>
          <w:color w:val="000000"/>
          <w:sz w:val="32"/>
          <w:szCs w:val="32"/>
        </w:rPr>
      </w:pPr>
      <w:r>
        <w:rPr>
          <w:rFonts w:eastAsia="仿宋_GB2312"/>
          <w:color w:val="000000"/>
          <w:sz w:val="32"/>
          <w:szCs w:val="32"/>
        </w:rPr>
        <w:t>3.质量管理体系程序</w:t>
      </w:r>
    </w:p>
    <w:p w14:paraId="559A076F">
      <w:pPr>
        <w:spacing w:line="520" w:lineRule="exact"/>
        <w:ind w:firstLine="640" w:firstLineChars="200"/>
        <w:rPr>
          <w:rFonts w:eastAsia="仿宋_GB2312"/>
          <w:color w:val="000000"/>
          <w:sz w:val="32"/>
          <w:szCs w:val="32"/>
        </w:rPr>
      </w:pPr>
      <w:r>
        <w:rPr>
          <w:rFonts w:eastAsia="仿宋_GB2312"/>
          <w:color w:val="000000"/>
          <w:sz w:val="32"/>
          <w:szCs w:val="32"/>
        </w:rPr>
        <w:t>用于建立和维护质量管理体系的高层级质量管理体系程序，包括质量手册、质量方针、质量目标和文件及记录控制程序。</w:t>
      </w:r>
    </w:p>
    <w:p w14:paraId="4F8BB09B">
      <w:pPr>
        <w:spacing w:line="520" w:lineRule="exact"/>
        <w:ind w:firstLine="640" w:firstLineChars="200"/>
        <w:rPr>
          <w:rFonts w:eastAsia="仿宋_GB2312"/>
          <w:color w:val="000000"/>
          <w:sz w:val="32"/>
          <w:szCs w:val="32"/>
        </w:rPr>
      </w:pPr>
      <w:r>
        <w:rPr>
          <w:rFonts w:eastAsia="仿宋_GB2312"/>
          <w:color w:val="000000"/>
          <w:sz w:val="32"/>
          <w:szCs w:val="32"/>
        </w:rPr>
        <w:t>4.管理职责程序</w:t>
      </w:r>
    </w:p>
    <w:p w14:paraId="2A97D660">
      <w:pPr>
        <w:spacing w:line="520" w:lineRule="exact"/>
        <w:ind w:firstLine="640" w:firstLineChars="200"/>
        <w:rPr>
          <w:rFonts w:eastAsia="仿宋_GB2312"/>
          <w:color w:val="000000"/>
          <w:sz w:val="32"/>
          <w:szCs w:val="32"/>
        </w:rPr>
      </w:pPr>
      <w:r>
        <w:rPr>
          <w:rFonts w:eastAsia="仿宋_GB2312"/>
          <w:color w:val="000000"/>
          <w:sz w:val="32"/>
          <w:szCs w:val="32"/>
        </w:rPr>
        <w:t>用于通过阐述质量方针、策划、职责/权限/沟通和管理评审，对建立和维护质量管理体系形成管理保证文件的程序。</w:t>
      </w:r>
    </w:p>
    <w:p w14:paraId="3DB83EDC">
      <w:pPr>
        <w:spacing w:line="520" w:lineRule="exact"/>
        <w:ind w:firstLine="640" w:firstLineChars="200"/>
        <w:rPr>
          <w:rFonts w:eastAsia="仿宋_GB2312"/>
          <w:color w:val="000000"/>
          <w:sz w:val="32"/>
          <w:szCs w:val="32"/>
        </w:rPr>
      </w:pPr>
      <w:r>
        <w:rPr>
          <w:rFonts w:eastAsia="仿宋_GB2312"/>
          <w:color w:val="000000"/>
          <w:sz w:val="32"/>
          <w:szCs w:val="32"/>
        </w:rPr>
        <w:t>5.资源管理程序</w:t>
      </w:r>
    </w:p>
    <w:p w14:paraId="471C3D8D">
      <w:pPr>
        <w:spacing w:line="520" w:lineRule="exact"/>
        <w:ind w:firstLine="640" w:firstLineChars="200"/>
        <w:rPr>
          <w:rFonts w:eastAsia="仿宋_GB2312"/>
          <w:color w:val="000000"/>
          <w:sz w:val="32"/>
          <w:szCs w:val="32"/>
        </w:rPr>
      </w:pPr>
      <w:r>
        <w:rPr>
          <w:rFonts w:eastAsia="仿宋_GB2312"/>
          <w:color w:val="000000"/>
          <w:sz w:val="32"/>
          <w:szCs w:val="32"/>
        </w:rPr>
        <w:t>用于为实施和维护质量管理体系所形成足够资源（包括人力资源、基础设施和工作环境）供应文件的程序。</w:t>
      </w:r>
    </w:p>
    <w:p w14:paraId="3E251E3D">
      <w:pPr>
        <w:spacing w:line="520" w:lineRule="exact"/>
        <w:ind w:firstLine="640" w:firstLineChars="200"/>
        <w:rPr>
          <w:rFonts w:eastAsia="仿宋_GB2312"/>
          <w:color w:val="000000"/>
          <w:sz w:val="32"/>
          <w:szCs w:val="32"/>
        </w:rPr>
      </w:pPr>
      <w:r>
        <w:rPr>
          <w:rFonts w:eastAsia="仿宋_GB2312"/>
          <w:color w:val="000000"/>
          <w:sz w:val="32"/>
          <w:szCs w:val="32"/>
        </w:rPr>
        <w:t>6.产品实现程序</w:t>
      </w:r>
    </w:p>
    <w:p w14:paraId="208EF8A8">
      <w:pPr>
        <w:spacing w:line="520" w:lineRule="exact"/>
        <w:ind w:firstLine="640" w:firstLineChars="200"/>
        <w:rPr>
          <w:rFonts w:eastAsia="仿宋_GB2312"/>
          <w:color w:val="000000"/>
          <w:sz w:val="32"/>
          <w:szCs w:val="32"/>
        </w:rPr>
      </w:pPr>
      <w:r>
        <w:rPr>
          <w:rFonts w:eastAsia="仿宋_GB2312"/>
          <w:color w:val="000000"/>
          <w:sz w:val="32"/>
          <w:szCs w:val="32"/>
        </w:rPr>
        <w:t>高层级的产品实现程序，如说明策划和客户相关过程的程序。</w:t>
      </w:r>
    </w:p>
    <w:p w14:paraId="5AFD6584">
      <w:pPr>
        <w:spacing w:line="520" w:lineRule="exact"/>
        <w:ind w:firstLine="640" w:firstLineChars="200"/>
        <w:rPr>
          <w:rFonts w:eastAsia="仿宋_GB2312"/>
          <w:color w:val="000000"/>
          <w:sz w:val="32"/>
          <w:szCs w:val="32"/>
        </w:rPr>
      </w:pPr>
      <w:r>
        <w:rPr>
          <w:rFonts w:eastAsia="仿宋_GB2312"/>
          <w:color w:val="000000"/>
          <w:sz w:val="32"/>
          <w:szCs w:val="32"/>
        </w:rPr>
        <w:t>6.1设计和开发程序</w:t>
      </w:r>
    </w:p>
    <w:p w14:paraId="6EA0483A">
      <w:pPr>
        <w:spacing w:line="520" w:lineRule="exact"/>
        <w:ind w:firstLine="640" w:firstLineChars="200"/>
        <w:rPr>
          <w:rFonts w:eastAsia="仿宋_GB2312"/>
          <w:color w:val="000000"/>
          <w:sz w:val="32"/>
          <w:szCs w:val="32"/>
        </w:rPr>
      </w:pPr>
      <w:r>
        <w:rPr>
          <w:rFonts w:eastAsia="仿宋_GB2312"/>
          <w:color w:val="000000"/>
          <w:sz w:val="32"/>
          <w:szCs w:val="32"/>
        </w:rPr>
        <w:t>用于形成从项目初始至设计转换的整个过程中关于产品设计的系统性和受控的开发过程文件的程序。</w:t>
      </w:r>
    </w:p>
    <w:p w14:paraId="6BA6495D">
      <w:pPr>
        <w:spacing w:line="520" w:lineRule="exact"/>
        <w:ind w:firstLine="640" w:firstLineChars="200"/>
        <w:rPr>
          <w:rFonts w:eastAsia="仿宋_GB2312"/>
          <w:color w:val="000000"/>
          <w:sz w:val="32"/>
          <w:szCs w:val="32"/>
        </w:rPr>
      </w:pPr>
      <w:r>
        <w:rPr>
          <w:rFonts w:eastAsia="仿宋_GB2312"/>
          <w:color w:val="000000"/>
          <w:sz w:val="32"/>
          <w:szCs w:val="32"/>
        </w:rPr>
        <w:t>6.2采购程序</w:t>
      </w:r>
    </w:p>
    <w:p w14:paraId="6A9136B1">
      <w:pPr>
        <w:spacing w:line="520" w:lineRule="exact"/>
        <w:ind w:firstLine="640" w:firstLineChars="200"/>
        <w:rPr>
          <w:rFonts w:eastAsia="仿宋_GB2312"/>
          <w:color w:val="000000"/>
          <w:sz w:val="32"/>
          <w:szCs w:val="32"/>
        </w:rPr>
      </w:pPr>
      <w:r>
        <w:rPr>
          <w:rFonts w:eastAsia="仿宋_GB2312"/>
          <w:color w:val="000000"/>
          <w:sz w:val="32"/>
          <w:szCs w:val="32"/>
        </w:rPr>
        <w:t>用于形成符合已制定的质量和/或产品技术参数的采购产品/服务文件的程序。</w:t>
      </w:r>
    </w:p>
    <w:p w14:paraId="377D19E5">
      <w:pPr>
        <w:spacing w:line="520" w:lineRule="exact"/>
        <w:ind w:firstLine="640" w:firstLineChars="200"/>
        <w:rPr>
          <w:rFonts w:eastAsia="仿宋_GB2312"/>
          <w:color w:val="000000"/>
          <w:sz w:val="32"/>
          <w:szCs w:val="32"/>
        </w:rPr>
      </w:pPr>
      <w:r>
        <w:rPr>
          <w:rFonts w:eastAsia="仿宋_GB2312"/>
          <w:color w:val="000000"/>
          <w:sz w:val="32"/>
          <w:szCs w:val="32"/>
        </w:rPr>
        <w:t>6.3生产和服务控制程序</w:t>
      </w:r>
    </w:p>
    <w:p w14:paraId="3F24AB22">
      <w:pPr>
        <w:spacing w:line="520" w:lineRule="exact"/>
        <w:ind w:firstLine="640" w:firstLineChars="200"/>
        <w:rPr>
          <w:rFonts w:eastAsia="仿宋_GB2312"/>
          <w:color w:val="000000"/>
          <w:sz w:val="32"/>
          <w:szCs w:val="32"/>
        </w:rPr>
      </w:pPr>
      <w:r>
        <w:rPr>
          <w:rFonts w:eastAsia="仿宋_GB2312"/>
          <w:color w:val="000000"/>
          <w:sz w:val="32"/>
          <w:szCs w:val="32"/>
        </w:rPr>
        <w:t>用于形成受控条件下生产和服务活动文件的程序，这些程序阐述诸如产品的清洁和污染的控制、安装和服务活动、过程确认、标识和可追溯性等问题。</w:t>
      </w:r>
    </w:p>
    <w:p w14:paraId="5FD6B9DD">
      <w:pPr>
        <w:spacing w:line="520" w:lineRule="exact"/>
        <w:ind w:firstLine="640" w:firstLineChars="200"/>
        <w:rPr>
          <w:rFonts w:eastAsia="仿宋_GB2312"/>
          <w:color w:val="000000"/>
          <w:sz w:val="32"/>
          <w:szCs w:val="32"/>
        </w:rPr>
      </w:pPr>
      <w:r>
        <w:rPr>
          <w:rFonts w:eastAsia="仿宋_GB2312"/>
          <w:color w:val="000000"/>
          <w:sz w:val="32"/>
          <w:szCs w:val="32"/>
        </w:rPr>
        <w:t>6.4监视和测量装置控制程序</w:t>
      </w:r>
    </w:p>
    <w:p w14:paraId="46D02237">
      <w:pPr>
        <w:spacing w:line="520" w:lineRule="exact"/>
        <w:ind w:firstLine="640" w:firstLineChars="200"/>
        <w:rPr>
          <w:rFonts w:eastAsia="仿宋_GB2312"/>
          <w:color w:val="000000"/>
          <w:sz w:val="32"/>
          <w:szCs w:val="32"/>
        </w:rPr>
      </w:pPr>
      <w:r>
        <w:rPr>
          <w:rFonts w:eastAsia="仿宋_GB2312"/>
          <w:color w:val="000000"/>
          <w:sz w:val="32"/>
          <w:szCs w:val="32"/>
        </w:rPr>
        <w:t>用于形成质量管理体系运行过程中所使用的监视和测量设备已受控并持续符合既定要求文件的程序。</w:t>
      </w:r>
    </w:p>
    <w:p w14:paraId="1DFAC353">
      <w:pPr>
        <w:spacing w:line="520" w:lineRule="exact"/>
        <w:ind w:firstLine="640" w:firstLineChars="200"/>
        <w:rPr>
          <w:rFonts w:eastAsia="仿宋_GB2312"/>
          <w:color w:val="000000"/>
          <w:sz w:val="32"/>
          <w:szCs w:val="32"/>
        </w:rPr>
      </w:pPr>
      <w:r>
        <w:rPr>
          <w:rFonts w:eastAsia="仿宋_GB2312"/>
          <w:color w:val="000000"/>
          <w:sz w:val="32"/>
          <w:szCs w:val="32"/>
        </w:rPr>
        <w:t>7.质量管理体系的测量、分析和改进程序</w:t>
      </w:r>
    </w:p>
    <w:p w14:paraId="04ED8E1F">
      <w:pPr>
        <w:spacing w:line="520" w:lineRule="exact"/>
        <w:ind w:firstLine="640" w:firstLineChars="200"/>
        <w:rPr>
          <w:rFonts w:eastAsia="仿宋_GB2312"/>
          <w:color w:val="000000"/>
          <w:sz w:val="32"/>
          <w:szCs w:val="32"/>
        </w:rPr>
      </w:pPr>
      <w:r>
        <w:rPr>
          <w:rFonts w:eastAsia="仿宋_GB2312"/>
          <w:color w:val="000000"/>
          <w:sz w:val="32"/>
          <w:szCs w:val="32"/>
        </w:rPr>
        <w:t>用于形成如何监视、测量、分析和改进以确保产品和质量管理体系的符合性，并保持质量管理体系有效性的文件的程序。</w:t>
      </w:r>
    </w:p>
    <w:p w14:paraId="30616F1E">
      <w:pPr>
        <w:spacing w:line="520" w:lineRule="exact"/>
        <w:ind w:firstLine="640" w:firstLineChars="200"/>
        <w:rPr>
          <w:rFonts w:eastAsia="仿宋_GB2312"/>
          <w:color w:val="000000"/>
          <w:sz w:val="32"/>
          <w:szCs w:val="32"/>
        </w:rPr>
      </w:pPr>
      <w:r>
        <w:rPr>
          <w:rFonts w:eastAsia="仿宋_GB2312"/>
          <w:color w:val="000000"/>
          <w:sz w:val="32"/>
          <w:szCs w:val="32"/>
        </w:rPr>
        <w:t>8.其他质量体系程序信息</w:t>
      </w:r>
    </w:p>
    <w:p w14:paraId="5FFB6D26">
      <w:pPr>
        <w:spacing w:line="520" w:lineRule="exact"/>
        <w:ind w:firstLine="640" w:firstLineChars="200"/>
        <w:rPr>
          <w:rFonts w:eastAsia="仿宋_GB2312"/>
          <w:color w:val="000000"/>
          <w:sz w:val="32"/>
          <w:szCs w:val="32"/>
        </w:rPr>
      </w:pPr>
      <w:r>
        <w:rPr>
          <w:rFonts w:eastAsia="仿宋_GB2312"/>
          <w:color w:val="000000"/>
          <w:sz w:val="32"/>
          <w:szCs w:val="32"/>
        </w:rPr>
        <w:t>不属于上述内容，但对此次申报较为重要的其他信息。</w:t>
      </w:r>
    </w:p>
    <w:p w14:paraId="4524BE53">
      <w:pPr>
        <w:spacing w:line="520" w:lineRule="exact"/>
        <w:ind w:firstLine="640" w:firstLineChars="200"/>
        <w:rPr>
          <w:rFonts w:eastAsia="仿宋_GB2312"/>
          <w:color w:val="000000"/>
          <w:sz w:val="32"/>
          <w:szCs w:val="32"/>
        </w:rPr>
      </w:pPr>
      <w:r>
        <w:rPr>
          <w:rFonts w:eastAsia="仿宋_GB2312"/>
          <w:color w:val="000000"/>
          <w:sz w:val="32"/>
          <w:szCs w:val="32"/>
        </w:rPr>
        <w:t>9.质量管理体系核查文件</w:t>
      </w:r>
    </w:p>
    <w:p w14:paraId="4CCCCD0E">
      <w:pPr>
        <w:spacing w:line="520" w:lineRule="exact"/>
        <w:ind w:firstLine="640" w:firstLineChars="200"/>
        <w:rPr>
          <w:rFonts w:eastAsia="仿宋_GB2312"/>
          <w:color w:val="000000"/>
          <w:sz w:val="32"/>
          <w:szCs w:val="32"/>
        </w:rPr>
      </w:pPr>
      <w:r>
        <w:rPr>
          <w:rFonts w:eastAsia="仿宋_GB2312"/>
          <w:color w:val="000000"/>
          <w:sz w:val="32"/>
          <w:szCs w:val="32"/>
        </w:rPr>
        <w:t>根据上述质量管理体系程序，申请人应当形成相关质量管理体系文件和记录。应当提交下列资料，在质量管理体系核查时进行检查。</w:t>
      </w:r>
    </w:p>
    <w:p w14:paraId="62465F68">
      <w:pPr>
        <w:spacing w:line="520" w:lineRule="exact"/>
        <w:ind w:firstLine="640" w:firstLineChars="200"/>
        <w:rPr>
          <w:rFonts w:eastAsia="仿宋_GB2312"/>
          <w:color w:val="000000"/>
          <w:sz w:val="32"/>
          <w:szCs w:val="32"/>
        </w:rPr>
      </w:pPr>
      <w:r>
        <w:rPr>
          <w:rFonts w:eastAsia="仿宋_GB2312"/>
          <w:color w:val="000000"/>
          <w:sz w:val="32"/>
          <w:szCs w:val="32"/>
        </w:rPr>
        <w:t>9.1申请人基本情况表。</w:t>
      </w:r>
    </w:p>
    <w:p w14:paraId="7083C269">
      <w:pPr>
        <w:spacing w:line="520" w:lineRule="exact"/>
        <w:ind w:firstLine="640" w:firstLineChars="200"/>
        <w:rPr>
          <w:rFonts w:eastAsia="仿宋_GB2312"/>
          <w:color w:val="000000"/>
          <w:sz w:val="32"/>
          <w:szCs w:val="32"/>
        </w:rPr>
      </w:pPr>
      <w:r>
        <w:rPr>
          <w:rFonts w:eastAsia="仿宋_GB2312"/>
          <w:color w:val="000000"/>
          <w:sz w:val="32"/>
          <w:szCs w:val="32"/>
        </w:rPr>
        <w:t>9.2申请人组织机构图。</w:t>
      </w:r>
    </w:p>
    <w:p w14:paraId="77E60290">
      <w:pPr>
        <w:spacing w:line="520" w:lineRule="exact"/>
        <w:ind w:firstLine="640" w:firstLineChars="200"/>
        <w:rPr>
          <w:rFonts w:eastAsia="仿宋_GB2312"/>
          <w:color w:val="000000"/>
          <w:sz w:val="32"/>
          <w:szCs w:val="32"/>
        </w:rPr>
      </w:pPr>
      <w:r>
        <w:rPr>
          <w:rFonts w:eastAsia="仿宋_GB2312"/>
          <w:color w:val="000000"/>
          <w:sz w:val="32"/>
          <w:szCs w:val="32"/>
        </w:rPr>
        <w:t>9.3生产企业总平面布置图、生产区域分布图。</w:t>
      </w:r>
    </w:p>
    <w:p w14:paraId="22EF5E3F">
      <w:pPr>
        <w:spacing w:line="520" w:lineRule="exact"/>
        <w:ind w:firstLine="640" w:firstLineChars="200"/>
        <w:rPr>
          <w:rFonts w:eastAsia="仿宋_GB2312"/>
          <w:color w:val="000000"/>
          <w:sz w:val="32"/>
          <w:szCs w:val="32"/>
        </w:rPr>
      </w:pPr>
      <w:r>
        <w:rPr>
          <w:rFonts w:eastAsia="仿宋_GB2312"/>
          <w:color w:val="000000"/>
          <w:sz w:val="32"/>
          <w:szCs w:val="32"/>
        </w:rPr>
        <w:t>9.4产品生产工艺流程图，应当标明主要控制点与项目及主要原材料、采购件的来源及质量控制方法。</w:t>
      </w:r>
    </w:p>
    <w:p w14:paraId="2A08ACE2">
      <w:pPr>
        <w:spacing w:line="520" w:lineRule="exact"/>
        <w:ind w:firstLine="640" w:firstLineChars="200"/>
        <w:rPr>
          <w:rFonts w:eastAsia="仿宋_GB2312"/>
          <w:color w:val="000000"/>
          <w:sz w:val="32"/>
          <w:szCs w:val="32"/>
        </w:rPr>
      </w:pPr>
      <w:r>
        <w:rPr>
          <w:rFonts w:eastAsia="仿宋_GB2312"/>
          <w:color w:val="000000"/>
          <w:sz w:val="32"/>
          <w:szCs w:val="32"/>
        </w:rPr>
        <w:t>9.5主要生产设备和检验设备（包括进货检验、过程检验、出厂最终检验所需的相关设备）目录。</w:t>
      </w:r>
    </w:p>
    <w:p w14:paraId="473AA3A6">
      <w:pPr>
        <w:spacing w:line="520" w:lineRule="exact"/>
        <w:ind w:firstLine="640" w:firstLineChars="200"/>
        <w:rPr>
          <w:rFonts w:eastAsia="仿宋_GB2312"/>
          <w:color w:val="000000"/>
          <w:sz w:val="32"/>
          <w:szCs w:val="32"/>
        </w:rPr>
      </w:pPr>
      <w:r>
        <w:rPr>
          <w:rFonts w:eastAsia="仿宋_GB2312"/>
          <w:color w:val="000000"/>
          <w:sz w:val="32"/>
          <w:szCs w:val="32"/>
        </w:rPr>
        <w:t>9.6质量管理体系自查报告。</w:t>
      </w:r>
    </w:p>
    <w:p w14:paraId="4A7B2993">
      <w:pPr>
        <w:spacing w:line="520" w:lineRule="exact"/>
        <w:ind w:firstLine="640" w:firstLineChars="200"/>
        <w:rPr>
          <w:rFonts w:eastAsia="仿宋_GB2312"/>
          <w:color w:val="000000"/>
          <w:sz w:val="32"/>
          <w:szCs w:val="32"/>
        </w:rPr>
      </w:pPr>
      <w:r>
        <w:rPr>
          <w:rFonts w:eastAsia="仿宋_GB2312"/>
          <w:color w:val="000000"/>
          <w:sz w:val="32"/>
          <w:szCs w:val="32"/>
        </w:rPr>
        <w:t>9.7如适用，应当提供拟核查产品与既往已通过核查产品在生产条件、生产工艺等方面的对比说明。</w:t>
      </w:r>
    </w:p>
    <w:p w14:paraId="65F0B909">
      <w:pPr>
        <w:widowControl/>
        <w:spacing w:line="520" w:lineRule="exact"/>
        <w:ind w:firstLine="640" w:firstLineChars="200"/>
        <w:outlineLvl w:val="0"/>
        <w:rPr>
          <w:rFonts w:eastAsia="黑体"/>
          <w:kern w:val="0"/>
          <w:sz w:val="32"/>
          <w:szCs w:val="32"/>
        </w:rPr>
      </w:pPr>
      <w:r>
        <w:rPr>
          <w:rFonts w:hint="eastAsia" w:eastAsia="黑体"/>
          <w:kern w:val="0"/>
          <w:sz w:val="32"/>
          <w:szCs w:val="32"/>
        </w:rPr>
        <w:t>三</w:t>
      </w:r>
      <w:r>
        <w:rPr>
          <w:rFonts w:eastAsia="黑体"/>
          <w:kern w:val="0"/>
          <w:sz w:val="32"/>
          <w:szCs w:val="32"/>
        </w:rPr>
        <w:t>、参考文献</w:t>
      </w:r>
    </w:p>
    <w:p w14:paraId="3F1D2222">
      <w:pPr>
        <w:spacing w:line="520" w:lineRule="exact"/>
        <w:ind w:firstLine="640" w:firstLineChars="200"/>
        <w:rPr>
          <w:rFonts w:eastAsia="仿宋_GB2312"/>
          <w:color w:val="000000"/>
          <w:sz w:val="32"/>
          <w:szCs w:val="32"/>
        </w:rPr>
      </w:pPr>
      <w:r>
        <w:rPr>
          <w:rFonts w:eastAsia="仿宋_GB2312"/>
          <w:color w:val="000000"/>
          <w:sz w:val="32"/>
          <w:szCs w:val="32"/>
        </w:rPr>
        <w:t>[1]GB 9706.1,医用电气设备第一部分：安全通用要求[S].</w:t>
      </w:r>
    </w:p>
    <w:p w14:paraId="32D6634D">
      <w:pPr>
        <w:spacing w:line="520" w:lineRule="exact"/>
        <w:ind w:firstLine="640" w:firstLineChars="200"/>
        <w:rPr>
          <w:rFonts w:eastAsia="仿宋_GB2312"/>
          <w:color w:val="000000"/>
          <w:sz w:val="32"/>
          <w:szCs w:val="32"/>
        </w:rPr>
      </w:pPr>
      <w:r>
        <w:rPr>
          <w:rFonts w:eastAsia="仿宋_GB2312"/>
          <w:color w:val="000000"/>
          <w:sz w:val="32"/>
          <w:szCs w:val="32"/>
        </w:rPr>
        <w:t>[2]GB/T 16886.1,医疗器械生物学评价第1部分：风险管理过程中的评价与试验[S].</w:t>
      </w:r>
    </w:p>
    <w:p w14:paraId="4F570F27">
      <w:pPr>
        <w:widowControl/>
        <w:spacing w:line="520" w:lineRule="exact"/>
        <w:ind w:firstLine="640" w:firstLineChars="200"/>
        <w:outlineLvl w:val="0"/>
        <w:rPr>
          <w:rFonts w:eastAsia="仿宋_GB2312"/>
          <w:color w:val="000000"/>
          <w:sz w:val="32"/>
          <w:szCs w:val="32"/>
        </w:rPr>
      </w:pPr>
      <w:r>
        <w:rPr>
          <w:rFonts w:eastAsia="仿宋_GB2312"/>
          <w:color w:val="000000"/>
          <w:sz w:val="32"/>
          <w:szCs w:val="32"/>
        </w:rPr>
        <w:t>[3]GB/T 16886.5,医疗器械生物学评价第5部分：体外细胞毒性试验[S].</w:t>
      </w:r>
    </w:p>
    <w:p w14:paraId="615F43DE">
      <w:pPr>
        <w:spacing w:line="520" w:lineRule="exact"/>
        <w:ind w:firstLine="640" w:firstLineChars="200"/>
        <w:rPr>
          <w:rFonts w:eastAsia="仿宋_GB2312"/>
          <w:color w:val="000000"/>
          <w:sz w:val="32"/>
          <w:szCs w:val="32"/>
        </w:rPr>
      </w:pPr>
      <w:r>
        <w:rPr>
          <w:rFonts w:eastAsia="仿宋_GB2312"/>
          <w:color w:val="000000"/>
          <w:sz w:val="32"/>
          <w:szCs w:val="32"/>
        </w:rPr>
        <w:t>[4]GB/T 16886.10,医疗器械生物学评价第10部分：刺激与皮肤致敏试验[S].</w:t>
      </w:r>
    </w:p>
    <w:p w14:paraId="024B32C7">
      <w:pPr>
        <w:spacing w:line="520" w:lineRule="exact"/>
        <w:ind w:firstLine="640" w:firstLineChars="200"/>
        <w:rPr>
          <w:rFonts w:eastAsia="仿宋_GB2312"/>
          <w:color w:val="000000"/>
          <w:sz w:val="32"/>
          <w:szCs w:val="32"/>
        </w:rPr>
      </w:pPr>
      <w:r>
        <w:rPr>
          <w:rFonts w:eastAsia="仿宋_GB2312"/>
          <w:color w:val="000000"/>
          <w:sz w:val="32"/>
          <w:szCs w:val="32"/>
        </w:rPr>
        <w:t>[5]GB/T 21417.1,医用红外体温计第1部分：耳腔式[S].</w:t>
      </w:r>
    </w:p>
    <w:p w14:paraId="26E899C4">
      <w:pPr>
        <w:spacing w:line="520" w:lineRule="exact"/>
        <w:ind w:firstLine="640" w:firstLineChars="200"/>
        <w:rPr>
          <w:rFonts w:eastAsia="仿宋_GB2312"/>
          <w:color w:val="000000"/>
          <w:sz w:val="32"/>
          <w:szCs w:val="32"/>
        </w:rPr>
      </w:pPr>
      <w:r>
        <w:rPr>
          <w:rFonts w:eastAsia="仿宋_GB2312"/>
          <w:color w:val="000000"/>
          <w:sz w:val="32"/>
          <w:szCs w:val="32"/>
        </w:rPr>
        <w:t>[6]YY 0505,医用电气设备第1—2部分：安全通用要求并列标准:电磁兼容要求和试验[S].</w:t>
      </w:r>
    </w:p>
    <w:p w14:paraId="7CE04E8B">
      <w:pPr>
        <w:spacing w:line="520" w:lineRule="exact"/>
        <w:ind w:firstLine="640" w:firstLineChars="200"/>
        <w:rPr>
          <w:rFonts w:eastAsia="仿宋_GB2312"/>
          <w:color w:val="000000"/>
          <w:sz w:val="32"/>
          <w:szCs w:val="32"/>
        </w:rPr>
      </w:pPr>
      <w:r>
        <w:rPr>
          <w:rFonts w:eastAsia="仿宋_GB2312"/>
          <w:color w:val="000000"/>
          <w:sz w:val="32"/>
          <w:szCs w:val="32"/>
        </w:rPr>
        <w:t>[6]GB/T 21417.1,医用红外体温计第1部分：耳腔式[S].</w:t>
      </w:r>
    </w:p>
    <w:p w14:paraId="71B2F5DE">
      <w:pPr>
        <w:spacing w:line="520" w:lineRule="exact"/>
        <w:ind w:firstLine="640" w:firstLineChars="200"/>
        <w:rPr>
          <w:rFonts w:eastAsia="仿宋_GB2312"/>
          <w:color w:val="000000"/>
          <w:sz w:val="32"/>
          <w:szCs w:val="32"/>
        </w:rPr>
      </w:pPr>
      <w:r>
        <w:rPr>
          <w:rFonts w:eastAsia="仿宋_GB2312"/>
          <w:color w:val="000000"/>
          <w:sz w:val="32"/>
          <w:szCs w:val="32"/>
        </w:rPr>
        <w:t>[7]WS/T 367,医疗机构消毒技术规范[S].</w:t>
      </w:r>
    </w:p>
    <w:p w14:paraId="54D39316">
      <w:pPr>
        <w:spacing w:line="520" w:lineRule="exact"/>
        <w:ind w:firstLine="640" w:firstLineChars="200"/>
        <w:rPr>
          <w:rFonts w:eastAsia="仿宋_GB2312"/>
          <w:color w:val="000000"/>
          <w:sz w:val="32"/>
          <w:szCs w:val="32"/>
        </w:rPr>
      </w:pPr>
      <w:r>
        <w:rPr>
          <w:rFonts w:eastAsia="仿宋_GB2312"/>
          <w:color w:val="000000"/>
          <w:sz w:val="32"/>
          <w:szCs w:val="32"/>
        </w:rPr>
        <w:t>[8]YY/T 0316,医疗器械风险管理对医疗器械的应用[S].</w:t>
      </w:r>
    </w:p>
    <w:p w14:paraId="20BA6D70">
      <w:pPr>
        <w:spacing w:line="520" w:lineRule="exact"/>
        <w:ind w:firstLine="640" w:firstLineChars="200"/>
        <w:rPr>
          <w:rFonts w:eastAsia="仿宋_GB2312"/>
          <w:color w:val="000000"/>
          <w:sz w:val="32"/>
          <w:szCs w:val="32"/>
        </w:rPr>
      </w:pPr>
      <w:r>
        <w:rPr>
          <w:rFonts w:eastAsia="仿宋_GB2312"/>
          <w:color w:val="000000"/>
          <w:sz w:val="32"/>
          <w:szCs w:val="32"/>
        </w:rPr>
        <w:t>[9]GB/T 14710,医用电器环境要求及试验方法[S].</w:t>
      </w:r>
    </w:p>
    <w:p w14:paraId="15CFF626">
      <w:pPr>
        <w:spacing w:line="520" w:lineRule="exact"/>
        <w:ind w:firstLine="640" w:firstLineChars="200"/>
        <w:rPr>
          <w:rFonts w:eastAsia="仿宋_GB2312"/>
          <w:color w:val="000000"/>
          <w:sz w:val="32"/>
          <w:szCs w:val="32"/>
        </w:rPr>
      </w:pPr>
      <w:r>
        <w:rPr>
          <w:rFonts w:eastAsia="仿宋_GB2312"/>
          <w:color w:val="000000"/>
          <w:sz w:val="32"/>
          <w:szCs w:val="32"/>
        </w:rPr>
        <w:t>[10]YY/T 0466.1,医疗器械用于医疗器械标签、标记和提供信息的符号第1部分：通用要求[S].</w:t>
      </w:r>
    </w:p>
    <w:p w14:paraId="0466C47B">
      <w:pPr>
        <w:spacing w:line="520" w:lineRule="exact"/>
        <w:ind w:firstLine="640" w:firstLineChars="200"/>
        <w:rPr>
          <w:rFonts w:eastAsia="仿宋_GB2312"/>
          <w:color w:val="000000"/>
          <w:sz w:val="32"/>
          <w:szCs w:val="32"/>
        </w:rPr>
      </w:pPr>
      <w:r>
        <w:rPr>
          <w:rFonts w:eastAsia="仿宋_GB2312"/>
          <w:color w:val="000000"/>
          <w:sz w:val="32"/>
          <w:szCs w:val="32"/>
        </w:rPr>
        <w:t>[11]GB/T 191,包装储运图示标志[S].</w:t>
      </w:r>
    </w:p>
    <w:p w14:paraId="42D8932A">
      <w:pPr>
        <w:spacing w:line="520" w:lineRule="exact"/>
        <w:ind w:firstLine="640" w:firstLineChars="200"/>
        <w:rPr>
          <w:rFonts w:eastAsia="仿宋_GB2312"/>
          <w:color w:val="000000"/>
          <w:sz w:val="32"/>
          <w:szCs w:val="32"/>
        </w:rPr>
      </w:pPr>
      <w:r>
        <w:rPr>
          <w:rFonts w:eastAsia="仿宋_GB2312"/>
          <w:color w:val="000000"/>
          <w:sz w:val="32"/>
          <w:szCs w:val="32"/>
        </w:rPr>
        <w:t>[12]GB/T 9969,工业产品使用说明书总则[S].</w:t>
      </w:r>
    </w:p>
    <w:p w14:paraId="0619C088">
      <w:pPr>
        <w:spacing w:line="520" w:lineRule="exact"/>
        <w:ind w:firstLine="640" w:firstLineChars="200"/>
        <w:rPr>
          <w:rFonts w:eastAsia="仿宋_GB2312"/>
          <w:color w:val="000000"/>
          <w:sz w:val="32"/>
          <w:szCs w:val="32"/>
        </w:rPr>
      </w:pPr>
      <w:r>
        <w:rPr>
          <w:rFonts w:eastAsia="仿宋_GB2312"/>
          <w:color w:val="000000"/>
          <w:sz w:val="32"/>
          <w:szCs w:val="32"/>
        </w:rPr>
        <w:t>[13]YY/T 0664,医疗器械软件软件生存周期过程[S].</w:t>
      </w:r>
    </w:p>
    <w:p w14:paraId="2BAA148F">
      <w:pPr>
        <w:spacing w:line="520" w:lineRule="exact"/>
        <w:ind w:firstLine="640" w:firstLineChars="200"/>
        <w:rPr>
          <w:rFonts w:eastAsia="仿宋_GB2312"/>
          <w:color w:val="000000"/>
          <w:sz w:val="32"/>
          <w:szCs w:val="32"/>
        </w:rPr>
      </w:pPr>
      <w:r>
        <w:rPr>
          <w:rFonts w:eastAsia="仿宋_GB2312"/>
          <w:color w:val="000000"/>
          <w:sz w:val="32"/>
          <w:szCs w:val="32"/>
        </w:rPr>
        <w:t>[14]YY/T 0708,医用电气设备第1—4部分：安全通用要求并列标准：可编程医用电气系统[S].</w:t>
      </w:r>
    </w:p>
    <w:p w14:paraId="3D6A3B7F">
      <w:pPr>
        <w:spacing w:line="520" w:lineRule="exact"/>
        <w:ind w:firstLine="640" w:firstLineChars="200"/>
        <w:rPr>
          <w:rFonts w:eastAsia="仿宋_GB2312"/>
          <w:color w:val="000000"/>
          <w:sz w:val="32"/>
          <w:szCs w:val="32"/>
        </w:rPr>
      </w:pPr>
      <w:r>
        <w:rPr>
          <w:rFonts w:eastAsia="仿宋_GB2312"/>
          <w:color w:val="000000"/>
          <w:sz w:val="32"/>
          <w:szCs w:val="32"/>
        </w:rPr>
        <w:t>[15]T/CIS 11003,医用红外额温计[S].</w:t>
      </w:r>
    </w:p>
    <w:p w14:paraId="67C46361">
      <w:pPr>
        <w:spacing w:line="520" w:lineRule="exact"/>
        <w:ind w:firstLine="640" w:firstLineChars="200"/>
        <w:rPr>
          <w:rFonts w:eastAsia="仿宋_GB2312"/>
          <w:color w:val="000000"/>
          <w:sz w:val="32"/>
          <w:szCs w:val="32"/>
        </w:rPr>
      </w:pPr>
      <w:r>
        <w:rPr>
          <w:rFonts w:eastAsia="仿宋_GB2312"/>
          <w:color w:val="000000"/>
          <w:sz w:val="32"/>
          <w:szCs w:val="32"/>
        </w:rPr>
        <w:t>[16]WS/T 367，医疗机构消毒技术规范[S].</w:t>
      </w:r>
    </w:p>
    <w:p w14:paraId="5CEFEFC6">
      <w:pPr>
        <w:spacing w:line="520" w:lineRule="exact"/>
        <w:ind w:firstLine="640" w:firstLineChars="200"/>
        <w:rPr>
          <w:rFonts w:eastAsia="仿宋_GB2312"/>
          <w:color w:val="000000"/>
          <w:sz w:val="32"/>
          <w:szCs w:val="32"/>
        </w:rPr>
      </w:pPr>
      <w:r>
        <w:rPr>
          <w:rFonts w:eastAsia="仿宋_GB2312"/>
          <w:color w:val="000000"/>
          <w:sz w:val="32"/>
          <w:szCs w:val="32"/>
        </w:rPr>
        <w:t>[17]吴林蔚，许晓萍，李风梅，额温计产品安全有效性研究[J].中国医疗器械信息,2019,9:20-21.</w:t>
      </w:r>
    </w:p>
    <w:p w14:paraId="4280FBC5">
      <w:pPr>
        <w:widowControl/>
        <w:spacing w:line="520" w:lineRule="exact"/>
        <w:rPr>
          <w:rFonts w:hint="eastAsia" w:eastAsia="等线"/>
          <w:lang w:eastAsia="zh-CN"/>
        </w:rPr>
      </w:pPr>
    </w:p>
    <w:p w14:paraId="3D7FC643">
      <w:pPr>
        <w:widowControl/>
        <w:spacing w:line="520" w:lineRule="exact"/>
        <w:jc w:val="center"/>
        <w:rPr>
          <w:rFonts w:hint="eastAsia" w:eastAsia="等线"/>
          <w:lang w:eastAsia="zh-CN"/>
        </w:rPr>
      </w:pPr>
    </w:p>
    <w:p w14:paraId="018EB80B">
      <w:pPr>
        <w:widowControl/>
        <w:spacing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微软雅黑"/>
    <w:panose1 w:val="000000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C3B9B">
    <w:pPr>
      <w:pStyle w:val="5"/>
      <w:jc w:val="righ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p w14:paraId="03EAA98C">
    <w:pPr>
      <w:pStyle w:val="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5D3DD">
    <w:pPr>
      <w:pStyle w:val="5"/>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BC6D33"/>
    <w:rsid w:val="00050997"/>
    <w:rsid w:val="000714D2"/>
    <w:rsid w:val="0007279F"/>
    <w:rsid w:val="00072ACB"/>
    <w:rsid w:val="00077457"/>
    <w:rsid w:val="00091F89"/>
    <w:rsid w:val="000B06D3"/>
    <w:rsid w:val="000D4F4F"/>
    <w:rsid w:val="000E480F"/>
    <w:rsid w:val="000E593E"/>
    <w:rsid w:val="00134947"/>
    <w:rsid w:val="0015439B"/>
    <w:rsid w:val="00154FB4"/>
    <w:rsid w:val="001559A9"/>
    <w:rsid w:val="00170331"/>
    <w:rsid w:val="00173F26"/>
    <w:rsid w:val="001D6573"/>
    <w:rsid w:val="001E4F2A"/>
    <w:rsid w:val="00214466"/>
    <w:rsid w:val="00232548"/>
    <w:rsid w:val="002344C3"/>
    <w:rsid w:val="00284A01"/>
    <w:rsid w:val="002A4128"/>
    <w:rsid w:val="002A412E"/>
    <w:rsid w:val="002A7E24"/>
    <w:rsid w:val="002B08C8"/>
    <w:rsid w:val="002B3027"/>
    <w:rsid w:val="002D4C6F"/>
    <w:rsid w:val="00343AAF"/>
    <w:rsid w:val="00355648"/>
    <w:rsid w:val="0036521C"/>
    <w:rsid w:val="0037302F"/>
    <w:rsid w:val="00393D10"/>
    <w:rsid w:val="003C31EF"/>
    <w:rsid w:val="003E11C0"/>
    <w:rsid w:val="003E39EE"/>
    <w:rsid w:val="003E4144"/>
    <w:rsid w:val="00433EDD"/>
    <w:rsid w:val="00456107"/>
    <w:rsid w:val="004A4B27"/>
    <w:rsid w:val="004C2944"/>
    <w:rsid w:val="004D08DC"/>
    <w:rsid w:val="004D2687"/>
    <w:rsid w:val="004D55EC"/>
    <w:rsid w:val="004E0028"/>
    <w:rsid w:val="004F6805"/>
    <w:rsid w:val="00510390"/>
    <w:rsid w:val="005157A1"/>
    <w:rsid w:val="00553DBA"/>
    <w:rsid w:val="00573276"/>
    <w:rsid w:val="00575996"/>
    <w:rsid w:val="00587488"/>
    <w:rsid w:val="0059632F"/>
    <w:rsid w:val="005A07FE"/>
    <w:rsid w:val="00617CC0"/>
    <w:rsid w:val="006209BA"/>
    <w:rsid w:val="00671680"/>
    <w:rsid w:val="00687B4F"/>
    <w:rsid w:val="006902B0"/>
    <w:rsid w:val="006A25BA"/>
    <w:rsid w:val="006B5700"/>
    <w:rsid w:val="006F1ABB"/>
    <w:rsid w:val="00711188"/>
    <w:rsid w:val="007125BF"/>
    <w:rsid w:val="00715E23"/>
    <w:rsid w:val="00730573"/>
    <w:rsid w:val="00734689"/>
    <w:rsid w:val="00735479"/>
    <w:rsid w:val="00764B7D"/>
    <w:rsid w:val="0077307A"/>
    <w:rsid w:val="00783810"/>
    <w:rsid w:val="00787997"/>
    <w:rsid w:val="007A6A9E"/>
    <w:rsid w:val="007A79C4"/>
    <w:rsid w:val="007C3290"/>
    <w:rsid w:val="007C529F"/>
    <w:rsid w:val="007E1389"/>
    <w:rsid w:val="007F7D9D"/>
    <w:rsid w:val="00807EAA"/>
    <w:rsid w:val="0082621F"/>
    <w:rsid w:val="00834FBA"/>
    <w:rsid w:val="00844F28"/>
    <w:rsid w:val="0085137E"/>
    <w:rsid w:val="00877D1C"/>
    <w:rsid w:val="008A54F3"/>
    <w:rsid w:val="008A6C36"/>
    <w:rsid w:val="008B06A6"/>
    <w:rsid w:val="008F00DF"/>
    <w:rsid w:val="0091282E"/>
    <w:rsid w:val="00924DCD"/>
    <w:rsid w:val="00924E93"/>
    <w:rsid w:val="0096036F"/>
    <w:rsid w:val="00991FB1"/>
    <w:rsid w:val="009923A4"/>
    <w:rsid w:val="009A0A1B"/>
    <w:rsid w:val="009A2376"/>
    <w:rsid w:val="009C5A7C"/>
    <w:rsid w:val="009D77B7"/>
    <w:rsid w:val="009E0926"/>
    <w:rsid w:val="009E62AC"/>
    <w:rsid w:val="009F76F0"/>
    <w:rsid w:val="00A00486"/>
    <w:rsid w:val="00A24AE0"/>
    <w:rsid w:val="00A25D62"/>
    <w:rsid w:val="00A322FE"/>
    <w:rsid w:val="00A35DAD"/>
    <w:rsid w:val="00A626E0"/>
    <w:rsid w:val="00A7190B"/>
    <w:rsid w:val="00A8502E"/>
    <w:rsid w:val="00A9696E"/>
    <w:rsid w:val="00AA66B3"/>
    <w:rsid w:val="00AE16F9"/>
    <w:rsid w:val="00AE5CCA"/>
    <w:rsid w:val="00AF309C"/>
    <w:rsid w:val="00AF4C75"/>
    <w:rsid w:val="00AF50B7"/>
    <w:rsid w:val="00AF6B44"/>
    <w:rsid w:val="00B00483"/>
    <w:rsid w:val="00B301F7"/>
    <w:rsid w:val="00B62281"/>
    <w:rsid w:val="00B73120"/>
    <w:rsid w:val="00B84D54"/>
    <w:rsid w:val="00BC5B7A"/>
    <w:rsid w:val="00BC6D33"/>
    <w:rsid w:val="00BF0EDA"/>
    <w:rsid w:val="00BF4B28"/>
    <w:rsid w:val="00C0087D"/>
    <w:rsid w:val="00C0102D"/>
    <w:rsid w:val="00C101F9"/>
    <w:rsid w:val="00C13FEC"/>
    <w:rsid w:val="00C21EB6"/>
    <w:rsid w:val="00C2766D"/>
    <w:rsid w:val="00C354E2"/>
    <w:rsid w:val="00C829E3"/>
    <w:rsid w:val="00CB010C"/>
    <w:rsid w:val="00CE340C"/>
    <w:rsid w:val="00CE459D"/>
    <w:rsid w:val="00CE5722"/>
    <w:rsid w:val="00D12402"/>
    <w:rsid w:val="00D1650C"/>
    <w:rsid w:val="00D176B6"/>
    <w:rsid w:val="00D42A3A"/>
    <w:rsid w:val="00D62E43"/>
    <w:rsid w:val="00DA2176"/>
    <w:rsid w:val="00DD2CCF"/>
    <w:rsid w:val="00DE1D0E"/>
    <w:rsid w:val="00DF0468"/>
    <w:rsid w:val="00E34AE1"/>
    <w:rsid w:val="00E408A0"/>
    <w:rsid w:val="00E76E67"/>
    <w:rsid w:val="00EA1E0F"/>
    <w:rsid w:val="00EE5826"/>
    <w:rsid w:val="00F141F5"/>
    <w:rsid w:val="00F25BF1"/>
    <w:rsid w:val="00F54C55"/>
    <w:rsid w:val="00F60008"/>
    <w:rsid w:val="00F637DA"/>
    <w:rsid w:val="00F63AE3"/>
    <w:rsid w:val="00F926F3"/>
    <w:rsid w:val="12B04FBC"/>
    <w:rsid w:val="21693F13"/>
    <w:rsid w:val="21E500E8"/>
    <w:rsid w:val="22CA74F7"/>
    <w:rsid w:val="28D74ED6"/>
    <w:rsid w:val="298F0D72"/>
    <w:rsid w:val="305F065C"/>
    <w:rsid w:val="37ED6663"/>
    <w:rsid w:val="3F352FA4"/>
    <w:rsid w:val="40761F30"/>
    <w:rsid w:val="45253CC2"/>
    <w:rsid w:val="459B6D2C"/>
    <w:rsid w:val="465B1756"/>
    <w:rsid w:val="59C53A8D"/>
    <w:rsid w:val="6A347883"/>
    <w:rsid w:val="76761E75"/>
    <w:rsid w:val="7F3514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unhideWhenUsed/>
    <w:qFormat/>
    <w:uiPriority w:val="99"/>
    <w:pPr>
      <w:jc w:val="left"/>
    </w:pPr>
  </w:style>
  <w:style w:type="paragraph" w:styleId="3">
    <w:name w:val="Body Text Indent"/>
    <w:basedOn w:val="1"/>
    <w:link w:val="17"/>
    <w:unhideWhenUsed/>
    <w:qFormat/>
    <w:uiPriority w:val="0"/>
    <w:pPr>
      <w:ind w:firstLine="420" w:firstLineChars="200"/>
    </w:pPr>
    <w:rPr>
      <w:kern w:val="0"/>
      <w:sz w:val="20"/>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批注文字 字符"/>
    <w:basedOn w:val="9"/>
    <w:link w:val="2"/>
    <w:qFormat/>
    <w:uiPriority w:val="99"/>
    <w:rPr>
      <w:rFonts w:ascii="Times New Roman" w:hAnsi="Times New Roman" w:eastAsia="宋体" w:cs="Times New Roman"/>
      <w:szCs w:val="24"/>
    </w:rPr>
  </w:style>
  <w:style w:type="character" w:customStyle="1" w:styleId="12">
    <w:name w:val="页眉 字符"/>
    <w:basedOn w:val="9"/>
    <w:link w:val="6"/>
    <w:qFormat/>
    <w:uiPriority w:val="99"/>
    <w:rPr>
      <w:rFonts w:ascii="Times New Roman" w:hAnsi="Times New Roman" w:eastAsia="宋体" w:cs="Times New Roman"/>
      <w:sz w:val="18"/>
      <w:szCs w:val="18"/>
    </w:rPr>
  </w:style>
  <w:style w:type="character" w:customStyle="1" w:styleId="13">
    <w:name w:val="页脚 字符"/>
    <w:basedOn w:val="9"/>
    <w:link w:val="5"/>
    <w:qFormat/>
    <w:uiPriority w:val="99"/>
    <w:rPr>
      <w:rFonts w:ascii="Times New Roman" w:hAnsi="Times New Roman" w:eastAsia="宋体" w:cs="Times New Roman"/>
      <w:sz w:val="18"/>
      <w:szCs w:val="18"/>
    </w:rPr>
  </w:style>
  <w:style w:type="character" w:customStyle="1" w:styleId="14">
    <w:name w:val="批注框文本 字符"/>
    <w:basedOn w:val="9"/>
    <w:link w:val="4"/>
    <w:semiHidden/>
    <w:qFormat/>
    <w:uiPriority w:val="99"/>
    <w:rPr>
      <w:rFonts w:ascii="Times New Roman" w:hAnsi="Times New Roman" w:eastAsia="宋体" w:cs="Times New Roman"/>
      <w:sz w:val="18"/>
      <w:szCs w:val="18"/>
    </w:rPr>
  </w:style>
  <w:style w:type="character" w:customStyle="1" w:styleId="15">
    <w:name w:val="批注主题 字符"/>
    <w:basedOn w:val="11"/>
    <w:link w:val="7"/>
    <w:semiHidden/>
    <w:qFormat/>
    <w:uiPriority w:val="99"/>
    <w:rPr>
      <w:rFonts w:ascii="Times New Roman" w:hAnsi="Times New Roman" w:eastAsia="宋体" w:cs="Times New Roman"/>
      <w:b/>
      <w:bCs/>
      <w:szCs w:val="24"/>
    </w:rPr>
  </w:style>
  <w:style w:type="paragraph" w:styleId="16">
    <w:name w:val="List Paragraph"/>
    <w:basedOn w:val="1"/>
    <w:qFormat/>
    <w:uiPriority w:val="34"/>
    <w:pPr>
      <w:ind w:firstLine="420" w:firstLineChars="200"/>
    </w:pPr>
  </w:style>
  <w:style w:type="character" w:customStyle="1" w:styleId="17">
    <w:name w:val="正文文本缩进 字符"/>
    <w:basedOn w:val="9"/>
    <w:link w:val="3"/>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XU_TY</Company>
  <Pages>20</Pages>
  <Words>7962</Words>
  <Characters>8685</Characters>
  <Lines>65</Lines>
  <Paragraphs>18</Paragraphs>
  <TotalTime>25</TotalTime>
  <ScaleCrop>false</ScaleCrop>
  <LinksUpToDate>false</LinksUpToDate>
  <CharactersWithSpaces>8721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2021-12-24T08:57:00Z</dcterms:created>
  <dc:creator>yj</dc:creator>
  <cp:lastModifiedBy>太极箫客</cp:lastModifiedBy>
  <cp:lastPrinted>2022-09-14T03:19:00Z</cp:lastPrinted>
  <dcterms:modified xsi:type="dcterms:W3CDTF">2025-08-14T06:14:01Z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A9A85954A53A4FE3A6542F45719F58DE</vt:lpwstr>
  </property>
  <property fmtid="{D5CDD505-2E9C-101B-9397-08002B2CF9AE}" pid="4" name="KSOTemplateDocerSaveRecord">
    <vt:lpwstr>eyJoZGlkIjoiMDJiMzI3ODBiNTFmMWRjNDUyMjM1ZmZjODY5NDc2MWMiLCJ1c2VySWQiOiI0NTQ4Nzg1NzAifQ==</vt:lpwstr>
  </property>
</Properties>
</file>