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6C85B">
      <w:pPr>
        <w:snapToGrid w:val="0"/>
        <w:spacing w:before="397" w:line="300" w:lineRule="auto"/>
        <w:jc w:val="center"/>
        <w:rPr>
          <w:rFonts w:ascii="Arial" w:hAnsi="Arial" w:eastAsia="宋体" w:cs="Arial"/>
          <w:sz w:val="60"/>
          <w:szCs w:val="60"/>
          <w:lang w:eastAsia="zh-CN"/>
        </w:rPr>
      </w:pPr>
      <w:bookmarkStart w:id="94" w:name="_GoBack"/>
      <w:bookmarkEnd w:id="94"/>
      <w:r>
        <w:rPr>
          <w:rFonts w:ascii="Arial" w:hAnsi="Arial" w:eastAsia="宋体" w:cs="Arial"/>
          <w:b/>
          <w:sz w:val="60"/>
          <w:lang w:eastAsia="zh-CN"/>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1437005</wp:posOffset>
                </wp:positionV>
                <wp:extent cx="5766435" cy="0"/>
                <wp:effectExtent l="10795" t="8255" r="13970" b="10795"/>
                <wp:wrapNone/>
                <wp:docPr id="14" name="AutoShape 18"/>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2.35pt;margin-top:113.15pt;height:0pt;width:454.05pt;z-index:251660288;mso-width-relative:page;mso-height-relative:page;" filled="f" stroked="t" coordsize="21600,21600" o:gfxdata="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W4aXS1gAAAAkBAAAPAAAAAAAAAAEA&#10;IAAAACIAAABkcnMvZG93bnJldi54bWxQSwECFAAUAAAACACHTuJALNWCsNgBAAC0AwAADgAAAAAA&#10;AAABACAAAAAlAQAAZHJzL2Uyb0RvYy54bWxQSwUGAAAAAAYABgBZAQAAbwUAAAAA&#10;">
                <v:fill on="f" focussize="0,0"/>
                <v:stroke color="#000000" joinstyle="round"/>
                <v:imagedata o:title=""/>
                <o:lock v:ext="edit" aspectratio="f"/>
              </v:shape>
            </w:pict>
          </mc:Fallback>
        </mc:AlternateContent>
      </w:r>
      <w:r>
        <w:rPr>
          <w:rFonts w:ascii="Arial" w:hAnsi="Arial" w:eastAsia="宋体" w:cs="Arial"/>
          <w:b/>
          <w:sz w:val="60"/>
          <w:lang w:eastAsia="zh-CN"/>
        </w:rPr>
        <w:t>治疗房颤的外科消融器械临床</w:t>
      </w:r>
      <w:r>
        <w:rPr>
          <w:rFonts w:ascii="Arial" w:hAnsi="Arial" w:eastAsia="宋体" w:cs="Arial"/>
          <w:b/>
          <w:sz w:val="60"/>
          <w:lang w:eastAsia="zh-CN"/>
        </w:rPr>
        <w:br w:type="textWrapping"/>
      </w:r>
      <w:r>
        <w:rPr>
          <w:rFonts w:ascii="Arial" w:hAnsi="Arial" w:eastAsia="宋体" w:cs="Arial"/>
          <w:b/>
          <w:sz w:val="60"/>
          <w:lang w:eastAsia="zh-CN"/>
        </w:rPr>
        <w:t>研究设计</w:t>
      </w:r>
    </w:p>
    <w:p w14:paraId="7FDE5692">
      <w:pPr>
        <w:snapToGrid w:val="0"/>
        <w:spacing w:line="300" w:lineRule="auto"/>
        <w:jc w:val="center"/>
        <w:rPr>
          <w:rFonts w:ascii="Arial" w:hAnsi="Arial" w:eastAsia="宋体" w:cs="Arial"/>
          <w:sz w:val="60"/>
          <w:szCs w:val="60"/>
          <w:lang w:eastAsia="zh-CN"/>
        </w:rPr>
      </w:pPr>
      <w:r>
        <w:rPr>
          <w:rFonts w:ascii="Arial" w:hAnsi="Arial" w:eastAsia="宋体" w:cs="Arial"/>
          <w:b/>
          <w:sz w:val="60"/>
          <w:lang w:eastAsia="zh-CN"/>
        </w:rPr>
        <w:t>行业和食品药品监督管理局</w:t>
      </w:r>
      <w:r>
        <w:rPr>
          <w:rFonts w:ascii="Arial" w:hAnsi="Arial" w:eastAsia="宋体" w:cs="Arial"/>
          <w:b/>
          <w:sz w:val="60"/>
          <w:lang w:eastAsia="zh-CN"/>
        </w:rPr>
        <w:br w:type="textWrapping"/>
      </w:r>
      <w:r>
        <w:rPr>
          <w:rFonts w:ascii="Arial" w:hAnsi="Arial" w:eastAsia="宋体" w:cs="Arial"/>
          <w:b/>
          <w:sz w:val="60"/>
          <w:lang w:eastAsia="zh-CN"/>
        </w:rPr>
        <w:t>员工指南</w:t>
      </w:r>
    </w:p>
    <w:p w14:paraId="194565E5">
      <w:pPr>
        <w:snapToGrid w:val="0"/>
        <w:spacing w:before="10" w:line="300" w:lineRule="auto"/>
        <w:rPr>
          <w:rFonts w:ascii="Arial" w:hAnsi="Arial" w:eastAsia="宋体" w:cs="Arial"/>
          <w:b/>
          <w:bCs/>
          <w:sz w:val="63"/>
          <w:szCs w:val="63"/>
          <w:lang w:eastAsia="zh-CN"/>
        </w:rPr>
      </w:pPr>
    </w:p>
    <w:p w14:paraId="20B014E6">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文件发布日期：2013年2月15日</w:t>
      </w:r>
    </w:p>
    <w:p w14:paraId="317E7242">
      <w:pPr>
        <w:snapToGrid w:val="0"/>
        <w:spacing w:before="2" w:line="300" w:lineRule="auto"/>
        <w:rPr>
          <w:rFonts w:ascii="Arial" w:hAnsi="Arial" w:eastAsia="宋体" w:cs="Arial"/>
          <w:b/>
          <w:bCs/>
          <w:sz w:val="28"/>
          <w:szCs w:val="28"/>
          <w:lang w:eastAsia="zh-CN"/>
        </w:rPr>
      </w:pPr>
    </w:p>
    <w:p w14:paraId="75C5F576">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本文件草案于2009年9月14日发布。</w:t>
      </w:r>
    </w:p>
    <w:p w14:paraId="5D08E906">
      <w:pPr>
        <w:snapToGrid w:val="0"/>
        <w:spacing w:line="300" w:lineRule="auto"/>
        <w:rPr>
          <w:rFonts w:ascii="Arial" w:hAnsi="Arial" w:eastAsia="宋体" w:cs="Arial"/>
          <w:b/>
          <w:bCs/>
          <w:sz w:val="28"/>
          <w:szCs w:val="28"/>
          <w:lang w:eastAsia="zh-CN"/>
        </w:rPr>
      </w:pPr>
    </w:p>
    <w:p w14:paraId="0913782E">
      <w:pPr>
        <w:snapToGrid w:val="0"/>
        <w:spacing w:before="8" w:line="300" w:lineRule="auto"/>
        <w:rPr>
          <w:rFonts w:ascii="Arial" w:hAnsi="Arial" w:eastAsia="宋体" w:cs="Arial"/>
          <w:b/>
          <w:bCs/>
          <w:sz w:val="24"/>
          <w:szCs w:val="24"/>
          <w:lang w:eastAsia="zh-CN"/>
        </w:rPr>
      </w:pPr>
    </w:p>
    <w:p w14:paraId="7AEE910B">
      <w:pPr>
        <w:pStyle w:val="5"/>
        <w:snapToGrid w:val="0"/>
        <w:spacing w:line="300" w:lineRule="auto"/>
        <w:ind w:left="0"/>
        <w:rPr>
          <w:rFonts w:ascii="Arial" w:hAnsi="Arial" w:eastAsia="宋体" w:cs="Arial"/>
          <w:lang w:eastAsia="zh-CN"/>
        </w:rPr>
      </w:pPr>
      <w:r>
        <w:rPr>
          <w:rFonts w:ascii="Arial" w:hAnsi="Arial" w:eastAsia="宋体" w:cs="Arial"/>
          <w:lang w:eastAsia="zh-CN"/>
        </w:rPr>
        <w:t>有关本文件的问题，请致电301-796-5631联系心脏电生理器械分部。</w:t>
      </w:r>
    </w:p>
    <w:p w14:paraId="4C2C5638">
      <w:pPr>
        <w:snapToGrid w:val="0"/>
        <w:spacing w:before="3" w:line="300" w:lineRule="auto"/>
        <w:rPr>
          <w:rFonts w:ascii="Arial" w:hAnsi="Arial" w:eastAsia="宋体" w:cs="Arial"/>
          <w:sz w:val="21"/>
          <w:szCs w:val="21"/>
          <w:lang w:eastAsia="zh-CN"/>
        </w:rPr>
      </w:pPr>
    </w:p>
    <w:p w14:paraId="1E20CE47">
      <w:pPr>
        <w:snapToGrid w:val="0"/>
        <w:spacing w:line="300" w:lineRule="auto"/>
        <w:jc w:val="right"/>
        <w:rPr>
          <w:rFonts w:ascii="Arial" w:hAnsi="Arial" w:eastAsia="宋体" w:cs="Arial"/>
          <w:sz w:val="24"/>
          <w:szCs w:val="24"/>
          <w:lang w:eastAsia="zh-CN"/>
        </w:rPr>
      </w:pPr>
      <w:r>
        <w:rPr>
          <w:rFonts w:ascii="Arial" w:hAnsi="Arial" w:eastAsia="宋体" w:cs="Arial"/>
          <w:b/>
          <w:sz w:val="24"/>
          <w:lang w:eastAsia="zh-CN"/>
        </w:rPr>
        <w:t>美国卫生与公众服务部</w:t>
      </w:r>
    </w:p>
    <w:p w14:paraId="652003E7">
      <w:pPr>
        <w:snapToGrid w:val="0"/>
        <w:spacing w:line="300" w:lineRule="auto"/>
        <w:ind w:firstLine="1250"/>
        <w:jc w:val="right"/>
        <w:rPr>
          <w:rFonts w:ascii="Arial" w:hAnsi="Arial" w:eastAsia="宋体" w:cs="Arial"/>
          <w:b/>
          <w:sz w:val="24"/>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1144270</wp:posOffset>
            </wp:positionH>
            <wp:positionV relativeFrom="paragraph">
              <wp:posOffset>214630</wp:posOffset>
            </wp:positionV>
            <wp:extent cx="876300" cy="62865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76300" cy="628650"/>
                    </a:xfrm>
                    <a:prstGeom prst="rect">
                      <a:avLst/>
                    </a:prstGeom>
                    <a:noFill/>
                  </pic:spPr>
                </pic:pic>
              </a:graphicData>
            </a:graphic>
          </wp:anchor>
        </w:drawing>
      </w:r>
      <w:r>
        <w:rPr>
          <w:rFonts w:ascii="Arial" w:hAnsi="Arial" w:eastAsia="宋体" w:cs="Arial"/>
          <w:b/>
          <w:sz w:val="24"/>
          <w:lang w:eastAsia="zh-CN"/>
        </w:rPr>
        <w:t>食品药品监督管理局</w:t>
      </w:r>
    </w:p>
    <w:p w14:paraId="557DEBB3">
      <w:pPr>
        <w:snapToGrid w:val="0"/>
        <w:spacing w:line="300" w:lineRule="auto"/>
        <w:ind w:firstLine="1250"/>
        <w:jc w:val="right"/>
        <w:rPr>
          <w:rFonts w:ascii="Arial" w:hAnsi="Arial" w:eastAsia="宋体" w:cs="Arial"/>
          <w:b/>
          <w:sz w:val="24"/>
          <w:lang w:eastAsia="zh-CN"/>
        </w:rPr>
      </w:pPr>
      <w:r>
        <w:rPr>
          <w:rFonts w:ascii="Arial" w:hAnsi="Arial" w:eastAsia="宋体" w:cs="Arial"/>
          <w:b/>
          <w:sz w:val="24"/>
          <w:lang w:eastAsia="zh-CN"/>
        </w:rPr>
        <w:t>器械</w:t>
      </w:r>
      <w:r>
        <w:rPr>
          <w:rFonts w:hint="eastAsia" w:ascii="Arial" w:hAnsi="Arial" w:eastAsia="宋体" w:cs="Arial"/>
          <w:b/>
          <w:sz w:val="24"/>
          <w:lang w:eastAsia="zh-CN"/>
        </w:rPr>
        <w:t>和放射卫生</w:t>
      </w:r>
      <w:r>
        <w:rPr>
          <w:rFonts w:ascii="Arial" w:hAnsi="Arial" w:eastAsia="宋体" w:cs="Arial"/>
          <w:b/>
          <w:sz w:val="24"/>
          <w:lang w:eastAsia="zh-CN"/>
        </w:rPr>
        <w:t>中心</w:t>
      </w:r>
    </w:p>
    <w:p w14:paraId="41F0606C">
      <w:pPr>
        <w:snapToGrid w:val="0"/>
        <w:spacing w:line="300" w:lineRule="auto"/>
        <w:ind w:firstLine="1250"/>
        <w:jc w:val="right"/>
        <w:rPr>
          <w:rFonts w:ascii="Arial" w:hAnsi="Arial" w:eastAsia="宋体" w:cs="Arial"/>
          <w:b/>
          <w:sz w:val="24"/>
          <w:lang w:eastAsia="zh-CN"/>
        </w:rPr>
      </w:pPr>
    </w:p>
    <w:p w14:paraId="75FB8272">
      <w:pPr>
        <w:snapToGrid w:val="0"/>
        <w:spacing w:line="300" w:lineRule="auto"/>
        <w:ind w:firstLine="1250"/>
        <w:jc w:val="right"/>
        <w:rPr>
          <w:rFonts w:ascii="Arial" w:hAnsi="Arial" w:eastAsia="宋体" w:cs="Arial"/>
          <w:b/>
          <w:sz w:val="24"/>
          <w:lang w:eastAsia="zh-CN"/>
        </w:rPr>
      </w:pPr>
      <w:r>
        <w:rPr>
          <w:rFonts w:ascii="Arial" w:hAnsi="Arial" w:eastAsia="宋体" w:cs="Arial"/>
          <w:b/>
          <w:sz w:val="24"/>
          <w:lang w:eastAsia="zh-CN"/>
        </w:rPr>
        <w:t>心脏电生理器械分部</w:t>
      </w:r>
    </w:p>
    <w:p w14:paraId="5B5BD0AF">
      <w:pPr>
        <w:snapToGrid w:val="0"/>
        <w:spacing w:line="300" w:lineRule="auto"/>
        <w:ind w:firstLine="1250"/>
        <w:jc w:val="right"/>
        <w:rPr>
          <w:rFonts w:ascii="Arial" w:hAnsi="Arial" w:eastAsia="宋体" w:cs="Arial"/>
          <w:b/>
          <w:sz w:val="24"/>
          <w:lang w:eastAsia="zh-CN"/>
        </w:rPr>
      </w:pPr>
      <w:r>
        <w:rPr>
          <w:rFonts w:ascii="Arial" w:hAnsi="Arial" w:eastAsia="宋体" w:cs="Arial"/>
          <w:b/>
          <w:sz w:val="24"/>
          <w:lang w:eastAsia="zh-CN"/>
        </w:rPr>
        <w:t>心血管器械部</w:t>
      </w:r>
    </w:p>
    <w:p w14:paraId="6B534320">
      <w:pPr>
        <w:snapToGrid w:val="0"/>
        <w:spacing w:line="300" w:lineRule="auto"/>
        <w:ind w:firstLine="1250"/>
        <w:jc w:val="right"/>
        <w:rPr>
          <w:rFonts w:ascii="Arial" w:hAnsi="Arial" w:eastAsia="宋体" w:cs="Arial"/>
          <w:b/>
          <w:sz w:val="24"/>
          <w:lang w:eastAsia="zh-CN"/>
        </w:rPr>
      </w:pPr>
      <w:r>
        <w:rPr>
          <w:rFonts w:ascii="Arial" w:hAnsi="Arial" w:eastAsia="宋体" w:cs="Arial"/>
          <w:b/>
          <w:sz w:val="24"/>
          <w:lang w:eastAsia="zh-CN"/>
        </w:rPr>
        <w:t>器械评估办公室</w:t>
      </w:r>
    </w:p>
    <w:p w14:paraId="2AF72427">
      <w:pPr>
        <w:snapToGrid w:val="0"/>
        <w:spacing w:line="300" w:lineRule="auto"/>
        <w:jc w:val="right"/>
        <w:rPr>
          <w:rFonts w:ascii="Arial" w:hAnsi="Arial" w:eastAsia="宋体" w:cs="Arial"/>
          <w:sz w:val="24"/>
          <w:szCs w:val="24"/>
          <w:lang w:eastAsia="zh-CN"/>
        </w:rPr>
        <w:sectPr>
          <w:headerReference r:id="rId3" w:type="default"/>
          <w:type w:val="continuous"/>
          <w:pgSz w:w="12240" w:h="15840"/>
          <w:pgMar w:top="1134" w:right="1134" w:bottom="1134" w:left="1134" w:header="720" w:footer="720" w:gutter="0"/>
          <w:cols w:space="720" w:num="1"/>
          <w:docGrid w:linePitch="299" w:charSpace="0"/>
        </w:sectPr>
      </w:pPr>
    </w:p>
    <w:p w14:paraId="313D110C">
      <w:pPr>
        <w:snapToGrid w:val="0"/>
        <w:spacing w:line="300" w:lineRule="auto"/>
        <w:rPr>
          <w:rFonts w:ascii="Arial" w:hAnsi="Arial" w:eastAsia="宋体" w:cs="Arial"/>
          <w:b/>
          <w:bCs/>
          <w:sz w:val="20"/>
          <w:szCs w:val="20"/>
          <w:lang w:eastAsia="zh-CN"/>
        </w:rPr>
      </w:pPr>
    </w:p>
    <w:p w14:paraId="1096ACDF">
      <w:pPr>
        <w:snapToGrid w:val="0"/>
        <w:spacing w:before="10" w:line="300" w:lineRule="auto"/>
        <w:rPr>
          <w:rFonts w:ascii="Arial" w:hAnsi="Arial" w:eastAsia="宋体" w:cs="Arial"/>
          <w:b/>
          <w:bCs/>
          <w:sz w:val="15"/>
          <w:szCs w:val="15"/>
          <w:lang w:eastAsia="zh-CN"/>
        </w:rPr>
      </w:pPr>
    </w:p>
    <w:p w14:paraId="660A6F8D">
      <w:pPr>
        <w:snapToGrid w:val="0"/>
        <w:spacing w:before="38" w:line="300" w:lineRule="auto"/>
        <w:jc w:val="center"/>
        <w:rPr>
          <w:rFonts w:ascii="Arial" w:hAnsi="Arial" w:eastAsia="宋体" w:cs="Arial"/>
          <w:sz w:val="48"/>
          <w:szCs w:val="48"/>
          <w:lang w:eastAsia="zh-CN"/>
        </w:rPr>
      </w:pPr>
      <w:r>
        <w:rPr>
          <w:rFonts w:ascii="Arial" w:hAnsi="Arial" w:eastAsia="宋体" w:cs="Arial"/>
          <w:b/>
          <w:sz w:val="48"/>
          <w:lang w:eastAsia="zh-CN"/>
        </w:rPr>
        <w:t>前言</w:t>
      </w:r>
    </w:p>
    <w:p w14:paraId="73E81264">
      <w:pPr>
        <w:snapToGrid w:val="0"/>
        <w:spacing w:line="300" w:lineRule="auto"/>
        <w:rPr>
          <w:rFonts w:ascii="Arial" w:hAnsi="Arial" w:eastAsia="宋体" w:cs="Arial"/>
          <w:b/>
          <w:bCs/>
          <w:sz w:val="20"/>
          <w:szCs w:val="20"/>
          <w:lang w:eastAsia="zh-CN"/>
        </w:rPr>
      </w:pPr>
    </w:p>
    <w:p w14:paraId="31226068">
      <w:pPr>
        <w:snapToGrid w:val="0"/>
        <w:spacing w:line="300" w:lineRule="auto"/>
        <w:rPr>
          <w:rFonts w:ascii="Arial" w:hAnsi="Arial" w:eastAsia="宋体" w:cs="Arial"/>
          <w:b/>
          <w:bCs/>
          <w:sz w:val="20"/>
          <w:szCs w:val="20"/>
          <w:lang w:eastAsia="zh-CN"/>
        </w:rPr>
      </w:pPr>
    </w:p>
    <w:p w14:paraId="6649A03B">
      <w:pPr>
        <w:snapToGrid w:val="0"/>
        <w:spacing w:before="3" w:line="300" w:lineRule="auto"/>
        <w:rPr>
          <w:rFonts w:ascii="Arial" w:hAnsi="Arial" w:eastAsia="宋体" w:cs="Arial"/>
          <w:b/>
          <w:bCs/>
          <w:sz w:val="27"/>
          <w:szCs w:val="27"/>
          <w:lang w:eastAsia="zh-CN"/>
        </w:rPr>
      </w:pPr>
    </w:p>
    <w:p w14:paraId="2535E695">
      <w:pPr>
        <w:snapToGrid w:val="0"/>
        <w:spacing w:before="53" w:line="300" w:lineRule="auto"/>
        <w:rPr>
          <w:rFonts w:ascii="Arial" w:hAnsi="Arial" w:eastAsia="宋体" w:cs="Arial"/>
          <w:sz w:val="36"/>
          <w:szCs w:val="36"/>
          <w:lang w:eastAsia="zh-CN"/>
        </w:rPr>
      </w:pPr>
      <w:r>
        <w:rPr>
          <w:rFonts w:ascii="Arial" w:hAnsi="Arial" w:eastAsia="宋体" w:cs="Arial"/>
          <w:b/>
          <w:sz w:val="36"/>
          <w:lang w:eastAsia="zh-CN"/>
        </w:rPr>
        <w:t>公共评论</w:t>
      </w:r>
    </w:p>
    <w:p w14:paraId="2B96D2A6">
      <w:pPr>
        <w:pStyle w:val="5"/>
        <w:snapToGrid w:val="0"/>
        <w:spacing w:before="269" w:line="300" w:lineRule="auto"/>
        <w:ind w:left="0"/>
        <w:jc w:val="both"/>
        <w:rPr>
          <w:rFonts w:ascii="Arial" w:hAnsi="Arial" w:eastAsia="宋体" w:cs="Arial"/>
          <w:lang w:eastAsia="zh-CN"/>
        </w:rPr>
      </w:pPr>
      <w:r>
        <w:rPr>
          <w:rFonts w:ascii="Arial" w:hAnsi="Arial" w:eastAsia="宋体" w:cs="Arial"/>
          <w:lang w:eastAsia="zh-CN"/>
        </w:rPr>
        <w:t>贵公司可以随时提交书面评论和建议至食品药品监督管理局，文档管理部（5630 Fishers Lane，Room 1061，（HFA-305），Rockville，MD，20852），供部门审议。电子评论请提交至</w:t>
      </w:r>
      <w:r>
        <w:fldChar w:fldCharType="begin"/>
      </w:r>
      <w:r>
        <w:instrText xml:space="preserve"> HYPERLINK "http://www.regulations.gov/" \h </w:instrText>
      </w:r>
      <w:r>
        <w:fldChar w:fldCharType="separate"/>
      </w:r>
      <w:r>
        <w:rPr>
          <w:rFonts w:ascii="Arial" w:hAnsi="Arial" w:eastAsia="宋体" w:cs="Arial"/>
          <w:color w:val="0000FF"/>
          <w:u w:val="single" w:color="0000FF"/>
          <w:lang w:eastAsia="zh-CN"/>
        </w:rPr>
        <w:t>www.regulations.gov</w:t>
      </w:r>
      <w:r>
        <w:rPr>
          <w:rFonts w:ascii="Arial" w:hAnsi="Arial" w:eastAsia="宋体" w:cs="Arial"/>
          <w:color w:val="0000FF"/>
          <w:u w:val="single" w:color="0000FF"/>
          <w:lang w:eastAsia="zh-CN"/>
        </w:rPr>
        <w:fldChar w:fldCharType="end"/>
      </w:r>
      <w:r>
        <w:rPr>
          <w:rFonts w:ascii="Arial" w:hAnsi="Arial" w:eastAsia="宋体" w:cs="Arial"/>
          <w:lang w:eastAsia="zh-CN"/>
        </w:rPr>
        <w:t>。请使用宣布提供本指南的联邦公报中的文档编号标识所有评论。可能直到文件下次修订或更新时，评论才会被机构受理。</w:t>
      </w:r>
    </w:p>
    <w:p w14:paraId="27F3C8AB">
      <w:pPr>
        <w:snapToGrid w:val="0"/>
        <w:spacing w:line="300" w:lineRule="auto"/>
        <w:jc w:val="both"/>
        <w:rPr>
          <w:rFonts w:ascii="Arial" w:hAnsi="Arial" w:eastAsia="宋体" w:cs="Arial"/>
          <w:sz w:val="24"/>
          <w:szCs w:val="24"/>
          <w:lang w:eastAsia="zh-CN"/>
        </w:rPr>
      </w:pPr>
    </w:p>
    <w:p w14:paraId="5BD0E181">
      <w:pPr>
        <w:snapToGrid w:val="0"/>
        <w:spacing w:before="144" w:line="300" w:lineRule="auto"/>
        <w:jc w:val="both"/>
        <w:rPr>
          <w:rFonts w:ascii="Arial" w:hAnsi="Arial" w:eastAsia="宋体" w:cs="Arial"/>
          <w:sz w:val="36"/>
          <w:szCs w:val="36"/>
          <w:lang w:eastAsia="zh-CN"/>
        </w:rPr>
      </w:pPr>
      <w:r>
        <w:rPr>
          <w:rFonts w:ascii="Arial" w:hAnsi="Arial" w:eastAsia="宋体" w:cs="Arial"/>
          <w:b/>
          <w:sz w:val="36"/>
          <w:lang w:eastAsia="zh-CN"/>
        </w:rPr>
        <w:t>其他副本</w:t>
      </w:r>
    </w:p>
    <w:p w14:paraId="468A8173">
      <w:pPr>
        <w:pStyle w:val="5"/>
        <w:snapToGrid w:val="0"/>
        <w:spacing w:before="269" w:line="300" w:lineRule="auto"/>
        <w:ind w:left="0"/>
        <w:jc w:val="both"/>
        <w:rPr>
          <w:rFonts w:ascii="Arial" w:hAnsi="Arial" w:eastAsia="宋体" w:cs="Arial"/>
          <w:lang w:eastAsia="zh-CN"/>
        </w:rPr>
      </w:pPr>
      <w:r>
        <w:rPr>
          <w:rFonts w:ascii="Arial" w:hAnsi="Arial" w:eastAsia="宋体" w:cs="Arial"/>
          <w:lang w:eastAsia="zh-CN"/>
        </w:rPr>
        <w:t>其他副本可从互联网获得。贵公司还可以向dsmica@fda.hhs.gov发送电子邮件请求，以接受本指南的电子副本或发送传真请求到301-847-8149以接收硬拷贝。请使用文件编号1708来标识贵公司所要求获得的指南。</w:t>
      </w:r>
    </w:p>
    <w:p w14:paraId="3D5CD7D9">
      <w:pPr>
        <w:rPr>
          <w:rFonts w:ascii="Arial" w:hAnsi="Arial" w:eastAsia="宋体" w:cs="Arial"/>
          <w:lang w:eastAsia="zh-CN"/>
        </w:rPr>
      </w:pPr>
      <w:r>
        <w:rPr>
          <w:rFonts w:ascii="Arial" w:hAnsi="Arial" w:eastAsia="宋体" w:cs="Arial"/>
          <w:lang w:eastAsia="zh-CN"/>
        </w:rPr>
        <w:br w:type="page"/>
      </w:r>
    </w:p>
    <w:p w14:paraId="4D57BAC9">
      <w:pPr>
        <w:snapToGrid w:val="0"/>
        <w:spacing w:before="220" w:line="300" w:lineRule="auto"/>
        <w:jc w:val="center"/>
        <w:rPr>
          <w:rFonts w:ascii="Arial" w:hAnsi="Arial" w:eastAsia="宋体" w:cs="Arial"/>
          <w:b/>
          <w:sz w:val="36"/>
          <w:szCs w:val="36"/>
          <w:lang w:eastAsia="zh-CN"/>
        </w:rPr>
      </w:pPr>
      <w:r>
        <w:rPr>
          <w:rFonts w:ascii="Arial" w:hAnsi="Arial" w:eastAsia="宋体" w:cs="Arial"/>
          <w:b/>
          <w:sz w:val="36"/>
          <w:szCs w:val="36"/>
          <w:lang w:eastAsia="zh-CN"/>
        </w:rPr>
        <w:t>目录</w:t>
      </w:r>
    </w:p>
    <w:sdt>
      <w:sdtPr>
        <w:rPr>
          <w:rFonts w:ascii="Arial" w:hAnsi="Arial" w:eastAsia="宋体" w:cs="Arial"/>
          <w:color w:val="auto"/>
          <w:sz w:val="22"/>
          <w:szCs w:val="22"/>
          <w:lang w:val="zh-CN" w:eastAsia="en-US"/>
        </w:rPr>
        <w:id w:val="-53080747"/>
        <w:docPartObj>
          <w:docPartGallery w:val="Table of Contents"/>
          <w:docPartUnique/>
        </w:docPartObj>
      </w:sdtPr>
      <w:sdtEndPr>
        <w:rPr>
          <w:rFonts w:ascii="Arial" w:hAnsi="Arial" w:eastAsia="宋体" w:cs="Arial"/>
          <w:b/>
          <w:bCs/>
          <w:color w:val="auto"/>
          <w:sz w:val="22"/>
          <w:szCs w:val="22"/>
          <w:lang w:val="zh-CN" w:eastAsia="en-US"/>
        </w:rPr>
      </w:sdtEndPr>
      <w:sdtContent>
        <w:p w14:paraId="4124DD14">
          <w:pPr>
            <w:pStyle w:val="20"/>
            <w:snapToGrid w:val="0"/>
            <w:spacing w:line="300" w:lineRule="auto"/>
            <w:jc w:val="both"/>
            <w:rPr>
              <w:rFonts w:ascii="Arial" w:hAnsi="Arial" w:eastAsia="宋体" w:cs="Arial"/>
            </w:rPr>
          </w:pPr>
        </w:p>
        <w:p w14:paraId="0C3E9255">
          <w:pPr>
            <w:pStyle w:val="10"/>
            <w:tabs>
              <w:tab w:val="right" w:leader="dot" w:pos="9962"/>
            </w:tabs>
            <w:rPr>
              <w:rFonts w:ascii="Arial" w:hAnsi="Arial" w:eastAsia="宋体" w:cs="Arial"/>
              <w:kern w:val="2"/>
              <w:sz w:val="21"/>
              <w:szCs w:val="22"/>
              <w:lang w:eastAsia="zh-CN"/>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"_Toc481156285" </w:instrText>
          </w:r>
          <w:r>
            <w:fldChar w:fldCharType="separate"/>
          </w:r>
          <w:r>
            <w:rPr>
              <w:rStyle w:val="14"/>
              <w:rFonts w:ascii="Arial" w:hAnsi="Arial" w:eastAsia="宋体" w:cs="Arial"/>
              <w:spacing w:val="-7"/>
            </w:rPr>
            <w:t>1.</w:t>
          </w:r>
          <w:r>
            <w:rPr>
              <w:rFonts w:ascii="Arial" w:hAnsi="Arial" w:eastAsia="宋体" w:cs="Arial"/>
              <w:kern w:val="2"/>
              <w:sz w:val="21"/>
              <w:szCs w:val="22"/>
              <w:lang w:eastAsia="zh-CN"/>
            </w:rPr>
            <w:tab/>
          </w:r>
          <w:r>
            <w:rPr>
              <w:rStyle w:val="14"/>
              <w:rFonts w:ascii="Arial" w:hAnsi="Arial" w:eastAsia="宋体" w:cs="Arial"/>
              <w:lang w:eastAsia="zh-CN"/>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_Toc481156285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640361FB">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"_Toc481156286" </w:instrText>
          </w:r>
          <w:r>
            <w:fldChar w:fldCharType="separate"/>
          </w:r>
          <w:r>
            <w:rPr>
              <w:rStyle w:val="14"/>
              <w:rFonts w:ascii="Arial" w:hAnsi="Arial" w:eastAsia="宋体" w:cs="Arial"/>
              <w:spacing w:val="-7"/>
            </w:rPr>
            <w:t>2.</w:t>
          </w:r>
          <w:r>
            <w:rPr>
              <w:rFonts w:ascii="Arial" w:hAnsi="Arial" w:eastAsia="宋体" w:cs="Arial"/>
              <w:kern w:val="2"/>
              <w:sz w:val="21"/>
              <w:szCs w:val="22"/>
              <w:lang w:eastAsia="zh-CN"/>
            </w:rPr>
            <w:tab/>
          </w:r>
          <w:r>
            <w:rPr>
              <w:rStyle w:val="14"/>
              <w:rFonts w:ascii="Arial" w:hAnsi="Arial" w:eastAsia="宋体" w:cs="Arial"/>
              <w:lang w:eastAsia="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_Toc481156286 \h </w:instrText>
          </w:r>
          <w:r>
            <w:rPr>
              <w:rFonts w:ascii="Arial" w:hAnsi="Arial" w:eastAsia="宋体" w:cs="Arial"/>
            </w:rPr>
            <w:fldChar w:fldCharType="separate"/>
          </w:r>
          <w:r>
            <w:rPr>
              <w:rFonts w:ascii="Arial" w:hAnsi="Arial" w:eastAsia="宋体" w:cs="Arial"/>
            </w:rPr>
            <w:t>2</w:t>
          </w:r>
          <w:r>
            <w:rPr>
              <w:rFonts w:ascii="Arial" w:hAnsi="Arial" w:eastAsia="宋体" w:cs="Arial"/>
            </w:rPr>
            <w:fldChar w:fldCharType="end"/>
          </w:r>
          <w:r>
            <w:rPr>
              <w:rFonts w:ascii="Arial" w:hAnsi="Arial" w:eastAsia="宋体" w:cs="Arial"/>
            </w:rPr>
            <w:fldChar w:fldCharType="end"/>
          </w:r>
        </w:p>
        <w:p w14:paraId="74C672E7">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"_Toc481156287" </w:instrText>
          </w:r>
          <w:r>
            <w:fldChar w:fldCharType="separate"/>
          </w:r>
          <w:r>
            <w:rPr>
              <w:rStyle w:val="14"/>
              <w:rFonts w:ascii="Arial" w:hAnsi="Arial" w:eastAsia="宋体" w:cs="Arial"/>
              <w:spacing w:val="-7"/>
            </w:rPr>
            <w:t>3.</w:t>
          </w:r>
          <w:r>
            <w:rPr>
              <w:rFonts w:ascii="Arial" w:hAnsi="Arial" w:eastAsia="宋体" w:cs="Arial"/>
              <w:kern w:val="2"/>
              <w:sz w:val="21"/>
              <w:szCs w:val="22"/>
              <w:lang w:eastAsia="zh-CN"/>
            </w:rPr>
            <w:tab/>
          </w:r>
          <w:r>
            <w:rPr>
              <w:rStyle w:val="14"/>
              <w:rFonts w:ascii="Arial" w:hAnsi="Arial" w:eastAsia="宋体" w:cs="Arial"/>
              <w:spacing w:val="-4"/>
            </w:rPr>
            <w:t>术语</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_Toc481156287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4710D675">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"_Toc481156288" </w:instrText>
          </w:r>
          <w:r>
            <w:fldChar w:fldCharType="separate"/>
          </w:r>
          <w:r>
            <w:rPr>
              <w:rStyle w:val="14"/>
              <w:rFonts w:ascii="Arial" w:hAnsi="Arial" w:eastAsia="宋体" w:cs="Arial"/>
              <w:spacing w:val="-2"/>
            </w:rPr>
            <w:t>A.</w:t>
          </w:r>
          <w:r>
            <w:rPr>
              <w:rFonts w:ascii="Arial" w:hAnsi="Arial" w:eastAsia="宋体" w:cs="Arial"/>
              <w:kern w:val="2"/>
              <w:sz w:val="21"/>
              <w:szCs w:val="22"/>
              <w:lang w:eastAsia="zh-CN"/>
            </w:rPr>
            <w:tab/>
          </w:r>
          <w:r>
            <w:rPr>
              <w:rStyle w:val="14"/>
              <w:rFonts w:ascii="Arial" w:hAnsi="Arial" w:eastAsia="宋体" w:cs="Arial"/>
            </w:rPr>
            <w:t>手术或手术方法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_Toc481156288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69400855">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"_Toc481156289" </w:instrText>
          </w:r>
          <w:r>
            <w:fldChar w:fldCharType="separate"/>
          </w:r>
          <w:r>
            <w:rPr>
              <w:rStyle w:val="14"/>
              <w:rFonts w:ascii="Arial" w:hAnsi="Arial" w:eastAsia="宋体" w:cs="Arial"/>
              <w:spacing w:val="-2"/>
              <w:lang w:eastAsia="zh-CN"/>
            </w:rPr>
            <w:t>B.</w:t>
          </w:r>
          <w:r>
            <w:rPr>
              <w:rFonts w:ascii="Arial" w:hAnsi="Arial" w:eastAsia="宋体" w:cs="Arial"/>
              <w:kern w:val="2"/>
              <w:sz w:val="21"/>
              <w:szCs w:val="22"/>
              <w:lang w:eastAsia="zh-CN"/>
            </w:rPr>
            <w:tab/>
          </w:r>
          <w:r>
            <w:rPr>
              <w:rStyle w:val="14"/>
              <w:rFonts w:ascii="Arial" w:hAnsi="Arial" w:eastAsia="宋体" w:cs="Arial"/>
              <w:lang w:eastAsia="zh-CN"/>
            </w:rPr>
            <w:t>阵发性、持续性和长期持续性房颤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_Toc481156289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18726E19">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"_Toc481156290" </w:instrText>
          </w:r>
          <w:r>
            <w:fldChar w:fldCharType="separate"/>
          </w:r>
          <w:r>
            <w:rPr>
              <w:rStyle w:val="14"/>
              <w:rFonts w:ascii="Arial" w:hAnsi="Arial" w:eastAsia="宋体" w:cs="Arial"/>
              <w:spacing w:val="-2"/>
              <w:lang w:eastAsia="zh-CN"/>
            </w:rPr>
            <w:t>C.</w:t>
          </w:r>
          <w:r>
            <w:rPr>
              <w:rFonts w:ascii="Arial" w:hAnsi="Arial" w:eastAsia="宋体" w:cs="Arial"/>
              <w:kern w:val="2"/>
              <w:sz w:val="21"/>
              <w:szCs w:val="22"/>
              <w:lang w:eastAsia="zh-CN"/>
            </w:rPr>
            <w:tab/>
          </w:r>
          <w:r>
            <w:rPr>
              <w:rStyle w:val="14"/>
              <w:rFonts w:ascii="Arial" w:hAnsi="Arial" w:eastAsia="宋体" w:cs="Arial"/>
              <w:lang w:eastAsia="zh-CN"/>
            </w:rPr>
            <w:t>作为节律失常的房颤与作为疾病的房颤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_Toc481156290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26B93647">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"_Toc481156291" </w:instrText>
          </w:r>
          <w:r>
            <w:fldChar w:fldCharType="separate"/>
          </w:r>
          <w:r>
            <w:rPr>
              <w:rStyle w:val="14"/>
              <w:rFonts w:ascii="Arial" w:hAnsi="Arial" w:eastAsia="宋体" w:cs="Arial"/>
              <w:spacing w:val="-7"/>
            </w:rPr>
            <w:t>4.</w:t>
          </w:r>
          <w:r>
            <w:rPr>
              <w:rFonts w:ascii="Arial" w:hAnsi="Arial" w:eastAsia="宋体" w:cs="Arial"/>
              <w:kern w:val="2"/>
              <w:sz w:val="21"/>
              <w:szCs w:val="22"/>
              <w:lang w:eastAsia="zh-CN"/>
            </w:rPr>
            <w:tab/>
          </w:r>
          <w:r>
            <w:rPr>
              <w:rStyle w:val="14"/>
              <w:rFonts w:ascii="Arial" w:hAnsi="Arial" w:eastAsia="宋体" w:cs="Arial"/>
            </w:rPr>
            <w:t>研究设计</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_Toc481156291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6A47620C">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"_Toc481156292" </w:instrText>
          </w:r>
          <w:r>
            <w:fldChar w:fldCharType="separate"/>
          </w:r>
          <w:r>
            <w:rPr>
              <w:rStyle w:val="14"/>
              <w:rFonts w:ascii="Arial" w:hAnsi="Arial" w:eastAsia="宋体" w:cs="Arial"/>
              <w:spacing w:val="-2"/>
            </w:rPr>
            <w:t>A.</w:t>
          </w:r>
          <w:r>
            <w:rPr>
              <w:rFonts w:ascii="Arial" w:hAnsi="Arial" w:eastAsia="宋体" w:cs="Arial"/>
              <w:kern w:val="2"/>
              <w:sz w:val="21"/>
              <w:szCs w:val="22"/>
              <w:lang w:eastAsia="zh-CN"/>
            </w:rPr>
            <w:tab/>
          </w:r>
          <w:r>
            <w:rPr>
              <w:rStyle w:val="14"/>
              <w:rFonts w:ascii="Arial" w:hAnsi="Arial" w:eastAsia="宋体" w:cs="Arial"/>
            </w:rPr>
            <w:t>随机对照试验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_Toc481156292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55D77B74">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"_Toc481156293" </w:instrText>
          </w:r>
          <w:r>
            <w:fldChar w:fldCharType="separate"/>
          </w:r>
          <w:r>
            <w:rPr>
              <w:rStyle w:val="14"/>
              <w:rFonts w:ascii="Arial" w:hAnsi="Arial" w:eastAsia="宋体" w:cs="Arial"/>
              <w:spacing w:val="-2"/>
            </w:rPr>
            <w:t>B.</w:t>
          </w:r>
          <w:r>
            <w:rPr>
              <w:rFonts w:ascii="Arial" w:hAnsi="Arial" w:eastAsia="宋体" w:cs="Arial"/>
              <w:kern w:val="2"/>
              <w:sz w:val="21"/>
              <w:szCs w:val="22"/>
              <w:lang w:eastAsia="zh-CN"/>
            </w:rPr>
            <w:tab/>
          </w:r>
          <w:r>
            <w:rPr>
              <w:rStyle w:val="14"/>
              <w:rFonts w:ascii="Arial" w:hAnsi="Arial" w:eastAsia="宋体" w:cs="Arial"/>
            </w:rPr>
            <w:t>替代</w:t>
          </w:r>
          <w:r>
            <w:rPr>
              <w:rStyle w:val="14"/>
              <w:rFonts w:ascii="Arial" w:hAnsi="Arial" w:eastAsia="宋体" w:cs="Arial"/>
              <w:lang w:eastAsia="zh-CN"/>
            </w:rPr>
            <w:t>性</w:t>
          </w:r>
          <w:r>
            <w:rPr>
              <w:rStyle w:val="14"/>
              <w:rFonts w:ascii="Arial" w:hAnsi="Arial" w:eastAsia="宋体" w:cs="Arial"/>
            </w:rPr>
            <w:t>研究设计</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_Toc481156293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4892323D">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"_Toc481156294" </w:instrText>
          </w:r>
          <w:r>
            <w:fldChar w:fldCharType="separate"/>
          </w:r>
          <w:r>
            <w:rPr>
              <w:rStyle w:val="14"/>
              <w:rFonts w:ascii="Arial" w:hAnsi="Arial" w:eastAsia="宋体" w:cs="Arial"/>
              <w:u w:color="000000"/>
              <w:lang w:eastAsia="zh-CN"/>
            </w:rPr>
            <w:t>非随机同期对照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_Toc481156294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4FD105D7">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"_Toc481156295" </w:instrText>
          </w:r>
          <w:r>
            <w:fldChar w:fldCharType="separate"/>
          </w:r>
          <w:r>
            <w:rPr>
              <w:rStyle w:val="14"/>
              <w:rFonts w:ascii="Arial" w:hAnsi="Arial" w:eastAsia="宋体" w:cs="Arial"/>
              <w:u w:color="000000"/>
              <w:lang w:eastAsia="zh-CN"/>
            </w:rPr>
            <w:t>历史对照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_Toc481156295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7EB7CB8C">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"_Toc481156296" </w:instrText>
          </w:r>
          <w:r>
            <w:fldChar w:fldCharType="separate"/>
          </w:r>
          <w:r>
            <w:rPr>
              <w:rStyle w:val="14"/>
              <w:rFonts w:ascii="Arial" w:hAnsi="Arial" w:eastAsia="宋体" w:cs="Arial"/>
              <w:u w:color="000000"/>
              <w:lang w:eastAsia="zh-CN"/>
            </w:rPr>
            <w:t>性能目标</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_Toc481156296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6D278B32">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"_Toc481156297" </w:instrText>
          </w:r>
          <w:r>
            <w:fldChar w:fldCharType="separate"/>
          </w:r>
          <w:r>
            <w:rPr>
              <w:rStyle w:val="14"/>
              <w:rFonts w:ascii="Arial" w:hAnsi="Arial" w:eastAsia="宋体" w:cs="Arial"/>
              <w:spacing w:val="-2"/>
            </w:rPr>
            <w:t>C.</w:t>
          </w:r>
          <w:r>
            <w:rPr>
              <w:rFonts w:ascii="Arial" w:hAnsi="Arial" w:eastAsia="宋体" w:cs="Arial"/>
              <w:kern w:val="2"/>
              <w:sz w:val="21"/>
              <w:szCs w:val="22"/>
              <w:lang w:eastAsia="zh-CN"/>
            </w:rPr>
            <w:tab/>
          </w:r>
          <w:r>
            <w:rPr>
              <w:rStyle w:val="14"/>
              <w:rFonts w:ascii="Arial" w:hAnsi="Arial" w:eastAsia="宋体" w:cs="Arial"/>
            </w:rPr>
            <w:t>对照组</w:t>
          </w:r>
          <w:r>
            <w:rPr>
              <w:rStyle w:val="14"/>
              <w:rFonts w:ascii="Arial" w:hAnsi="Arial" w:eastAsia="宋体" w:cs="Arial"/>
              <w:lang w:eastAsia="zh-CN"/>
            </w:rPr>
            <w:t>考虑因素</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_Toc481156297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377FB2DE">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"_Toc481156298" </w:instrText>
          </w:r>
          <w:r>
            <w:fldChar w:fldCharType="separate"/>
          </w:r>
          <w:r>
            <w:rPr>
              <w:rStyle w:val="14"/>
              <w:rFonts w:ascii="Arial" w:hAnsi="Arial" w:eastAsia="宋体" w:cs="Arial"/>
              <w:spacing w:val="-2"/>
            </w:rPr>
            <w:t>D.</w:t>
          </w:r>
          <w:r>
            <w:rPr>
              <w:rFonts w:ascii="Arial" w:hAnsi="Arial" w:eastAsia="宋体" w:cs="Arial"/>
              <w:kern w:val="2"/>
              <w:sz w:val="21"/>
              <w:szCs w:val="22"/>
              <w:lang w:eastAsia="zh-CN"/>
            </w:rPr>
            <w:tab/>
          </w:r>
          <w:r>
            <w:rPr>
              <w:rStyle w:val="14"/>
              <w:rFonts w:ascii="Arial" w:hAnsi="Arial" w:eastAsia="宋体" w:cs="Arial"/>
            </w:rPr>
            <w:t>消融</w:t>
          </w:r>
          <w:r>
            <w:rPr>
              <w:rStyle w:val="14"/>
              <w:rFonts w:ascii="Arial" w:hAnsi="Arial" w:eastAsia="宋体" w:cs="Arial"/>
              <w:lang w:eastAsia="zh-CN"/>
            </w:rPr>
            <w:t>手术</w:t>
          </w:r>
          <w:r>
            <w:rPr>
              <w:rStyle w:val="14"/>
              <w:rFonts w:ascii="Arial" w:hAnsi="Arial" w:eastAsia="宋体" w:cs="Arial"/>
            </w:rPr>
            <w:t>病变组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_Toc481156298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4742D0FD">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"_Toc481156299" </w:instrText>
          </w:r>
          <w:r>
            <w:fldChar w:fldCharType="separate"/>
          </w:r>
          <w:r>
            <w:rPr>
              <w:rStyle w:val="14"/>
              <w:rFonts w:ascii="Arial" w:hAnsi="Arial" w:eastAsia="宋体" w:cs="Arial"/>
              <w:spacing w:val="-7"/>
            </w:rPr>
            <w:t>5.</w:t>
          </w:r>
          <w:r>
            <w:rPr>
              <w:rFonts w:ascii="Arial" w:hAnsi="Arial" w:eastAsia="宋体" w:cs="Arial"/>
              <w:kern w:val="2"/>
              <w:sz w:val="21"/>
              <w:szCs w:val="22"/>
              <w:lang w:eastAsia="zh-CN"/>
            </w:rPr>
            <w:tab/>
          </w:r>
          <w:r>
            <w:rPr>
              <w:rStyle w:val="14"/>
              <w:rFonts w:ascii="Arial" w:hAnsi="Arial" w:eastAsia="宋体" w:cs="Arial"/>
            </w:rPr>
            <w:t>适应症</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_Toc481156299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5CCE1DB8">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"_Toc481156300" </w:instrText>
          </w:r>
          <w:r>
            <w:fldChar w:fldCharType="separate"/>
          </w:r>
          <w:r>
            <w:rPr>
              <w:rStyle w:val="14"/>
              <w:rFonts w:ascii="Arial" w:hAnsi="Arial" w:eastAsia="宋体" w:cs="Arial"/>
              <w:u w:color="000000"/>
              <w:lang w:eastAsia="zh-CN"/>
            </w:rPr>
            <w:t>其他适应症</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_Toc481156300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4DE9DABA">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"_Toc481156301" </w:instrText>
          </w:r>
          <w:r>
            <w:fldChar w:fldCharType="separate"/>
          </w:r>
          <w:r>
            <w:rPr>
              <w:rStyle w:val="14"/>
              <w:rFonts w:ascii="Arial" w:hAnsi="Arial" w:eastAsia="宋体" w:cs="Arial"/>
              <w:spacing w:val="-7"/>
            </w:rPr>
            <w:t>6.</w:t>
          </w:r>
          <w:r>
            <w:rPr>
              <w:rFonts w:ascii="Arial" w:hAnsi="Arial" w:eastAsia="宋体" w:cs="Arial"/>
              <w:kern w:val="2"/>
              <w:sz w:val="21"/>
              <w:szCs w:val="22"/>
              <w:lang w:eastAsia="zh-CN"/>
            </w:rPr>
            <w:tab/>
          </w:r>
          <w:r>
            <w:rPr>
              <w:rStyle w:val="14"/>
              <w:rFonts w:ascii="Arial" w:hAnsi="Arial" w:eastAsia="宋体" w:cs="Arial"/>
            </w:rPr>
            <w:t>研究</w:t>
          </w:r>
          <w:r>
            <w:rPr>
              <w:rStyle w:val="14"/>
              <w:rFonts w:ascii="Arial" w:hAnsi="Arial" w:eastAsia="宋体" w:cs="Arial"/>
              <w:lang w:eastAsia="zh-CN"/>
            </w:rPr>
            <w:t>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_Toc481156301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410C70F3">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"_Toc481156302" </w:instrText>
          </w:r>
          <w:r>
            <w:fldChar w:fldCharType="separate"/>
          </w:r>
          <w:r>
            <w:rPr>
              <w:rStyle w:val="14"/>
              <w:rFonts w:ascii="Arial" w:hAnsi="Arial" w:eastAsia="宋体" w:cs="Arial"/>
              <w:spacing w:val="-2"/>
            </w:rPr>
            <w:t>A.</w:t>
          </w:r>
          <w:r>
            <w:rPr>
              <w:rFonts w:ascii="Arial" w:hAnsi="Arial" w:eastAsia="宋体" w:cs="Arial"/>
              <w:kern w:val="2"/>
              <w:sz w:val="21"/>
              <w:szCs w:val="22"/>
              <w:lang w:eastAsia="zh-CN"/>
            </w:rPr>
            <w:tab/>
          </w:r>
          <w:r>
            <w:rPr>
              <w:rStyle w:val="14"/>
              <w:rFonts w:ascii="Arial" w:hAnsi="Arial" w:eastAsia="宋体" w:cs="Arial"/>
            </w:rPr>
            <w:t>主要</w:t>
          </w:r>
          <w:r>
            <w:rPr>
              <w:rStyle w:val="14"/>
              <w:rFonts w:ascii="Arial" w:hAnsi="Arial" w:eastAsia="宋体" w:cs="Arial"/>
              <w:lang w:eastAsia="zh-CN"/>
            </w:rPr>
            <w:t>有效性</w:t>
          </w:r>
          <w:r>
            <w:rPr>
              <w:rStyle w:val="14"/>
              <w:rFonts w:ascii="Arial" w:hAnsi="Arial" w:eastAsia="宋体" w:cs="Arial"/>
            </w:rPr>
            <w:t>评价</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_Toc481156302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5F72FBA5">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"_Toc481156303" </w:instrText>
          </w:r>
          <w:r>
            <w:fldChar w:fldCharType="separate"/>
          </w:r>
          <w:r>
            <w:rPr>
              <w:rStyle w:val="14"/>
              <w:rFonts w:ascii="Arial" w:hAnsi="Arial" w:eastAsia="宋体" w:cs="Arial"/>
              <w:u w:color="000000"/>
            </w:rPr>
            <w:t>一般建议和</w:t>
          </w:r>
          <w:r>
            <w:rPr>
              <w:rStyle w:val="14"/>
              <w:rFonts w:ascii="Arial" w:hAnsi="Arial" w:eastAsia="宋体" w:cs="Arial"/>
              <w:u w:color="000000"/>
              <w:lang w:eastAsia="zh-CN"/>
            </w:rPr>
            <w:t>考虑因素</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_Toc481156303 \h </w:instrText>
          </w:r>
          <w:r>
            <w:rPr>
              <w:rFonts w:ascii="Arial" w:hAnsi="Arial" w:eastAsia="宋体" w:cs="Arial"/>
            </w:rPr>
            <w:fldChar w:fldCharType="separate"/>
          </w:r>
          <w:r>
            <w:rPr>
              <w:rFonts w:ascii="Arial" w:hAnsi="Arial" w:eastAsia="宋体" w:cs="Arial"/>
            </w:rPr>
            <w:t>9</w:t>
          </w:r>
          <w:r>
            <w:rPr>
              <w:rFonts w:ascii="Arial" w:hAnsi="Arial" w:eastAsia="宋体" w:cs="Arial"/>
            </w:rPr>
            <w:fldChar w:fldCharType="end"/>
          </w:r>
          <w:r>
            <w:rPr>
              <w:rFonts w:ascii="Arial" w:hAnsi="Arial" w:eastAsia="宋体" w:cs="Arial"/>
            </w:rPr>
            <w:fldChar w:fldCharType="end"/>
          </w:r>
        </w:p>
        <w:p w14:paraId="7E236E0F">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"_Toc481156304" </w:instrText>
          </w:r>
          <w:r>
            <w:fldChar w:fldCharType="separate"/>
          </w:r>
          <w:r>
            <w:rPr>
              <w:rStyle w:val="14"/>
              <w:rFonts w:ascii="Arial" w:hAnsi="Arial" w:eastAsia="宋体" w:cs="Arial"/>
              <w:u w:color="000000"/>
              <w:lang w:eastAsia="zh-CN"/>
            </w:rPr>
            <w:t>长期持续性和持久性房颤：主要有效性终点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_Toc481156304 \h </w:instrText>
          </w:r>
          <w:r>
            <w:rPr>
              <w:rFonts w:ascii="Arial" w:hAnsi="Arial" w:eastAsia="宋体" w:cs="Arial"/>
            </w:rPr>
            <w:fldChar w:fldCharType="separate"/>
          </w:r>
          <w:r>
            <w:rPr>
              <w:rFonts w:ascii="Arial" w:hAnsi="Arial" w:eastAsia="宋体" w:cs="Arial"/>
            </w:rPr>
            <w:t>10</w:t>
          </w:r>
          <w:r>
            <w:rPr>
              <w:rFonts w:ascii="Arial" w:hAnsi="Arial" w:eastAsia="宋体" w:cs="Arial"/>
            </w:rPr>
            <w:fldChar w:fldCharType="end"/>
          </w:r>
          <w:r>
            <w:rPr>
              <w:rFonts w:ascii="Arial" w:hAnsi="Arial" w:eastAsia="宋体" w:cs="Arial"/>
            </w:rPr>
            <w:fldChar w:fldCharType="end"/>
          </w:r>
        </w:p>
        <w:p w14:paraId="3AA3DB2D">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"_Toc481156305" </w:instrText>
          </w:r>
          <w:r>
            <w:fldChar w:fldCharType="separate"/>
          </w:r>
          <w:r>
            <w:rPr>
              <w:rStyle w:val="14"/>
              <w:rFonts w:ascii="Arial" w:hAnsi="Arial" w:eastAsia="宋体" w:cs="Arial"/>
              <w:u w:color="000000"/>
              <w:lang w:eastAsia="zh-CN"/>
            </w:rPr>
            <w:t>主要有效性失败</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_Toc481156305 \h </w:instrText>
          </w:r>
          <w:r>
            <w:rPr>
              <w:rFonts w:ascii="Arial" w:hAnsi="Arial" w:eastAsia="宋体" w:cs="Arial"/>
            </w:rPr>
            <w:fldChar w:fldCharType="separate"/>
          </w:r>
          <w:r>
            <w:rPr>
              <w:rFonts w:ascii="Arial" w:hAnsi="Arial" w:eastAsia="宋体" w:cs="Arial"/>
            </w:rPr>
            <w:t>11</w:t>
          </w:r>
          <w:r>
            <w:rPr>
              <w:rFonts w:ascii="Arial" w:hAnsi="Arial" w:eastAsia="宋体" w:cs="Arial"/>
            </w:rPr>
            <w:fldChar w:fldCharType="end"/>
          </w:r>
          <w:r>
            <w:rPr>
              <w:rFonts w:ascii="Arial" w:hAnsi="Arial" w:eastAsia="宋体" w:cs="Arial"/>
            </w:rPr>
            <w:fldChar w:fldCharType="end"/>
          </w:r>
        </w:p>
        <w:p w14:paraId="00F6BB7C">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"_Toc481156306" </w:instrText>
          </w:r>
          <w:r>
            <w:fldChar w:fldCharType="separate"/>
          </w:r>
          <w:r>
            <w:rPr>
              <w:rStyle w:val="14"/>
              <w:rFonts w:ascii="Arial" w:hAnsi="Arial" w:eastAsia="宋体" w:cs="Arial"/>
              <w:spacing w:val="-2"/>
            </w:rPr>
            <w:t>B.</w:t>
          </w:r>
          <w:r>
            <w:rPr>
              <w:rFonts w:ascii="Arial" w:hAnsi="Arial" w:eastAsia="宋体" w:cs="Arial"/>
              <w:kern w:val="2"/>
              <w:sz w:val="21"/>
              <w:szCs w:val="22"/>
              <w:lang w:eastAsia="zh-CN"/>
            </w:rPr>
            <w:tab/>
          </w:r>
          <w:r>
            <w:rPr>
              <w:rStyle w:val="14"/>
              <w:rFonts w:ascii="Arial" w:hAnsi="Arial" w:eastAsia="宋体" w:cs="Arial"/>
              <w:lang w:eastAsia="zh-CN"/>
            </w:rPr>
            <w:t>次级有效性</w:t>
          </w:r>
          <w:r>
            <w:rPr>
              <w:rStyle w:val="14"/>
              <w:rFonts w:ascii="Arial" w:hAnsi="Arial" w:eastAsia="宋体" w:cs="Arial"/>
            </w:rPr>
            <w:t>终点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_Toc481156306 \h </w:instrText>
          </w:r>
          <w:r>
            <w:rPr>
              <w:rFonts w:ascii="Arial" w:hAnsi="Arial" w:eastAsia="宋体" w:cs="Arial"/>
            </w:rPr>
            <w:fldChar w:fldCharType="separate"/>
          </w:r>
          <w:r>
            <w:rPr>
              <w:rFonts w:ascii="Arial" w:hAnsi="Arial" w:eastAsia="宋体" w:cs="Arial"/>
            </w:rPr>
            <w:t>11</w:t>
          </w:r>
          <w:r>
            <w:rPr>
              <w:rFonts w:ascii="Arial" w:hAnsi="Arial" w:eastAsia="宋体" w:cs="Arial"/>
            </w:rPr>
            <w:fldChar w:fldCharType="end"/>
          </w:r>
          <w:r>
            <w:rPr>
              <w:rFonts w:ascii="Arial" w:hAnsi="Arial" w:eastAsia="宋体" w:cs="Arial"/>
            </w:rPr>
            <w:fldChar w:fldCharType="end"/>
          </w:r>
        </w:p>
        <w:p w14:paraId="7CDB7A3F">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"_Toc481156307" </w:instrText>
          </w:r>
          <w:r>
            <w:fldChar w:fldCharType="separate"/>
          </w:r>
          <w:r>
            <w:rPr>
              <w:rStyle w:val="14"/>
              <w:rFonts w:ascii="Arial" w:hAnsi="Arial" w:eastAsia="宋体" w:cs="Arial"/>
              <w:u w:color="000000"/>
              <w:lang w:eastAsia="zh-CN"/>
            </w:rPr>
            <w:t>心房运输功能</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_Toc481156307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0BE7B8F8">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"_Toc481156308" </w:instrText>
          </w:r>
          <w:r>
            <w:fldChar w:fldCharType="separate"/>
          </w:r>
          <w:r>
            <w:rPr>
              <w:rStyle w:val="14"/>
              <w:rFonts w:ascii="Arial" w:hAnsi="Arial" w:eastAsia="宋体" w:cs="Arial"/>
              <w:u w:color="000000"/>
              <w:lang w:eastAsia="zh-CN"/>
            </w:rPr>
            <w:t>心室功能</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_Toc481156308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733B7F76">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"_Toc481156309" </w:instrText>
          </w:r>
          <w:r>
            <w:fldChar w:fldCharType="separate"/>
          </w:r>
          <w:r>
            <w:rPr>
              <w:rStyle w:val="14"/>
              <w:rFonts w:ascii="Arial" w:hAnsi="Arial" w:eastAsia="宋体" w:cs="Arial"/>
              <w:spacing w:val="-2"/>
            </w:rPr>
            <w:t>C.</w:t>
          </w:r>
          <w:r>
            <w:rPr>
              <w:rFonts w:ascii="Arial" w:hAnsi="Arial" w:eastAsia="宋体" w:cs="Arial"/>
              <w:kern w:val="2"/>
              <w:sz w:val="21"/>
              <w:szCs w:val="22"/>
              <w:lang w:eastAsia="zh-CN"/>
            </w:rPr>
            <w:tab/>
          </w:r>
          <w:r>
            <w:rPr>
              <w:rStyle w:val="14"/>
              <w:rFonts w:ascii="Arial" w:hAnsi="Arial" w:eastAsia="宋体" w:cs="Arial"/>
            </w:rPr>
            <w:t>主要安全</w:t>
          </w:r>
          <w:r>
            <w:rPr>
              <w:rStyle w:val="14"/>
              <w:rFonts w:ascii="Arial" w:hAnsi="Arial" w:eastAsia="宋体" w:cs="Arial"/>
              <w:lang w:eastAsia="zh-CN"/>
            </w:rPr>
            <w:t>性</w:t>
          </w:r>
          <w:r>
            <w:rPr>
              <w:rStyle w:val="14"/>
              <w:rFonts w:ascii="Arial" w:hAnsi="Arial" w:eastAsia="宋体" w:cs="Arial"/>
            </w:rPr>
            <w:t>评价</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_Toc481156309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37648234">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"_Toc481156310" </w:instrText>
          </w:r>
          <w:r>
            <w:fldChar w:fldCharType="separate"/>
          </w:r>
          <w:r>
            <w:rPr>
              <w:rStyle w:val="14"/>
              <w:rFonts w:ascii="Arial" w:hAnsi="Arial" w:eastAsia="宋体" w:cs="Arial"/>
              <w:u w:color="000000"/>
              <w:lang w:eastAsia="zh-CN"/>
            </w:rPr>
            <w:t>肺静脉狭窄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_Toc481156310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31FD14AC">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"_Toc481156311" </w:instrText>
          </w:r>
          <w:r>
            <w:fldChar w:fldCharType="separate"/>
          </w:r>
          <w:r>
            <w:rPr>
              <w:rStyle w:val="14"/>
              <w:rFonts w:ascii="Arial" w:hAnsi="Arial" w:eastAsia="宋体" w:cs="Arial"/>
              <w:u w:color="000000"/>
              <w:lang w:eastAsia="zh-CN"/>
            </w:rPr>
            <w:t>神经评估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_Toc481156311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075EF933">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"_Toc481156312" </w:instrText>
          </w:r>
          <w:r>
            <w:fldChar w:fldCharType="separate"/>
          </w:r>
          <w:r>
            <w:rPr>
              <w:rStyle w:val="14"/>
              <w:rFonts w:ascii="Arial" w:hAnsi="Arial" w:eastAsia="宋体" w:cs="Arial"/>
              <w:spacing w:val="-7"/>
            </w:rPr>
            <w:t>7.</w:t>
          </w:r>
          <w:r>
            <w:rPr>
              <w:rFonts w:ascii="Arial" w:hAnsi="Arial" w:eastAsia="宋体" w:cs="Arial"/>
              <w:kern w:val="2"/>
              <w:sz w:val="21"/>
              <w:szCs w:val="22"/>
              <w:lang w:eastAsia="zh-CN"/>
            </w:rPr>
            <w:tab/>
          </w:r>
          <w:r>
            <w:rPr>
              <w:rStyle w:val="14"/>
              <w:rFonts w:ascii="Arial" w:hAnsi="Arial" w:eastAsia="宋体" w:cs="Arial"/>
              <w:spacing w:val="-3"/>
            </w:rPr>
            <w:t>研究组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_Toc481156312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5585A60A">
          <w:pPr>
            <w:pStyle w:val="10"/>
            <w:tabs>
              <w:tab w:val="right" w:leader="dot" w:pos="9962"/>
            </w:tabs>
            <w:rPr>
              <w:rFonts w:ascii="Arial" w:hAnsi="Arial" w:eastAsia="宋体" w:cs="Arial"/>
              <w:kern w:val="2"/>
              <w:sz w:val="21"/>
              <w:szCs w:val="22"/>
              <w:lang w:eastAsia="zh-CN"/>
            </w:rPr>
          </w:pPr>
          <w:r>
            <w:fldChar w:fldCharType="begin"/>
          </w:r>
          <w:r>
            <w:instrText xml:space="preserve"> HYPERLINK \l "_Toc481156313" </w:instrText>
          </w:r>
          <w:r>
            <w:fldChar w:fldCharType="separate"/>
          </w:r>
          <w:r>
            <w:rPr>
              <w:rStyle w:val="14"/>
              <w:rFonts w:ascii="Arial" w:hAnsi="Arial" w:eastAsia="宋体" w:cs="Arial"/>
              <w:spacing w:val="-7"/>
            </w:rPr>
            <w:t>8.</w:t>
          </w:r>
          <w:r>
            <w:rPr>
              <w:rFonts w:ascii="Arial" w:hAnsi="Arial" w:eastAsia="宋体" w:cs="Arial"/>
              <w:kern w:val="2"/>
              <w:sz w:val="21"/>
              <w:szCs w:val="22"/>
              <w:lang w:eastAsia="zh-CN"/>
            </w:rPr>
            <w:tab/>
          </w:r>
          <w:r>
            <w:rPr>
              <w:rStyle w:val="14"/>
              <w:rFonts w:ascii="Arial" w:hAnsi="Arial" w:eastAsia="宋体" w:cs="Arial"/>
            </w:rPr>
            <w:t>其他研究设计建议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_Toc481156313 \h </w:instrText>
          </w:r>
          <w:r>
            <w:rPr>
              <w:rFonts w:ascii="Arial" w:hAnsi="Arial" w:eastAsia="宋体" w:cs="Arial"/>
            </w:rPr>
            <w:fldChar w:fldCharType="separate"/>
          </w:r>
          <w:r>
            <w:rPr>
              <w:rFonts w:ascii="Arial" w:hAnsi="Arial" w:eastAsia="宋体" w:cs="Arial"/>
            </w:rPr>
            <w:t>15</w:t>
          </w:r>
          <w:r>
            <w:rPr>
              <w:rFonts w:ascii="Arial" w:hAnsi="Arial" w:eastAsia="宋体" w:cs="Arial"/>
            </w:rPr>
            <w:fldChar w:fldCharType="end"/>
          </w:r>
          <w:r>
            <w:rPr>
              <w:rFonts w:ascii="Arial" w:hAnsi="Arial" w:eastAsia="宋体" w:cs="Arial"/>
            </w:rPr>
            <w:fldChar w:fldCharType="end"/>
          </w:r>
        </w:p>
        <w:p w14:paraId="5C069BF9">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"_Toc481156314" </w:instrText>
          </w:r>
          <w:r>
            <w:fldChar w:fldCharType="separate"/>
          </w:r>
          <w:r>
            <w:rPr>
              <w:rStyle w:val="14"/>
              <w:rFonts w:ascii="Arial" w:hAnsi="Arial" w:eastAsia="宋体" w:cs="Arial"/>
              <w:spacing w:val="-2"/>
            </w:rPr>
            <w:t>A.</w:t>
          </w:r>
          <w:r>
            <w:rPr>
              <w:rFonts w:ascii="Arial" w:hAnsi="Arial" w:eastAsia="宋体" w:cs="Arial"/>
              <w:kern w:val="2"/>
              <w:sz w:val="21"/>
              <w:szCs w:val="22"/>
              <w:lang w:eastAsia="zh-CN"/>
            </w:rPr>
            <w:tab/>
          </w:r>
          <w:r>
            <w:rPr>
              <w:rStyle w:val="14"/>
              <w:rFonts w:ascii="Arial" w:hAnsi="Arial" w:eastAsia="宋体" w:cs="Arial"/>
            </w:rPr>
            <w:t>抗心律失常药物治疗</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_Toc481156314 \h </w:instrText>
          </w:r>
          <w:r>
            <w:rPr>
              <w:rFonts w:ascii="Arial" w:hAnsi="Arial" w:eastAsia="宋体" w:cs="Arial"/>
            </w:rPr>
            <w:fldChar w:fldCharType="separate"/>
          </w:r>
          <w:r>
            <w:rPr>
              <w:rFonts w:ascii="Arial" w:hAnsi="Arial" w:eastAsia="宋体" w:cs="Arial"/>
            </w:rPr>
            <w:t>15</w:t>
          </w:r>
          <w:r>
            <w:rPr>
              <w:rFonts w:ascii="Arial" w:hAnsi="Arial" w:eastAsia="宋体" w:cs="Arial"/>
            </w:rPr>
            <w:fldChar w:fldCharType="end"/>
          </w:r>
          <w:r>
            <w:rPr>
              <w:rFonts w:ascii="Arial" w:hAnsi="Arial" w:eastAsia="宋体" w:cs="Arial"/>
            </w:rPr>
            <w:fldChar w:fldCharType="end"/>
          </w:r>
        </w:p>
        <w:p w14:paraId="073E5E33">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"_Toc481156315" </w:instrText>
          </w:r>
          <w:r>
            <w:fldChar w:fldCharType="separate"/>
          </w:r>
          <w:r>
            <w:rPr>
              <w:rStyle w:val="14"/>
              <w:rFonts w:ascii="Arial" w:hAnsi="Arial" w:eastAsia="宋体" w:cs="Arial"/>
              <w:spacing w:val="-2"/>
            </w:rPr>
            <w:t>B.</w:t>
          </w:r>
          <w:r>
            <w:rPr>
              <w:rFonts w:ascii="Arial" w:hAnsi="Arial" w:eastAsia="宋体" w:cs="Arial"/>
              <w:kern w:val="2"/>
              <w:sz w:val="21"/>
              <w:szCs w:val="22"/>
              <w:lang w:eastAsia="zh-CN"/>
            </w:rPr>
            <w:tab/>
          </w:r>
          <w:r>
            <w:rPr>
              <w:rStyle w:val="14"/>
              <w:rFonts w:ascii="Arial" w:hAnsi="Arial" w:eastAsia="宋体" w:cs="Arial"/>
            </w:rPr>
            <w:t>抗凝</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_Toc481156315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1232966D">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"_Toc481156316" </w:instrText>
          </w:r>
          <w:r>
            <w:fldChar w:fldCharType="separate"/>
          </w:r>
          <w:r>
            <w:rPr>
              <w:rStyle w:val="14"/>
              <w:rFonts w:ascii="Arial" w:hAnsi="Arial" w:eastAsia="宋体" w:cs="Arial"/>
              <w:spacing w:val="-2"/>
            </w:rPr>
            <w:t>C.</w:t>
          </w:r>
          <w:r>
            <w:rPr>
              <w:rFonts w:ascii="Arial" w:hAnsi="Arial" w:eastAsia="宋体" w:cs="Arial"/>
              <w:kern w:val="2"/>
              <w:sz w:val="21"/>
              <w:szCs w:val="22"/>
              <w:lang w:eastAsia="zh-CN"/>
            </w:rPr>
            <w:tab/>
          </w:r>
          <w:r>
            <w:rPr>
              <w:rStyle w:val="14"/>
              <w:rFonts w:ascii="Arial" w:hAnsi="Arial" w:eastAsia="宋体" w:cs="Arial"/>
            </w:rPr>
            <w:t>非劣</w:t>
          </w:r>
          <w:r>
            <w:rPr>
              <w:rStyle w:val="14"/>
              <w:rFonts w:ascii="Arial" w:hAnsi="Arial" w:eastAsia="宋体" w:cs="Arial"/>
              <w:lang w:eastAsia="zh-CN"/>
            </w:rPr>
            <w:t>效</w:t>
          </w:r>
          <w:r>
            <w:rPr>
              <w:rStyle w:val="14"/>
              <w:rFonts w:ascii="Arial" w:hAnsi="Arial" w:eastAsia="宋体" w:cs="Arial"/>
            </w:rPr>
            <w:t>性与</w:t>
          </w:r>
          <w:r>
            <w:rPr>
              <w:rStyle w:val="14"/>
              <w:rFonts w:ascii="Arial" w:hAnsi="Arial" w:eastAsia="宋体" w:cs="Arial"/>
              <w:lang w:eastAsia="zh-CN"/>
            </w:rPr>
            <w:t>优效性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_Toc481156316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6E77A413">
          <w:pPr>
            <w:pStyle w:val="6"/>
            <w:tabs>
              <w:tab w:val="right" w:leader="dot" w:pos="9962"/>
            </w:tabs>
            <w:rPr>
              <w:rFonts w:ascii="Arial" w:hAnsi="Arial" w:eastAsia="宋体" w:cs="Arial"/>
              <w:kern w:val="2"/>
              <w:sz w:val="21"/>
              <w:szCs w:val="22"/>
              <w:lang w:eastAsia="zh-CN"/>
            </w:rPr>
          </w:pPr>
          <w:r>
            <w:fldChar w:fldCharType="begin"/>
          </w:r>
          <w:r>
            <w:instrText xml:space="preserve"> HYPERLINK \l "_Toc481156317" </w:instrText>
          </w:r>
          <w:r>
            <w:fldChar w:fldCharType="separate"/>
          </w:r>
          <w:r>
            <w:rPr>
              <w:rStyle w:val="14"/>
              <w:rFonts w:ascii="Arial" w:hAnsi="Arial" w:eastAsia="宋体" w:cs="Arial"/>
              <w:u w:color="000000"/>
              <w:lang w:eastAsia="zh-CN"/>
            </w:rPr>
            <w:t>样本量</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_Toc481156317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7CA75907">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"_Toc481156318" </w:instrText>
          </w:r>
          <w:r>
            <w:fldChar w:fldCharType="separate"/>
          </w:r>
          <w:r>
            <w:rPr>
              <w:rStyle w:val="14"/>
              <w:rFonts w:ascii="Arial" w:hAnsi="Arial" w:eastAsia="宋体" w:cs="Arial"/>
              <w:spacing w:val="-2"/>
            </w:rPr>
            <w:t>D.</w:t>
          </w:r>
          <w:r>
            <w:rPr>
              <w:rFonts w:ascii="Arial" w:hAnsi="Arial" w:eastAsia="宋体" w:cs="Arial"/>
              <w:kern w:val="2"/>
              <w:sz w:val="21"/>
              <w:szCs w:val="22"/>
              <w:lang w:eastAsia="zh-CN"/>
            </w:rPr>
            <w:tab/>
          </w:r>
          <w:r>
            <w:rPr>
              <w:rStyle w:val="14"/>
              <w:rFonts w:ascii="Arial" w:hAnsi="Arial" w:eastAsia="宋体" w:cs="Arial"/>
            </w:rPr>
            <w:t>研究受试者的</w:t>
          </w:r>
          <w:r>
            <w:rPr>
              <w:rStyle w:val="14"/>
              <w:rFonts w:ascii="Arial" w:hAnsi="Arial" w:eastAsia="宋体" w:cs="Arial"/>
              <w:lang w:eastAsia="zh-CN"/>
            </w:rPr>
            <w:t>随访</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_Toc481156318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28BFF2A4">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"_Toc481156319" </w:instrText>
          </w:r>
          <w:r>
            <w:fldChar w:fldCharType="separate"/>
          </w:r>
          <w:r>
            <w:rPr>
              <w:rStyle w:val="14"/>
              <w:rFonts w:ascii="Arial" w:hAnsi="Arial" w:eastAsia="宋体" w:cs="Arial"/>
              <w:spacing w:val="-2"/>
            </w:rPr>
            <w:t>E.</w:t>
          </w:r>
          <w:r>
            <w:rPr>
              <w:rFonts w:ascii="Arial" w:hAnsi="Arial" w:eastAsia="宋体" w:cs="Arial"/>
              <w:kern w:val="2"/>
              <w:sz w:val="21"/>
              <w:szCs w:val="22"/>
              <w:lang w:eastAsia="zh-CN"/>
            </w:rPr>
            <w:tab/>
          </w:r>
          <w:r>
            <w:rPr>
              <w:rStyle w:val="14"/>
              <w:rFonts w:ascii="Arial" w:hAnsi="Arial" w:eastAsia="宋体" w:cs="Arial"/>
              <w:lang w:eastAsia="zh-CN"/>
            </w:rPr>
            <w:t>空白期</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_Toc481156319 \h </w:instrText>
          </w:r>
          <w:r>
            <w:rPr>
              <w:rFonts w:ascii="Arial" w:hAnsi="Arial" w:eastAsia="宋体" w:cs="Arial"/>
            </w:rPr>
            <w:fldChar w:fldCharType="separate"/>
          </w:r>
          <w:r>
            <w:rPr>
              <w:rFonts w:ascii="Arial" w:hAnsi="Arial" w:eastAsia="宋体" w:cs="Arial"/>
            </w:rPr>
            <w:t>17</w:t>
          </w:r>
          <w:r>
            <w:rPr>
              <w:rFonts w:ascii="Arial" w:hAnsi="Arial" w:eastAsia="宋体" w:cs="Arial"/>
            </w:rPr>
            <w:fldChar w:fldCharType="end"/>
          </w:r>
          <w:r>
            <w:rPr>
              <w:rFonts w:ascii="Arial" w:hAnsi="Arial" w:eastAsia="宋体" w:cs="Arial"/>
            </w:rPr>
            <w:fldChar w:fldCharType="end"/>
          </w:r>
        </w:p>
        <w:p w14:paraId="4E5E2555">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"_Toc481156320" </w:instrText>
          </w:r>
          <w:r>
            <w:fldChar w:fldCharType="separate"/>
          </w:r>
          <w:r>
            <w:rPr>
              <w:rStyle w:val="14"/>
              <w:rFonts w:ascii="Arial" w:hAnsi="Arial" w:eastAsia="宋体" w:cs="Arial"/>
              <w:spacing w:val="-2"/>
            </w:rPr>
            <w:t>F.</w:t>
          </w:r>
          <w:r>
            <w:rPr>
              <w:rFonts w:ascii="Arial" w:hAnsi="Arial" w:eastAsia="宋体" w:cs="Arial"/>
              <w:kern w:val="2"/>
              <w:sz w:val="21"/>
              <w:szCs w:val="22"/>
              <w:lang w:eastAsia="zh-CN"/>
            </w:rPr>
            <w:tab/>
          </w:r>
          <w:r>
            <w:rPr>
              <w:rStyle w:val="14"/>
              <w:rFonts w:ascii="Arial" w:hAnsi="Arial" w:eastAsia="宋体" w:cs="Arial"/>
            </w:rPr>
            <w:t>研究者选择和培训</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_Toc481156320 \h </w:instrText>
          </w:r>
          <w:r>
            <w:rPr>
              <w:rFonts w:ascii="Arial" w:hAnsi="Arial" w:eastAsia="宋体" w:cs="Arial"/>
            </w:rPr>
            <w:fldChar w:fldCharType="separate"/>
          </w:r>
          <w:r>
            <w:rPr>
              <w:rFonts w:ascii="Arial" w:hAnsi="Arial" w:eastAsia="宋体" w:cs="Arial"/>
            </w:rPr>
            <w:t>17</w:t>
          </w:r>
          <w:r>
            <w:rPr>
              <w:rFonts w:ascii="Arial" w:hAnsi="Arial" w:eastAsia="宋体" w:cs="Arial"/>
            </w:rPr>
            <w:fldChar w:fldCharType="end"/>
          </w:r>
          <w:r>
            <w:rPr>
              <w:rFonts w:ascii="Arial" w:hAnsi="Arial" w:eastAsia="宋体" w:cs="Arial"/>
            </w:rPr>
            <w:fldChar w:fldCharType="end"/>
          </w:r>
        </w:p>
        <w:p w14:paraId="46779960">
          <w:pPr>
            <w:pStyle w:val="11"/>
            <w:tabs>
              <w:tab w:val="left" w:pos="820"/>
              <w:tab w:val="right" w:leader="dot" w:pos="9962"/>
            </w:tabs>
            <w:rPr>
              <w:rFonts w:ascii="Arial" w:hAnsi="Arial" w:eastAsia="宋体" w:cs="Arial"/>
              <w:kern w:val="2"/>
              <w:sz w:val="21"/>
              <w:szCs w:val="22"/>
              <w:lang w:eastAsia="zh-CN"/>
            </w:rPr>
          </w:pPr>
          <w:r>
            <w:fldChar w:fldCharType="begin"/>
          </w:r>
          <w:r>
            <w:instrText xml:space="preserve"> HYPERLINK \l "_Toc481156321" </w:instrText>
          </w:r>
          <w:r>
            <w:fldChar w:fldCharType="separate"/>
          </w:r>
          <w:r>
            <w:rPr>
              <w:rStyle w:val="14"/>
              <w:rFonts w:ascii="Arial" w:hAnsi="Arial" w:eastAsia="宋体" w:cs="Arial"/>
              <w:spacing w:val="-2"/>
            </w:rPr>
            <w:t>G.</w:t>
          </w:r>
          <w:r>
            <w:rPr>
              <w:rFonts w:ascii="Arial" w:hAnsi="Arial" w:eastAsia="宋体" w:cs="Arial"/>
              <w:kern w:val="2"/>
              <w:sz w:val="21"/>
              <w:szCs w:val="22"/>
              <w:lang w:eastAsia="zh-CN"/>
            </w:rPr>
            <w:tab/>
          </w:r>
          <w:r>
            <w:rPr>
              <w:rStyle w:val="14"/>
              <w:rFonts w:ascii="Arial" w:hAnsi="Arial" w:eastAsia="宋体" w:cs="Arial"/>
            </w:rPr>
            <w:t>研究监测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_Toc481156321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5002F1F0">
          <w:pPr>
            <w:snapToGrid w:val="0"/>
            <w:spacing w:line="300" w:lineRule="auto"/>
            <w:jc w:val="both"/>
            <w:rPr>
              <w:rFonts w:ascii="Arial" w:hAnsi="Arial" w:eastAsia="宋体" w:cs="Arial"/>
            </w:rPr>
          </w:pPr>
          <w:r>
            <w:rPr>
              <w:rFonts w:ascii="Arial" w:hAnsi="Arial" w:eastAsia="宋体" w:cs="Arial"/>
              <w:bCs/>
              <w:lang w:val="zh-CN"/>
            </w:rPr>
            <w:fldChar w:fldCharType="end"/>
          </w:r>
        </w:p>
      </w:sdtContent>
    </w:sdt>
    <w:p w14:paraId="05668AF8">
      <w:pPr>
        <w:snapToGrid w:val="0"/>
        <w:spacing w:line="300" w:lineRule="auto"/>
        <w:jc w:val="both"/>
        <w:rPr>
          <w:rFonts w:ascii="Arial" w:hAnsi="Arial" w:eastAsia="宋体" w:cs="Arial"/>
        </w:rPr>
        <w:sectPr>
          <w:pgSz w:w="12240" w:h="15840"/>
          <w:pgMar w:top="1134" w:right="1134" w:bottom="1134" w:left="1134" w:header="748" w:footer="0" w:gutter="0"/>
          <w:cols w:space="720" w:num="1"/>
          <w:docGrid w:linePitch="299" w:charSpace="0"/>
        </w:sectPr>
      </w:pPr>
      <w:r>
        <w:rPr>
          <w:rFonts w:ascii="Arial" w:hAnsi="Arial" w:eastAsia="宋体" w:cs="Arial"/>
        </w:rPr>
        <w:br w:type="page"/>
      </w:r>
    </w:p>
    <w:p w14:paraId="4715911D">
      <w:pPr>
        <w:tabs>
          <w:tab w:val="left" w:pos="427"/>
          <w:tab w:val="left" w:pos="9777"/>
        </w:tabs>
        <w:snapToGrid w:val="0"/>
        <w:spacing w:before="2" w:line="300" w:lineRule="auto"/>
        <w:jc w:val="center"/>
        <w:rPr>
          <w:rFonts w:ascii="Arial" w:hAnsi="Arial" w:eastAsia="宋体" w:cs="Arial"/>
          <w:sz w:val="48"/>
          <w:szCs w:val="48"/>
          <w:lang w:eastAsia="zh-CN"/>
        </w:rPr>
      </w:pPr>
      <w:r>
        <w:rPr>
          <w:rFonts w:ascii="Arial" w:hAnsi="Arial" w:eastAsia="宋体" w:cs="Arial"/>
          <w:b/>
          <w:sz w:val="48"/>
          <w:u w:val="single" w:color="000000"/>
          <w:lang w:eastAsia="zh-CN"/>
        </w:rPr>
        <w:t>治疗房颤的外科消融器械临床研究设计</w:t>
      </w:r>
    </w:p>
    <w:p w14:paraId="4388088D">
      <w:pPr>
        <w:snapToGrid w:val="0"/>
        <w:spacing w:before="578" w:line="300" w:lineRule="auto"/>
        <w:jc w:val="center"/>
        <w:rPr>
          <w:rFonts w:ascii="Arial" w:hAnsi="Arial" w:eastAsia="宋体" w:cs="Arial"/>
          <w:sz w:val="48"/>
          <w:szCs w:val="48"/>
          <w:lang w:eastAsia="zh-CN"/>
        </w:rPr>
      </w:pPr>
      <w:r>
        <w:rPr>
          <w:rFonts w:ascii="Arial" w:hAnsi="Arial" w:eastAsia="宋体" w:cs="Arial"/>
          <w:b/>
          <w:sz w:val="48"/>
          <w:lang w:eastAsia="zh-CN"/>
        </w:rPr>
        <w:t>行业和食品药品监督管理局员工指南</w:t>
      </w:r>
    </w:p>
    <w:p w14:paraId="61D1F4AA">
      <w:pPr>
        <w:snapToGrid w:val="0"/>
        <w:spacing w:line="300" w:lineRule="auto"/>
        <w:jc w:val="both"/>
        <w:rPr>
          <w:rFonts w:ascii="Arial" w:hAnsi="Arial" w:eastAsia="宋体" w:cs="Arial"/>
          <w:b/>
          <w:bCs/>
          <w:sz w:val="20"/>
          <w:szCs w:val="20"/>
          <w:lang w:eastAsia="zh-CN"/>
        </w:rPr>
      </w:pPr>
    </w:p>
    <w:p w14:paraId="1E009117">
      <w:pPr>
        <w:snapToGrid w:val="0"/>
        <w:spacing w:before="6" w:line="300" w:lineRule="auto"/>
        <w:jc w:val="both"/>
        <w:rPr>
          <w:rFonts w:ascii="Arial" w:hAnsi="Arial" w:eastAsia="宋体" w:cs="Arial"/>
          <w:b/>
          <w:bCs/>
          <w:sz w:val="18"/>
          <w:szCs w:val="18"/>
          <w:lang w:eastAsia="zh-CN"/>
        </w:rPr>
      </w:pPr>
    </w:p>
    <w:p w14:paraId="14A3E7E2">
      <w:pPr>
        <w:snapToGrid w:val="0"/>
        <w:spacing w:line="300" w:lineRule="auto"/>
        <w:ind w:left="113"/>
        <w:jc w:val="both"/>
        <w:rPr>
          <w:rFonts w:ascii="Arial" w:hAnsi="Arial" w:eastAsia="宋体" w:cs="Arial"/>
          <w:sz w:val="20"/>
          <w:szCs w:val="20"/>
        </w:rPr>
      </w:pPr>
      <w:r>
        <w:rPr>
          <w:rFonts w:ascii="Arial" w:hAnsi="Arial" w:eastAsia="宋体" w:cs="Arial"/>
          <w:position w:val="-42"/>
          <w:sz w:val="20"/>
          <w:szCs w:val="20"/>
          <w:lang w:eastAsia="zh-CN"/>
        </w:rPr>
        <mc:AlternateContent>
          <mc:Choice Requires="wps">
            <w:drawing>
              <wp:inline distT="0" distB="0" distL="0" distR="0">
                <wp:extent cx="6384290" cy="1381125"/>
                <wp:effectExtent l="19050" t="19050" r="26035" b="19050"/>
                <wp:docPr id="13" name="Text Box 19"/>
                <wp:cNvGraphicFramePr/>
                <a:graphic xmlns:a="http://schemas.openxmlformats.org/drawingml/2006/main">
                  <a:graphicData uri="http://schemas.microsoft.com/office/word/2010/wordprocessingShape">
                    <wps:wsp>
                      <wps:cNvSpPr txBox="1">
                        <a:spLocks noChangeArrowheads="1"/>
                      </wps:cNvSpPr>
                      <wps:spPr bwMode="auto">
                        <a:xfrm>
                          <a:off x="0" y="0"/>
                          <a:ext cx="6384290" cy="1381125"/>
                        </a:xfrm>
                        <a:prstGeom prst="rect">
                          <a:avLst/>
                        </a:prstGeom>
                        <a:noFill/>
                        <a:ln w="38100" cmpd="tri">
                          <a:solidFill>
                            <a:srgbClr val="000000"/>
                          </a:solidFill>
                          <a:miter lim="800000"/>
                        </a:ln>
                      </wps:spPr>
                      <wps:txbx>
                        <w:txbxContent>
                          <w:p w14:paraId="7D5BAEC0">
                            <w:pPr>
                              <w:spacing w:before="88"/>
                              <w:ind w:right="393"/>
                              <w:rPr>
                                <w:rFonts w:ascii="Times New Roman" w:hAnsi="Times New Roman" w:eastAsia="Times New Roman" w:cs="Times New Roman"/>
                                <w:sz w:val="24"/>
                                <w:szCs w:val="24"/>
                                <w:lang w:eastAsia="zh-CN"/>
                              </w:rPr>
                            </w:pPr>
                            <w:r>
                              <w:rPr>
                                <w:rFonts w:hint="eastAsia" w:ascii="宋体" w:hAnsi="宋体" w:eastAsia="宋体" w:cs="宋体"/>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适当的电话号码。</w:t>
                            </w:r>
                          </w:p>
                        </w:txbxContent>
                      </wps:txbx>
                      <wps:bodyPr rot="0" vert="horz" wrap="square" lIns="0" tIns="0" rIns="0" bIns="0" anchor="t" anchorCtr="0" upright="1">
                        <a:noAutofit/>
                      </wps:bodyPr>
                    </wps:wsp>
                  </a:graphicData>
                </a:graphic>
              </wp:inline>
            </w:drawing>
          </mc:Choice>
          <mc:Fallback>
            <w:pict>
              <v:shape id="Text Box 19" o:spid="_x0000_s1026" o:spt="202" type="#_x0000_t202" style="height:108.75pt;width:502.7pt;" filled="f" stroked="t" coordsize="21600,21600" o:gfxdata="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KFR721AAAAAYBAAAPAAAAAAAAAAEAIAAAACIAAABkcnMvZG93bnJldi54bWxQSwECFAAUAAAA&#10;CACHTuJA8y5wNisCAABcBAAADgAAAAAAAAABACAAAAAjAQAAZHJzL2Uyb0RvYy54bWxQSwUGAAAA&#10;AAYABgBZAQAAwAUAAAAA&#10;">
                <v:fill on="f" focussize="0,0"/>
                <v:stroke weight="3pt" color="#000000" linestyle="thickBetweenThin" miterlimit="8" joinstyle="miter"/>
                <v:imagedata o:title=""/>
                <o:lock v:ext="edit" aspectratio="f"/>
                <v:textbox inset="0mm,0mm,0mm,0mm">
                  <w:txbxContent>
                    <w:p w14:paraId="7D5BAEC0">
                      <w:pPr>
                        <w:spacing w:before="88"/>
                        <w:ind w:right="393"/>
                        <w:rPr>
                          <w:rFonts w:ascii="Times New Roman" w:hAnsi="Times New Roman" w:eastAsia="Times New Roman" w:cs="Times New Roman"/>
                          <w:sz w:val="24"/>
                          <w:szCs w:val="24"/>
                          <w:lang w:eastAsia="zh-CN"/>
                        </w:rPr>
                      </w:pPr>
                      <w:r>
                        <w:rPr>
                          <w:rFonts w:hint="eastAsia" w:ascii="宋体" w:hAnsi="宋体" w:eastAsia="宋体" w:cs="宋体"/>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适当的电话号码。</w:t>
                      </w:r>
                    </w:p>
                  </w:txbxContent>
                </v:textbox>
                <w10:wrap type="none"/>
                <w10:anchorlock/>
              </v:shape>
            </w:pict>
          </mc:Fallback>
        </mc:AlternateContent>
      </w:r>
    </w:p>
    <w:p w14:paraId="2550B444">
      <w:pPr>
        <w:snapToGrid w:val="0"/>
        <w:spacing w:line="300" w:lineRule="auto"/>
        <w:jc w:val="both"/>
        <w:rPr>
          <w:rFonts w:ascii="Arial" w:hAnsi="Arial" w:eastAsia="宋体" w:cs="Arial"/>
          <w:b/>
          <w:bCs/>
          <w:sz w:val="36"/>
          <w:szCs w:val="36"/>
        </w:rPr>
      </w:pPr>
    </w:p>
    <w:p w14:paraId="3336D5AF">
      <w:pPr>
        <w:pStyle w:val="2"/>
        <w:numPr>
          <w:ilvl w:val="0"/>
          <w:numId w:val="1"/>
        </w:numPr>
        <w:tabs>
          <w:tab w:val="left" w:pos="640"/>
        </w:tabs>
        <w:snapToGrid w:val="0"/>
        <w:spacing w:before="242" w:line="300" w:lineRule="auto"/>
        <w:jc w:val="both"/>
        <w:rPr>
          <w:rFonts w:ascii="Arial" w:hAnsi="Arial" w:eastAsia="宋体" w:cs="Arial"/>
          <w:bCs w:val="0"/>
        </w:rPr>
      </w:pPr>
      <w:bookmarkStart w:id="0" w:name="1._Introduction"/>
      <w:bookmarkEnd w:id="0"/>
      <w:bookmarkStart w:id="1" w:name="_Toc481156285"/>
      <w:r>
        <w:rPr>
          <w:rFonts w:ascii="Arial" w:hAnsi="Arial" w:eastAsia="宋体" w:cs="Arial"/>
          <w:bCs w:val="0"/>
          <w:lang w:eastAsia="zh-CN"/>
        </w:rPr>
        <w:t>引言</w:t>
      </w:r>
      <w:bookmarkEnd w:id="1"/>
    </w:p>
    <w:p w14:paraId="228592B9">
      <w:pPr>
        <w:pStyle w:val="5"/>
        <w:snapToGrid w:val="0"/>
        <w:spacing w:line="300" w:lineRule="auto"/>
        <w:ind w:left="279"/>
        <w:jc w:val="both"/>
        <w:rPr>
          <w:rFonts w:ascii="Arial" w:hAnsi="Arial" w:eastAsia="宋体" w:cs="Arial"/>
          <w:lang w:eastAsia="zh-CN"/>
        </w:rPr>
      </w:pPr>
      <w:r>
        <w:rPr>
          <w:rFonts w:ascii="Arial" w:hAnsi="Arial" w:eastAsia="宋体" w:cs="Arial"/>
          <w:lang w:eastAsia="zh-CN"/>
        </w:rPr>
        <w:t>本指南提供了FDA有关治疗房颤的手术消融器械临床试验设计的建议。本指南中的建议涉及</w:t>
      </w:r>
      <w:r>
        <w:rPr>
          <w:rFonts w:hint="eastAsia" w:ascii="Arial" w:hAnsi="Arial" w:eastAsia="宋体" w:cs="Arial"/>
          <w:lang w:eastAsia="zh-CN"/>
        </w:rPr>
        <w:t>预期</w:t>
      </w:r>
      <w:r>
        <w:rPr>
          <w:rFonts w:ascii="Arial" w:hAnsi="Arial" w:eastAsia="宋体" w:cs="Arial"/>
          <w:lang w:eastAsia="zh-CN"/>
        </w:rPr>
        <w:t>治疗房颤的新型手术消融器械</w:t>
      </w:r>
      <w:r>
        <w:rPr>
          <w:rFonts w:hint="eastAsia" w:ascii="Arial" w:hAnsi="Arial" w:eastAsia="宋体" w:cs="Arial"/>
          <w:lang w:eastAsia="zh-CN"/>
        </w:rPr>
        <w:t>的</w:t>
      </w:r>
      <w:r>
        <w:rPr>
          <w:rFonts w:ascii="Arial" w:hAnsi="Arial" w:eastAsia="宋体" w:cs="Arial"/>
          <w:lang w:eastAsia="zh-CN"/>
        </w:rPr>
        <w:t>临床研究，以及寻求治疗房颤</w:t>
      </w:r>
      <w:r>
        <w:rPr>
          <w:rFonts w:hint="eastAsia" w:ascii="Arial" w:hAnsi="Arial" w:eastAsia="宋体" w:cs="Arial"/>
          <w:lang w:eastAsia="zh-CN"/>
        </w:rPr>
        <w:t>作为</w:t>
      </w:r>
      <w:r>
        <w:rPr>
          <w:rFonts w:ascii="Arial" w:hAnsi="Arial" w:eastAsia="宋体" w:cs="Arial"/>
          <w:lang w:eastAsia="zh-CN"/>
        </w:rPr>
        <w:t>新适应症的已合法上市的手术消融器械临床研究。</w:t>
      </w:r>
      <w:r>
        <w:rPr>
          <w:rFonts w:hint="eastAsia" w:ascii="Arial" w:hAnsi="Arial" w:eastAsia="宋体" w:cs="Arial"/>
          <w:lang w:eastAsia="zh-CN"/>
        </w:rPr>
        <w:t xml:space="preserve"> </w:t>
      </w:r>
    </w:p>
    <w:p w14:paraId="2DE3C052">
      <w:pPr>
        <w:snapToGrid w:val="0"/>
        <w:spacing w:before="3" w:line="300" w:lineRule="auto"/>
        <w:jc w:val="both"/>
        <w:rPr>
          <w:rFonts w:ascii="Arial" w:hAnsi="Arial" w:eastAsia="宋体" w:cs="Arial"/>
          <w:sz w:val="24"/>
          <w:szCs w:val="24"/>
          <w:lang w:eastAsia="zh-CN"/>
        </w:rPr>
      </w:pPr>
    </w:p>
    <w:p w14:paraId="46D7006C">
      <w:pPr>
        <w:pStyle w:val="5"/>
        <w:snapToGrid w:val="0"/>
        <w:spacing w:line="300" w:lineRule="auto"/>
        <w:ind w:left="279"/>
        <w:jc w:val="both"/>
        <w:rPr>
          <w:rFonts w:ascii="Arial" w:hAnsi="Arial" w:eastAsia="宋体" w:cs="Arial"/>
          <w:lang w:eastAsia="zh-CN"/>
        </w:rPr>
      </w:pPr>
      <w:r>
        <w:rPr>
          <w:rFonts w:ascii="Arial" w:hAnsi="Arial" w:eastAsia="宋体" w:cs="Arial"/>
          <w:lang w:eastAsia="zh-CN"/>
        </w:rPr>
        <w:t>房颤是一种复杂的心律失常，且其精确机制尚不清楚。目前的治疗方法的范围涉及无创性到高侵入性治疗，包括药物治疗和手术治疗。MAZE手术</w:t>
      </w:r>
      <w:r>
        <w:rPr>
          <w:rFonts w:ascii="Arial" w:hAnsi="Arial" w:eastAsia="宋体" w:cs="Arial"/>
          <w:vertAlign w:val="superscript"/>
          <w:lang w:eastAsia="zh-CN"/>
        </w:rPr>
        <w:t>1</w:t>
      </w:r>
      <w:r>
        <w:rPr>
          <w:rFonts w:ascii="Arial" w:hAnsi="Arial" w:eastAsia="宋体" w:cs="Arial"/>
          <w:lang w:eastAsia="zh-CN"/>
        </w:rPr>
        <w:t>及其后续手术的成功使得手术消融器械快速发展，其中，此类器械旨在以类似于缝线的方式标记心脏组织，从而破坏导致患者出现房颤的电脉冲的路径。</w:t>
      </w:r>
    </w:p>
    <w:p w14:paraId="579645BA">
      <w:pPr>
        <w:pStyle w:val="5"/>
        <w:snapToGrid w:val="0"/>
        <w:spacing w:line="300" w:lineRule="auto"/>
        <w:ind w:left="279"/>
        <w:jc w:val="both"/>
        <w:rPr>
          <w:rFonts w:ascii="Arial" w:hAnsi="Arial" w:eastAsia="宋体" w:cs="Arial"/>
          <w:lang w:eastAsia="zh-CN"/>
        </w:rPr>
      </w:pPr>
    </w:p>
    <w:p w14:paraId="2054A2E2">
      <w:pPr>
        <w:pStyle w:val="5"/>
        <w:snapToGrid w:val="0"/>
        <w:spacing w:line="300" w:lineRule="auto"/>
        <w:ind w:left="279"/>
        <w:jc w:val="both"/>
        <w:rPr>
          <w:rFonts w:ascii="Arial" w:hAnsi="Arial" w:eastAsia="宋体" w:cs="Arial"/>
          <w:lang w:eastAsia="zh-CN"/>
        </w:rPr>
      </w:pPr>
      <w:r>
        <w:rPr>
          <w:rFonts w:ascii="Arial" w:hAnsi="Arial" w:eastAsia="宋体" w:cs="Arial"/>
          <w:lang w:eastAsia="zh-CN"/>
        </w:rPr>
        <w:t>FDA认为，适当临床研究设计的若干重要元素（如入选和排除标准以及有效性评价）应因患有长期持续性房颤、持续性房颤和阵发性房颤（在第3节中定义）的受试者以及单独与同期手术而不同。本指南旨在</w:t>
      </w:r>
      <w:r>
        <w:rPr>
          <w:rFonts w:hint="eastAsia" w:ascii="Arial" w:hAnsi="Arial" w:eastAsia="宋体" w:cs="Arial"/>
          <w:lang w:eastAsia="zh-CN"/>
        </w:rPr>
        <w:t>说明</w:t>
      </w:r>
      <w:r>
        <w:rPr>
          <w:rFonts w:ascii="Arial" w:hAnsi="Arial" w:eastAsia="宋体" w:cs="Arial"/>
          <w:lang w:eastAsia="zh-CN"/>
        </w:rPr>
        <w:t>这些差异。</w:t>
      </w:r>
    </w:p>
    <w:p w14:paraId="4842BFD8">
      <w:pPr>
        <w:snapToGrid w:val="0"/>
        <w:spacing w:line="300" w:lineRule="auto"/>
        <w:jc w:val="both"/>
        <w:rPr>
          <w:rFonts w:ascii="Arial" w:hAnsi="Arial" w:eastAsia="宋体" w:cs="Arial"/>
          <w:sz w:val="24"/>
          <w:szCs w:val="24"/>
          <w:lang w:eastAsia="zh-CN"/>
        </w:rPr>
      </w:pPr>
    </w:p>
    <w:p w14:paraId="0DBEF1E0">
      <w:pPr>
        <w:snapToGrid w:val="0"/>
        <w:spacing w:line="300" w:lineRule="auto"/>
        <w:ind w:left="278"/>
        <w:jc w:val="both"/>
        <w:rPr>
          <w:rFonts w:ascii="Arial" w:hAnsi="Arial" w:eastAsia="宋体" w:cs="Arial"/>
          <w:sz w:val="24"/>
          <w:szCs w:val="24"/>
          <w:lang w:eastAsia="zh-CN"/>
        </w:rPr>
      </w:pPr>
      <w:r>
        <w:rPr>
          <w:rFonts w:ascii="Arial" w:hAnsi="Arial" w:eastAsia="宋体" w:cs="Arial"/>
          <w:lang w:eastAsia="zh-CN"/>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2108DC2D">
      <w:pPr>
        <w:snapToGrid w:val="0"/>
        <w:spacing w:before="5" w:line="300" w:lineRule="auto"/>
        <w:jc w:val="both"/>
        <w:rPr>
          <w:rFonts w:ascii="Arial" w:hAnsi="Arial" w:eastAsia="宋体" w:cs="Arial"/>
          <w:sz w:val="12"/>
          <w:szCs w:val="12"/>
          <w:lang w:eastAsia="zh-CN"/>
        </w:rPr>
      </w:pPr>
    </w:p>
    <w:p w14:paraId="62EB7054">
      <w:pPr>
        <w:snapToGrid w:val="0"/>
        <w:spacing w:line="300" w:lineRule="auto"/>
        <w:ind w:left="274"/>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10" name="Group 1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1" name="Group 12"/>
                        <wpg:cNvGrpSpPr/>
                        <wpg:grpSpPr>
                          <a:xfrm>
                            <a:off x="6" y="6"/>
                            <a:ext cx="2880" cy="2"/>
                            <a:chOff x="6" y="6"/>
                            <a:chExt cx="2880" cy="2"/>
                          </a:xfrm>
                        </wpg:grpSpPr>
                        <wps:wsp>
                          <wps:cNvPr id="12" name="Freeform 13"/>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CTxuhVGgMAAP4HAAAOAAAAAAAAAAEAIAAAACMBAABkcnMvZTJvRG9j&#10;LnhtbFBLBQYAAAAABgAGAFkBAACvBgAAAAA=&#10;">
                <o:lock v:ext="edit" aspectratio="f"/>
                <v:group id="Group 12" o:spid="_x0000_s1026" o:spt="203" style="position:absolute;left:6;top:6;height:2;width:2880;" coordorigin="6,6" coordsize="2880,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13" o:spid="_x0000_s1026" o:spt="100" style="position:absolute;left:6;top:6;height:2;width:2880;" filled="f" stroked="t" coordsize="2880,1" o:gfxdata="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Gk0b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6AC8EBC8">
      <w:pPr>
        <w:snapToGrid w:val="0"/>
        <w:spacing w:before="71" w:line="300" w:lineRule="auto"/>
        <w:ind w:left="280" w:hanging="1"/>
        <w:jc w:val="both"/>
        <w:rPr>
          <w:rFonts w:ascii="Arial" w:hAnsi="Arial" w:eastAsia="宋体" w:cs="Arial"/>
          <w:sz w:val="20"/>
          <w:szCs w:val="20"/>
          <w:lang w:eastAsia="zh-CN"/>
        </w:rPr>
      </w:pPr>
      <w:bookmarkStart w:id="2" w:name="_bookmark1"/>
      <w:bookmarkEnd w:id="2"/>
      <w:r>
        <w:rPr>
          <w:rFonts w:ascii="Arial" w:hAnsi="Arial" w:eastAsia="宋体" w:cs="Arial"/>
          <w:position w:val="9"/>
          <w:sz w:val="13"/>
          <w:szCs w:val="13"/>
        </w:rPr>
        <w:t xml:space="preserve">1 </w:t>
      </w:r>
      <w:r>
        <w:rPr>
          <w:rFonts w:ascii="Arial" w:hAnsi="Arial" w:eastAsia="宋体" w:cs="Arial"/>
          <w:sz w:val="20"/>
          <w:szCs w:val="20"/>
        </w:rPr>
        <w:t>Cox JL、Schuessler RB、d'Agostino Jr HJ</w:t>
      </w:r>
      <w:r>
        <w:rPr>
          <w:rFonts w:ascii="Arial" w:hAnsi="Arial" w:eastAsia="宋体" w:cs="Arial"/>
          <w:sz w:val="20"/>
          <w:szCs w:val="20"/>
          <w:lang w:eastAsia="zh-CN"/>
        </w:rPr>
        <w:t>等人</w:t>
      </w:r>
      <w:r>
        <w:rPr>
          <w:rFonts w:ascii="Arial" w:hAnsi="Arial" w:eastAsia="宋体" w:cs="Arial"/>
          <w:sz w:val="20"/>
          <w:szCs w:val="20"/>
        </w:rPr>
        <w:t>；房颤III</w:t>
      </w:r>
      <w:r>
        <w:rPr>
          <w:rFonts w:ascii="Arial" w:hAnsi="Arial" w:eastAsia="宋体" w:cs="Arial"/>
          <w:sz w:val="20"/>
          <w:szCs w:val="20"/>
          <w:lang w:eastAsia="zh-CN"/>
        </w:rPr>
        <w:t>的</w:t>
      </w:r>
      <w:r>
        <w:rPr>
          <w:rFonts w:ascii="Arial" w:hAnsi="Arial" w:eastAsia="宋体" w:cs="Arial"/>
          <w:sz w:val="20"/>
          <w:szCs w:val="20"/>
        </w:rPr>
        <w:t>手术治疗。确定</w:t>
      </w:r>
      <w:r>
        <w:rPr>
          <w:rFonts w:ascii="Arial" w:hAnsi="Arial" w:eastAsia="宋体" w:cs="Arial"/>
          <w:sz w:val="20"/>
          <w:szCs w:val="20"/>
          <w:lang w:eastAsia="zh-CN"/>
        </w:rPr>
        <w:t>性</w:t>
      </w:r>
      <w:r>
        <w:rPr>
          <w:rFonts w:ascii="Arial" w:hAnsi="Arial" w:eastAsia="宋体" w:cs="Arial"/>
          <w:sz w:val="20"/>
          <w:szCs w:val="20"/>
        </w:rPr>
        <w:t>手术的</w:t>
      </w:r>
      <w:r>
        <w:rPr>
          <w:rFonts w:ascii="Arial" w:hAnsi="Arial" w:eastAsia="宋体" w:cs="Arial"/>
          <w:sz w:val="20"/>
          <w:szCs w:val="20"/>
          <w:lang w:eastAsia="zh-CN"/>
        </w:rPr>
        <w:t>开发</w:t>
      </w:r>
      <w:r>
        <w:rPr>
          <w:rFonts w:ascii="Arial" w:hAnsi="Arial" w:eastAsia="宋体" w:cs="Arial"/>
          <w:sz w:val="20"/>
          <w:szCs w:val="20"/>
        </w:rPr>
        <w:t>。</w:t>
      </w:r>
      <w:r>
        <w:rPr>
          <w:rFonts w:ascii="Arial" w:hAnsi="Arial" w:eastAsia="宋体" w:cs="Arial"/>
          <w:color w:val="333333"/>
          <w:sz w:val="20"/>
          <w:szCs w:val="20"/>
          <w:shd w:val="clear" w:color="auto" w:fill="FFFFFF"/>
          <w:lang w:eastAsia="zh-CN"/>
        </w:rPr>
        <w:t>胸心血管外科杂志，</w:t>
      </w:r>
      <w:r>
        <w:rPr>
          <w:rFonts w:ascii="Arial" w:hAnsi="Arial" w:eastAsia="宋体" w:cs="Arial"/>
          <w:sz w:val="20"/>
          <w:szCs w:val="20"/>
          <w:lang w:eastAsia="zh-CN"/>
        </w:rPr>
        <w:t>1991年；101：569-583。</w:t>
      </w:r>
    </w:p>
    <w:p w14:paraId="132C1B95">
      <w:pPr>
        <w:snapToGrid w:val="0"/>
        <w:spacing w:line="300" w:lineRule="auto"/>
        <w:jc w:val="both"/>
        <w:rPr>
          <w:rFonts w:ascii="Arial" w:hAnsi="Arial" w:eastAsia="宋体" w:cs="Arial"/>
          <w:sz w:val="20"/>
          <w:szCs w:val="20"/>
          <w:lang w:eastAsia="zh-CN"/>
        </w:rPr>
        <w:sectPr>
          <w:footerReference r:id="rId4" w:type="default"/>
          <w:pgSz w:w="12240" w:h="15840"/>
          <w:pgMar w:top="1134" w:right="1134" w:bottom="1134" w:left="1134" w:header="748" w:footer="773" w:gutter="0"/>
          <w:pgNumType w:start="1"/>
          <w:cols w:space="720" w:num="1"/>
          <w:docGrid w:linePitch="299" w:charSpace="0"/>
        </w:sectPr>
      </w:pPr>
    </w:p>
    <w:p w14:paraId="2EFBBC8E">
      <w:pPr>
        <w:pStyle w:val="2"/>
        <w:numPr>
          <w:ilvl w:val="0"/>
          <w:numId w:val="1"/>
        </w:numPr>
        <w:tabs>
          <w:tab w:val="left" w:pos="600"/>
        </w:tabs>
        <w:snapToGrid w:val="0"/>
        <w:spacing w:line="300" w:lineRule="auto"/>
        <w:ind w:left="600"/>
        <w:jc w:val="both"/>
        <w:rPr>
          <w:rFonts w:ascii="Arial" w:hAnsi="Arial" w:eastAsia="宋体" w:cs="Arial"/>
          <w:bCs w:val="0"/>
        </w:rPr>
      </w:pPr>
      <w:bookmarkStart w:id="3" w:name="2._Scope"/>
      <w:bookmarkEnd w:id="3"/>
      <w:bookmarkStart w:id="4" w:name="_Toc481156286"/>
      <w:r>
        <w:rPr>
          <w:rFonts w:ascii="Arial" w:hAnsi="Arial" w:eastAsia="宋体" w:cs="Arial"/>
          <w:bCs w:val="0"/>
          <w:lang w:eastAsia="zh-CN"/>
        </w:rPr>
        <w:t>范围</w:t>
      </w:r>
      <w:bookmarkEnd w:id="4"/>
    </w:p>
    <w:p w14:paraId="1D17BE9F">
      <w:pPr>
        <w:pStyle w:val="5"/>
        <w:snapToGrid w:val="0"/>
        <w:spacing w:line="300" w:lineRule="auto"/>
        <w:ind w:left="240"/>
        <w:jc w:val="both"/>
        <w:rPr>
          <w:rFonts w:ascii="Arial" w:hAnsi="Arial" w:eastAsia="宋体" w:cs="Arial"/>
          <w:lang w:eastAsia="zh-CN"/>
        </w:rPr>
      </w:pPr>
      <w:r>
        <w:rPr>
          <w:rFonts w:ascii="Arial" w:hAnsi="Arial" w:eastAsia="宋体" w:cs="Arial"/>
          <w:lang w:eastAsia="zh-CN"/>
        </w:rPr>
        <w:t>本指导性文件涉及与直接可视化下进行手术消融来治疗房颤（一种节律失常）器械相关的临床研究设计问题。请参阅下述章节“</w:t>
      </w:r>
      <w:r>
        <w:rPr>
          <w:rFonts w:hint="eastAsia" w:ascii="Arial" w:hAnsi="Arial" w:eastAsia="宋体" w:cs="Arial"/>
          <w:lang w:eastAsia="zh-CN"/>
        </w:rPr>
        <w:t>术语</w:t>
      </w:r>
      <w:r>
        <w:rPr>
          <w:rFonts w:ascii="Arial" w:hAnsi="Arial" w:eastAsia="宋体" w:cs="Arial"/>
          <w:lang w:eastAsia="zh-CN"/>
        </w:rPr>
        <w:t>”来区分“</w:t>
      </w:r>
      <w:r>
        <w:rPr>
          <w:rFonts w:hint="eastAsia" w:ascii="Arial" w:hAnsi="Arial" w:eastAsia="宋体" w:cs="Arial"/>
          <w:lang w:eastAsia="zh-CN"/>
        </w:rPr>
        <w:t>房颤</w:t>
      </w:r>
      <w:r>
        <w:rPr>
          <w:rFonts w:ascii="Arial" w:hAnsi="Arial" w:eastAsia="宋体" w:cs="Arial"/>
          <w:lang w:eastAsia="zh-CN"/>
        </w:rPr>
        <w:t>—</w:t>
      </w:r>
      <w:r>
        <w:rPr>
          <w:rFonts w:hint="eastAsia" w:ascii="Arial" w:hAnsi="Arial" w:eastAsia="宋体" w:cs="Arial"/>
          <w:lang w:eastAsia="zh-CN"/>
        </w:rPr>
        <w:t>一种节律失常</w:t>
      </w:r>
      <w:r>
        <w:rPr>
          <w:rFonts w:ascii="Arial" w:hAnsi="Arial" w:eastAsia="宋体" w:cs="Arial"/>
          <w:lang w:eastAsia="zh-CN"/>
        </w:rPr>
        <w:t>”以及“</w:t>
      </w:r>
      <w:r>
        <w:rPr>
          <w:rFonts w:hint="eastAsia" w:ascii="Arial" w:hAnsi="Arial" w:eastAsia="宋体" w:cs="Arial"/>
          <w:lang w:eastAsia="zh-CN"/>
        </w:rPr>
        <w:t>房颤</w:t>
      </w:r>
      <w:r>
        <w:rPr>
          <w:rFonts w:ascii="Arial" w:hAnsi="Arial" w:eastAsia="宋体" w:cs="Arial"/>
          <w:lang w:eastAsia="zh-CN"/>
        </w:rPr>
        <w:t>—</w:t>
      </w:r>
      <w:r>
        <w:rPr>
          <w:rFonts w:hint="eastAsia" w:ascii="Arial" w:hAnsi="Arial" w:eastAsia="宋体" w:cs="Arial"/>
          <w:lang w:eastAsia="zh-CN"/>
        </w:rPr>
        <w:t>一种疾病</w:t>
      </w:r>
      <w:r>
        <w:rPr>
          <w:rFonts w:ascii="Arial" w:hAnsi="Arial" w:eastAsia="宋体" w:cs="Arial"/>
          <w:lang w:eastAsia="zh-CN"/>
        </w:rPr>
        <w:t>”。本指南的范围包括：</w:t>
      </w:r>
    </w:p>
    <w:p w14:paraId="60543EDE">
      <w:pPr>
        <w:pStyle w:val="5"/>
        <w:snapToGrid w:val="0"/>
        <w:spacing w:line="300" w:lineRule="auto"/>
        <w:ind w:left="240"/>
        <w:jc w:val="both"/>
        <w:rPr>
          <w:rFonts w:ascii="Arial" w:hAnsi="Arial" w:eastAsia="宋体" w:cs="Arial"/>
          <w:lang w:eastAsia="zh-CN"/>
        </w:rPr>
      </w:pPr>
    </w:p>
    <w:p w14:paraId="1D240EB7">
      <w:pPr>
        <w:pStyle w:val="5"/>
        <w:snapToGrid w:val="0"/>
        <w:spacing w:line="300" w:lineRule="auto"/>
        <w:ind w:left="240"/>
        <w:jc w:val="both"/>
        <w:rPr>
          <w:rFonts w:ascii="Arial" w:hAnsi="Arial" w:eastAsia="宋体" w:cs="Arial"/>
          <w:lang w:eastAsia="zh-CN"/>
        </w:rPr>
      </w:pPr>
      <w:r>
        <w:rPr>
          <w:rFonts w:ascii="Arial" w:hAnsi="Arial" w:eastAsia="宋体" w:cs="Arial"/>
          <w:lang w:eastAsia="zh-CN"/>
        </w:rPr>
        <w:t>产品代码OCM - 手术心脏消融器械，用于治疗房颤，III级</w:t>
      </w:r>
    </w:p>
    <w:p w14:paraId="14352AA8">
      <w:pPr>
        <w:pStyle w:val="5"/>
        <w:snapToGrid w:val="0"/>
        <w:spacing w:line="300" w:lineRule="auto"/>
        <w:ind w:left="240"/>
        <w:jc w:val="both"/>
        <w:rPr>
          <w:rFonts w:ascii="Arial" w:hAnsi="Arial" w:eastAsia="宋体" w:cs="Arial"/>
          <w:lang w:eastAsia="zh-CN"/>
        </w:rPr>
      </w:pPr>
    </w:p>
    <w:p w14:paraId="24589BD3">
      <w:pPr>
        <w:pStyle w:val="5"/>
        <w:snapToGrid w:val="0"/>
        <w:spacing w:line="300" w:lineRule="auto"/>
        <w:ind w:left="240"/>
        <w:jc w:val="both"/>
        <w:rPr>
          <w:rFonts w:ascii="Arial" w:hAnsi="Arial" w:eastAsia="宋体" w:cs="Arial"/>
          <w:lang w:eastAsia="zh-CN"/>
        </w:rPr>
      </w:pPr>
      <w:r>
        <w:rPr>
          <w:rFonts w:ascii="Arial" w:hAnsi="Arial" w:eastAsia="宋体" w:cs="Arial"/>
          <w:lang w:eastAsia="zh-CN"/>
        </w:rPr>
        <w:t>本指导性文件的范围明确排除了第3.A节所定义不适用于在直接可视化下使用的心脏消融器械以及需从血管内递送的心脏消融器械。</w:t>
      </w:r>
    </w:p>
    <w:p w14:paraId="78B50154">
      <w:pPr>
        <w:pStyle w:val="5"/>
        <w:snapToGrid w:val="0"/>
        <w:spacing w:line="300" w:lineRule="auto"/>
        <w:ind w:left="240"/>
        <w:jc w:val="both"/>
        <w:rPr>
          <w:rFonts w:ascii="Arial" w:hAnsi="Arial" w:eastAsia="宋体" w:cs="Arial"/>
          <w:lang w:eastAsia="zh-CN"/>
        </w:rPr>
      </w:pPr>
    </w:p>
    <w:p w14:paraId="09B2C2F7">
      <w:pPr>
        <w:pStyle w:val="5"/>
        <w:snapToGrid w:val="0"/>
        <w:spacing w:line="300" w:lineRule="auto"/>
        <w:ind w:left="240"/>
        <w:jc w:val="both"/>
        <w:rPr>
          <w:rFonts w:ascii="Arial" w:hAnsi="Arial" w:eastAsia="宋体" w:cs="Arial"/>
          <w:lang w:eastAsia="zh-CN"/>
        </w:rPr>
      </w:pPr>
      <w:r>
        <w:rPr>
          <w:rFonts w:ascii="Arial" w:hAnsi="Arial" w:eastAsia="宋体" w:cs="Arial"/>
          <w:lang w:eastAsia="zh-CN"/>
        </w:rPr>
        <w:t>下表列出了排除在本指南范围之外的其他器械类型，除非申办方试图扩展所列器械中某一种的适应症，以纳入“</w:t>
      </w:r>
      <w:r>
        <w:rPr>
          <w:rFonts w:hint="eastAsia" w:ascii="Arial" w:hAnsi="Arial" w:eastAsia="宋体" w:cs="Arial"/>
          <w:lang w:eastAsia="zh-CN"/>
        </w:rPr>
        <w:t>治疗房颤</w:t>
      </w:r>
      <w:r>
        <w:rPr>
          <w:rFonts w:ascii="Arial" w:hAnsi="Arial" w:eastAsia="宋体" w:cs="Arial"/>
          <w:lang w:eastAsia="zh-CN"/>
        </w:rPr>
        <w:t>”，在这种情况下，本指南适用于该拟定适应症。尽管此类器械可能已具有“</w:t>
      </w:r>
      <w:r>
        <w:rPr>
          <w:rFonts w:hint="eastAsia" w:ascii="Arial" w:hAnsi="Arial" w:eastAsia="宋体" w:cs="Arial"/>
          <w:lang w:eastAsia="zh-CN"/>
        </w:rPr>
        <w:t>消融心脏组织</w:t>
      </w:r>
      <w:r>
        <w:rPr>
          <w:rFonts w:ascii="Arial" w:hAnsi="Arial" w:eastAsia="宋体" w:cs="Arial"/>
          <w:lang w:eastAsia="zh-CN"/>
        </w:rPr>
        <w:t>”的许可适应症，但FDA指出，可能还未针对有关治疗作为节律失常的房颤的适应症对这些器械进行评价。</w:t>
      </w:r>
    </w:p>
    <w:p w14:paraId="7C7D11FA">
      <w:pPr>
        <w:snapToGrid w:val="0"/>
        <w:spacing w:before="7" w:line="300" w:lineRule="auto"/>
        <w:jc w:val="both"/>
        <w:rPr>
          <w:rFonts w:ascii="Arial" w:hAnsi="Arial" w:eastAsia="宋体" w:cs="Arial"/>
          <w:sz w:val="21"/>
          <w:szCs w:val="21"/>
          <w:lang w:eastAsia="zh-CN"/>
        </w:rPr>
      </w:pPr>
    </w:p>
    <w:tbl>
      <w:tblPr>
        <w:tblStyle w:val="15"/>
        <w:tblW w:w="0" w:type="auto"/>
        <w:tblInd w:w="110" w:type="dxa"/>
        <w:tblLayout w:type="fixed"/>
        <w:tblCellMar>
          <w:top w:w="0" w:type="dxa"/>
          <w:left w:w="0" w:type="dxa"/>
          <w:bottom w:w="0" w:type="dxa"/>
          <w:right w:w="0" w:type="dxa"/>
        </w:tblCellMar>
      </w:tblPr>
      <w:tblGrid>
        <w:gridCol w:w="1908"/>
        <w:gridCol w:w="900"/>
        <w:gridCol w:w="1440"/>
        <w:gridCol w:w="4591"/>
      </w:tblGrid>
      <w:tr w14:paraId="1ECD821E">
        <w:tblPrEx>
          <w:tblCellMar>
            <w:top w:w="0" w:type="dxa"/>
            <w:left w:w="0" w:type="dxa"/>
            <w:bottom w:w="0" w:type="dxa"/>
            <w:right w:w="0" w:type="dxa"/>
          </w:tblCellMar>
        </w:tblPrEx>
        <w:trPr>
          <w:trHeight w:val="996" w:hRule="exact"/>
        </w:trPr>
        <w:tc>
          <w:tcPr>
            <w:tcW w:w="1908" w:type="dxa"/>
            <w:tcBorders>
              <w:top w:val="single" w:color="000000" w:sz="12" w:space="0"/>
              <w:left w:val="single" w:color="000000" w:sz="16" w:space="0"/>
              <w:bottom w:val="single" w:color="000000" w:sz="12" w:space="0"/>
              <w:right w:val="single" w:color="000000" w:sz="12" w:space="0"/>
            </w:tcBorders>
          </w:tcPr>
          <w:p w14:paraId="0856F907">
            <w:pPr>
              <w:pStyle w:val="17"/>
              <w:snapToGrid w:val="0"/>
              <w:spacing w:line="300" w:lineRule="auto"/>
              <w:ind w:left="86"/>
              <w:jc w:val="both"/>
              <w:rPr>
                <w:rFonts w:ascii="Arial" w:hAnsi="Arial" w:eastAsia="宋体" w:cs="Arial"/>
                <w:b/>
                <w:sz w:val="28"/>
                <w:szCs w:val="28"/>
              </w:rPr>
            </w:pPr>
            <w:r>
              <w:rPr>
                <w:rFonts w:ascii="Arial" w:hAnsi="Arial" w:eastAsia="宋体" w:cs="Arial"/>
                <w:b/>
                <w:sz w:val="28"/>
                <w:lang w:eastAsia="zh-CN"/>
              </w:rPr>
              <w:t>分类法规</w:t>
            </w:r>
            <w:r>
              <w:rPr>
                <w:rFonts w:ascii="Arial" w:hAnsi="Arial" w:eastAsia="宋体" w:cs="Arial"/>
                <w:b/>
                <w:sz w:val="28"/>
              </w:rPr>
              <w:t>（21</w:t>
            </w:r>
            <w:r>
              <w:rPr>
                <w:rFonts w:ascii="Arial" w:hAnsi="Arial" w:eastAsia="宋体" w:cs="Arial"/>
                <w:b/>
                <w:spacing w:val="-5"/>
                <w:sz w:val="28"/>
              </w:rPr>
              <w:t xml:space="preserve"> </w:t>
            </w:r>
            <w:r>
              <w:rPr>
                <w:rFonts w:ascii="Arial" w:hAnsi="Arial" w:eastAsia="宋体" w:cs="Arial"/>
                <w:b/>
                <w:sz w:val="28"/>
              </w:rPr>
              <w:t>CFR）</w:t>
            </w:r>
          </w:p>
        </w:tc>
        <w:tc>
          <w:tcPr>
            <w:tcW w:w="900" w:type="dxa"/>
            <w:tcBorders>
              <w:top w:val="single" w:color="000000" w:sz="12" w:space="0"/>
              <w:left w:val="single" w:color="000000" w:sz="12" w:space="0"/>
              <w:bottom w:val="single" w:color="000000" w:sz="12" w:space="0"/>
              <w:right w:val="single" w:color="000000" w:sz="12" w:space="0"/>
            </w:tcBorders>
          </w:tcPr>
          <w:p w14:paraId="4FA9547F">
            <w:pPr>
              <w:pStyle w:val="17"/>
              <w:snapToGrid w:val="0"/>
              <w:spacing w:line="300" w:lineRule="auto"/>
              <w:jc w:val="both"/>
              <w:rPr>
                <w:rFonts w:ascii="Arial" w:hAnsi="Arial" w:eastAsia="宋体" w:cs="Arial"/>
                <w:b/>
                <w:sz w:val="28"/>
                <w:szCs w:val="28"/>
              </w:rPr>
            </w:pPr>
            <w:r>
              <w:rPr>
                <w:rFonts w:hint="eastAsia" w:ascii="Arial" w:hAnsi="Arial" w:eastAsia="宋体" w:cs="Arial"/>
                <w:b/>
                <w:sz w:val="28"/>
                <w:szCs w:val="28"/>
                <w:lang w:eastAsia="zh-CN"/>
              </w:rPr>
              <w:t>分类</w:t>
            </w:r>
          </w:p>
        </w:tc>
        <w:tc>
          <w:tcPr>
            <w:tcW w:w="1440" w:type="dxa"/>
            <w:tcBorders>
              <w:top w:val="single" w:color="000000" w:sz="12" w:space="0"/>
              <w:left w:val="single" w:color="000000" w:sz="12" w:space="0"/>
              <w:bottom w:val="single" w:color="000000" w:sz="12" w:space="0"/>
              <w:right w:val="single" w:color="000000" w:sz="12" w:space="0"/>
            </w:tcBorders>
          </w:tcPr>
          <w:p w14:paraId="44063669">
            <w:pPr>
              <w:pStyle w:val="17"/>
              <w:snapToGrid w:val="0"/>
              <w:spacing w:line="300" w:lineRule="auto"/>
              <w:ind w:left="93"/>
              <w:jc w:val="both"/>
              <w:rPr>
                <w:rFonts w:ascii="Arial" w:hAnsi="Arial" w:eastAsia="宋体" w:cs="Arial"/>
                <w:b/>
                <w:sz w:val="28"/>
                <w:szCs w:val="28"/>
              </w:rPr>
            </w:pPr>
            <w:r>
              <w:rPr>
                <w:rFonts w:ascii="Arial" w:hAnsi="Arial" w:eastAsia="宋体" w:cs="Arial"/>
                <w:b/>
                <w:sz w:val="28"/>
                <w:szCs w:val="28"/>
                <w:lang w:eastAsia="zh-CN"/>
              </w:rPr>
              <w:t>产品代码</w:t>
            </w:r>
          </w:p>
        </w:tc>
        <w:tc>
          <w:tcPr>
            <w:tcW w:w="4591" w:type="dxa"/>
            <w:tcBorders>
              <w:top w:val="single" w:color="000000" w:sz="12" w:space="0"/>
              <w:left w:val="single" w:color="000000" w:sz="12" w:space="0"/>
              <w:bottom w:val="single" w:color="000000" w:sz="12" w:space="0"/>
              <w:right w:val="single" w:color="000000" w:sz="16" w:space="0"/>
            </w:tcBorders>
          </w:tcPr>
          <w:p w14:paraId="7DAEE802">
            <w:pPr>
              <w:pStyle w:val="17"/>
              <w:snapToGrid w:val="0"/>
              <w:spacing w:line="300" w:lineRule="auto"/>
              <w:ind w:left="93"/>
              <w:jc w:val="both"/>
              <w:rPr>
                <w:rFonts w:ascii="Arial" w:hAnsi="Arial" w:eastAsia="宋体" w:cs="Arial"/>
                <w:b/>
                <w:sz w:val="28"/>
                <w:szCs w:val="28"/>
              </w:rPr>
            </w:pPr>
            <w:r>
              <w:rPr>
                <w:rFonts w:ascii="Arial" w:hAnsi="Arial" w:eastAsia="宋体" w:cs="Arial"/>
                <w:b/>
                <w:sz w:val="28"/>
                <w:szCs w:val="28"/>
                <w:lang w:eastAsia="zh-CN"/>
              </w:rPr>
              <w:t>说明</w:t>
            </w:r>
          </w:p>
        </w:tc>
      </w:tr>
      <w:tr w14:paraId="61D261FC">
        <w:tblPrEx>
          <w:tblCellMar>
            <w:top w:w="0" w:type="dxa"/>
            <w:left w:w="0" w:type="dxa"/>
            <w:bottom w:w="0" w:type="dxa"/>
            <w:right w:w="0" w:type="dxa"/>
          </w:tblCellMar>
        </w:tblPrEx>
        <w:trPr>
          <w:trHeight w:val="295" w:hRule="exact"/>
        </w:trPr>
        <w:tc>
          <w:tcPr>
            <w:tcW w:w="1908" w:type="dxa"/>
            <w:tcBorders>
              <w:top w:val="single" w:color="000000" w:sz="12" w:space="0"/>
              <w:left w:val="single" w:color="000000" w:sz="16" w:space="0"/>
              <w:bottom w:val="single" w:color="000000" w:sz="2" w:space="0"/>
              <w:right w:val="single" w:color="000000" w:sz="12" w:space="0"/>
            </w:tcBorders>
          </w:tcPr>
          <w:p w14:paraId="064567E8">
            <w:pPr>
              <w:pStyle w:val="17"/>
              <w:snapToGrid w:val="0"/>
              <w:spacing w:line="300" w:lineRule="auto"/>
              <w:ind w:left="86"/>
              <w:jc w:val="both"/>
              <w:rPr>
                <w:rFonts w:ascii="Arial" w:hAnsi="Arial" w:eastAsia="宋体" w:cs="Arial"/>
                <w:sz w:val="24"/>
                <w:szCs w:val="24"/>
              </w:rPr>
            </w:pPr>
            <w:r>
              <w:rPr>
                <w:rFonts w:ascii="Arial" w:hAnsi="Arial" w:eastAsia="宋体" w:cs="Arial"/>
                <w:sz w:val="24"/>
              </w:rPr>
              <w:t>878.4350</w:t>
            </w:r>
          </w:p>
        </w:tc>
        <w:tc>
          <w:tcPr>
            <w:tcW w:w="900" w:type="dxa"/>
            <w:tcBorders>
              <w:top w:val="single" w:color="000000" w:sz="12" w:space="0"/>
              <w:left w:val="single" w:color="000000" w:sz="12" w:space="0"/>
              <w:bottom w:val="single" w:color="000000" w:sz="2" w:space="0"/>
              <w:right w:val="single" w:color="000000" w:sz="12" w:space="0"/>
            </w:tcBorders>
          </w:tcPr>
          <w:p w14:paraId="22580D40">
            <w:pPr>
              <w:pStyle w:val="17"/>
              <w:snapToGrid w:val="0"/>
              <w:spacing w:line="300" w:lineRule="auto"/>
              <w:jc w:val="both"/>
              <w:rPr>
                <w:rFonts w:ascii="Arial" w:hAnsi="Arial" w:eastAsia="宋体" w:cs="Arial"/>
                <w:sz w:val="24"/>
                <w:szCs w:val="24"/>
              </w:rPr>
            </w:pPr>
            <w:r>
              <w:rPr>
                <w:rFonts w:ascii="Arial" w:hAnsi="Arial" w:eastAsia="宋体" w:cs="Arial"/>
                <w:sz w:val="24"/>
              </w:rPr>
              <w:t>II</w:t>
            </w:r>
          </w:p>
        </w:tc>
        <w:tc>
          <w:tcPr>
            <w:tcW w:w="1440" w:type="dxa"/>
            <w:tcBorders>
              <w:top w:val="single" w:color="000000" w:sz="12" w:space="0"/>
              <w:left w:val="single" w:color="000000" w:sz="12" w:space="0"/>
              <w:bottom w:val="single" w:color="000000" w:sz="2" w:space="0"/>
              <w:right w:val="single" w:color="000000" w:sz="12" w:space="0"/>
            </w:tcBorders>
          </w:tcPr>
          <w:p w14:paraId="0C995EC2">
            <w:pPr>
              <w:pStyle w:val="17"/>
              <w:snapToGrid w:val="0"/>
              <w:spacing w:line="300" w:lineRule="auto"/>
              <w:jc w:val="both"/>
              <w:rPr>
                <w:rFonts w:ascii="Arial" w:hAnsi="Arial" w:eastAsia="宋体" w:cs="Arial"/>
                <w:sz w:val="24"/>
                <w:szCs w:val="24"/>
              </w:rPr>
            </w:pPr>
            <w:r>
              <w:rPr>
                <w:rFonts w:ascii="Arial" w:hAnsi="Arial" w:eastAsia="宋体" w:cs="Arial"/>
                <w:spacing w:val="-1"/>
                <w:sz w:val="24"/>
              </w:rPr>
              <w:t>GEH</w:t>
            </w:r>
          </w:p>
        </w:tc>
        <w:tc>
          <w:tcPr>
            <w:tcW w:w="4591" w:type="dxa"/>
            <w:tcBorders>
              <w:top w:val="single" w:color="000000" w:sz="12" w:space="0"/>
              <w:left w:val="single" w:color="000000" w:sz="12" w:space="0"/>
              <w:bottom w:val="single" w:color="000000" w:sz="2" w:space="0"/>
              <w:right w:val="single" w:color="000000" w:sz="16" w:space="0"/>
            </w:tcBorders>
          </w:tcPr>
          <w:p w14:paraId="091B294C">
            <w:pPr>
              <w:snapToGrid w:val="0"/>
              <w:spacing w:line="300" w:lineRule="auto"/>
              <w:jc w:val="both"/>
              <w:rPr>
                <w:rFonts w:ascii="Arial" w:hAnsi="Arial" w:eastAsia="宋体" w:cs="Arial"/>
              </w:rPr>
            </w:pPr>
            <w:r>
              <w:rPr>
                <w:rFonts w:ascii="Arial" w:hAnsi="Arial" w:eastAsia="宋体" w:cs="Arial"/>
              </w:rPr>
              <w:t>冷冻外科</w:t>
            </w:r>
            <w:r>
              <w:rPr>
                <w:rFonts w:ascii="Arial" w:hAnsi="Arial" w:eastAsia="宋体" w:cs="Arial"/>
                <w:lang w:eastAsia="zh-CN"/>
              </w:rPr>
              <w:t>装置</w:t>
            </w:r>
            <w:r>
              <w:rPr>
                <w:rFonts w:ascii="Arial" w:hAnsi="Arial" w:eastAsia="宋体" w:cs="Arial"/>
              </w:rPr>
              <w:t>及附件</w:t>
            </w:r>
          </w:p>
        </w:tc>
      </w:tr>
      <w:tr w14:paraId="3E0D3845">
        <w:tblPrEx>
          <w:tblCellMar>
            <w:top w:w="0" w:type="dxa"/>
            <w:left w:w="0" w:type="dxa"/>
            <w:bottom w:w="0" w:type="dxa"/>
            <w:right w:w="0" w:type="dxa"/>
          </w:tblCellMar>
        </w:tblPrEx>
        <w:trPr>
          <w:trHeight w:val="559" w:hRule="exact"/>
        </w:trPr>
        <w:tc>
          <w:tcPr>
            <w:tcW w:w="1908" w:type="dxa"/>
            <w:vMerge w:val="restart"/>
            <w:tcBorders>
              <w:top w:val="single" w:color="000000" w:sz="2" w:space="0"/>
              <w:left w:val="single" w:color="000000" w:sz="16" w:space="0"/>
              <w:right w:val="single" w:color="000000" w:sz="12" w:space="0"/>
            </w:tcBorders>
          </w:tcPr>
          <w:p w14:paraId="0EF0C98F">
            <w:pPr>
              <w:pStyle w:val="17"/>
              <w:snapToGrid w:val="0"/>
              <w:spacing w:line="300" w:lineRule="auto"/>
              <w:ind w:left="86"/>
              <w:jc w:val="both"/>
              <w:rPr>
                <w:rFonts w:ascii="Arial" w:hAnsi="Arial" w:eastAsia="宋体" w:cs="Arial"/>
                <w:sz w:val="24"/>
                <w:szCs w:val="24"/>
              </w:rPr>
            </w:pPr>
            <w:r>
              <w:rPr>
                <w:rFonts w:ascii="Arial" w:hAnsi="Arial" w:eastAsia="宋体" w:cs="Arial"/>
                <w:sz w:val="24"/>
              </w:rPr>
              <w:t>878.4400</w:t>
            </w:r>
          </w:p>
        </w:tc>
        <w:tc>
          <w:tcPr>
            <w:tcW w:w="900" w:type="dxa"/>
            <w:vMerge w:val="restart"/>
            <w:tcBorders>
              <w:top w:val="single" w:color="000000" w:sz="2" w:space="0"/>
              <w:left w:val="single" w:color="000000" w:sz="12" w:space="0"/>
              <w:right w:val="single" w:color="000000" w:sz="12" w:space="0"/>
            </w:tcBorders>
          </w:tcPr>
          <w:p w14:paraId="34DE905B">
            <w:pPr>
              <w:pStyle w:val="17"/>
              <w:snapToGrid w:val="0"/>
              <w:spacing w:line="300" w:lineRule="auto"/>
              <w:jc w:val="both"/>
              <w:rPr>
                <w:rFonts w:ascii="Arial" w:hAnsi="Arial" w:eastAsia="宋体" w:cs="Arial"/>
                <w:sz w:val="24"/>
                <w:szCs w:val="24"/>
              </w:rPr>
            </w:pPr>
            <w:r>
              <w:rPr>
                <w:rFonts w:ascii="Arial" w:hAnsi="Arial" w:eastAsia="宋体" w:cs="Arial"/>
                <w:sz w:val="24"/>
              </w:rPr>
              <w:t>II</w:t>
            </w:r>
          </w:p>
        </w:tc>
        <w:tc>
          <w:tcPr>
            <w:tcW w:w="1440" w:type="dxa"/>
            <w:tcBorders>
              <w:top w:val="single" w:color="000000" w:sz="2" w:space="0"/>
              <w:left w:val="single" w:color="000000" w:sz="12" w:space="0"/>
              <w:bottom w:val="single" w:color="000000" w:sz="2" w:space="0"/>
              <w:right w:val="single" w:color="000000" w:sz="12" w:space="0"/>
            </w:tcBorders>
          </w:tcPr>
          <w:p w14:paraId="638718E2">
            <w:pPr>
              <w:pStyle w:val="17"/>
              <w:snapToGrid w:val="0"/>
              <w:spacing w:line="300" w:lineRule="auto"/>
              <w:jc w:val="both"/>
              <w:rPr>
                <w:rFonts w:ascii="Arial" w:hAnsi="Arial" w:eastAsia="宋体" w:cs="Arial"/>
                <w:sz w:val="24"/>
                <w:szCs w:val="24"/>
              </w:rPr>
            </w:pPr>
            <w:r>
              <w:rPr>
                <w:rFonts w:ascii="Arial" w:hAnsi="Arial" w:eastAsia="宋体" w:cs="Arial"/>
                <w:sz w:val="24"/>
              </w:rPr>
              <w:t>GEI</w:t>
            </w:r>
          </w:p>
        </w:tc>
        <w:tc>
          <w:tcPr>
            <w:tcW w:w="4591" w:type="dxa"/>
            <w:tcBorders>
              <w:top w:val="single" w:color="000000" w:sz="2" w:space="0"/>
              <w:left w:val="single" w:color="000000" w:sz="12" w:space="0"/>
              <w:bottom w:val="single" w:color="000000" w:sz="4" w:space="0"/>
              <w:right w:val="single" w:color="000000" w:sz="16" w:space="0"/>
            </w:tcBorders>
          </w:tcPr>
          <w:p w14:paraId="2031735D">
            <w:pPr>
              <w:snapToGrid w:val="0"/>
              <w:spacing w:line="300" w:lineRule="auto"/>
              <w:jc w:val="both"/>
              <w:rPr>
                <w:rFonts w:ascii="Arial" w:hAnsi="Arial" w:eastAsia="宋体" w:cs="Arial"/>
                <w:lang w:eastAsia="zh-CN"/>
              </w:rPr>
            </w:pPr>
            <w:r>
              <w:rPr>
                <w:rFonts w:ascii="Arial" w:hAnsi="Arial" w:eastAsia="宋体" w:cs="Arial"/>
                <w:lang w:eastAsia="zh-CN"/>
              </w:rPr>
              <w:t>电外科切割和电凝器械及附件</w:t>
            </w:r>
          </w:p>
        </w:tc>
      </w:tr>
      <w:tr w14:paraId="7A649496">
        <w:tblPrEx>
          <w:tblCellMar>
            <w:top w:w="0" w:type="dxa"/>
            <w:left w:w="0" w:type="dxa"/>
            <w:bottom w:w="0" w:type="dxa"/>
            <w:right w:w="0" w:type="dxa"/>
          </w:tblCellMar>
        </w:tblPrEx>
        <w:trPr>
          <w:trHeight w:val="286" w:hRule="exact"/>
        </w:trPr>
        <w:tc>
          <w:tcPr>
            <w:tcW w:w="1908" w:type="dxa"/>
            <w:vMerge w:val="continue"/>
            <w:tcBorders>
              <w:left w:val="single" w:color="000000" w:sz="16" w:space="0"/>
              <w:right w:val="single" w:color="000000" w:sz="12" w:space="0"/>
            </w:tcBorders>
          </w:tcPr>
          <w:p w14:paraId="711EB70D">
            <w:pPr>
              <w:snapToGrid w:val="0"/>
              <w:spacing w:line="300" w:lineRule="auto"/>
              <w:jc w:val="both"/>
              <w:rPr>
                <w:rFonts w:ascii="Arial" w:hAnsi="Arial" w:eastAsia="宋体" w:cs="Arial"/>
                <w:lang w:eastAsia="zh-CN"/>
              </w:rPr>
            </w:pPr>
          </w:p>
        </w:tc>
        <w:tc>
          <w:tcPr>
            <w:tcW w:w="900" w:type="dxa"/>
            <w:vMerge w:val="continue"/>
            <w:tcBorders>
              <w:left w:val="single" w:color="000000" w:sz="12" w:space="0"/>
              <w:right w:val="single" w:color="000000" w:sz="12" w:space="0"/>
            </w:tcBorders>
          </w:tcPr>
          <w:p w14:paraId="0AFA467D">
            <w:pPr>
              <w:snapToGrid w:val="0"/>
              <w:spacing w:line="300" w:lineRule="auto"/>
              <w:jc w:val="both"/>
              <w:rPr>
                <w:rFonts w:ascii="Arial" w:hAnsi="Arial" w:eastAsia="宋体" w:cs="Arial"/>
                <w:lang w:eastAsia="zh-CN"/>
              </w:rPr>
            </w:pPr>
          </w:p>
        </w:tc>
        <w:tc>
          <w:tcPr>
            <w:tcW w:w="1440" w:type="dxa"/>
            <w:tcBorders>
              <w:top w:val="single" w:color="000000" w:sz="2" w:space="0"/>
              <w:left w:val="single" w:color="000000" w:sz="12" w:space="0"/>
              <w:bottom w:val="single" w:color="000000" w:sz="2" w:space="0"/>
              <w:right w:val="single" w:color="000000" w:sz="12" w:space="0"/>
            </w:tcBorders>
          </w:tcPr>
          <w:p w14:paraId="7D2334D4">
            <w:pPr>
              <w:pStyle w:val="17"/>
              <w:snapToGrid w:val="0"/>
              <w:spacing w:line="300" w:lineRule="auto"/>
              <w:jc w:val="both"/>
              <w:rPr>
                <w:rFonts w:ascii="Arial" w:hAnsi="Arial" w:eastAsia="宋体" w:cs="Arial"/>
                <w:sz w:val="24"/>
                <w:szCs w:val="24"/>
              </w:rPr>
            </w:pPr>
            <w:r>
              <w:rPr>
                <w:rFonts w:ascii="Arial" w:hAnsi="Arial" w:eastAsia="宋体" w:cs="Arial"/>
                <w:spacing w:val="-1"/>
                <w:sz w:val="24"/>
              </w:rPr>
              <w:t>NEY</w:t>
            </w:r>
          </w:p>
        </w:tc>
        <w:tc>
          <w:tcPr>
            <w:tcW w:w="4591" w:type="dxa"/>
            <w:tcBorders>
              <w:top w:val="single" w:color="000000" w:sz="4" w:space="0"/>
              <w:left w:val="single" w:color="000000" w:sz="12" w:space="0"/>
              <w:bottom w:val="single" w:color="000000" w:sz="4" w:space="0"/>
              <w:right w:val="single" w:color="000000" w:sz="16" w:space="0"/>
            </w:tcBorders>
          </w:tcPr>
          <w:p w14:paraId="69052FC2">
            <w:pPr>
              <w:snapToGrid w:val="0"/>
              <w:spacing w:line="300" w:lineRule="auto"/>
              <w:jc w:val="both"/>
              <w:rPr>
                <w:rFonts w:ascii="Arial" w:hAnsi="Arial" w:eastAsia="宋体" w:cs="Arial"/>
              </w:rPr>
            </w:pPr>
            <w:r>
              <w:rPr>
                <w:rFonts w:ascii="Arial" w:hAnsi="Arial" w:eastAsia="宋体" w:cs="Arial"/>
              </w:rPr>
              <w:t>微波消融系统及附件</w:t>
            </w:r>
          </w:p>
        </w:tc>
      </w:tr>
      <w:tr w14:paraId="16F39DB8">
        <w:tblPrEx>
          <w:tblCellMar>
            <w:top w:w="0" w:type="dxa"/>
            <w:left w:w="0" w:type="dxa"/>
            <w:bottom w:w="0" w:type="dxa"/>
            <w:right w:w="0" w:type="dxa"/>
          </w:tblCellMar>
        </w:tblPrEx>
        <w:trPr>
          <w:trHeight w:val="286" w:hRule="exact"/>
        </w:trPr>
        <w:tc>
          <w:tcPr>
            <w:tcW w:w="1908" w:type="dxa"/>
            <w:vMerge w:val="continue"/>
            <w:tcBorders>
              <w:left w:val="single" w:color="000000" w:sz="16" w:space="0"/>
              <w:right w:val="single" w:color="000000" w:sz="12" w:space="0"/>
            </w:tcBorders>
          </w:tcPr>
          <w:p w14:paraId="082B3D22">
            <w:pPr>
              <w:snapToGrid w:val="0"/>
              <w:spacing w:line="300" w:lineRule="auto"/>
              <w:jc w:val="both"/>
              <w:rPr>
                <w:rFonts w:ascii="Arial" w:hAnsi="Arial" w:eastAsia="宋体" w:cs="Arial"/>
              </w:rPr>
            </w:pPr>
          </w:p>
        </w:tc>
        <w:tc>
          <w:tcPr>
            <w:tcW w:w="900" w:type="dxa"/>
            <w:vMerge w:val="continue"/>
            <w:tcBorders>
              <w:left w:val="single" w:color="000000" w:sz="12" w:space="0"/>
              <w:right w:val="single" w:color="000000" w:sz="12" w:space="0"/>
            </w:tcBorders>
          </w:tcPr>
          <w:p w14:paraId="2559BE0D">
            <w:pPr>
              <w:snapToGrid w:val="0"/>
              <w:spacing w:line="300" w:lineRule="auto"/>
              <w:jc w:val="both"/>
              <w:rPr>
                <w:rFonts w:ascii="Arial" w:hAnsi="Arial" w:eastAsia="宋体" w:cs="Arial"/>
              </w:rPr>
            </w:pPr>
          </w:p>
        </w:tc>
        <w:tc>
          <w:tcPr>
            <w:tcW w:w="1440" w:type="dxa"/>
            <w:tcBorders>
              <w:top w:val="single" w:color="000000" w:sz="2" w:space="0"/>
              <w:left w:val="single" w:color="000000" w:sz="12" w:space="0"/>
              <w:bottom w:val="single" w:color="000000" w:sz="2" w:space="0"/>
              <w:right w:val="single" w:color="000000" w:sz="12" w:space="0"/>
            </w:tcBorders>
          </w:tcPr>
          <w:p w14:paraId="7AD76335">
            <w:pPr>
              <w:pStyle w:val="17"/>
              <w:snapToGrid w:val="0"/>
              <w:spacing w:line="300" w:lineRule="auto"/>
              <w:jc w:val="both"/>
              <w:rPr>
                <w:rFonts w:ascii="Arial" w:hAnsi="Arial" w:eastAsia="宋体" w:cs="Arial"/>
                <w:sz w:val="24"/>
                <w:szCs w:val="24"/>
              </w:rPr>
            </w:pPr>
            <w:r>
              <w:rPr>
                <w:rFonts w:ascii="Arial" w:hAnsi="Arial" w:eastAsia="宋体" w:cs="Arial"/>
                <w:spacing w:val="-1"/>
                <w:sz w:val="24"/>
              </w:rPr>
              <w:t>NTB</w:t>
            </w:r>
          </w:p>
        </w:tc>
        <w:tc>
          <w:tcPr>
            <w:tcW w:w="4591" w:type="dxa"/>
            <w:tcBorders>
              <w:top w:val="single" w:color="000000" w:sz="4" w:space="0"/>
              <w:left w:val="single" w:color="000000" w:sz="12" w:space="0"/>
              <w:bottom w:val="single" w:color="000000" w:sz="4" w:space="0"/>
              <w:right w:val="single" w:color="000000" w:sz="16" w:space="0"/>
            </w:tcBorders>
          </w:tcPr>
          <w:p w14:paraId="1C0F733C">
            <w:pPr>
              <w:snapToGrid w:val="0"/>
              <w:spacing w:line="300" w:lineRule="auto"/>
              <w:jc w:val="both"/>
              <w:rPr>
                <w:rFonts w:ascii="Arial" w:hAnsi="Arial" w:eastAsia="宋体" w:cs="Arial"/>
              </w:rPr>
            </w:pPr>
            <w:r>
              <w:rPr>
                <w:rFonts w:ascii="Arial" w:hAnsi="Arial" w:eastAsia="宋体" w:cs="Arial"/>
              </w:rPr>
              <w:t>超声消融系统及附件</w:t>
            </w:r>
          </w:p>
        </w:tc>
      </w:tr>
      <w:tr w14:paraId="0D89E532">
        <w:tblPrEx>
          <w:tblCellMar>
            <w:top w:w="0" w:type="dxa"/>
            <w:left w:w="0" w:type="dxa"/>
            <w:bottom w:w="0" w:type="dxa"/>
            <w:right w:w="0" w:type="dxa"/>
          </w:tblCellMar>
        </w:tblPrEx>
        <w:trPr>
          <w:trHeight w:val="562" w:hRule="exact"/>
        </w:trPr>
        <w:tc>
          <w:tcPr>
            <w:tcW w:w="1908" w:type="dxa"/>
            <w:vMerge w:val="continue"/>
            <w:tcBorders>
              <w:left w:val="single" w:color="000000" w:sz="16" w:space="0"/>
              <w:right w:val="single" w:color="000000" w:sz="12" w:space="0"/>
            </w:tcBorders>
          </w:tcPr>
          <w:p w14:paraId="71AE6414">
            <w:pPr>
              <w:snapToGrid w:val="0"/>
              <w:spacing w:line="300" w:lineRule="auto"/>
              <w:jc w:val="both"/>
              <w:rPr>
                <w:rFonts w:ascii="Arial" w:hAnsi="Arial" w:eastAsia="宋体" w:cs="Arial"/>
              </w:rPr>
            </w:pPr>
          </w:p>
        </w:tc>
        <w:tc>
          <w:tcPr>
            <w:tcW w:w="900" w:type="dxa"/>
            <w:vMerge w:val="continue"/>
            <w:tcBorders>
              <w:left w:val="single" w:color="000000" w:sz="12" w:space="0"/>
              <w:right w:val="single" w:color="000000" w:sz="12" w:space="0"/>
            </w:tcBorders>
          </w:tcPr>
          <w:p w14:paraId="54C1DC46">
            <w:pPr>
              <w:snapToGrid w:val="0"/>
              <w:spacing w:line="300" w:lineRule="auto"/>
              <w:jc w:val="both"/>
              <w:rPr>
                <w:rFonts w:ascii="Arial" w:hAnsi="Arial" w:eastAsia="宋体" w:cs="Arial"/>
              </w:rPr>
            </w:pPr>
          </w:p>
        </w:tc>
        <w:tc>
          <w:tcPr>
            <w:tcW w:w="1440" w:type="dxa"/>
            <w:tcBorders>
              <w:top w:val="single" w:color="000000" w:sz="2" w:space="0"/>
              <w:left w:val="single" w:color="000000" w:sz="12" w:space="0"/>
              <w:bottom w:val="single" w:color="000000" w:sz="2" w:space="0"/>
              <w:right w:val="single" w:color="000000" w:sz="12" w:space="0"/>
            </w:tcBorders>
          </w:tcPr>
          <w:p w14:paraId="140E109F">
            <w:pPr>
              <w:pStyle w:val="17"/>
              <w:snapToGrid w:val="0"/>
              <w:spacing w:line="300" w:lineRule="auto"/>
              <w:jc w:val="both"/>
              <w:rPr>
                <w:rFonts w:ascii="Arial" w:hAnsi="Arial" w:eastAsia="宋体" w:cs="Arial"/>
                <w:sz w:val="24"/>
                <w:szCs w:val="24"/>
              </w:rPr>
            </w:pPr>
            <w:r>
              <w:rPr>
                <w:rFonts w:ascii="Arial" w:hAnsi="Arial" w:eastAsia="宋体" w:cs="Arial"/>
                <w:spacing w:val="-1"/>
                <w:w w:val="95"/>
                <w:sz w:val="24"/>
              </w:rPr>
              <w:t>OAB</w:t>
            </w:r>
          </w:p>
        </w:tc>
        <w:tc>
          <w:tcPr>
            <w:tcW w:w="4591" w:type="dxa"/>
            <w:tcBorders>
              <w:top w:val="single" w:color="000000" w:sz="4" w:space="0"/>
              <w:left w:val="single" w:color="000000" w:sz="12" w:space="0"/>
              <w:bottom w:val="single" w:color="000000" w:sz="4" w:space="0"/>
              <w:right w:val="single" w:color="000000" w:sz="16" w:space="0"/>
            </w:tcBorders>
          </w:tcPr>
          <w:p w14:paraId="2B30B3A7">
            <w:pPr>
              <w:snapToGrid w:val="0"/>
              <w:spacing w:line="300" w:lineRule="auto"/>
              <w:jc w:val="both"/>
              <w:rPr>
                <w:rFonts w:ascii="Arial" w:hAnsi="Arial" w:eastAsia="宋体" w:cs="Arial"/>
              </w:rPr>
            </w:pPr>
            <w:r>
              <w:rPr>
                <w:rFonts w:ascii="Arial" w:hAnsi="Arial" w:eastAsia="宋体" w:cs="Arial"/>
              </w:rPr>
              <w:t>低能直流热消融系统</w:t>
            </w:r>
          </w:p>
        </w:tc>
      </w:tr>
      <w:tr w14:paraId="4E6B0FBA">
        <w:tblPrEx>
          <w:tblCellMar>
            <w:top w:w="0" w:type="dxa"/>
            <w:left w:w="0" w:type="dxa"/>
            <w:bottom w:w="0" w:type="dxa"/>
            <w:right w:w="0" w:type="dxa"/>
          </w:tblCellMar>
        </w:tblPrEx>
        <w:trPr>
          <w:trHeight w:val="286" w:hRule="exact"/>
        </w:trPr>
        <w:tc>
          <w:tcPr>
            <w:tcW w:w="1908" w:type="dxa"/>
            <w:vMerge w:val="continue"/>
            <w:tcBorders>
              <w:left w:val="single" w:color="000000" w:sz="16" w:space="0"/>
              <w:bottom w:val="single" w:color="000000" w:sz="4" w:space="0"/>
              <w:right w:val="single" w:color="000000" w:sz="12" w:space="0"/>
            </w:tcBorders>
          </w:tcPr>
          <w:p w14:paraId="531479BA">
            <w:pPr>
              <w:snapToGrid w:val="0"/>
              <w:spacing w:line="300" w:lineRule="auto"/>
              <w:jc w:val="both"/>
              <w:rPr>
                <w:rFonts w:ascii="Arial" w:hAnsi="Arial" w:eastAsia="宋体" w:cs="Arial"/>
              </w:rPr>
            </w:pPr>
          </w:p>
        </w:tc>
        <w:tc>
          <w:tcPr>
            <w:tcW w:w="900" w:type="dxa"/>
            <w:vMerge w:val="continue"/>
            <w:tcBorders>
              <w:left w:val="single" w:color="000000" w:sz="12" w:space="0"/>
              <w:bottom w:val="single" w:color="000000" w:sz="4" w:space="0"/>
              <w:right w:val="single" w:color="000000" w:sz="12" w:space="0"/>
            </w:tcBorders>
          </w:tcPr>
          <w:p w14:paraId="44897151">
            <w:pPr>
              <w:snapToGrid w:val="0"/>
              <w:spacing w:line="300" w:lineRule="auto"/>
              <w:jc w:val="both"/>
              <w:rPr>
                <w:rFonts w:ascii="Arial" w:hAnsi="Arial" w:eastAsia="宋体" w:cs="Arial"/>
              </w:rPr>
            </w:pPr>
          </w:p>
        </w:tc>
        <w:tc>
          <w:tcPr>
            <w:tcW w:w="1440" w:type="dxa"/>
            <w:tcBorders>
              <w:top w:val="single" w:color="000000" w:sz="2" w:space="0"/>
              <w:left w:val="single" w:color="000000" w:sz="12" w:space="0"/>
              <w:bottom w:val="single" w:color="000000" w:sz="2" w:space="0"/>
              <w:right w:val="single" w:color="000000" w:sz="12" w:space="0"/>
            </w:tcBorders>
          </w:tcPr>
          <w:p w14:paraId="714717B9">
            <w:pPr>
              <w:pStyle w:val="17"/>
              <w:snapToGrid w:val="0"/>
              <w:spacing w:line="300" w:lineRule="auto"/>
              <w:jc w:val="both"/>
              <w:rPr>
                <w:rFonts w:ascii="Arial" w:hAnsi="Arial" w:eastAsia="宋体" w:cs="Arial"/>
                <w:sz w:val="24"/>
                <w:szCs w:val="24"/>
              </w:rPr>
            </w:pPr>
            <w:r>
              <w:rPr>
                <w:rFonts w:ascii="Arial" w:hAnsi="Arial" w:eastAsia="宋体" w:cs="Arial"/>
                <w:sz w:val="24"/>
              </w:rPr>
              <w:t>OCL</w:t>
            </w:r>
          </w:p>
        </w:tc>
        <w:tc>
          <w:tcPr>
            <w:tcW w:w="4591" w:type="dxa"/>
            <w:tcBorders>
              <w:top w:val="single" w:color="000000" w:sz="4" w:space="0"/>
              <w:left w:val="single" w:color="000000" w:sz="12" w:space="0"/>
              <w:bottom w:val="single" w:color="000000" w:sz="4" w:space="0"/>
              <w:right w:val="single" w:color="000000" w:sz="16" w:space="0"/>
            </w:tcBorders>
          </w:tcPr>
          <w:p w14:paraId="72FAEA64">
            <w:pPr>
              <w:snapToGrid w:val="0"/>
              <w:spacing w:line="300" w:lineRule="auto"/>
              <w:jc w:val="both"/>
              <w:rPr>
                <w:rFonts w:ascii="Arial" w:hAnsi="Arial" w:eastAsia="宋体" w:cs="Arial"/>
                <w:lang w:eastAsia="zh-CN"/>
              </w:rPr>
            </w:pPr>
            <w:r>
              <w:rPr>
                <w:rFonts w:ascii="Arial" w:hAnsi="Arial" w:eastAsia="宋体" w:cs="Arial"/>
                <w:lang w:eastAsia="zh-CN"/>
              </w:rPr>
              <w:t>用于消融心脏组织的手术器械</w:t>
            </w:r>
          </w:p>
        </w:tc>
      </w:tr>
      <w:tr w14:paraId="2EF5FA90">
        <w:tblPrEx>
          <w:tblCellMar>
            <w:top w:w="0" w:type="dxa"/>
            <w:left w:w="0" w:type="dxa"/>
            <w:bottom w:w="0" w:type="dxa"/>
            <w:right w:w="0" w:type="dxa"/>
          </w:tblCellMar>
        </w:tblPrEx>
        <w:trPr>
          <w:trHeight w:val="288" w:hRule="exact"/>
        </w:trPr>
        <w:tc>
          <w:tcPr>
            <w:tcW w:w="1908" w:type="dxa"/>
            <w:tcBorders>
              <w:top w:val="single" w:color="000000" w:sz="4" w:space="0"/>
              <w:left w:val="single" w:color="000000" w:sz="16" w:space="0"/>
              <w:bottom w:val="single" w:color="000000" w:sz="4" w:space="0"/>
              <w:right w:val="single" w:color="000000" w:sz="12" w:space="0"/>
            </w:tcBorders>
          </w:tcPr>
          <w:p w14:paraId="78D3323A">
            <w:pPr>
              <w:pStyle w:val="17"/>
              <w:snapToGrid w:val="0"/>
              <w:spacing w:line="300" w:lineRule="auto"/>
              <w:ind w:left="86"/>
              <w:jc w:val="both"/>
              <w:rPr>
                <w:rFonts w:ascii="Arial" w:hAnsi="Arial" w:eastAsia="宋体" w:cs="Arial"/>
                <w:sz w:val="24"/>
                <w:szCs w:val="24"/>
              </w:rPr>
            </w:pPr>
            <w:r>
              <w:rPr>
                <w:rFonts w:ascii="Arial" w:hAnsi="Arial" w:eastAsia="宋体" w:cs="Arial"/>
                <w:sz w:val="24"/>
              </w:rPr>
              <w:t>878.4810</w:t>
            </w:r>
          </w:p>
        </w:tc>
        <w:tc>
          <w:tcPr>
            <w:tcW w:w="900" w:type="dxa"/>
            <w:tcBorders>
              <w:top w:val="single" w:color="000000" w:sz="4" w:space="0"/>
              <w:left w:val="single" w:color="000000" w:sz="12" w:space="0"/>
              <w:bottom w:val="single" w:color="000000" w:sz="4" w:space="0"/>
              <w:right w:val="single" w:color="000000" w:sz="12" w:space="0"/>
            </w:tcBorders>
          </w:tcPr>
          <w:p w14:paraId="43867F52">
            <w:pPr>
              <w:pStyle w:val="17"/>
              <w:snapToGrid w:val="0"/>
              <w:spacing w:line="300" w:lineRule="auto"/>
              <w:jc w:val="both"/>
              <w:rPr>
                <w:rFonts w:ascii="Arial" w:hAnsi="Arial" w:eastAsia="宋体" w:cs="Arial"/>
                <w:sz w:val="24"/>
                <w:szCs w:val="24"/>
              </w:rPr>
            </w:pPr>
            <w:r>
              <w:rPr>
                <w:rFonts w:ascii="Arial" w:hAnsi="Arial" w:eastAsia="宋体" w:cs="Arial"/>
                <w:sz w:val="24"/>
              </w:rPr>
              <w:t>II</w:t>
            </w:r>
          </w:p>
        </w:tc>
        <w:tc>
          <w:tcPr>
            <w:tcW w:w="1440" w:type="dxa"/>
            <w:tcBorders>
              <w:top w:val="single" w:color="000000" w:sz="2" w:space="0"/>
              <w:left w:val="single" w:color="000000" w:sz="12" w:space="0"/>
              <w:bottom w:val="single" w:color="000000" w:sz="4" w:space="0"/>
              <w:right w:val="single" w:color="000000" w:sz="12" w:space="0"/>
            </w:tcBorders>
          </w:tcPr>
          <w:p w14:paraId="72B85719">
            <w:pPr>
              <w:pStyle w:val="17"/>
              <w:snapToGrid w:val="0"/>
              <w:spacing w:line="300" w:lineRule="auto"/>
              <w:jc w:val="both"/>
              <w:rPr>
                <w:rFonts w:ascii="Arial" w:hAnsi="Arial" w:eastAsia="宋体" w:cs="Arial"/>
                <w:sz w:val="24"/>
                <w:szCs w:val="24"/>
              </w:rPr>
            </w:pPr>
            <w:r>
              <w:rPr>
                <w:rFonts w:ascii="Arial" w:hAnsi="Arial" w:eastAsia="宋体" w:cs="Arial"/>
                <w:spacing w:val="-1"/>
                <w:sz w:val="24"/>
              </w:rPr>
              <w:t>GEX</w:t>
            </w:r>
          </w:p>
        </w:tc>
        <w:tc>
          <w:tcPr>
            <w:tcW w:w="4591" w:type="dxa"/>
            <w:tcBorders>
              <w:top w:val="single" w:color="000000" w:sz="4" w:space="0"/>
              <w:left w:val="single" w:color="000000" w:sz="12" w:space="0"/>
              <w:bottom w:val="single" w:color="000000" w:sz="4" w:space="0"/>
              <w:right w:val="single" w:color="000000" w:sz="16" w:space="0"/>
            </w:tcBorders>
          </w:tcPr>
          <w:p w14:paraId="6C4129AC">
            <w:pPr>
              <w:snapToGrid w:val="0"/>
              <w:spacing w:line="300" w:lineRule="auto"/>
              <w:jc w:val="both"/>
              <w:rPr>
                <w:rFonts w:ascii="Arial" w:hAnsi="Arial" w:eastAsia="宋体" w:cs="Arial"/>
              </w:rPr>
            </w:pPr>
            <w:r>
              <w:rPr>
                <w:rFonts w:ascii="Arial" w:hAnsi="Arial" w:eastAsia="宋体" w:cs="Arial"/>
                <w:lang w:eastAsia="zh-CN"/>
              </w:rPr>
              <w:t>电动</w:t>
            </w:r>
            <w:r>
              <w:rPr>
                <w:rFonts w:ascii="Arial" w:hAnsi="Arial" w:eastAsia="宋体" w:cs="Arial"/>
              </w:rPr>
              <w:t>手术激光</w:t>
            </w:r>
            <w:r>
              <w:rPr>
                <w:rFonts w:ascii="Arial" w:hAnsi="Arial" w:eastAsia="宋体" w:cs="Arial"/>
                <w:lang w:eastAsia="zh-CN"/>
              </w:rPr>
              <w:t>工具</w:t>
            </w:r>
          </w:p>
        </w:tc>
      </w:tr>
      <w:tr w14:paraId="364A389F">
        <w:tblPrEx>
          <w:tblCellMar>
            <w:top w:w="0" w:type="dxa"/>
            <w:left w:w="0" w:type="dxa"/>
            <w:bottom w:w="0" w:type="dxa"/>
            <w:right w:w="0" w:type="dxa"/>
          </w:tblCellMar>
        </w:tblPrEx>
        <w:trPr>
          <w:trHeight w:val="562" w:hRule="exact"/>
        </w:trPr>
        <w:tc>
          <w:tcPr>
            <w:tcW w:w="1908" w:type="dxa"/>
            <w:tcBorders>
              <w:top w:val="single" w:color="000000" w:sz="4" w:space="0"/>
              <w:left w:val="single" w:color="000000" w:sz="16" w:space="0"/>
              <w:bottom w:val="single" w:color="000000" w:sz="4" w:space="0"/>
              <w:right w:val="single" w:color="000000" w:sz="12" w:space="0"/>
            </w:tcBorders>
          </w:tcPr>
          <w:p w14:paraId="5A931C49">
            <w:pPr>
              <w:snapToGrid w:val="0"/>
              <w:spacing w:line="300" w:lineRule="auto"/>
              <w:jc w:val="both"/>
              <w:rPr>
                <w:rFonts w:ascii="Arial" w:hAnsi="Arial" w:eastAsia="宋体" w:cs="Arial"/>
              </w:rPr>
            </w:pPr>
            <w:r>
              <w:rPr>
                <w:rFonts w:ascii="Arial" w:hAnsi="Arial" w:eastAsia="宋体" w:cs="Arial"/>
              </w:rPr>
              <w:t>无（</w:t>
            </w:r>
            <w:r>
              <w:rPr>
                <w:rFonts w:ascii="Arial" w:hAnsi="Arial" w:eastAsia="宋体" w:cs="Arial"/>
                <w:lang w:eastAsia="zh-CN"/>
              </w:rPr>
              <w:t>修订</w:t>
            </w:r>
            <w:r>
              <w:rPr>
                <w:rFonts w:ascii="Arial" w:hAnsi="Arial" w:eastAsia="宋体" w:cs="Arial"/>
              </w:rPr>
              <w:t>后）</w:t>
            </w:r>
          </w:p>
        </w:tc>
        <w:tc>
          <w:tcPr>
            <w:tcW w:w="900" w:type="dxa"/>
            <w:tcBorders>
              <w:top w:val="single" w:color="000000" w:sz="4" w:space="0"/>
              <w:left w:val="single" w:color="000000" w:sz="12" w:space="0"/>
              <w:bottom w:val="single" w:color="000000" w:sz="4" w:space="0"/>
              <w:right w:val="single" w:color="000000" w:sz="12" w:space="0"/>
            </w:tcBorders>
          </w:tcPr>
          <w:p w14:paraId="46047BD5">
            <w:pPr>
              <w:pStyle w:val="17"/>
              <w:snapToGrid w:val="0"/>
              <w:spacing w:line="300" w:lineRule="auto"/>
              <w:jc w:val="both"/>
              <w:rPr>
                <w:rFonts w:ascii="Arial" w:hAnsi="Arial" w:eastAsia="宋体" w:cs="Arial"/>
                <w:sz w:val="24"/>
                <w:szCs w:val="24"/>
              </w:rPr>
            </w:pPr>
            <w:r>
              <w:rPr>
                <w:rFonts w:ascii="Arial" w:hAnsi="Arial" w:eastAsia="宋体" w:cs="Arial"/>
                <w:sz w:val="24"/>
              </w:rPr>
              <w:t>III</w:t>
            </w:r>
          </w:p>
        </w:tc>
        <w:tc>
          <w:tcPr>
            <w:tcW w:w="1440" w:type="dxa"/>
            <w:tcBorders>
              <w:top w:val="single" w:color="000000" w:sz="4" w:space="0"/>
              <w:left w:val="single" w:color="000000" w:sz="12" w:space="0"/>
              <w:bottom w:val="single" w:color="000000" w:sz="4" w:space="0"/>
              <w:right w:val="single" w:color="000000" w:sz="12" w:space="0"/>
            </w:tcBorders>
          </w:tcPr>
          <w:p w14:paraId="052FB9E8">
            <w:pPr>
              <w:pStyle w:val="17"/>
              <w:snapToGrid w:val="0"/>
              <w:spacing w:line="300" w:lineRule="auto"/>
              <w:jc w:val="both"/>
              <w:rPr>
                <w:rFonts w:ascii="Arial" w:hAnsi="Arial" w:eastAsia="宋体" w:cs="Arial"/>
                <w:sz w:val="24"/>
                <w:szCs w:val="24"/>
              </w:rPr>
            </w:pPr>
            <w:r>
              <w:rPr>
                <w:rFonts w:ascii="Arial" w:hAnsi="Arial" w:eastAsia="宋体" w:cs="Arial"/>
                <w:spacing w:val="-1"/>
                <w:w w:val="95"/>
                <w:sz w:val="24"/>
              </w:rPr>
              <w:t>LPB</w:t>
            </w:r>
          </w:p>
        </w:tc>
        <w:tc>
          <w:tcPr>
            <w:tcW w:w="4591" w:type="dxa"/>
            <w:tcBorders>
              <w:top w:val="single" w:color="000000" w:sz="4" w:space="0"/>
              <w:left w:val="single" w:color="000000" w:sz="12" w:space="0"/>
              <w:bottom w:val="single" w:color="000000" w:sz="4" w:space="0"/>
              <w:right w:val="single" w:color="000000" w:sz="16" w:space="0"/>
            </w:tcBorders>
          </w:tcPr>
          <w:p w14:paraId="69A1ECFA">
            <w:pPr>
              <w:snapToGrid w:val="0"/>
              <w:spacing w:line="300" w:lineRule="auto"/>
              <w:jc w:val="both"/>
              <w:rPr>
                <w:rFonts w:ascii="Arial" w:hAnsi="Arial" w:eastAsia="宋体" w:cs="Arial"/>
              </w:rPr>
            </w:pPr>
            <w:r>
              <w:rPr>
                <w:rFonts w:ascii="Arial" w:hAnsi="Arial" w:eastAsia="宋体" w:cs="Arial"/>
              </w:rPr>
              <w:t>心脏消融经皮导管</w:t>
            </w:r>
          </w:p>
        </w:tc>
      </w:tr>
      <w:tr w14:paraId="6E655B45">
        <w:tblPrEx>
          <w:tblCellMar>
            <w:top w:w="0" w:type="dxa"/>
            <w:left w:w="0" w:type="dxa"/>
            <w:bottom w:w="0" w:type="dxa"/>
            <w:right w:w="0" w:type="dxa"/>
          </w:tblCellMar>
        </w:tblPrEx>
        <w:trPr>
          <w:trHeight w:val="562" w:hRule="exact"/>
        </w:trPr>
        <w:tc>
          <w:tcPr>
            <w:tcW w:w="1908" w:type="dxa"/>
            <w:tcBorders>
              <w:top w:val="single" w:color="000000" w:sz="4" w:space="0"/>
              <w:left w:val="single" w:color="000000" w:sz="16" w:space="0"/>
              <w:bottom w:val="single" w:color="000000" w:sz="4" w:space="0"/>
              <w:right w:val="single" w:color="000000" w:sz="12" w:space="0"/>
            </w:tcBorders>
          </w:tcPr>
          <w:p w14:paraId="32541EBE">
            <w:pPr>
              <w:snapToGrid w:val="0"/>
              <w:spacing w:line="300" w:lineRule="auto"/>
              <w:jc w:val="both"/>
              <w:rPr>
                <w:rFonts w:ascii="Arial" w:hAnsi="Arial" w:eastAsia="宋体" w:cs="Arial"/>
              </w:rPr>
            </w:pPr>
            <w:r>
              <w:rPr>
                <w:rFonts w:ascii="Arial" w:hAnsi="Arial" w:eastAsia="宋体" w:cs="Arial"/>
              </w:rPr>
              <w:t>无（</w:t>
            </w:r>
            <w:r>
              <w:rPr>
                <w:rFonts w:ascii="Arial" w:hAnsi="Arial" w:eastAsia="宋体" w:cs="Arial"/>
                <w:lang w:eastAsia="zh-CN"/>
              </w:rPr>
              <w:t>修订</w:t>
            </w:r>
            <w:r>
              <w:rPr>
                <w:rFonts w:ascii="Arial" w:hAnsi="Arial" w:eastAsia="宋体" w:cs="Arial"/>
              </w:rPr>
              <w:t>后）</w:t>
            </w:r>
          </w:p>
        </w:tc>
        <w:tc>
          <w:tcPr>
            <w:tcW w:w="900" w:type="dxa"/>
            <w:tcBorders>
              <w:top w:val="single" w:color="000000" w:sz="4" w:space="0"/>
              <w:left w:val="single" w:color="000000" w:sz="12" w:space="0"/>
              <w:bottom w:val="single" w:color="000000" w:sz="4" w:space="0"/>
              <w:right w:val="single" w:color="000000" w:sz="12" w:space="0"/>
            </w:tcBorders>
          </w:tcPr>
          <w:p w14:paraId="5DCB6D36">
            <w:pPr>
              <w:pStyle w:val="17"/>
              <w:snapToGrid w:val="0"/>
              <w:spacing w:line="300" w:lineRule="auto"/>
              <w:jc w:val="both"/>
              <w:rPr>
                <w:rFonts w:ascii="Arial" w:hAnsi="Arial" w:eastAsia="宋体" w:cs="Arial"/>
                <w:sz w:val="24"/>
                <w:szCs w:val="24"/>
              </w:rPr>
            </w:pPr>
            <w:r>
              <w:rPr>
                <w:rFonts w:ascii="Arial" w:hAnsi="Arial" w:eastAsia="宋体" w:cs="Arial"/>
                <w:sz w:val="24"/>
              </w:rPr>
              <w:t>III</w:t>
            </w:r>
          </w:p>
        </w:tc>
        <w:tc>
          <w:tcPr>
            <w:tcW w:w="1440" w:type="dxa"/>
            <w:tcBorders>
              <w:top w:val="single" w:color="000000" w:sz="4" w:space="0"/>
              <w:left w:val="single" w:color="000000" w:sz="12" w:space="0"/>
              <w:bottom w:val="single" w:color="000000" w:sz="4" w:space="0"/>
              <w:right w:val="single" w:color="000000" w:sz="12" w:space="0"/>
            </w:tcBorders>
          </w:tcPr>
          <w:p w14:paraId="7A1F8387">
            <w:pPr>
              <w:pStyle w:val="17"/>
              <w:snapToGrid w:val="0"/>
              <w:spacing w:line="300" w:lineRule="auto"/>
              <w:jc w:val="both"/>
              <w:rPr>
                <w:rFonts w:ascii="Arial" w:hAnsi="Arial" w:eastAsia="宋体" w:cs="Arial"/>
                <w:sz w:val="24"/>
                <w:szCs w:val="24"/>
              </w:rPr>
            </w:pPr>
            <w:r>
              <w:rPr>
                <w:rFonts w:ascii="Arial" w:hAnsi="Arial" w:eastAsia="宋体" w:cs="Arial"/>
                <w:spacing w:val="-1"/>
                <w:w w:val="95"/>
                <w:sz w:val="24"/>
              </w:rPr>
              <w:t>OAD</w:t>
            </w:r>
          </w:p>
        </w:tc>
        <w:tc>
          <w:tcPr>
            <w:tcW w:w="4591" w:type="dxa"/>
            <w:tcBorders>
              <w:top w:val="single" w:color="000000" w:sz="4" w:space="0"/>
              <w:left w:val="single" w:color="000000" w:sz="12" w:space="0"/>
              <w:bottom w:val="single" w:color="000000" w:sz="4" w:space="0"/>
              <w:right w:val="single" w:color="000000" w:sz="16" w:space="0"/>
            </w:tcBorders>
          </w:tcPr>
          <w:p w14:paraId="003556F6">
            <w:pPr>
              <w:snapToGrid w:val="0"/>
              <w:spacing w:line="300" w:lineRule="auto"/>
              <w:jc w:val="both"/>
              <w:rPr>
                <w:rFonts w:ascii="Arial" w:hAnsi="Arial" w:eastAsia="宋体" w:cs="Arial"/>
                <w:lang w:eastAsia="zh-CN"/>
              </w:rPr>
            </w:pPr>
            <w:r>
              <w:rPr>
                <w:rFonts w:ascii="Arial" w:hAnsi="Arial" w:eastAsia="宋体" w:cs="Arial"/>
                <w:lang w:eastAsia="zh-CN"/>
              </w:rPr>
              <w:t>用于治疗心房扑动的心脏消融经皮导管</w:t>
            </w:r>
          </w:p>
        </w:tc>
      </w:tr>
      <w:tr w14:paraId="66C4D389">
        <w:tblPrEx>
          <w:tblCellMar>
            <w:top w:w="0" w:type="dxa"/>
            <w:left w:w="0" w:type="dxa"/>
            <w:bottom w:w="0" w:type="dxa"/>
            <w:right w:w="0" w:type="dxa"/>
          </w:tblCellMar>
        </w:tblPrEx>
        <w:trPr>
          <w:trHeight w:val="578" w:hRule="exact"/>
        </w:trPr>
        <w:tc>
          <w:tcPr>
            <w:tcW w:w="1908" w:type="dxa"/>
            <w:tcBorders>
              <w:top w:val="single" w:color="000000" w:sz="4" w:space="0"/>
              <w:left w:val="single" w:color="000000" w:sz="16" w:space="0"/>
              <w:bottom w:val="single" w:color="000000" w:sz="16" w:space="0"/>
              <w:right w:val="single" w:color="000000" w:sz="12" w:space="0"/>
            </w:tcBorders>
          </w:tcPr>
          <w:p w14:paraId="1A6DD5B0">
            <w:pPr>
              <w:snapToGrid w:val="0"/>
              <w:spacing w:line="300" w:lineRule="auto"/>
              <w:jc w:val="both"/>
              <w:rPr>
                <w:rFonts w:ascii="Arial" w:hAnsi="Arial" w:eastAsia="宋体" w:cs="Arial"/>
              </w:rPr>
            </w:pPr>
            <w:r>
              <w:rPr>
                <w:rFonts w:ascii="Arial" w:hAnsi="Arial" w:eastAsia="宋体" w:cs="Arial"/>
              </w:rPr>
              <w:t>无（</w:t>
            </w:r>
            <w:r>
              <w:rPr>
                <w:rFonts w:ascii="Arial" w:hAnsi="Arial" w:eastAsia="宋体" w:cs="Arial"/>
                <w:lang w:eastAsia="zh-CN"/>
              </w:rPr>
              <w:t>修订</w:t>
            </w:r>
            <w:r>
              <w:rPr>
                <w:rFonts w:ascii="Arial" w:hAnsi="Arial" w:eastAsia="宋体" w:cs="Arial"/>
              </w:rPr>
              <w:t>后）</w:t>
            </w:r>
          </w:p>
        </w:tc>
        <w:tc>
          <w:tcPr>
            <w:tcW w:w="900" w:type="dxa"/>
            <w:tcBorders>
              <w:top w:val="single" w:color="000000" w:sz="4" w:space="0"/>
              <w:left w:val="single" w:color="000000" w:sz="12" w:space="0"/>
              <w:bottom w:val="single" w:color="000000" w:sz="16" w:space="0"/>
              <w:right w:val="single" w:color="000000" w:sz="12" w:space="0"/>
            </w:tcBorders>
          </w:tcPr>
          <w:p w14:paraId="73F14FEE">
            <w:pPr>
              <w:pStyle w:val="17"/>
              <w:snapToGrid w:val="0"/>
              <w:spacing w:line="300" w:lineRule="auto"/>
              <w:jc w:val="both"/>
              <w:rPr>
                <w:rFonts w:ascii="Arial" w:hAnsi="Arial" w:eastAsia="宋体" w:cs="Arial"/>
                <w:sz w:val="24"/>
                <w:szCs w:val="24"/>
              </w:rPr>
            </w:pPr>
            <w:r>
              <w:rPr>
                <w:rFonts w:ascii="Arial" w:hAnsi="Arial" w:eastAsia="宋体" w:cs="Arial"/>
                <w:sz w:val="24"/>
              </w:rPr>
              <w:t>III</w:t>
            </w:r>
          </w:p>
        </w:tc>
        <w:tc>
          <w:tcPr>
            <w:tcW w:w="1440" w:type="dxa"/>
            <w:tcBorders>
              <w:top w:val="single" w:color="000000" w:sz="4" w:space="0"/>
              <w:left w:val="single" w:color="000000" w:sz="12" w:space="0"/>
              <w:bottom w:val="single" w:color="000000" w:sz="16" w:space="0"/>
              <w:right w:val="single" w:color="000000" w:sz="12" w:space="0"/>
            </w:tcBorders>
          </w:tcPr>
          <w:p w14:paraId="0C1CB8C2">
            <w:pPr>
              <w:pStyle w:val="17"/>
              <w:snapToGrid w:val="0"/>
              <w:spacing w:line="300" w:lineRule="auto"/>
              <w:jc w:val="both"/>
              <w:rPr>
                <w:rFonts w:ascii="Arial" w:hAnsi="Arial" w:eastAsia="宋体" w:cs="Arial"/>
                <w:sz w:val="24"/>
                <w:szCs w:val="24"/>
              </w:rPr>
            </w:pPr>
            <w:r>
              <w:rPr>
                <w:rFonts w:ascii="Arial" w:hAnsi="Arial" w:eastAsia="宋体" w:cs="Arial"/>
                <w:spacing w:val="-1"/>
                <w:w w:val="95"/>
                <w:sz w:val="24"/>
              </w:rPr>
              <w:t>OAE</w:t>
            </w:r>
          </w:p>
        </w:tc>
        <w:tc>
          <w:tcPr>
            <w:tcW w:w="4591" w:type="dxa"/>
            <w:tcBorders>
              <w:top w:val="single" w:color="000000" w:sz="4" w:space="0"/>
              <w:left w:val="single" w:color="000000" w:sz="12" w:space="0"/>
              <w:bottom w:val="single" w:color="000000" w:sz="16" w:space="0"/>
              <w:right w:val="single" w:color="000000" w:sz="16" w:space="0"/>
            </w:tcBorders>
          </w:tcPr>
          <w:p w14:paraId="5AF97B07">
            <w:pPr>
              <w:snapToGrid w:val="0"/>
              <w:spacing w:line="300" w:lineRule="auto"/>
              <w:jc w:val="both"/>
              <w:rPr>
                <w:rFonts w:ascii="Arial" w:hAnsi="Arial" w:eastAsia="宋体" w:cs="Arial"/>
                <w:lang w:eastAsia="zh-CN"/>
              </w:rPr>
            </w:pPr>
            <w:r>
              <w:rPr>
                <w:rFonts w:ascii="Arial" w:hAnsi="Arial" w:eastAsia="宋体" w:cs="Arial"/>
                <w:lang w:eastAsia="zh-CN"/>
              </w:rPr>
              <w:t>用于治疗房颤的经皮导管</w:t>
            </w:r>
          </w:p>
        </w:tc>
      </w:tr>
    </w:tbl>
    <w:p w14:paraId="3711E657">
      <w:pPr>
        <w:snapToGrid w:val="0"/>
        <w:spacing w:line="300" w:lineRule="auto"/>
        <w:jc w:val="both"/>
        <w:rPr>
          <w:rFonts w:ascii="Arial" w:hAnsi="Arial" w:eastAsia="宋体" w:cs="Arial"/>
          <w:sz w:val="24"/>
          <w:szCs w:val="24"/>
          <w:lang w:eastAsia="zh-CN"/>
        </w:rPr>
        <w:sectPr>
          <w:pgSz w:w="12240" w:h="15840"/>
          <w:pgMar w:top="1134" w:right="1134" w:bottom="1134" w:left="1134" w:header="748" w:footer="773" w:gutter="0"/>
          <w:cols w:space="720" w:num="1"/>
          <w:docGrid w:linePitch="299" w:charSpace="0"/>
        </w:sectPr>
      </w:pPr>
    </w:p>
    <w:p w14:paraId="2CE72B62">
      <w:pPr>
        <w:pStyle w:val="5"/>
        <w:snapToGrid w:val="0"/>
        <w:spacing w:before="214" w:line="300" w:lineRule="auto"/>
        <w:ind w:left="119"/>
        <w:rPr>
          <w:rFonts w:ascii="Arial" w:hAnsi="Arial" w:eastAsia="宋体" w:cs="Arial"/>
          <w:lang w:eastAsia="zh-CN"/>
        </w:rPr>
      </w:pPr>
      <w:r>
        <w:rPr>
          <w:rFonts w:ascii="Arial" w:hAnsi="Arial" w:eastAsia="宋体" w:cs="Arial"/>
          <w:lang w:eastAsia="zh-CN"/>
        </w:rPr>
        <w:t>FDA认为，本指导性文件所涉及的器械是“联邦法规”（CFR）812.3（m）第21章所定义的重大风险器械。</w:t>
      </w:r>
      <w:r>
        <w:rPr>
          <w:rFonts w:ascii="Arial" w:hAnsi="Arial" w:eastAsia="宋体" w:cs="Arial"/>
        </w:rPr>
        <w:t>有关其他信息，请参阅医疗器械</w:t>
      </w:r>
      <w:r>
        <w:rPr>
          <w:rFonts w:ascii="Arial" w:hAnsi="Arial" w:eastAsia="宋体" w:cs="Arial"/>
          <w:lang w:eastAsia="zh-CN"/>
        </w:rPr>
        <w:t>章节：</w:t>
      </w:r>
      <w:r>
        <w:rPr>
          <w:rFonts w:ascii="Arial" w:hAnsi="Arial" w:eastAsia="宋体" w:cs="Arial"/>
        </w:rPr>
        <w:t>IRB</w:t>
      </w:r>
      <w:r>
        <w:rPr>
          <w:rFonts w:ascii="Arial" w:hAnsi="Arial" w:eastAsia="宋体" w:cs="Arial"/>
          <w:lang w:eastAsia="zh-CN"/>
        </w:rPr>
        <w:t>、</w:t>
      </w:r>
      <w:r>
        <w:rPr>
          <w:rFonts w:ascii="Arial" w:hAnsi="Arial" w:eastAsia="宋体" w:cs="Arial"/>
        </w:rPr>
        <w:t>临床研究者和申办方信息表指南，</w:t>
      </w:r>
      <w:r>
        <w:rPr>
          <w:rFonts w:ascii="Arial" w:hAnsi="Arial" w:eastAsia="宋体" w:cs="Arial"/>
          <w:lang w:eastAsia="zh-CN"/>
        </w:rPr>
        <w:t>网址为：</w:t>
      </w:r>
      <w:r>
        <w:fldChar w:fldCharType="begin"/>
      </w:r>
      <w:r>
        <w:instrText xml:space="preserve"> HYPERLINK "http://www.fda.gov/ScienceResearch/SpecialTopics/RunningClinicalTrials/GuidancesInformationSheetsandNotices/ucm113709.htm" \l "risk" \h </w:instrText>
      </w:r>
      <w:r>
        <w:fldChar w:fldCharType="separate"/>
      </w:r>
      <w:r>
        <w:rPr>
          <w:rFonts w:ascii="Arial" w:hAnsi="Arial" w:eastAsia="宋体" w:cs="Arial"/>
          <w:color w:val="0000FF"/>
          <w:spacing w:val="-1"/>
          <w:u w:val="single" w:color="0000FF"/>
        </w:rPr>
        <w:t>http：//www.fda.gov/ScienceResearch/SpecialTopics/RunningClinicalTrials/GuidancesInformatio</w:t>
      </w:r>
      <w:r>
        <w:rPr>
          <w:rFonts w:ascii="Arial" w:hAnsi="Arial" w:eastAsia="宋体" w:cs="Arial"/>
          <w:color w:val="0000FF"/>
          <w:spacing w:val="-2"/>
          <w:u w:val="single" w:color="0000FF"/>
        </w:rPr>
        <w:t xml:space="preserve"> </w:t>
      </w:r>
      <w:r>
        <w:rPr>
          <w:rFonts w:ascii="Arial" w:hAnsi="Arial" w:eastAsia="宋体" w:cs="Arial"/>
          <w:color w:val="0000FF"/>
          <w:spacing w:val="-2"/>
          <w:u w:val="single" w:color="0000FF"/>
        </w:rPr>
        <w:fldChar w:fldCharType="end"/>
      </w:r>
      <w:r>
        <w:fldChar w:fldCharType="begin"/>
      </w:r>
      <w:r>
        <w:instrText xml:space="preserve"> HYPERLINK "http://www.fda.gov/ScienceResearch/SpecialTopics/RunningClinicalTrials/GuidancesInformationSheetsandNotices/ucm113709.htm" \l "risk" \h </w:instrText>
      </w:r>
      <w:r>
        <w:fldChar w:fldCharType="separate"/>
      </w:r>
      <w:r>
        <w:rPr>
          <w:rFonts w:ascii="Arial" w:hAnsi="Arial" w:eastAsia="宋体" w:cs="Arial"/>
          <w:color w:val="0000FF"/>
          <w:u w:val="single" w:color="0000FF"/>
        </w:rPr>
        <w:t>nSheetsandNotices/ucm113709.htm#risk</w:t>
      </w:r>
      <w:r>
        <w:rPr>
          <w:rFonts w:ascii="Arial" w:hAnsi="Arial" w:eastAsia="宋体" w:cs="Arial"/>
          <w:color w:val="0000FF"/>
          <w:u w:val="single" w:color="0000FF"/>
        </w:rPr>
        <w:fldChar w:fldCharType="end"/>
      </w:r>
      <w:r>
        <w:rPr>
          <w:rFonts w:ascii="Arial" w:hAnsi="Arial" w:eastAsia="宋体" w:cs="Arial"/>
        </w:rPr>
        <w:t>。</w:t>
      </w:r>
      <w:r>
        <w:rPr>
          <w:rFonts w:ascii="Arial" w:hAnsi="Arial" w:eastAsia="宋体" w:cs="Arial"/>
          <w:lang w:eastAsia="zh-CN"/>
        </w:rPr>
        <w:t>除遵守有关机构审查委员会（IRBs）（21 CFR第56部分）和知情同意书（21 CFR第50部分）的法规外，在其开始对研究器械进行任何研究前，此类研究的申办方必须从FDA和IRB获得其器械临床研究豁免（IDE）申请的批准（请参见联邦食品、药品和化妆品法案（FD＆C Act）的第520（g）节，21 USC 360j（g）；21 CFR 812.42）。</w:t>
      </w:r>
    </w:p>
    <w:p w14:paraId="3EFB9105">
      <w:pPr>
        <w:snapToGrid w:val="0"/>
        <w:spacing w:line="300" w:lineRule="auto"/>
        <w:jc w:val="both"/>
        <w:rPr>
          <w:rFonts w:ascii="Arial" w:hAnsi="Arial" w:eastAsia="宋体" w:cs="Arial"/>
          <w:sz w:val="24"/>
          <w:szCs w:val="24"/>
          <w:lang w:eastAsia="zh-CN"/>
        </w:rPr>
      </w:pPr>
    </w:p>
    <w:p w14:paraId="2055C8B5">
      <w:pPr>
        <w:pStyle w:val="2"/>
        <w:numPr>
          <w:ilvl w:val="0"/>
          <w:numId w:val="1"/>
        </w:numPr>
        <w:tabs>
          <w:tab w:val="left" w:pos="480"/>
        </w:tabs>
        <w:snapToGrid w:val="0"/>
        <w:spacing w:before="209" w:line="300" w:lineRule="auto"/>
        <w:jc w:val="both"/>
        <w:rPr>
          <w:rFonts w:ascii="Arial" w:hAnsi="Arial" w:eastAsia="宋体" w:cs="Arial"/>
          <w:b w:val="0"/>
          <w:bCs w:val="0"/>
        </w:rPr>
      </w:pPr>
      <w:bookmarkStart w:id="5" w:name="3._Terminology"/>
      <w:bookmarkEnd w:id="5"/>
      <w:bookmarkStart w:id="6" w:name="_Toc481156287"/>
      <w:r>
        <w:rPr>
          <w:rFonts w:ascii="Arial" w:hAnsi="Arial" w:eastAsia="宋体" w:cs="Arial"/>
          <w:spacing w:val="-4"/>
        </w:rPr>
        <w:t>术语</w:t>
      </w:r>
      <w:bookmarkEnd w:id="6"/>
    </w:p>
    <w:p w14:paraId="29EFBBFA">
      <w:pPr>
        <w:pStyle w:val="5"/>
        <w:snapToGrid w:val="0"/>
        <w:spacing w:before="113" w:line="300" w:lineRule="auto"/>
        <w:ind w:left="120"/>
        <w:jc w:val="both"/>
        <w:rPr>
          <w:rFonts w:ascii="Arial" w:hAnsi="Arial" w:eastAsia="宋体" w:cs="Arial"/>
          <w:lang w:eastAsia="zh-CN"/>
        </w:rPr>
      </w:pPr>
      <w:r>
        <w:rPr>
          <w:rFonts w:ascii="Arial" w:hAnsi="Arial" w:eastAsia="宋体" w:cs="Arial"/>
          <w:lang w:eastAsia="zh-CN"/>
        </w:rPr>
        <w:t>本指导性文件定义了以下术语。</w:t>
      </w:r>
    </w:p>
    <w:p w14:paraId="52C8A2AE">
      <w:pPr>
        <w:snapToGrid w:val="0"/>
        <w:spacing w:before="7" w:line="300" w:lineRule="auto"/>
        <w:jc w:val="both"/>
        <w:rPr>
          <w:rFonts w:ascii="Arial" w:hAnsi="Arial" w:eastAsia="宋体" w:cs="Arial"/>
          <w:sz w:val="21"/>
          <w:szCs w:val="21"/>
          <w:lang w:eastAsia="zh-CN"/>
        </w:rPr>
      </w:pPr>
    </w:p>
    <w:tbl>
      <w:tblPr>
        <w:tblStyle w:val="15"/>
        <w:tblW w:w="0" w:type="auto"/>
        <w:tblInd w:w="465" w:type="dxa"/>
        <w:tblLayout w:type="fixed"/>
        <w:tblCellMar>
          <w:top w:w="0" w:type="dxa"/>
          <w:left w:w="0" w:type="dxa"/>
          <w:bottom w:w="0" w:type="dxa"/>
          <w:right w:w="0" w:type="dxa"/>
        </w:tblCellMar>
      </w:tblPr>
      <w:tblGrid>
        <w:gridCol w:w="3240"/>
        <w:gridCol w:w="5148"/>
      </w:tblGrid>
      <w:tr w14:paraId="658FB2FC">
        <w:tblPrEx>
          <w:tblCellMar>
            <w:top w:w="0" w:type="dxa"/>
            <w:left w:w="0" w:type="dxa"/>
            <w:bottom w:w="0" w:type="dxa"/>
            <w:right w:w="0" w:type="dxa"/>
          </w:tblCellMar>
        </w:tblPrEx>
        <w:tc>
          <w:tcPr>
            <w:tcW w:w="3240" w:type="dxa"/>
            <w:tcBorders>
              <w:top w:val="single" w:color="000000" w:sz="12" w:space="0"/>
              <w:left w:val="single" w:color="000000" w:sz="12" w:space="0"/>
              <w:bottom w:val="single" w:color="000000" w:sz="12" w:space="0"/>
              <w:right w:val="single" w:color="000000" w:sz="12" w:space="0"/>
            </w:tcBorders>
            <w:vAlign w:val="center"/>
          </w:tcPr>
          <w:p w14:paraId="626639CC">
            <w:pPr>
              <w:pStyle w:val="17"/>
              <w:snapToGrid w:val="0"/>
              <w:spacing w:before="60" w:line="300" w:lineRule="auto"/>
              <w:ind w:left="93"/>
              <w:jc w:val="both"/>
              <w:rPr>
                <w:rFonts w:ascii="Arial" w:hAnsi="Arial" w:eastAsia="宋体" w:cs="Arial"/>
                <w:b/>
                <w:sz w:val="28"/>
                <w:szCs w:val="28"/>
              </w:rPr>
            </w:pPr>
            <w:r>
              <w:rPr>
                <w:rFonts w:ascii="Arial" w:hAnsi="Arial" w:eastAsia="宋体" w:cs="Arial"/>
                <w:b/>
                <w:sz w:val="28"/>
                <w:szCs w:val="28"/>
                <w:lang w:eastAsia="zh-CN"/>
              </w:rPr>
              <w:t>术语</w:t>
            </w:r>
          </w:p>
        </w:tc>
        <w:tc>
          <w:tcPr>
            <w:tcW w:w="5148" w:type="dxa"/>
            <w:tcBorders>
              <w:top w:val="single" w:color="000000" w:sz="12" w:space="0"/>
              <w:left w:val="single" w:color="000000" w:sz="12" w:space="0"/>
              <w:bottom w:val="single" w:color="000000" w:sz="12" w:space="0"/>
              <w:right w:val="single" w:color="000000" w:sz="12" w:space="0"/>
            </w:tcBorders>
            <w:vAlign w:val="center"/>
          </w:tcPr>
          <w:p w14:paraId="48514391">
            <w:pPr>
              <w:pStyle w:val="17"/>
              <w:snapToGrid w:val="0"/>
              <w:spacing w:before="60" w:line="300" w:lineRule="auto"/>
              <w:ind w:left="93"/>
              <w:jc w:val="both"/>
              <w:rPr>
                <w:rFonts w:ascii="Arial" w:hAnsi="Arial" w:eastAsia="宋体" w:cs="Arial"/>
                <w:b/>
                <w:sz w:val="28"/>
                <w:szCs w:val="28"/>
              </w:rPr>
            </w:pPr>
            <w:r>
              <w:rPr>
                <w:rFonts w:ascii="Arial" w:hAnsi="Arial" w:eastAsia="宋体" w:cs="Arial"/>
                <w:b/>
                <w:sz w:val="28"/>
                <w:szCs w:val="28"/>
                <w:lang w:eastAsia="zh-CN"/>
              </w:rPr>
              <w:t>定义</w:t>
            </w:r>
          </w:p>
        </w:tc>
      </w:tr>
      <w:tr w14:paraId="1D9F9CA7">
        <w:tblPrEx>
          <w:tblCellMar>
            <w:top w:w="0" w:type="dxa"/>
            <w:left w:w="0" w:type="dxa"/>
            <w:bottom w:w="0" w:type="dxa"/>
            <w:right w:w="0" w:type="dxa"/>
          </w:tblCellMar>
        </w:tblPrEx>
        <w:tc>
          <w:tcPr>
            <w:tcW w:w="3240" w:type="dxa"/>
            <w:tcBorders>
              <w:top w:val="single" w:color="000000" w:sz="12" w:space="0"/>
              <w:left w:val="single" w:color="000000" w:sz="12" w:space="0"/>
              <w:bottom w:val="single" w:color="000000" w:sz="12" w:space="0"/>
              <w:right w:val="single" w:color="000000" w:sz="12" w:space="0"/>
            </w:tcBorders>
            <w:vAlign w:val="center"/>
          </w:tcPr>
          <w:p w14:paraId="7247D9AE">
            <w:pPr>
              <w:pStyle w:val="17"/>
              <w:snapToGrid w:val="0"/>
              <w:spacing w:before="54" w:line="300" w:lineRule="auto"/>
              <w:ind w:left="93"/>
              <w:jc w:val="both"/>
              <w:rPr>
                <w:rFonts w:ascii="Arial" w:hAnsi="Arial" w:eastAsia="宋体" w:cs="Arial"/>
                <w:sz w:val="24"/>
                <w:szCs w:val="24"/>
              </w:rPr>
            </w:pPr>
            <w:r>
              <w:rPr>
                <w:rFonts w:ascii="Arial" w:hAnsi="Arial" w:eastAsia="宋体" w:cs="Arial"/>
                <w:color w:val="333333"/>
                <w:sz w:val="27"/>
                <w:szCs w:val="27"/>
                <w:shd w:val="clear" w:color="auto" w:fill="FFFFFF"/>
              </w:rPr>
              <w:t>电复律失败</w:t>
            </w:r>
          </w:p>
        </w:tc>
        <w:tc>
          <w:tcPr>
            <w:tcW w:w="5148" w:type="dxa"/>
            <w:tcBorders>
              <w:top w:val="single" w:color="000000" w:sz="12" w:space="0"/>
              <w:left w:val="single" w:color="000000" w:sz="12" w:space="0"/>
              <w:bottom w:val="single" w:color="000000" w:sz="12" w:space="0"/>
              <w:right w:val="single" w:color="000000" w:sz="12" w:space="0"/>
            </w:tcBorders>
            <w:vAlign w:val="center"/>
          </w:tcPr>
          <w:p w14:paraId="1D5AE502">
            <w:pPr>
              <w:pStyle w:val="17"/>
              <w:snapToGrid w:val="0"/>
              <w:spacing w:before="54" w:line="300" w:lineRule="auto"/>
              <w:ind w:left="93"/>
              <w:jc w:val="both"/>
              <w:rPr>
                <w:rFonts w:ascii="Arial" w:hAnsi="Arial" w:eastAsia="宋体" w:cs="Arial"/>
                <w:sz w:val="24"/>
                <w:szCs w:val="24"/>
                <w:lang w:eastAsia="zh-CN"/>
              </w:rPr>
            </w:pPr>
            <w:r>
              <w:rPr>
                <w:rFonts w:ascii="Arial" w:hAnsi="Arial" w:eastAsia="宋体" w:cs="Arial"/>
                <w:sz w:val="24"/>
                <w:lang w:eastAsia="zh-CN"/>
              </w:rPr>
              <w:t>如果其无法使窦性节律恢复30秒或更长时间，则视为电复律失败。</w:t>
            </w:r>
          </w:p>
        </w:tc>
      </w:tr>
      <w:tr w14:paraId="06284F57">
        <w:tblPrEx>
          <w:tblCellMar>
            <w:top w:w="0" w:type="dxa"/>
            <w:left w:w="0" w:type="dxa"/>
            <w:bottom w:w="0" w:type="dxa"/>
            <w:right w:w="0" w:type="dxa"/>
          </w:tblCellMar>
        </w:tblPrEx>
        <w:tc>
          <w:tcPr>
            <w:tcW w:w="3240" w:type="dxa"/>
            <w:tcBorders>
              <w:top w:val="single" w:color="000000" w:sz="12" w:space="0"/>
              <w:left w:val="single" w:color="000000" w:sz="12" w:space="0"/>
              <w:bottom w:val="single" w:color="000000" w:sz="12" w:space="0"/>
              <w:right w:val="single" w:color="000000" w:sz="12" w:space="0"/>
            </w:tcBorders>
            <w:vAlign w:val="center"/>
          </w:tcPr>
          <w:p w14:paraId="525B5D66">
            <w:pPr>
              <w:pStyle w:val="17"/>
              <w:snapToGrid w:val="0"/>
              <w:spacing w:before="54" w:line="300" w:lineRule="auto"/>
              <w:ind w:left="93"/>
              <w:jc w:val="both"/>
              <w:rPr>
                <w:rFonts w:ascii="Arial" w:hAnsi="Arial" w:eastAsia="宋体" w:cs="Arial"/>
                <w:sz w:val="24"/>
                <w:szCs w:val="24"/>
              </w:rPr>
            </w:pPr>
            <w:r>
              <w:rPr>
                <w:rFonts w:ascii="Arial" w:hAnsi="Arial" w:eastAsia="宋体" w:cs="Arial"/>
                <w:sz w:val="24"/>
              </w:rPr>
              <w:t>阵发性房颤</w:t>
            </w:r>
          </w:p>
        </w:tc>
        <w:tc>
          <w:tcPr>
            <w:tcW w:w="5148" w:type="dxa"/>
            <w:tcBorders>
              <w:top w:val="single" w:color="000000" w:sz="12" w:space="0"/>
              <w:left w:val="single" w:color="000000" w:sz="12" w:space="0"/>
              <w:bottom w:val="single" w:color="000000" w:sz="12" w:space="0"/>
              <w:right w:val="single" w:color="000000" w:sz="12" w:space="0"/>
            </w:tcBorders>
            <w:vAlign w:val="center"/>
          </w:tcPr>
          <w:p w14:paraId="36B58B16">
            <w:pPr>
              <w:pStyle w:val="17"/>
              <w:snapToGrid w:val="0"/>
              <w:spacing w:before="54" w:line="300" w:lineRule="auto"/>
              <w:ind w:left="93"/>
              <w:jc w:val="both"/>
              <w:rPr>
                <w:rFonts w:ascii="Arial" w:hAnsi="Arial" w:eastAsia="宋体" w:cs="Arial"/>
                <w:sz w:val="24"/>
                <w:szCs w:val="24"/>
                <w:lang w:eastAsia="zh-CN"/>
              </w:rPr>
            </w:pPr>
            <w:r>
              <w:rPr>
                <w:rFonts w:ascii="Arial" w:hAnsi="Arial" w:eastAsia="宋体" w:cs="Arial"/>
                <w:sz w:val="24"/>
                <w:lang w:eastAsia="zh-CN"/>
              </w:rPr>
              <w:t>阵发性房颤</w:t>
            </w:r>
            <w:r>
              <w:rPr>
                <w:rFonts w:ascii="Arial" w:hAnsi="Arial" w:eastAsia="宋体" w:cs="Arial"/>
                <w:sz w:val="24"/>
                <w:szCs w:val="24"/>
                <w:lang w:eastAsia="zh-CN"/>
              </w:rPr>
              <w:t>（≥2次发作）一般在七天内自发终止。≤48小时且可通过电疗或药物复律终止的房颤发作也应分类为阵发性</w:t>
            </w:r>
            <w:r>
              <w:rPr>
                <w:rFonts w:ascii="Arial" w:hAnsi="Arial" w:eastAsia="宋体" w:cs="Arial"/>
                <w:sz w:val="24"/>
                <w:lang w:eastAsia="zh-CN"/>
              </w:rPr>
              <w:t>房颤</w:t>
            </w:r>
            <w:r>
              <w:rPr>
                <w:rFonts w:ascii="Arial" w:hAnsi="Arial" w:eastAsia="宋体" w:cs="Arial"/>
                <w:sz w:val="24"/>
                <w:szCs w:val="24"/>
                <w:lang w:eastAsia="zh-CN"/>
              </w:rPr>
              <w:t>发作。</w:t>
            </w:r>
          </w:p>
        </w:tc>
      </w:tr>
      <w:tr w14:paraId="2B983426">
        <w:tblPrEx>
          <w:tblCellMar>
            <w:top w:w="0" w:type="dxa"/>
            <w:left w:w="0" w:type="dxa"/>
            <w:bottom w:w="0" w:type="dxa"/>
            <w:right w:w="0" w:type="dxa"/>
          </w:tblCellMar>
        </w:tblPrEx>
        <w:tc>
          <w:tcPr>
            <w:tcW w:w="3240" w:type="dxa"/>
            <w:tcBorders>
              <w:top w:val="single" w:color="000000" w:sz="12" w:space="0"/>
              <w:left w:val="single" w:color="000000" w:sz="12" w:space="0"/>
              <w:bottom w:val="single" w:color="000000" w:sz="12" w:space="0"/>
              <w:right w:val="single" w:color="000000" w:sz="12" w:space="0"/>
            </w:tcBorders>
            <w:vAlign w:val="center"/>
          </w:tcPr>
          <w:p w14:paraId="5A2D5927">
            <w:pPr>
              <w:pStyle w:val="17"/>
              <w:snapToGrid w:val="0"/>
              <w:spacing w:before="52" w:line="300" w:lineRule="auto"/>
              <w:ind w:left="93"/>
              <w:jc w:val="both"/>
              <w:rPr>
                <w:rFonts w:ascii="Arial" w:hAnsi="Arial" w:eastAsia="宋体" w:cs="Arial"/>
                <w:sz w:val="24"/>
                <w:szCs w:val="24"/>
              </w:rPr>
            </w:pPr>
            <w:r>
              <w:rPr>
                <w:rFonts w:ascii="Arial" w:hAnsi="Arial" w:eastAsia="宋体" w:cs="Arial"/>
                <w:sz w:val="24"/>
              </w:rPr>
              <w:t>持续性房颤</w:t>
            </w:r>
          </w:p>
        </w:tc>
        <w:tc>
          <w:tcPr>
            <w:tcW w:w="5148" w:type="dxa"/>
            <w:tcBorders>
              <w:top w:val="single" w:color="000000" w:sz="12" w:space="0"/>
              <w:left w:val="single" w:color="000000" w:sz="12" w:space="0"/>
              <w:bottom w:val="single" w:color="000000" w:sz="12" w:space="0"/>
              <w:right w:val="single" w:color="000000" w:sz="12" w:space="0"/>
            </w:tcBorders>
            <w:vAlign w:val="center"/>
          </w:tcPr>
          <w:p w14:paraId="2B31C4B3">
            <w:pPr>
              <w:pStyle w:val="17"/>
              <w:snapToGrid w:val="0"/>
              <w:spacing w:before="52" w:line="300" w:lineRule="auto"/>
              <w:ind w:left="93"/>
              <w:jc w:val="both"/>
              <w:rPr>
                <w:rFonts w:ascii="Arial" w:hAnsi="Arial" w:eastAsia="宋体" w:cs="Arial"/>
                <w:sz w:val="24"/>
                <w:szCs w:val="24"/>
                <w:lang w:eastAsia="zh-CN"/>
              </w:rPr>
            </w:pPr>
            <w:r>
              <w:rPr>
                <w:rFonts w:ascii="Arial" w:hAnsi="Arial" w:eastAsia="宋体" w:cs="Arial"/>
                <w:sz w:val="24"/>
                <w:lang w:eastAsia="zh-CN"/>
              </w:rPr>
              <w:t>持续七天以上但未超过一年的房颤。其中应在48小时之后但在7天之前对患者进行电疗或药理复律的连续性房颤发作也应分类为持续性房颤发作。</w:t>
            </w:r>
          </w:p>
        </w:tc>
      </w:tr>
      <w:tr w14:paraId="482CF2FA">
        <w:tblPrEx>
          <w:tblCellMar>
            <w:top w:w="0" w:type="dxa"/>
            <w:left w:w="0" w:type="dxa"/>
            <w:bottom w:w="0" w:type="dxa"/>
            <w:right w:w="0" w:type="dxa"/>
          </w:tblCellMar>
        </w:tblPrEx>
        <w:tc>
          <w:tcPr>
            <w:tcW w:w="3240" w:type="dxa"/>
            <w:tcBorders>
              <w:top w:val="single" w:color="000000" w:sz="12" w:space="0"/>
              <w:left w:val="single" w:color="000000" w:sz="12" w:space="0"/>
              <w:bottom w:val="single" w:color="000000" w:sz="12" w:space="0"/>
              <w:right w:val="single" w:color="000000" w:sz="12" w:space="0"/>
            </w:tcBorders>
            <w:vAlign w:val="center"/>
          </w:tcPr>
          <w:p w14:paraId="4EFE7CF9">
            <w:pPr>
              <w:pStyle w:val="17"/>
              <w:snapToGrid w:val="0"/>
              <w:spacing w:before="54" w:line="300" w:lineRule="auto"/>
              <w:ind w:left="93"/>
              <w:jc w:val="both"/>
              <w:rPr>
                <w:rFonts w:ascii="Arial" w:hAnsi="Arial" w:eastAsia="宋体" w:cs="Arial"/>
                <w:sz w:val="24"/>
                <w:szCs w:val="24"/>
              </w:rPr>
            </w:pPr>
            <w:r>
              <w:rPr>
                <w:rFonts w:ascii="Arial" w:hAnsi="Arial" w:eastAsia="宋体" w:cs="Arial"/>
                <w:sz w:val="24"/>
              </w:rPr>
              <w:t>长期持续性房颤</w:t>
            </w:r>
          </w:p>
        </w:tc>
        <w:tc>
          <w:tcPr>
            <w:tcW w:w="5148" w:type="dxa"/>
            <w:tcBorders>
              <w:top w:val="single" w:color="000000" w:sz="12" w:space="0"/>
              <w:left w:val="single" w:color="000000" w:sz="12" w:space="0"/>
              <w:bottom w:val="single" w:color="000000" w:sz="12" w:space="0"/>
              <w:right w:val="single" w:color="000000" w:sz="12" w:space="0"/>
            </w:tcBorders>
            <w:vAlign w:val="center"/>
          </w:tcPr>
          <w:p w14:paraId="33820331">
            <w:pPr>
              <w:pStyle w:val="17"/>
              <w:snapToGrid w:val="0"/>
              <w:spacing w:before="54" w:line="300" w:lineRule="auto"/>
              <w:ind w:left="93"/>
              <w:jc w:val="both"/>
              <w:rPr>
                <w:rFonts w:ascii="Arial" w:hAnsi="Arial" w:eastAsia="宋体" w:cs="Arial"/>
                <w:sz w:val="24"/>
                <w:szCs w:val="24"/>
                <w:lang w:eastAsia="zh-CN"/>
              </w:rPr>
            </w:pPr>
            <w:r>
              <w:rPr>
                <w:rFonts w:ascii="Arial" w:hAnsi="Arial" w:eastAsia="宋体" w:cs="Arial"/>
                <w:sz w:val="24"/>
                <w:lang w:eastAsia="zh-CN"/>
              </w:rPr>
              <w:t>持续时间超过一年的持续性房颤。</w:t>
            </w:r>
          </w:p>
        </w:tc>
      </w:tr>
      <w:tr w14:paraId="603B1BD9">
        <w:tblPrEx>
          <w:tblCellMar>
            <w:top w:w="0" w:type="dxa"/>
            <w:left w:w="0" w:type="dxa"/>
            <w:bottom w:w="0" w:type="dxa"/>
            <w:right w:w="0" w:type="dxa"/>
          </w:tblCellMar>
        </w:tblPrEx>
        <w:tc>
          <w:tcPr>
            <w:tcW w:w="3240" w:type="dxa"/>
            <w:tcBorders>
              <w:top w:val="single" w:color="000000" w:sz="12" w:space="0"/>
              <w:left w:val="single" w:color="000000" w:sz="12" w:space="0"/>
              <w:bottom w:val="single" w:color="000000" w:sz="12" w:space="0"/>
              <w:right w:val="single" w:color="000000" w:sz="12" w:space="0"/>
            </w:tcBorders>
            <w:vAlign w:val="center"/>
          </w:tcPr>
          <w:p w14:paraId="53919C3E">
            <w:pPr>
              <w:pStyle w:val="17"/>
              <w:snapToGrid w:val="0"/>
              <w:spacing w:before="54" w:line="300" w:lineRule="auto"/>
              <w:ind w:left="93"/>
              <w:jc w:val="both"/>
              <w:rPr>
                <w:rFonts w:ascii="Arial" w:hAnsi="Arial" w:eastAsia="宋体" w:cs="Arial"/>
                <w:sz w:val="24"/>
                <w:szCs w:val="24"/>
              </w:rPr>
            </w:pPr>
            <w:r>
              <w:rPr>
                <w:rFonts w:ascii="Arial" w:hAnsi="Arial" w:eastAsia="宋体" w:cs="Arial"/>
                <w:sz w:val="24"/>
              </w:rPr>
              <w:t>永久性房颤</w:t>
            </w:r>
          </w:p>
        </w:tc>
        <w:tc>
          <w:tcPr>
            <w:tcW w:w="5148" w:type="dxa"/>
            <w:tcBorders>
              <w:top w:val="single" w:color="000000" w:sz="12" w:space="0"/>
              <w:left w:val="single" w:color="000000" w:sz="12" w:space="0"/>
              <w:bottom w:val="single" w:color="000000" w:sz="12" w:space="0"/>
              <w:right w:val="single" w:color="000000" w:sz="12" w:space="0"/>
            </w:tcBorders>
            <w:vAlign w:val="center"/>
          </w:tcPr>
          <w:p w14:paraId="15574FA3">
            <w:pPr>
              <w:pStyle w:val="17"/>
              <w:snapToGrid w:val="0"/>
              <w:spacing w:before="54" w:line="300" w:lineRule="auto"/>
              <w:ind w:left="93"/>
              <w:jc w:val="both"/>
              <w:rPr>
                <w:rFonts w:ascii="Arial" w:hAnsi="Arial" w:eastAsia="宋体" w:cs="Arial"/>
                <w:sz w:val="24"/>
                <w:szCs w:val="24"/>
                <w:lang w:eastAsia="zh-CN"/>
              </w:rPr>
            </w:pPr>
            <w:r>
              <w:rPr>
                <w:rFonts w:ascii="Arial" w:hAnsi="Arial" w:eastAsia="宋体" w:cs="Arial"/>
                <w:sz w:val="24"/>
                <w:lang w:eastAsia="zh-CN"/>
              </w:rPr>
              <w:t>术语“永久性房颤”不适用于患者接受房颤的导管或手术消融术的情况，因为其是指一组患有其中决定不采取任何手段恢复窦性节律的连续性房颤的患者。</w:t>
            </w:r>
          </w:p>
        </w:tc>
      </w:tr>
    </w:tbl>
    <w:p w14:paraId="4F5F8E4F">
      <w:pPr>
        <w:snapToGrid w:val="0"/>
        <w:spacing w:line="300" w:lineRule="auto"/>
        <w:jc w:val="both"/>
        <w:rPr>
          <w:rFonts w:ascii="Arial" w:hAnsi="Arial" w:eastAsia="宋体" w:cs="Arial"/>
          <w:sz w:val="24"/>
          <w:szCs w:val="24"/>
          <w:lang w:eastAsia="zh-CN"/>
        </w:rPr>
        <w:sectPr>
          <w:pgSz w:w="12240" w:h="15840"/>
          <w:pgMar w:top="1134" w:right="1134" w:bottom="1134" w:left="1134" w:header="748" w:footer="773" w:gutter="0"/>
          <w:cols w:space="720" w:num="1"/>
          <w:docGrid w:linePitch="299" w:charSpace="0"/>
        </w:sectPr>
      </w:pPr>
    </w:p>
    <w:p w14:paraId="43947E81">
      <w:pPr>
        <w:snapToGrid w:val="0"/>
        <w:spacing w:line="300" w:lineRule="auto"/>
        <w:jc w:val="both"/>
        <w:rPr>
          <w:rFonts w:ascii="Arial" w:hAnsi="Arial" w:eastAsia="宋体" w:cs="Arial"/>
          <w:sz w:val="20"/>
          <w:szCs w:val="20"/>
          <w:lang w:eastAsia="zh-CN"/>
        </w:rPr>
      </w:pPr>
    </w:p>
    <w:p w14:paraId="42222A90">
      <w:pPr>
        <w:snapToGrid w:val="0"/>
        <w:spacing w:before="4" w:line="300" w:lineRule="auto"/>
        <w:jc w:val="both"/>
        <w:rPr>
          <w:rFonts w:ascii="Arial" w:hAnsi="Arial" w:eastAsia="宋体" w:cs="Arial"/>
          <w:sz w:val="19"/>
          <w:szCs w:val="19"/>
          <w:lang w:eastAsia="zh-CN"/>
        </w:rPr>
      </w:pPr>
    </w:p>
    <w:tbl>
      <w:tblPr>
        <w:tblStyle w:val="15"/>
        <w:tblW w:w="0" w:type="auto"/>
        <w:tblInd w:w="465" w:type="dxa"/>
        <w:tblLayout w:type="fixed"/>
        <w:tblCellMar>
          <w:top w:w="0" w:type="dxa"/>
          <w:left w:w="0" w:type="dxa"/>
          <w:bottom w:w="0" w:type="dxa"/>
          <w:right w:w="0" w:type="dxa"/>
        </w:tblCellMar>
      </w:tblPr>
      <w:tblGrid>
        <w:gridCol w:w="3240"/>
        <w:gridCol w:w="5148"/>
      </w:tblGrid>
      <w:tr w14:paraId="41ECD9C7">
        <w:tblPrEx>
          <w:tblCellMar>
            <w:top w:w="0" w:type="dxa"/>
            <w:left w:w="0" w:type="dxa"/>
            <w:bottom w:w="0" w:type="dxa"/>
            <w:right w:w="0" w:type="dxa"/>
          </w:tblCellMar>
        </w:tblPrEx>
        <w:trPr>
          <w:trHeight w:val="1147" w:hRule="exact"/>
        </w:trPr>
        <w:tc>
          <w:tcPr>
            <w:tcW w:w="3240" w:type="dxa"/>
            <w:tcBorders>
              <w:top w:val="single" w:color="000000" w:sz="4" w:space="0"/>
              <w:left w:val="single" w:color="000000" w:sz="12" w:space="0"/>
              <w:bottom w:val="single" w:color="000000" w:sz="12" w:space="0"/>
              <w:right w:val="single" w:color="000000" w:sz="12" w:space="0"/>
            </w:tcBorders>
          </w:tcPr>
          <w:p w14:paraId="5EE19A17">
            <w:pPr>
              <w:pStyle w:val="17"/>
              <w:snapToGrid w:val="0"/>
              <w:spacing w:before="52" w:line="300" w:lineRule="auto"/>
              <w:ind w:left="93"/>
              <w:jc w:val="both"/>
              <w:rPr>
                <w:rFonts w:ascii="Arial" w:hAnsi="Arial" w:eastAsia="宋体" w:cs="Arial"/>
                <w:sz w:val="24"/>
                <w:szCs w:val="24"/>
              </w:rPr>
            </w:pPr>
            <w:r>
              <w:rPr>
                <w:rFonts w:ascii="Arial" w:hAnsi="Arial" w:eastAsia="宋体" w:cs="Arial"/>
                <w:sz w:val="24"/>
                <w:szCs w:val="24"/>
                <w:lang w:eastAsia="zh-CN"/>
              </w:rPr>
              <w:t>孤立性房颤</w:t>
            </w:r>
          </w:p>
        </w:tc>
        <w:tc>
          <w:tcPr>
            <w:tcW w:w="5148" w:type="dxa"/>
            <w:tcBorders>
              <w:top w:val="single" w:color="000000" w:sz="4" w:space="0"/>
              <w:left w:val="single" w:color="000000" w:sz="12" w:space="0"/>
              <w:bottom w:val="single" w:color="000000" w:sz="12" w:space="0"/>
              <w:right w:val="single" w:color="000000" w:sz="12" w:space="0"/>
            </w:tcBorders>
          </w:tcPr>
          <w:p w14:paraId="5FF843A3">
            <w:pPr>
              <w:pStyle w:val="17"/>
              <w:snapToGrid w:val="0"/>
              <w:spacing w:before="52" w:line="300" w:lineRule="auto"/>
              <w:ind w:left="93"/>
              <w:jc w:val="both"/>
              <w:rPr>
                <w:rFonts w:ascii="Arial" w:hAnsi="Arial" w:eastAsia="宋体" w:cs="Arial"/>
                <w:sz w:val="24"/>
                <w:szCs w:val="24"/>
                <w:lang w:eastAsia="zh-CN"/>
              </w:rPr>
            </w:pPr>
            <w:r>
              <w:rPr>
                <w:rFonts w:ascii="Arial" w:hAnsi="Arial" w:eastAsia="宋体" w:cs="Arial"/>
                <w:sz w:val="24"/>
                <w:lang w:eastAsia="zh-CN"/>
              </w:rPr>
              <w:t>无心肺疾病（包括高血压）的临床或超声心动图证据的年轻个体（年龄在60岁以下）中的房颤。</w:t>
            </w:r>
          </w:p>
        </w:tc>
      </w:tr>
      <w:tr w14:paraId="2E118708">
        <w:tblPrEx>
          <w:tblCellMar>
            <w:top w:w="0" w:type="dxa"/>
            <w:left w:w="0" w:type="dxa"/>
            <w:bottom w:w="0" w:type="dxa"/>
            <w:right w:w="0" w:type="dxa"/>
          </w:tblCellMar>
        </w:tblPrEx>
        <w:trPr>
          <w:trHeight w:val="1157" w:hRule="exact"/>
        </w:trPr>
        <w:tc>
          <w:tcPr>
            <w:tcW w:w="3240" w:type="dxa"/>
            <w:tcBorders>
              <w:top w:val="single" w:color="000000" w:sz="12" w:space="0"/>
              <w:left w:val="single" w:color="000000" w:sz="12" w:space="0"/>
              <w:bottom w:val="single" w:color="000000" w:sz="12" w:space="0"/>
              <w:right w:val="single" w:color="000000" w:sz="12" w:space="0"/>
            </w:tcBorders>
          </w:tcPr>
          <w:p w14:paraId="7A25BB91">
            <w:pPr>
              <w:pStyle w:val="17"/>
              <w:snapToGrid w:val="0"/>
              <w:spacing w:before="54" w:line="300" w:lineRule="auto"/>
              <w:ind w:left="93"/>
              <w:jc w:val="both"/>
              <w:rPr>
                <w:rFonts w:ascii="Arial" w:hAnsi="Arial" w:eastAsia="宋体" w:cs="Arial"/>
                <w:sz w:val="24"/>
                <w:szCs w:val="24"/>
              </w:rPr>
            </w:pPr>
            <w:r>
              <w:rPr>
                <w:rFonts w:ascii="Arial" w:hAnsi="Arial" w:eastAsia="宋体" w:cs="Arial"/>
                <w:sz w:val="24"/>
                <w:szCs w:val="24"/>
                <w:lang w:eastAsia="zh-CN"/>
              </w:rPr>
              <w:t>连续性房颤</w:t>
            </w:r>
          </w:p>
        </w:tc>
        <w:tc>
          <w:tcPr>
            <w:tcW w:w="5148" w:type="dxa"/>
            <w:tcBorders>
              <w:top w:val="single" w:color="000000" w:sz="12" w:space="0"/>
              <w:left w:val="single" w:color="000000" w:sz="12" w:space="0"/>
              <w:bottom w:val="single" w:color="000000" w:sz="12" w:space="0"/>
              <w:right w:val="single" w:color="000000" w:sz="12" w:space="0"/>
            </w:tcBorders>
          </w:tcPr>
          <w:p w14:paraId="14CD66B4">
            <w:pPr>
              <w:pStyle w:val="17"/>
              <w:snapToGrid w:val="0"/>
              <w:spacing w:before="54" w:line="300" w:lineRule="auto"/>
              <w:ind w:left="93"/>
              <w:jc w:val="both"/>
              <w:rPr>
                <w:rFonts w:ascii="Arial" w:hAnsi="Arial" w:eastAsia="宋体" w:cs="Arial"/>
                <w:sz w:val="24"/>
                <w:szCs w:val="24"/>
                <w:lang w:eastAsia="zh-CN"/>
              </w:rPr>
            </w:pPr>
            <w:r>
              <w:rPr>
                <w:rFonts w:ascii="Arial" w:hAnsi="Arial" w:eastAsia="宋体" w:cs="Arial"/>
                <w:sz w:val="24"/>
                <w:lang w:eastAsia="zh-CN"/>
              </w:rPr>
              <w:t>存在于在既定时间段内进行的所有ECG监测上的不间断性房颤。</w:t>
            </w:r>
          </w:p>
        </w:tc>
      </w:tr>
    </w:tbl>
    <w:p w14:paraId="245BB4E2">
      <w:pPr>
        <w:snapToGrid w:val="0"/>
        <w:spacing w:line="300" w:lineRule="auto"/>
        <w:jc w:val="both"/>
        <w:rPr>
          <w:rFonts w:ascii="Arial" w:hAnsi="Arial" w:eastAsia="宋体" w:cs="Arial"/>
          <w:sz w:val="20"/>
          <w:szCs w:val="20"/>
          <w:lang w:eastAsia="zh-CN"/>
        </w:rPr>
      </w:pPr>
    </w:p>
    <w:p w14:paraId="5D05B26A">
      <w:pPr>
        <w:snapToGrid w:val="0"/>
        <w:spacing w:before="3" w:line="300" w:lineRule="auto"/>
        <w:jc w:val="both"/>
        <w:rPr>
          <w:rFonts w:ascii="Arial" w:hAnsi="Arial" w:eastAsia="宋体" w:cs="Arial"/>
          <w:sz w:val="19"/>
          <w:szCs w:val="19"/>
          <w:lang w:eastAsia="zh-CN"/>
        </w:rPr>
      </w:pPr>
    </w:p>
    <w:p w14:paraId="5E59DA7B">
      <w:pPr>
        <w:pStyle w:val="3"/>
        <w:numPr>
          <w:ilvl w:val="1"/>
          <w:numId w:val="1"/>
        </w:numPr>
        <w:tabs>
          <w:tab w:val="left" w:pos="1020"/>
        </w:tabs>
        <w:snapToGrid w:val="0"/>
        <w:spacing w:before="64" w:line="300" w:lineRule="auto"/>
        <w:ind w:left="539" w:hanging="539"/>
        <w:jc w:val="both"/>
        <w:rPr>
          <w:rFonts w:ascii="Arial" w:hAnsi="Arial" w:eastAsia="宋体" w:cs="Arial"/>
          <w:b w:val="0"/>
          <w:bCs w:val="0"/>
        </w:rPr>
      </w:pPr>
      <w:bookmarkStart w:id="7" w:name="A._Surgery_or_Surgical_Approach"/>
      <w:bookmarkEnd w:id="7"/>
      <w:bookmarkStart w:id="8" w:name="_Toc481156288"/>
      <w:r>
        <w:rPr>
          <w:rFonts w:ascii="Arial" w:hAnsi="Arial" w:eastAsia="宋体" w:cs="Arial"/>
        </w:rPr>
        <w:t>手术或手术方法</w:t>
      </w:r>
      <w:bookmarkEnd w:id="8"/>
    </w:p>
    <w:p w14:paraId="5B2DA1BD">
      <w:pPr>
        <w:pStyle w:val="5"/>
        <w:snapToGrid w:val="0"/>
        <w:spacing w:before="113" w:line="300" w:lineRule="auto"/>
        <w:ind w:left="0"/>
        <w:rPr>
          <w:rFonts w:ascii="Arial" w:hAnsi="Arial" w:eastAsia="宋体" w:cs="Arial"/>
          <w:lang w:eastAsia="zh-CN"/>
        </w:rPr>
      </w:pPr>
      <w:r>
        <w:rPr>
          <w:rFonts w:ascii="Arial" w:hAnsi="Arial" w:eastAsia="宋体" w:cs="Arial"/>
          <w:lang w:eastAsia="zh-CN"/>
        </w:rPr>
        <w:t>我们将手术或手术方法定义为在直接可视化下进行的临床手术。这意味着，临床医生能够直接地或通过实时视频观察消融器械和心脏组织之间的心外膜和/或心内膜接触的点或区域以确定所有或一些病变。例如，定义涵盖通过胸腔镜进行的胸腔手术和微创手术，只要临床医生在直接可视化下执行绝大多数的病变消融。从定义中特定排除的为主要在间接可视化下进行的临床手术，例如心脏导管插入术，或在透视或超声心动图导引下通过心包通路对心外膜进行的经皮入路。标题为“有关旨在治疗房颤的经皮导管消融术的临床研究设计”指导性文件可从以下网址获得：</w:t>
      </w:r>
      <w:r>
        <w:rPr>
          <w:rFonts w:ascii="Arial" w:hAnsi="Arial" w:eastAsia="宋体" w:cs="Arial"/>
          <w:color w:val="0000FF"/>
          <w:u w:val="single"/>
          <w:lang w:eastAsia="zh-CN"/>
        </w:rPr>
        <w:t>http：//www.fda.gov/MedicalDevices/DeviceRegulationandGuidance/GuidanceDocuments/uc m072590.htm</w:t>
      </w:r>
      <w:r>
        <w:rPr>
          <w:rFonts w:ascii="Arial" w:hAnsi="Arial" w:eastAsia="宋体" w:cs="Arial"/>
          <w:lang w:eastAsia="zh-CN"/>
        </w:rPr>
        <w:t>，且其涉及作为房颤治疗的导管消融术的研究设计。</w:t>
      </w:r>
    </w:p>
    <w:p w14:paraId="36BF647D">
      <w:pPr>
        <w:snapToGrid w:val="0"/>
        <w:spacing w:line="300" w:lineRule="auto"/>
        <w:jc w:val="both"/>
        <w:rPr>
          <w:rFonts w:ascii="Arial" w:hAnsi="Arial" w:eastAsia="宋体" w:cs="Arial"/>
          <w:sz w:val="20"/>
          <w:szCs w:val="20"/>
          <w:lang w:eastAsia="zh-CN"/>
        </w:rPr>
      </w:pPr>
    </w:p>
    <w:p w14:paraId="28389A44">
      <w:pPr>
        <w:snapToGrid w:val="0"/>
        <w:spacing w:before="7" w:line="300" w:lineRule="auto"/>
        <w:jc w:val="both"/>
        <w:rPr>
          <w:rFonts w:ascii="Arial" w:hAnsi="Arial" w:eastAsia="宋体" w:cs="Arial"/>
          <w:sz w:val="16"/>
          <w:szCs w:val="16"/>
          <w:lang w:eastAsia="zh-CN"/>
        </w:rPr>
      </w:pPr>
    </w:p>
    <w:p w14:paraId="447DC1C0">
      <w:pPr>
        <w:pStyle w:val="3"/>
        <w:numPr>
          <w:ilvl w:val="1"/>
          <w:numId w:val="1"/>
        </w:numPr>
        <w:tabs>
          <w:tab w:val="left" w:pos="1021"/>
        </w:tabs>
        <w:snapToGrid w:val="0"/>
        <w:spacing w:before="64" w:line="300" w:lineRule="auto"/>
        <w:ind w:left="539" w:hanging="539"/>
        <w:jc w:val="both"/>
        <w:rPr>
          <w:rFonts w:ascii="Arial" w:hAnsi="Arial" w:eastAsia="宋体" w:cs="Arial"/>
          <w:b w:val="0"/>
          <w:bCs w:val="0"/>
          <w:lang w:eastAsia="zh-CN"/>
        </w:rPr>
      </w:pPr>
      <w:bookmarkStart w:id="9" w:name="B._Paroxysmal,_Persistent,_and_Longstand"/>
      <w:bookmarkEnd w:id="9"/>
      <w:bookmarkStart w:id="10" w:name="_Toc481156289"/>
      <w:r>
        <w:rPr>
          <w:rFonts w:ascii="Arial" w:hAnsi="Arial" w:eastAsia="宋体" w:cs="Arial"/>
          <w:lang w:eastAsia="zh-CN"/>
        </w:rPr>
        <w:t>阵发性、持续性和长期持续性房颤</w:t>
      </w:r>
      <w:bookmarkEnd w:id="10"/>
    </w:p>
    <w:p w14:paraId="111594F9">
      <w:pPr>
        <w:pStyle w:val="5"/>
        <w:snapToGrid w:val="0"/>
        <w:spacing w:line="300" w:lineRule="auto"/>
        <w:ind w:left="0"/>
        <w:jc w:val="both"/>
        <w:rPr>
          <w:rFonts w:ascii="Arial" w:hAnsi="Arial" w:eastAsia="宋体" w:cs="Arial"/>
          <w:lang w:eastAsia="zh-CN"/>
        </w:rPr>
      </w:pPr>
      <w:r>
        <w:rPr>
          <w:rFonts w:ascii="Arial" w:hAnsi="Arial" w:eastAsia="宋体" w:cs="Arial"/>
          <w:lang w:eastAsia="zh-CN"/>
        </w:rPr>
        <w:t>上表定义了本指南所使用的“阵发性房颤”、“持续性房颤”、“长期持续性房颤”、“永久性房颤”等。这些术语</w:t>
      </w:r>
      <w:r>
        <w:rPr>
          <w:rFonts w:hint="eastAsia" w:ascii="Arial" w:hAnsi="Arial" w:eastAsia="宋体" w:cs="Arial"/>
          <w:lang w:eastAsia="zh-CN"/>
        </w:rPr>
        <w:t>选自</w:t>
      </w:r>
      <w:r>
        <w:rPr>
          <w:rFonts w:ascii="Arial" w:hAnsi="Arial" w:eastAsia="宋体" w:cs="Arial"/>
          <w:lang w:eastAsia="zh-CN"/>
        </w:rPr>
        <w:t>2012年HRS / EHRA / ECAS“有关房颤的导管和手术消融的专家共识声明”，并为本指导性文件做了少量修改。研究者认识到，受试者可能患有阵发性和持续性房颤。某患者的房颤类型的定义应为在消融手术后六个月内经历的最常见房颤类型。</w:t>
      </w:r>
    </w:p>
    <w:p w14:paraId="437756C3">
      <w:pPr>
        <w:snapToGrid w:val="0"/>
        <w:spacing w:before="9" w:line="300" w:lineRule="auto"/>
        <w:jc w:val="both"/>
        <w:rPr>
          <w:rFonts w:ascii="Arial" w:hAnsi="Arial" w:eastAsia="宋体" w:cs="Arial"/>
          <w:sz w:val="25"/>
          <w:szCs w:val="25"/>
          <w:lang w:eastAsia="zh-CN"/>
        </w:rPr>
      </w:pPr>
    </w:p>
    <w:p w14:paraId="322F7038">
      <w:pPr>
        <w:pStyle w:val="5"/>
        <w:snapToGrid w:val="0"/>
        <w:spacing w:line="300" w:lineRule="auto"/>
        <w:ind w:left="0"/>
        <w:jc w:val="both"/>
        <w:rPr>
          <w:rFonts w:ascii="Arial" w:hAnsi="Arial" w:eastAsia="宋体" w:cs="Arial"/>
          <w:lang w:eastAsia="zh-CN"/>
        </w:rPr>
      </w:pPr>
      <w:r>
        <w:rPr>
          <w:rFonts w:ascii="Arial" w:hAnsi="Arial" w:eastAsia="宋体" w:cs="Arial"/>
          <w:lang w:eastAsia="zh-CN"/>
        </w:rPr>
        <w:t>阵发性房颤具有自发性，并且可以在短时间内多次发生。这使得与持续性和长期持续性房颤相比，更难以对阵发性房颤的治疗有效性进行评价。FDA认为，除上述长期持续性房颤的定义外，根据用于电复律失败的定义，还可以认为具有失败电复律的受试者患有长期持续性房颤。</w:t>
      </w:r>
    </w:p>
    <w:p w14:paraId="3224AC16">
      <w:pPr>
        <w:snapToGrid w:val="0"/>
        <w:spacing w:line="300" w:lineRule="auto"/>
        <w:jc w:val="both"/>
        <w:rPr>
          <w:rFonts w:ascii="Arial" w:hAnsi="Arial" w:eastAsia="宋体" w:cs="Arial"/>
          <w:sz w:val="20"/>
          <w:szCs w:val="20"/>
          <w:lang w:eastAsia="zh-CN"/>
        </w:rPr>
      </w:pPr>
    </w:p>
    <w:p w14:paraId="1FF156B0">
      <w:pPr>
        <w:snapToGrid w:val="0"/>
        <w:spacing w:before="5" w:line="300" w:lineRule="auto"/>
        <w:jc w:val="both"/>
        <w:rPr>
          <w:rFonts w:ascii="Arial" w:hAnsi="Arial" w:eastAsia="宋体" w:cs="Arial"/>
          <w:sz w:val="21"/>
          <w:szCs w:val="21"/>
          <w:lang w:eastAsia="zh-CN"/>
        </w:rPr>
      </w:pPr>
    </w:p>
    <w:p w14:paraId="6FC0B516">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7" name="Group 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8" name="Group 9"/>
                        <wpg:cNvGrpSpPr/>
                        <wpg:grpSpPr>
                          <a:xfrm>
                            <a:off x="6" y="6"/>
                            <a:ext cx="2880" cy="2"/>
                            <a:chOff x="6" y="6"/>
                            <a:chExt cx="2880" cy="2"/>
                          </a:xfrm>
                        </wpg:grpSpPr>
                        <wps:wsp>
                          <wps:cNvPr id="9" name="Freeform 10"/>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gP6EhdQAAAADAQAADwAAAAAAAAABACAAAAAiAAAAZHJzL2Rvd25yZXYueG1s&#10;UEsBAhQAFAAAAAgAh07iQL2c338ZAwAA+QcAAA4AAAAAAAAAAQAgAAAAIwEAAGRycy9lMm9Eb2Mu&#10;eG1sUEsFBgAAAAAGAAYAWQEAAK4GAAAAAA==&#10;">
                <o:lock v:ext="edit" aspectratio="f"/>
                <v:group id="Group 9" o:spid="_x0000_s1026" o:spt="203" style="position:absolute;left:6;top:6;height:2;width:2880;" coordorigin="6,6" coordsize="2880,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10" o:spid="_x0000_s1026" o:spt="100" style="position:absolute;left:6;top:6;height:2;width:2880;" filled="f" stroked="t" coordsize="2880,1" o:gfxdata="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yKcrsAAADa&#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3110EA70">
      <w:pPr>
        <w:snapToGrid w:val="0"/>
        <w:spacing w:before="71" w:line="300" w:lineRule="auto"/>
        <w:ind w:hanging="1"/>
        <w:jc w:val="both"/>
        <w:rPr>
          <w:rFonts w:ascii="Arial" w:hAnsi="Arial" w:eastAsia="宋体" w:cs="Arial"/>
          <w:sz w:val="20"/>
          <w:szCs w:val="20"/>
          <w:lang w:eastAsia="zh-CN"/>
        </w:rPr>
      </w:pPr>
      <w:bookmarkStart w:id="11" w:name="_bookmark7"/>
      <w:bookmarkEnd w:id="11"/>
      <w:r>
        <w:rPr>
          <w:rFonts w:ascii="Arial" w:hAnsi="Arial" w:eastAsia="宋体" w:cs="Arial"/>
          <w:position w:val="9"/>
          <w:sz w:val="13"/>
        </w:rPr>
        <w:t xml:space="preserve">2 </w:t>
      </w:r>
      <w:r>
        <w:rPr>
          <w:rFonts w:ascii="Arial" w:hAnsi="Arial" w:eastAsia="宋体" w:cs="Arial"/>
          <w:sz w:val="20"/>
          <w:szCs w:val="20"/>
        </w:rPr>
        <w:t>Calkins H</w:t>
      </w:r>
      <w:r>
        <w:rPr>
          <w:rFonts w:ascii="Arial" w:hAnsi="Arial" w:eastAsia="宋体" w:cs="Arial"/>
          <w:sz w:val="20"/>
          <w:szCs w:val="20"/>
          <w:lang w:eastAsia="zh-CN"/>
        </w:rPr>
        <w:t>、</w:t>
      </w:r>
      <w:r>
        <w:rPr>
          <w:rFonts w:ascii="Arial" w:hAnsi="Arial" w:eastAsia="宋体" w:cs="Arial"/>
          <w:sz w:val="20"/>
          <w:szCs w:val="20"/>
        </w:rPr>
        <w:t>Kuck KH</w:t>
      </w:r>
      <w:r>
        <w:rPr>
          <w:rFonts w:ascii="Arial" w:hAnsi="Arial" w:eastAsia="宋体" w:cs="Arial"/>
          <w:sz w:val="20"/>
          <w:szCs w:val="20"/>
          <w:lang w:eastAsia="zh-CN"/>
        </w:rPr>
        <w:t>、</w:t>
      </w:r>
      <w:r>
        <w:rPr>
          <w:rFonts w:ascii="Arial" w:hAnsi="Arial" w:eastAsia="宋体" w:cs="Arial"/>
          <w:sz w:val="20"/>
          <w:szCs w:val="20"/>
        </w:rPr>
        <w:t>Cappato R等人。</w:t>
      </w:r>
      <w:r>
        <w:rPr>
          <w:rFonts w:ascii="Arial" w:hAnsi="Arial" w:eastAsia="宋体" w:cs="Arial"/>
          <w:sz w:val="20"/>
          <w:szCs w:val="20"/>
          <w:lang w:eastAsia="zh-CN"/>
        </w:rPr>
        <w:t>2012 HRS / EHRA / ECAS关于房颤的导管和手术消融术的专家共识声明：患者选择、手术技术、患者管理和随访、定义、终点和研究试验设计的建议。心律，201年2；9（4）：632-696。</w:t>
      </w:r>
    </w:p>
    <w:p w14:paraId="0E967592">
      <w:pPr>
        <w:snapToGrid w:val="0"/>
        <w:spacing w:line="300" w:lineRule="auto"/>
        <w:jc w:val="both"/>
        <w:rPr>
          <w:rFonts w:ascii="Arial" w:hAnsi="Arial" w:eastAsia="宋体" w:cs="Arial"/>
          <w:sz w:val="20"/>
          <w:szCs w:val="20"/>
          <w:lang w:eastAsia="zh-CN"/>
        </w:rPr>
        <w:sectPr>
          <w:pgSz w:w="12240" w:h="15840"/>
          <w:pgMar w:top="1134" w:right="1134" w:bottom="1134" w:left="1134" w:header="748" w:footer="773" w:gutter="0"/>
          <w:cols w:space="720" w:num="1"/>
          <w:docGrid w:linePitch="299" w:charSpace="0"/>
        </w:sectPr>
      </w:pPr>
    </w:p>
    <w:p w14:paraId="232FC756">
      <w:pPr>
        <w:pStyle w:val="3"/>
        <w:numPr>
          <w:ilvl w:val="1"/>
          <w:numId w:val="1"/>
        </w:numPr>
        <w:tabs>
          <w:tab w:val="left" w:pos="1020"/>
        </w:tabs>
        <w:snapToGrid w:val="0"/>
        <w:spacing w:before="220" w:line="288" w:lineRule="auto"/>
        <w:ind w:left="539" w:hanging="175"/>
        <w:jc w:val="both"/>
        <w:rPr>
          <w:rFonts w:ascii="Arial" w:hAnsi="Arial" w:eastAsia="宋体" w:cs="Arial"/>
          <w:b w:val="0"/>
          <w:bCs w:val="0"/>
          <w:lang w:eastAsia="zh-CN"/>
        </w:rPr>
      </w:pPr>
      <w:bookmarkStart w:id="12" w:name="C._AF_as_a_Rhythm_Disturbance_versus_AF_"/>
      <w:bookmarkEnd w:id="12"/>
      <w:bookmarkStart w:id="13" w:name="_Toc481156290"/>
      <w:r>
        <w:rPr>
          <w:rFonts w:ascii="Arial" w:hAnsi="Arial" w:eastAsia="宋体" w:cs="Arial"/>
          <w:lang w:eastAsia="zh-CN"/>
        </w:rPr>
        <w:t>作为节律失常的房颤与作为疾病的房颤</w:t>
      </w:r>
      <w:bookmarkEnd w:id="13"/>
    </w:p>
    <w:p w14:paraId="2D13196D">
      <w:pPr>
        <w:pStyle w:val="5"/>
        <w:snapToGrid w:val="0"/>
        <w:spacing w:before="113" w:line="288" w:lineRule="auto"/>
        <w:ind w:left="321" w:leftChars="146" w:firstLine="12"/>
        <w:jc w:val="both"/>
        <w:rPr>
          <w:rFonts w:ascii="Arial" w:hAnsi="Arial" w:eastAsia="宋体" w:cs="Arial"/>
          <w:lang w:eastAsia="zh-CN"/>
        </w:rPr>
      </w:pPr>
      <w:r>
        <w:rPr>
          <w:rFonts w:ascii="Arial" w:hAnsi="Arial" w:eastAsia="宋体" w:cs="Arial"/>
          <w:lang w:eastAsia="zh-CN"/>
        </w:rPr>
        <w:t>应将作为节律失常的房颤与作为疾病的房颤区分开来。作为节律失常的房颤仅仅是指在使用适当的心电图技术进行诊断后确认房颤存在。此外，作为疾病的房颤是指由房颤节律引起的功能障碍（例如，充血性心力衰竭和血栓栓塞性脑卒中）。我们将 “消除房颤”称为治疗作为节律失常的房颤的结果，以及将“治愈房颤”称为治疗作为疾病的房颤的结果。我们发现，本指南中的建议仅适用于寻求有关治疗作为节律失常的房颤的适应症的器械，但不适用于寻求有关治愈作为疾病的房颤的适应症的那些器械。</w:t>
      </w:r>
    </w:p>
    <w:p w14:paraId="2C15BF14">
      <w:pPr>
        <w:snapToGrid w:val="0"/>
        <w:spacing w:line="288" w:lineRule="auto"/>
        <w:jc w:val="both"/>
        <w:rPr>
          <w:rFonts w:ascii="Arial" w:hAnsi="Arial" w:eastAsia="宋体" w:cs="Arial"/>
          <w:sz w:val="24"/>
          <w:szCs w:val="24"/>
          <w:lang w:eastAsia="zh-CN"/>
        </w:rPr>
      </w:pPr>
    </w:p>
    <w:p w14:paraId="2EA2DB1A">
      <w:pPr>
        <w:pStyle w:val="2"/>
        <w:numPr>
          <w:ilvl w:val="0"/>
          <w:numId w:val="1"/>
        </w:numPr>
        <w:tabs>
          <w:tab w:val="left" w:pos="480"/>
        </w:tabs>
        <w:snapToGrid w:val="0"/>
        <w:spacing w:before="209" w:line="288" w:lineRule="auto"/>
        <w:ind w:left="357" w:hanging="357"/>
        <w:jc w:val="both"/>
        <w:rPr>
          <w:rFonts w:ascii="Arial" w:hAnsi="Arial" w:eastAsia="宋体" w:cs="Arial"/>
          <w:b w:val="0"/>
          <w:bCs w:val="0"/>
        </w:rPr>
      </w:pPr>
      <w:bookmarkStart w:id="14" w:name="4._Study_Design"/>
      <w:bookmarkEnd w:id="14"/>
      <w:bookmarkStart w:id="15" w:name="_Toc481156291"/>
      <w:r>
        <w:rPr>
          <w:rFonts w:ascii="Arial" w:hAnsi="Arial" w:eastAsia="宋体" w:cs="Arial"/>
        </w:rPr>
        <w:t>研究设计</w:t>
      </w:r>
      <w:bookmarkEnd w:id="15"/>
    </w:p>
    <w:p w14:paraId="278E2606">
      <w:pPr>
        <w:pStyle w:val="5"/>
        <w:snapToGrid w:val="0"/>
        <w:spacing w:before="115" w:line="288" w:lineRule="auto"/>
        <w:ind w:left="0"/>
        <w:jc w:val="both"/>
        <w:rPr>
          <w:rFonts w:ascii="Arial" w:hAnsi="Arial" w:eastAsia="宋体" w:cs="Arial"/>
          <w:lang w:eastAsia="zh-CN"/>
        </w:rPr>
      </w:pPr>
      <w:r>
        <w:rPr>
          <w:rFonts w:ascii="Arial" w:hAnsi="Arial" w:eastAsia="宋体" w:cs="Arial"/>
          <w:lang w:eastAsia="zh-CN"/>
        </w:rPr>
        <w:t>FDA认识到，对于器械的临床研究，不存在特定的“</w:t>
      </w:r>
      <w:r>
        <w:rPr>
          <w:rFonts w:hint="eastAsia" w:ascii="Arial" w:hAnsi="Arial" w:eastAsia="宋体" w:cs="Arial"/>
          <w:lang w:eastAsia="zh-CN"/>
        </w:rPr>
        <w:t>最佳设计</w:t>
      </w:r>
      <w:r>
        <w:rPr>
          <w:rFonts w:ascii="Arial" w:hAnsi="Arial" w:eastAsia="宋体" w:cs="Arial"/>
          <w:lang w:eastAsia="zh-CN"/>
        </w:rPr>
        <w:t>”。然而，本文件中讨论的要素体现了FDA目前对适用于这些器械的研究设计的见解。对器械的任何临床试验的设计、执行和分析应适用于生成有效的科学证据，证实该器械在其预期用途和患者人群中的安全性和有效性。（见21 CFR 860.7。）</w:t>
      </w:r>
    </w:p>
    <w:p w14:paraId="4B7522DA">
      <w:pPr>
        <w:snapToGrid w:val="0"/>
        <w:spacing w:line="288" w:lineRule="auto"/>
        <w:jc w:val="both"/>
        <w:rPr>
          <w:rFonts w:ascii="Arial" w:hAnsi="Arial" w:eastAsia="宋体" w:cs="Arial"/>
          <w:sz w:val="24"/>
          <w:szCs w:val="24"/>
          <w:lang w:eastAsia="zh-CN"/>
        </w:rPr>
      </w:pPr>
    </w:p>
    <w:p w14:paraId="742EE777">
      <w:pPr>
        <w:pStyle w:val="3"/>
        <w:numPr>
          <w:ilvl w:val="1"/>
          <w:numId w:val="1"/>
        </w:numPr>
        <w:tabs>
          <w:tab w:val="left" w:pos="1020"/>
        </w:tabs>
        <w:snapToGrid w:val="0"/>
        <w:spacing w:line="288" w:lineRule="auto"/>
        <w:ind w:left="1050" w:hanging="672"/>
        <w:jc w:val="both"/>
        <w:rPr>
          <w:rFonts w:ascii="Arial" w:hAnsi="Arial" w:eastAsia="宋体" w:cs="Arial"/>
          <w:b w:val="0"/>
          <w:bCs w:val="0"/>
        </w:rPr>
      </w:pPr>
      <w:bookmarkStart w:id="16" w:name="A._Randomized_Controlled_Trials"/>
      <w:bookmarkEnd w:id="16"/>
      <w:r>
        <w:rPr>
          <w:rFonts w:ascii="Arial" w:hAnsi="Arial" w:eastAsia="宋体" w:cs="Arial"/>
        </w:rPr>
        <w:t>随机对照试验</w:t>
      </w:r>
    </w:p>
    <w:p w14:paraId="39BE7B94">
      <w:pPr>
        <w:pStyle w:val="5"/>
        <w:snapToGrid w:val="0"/>
        <w:spacing w:before="113" w:line="288" w:lineRule="auto"/>
        <w:ind w:left="321" w:leftChars="146" w:firstLine="12"/>
        <w:jc w:val="both"/>
        <w:rPr>
          <w:rFonts w:ascii="Arial" w:hAnsi="Arial" w:eastAsia="宋体" w:cs="Arial"/>
          <w:lang w:eastAsia="zh-CN"/>
        </w:rPr>
      </w:pPr>
      <w:r>
        <w:rPr>
          <w:rFonts w:ascii="Arial" w:hAnsi="Arial" w:eastAsia="宋体" w:cs="Arial"/>
          <w:lang w:eastAsia="zh-CN"/>
        </w:rPr>
        <w:t>FDA认为，一般来说，随机对照试验（RCT）可为生成用于治疗房颤的手术消融器械的有效科学证据提供最小负担方法。RCT设计的潜在优势可有助于对器械有效性和安全性进行评价。随机化也为统计推断提供了合理基础。</w:t>
      </w:r>
    </w:p>
    <w:p w14:paraId="451865B7">
      <w:pPr>
        <w:snapToGrid w:val="0"/>
        <w:spacing w:line="288" w:lineRule="auto"/>
        <w:jc w:val="both"/>
        <w:rPr>
          <w:rFonts w:ascii="Arial" w:hAnsi="Arial" w:eastAsia="宋体" w:cs="Arial"/>
          <w:sz w:val="24"/>
          <w:szCs w:val="24"/>
          <w:lang w:eastAsia="zh-CN"/>
        </w:rPr>
      </w:pPr>
    </w:p>
    <w:p w14:paraId="2E3BB31D">
      <w:pPr>
        <w:pStyle w:val="5"/>
        <w:snapToGrid w:val="0"/>
        <w:spacing w:before="113" w:line="288" w:lineRule="auto"/>
        <w:ind w:left="321" w:leftChars="146" w:firstLine="12"/>
        <w:jc w:val="both"/>
        <w:rPr>
          <w:rFonts w:ascii="Arial" w:hAnsi="Arial" w:eastAsia="宋体" w:cs="Arial"/>
          <w:lang w:eastAsia="zh-CN"/>
        </w:rPr>
      </w:pPr>
      <w:r>
        <w:rPr>
          <w:rFonts w:ascii="Arial" w:hAnsi="Arial" w:eastAsia="宋体" w:cs="Arial"/>
          <w:lang w:eastAsia="zh-CN"/>
        </w:rPr>
        <w:t>贵公司最好通过随机将单个样本人群分为试验组（即，使用研究器械进行消融）或对照组（即，未进行消融或针对所寻求的适应症使用经批准的器械进行消融），保证试验组和对照组中的受试者人群相似。这种技术可以避免群组之间在可能影响安全性和/或有效性结果的已知或未知基线变量之间的系统差异。可能影响安全性（不良事件发生率）和/或有效性的变量包括患者特性、伴行心肺疾病、术前房颤持续时间、左心房大小、射血分数、</w:t>
      </w:r>
      <w:r>
        <w:rPr>
          <w:rFonts w:hint="eastAsia" w:ascii="Arial" w:hAnsi="Arial" w:eastAsia="宋体" w:cs="Arial"/>
          <w:lang w:eastAsia="zh-CN"/>
        </w:rPr>
        <w:t>合并</w:t>
      </w:r>
      <w:r>
        <w:rPr>
          <w:rFonts w:ascii="Arial" w:hAnsi="Arial" w:eastAsia="宋体" w:cs="Arial"/>
          <w:lang w:eastAsia="zh-CN"/>
        </w:rPr>
        <w:t>药物治疗、器械设计、伴行心脏手术、不断发展中的手术方法和操作员经验。无法消除治疗组之间的系统差异是没有设计同期随机对照的研究中存在的主要问题。</w:t>
      </w:r>
    </w:p>
    <w:p w14:paraId="69BAB549">
      <w:pPr>
        <w:snapToGrid w:val="0"/>
        <w:spacing w:before="9" w:line="288" w:lineRule="auto"/>
        <w:jc w:val="both"/>
        <w:rPr>
          <w:rFonts w:ascii="Arial" w:hAnsi="Arial" w:eastAsia="宋体" w:cs="Arial"/>
          <w:sz w:val="23"/>
          <w:szCs w:val="23"/>
          <w:lang w:eastAsia="zh-CN"/>
        </w:rPr>
      </w:pPr>
    </w:p>
    <w:p w14:paraId="5E5C3880">
      <w:pPr>
        <w:pStyle w:val="5"/>
        <w:snapToGrid w:val="0"/>
        <w:spacing w:before="113" w:line="288" w:lineRule="auto"/>
        <w:ind w:left="321" w:leftChars="146" w:firstLine="12"/>
        <w:jc w:val="both"/>
        <w:rPr>
          <w:rFonts w:ascii="Arial" w:hAnsi="Arial" w:eastAsia="宋体" w:cs="Arial"/>
          <w:lang w:eastAsia="zh-CN"/>
        </w:rPr>
      </w:pPr>
      <w:r>
        <w:rPr>
          <w:rFonts w:ascii="Arial" w:hAnsi="Arial" w:eastAsia="宋体" w:cs="Arial"/>
          <w:lang w:eastAsia="zh-CN"/>
        </w:rPr>
        <w:t>基于这些考虑因素，FDA建议在设计研究时应首先考虑选择RCT，其中对照组包括针对所寻求的适应症使用经批准的器械或疗法进行的治疗。</w:t>
      </w:r>
    </w:p>
    <w:p w14:paraId="53705AD5">
      <w:pPr>
        <w:snapToGrid w:val="0"/>
        <w:spacing w:line="288" w:lineRule="auto"/>
        <w:jc w:val="both"/>
        <w:rPr>
          <w:rFonts w:ascii="Arial" w:hAnsi="Arial" w:eastAsia="宋体" w:cs="Arial"/>
          <w:sz w:val="24"/>
          <w:szCs w:val="24"/>
          <w:lang w:eastAsia="zh-CN"/>
        </w:rPr>
      </w:pPr>
    </w:p>
    <w:p w14:paraId="6668D280">
      <w:pPr>
        <w:pStyle w:val="5"/>
        <w:snapToGrid w:val="0"/>
        <w:spacing w:before="113" w:line="288" w:lineRule="auto"/>
        <w:ind w:left="321" w:leftChars="146" w:firstLine="12"/>
        <w:jc w:val="both"/>
        <w:rPr>
          <w:rFonts w:ascii="Arial" w:hAnsi="Arial" w:eastAsia="宋体" w:cs="Arial"/>
          <w:sz w:val="20"/>
          <w:szCs w:val="20"/>
          <w:lang w:eastAsia="zh-CN"/>
        </w:rPr>
      </w:pPr>
      <w:r>
        <w:rPr>
          <w:rFonts w:ascii="Arial" w:hAnsi="Arial" w:eastAsia="宋体" w:cs="Arial"/>
          <w:lang w:eastAsia="zh-CN"/>
        </w:rPr>
        <w:t>如果贵公司进行RCT，我们建议贵公司选择适当的对照疗法或对照组。特定控制是否合适取决于以下条件：</w:t>
      </w:r>
    </w:p>
    <w:p w14:paraId="0B2223B4">
      <w:pPr>
        <w:pStyle w:val="16"/>
        <w:numPr>
          <w:ilvl w:val="0"/>
          <w:numId w:val="2"/>
        </w:numPr>
        <w:tabs>
          <w:tab w:val="left" w:pos="812"/>
        </w:tabs>
        <w:snapToGrid w:val="0"/>
        <w:spacing w:line="300" w:lineRule="auto"/>
        <w:ind w:left="357" w:hanging="21"/>
        <w:jc w:val="both"/>
        <w:rPr>
          <w:rFonts w:ascii="Arial" w:hAnsi="Arial" w:eastAsia="宋体" w:cs="Arial"/>
          <w:sz w:val="24"/>
          <w:lang w:eastAsia="zh-CN"/>
        </w:rPr>
      </w:pPr>
      <w:r>
        <w:rPr>
          <w:rFonts w:ascii="Arial" w:hAnsi="Arial" w:eastAsia="宋体" w:cs="Arial"/>
          <w:sz w:val="24"/>
          <w:lang w:eastAsia="zh-CN"/>
        </w:rPr>
        <w:t>研究中的具体适应症；</w:t>
      </w:r>
    </w:p>
    <w:p w14:paraId="29398AB6">
      <w:pPr>
        <w:pStyle w:val="16"/>
        <w:numPr>
          <w:ilvl w:val="0"/>
          <w:numId w:val="2"/>
        </w:numPr>
        <w:tabs>
          <w:tab w:val="left" w:pos="812"/>
        </w:tabs>
        <w:snapToGrid w:val="0"/>
        <w:spacing w:line="300" w:lineRule="auto"/>
        <w:ind w:left="357" w:hanging="21"/>
        <w:jc w:val="both"/>
        <w:rPr>
          <w:rFonts w:ascii="Arial" w:hAnsi="Arial" w:eastAsia="宋体" w:cs="Arial"/>
          <w:sz w:val="24"/>
        </w:rPr>
      </w:pPr>
      <w:r>
        <w:rPr>
          <w:rFonts w:ascii="Arial" w:hAnsi="Arial" w:eastAsia="宋体" w:cs="Arial"/>
          <w:sz w:val="24"/>
          <w:lang w:eastAsia="zh-CN"/>
        </w:rPr>
        <w:t>预期</w:t>
      </w:r>
      <w:r>
        <w:rPr>
          <w:rFonts w:ascii="Arial" w:hAnsi="Arial" w:eastAsia="宋体" w:cs="Arial"/>
          <w:sz w:val="24"/>
        </w:rPr>
        <w:t>目标患者</w:t>
      </w:r>
      <w:r>
        <w:rPr>
          <w:rFonts w:ascii="Arial" w:hAnsi="Arial" w:eastAsia="宋体" w:cs="Arial"/>
          <w:sz w:val="24"/>
          <w:lang w:eastAsia="zh-CN"/>
        </w:rPr>
        <w:t>人群；</w:t>
      </w:r>
    </w:p>
    <w:p w14:paraId="14029919">
      <w:pPr>
        <w:pStyle w:val="16"/>
        <w:numPr>
          <w:ilvl w:val="0"/>
          <w:numId w:val="2"/>
        </w:numPr>
        <w:tabs>
          <w:tab w:val="left" w:pos="812"/>
        </w:tabs>
        <w:snapToGrid w:val="0"/>
        <w:spacing w:line="300" w:lineRule="auto"/>
        <w:ind w:left="357" w:hanging="21"/>
        <w:jc w:val="both"/>
        <w:rPr>
          <w:rFonts w:ascii="Arial" w:hAnsi="Arial" w:eastAsia="宋体" w:cs="Arial"/>
          <w:sz w:val="24"/>
          <w:lang w:eastAsia="zh-CN"/>
        </w:rPr>
      </w:pPr>
      <w:r>
        <w:rPr>
          <w:rFonts w:ascii="Arial" w:hAnsi="Arial" w:eastAsia="宋体" w:cs="Arial"/>
          <w:sz w:val="24"/>
          <w:lang w:eastAsia="zh-CN"/>
        </w:rPr>
        <w:t>适用于</w:t>
      </w:r>
      <w:r>
        <w:rPr>
          <w:rFonts w:ascii="Arial" w:hAnsi="Arial" w:eastAsia="宋体" w:cs="Arial"/>
          <w:lang w:eastAsia="zh-CN"/>
        </w:rPr>
        <w:t>所寻求适应症的</w:t>
      </w:r>
      <w:r>
        <w:rPr>
          <w:rFonts w:ascii="Arial" w:hAnsi="Arial" w:eastAsia="宋体" w:cs="Arial"/>
          <w:sz w:val="24"/>
          <w:lang w:eastAsia="zh-CN"/>
        </w:rPr>
        <w:t>批准器械的可用性；</w:t>
      </w:r>
    </w:p>
    <w:p w14:paraId="43817BC2">
      <w:pPr>
        <w:pStyle w:val="16"/>
        <w:numPr>
          <w:ilvl w:val="0"/>
          <w:numId w:val="2"/>
        </w:numPr>
        <w:tabs>
          <w:tab w:val="left" w:pos="812"/>
        </w:tabs>
        <w:snapToGrid w:val="0"/>
        <w:spacing w:line="300" w:lineRule="auto"/>
        <w:ind w:left="357" w:hanging="21"/>
        <w:jc w:val="both"/>
        <w:rPr>
          <w:rFonts w:ascii="Arial" w:hAnsi="Arial" w:eastAsia="宋体" w:cs="Arial"/>
          <w:sz w:val="24"/>
        </w:rPr>
      </w:pPr>
      <w:r>
        <w:rPr>
          <w:rFonts w:ascii="Arial" w:hAnsi="Arial" w:eastAsia="宋体" w:cs="Arial"/>
          <w:sz w:val="24"/>
        </w:rPr>
        <w:t>器械设计；</w:t>
      </w:r>
    </w:p>
    <w:p w14:paraId="2AB82B07">
      <w:pPr>
        <w:pStyle w:val="16"/>
        <w:numPr>
          <w:ilvl w:val="0"/>
          <w:numId w:val="2"/>
        </w:numPr>
        <w:tabs>
          <w:tab w:val="left" w:pos="812"/>
        </w:tabs>
        <w:snapToGrid w:val="0"/>
        <w:spacing w:line="300" w:lineRule="auto"/>
        <w:ind w:left="357" w:hanging="21"/>
        <w:jc w:val="both"/>
        <w:rPr>
          <w:rFonts w:ascii="Arial" w:hAnsi="Arial" w:eastAsia="宋体" w:cs="Arial"/>
          <w:sz w:val="24"/>
          <w:lang w:eastAsia="zh-CN"/>
        </w:rPr>
      </w:pPr>
      <w:r>
        <w:rPr>
          <w:rFonts w:ascii="Arial" w:hAnsi="Arial" w:eastAsia="宋体" w:cs="Arial"/>
          <w:sz w:val="24"/>
          <w:lang w:eastAsia="zh-CN"/>
        </w:rPr>
        <w:t>潜在混杂因素的评估；以及</w:t>
      </w:r>
    </w:p>
    <w:p w14:paraId="64AC0382">
      <w:pPr>
        <w:pStyle w:val="16"/>
        <w:numPr>
          <w:ilvl w:val="0"/>
          <w:numId w:val="2"/>
        </w:numPr>
        <w:tabs>
          <w:tab w:val="left" w:pos="812"/>
        </w:tabs>
        <w:snapToGrid w:val="0"/>
        <w:spacing w:line="300" w:lineRule="auto"/>
        <w:ind w:left="357" w:hanging="21"/>
        <w:jc w:val="both"/>
        <w:rPr>
          <w:rFonts w:ascii="Arial" w:hAnsi="Arial" w:eastAsia="宋体" w:cs="Arial"/>
          <w:sz w:val="24"/>
          <w:lang w:eastAsia="zh-CN"/>
        </w:rPr>
      </w:pPr>
      <w:r>
        <w:rPr>
          <w:rFonts w:ascii="Arial" w:hAnsi="Arial" w:eastAsia="宋体" w:cs="Arial"/>
          <w:sz w:val="24"/>
          <w:lang w:eastAsia="zh-CN"/>
        </w:rPr>
        <w:t>任何伴行心脏手术。</w:t>
      </w:r>
    </w:p>
    <w:p w14:paraId="78C43DE3">
      <w:pPr>
        <w:snapToGrid w:val="0"/>
        <w:spacing w:before="4" w:line="300" w:lineRule="auto"/>
        <w:jc w:val="both"/>
        <w:rPr>
          <w:rFonts w:ascii="Arial" w:hAnsi="Arial" w:eastAsia="宋体" w:cs="Arial"/>
          <w:sz w:val="21"/>
          <w:szCs w:val="21"/>
          <w:lang w:eastAsia="zh-CN"/>
        </w:rPr>
      </w:pPr>
    </w:p>
    <w:p w14:paraId="08AF7998">
      <w:pPr>
        <w:pStyle w:val="3"/>
        <w:numPr>
          <w:ilvl w:val="1"/>
          <w:numId w:val="1"/>
        </w:numPr>
        <w:tabs>
          <w:tab w:val="left" w:pos="661"/>
        </w:tabs>
        <w:snapToGrid w:val="0"/>
        <w:spacing w:before="0" w:line="300" w:lineRule="auto"/>
        <w:ind w:left="539" w:hanging="539"/>
        <w:jc w:val="both"/>
        <w:rPr>
          <w:rFonts w:ascii="Arial" w:hAnsi="Arial" w:eastAsia="宋体" w:cs="Arial"/>
          <w:b w:val="0"/>
          <w:bCs w:val="0"/>
        </w:rPr>
      </w:pPr>
      <w:bookmarkStart w:id="17" w:name="B._Alternative_Study_Designs"/>
      <w:bookmarkEnd w:id="17"/>
      <w:bookmarkStart w:id="18" w:name="_Toc481156293"/>
      <w:r>
        <w:rPr>
          <w:rFonts w:ascii="Arial" w:hAnsi="Arial" w:eastAsia="宋体" w:cs="Arial"/>
        </w:rPr>
        <w:t>替代</w:t>
      </w:r>
      <w:r>
        <w:rPr>
          <w:rFonts w:ascii="Arial" w:hAnsi="Arial" w:eastAsia="宋体" w:cs="Arial"/>
          <w:lang w:eastAsia="zh-CN"/>
        </w:rPr>
        <w:t>性</w:t>
      </w:r>
      <w:r>
        <w:rPr>
          <w:rFonts w:ascii="Arial" w:hAnsi="Arial" w:eastAsia="宋体" w:cs="Arial"/>
        </w:rPr>
        <w:t>研究设计</w:t>
      </w:r>
      <w:bookmarkEnd w:id="18"/>
    </w:p>
    <w:p w14:paraId="6DE5F0EA">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虽然我们一般推荐进行RCT，但我们也会考虑科学合理且适用于回答相关安全性和有效性问题的替代性研究设计。如果贵公司的替代性研究设计脱离了RCT设计，我们建议贵公司采用严格的方法来减少潜在的偏差来源和其他混杂因素。我们还建议贵公司彻底说明用于支持贵公司的IDE提交材料中的设计的科学依据。我们注意到，如果FDA有理由认为，对受试者的预期收益以及待获得知识的重要性并未超过对受试者的风险，FDA可能会拒绝IDE申请。（请参见21 CFR 812.30（b）（4））</w:t>
      </w:r>
    </w:p>
    <w:p w14:paraId="4C67733B">
      <w:pPr>
        <w:snapToGrid w:val="0"/>
        <w:spacing w:before="8" w:line="300" w:lineRule="auto"/>
        <w:jc w:val="both"/>
        <w:rPr>
          <w:rFonts w:ascii="Arial" w:hAnsi="Arial" w:eastAsia="宋体" w:cs="Arial"/>
          <w:sz w:val="31"/>
          <w:szCs w:val="31"/>
          <w:lang w:eastAsia="zh-CN"/>
        </w:rPr>
      </w:pPr>
    </w:p>
    <w:p w14:paraId="6FBB95C5">
      <w:pPr>
        <w:pStyle w:val="4"/>
        <w:snapToGrid w:val="0"/>
        <w:spacing w:line="300" w:lineRule="auto"/>
        <w:ind w:left="0"/>
        <w:jc w:val="both"/>
        <w:rPr>
          <w:rFonts w:ascii="Arial" w:hAnsi="Arial" w:eastAsia="宋体" w:cs="Arial"/>
          <w:b w:val="0"/>
          <w:bCs w:val="0"/>
          <w:u w:val="none"/>
          <w:lang w:eastAsia="zh-CN"/>
        </w:rPr>
      </w:pPr>
      <w:bookmarkStart w:id="19" w:name="Non-Randomized_Concurrent_Controls"/>
      <w:bookmarkEnd w:id="19"/>
      <w:bookmarkStart w:id="20" w:name="_Toc481156294"/>
      <w:r>
        <w:rPr>
          <w:rFonts w:ascii="Arial" w:hAnsi="Arial" w:eastAsia="宋体" w:cs="Arial"/>
          <w:u w:val="thick" w:color="000000"/>
          <w:lang w:eastAsia="zh-CN"/>
        </w:rPr>
        <w:t>非随机同期对照</w:t>
      </w:r>
      <w:bookmarkEnd w:id="20"/>
    </w:p>
    <w:p w14:paraId="6018258A">
      <w:pPr>
        <w:pStyle w:val="5"/>
        <w:snapToGrid w:val="0"/>
        <w:spacing w:before="115" w:line="300" w:lineRule="auto"/>
        <w:ind w:left="0"/>
        <w:jc w:val="both"/>
        <w:rPr>
          <w:rFonts w:ascii="Arial" w:hAnsi="Arial" w:eastAsia="宋体" w:cs="Arial"/>
          <w:lang w:eastAsia="zh-CN"/>
        </w:rPr>
      </w:pPr>
      <w:r>
        <w:rPr>
          <w:rFonts w:ascii="Arial" w:hAnsi="Arial" w:eastAsia="宋体" w:cs="Arial"/>
          <w:lang w:eastAsia="zh-CN"/>
        </w:rPr>
        <w:t>非随机同期对照设计是RCT的替代方案。这种研究将比较来自接受使用研究器械进行消融治疗的受试者的数据与来自接受无消融治疗或接受替代治疗的受试者的数据。（请参见21 CFR 860.7（f）（1）（iv）（a），（c））。然而，治疗组和对照组之间的可比性可能会降低，因为在这种研究中，随机化的收益可能被消除。可比性的潜在</w:t>
      </w:r>
      <w:bookmarkStart w:id="21" w:name="OLE_LINK63"/>
      <w:bookmarkStart w:id="22" w:name="OLE_LINK64"/>
      <w:r>
        <w:rPr>
          <w:rFonts w:ascii="Arial" w:hAnsi="Arial" w:eastAsia="宋体" w:cs="Arial"/>
          <w:lang w:eastAsia="zh-CN"/>
        </w:rPr>
        <w:t>局限性</w:t>
      </w:r>
      <w:bookmarkEnd w:id="21"/>
      <w:bookmarkEnd w:id="22"/>
      <w:r>
        <w:rPr>
          <w:rFonts w:ascii="Arial" w:hAnsi="Arial" w:eastAsia="宋体" w:cs="Arial"/>
          <w:lang w:eastAsia="zh-CN"/>
        </w:rPr>
        <w:t>包括研究地点间患者护理的差异以及可能引入选择偏差的因素，如伴行潜在疾病和房颤疾病的差异。因此，非随机研究应提供严格的步骤，将对照组中的受试者与治疗组中的受试者进行紧密匹配。协变量分析或倾向平均分析可以提高这种研究中治疗组和对照组的可比性。我们建议贵公司在贵公司的临床方案中前瞻性详细说明任何分析方法。</w:t>
      </w:r>
    </w:p>
    <w:p w14:paraId="20B5EBAA">
      <w:pPr>
        <w:snapToGrid w:val="0"/>
        <w:spacing w:before="8" w:line="300" w:lineRule="auto"/>
        <w:jc w:val="both"/>
        <w:rPr>
          <w:rFonts w:ascii="Arial" w:hAnsi="Arial" w:eastAsia="宋体" w:cs="Arial"/>
          <w:sz w:val="31"/>
          <w:szCs w:val="31"/>
          <w:lang w:eastAsia="zh-CN"/>
        </w:rPr>
      </w:pPr>
    </w:p>
    <w:p w14:paraId="3249AA05">
      <w:pPr>
        <w:pStyle w:val="4"/>
        <w:snapToGrid w:val="0"/>
        <w:spacing w:line="300" w:lineRule="auto"/>
        <w:ind w:left="0"/>
        <w:jc w:val="both"/>
        <w:rPr>
          <w:rFonts w:ascii="Arial" w:hAnsi="Arial" w:eastAsia="宋体" w:cs="Arial"/>
          <w:b w:val="0"/>
          <w:bCs w:val="0"/>
          <w:u w:val="none"/>
          <w:lang w:eastAsia="zh-CN"/>
        </w:rPr>
      </w:pPr>
      <w:bookmarkStart w:id="23" w:name="Historical_Controls"/>
      <w:bookmarkEnd w:id="23"/>
      <w:bookmarkStart w:id="24" w:name="_Toc481156295"/>
      <w:r>
        <w:rPr>
          <w:rFonts w:ascii="Arial" w:hAnsi="Arial" w:eastAsia="宋体" w:cs="Arial"/>
          <w:u w:val="thick" w:color="000000"/>
          <w:lang w:eastAsia="zh-CN"/>
        </w:rPr>
        <w:t>历史对照</w:t>
      </w:r>
      <w:bookmarkEnd w:id="24"/>
    </w:p>
    <w:p w14:paraId="0439E74D">
      <w:pPr>
        <w:pStyle w:val="5"/>
        <w:snapToGrid w:val="0"/>
        <w:spacing w:before="55" w:line="300" w:lineRule="auto"/>
        <w:ind w:left="0"/>
        <w:jc w:val="both"/>
        <w:rPr>
          <w:rFonts w:ascii="Arial" w:hAnsi="Arial" w:eastAsia="宋体" w:cs="Arial"/>
          <w:sz w:val="20"/>
          <w:szCs w:val="20"/>
          <w:lang w:eastAsia="zh-CN"/>
        </w:rPr>
      </w:pPr>
      <w:r>
        <w:rPr>
          <w:rFonts w:ascii="Arial" w:hAnsi="Arial" w:eastAsia="宋体" w:cs="Arial"/>
          <w:lang w:eastAsia="zh-CN"/>
        </w:rPr>
        <w:t>FDA将考虑实施历史对照的研究设计，其中接受测试治疗的受试者数据与不接受消融治疗研究受试者外的可比较主体的历史数据进行比较，但是谁在较早的时间遵循确定的有效方案，或接受经批准用于寻求适应症的器械进行消融。（请参见21 CFR 860.7（f）（1）（iv）（d））。FDA认为，如果采用了历史对照，则应提供相关医学文献的全面分析，以支持贵公司的历史对照选择。我们认识到，由于目标房颤患者人群中的疾病表现和治疗的异质性以及可能用于治疗房颤的消融、药物和其他疗法的多样性，使用历史对照可能使适当的医学文献的收集和分析复杂化。但如果可能，FDA建议贵公司使用其中患者层面数据可用的控制队列。</w:t>
      </w:r>
    </w:p>
    <w:p w14:paraId="41A79A9F">
      <w:pPr>
        <w:pStyle w:val="4"/>
        <w:snapToGrid w:val="0"/>
        <w:spacing w:before="185" w:line="300" w:lineRule="auto"/>
        <w:ind w:left="0"/>
        <w:jc w:val="both"/>
        <w:rPr>
          <w:rFonts w:ascii="Arial" w:hAnsi="Arial" w:eastAsia="宋体" w:cs="Arial"/>
          <w:b w:val="0"/>
          <w:bCs w:val="0"/>
          <w:u w:val="none"/>
          <w:lang w:eastAsia="zh-CN"/>
        </w:rPr>
      </w:pPr>
      <w:bookmarkStart w:id="25" w:name="Performance_Goals"/>
      <w:bookmarkEnd w:id="25"/>
      <w:bookmarkStart w:id="26" w:name="_Toc481156296"/>
      <w:r>
        <w:rPr>
          <w:rFonts w:ascii="Arial" w:hAnsi="Arial" w:eastAsia="宋体" w:cs="Arial"/>
          <w:u w:val="thick" w:color="000000"/>
          <w:lang w:eastAsia="zh-CN"/>
        </w:rPr>
        <w:t>性能目标</w:t>
      </w:r>
      <w:bookmarkEnd w:id="26"/>
    </w:p>
    <w:p w14:paraId="418F97A3">
      <w:pPr>
        <w:pStyle w:val="5"/>
        <w:snapToGrid w:val="0"/>
        <w:spacing w:before="55" w:line="300" w:lineRule="auto"/>
        <w:ind w:left="0"/>
        <w:jc w:val="both"/>
        <w:rPr>
          <w:rFonts w:ascii="Arial" w:hAnsi="Arial" w:eastAsia="宋体" w:cs="Arial"/>
          <w:lang w:eastAsia="zh-CN"/>
        </w:rPr>
      </w:pPr>
      <w:r>
        <w:rPr>
          <w:rFonts w:ascii="Arial" w:hAnsi="Arial" w:eastAsia="宋体" w:cs="Arial"/>
          <w:lang w:eastAsia="zh-CN"/>
        </w:rPr>
        <w:t>如果无法进行RCT或非随机同期对照设计，以及患者层面数据不可用，FDA建议贵公司设定可通过对相关医学文献进行全面分析来支持的性能目标。我们预计，在实现适当的性能目标的过程中将面临重大挑战，因为已发表研究间具有异质性以及房颤管理领域正在快速进展。</w:t>
      </w:r>
    </w:p>
    <w:p w14:paraId="68E74751">
      <w:pPr>
        <w:snapToGrid w:val="0"/>
        <w:spacing w:before="4" w:line="300" w:lineRule="auto"/>
        <w:jc w:val="both"/>
        <w:rPr>
          <w:rFonts w:ascii="Arial" w:hAnsi="Arial" w:eastAsia="宋体" w:cs="Arial"/>
          <w:sz w:val="21"/>
          <w:szCs w:val="21"/>
          <w:lang w:eastAsia="zh-CN"/>
        </w:rPr>
      </w:pPr>
    </w:p>
    <w:p w14:paraId="01D552E7">
      <w:pPr>
        <w:pStyle w:val="3"/>
        <w:numPr>
          <w:ilvl w:val="1"/>
          <w:numId w:val="1"/>
        </w:numPr>
        <w:tabs>
          <w:tab w:val="left" w:pos="660"/>
        </w:tabs>
        <w:snapToGrid w:val="0"/>
        <w:spacing w:before="0" w:line="300" w:lineRule="auto"/>
        <w:ind w:left="0" w:firstLine="14"/>
        <w:jc w:val="both"/>
        <w:rPr>
          <w:rFonts w:ascii="Arial" w:hAnsi="Arial" w:eastAsia="宋体" w:cs="Arial"/>
          <w:b w:val="0"/>
          <w:bCs w:val="0"/>
        </w:rPr>
      </w:pPr>
      <w:bookmarkStart w:id="27" w:name="C._Control_Group_Considerations"/>
      <w:bookmarkEnd w:id="27"/>
      <w:bookmarkStart w:id="28" w:name="_Toc481156297"/>
      <w:r>
        <w:rPr>
          <w:rFonts w:ascii="Arial" w:hAnsi="Arial" w:eastAsia="宋体" w:cs="Arial"/>
        </w:rPr>
        <w:t>对照组</w:t>
      </w:r>
      <w:r>
        <w:rPr>
          <w:rFonts w:ascii="Arial" w:hAnsi="Arial" w:eastAsia="宋体" w:cs="Arial"/>
          <w:lang w:eastAsia="zh-CN"/>
        </w:rPr>
        <w:t>考虑因素</w:t>
      </w:r>
      <w:bookmarkEnd w:id="28"/>
    </w:p>
    <w:p w14:paraId="498C1C59">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如果贵公司的研究使用了随机或非随机并行对照组，则适当的潜在同期对照疗法可能包括：</w:t>
      </w:r>
    </w:p>
    <w:p w14:paraId="57479047">
      <w:pPr>
        <w:snapToGrid w:val="0"/>
        <w:spacing w:before="10" w:line="300" w:lineRule="auto"/>
        <w:jc w:val="both"/>
        <w:rPr>
          <w:rFonts w:ascii="Arial" w:hAnsi="Arial" w:eastAsia="宋体" w:cs="Arial"/>
          <w:sz w:val="20"/>
          <w:szCs w:val="20"/>
          <w:lang w:eastAsia="zh-CN"/>
        </w:rPr>
      </w:pPr>
    </w:p>
    <w:p w14:paraId="7A61F772">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使用一种或多种已批准用于所寻求的适应症的医疗器械进行的消融治疗；</w:t>
      </w:r>
    </w:p>
    <w:p w14:paraId="798771F9">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在进行或未进行电复律的情况下使用抗心律失常药物进行的最佳药物治疗。</w:t>
      </w:r>
    </w:p>
    <w:p w14:paraId="31720E31">
      <w:pPr>
        <w:snapToGrid w:val="0"/>
        <w:spacing w:before="1" w:line="300" w:lineRule="auto"/>
        <w:jc w:val="both"/>
        <w:rPr>
          <w:rFonts w:ascii="Arial" w:hAnsi="Arial" w:eastAsia="宋体" w:cs="Arial"/>
          <w:sz w:val="26"/>
          <w:szCs w:val="26"/>
          <w:lang w:eastAsia="zh-CN"/>
        </w:rPr>
      </w:pPr>
    </w:p>
    <w:p w14:paraId="7AE02DDD">
      <w:pPr>
        <w:pStyle w:val="5"/>
        <w:snapToGrid w:val="0"/>
        <w:spacing w:line="300" w:lineRule="auto"/>
        <w:ind w:left="0"/>
        <w:jc w:val="both"/>
        <w:rPr>
          <w:rFonts w:ascii="Arial" w:hAnsi="Arial" w:eastAsia="宋体" w:cs="Arial"/>
          <w:lang w:eastAsia="zh-CN"/>
        </w:rPr>
      </w:pPr>
      <w:r>
        <w:rPr>
          <w:rFonts w:ascii="Arial" w:hAnsi="Arial" w:eastAsia="宋体" w:cs="Arial"/>
          <w:lang w:eastAsia="zh-CN"/>
        </w:rPr>
        <w:t>不管所选并行对照组如何，几种策略可能适合于推进受试者招募。适当的策略可能包括使用2：1或其他随机分配比例，以及选择接受符合最佳医疗管理治疗的对照组而不是未接受任何治疗的对照组。</w:t>
      </w:r>
    </w:p>
    <w:p w14:paraId="2A74E032">
      <w:pPr>
        <w:snapToGrid w:val="0"/>
        <w:spacing w:before="1" w:line="300" w:lineRule="auto"/>
        <w:jc w:val="both"/>
        <w:rPr>
          <w:rFonts w:ascii="Arial" w:hAnsi="Arial" w:eastAsia="宋体" w:cs="Arial"/>
          <w:sz w:val="26"/>
          <w:szCs w:val="26"/>
          <w:lang w:eastAsia="zh-CN"/>
        </w:rPr>
      </w:pPr>
    </w:p>
    <w:p w14:paraId="4F707922">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如果贵公司选择使用抗心律失常药物进行的最佳药物疗法作为评价有效性的控制疗法，FDA确定给药方案应根据个体情况而进行调整，并且不存在特定的最佳方案。然而，FDA建议，任何使用抗心律失常药物的研究均应采用预先规定的分层方案，其中说明了初始药物选择和变更药物疗法的标准。</w:t>
      </w:r>
    </w:p>
    <w:p w14:paraId="730EF00C">
      <w:pPr>
        <w:snapToGrid w:val="0"/>
        <w:spacing w:before="1" w:line="300" w:lineRule="auto"/>
        <w:jc w:val="both"/>
        <w:rPr>
          <w:rFonts w:ascii="Arial" w:hAnsi="Arial" w:eastAsia="宋体" w:cs="Arial"/>
          <w:sz w:val="26"/>
          <w:szCs w:val="26"/>
          <w:lang w:eastAsia="zh-CN"/>
        </w:rPr>
      </w:pPr>
    </w:p>
    <w:p w14:paraId="7DDDB90C">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如果贵公司的研究设计含有历史对照，我们建议贵公司选择具有可最大化贵公司研究结果可被解读的可能性的特性的控制队列：</w:t>
      </w:r>
    </w:p>
    <w:p w14:paraId="447C2117">
      <w:pPr>
        <w:snapToGrid w:val="0"/>
        <w:spacing w:before="10" w:line="300" w:lineRule="auto"/>
        <w:jc w:val="both"/>
        <w:rPr>
          <w:rFonts w:ascii="Arial" w:hAnsi="Arial" w:eastAsia="宋体" w:cs="Arial"/>
          <w:sz w:val="20"/>
          <w:szCs w:val="20"/>
          <w:lang w:eastAsia="zh-CN"/>
        </w:rPr>
      </w:pPr>
    </w:p>
    <w:p w14:paraId="33FAFD6C">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患者层面数据可用于对照组</w:t>
      </w:r>
    </w:p>
    <w:p w14:paraId="423C5A3B">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对照组的消融病变组已知</w:t>
      </w:r>
    </w:p>
    <w:p w14:paraId="642B1C92">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研究受试者随访的持续时间、方法和严谨性已知</w:t>
      </w:r>
    </w:p>
    <w:p w14:paraId="15C955CF">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对照组中的手术方法与研究受试者中的手术方法类似</w:t>
      </w:r>
    </w:p>
    <w:p w14:paraId="7494E9D5">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对照组和研究受试者中的房颤疾病和潜在心脏病类似</w:t>
      </w:r>
    </w:p>
    <w:p w14:paraId="407D9928">
      <w:pPr>
        <w:pStyle w:val="16"/>
        <w:numPr>
          <w:ilvl w:val="0"/>
          <w:numId w:val="2"/>
        </w:numPr>
        <w:tabs>
          <w:tab w:val="left" w:pos="480"/>
        </w:tabs>
        <w:snapToGrid w:val="0"/>
        <w:spacing w:line="300" w:lineRule="auto"/>
        <w:ind w:left="357" w:hanging="357"/>
        <w:jc w:val="both"/>
        <w:rPr>
          <w:rFonts w:ascii="Arial" w:hAnsi="Arial" w:eastAsia="宋体" w:cs="Arial"/>
          <w:sz w:val="20"/>
          <w:szCs w:val="20"/>
          <w:lang w:eastAsia="zh-CN"/>
        </w:rPr>
      </w:pPr>
      <w:r>
        <w:rPr>
          <w:rFonts w:ascii="Arial" w:hAnsi="Arial" w:eastAsia="宋体" w:cs="Arial"/>
          <w:sz w:val="24"/>
          <w:lang w:eastAsia="zh-CN"/>
        </w:rPr>
        <w:t>对照组和研究受试者中的伴行心脏手术相同。</w:t>
      </w:r>
    </w:p>
    <w:p w14:paraId="5D41EA94">
      <w:pPr>
        <w:pStyle w:val="16"/>
        <w:tabs>
          <w:tab w:val="left" w:pos="480"/>
        </w:tabs>
        <w:snapToGrid w:val="0"/>
        <w:spacing w:line="300" w:lineRule="auto"/>
        <w:jc w:val="both"/>
        <w:rPr>
          <w:rFonts w:ascii="Arial" w:hAnsi="Arial" w:eastAsia="宋体" w:cs="Arial"/>
          <w:sz w:val="20"/>
          <w:szCs w:val="20"/>
          <w:lang w:eastAsia="zh-CN"/>
        </w:rPr>
      </w:pPr>
      <w:r>
        <w:rPr>
          <w:rFonts w:ascii="Arial" w:hAnsi="Arial" w:eastAsia="宋体" w:cs="Arial"/>
          <w:sz w:val="20"/>
          <w:szCs w:val="20"/>
          <w:lang w:eastAsia="zh-CN"/>
        </w:rPr>
        <w:t xml:space="preserve"> </w:t>
      </w:r>
    </w:p>
    <w:p w14:paraId="4DDC69C8">
      <w:pPr>
        <w:rPr>
          <w:rFonts w:ascii="Arial" w:hAnsi="Arial" w:eastAsia="宋体" w:cs="Arial"/>
          <w:b/>
          <w:bCs/>
          <w:sz w:val="28"/>
          <w:szCs w:val="28"/>
          <w:lang w:eastAsia="zh-CN"/>
        </w:rPr>
      </w:pPr>
      <w:bookmarkStart w:id="29" w:name="D._Ablation_Procedure_Lesion_Sets"/>
      <w:bookmarkEnd w:id="29"/>
      <w:r>
        <w:rPr>
          <w:rFonts w:ascii="Arial" w:hAnsi="Arial" w:eastAsia="宋体" w:cs="Arial"/>
          <w:lang w:eastAsia="zh-CN"/>
        </w:rPr>
        <w:br w:type="page"/>
      </w:r>
    </w:p>
    <w:p w14:paraId="5F9892E0">
      <w:pPr>
        <w:pStyle w:val="3"/>
        <w:numPr>
          <w:ilvl w:val="1"/>
          <w:numId w:val="1"/>
        </w:numPr>
        <w:tabs>
          <w:tab w:val="left" w:pos="999"/>
          <w:tab w:val="left" w:pos="1000"/>
        </w:tabs>
        <w:snapToGrid w:val="0"/>
        <w:spacing w:before="220" w:line="300" w:lineRule="auto"/>
        <w:ind w:left="420" w:firstLine="0"/>
        <w:jc w:val="both"/>
        <w:rPr>
          <w:rFonts w:ascii="Arial" w:hAnsi="Arial" w:eastAsia="宋体" w:cs="Arial"/>
          <w:b w:val="0"/>
          <w:bCs w:val="0"/>
        </w:rPr>
      </w:pPr>
      <w:bookmarkStart w:id="30" w:name="_Toc481156298"/>
      <w:r>
        <w:rPr>
          <w:rFonts w:ascii="Arial" w:hAnsi="Arial" w:eastAsia="宋体" w:cs="Arial"/>
        </w:rPr>
        <w:t>消融</w:t>
      </w:r>
      <w:r>
        <w:rPr>
          <w:rFonts w:ascii="Arial" w:hAnsi="Arial" w:eastAsia="宋体" w:cs="Arial"/>
          <w:lang w:eastAsia="zh-CN"/>
        </w:rPr>
        <w:t>手术</w:t>
      </w:r>
      <w:r>
        <w:rPr>
          <w:rFonts w:ascii="Arial" w:hAnsi="Arial" w:eastAsia="宋体" w:cs="Arial"/>
        </w:rPr>
        <w:t>病变组</w:t>
      </w:r>
      <w:bookmarkEnd w:id="30"/>
    </w:p>
    <w:p w14:paraId="2DE0A66E">
      <w:pPr>
        <w:pStyle w:val="5"/>
        <w:snapToGrid w:val="0"/>
        <w:spacing w:line="300" w:lineRule="auto"/>
        <w:ind w:left="420"/>
        <w:jc w:val="both"/>
        <w:rPr>
          <w:rFonts w:ascii="Arial" w:hAnsi="Arial" w:eastAsia="宋体" w:cs="Arial"/>
          <w:lang w:eastAsia="zh-CN"/>
        </w:rPr>
      </w:pPr>
      <w:r>
        <w:rPr>
          <w:rFonts w:ascii="Arial" w:hAnsi="Arial" w:eastAsia="宋体" w:cs="Arial"/>
          <w:lang w:eastAsia="zh-CN"/>
        </w:rPr>
        <w:t>我们认识到，在治疗房颤时，可能不存在一组通常被视为最有效的消融病变或消融线。如果其与本领域广泛接受的病变组有显著差异，贵公司应该为贵公司的病变组提供有效理由。此外，我们建议，应对所有已招募的受试者在可能的范围内执行相同的消融病变组。应在案例报告表中明确记录任何与方案指明病变组的偏差。为了最大限度地提高病变组间的一致性，我们建议方案应提供有关预定病变组和用于创建每个病变的推荐器械的明确说明。如果未遵守预定病变组，则可能使数据难以解读。</w:t>
      </w:r>
    </w:p>
    <w:p w14:paraId="7C9F91AE">
      <w:pPr>
        <w:snapToGrid w:val="0"/>
        <w:spacing w:before="1" w:line="300" w:lineRule="auto"/>
        <w:ind w:left="420"/>
        <w:jc w:val="both"/>
        <w:rPr>
          <w:rFonts w:ascii="Arial" w:hAnsi="Arial" w:eastAsia="宋体" w:cs="Arial"/>
          <w:sz w:val="26"/>
          <w:szCs w:val="26"/>
          <w:lang w:eastAsia="zh-CN"/>
        </w:rPr>
      </w:pPr>
    </w:p>
    <w:p w14:paraId="4CAF4AB4">
      <w:pPr>
        <w:pStyle w:val="5"/>
        <w:snapToGrid w:val="0"/>
        <w:spacing w:line="300" w:lineRule="auto"/>
        <w:ind w:left="420"/>
        <w:jc w:val="both"/>
        <w:rPr>
          <w:rFonts w:ascii="Arial" w:hAnsi="Arial" w:eastAsia="宋体" w:cs="Arial"/>
          <w:lang w:eastAsia="zh-CN"/>
        </w:rPr>
      </w:pPr>
      <w:r>
        <w:rPr>
          <w:rFonts w:ascii="Arial" w:hAnsi="Arial" w:eastAsia="宋体" w:cs="Arial"/>
          <w:lang w:eastAsia="zh-CN"/>
        </w:rPr>
        <w:t>与另一种外科手术同时执行的房颤消融术具有与仅为进行房颤消融而完成的手术不同的收益/风险特性。在已适用于进行心脏手术的患者中，手术房颤消融属于一种辅助手术时，与初次外科手术的风险相比，消融手术带来的额外风险可能较小。手术的唯一目的是进行房颤消融时，FDA打算针对治疗房颤的唯一可能收益权衡手术和消融手术的风险。在某一试验的IDE申请中，其中外科手术的唯一目的是进行消融以治疗房颤，贵公司应该提供一个合理的科学依据，以支持贵公司的假设，即房颤消融的收益超过了外科手术的风险。（请参见21 CFR 812.30（b）（4））。在这种情况下，仔细选择控制人群对于FDA对贵公司的试验设计和研究结果的评价尤为重要。</w:t>
      </w:r>
    </w:p>
    <w:p w14:paraId="6D46C2C4">
      <w:pPr>
        <w:snapToGrid w:val="0"/>
        <w:spacing w:line="300" w:lineRule="auto"/>
        <w:jc w:val="both"/>
        <w:rPr>
          <w:rFonts w:ascii="Arial" w:hAnsi="Arial" w:eastAsia="宋体" w:cs="Arial"/>
          <w:sz w:val="24"/>
          <w:szCs w:val="24"/>
          <w:lang w:eastAsia="zh-CN"/>
        </w:rPr>
      </w:pPr>
    </w:p>
    <w:p w14:paraId="1F5EFE30">
      <w:pPr>
        <w:pStyle w:val="2"/>
        <w:numPr>
          <w:ilvl w:val="0"/>
          <w:numId w:val="1"/>
        </w:numPr>
        <w:tabs>
          <w:tab w:val="left" w:pos="460"/>
        </w:tabs>
        <w:snapToGrid w:val="0"/>
        <w:spacing w:before="209" w:line="300" w:lineRule="auto"/>
        <w:ind w:left="357" w:hanging="357"/>
        <w:jc w:val="both"/>
        <w:rPr>
          <w:rFonts w:ascii="Arial" w:hAnsi="Arial" w:eastAsia="宋体" w:cs="Arial"/>
          <w:b w:val="0"/>
          <w:bCs w:val="0"/>
        </w:rPr>
      </w:pPr>
      <w:bookmarkStart w:id="31" w:name="5._Indications_for_Use"/>
      <w:bookmarkEnd w:id="31"/>
      <w:bookmarkStart w:id="32" w:name="_Toc481156299"/>
      <w:r>
        <w:rPr>
          <w:rFonts w:ascii="Arial" w:hAnsi="Arial" w:eastAsia="宋体" w:cs="Arial"/>
        </w:rPr>
        <w:t>适应症</w:t>
      </w:r>
      <w:bookmarkEnd w:id="32"/>
    </w:p>
    <w:p w14:paraId="5F97B3FB">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建议，贵公司的研究设计应反映消融器械的拟定预期用途和适应症。我们认为，贵公司的拟定适应症应该确定可能影响贵公司的器械的收益/风险特性的因素，例如所治疗的房颤类型、所用的手术方法、任何同期手术和相关的患者特性。</w:t>
      </w:r>
    </w:p>
    <w:p w14:paraId="2908FDE2">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在获得批准后，研究设计的特定方面通常会限制器械的适应症。例如：</w:t>
      </w:r>
    </w:p>
    <w:p w14:paraId="746656AD">
      <w:pPr>
        <w:snapToGrid w:val="0"/>
        <w:spacing w:before="2" w:line="300" w:lineRule="auto"/>
        <w:jc w:val="both"/>
        <w:rPr>
          <w:rFonts w:ascii="Arial" w:hAnsi="Arial" w:eastAsia="宋体" w:cs="Arial"/>
          <w:sz w:val="24"/>
          <w:szCs w:val="24"/>
          <w:lang w:eastAsia="zh-CN"/>
        </w:rPr>
      </w:pPr>
    </w:p>
    <w:p w14:paraId="15CE9B5E">
      <w:pPr>
        <w:pStyle w:val="16"/>
        <w:numPr>
          <w:ilvl w:val="0"/>
          <w:numId w:val="2"/>
        </w:numPr>
        <w:tabs>
          <w:tab w:val="left" w:pos="460"/>
        </w:tabs>
        <w:snapToGrid w:val="0"/>
        <w:spacing w:before="21" w:line="300" w:lineRule="auto"/>
        <w:ind w:left="357" w:hanging="357"/>
        <w:jc w:val="both"/>
        <w:rPr>
          <w:rFonts w:ascii="Arial" w:hAnsi="Arial" w:eastAsia="宋体" w:cs="Arial"/>
          <w:sz w:val="24"/>
          <w:szCs w:val="24"/>
          <w:lang w:eastAsia="zh-CN"/>
        </w:rPr>
      </w:pPr>
      <w:r>
        <w:rPr>
          <w:rFonts w:ascii="Arial" w:hAnsi="Arial" w:eastAsia="宋体" w:cs="Arial"/>
          <w:sz w:val="24"/>
          <w:szCs w:val="24"/>
          <w:lang w:eastAsia="zh-CN"/>
        </w:rPr>
        <w:t>如果贵公司的研究仅包括具有长期持续性房颤的受试者，则相应的适应症可能仅限于长期持续性房颤的治疗；</w:t>
      </w:r>
    </w:p>
    <w:p w14:paraId="3403378C">
      <w:pPr>
        <w:pStyle w:val="16"/>
        <w:numPr>
          <w:ilvl w:val="0"/>
          <w:numId w:val="2"/>
        </w:numPr>
        <w:tabs>
          <w:tab w:val="left" w:pos="460"/>
        </w:tabs>
        <w:snapToGrid w:val="0"/>
        <w:spacing w:before="21" w:line="300" w:lineRule="auto"/>
        <w:ind w:left="357" w:hanging="357"/>
        <w:jc w:val="both"/>
        <w:rPr>
          <w:rFonts w:ascii="Arial" w:hAnsi="Arial" w:eastAsia="宋体" w:cs="Arial"/>
          <w:sz w:val="24"/>
          <w:szCs w:val="24"/>
          <w:lang w:eastAsia="zh-CN"/>
        </w:rPr>
      </w:pPr>
      <w:r>
        <w:rPr>
          <w:rFonts w:ascii="Arial" w:hAnsi="Arial" w:eastAsia="宋体" w:cs="Arial"/>
          <w:sz w:val="24"/>
          <w:szCs w:val="24"/>
          <w:lang w:eastAsia="zh-CN"/>
        </w:rPr>
        <w:t>如果贵公司的研究设计仅适用于伴随二尖瓣置换术或修复术相关的消融术，则贵公司器械的批准可能会限于该特定适应症；以及</w:t>
      </w:r>
    </w:p>
    <w:p w14:paraId="78214F18">
      <w:pPr>
        <w:pStyle w:val="16"/>
        <w:numPr>
          <w:ilvl w:val="0"/>
          <w:numId w:val="2"/>
        </w:numPr>
        <w:tabs>
          <w:tab w:val="left" w:pos="460"/>
        </w:tabs>
        <w:snapToGrid w:val="0"/>
        <w:spacing w:before="21" w:line="300" w:lineRule="auto"/>
        <w:ind w:left="357" w:hanging="357"/>
        <w:jc w:val="both"/>
        <w:rPr>
          <w:rFonts w:ascii="Arial" w:hAnsi="Arial" w:eastAsia="宋体" w:cs="Arial"/>
          <w:sz w:val="24"/>
          <w:szCs w:val="24"/>
          <w:lang w:eastAsia="zh-CN"/>
        </w:rPr>
      </w:pPr>
      <w:r>
        <w:rPr>
          <w:rFonts w:ascii="Arial" w:hAnsi="Arial" w:eastAsia="宋体" w:cs="Arial"/>
          <w:sz w:val="24"/>
          <w:szCs w:val="24"/>
          <w:lang w:eastAsia="zh-CN"/>
        </w:rPr>
        <w:t>如果贵公司的研究中使用的唯一外科手术采用了微创手术方法，贵公司的适应症可能会受到相应的限制。</w:t>
      </w:r>
    </w:p>
    <w:p w14:paraId="1AC7905B">
      <w:pPr>
        <w:snapToGrid w:val="0"/>
        <w:spacing w:before="5" w:line="300" w:lineRule="auto"/>
        <w:jc w:val="both"/>
        <w:rPr>
          <w:rFonts w:ascii="Arial" w:hAnsi="Arial" w:eastAsia="宋体" w:cs="Arial"/>
          <w:sz w:val="31"/>
          <w:szCs w:val="31"/>
          <w:lang w:eastAsia="zh-CN"/>
        </w:rPr>
      </w:pPr>
    </w:p>
    <w:p w14:paraId="5D0A120E">
      <w:pPr>
        <w:pStyle w:val="4"/>
        <w:snapToGrid w:val="0"/>
        <w:spacing w:line="300" w:lineRule="auto"/>
        <w:ind w:left="0"/>
        <w:jc w:val="both"/>
        <w:rPr>
          <w:rFonts w:ascii="Arial" w:hAnsi="Arial" w:eastAsia="宋体" w:cs="Arial"/>
          <w:b w:val="0"/>
          <w:bCs w:val="0"/>
          <w:u w:val="none"/>
          <w:lang w:eastAsia="zh-CN"/>
        </w:rPr>
      </w:pPr>
      <w:bookmarkStart w:id="33" w:name="Other_Indications"/>
      <w:bookmarkEnd w:id="33"/>
      <w:bookmarkStart w:id="34" w:name="_Toc481156300"/>
      <w:r>
        <w:rPr>
          <w:rFonts w:ascii="Arial" w:hAnsi="Arial" w:eastAsia="宋体" w:cs="Arial"/>
          <w:u w:val="thick" w:color="000000"/>
          <w:lang w:eastAsia="zh-CN"/>
        </w:rPr>
        <w:t>其他适应症</w:t>
      </w:r>
      <w:bookmarkEnd w:id="34"/>
    </w:p>
    <w:p w14:paraId="03253A6E">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除治疗作为节律失常的房颤外，手术消融器械具有一系列潜在适应症。这些其他适应症包括改善心房运输功能、改善心室功能、降低脑卒中风险、降低心力衰竭风险和提高存活率。然而，FDA并未发现来自大型随机临床试验的任何结论性临床证据，其中，此类证明可表明手术房颤消融可使任何此类患者获得一些收益。因此，FDA并不会认为可将房颤消除视为这些收益的适当替代指标。因此，我们建议临床研究应直接测量并支持治疗作为节律失常的房颤以外的任何适应症。例如，可证明除有效终止房颤之外还可恢复心房收缩的研究可支持改善心房运输功能等适应症。类似地，显示左心室射血分数增加和心室尺寸改善的研究可以支持有关恢复或维持心室功能的适应症。如果贵公司想提供有关任何此类其他终点的标签声明，则声明应基于预先规定的统计假设。</w:t>
      </w:r>
    </w:p>
    <w:p w14:paraId="443EA965">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另外，如果贵公司旨在提出关于生活质量（QOL）或其他主观结果的声明，则试验设计应考虑安慰剂效应。虽然FDA建议贵公司应测试临床相关的次要终点（例如，改善生活质量、运动耐量），但请注意，标签中允许的声明可能受到研究设计各方面的限制（例如，在非盲试验中，基于主观终点的声明可能会存在一定问题）。</w:t>
      </w:r>
    </w:p>
    <w:p w14:paraId="5A7DDB65">
      <w:pPr>
        <w:snapToGrid w:val="0"/>
        <w:spacing w:line="300" w:lineRule="auto"/>
        <w:ind w:left="363" w:leftChars="165"/>
        <w:jc w:val="both"/>
        <w:rPr>
          <w:rFonts w:ascii="Arial" w:hAnsi="Arial" w:eastAsia="宋体" w:cs="Arial"/>
          <w:sz w:val="24"/>
          <w:szCs w:val="24"/>
          <w:lang w:eastAsia="zh-CN"/>
        </w:rPr>
      </w:pPr>
    </w:p>
    <w:p w14:paraId="2A3C3E97">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包括降低卒中风险的适应症应由旨在评价继续抗凝治疗时或终止抗凝治疗后卒中风险的研究支持。</w:t>
      </w:r>
    </w:p>
    <w:p w14:paraId="3266323F">
      <w:pPr>
        <w:pStyle w:val="5"/>
        <w:snapToGrid w:val="0"/>
        <w:spacing w:line="300" w:lineRule="auto"/>
        <w:ind w:left="363" w:leftChars="165"/>
        <w:jc w:val="both"/>
        <w:rPr>
          <w:rFonts w:ascii="Arial" w:hAnsi="Arial" w:eastAsia="宋体" w:cs="Arial"/>
          <w:lang w:eastAsia="zh-CN"/>
        </w:rPr>
      </w:pPr>
    </w:p>
    <w:p w14:paraId="027BE4A9">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综上所述，</w:t>
      </w:r>
      <w:bookmarkStart w:id="35" w:name="OLE_LINK66"/>
      <w:bookmarkStart w:id="36" w:name="OLE_LINK65"/>
      <w:r>
        <w:rPr>
          <w:rFonts w:ascii="Arial" w:hAnsi="Arial" w:eastAsia="宋体" w:cs="Arial"/>
          <w:lang w:eastAsia="zh-CN"/>
        </w:rPr>
        <w:t>贵公司</w:t>
      </w:r>
      <w:bookmarkEnd w:id="35"/>
      <w:bookmarkEnd w:id="36"/>
      <w:r>
        <w:rPr>
          <w:rFonts w:ascii="Arial" w:hAnsi="Arial" w:eastAsia="宋体" w:cs="Arial"/>
          <w:lang w:eastAsia="zh-CN"/>
        </w:rPr>
        <w:t>应制定贵公司计划为其寻求批准且符合可支持拟定适应症的临床试验假设的适应症。</w:t>
      </w:r>
    </w:p>
    <w:p w14:paraId="592E9A1D">
      <w:pPr>
        <w:snapToGrid w:val="0"/>
        <w:spacing w:line="300" w:lineRule="auto"/>
        <w:ind w:left="363" w:leftChars="165"/>
        <w:jc w:val="both"/>
        <w:rPr>
          <w:rFonts w:ascii="Arial" w:hAnsi="Arial" w:eastAsia="宋体" w:cs="Arial"/>
          <w:sz w:val="24"/>
          <w:szCs w:val="24"/>
          <w:lang w:eastAsia="zh-CN"/>
        </w:rPr>
      </w:pPr>
    </w:p>
    <w:p w14:paraId="74E2C536">
      <w:pPr>
        <w:snapToGrid w:val="0"/>
        <w:spacing w:before="4" w:line="300" w:lineRule="auto"/>
        <w:jc w:val="both"/>
        <w:rPr>
          <w:rFonts w:ascii="Arial" w:hAnsi="Arial" w:eastAsia="宋体" w:cs="Arial"/>
          <w:sz w:val="21"/>
          <w:szCs w:val="21"/>
          <w:lang w:eastAsia="zh-CN"/>
        </w:rPr>
      </w:pPr>
    </w:p>
    <w:p w14:paraId="0B20ECF6">
      <w:pPr>
        <w:pStyle w:val="2"/>
        <w:numPr>
          <w:ilvl w:val="0"/>
          <w:numId w:val="1"/>
        </w:numPr>
        <w:tabs>
          <w:tab w:val="left" w:pos="460"/>
        </w:tabs>
        <w:snapToGrid w:val="0"/>
        <w:spacing w:line="300" w:lineRule="auto"/>
        <w:ind w:left="357" w:hanging="357"/>
        <w:jc w:val="both"/>
        <w:rPr>
          <w:rFonts w:ascii="Arial" w:hAnsi="Arial" w:eastAsia="宋体" w:cs="Arial"/>
          <w:b w:val="0"/>
          <w:bCs w:val="0"/>
        </w:rPr>
      </w:pPr>
      <w:bookmarkStart w:id="37" w:name="6._Study_Endpoints"/>
      <w:bookmarkEnd w:id="37"/>
      <w:bookmarkStart w:id="38" w:name="_Toc481156301"/>
      <w:r>
        <w:rPr>
          <w:rFonts w:ascii="Arial" w:hAnsi="Arial" w:eastAsia="宋体" w:cs="Arial"/>
        </w:rPr>
        <w:t>研究</w:t>
      </w:r>
      <w:r>
        <w:rPr>
          <w:rFonts w:ascii="Arial" w:hAnsi="Arial" w:eastAsia="宋体" w:cs="Arial"/>
          <w:lang w:eastAsia="zh-CN"/>
        </w:rPr>
        <w:t>终点</w:t>
      </w:r>
      <w:bookmarkEnd w:id="38"/>
    </w:p>
    <w:p w14:paraId="227C451F">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涉及患有阵发性房颤的受试者临床研究和涉及患有持续性房颤的受试者研究在手术复杂性以及易于随访方面可能有所不同。涉及这些受试者的临床研究在适当有效性终点以及适当的入选和排除标准方面也可能有所不同。在适当的情况下，本指南中的建议分别涉及有关治疗阵发性房颤、持续性房颤和长期持续性房颤的研究。</w:t>
      </w:r>
    </w:p>
    <w:p w14:paraId="50B802F8">
      <w:pPr>
        <w:snapToGrid w:val="0"/>
        <w:spacing w:line="300" w:lineRule="auto"/>
        <w:jc w:val="both"/>
        <w:rPr>
          <w:rFonts w:ascii="Arial" w:hAnsi="Arial" w:eastAsia="宋体" w:cs="Arial"/>
          <w:sz w:val="24"/>
          <w:szCs w:val="24"/>
          <w:lang w:eastAsia="zh-CN"/>
        </w:rPr>
      </w:pPr>
    </w:p>
    <w:p w14:paraId="14E1033B">
      <w:pPr>
        <w:pStyle w:val="3"/>
        <w:numPr>
          <w:ilvl w:val="1"/>
          <w:numId w:val="1"/>
        </w:numPr>
        <w:tabs>
          <w:tab w:val="left" w:pos="999"/>
          <w:tab w:val="left" w:pos="1000"/>
        </w:tabs>
        <w:snapToGrid w:val="0"/>
        <w:spacing w:line="300" w:lineRule="auto"/>
        <w:ind w:left="539" w:hanging="161"/>
        <w:jc w:val="both"/>
        <w:rPr>
          <w:rFonts w:ascii="Arial" w:hAnsi="Arial" w:eastAsia="宋体" w:cs="Arial"/>
          <w:b w:val="0"/>
          <w:bCs w:val="0"/>
        </w:rPr>
      </w:pPr>
      <w:bookmarkStart w:id="39" w:name="A._Primary_Effectiveness_Evaluation"/>
      <w:bookmarkEnd w:id="39"/>
      <w:bookmarkStart w:id="40" w:name="_Toc481156302"/>
      <w:r>
        <w:rPr>
          <w:rFonts w:ascii="Arial" w:hAnsi="Arial" w:eastAsia="宋体" w:cs="Arial"/>
        </w:rPr>
        <w:t>主要</w:t>
      </w:r>
      <w:r>
        <w:rPr>
          <w:rFonts w:ascii="Arial" w:hAnsi="Arial" w:eastAsia="宋体" w:cs="Arial"/>
          <w:lang w:eastAsia="zh-CN"/>
        </w:rPr>
        <w:t>有效性</w:t>
      </w:r>
      <w:r>
        <w:rPr>
          <w:rFonts w:ascii="Arial" w:hAnsi="Arial" w:eastAsia="宋体" w:cs="Arial"/>
        </w:rPr>
        <w:t>评价</w:t>
      </w:r>
      <w:bookmarkEnd w:id="40"/>
    </w:p>
    <w:p w14:paraId="1139710E">
      <w:pPr>
        <w:snapToGrid w:val="0"/>
        <w:spacing w:before="11" w:line="300" w:lineRule="auto"/>
        <w:ind w:hanging="161"/>
        <w:jc w:val="both"/>
        <w:rPr>
          <w:rFonts w:ascii="Arial" w:hAnsi="Arial" w:eastAsia="宋体" w:cs="Arial"/>
          <w:b/>
          <w:bCs/>
          <w:sz w:val="25"/>
          <w:szCs w:val="25"/>
        </w:rPr>
      </w:pPr>
    </w:p>
    <w:p w14:paraId="7EF4AED4">
      <w:pPr>
        <w:pStyle w:val="4"/>
        <w:snapToGrid w:val="0"/>
        <w:spacing w:line="300" w:lineRule="auto"/>
        <w:ind w:left="321" w:leftChars="146" w:firstLine="14"/>
        <w:jc w:val="both"/>
        <w:rPr>
          <w:rFonts w:ascii="Arial" w:hAnsi="Arial" w:eastAsia="宋体" w:cs="Arial"/>
          <w:b w:val="0"/>
          <w:bCs w:val="0"/>
          <w:u w:val="none"/>
        </w:rPr>
      </w:pPr>
      <w:bookmarkStart w:id="41" w:name="General_Recommendations_and_Consideratio"/>
      <w:bookmarkEnd w:id="41"/>
      <w:bookmarkStart w:id="42" w:name="_Toc481156303"/>
      <w:r>
        <w:rPr>
          <w:rFonts w:ascii="Arial" w:hAnsi="Arial" w:eastAsia="宋体" w:cs="Arial"/>
          <w:u w:val="thick" w:color="000000"/>
        </w:rPr>
        <w:t>一般建议和</w:t>
      </w:r>
      <w:r>
        <w:rPr>
          <w:rFonts w:ascii="Arial" w:hAnsi="Arial" w:eastAsia="宋体" w:cs="Arial"/>
          <w:u w:val="thick" w:color="000000"/>
          <w:lang w:eastAsia="zh-CN"/>
        </w:rPr>
        <w:t>考虑因素</w:t>
      </w:r>
      <w:bookmarkEnd w:id="42"/>
    </w:p>
    <w:p w14:paraId="2AA82A8D">
      <w:pPr>
        <w:pStyle w:val="5"/>
        <w:snapToGrid w:val="0"/>
        <w:spacing w:line="300" w:lineRule="auto"/>
        <w:ind w:left="321" w:leftChars="146" w:firstLine="14"/>
        <w:jc w:val="both"/>
        <w:rPr>
          <w:rFonts w:ascii="Arial" w:hAnsi="Arial" w:eastAsia="宋体" w:cs="Arial"/>
          <w:lang w:eastAsia="zh-CN"/>
        </w:rPr>
      </w:pPr>
      <w:r>
        <w:rPr>
          <w:rFonts w:ascii="Arial" w:hAnsi="Arial" w:eastAsia="宋体" w:cs="Arial"/>
          <w:lang w:eastAsia="zh-CN"/>
        </w:rPr>
        <w:t>我们建议贵公司证明，与使用消融器械相关的增加风险相比，因使用该疗法而对受试者产生的收益不仅具有临床意义而且具有统计显著性。我们通常建议贵公司在未进行抗心律失常药物（AAD）治疗的情况下评价主要有效性。然而，研究登记之前，在使用无法有效治疗房颤的抗心律不齐药物的情况下评价的结果可以用作主要或次要有效性终点。在任何一种情况下，贵公司应该说明贵公司的有效性终点选择。</w:t>
      </w:r>
    </w:p>
    <w:p w14:paraId="344D2C08">
      <w:pPr>
        <w:snapToGrid w:val="0"/>
        <w:spacing w:before="10" w:line="300" w:lineRule="auto"/>
        <w:ind w:left="321" w:leftChars="146" w:firstLine="14"/>
        <w:jc w:val="both"/>
        <w:rPr>
          <w:rFonts w:ascii="Arial" w:hAnsi="Arial" w:eastAsia="宋体" w:cs="Arial"/>
          <w:sz w:val="21"/>
          <w:szCs w:val="21"/>
          <w:lang w:eastAsia="zh-CN"/>
        </w:rPr>
      </w:pPr>
    </w:p>
    <w:p w14:paraId="6074CF7D">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对于主要有效性终点，FDA建议贵公司通过相关医学界指南建议的最小随访期（目前为12个月）来评价“免于房颤”。</w:t>
      </w:r>
      <w:r>
        <w:rPr>
          <w:rFonts w:ascii="Arial" w:hAnsi="Arial" w:eastAsia="宋体" w:cs="Arial"/>
          <w:vertAlign w:val="superscript"/>
          <w:lang w:eastAsia="zh-CN"/>
        </w:rPr>
        <w:t>2</w:t>
      </w:r>
      <w:r>
        <w:rPr>
          <w:rFonts w:ascii="Arial" w:hAnsi="Arial" w:eastAsia="宋体" w:cs="Arial"/>
          <w:lang w:eastAsia="zh-CN"/>
        </w:rPr>
        <w:t>我们认为，节律失常的主要有效性终点是房颤消除（无医源性心律失常）而不一定是恢复正常窦性节律。“免于房颤”的定义应为免于房颤 /心房扑动（AFL）/心房心动过速（</w:t>
      </w:r>
      <w:bookmarkStart w:id="43" w:name="OLE_LINK67"/>
      <w:bookmarkStart w:id="44" w:name="OLE_LINK68"/>
      <w:r>
        <w:rPr>
          <w:rFonts w:ascii="Arial" w:hAnsi="Arial" w:eastAsia="宋体" w:cs="Arial"/>
          <w:lang w:eastAsia="zh-CN"/>
        </w:rPr>
        <w:t>AT</w:t>
      </w:r>
      <w:bookmarkEnd w:id="43"/>
      <w:bookmarkEnd w:id="44"/>
      <w:r>
        <w:rPr>
          <w:rFonts w:ascii="Arial" w:hAnsi="Arial" w:eastAsia="宋体" w:cs="Arial"/>
          <w:lang w:eastAsia="zh-CN"/>
        </w:rPr>
        <w:t>）发作的状态在Holter或事件记录仪上，或在标准12导联心电图上的完整记录时间内且缺少I类或III类AAD时持续30秒或更长。</w:t>
      </w:r>
    </w:p>
    <w:p w14:paraId="59AF4EB4">
      <w:pPr>
        <w:snapToGrid w:val="0"/>
        <w:spacing w:before="9" w:line="300" w:lineRule="auto"/>
        <w:jc w:val="both"/>
        <w:rPr>
          <w:rFonts w:ascii="Arial" w:hAnsi="Arial" w:eastAsia="宋体" w:cs="Arial"/>
          <w:sz w:val="25"/>
          <w:szCs w:val="25"/>
          <w:lang w:eastAsia="zh-CN"/>
        </w:rPr>
      </w:pPr>
    </w:p>
    <w:p w14:paraId="5168239F">
      <w:pPr>
        <w:pStyle w:val="5"/>
        <w:snapToGrid w:val="0"/>
        <w:spacing w:line="300" w:lineRule="auto"/>
        <w:ind w:left="0"/>
        <w:jc w:val="both"/>
        <w:rPr>
          <w:rFonts w:ascii="Arial" w:hAnsi="Arial" w:eastAsia="宋体" w:cs="Arial"/>
          <w:lang w:eastAsia="zh-CN"/>
        </w:rPr>
      </w:pPr>
      <w:r>
        <w:rPr>
          <w:rFonts w:ascii="Arial" w:hAnsi="Arial" w:eastAsia="宋体" w:cs="Arial"/>
          <w:lang w:eastAsia="zh-CN"/>
        </w:rPr>
        <w:t>FDA认为，房颤负荷的减少并不是最佳的主要有效性终点，因为缺少理由来支持具有临床显著性的某一房颤负荷阈值，以及在未使用植入器械的情况下难以使用技术手段精确测量房颤负荷。另一方面，FDA认识到，在随访期间的不同时间点评估的房颤负荷可能提供有关器械有效性的补充信息。</w:t>
      </w:r>
    </w:p>
    <w:p w14:paraId="6321991D">
      <w:pPr>
        <w:snapToGrid w:val="0"/>
        <w:spacing w:before="1" w:line="300" w:lineRule="auto"/>
        <w:jc w:val="both"/>
        <w:rPr>
          <w:rFonts w:ascii="Arial" w:hAnsi="Arial" w:eastAsia="宋体" w:cs="Arial"/>
          <w:sz w:val="26"/>
          <w:szCs w:val="26"/>
          <w:lang w:eastAsia="zh-CN"/>
        </w:rPr>
      </w:pPr>
    </w:p>
    <w:p w14:paraId="7E290344">
      <w:pPr>
        <w:pStyle w:val="5"/>
        <w:snapToGrid w:val="0"/>
        <w:spacing w:line="300" w:lineRule="auto"/>
        <w:ind w:left="0"/>
        <w:jc w:val="both"/>
        <w:rPr>
          <w:rFonts w:ascii="Arial" w:hAnsi="Arial" w:eastAsia="宋体" w:cs="Arial"/>
          <w:lang w:eastAsia="zh-CN"/>
        </w:rPr>
      </w:pPr>
      <w:r>
        <w:rPr>
          <w:rFonts w:ascii="Arial" w:hAnsi="Arial" w:eastAsia="宋体" w:cs="Arial"/>
          <w:lang w:eastAsia="zh-CN"/>
        </w:rPr>
        <w:t>心律失常监测在评价器械有效性方面发挥着重要作用。一般来说，我们建议定期进行Holter监测以作为评价有效性的首选方式，尽管其他方式，如标准12导联心电图、电话传输记录、循环记录仪和事件记录仪可能也适用于进行此类评估。FDA建议在消融手术后提供事件记录仪，以用于预定和症状的记录，从而监测症状性和无症状性房性心动过速复发。我们认为，由于此类方式的主观性质以及出现安慰剂效应的可能性，较间接的评价方式，如感知症状的减少，无法显示主要有效性。本指南第8E节中列出了我们对外科消融手术后的随访中的最小心律失常监测的建议。</w:t>
      </w:r>
    </w:p>
    <w:p w14:paraId="031365DC">
      <w:pPr>
        <w:snapToGrid w:val="0"/>
        <w:spacing w:before="10" w:line="300" w:lineRule="auto"/>
        <w:jc w:val="both"/>
        <w:rPr>
          <w:rFonts w:ascii="Arial" w:hAnsi="Arial" w:eastAsia="宋体" w:cs="Arial"/>
          <w:sz w:val="20"/>
          <w:szCs w:val="20"/>
          <w:lang w:eastAsia="zh-CN"/>
        </w:rPr>
      </w:pPr>
    </w:p>
    <w:p w14:paraId="6D62C2EA">
      <w:pPr>
        <w:pStyle w:val="5"/>
        <w:snapToGrid w:val="0"/>
        <w:spacing w:line="300" w:lineRule="auto"/>
        <w:ind w:left="0"/>
        <w:jc w:val="both"/>
        <w:rPr>
          <w:rFonts w:ascii="Arial" w:hAnsi="Arial" w:eastAsia="宋体" w:cs="Arial"/>
          <w:lang w:eastAsia="zh-CN"/>
        </w:rPr>
      </w:pPr>
      <w:r>
        <w:rPr>
          <w:rFonts w:ascii="Arial" w:hAnsi="Arial" w:eastAsia="宋体" w:cs="Arial"/>
          <w:lang w:eastAsia="zh-CN"/>
        </w:rPr>
        <w:t>FDA认为，虽然单次手术成功可能无法为主要有效性终点提供基础，但应在手术房颤消融研究中对其进行报告。</w:t>
      </w:r>
    </w:p>
    <w:p w14:paraId="226B80A9">
      <w:pPr>
        <w:pStyle w:val="5"/>
        <w:snapToGrid w:val="0"/>
        <w:spacing w:line="300" w:lineRule="auto"/>
        <w:ind w:left="0"/>
        <w:jc w:val="both"/>
        <w:rPr>
          <w:rFonts w:ascii="Arial" w:hAnsi="Arial" w:eastAsia="宋体" w:cs="Arial"/>
          <w:lang w:eastAsia="zh-CN"/>
        </w:rPr>
      </w:pPr>
    </w:p>
    <w:p w14:paraId="43954416">
      <w:pPr>
        <w:pStyle w:val="5"/>
        <w:snapToGrid w:val="0"/>
        <w:spacing w:line="300" w:lineRule="auto"/>
        <w:ind w:left="0"/>
        <w:jc w:val="both"/>
        <w:rPr>
          <w:rFonts w:ascii="Arial" w:hAnsi="Arial" w:eastAsia="宋体" w:cs="Arial"/>
          <w:lang w:eastAsia="zh-CN"/>
        </w:rPr>
      </w:pPr>
      <w:r>
        <w:rPr>
          <w:rFonts w:ascii="Arial" w:hAnsi="Arial" w:eastAsia="宋体" w:cs="Arial"/>
          <w:lang w:eastAsia="zh-CN"/>
        </w:rPr>
        <w:t>我们还建议贵公司说明贵公司的研究设计用以最大限度地减少混合因素（如安慰剂效应）的方法。</w:t>
      </w:r>
    </w:p>
    <w:p w14:paraId="2BE2C37D">
      <w:pPr>
        <w:snapToGrid w:val="0"/>
        <w:spacing w:before="3" w:line="300" w:lineRule="auto"/>
        <w:jc w:val="both"/>
        <w:rPr>
          <w:rFonts w:ascii="Arial" w:hAnsi="Arial" w:eastAsia="宋体" w:cs="Arial"/>
          <w:sz w:val="21"/>
          <w:szCs w:val="21"/>
          <w:lang w:eastAsia="zh-CN"/>
        </w:rPr>
      </w:pPr>
    </w:p>
    <w:p w14:paraId="1A40E8A2">
      <w:pPr>
        <w:snapToGrid w:val="0"/>
        <w:spacing w:line="300" w:lineRule="auto"/>
        <w:jc w:val="both"/>
        <w:rPr>
          <w:rFonts w:ascii="Arial" w:hAnsi="Arial" w:eastAsia="宋体" w:cs="Arial"/>
          <w:sz w:val="24"/>
          <w:szCs w:val="24"/>
          <w:lang w:eastAsia="zh-CN"/>
        </w:rPr>
      </w:pPr>
      <w:r>
        <w:rPr>
          <w:rFonts w:ascii="Arial" w:hAnsi="Arial" w:eastAsia="宋体" w:cs="Arial"/>
          <w:b/>
          <w:sz w:val="24"/>
          <w:u w:val="thick" w:color="000000"/>
          <w:lang w:eastAsia="zh-CN"/>
        </w:rPr>
        <w:t>急性手术成功</w:t>
      </w:r>
    </w:p>
    <w:p w14:paraId="27E31240">
      <w:pPr>
        <w:pStyle w:val="5"/>
        <w:snapToGrid w:val="0"/>
        <w:spacing w:line="300" w:lineRule="auto"/>
        <w:ind w:left="0"/>
        <w:jc w:val="both"/>
        <w:rPr>
          <w:rFonts w:ascii="Arial" w:hAnsi="Arial" w:eastAsia="宋体" w:cs="Arial"/>
          <w:sz w:val="20"/>
          <w:szCs w:val="20"/>
          <w:lang w:eastAsia="zh-CN"/>
        </w:rPr>
      </w:pPr>
      <w:r>
        <w:rPr>
          <w:rFonts w:ascii="Arial" w:hAnsi="Arial" w:eastAsia="宋体" w:cs="Arial"/>
          <w:lang w:eastAsia="zh-CN"/>
        </w:rPr>
        <w:t>贵公司对器械有效性的评估应包括</w:t>
      </w:r>
      <w:bookmarkStart w:id="45" w:name="OLE_LINK69"/>
      <w:r>
        <w:rPr>
          <w:rFonts w:ascii="Arial" w:hAnsi="Arial" w:eastAsia="宋体" w:cs="Arial"/>
          <w:lang w:eastAsia="zh-CN"/>
        </w:rPr>
        <w:t>急性手术成功的度量</w:t>
      </w:r>
      <w:bookmarkEnd w:id="45"/>
      <w:r>
        <w:rPr>
          <w:rFonts w:ascii="Arial" w:hAnsi="Arial" w:eastAsia="宋体" w:cs="Arial"/>
          <w:lang w:eastAsia="zh-CN"/>
        </w:rPr>
        <w:t>。我们认为，急性手术成功的度量应包括完成方案定义的消融病变组以及完成消融病变间的传导阻滞（例如，如果创建了PV环绕式病变，则完成PV入口和/或出阻滞，如果使用了盒形病变，则通过后侧LA段完成入口和/或出口阻滞）。虽然我们不认为急性手术成功是推荐的主要有效性终点的替代物，但是应该报告和研究急性手术成功与主要有效性成功之间的关系，因为其可能为器械标签提供重要数据。</w:t>
      </w:r>
    </w:p>
    <w:p w14:paraId="07FFE071">
      <w:pPr>
        <w:snapToGrid w:val="0"/>
        <w:spacing w:before="1" w:line="300" w:lineRule="auto"/>
        <w:jc w:val="both"/>
        <w:rPr>
          <w:rFonts w:ascii="Arial" w:hAnsi="Arial" w:eastAsia="宋体" w:cs="Arial"/>
          <w:sz w:val="19"/>
          <w:szCs w:val="19"/>
          <w:lang w:eastAsia="zh-CN"/>
        </w:rPr>
      </w:pPr>
    </w:p>
    <w:p w14:paraId="49EF09C0">
      <w:pPr>
        <w:snapToGrid w:val="0"/>
        <w:spacing w:line="300" w:lineRule="auto"/>
        <w:jc w:val="both"/>
        <w:outlineLvl w:val="2"/>
        <w:rPr>
          <w:rFonts w:ascii="Arial" w:hAnsi="Arial" w:eastAsia="宋体" w:cs="Arial"/>
          <w:sz w:val="24"/>
          <w:szCs w:val="24"/>
          <w:lang w:eastAsia="zh-CN"/>
        </w:rPr>
      </w:pPr>
      <w:bookmarkStart w:id="46" w:name="Longstanding_Persistent_and_Persistent_A"/>
      <w:bookmarkEnd w:id="46"/>
      <w:bookmarkStart w:id="47" w:name="_Toc481156304"/>
      <w:r>
        <w:rPr>
          <w:rFonts w:ascii="Arial" w:hAnsi="Arial" w:eastAsia="宋体" w:cs="Arial"/>
          <w:b/>
          <w:sz w:val="24"/>
          <w:u w:val="thick" w:color="000000"/>
          <w:lang w:eastAsia="zh-CN"/>
        </w:rPr>
        <w:t>长期持续性和持久性房颤：主要有效性终点</w:t>
      </w:r>
      <w:bookmarkEnd w:id="47"/>
    </w:p>
    <w:p w14:paraId="3E6A75D5">
      <w:pPr>
        <w:pStyle w:val="5"/>
        <w:snapToGrid w:val="0"/>
        <w:spacing w:line="300" w:lineRule="auto"/>
        <w:ind w:left="0"/>
        <w:jc w:val="both"/>
        <w:rPr>
          <w:rFonts w:ascii="Arial" w:hAnsi="Arial" w:eastAsia="宋体" w:cs="Arial"/>
          <w:lang w:eastAsia="zh-CN"/>
        </w:rPr>
      </w:pPr>
      <w:r>
        <w:rPr>
          <w:rFonts w:ascii="Arial" w:hAnsi="Arial" w:eastAsia="宋体" w:cs="Arial"/>
          <w:lang w:eastAsia="zh-CN"/>
        </w:rPr>
        <w:t>通常建议对不同类型房颤进行单独研究。但是，如果申办方决定将持续性和长期持续性房颤放在一起研究，申办方应为此方法提供临床和科学上有效的理由。另外，申办方应预先规定待招募代表所研究的每种房颤类型的受试者的最低比例。</w:t>
      </w:r>
    </w:p>
    <w:p w14:paraId="21D736B9">
      <w:pPr>
        <w:snapToGrid w:val="0"/>
        <w:spacing w:before="1" w:line="300" w:lineRule="auto"/>
        <w:jc w:val="both"/>
        <w:rPr>
          <w:rFonts w:ascii="Arial" w:hAnsi="Arial" w:eastAsia="宋体" w:cs="Arial"/>
          <w:sz w:val="26"/>
          <w:szCs w:val="26"/>
          <w:lang w:eastAsia="zh-CN"/>
        </w:rPr>
      </w:pPr>
    </w:p>
    <w:p w14:paraId="3AC07E71">
      <w:pPr>
        <w:pStyle w:val="5"/>
        <w:snapToGrid w:val="0"/>
        <w:spacing w:line="300" w:lineRule="auto"/>
        <w:ind w:left="0"/>
        <w:jc w:val="both"/>
        <w:rPr>
          <w:rFonts w:ascii="Arial" w:hAnsi="Arial" w:eastAsia="宋体" w:cs="Arial"/>
          <w:lang w:eastAsia="zh-CN"/>
        </w:rPr>
      </w:pPr>
      <w:r>
        <w:rPr>
          <w:rFonts w:ascii="Arial" w:hAnsi="Arial" w:eastAsia="宋体" w:cs="Arial"/>
          <w:lang w:eastAsia="zh-CN"/>
        </w:rPr>
        <w:t xml:space="preserve">对于持续性和长期持续性房颤，FDA建议将在无I类或III类AAD情况下保持无AF/ </w:t>
      </w:r>
      <w:bookmarkStart w:id="48" w:name="OLE_LINK71"/>
      <w:bookmarkStart w:id="49" w:name="OLE_LINK72"/>
      <w:r>
        <w:rPr>
          <w:rFonts w:ascii="Arial" w:hAnsi="Arial" w:eastAsia="宋体" w:cs="Arial"/>
          <w:lang w:eastAsia="zh-CN"/>
        </w:rPr>
        <w:t xml:space="preserve">AFL </w:t>
      </w:r>
      <w:bookmarkEnd w:id="48"/>
      <w:bookmarkEnd w:id="49"/>
      <w:r>
        <w:rPr>
          <w:rFonts w:ascii="Arial" w:hAnsi="Arial" w:eastAsia="宋体" w:cs="Arial"/>
          <w:lang w:eastAsia="zh-CN"/>
        </w:rPr>
        <w:t>/ AT的状态一年视为主要有效性终点。本指南第8E节中列出了有关对持续性和长期持续性房颤受试者进行随访期间的最小心电图监测的建议。</w:t>
      </w:r>
    </w:p>
    <w:p w14:paraId="31834F73">
      <w:pPr>
        <w:snapToGrid w:val="0"/>
        <w:spacing w:before="8" w:line="300" w:lineRule="auto"/>
        <w:jc w:val="both"/>
        <w:rPr>
          <w:rFonts w:ascii="Arial" w:hAnsi="Arial" w:eastAsia="宋体" w:cs="Arial"/>
          <w:sz w:val="31"/>
          <w:szCs w:val="31"/>
          <w:lang w:eastAsia="zh-CN"/>
        </w:rPr>
      </w:pPr>
    </w:p>
    <w:p w14:paraId="661A5038">
      <w:pPr>
        <w:snapToGrid w:val="0"/>
        <w:spacing w:line="300" w:lineRule="auto"/>
        <w:jc w:val="both"/>
        <w:rPr>
          <w:rFonts w:ascii="Arial" w:hAnsi="Arial" w:eastAsia="宋体" w:cs="Arial"/>
          <w:sz w:val="24"/>
          <w:szCs w:val="24"/>
          <w:lang w:eastAsia="zh-CN"/>
        </w:rPr>
      </w:pPr>
      <w:r>
        <w:rPr>
          <w:rFonts w:ascii="Arial" w:hAnsi="Arial" w:eastAsia="宋体" w:cs="Arial"/>
          <w:b/>
          <w:sz w:val="24"/>
          <w:u w:val="thick" w:color="000000"/>
          <w:lang w:eastAsia="zh-CN"/>
        </w:rPr>
        <w:t>阵发性房颤：主要有效性终点</w:t>
      </w:r>
    </w:p>
    <w:p w14:paraId="6B7582FD">
      <w:pPr>
        <w:pStyle w:val="5"/>
        <w:snapToGrid w:val="0"/>
        <w:spacing w:before="115" w:line="300" w:lineRule="auto"/>
        <w:ind w:left="0"/>
        <w:jc w:val="both"/>
        <w:rPr>
          <w:rFonts w:ascii="Arial" w:hAnsi="Arial" w:eastAsia="宋体" w:cs="Arial"/>
          <w:lang w:eastAsia="zh-CN"/>
        </w:rPr>
      </w:pPr>
      <w:r>
        <w:rPr>
          <w:rFonts w:ascii="Arial" w:hAnsi="Arial" w:eastAsia="宋体" w:cs="Arial"/>
          <w:lang w:eastAsia="zh-CN"/>
        </w:rPr>
        <w:t>对于阵发性房颤， FDA建议将在无I类或III类AAD情况下保持无AF/AFL/AT的状态一年视为主要有效性终点。我们认为，这一随访期可最小化聚集的非随机房颤复发模式的混杂效应。请参阅第8E节以获得有关阵发性房颤受试者进行随访期间最小心电图监测的FDA建议。</w:t>
      </w:r>
    </w:p>
    <w:p w14:paraId="44F349C6">
      <w:pPr>
        <w:snapToGrid w:val="0"/>
        <w:spacing w:before="8" w:line="300" w:lineRule="auto"/>
        <w:jc w:val="both"/>
        <w:rPr>
          <w:rFonts w:ascii="Arial" w:hAnsi="Arial" w:eastAsia="宋体" w:cs="Arial"/>
          <w:sz w:val="31"/>
          <w:szCs w:val="31"/>
          <w:lang w:eastAsia="zh-CN"/>
        </w:rPr>
      </w:pPr>
    </w:p>
    <w:p w14:paraId="3C2AB9AB">
      <w:pPr>
        <w:snapToGrid w:val="0"/>
        <w:spacing w:line="300" w:lineRule="auto"/>
        <w:jc w:val="both"/>
        <w:outlineLvl w:val="2"/>
        <w:rPr>
          <w:rFonts w:ascii="Arial" w:hAnsi="Arial" w:eastAsia="宋体" w:cs="Arial"/>
          <w:sz w:val="24"/>
          <w:szCs w:val="24"/>
          <w:lang w:eastAsia="zh-CN"/>
        </w:rPr>
      </w:pPr>
      <w:bookmarkStart w:id="50" w:name="Primary_Effectiveness_Failure"/>
      <w:bookmarkEnd w:id="50"/>
      <w:bookmarkStart w:id="51" w:name="_Toc481156305"/>
      <w:r>
        <w:rPr>
          <w:rFonts w:ascii="Arial" w:hAnsi="Arial" w:eastAsia="宋体" w:cs="Arial"/>
          <w:b/>
          <w:sz w:val="24"/>
          <w:u w:val="thick" w:color="000000"/>
          <w:lang w:eastAsia="zh-CN"/>
        </w:rPr>
        <w:t>主要有效性失败</w:t>
      </w:r>
      <w:bookmarkEnd w:id="51"/>
    </w:p>
    <w:p w14:paraId="52CA4AC3">
      <w:pPr>
        <w:pStyle w:val="5"/>
        <w:snapToGrid w:val="0"/>
        <w:spacing w:before="115" w:line="300" w:lineRule="auto"/>
        <w:ind w:left="0"/>
        <w:jc w:val="both"/>
        <w:rPr>
          <w:rFonts w:ascii="Arial" w:hAnsi="Arial" w:eastAsia="宋体" w:cs="Arial"/>
          <w:lang w:eastAsia="zh-CN"/>
        </w:rPr>
      </w:pPr>
      <w:r>
        <w:rPr>
          <w:rFonts w:ascii="Arial" w:hAnsi="Arial" w:eastAsia="宋体" w:cs="Arial"/>
          <w:lang w:eastAsia="zh-CN"/>
        </w:rPr>
        <w:t>为了便于确定主要有效性，FDA建议贵公司预先明确主要有效性失败的场景。FDA认为以下是明确主要有效性失败的场景示例：</w:t>
      </w:r>
    </w:p>
    <w:p w14:paraId="24936991">
      <w:pPr>
        <w:snapToGrid w:val="0"/>
        <w:spacing w:before="10" w:line="300" w:lineRule="auto"/>
        <w:jc w:val="both"/>
        <w:rPr>
          <w:rFonts w:ascii="Arial" w:hAnsi="Arial" w:eastAsia="宋体" w:cs="Arial"/>
          <w:sz w:val="20"/>
          <w:szCs w:val="20"/>
          <w:lang w:eastAsia="zh-CN"/>
        </w:rPr>
      </w:pPr>
    </w:p>
    <w:p w14:paraId="328E37B3">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任何由Holter、事件监护仪或节律条通过心电图记录的且持续 30秒或更长时间的AF/AFL/AT；或者在进行最终随访后的任何空白期，持续标准12导联心电图的全10秒记录；</w:t>
      </w:r>
    </w:p>
    <w:p w14:paraId="5663F143">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在进行最终随访后的任何空白期，使用I类或III类AAD（或如果申办方仅想要声明在使用先前无效的药物的情况下可获得的收益，增加先前无效的AAD的剂量）</w:t>
      </w:r>
    </w:p>
    <w:p w14:paraId="061A087B">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在进行12个月的随访后的任何空白期，AF/AFL/AT的DC复律；</w:t>
      </w:r>
    </w:p>
    <w:p w14:paraId="1235C901">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在进行最终随访后的任何空白期，AF/AFL/AT的后续导管消融或手术治疗；</w:t>
      </w:r>
    </w:p>
    <w:p w14:paraId="74543F54">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相关医学界建议的、可</w:t>
      </w:r>
      <w:r>
        <w:rPr>
          <w:rFonts w:ascii="Arial" w:hAnsi="Arial" w:eastAsia="宋体" w:cs="Arial"/>
          <w:lang w:eastAsia="zh-CN"/>
        </w:rPr>
        <w:t>明确</w:t>
      </w:r>
      <w:r>
        <w:rPr>
          <w:rFonts w:ascii="Arial" w:hAnsi="Arial" w:eastAsia="宋体" w:cs="Arial"/>
          <w:sz w:val="24"/>
          <w:lang w:eastAsia="zh-CN"/>
        </w:rPr>
        <w:t>治疗失败的其他场景。</w:t>
      </w:r>
    </w:p>
    <w:p w14:paraId="149EA579">
      <w:pPr>
        <w:snapToGrid w:val="0"/>
        <w:spacing w:before="4" w:line="300" w:lineRule="auto"/>
        <w:jc w:val="both"/>
        <w:rPr>
          <w:rFonts w:ascii="Arial" w:hAnsi="Arial" w:eastAsia="宋体" w:cs="Arial"/>
          <w:sz w:val="21"/>
          <w:szCs w:val="21"/>
          <w:lang w:eastAsia="zh-CN"/>
        </w:rPr>
      </w:pPr>
    </w:p>
    <w:p w14:paraId="4414B571">
      <w:pPr>
        <w:pStyle w:val="3"/>
        <w:numPr>
          <w:ilvl w:val="1"/>
          <w:numId w:val="1"/>
        </w:numPr>
        <w:tabs>
          <w:tab w:val="left" w:pos="661"/>
        </w:tabs>
        <w:snapToGrid w:val="0"/>
        <w:spacing w:before="0" w:line="300" w:lineRule="auto"/>
        <w:ind w:left="539" w:hanging="539"/>
        <w:jc w:val="both"/>
        <w:rPr>
          <w:rFonts w:ascii="Arial" w:hAnsi="Arial" w:eastAsia="宋体" w:cs="Arial"/>
          <w:b w:val="0"/>
          <w:bCs w:val="0"/>
        </w:rPr>
      </w:pPr>
      <w:bookmarkStart w:id="52" w:name="B._Secondary_Effectiveness_Endpoints"/>
      <w:bookmarkEnd w:id="52"/>
      <w:bookmarkStart w:id="53" w:name="_Toc481156306"/>
      <w:r>
        <w:rPr>
          <w:rFonts w:ascii="Arial" w:hAnsi="Arial" w:eastAsia="宋体" w:cs="Arial"/>
          <w:lang w:eastAsia="zh-CN"/>
        </w:rPr>
        <w:t>次级有效性</w:t>
      </w:r>
      <w:r>
        <w:rPr>
          <w:rFonts w:ascii="Arial" w:hAnsi="Arial" w:eastAsia="宋体" w:cs="Arial"/>
        </w:rPr>
        <w:t>终点</w:t>
      </w:r>
      <w:bookmarkEnd w:id="53"/>
    </w:p>
    <w:p w14:paraId="444C82B9">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根据器械的设计及其适应症，适当的次要有效性终点可能包括：</w:t>
      </w:r>
    </w:p>
    <w:p w14:paraId="056A8E13">
      <w:pPr>
        <w:snapToGrid w:val="0"/>
        <w:spacing w:before="10" w:line="300" w:lineRule="auto"/>
        <w:jc w:val="both"/>
        <w:rPr>
          <w:rFonts w:ascii="Arial" w:hAnsi="Arial" w:eastAsia="宋体" w:cs="Arial"/>
          <w:sz w:val="20"/>
          <w:szCs w:val="20"/>
          <w:lang w:eastAsia="zh-CN"/>
        </w:rPr>
      </w:pPr>
    </w:p>
    <w:p w14:paraId="502F4794">
      <w:pPr>
        <w:pStyle w:val="16"/>
        <w:numPr>
          <w:ilvl w:val="0"/>
          <w:numId w:val="2"/>
        </w:numPr>
        <w:tabs>
          <w:tab w:val="left" w:pos="480"/>
        </w:tabs>
        <w:snapToGrid w:val="0"/>
        <w:spacing w:line="300" w:lineRule="auto"/>
        <w:ind w:left="357" w:hanging="357"/>
        <w:jc w:val="both"/>
        <w:rPr>
          <w:rFonts w:ascii="Arial" w:hAnsi="Arial" w:eastAsia="宋体" w:cs="Arial"/>
          <w:sz w:val="24"/>
        </w:rPr>
      </w:pPr>
      <w:r>
        <w:rPr>
          <w:rFonts w:ascii="Arial" w:hAnsi="Arial" w:eastAsia="宋体" w:cs="Arial"/>
          <w:sz w:val="24"/>
        </w:rPr>
        <w:t>减少房颤</w:t>
      </w:r>
      <w:r>
        <w:rPr>
          <w:rFonts w:ascii="Arial" w:hAnsi="Arial" w:eastAsia="宋体" w:cs="Arial"/>
          <w:sz w:val="24"/>
          <w:lang w:eastAsia="zh-CN"/>
        </w:rPr>
        <w:t>负荷</w:t>
      </w:r>
    </w:p>
    <w:p w14:paraId="0294DE2B">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改善跟踪呼吸困难、眩晕或心悸的症状评分</w:t>
      </w:r>
    </w:p>
    <w:p w14:paraId="3C432702">
      <w:pPr>
        <w:pStyle w:val="16"/>
        <w:numPr>
          <w:ilvl w:val="0"/>
          <w:numId w:val="2"/>
        </w:numPr>
        <w:tabs>
          <w:tab w:val="left" w:pos="480"/>
        </w:tabs>
        <w:snapToGrid w:val="0"/>
        <w:spacing w:line="300" w:lineRule="auto"/>
        <w:ind w:left="357" w:hanging="357"/>
        <w:jc w:val="both"/>
        <w:rPr>
          <w:rFonts w:ascii="Arial" w:hAnsi="Arial" w:eastAsia="宋体" w:cs="Arial"/>
          <w:sz w:val="24"/>
        </w:rPr>
      </w:pPr>
      <w:r>
        <w:rPr>
          <w:rFonts w:ascii="Arial" w:hAnsi="Arial" w:eastAsia="宋体" w:cs="Arial"/>
          <w:sz w:val="24"/>
        </w:rPr>
        <w:t>改善生活质量</w:t>
      </w:r>
    </w:p>
    <w:p w14:paraId="2BF7B318">
      <w:pPr>
        <w:pStyle w:val="16"/>
        <w:numPr>
          <w:ilvl w:val="0"/>
          <w:numId w:val="2"/>
        </w:numPr>
        <w:tabs>
          <w:tab w:val="left" w:pos="480"/>
        </w:tabs>
        <w:snapToGrid w:val="0"/>
        <w:spacing w:line="300" w:lineRule="auto"/>
        <w:ind w:left="357" w:hanging="357"/>
        <w:jc w:val="both"/>
        <w:rPr>
          <w:rFonts w:ascii="Arial" w:hAnsi="Arial" w:eastAsia="宋体" w:cs="Arial"/>
          <w:sz w:val="24"/>
        </w:rPr>
      </w:pPr>
      <w:r>
        <w:rPr>
          <w:rFonts w:ascii="Arial" w:hAnsi="Arial" w:eastAsia="宋体" w:cs="Arial"/>
          <w:sz w:val="24"/>
        </w:rPr>
        <w:t>改善运动耐</w:t>
      </w:r>
      <w:r>
        <w:rPr>
          <w:rFonts w:ascii="Arial" w:hAnsi="Arial" w:eastAsia="宋体" w:cs="Arial"/>
          <w:sz w:val="24"/>
          <w:lang w:eastAsia="zh-CN"/>
        </w:rPr>
        <w:t>量</w:t>
      </w:r>
    </w:p>
    <w:p w14:paraId="3D1A5CA4">
      <w:pPr>
        <w:pStyle w:val="16"/>
        <w:numPr>
          <w:ilvl w:val="0"/>
          <w:numId w:val="2"/>
        </w:numPr>
        <w:tabs>
          <w:tab w:val="left" w:pos="480"/>
        </w:tabs>
        <w:snapToGrid w:val="0"/>
        <w:spacing w:line="300" w:lineRule="auto"/>
        <w:ind w:left="357" w:hanging="357"/>
        <w:jc w:val="both"/>
        <w:rPr>
          <w:rFonts w:ascii="Arial" w:hAnsi="Arial" w:eastAsia="宋体" w:cs="Arial"/>
          <w:sz w:val="24"/>
        </w:rPr>
      </w:pPr>
      <w:r>
        <w:rPr>
          <w:rFonts w:ascii="Arial" w:hAnsi="Arial" w:eastAsia="宋体" w:cs="Arial"/>
          <w:sz w:val="24"/>
        </w:rPr>
        <w:t>改善心室射血分数</w:t>
      </w:r>
    </w:p>
    <w:p w14:paraId="0D88BB83">
      <w:pPr>
        <w:pStyle w:val="16"/>
        <w:numPr>
          <w:ilvl w:val="0"/>
          <w:numId w:val="2"/>
        </w:numPr>
        <w:tabs>
          <w:tab w:val="left" w:pos="480"/>
        </w:tabs>
        <w:snapToGrid w:val="0"/>
        <w:spacing w:line="300" w:lineRule="auto"/>
        <w:ind w:left="357" w:hanging="357"/>
        <w:jc w:val="both"/>
        <w:rPr>
          <w:rFonts w:ascii="Arial" w:hAnsi="Arial" w:eastAsia="宋体" w:cs="Arial"/>
          <w:sz w:val="24"/>
        </w:rPr>
      </w:pPr>
      <w:r>
        <w:rPr>
          <w:rFonts w:ascii="Arial" w:hAnsi="Arial" w:eastAsia="宋体" w:cs="Arial"/>
          <w:sz w:val="24"/>
        </w:rPr>
        <w:t>改善心房运输功能</w:t>
      </w:r>
    </w:p>
    <w:p w14:paraId="4E4C0904">
      <w:pPr>
        <w:pStyle w:val="16"/>
        <w:numPr>
          <w:ilvl w:val="0"/>
          <w:numId w:val="2"/>
        </w:numPr>
        <w:tabs>
          <w:tab w:val="left" w:pos="480"/>
        </w:tabs>
        <w:snapToGrid w:val="0"/>
        <w:spacing w:line="300" w:lineRule="auto"/>
        <w:ind w:left="357" w:hanging="357"/>
        <w:jc w:val="both"/>
        <w:rPr>
          <w:rFonts w:ascii="Arial" w:hAnsi="Arial" w:eastAsia="宋体" w:cs="Arial"/>
          <w:sz w:val="24"/>
          <w:lang w:eastAsia="zh-CN"/>
        </w:rPr>
      </w:pPr>
      <w:r>
        <w:rPr>
          <w:rFonts w:ascii="Arial" w:hAnsi="Arial" w:eastAsia="宋体" w:cs="Arial"/>
          <w:sz w:val="24"/>
          <w:lang w:eastAsia="zh-CN"/>
        </w:rPr>
        <w:t>心房重塑，提供心房尺寸减少来进行评估。</w:t>
      </w:r>
    </w:p>
    <w:p w14:paraId="6A0384FD">
      <w:pPr>
        <w:pStyle w:val="5"/>
        <w:snapToGrid w:val="0"/>
        <w:spacing w:line="300" w:lineRule="auto"/>
        <w:ind w:left="0"/>
        <w:jc w:val="both"/>
        <w:rPr>
          <w:rFonts w:ascii="Arial" w:hAnsi="Arial" w:eastAsia="宋体" w:cs="Arial"/>
          <w:lang w:eastAsia="zh-CN"/>
        </w:rPr>
      </w:pPr>
      <w:r>
        <w:rPr>
          <w:rFonts w:hint="eastAsia" w:ascii="Arial" w:hAnsi="Arial" w:eastAsia="宋体" w:cs="Arial"/>
          <w:lang w:eastAsia="zh-CN"/>
        </w:rPr>
        <w:t>如果贵公司打算在贵公司的标签中针对次级有效性终点提供群组之间的比较，则贵公司的方案应</w:t>
      </w:r>
      <w:r>
        <w:rPr>
          <w:rFonts w:ascii="Arial" w:hAnsi="Arial" w:eastAsia="宋体" w:cs="Arial"/>
          <w:lang w:eastAsia="zh-CN"/>
        </w:rPr>
        <w:t>适当</w:t>
      </w:r>
      <w:r>
        <w:rPr>
          <w:rFonts w:hint="eastAsia" w:ascii="Arial" w:hAnsi="Arial" w:eastAsia="宋体" w:cs="Arial"/>
          <w:lang w:eastAsia="zh-CN"/>
        </w:rPr>
        <w:t>提供每个次级有效性终点的预定假设和多重性的调整。贵公司的样本量估计应考虑这些次要终点假设。对于受安慰剂效应影响的次要终点，包括运动耐量、生活质量和症状评分，我们建议贵公司设计研究以尽量减少安慰剂效应。</w:t>
      </w:r>
    </w:p>
    <w:p w14:paraId="5DC1691D">
      <w:pPr>
        <w:snapToGrid w:val="0"/>
        <w:spacing w:line="300" w:lineRule="auto"/>
        <w:jc w:val="both"/>
        <w:rPr>
          <w:rFonts w:ascii="Arial" w:hAnsi="Arial" w:eastAsia="宋体" w:cs="Arial"/>
          <w:sz w:val="24"/>
          <w:szCs w:val="24"/>
          <w:lang w:eastAsia="zh-CN"/>
        </w:rPr>
      </w:pPr>
    </w:p>
    <w:p w14:paraId="0AA4440B">
      <w:pPr>
        <w:pStyle w:val="5"/>
        <w:snapToGrid w:val="0"/>
        <w:spacing w:before="204" w:line="300" w:lineRule="auto"/>
        <w:ind w:left="0"/>
        <w:jc w:val="both"/>
        <w:outlineLvl w:val="2"/>
        <w:rPr>
          <w:rFonts w:ascii="Arial" w:hAnsi="Arial" w:eastAsia="宋体" w:cs="Arial"/>
          <w:lang w:eastAsia="zh-CN"/>
        </w:rPr>
      </w:pPr>
      <w:bookmarkStart w:id="54" w:name="Atrial_Transport_Function"/>
      <w:bookmarkEnd w:id="54"/>
      <w:bookmarkStart w:id="55" w:name="_Toc481156307"/>
      <w:r>
        <w:rPr>
          <w:rFonts w:ascii="Arial" w:hAnsi="Arial" w:eastAsia="宋体" w:cs="Arial"/>
          <w:u w:val="single" w:color="000000"/>
          <w:lang w:eastAsia="zh-CN"/>
        </w:rPr>
        <w:t>心房运输功能</w:t>
      </w:r>
      <w:bookmarkEnd w:id="55"/>
    </w:p>
    <w:p w14:paraId="74D35C70">
      <w:pPr>
        <w:pStyle w:val="5"/>
        <w:snapToGrid w:val="0"/>
        <w:spacing w:before="123" w:line="300" w:lineRule="auto"/>
        <w:ind w:left="0"/>
        <w:jc w:val="both"/>
        <w:rPr>
          <w:rFonts w:ascii="Arial" w:hAnsi="Arial" w:eastAsia="宋体" w:cs="Arial"/>
          <w:lang w:eastAsia="zh-CN"/>
        </w:rPr>
      </w:pPr>
      <w:r>
        <w:rPr>
          <w:rFonts w:ascii="Arial" w:hAnsi="Arial" w:eastAsia="宋体" w:cs="Arial"/>
          <w:lang w:eastAsia="zh-CN"/>
        </w:rPr>
        <w:t>本文献报道了在进行房颤消融后对心房运输功能恢复的评估，并且已经将心房运输功能的恢复作为外科除颤手术</w:t>
      </w:r>
      <w:r>
        <w:rPr>
          <w:rFonts w:ascii="Arial" w:hAnsi="Arial" w:eastAsia="宋体" w:cs="Arial"/>
          <w:vertAlign w:val="superscript"/>
          <w:lang w:eastAsia="zh-CN"/>
        </w:rPr>
        <w:t>3</w:t>
      </w:r>
      <w:r>
        <w:rPr>
          <w:rFonts w:ascii="Arial" w:hAnsi="Arial" w:eastAsia="宋体" w:cs="Arial"/>
          <w:lang w:eastAsia="zh-CN"/>
        </w:rPr>
        <w:t>以及用于分离肺静脉来治疗房颤的外科消融术的收益。</w:t>
      </w:r>
      <w:r>
        <w:fldChar w:fldCharType="begin"/>
      </w:r>
      <w:r>
        <w:instrText xml:space="preserve"> HYPERLINK \l "_bookmark29" </w:instrText>
      </w:r>
      <w:r>
        <w:fldChar w:fldCharType="separate"/>
      </w:r>
      <w:r>
        <w:rPr>
          <w:rFonts w:ascii="Arial" w:hAnsi="Arial" w:eastAsia="宋体" w:cs="Arial"/>
          <w:spacing w:val="2"/>
          <w:position w:val="11"/>
          <w:sz w:val="16"/>
          <w:lang w:eastAsia="zh-CN"/>
        </w:rPr>
        <w:t>4</w:t>
      </w:r>
      <w:r>
        <w:rPr>
          <w:rFonts w:ascii="Arial" w:hAnsi="Arial" w:eastAsia="宋体" w:cs="Arial"/>
          <w:spacing w:val="2"/>
          <w:position w:val="11"/>
          <w:sz w:val="16"/>
          <w:lang w:eastAsia="zh-CN"/>
        </w:rPr>
        <w:fldChar w:fldCharType="end"/>
      </w:r>
      <w:r>
        <w:rPr>
          <w:rFonts w:ascii="Arial" w:hAnsi="Arial" w:eastAsia="宋体" w:cs="Arial"/>
          <w:lang w:eastAsia="zh-CN"/>
        </w:rPr>
        <w:t>然而，到目前为止，临床试验几乎完全集中于消除作为节律失常的房颤。FDA认为，恢复心房运输功能可能会对生活质量，以及减少与房颤相关的患病率（如卒中和心力衰竭）产生积极影响。如果贵公司打算评估心房运输功能来作为研究的一部分，贵公司应该考虑将该评估与对发病率减少和生活质量改善的评价相结合。例如，请参见Melo等人</w:t>
      </w:r>
      <w:r>
        <w:fldChar w:fldCharType="begin"/>
      </w:r>
      <w:r>
        <w:instrText xml:space="preserve"> HYPERLINK \l "_bookmark30" </w:instrText>
      </w:r>
      <w:r>
        <w:fldChar w:fldCharType="separate"/>
      </w:r>
      <w:r>
        <w:rPr>
          <w:rFonts w:ascii="Arial" w:hAnsi="Arial" w:eastAsia="宋体" w:cs="Arial"/>
          <w:spacing w:val="2"/>
          <w:position w:val="11"/>
          <w:sz w:val="16"/>
          <w:lang w:eastAsia="zh-CN"/>
        </w:rPr>
        <w:t>5</w:t>
      </w:r>
      <w:r>
        <w:rPr>
          <w:rFonts w:ascii="Arial" w:hAnsi="Arial" w:eastAsia="宋体" w:cs="Arial"/>
          <w:spacing w:val="2"/>
          <w:position w:val="11"/>
          <w:sz w:val="16"/>
          <w:lang w:eastAsia="zh-CN"/>
        </w:rPr>
        <w:fldChar w:fldCharType="end"/>
      </w:r>
      <w:r>
        <w:rPr>
          <w:rFonts w:ascii="Arial" w:hAnsi="Arial" w:eastAsia="宋体" w:cs="Arial"/>
          <w:lang w:eastAsia="zh-CN"/>
        </w:rPr>
        <w:t>提出的、用于评价和报告心房运输功能恢复的评分方法。</w:t>
      </w:r>
      <w:r>
        <w:rPr>
          <w:rFonts w:ascii="Arial" w:hAnsi="Arial" w:eastAsia="宋体" w:cs="Arial"/>
          <w:vertAlign w:val="superscript"/>
          <w:lang w:eastAsia="zh-CN"/>
        </w:rPr>
        <w:t>5</w:t>
      </w:r>
    </w:p>
    <w:p w14:paraId="66639074">
      <w:pPr>
        <w:snapToGrid w:val="0"/>
        <w:spacing w:before="5" w:line="300" w:lineRule="auto"/>
        <w:jc w:val="both"/>
        <w:rPr>
          <w:rFonts w:ascii="Arial" w:hAnsi="Arial" w:eastAsia="宋体" w:cs="Arial"/>
          <w:sz w:val="41"/>
          <w:szCs w:val="41"/>
          <w:lang w:eastAsia="zh-CN"/>
        </w:rPr>
      </w:pPr>
    </w:p>
    <w:p w14:paraId="709802CE">
      <w:pPr>
        <w:pStyle w:val="5"/>
        <w:snapToGrid w:val="0"/>
        <w:spacing w:line="300" w:lineRule="auto"/>
        <w:ind w:left="0"/>
        <w:jc w:val="both"/>
        <w:outlineLvl w:val="2"/>
        <w:rPr>
          <w:rFonts w:ascii="Arial" w:hAnsi="Arial" w:eastAsia="宋体" w:cs="Arial"/>
          <w:lang w:eastAsia="zh-CN"/>
        </w:rPr>
      </w:pPr>
      <w:bookmarkStart w:id="56" w:name="Ventricular_Function"/>
      <w:bookmarkEnd w:id="56"/>
      <w:bookmarkStart w:id="57" w:name="_Toc481156308"/>
      <w:r>
        <w:rPr>
          <w:rFonts w:ascii="Arial" w:hAnsi="Arial" w:eastAsia="宋体" w:cs="Arial"/>
          <w:u w:val="single" w:color="000000"/>
          <w:lang w:eastAsia="zh-CN"/>
        </w:rPr>
        <w:t>心室功能</w:t>
      </w:r>
      <w:bookmarkEnd w:id="57"/>
    </w:p>
    <w:p w14:paraId="078A22EA">
      <w:pPr>
        <w:pStyle w:val="5"/>
        <w:snapToGrid w:val="0"/>
        <w:spacing w:before="120" w:line="300" w:lineRule="auto"/>
        <w:ind w:left="0"/>
        <w:jc w:val="both"/>
        <w:rPr>
          <w:rFonts w:ascii="Arial" w:hAnsi="Arial" w:eastAsia="宋体" w:cs="Arial"/>
          <w:lang w:eastAsia="zh-CN"/>
        </w:rPr>
      </w:pPr>
      <w:r>
        <w:rPr>
          <w:rFonts w:ascii="Arial" w:hAnsi="Arial" w:eastAsia="宋体" w:cs="Arial"/>
          <w:lang w:eastAsia="zh-CN"/>
        </w:rPr>
        <w:t>房颤心律失常终止以及相关的心室率不稳定和升高可能使心室功能改善。如果贵公司计划评估心室功能，贵公司的研究设计应提供在手术前和手术后评价心室功能和心室尺寸的一些方法。这可能包括心室尺寸和射血分数的超声心动图或其他成像评价，其中，其须与有效性评价时节律状态评估一致。</w:t>
      </w:r>
    </w:p>
    <w:p w14:paraId="5B7BD7A3">
      <w:pPr>
        <w:snapToGrid w:val="0"/>
        <w:spacing w:line="300" w:lineRule="auto"/>
        <w:jc w:val="both"/>
        <w:rPr>
          <w:rFonts w:ascii="Arial" w:hAnsi="Arial" w:eastAsia="宋体" w:cs="Arial"/>
          <w:sz w:val="24"/>
          <w:szCs w:val="24"/>
          <w:lang w:eastAsia="zh-CN"/>
        </w:rPr>
      </w:pPr>
    </w:p>
    <w:p w14:paraId="28E54AAD">
      <w:pPr>
        <w:pStyle w:val="3"/>
        <w:numPr>
          <w:ilvl w:val="1"/>
          <w:numId w:val="1"/>
        </w:numPr>
        <w:tabs>
          <w:tab w:val="left" w:pos="1020"/>
        </w:tabs>
        <w:snapToGrid w:val="0"/>
        <w:spacing w:line="300" w:lineRule="auto"/>
        <w:ind w:left="539" w:hanging="539"/>
        <w:jc w:val="both"/>
        <w:rPr>
          <w:rFonts w:ascii="Arial" w:hAnsi="Arial" w:eastAsia="宋体" w:cs="Arial"/>
          <w:b w:val="0"/>
          <w:bCs w:val="0"/>
        </w:rPr>
      </w:pPr>
      <w:bookmarkStart w:id="58" w:name="C._Primary_Safety_Evaluation"/>
      <w:bookmarkEnd w:id="58"/>
      <w:bookmarkStart w:id="59" w:name="_Toc481156309"/>
      <w:r>
        <w:rPr>
          <w:rFonts w:ascii="Arial" w:hAnsi="Arial" w:eastAsia="宋体" w:cs="Arial"/>
        </w:rPr>
        <w:t>主要安全</w:t>
      </w:r>
      <w:r>
        <w:rPr>
          <w:rFonts w:ascii="Arial" w:hAnsi="Arial" w:eastAsia="宋体" w:cs="Arial"/>
          <w:lang w:eastAsia="zh-CN"/>
        </w:rPr>
        <w:t>性</w:t>
      </w:r>
      <w:r>
        <w:rPr>
          <w:rFonts w:ascii="Arial" w:hAnsi="Arial" w:eastAsia="宋体" w:cs="Arial"/>
        </w:rPr>
        <w:t>评价</w:t>
      </w:r>
      <w:bookmarkEnd w:id="59"/>
    </w:p>
    <w:p w14:paraId="48ACBD57">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对于主要安全性评价，FDA建议符合安全性终点由严重不良事件组成，包括但不限于：</w:t>
      </w:r>
    </w:p>
    <w:p w14:paraId="35EA42BB">
      <w:pPr>
        <w:snapToGrid w:val="0"/>
        <w:spacing w:line="300" w:lineRule="auto"/>
        <w:jc w:val="both"/>
        <w:rPr>
          <w:rFonts w:ascii="Arial" w:hAnsi="Arial" w:eastAsia="宋体" w:cs="Arial"/>
          <w:sz w:val="20"/>
          <w:szCs w:val="20"/>
          <w:lang w:eastAsia="zh-CN"/>
        </w:rPr>
      </w:pPr>
    </w:p>
    <w:p w14:paraId="0F6D405F">
      <w:pPr>
        <w:snapToGrid w:val="0"/>
        <w:spacing w:line="300" w:lineRule="auto"/>
        <w:jc w:val="both"/>
        <w:rPr>
          <w:rFonts w:ascii="Arial" w:hAnsi="Arial" w:eastAsia="宋体" w:cs="Arial"/>
          <w:sz w:val="12"/>
          <w:szCs w:val="12"/>
          <w:lang w:eastAsia="zh-CN"/>
        </w:rPr>
      </w:pPr>
    </w:p>
    <w:p w14:paraId="00479672">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4" name="Group 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 name="Group 6"/>
                        <wpg:cNvGrpSpPr/>
                        <wpg:grpSpPr>
                          <a:xfrm>
                            <a:off x="6" y="6"/>
                            <a:ext cx="2880" cy="2"/>
                            <a:chOff x="6" y="6"/>
                            <a:chExt cx="2880" cy="2"/>
                          </a:xfrm>
                        </wpg:grpSpPr>
                        <wps:wsp>
                          <wps:cNvPr id="6" name="Freeform 7"/>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07">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D+hIXUAAAAAwEAAA8AAAAAAAAAAQAgAAAAIgAAAGRycy9kb3ducmV2Lnht&#10;bFBLAQIUABQAAAAIAIdO4kA0ppJzGgMAAPgHAAAOAAAAAAAAAAEAIAAAACMBAABkcnMvZTJvRG9j&#10;LnhtbFBLBQYAAAAABgAGAFkBAACvBgAAAAA=&#10;">
                <o:lock v:ext="edit" aspectratio="f"/>
                <v:group id="Group 6" o:spid="_x0000_s1026" o:spt="203" style="position:absolute;left:6;top:6;height:2;width:2880;" coordorigin="6,6" coordsize="2880,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Freeform 7" o:spid="_x0000_s1026" o:spt="100" style="position:absolute;left:6;top:6;height:2;width:2880;" filled="f" stroked="t" coordsize="2880,1" o:gfxdata="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2e1S8AAAA&#10;2gAAAA8AAAAAAAAAAQAgAAAAIgAAAGRycy9kb3ducmV2LnhtbFBLAQIUABQAAAAIAIdO4kAzLwWe&#10;OwAAADkAAAAQAAAAAAAAAAEAIAAAAAsBAABkcnMvc2hhcGV4bWwueG1sUEsFBgAAAAAGAAYAWwEA&#10;ALUDAAAAAA==&#10;" path="m0,0l2880,0e">
                    <v:path o:connectlocs="0,0;2880,0" o:connectangles="0,0"/>
                    <v:fill on="f" focussize="0,0"/>
                    <v:stroke weight="0.598976377952756pt" color="#000000" joinstyle="round"/>
                    <v:imagedata o:title=""/>
                    <o:lock v:ext="edit" aspectratio="f"/>
                  </v:shape>
                </v:group>
                <w10:wrap type="none"/>
                <w10:anchorlock/>
              </v:group>
            </w:pict>
          </mc:Fallback>
        </mc:AlternateContent>
      </w:r>
    </w:p>
    <w:p w14:paraId="01FF03F3">
      <w:pPr>
        <w:snapToGrid w:val="0"/>
        <w:spacing w:before="71" w:line="300" w:lineRule="auto"/>
        <w:jc w:val="both"/>
        <w:rPr>
          <w:rFonts w:ascii="Arial" w:hAnsi="Arial" w:eastAsia="宋体" w:cs="Arial"/>
          <w:sz w:val="20"/>
          <w:szCs w:val="20"/>
          <w:lang w:eastAsia="zh-CN"/>
        </w:rPr>
      </w:pPr>
      <w:bookmarkStart w:id="60" w:name="_bookmark28"/>
      <w:bookmarkEnd w:id="60"/>
      <w:r>
        <w:rPr>
          <w:rFonts w:ascii="Arial" w:hAnsi="Arial" w:eastAsia="宋体" w:cs="Arial"/>
          <w:position w:val="9"/>
          <w:sz w:val="13"/>
        </w:rPr>
        <w:t xml:space="preserve">3 </w:t>
      </w:r>
      <w:r>
        <w:rPr>
          <w:rFonts w:ascii="Arial" w:hAnsi="Arial" w:eastAsia="宋体" w:cs="Arial"/>
          <w:sz w:val="20"/>
          <w:szCs w:val="20"/>
        </w:rPr>
        <w:t>Yuda S</w:t>
      </w:r>
      <w:r>
        <w:rPr>
          <w:rFonts w:ascii="Arial" w:hAnsi="Arial" w:eastAsia="宋体" w:cs="Arial"/>
          <w:sz w:val="20"/>
          <w:szCs w:val="20"/>
          <w:lang w:eastAsia="zh-CN"/>
        </w:rPr>
        <w:t>、</w:t>
      </w:r>
      <w:r>
        <w:rPr>
          <w:rFonts w:ascii="Arial" w:hAnsi="Arial" w:eastAsia="宋体" w:cs="Arial"/>
          <w:sz w:val="20"/>
          <w:szCs w:val="20"/>
        </w:rPr>
        <w:t>Nakatani S</w:t>
      </w:r>
      <w:r>
        <w:rPr>
          <w:rFonts w:ascii="Arial" w:hAnsi="Arial" w:eastAsia="宋体" w:cs="Arial"/>
          <w:sz w:val="20"/>
          <w:szCs w:val="20"/>
          <w:lang w:eastAsia="zh-CN"/>
        </w:rPr>
        <w:t>、</w:t>
      </w:r>
      <w:r>
        <w:rPr>
          <w:rFonts w:ascii="Arial" w:hAnsi="Arial" w:eastAsia="宋体" w:cs="Arial"/>
          <w:sz w:val="20"/>
          <w:szCs w:val="20"/>
        </w:rPr>
        <w:t>Kosakai Y等人。</w:t>
      </w:r>
      <w:r>
        <w:rPr>
          <w:rFonts w:ascii="Arial" w:hAnsi="Arial" w:eastAsia="宋体" w:cs="Arial"/>
          <w:sz w:val="20"/>
          <w:szCs w:val="20"/>
          <w:lang w:eastAsia="zh-CN"/>
        </w:rPr>
        <w:t>在对二尖瓣疾病患者进行除颤手术后长期随访心房收缩。</w:t>
      </w:r>
      <w:r>
        <w:rPr>
          <w:rFonts w:ascii="Arial" w:hAnsi="Arial" w:eastAsia="宋体" w:cs="Arial"/>
          <w:color w:val="333333"/>
          <w:sz w:val="20"/>
          <w:szCs w:val="20"/>
          <w:shd w:val="clear" w:color="auto" w:fill="FFFFFF"/>
          <w:lang w:eastAsia="zh-CN"/>
        </w:rPr>
        <w:t>美国心脏病学学院杂志，</w:t>
      </w:r>
      <w:r>
        <w:rPr>
          <w:rFonts w:ascii="Arial" w:hAnsi="Arial" w:eastAsia="宋体" w:cs="Arial"/>
          <w:sz w:val="20"/>
          <w:szCs w:val="20"/>
          <w:lang w:eastAsia="zh-CN"/>
        </w:rPr>
        <w:t>2001年；37（6）：1622-7。</w:t>
      </w:r>
    </w:p>
    <w:p w14:paraId="7D3D63DC">
      <w:pPr>
        <w:snapToGrid w:val="0"/>
        <w:spacing w:before="14" w:line="300" w:lineRule="auto"/>
        <w:ind w:hanging="1"/>
        <w:jc w:val="both"/>
        <w:rPr>
          <w:rFonts w:ascii="Arial" w:hAnsi="Arial" w:eastAsia="宋体" w:cs="Arial"/>
          <w:sz w:val="20"/>
          <w:szCs w:val="20"/>
          <w:lang w:eastAsia="zh-CN"/>
        </w:rPr>
      </w:pPr>
      <w:bookmarkStart w:id="61" w:name="_bookmark29"/>
      <w:bookmarkEnd w:id="61"/>
      <w:r>
        <w:rPr>
          <w:rFonts w:ascii="Arial" w:hAnsi="Arial" w:eastAsia="宋体" w:cs="Arial"/>
          <w:position w:val="9"/>
          <w:sz w:val="13"/>
        </w:rPr>
        <w:t xml:space="preserve">4 </w:t>
      </w:r>
      <w:r>
        <w:rPr>
          <w:rFonts w:ascii="Arial" w:hAnsi="Arial" w:eastAsia="宋体" w:cs="Arial"/>
          <w:sz w:val="20"/>
          <w:szCs w:val="20"/>
        </w:rPr>
        <w:t>Thomas L</w:t>
      </w:r>
      <w:r>
        <w:rPr>
          <w:rFonts w:ascii="Arial" w:hAnsi="Arial" w:eastAsia="宋体" w:cs="Arial"/>
          <w:sz w:val="20"/>
          <w:szCs w:val="20"/>
          <w:lang w:eastAsia="zh-CN"/>
        </w:rPr>
        <w:t>、</w:t>
      </w:r>
      <w:r>
        <w:rPr>
          <w:rFonts w:ascii="Arial" w:hAnsi="Arial" w:eastAsia="宋体" w:cs="Arial"/>
          <w:sz w:val="20"/>
          <w:szCs w:val="20"/>
        </w:rPr>
        <w:t>Boyd A</w:t>
      </w:r>
      <w:r>
        <w:rPr>
          <w:rFonts w:ascii="Arial" w:hAnsi="Arial" w:eastAsia="宋体" w:cs="Arial"/>
          <w:sz w:val="20"/>
          <w:szCs w:val="20"/>
          <w:lang w:eastAsia="zh-CN"/>
        </w:rPr>
        <w:t>、</w:t>
      </w:r>
      <w:r>
        <w:rPr>
          <w:rFonts w:ascii="Arial" w:hAnsi="Arial" w:eastAsia="宋体" w:cs="Arial"/>
          <w:sz w:val="20"/>
          <w:szCs w:val="20"/>
        </w:rPr>
        <w:t>Thomas SP等人。</w:t>
      </w:r>
      <w:r>
        <w:rPr>
          <w:rFonts w:ascii="Arial" w:hAnsi="Arial" w:eastAsia="宋体" w:cs="Arial"/>
          <w:sz w:val="20"/>
          <w:szCs w:val="20"/>
          <w:lang w:eastAsia="zh-CN"/>
        </w:rPr>
        <w:t>进行线性消融以治疗房颤后的心房结构重塑和心房收缩线恢复。</w:t>
      </w:r>
      <w:r>
        <w:rPr>
          <w:rFonts w:ascii="Arial" w:hAnsi="Arial" w:eastAsia="宋体" w:cs="Arial"/>
          <w:color w:val="333333"/>
          <w:sz w:val="20"/>
          <w:szCs w:val="20"/>
          <w:shd w:val="clear" w:color="auto" w:fill="FFFFFF"/>
          <w:lang w:eastAsia="zh-CN"/>
        </w:rPr>
        <w:t>欧洲心脏病杂志，</w:t>
      </w:r>
      <w:r>
        <w:rPr>
          <w:rFonts w:ascii="Arial" w:hAnsi="Arial" w:eastAsia="宋体" w:cs="Arial"/>
          <w:sz w:val="20"/>
          <w:szCs w:val="20"/>
          <w:lang w:eastAsia="zh-CN"/>
        </w:rPr>
        <w:t xml:space="preserve"> 2003年；24（21）：1942-51。</w:t>
      </w:r>
    </w:p>
    <w:p w14:paraId="451E8D56">
      <w:pPr>
        <w:snapToGrid w:val="0"/>
        <w:spacing w:before="16" w:line="300" w:lineRule="auto"/>
        <w:ind w:hanging="1"/>
        <w:jc w:val="both"/>
        <w:rPr>
          <w:rFonts w:ascii="Arial" w:hAnsi="Arial" w:eastAsia="宋体" w:cs="Arial"/>
          <w:sz w:val="20"/>
          <w:szCs w:val="20"/>
          <w:lang w:eastAsia="zh-CN"/>
        </w:rPr>
      </w:pPr>
      <w:bookmarkStart w:id="62" w:name="_bookmark30"/>
      <w:bookmarkEnd w:id="62"/>
      <w:r>
        <w:rPr>
          <w:rFonts w:ascii="Arial" w:hAnsi="Arial" w:eastAsia="宋体" w:cs="Arial"/>
          <w:position w:val="9"/>
          <w:sz w:val="13"/>
        </w:rPr>
        <w:t>5</w:t>
      </w:r>
      <w:r>
        <w:rPr>
          <w:rFonts w:ascii="Arial" w:hAnsi="Arial" w:eastAsia="宋体" w:cs="Arial"/>
          <w:sz w:val="20"/>
          <w:szCs w:val="20"/>
        </w:rPr>
        <w:t>Melo JQ</w:t>
      </w:r>
      <w:r>
        <w:rPr>
          <w:rFonts w:ascii="Arial" w:hAnsi="Arial" w:eastAsia="宋体" w:cs="Arial"/>
          <w:sz w:val="20"/>
          <w:szCs w:val="20"/>
          <w:lang w:eastAsia="zh-CN"/>
        </w:rPr>
        <w:t>、</w:t>
      </w:r>
      <w:r>
        <w:rPr>
          <w:rFonts w:ascii="Arial" w:hAnsi="Arial" w:eastAsia="宋体" w:cs="Arial"/>
          <w:sz w:val="20"/>
          <w:szCs w:val="20"/>
        </w:rPr>
        <w:t>Neves J</w:t>
      </w:r>
      <w:r>
        <w:rPr>
          <w:rFonts w:ascii="Arial" w:hAnsi="Arial" w:eastAsia="宋体" w:cs="Arial"/>
          <w:sz w:val="20"/>
          <w:szCs w:val="20"/>
          <w:lang w:eastAsia="zh-CN"/>
        </w:rPr>
        <w:t>、</w:t>
      </w:r>
      <w:r>
        <w:rPr>
          <w:rFonts w:ascii="Arial" w:hAnsi="Arial" w:eastAsia="宋体" w:cs="Arial"/>
          <w:sz w:val="20"/>
          <w:szCs w:val="20"/>
        </w:rPr>
        <w:t>Adragao P</w:t>
      </w:r>
      <w:r>
        <w:rPr>
          <w:rFonts w:ascii="Arial" w:hAnsi="Arial" w:eastAsia="宋体" w:cs="Arial"/>
          <w:sz w:val="20"/>
          <w:szCs w:val="20"/>
          <w:lang w:eastAsia="zh-CN"/>
        </w:rPr>
        <w:t>等人</w:t>
      </w:r>
      <w:r>
        <w:rPr>
          <w:rFonts w:ascii="Arial" w:hAnsi="Arial" w:eastAsia="宋体" w:cs="Arial"/>
          <w:sz w:val="20"/>
          <w:szCs w:val="20"/>
        </w:rPr>
        <w:t>。</w:t>
      </w:r>
      <w:r>
        <w:rPr>
          <w:rFonts w:ascii="Arial" w:hAnsi="Arial" w:eastAsia="宋体" w:cs="Arial"/>
          <w:sz w:val="20"/>
          <w:szCs w:val="20"/>
          <w:lang w:eastAsia="zh-CN"/>
        </w:rPr>
        <w:t>何时以及如何报告房颤的手术结果。</w:t>
      </w:r>
      <w:r>
        <w:rPr>
          <w:rFonts w:ascii="Arial" w:hAnsi="Arial" w:eastAsia="宋体" w:cs="Arial"/>
          <w:color w:val="333333"/>
          <w:sz w:val="20"/>
          <w:szCs w:val="20"/>
          <w:shd w:val="clear" w:color="auto" w:fill="FFFFFF"/>
          <w:lang w:eastAsia="zh-CN"/>
        </w:rPr>
        <w:t>欧洲胸心外科杂志</w:t>
      </w:r>
      <w:r>
        <w:rPr>
          <w:rFonts w:ascii="Arial" w:hAnsi="Arial" w:eastAsia="宋体" w:cs="Arial"/>
          <w:sz w:val="20"/>
          <w:szCs w:val="20"/>
          <w:lang w:eastAsia="zh-CN"/>
        </w:rPr>
        <w:t>。1997年；12（5）：739-44。</w:t>
      </w:r>
    </w:p>
    <w:p w14:paraId="552D6EE6">
      <w:pPr>
        <w:snapToGrid w:val="0"/>
        <w:spacing w:line="300" w:lineRule="auto"/>
        <w:jc w:val="both"/>
        <w:rPr>
          <w:rFonts w:ascii="Arial" w:hAnsi="Arial" w:eastAsia="宋体" w:cs="Arial"/>
          <w:sz w:val="20"/>
          <w:szCs w:val="20"/>
          <w:lang w:eastAsia="zh-CN"/>
        </w:rPr>
        <w:sectPr>
          <w:pgSz w:w="12240" w:h="15840"/>
          <w:pgMar w:top="1134" w:right="1134" w:bottom="1134" w:left="1134" w:header="748" w:footer="773" w:gutter="0"/>
          <w:cols w:space="720" w:num="1"/>
          <w:docGrid w:linePitch="299" w:charSpace="0"/>
        </w:sectPr>
      </w:pPr>
    </w:p>
    <w:p w14:paraId="5CC5043E">
      <w:pPr>
        <w:pStyle w:val="16"/>
        <w:numPr>
          <w:ilvl w:val="0"/>
          <w:numId w:val="2"/>
        </w:numPr>
        <w:tabs>
          <w:tab w:val="left" w:pos="460"/>
        </w:tabs>
        <w:snapToGrid w:val="0"/>
        <w:spacing w:line="276" w:lineRule="auto"/>
        <w:ind w:left="357" w:hanging="357"/>
        <w:jc w:val="both"/>
        <w:rPr>
          <w:rFonts w:ascii="Arial" w:hAnsi="Arial" w:eastAsia="宋体" w:cs="Arial"/>
          <w:sz w:val="24"/>
        </w:rPr>
      </w:pPr>
      <w:r>
        <w:rPr>
          <w:rFonts w:ascii="Arial" w:hAnsi="Arial" w:eastAsia="宋体" w:cs="Arial"/>
          <w:sz w:val="24"/>
        </w:rPr>
        <w:t>全因死亡</w:t>
      </w:r>
    </w:p>
    <w:p w14:paraId="2AFD7780">
      <w:pPr>
        <w:pStyle w:val="16"/>
        <w:numPr>
          <w:ilvl w:val="0"/>
          <w:numId w:val="2"/>
        </w:numPr>
        <w:tabs>
          <w:tab w:val="left" w:pos="460"/>
        </w:tabs>
        <w:snapToGrid w:val="0"/>
        <w:spacing w:line="276" w:lineRule="auto"/>
        <w:ind w:left="357" w:hanging="357"/>
        <w:jc w:val="both"/>
        <w:rPr>
          <w:rFonts w:ascii="Arial" w:hAnsi="Arial" w:eastAsia="宋体" w:cs="Arial"/>
          <w:sz w:val="24"/>
          <w:lang w:eastAsia="zh-CN"/>
        </w:rPr>
      </w:pPr>
      <w:r>
        <w:rPr>
          <w:rFonts w:ascii="Arial" w:hAnsi="Arial" w:eastAsia="宋体" w:cs="Arial"/>
          <w:sz w:val="24"/>
          <w:lang w:eastAsia="zh-CN"/>
        </w:rPr>
        <w:t>卒中和短暂性脑缺血发作（TIA）</w:t>
      </w:r>
    </w:p>
    <w:p w14:paraId="2466765E">
      <w:pPr>
        <w:pStyle w:val="16"/>
        <w:numPr>
          <w:ilvl w:val="0"/>
          <w:numId w:val="2"/>
        </w:numPr>
        <w:tabs>
          <w:tab w:val="left" w:pos="460"/>
        </w:tabs>
        <w:snapToGrid w:val="0"/>
        <w:spacing w:line="276" w:lineRule="auto"/>
        <w:ind w:left="357" w:hanging="357"/>
        <w:jc w:val="both"/>
        <w:rPr>
          <w:rFonts w:ascii="Arial" w:hAnsi="Arial" w:eastAsia="宋体" w:cs="Arial"/>
          <w:sz w:val="24"/>
        </w:rPr>
      </w:pPr>
      <w:r>
        <w:rPr>
          <w:rFonts w:ascii="Arial" w:hAnsi="Arial" w:eastAsia="宋体" w:cs="Arial"/>
          <w:sz w:val="24"/>
        </w:rPr>
        <w:t>心肌梗死（MI）</w:t>
      </w:r>
    </w:p>
    <w:p w14:paraId="19168827">
      <w:pPr>
        <w:pStyle w:val="16"/>
        <w:numPr>
          <w:ilvl w:val="0"/>
          <w:numId w:val="2"/>
        </w:numPr>
        <w:tabs>
          <w:tab w:val="left" w:pos="460"/>
        </w:tabs>
        <w:snapToGrid w:val="0"/>
        <w:spacing w:line="276" w:lineRule="auto"/>
        <w:ind w:left="357" w:hanging="357"/>
        <w:jc w:val="both"/>
        <w:rPr>
          <w:rFonts w:ascii="Arial" w:hAnsi="Arial" w:eastAsia="宋体" w:cs="Arial"/>
          <w:sz w:val="24"/>
          <w:lang w:eastAsia="zh-CN"/>
        </w:rPr>
      </w:pPr>
      <w:r>
        <w:rPr>
          <w:rFonts w:ascii="Arial" w:hAnsi="Arial" w:eastAsia="宋体" w:cs="Arial"/>
          <w:sz w:val="24"/>
          <w:lang w:eastAsia="zh-CN"/>
        </w:rPr>
        <w:t>血栓栓塞事件（肺栓塞和周围栓塞）</w:t>
      </w:r>
    </w:p>
    <w:p w14:paraId="1ACB2ACA">
      <w:pPr>
        <w:pStyle w:val="16"/>
        <w:numPr>
          <w:ilvl w:val="0"/>
          <w:numId w:val="2"/>
        </w:numPr>
        <w:tabs>
          <w:tab w:val="left" w:pos="460"/>
        </w:tabs>
        <w:snapToGrid w:val="0"/>
        <w:spacing w:line="276" w:lineRule="auto"/>
        <w:ind w:left="357" w:hanging="357"/>
        <w:jc w:val="both"/>
        <w:rPr>
          <w:rFonts w:ascii="Arial" w:hAnsi="Arial" w:eastAsia="宋体" w:cs="Arial"/>
          <w:sz w:val="24"/>
        </w:rPr>
      </w:pPr>
      <w:r>
        <w:rPr>
          <w:rFonts w:ascii="Arial" w:hAnsi="Arial" w:eastAsia="宋体" w:cs="Arial"/>
          <w:sz w:val="24"/>
        </w:rPr>
        <w:t>出血过多</w:t>
      </w:r>
    </w:p>
    <w:p w14:paraId="23B1879A">
      <w:pPr>
        <w:pStyle w:val="16"/>
        <w:numPr>
          <w:ilvl w:val="0"/>
          <w:numId w:val="2"/>
        </w:numPr>
        <w:tabs>
          <w:tab w:val="left" w:pos="460"/>
        </w:tabs>
        <w:snapToGrid w:val="0"/>
        <w:spacing w:line="276" w:lineRule="auto"/>
        <w:ind w:left="357" w:hanging="357"/>
        <w:jc w:val="both"/>
        <w:rPr>
          <w:rFonts w:ascii="Arial" w:hAnsi="Arial" w:eastAsia="宋体" w:cs="Arial"/>
          <w:sz w:val="24"/>
          <w:lang w:eastAsia="zh-CN"/>
        </w:rPr>
      </w:pPr>
      <w:r>
        <w:rPr>
          <w:rFonts w:ascii="Arial" w:hAnsi="Arial" w:eastAsia="宋体" w:cs="Arial"/>
          <w:sz w:val="24"/>
          <w:lang w:eastAsia="zh-CN"/>
        </w:rPr>
        <w:t>深部胸骨伤口感染/纵隔炎</w:t>
      </w:r>
    </w:p>
    <w:p w14:paraId="72B42EAC">
      <w:pPr>
        <w:pStyle w:val="16"/>
        <w:numPr>
          <w:ilvl w:val="0"/>
          <w:numId w:val="2"/>
        </w:numPr>
        <w:tabs>
          <w:tab w:val="left" w:pos="460"/>
        </w:tabs>
        <w:snapToGrid w:val="0"/>
        <w:spacing w:line="276" w:lineRule="auto"/>
        <w:ind w:left="357" w:hanging="357"/>
        <w:jc w:val="both"/>
        <w:rPr>
          <w:rFonts w:ascii="Arial" w:hAnsi="Arial" w:eastAsia="宋体" w:cs="Arial"/>
          <w:sz w:val="24"/>
          <w:lang w:eastAsia="zh-CN"/>
        </w:rPr>
      </w:pPr>
      <w:r>
        <w:rPr>
          <w:rFonts w:ascii="Arial" w:hAnsi="Arial" w:eastAsia="宋体" w:cs="Arial"/>
          <w:sz w:val="24"/>
          <w:lang w:eastAsia="zh-CN"/>
        </w:rPr>
        <w:t>需要永久起搏器的专用传导系统损坏</w:t>
      </w:r>
    </w:p>
    <w:p w14:paraId="0C7E7631">
      <w:pPr>
        <w:pStyle w:val="16"/>
        <w:numPr>
          <w:ilvl w:val="0"/>
          <w:numId w:val="2"/>
        </w:numPr>
        <w:tabs>
          <w:tab w:val="left" w:pos="460"/>
        </w:tabs>
        <w:snapToGrid w:val="0"/>
        <w:spacing w:line="276" w:lineRule="auto"/>
        <w:ind w:left="357" w:hanging="357"/>
        <w:jc w:val="both"/>
        <w:rPr>
          <w:rFonts w:ascii="Arial" w:hAnsi="Arial" w:eastAsia="宋体" w:cs="Arial"/>
          <w:sz w:val="24"/>
          <w:lang w:eastAsia="zh-CN"/>
        </w:rPr>
      </w:pPr>
      <w:r>
        <w:rPr>
          <w:rFonts w:ascii="Arial" w:hAnsi="Arial" w:eastAsia="宋体" w:cs="Arial"/>
          <w:sz w:val="24"/>
          <w:lang w:eastAsia="zh-CN"/>
        </w:rPr>
        <w:t>损伤周边结构，如食道和膈神经</w:t>
      </w:r>
    </w:p>
    <w:p w14:paraId="4EED1A6C">
      <w:pPr>
        <w:pStyle w:val="16"/>
        <w:numPr>
          <w:ilvl w:val="0"/>
          <w:numId w:val="2"/>
        </w:numPr>
        <w:tabs>
          <w:tab w:val="left" w:pos="460"/>
        </w:tabs>
        <w:snapToGrid w:val="0"/>
        <w:spacing w:line="276" w:lineRule="auto"/>
        <w:ind w:left="357" w:hanging="357"/>
        <w:jc w:val="both"/>
        <w:rPr>
          <w:rFonts w:ascii="Arial" w:hAnsi="Arial" w:eastAsia="宋体" w:cs="Arial"/>
          <w:sz w:val="24"/>
          <w:lang w:eastAsia="zh-CN"/>
        </w:rPr>
      </w:pPr>
      <w:r>
        <w:rPr>
          <w:rFonts w:ascii="Arial" w:hAnsi="Arial" w:eastAsia="宋体" w:cs="Arial"/>
          <w:sz w:val="24"/>
          <w:lang w:eastAsia="zh-CN"/>
        </w:rPr>
        <w:t>肺静脉（PV）狭窄。</w:t>
      </w:r>
    </w:p>
    <w:p w14:paraId="35834C2D">
      <w:pPr>
        <w:snapToGrid w:val="0"/>
        <w:spacing w:line="276" w:lineRule="auto"/>
        <w:jc w:val="both"/>
        <w:rPr>
          <w:rFonts w:ascii="Arial" w:hAnsi="Arial" w:eastAsia="宋体" w:cs="Arial"/>
          <w:sz w:val="24"/>
          <w:szCs w:val="24"/>
          <w:lang w:eastAsia="zh-CN"/>
        </w:rPr>
      </w:pPr>
    </w:p>
    <w:p w14:paraId="404B6F81">
      <w:pPr>
        <w:pStyle w:val="5"/>
        <w:snapToGrid w:val="0"/>
        <w:spacing w:line="276" w:lineRule="auto"/>
        <w:ind w:left="0"/>
        <w:jc w:val="both"/>
        <w:rPr>
          <w:rFonts w:ascii="Arial" w:hAnsi="Arial" w:eastAsia="宋体" w:cs="Arial"/>
          <w:lang w:eastAsia="zh-CN"/>
        </w:rPr>
      </w:pPr>
      <w:r>
        <w:rPr>
          <w:rFonts w:ascii="Arial" w:hAnsi="Arial" w:eastAsia="宋体" w:cs="Arial"/>
          <w:lang w:eastAsia="zh-CN"/>
        </w:rPr>
        <w:t>根据手术方式和器械/安全性的特性，还可能存在其他适当的严重不良事件。</w:t>
      </w:r>
    </w:p>
    <w:p w14:paraId="453CAC60">
      <w:pPr>
        <w:pStyle w:val="5"/>
        <w:snapToGrid w:val="0"/>
        <w:spacing w:line="276" w:lineRule="auto"/>
        <w:ind w:left="0"/>
        <w:jc w:val="both"/>
        <w:rPr>
          <w:rFonts w:ascii="Arial" w:hAnsi="Arial" w:eastAsia="宋体" w:cs="Arial"/>
          <w:lang w:eastAsia="zh-CN"/>
        </w:rPr>
      </w:pPr>
    </w:p>
    <w:p w14:paraId="6FE2B474">
      <w:pPr>
        <w:pStyle w:val="5"/>
        <w:snapToGrid w:val="0"/>
        <w:spacing w:line="276" w:lineRule="auto"/>
        <w:ind w:left="0"/>
        <w:jc w:val="both"/>
        <w:rPr>
          <w:rFonts w:ascii="Arial" w:hAnsi="Arial" w:eastAsia="宋体" w:cs="Arial"/>
          <w:lang w:eastAsia="zh-CN"/>
        </w:rPr>
      </w:pPr>
      <w:r>
        <w:rPr>
          <w:rFonts w:ascii="Arial" w:hAnsi="Arial" w:eastAsia="宋体" w:cs="Arial"/>
          <w:lang w:eastAsia="zh-CN"/>
        </w:rPr>
        <w:t xml:space="preserve">在不良事件的安全性和评价方面，研究计划必须提供对研究使受试者面临的所有增加风险的说明和分析。（汽车见21 CFR 812.25（c））。申办方必须立即对任何非预期不利器械效应（UADE）（21 CFR 812.46（b））进行评价，并确保任何审查IRB和FDA及时收到有关研究的重大新信息的通知（21 </w:t>
      </w:r>
      <w:bookmarkStart w:id="63" w:name="OLE_LINK1"/>
      <w:r>
        <w:rPr>
          <w:rFonts w:ascii="Arial" w:hAnsi="Arial" w:eastAsia="宋体" w:cs="Arial"/>
          <w:lang w:eastAsia="zh-CN"/>
        </w:rPr>
        <w:t>CFR 812.40）。如果申办方确定，UADE使受试者面临着不合理的风险，则申办</w:t>
      </w:r>
      <w:bookmarkEnd w:id="63"/>
      <w:r>
        <w:rPr>
          <w:rFonts w:ascii="Arial" w:hAnsi="Arial" w:eastAsia="宋体" w:cs="Arial"/>
          <w:lang w:eastAsia="zh-CN"/>
        </w:rPr>
        <w:t>方必须尽快终止所有呈现此类风险的研究，并且不得迟于申办方做出此决定后的五个工作日内，以及不迟于申办方首次收到UADE通知的十五个工作日内（21 CFR 812.46（b）（2））。</w:t>
      </w:r>
    </w:p>
    <w:p w14:paraId="0D742A63">
      <w:pPr>
        <w:snapToGrid w:val="0"/>
        <w:spacing w:before="1" w:line="276" w:lineRule="auto"/>
        <w:jc w:val="both"/>
        <w:rPr>
          <w:rFonts w:ascii="Arial" w:hAnsi="Arial" w:eastAsia="宋体" w:cs="Arial"/>
          <w:sz w:val="26"/>
          <w:szCs w:val="26"/>
          <w:lang w:eastAsia="zh-CN"/>
        </w:rPr>
      </w:pPr>
    </w:p>
    <w:p w14:paraId="26FA96B2">
      <w:pPr>
        <w:pStyle w:val="5"/>
        <w:snapToGrid w:val="0"/>
        <w:spacing w:line="276" w:lineRule="auto"/>
        <w:ind w:left="0"/>
        <w:jc w:val="both"/>
        <w:rPr>
          <w:rFonts w:ascii="Arial" w:hAnsi="Arial" w:eastAsia="宋体" w:cs="Arial"/>
          <w:lang w:eastAsia="zh-CN"/>
        </w:rPr>
      </w:pPr>
      <w:r>
        <w:rPr>
          <w:rFonts w:ascii="Arial" w:hAnsi="Arial" w:eastAsia="宋体" w:cs="Arial"/>
          <w:lang w:eastAsia="zh-CN"/>
        </w:rPr>
        <w:t>FDA认为，对安全性评价进行一年随访可以提供足够的时间来评价不良事件，例如可能在较晚的时间点于某些受试者中出现或恶化的PV狭窄。如果在直接可视化下使用贵公司的器械不会造成有关PV狭窄的风险，则较短的随访期（例如不到一年）可能适用。如果贵公司认为情况就是如此，贵公司应该为少于一年的随访期提供合理的理由。</w:t>
      </w:r>
    </w:p>
    <w:p w14:paraId="2A59E144">
      <w:pPr>
        <w:snapToGrid w:val="0"/>
        <w:spacing w:line="276" w:lineRule="auto"/>
        <w:jc w:val="both"/>
        <w:rPr>
          <w:rFonts w:ascii="Arial" w:hAnsi="Arial" w:eastAsia="宋体" w:cs="Arial"/>
          <w:sz w:val="24"/>
          <w:szCs w:val="24"/>
          <w:lang w:eastAsia="zh-CN"/>
        </w:rPr>
      </w:pPr>
    </w:p>
    <w:p w14:paraId="182E1E0A">
      <w:pPr>
        <w:pStyle w:val="5"/>
        <w:snapToGrid w:val="0"/>
        <w:spacing w:before="204" w:line="276" w:lineRule="auto"/>
        <w:ind w:left="0"/>
        <w:jc w:val="both"/>
        <w:outlineLvl w:val="2"/>
        <w:rPr>
          <w:rFonts w:ascii="Arial" w:hAnsi="Arial" w:eastAsia="宋体" w:cs="Arial"/>
          <w:lang w:eastAsia="zh-CN"/>
        </w:rPr>
      </w:pPr>
      <w:bookmarkStart w:id="64" w:name="Pulmonary_Vein_Stenosis"/>
      <w:bookmarkEnd w:id="64"/>
      <w:bookmarkStart w:id="65" w:name="_Toc481156310"/>
      <w:r>
        <w:rPr>
          <w:rFonts w:ascii="Arial" w:hAnsi="Arial" w:eastAsia="宋体" w:cs="Arial"/>
          <w:u w:val="single" w:color="000000"/>
          <w:lang w:eastAsia="zh-CN"/>
        </w:rPr>
        <w:t>肺静脉狭窄</w:t>
      </w:r>
      <w:bookmarkEnd w:id="65"/>
    </w:p>
    <w:p w14:paraId="76499918">
      <w:pPr>
        <w:pStyle w:val="5"/>
        <w:snapToGrid w:val="0"/>
        <w:spacing w:line="276" w:lineRule="auto"/>
        <w:ind w:left="0"/>
        <w:jc w:val="both"/>
        <w:rPr>
          <w:rFonts w:ascii="Arial" w:hAnsi="Arial" w:eastAsia="宋体" w:cs="Arial"/>
          <w:lang w:eastAsia="zh-CN"/>
        </w:rPr>
      </w:pPr>
    </w:p>
    <w:p w14:paraId="2F4BEC6C">
      <w:pPr>
        <w:pStyle w:val="5"/>
        <w:snapToGrid w:val="0"/>
        <w:spacing w:line="276" w:lineRule="auto"/>
        <w:ind w:left="0"/>
        <w:jc w:val="both"/>
        <w:rPr>
          <w:rFonts w:ascii="Arial" w:hAnsi="Arial" w:eastAsia="宋体" w:cs="Arial"/>
          <w:lang w:eastAsia="zh-CN"/>
        </w:rPr>
      </w:pPr>
      <w:r>
        <w:rPr>
          <w:rFonts w:ascii="Arial" w:hAnsi="Arial" w:eastAsia="宋体" w:cs="Arial"/>
          <w:lang w:eastAsia="zh-CN"/>
        </w:rPr>
        <w:t>PV狭窄被视为与贵公司器械相关的风险时，我们建议贵公司使用基线成像研究（CT或MRI）对PV狭窄进行评价，然后在消融手术的3至6个月内使用相同的方法来进行筛选以确定是否存在PV狭窄。如果受试者出现PV狭窄的迹象，我们建议在术后12个月进行额外的随访成像来评价</w:t>
      </w:r>
      <w:bookmarkStart w:id="66" w:name="OLE_LINK2"/>
      <w:bookmarkStart w:id="67" w:name="OLE_LINK3"/>
      <w:r>
        <w:rPr>
          <w:rFonts w:ascii="Arial" w:hAnsi="Arial" w:eastAsia="宋体" w:cs="Arial"/>
          <w:lang w:eastAsia="zh-CN"/>
        </w:rPr>
        <w:t>狭窄进展</w:t>
      </w:r>
      <w:bookmarkEnd w:id="66"/>
      <w:bookmarkEnd w:id="67"/>
      <w:r>
        <w:rPr>
          <w:rFonts w:ascii="Arial" w:hAnsi="Arial" w:eastAsia="宋体" w:cs="Arial"/>
          <w:lang w:eastAsia="zh-CN"/>
        </w:rPr>
        <w:t>。</w:t>
      </w:r>
    </w:p>
    <w:p w14:paraId="3FDF8FDF">
      <w:pPr>
        <w:snapToGrid w:val="0"/>
        <w:spacing w:before="4" w:line="276" w:lineRule="auto"/>
        <w:jc w:val="both"/>
        <w:rPr>
          <w:rFonts w:ascii="Arial" w:hAnsi="Arial" w:eastAsia="宋体" w:cs="Arial"/>
          <w:sz w:val="26"/>
          <w:szCs w:val="26"/>
          <w:lang w:eastAsia="zh-CN"/>
        </w:rPr>
      </w:pPr>
    </w:p>
    <w:p w14:paraId="0594B04B">
      <w:pPr>
        <w:pStyle w:val="5"/>
        <w:snapToGrid w:val="0"/>
        <w:spacing w:line="276" w:lineRule="auto"/>
        <w:ind w:left="0"/>
        <w:jc w:val="both"/>
        <w:rPr>
          <w:rFonts w:ascii="Arial" w:hAnsi="Arial" w:eastAsia="宋体" w:cs="Arial"/>
          <w:spacing w:val="-4"/>
          <w:lang w:eastAsia="zh-CN"/>
        </w:rPr>
      </w:pPr>
      <w:r>
        <w:rPr>
          <w:rFonts w:ascii="Arial" w:hAnsi="Arial" w:eastAsia="宋体" w:cs="Arial"/>
          <w:spacing w:val="-4"/>
          <w:lang w:eastAsia="zh-CN"/>
        </w:rPr>
        <w:t>根据2012年有关房颤的外科和导管消融术的HRS / EHRA / ECAS专家共识声明的建议，</w:t>
      </w:r>
      <w:r>
        <w:fldChar w:fldCharType="begin"/>
      </w:r>
      <w:r>
        <w:instrText xml:space="preserve"> HYPERLINK \l "_bookmark6" </w:instrText>
      </w:r>
      <w:r>
        <w:fldChar w:fldCharType="separate"/>
      </w:r>
      <w:r>
        <w:rPr>
          <w:rFonts w:ascii="Arial" w:hAnsi="Arial" w:eastAsia="宋体" w:cs="Arial"/>
          <w:spacing w:val="-4"/>
          <w:position w:val="11"/>
          <w:sz w:val="16"/>
          <w:szCs w:val="16"/>
          <w:lang w:eastAsia="zh-CN"/>
        </w:rPr>
        <w:t>2</w:t>
      </w:r>
      <w:r>
        <w:rPr>
          <w:rFonts w:ascii="Arial" w:hAnsi="Arial" w:eastAsia="宋体" w:cs="Arial"/>
          <w:spacing w:val="-4"/>
          <w:position w:val="11"/>
          <w:sz w:val="16"/>
          <w:szCs w:val="16"/>
          <w:lang w:eastAsia="zh-CN"/>
        </w:rPr>
        <w:fldChar w:fldCharType="end"/>
      </w:r>
      <w:r>
        <w:rPr>
          <w:rFonts w:ascii="Arial" w:hAnsi="Arial" w:eastAsia="宋体" w:cs="Arial"/>
          <w:spacing w:val="-4"/>
          <w:lang w:eastAsia="zh-CN"/>
        </w:rPr>
        <w:t>FDA建议，如果PV或PV分支的直径减少&lt;50％，应将其归类为轻度狭窄，如果PV或PV分支的直径减少为50-70％，则归类为中度狭窄，如果PV或PV分支的直径减少≥70％，则归类为严重狭窄；严重PV狭窄应被视为主要的并发症，从而有助于确定主要安全性终点。我们还建议由中心核心实验室的独立、不知情的观察人员对用于评价PV狭窄的成像研究进行所有评价。</w:t>
      </w:r>
    </w:p>
    <w:p w14:paraId="04E738F0">
      <w:pPr>
        <w:pStyle w:val="5"/>
        <w:snapToGrid w:val="0"/>
        <w:spacing w:line="300" w:lineRule="auto"/>
        <w:ind w:left="363" w:leftChars="164" w:hanging="2"/>
        <w:jc w:val="both"/>
        <w:rPr>
          <w:rFonts w:ascii="Arial" w:hAnsi="Arial" w:eastAsia="宋体" w:cs="Arial"/>
          <w:lang w:eastAsia="zh-CN"/>
        </w:rPr>
      </w:pPr>
      <w:r>
        <w:rPr>
          <w:rFonts w:ascii="Arial" w:hAnsi="Arial" w:eastAsia="宋体" w:cs="Arial"/>
          <w:lang w:eastAsia="zh-CN"/>
        </w:rPr>
        <w:t>案例报告表应提供用于确定受试者是否已出现暗示PV狭窄症状的方法。</w:t>
      </w:r>
    </w:p>
    <w:p w14:paraId="0A6DCCB2">
      <w:pPr>
        <w:snapToGrid w:val="0"/>
        <w:spacing w:before="1" w:line="300" w:lineRule="auto"/>
        <w:ind w:left="365" w:leftChars="165" w:hanging="2"/>
        <w:jc w:val="both"/>
        <w:rPr>
          <w:rFonts w:ascii="Arial" w:hAnsi="Arial" w:eastAsia="宋体" w:cs="Arial"/>
          <w:sz w:val="26"/>
          <w:szCs w:val="26"/>
          <w:lang w:eastAsia="zh-CN"/>
        </w:rPr>
      </w:pPr>
    </w:p>
    <w:p w14:paraId="01A73AF6">
      <w:pPr>
        <w:pStyle w:val="5"/>
        <w:snapToGrid w:val="0"/>
        <w:spacing w:line="300" w:lineRule="auto"/>
        <w:ind w:left="365" w:leftChars="165" w:hanging="2"/>
        <w:jc w:val="both"/>
        <w:rPr>
          <w:rFonts w:ascii="Arial" w:hAnsi="Arial" w:eastAsia="宋体" w:cs="Arial"/>
          <w:lang w:eastAsia="zh-CN"/>
        </w:rPr>
      </w:pPr>
      <w:r>
        <w:rPr>
          <w:rFonts w:ascii="Arial" w:hAnsi="Arial" w:eastAsia="宋体" w:cs="Arial"/>
          <w:lang w:eastAsia="zh-CN"/>
        </w:rPr>
        <w:t>我们认为对照组中未接受消融术的受试者不太可能出现PV狭窄，因此无需通过成像对其进行评价。使用外科消融手术的研究（其中，手术涉及在肺静脉附近使用时直接观察消融器械）无需对PV狭窄评估。如果贵公司确定PV狭窄的风险很小，并因此推测无需在贵公司的研究中评估PV评价，我们建议贵公司说明贵公司如何做出这一测定，并提供科学依据来支持贵公司的推理。</w:t>
      </w:r>
    </w:p>
    <w:p w14:paraId="1F930CCF">
      <w:pPr>
        <w:snapToGrid w:val="0"/>
        <w:spacing w:line="300" w:lineRule="auto"/>
        <w:ind w:left="365" w:leftChars="165" w:hanging="2"/>
        <w:jc w:val="both"/>
        <w:rPr>
          <w:rFonts w:ascii="Arial" w:hAnsi="Arial" w:eastAsia="宋体" w:cs="Arial"/>
          <w:sz w:val="24"/>
          <w:szCs w:val="24"/>
          <w:lang w:eastAsia="zh-CN"/>
        </w:rPr>
      </w:pPr>
    </w:p>
    <w:p w14:paraId="7AACA6BA">
      <w:pPr>
        <w:pStyle w:val="5"/>
        <w:snapToGrid w:val="0"/>
        <w:spacing w:before="204" w:line="300" w:lineRule="auto"/>
        <w:ind w:left="363" w:leftChars="165"/>
        <w:jc w:val="both"/>
        <w:outlineLvl w:val="2"/>
        <w:rPr>
          <w:rFonts w:ascii="Arial" w:hAnsi="Arial" w:eastAsia="宋体" w:cs="Arial"/>
          <w:lang w:eastAsia="zh-CN"/>
        </w:rPr>
      </w:pPr>
      <w:bookmarkStart w:id="68" w:name="Neurological_assessment"/>
      <w:bookmarkEnd w:id="68"/>
      <w:bookmarkStart w:id="69" w:name="_Toc481156311"/>
      <w:r>
        <w:rPr>
          <w:rFonts w:ascii="Arial" w:hAnsi="Arial" w:eastAsia="宋体" w:cs="Arial"/>
          <w:u w:val="single" w:color="000000"/>
          <w:lang w:eastAsia="zh-CN"/>
        </w:rPr>
        <w:t>神经评估</w:t>
      </w:r>
      <w:bookmarkEnd w:id="69"/>
    </w:p>
    <w:p w14:paraId="7D547F5E">
      <w:pPr>
        <w:pStyle w:val="5"/>
        <w:snapToGrid w:val="0"/>
        <w:spacing w:before="60" w:line="300" w:lineRule="auto"/>
        <w:ind w:left="365" w:leftChars="165" w:hanging="2"/>
        <w:jc w:val="both"/>
        <w:rPr>
          <w:rFonts w:ascii="Arial" w:hAnsi="Arial" w:eastAsia="宋体" w:cs="Arial"/>
          <w:lang w:eastAsia="zh-CN"/>
        </w:rPr>
      </w:pPr>
      <w:r>
        <w:rPr>
          <w:rFonts w:ascii="Arial" w:hAnsi="Arial" w:eastAsia="宋体" w:cs="Arial"/>
          <w:lang w:eastAsia="zh-CN"/>
        </w:rPr>
        <w:t>可用的文献表明，围手术期期间，消融受试者中可能会出现临床显著的神经损伤以及无症状性脑栓塞。无症状性脑栓塞的病理生理学和临床意义尚不清楚，但可能存在一些并非完全呈无症状的栓塞，因此在进行适当研究时更适于将其归类为卒中或TIA。因此，接受手术消融的受试者应在消融手术前后进行标准化的神经学评价。此外，本审查机构建议，应至少使一部分研究受试者接受更专业的神经学评价。在设计患者子集的神经学评估时，应考虑以下几点：</w:t>
      </w:r>
    </w:p>
    <w:p w14:paraId="51AEA1A8">
      <w:pPr>
        <w:snapToGrid w:val="0"/>
        <w:spacing w:line="300" w:lineRule="auto"/>
        <w:ind w:left="365" w:leftChars="165" w:hanging="2"/>
        <w:jc w:val="both"/>
        <w:rPr>
          <w:rFonts w:ascii="Arial" w:hAnsi="Arial" w:eastAsia="宋体" w:cs="Arial"/>
          <w:sz w:val="24"/>
          <w:szCs w:val="24"/>
          <w:lang w:eastAsia="zh-CN"/>
        </w:rPr>
      </w:pPr>
    </w:p>
    <w:p w14:paraId="7A808A5E">
      <w:pPr>
        <w:pStyle w:val="16"/>
        <w:numPr>
          <w:ilvl w:val="1"/>
          <w:numId w:val="2"/>
        </w:numPr>
        <w:tabs>
          <w:tab w:val="left" w:pos="999"/>
          <w:tab w:val="left" w:pos="1000"/>
        </w:tabs>
        <w:snapToGrid w:val="0"/>
        <w:spacing w:line="300" w:lineRule="auto"/>
        <w:ind w:left="365" w:leftChars="165" w:hanging="2"/>
        <w:jc w:val="both"/>
        <w:rPr>
          <w:rFonts w:ascii="Arial" w:hAnsi="Arial" w:eastAsia="宋体" w:cs="Arial"/>
          <w:sz w:val="24"/>
          <w:lang w:eastAsia="zh-CN"/>
        </w:rPr>
      </w:pPr>
      <w:r>
        <w:rPr>
          <w:rFonts w:ascii="Arial" w:hAnsi="Arial" w:eastAsia="宋体" w:cs="Arial"/>
          <w:sz w:val="24"/>
          <w:lang w:eastAsia="zh-CN"/>
        </w:rPr>
        <w:t>子集中的患者数量（百分比）应取决于器械类型、试验类型和现有临床前和临床资料；</w:t>
      </w:r>
    </w:p>
    <w:p w14:paraId="58748E84">
      <w:pPr>
        <w:pStyle w:val="16"/>
        <w:numPr>
          <w:ilvl w:val="1"/>
          <w:numId w:val="2"/>
        </w:numPr>
        <w:tabs>
          <w:tab w:val="left" w:pos="999"/>
          <w:tab w:val="left" w:pos="1000"/>
        </w:tabs>
        <w:snapToGrid w:val="0"/>
        <w:spacing w:line="300" w:lineRule="auto"/>
        <w:ind w:left="365" w:leftChars="165" w:hanging="2"/>
        <w:jc w:val="both"/>
        <w:rPr>
          <w:rFonts w:ascii="Arial" w:hAnsi="Arial" w:eastAsia="宋体" w:cs="Arial"/>
          <w:sz w:val="24"/>
          <w:lang w:eastAsia="zh-CN"/>
        </w:rPr>
      </w:pPr>
      <w:r>
        <w:rPr>
          <w:rFonts w:ascii="Arial" w:hAnsi="Arial" w:eastAsia="宋体" w:cs="Arial"/>
          <w:sz w:val="24"/>
          <w:lang w:eastAsia="zh-CN"/>
        </w:rPr>
        <w:t>应在基线、出院前、手术后1个月和出现任何神经系统事件后进行神经学评估；</w:t>
      </w:r>
    </w:p>
    <w:p w14:paraId="0F2F1C97">
      <w:pPr>
        <w:pStyle w:val="16"/>
        <w:numPr>
          <w:ilvl w:val="1"/>
          <w:numId w:val="2"/>
        </w:numPr>
        <w:snapToGrid w:val="0"/>
        <w:spacing w:line="300" w:lineRule="auto"/>
        <w:ind w:left="1022" w:leftChars="165" w:hanging="659"/>
        <w:jc w:val="both"/>
        <w:rPr>
          <w:rFonts w:ascii="Arial" w:hAnsi="Arial" w:eastAsia="宋体" w:cs="Arial"/>
          <w:sz w:val="24"/>
          <w:lang w:eastAsia="zh-CN"/>
        </w:rPr>
      </w:pPr>
      <w:r>
        <w:rPr>
          <w:rFonts w:ascii="Arial" w:hAnsi="Arial" w:eastAsia="宋体" w:cs="Arial"/>
          <w:sz w:val="24"/>
          <w:lang w:eastAsia="zh-CN"/>
        </w:rPr>
        <w:t>临床试验应纳入标准化的完整神经系统体检。对于在事件发生时以及事件发生后90天时被诊断为神经系统事件的患者，应考虑使用标准化量表来评估神经功能缺损（如NIH中风量表（NIHSS））和卒中残疾（如改良Rankin评分（MRS））。应对全身神经功能进行评估时，应考虑进行认知试验；</w:t>
      </w:r>
    </w:p>
    <w:p w14:paraId="7E563626">
      <w:pPr>
        <w:pStyle w:val="16"/>
        <w:numPr>
          <w:ilvl w:val="1"/>
          <w:numId w:val="2"/>
        </w:numPr>
        <w:snapToGrid w:val="0"/>
        <w:spacing w:line="300" w:lineRule="auto"/>
        <w:ind w:left="1022" w:leftChars="165" w:hanging="659"/>
        <w:jc w:val="both"/>
        <w:rPr>
          <w:rFonts w:ascii="Arial" w:hAnsi="Arial" w:eastAsia="宋体" w:cs="Arial"/>
          <w:sz w:val="24"/>
          <w:lang w:eastAsia="zh-CN"/>
        </w:rPr>
      </w:pPr>
      <w:r>
        <w:rPr>
          <w:rFonts w:ascii="Arial" w:hAnsi="Arial" w:eastAsia="宋体" w:cs="Arial"/>
          <w:sz w:val="24"/>
          <w:lang w:eastAsia="zh-CN"/>
        </w:rPr>
        <w:t>应由神经病学家进行神经系统体检。执行其他试验的人员应获得认证（NIHSS的外部认证、MRS的内部或外部认证）。评价员应独立于研究；</w:t>
      </w:r>
    </w:p>
    <w:p w14:paraId="260CA857">
      <w:pPr>
        <w:pStyle w:val="16"/>
        <w:numPr>
          <w:ilvl w:val="1"/>
          <w:numId w:val="2"/>
        </w:numPr>
        <w:snapToGrid w:val="0"/>
        <w:spacing w:line="300" w:lineRule="auto"/>
        <w:ind w:left="1022" w:leftChars="165" w:hanging="659"/>
        <w:jc w:val="both"/>
        <w:rPr>
          <w:rFonts w:ascii="Arial" w:hAnsi="Arial" w:eastAsia="宋体" w:cs="Arial"/>
          <w:sz w:val="24"/>
          <w:lang w:eastAsia="zh-CN"/>
        </w:rPr>
      </w:pPr>
      <w:r>
        <w:rPr>
          <w:rFonts w:ascii="Arial" w:hAnsi="Arial" w:eastAsia="宋体" w:cs="Arial"/>
          <w:sz w:val="24"/>
          <w:lang w:eastAsia="zh-CN"/>
        </w:rPr>
        <w:t>目标是检测无症状性血管损伤时，应考虑使用专业的神经成像技术；</w:t>
      </w:r>
    </w:p>
    <w:p w14:paraId="45B58DC1">
      <w:pPr>
        <w:snapToGrid w:val="0"/>
        <w:spacing w:before="4" w:line="300" w:lineRule="auto"/>
        <w:jc w:val="both"/>
        <w:rPr>
          <w:rFonts w:ascii="Arial" w:hAnsi="Arial" w:eastAsia="宋体" w:cs="Arial"/>
          <w:sz w:val="21"/>
          <w:szCs w:val="21"/>
          <w:lang w:eastAsia="zh-CN"/>
        </w:rPr>
      </w:pPr>
    </w:p>
    <w:p w14:paraId="2F682264">
      <w:pPr>
        <w:pStyle w:val="2"/>
        <w:numPr>
          <w:ilvl w:val="0"/>
          <w:numId w:val="1"/>
        </w:numPr>
        <w:tabs>
          <w:tab w:val="left" w:pos="460"/>
        </w:tabs>
        <w:snapToGrid w:val="0"/>
        <w:spacing w:line="300" w:lineRule="auto"/>
        <w:ind w:left="357" w:hanging="357"/>
        <w:jc w:val="both"/>
        <w:rPr>
          <w:rFonts w:ascii="Arial" w:hAnsi="Arial" w:eastAsia="宋体" w:cs="Arial"/>
          <w:b w:val="0"/>
          <w:bCs w:val="0"/>
        </w:rPr>
      </w:pPr>
      <w:bookmarkStart w:id="70" w:name="7._Study_Groups"/>
      <w:bookmarkEnd w:id="70"/>
      <w:bookmarkStart w:id="71" w:name="_Toc481156312"/>
      <w:r>
        <w:rPr>
          <w:rFonts w:ascii="Arial" w:hAnsi="Arial" w:eastAsia="宋体" w:cs="Arial"/>
          <w:spacing w:val="-3"/>
        </w:rPr>
        <w:t>研究组</w:t>
      </w:r>
      <w:bookmarkEnd w:id="71"/>
    </w:p>
    <w:p w14:paraId="1673FD49">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FDA建议，贵公司的研究应提供拟定治疗最有可能显示收益的患者人群。研究受试者的选择应小心平衡具有支持广义适应症所需特性的入选受试者，用于控制潜在混杂因素的受试者排除。我们建议贵公司的方案列出入选和排除标准以精确定义可能从拟定治疗受益的患者人群。此外，贵公司的研究设计应考虑以前的并发症和之前的房颤治疗。</w:t>
      </w:r>
    </w:p>
    <w:p w14:paraId="07093E8D">
      <w:pPr>
        <w:pStyle w:val="5"/>
        <w:snapToGrid w:val="0"/>
        <w:spacing w:before="113" w:line="300" w:lineRule="auto"/>
        <w:ind w:left="0"/>
        <w:jc w:val="both"/>
        <w:rPr>
          <w:rFonts w:ascii="Arial" w:hAnsi="Arial" w:eastAsia="宋体" w:cs="Arial"/>
          <w:lang w:eastAsia="zh-CN"/>
        </w:rPr>
      </w:pPr>
    </w:p>
    <w:p w14:paraId="4C64D813">
      <w:pPr>
        <w:rPr>
          <w:rFonts w:ascii="Arial" w:hAnsi="Arial" w:eastAsia="宋体" w:cs="Arial"/>
          <w:sz w:val="24"/>
          <w:szCs w:val="24"/>
          <w:lang w:eastAsia="zh-CN"/>
        </w:rPr>
      </w:pPr>
      <w:r>
        <w:rPr>
          <w:rFonts w:ascii="Arial" w:hAnsi="Arial" w:eastAsia="宋体" w:cs="Arial"/>
          <w:lang w:eastAsia="zh-CN"/>
        </w:rPr>
        <w:br w:type="page"/>
      </w:r>
    </w:p>
    <w:p w14:paraId="66971D72">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所选择的入选和排除标准应确保受试者具有与器械拟定适应症一致的房颤类型（即阵发性、持续性或长期持续性）。对于所有类型的房颤，我们预计受试者将具有有关房颤相关症状的病史。此外，我们建议，贵公司的方案应指明贵公司要研究的房颤类型的最低房颤文档要求。就这一点而言，我们认为，贵公司应遵循2012年有关房颤手术和导管消融的HRS / EHRA / ECAS专家共识声明的相关建议。</w:t>
      </w:r>
    </w:p>
    <w:p w14:paraId="4A351CD1">
      <w:pPr>
        <w:pStyle w:val="5"/>
        <w:snapToGrid w:val="0"/>
        <w:spacing w:before="113" w:line="300" w:lineRule="auto"/>
        <w:ind w:left="0"/>
        <w:jc w:val="both"/>
        <w:rPr>
          <w:rFonts w:ascii="Arial" w:hAnsi="Arial" w:eastAsia="宋体" w:cs="Arial"/>
          <w:lang w:eastAsia="zh-CN"/>
        </w:rPr>
      </w:pPr>
    </w:p>
    <w:p w14:paraId="3F09A8B8">
      <w:pPr>
        <w:pStyle w:val="5"/>
        <w:snapToGrid w:val="0"/>
        <w:spacing w:before="113" w:line="300" w:lineRule="auto"/>
        <w:ind w:left="0"/>
        <w:jc w:val="both"/>
        <w:rPr>
          <w:rFonts w:ascii="Arial" w:hAnsi="Arial" w:eastAsia="宋体" w:cs="Arial"/>
          <w:lang w:eastAsia="zh-CN"/>
        </w:rPr>
      </w:pPr>
      <w:r>
        <w:rPr>
          <w:rFonts w:ascii="Arial" w:hAnsi="Arial" w:eastAsia="宋体" w:cs="Arial"/>
          <w:lang w:eastAsia="zh-CN"/>
        </w:rPr>
        <w:t>根据管理房颤患者的</w:t>
      </w:r>
      <w:r>
        <w:rPr>
          <w:rFonts w:ascii="Arial" w:hAnsi="Arial" w:eastAsia="宋体" w:cs="Arial"/>
        </w:rPr>
        <w:t>ACC / AHA / ESC 2006</w:t>
      </w:r>
      <w:r>
        <w:rPr>
          <w:rFonts w:ascii="Arial" w:hAnsi="Arial" w:eastAsia="宋体" w:cs="Arial"/>
          <w:lang w:eastAsia="zh-CN"/>
        </w:rPr>
        <w:t>指南</w:t>
      </w:r>
      <w:r>
        <w:rPr>
          <w:rFonts w:ascii="Arial" w:hAnsi="Arial" w:eastAsia="宋体" w:cs="Arial"/>
          <w:vertAlign w:val="superscript"/>
          <w:lang w:eastAsia="zh-CN"/>
        </w:rPr>
        <w:t>6</w:t>
      </w:r>
      <w:r>
        <w:rPr>
          <w:rFonts w:ascii="Arial" w:hAnsi="Arial" w:eastAsia="宋体" w:cs="Arial"/>
        </w:rPr>
        <w:t>和HRS / EHRA / ECAS专家共识声明</w:t>
      </w:r>
      <w:r>
        <w:rPr>
          <w:rFonts w:ascii="Arial" w:hAnsi="Arial" w:eastAsia="宋体" w:cs="Arial"/>
          <w:vertAlign w:val="superscript"/>
          <w:lang w:eastAsia="zh-CN"/>
        </w:rPr>
        <w:t>2</w:t>
      </w:r>
      <w:r>
        <w:rPr>
          <w:rFonts w:ascii="Arial" w:hAnsi="Arial" w:eastAsia="宋体" w:cs="Arial"/>
        </w:rPr>
        <w:t>，我们建议房颤消融试验主要包括</w:t>
      </w:r>
      <w:r>
        <w:rPr>
          <w:rFonts w:ascii="Arial" w:hAnsi="Arial" w:eastAsia="宋体" w:cs="Arial"/>
          <w:lang w:eastAsia="zh-CN"/>
        </w:rPr>
        <w:t>已</w:t>
      </w:r>
      <w:r>
        <w:rPr>
          <w:rFonts w:ascii="Arial" w:hAnsi="Arial" w:eastAsia="宋体" w:cs="Arial"/>
        </w:rPr>
        <w:t>失败或</w:t>
      </w:r>
      <w:r>
        <w:rPr>
          <w:rFonts w:ascii="Arial" w:hAnsi="Arial" w:eastAsia="宋体" w:cs="Arial"/>
          <w:lang w:eastAsia="zh-CN"/>
        </w:rPr>
        <w:t>无法忍受</w:t>
      </w:r>
      <w:r>
        <w:rPr>
          <w:rFonts w:ascii="Arial" w:hAnsi="Arial" w:eastAsia="宋体" w:cs="Arial"/>
        </w:rPr>
        <w:t>至少一个Vaughan-Williams</w:t>
      </w:r>
      <w:r>
        <w:rPr>
          <w:rFonts w:ascii="Arial" w:hAnsi="Arial" w:eastAsia="宋体" w:cs="Arial"/>
          <w:vertAlign w:val="superscript"/>
        </w:rPr>
        <w:t>7</w:t>
      </w:r>
      <w:r>
        <w:rPr>
          <w:rFonts w:ascii="Arial" w:hAnsi="Arial" w:eastAsia="宋体" w:cs="Arial"/>
        </w:rPr>
        <w:t xml:space="preserve"> I</w:t>
      </w:r>
      <w:r>
        <w:rPr>
          <w:rFonts w:ascii="Arial" w:hAnsi="Arial" w:eastAsia="宋体" w:cs="Arial"/>
          <w:lang w:eastAsia="zh-CN"/>
        </w:rPr>
        <w:t>类</w:t>
      </w:r>
      <w:r>
        <w:rPr>
          <w:rFonts w:ascii="Arial" w:hAnsi="Arial" w:eastAsia="宋体" w:cs="Arial"/>
        </w:rPr>
        <w:t>或III</w:t>
      </w:r>
      <w:bookmarkStart w:id="72" w:name="OLE_LINK4"/>
      <w:bookmarkStart w:id="73" w:name="OLE_LINK5"/>
      <w:r>
        <w:rPr>
          <w:rFonts w:ascii="Arial" w:hAnsi="Arial" w:eastAsia="宋体" w:cs="Arial"/>
          <w:lang w:eastAsia="zh-CN"/>
        </w:rPr>
        <w:t>类</w:t>
      </w:r>
      <w:bookmarkEnd w:id="72"/>
      <w:bookmarkEnd w:id="73"/>
      <w:r>
        <w:rPr>
          <w:rFonts w:ascii="Arial" w:hAnsi="Arial" w:eastAsia="宋体" w:cs="Arial"/>
        </w:rPr>
        <w:t>AAD的受试者。</w:t>
      </w:r>
      <w:r>
        <w:rPr>
          <w:rFonts w:ascii="Arial" w:hAnsi="Arial" w:eastAsia="宋体" w:cs="Arial"/>
          <w:lang w:eastAsia="zh-CN"/>
        </w:rPr>
        <w:t>根据研究设计，也可能包括只有速率控制药物治疗失败的受试者。我们也认为，为了解释研究结果，具有混杂特性的受试者应该被排除在贵公司的研究之外。例如，先前已接受左心房消融手术的受试者应该从贵公司的研究中排除，除非患者人群与贵公司寻求的适应症一致。</w:t>
      </w:r>
    </w:p>
    <w:p w14:paraId="744205B3">
      <w:pPr>
        <w:snapToGrid w:val="0"/>
        <w:spacing w:line="300" w:lineRule="auto"/>
        <w:jc w:val="both"/>
        <w:rPr>
          <w:rFonts w:ascii="Arial" w:hAnsi="Arial" w:eastAsia="宋体" w:cs="Arial"/>
          <w:sz w:val="24"/>
          <w:szCs w:val="24"/>
          <w:lang w:eastAsia="zh-CN"/>
        </w:rPr>
      </w:pPr>
    </w:p>
    <w:p w14:paraId="3999A5E1">
      <w:pPr>
        <w:pStyle w:val="2"/>
        <w:numPr>
          <w:ilvl w:val="0"/>
          <w:numId w:val="1"/>
        </w:numPr>
        <w:tabs>
          <w:tab w:val="left" w:pos="480"/>
        </w:tabs>
        <w:snapToGrid w:val="0"/>
        <w:spacing w:before="206" w:line="300" w:lineRule="auto"/>
        <w:ind w:left="357" w:hanging="357"/>
        <w:jc w:val="both"/>
        <w:rPr>
          <w:rFonts w:ascii="Arial" w:hAnsi="Arial" w:eastAsia="宋体" w:cs="Arial"/>
          <w:b w:val="0"/>
          <w:bCs w:val="0"/>
        </w:rPr>
      </w:pPr>
      <w:bookmarkStart w:id="74" w:name="8._Other_Study_Design_Recommendations"/>
      <w:bookmarkEnd w:id="74"/>
      <w:bookmarkStart w:id="75" w:name="_Toc481156313"/>
      <w:r>
        <w:rPr>
          <w:rFonts w:ascii="Arial" w:hAnsi="Arial" w:eastAsia="宋体" w:cs="Arial"/>
        </w:rPr>
        <w:t>其他研究设计建议</w:t>
      </w:r>
      <w:bookmarkEnd w:id="75"/>
    </w:p>
    <w:p w14:paraId="314E7E3C">
      <w:pPr>
        <w:pStyle w:val="3"/>
        <w:numPr>
          <w:ilvl w:val="1"/>
          <w:numId w:val="1"/>
        </w:numPr>
        <w:tabs>
          <w:tab w:val="left" w:pos="1020"/>
        </w:tabs>
        <w:snapToGrid w:val="0"/>
        <w:spacing w:before="299" w:line="300" w:lineRule="auto"/>
        <w:ind w:left="902" w:leftChars="165" w:hanging="539"/>
        <w:jc w:val="both"/>
        <w:rPr>
          <w:rFonts w:ascii="Arial" w:hAnsi="Arial" w:eastAsia="宋体" w:cs="Arial"/>
          <w:b w:val="0"/>
          <w:bCs w:val="0"/>
        </w:rPr>
      </w:pPr>
      <w:bookmarkStart w:id="76" w:name="A._Anti-Arrhythmic_Drug_Therapy"/>
      <w:bookmarkEnd w:id="76"/>
      <w:bookmarkStart w:id="77" w:name="_Toc481156314"/>
      <w:r>
        <w:rPr>
          <w:rFonts w:ascii="Arial" w:hAnsi="Arial" w:eastAsia="宋体" w:cs="Arial"/>
        </w:rPr>
        <w:t>抗心律失常药物治疗</w:t>
      </w:r>
      <w:bookmarkEnd w:id="77"/>
    </w:p>
    <w:p w14:paraId="14BAFABD">
      <w:pPr>
        <w:pStyle w:val="5"/>
        <w:snapToGrid w:val="0"/>
        <w:spacing w:before="117" w:line="300" w:lineRule="auto"/>
        <w:ind w:left="363" w:leftChars="165"/>
        <w:jc w:val="both"/>
        <w:rPr>
          <w:rFonts w:ascii="Arial" w:hAnsi="Arial" w:eastAsia="宋体" w:cs="Arial"/>
          <w:lang w:eastAsia="zh-CN"/>
        </w:rPr>
      </w:pPr>
      <w:r>
        <w:rPr>
          <w:rFonts w:ascii="Arial" w:hAnsi="Arial" w:eastAsia="宋体" w:cs="Arial"/>
          <w:lang w:eastAsia="zh-CN"/>
        </w:rPr>
        <w:t>我们建议贵公司在未进行AAD治疗的情况下评价消融手术的长期有效性。也就是说，如果贵公司在该手术后重新开始AAD治疗，接受消融治疗的所有研究受试者应在任何空白期结束之前停止使用AAD。此外，作为主要或次要有效性终点，可在执行先前无效的AAD治疗的情况下评价消融治疗的有效性，如上所述。FDA认为，AAD治疗主要包括Vaughan-Williams7 I类和III类药剂，但不包括速率控制药物治疗。FDA不认为速率控制药物治疗可能会影响房颤复发，并且应继续施用这些试剂来研究符合公认医学实践的受试者。</w:t>
      </w:r>
    </w:p>
    <w:p w14:paraId="76A982CC">
      <w:pPr>
        <w:snapToGrid w:val="0"/>
        <w:spacing w:line="300" w:lineRule="auto"/>
        <w:jc w:val="both"/>
        <w:rPr>
          <w:rFonts w:ascii="Arial" w:hAnsi="Arial" w:eastAsia="宋体" w:cs="Arial"/>
          <w:sz w:val="20"/>
          <w:szCs w:val="20"/>
          <w:lang w:eastAsia="zh-CN"/>
        </w:rPr>
      </w:pPr>
    </w:p>
    <w:p w14:paraId="695E321B">
      <w:pPr>
        <w:snapToGrid w:val="0"/>
        <w:spacing w:line="300" w:lineRule="auto"/>
        <w:jc w:val="both"/>
        <w:rPr>
          <w:rFonts w:ascii="Arial" w:hAnsi="Arial" w:eastAsia="宋体" w:cs="Arial"/>
          <w:sz w:val="20"/>
          <w:szCs w:val="20"/>
          <w:lang w:eastAsia="zh-CN"/>
        </w:rPr>
      </w:pPr>
    </w:p>
    <w:p w14:paraId="75999025">
      <w:pPr>
        <w:snapToGrid w:val="0"/>
        <w:spacing w:line="300" w:lineRule="auto"/>
        <w:jc w:val="both"/>
        <w:rPr>
          <w:rFonts w:ascii="Arial" w:hAnsi="Arial" w:eastAsia="宋体" w:cs="Arial"/>
          <w:sz w:val="20"/>
          <w:szCs w:val="20"/>
          <w:lang w:eastAsia="zh-CN"/>
        </w:rPr>
      </w:pPr>
    </w:p>
    <w:p w14:paraId="252F6854">
      <w:pPr>
        <w:snapToGrid w:val="0"/>
        <w:spacing w:line="300" w:lineRule="auto"/>
        <w:jc w:val="both"/>
        <w:rPr>
          <w:rFonts w:ascii="Arial" w:hAnsi="Arial" w:eastAsia="宋体" w:cs="Arial"/>
          <w:sz w:val="20"/>
          <w:szCs w:val="20"/>
          <w:lang w:eastAsia="zh-CN"/>
        </w:rPr>
      </w:pPr>
    </w:p>
    <w:p w14:paraId="77D09409">
      <w:pPr>
        <w:snapToGrid w:val="0"/>
        <w:spacing w:line="300" w:lineRule="auto"/>
        <w:jc w:val="both"/>
        <w:rPr>
          <w:rFonts w:ascii="Arial" w:hAnsi="Arial" w:eastAsia="宋体" w:cs="Arial"/>
          <w:sz w:val="20"/>
          <w:szCs w:val="20"/>
          <w:lang w:eastAsia="zh-CN"/>
        </w:rPr>
      </w:pPr>
    </w:p>
    <w:p w14:paraId="13F1D17E">
      <w:pPr>
        <w:snapToGrid w:val="0"/>
        <w:spacing w:line="300" w:lineRule="auto"/>
        <w:jc w:val="both"/>
        <w:rPr>
          <w:rFonts w:ascii="Arial" w:hAnsi="Arial" w:eastAsia="宋体" w:cs="Arial"/>
          <w:sz w:val="20"/>
          <w:szCs w:val="20"/>
          <w:lang w:eastAsia="zh-CN"/>
        </w:rPr>
      </w:pPr>
    </w:p>
    <w:p w14:paraId="0C9C7C58">
      <w:pPr>
        <w:snapToGrid w:val="0"/>
        <w:spacing w:before="5" w:line="300" w:lineRule="auto"/>
        <w:jc w:val="both"/>
        <w:rPr>
          <w:rFonts w:ascii="Arial" w:hAnsi="Arial" w:eastAsia="宋体" w:cs="Arial"/>
          <w:sz w:val="19"/>
          <w:szCs w:val="19"/>
          <w:lang w:eastAsia="zh-CN"/>
        </w:rPr>
      </w:pPr>
    </w:p>
    <w:p w14:paraId="21468B02">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9525" t="9525" r="1905" b="1905"/>
                <wp:docPr id="1" name="Group 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2" name="Group 3"/>
                        <wpg:cNvGrpSpPr/>
                        <wpg:grpSpPr>
                          <a:xfrm>
                            <a:off x="6" y="6"/>
                            <a:ext cx="2880" cy="2"/>
                            <a:chOff x="6" y="6"/>
                            <a:chExt cx="2880" cy="2"/>
                          </a:xfrm>
                        </wpg:grpSpPr>
                        <wps:wsp>
                          <wps:cNvPr id="3" name="Freeform 4"/>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ID+hIXUAAAAAwEAAA8AAAAAAAAAAQAgAAAAIgAAAGRycy9kb3ducmV2LnhtbFBL&#10;AQIUABQAAAAIAIdO4kAXbs2GFwMAAPgHAAAOAAAAAAAAAAEAIAAAACMBAABkcnMvZTJvRG9jLnht&#10;bFBLBQYAAAAABgAGAFkBAACsBgAAAAA=&#10;">
                <o:lock v:ext="edit" aspectratio="f"/>
                <v:group id="Group 3" o:spid="_x0000_s1026" o:spt="203" style="position:absolute;left:6;top:6;height:2;width:2880;" coordorigin="6,6" coordsize="2880,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Freeform 4" o:spid="_x0000_s1026" o:spt="100" style="position:absolute;left:6;top:6;height:2;width:2880;" filled="f" stroked="t" coordsize="2880,1" o:gfxdata="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S9mLsAAADa&#10;AAAADwAAAAAAAAABACAAAAAiAAAAZHJzL2Rvd25yZXYueG1sUEsBAhQAFAAAAAgAh07iQDMvBZ47&#10;AAAAOQAAABAAAAAAAAAAAQAgAAAACgEAAGRycy9zaGFwZXhtbC54bWxQSwUGAAAAAAYABgBbAQAA&#10;tA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5D2C6671">
      <w:pPr>
        <w:snapToGrid w:val="0"/>
        <w:spacing w:before="71" w:line="300" w:lineRule="auto"/>
        <w:ind w:hanging="1"/>
        <w:jc w:val="both"/>
        <w:rPr>
          <w:rFonts w:ascii="Arial" w:hAnsi="Arial" w:eastAsia="宋体" w:cs="Arial"/>
          <w:sz w:val="20"/>
          <w:szCs w:val="20"/>
          <w:lang w:eastAsia="zh-CN"/>
        </w:rPr>
      </w:pPr>
      <w:bookmarkStart w:id="78" w:name="_bookmark37"/>
      <w:bookmarkEnd w:id="78"/>
      <w:r>
        <w:rPr>
          <w:rFonts w:ascii="Arial" w:hAnsi="Arial" w:eastAsia="宋体" w:cs="Arial"/>
          <w:position w:val="9"/>
          <w:sz w:val="13"/>
        </w:rPr>
        <w:t xml:space="preserve">6 </w:t>
      </w:r>
      <w:r>
        <w:rPr>
          <w:rFonts w:ascii="Arial" w:hAnsi="Arial" w:eastAsia="宋体" w:cs="Arial"/>
          <w:sz w:val="20"/>
          <w:szCs w:val="20"/>
        </w:rPr>
        <w:t>Fuster V</w:t>
      </w:r>
      <w:r>
        <w:rPr>
          <w:rFonts w:ascii="Arial" w:hAnsi="Arial" w:eastAsia="宋体" w:cs="Arial"/>
          <w:sz w:val="20"/>
          <w:szCs w:val="20"/>
          <w:lang w:eastAsia="zh-CN"/>
        </w:rPr>
        <w:t>、</w:t>
      </w:r>
      <w:r>
        <w:rPr>
          <w:rFonts w:ascii="Arial" w:hAnsi="Arial" w:eastAsia="宋体" w:cs="Arial"/>
          <w:sz w:val="20"/>
          <w:szCs w:val="20"/>
        </w:rPr>
        <w:t>RydénLE</w:t>
      </w:r>
      <w:r>
        <w:rPr>
          <w:rFonts w:ascii="Arial" w:hAnsi="Arial" w:eastAsia="宋体" w:cs="Arial"/>
          <w:sz w:val="20"/>
          <w:szCs w:val="20"/>
          <w:lang w:eastAsia="zh-CN"/>
        </w:rPr>
        <w:t>、</w:t>
      </w:r>
      <w:r>
        <w:rPr>
          <w:rFonts w:ascii="Arial" w:hAnsi="Arial" w:eastAsia="宋体" w:cs="Arial"/>
          <w:sz w:val="20"/>
          <w:szCs w:val="20"/>
        </w:rPr>
        <w:t>Cannom DS等人。管理房颤患者</w:t>
      </w:r>
      <w:r>
        <w:rPr>
          <w:rFonts w:ascii="Arial" w:hAnsi="Arial" w:eastAsia="宋体" w:cs="Arial"/>
          <w:sz w:val="20"/>
          <w:szCs w:val="20"/>
          <w:lang w:eastAsia="zh-CN"/>
        </w:rPr>
        <w:t>的</w:t>
      </w:r>
      <w:r>
        <w:rPr>
          <w:rFonts w:ascii="Arial" w:hAnsi="Arial" w:eastAsia="宋体" w:cs="Arial"/>
          <w:sz w:val="20"/>
          <w:szCs w:val="20"/>
        </w:rPr>
        <w:t>ACC / AHA / ESC 2006指南</w:t>
      </w:r>
      <w:r>
        <w:rPr>
          <w:rFonts w:ascii="Arial" w:hAnsi="Arial" w:eastAsia="宋体" w:cs="Arial"/>
          <w:sz w:val="20"/>
          <w:szCs w:val="20"/>
          <w:lang w:eastAsia="zh-CN"/>
        </w:rPr>
        <w:t>。2006年发行；114：e257-e354。</w:t>
      </w:r>
    </w:p>
    <w:p w14:paraId="5EDFD518">
      <w:pPr>
        <w:snapToGrid w:val="0"/>
        <w:spacing w:before="16" w:line="300" w:lineRule="auto"/>
        <w:ind w:hanging="1"/>
        <w:jc w:val="both"/>
        <w:rPr>
          <w:rFonts w:ascii="Arial" w:hAnsi="Arial" w:eastAsia="宋体" w:cs="Arial"/>
          <w:sz w:val="20"/>
          <w:szCs w:val="20"/>
          <w:lang w:eastAsia="zh-CN"/>
        </w:rPr>
      </w:pPr>
      <w:bookmarkStart w:id="79" w:name="_bookmark38"/>
      <w:bookmarkEnd w:id="79"/>
      <w:r>
        <w:rPr>
          <w:rFonts w:ascii="Arial" w:hAnsi="Arial" w:eastAsia="宋体" w:cs="Arial"/>
          <w:position w:val="9"/>
          <w:sz w:val="13"/>
        </w:rPr>
        <w:t xml:space="preserve">7 </w:t>
      </w:r>
      <w:r>
        <w:rPr>
          <w:rFonts w:ascii="Arial" w:hAnsi="Arial" w:eastAsia="宋体" w:cs="Arial"/>
          <w:sz w:val="20"/>
          <w:szCs w:val="20"/>
        </w:rPr>
        <w:t>Vaughan Williams EM。抗心律</w:t>
      </w:r>
      <w:r>
        <w:rPr>
          <w:rFonts w:ascii="Arial" w:hAnsi="Arial" w:eastAsia="宋体" w:cs="Arial"/>
          <w:sz w:val="20"/>
          <w:szCs w:val="20"/>
          <w:lang w:eastAsia="zh-CN"/>
        </w:rPr>
        <w:t>失常</w:t>
      </w:r>
      <w:r>
        <w:rPr>
          <w:rFonts w:ascii="Arial" w:hAnsi="Arial" w:eastAsia="宋体" w:cs="Arial"/>
          <w:sz w:val="20"/>
          <w:szCs w:val="20"/>
        </w:rPr>
        <w:t>药物</w:t>
      </w:r>
      <w:r>
        <w:rPr>
          <w:rFonts w:ascii="Arial" w:hAnsi="Arial" w:eastAsia="宋体" w:cs="Arial"/>
          <w:sz w:val="20"/>
          <w:szCs w:val="20"/>
          <w:lang w:eastAsia="zh-CN"/>
        </w:rPr>
        <w:t>的分类。心律失常研讨会。1970年；449-472。</w:t>
      </w:r>
    </w:p>
    <w:p w14:paraId="7F7CBFD7">
      <w:pPr>
        <w:snapToGrid w:val="0"/>
        <w:spacing w:line="300" w:lineRule="auto"/>
        <w:jc w:val="both"/>
        <w:rPr>
          <w:rFonts w:ascii="Arial" w:hAnsi="Arial" w:eastAsia="宋体" w:cs="Arial"/>
          <w:sz w:val="20"/>
          <w:szCs w:val="20"/>
          <w:lang w:eastAsia="zh-CN"/>
        </w:rPr>
        <w:sectPr>
          <w:pgSz w:w="12240" w:h="15840"/>
          <w:pgMar w:top="1134" w:right="1134" w:bottom="1134" w:left="1134" w:header="748" w:footer="773" w:gutter="0"/>
          <w:cols w:space="720" w:num="1"/>
          <w:docGrid w:linePitch="299" w:charSpace="0"/>
        </w:sectPr>
      </w:pPr>
    </w:p>
    <w:p w14:paraId="635B4C5B">
      <w:pPr>
        <w:snapToGrid w:val="0"/>
        <w:spacing w:line="300" w:lineRule="auto"/>
        <w:jc w:val="both"/>
        <w:rPr>
          <w:rFonts w:ascii="Arial" w:hAnsi="Arial" w:eastAsia="宋体" w:cs="Arial"/>
          <w:sz w:val="20"/>
          <w:szCs w:val="20"/>
          <w:lang w:eastAsia="zh-CN"/>
        </w:rPr>
      </w:pPr>
    </w:p>
    <w:p w14:paraId="4A7B4FE8">
      <w:pPr>
        <w:pStyle w:val="3"/>
        <w:numPr>
          <w:ilvl w:val="1"/>
          <w:numId w:val="1"/>
        </w:numPr>
        <w:tabs>
          <w:tab w:val="left" w:pos="661"/>
        </w:tabs>
        <w:snapToGrid w:val="0"/>
        <w:spacing w:before="220" w:line="300" w:lineRule="auto"/>
        <w:ind w:left="902" w:leftChars="165"/>
        <w:jc w:val="both"/>
        <w:rPr>
          <w:rFonts w:ascii="Arial" w:hAnsi="Arial" w:eastAsia="宋体" w:cs="Arial"/>
          <w:b w:val="0"/>
          <w:bCs w:val="0"/>
        </w:rPr>
      </w:pPr>
      <w:bookmarkStart w:id="80" w:name="B._Anticoagulation"/>
      <w:bookmarkEnd w:id="80"/>
      <w:bookmarkStart w:id="81" w:name="_Toc481156315"/>
      <w:r>
        <w:rPr>
          <w:rFonts w:ascii="Arial" w:hAnsi="Arial" w:eastAsia="宋体" w:cs="Arial"/>
        </w:rPr>
        <w:t>抗凝</w:t>
      </w:r>
      <w:bookmarkEnd w:id="81"/>
    </w:p>
    <w:p w14:paraId="392712C7">
      <w:pPr>
        <w:pStyle w:val="5"/>
        <w:snapToGrid w:val="0"/>
        <w:spacing w:before="117" w:line="300" w:lineRule="auto"/>
        <w:ind w:left="363" w:leftChars="165"/>
        <w:jc w:val="both"/>
        <w:rPr>
          <w:rFonts w:ascii="Arial" w:hAnsi="Arial" w:eastAsia="宋体" w:cs="Arial"/>
          <w:lang w:eastAsia="zh-CN"/>
        </w:rPr>
      </w:pPr>
      <w:r>
        <w:rPr>
          <w:rFonts w:ascii="Arial" w:hAnsi="Arial" w:eastAsia="宋体" w:cs="Arial"/>
          <w:lang w:eastAsia="zh-CN"/>
        </w:rPr>
        <w:t>我们建议贵公司详细说明贵公司的手术后抗凝方案。贵公司可以选择在预定的时间段内设计贵公司的研究，其中要求在消融手术后进行抗凝。除所需抗凝的定义期外，我们建议，贵公司的方案应遵循已公布的实践，即管理房颤患者的ACC / AHA / ESC 2006指南。这些指南建议根据患者的卒中风险而不是根据房颤是否存在或类型使用抗凝治疗，如HRS / EHRA / ECAS专家共识声明所建议。</w:t>
      </w:r>
      <w:r>
        <w:rPr>
          <w:rFonts w:ascii="Arial" w:hAnsi="Arial" w:eastAsia="宋体" w:cs="Arial"/>
          <w:vertAlign w:val="superscript"/>
          <w:lang w:eastAsia="zh-CN"/>
        </w:rPr>
        <w:t>2</w:t>
      </w:r>
      <w:r>
        <w:rPr>
          <w:rFonts w:ascii="Arial" w:hAnsi="Arial" w:eastAsia="宋体" w:cs="Arial"/>
          <w:lang w:eastAsia="zh-CN"/>
        </w:rPr>
        <w:t>方案应明确规定：在随访阶段应适当监测和记录抗凝状态。</w:t>
      </w:r>
    </w:p>
    <w:p w14:paraId="22466168">
      <w:pPr>
        <w:snapToGrid w:val="0"/>
        <w:spacing w:line="300" w:lineRule="auto"/>
        <w:ind w:left="363" w:leftChars="165"/>
        <w:jc w:val="both"/>
        <w:rPr>
          <w:rFonts w:ascii="Arial" w:hAnsi="Arial" w:eastAsia="宋体" w:cs="Arial"/>
          <w:sz w:val="24"/>
          <w:szCs w:val="24"/>
          <w:lang w:eastAsia="zh-CN"/>
        </w:rPr>
      </w:pPr>
    </w:p>
    <w:p w14:paraId="3BD63F9C">
      <w:pPr>
        <w:pStyle w:val="3"/>
        <w:numPr>
          <w:ilvl w:val="1"/>
          <w:numId w:val="1"/>
        </w:numPr>
        <w:tabs>
          <w:tab w:val="left" w:pos="660"/>
        </w:tabs>
        <w:snapToGrid w:val="0"/>
        <w:spacing w:before="206" w:line="300" w:lineRule="auto"/>
        <w:ind w:left="902" w:leftChars="165"/>
        <w:jc w:val="both"/>
        <w:rPr>
          <w:rFonts w:ascii="Arial" w:hAnsi="Arial" w:eastAsia="宋体" w:cs="Arial"/>
          <w:b w:val="0"/>
          <w:bCs w:val="0"/>
        </w:rPr>
      </w:pPr>
      <w:bookmarkStart w:id="82" w:name="C._Non-Inferiority_Versus_Superiority"/>
      <w:bookmarkEnd w:id="82"/>
      <w:bookmarkStart w:id="83" w:name="_Toc481156316"/>
      <w:r>
        <w:rPr>
          <w:rFonts w:ascii="Arial" w:hAnsi="Arial" w:eastAsia="宋体" w:cs="Arial"/>
        </w:rPr>
        <w:t>非劣</w:t>
      </w:r>
      <w:r>
        <w:rPr>
          <w:rFonts w:ascii="Arial" w:hAnsi="Arial" w:eastAsia="宋体" w:cs="Arial"/>
          <w:lang w:eastAsia="zh-CN"/>
        </w:rPr>
        <w:t>效</w:t>
      </w:r>
      <w:r>
        <w:rPr>
          <w:rFonts w:ascii="Arial" w:hAnsi="Arial" w:eastAsia="宋体" w:cs="Arial"/>
        </w:rPr>
        <w:t>性与</w:t>
      </w:r>
      <w:r>
        <w:rPr>
          <w:rFonts w:ascii="Arial" w:hAnsi="Arial" w:eastAsia="宋体" w:cs="Arial"/>
          <w:lang w:eastAsia="zh-CN"/>
        </w:rPr>
        <w:t>优效性</w:t>
      </w:r>
      <w:bookmarkEnd w:id="83"/>
    </w:p>
    <w:p w14:paraId="1F3A083A">
      <w:pPr>
        <w:pStyle w:val="5"/>
        <w:snapToGrid w:val="0"/>
        <w:spacing w:before="113" w:line="300" w:lineRule="auto"/>
        <w:ind w:left="363" w:leftChars="165"/>
        <w:jc w:val="both"/>
        <w:rPr>
          <w:rFonts w:ascii="Arial" w:hAnsi="Arial" w:eastAsia="宋体" w:cs="Arial"/>
          <w:lang w:eastAsia="zh-CN"/>
        </w:rPr>
      </w:pPr>
      <w:r>
        <w:rPr>
          <w:rFonts w:ascii="Arial" w:hAnsi="Arial" w:eastAsia="宋体" w:cs="Arial"/>
          <w:lang w:eastAsia="zh-CN"/>
        </w:rPr>
        <w:t>如果对照组由使用已合法上市的手术消融器械治疗的受试者组成，则该研究的设计可用于证明非劣效性或优效性。如果贵公司的研究假设旨在测试非劣效性，我们建议贵公司为贵公司选择的非劣效界值提供适当的临床理由。如果贵公司的研究假设旨在测试优效性，我们建议贵公司证明具有统计意义的收益/风险特性，显示收益得到改善、风险得到降低或两者兼顾。对于非劣效性研究，除了用于测试贵公司研究假设的非劣效界值外，我们建议贵公司确定可接受的性能下限，以防止在多次迭代试验后出现潜在的非劣效蠕变。</w:t>
      </w:r>
    </w:p>
    <w:p w14:paraId="4427C25C">
      <w:pPr>
        <w:snapToGrid w:val="0"/>
        <w:spacing w:before="8" w:line="300" w:lineRule="auto"/>
        <w:ind w:left="363" w:leftChars="165"/>
        <w:jc w:val="both"/>
        <w:rPr>
          <w:rFonts w:ascii="Arial" w:hAnsi="Arial" w:eastAsia="宋体" w:cs="Arial"/>
          <w:sz w:val="31"/>
          <w:szCs w:val="31"/>
          <w:lang w:eastAsia="zh-CN"/>
        </w:rPr>
      </w:pPr>
    </w:p>
    <w:p w14:paraId="0636334D">
      <w:pPr>
        <w:pStyle w:val="4"/>
        <w:snapToGrid w:val="0"/>
        <w:spacing w:line="300" w:lineRule="auto"/>
        <w:ind w:left="363" w:leftChars="165"/>
        <w:jc w:val="both"/>
        <w:rPr>
          <w:rFonts w:ascii="Arial" w:hAnsi="Arial" w:eastAsia="宋体" w:cs="Arial"/>
          <w:b w:val="0"/>
          <w:bCs w:val="0"/>
          <w:u w:val="none"/>
          <w:lang w:eastAsia="zh-CN"/>
        </w:rPr>
      </w:pPr>
      <w:bookmarkStart w:id="84" w:name="Sample_Size"/>
      <w:bookmarkEnd w:id="84"/>
      <w:bookmarkStart w:id="85" w:name="_Toc481156317"/>
      <w:r>
        <w:rPr>
          <w:rFonts w:ascii="Arial" w:hAnsi="Arial" w:eastAsia="宋体" w:cs="Arial"/>
          <w:u w:val="thick" w:color="000000"/>
          <w:lang w:eastAsia="zh-CN"/>
        </w:rPr>
        <w:t>样本量</w:t>
      </w:r>
      <w:bookmarkEnd w:id="85"/>
    </w:p>
    <w:p w14:paraId="0C56EE77">
      <w:pPr>
        <w:pStyle w:val="5"/>
        <w:snapToGrid w:val="0"/>
        <w:spacing w:before="115" w:line="300" w:lineRule="auto"/>
        <w:ind w:left="363" w:leftChars="165"/>
        <w:jc w:val="both"/>
        <w:rPr>
          <w:rFonts w:ascii="Arial" w:hAnsi="Arial" w:eastAsia="宋体" w:cs="Arial"/>
          <w:lang w:eastAsia="zh-CN"/>
        </w:rPr>
      </w:pPr>
      <w:r>
        <w:rPr>
          <w:rFonts w:ascii="Arial" w:hAnsi="Arial" w:eastAsia="宋体" w:cs="Arial"/>
          <w:lang w:eastAsia="zh-CN"/>
        </w:rPr>
        <w:t>我们建议贵公司提供有关任何样本量计算的统计理由。FDA建议贵公司在计算样本量时考虑所有终点（主要和次要），特别是在贵公司打算在贵公司标签中针对任何次要有效性终点提供群组间的比较的情况下。这将有助于为贵公司的研究终点提供统计稳定性。我们认为，由于事件发生率较低，主要安全终点可能会影响大多数研究中的样本量。</w:t>
      </w:r>
    </w:p>
    <w:p w14:paraId="470288D3">
      <w:pPr>
        <w:snapToGrid w:val="0"/>
        <w:spacing w:line="300" w:lineRule="auto"/>
        <w:ind w:left="363" w:leftChars="165"/>
        <w:jc w:val="both"/>
        <w:rPr>
          <w:rFonts w:ascii="Arial" w:hAnsi="Arial" w:eastAsia="宋体" w:cs="Arial"/>
          <w:sz w:val="24"/>
          <w:szCs w:val="24"/>
          <w:lang w:eastAsia="zh-CN"/>
        </w:rPr>
      </w:pPr>
    </w:p>
    <w:p w14:paraId="24A2AE63">
      <w:pPr>
        <w:pStyle w:val="3"/>
        <w:numPr>
          <w:ilvl w:val="1"/>
          <w:numId w:val="1"/>
        </w:numPr>
        <w:tabs>
          <w:tab w:val="left" w:pos="660"/>
        </w:tabs>
        <w:snapToGrid w:val="0"/>
        <w:spacing w:line="300" w:lineRule="auto"/>
        <w:ind w:left="902" w:leftChars="165"/>
        <w:jc w:val="both"/>
        <w:rPr>
          <w:rFonts w:ascii="Arial" w:hAnsi="Arial" w:eastAsia="宋体" w:cs="Arial"/>
          <w:b w:val="0"/>
          <w:bCs w:val="0"/>
        </w:rPr>
      </w:pPr>
      <w:bookmarkStart w:id="86" w:name="D._Follow-Up_of_Study_Subjects"/>
      <w:bookmarkEnd w:id="86"/>
      <w:bookmarkStart w:id="87" w:name="_Toc481156318"/>
      <w:r>
        <w:rPr>
          <w:rFonts w:ascii="Arial" w:hAnsi="Arial" w:eastAsia="宋体" w:cs="Arial"/>
        </w:rPr>
        <w:t>研究受试者的</w:t>
      </w:r>
      <w:r>
        <w:rPr>
          <w:rFonts w:ascii="Arial" w:hAnsi="Arial" w:eastAsia="宋体" w:cs="Arial"/>
          <w:lang w:eastAsia="zh-CN"/>
        </w:rPr>
        <w:t>随访</w:t>
      </w:r>
      <w:bookmarkEnd w:id="87"/>
    </w:p>
    <w:p w14:paraId="4483C442">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我们建议贵公司为应在30天、3个月、6个月、9个月和12个月时开展的门诊随访指明标准化方案，其中，不应考虑所研究的房颤类型（即阵发性、持续性或长期持续性房颤） 。</w:t>
      </w:r>
    </w:p>
    <w:p w14:paraId="5422D3B9">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随访通常应包括12导联ECG症状记录和心电节律评估、Holter监测或其他等效心律测量。对于阵发性房颤适应症，用于确定房性心动过速复发的最小随访筛查应包括每次随访时的12导联心电图、空白期结束到随访结束期间的预期和症状诱导性的事件记录、以及随访期结束时的Holter。对于持续性和长期持续性房颤适应症，最小随访筛选应包括每次随访时的12导联ECG、每6个月时的Holter以及症状诱导性的事件监测。对有关PV狭窄的评价，随访应包括CT或MR成像（如果适用）。</w:t>
      </w:r>
    </w:p>
    <w:p w14:paraId="37520407">
      <w:pPr>
        <w:snapToGrid w:val="0"/>
        <w:spacing w:before="1" w:line="300" w:lineRule="auto"/>
        <w:jc w:val="both"/>
        <w:rPr>
          <w:rFonts w:ascii="Arial" w:hAnsi="Arial" w:eastAsia="宋体" w:cs="Arial"/>
          <w:sz w:val="26"/>
          <w:szCs w:val="26"/>
          <w:lang w:eastAsia="zh-CN"/>
        </w:rPr>
      </w:pPr>
    </w:p>
    <w:p w14:paraId="74EBC6C8">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除上述上市前随访考虑因素之外，延长的长期批准后研究可能适用于III类（上市前批准）器械，评估治疗效果的稳定性和在上市前研究中出现的任何特定长期安全性和有效性问题。对于预期或可能将为其进行批准后研究的器械，我们建议，在获得上市批准后，贵公司的研究应每六个月对受试者进行一次随访。如果FDA要求进行批准后研究来作为批准PMA的条件（请参见21 CFR 814.82（a）（2）），将该延长随访纳入原始关键性研究将允许贵公司轻松地从上市前研究转至批准后研究。这可使贵公司不必从研究受试者获得新的知情同意以进行额外随访，并且也不必招募新受试者。在这种方法中，对于长达五年的随访，贵公司应获得受试者体同意，但可为收集上市前安全性和有效性数据指明长达一年的随访时间。在贵公司的器械获得批准后，贵公司可在进行消融术后五年内对在临床研究期间使用贵公司的器械进行治疗的受试者进行随访以作为上市后研究的一部分，其中，无需为额外的随访期获得新的知情同意。</w:t>
      </w:r>
    </w:p>
    <w:p w14:paraId="2317FC49">
      <w:pPr>
        <w:snapToGrid w:val="0"/>
        <w:spacing w:before="1" w:line="300" w:lineRule="auto"/>
        <w:ind w:left="363" w:leftChars="165"/>
        <w:jc w:val="both"/>
        <w:rPr>
          <w:rFonts w:ascii="Arial" w:hAnsi="Arial" w:eastAsia="宋体" w:cs="Arial"/>
          <w:sz w:val="26"/>
          <w:szCs w:val="26"/>
          <w:lang w:eastAsia="zh-CN"/>
        </w:rPr>
      </w:pPr>
    </w:p>
    <w:p w14:paraId="28405251">
      <w:pPr>
        <w:pStyle w:val="5"/>
        <w:snapToGrid w:val="0"/>
        <w:spacing w:line="300" w:lineRule="auto"/>
        <w:ind w:left="363" w:leftChars="165"/>
        <w:jc w:val="both"/>
        <w:rPr>
          <w:rFonts w:ascii="Arial" w:hAnsi="Arial" w:eastAsia="宋体" w:cs="Arial"/>
          <w:lang w:eastAsia="zh-CN"/>
        </w:rPr>
      </w:pPr>
      <w:r>
        <w:rPr>
          <w:rFonts w:ascii="Arial" w:hAnsi="Arial" w:eastAsia="宋体" w:cs="Arial"/>
          <w:lang w:eastAsia="zh-CN"/>
        </w:rPr>
        <w:t>对研究科目进行充分以及适当随访的重要性不言而喻。从有效随访获得的完整结果可明显有助于提高我们对贵公司的上市申请进行评价的能力；因此，我们建议贵公司尽一切努力确保受试者参与贵公司在研究方案中指明的所有预期术后试验。由于缺失数据可能在进行数据分析时发生，FDA建议研究方案应预先指明一种或多种方法以用于处理缺失数据。</w:t>
      </w:r>
    </w:p>
    <w:p w14:paraId="41774593">
      <w:pPr>
        <w:snapToGrid w:val="0"/>
        <w:spacing w:line="300" w:lineRule="auto"/>
        <w:ind w:left="363" w:leftChars="165"/>
        <w:jc w:val="both"/>
        <w:rPr>
          <w:rFonts w:ascii="Arial" w:hAnsi="Arial" w:eastAsia="宋体" w:cs="Arial"/>
          <w:sz w:val="24"/>
          <w:szCs w:val="24"/>
          <w:lang w:eastAsia="zh-CN"/>
        </w:rPr>
      </w:pPr>
    </w:p>
    <w:p w14:paraId="76215CB9">
      <w:pPr>
        <w:pStyle w:val="3"/>
        <w:numPr>
          <w:ilvl w:val="1"/>
          <w:numId w:val="1"/>
        </w:numPr>
        <w:tabs>
          <w:tab w:val="left" w:pos="661"/>
        </w:tabs>
        <w:snapToGrid w:val="0"/>
        <w:spacing w:line="300" w:lineRule="auto"/>
        <w:ind w:left="902" w:leftChars="165"/>
        <w:jc w:val="both"/>
        <w:rPr>
          <w:rFonts w:ascii="Arial" w:hAnsi="Arial" w:eastAsia="宋体" w:cs="Arial"/>
          <w:b w:val="0"/>
          <w:bCs w:val="0"/>
        </w:rPr>
      </w:pPr>
      <w:bookmarkStart w:id="88" w:name="E._Blanking_Period"/>
      <w:bookmarkEnd w:id="88"/>
      <w:bookmarkStart w:id="89" w:name="_Toc481156319"/>
      <w:r>
        <w:rPr>
          <w:rFonts w:ascii="Arial" w:hAnsi="Arial" w:eastAsia="宋体" w:cs="Arial"/>
          <w:lang w:eastAsia="zh-CN"/>
        </w:rPr>
        <w:t>空白期</w:t>
      </w:r>
      <w:bookmarkEnd w:id="89"/>
    </w:p>
    <w:p w14:paraId="660430B8">
      <w:pPr>
        <w:pStyle w:val="5"/>
        <w:snapToGrid w:val="0"/>
        <w:spacing w:before="113" w:line="300" w:lineRule="auto"/>
        <w:ind w:left="363" w:leftChars="165"/>
        <w:jc w:val="both"/>
        <w:rPr>
          <w:rFonts w:ascii="Arial" w:hAnsi="Arial" w:eastAsia="宋体" w:cs="Arial"/>
          <w:lang w:eastAsia="zh-CN"/>
        </w:rPr>
      </w:pPr>
      <w:r>
        <w:rPr>
          <w:rFonts w:ascii="Arial" w:hAnsi="Arial" w:eastAsia="宋体" w:cs="Arial"/>
          <w:lang w:eastAsia="zh-CN"/>
        </w:rPr>
        <w:t>空白期是进行治疗之后的一段时间间隔，其中，在此期间，成功标准无法用于评价研究终点。由于心胸外科手术本身可能会引起房颤的短暂发作，且研究者相信这些早期复发并不表明长期成功，我们建议贵公司使用长达三个月的空白期，其中，在此期间，不应通过心律失常监测对器械的有效性进行评价。在空白期期间，贵公司应该监测受试者以确定是否有房颤复发，且贵公司应记录和记载任何房颤事件，但在此期间贵公司不应将房颤复发视为治疗失败。</w:t>
      </w:r>
    </w:p>
    <w:p w14:paraId="4D43B8D7">
      <w:pPr>
        <w:snapToGrid w:val="0"/>
        <w:spacing w:line="300" w:lineRule="auto"/>
        <w:ind w:left="363" w:leftChars="165"/>
        <w:jc w:val="both"/>
        <w:rPr>
          <w:rFonts w:ascii="Arial" w:hAnsi="Arial" w:eastAsia="宋体" w:cs="Arial"/>
          <w:sz w:val="24"/>
          <w:szCs w:val="24"/>
          <w:lang w:eastAsia="zh-CN"/>
        </w:rPr>
      </w:pPr>
    </w:p>
    <w:p w14:paraId="202504B5">
      <w:pPr>
        <w:pStyle w:val="3"/>
        <w:numPr>
          <w:ilvl w:val="1"/>
          <w:numId w:val="1"/>
        </w:numPr>
        <w:tabs>
          <w:tab w:val="left" w:pos="660"/>
        </w:tabs>
        <w:snapToGrid w:val="0"/>
        <w:spacing w:line="300" w:lineRule="auto"/>
        <w:ind w:left="902" w:leftChars="165"/>
        <w:jc w:val="both"/>
        <w:rPr>
          <w:rFonts w:ascii="Arial" w:hAnsi="Arial" w:eastAsia="宋体" w:cs="Arial"/>
          <w:b w:val="0"/>
          <w:bCs w:val="0"/>
        </w:rPr>
      </w:pPr>
      <w:bookmarkStart w:id="90" w:name="F._Investigator_Selection_and_Training"/>
      <w:bookmarkEnd w:id="90"/>
      <w:bookmarkStart w:id="91" w:name="_Toc481156320"/>
      <w:r>
        <w:rPr>
          <w:rFonts w:ascii="Arial" w:hAnsi="Arial" w:eastAsia="宋体" w:cs="Arial"/>
        </w:rPr>
        <w:t>研究者选择和培训</w:t>
      </w:r>
      <w:bookmarkEnd w:id="91"/>
    </w:p>
    <w:p w14:paraId="223703CF">
      <w:pPr>
        <w:pStyle w:val="5"/>
        <w:snapToGrid w:val="0"/>
        <w:spacing w:before="113" w:line="300" w:lineRule="auto"/>
        <w:ind w:left="363" w:leftChars="165"/>
        <w:jc w:val="both"/>
        <w:rPr>
          <w:rFonts w:ascii="Arial" w:hAnsi="Arial" w:eastAsia="宋体" w:cs="Arial"/>
          <w:lang w:eastAsia="zh-CN"/>
        </w:rPr>
      </w:pPr>
      <w:r>
        <w:rPr>
          <w:rFonts w:ascii="Arial" w:hAnsi="Arial" w:eastAsia="宋体" w:cs="Arial"/>
          <w:lang w:eastAsia="zh-CN"/>
        </w:rPr>
        <w:t>申办方必须选择具有合格培训和经验的研究者来研究作为该研究受试者的器械（21 CFR 812.43（a））。如果主要研究者并不具有有关电生理技术的经验，我们建议，使具有此类专业知识的研究者参与研究程序，协助验证传导阻滞。如果研究者或其他地点的员工并未全面了解贵公司研究中使用的临床程序，我们建议贵公司提供有关该程序的培训。为了避免学习曲线偏差，应纳入从每个地点选择的、未纳入终点评价中的少数受试者（有时称为“转入”受试者））。应在治疗受试者之前和受试者随机分组之前（如果适用）规定将受试者作为“转入”受试者纳入的标准。</w:t>
      </w:r>
    </w:p>
    <w:p w14:paraId="26168E7D">
      <w:pPr>
        <w:snapToGrid w:val="0"/>
        <w:spacing w:line="300" w:lineRule="auto"/>
        <w:jc w:val="both"/>
        <w:rPr>
          <w:rFonts w:ascii="Arial" w:hAnsi="Arial" w:eastAsia="宋体" w:cs="Arial"/>
          <w:sz w:val="24"/>
          <w:szCs w:val="24"/>
          <w:lang w:eastAsia="zh-CN"/>
        </w:rPr>
      </w:pPr>
    </w:p>
    <w:p w14:paraId="4DF83816">
      <w:pPr>
        <w:pStyle w:val="3"/>
        <w:numPr>
          <w:ilvl w:val="1"/>
          <w:numId w:val="1"/>
        </w:numPr>
        <w:tabs>
          <w:tab w:val="left" w:pos="660"/>
        </w:tabs>
        <w:snapToGrid w:val="0"/>
        <w:spacing w:line="300" w:lineRule="auto"/>
        <w:ind w:left="902" w:leftChars="165"/>
        <w:jc w:val="both"/>
        <w:rPr>
          <w:rFonts w:ascii="Arial" w:hAnsi="Arial" w:eastAsia="宋体" w:cs="Arial"/>
          <w:b w:val="0"/>
          <w:bCs w:val="0"/>
        </w:rPr>
      </w:pPr>
      <w:bookmarkStart w:id="92" w:name="G._Study_Monitoring"/>
      <w:bookmarkEnd w:id="92"/>
      <w:bookmarkStart w:id="93" w:name="_Toc481156321"/>
      <w:r>
        <w:rPr>
          <w:rFonts w:ascii="Arial" w:hAnsi="Arial" w:eastAsia="宋体" w:cs="Arial"/>
        </w:rPr>
        <w:t>研究监测</w:t>
      </w:r>
      <w:bookmarkEnd w:id="93"/>
    </w:p>
    <w:p w14:paraId="13B0DF26">
      <w:pPr>
        <w:pStyle w:val="5"/>
        <w:snapToGrid w:val="0"/>
        <w:spacing w:before="113" w:line="300" w:lineRule="auto"/>
        <w:ind w:left="363" w:leftChars="165"/>
        <w:jc w:val="both"/>
        <w:rPr>
          <w:rFonts w:ascii="Arial" w:hAnsi="Arial" w:eastAsia="宋体" w:cs="Arial"/>
          <w:lang w:eastAsia="zh-CN"/>
        </w:rPr>
      </w:pPr>
      <w:r>
        <w:rPr>
          <w:rFonts w:ascii="Arial" w:hAnsi="Arial" w:eastAsia="宋体" w:cs="Arial"/>
          <w:lang w:eastAsia="zh-CN"/>
        </w:rPr>
        <w:t>申办方必须确保对研究进行适当监测（21 CFR 812.40），且研究计划必须提供申办方用于监督研究的书面程序以及任何监测人员的名称和地址。（请参见21 CFR 812.25（e））。我们建议贵公司选择有经验的监督人员，并确保研究者遵守研究计划。如果发现研究者未遵守研究计划，则申办方必须及时确保使研究者遵守研究计划或停止向研究者发货，并终止研究者参与研究（21 CFR 812.46（a））。我们建议贵公司建立一个独立的临床活动委员会，其应由具有适当专业知识的执业医师组成，裁定所报告的不良事件。此外，请参阅标题为“临床研究监督：基于风险的监测方法”的FDA指南，（网址为：</w:t>
      </w:r>
      <w:r>
        <w:fldChar w:fldCharType="begin"/>
      </w:r>
      <w:r>
        <w:instrText xml:space="preserve"> HYPERLINK "http://www.fda.gov/downloads/Drugs/GuidanceComplianceRegulatoryInformation/Guidances/UCM269919.pdf" \h </w:instrText>
      </w:r>
      <w:r>
        <w:fldChar w:fldCharType="separate"/>
      </w:r>
      <w:r>
        <w:rPr>
          <w:rFonts w:ascii="Arial" w:hAnsi="Arial" w:eastAsia="宋体" w:cs="Arial"/>
          <w:color w:val="0000FF"/>
          <w:spacing w:val="-1"/>
          <w:u w:val="single" w:color="0000FF"/>
          <w:lang w:eastAsia="zh-CN"/>
        </w:rPr>
        <w:t xml:space="preserve">http：//www.fda.gov/downloads/Drugs/GuidanceComplianceRegulatoryInformation/Guidance </w:t>
      </w:r>
      <w:r>
        <w:rPr>
          <w:rFonts w:ascii="Arial" w:hAnsi="Arial" w:eastAsia="宋体" w:cs="Arial"/>
          <w:color w:val="0000FF"/>
          <w:spacing w:val="-1"/>
          <w:u w:val="single" w:color="0000FF"/>
          <w:lang w:eastAsia="zh-CN"/>
        </w:rPr>
        <w:fldChar w:fldCharType="end"/>
      </w:r>
      <w:r>
        <w:fldChar w:fldCharType="begin"/>
      </w:r>
      <w:r>
        <w:instrText xml:space="preserve"> HYPERLINK "http://www.fda.gov/downloads/Drugs/GuidanceComplianceRegulatoryInformation/Guidances/UCM269919.pdf" \h </w:instrText>
      </w:r>
      <w:r>
        <w:fldChar w:fldCharType="separate"/>
      </w:r>
      <w:r>
        <w:rPr>
          <w:rFonts w:ascii="Arial" w:hAnsi="Arial" w:eastAsia="宋体" w:cs="Arial"/>
          <w:color w:val="0000FF"/>
          <w:u w:val="single" w:color="0000FF"/>
          <w:lang w:eastAsia="zh-CN"/>
        </w:rPr>
        <w:t xml:space="preserve">s/UCM269919.pdf </w:t>
      </w:r>
      <w:r>
        <w:rPr>
          <w:rFonts w:ascii="Arial" w:hAnsi="Arial" w:eastAsia="宋体" w:cs="Arial"/>
          <w:color w:val="0000FF"/>
          <w:u w:val="single" w:color="0000FF"/>
          <w:lang w:eastAsia="zh-CN"/>
        </w:rPr>
        <w:fldChar w:fldCharType="end"/>
      </w:r>
      <w:r>
        <w:rPr>
          <w:rFonts w:ascii="Arial" w:hAnsi="Arial" w:eastAsia="宋体" w:cs="Arial"/>
          <w:lang w:eastAsia="zh-CN"/>
        </w:rPr>
        <w:t>）以获得用于监测涉及FDA监管产品的临床研究的推荐方法。</w:t>
      </w:r>
    </w:p>
    <w:p w14:paraId="652A6345">
      <w:pPr>
        <w:snapToGrid w:val="0"/>
        <w:spacing w:before="397" w:line="300" w:lineRule="auto"/>
        <w:jc w:val="center"/>
        <w:rPr>
          <w:rFonts w:hint="eastAsia" w:eastAsia="宋体"/>
          <w:lang w:eastAsia="zh-CN"/>
        </w:rPr>
      </w:pPr>
    </w:p>
    <w:p w14:paraId="258D015D">
      <w:pPr>
        <w:snapToGrid w:val="0"/>
        <w:spacing w:before="397" w:line="300" w:lineRule="auto"/>
        <w:jc w:val="center"/>
        <w:rPr>
          <w:rFonts w:hint="eastAsia" w:eastAsia="宋体"/>
          <w:lang w:eastAsia="zh-CN"/>
        </w:rPr>
      </w:pPr>
    </w:p>
    <w:p w14:paraId="24C4CD78">
      <w:pPr>
        <w:snapToGrid w:val="0"/>
        <w:spacing w:before="397"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6" name="图片 16" descr="2"/>
            <wp:cNvGraphicFramePr/>
            <a:graphic xmlns:a="http://schemas.openxmlformats.org/drawingml/2006/main">
              <a:graphicData uri="http://schemas.openxmlformats.org/drawingml/2006/picture">
                <pic:pic xmlns:pic="http://schemas.openxmlformats.org/drawingml/2006/picture">
                  <pic:nvPicPr>
                    <pic:cNvPr id="16" name="图片 16" descr="2"/>
                    <pic:cNvPicPr/>
                  </pic:nvPicPr>
                  <pic:blipFill>
                    <a:blip r:embed="rId7"/>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748" w:footer="77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4"/>
        <w:szCs w:val="24"/>
      </w:rPr>
      <w:id w:val="-1699773906"/>
      <w:docPartObj>
        <w:docPartGallery w:val="AutoText"/>
      </w:docPartObj>
    </w:sdtPr>
    <w:sdtEndPr>
      <w:rPr>
        <w:rFonts w:ascii="Arial" w:hAnsi="Arial" w:cs="Arial"/>
        <w:sz w:val="24"/>
        <w:szCs w:val="24"/>
      </w:rPr>
    </w:sdtEndPr>
    <w:sdtContent>
      <w:p w14:paraId="65CFAD49">
        <w:pPr>
          <w:pStyle w:val="8"/>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PAGE   \* MERGEFORMAT</w:instrText>
        </w:r>
        <w:r>
          <w:rPr>
            <w:rFonts w:ascii="Arial" w:hAnsi="Arial" w:cs="Arial"/>
            <w:sz w:val="24"/>
            <w:szCs w:val="24"/>
          </w:rPr>
          <w:fldChar w:fldCharType="separate"/>
        </w:r>
        <w:r>
          <w:rPr>
            <w:rFonts w:ascii="Arial" w:hAnsi="Arial" w:cs="Arial"/>
            <w:sz w:val="24"/>
            <w:szCs w:val="24"/>
            <w:lang w:val="zh-CN" w:eastAsia="zh-CN"/>
          </w:rPr>
          <w:t>12</w:t>
        </w:r>
        <w:r>
          <w:rPr>
            <w:rFonts w:ascii="Arial" w:hAnsi="Arial" w:cs="Arial"/>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51773">
    <w:pPr>
      <w:spacing w:line="265" w:lineRule="exact"/>
      <w:ind w:left="20"/>
      <w:jc w:val="center"/>
      <w:rPr>
        <w:rFonts w:ascii="Times New Roman" w:hAnsi="Times New Roman" w:eastAsia="Times New Roman" w:cs="Times New Roman"/>
        <w:i/>
        <w:sz w:val="24"/>
        <w:szCs w:val="24"/>
      </w:rPr>
    </w:pPr>
    <w:r>
      <w:rPr>
        <w:rFonts w:hint="eastAsia" w:cs="Times New Roman" w:asciiTheme="minorEastAsia" w:hAnsiTheme="minorEastAsia"/>
        <w:i/>
        <w:sz w:val="24"/>
        <w:szCs w:val="24"/>
        <w:lang w:eastAsia="zh-CN"/>
      </w:rPr>
      <w:t>含有非约束性建议</w:t>
    </w:r>
  </w:p>
  <w:p w14:paraId="02F2978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617B8"/>
    <w:multiLevelType w:val="multilevel"/>
    <w:tmpl w:val="224617B8"/>
    <w:lvl w:ilvl="0" w:tentative="0">
      <w:start w:val="1"/>
      <w:numFmt w:val="decimal"/>
      <w:lvlText w:val="%1."/>
      <w:lvlJc w:val="left"/>
      <w:pPr>
        <w:ind w:left="640" w:hanging="360"/>
        <w:jc w:val="right"/>
      </w:pPr>
      <w:rPr>
        <w:rFonts w:hint="default" w:ascii="Arial" w:hAnsi="Arial" w:eastAsia="Times New Roman" w:cs="Arial"/>
        <w:b/>
        <w:bCs/>
        <w:spacing w:val="-7"/>
        <w:w w:val="100"/>
        <w:sz w:val="36"/>
        <w:szCs w:val="36"/>
      </w:rPr>
    </w:lvl>
    <w:lvl w:ilvl="1" w:tentative="0">
      <w:start w:val="1"/>
      <w:numFmt w:val="upperLetter"/>
      <w:lvlText w:val="%2."/>
      <w:lvlJc w:val="left"/>
      <w:pPr>
        <w:ind w:left="1019" w:hanging="540"/>
      </w:pPr>
      <w:rPr>
        <w:rFonts w:hint="default" w:ascii="Arial" w:hAnsi="Arial" w:eastAsia="Times New Roman" w:cs="Arial"/>
        <w:b/>
        <w:bCs/>
        <w:spacing w:val="-2"/>
        <w:w w:val="100"/>
        <w:sz w:val="28"/>
        <w:szCs w:val="28"/>
      </w:rPr>
    </w:lvl>
    <w:lvl w:ilvl="2" w:tentative="0">
      <w:start w:val="1"/>
      <w:numFmt w:val="bullet"/>
      <w:lvlText w:val="•"/>
      <w:lvlJc w:val="left"/>
      <w:pPr>
        <w:ind w:left="1020" w:hanging="540"/>
      </w:pPr>
      <w:rPr>
        <w:rFonts w:hint="default"/>
      </w:rPr>
    </w:lvl>
    <w:lvl w:ilvl="3" w:tentative="0">
      <w:start w:val="1"/>
      <w:numFmt w:val="bullet"/>
      <w:lvlText w:val="•"/>
      <w:lvlJc w:val="left"/>
      <w:pPr>
        <w:ind w:left="2090" w:hanging="540"/>
      </w:pPr>
      <w:rPr>
        <w:rFonts w:hint="default"/>
      </w:rPr>
    </w:lvl>
    <w:lvl w:ilvl="4" w:tentative="0">
      <w:start w:val="1"/>
      <w:numFmt w:val="bullet"/>
      <w:lvlText w:val="•"/>
      <w:lvlJc w:val="left"/>
      <w:pPr>
        <w:ind w:left="3160" w:hanging="540"/>
      </w:pPr>
      <w:rPr>
        <w:rFonts w:hint="default"/>
      </w:rPr>
    </w:lvl>
    <w:lvl w:ilvl="5" w:tentative="0">
      <w:start w:val="1"/>
      <w:numFmt w:val="bullet"/>
      <w:lvlText w:val="•"/>
      <w:lvlJc w:val="left"/>
      <w:pPr>
        <w:ind w:left="4230" w:hanging="540"/>
      </w:pPr>
      <w:rPr>
        <w:rFonts w:hint="default"/>
      </w:rPr>
    </w:lvl>
    <w:lvl w:ilvl="6" w:tentative="0">
      <w:start w:val="1"/>
      <w:numFmt w:val="bullet"/>
      <w:lvlText w:val="•"/>
      <w:lvlJc w:val="left"/>
      <w:pPr>
        <w:ind w:left="5300" w:hanging="540"/>
      </w:pPr>
      <w:rPr>
        <w:rFonts w:hint="default"/>
      </w:rPr>
    </w:lvl>
    <w:lvl w:ilvl="7" w:tentative="0">
      <w:start w:val="1"/>
      <w:numFmt w:val="bullet"/>
      <w:lvlText w:val="•"/>
      <w:lvlJc w:val="left"/>
      <w:pPr>
        <w:ind w:left="6370" w:hanging="540"/>
      </w:pPr>
      <w:rPr>
        <w:rFonts w:hint="default"/>
      </w:rPr>
    </w:lvl>
    <w:lvl w:ilvl="8" w:tentative="0">
      <w:start w:val="1"/>
      <w:numFmt w:val="bullet"/>
      <w:lvlText w:val="•"/>
      <w:lvlJc w:val="left"/>
      <w:pPr>
        <w:ind w:left="7440" w:hanging="540"/>
      </w:pPr>
      <w:rPr>
        <w:rFonts w:hint="default"/>
      </w:rPr>
    </w:lvl>
  </w:abstractNum>
  <w:abstractNum w:abstractNumId="1">
    <w:nsid w:val="629776BA"/>
    <w:multiLevelType w:val="multilevel"/>
    <w:tmpl w:val="629776BA"/>
    <w:lvl w:ilvl="0" w:tentative="0">
      <w:start w:val="1"/>
      <w:numFmt w:val="bullet"/>
      <w:lvlText w:val=""/>
      <w:lvlJc w:val="left"/>
      <w:pPr>
        <w:ind w:left="480" w:hanging="360"/>
      </w:pPr>
      <w:rPr>
        <w:rFonts w:hint="default" w:ascii="Symbol" w:hAnsi="Symbol" w:eastAsia="Symbol"/>
        <w:w w:val="100"/>
      </w:rPr>
    </w:lvl>
    <w:lvl w:ilvl="1" w:tentative="0">
      <w:start w:val="1"/>
      <w:numFmt w:val="bullet"/>
      <w:lvlText w:val=""/>
      <w:lvlJc w:val="left"/>
      <w:pPr>
        <w:ind w:left="840" w:hanging="360"/>
      </w:pPr>
      <w:rPr>
        <w:rFonts w:hint="default" w:ascii="Symbol" w:hAnsi="Symbol" w:eastAsia="Symbol"/>
        <w:w w:val="100"/>
        <w:sz w:val="18"/>
        <w:szCs w:val="18"/>
      </w:rPr>
    </w:lvl>
    <w:lvl w:ilvl="2" w:tentative="0">
      <w:start w:val="1"/>
      <w:numFmt w:val="bullet"/>
      <w:lvlText w:val="•"/>
      <w:lvlJc w:val="left"/>
      <w:pPr>
        <w:ind w:left="1000" w:hanging="360"/>
      </w:pPr>
      <w:rPr>
        <w:rFonts w:hint="default"/>
      </w:rPr>
    </w:lvl>
    <w:lvl w:ilvl="3" w:tentative="0">
      <w:start w:val="1"/>
      <w:numFmt w:val="bullet"/>
      <w:lvlText w:val="•"/>
      <w:lvlJc w:val="left"/>
      <w:pPr>
        <w:ind w:left="2030" w:hanging="360"/>
      </w:pPr>
      <w:rPr>
        <w:rFonts w:hint="default"/>
      </w:rPr>
    </w:lvl>
    <w:lvl w:ilvl="4" w:tentative="0">
      <w:start w:val="1"/>
      <w:numFmt w:val="bullet"/>
      <w:lvlText w:val="•"/>
      <w:lvlJc w:val="left"/>
      <w:pPr>
        <w:ind w:left="3060" w:hanging="360"/>
      </w:pPr>
      <w:rPr>
        <w:rFonts w:hint="default"/>
      </w:rPr>
    </w:lvl>
    <w:lvl w:ilvl="5" w:tentative="0">
      <w:start w:val="1"/>
      <w:numFmt w:val="bullet"/>
      <w:lvlText w:val="•"/>
      <w:lvlJc w:val="left"/>
      <w:pPr>
        <w:ind w:left="4090" w:hanging="360"/>
      </w:pPr>
      <w:rPr>
        <w:rFonts w:hint="default"/>
      </w:rPr>
    </w:lvl>
    <w:lvl w:ilvl="6" w:tentative="0">
      <w:start w:val="1"/>
      <w:numFmt w:val="bullet"/>
      <w:lvlText w:val="•"/>
      <w:lvlJc w:val="left"/>
      <w:pPr>
        <w:ind w:left="5120" w:hanging="360"/>
      </w:pPr>
      <w:rPr>
        <w:rFonts w:hint="default"/>
      </w:rPr>
    </w:lvl>
    <w:lvl w:ilvl="7" w:tentative="0">
      <w:start w:val="1"/>
      <w:numFmt w:val="bullet"/>
      <w:lvlText w:val="•"/>
      <w:lvlJc w:val="left"/>
      <w:pPr>
        <w:ind w:left="6150" w:hanging="360"/>
      </w:pPr>
      <w:rPr>
        <w:rFonts w:hint="default"/>
      </w:rPr>
    </w:lvl>
    <w:lvl w:ilvl="8" w:tentative="0">
      <w:start w:val="1"/>
      <w:numFmt w:val="bullet"/>
      <w:lvlText w:val="•"/>
      <w:lvlJc w:val="left"/>
      <w:pPr>
        <w:ind w:left="718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CD"/>
    <w:rsid w:val="00004398"/>
    <w:rsid w:val="00016E06"/>
    <w:rsid w:val="000225DE"/>
    <w:rsid w:val="00027504"/>
    <w:rsid w:val="00071C0C"/>
    <w:rsid w:val="00073648"/>
    <w:rsid w:val="000A2737"/>
    <w:rsid w:val="000B2EF1"/>
    <w:rsid w:val="000C611C"/>
    <w:rsid w:val="000E614D"/>
    <w:rsid w:val="000F4E96"/>
    <w:rsid w:val="00147432"/>
    <w:rsid w:val="0015331D"/>
    <w:rsid w:val="001820C2"/>
    <w:rsid w:val="001940CD"/>
    <w:rsid w:val="00194189"/>
    <w:rsid w:val="001C5B11"/>
    <w:rsid w:val="001E248B"/>
    <w:rsid w:val="001E3A90"/>
    <w:rsid w:val="00222F7F"/>
    <w:rsid w:val="00223D9F"/>
    <w:rsid w:val="002531F8"/>
    <w:rsid w:val="0026516C"/>
    <w:rsid w:val="00271E7F"/>
    <w:rsid w:val="00295BC4"/>
    <w:rsid w:val="002A1C46"/>
    <w:rsid w:val="002C1D37"/>
    <w:rsid w:val="002E503A"/>
    <w:rsid w:val="002F576A"/>
    <w:rsid w:val="00326F6F"/>
    <w:rsid w:val="00333200"/>
    <w:rsid w:val="00333D43"/>
    <w:rsid w:val="003740DE"/>
    <w:rsid w:val="003E3653"/>
    <w:rsid w:val="003E69EF"/>
    <w:rsid w:val="003F2160"/>
    <w:rsid w:val="003F3B5F"/>
    <w:rsid w:val="003F40FA"/>
    <w:rsid w:val="003F53D8"/>
    <w:rsid w:val="00415535"/>
    <w:rsid w:val="00424983"/>
    <w:rsid w:val="00437090"/>
    <w:rsid w:val="00444100"/>
    <w:rsid w:val="00462C29"/>
    <w:rsid w:val="00470265"/>
    <w:rsid w:val="00481F88"/>
    <w:rsid w:val="004B05E3"/>
    <w:rsid w:val="004C0077"/>
    <w:rsid w:val="004E76E2"/>
    <w:rsid w:val="005369CD"/>
    <w:rsid w:val="0054081B"/>
    <w:rsid w:val="005460E0"/>
    <w:rsid w:val="00585E7B"/>
    <w:rsid w:val="005C5DE3"/>
    <w:rsid w:val="005E4682"/>
    <w:rsid w:val="005F5900"/>
    <w:rsid w:val="00626C0B"/>
    <w:rsid w:val="006313FB"/>
    <w:rsid w:val="00632D0F"/>
    <w:rsid w:val="0063619F"/>
    <w:rsid w:val="006513F9"/>
    <w:rsid w:val="00686FEB"/>
    <w:rsid w:val="006B0EB7"/>
    <w:rsid w:val="00701FB5"/>
    <w:rsid w:val="00704277"/>
    <w:rsid w:val="00706721"/>
    <w:rsid w:val="007475CD"/>
    <w:rsid w:val="00753841"/>
    <w:rsid w:val="00765E4D"/>
    <w:rsid w:val="00791B16"/>
    <w:rsid w:val="00795EF9"/>
    <w:rsid w:val="007B32C4"/>
    <w:rsid w:val="007B563F"/>
    <w:rsid w:val="007C5D4D"/>
    <w:rsid w:val="007D6710"/>
    <w:rsid w:val="007D70CF"/>
    <w:rsid w:val="007E4CFA"/>
    <w:rsid w:val="00815C28"/>
    <w:rsid w:val="008332EF"/>
    <w:rsid w:val="008357A4"/>
    <w:rsid w:val="00842F21"/>
    <w:rsid w:val="00870C2A"/>
    <w:rsid w:val="008A21BD"/>
    <w:rsid w:val="008D0903"/>
    <w:rsid w:val="008D6E88"/>
    <w:rsid w:val="008E4B68"/>
    <w:rsid w:val="008F572A"/>
    <w:rsid w:val="0092087D"/>
    <w:rsid w:val="00940863"/>
    <w:rsid w:val="00941AB8"/>
    <w:rsid w:val="009571EF"/>
    <w:rsid w:val="009664CD"/>
    <w:rsid w:val="00967E23"/>
    <w:rsid w:val="00977B1A"/>
    <w:rsid w:val="009849B4"/>
    <w:rsid w:val="009A7A95"/>
    <w:rsid w:val="009B413F"/>
    <w:rsid w:val="009C3CF5"/>
    <w:rsid w:val="00A23170"/>
    <w:rsid w:val="00A32B7A"/>
    <w:rsid w:val="00A779C7"/>
    <w:rsid w:val="00AD33A0"/>
    <w:rsid w:val="00B2196D"/>
    <w:rsid w:val="00B4087F"/>
    <w:rsid w:val="00B425E4"/>
    <w:rsid w:val="00B63E75"/>
    <w:rsid w:val="00B64F04"/>
    <w:rsid w:val="00B95973"/>
    <w:rsid w:val="00B9686E"/>
    <w:rsid w:val="00BB2A9F"/>
    <w:rsid w:val="00BE0E4C"/>
    <w:rsid w:val="00C01858"/>
    <w:rsid w:val="00C0361C"/>
    <w:rsid w:val="00C14848"/>
    <w:rsid w:val="00C20B7F"/>
    <w:rsid w:val="00C67214"/>
    <w:rsid w:val="00C77625"/>
    <w:rsid w:val="00C84EFB"/>
    <w:rsid w:val="00C868E0"/>
    <w:rsid w:val="00CA23F2"/>
    <w:rsid w:val="00CB745C"/>
    <w:rsid w:val="00CD34A0"/>
    <w:rsid w:val="00CE2BF7"/>
    <w:rsid w:val="00D5459F"/>
    <w:rsid w:val="00D8214E"/>
    <w:rsid w:val="00DC7CCA"/>
    <w:rsid w:val="00DF5AB5"/>
    <w:rsid w:val="00DF5AC5"/>
    <w:rsid w:val="00E010AF"/>
    <w:rsid w:val="00E11198"/>
    <w:rsid w:val="00E26C97"/>
    <w:rsid w:val="00E33916"/>
    <w:rsid w:val="00E33C1B"/>
    <w:rsid w:val="00E475F0"/>
    <w:rsid w:val="00E70751"/>
    <w:rsid w:val="00E906A1"/>
    <w:rsid w:val="00E90E58"/>
    <w:rsid w:val="00ED36AB"/>
    <w:rsid w:val="00EE260F"/>
    <w:rsid w:val="00EF5D0D"/>
    <w:rsid w:val="00F106CE"/>
    <w:rsid w:val="00F37C31"/>
    <w:rsid w:val="00F41ED7"/>
    <w:rsid w:val="00F43CE3"/>
    <w:rsid w:val="00F72FA5"/>
    <w:rsid w:val="00FA7F57"/>
    <w:rsid w:val="31C0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460" w:hanging="360"/>
      <w:outlineLvl w:val="0"/>
    </w:pPr>
    <w:rPr>
      <w:rFonts w:ascii="Times New Roman" w:hAnsi="Times New Roman" w:eastAsia="Times New Roman"/>
      <w:b/>
      <w:bCs/>
      <w:sz w:val="36"/>
      <w:szCs w:val="36"/>
    </w:rPr>
  </w:style>
  <w:style w:type="paragraph" w:styleId="3">
    <w:name w:val="heading 2"/>
    <w:basedOn w:val="1"/>
    <w:qFormat/>
    <w:uiPriority w:val="1"/>
    <w:pPr>
      <w:spacing w:before="210"/>
      <w:ind w:left="659" w:hanging="539"/>
      <w:outlineLvl w:val="1"/>
    </w:pPr>
    <w:rPr>
      <w:rFonts w:ascii="Times New Roman" w:hAnsi="Times New Roman" w:eastAsia="Times New Roman"/>
      <w:b/>
      <w:bCs/>
      <w:sz w:val="28"/>
      <w:szCs w:val="28"/>
    </w:rPr>
  </w:style>
  <w:style w:type="paragraph" w:styleId="4">
    <w:name w:val="heading 3"/>
    <w:basedOn w:val="1"/>
    <w:qFormat/>
    <w:uiPriority w:val="1"/>
    <w:pPr>
      <w:ind w:left="120"/>
      <w:outlineLvl w:val="2"/>
    </w:pPr>
    <w:rPr>
      <w:rFonts w:ascii="Times New Roman" w:hAnsi="Times New Roman" w:eastAsia="Times New Roman"/>
      <w:b/>
      <w:bCs/>
      <w:sz w:val="24"/>
      <w:szCs w:val="24"/>
      <w:u w:val="single"/>
    </w:rPr>
  </w:style>
  <w:style w:type="character" w:default="1" w:styleId="13">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480"/>
    </w:pPr>
    <w:rPr>
      <w:rFonts w:ascii="Times New Roman" w:hAnsi="Times New Roman" w:eastAsia="Times New Roman"/>
      <w:sz w:val="24"/>
      <w:szCs w:val="24"/>
    </w:rPr>
  </w:style>
  <w:style w:type="paragraph" w:styleId="6">
    <w:name w:val="toc 3"/>
    <w:basedOn w:val="1"/>
    <w:qFormat/>
    <w:uiPriority w:val="39"/>
    <w:pPr>
      <w:ind w:left="1108"/>
    </w:pPr>
    <w:rPr>
      <w:rFonts w:ascii="Times New Roman" w:hAnsi="Times New Roman" w:eastAsia="Times New Roman"/>
      <w:sz w:val="24"/>
      <w:szCs w:val="24"/>
    </w:rPr>
  </w:style>
  <w:style w:type="paragraph" w:styleId="7">
    <w:name w:val="Balloon Text"/>
    <w:basedOn w:val="1"/>
    <w:link w:val="21"/>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qFormat/>
    <w:uiPriority w:val="39"/>
    <w:pPr>
      <w:ind w:left="460" w:hanging="360"/>
    </w:pPr>
    <w:rPr>
      <w:rFonts w:ascii="Times New Roman" w:hAnsi="Times New Roman" w:eastAsia="Times New Roman"/>
      <w:sz w:val="24"/>
      <w:szCs w:val="24"/>
    </w:rPr>
  </w:style>
  <w:style w:type="paragraph" w:styleId="11">
    <w:name w:val="toc 2"/>
    <w:basedOn w:val="1"/>
    <w:qFormat/>
    <w:uiPriority w:val="39"/>
    <w:pPr>
      <w:ind w:left="820" w:hanging="480"/>
    </w:pPr>
    <w:rPr>
      <w:rFonts w:ascii="Times New Roman" w:hAnsi="Times New Roman" w:eastAsia="Times New Roman"/>
      <w:sz w:val="24"/>
      <w:szCs w:val="24"/>
    </w:r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3"/>
    <w:link w:val="9"/>
    <w:qFormat/>
    <w:uiPriority w:val="99"/>
    <w:rPr>
      <w:sz w:val="18"/>
      <w:szCs w:val="18"/>
    </w:rPr>
  </w:style>
  <w:style w:type="character" w:customStyle="1" w:styleId="19">
    <w:name w:val="页脚 Char"/>
    <w:basedOn w:val="13"/>
    <w:link w:val="8"/>
    <w:qFormat/>
    <w:uiPriority w:val="99"/>
    <w:rPr>
      <w:sz w:val="18"/>
      <w:szCs w:val="18"/>
    </w:rPr>
  </w:style>
  <w:style w:type="paragraph" w:customStyle="1" w:styleId="20">
    <w:name w:val="TOC Heading"/>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character" w:customStyle="1" w:styleId="21">
    <w:name w:val="批注框文本 Char"/>
    <w:basedOn w:val="13"/>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23C63B-6BA4-4A90-8CCC-CE7B6F0AEA1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13729</Words>
  <Characters>15134</Characters>
  <Lines>132</Lines>
  <Paragraphs>37</Paragraphs>
  <TotalTime>0</TotalTime>
  <ScaleCrop>false</ScaleCrop>
  <LinksUpToDate>false</LinksUpToDate>
  <CharactersWithSpaces>15444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2017-05-09T07:31:00Z</dcterms:created>
  <dc:creator>Felipe Aguel</dc:creator>
  <cp:lastModifiedBy>太极箫客</cp:lastModifiedBy>
  <dcterms:modified xsi:type="dcterms:W3CDTF">2025-08-14T06:14:00Z</dcterms:modified>
  <dc:title>Introduction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2013-02-12T00:00:00Z</vt:filetime>
  </property>
  <property fmtid="{D5CDD505-2E9C-101B-9397-08002B2CF9AE}" pid="3" name="Creator">
    <vt:lpwstr>Acrobat PDFMaker 10.1 for Word</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86C0B4896D654A09A3EFDB178761495A_12</vt:lpwstr>
  </property>
</Properties>
</file>