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3FF2">
      <w:pPr>
        <w:snapToGrid w:val="0"/>
        <w:spacing w:before="6" w:line="300" w:lineRule="auto"/>
        <w:jc w:val="both"/>
        <w:rPr>
          <w:rFonts w:ascii="Arial" w:hAnsi="Arial" w:eastAsia="宋体" w:cs="Arial"/>
          <w:sz w:val="24"/>
          <w:szCs w:val="24"/>
        </w:rPr>
      </w:pPr>
      <w:bookmarkStart w:id="2" w:name="_GoBack"/>
      <w:bookmarkEnd w:id="2"/>
    </w:p>
    <w:p w14:paraId="3AA8D8B9">
      <w:pPr>
        <w:snapToGrid w:val="0"/>
        <w:spacing w:line="300" w:lineRule="auto"/>
        <w:jc w:val="both"/>
        <w:rPr>
          <w:rFonts w:ascii="Arial" w:hAnsi="Arial" w:eastAsia="宋体" w:cs="Arial"/>
          <w:sz w:val="24"/>
          <w:szCs w:val="24"/>
        </w:rPr>
        <w:sectPr>
          <w:type w:val="continuous"/>
          <w:pgSz w:w="12140" w:h="15840"/>
          <w:pgMar w:top="1134" w:right="1134" w:bottom="1134" w:left="1134" w:header="720" w:footer="720" w:gutter="0"/>
          <w:cols w:space="720" w:num="1"/>
          <w:docGrid w:linePitch="299" w:charSpace="0"/>
        </w:sectPr>
      </w:pPr>
    </w:p>
    <w:p w14:paraId="2B479254">
      <w:pPr>
        <w:snapToGrid w:val="0"/>
        <w:spacing w:before="73" w:line="300" w:lineRule="auto"/>
        <w:jc w:val="both"/>
        <w:rPr>
          <w:rFonts w:ascii="Arial" w:hAnsi="Arial" w:eastAsia="宋体" w:cs="Arial"/>
          <w:sz w:val="21"/>
          <w:szCs w:val="21"/>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408305</wp:posOffset>
            </wp:positionH>
            <wp:positionV relativeFrom="paragraph">
              <wp:posOffset>-133985</wp:posOffset>
            </wp:positionV>
            <wp:extent cx="707390" cy="716280"/>
            <wp:effectExtent l="0" t="0" r="0" b="762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07390" cy="716280"/>
                    </a:xfrm>
                    <a:prstGeom prst="rect">
                      <a:avLst/>
                    </a:prstGeom>
                    <a:noFill/>
                  </pic:spPr>
                </pic:pic>
              </a:graphicData>
            </a:graphic>
          </wp:anchor>
        </w:drawing>
      </w:r>
      <w:r>
        <w:rPr>
          <w:rFonts w:ascii="Arial" w:hAnsi="Arial" w:eastAsia="宋体" w:cs="Arial"/>
          <w:sz w:val="21"/>
          <w:szCs w:val="21"/>
          <w:lang w:eastAsia="zh-CN"/>
        </w:rPr>
        <w:t>卫生与公众服务部</w:t>
      </w:r>
    </w:p>
    <w:p w14:paraId="15F9793B">
      <w:pPr>
        <w:snapToGrid w:val="0"/>
        <w:spacing w:line="300" w:lineRule="auto"/>
        <w:jc w:val="both"/>
        <w:rPr>
          <w:rFonts w:ascii="Arial" w:hAnsi="Arial" w:eastAsia="宋体" w:cs="Arial"/>
          <w:sz w:val="20"/>
          <w:szCs w:val="20"/>
          <w:lang w:eastAsia="zh-CN"/>
        </w:rPr>
      </w:pPr>
      <w:r>
        <w:rPr>
          <w:rFonts w:ascii="Arial" w:hAnsi="Arial" w:eastAsia="宋体" w:cs="Arial"/>
          <w:lang w:eastAsia="zh-CN"/>
        </w:rPr>
        <mc:AlternateContent>
          <mc:Choice Requires="wpg">
            <w:drawing>
              <wp:anchor distT="0" distB="0" distL="114300" distR="114300" simplePos="0" relativeHeight="251660288" behindDoc="0" locked="0" layoutInCell="1" allowOverlap="1">
                <wp:simplePos x="0" y="0"/>
                <wp:positionH relativeFrom="page">
                  <wp:posOffset>1113155</wp:posOffset>
                </wp:positionH>
                <wp:positionV relativeFrom="paragraph">
                  <wp:posOffset>81280</wp:posOffset>
                </wp:positionV>
                <wp:extent cx="6261100" cy="1270"/>
                <wp:effectExtent l="14605" t="17145" r="10795" b="10160"/>
                <wp:wrapNone/>
                <wp:docPr id="2" name="Group 3"/>
                <wp:cNvGraphicFramePr/>
                <a:graphic xmlns:a="http://schemas.openxmlformats.org/drawingml/2006/main">
                  <a:graphicData uri="http://schemas.microsoft.com/office/word/2010/wordprocessingGroup">
                    <wpg:wgp>
                      <wpg:cNvGrpSpPr/>
                      <wpg:grpSpPr>
                        <a:xfrm>
                          <a:off x="0" y="0"/>
                          <a:ext cx="6261100" cy="1270"/>
                          <a:chOff x="2093" y="-168"/>
                          <a:chExt cx="9860" cy="2"/>
                        </a:xfrm>
                      </wpg:grpSpPr>
                      <wps:wsp>
                        <wps:cNvPr id="3" name="Freeform 4"/>
                        <wps:cNvSpPr/>
                        <wps:spPr bwMode="auto">
                          <a:xfrm>
                            <a:off x="2093" y="-168"/>
                            <a:ext cx="9860" cy="2"/>
                          </a:xfrm>
                          <a:custGeom>
                            <a:avLst/>
                            <a:gdLst>
                              <a:gd name="T0" fmla="+- 0 2093 2093"/>
                              <a:gd name="T1" fmla="*/ T0 w 9860"/>
                              <a:gd name="T2" fmla="+- 0 11952 2093"/>
                              <a:gd name="T3" fmla="*/ T2 w 9860"/>
                            </a:gdLst>
                            <a:ahLst/>
                            <a:cxnLst>
                              <a:cxn ang="0">
                                <a:pos x="T1" y="0"/>
                              </a:cxn>
                              <a:cxn ang="0">
                                <a:pos x="T3" y="0"/>
                              </a:cxn>
                            </a:cxnLst>
                            <a:rect l="0" t="0" r="r" b="b"/>
                            <a:pathLst>
                              <a:path w="9860">
                                <a:moveTo>
                                  <a:pt x="0" y="0"/>
                                </a:moveTo>
                                <a:lnTo>
                                  <a:pt x="9859" y="0"/>
                                </a:lnTo>
                              </a:path>
                            </a:pathLst>
                          </a:custGeom>
                          <a:noFill/>
                          <a:ln w="2133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 o:spid="_x0000_s1026" o:spt="203" style="position:absolute;left:0pt;margin-left:87.65pt;margin-top:6.4pt;height:0.1pt;width:493pt;mso-position-horizontal-relative:page;z-index:251660288;mso-width-relative:page;mso-height-relative:page;" coordorigin="2093,-168" coordsize="9860,2" o:gfxdata="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Ku9oNtcAAAAKAQAA&#10;DwAAAAAAAAABACAAAAAiAAAAZHJzL2Rvd25yZXYueG1sUEsBAhQAFAAAAAgAh07iQOJDtAf+AgAA&#10;7AYAAA4AAAAAAAAAAQAgAAAAJgEAAGRycy9lMm9Eb2MueG1sUEsFBgAAAAAGAAYAWQEAAJYGAAAA&#10;AA==&#10;">
                <o:lock v:ext="edit" aspectratio="f"/>
                <v:shape id="Freeform 4" o:spid="_x0000_s1026" o:spt="100" style="position:absolute;left:2093;top:-168;height:2;width:9860;" filled="f" stroked="t" coordsize="9860,1" o:gfxdata="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5TZbsAAADa&#10;AAAADwAAAAAAAAABACAAAAAiAAAAZHJzL2Rvd25yZXYueG1sUEsBAhQAFAAAAAgAh07iQDMvBZ47&#10;AAAAOQAAABAAAAAAAAAAAQAgAAAACgEAAGRycy9zaGFwZXhtbC54bWxQSwUGAAAAAAYABgBbAQAA&#10;tAMAAAAA&#10;" path="m0,0l9859,0e">
                  <v:path o:connectlocs="0,0;9859,0" o:connectangles="0,0"/>
                  <v:fill on="f" focussize="0,0"/>
                  <v:stroke weight="1.68pt" color="#000000" joinstyle="round"/>
                  <v:imagedata o:title=""/>
                  <o:lock v:ext="edit" aspectratio="f"/>
                </v:shape>
              </v:group>
            </w:pict>
          </mc:Fallback>
        </mc:AlternateContent>
      </w:r>
    </w:p>
    <w:p w14:paraId="3D587E1A">
      <w:pPr>
        <w:snapToGrid w:val="0"/>
        <w:spacing w:before="10" w:line="300" w:lineRule="auto"/>
        <w:jc w:val="both"/>
        <w:rPr>
          <w:rFonts w:ascii="Arial" w:hAnsi="Arial" w:eastAsia="宋体" w:cs="Arial"/>
          <w:sz w:val="25"/>
          <w:szCs w:val="25"/>
          <w:lang w:eastAsia="zh-CN"/>
        </w:rPr>
      </w:pPr>
    </w:p>
    <w:p w14:paraId="05352E56">
      <w:pPr>
        <w:snapToGrid w:val="0"/>
        <w:spacing w:line="300" w:lineRule="auto"/>
        <w:ind w:firstLine="3685" w:firstLineChars="1271"/>
        <w:jc w:val="center"/>
        <w:rPr>
          <w:rFonts w:ascii="Arial" w:hAnsi="Arial" w:eastAsia="宋体" w:cs="Arial"/>
          <w:sz w:val="29"/>
          <w:szCs w:val="29"/>
          <w:lang w:eastAsia="zh-CN"/>
        </w:rPr>
      </w:pPr>
      <w:r>
        <w:rPr>
          <w:rFonts w:ascii="Arial" w:hAnsi="Arial" w:eastAsia="宋体" w:cs="Arial"/>
          <w:sz w:val="29"/>
          <w:lang w:eastAsia="zh-CN"/>
        </w:rPr>
        <w:t>1985年1月30日</w:t>
      </w:r>
    </w:p>
    <w:p w14:paraId="71BD2B25">
      <w:pPr>
        <w:snapToGrid w:val="0"/>
        <w:spacing w:before="110" w:line="300" w:lineRule="auto"/>
        <w:ind w:left="211" w:hanging="211" w:hangingChars="96"/>
        <w:jc w:val="both"/>
        <w:rPr>
          <w:rFonts w:ascii="Arial" w:hAnsi="Arial" w:eastAsia="宋体" w:cs="Arial"/>
          <w:sz w:val="17"/>
          <w:szCs w:val="17"/>
          <w:lang w:eastAsia="zh-CN"/>
        </w:rPr>
      </w:pPr>
      <w:r>
        <w:rPr>
          <w:rFonts w:ascii="Arial" w:hAnsi="Arial" w:eastAsia="宋体" w:cs="Arial"/>
          <w:lang w:eastAsia="zh-CN"/>
        </w:rPr>
        <w:br w:type="column"/>
      </w:r>
      <w:r>
        <w:rPr>
          <w:rFonts w:ascii="Arial" w:hAnsi="Arial" w:eastAsia="宋体" w:cs="Arial"/>
          <w:lang w:eastAsia="zh-CN"/>
        </w:rPr>
        <w:t>公共卫生署</w:t>
      </w:r>
    </w:p>
    <w:p w14:paraId="2839A184">
      <w:pPr>
        <w:snapToGrid w:val="0"/>
        <w:spacing w:line="300" w:lineRule="auto"/>
        <w:jc w:val="both"/>
        <w:rPr>
          <w:rFonts w:ascii="Arial" w:hAnsi="Arial" w:eastAsia="宋体" w:cs="Arial"/>
          <w:sz w:val="16"/>
          <w:szCs w:val="16"/>
          <w:lang w:eastAsia="zh-CN"/>
        </w:rPr>
      </w:pPr>
    </w:p>
    <w:p w14:paraId="47A7F49C">
      <w:pPr>
        <w:snapToGrid w:val="0"/>
        <w:spacing w:line="300" w:lineRule="auto"/>
        <w:ind w:left="295" w:hanging="295" w:hangingChars="164"/>
        <w:jc w:val="both"/>
        <w:rPr>
          <w:rFonts w:ascii="Arial" w:hAnsi="Arial" w:eastAsia="宋体" w:cs="Arial"/>
          <w:sz w:val="18"/>
          <w:szCs w:val="18"/>
          <w:lang w:eastAsia="zh-CN"/>
        </w:rPr>
      </w:pPr>
      <w:r>
        <w:rPr>
          <w:rFonts w:ascii="Arial" w:hAnsi="Arial" w:eastAsia="宋体" w:cs="Arial"/>
          <w:sz w:val="18"/>
          <w:szCs w:val="18"/>
          <w:lang w:eastAsia="zh-CN"/>
        </w:rPr>
        <w:t>食品药品监督管理局</w:t>
      </w:r>
    </w:p>
    <w:p w14:paraId="0BD014C6">
      <w:pPr>
        <w:snapToGrid w:val="0"/>
        <w:spacing w:line="300" w:lineRule="auto"/>
        <w:ind w:left="295" w:hanging="295" w:hangingChars="164"/>
        <w:jc w:val="both"/>
        <w:rPr>
          <w:rFonts w:ascii="Arial" w:hAnsi="Arial" w:eastAsia="宋体" w:cs="Arial"/>
          <w:sz w:val="18"/>
          <w:szCs w:val="18"/>
          <w:lang w:eastAsia="zh-CN"/>
        </w:rPr>
      </w:pPr>
      <w:r>
        <w:rPr>
          <w:rFonts w:ascii="Arial" w:hAnsi="Arial" w:eastAsia="宋体" w:cs="Arial"/>
          <w:sz w:val="18"/>
          <w:szCs w:val="18"/>
          <w:lang w:eastAsia="zh-CN"/>
        </w:rPr>
        <w:t>Rockville MD 208</w:t>
      </w:r>
      <w:r>
        <w:rPr>
          <w:rFonts w:ascii="Arial" w:hAnsi="Arial" w:eastAsia="宋体" w:cs="Arial"/>
          <w:spacing w:val="2"/>
          <w:sz w:val="18"/>
          <w:szCs w:val="18"/>
          <w:lang w:eastAsia="zh-CN"/>
        </w:rPr>
        <w:t xml:space="preserve"> </w:t>
      </w:r>
      <w:r>
        <w:rPr>
          <w:rFonts w:ascii="Arial" w:hAnsi="Arial" w:eastAsia="宋体" w:cs="Arial"/>
          <w:sz w:val="18"/>
          <w:szCs w:val="18"/>
          <w:lang w:eastAsia="zh-CN"/>
        </w:rPr>
        <w:t>57</w:t>
      </w:r>
    </w:p>
    <w:p w14:paraId="7AF8848F">
      <w:pPr>
        <w:snapToGrid w:val="0"/>
        <w:spacing w:line="300" w:lineRule="auto"/>
        <w:jc w:val="both"/>
        <w:rPr>
          <w:rFonts w:ascii="Arial" w:hAnsi="Arial" w:eastAsia="宋体" w:cs="Arial"/>
          <w:sz w:val="18"/>
          <w:szCs w:val="18"/>
          <w:lang w:eastAsia="zh-CN"/>
        </w:rPr>
        <w:sectPr>
          <w:type w:val="continuous"/>
          <w:pgSz w:w="12140" w:h="15840"/>
          <w:pgMar w:top="1134" w:right="1134" w:bottom="1134" w:left="1134" w:header="720" w:footer="720" w:gutter="0"/>
          <w:cols w:equalWidth="0" w:num="2">
            <w:col w:w="6216" w:space="1998"/>
            <w:col w:w="1658"/>
          </w:cols>
          <w:docGrid w:linePitch="299" w:charSpace="0"/>
        </w:sectPr>
      </w:pPr>
    </w:p>
    <w:p w14:paraId="56A988A3">
      <w:pPr>
        <w:tabs>
          <w:tab w:val="left" w:pos="1862"/>
          <w:tab w:val="left" w:pos="6635"/>
          <w:tab w:val="left" w:pos="7706"/>
        </w:tabs>
        <w:snapToGrid w:val="0"/>
        <w:spacing w:before="53" w:line="300" w:lineRule="auto"/>
        <w:ind w:hanging="24"/>
        <w:jc w:val="both"/>
        <w:rPr>
          <w:rFonts w:ascii="Arial" w:hAnsi="Arial" w:eastAsia="宋体" w:cs="Arial"/>
          <w:sz w:val="21"/>
          <w:szCs w:val="21"/>
          <w:lang w:eastAsia="zh-CN"/>
        </w:rPr>
      </w:pPr>
      <w:r>
        <w:rPr>
          <w:rFonts w:ascii="Arial" w:hAnsi="Arial" w:eastAsia="宋体" w:cs="Arial"/>
          <w:b/>
          <w:sz w:val="21"/>
          <w:szCs w:val="21"/>
          <w:lang w:eastAsia="zh-CN"/>
        </w:rPr>
        <w:t>至：</w:t>
      </w:r>
      <w:r>
        <w:rPr>
          <w:rFonts w:ascii="Arial" w:hAnsi="Arial" w:eastAsia="宋体" w:cs="Arial"/>
          <w:b/>
          <w:sz w:val="21"/>
          <w:szCs w:val="21"/>
          <w:lang w:eastAsia="zh-CN"/>
        </w:rPr>
        <w:tab/>
      </w:r>
      <w:r>
        <w:rPr>
          <w:rFonts w:ascii="Arial" w:hAnsi="Arial" w:eastAsia="宋体" w:cs="Arial"/>
          <w:b/>
          <w:sz w:val="21"/>
          <w:szCs w:val="21"/>
          <w:lang w:eastAsia="zh-CN"/>
        </w:rPr>
        <w:t>医疗激光产品的所有制造商与潜在制造商</w:t>
      </w:r>
    </w:p>
    <w:p w14:paraId="76D0312F">
      <w:pPr>
        <w:snapToGrid w:val="0"/>
        <w:spacing w:line="300" w:lineRule="auto"/>
        <w:jc w:val="both"/>
        <w:rPr>
          <w:rFonts w:ascii="Arial" w:hAnsi="Arial" w:eastAsia="宋体" w:cs="Arial"/>
          <w:b/>
          <w:bCs/>
          <w:sz w:val="21"/>
          <w:szCs w:val="21"/>
          <w:lang w:eastAsia="zh-CN"/>
        </w:rPr>
      </w:pPr>
    </w:p>
    <w:p w14:paraId="09F9EBD6">
      <w:pPr>
        <w:snapToGrid w:val="0"/>
        <w:spacing w:line="300" w:lineRule="auto"/>
        <w:jc w:val="both"/>
        <w:rPr>
          <w:rFonts w:ascii="Arial" w:hAnsi="Arial" w:eastAsia="宋体" w:cs="Arial"/>
          <w:b/>
          <w:bCs/>
          <w:sz w:val="21"/>
          <w:szCs w:val="21"/>
          <w:lang w:eastAsia="zh-CN"/>
        </w:rPr>
      </w:pPr>
    </w:p>
    <w:p w14:paraId="1C7C0512">
      <w:pPr>
        <w:snapToGrid w:val="0"/>
        <w:spacing w:before="6" w:line="300" w:lineRule="auto"/>
        <w:jc w:val="both"/>
        <w:rPr>
          <w:rFonts w:ascii="Arial" w:hAnsi="Arial" w:eastAsia="宋体" w:cs="Arial"/>
          <w:b/>
          <w:bCs/>
          <w:sz w:val="21"/>
          <w:szCs w:val="21"/>
          <w:lang w:eastAsia="zh-CN"/>
        </w:rPr>
      </w:pPr>
    </w:p>
    <w:p w14:paraId="6ADB83C0">
      <w:pPr>
        <w:tabs>
          <w:tab w:val="left" w:pos="1862"/>
          <w:tab w:val="left" w:pos="6635"/>
          <w:tab w:val="left" w:pos="7706"/>
        </w:tabs>
        <w:snapToGrid w:val="0"/>
        <w:spacing w:before="53" w:line="300" w:lineRule="auto"/>
        <w:ind w:hanging="24"/>
        <w:jc w:val="both"/>
        <w:rPr>
          <w:rFonts w:ascii="Arial" w:hAnsi="Arial" w:eastAsia="宋体" w:cs="Arial"/>
          <w:b/>
          <w:bCs/>
          <w:sz w:val="21"/>
          <w:szCs w:val="21"/>
          <w:lang w:eastAsia="zh-CN"/>
        </w:rPr>
      </w:pPr>
      <w:r>
        <w:rPr>
          <w:rFonts w:ascii="Arial" w:hAnsi="Arial" w:eastAsia="宋体" w:cs="Arial"/>
          <w:b/>
          <w:sz w:val="21"/>
          <w:szCs w:val="21"/>
          <w:lang w:eastAsia="zh-CN"/>
        </w:rPr>
        <w:t>主题：</w:t>
      </w:r>
      <w:r>
        <w:rPr>
          <w:rFonts w:ascii="Arial" w:hAnsi="Arial" w:eastAsia="宋体" w:cs="Arial"/>
          <w:b/>
          <w:sz w:val="21"/>
          <w:szCs w:val="21"/>
          <w:lang w:eastAsia="zh-CN"/>
        </w:rPr>
        <w:tab/>
      </w:r>
      <w:r>
        <w:rPr>
          <w:rFonts w:ascii="Arial" w:hAnsi="Arial" w:eastAsia="宋体" w:cs="Arial"/>
          <w:b/>
          <w:sz w:val="21"/>
          <w:szCs w:val="21"/>
          <w:lang w:eastAsia="zh-CN"/>
        </w:rPr>
        <w:t>医疗激光产品的传输系统联锁装置</w:t>
      </w:r>
    </w:p>
    <w:p w14:paraId="2891516F">
      <w:pPr>
        <w:snapToGrid w:val="0"/>
        <w:spacing w:line="300" w:lineRule="auto"/>
        <w:jc w:val="both"/>
        <w:rPr>
          <w:rFonts w:ascii="Arial" w:hAnsi="Arial" w:eastAsia="宋体" w:cs="Arial"/>
          <w:b/>
          <w:bCs/>
          <w:sz w:val="21"/>
          <w:szCs w:val="21"/>
          <w:lang w:eastAsia="zh-CN"/>
        </w:rPr>
      </w:pPr>
    </w:p>
    <w:p w14:paraId="3E81D12F">
      <w:pPr>
        <w:pStyle w:val="2"/>
        <w:tabs>
          <w:tab w:val="left" w:pos="3189"/>
          <w:tab w:val="left" w:pos="4964"/>
          <w:tab w:val="left" w:pos="8051"/>
        </w:tabs>
        <w:snapToGrid w:val="0"/>
        <w:spacing w:before="187" w:line="300" w:lineRule="auto"/>
        <w:ind w:left="0" w:firstLine="14"/>
        <w:jc w:val="both"/>
        <w:rPr>
          <w:rFonts w:ascii="Arial" w:hAnsi="Arial" w:eastAsia="宋体" w:cs="Arial"/>
          <w:b w:val="0"/>
          <w:bCs w:val="0"/>
          <w:sz w:val="21"/>
          <w:szCs w:val="21"/>
          <w:lang w:eastAsia="zh-CN"/>
        </w:rPr>
      </w:pPr>
      <w:r>
        <w:rPr>
          <w:rFonts w:ascii="Arial" w:hAnsi="Arial" w:eastAsia="宋体" w:cs="Arial"/>
          <w:sz w:val="21"/>
          <w:szCs w:val="21"/>
          <w:u w:val="single" w:color="000000"/>
          <w:lang w:eastAsia="zh-CN"/>
        </w:rPr>
        <w:t>背景：</w:t>
      </w:r>
      <w:r>
        <w:rPr>
          <w:rFonts w:ascii="Arial" w:hAnsi="Arial" w:eastAsia="宋体" w:cs="Arial"/>
          <w:b w:val="0"/>
          <w:bCs w:val="0"/>
          <w:sz w:val="21"/>
          <w:szCs w:val="21"/>
          <w:lang w:eastAsia="zh-CN"/>
        </w:rPr>
        <w:t>医疗激光产品可通过</w:t>
      </w:r>
      <w:r>
        <w:rPr>
          <w:rFonts w:hint="eastAsia" w:ascii="Arial" w:hAnsi="Arial" w:eastAsia="宋体" w:cs="Arial"/>
          <w:b w:val="0"/>
          <w:bCs w:val="0"/>
          <w:sz w:val="21"/>
          <w:szCs w:val="21"/>
          <w:lang w:eastAsia="zh-CN"/>
        </w:rPr>
        <w:t>多种</w:t>
      </w:r>
      <w:r>
        <w:rPr>
          <w:rFonts w:ascii="Arial" w:hAnsi="Arial" w:eastAsia="宋体" w:cs="Arial"/>
          <w:b w:val="0"/>
          <w:bCs w:val="0"/>
          <w:sz w:val="21"/>
          <w:szCs w:val="21"/>
          <w:lang w:eastAsia="zh-CN"/>
        </w:rPr>
        <w:t>方式向患者传输激光辐射</w:t>
      </w:r>
      <w:r>
        <w:rPr>
          <w:rFonts w:hint="eastAsia" w:ascii="Arial" w:hAnsi="Arial" w:eastAsia="宋体" w:cs="Arial"/>
          <w:b w:val="0"/>
          <w:bCs w:val="0"/>
          <w:sz w:val="21"/>
          <w:szCs w:val="21"/>
          <w:lang w:eastAsia="zh-CN"/>
        </w:rPr>
        <w:t>，</w:t>
      </w:r>
      <w:r>
        <w:rPr>
          <w:rFonts w:ascii="Arial" w:hAnsi="Arial" w:eastAsia="宋体" w:cs="Arial"/>
          <w:b w:val="0"/>
          <w:bCs w:val="0"/>
          <w:sz w:val="21"/>
          <w:szCs w:val="21"/>
          <w:lang w:eastAsia="zh-CN"/>
        </w:rPr>
        <w:t>包括各种尺寸和长度的光纤电缆、裸光纤和多镜像关节臂。这些也可以附接至手机、</w:t>
      </w:r>
      <w:r>
        <w:rPr>
          <w:rFonts w:hint="eastAsia" w:ascii="Arial" w:hAnsi="Arial" w:eastAsia="宋体" w:cs="Arial"/>
          <w:b w:val="0"/>
          <w:bCs w:val="0"/>
          <w:sz w:val="21"/>
          <w:szCs w:val="21"/>
          <w:lang w:eastAsia="zh-CN"/>
        </w:rPr>
        <w:t>手术</w:t>
      </w:r>
      <w:r>
        <w:rPr>
          <w:rFonts w:ascii="Arial" w:hAnsi="Arial" w:eastAsia="宋体" w:cs="Arial"/>
          <w:b w:val="0"/>
          <w:bCs w:val="0"/>
          <w:sz w:val="21"/>
          <w:szCs w:val="21"/>
          <w:lang w:eastAsia="zh-CN"/>
        </w:rPr>
        <w:t>显微镜、裂隙灯等附件上。通过插入到内窥镜中，裸光纤也可用于身体内部的治疗。外科手术过程中出现的许多情况都可能要求医生更换或请求更换附件或整个传输系统。</w:t>
      </w:r>
    </w:p>
    <w:p w14:paraId="66375EB0">
      <w:pPr>
        <w:pStyle w:val="2"/>
        <w:tabs>
          <w:tab w:val="left" w:pos="3189"/>
        </w:tabs>
        <w:snapToGrid w:val="0"/>
        <w:spacing w:before="74" w:line="300" w:lineRule="auto"/>
        <w:ind w:left="0"/>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显然，任何此类更换都涉及移除防护式外壳的一部分，因为在安装就位时，所有附件均可视为一种防护式外壳。我们已提出了一个问题，即在操作或维护期间移除这种防护式外壳（光束传输附件）时，是否需要使用安全联锁装置来防止接触辐射。</w:t>
      </w:r>
    </w:p>
    <w:p w14:paraId="0611E271">
      <w:pPr>
        <w:snapToGrid w:val="0"/>
        <w:spacing w:before="6" w:line="300" w:lineRule="auto"/>
        <w:jc w:val="both"/>
        <w:rPr>
          <w:rFonts w:ascii="Arial" w:hAnsi="Arial" w:eastAsia="宋体" w:cs="Arial"/>
          <w:b/>
          <w:bCs/>
          <w:sz w:val="21"/>
          <w:szCs w:val="21"/>
          <w:lang w:eastAsia="zh-CN"/>
        </w:rPr>
      </w:pPr>
    </w:p>
    <w:p w14:paraId="5998F647">
      <w:pPr>
        <w:pStyle w:val="2"/>
        <w:tabs>
          <w:tab w:val="left" w:pos="2612"/>
          <w:tab w:val="left" w:pos="7388"/>
        </w:tabs>
        <w:snapToGrid w:val="0"/>
        <w:spacing w:line="300" w:lineRule="auto"/>
        <w:ind w:left="0" w:firstLine="4"/>
        <w:jc w:val="both"/>
        <w:rPr>
          <w:rFonts w:ascii="Arial" w:hAnsi="Arial" w:eastAsia="宋体" w:cs="Arial"/>
          <w:b w:val="0"/>
          <w:bCs w:val="0"/>
          <w:sz w:val="21"/>
          <w:szCs w:val="21"/>
          <w:lang w:eastAsia="zh-CN"/>
        </w:rPr>
      </w:pPr>
      <w:r>
        <w:rPr>
          <w:rFonts w:ascii="Arial" w:hAnsi="Arial" w:eastAsia="宋体" w:cs="Arial"/>
          <w:sz w:val="21"/>
          <w:szCs w:val="21"/>
          <w:u w:val="single" w:color="000000"/>
          <w:lang w:eastAsia="zh-CN"/>
        </w:rPr>
        <w:t>讨论：</w:t>
      </w:r>
      <w:r>
        <w:rPr>
          <w:rFonts w:ascii="Arial" w:hAnsi="Arial" w:eastAsia="宋体" w:cs="Arial"/>
          <w:b w:val="0"/>
          <w:bCs w:val="0"/>
          <w:sz w:val="21"/>
          <w:szCs w:val="21"/>
          <w:lang w:eastAsia="zh-CN"/>
        </w:rPr>
        <w:t>CDRH一直认为，如果在操作或维护期间须移除整个传输系统，则须在激光控制台–传输系统连接点处提供安全联锁装置。这种情况的一个示例是手术Nd：YAG激光器上的光纤传输系统，其中在手术期间可能需经常更换光纤。在这种情况下，由于激光辐射传输点和断开点可能处于物理分开状态，从而可能因外科医生和辅助医生之间的交流错误而造成意外暴露，因此可通过联锁装置来增强安全性。然而，对于附接到输送系统的远端以及外科医生和传输点的近端的无源附件，安全联锁装置的存在将不会显著增强安全性，但条件是外科医生可通过脚踏开关或其他控制控制放射。则出现意外暴露的风险极小。此外，这些附件可以由激光制造商以外的其它制造商提供，从而引起有关通用联锁装置的实用性的问题。</w:t>
      </w:r>
    </w:p>
    <w:p w14:paraId="2B7F661B">
      <w:pPr>
        <w:snapToGrid w:val="0"/>
        <w:spacing w:before="5" w:line="300" w:lineRule="auto"/>
        <w:jc w:val="both"/>
        <w:rPr>
          <w:rFonts w:ascii="Arial" w:hAnsi="Arial" w:eastAsia="宋体" w:cs="Arial"/>
          <w:b/>
          <w:bCs/>
          <w:sz w:val="21"/>
          <w:szCs w:val="21"/>
          <w:lang w:eastAsia="zh-CN"/>
        </w:rPr>
      </w:pPr>
    </w:p>
    <w:p w14:paraId="5BF5739E">
      <w:pPr>
        <w:pStyle w:val="2"/>
        <w:tabs>
          <w:tab w:val="left" w:pos="2300"/>
        </w:tabs>
        <w:snapToGrid w:val="0"/>
        <w:spacing w:line="300" w:lineRule="auto"/>
        <w:ind w:left="0" w:firstLine="9"/>
        <w:jc w:val="both"/>
        <w:rPr>
          <w:rFonts w:ascii="Arial" w:hAnsi="Arial" w:eastAsia="宋体" w:cs="Arial"/>
          <w:b w:val="0"/>
          <w:bCs w:val="0"/>
          <w:sz w:val="21"/>
          <w:szCs w:val="21"/>
          <w:lang w:eastAsia="zh-CN"/>
        </w:rPr>
      </w:pPr>
      <w:r>
        <w:rPr>
          <w:rFonts w:ascii="Arial" w:hAnsi="Arial" w:eastAsia="宋体" w:cs="Arial"/>
          <w:sz w:val="21"/>
          <w:szCs w:val="21"/>
          <w:u w:val="single" w:color="000000"/>
          <w:lang w:eastAsia="zh-CN"/>
        </w:rPr>
        <w:t>政策：</w:t>
      </w:r>
      <w:r>
        <w:rPr>
          <w:rFonts w:ascii="Arial" w:hAnsi="Arial" w:eastAsia="宋体" w:cs="Arial"/>
          <w:b w:val="0"/>
          <w:bCs w:val="0"/>
          <w:sz w:val="21"/>
          <w:szCs w:val="21"/>
          <w:lang w:eastAsia="zh-CN"/>
        </w:rPr>
        <w:t>CDRH不会反对附接到传送系统（</w:t>
      </w:r>
      <w:bookmarkStart w:id="0" w:name="OLE_LINK4"/>
      <w:bookmarkStart w:id="1" w:name="OLE_LINK3"/>
      <w:r>
        <w:rPr>
          <w:rFonts w:ascii="Arial" w:hAnsi="Arial" w:eastAsia="宋体" w:cs="Arial"/>
          <w:b w:val="0"/>
          <w:bCs w:val="0"/>
          <w:sz w:val="21"/>
          <w:szCs w:val="21"/>
          <w:lang w:eastAsia="zh-CN"/>
        </w:rPr>
        <w:t>激光产品</w:t>
      </w:r>
      <w:bookmarkEnd w:id="0"/>
      <w:bookmarkEnd w:id="1"/>
      <w:r>
        <w:rPr>
          <w:rFonts w:ascii="Arial" w:hAnsi="Arial" w:eastAsia="宋体" w:cs="Arial"/>
          <w:b w:val="0"/>
          <w:bCs w:val="0"/>
          <w:sz w:val="21"/>
          <w:szCs w:val="21"/>
          <w:lang w:eastAsia="zh-CN"/>
        </w:rPr>
        <w:t>提供）远端的用户可移除光束传输附件不提供安全联锁装置，但条件是激光产品须提供允许用户靠近这种附件点的有效控制和终止激光辐射发射。</w:t>
      </w:r>
    </w:p>
    <w:p w14:paraId="741166CE">
      <w:pPr>
        <w:snapToGrid w:val="0"/>
        <w:spacing w:before="10" w:line="300" w:lineRule="auto"/>
        <w:jc w:val="both"/>
        <w:rPr>
          <w:rFonts w:ascii="Arial" w:hAnsi="Arial" w:eastAsia="宋体" w:cs="Arial"/>
          <w:b/>
          <w:bCs/>
          <w:sz w:val="21"/>
          <w:szCs w:val="21"/>
          <w:lang w:eastAsia="zh-CN"/>
        </w:rPr>
      </w:pPr>
    </w:p>
    <w:p w14:paraId="02A59D1E">
      <w:pPr>
        <w:snapToGrid w:val="0"/>
        <w:spacing w:line="300" w:lineRule="auto"/>
        <w:jc w:val="right"/>
        <w:rPr>
          <w:rFonts w:ascii="Arial" w:hAnsi="Arial" w:eastAsia="宋体" w:cs="Arial"/>
          <w:sz w:val="24"/>
          <w:szCs w:val="24"/>
          <w:lang w:eastAsia="zh-CN"/>
        </w:rPr>
      </w:pPr>
      <w:r>
        <w:rPr>
          <w:rFonts w:ascii="Arial" w:hAnsi="Arial" w:eastAsia="宋体" w:cs="Arial"/>
          <w:b/>
          <w:sz w:val="21"/>
          <w:szCs w:val="21"/>
          <w:lang w:eastAsia="zh-CN"/>
        </w:rPr>
        <w:t>激光通知，第34号</w:t>
      </w:r>
    </w:p>
    <w:p w14:paraId="1BEAA26C">
      <w:pPr>
        <w:snapToGrid w:val="0"/>
        <w:spacing w:line="300" w:lineRule="auto"/>
        <w:jc w:val="both"/>
        <w:rPr>
          <w:rFonts w:ascii="Arial" w:hAnsi="Arial" w:eastAsia="宋体" w:cs="Arial"/>
          <w:sz w:val="24"/>
          <w:szCs w:val="24"/>
          <w:lang w:eastAsia="zh-CN"/>
        </w:rPr>
        <w:sectPr>
          <w:type w:val="continuous"/>
          <w:pgSz w:w="12140" w:h="15840"/>
          <w:pgMar w:top="1134" w:right="1134" w:bottom="1134" w:left="1134" w:header="720" w:footer="720" w:gutter="0"/>
          <w:cols w:space="720" w:num="1"/>
          <w:docGrid w:linePitch="299" w:charSpace="0"/>
        </w:sectPr>
      </w:pPr>
    </w:p>
    <w:p w14:paraId="1210DC4C">
      <w:pPr>
        <w:pStyle w:val="2"/>
        <w:tabs>
          <w:tab w:val="left" w:pos="3194"/>
          <w:tab w:val="left" w:pos="8925"/>
        </w:tabs>
        <w:snapToGrid w:val="0"/>
        <w:spacing w:line="300" w:lineRule="auto"/>
        <w:ind w:left="0"/>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第 2页</w:t>
      </w:r>
    </w:p>
    <w:p w14:paraId="34849567">
      <w:pPr>
        <w:snapToGrid w:val="0"/>
        <w:spacing w:line="300" w:lineRule="auto"/>
        <w:jc w:val="both"/>
        <w:rPr>
          <w:rFonts w:ascii="Arial" w:hAnsi="Arial" w:eastAsia="宋体" w:cs="Arial"/>
          <w:sz w:val="21"/>
          <w:szCs w:val="21"/>
          <w:lang w:eastAsia="zh-CN"/>
        </w:rPr>
      </w:pPr>
    </w:p>
    <w:p w14:paraId="64949754">
      <w:pPr>
        <w:pStyle w:val="2"/>
        <w:tabs>
          <w:tab w:val="left" w:pos="3194"/>
          <w:tab w:val="left" w:pos="8925"/>
        </w:tabs>
        <w:snapToGrid w:val="0"/>
        <w:spacing w:line="300" w:lineRule="auto"/>
        <w:ind w:left="0" w:firstLine="4"/>
        <w:jc w:val="both"/>
        <w:rPr>
          <w:rFonts w:ascii="Arial" w:hAnsi="Arial" w:eastAsia="宋体" w:cs="Arial"/>
          <w:b w:val="0"/>
          <w:bCs w:val="0"/>
          <w:sz w:val="21"/>
          <w:szCs w:val="21"/>
          <w:lang w:eastAsia="zh-CN"/>
        </w:rPr>
      </w:pPr>
      <w:r>
        <w:rPr>
          <w:rFonts w:ascii="Arial" w:hAnsi="Arial" w:eastAsia="宋体" w:cs="Arial"/>
          <w:sz w:val="21"/>
          <w:szCs w:val="21"/>
          <w:u w:val="thick" w:color="000000"/>
          <w:lang w:eastAsia="zh-CN"/>
        </w:rPr>
        <w:t>评论邀请：</w:t>
      </w:r>
      <w:r>
        <w:rPr>
          <w:rFonts w:ascii="Arial" w:hAnsi="Arial" w:eastAsia="宋体" w:cs="Arial"/>
          <w:b w:val="0"/>
          <w:bCs w:val="0"/>
          <w:sz w:val="21"/>
          <w:szCs w:val="21"/>
          <w:lang w:eastAsia="zh-CN"/>
        </w:rPr>
        <w:t xml:space="preserve"> </w:t>
      </w:r>
    </w:p>
    <w:p w14:paraId="4469673A">
      <w:pPr>
        <w:pStyle w:val="2"/>
        <w:tabs>
          <w:tab w:val="left" w:pos="3194"/>
        </w:tabs>
        <w:snapToGrid w:val="0"/>
        <w:spacing w:before="74" w:line="300" w:lineRule="auto"/>
        <w:ind w:left="0" w:firstLine="4"/>
        <w:jc w:val="both"/>
        <w:rPr>
          <w:rFonts w:ascii="Arial" w:hAnsi="Arial" w:eastAsia="宋体" w:cs="Arial"/>
          <w:b w:val="0"/>
          <w:bCs w:val="0"/>
          <w:sz w:val="21"/>
          <w:szCs w:val="21"/>
          <w:lang w:eastAsia="zh-CN"/>
        </w:rPr>
      </w:pPr>
      <w:r>
        <w:rPr>
          <w:rFonts w:ascii="Arial" w:hAnsi="Arial" w:eastAsia="宋体" w:cs="Arial"/>
          <w:b w:val="0"/>
          <w:bCs w:val="0"/>
          <w:sz w:val="21"/>
          <w:szCs w:val="21"/>
          <w:lang w:eastAsia="zh-CN"/>
        </w:rPr>
        <w:t>我们鼓励医疗激光产品制造商和用户对此政策提出评论。同时，我们还鼓励为所有激光附件使用额外的安全机制，包括使用“智能”附件，即为符合 21 CFR 1040.11（a）（1）和（2）的要求，在</w:t>
      </w:r>
      <w:r>
        <w:rPr>
          <w:rFonts w:hint="eastAsia" w:ascii="Arial" w:hAnsi="Arial" w:eastAsia="宋体" w:cs="Arial"/>
          <w:b w:val="0"/>
          <w:bCs w:val="0"/>
          <w:sz w:val="21"/>
          <w:szCs w:val="21"/>
          <w:lang w:eastAsia="zh-CN"/>
        </w:rPr>
        <w:t>分离</w:t>
      </w:r>
      <w:r>
        <w:rPr>
          <w:rFonts w:ascii="Arial" w:hAnsi="Arial" w:eastAsia="宋体" w:cs="Arial"/>
          <w:b w:val="0"/>
          <w:bCs w:val="0"/>
          <w:sz w:val="21"/>
          <w:szCs w:val="21"/>
          <w:lang w:eastAsia="zh-CN"/>
        </w:rPr>
        <w:t>时或需要对所传输的输出进行新校准时其可禁用激光。</w:t>
      </w:r>
    </w:p>
    <w:p w14:paraId="29D4D5E0">
      <w:pPr>
        <w:snapToGrid w:val="0"/>
        <w:spacing w:before="9" w:line="300" w:lineRule="auto"/>
        <w:ind w:firstLine="4"/>
        <w:jc w:val="both"/>
        <w:rPr>
          <w:rFonts w:ascii="Arial" w:hAnsi="Arial" w:eastAsia="宋体" w:cs="Arial"/>
          <w:sz w:val="21"/>
          <w:szCs w:val="21"/>
          <w:lang w:eastAsia="zh-CN"/>
        </w:rPr>
      </w:pPr>
    </w:p>
    <w:p w14:paraId="3C068FB3">
      <w:pPr>
        <w:snapToGrid w:val="0"/>
        <w:spacing w:before="75" w:line="300" w:lineRule="auto"/>
        <w:ind w:firstLine="6096"/>
        <w:rPr>
          <w:rFonts w:ascii="Arial" w:hAnsi="Arial" w:eastAsia="宋体" w:cs="Arial"/>
          <w:sz w:val="21"/>
          <w:szCs w:val="21"/>
        </w:rPr>
      </w:pPr>
      <w:r>
        <w:rPr>
          <w:rFonts w:ascii="Arial" w:hAnsi="Arial" w:eastAsia="宋体" w:cs="Arial"/>
          <w:b/>
          <w:sz w:val="21"/>
          <w:szCs w:val="21"/>
          <w:lang w:eastAsia="zh-CN"/>
        </w:rPr>
        <w:t>顺祝商祺</w:t>
      </w:r>
      <w:r>
        <w:rPr>
          <w:rFonts w:ascii="Arial" w:hAnsi="Arial" w:eastAsia="宋体" w:cs="Arial"/>
          <w:b/>
          <w:sz w:val="21"/>
          <w:szCs w:val="21"/>
        </w:rPr>
        <w:t>*</w:t>
      </w:r>
    </w:p>
    <w:p w14:paraId="2774DA14">
      <w:pPr>
        <w:snapToGrid w:val="0"/>
        <w:spacing w:before="7" w:line="300" w:lineRule="auto"/>
        <w:ind w:firstLine="6096"/>
        <w:rPr>
          <w:rFonts w:ascii="Arial" w:hAnsi="Arial" w:eastAsia="宋体" w:cs="Arial"/>
          <w:b/>
          <w:bCs/>
          <w:sz w:val="21"/>
          <w:szCs w:val="21"/>
        </w:rPr>
      </w:pPr>
    </w:p>
    <w:p w14:paraId="489ACA3D">
      <w:pPr>
        <w:snapToGrid w:val="0"/>
        <w:spacing w:line="300" w:lineRule="auto"/>
        <w:ind w:firstLine="6096"/>
        <w:rPr>
          <w:rFonts w:ascii="Arial" w:hAnsi="Arial" w:eastAsia="宋体" w:cs="Arial"/>
          <w:sz w:val="21"/>
          <w:szCs w:val="21"/>
        </w:rPr>
      </w:pPr>
      <w:r>
        <w:rPr>
          <w:rFonts w:ascii="Arial" w:hAnsi="Arial" w:eastAsia="宋体" w:cs="Arial"/>
          <w:position w:val="-16"/>
          <w:sz w:val="21"/>
          <w:szCs w:val="21"/>
          <w:lang w:eastAsia="zh-CN"/>
        </w:rPr>
        <w:drawing>
          <wp:inline distT="0" distB="0" distL="0" distR="0">
            <wp:extent cx="2023745" cy="554355"/>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5" cstate="print"/>
                    <a:stretch>
                      <a:fillRect/>
                    </a:stretch>
                  </pic:blipFill>
                  <pic:spPr>
                    <a:xfrm>
                      <a:off x="0" y="0"/>
                      <a:ext cx="2023872" cy="554736"/>
                    </a:xfrm>
                    <a:prstGeom prst="rect">
                      <a:avLst/>
                    </a:prstGeom>
                  </pic:spPr>
                </pic:pic>
              </a:graphicData>
            </a:graphic>
          </wp:inline>
        </w:drawing>
      </w:r>
    </w:p>
    <w:p w14:paraId="4D1AB180">
      <w:pPr>
        <w:pStyle w:val="2"/>
        <w:snapToGrid w:val="0"/>
        <w:spacing w:before="29" w:line="300" w:lineRule="auto"/>
        <w:ind w:left="0" w:firstLine="6215"/>
        <w:rPr>
          <w:rFonts w:ascii="Arial" w:hAnsi="Arial" w:eastAsia="宋体" w:cs="Arial"/>
          <w:sz w:val="21"/>
          <w:szCs w:val="21"/>
          <w:lang w:eastAsia="zh-CN"/>
        </w:rPr>
      </w:pPr>
      <w:r>
        <w:rPr>
          <w:rFonts w:ascii="Arial" w:hAnsi="Arial" w:eastAsia="宋体" w:cs="Arial"/>
          <w:sz w:val="21"/>
          <w:szCs w:val="21"/>
          <w:lang w:eastAsia="zh-CN"/>
        </w:rPr>
        <w:t xml:space="preserve">副主任 </w:t>
      </w:r>
    </w:p>
    <w:p w14:paraId="7366E7B4">
      <w:pPr>
        <w:pStyle w:val="2"/>
        <w:snapToGrid w:val="0"/>
        <w:spacing w:before="29" w:line="300" w:lineRule="auto"/>
        <w:ind w:left="0" w:firstLine="6215"/>
        <w:rPr>
          <w:rFonts w:ascii="Arial" w:hAnsi="Arial" w:eastAsia="宋体" w:cs="Arial"/>
          <w:sz w:val="21"/>
          <w:szCs w:val="21"/>
          <w:lang w:eastAsia="zh-CN"/>
        </w:rPr>
      </w:pPr>
      <w:r>
        <w:rPr>
          <w:rFonts w:ascii="Arial" w:hAnsi="Arial" w:eastAsia="宋体" w:cs="Arial"/>
          <w:sz w:val="21"/>
          <w:szCs w:val="21"/>
          <w:lang w:eastAsia="zh-CN"/>
        </w:rPr>
        <w:t>器械与放射</w:t>
      </w:r>
      <w:r>
        <w:rPr>
          <w:rFonts w:hint="eastAsia" w:ascii="Arial" w:hAnsi="Arial" w:eastAsia="宋体" w:cs="Arial"/>
          <w:sz w:val="21"/>
          <w:szCs w:val="21"/>
          <w:lang w:eastAsia="zh-CN"/>
        </w:rPr>
        <w:t>卫生</w:t>
      </w:r>
      <w:r>
        <w:rPr>
          <w:rFonts w:ascii="Arial" w:hAnsi="Arial" w:eastAsia="宋体" w:cs="Arial"/>
          <w:sz w:val="21"/>
          <w:szCs w:val="21"/>
          <w:lang w:eastAsia="zh-CN"/>
        </w:rPr>
        <w:t>中心</w:t>
      </w:r>
    </w:p>
    <w:p w14:paraId="7024BC8F">
      <w:pPr>
        <w:snapToGrid w:val="0"/>
        <w:spacing w:before="6" w:line="300" w:lineRule="auto"/>
        <w:jc w:val="both"/>
        <w:rPr>
          <w:rFonts w:hint="eastAsia" w:eastAsia="宋体"/>
          <w:lang w:eastAsia="zh-CN"/>
        </w:rPr>
      </w:pPr>
    </w:p>
    <w:p w14:paraId="19F1EECA">
      <w:pPr>
        <w:snapToGrid w:val="0"/>
        <w:spacing w:before="6" w:line="300" w:lineRule="auto"/>
        <w:jc w:val="center"/>
        <w:rPr>
          <w:rFonts w:hint="eastAsia" w:eastAsia="宋体"/>
          <w:lang w:eastAsia="zh-CN"/>
        </w:rPr>
      </w:pPr>
    </w:p>
    <w:p w14:paraId="5A45DF1A">
      <w:pPr>
        <w:snapToGrid w:val="0"/>
        <w:spacing w:before="6"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6"/>
                    <a:stretch>
                      <a:fillRect/>
                    </a:stretch>
                  </pic:blipFill>
                  <pic:spPr>
                    <a:xfrm>
                      <a:off x="0" y="0"/>
                      <a:ext cx="5210175" cy="7343775"/>
                    </a:xfrm>
                    <a:prstGeom prst="rect">
                      <a:avLst/>
                    </a:prstGeom>
                  </pic:spPr>
                </pic:pic>
              </a:graphicData>
            </a:graphic>
          </wp:inline>
        </w:drawing>
      </w:r>
    </w:p>
    <w:sectPr>
      <w:pgSz w:w="12140" w:h="15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16"/>
    <w:rsid w:val="00057F19"/>
    <w:rsid w:val="00061D05"/>
    <w:rsid w:val="00117C16"/>
    <w:rsid w:val="00192EAD"/>
    <w:rsid w:val="001A5440"/>
    <w:rsid w:val="00282B1B"/>
    <w:rsid w:val="00306E6B"/>
    <w:rsid w:val="003A7B92"/>
    <w:rsid w:val="003B3AB7"/>
    <w:rsid w:val="004177D9"/>
    <w:rsid w:val="006D1B39"/>
    <w:rsid w:val="00782096"/>
    <w:rsid w:val="00790516"/>
    <w:rsid w:val="007F6E39"/>
    <w:rsid w:val="0083355E"/>
    <w:rsid w:val="00862BD6"/>
    <w:rsid w:val="00884423"/>
    <w:rsid w:val="009304CE"/>
    <w:rsid w:val="00953832"/>
    <w:rsid w:val="00AD480E"/>
    <w:rsid w:val="00AE0FCA"/>
    <w:rsid w:val="00B679D3"/>
    <w:rsid w:val="00B774ED"/>
    <w:rsid w:val="00BB7C67"/>
    <w:rsid w:val="00C33D6E"/>
    <w:rsid w:val="00D7790E"/>
    <w:rsid w:val="00F405AC"/>
    <w:rsid w:val="00F553D3"/>
    <w:rsid w:val="51C1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81"/>
    </w:pPr>
    <w:rPr>
      <w:rFonts w:ascii="Courier New" w:hAnsi="Courier New" w:eastAsia="Courier New"/>
      <w:b/>
      <w:bCs/>
      <w:sz w:val="26"/>
      <w:szCs w:val="26"/>
    </w:rPr>
  </w:style>
  <w:style w:type="paragraph" w:styleId="3">
    <w:name w:val="Balloon Text"/>
    <w:basedOn w:val="1"/>
    <w:link w:val="9"/>
    <w:semiHidden/>
    <w:unhideWhenUsed/>
    <w:uiPriority w:val="99"/>
    <w:rPr>
      <w:sz w:val="18"/>
      <w:szCs w:val="1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 w:type="character" w:customStyle="1" w:styleId="9">
    <w:name w:val="批注框文本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857</Words>
  <Characters>892</Characters>
  <Lines>6</Lines>
  <Paragraphs>1</Paragraphs>
  <TotalTime>0</TotalTime>
  <ScaleCrop>false</ScaleCrop>
  <LinksUpToDate>false</LinksUpToDate>
  <CharactersWithSpaces>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2017-05-02T08:26:00Z</dcterms:created>
  <dc:creator>hj</dc:creator>
  <cp:lastModifiedBy>太极箫客</cp:lastModifiedBy>
  <dcterms:modified xsi:type="dcterms:W3CDTF">2025-08-14T06:13:59Z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2002-05-30T00:00:00Z</vt:filetime>
  </property>
  <property fmtid="{D5CDD505-2E9C-101B-9397-08002B2CF9AE}" pid="3" name="Creator">
    <vt:lpwstr>Acrobat 5.0 Scan Plug-in for Windows</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8C6778480040405188872189667DCE4D_12</vt:lpwstr>
  </property>
</Properties>
</file>