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C279">
      <w:pPr>
        <w:spacing w:line="520" w:lineRule="exact"/>
        <w:jc w:val="left"/>
        <w:rPr>
          <w:rFonts w:hint="eastAsia" w:ascii="黑体" w:hAnsi="黑体" w:eastAsia="黑体" w:cs="黑体"/>
          <w:sz w:val="32"/>
          <w:szCs w:val="32"/>
          <w:lang w:val="en-US" w:eastAsia="zh-CN"/>
        </w:rPr>
      </w:pPr>
      <w:bookmarkStart w:id="8" w:name="_GoBack"/>
      <w:bookmarkEnd w:id="8"/>
      <w:r>
        <w:rPr>
          <w:rFonts w:hint="eastAsia" w:ascii="黑体" w:hAnsi="黑体" w:eastAsia="黑体" w:cs="黑体"/>
          <w:sz w:val="32"/>
          <w:szCs w:val="32"/>
          <w:lang w:val="en-US" w:eastAsia="zh-CN"/>
        </w:rPr>
        <w:t>附件13</w:t>
      </w:r>
    </w:p>
    <w:p w14:paraId="00A94A4B">
      <w:pPr>
        <w:spacing w:line="520" w:lineRule="exact"/>
        <w:jc w:val="left"/>
        <w:rPr>
          <w:rFonts w:hint="eastAsia" w:ascii="黑体" w:hAnsi="黑体" w:eastAsia="黑体" w:cs="黑体"/>
          <w:sz w:val="32"/>
          <w:szCs w:val="32"/>
          <w:lang w:val="en-US" w:eastAsia="zh-CN"/>
        </w:rPr>
      </w:pPr>
    </w:p>
    <w:p w14:paraId="5321F288">
      <w:pPr>
        <w:spacing w:line="520" w:lineRule="exact"/>
        <w:jc w:val="center"/>
        <w:rPr>
          <w:rFonts w:eastAsia="方正小标宋简体"/>
          <w:sz w:val="44"/>
          <w:szCs w:val="44"/>
        </w:rPr>
      </w:pPr>
      <w:r>
        <w:rPr>
          <w:rFonts w:eastAsia="方正小标宋简体"/>
          <w:sz w:val="44"/>
          <w:szCs w:val="44"/>
        </w:rPr>
        <w:t>经鼻胆汁外引流管注册审查指导原则</w:t>
      </w:r>
    </w:p>
    <w:p w14:paraId="7CD5C7C5">
      <w:pPr>
        <w:spacing w:line="520" w:lineRule="exact"/>
        <w:jc w:val="center"/>
        <w:rPr>
          <w:rFonts w:eastAsia="方正小标宋简体"/>
          <w:color w:val="000000"/>
          <w:sz w:val="44"/>
          <w:szCs w:val="44"/>
        </w:rPr>
      </w:pPr>
    </w:p>
    <w:p w14:paraId="69EC8EEE">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和规范经鼻胆汁外引流管产品的注册申报工作，帮助申请人理解和掌握该类产品的原理/机理、结构、主要风险、性能、预期用途等内容，用来指导申请人准备和撰写申报资料，同时也可以用于帮助审评人员把握技术审评工作基本要求和尺度，对产品安全性、有效性做出系统评价。</w:t>
      </w:r>
    </w:p>
    <w:p w14:paraId="32AF3E80">
      <w:pPr>
        <w:spacing w:line="520" w:lineRule="exact"/>
        <w:ind w:firstLine="640" w:firstLineChars="200"/>
        <w:rPr>
          <w:rFonts w:eastAsia="仿宋_GB2312"/>
          <w:color w:val="000000"/>
          <w:sz w:val="32"/>
          <w:szCs w:val="32"/>
        </w:rPr>
      </w:pPr>
      <w:r>
        <w:rPr>
          <w:rFonts w:eastAsia="仿宋_GB2312"/>
          <w:color w:val="000000"/>
          <w:sz w:val="32"/>
          <w:szCs w:val="32"/>
        </w:rPr>
        <w:t>本指导原则所确定的核心内容是在目前的科技认知水平和现有产品技术基础上形成的。因此，相关人员参考时应注意其适宜性，密切关注适用标准及相关技术的最新进展，考虑产品的更新和变化。随着对产品理解的不断深入，本指导原则相关内容也将适时进行调整。</w:t>
      </w:r>
    </w:p>
    <w:p w14:paraId="57F5B663">
      <w:pPr>
        <w:spacing w:line="520" w:lineRule="exact"/>
        <w:ind w:firstLine="640" w:firstLineChars="200"/>
        <w:rPr>
          <w:rFonts w:eastAsia="仿宋_GB2312"/>
          <w:color w:val="000000"/>
          <w:sz w:val="32"/>
          <w:szCs w:val="32"/>
        </w:rPr>
      </w:pPr>
      <w:r>
        <w:rPr>
          <w:rFonts w:eastAsia="仿宋_GB2312"/>
          <w:color w:val="000000"/>
          <w:sz w:val="32"/>
          <w:szCs w:val="32"/>
        </w:rPr>
        <w:t>本指导原则不作为法规强制执行，如有能够满足法规要求的其他方法也可以采用，但应提供详细的研究资料和验证资料。应在遵循相关法规的前提下使用本指导原则。</w:t>
      </w:r>
    </w:p>
    <w:p w14:paraId="32B08C76">
      <w:pPr>
        <w:spacing w:line="520" w:lineRule="exact"/>
        <w:ind w:firstLine="640" w:firstLineChars="200"/>
        <w:outlineLvl w:val="0"/>
        <w:rPr>
          <w:rFonts w:eastAsia="黑体"/>
          <w:bCs/>
          <w:color w:val="000000"/>
          <w:sz w:val="32"/>
          <w:szCs w:val="28"/>
        </w:rPr>
      </w:pPr>
      <w:r>
        <w:rPr>
          <w:rFonts w:eastAsia="黑体"/>
          <w:bCs/>
          <w:color w:val="000000"/>
          <w:sz w:val="32"/>
          <w:szCs w:val="28"/>
        </w:rPr>
        <w:t>一、适用范围</w:t>
      </w:r>
    </w:p>
    <w:p w14:paraId="56E9A722">
      <w:pPr>
        <w:spacing w:line="520" w:lineRule="exact"/>
        <w:ind w:firstLine="640" w:firstLineChars="200"/>
        <w:rPr>
          <w:rFonts w:eastAsia="仿宋_GB2312"/>
          <w:color w:val="000000"/>
          <w:sz w:val="32"/>
          <w:szCs w:val="32"/>
        </w:rPr>
      </w:pPr>
      <w:r>
        <w:rPr>
          <w:rFonts w:eastAsia="仿宋_GB2312"/>
          <w:color w:val="000000"/>
          <w:sz w:val="32"/>
          <w:szCs w:val="32"/>
        </w:rPr>
        <w:t>本指导原则适用于按照II类管理的经鼻胆汁外引流管，产品与内窥镜配合使用，通过口鼻进入胆管，用于胆汁引流，属于一次性使用无菌产品。</w:t>
      </w:r>
    </w:p>
    <w:p w14:paraId="7AD49B41">
      <w:pPr>
        <w:spacing w:line="520" w:lineRule="exact"/>
        <w:ind w:firstLine="640" w:firstLineChars="200"/>
        <w:outlineLvl w:val="0"/>
        <w:rPr>
          <w:rFonts w:eastAsia="黑体"/>
          <w:bCs/>
          <w:color w:val="000000"/>
          <w:sz w:val="32"/>
          <w:szCs w:val="28"/>
        </w:rPr>
      </w:pPr>
      <w:r>
        <w:rPr>
          <w:rFonts w:eastAsia="黑体"/>
          <w:bCs/>
          <w:color w:val="000000"/>
          <w:sz w:val="32"/>
          <w:szCs w:val="28"/>
        </w:rPr>
        <w:t>二、注册审查要点</w:t>
      </w:r>
    </w:p>
    <w:p w14:paraId="5EC832B6">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78BAA3D2">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1.产品名称</w:t>
      </w:r>
    </w:p>
    <w:p w14:paraId="69B4922B">
      <w:pPr>
        <w:spacing w:line="520" w:lineRule="exact"/>
        <w:ind w:firstLine="640" w:firstLineChars="200"/>
        <w:rPr>
          <w:rFonts w:eastAsia="仿宋_GB2312"/>
          <w:color w:val="000000"/>
          <w:sz w:val="32"/>
          <w:szCs w:val="32"/>
        </w:rPr>
      </w:pPr>
      <w:r>
        <w:rPr>
          <w:rFonts w:eastAsia="仿宋_GB2312"/>
          <w:color w:val="000000"/>
          <w:sz w:val="32"/>
          <w:szCs w:val="32"/>
        </w:rPr>
        <w:t>经鼻胆汁外引流管的命名可采用《医疗器械分类目录》或国家标准、行业标准中的通用名称，或以产品结构和预期目的为依据命名，应符合《医疗器械通用名称命名规则》等相关法规的要求。</w:t>
      </w:r>
    </w:p>
    <w:p w14:paraId="26F18DFE">
      <w:pPr>
        <w:spacing w:line="520" w:lineRule="exact"/>
        <w:ind w:firstLine="640" w:firstLineChars="200"/>
        <w:rPr>
          <w:rFonts w:eastAsia="仿宋"/>
          <w:color w:val="000000" w:themeColor="text1"/>
          <w:sz w:val="32"/>
          <w:szCs w:val="28"/>
        </w:rPr>
      </w:pPr>
      <w:r>
        <w:rPr>
          <w:rFonts w:eastAsia="仿宋_GB2312"/>
          <w:color w:val="000000"/>
          <w:sz w:val="32"/>
          <w:szCs w:val="32"/>
        </w:rPr>
        <w:t>产品名称在通用名称基础上可带有表示材质、用途或结构等描述性词语，举例如下：鼻胆引流导管、一次性鼻胆引流管、胆汁外引流导管、经鼻胆汁外引流管、胆汁引流管。</w:t>
      </w:r>
    </w:p>
    <w:p w14:paraId="4FA045F6">
      <w:pPr>
        <w:spacing w:line="520" w:lineRule="exact"/>
        <w:ind w:right="-67" w:rightChars="-32" w:firstLine="640" w:firstLineChars="200"/>
        <w:rPr>
          <w:rFonts w:eastAsia="仿宋_GB2312"/>
          <w:color w:val="000000"/>
          <w:sz w:val="32"/>
          <w:szCs w:val="32"/>
        </w:rPr>
      </w:pPr>
      <w:r>
        <w:rPr>
          <w:rFonts w:eastAsia="仿宋_GB2312"/>
          <w:color w:val="000000"/>
          <w:sz w:val="32"/>
          <w:szCs w:val="32"/>
        </w:rPr>
        <w:t>2.分类编码</w:t>
      </w:r>
    </w:p>
    <w:p w14:paraId="3E1BECB0">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根据《医疗器械分类目录》，经鼻胆汁外引流管，分类编码为14注输、护理和防护器械-05非血管内导（插）管-06引流导管。</w:t>
      </w:r>
    </w:p>
    <w:p w14:paraId="7BDA19A5">
      <w:pPr>
        <w:spacing w:line="520" w:lineRule="exact"/>
        <w:ind w:right="-67" w:rightChars="-32" w:firstLine="640" w:firstLineChars="200"/>
        <w:rPr>
          <w:rFonts w:eastAsia="楷体_GB2312"/>
          <w:color w:val="000000"/>
          <w:sz w:val="32"/>
          <w:szCs w:val="32"/>
        </w:rPr>
      </w:pPr>
      <w:r>
        <w:rPr>
          <w:rFonts w:eastAsia="仿宋_GB2312"/>
          <w:color w:val="000000"/>
          <w:sz w:val="32"/>
          <w:szCs w:val="32"/>
        </w:rPr>
        <w:t>3.注册单元划分的原则和实例</w:t>
      </w:r>
    </w:p>
    <w:p w14:paraId="12B21993">
      <w:pPr>
        <w:spacing w:line="520" w:lineRule="exact"/>
        <w:ind w:firstLine="640" w:firstLineChars="200"/>
        <w:rPr>
          <w:rFonts w:eastAsia="仿宋_GB2312"/>
          <w:color w:val="000000"/>
          <w:sz w:val="32"/>
          <w:szCs w:val="32"/>
        </w:rPr>
      </w:pPr>
      <w:r>
        <w:rPr>
          <w:rFonts w:eastAsia="仿宋_GB2312"/>
          <w:color w:val="000000"/>
          <w:sz w:val="32"/>
          <w:szCs w:val="32"/>
        </w:rPr>
        <w:t>按照《医疗器械注册单元划分指导原则》，注册单元划分着重考虑产品的技术原理、结构组成、性能指标及适用范围等因素。</w:t>
      </w:r>
    </w:p>
    <w:p w14:paraId="360836F5">
      <w:pPr>
        <w:spacing w:line="520" w:lineRule="exact"/>
        <w:ind w:firstLine="640" w:firstLineChars="200"/>
        <w:rPr>
          <w:rFonts w:eastAsia="仿宋_GB2312"/>
          <w:color w:val="000000"/>
          <w:sz w:val="32"/>
          <w:szCs w:val="32"/>
        </w:rPr>
      </w:pPr>
      <w:r>
        <w:rPr>
          <w:rFonts w:eastAsia="仿宋_GB2312"/>
          <w:color w:val="000000"/>
          <w:sz w:val="32"/>
          <w:szCs w:val="32"/>
        </w:rPr>
        <w:t>对于配合使用、以完成同一手术/护理目的的工具组合可以作为同一注册单元进行申报。引流管（含接头）、连接管、鼻转换管可作为经鼻胆汁外引流管的组成进行申报。</w:t>
      </w:r>
    </w:p>
    <w:p w14:paraId="3C794BBF">
      <w:pPr>
        <w:spacing w:line="520" w:lineRule="exact"/>
        <w:ind w:firstLine="640" w:firstLineChars="200"/>
        <w:rPr>
          <w:rFonts w:eastAsia="仿宋_GB2312"/>
          <w:color w:val="000000"/>
          <w:kern w:val="0"/>
          <w:sz w:val="32"/>
          <w:szCs w:val="32"/>
        </w:rPr>
      </w:pPr>
      <w:r>
        <w:rPr>
          <w:rFonts w:eastAsia="仿宋_GB2312"/>
          <w:color w:val="000000"/>
          <w:kern w:val="0"/>
          <w:sz w:val="32"/>
          <w:szCs w:val="32"/>
        </w:rPr>
        <w:t>产品结构组成不同而导致产品性能指标不同时，原则上划分为不同注册单元，如新型的结构设计和本指导原则中提及的传统结构设计不宜放在同一注册单元。</w:t>
      </w:r>
    </w:p>
    <w:p w14:paraId="2C21FED9">
      <w:pPr>
        <w:spacing w:line="520" w:lineRule="exact"/>
        <w:ind w:firstLine="640" w:firstLineChars="200"/>
        <w:rPr>
          <w:rFonts w:eastAsia="仿宋_GB2312"/>
          <w:color w:val="000000"/>
          <w:kern w:val="0"/>
          <w:sz w:val="32"/>
          <w:szCs w:val="32"/>
        </w:rPr>
      </w:pPr>
      <w:r>
        <w:rPr>
          <w:rFonts w:eastAsia="仿宋_GB2312"/>
          <w:color w:val="000000"/>
          <w:kern w:val="0"/>
          <w:sz w:val="32"/>
          <w:szCs w:val="32"/>
        </w:rPr>
        <w:t>因表面处理方式或表面结构不同而影响产品安全有效性的情况，如。</w:t>
      </w:r>
    </w:p>
    <w:p w14:paraId="0A14C426">
      <w:pPr>
        <w:spacing w:line="520" w:lineRule="exact"/>
        <w:ind w:firstLine="640" w:firstLineChars="200"/>
        <w:rPr>
          <w:rFonts w:eastAsia="仿宋_GB2312"/>
          <w:color w:val="000000"/>
          <w:sz w:val="32"/>
          <w:szCs w:val="32"/>
        </w:rPr>
      </w:pPr>
      <w:r>
        <w:rPr>
          <w:rFonts w:eastAsia="仿宋_GB2312"/>
          <w:color w:val="000000"/>
          <w:sz w:val="32"/>
          <w:szCs w:val="32"/>
        </w:rPr>
        <w:t>4.应按照《医疗器械注册申报资料要求及说明》的要求提交申请表、术语、缩写词列表、产品列表、关联文件、申报前与监管机构的联系情况和沟通记录（如适用）、主文档授权信（如适用）、符合性声明等。</w:t>
      </w:r>
    </w:p>
    <w:p w14:paraId="60CB0C22">
      <w:pPr>
        <w:spacing w:line="520" w:lineRule="exact"/>
        <w:ind w:right="-67" w:rightChars="-32" w:firstLine="480" w:firstLineChars="150"/>
        <w:rPr>
          <w:rFonts w:eastAsia="楷体_GB2312"/>
          <w:color w:val="000000"/>
          <w:sz w:val="32"/>
          <w:szCs w:val="32"/>
        </w:rPr>
      </w:pPr>
      <w:r>
        <w:rPr>
          <w:rFonts w:eastAsia="楷体_GB2312"/>
          <w:color w:val="000000"/>
          <w:sz w:val="32"/>
          <w:szCs w:val="32"/>
        </w:rPr>
        <w:t>（二）综述资料</w:t>
      </w:r>
    </w:p>
    <w:p w14:paraId="638EBF09">
      <w:pPr>
        <w:spacing w:line="520" w:lineRule="exact"/>
        <w:ind w:right="-67" w:rightChars="-32" w:firstLine="640" w:firstLineChars="200"/>
        <w:rPr>
          <w:rFonts w:eastAsia="楷体_GB2312"/>
          <w:color w:val="000000"/>
          <w:sz w:val="32"/>
          <w:szCs w:val="32"/>
        </w:rPr>
      </w:pPr>
      <w:r>
        <w:rPr>
          <w:rFonts w:eastAsia="仿宋_GB2312"/>
          <w:color w:val="000000"/>
          <w:sz w:val="32"/>
          <w:szCs w:val="32"/>
        </w:rPr>
        <w:t>1.产品的结构和组成</w:t>
      </w:r>
    </w:p>
    <w:p w14:paraId="3C7FD8BF">
      <w:pPr>
        <w:spacing w:line="520" w:lineRule="exact"/>
        <w:ind w:firstLine="640" w:firstLineChars="200"/>
        <w:rPr>
          <w:rFonts w:eastAsia="仿宋_GB2312"/>
          <w:color w:val="000000"/>
          <w:sz w:val="32"/>
          <w:szCs w:val="32"/>
        </w:rPr>
      </w:pPr>
      <w:r>
        <w:rPr>
          <w:rFonts w:eastAsia="仿宋_GB2312"/>
          <w:color w:val="000000"/>
          <w:sz w:val="32"/>
          <w:szCs w:val="32"/>
        </w:rPr>
        <w:t>经鼻胆汁外引流管由</w:t>
      </w:r>
      <w:bookmarkStart w:id="0" w:name="OLE_LINK23"/>
      <w:bookmarkStart w:id="1" w:name="OLE_LINK22"/>
      <w:r>
        <w:rPr>
          <w:rFonts w:eastAsia="仿宋_GB2312"/>
          <w:color w:val="000000"/>
          <w:sz w:val="32"/>
          <w:szCs w:val="32"/>
        </w:rPr>
        <w:t>管体和接头组成，有的根据需要配有鼻转换管</w:t>
      </w:r>
      <w:bookmarkEnd w:id="0"/>
      <w:bookmarkEnd w:id="1"/>
      <w:r>
        <w:rPr>
          <w:rFonts w:eastAsia="仿宋_GB2312"/>
          <w:color w:val="000000"/>
          <w:sz w:val="32"/>
          <w:szCs w:val="32"/>
        </w:rPr>
        <w:t>、连接管或三通阀、矫直管等，鼻转换管用于将引流管进行口鼻转换，连接管或三通阀起连接引流管和引流袋作用，矫直管用于矫直产品，方便产品进入内窥镜。</w:t>
      </w:r>
    </w:p>
    <w:p w14:paraId="600DC2D2">
      <w:pPr>
        <w:ind w:firstLine="624" w:firstLineChars="200"/>
        <w:jc w:val="center"/>
        <w:rPr>
          <w:rFonts w:eastAsia="仿宋"/>
          <w:color w:val="000000" w:themeColor="text1"/>
          <w:spacing w:val="-4"/>
          <w:sz w:val="32"/>
          <w:szCs w:val="28"/>
        </w:rPr>
      </w:pPr>
      <w:r>
        <w:rPr>
          <w:rFonts w:eastAsia="仿宋"/>
          <w:color w:val="000000" w:themeColor="text1"/>
          <w:spacing w:val="-4"/>
          <w:sz w:val="32"/>
          <w:szCs w:val="28"/>
        </w:rPr>
        <w:drawing>
          <wp:inline distT="0" distB="0" distL="0" distR="0">
            <wp:extent cx="2879090" cy="16732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2880892" cy="1674434"/>
                    </a:xfrm>
                    <a:prstGeom prst="rect">
                      <a:avLst/>
                    </a:prstGeom>
                    <a:noFill/>
                    <a:ln w="9525">
                      <a:noFill/>
                      <a:miter lim="800000"/>
                      <a:headEnd/>
                      <a:tailEnd/>
                    </a:ln>
                  </pic:spPr>
                </pic:pic>
              </a:graphicData>
            </a:graphic>
          </wp:inline>
        </w:drawing>
      </w:r>
    </w:p>
    <w:p w14:paraId="4A109A69">
      <w:pPr>
        <w:ind w:firstLine="560" w:firstLineChars="200"/>
        <w:jc w:val="center"/>
        <w:rPr>
          <w:rFonts w:eastAsia="黑体"/>
          <w:color w:val="000000"/>
          <w:sz w:val="28"/>
          <w:szCs w:val="28"/>
        </w:rPr>
      </w:pPr>
      <w:r>
        <w:rPr>
          <w:rFonts w:eastAsia="黑体"/>
          <w:color w:val="000000"/>
          <w:sz w:val="28"/>
          <w:szCs w:val="28"/>
        </w:rPr>
        <w:t>图1结构示意图</w:t>
      </w:r>
    </w:p>
    <w:p w14:paraId="39564273">
      <w:pPr>
        <w:ind w:firstLine="480" w:firstLineChars="200"/>
        <w:jc w:val="center"/>
        <w:rPr>
          <w:rFonts w:eastAsia="仿宋_GB2312"/>
          <w:color w:val="FF0000"/>
          <w:sz w:val="24"/>
          <w:szCs w:val="24"/>
        </w:rPr>
      </w:pPr>
    </w:p>
    <w:p w14:paraId="07615868">
      <w:pPr>
        <w:snapToGrid w:val="0"/>
        <w:spacing w:line="520" w:lineRule="exact"/>
        <w:ind w:firstLine="640" w:firstLineChars="200"/>
        <w:rPr>
          <w:rFonts w:eastAsia="仿宋_GB2312"/>
          <w:color w:val="000000"/>
          <w:sz w:val="32"/>
          <w:szCs w:val="32"/>
        </w:rPr>
      </w:pPr>
      <w:r>
        <w:rPr>
          <w:rFonts w:eastAsia="仿宋_GB2312"/>
          <w:color w:val="000000"/>
          <w:sz w:val="32"/>
          <w:szCs w:val="32"/>
        </w:rPr>
        <w:t>管体所用材料常见的为聚乙烯。典型引流管产品的</w:t>
      </w:r>
      <w:bookmarkStart w:id="2" w:name="OLE_LINK2"/>
      <w:r>
        <w:rPr>
          <w:rFonts w:eastAsia="仿宋_GB2312"/>
          <w:color w:val="000000"/>
          <w:sz w:val="32"/>
          <w:szCs w:val="32"/>
        </w:rPr>
        <w:t>结构示意图如图1所示，各部件图示如图2所示。</w:t>
      </w:r>
      <w:bookmarkEnd w:id="2"/>
      <w:r>
        <w:rPr>
          <w:rFonts w:eastAsia="仿宋_GB2312"/>
          <w:color w:val="000000"/>
          <w:sz w:val="32"/>
          <w:szCs w:val="32"/>
        </w:rPr>
        <w:t>各个组件的结构示意图不代表固定的结构设计，仅用于增加感性认识。</w:t>
      </w:r>
    </w:p>
    <w:p w14:paraId="2C33E1ED">
      <w:pPr>
        <w:snapToGrid w:val="0"/>
        <w:spacing w:line="520" w:lineRule="exact"/>
        <w:ind w:firstLine="420" w:firstLineChars="200"/>
        <w:rPr>
          <w:rFonts w:eastAsia="仿宋_GB2312"/>
          <w:sz w:val="28"/>
          <w:szCs w:val="28"/>
        </w:rPr>
      </w:pPr>
      <w:r>
        <w:rPr>
          <w:kern w:val="0"/>
        </w:rPr>
        <w:drawing>
          <wp:anchor distT="0" distB="0" distL="0" distR="0" simplePos="0" relativeHeight="251659264" behindDoc="0" locked="0" layoutInCell="1" allowOverlap="1">
            <wp:simplePos x="0" y="0"/>
            <wp:positionH relativeFrom="column">
              <wp:posOffset>3383915</wp:posOffset>
            </wp:positionH>
            <wp:positionV relativeFrom="paragraph">
              <wp:posOffset>178435</wp:posOffset>
            </wp:positionV>
            <wp:extent cx="1932305" cy="1785620"/>
            <wp:effectExtent l="0" t="0" r="7620" b="5715"/>
            <wp:wrapNone/>
            <wp:docPr id="10" name="图片 6" descr="反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反式"/>
                    <pic:cNvPicPr>
                      <a:picLocks noChangeAspect="1" noChangeArrowheads="1"/>
                    </pic:cNvPicPr>
                  </pic:nvPicPr>
                  <pic:blipFill>
                    <a:blip r:embed="rId8" cstate="print"/>
                    <a:srcRect/>
                    <a:stretch>
                      <a:fillRect/>
                    </a:stretch>
                  </pic:blipFill>
                  <pic:spPr>
                    <a:xfrm>
                      <a:off x="0" y="0"/>
                      <a:ext cx="1932305" cy="1785620"/>
                    </a:xfrm>
                    <a:prstGeom prst="rect">
                      <a:avLst/>
                    </a:prstGeom>
                    <a:noFill/>
                    <a:ln w="9525">
                      <a:noFill/>
                      <a:miter lim="800000"/>
                      <a:headEnd/>
                      <a:tailEnd/>
                    </a:ln>
                  </pic:spPr>
                </pic:pic>
              </a:graphicData>
            </a:graphic>
          </wp:anchor>
        </w:drawing>
      </w:r>
    </w:p>
    <w:p w14:paraId="0D8C8C55">
      <w:pPr>
        <w:spacing w:line="360" w:lineRule="auto"/>
        <w:ind w:left="283" w:leftChars="135"/>
        <w:jc w:val="left"/>
      </w:pPr>
      <w:r>
        <w:drawing>
          <wp:inline distT="0" distB="0" distL="0" distR="0">
            <wp:extent cx="1664970" cy="1699260"/>
            <wp:effectExtent l="19050" t="0" r="0" b="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noChangeArrowheads="1"/>
                    </pic:cNvPicPr>
                  </pic:nvPicPr>
                  <pic:blipFill>
                    <a:blip r:embed="rId9" cstate="print"/>
                    <a:srcRect/>
                    <a:stretch>
                      <a:fillRect/>
                    </a:stretch>
                  </pic:blipFill>
                  <pic:spPr>
                    <a:xfrm>
                      <a:off x="0" y="0"/>
                      <a:ext cx="1664970" cy="1699260"/>
                    </a:xfrm>
                    <a:prstGeom prst="rect">
                      <a:avLst/>
                    </a:prstGeom>
                    <a:noFill/>
                    <a:ln w="9525">
                      <a:noFill/>
                      <a:miter lim="800000"/>
                      <a:headEnd/>
                      <a:tailEnd/>
                    </a:ln>
                  </pic:spPr>
                </pic:pic>
              </a:graphicData>
            </a:graphic>
          </wp:inline>
        </w:drawing>
      </w:r>
      <w:r>
        <w:t xml:space="preserve">                                </w:t>
      </w:r>
      <w:r>
        <w:rPr>
          <w:rFonts w:hint="eastAsia"/>
          <w:lang w:val="en-US" w:eastAsia="zh-CN"/>
        </w:rPr>
        <w:t xml:space="preserve">     </w:t>
      </w:r>
    </w:p>
    <w:p w14:paraId="28E9D3D7">
      <w:pPr>
        <w:spacing w:line="360" w:lineRule="auto"/>
        <w:ind w:left="-105" w:leftChars="-250" w:hanging="420" w:hangingChars="200"/>
        <w:jc w:val="left"/>
      </w:pPr>
      <w:r>
        <w:t xml:space="preserve">          </w:t>
      </w:r>
      <w:r>
        <w:rPr>
          <w:rFonts w:eastAsia="仿宋_GB2312"/>
          <w:sz w:val="24"/>
          <w:szCs w:val="24"/>
        </w:rPr>
        <w:t xml:space="preserve">α形引流管（右α形）  </w:t>
      </w:r>
      <w:r>
        <w:rPr>
          <w:szCs w:val="21"/>
        </w:rPr>
        <w:t xml:space="preserve"> </w:t>
      </w:r>
      <w:r>
        <w:t xml:space="preserve">                </w:t>
      </w:r>
      <w:r>
        <w:rPr>
          <w:rFonts w:eastAsia="仿宋_GB2312"/>
          <w:szCs w:val="21"/>
        </w:rPr>
        <w:t xml:space="preserve">       </w:t>
      </w:r>
      <w:r>
        <w:rPr>
          <w:rFonts w:eastAsia="仿宋_GB2312"/>
          <w:sz w:val="24"/>
          <w:szCs w:val="24"/>
        </w:rPr>
        <w:t>逆α形引流管（左α形）</w:t>
      </w:r>
    </w:p>
    <w:p w14:paraId="38C91369">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2028825" cy="1866900"/>
            <wp:effectExtent l="19050" t="0" r="9525" b="0"/>
            <wp:docPr id="1" name="图片 3" descr="猪尾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猪尾巴"/>
                    <pic:cNvPicPr>
                      <a:picLocks noChangeAspect="1" noChangeArrowheads="1"/>
                    </pic:cNvPicPr>
                  </pic:nvPicPr>
                  <pic:blipFill>
                    <a:blip r:embed="rId10" cstate="print"/>
                    <a:srcRect/>
                    <a:stretch>
                      <a:fillRect/>
                    </a:stretch>
                  </pic:blipFill>
                  <pic:spPr>
                    <a:xfrm>
                      <a:off x="0" y="0"/>
                      <a:ext cx="2028825" cy="1866900"/>
                    </a:xfrm>
                    <a:prstGeom prst="rect">
                      <a:avLst/>
                    </a:prstGeom>
                    <a:noFill/>
                    <a:ln w="9525">
                      <a:noFill/>
                      <a:miter lim="800000"/>
                      <a:headEnd/>
                      <a:tailEnd/>
                    </a:ln>
                  </pic:spPr>
                </pic:pic>
              </a:graphicData>
            </a:graphic>
          </wp:inline>
        </w:drawing>
      </w:r>
    </w:p>
    <w:p w14:paraId="60045936">
      <w:pPr>
        <w:jc w:val="center"/>
        <w:rPr>
          <w:rFonts w:eastAsia="仿宋_GB2312"/>
          <w:sz w:val="24"/>
          <w:szCs w:val="24"/>
        </w:rPr>
      </w:pPr>
      <w:r>
        <w:rPr>
          <w:rFonts w:eastAsia="仿宋_GB2312"/>
          <w:sz w:val="24"/>
          <w:szCs w:val="24"/>
        </w:rPr>
        <w:t>猪尾α形引流管</w:t>
      </w:r>
    </w:p>
    <w:p w14:paraId="78CFFF9D">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4800600" cy="1710690"/>
            <wp:effectExtent l="0" t="0" r="0" b="3810"/>
            <wp:docPr id="21" name="图片 21" descr="C:\Users\Administrator\Desktop\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esktop\6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19427" cy="1717847"/>
                    </a:xfrm>
                    <a:prstGeom prst="rect">
                      <a:avLst/>
                    </a:prstGeom>
                    <a:noFill/>
                    <a:ln>
                      <a:noFill/>
                    </a:ln>
                  </pic:spPr>
                </pic:pic>
              </a:graphicData>
            </a:graphic>
          </wp:inline>
        </w:drawing>
      </w:r>
    </w:p>
    <w:p w14:paraId="702CC8C9">
      <w:pPr>
        <w:jc w:val="center"/>
        <w:rPr>
          <w:rFonts w:eastAsia="仿宋_GB2312"/>
          <w:szCs w:val="21"/>
        </w:rPr>
      </w:pPr>
      <w:r>
        <w:rPr>
          <w:rFonts w:eastAsiaTheme="majorEastAsia"/>
          <w:color w:val="000000" w:themeColor="text1"/>
          <w:spacing w:val="-4"/>
          <w:sz w:val="32"/>
          <w:szCs w:val="28"/>
        </w:rPr>
        <w:t xml:space="preserve"> </w:t>
      </w:r>
      <w:r>
        <w:rPr>
          <w:rFonts w:eastAsia="仿宋_GB2312"/>
          <w:sz w:val="24"/>
          <w:szCs w:val="24"/>
        </w:rPr>
        <w:t>引流管接头（接头由帽子、硅胶垫圈和主体组成）</w:t>
      </w:r>
    </w:p>
    <w:p w14:paraId="14C84375">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5012055" cy="310515"/>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12" cstate="print"/>
                    <a:srcRect/>
                    <a:stretch>
                      <a:fillRect/>
                    </a:stretch>
                  </pic:blipFill>
                  <pic:spPr>
                    <a:xfrm>
                      <a:off x="0" y="0"/>
                      <a:ext cx="5012055" cy="310515"/>
                    </a:xfrm>
                    <a:prstGeom prst="rect">
                      <a:avLst/>
                    </a:prstGeom>
                    <a:noFill/>
                    <a:ln w="9525">
                      <a:noFill/>
                      <a:miter lim="800000"/>
                      <a:headEnd/>
                      <a:tailEnd/>
                    </a:ln>
                  </pic:spPr>
                </pic:pic>
              </a:graphicData>
            </a:graphic>
          </wp:inline>
        </w:drawing>
      </w:r>
    </w:p>
    <w:p w14:paraId="38C1A7BA">
      <w:pPr>
        <w:ind w:firstLine="312"/>
        <w:jc w:val="center"/>
        <w:rPr>
          <w:rFonts w:eastAsia="仿宋_GB2312"/>
          <w:color w:val="000000" w:themeColor="text1"/>
          <w:spacing w:val="-4"/>
          <w:sz w:val="32"/>
          <w:szCs w:val="28"/>
        </w:rPr>
      </w:pPr>
      <w:r>
        <w:rPr>
          <w:rFonts w:eastAsiaTheme="majorEastAsia"/>
          <w:spacing w:val="-4"/>
          <w:sz w:val="28"/>
          <w:szCs w:val="28"/>
        </w:rPr>
        <w:t xml:space="preserve"> </w:t>
      </w:r>
      <w:r>
        <w:rPr>
          <w:rFonts w:eastAsia="仿宋_GB2312"/>
          <w:sz w:val="24"/>
          <w:szCs w:val="24"/>
        </w:rPr>
        <w:t>鼻转换管</w:t>
      </w:r>
      <w:r>
        <w:rPr>
          <w:rFonts w:eastAsia="仿宋_GB2312"/>
          <w:color w:val="000000" w:themeColor="text1"/>
          <w:spacing w:val="-4"/>
          <w:sz w:val="32"/>
          <w:szCs w:val="28"/>
        </w:rPr>
        <w:drawing>
          <wp:inline distT="0" distB="0" distL="0" distR="0">
            <wp:extent cx="5688330" cy="1166495"/>
            <wp:effectExtent l="0" t="0" r="7620" b="0"/>
            <wp:docPr id="20" name="图片 20" descr="C:\Users\Administrator\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5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88330" cy="1166679"/>
                    </a:xfrm>
                    <a:prstGeom prst="rect">
                      <a:avLst/>
                    </a:prstGeom>
                    <a:noFill/>
                    <a:ln>
                      <a:noFill/>
                    </a:ln>
                  </pic:spPr>
                </pic:pic>
              </a:graphicData>
            </a:graphic>
          </wp:inline>
        </w:drawing>
      </w:r>
    </w:p>
    <w:p w14:paraId="6B372D2D">
      <w:pPr>
        <w:ind w:firstLine="312"/>
        <w:jc w:val="center"/>
        <w:rPr>
          <w:rFonts w:eastAsia="仿宋_GB2312"/>
          <w:sz w:val="24"/>
          <w:szCs w:val="24"/>
        </w:rPr>
      </w:pPr>
      <w:r>
        <w:rPr>
          <w:rFonts w:eastAsia="仿宋_GB2312"/>
          <w:sz w:val="24"/>
          <w:szCs w:val="24"/>
        </w:rPr>
        <w:t>连接管</w:t>
      </w:r>
    </w:p>
    <w:p w14:paraId="63192154">
      <w:pPr>
        <w:ind w:firstLine="312"/>
        <w:jc w:val="center"/>
        <w:rPr>
          <w:rFonts w:eastAsia="黑体"/>
          <w:sz w:val="28"/>
          <w:szCs w:val="28"/>
        </w:rPr>
      </w:pPr>
      <w:r>
        <w:rPr>
          <w:rFonts w:eastAsia="黑体"/>
          <w:sz w:val="28"/>
          <w:szCs w:val="28"/>
        </w:rPr>
        <w:t>图2  引流管各部件图示</w:t>
      </w:r>
    </w:p>
    <w:p w14:paraId="0660A129">
      <w:pPr>
        <w:spacing w:line="520" w:lineRule="exact"/>
        <w:ind w:right="-67" w:rightChars="-32" w:firstLine="640" w:firstLineChars="200"/>
        <w:rPr>
          <w:rFonts w:eastAsia="仿宋_GB2312"/>
          <w:color w:val="000000"/>
          <w:sz w:val="32"/>
          <w:szCs w:val="32"/>
        </w:rPr>
      </w:pPr>
    </w:p>
    <w:p w14:paraId="78EB24B1">
      <w:pPr>
        <w:spacing w:line="520" w:lineRule="exact"/>
        <w:ind w:right="-67" w:rightChars="-32" w:firstLine="640" w:firstLineChars="200"/>
        <w:rPr>
          <w:rFonts w:eastAsia="仿宋_GB2312"/>
          <w:color w:val="000000"/>
          <w:sz w:val="32"/>
          <w:szCs w:val="32"/>
        </w:rPr>
      </w:pPr>
      <w:r>
        <w:rPr>
          <w:rFonts w:eastAsia="仿宋_GB2312"/>
          <w:color w:val="000000"/>
          <w:sz w:val="32"/>
          <w:szCs w:val="32"/>
        </w:rPr>
        <w:t>2.型号规格</w:t>
      </w:r>
    </w:p>
    <w:p w14:paraId="35D7D95E">
      <w:pPr>
        <w:spacing w:line="520" w:lineRule="exact"/>
        <w:ind w:right="-67" w:rightChars="-32" w:firstLine="640" w:firstLineChars="200"/>
        <w:rPr>
          <w:rFonts w:eastAsia="仿宋_GB2312"/>
          <w:color w:val="000000"/>
          <w:sz w:val="32"/>
          <w:szCs w:val="32"/>
        </w:rPr>
      </w:pPr>
      <w:r>
        <w:rPr>
          <w:rFonts w:eastAsia="仿宋_GB2312"/>
          <w:color w:val="000000"/>
          <w:sz w:val="32"/>
          <w:szCs w:val="32"/>
        </w:rPr>
        <w:t>可存在多种型号规格，应采用图示或对比表明确各型号规格的区别，以及各种型号规格的结构组成（或配置）、产品特征技术参数等内容。</w:t>
      </w:r>
    </w:p>
    <w:p w14:paraId="46E06C1A">
      <w:pPr>
        <w:spacing w:line="520" w:lineRule="exact"/>
        <w:ind w:right="-67" w:rightChars="-32" w:firstLine="640" w:firstLineChars="200"/>
        <w:rPr>
          <w:rFonts w:eastAsia="仿宋_GB2312"/>
          <w:color w:val="000000"/>
          <w:sz w:val="32"/>
          <w:szCs w:val="32"/>
        </w:rPr>
      </w:pPr>
      <w:r>
        <w:rPr>
          <w:rFonts w:eastAsia="仿宋_GB2312"/>
          <w:color w:val="000000"/>
          <w:sz w:val="32"/>
          <w:szCs w:val="32"/>
        </w:rPr>
        <w:t>3.包装说明</w:t>
      </w:r>
    </w:p>
    <w:p w14:paraId="090A4DF7">
      <w:pPr>
        <w:spacing w:line="520" w:lineRule="exact"/>
        <w:ind w:firstLine="640" w:firstLineChars="200"/>
        <w:rPr>
          <w:rFonts w:eastAsia="仿宋_GB2312"/>
          <w:color w:val="000000"/>
          <w:sz w:val="32"/>
          <w:szCs w:val="32"/>
        </w:rPr>
      </w:pPr>
      <w:r>
        <w:rPr>
          <w:rFonts w:eastAsia="仿宋_GB2312"/>
          <w:color w:val="000000"/>
          <w:sz w:val="32"/>
          <w:szCs w:val="32"/>
        </w:rPr>
        <w:t>产品为无菌医疗器械，应当说明其无菌屏障系统的信息。应说明所有产品组成的包装信息，并说明如何确保最终使用者可清晰地辨识包装的完整性。</w:t>
      </w:r>
    </w:p>
    <w:p w14:paraId="5B5A1FBE">
      <w:pPr>
        <w:spacing w:line="520" w:lineRule="exact"/>
        <w:ind w:right="-67" w:rightChars="-32" w:firstLine="640" w:firstLineChars="200"/>
        <w:rPr>
          <w:rFonts w:eastAsia="楷体_GB2312"/>
          <w:color w:val="000000"/>
          <w:sz w:val="32"/>
          <w:szCs w:val="32"/>
        </w:rPr>
      </w:pPr>
      <w:r>
        <w:rPr>
          <w:rFonts w:eastAsia="仿宋_GB2312"/>
          <w:color w:val="000000"/>
          <w:sz w:val="32"/>
          <w:szCs w:val="32"/>
        </w:rPr>
        <w:t>4.产品的适用范围/预期用途、禁忌证</w:t>
      </w:r>
    </w:p>
    <w:p w14:paraId="08D81080">
      <w:pPr>
        <w:spacing w:line="520" w:lineRule="exact"/>
        <w:ind w:firstLine="640" w:firstLineChars="200"/>
        <w:rPr>
          <w:rFonts w:eastAsia="仿宋_GB2312"/>
          <w:color w:val="000000"/>
          <w:sz w:val="32"/>
          <w:szCs w:val="32"/>
        </w:rPr>
      </w:pPr>
      <w:r>
        <w:rPr>
          <w:rFonts w:eastAsia="仿宋_GB2312"/>
          <w:color w:val="000000"/>
          <w:sz w:val="32"/>
          <w:szCs w:val="32"/>
        </w:rPr>
        <w:t>产品的适用范围应与申报产品的性能、功能相符。</w:t>
      </w:r>
    </w:p>
    <w:p w14:paraId="2E9ADA5C">
      <w:pPr>
        <w:spacing w:line="520" w:lineRule="exact"/>
        <w:ind w:firstLine="640" w:firstLineChars="200"/>
        <w:rPr>
          <w:rFonts w:eastAsia="仿宋_GB2312"/>
          <w:color w:val="000000"/>
          <w:sz w:val="32"/>
          <w:szCs w:val="32"/>
        </w:rPr>
      </w:pPr>
      <w:r>
        <w:rPr>
          <w:rFonts w:eastAsia="仿宋_GB2312"/>
          <w:color w:val="000000"/>
          <w:sz w:val="32"/>
          <w:szCs w:val="32"/>
        </w:rPr>
        <w:t>适用范围：</w:t>
      </w:r>
    </w:p>
    <w:p w14:paraId="31572881">
      <w:pPr>
        <w:spacing w:line="520" w:lineRule="exact"/>
        <w:ind w:firstLine="640" w:firstLineChars="200"/>
        <w:rPr>
          <w:rFonts w:eastAsia="仿宋_GB2312"/>
          <w:color w:val="000000"/>
          <w:sz w:val="32"/>
          <w:szCs w:val="32"/>
        </w:rPr>
      </w:pPr>
      <w:r>
        <w:rPr>
          <w:rFonts w:eastAsia="仿宋_GB2312"/>
          <w:color w:val="000000"/>
          <w:sz w:val="32"/>
          <w:szCs w:val="32"/>
        </w:rPr>
        <w:t>产品与内窥镜配合使用，经过鼻腔进行胆汁的引流。</w:t>
      </w:r>
    </w:p>
    <w:p w14:paraId="0E698E3A">
      <w:pPr>
        <w:spacing w:line="520" w:lineRule="exact"/>
        <w:ind w:firstLine="640" w:firstLineChars="200"/>
        <w:rPr>
          <w:rFonts w:eastAsia="仿宋_GB2312"/>
          <w:color w:val="000000"/>
          <w:sz w:val="32"/>
          <w:szCs w:val="32"/>
        </w:rPr>
      </w:pPr>
      <w:r>
        <w:rPr>
          <w:rFonts w:eastAsia="仿宋_GB2312"/>
          <w:color w:val="000000"/>
          <w:sz w:val="32"/>
          <w:szCs w:val="32"/>
        </w:rPr>
        <w:t>禁忌证同经内镜鼻胆管引流术(ENBD)的禁忌证。</w:t>
      </w:r>
    </w:p>
    <w:p w14:paraId="436D5B2E">
      <w:pPr>
        <w:spacing w:line="520" w:lineRule="exact"/>
        <w:ind w:right="-67" w:rightChars="-32" w:firstLine="640" w:firstLineChars="200"/>
        <w:rPr>
          <w:rFonts w:eastAsia="楷体_GB2312"/>
          <w:color w:val="000000"/>
          <w:sz w:val="32"/>
          <w:szCs w:val="32"/>
        </w:rPr>
      </w:pPr>
      <w:r>
        <w:rPr>
          <w:rFonts w:eastAsia="仿宋_GB2312"/>
          <w:color w:val="000000"/>
          <w:sz w:val="32"/>
          <w:szCs w:val="32"/>
        </w:rPr>
        <w:t>5.产品的不良事件历史记录</w:t>
      </w:r>
    </w:p>
    <w:p w14:paraId="6401E4D6">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查《医疗器械警戒快讯》和《医疗器械不良事件信息通报》，可查询到经鼻胆汁外引流管临床使用出现不良反应的信息。</w:t>
      </w:r>
    </w:p>
    <w:p w14:paraId="270EAFF1">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统计不良事件主要表现：</w:t>
      </w:r>
    </w:p>
    <w:p w14:paraId="3C9EA3E2">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器械故障表现为引流管弯折导致引流不畅、管壁破损造成胆汁渗出、断裂、引流盒无负压；主要伤害表现为高热、引流管周围皮肤有炎症伴少量分泌物。</w:t>
      </w:r>
    </w:p>
    <w:p w14:paraId="5DBB75C1">
      <w:pPr>
        <w:spacing w:line="520" w:lineRule="exact"/>
        <w:ind w:right="-67" w:rightChars="-32" w:firstLine="640" w:firstLineChars="200"/>
        <w:rPr>
          <w:rFonts w:eastAsia="仿宋_GB2312"/>
          <w:color w:val="000000"/>
          <w:kern w:val="0"/>
          <w:sz w:val="32"/>
          <w:szCs w:val="32"/>
        </w:rPr>
      </w:pPr>
    </w:p>
    <w:p w14:paraId="2D174CE1">
      <w:pPr>
        <w:autoSpaceDE w:val="0"/>
        <w:autoSpaceDN w:val="0"/>
        <w:adjustRightInd w:val="0"/>
        <w:rPr>
          <w:rFonts w:eastAsia="黑体"/>
          <w:color w:val="000000"/>
          <w:kern w:val="0"/>
          <w:sz w:val="28"/>
          <w:szCs w:val="28"/>
        </w:rPr>
      </w:pPr>
      <w:r>
        <w:rPr>
          <w:rFonts w:eastAsia="仿宋"/>
          <w:color w:val="000000"/>
          <w:kern w:val="0"/>
          <w:sz w:val="30"/>
          <w:szCs w:val="30"/>
        </w:rPr>
        <w:t xml:space="preserve">            </w:t>
      </w:r>
      <w:r>
        <w:rPr>
          <w:rFonts w:eastAsia="黑体"/>
          <w:color w:val="000000" w:themeColor="text1"/>
          <w:spacing w:val="-4"/>
          <w:sz w:val="28"/>
          <w:szCs w:val="28"/>
        </w:rPr>
        <w:t xml:space="preserve">表1 </w:t>
      </w:r>
      <w:r>
        <w:rPr>
          <w:rFonts w:eastAsia="黑体"/>
          <w:color w:val="000000"/>
          <w:kern w:val="0"/>
          <w:sz w:val="28"/>
          <w:szCs w:val="28"/>
        </w:rPr>
        <w:t xml:space="preserve">鼻胆引流管不良事件主要表现及可能原因分析 </w:t>
      </w:r>
    </w:p>
    <w:tbl>
      <w:tblPr>
        <w:tblStyle w:val="12"/>
        <w:tblW w:w="93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850"/>
        <w:gridCol w:w="1985"/>
        <w:gridCol w:w="5528"/>
      </w:tblGrid>
      <w:tr w14:paraId="351ABF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14:paraId="75FE0E72">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不良事件与产品关系</w:t>
            </w:r>
          </w:p>
        </w:tc>
        <w:tc>
          <w:tcPr>
            <w:tcW w:w="1985" w:type="dxa"/>
          </w:tcPr>
          <w:p w14:paraId="4FE2B4ED">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不良事件表现</w:t>
            </w:r>
          </w:p>
        </w:tc>
        <w:tc>
          <w:tcPr>
            <w:tcW w:w="5528" w:type="dxa"/>
          </w:tcPr>
          <w:p w14:paraId="72DEABB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不良事件原因</w:t>
            </w:r>
          </w:p>
        </w:tc>
      </w:tr>
      <w:tr w14:paraId="40725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54C14873">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与 </w:t>
            </w:r>
          </w:p>
          <w:p w14:paraId="5DA3BB2B">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产 </w:t>
            </w:r>
          </w:p>
          <w:p w14:paraId="2691323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品 </w:t>
            </w:r>
          </w:p>
          <w:p w14:paraId="12792E9D">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无 </w:t>
            </w:r>
          </w:p>
          <w:p w14:paraId="5AFBA5A5">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关 </w:t>
            </w:r>
          </w:p>
        </w:tc>
        <w:tc>
          <w:tcPr>
            <w:tcW w:w="850" w:type="dxa"/>
            <w:vMerge w:val="restart"/>
          </w:tcPr>
          <w:p w14:paraId="2F3BDC0D">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非</w:t>
            </w:r>
          </w:p>
          <w:p w14:paraId="1C336986">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正</w:t>
            </w:r>
          </w:p>
          <w:p w14:paraId="3A0F36C8">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常</w:t>
            </w:r>
          </w:p>
          <w:p w14:paraId="7A99481E">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使</w:t>
            </w:r>
          </w:p>
          <w:p w14:paraId="5B522407">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用 </w:t>
            </w:r>
          </w:p>
          <w:p w14:paraId="0BBDDC6F">
            <w:pPr>
              <w:spacing w:line="600" w:lineRule="exact"/>
              <w:ind w:right="-67" w:rightChars="-32"/>
              <w:jc w:val="center"/>
              <w:rPr>
                <w:rFonts w:eastAsia="仿宋_GB2312"/>
                <w:color w:val="000000"/>
                <w:kern w:val="0"/>
                <w:sz w:val="28"/>
                <w:szCs w:val="28"/>
              </w:rPr>
            </w:pPr>
          </w:p>
        </w:tc>
        <w:tc>
          <w:tcPr>
            <w:tcW w:w="1985" w:type="dxa"/>
          </w:tcPr>
          <w:p w14:paraId="5779B13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消化道、胆道出血 </w:t>
            </w:r>
          </w:p>
        </w:tc>
        <w:tc>
          <w:tcPr>
            <w:tcW w:w="5528" w:type="dxa"/>
          </w:tcPr>
          <w:p w14:paraId="18C5A63D">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1.多发生于术中十二指肠乳头切口过大,切开方向错误 </w:t>
            </w:r>
          </w:p>
          <w:p w14:paraId="7CF7A985">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2.十二指肠乳头部血管变异等情况致微小动脉凝血不足引起 </w:t>
            </w:r>
          </w:p>
          <w:p w14:paraId="537ED6AB">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3.操作者动作粗暴，引起胆管损伤出血 </w:t>
            </w:r>
          </w:p>
        </w:tc>
      </w:tr>
      <w:tr w14:paraId="1F464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8D0470C">
            <w:pPr>
              <w:spacing w:line="600" w:lineRule="exact"/>
              <w:ind w:right="-67" w:rightChars="-32"/>
              <w:jc w:val="center"/>
              <w:rPr>
                <w:rFonts w:eastAsia="仿宋_GB2312"/>
                <w:color w:val="000000"/>
                <w:kern w:val="0"/>
                <w:sz w:val="28"/>
                <w:szCs w:val="28"/>
              </w:rPr>
            </w:pPr>
          </w:p>
        </w:tc>
        <w:tc>
          <w:tcPr>
            <w:tcW w:w="850" w:type="dxa"/>
            <w:vMerge w:val="continue"/>
          </w:tcPr>
          <w:p w14:paraId="17222E99">
            <w:pPr>
              <w:spacing w:line="600" w:lineRule="exact"/>
              <w:ind w:right="-67" w:rightChars="-32"/>
              <w:jc w:val="center"/>
              <w:rPr>
                <w:rFonts w:eastAsia="仿宋_GB2312"/>
                <w:color w:val="000000"/>
                <w:kern w:val="0"/>
                <w:sz w:val="28"/>
                <w:szCs w:val="28"/>
              </w:rPr>
            </w:pPr>
          </w:p>
        </w:tc>
        <w:tc>
          <w:tcPr>
            <w:tcW w:w="1985" w:type="dxa"/>
          </w:tcPr>
          <w:p w14:paraId="30AD860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引流管脱落 </w:t>
            </w:r>
          </w:p>
        </w:tc>
        <w:tc>
          <w:tcPr>
            <w:tcW w:w="5528" w:type="dxa"/>
          </w:tcPr>
          <w:p w14:paraId="7F3F60F9">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1.引流管放置后未充分固定 </w:t>
            </w:r>
          </w:p>
          <w:p w14:paraId="13AB130C">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2.患者无意识或难以耐受，自行拔除 3.患者活动幅度大，引流管快速脱出 </w:t>
            </w:r>
          </w:p>
        </w:tc>
      </w:tr>
      <w:tr w14:paraId="21E13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6362114">
            <w:pPr>
              <w:spacing w:line="600" w:lineRule="exact"/>
              <w:ind w:right="-67" w:rightChars="-32"/>
              <w:jc w:val="center"/>
              <w:rPr>
                <w:rFonts w:eastAsia="仿宋_GB2312"/>
                <w:color w:val="000000"/>
                <w:kern w:val="0"/>
                <w:sz w:val="28"/>
                <w:szCs w:val="28"/>
              </w:rPr>
            </w:pPr>
          </w:p>
        </w:tc>
        <w:tc>
          <w:tcPr>
            <w:tcW w:w="850" w:type="dxa"/>
          </w:tcPr>
          <w:p w14:paraId="36E1376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病情 </w:t>
            </w:r>
          </w:p>
          <w:p w14:paraId="0C18BA7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进展 </w:t>
            </w:r>
          </w:p>
        </w:tc>
        <w:tc>
          <w:tcPr>
            <w:tcW w:w="1985" w:type="dxa"/>
          </w:tcPr>
          <w:p w14:paraId="5B81B8EC">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患者高热 </w:t>
            </w:r>
          </w:p>
        </w:tc>
        <w:tc>
          <w:tcPr>
            <w:tcW w:w="5528" w:type="dxa"/>
          </w:tcPr>
          <w:p w14:paraId="6A99D65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患者病情变化引起高热 </w:t>
            </w:r>
          </w:p>
        </w:tc>
      </w:tr>
      <w:tr w14:paraId="239604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14:paraId="47598B5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与 </w:t>
            </w:r>
          </w:p>
          <w:p w14:paraId="0C374BC1">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产 </w:t>
            </w:r>
          </w:p>
          <w:p w14:paraId="5C5949E5">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品 </w:t>
            </w:r>
          </w:p>
          <w:p w14:paraId="426F5D08">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有 </w:t>
            </w:r>
          </w:p>
          <w:p w14:paraId="3F79B7E7">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关 </w:t>
            </w:r>
          </w:p>
        </w:tc>
        <w:tc>
          <w:tcPr>
            <w:tcW w:w="850" w:type="dxa"/>
            <w:vMerge w:val="restart"/>
          </w:tcPr>
          <w:p w14:paraId="5E33AAE3">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内在风险 </w:t>
            </w:r>
          </w:p>
          <w:p w14:paraId="71E37DA9">
            <w:pPr>
              <w:spacing w:line="600" w:lineRule="exact"/>
              <w:ind w:right="-67" w:rightChars="-32"/>
              <w:jc w:val="center"/>
              <w:rPr>
                <w:rFonts w:eastAsia="仿宋_GB2312"/>
                <w:color w:val="000000"/>
                <w:kern w:val="0"/>
                <w:sz w:val="28"/>
                <w:szCs w:val="28"/>
              </w:rPr>
            </w:pPr>
          </w:p>
        </w:tc>
        <w:tc>
          <w:tcPr>
            <w:tcW w:w="1985" w:type="dxa"/>
          </w:tcPr>
          <w:p w14:paraId="05E21314">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鼻粘膜水肿出血 </w:t>
            </w:r>
          </w:p>
        </w:tc>
        <w:tc>
          <w:tcPr>
            <w:tcW w:w="5528" w:type="dxa"/>
          </w:tcPr>
          <w:p w14:paraId="65B428E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1.经鼻放置鼻胆管后，鼻胆管压迫鼻腔粘膜，粘膜组织炎性反应 </w:t>
            </w:r>
          </w:p>
          <w:p w14:paraId="07CA1CDC">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2.周围组织产生刺激而引起红肿疼痛。 </w:t>
            </w:r>
          </w:p>
        </w:tc>
      </w:tr>
      <w:tr w14:paraId="6E8EB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F99CE63">
            <w:pPr>
              <w:spacing w:line="600" w:lineRule="exact"/>
              <w:ind w:right="-67" w:rightChars="-32"/>
              <w:jc w:val="center"/>
              <w:rPr>
                <w:rFonts w:eastAsia="仿宋_GB2312"/>
                <w:color w:val="000000"/>
                <w:kern w:val="0"/>
                <w:sz w:val="28"/>
                <w:szCs w:val="28"/>
              </w:rPr>
            </w:pPr>
          </w:p>
        </w:tc>
        <w:tc>
          <w:tcPr>
            <w:tcW w:w="850" w:type="dxa"/>
            <w:vMerge w:val="continue"/>
          </w:tcPr>
          <w:p w14:paraId="31778C54">
            <w:pPr>
              <w:spacing w:line="600" w:lineRule="exact"/>
              <w:ind w:right="-67" w:rightChars="-32"/>
              <w:jc w:val="center"/>
              <w:rPr>
                <w:rFonts w:eastAsia="仿宋_GB2312"/>
                <w:color w:val="000000"/>
                <w:kern w:val="0"/>
                <w:sz w:val="28"/>
                <w:szCs w:val="28"/>
              </w:rPr>
            </w:pPr>
          </w:p>
        </w:tc>
        <w:tc>
          <w:tcPr>
            <w:tcW w:w="1985" w:type="dxa"/>
          </w:tcPr>
          <w:p w14:paraId="69F0CBA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局部炎症 </w:t>
            </w:r>
          </w:p>
          <w:p w14:paraId="61B5E1B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反应 </w:t>
            </w:r>
          </w:p>
        </w:tc>
        <w:tc>
          <w:tcPr>
            <w:tcW w:w="5528" w:type="dxa"/>
          </w:tcPr>
          <w:p w14:paraId="01ED4E8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1.长期置管压迫周围组织，周围组织产生刺激，炎症反应而引起红肿疼痛 </w:t>
            </w:r>
          </w:p>
          <w:p w14:paraId="4B165355">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2.管道与伤面磨擦而引起的炎症反应，对周围组织产生刺激而引起红肿疼痛 </w:t>
            </w:r>
          </w:p>
        </w:tc>
      </w:tr>
      <w:tr w14:paraId="27977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799C579E">
            <w:pPr>
              <w:spacing w:line="600" w:lineRule="exact"/>
              <w:ind w:right="-67" w:rightChars="-32"/>
              <w:jc w:val="center"/>
              <w:rPr>
                <w:rFonts w:eastAsia="仿宋_GB2312"/>
                <w:color w:val="000000"/>
                <w:kern w:val="0"/>
                <w:sz w:val="28"/>
                <w:szCs w:val="28"/>
              </w:rPr>
            </w:pPr>
          </w:p>
        </w:tc>
        <w:tc>
          <w:tcPr>
            <w:tcW w:w="850" w:type="dxa"/>
            <w:vMerge w:val="continue"/>
          </w:tcPr>
          <w:p w14:paraId="6D7072B2">
            <w:pPr>
              <w:spacing w:line="600" w:lineRule="exact"/>
              <w:ind w:right="-67" w:rightChars="-32"/>
              <w:jc w:val="center"/>
              <w:rPr>
                <w:rFonts w:eastAsia="仿宋_GB2312"/>
                <w:color w:val="000000"/>
                <w:kern w:val="0"/>
                <w:sz w:val="28"/>
                <w:szCs w:val="28"/>
              </w:rPr>
            </w:pPr>
          </w:p>
        </w:tc>
        <w:tc>
          <w:tcPr>
            <w:tcW w:w="1985" w:type="dxa"/>
          </w:tcPr>
          <w:p w14:paraId="012E1B57">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吞咽困难，呼吸不畅 </w:t>
            </w:r>
          </w:p>
        </w:tc>
        <w:tc>
          <w:tcPr>
            <w:tcW w:w="5528" w:type="dxa"/>
          </w:tcPr>
          <w:p w14:paraId="4DF5790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1.引流管异物反应，引流管压迫咽喉部 </w:t>
            </w:r>
          </w:p>
          <w:p w14:paraId="6F83CA6C">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2.患者精神紧张，对鼻胆管恐惧，引起呼吸困难 </w:t>
            </w:r>
          </w:p>
        </w:tc>
      </w:tr>
      <w:tr w14:paraId="378C8B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20964423">
            <w:pPr>
              <w:spacing w:line="600" w:lineRule="exact"/>
              <w:ind w:right="-67" w:rightChars="-32"/>
              <w:jc w:val="center"/>
              <w:rPr>
                <w:rFonts w:eastAsia="仿宋_GB2312"/>
                <w:color w:val="000000"/>
                <w:kern w:val="0"/>
                <w:sz w:val="28"/>
                <w:szCs w:val="28"/>
              </w:rPr>
            </w:pPr>
          </w:p>
        </w:tc>
        <w:tc>
          <w:tcPr>
            <w:tcW w:w="850" w:type="dxa"/>
            <w:vMerge w:val="continue"/>
          </w:tcPr>
          <w:p w14:paraId="38D30DD1">
            <w:pPr>
              <w:spacing w:line="600" w:lineRule="exact"/>
              <w:ind w:right="-67" w:rightChars="-32"/>
              <w:jc w:val="center"/>
              <w:rPr>
                <w:rFonts w:eastAsia="仿宋_GB2312"/>
                <w:color w:val="000000"/>
                <w:kern w:val="0"/>
                <w:sz w:val="28"/>
                <w:szCs w:val="28"/>
              </w:rPr>
            </w:pPr>
          </w:p>
        </w:tc>
        <w:tc>
          <w:tcPr>
            <w:tcW w:w="1985" w:type="dxa"/>
          </w:tcPr>
          <w:p w14:paraId="52F91B6F">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咽喉异物感，咳嗽、咳痰 </w:t>
            </w:r>
          </w:p>
        </w:tc>
        <w:tc>
          <w:tcPr>
            <w:tcW w:w="5528" w:type="dxa"/>
          </w:tcPr>
          <w:p w14:paraId="20BED26D">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1.引流管材料粗糙，引起的机体排斥或防御反应 </w:t>
            </w:r>
          </w:p>
          <w:p w14:paraId="6573419A">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2.引起咽喉粘膜刺激 </w:t>
            </w:r>
          </w:p>
        </w:tc>
      </w:tr>
      <w:tr w14:paraId="6C0C4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1C5D8161">
            <w:pPr>
              <w:spacing w:line="600" w:lineRule="exact"/>
              <w:ind w:right="-67" w:rightChars="-32"/>
              <w:jc w:val="center"/>
              <w:rPr>
                <w:rFonts w:eastAsia="仿宋_GB2312"/>
                <w:color w:val="000000"/>
                <w:kern w:val="0"/>
                <w:sz w:val="28"/>
                <w:szCs w:val="28"/>
              </w:rPr>
            </w:pPr>
          </w:p>
        </w:tc>
        <w:tc>
          <w:tcPr>
            <w:tcW w:w="850" w:type="dxa"/>
            <w:vMerge w:val="continue"/>
          </w:tcPr>
          <w:p w14:paraId="1C761E3A">
            <w:pPr>
              <w:spacing w:line="600" w:lineRule="exact"/>
              <w:ind w:right="-67" w:rightChars="-32"/>
              <w:jc w:val="center"/>
              <w:rPr>
                <w:rFonts w:eastAsia="仿宋_GB2312"/>
                <w:color w:val="000000"/>
                <w:kern w:val="0"/>
                <w:sz w:val="28"/>
                <w:szCs w:val="28"/>
              </w:rPr>
            </w:pPr>
          </w:p>
        </w:tc>
        <w:tc>
          <w:tcPr>
            <w:tcW w:w="1985" w:type="dxa"/>
          </w:tcPr>
          <w:p w14:paraId="7D01E110">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引起过敏 </w:t>
            </w:r>
          </w:p>
        </w:tc>
        <w:tc>
          <w:tcPr>
            <w:tcW w:w="5528" w:type="dxa"/>
          </w:tcPr>
          <w:p w14:paraId="10FE4A9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1.引流管材料不相容 </w:t>
            </w:r>
          </w:p>
          <w:p w14:paraId="566AD520">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2.个人体质容易过敏 </w:t>
            </w:r>
          </w:p>
        </w:tc>
      </w:tr>
      <w:tr w14:paraId="62E9B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CD950FD">
            <w:pPr>
              <w:spacing w:line="600" w:lineRule="exact"/>
              <w:ind w:right="-67" w:rightChars="-32"/>
              <w:jc w:val="center"/>
              <w:rPr>
                <w:rFonts w:eastAsia="仿宋_GB2312"/>
                <w:color w:val="000000"/>
                <w:kern w:val="0"/>
                <w:sz w:val="28"/>
                <w:szCs w:val="28"/>
              </w:rPr>
            </w:pPr>
          </w:p>
        </w:tc>
        <w:tc>
          <w:tcPr>
            <w:tcW w:w="850" w:type="dxa"/>
            <w:vMerge w:val="continue"/>
          </w:tcPr>
          <w:p w14:paraId="2DD29489">
            <w:pPr>
              <w:spacing w:line="600" w:lineRule="exact"/>
              <w:ind w:right="-67" w:rightChars="-32"/>
              <w:jc w:val="center"/>
              <w:rPr>
                <w:rFonts w:eastAsia="仿宋_GB2312"/>
                <w:color w:val="000000"/>
                <w:kern w:val="0"/>
                <w:sz w:val="28"/>
                <w:szCs w:val="28"/>
              </w:rPr>
            </w:pPr>
          </w:p>
        </w:tc>
        <w:tc>
          <w:tcPr>
            <w:tcW w:w="1985" w:type="dxa"/>
          </w:tcPr>
          <w:p w14:paraId="410A3B9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胆管堵塞 </w:t>
            </w:r>
          </w:p>
        </w:tc>
        <w:tc>
          <w:tcPr>
            <w:tcW w:w="5528" w:type="dxa"/>
          </w:tcPr>
          <w:p w14:paraId="07974D59">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1.产品管径较小，胆汁较粘稠易造成堵塞 </w:t>
            </w:r>
          </w:p>
          <w:p w14:paraId="71EBC748">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2.胆管内壁粗糙，胆汁粘稠难以排出 </w:t>
            </w:r>
          </w:p>
        </w:tc>
      </w:tr>
      <w:tr w14:paraId="54F2EA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5D54D69">
            <w:pPr>
              <w:spacing w:line="600" w:lineRule="exact"/>
              <w:ind w:right="-67" w:rightChars="-32"/>
              <w:jc w:val="center"/>
              <w:rPr>
                <w:rFonts w:eastAsia="仿宋_GB2312"/>
                <w:color w:val="000000"/>
                <w:kern w:val="0"/>
                <w:sz w:val="28"/>
                <w:szCs w:val="28"/>
              </w:rPr>
            </w:pPr>
          </w:p>
        </w:tc>
        <w:tc>
          <w:tcPr>
            <w:tcW w:w="850" w:type="dxa"/>
            <w:vMerge w:val="continue"/>
          </w:tcPr>
          <w:p w14:paraId="05DAEA6B">
            <w:pPr>
              <w:spacing w:line="600" w:lineRule="exact"/>
              <w:ind w:right="-67" w:rightChars="-32"/>
              <w:jc w:val="center"/>
              <w:rPr>
                <w:rFonts w:eastAsia="仿宋_GB2312"/>
                <w:color w:val="000000"/>
                <w:kern w:val="0"/>
                <w:sz w:val="28"/>
                <w:szCs w:val="28"/>
              </w:rPr>
            </w:pPr>
          </w:p>
        </w:tc>
        <w:tc>
          <w:tcPr>
            <w:tcW w:w="1985" w:type="dxa"/>
          </w:tcPr>
          <w:p w14:paraId="268872FD">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胆道感染 </w:t>
            </w:r>
          </w:p>
          <w:p w14:paraId="0676B1BC">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14:paraId="3BF23AD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1.留置时间长，产生细菌感染 </w:t>
            </w:r>
          </w:p>
          <w:p w14:paraId="2632D49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2.患者病情变化，免疫力降低，引起胆道感染 </w:t>
            </w:r>
          </w:p>
        </w:tc>
      </w:tr>
      <w:tr w14:paraId="1841F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2C38648F">
            <w:pPr>
              <w:spacing w:line="600" w:lineRule="exact"/>
              <w:ind w:right="-67" w:rightChars="-32"/>
              <w:jc w:val="center"/>
              <w:rPr>
                <w:rFonts w:eastAsia="仿宋_GB2312"/>
                <w:color w:val="000000"/>
                <w:kern w:val="0"/>
                <w:sz w:val="28"/>
                <w:szCs w:val="28"/>
              </w:rPr>
            </w:pPr>
          </w:p>
        </w:tc>
        <w:tc>
          <w:tcPr>
            <w:tcW w:w="850" w:type="dxa"/>
            <w:vMerge w:val="continue"/>
          </w:tcPr>
          <w:p w14:paraId="04D479D4">
            <w:pPr>
              <w:spacing w:line="600" w:lineRule="exact"/>
              <w:ind w:right="-67" w:rightChars="-32"/>
              <w:jc w:val="center"/>
              <w:rPr>
                <w:rFonts w:eastAsia="仿宋_GB2312"/>
                <w:color w:val="000000"/>
                <w:kern w:val="0"/>
                <w:sz w:val="28"/>
                <w:szCs w:val="28"/>
              </w:rPr>
            </w:pPr>
          </w:p>
        </w:tc>
        <w:tc>
          <w:tcPr>
            <w:tcW w:w="1985" w:type="dxa"/>
          </w:tcPr>
          <w:p w14:paraId="439C07F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急性胰腺炎 </w:t>
            </w:r>
          </w:p>
        </w:tc>
        <w:tc>
          <w:tcPr>
            <w:tcW w:w="5528" w:type="dxa"/>
          </w:tcPr>
          <w:p w14:paraId="2F161788">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1.经鼻放置鼻胆管时，通过十二指肠乳头，破坏其屏障作用 </w:t>
            </w:r>
          </w:p>
          <w:p w14:paraId="15A5D2E8">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2.胆汁，胰、肠液刺激引起胰腺炎 </w:t>
            </w:r>
          </w:p>
          <w:p w14:paraId="7C1FF7E9">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3.结石嵌顿及结石排出过程中造成胰管高压等所致 </w:t>
            </w:r>
          </w:p>
        </w:tc>
      </w:tr>
      <w:tr w14:paraId="17C6A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0C90B29">
            <w:pPr>
              <w:spacing w:line="600" w:lineRule="exact"/>
              <w:ind w:right="-67" w:rightChars="-32"/>
              <w:jc w:val="center"/>
              <w:rPr>
                <w:rFonts w:eastAsia="仿宋_GB2312"/>
                <w:color w:val="000000"/>
                <w:kern w:val="0"/>
                <w:sz w:val="28"/>
                <w:szCs w:val="28"/>
              </w:rPr>
            </w:pPr>
          </w:p>
        </w:tc>
        <w:tc>
          <w:tcPr>
            <w:tcW w:w="850" w:type="dxa"/>
            <w:vMerge w:val="restart"/>
          </w:tcPr>
          <w:p w14:paraId="44A5EC2B">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质量问题</w:t>
            </w:r>
          </w:p>
        </w:tc>
        <w:tc>
          <w:tcPr>
            <w:tcW w:w="1985" w:type="dxa"/>
          </w:tcPr>
          <w:p w14:paraId="510DCE5E">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 </w:t>
            </w:r>
          </w:p>
          <w:p w14:paraId="347E79CD">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污染 </w:t>
            </w:r>
          </w:p>
        </w:tc>
        <w:tc>
          <w:tcPr>
            <w:tcW w:w="5528" w:type="dxa"/>
          </w:tcPr>
          <w:p w14:paraId="397890C3">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1.包装未达到灭菌要求，没有标明消毒方式 </w:t>
            </w:r>
          </w:p>
          <w:p w14:paraId="799AA06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2.产品在使用过程中污染，或术后肠道细菌移位 </w:t>
            </w:r>
          </w:p>
        </w:tc>
      </w:tr>
      <w:tr w14:paraId="3F806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2AD863EA">
            <w:pPr>
              <w:spacing w:line="600" w:lineRule="exact"/>
              <w:ind w:right="-67" w:rightChars="-32"/>
              <w:jc w:val="center"/>
              <w:rPr>
                <w:rFonts w:eastAsia="仿宋_GB2312"/>
                <w:color w:val="000000"/>
                <w:kern w:val="0"/>
                <w:sz w:val="28"/>
                <w:szCs w:val="28"/>
              </w:rPr>
            </w:pPr>
          </w:p>
        </w:tc>
        <w:tc>
          <w:tcPr>
            <w:tcW w:w="850" w:type="dxa"/>
            <w:vMerge w:val="continue"/>
          </w:tcPr>
          <w:p w14:paraId="6CEFAA67">
            <w:pPr>
              <w:spacing w:line="600" w:lineRule="exact"/>
              <w:ind w:right="-67" w:rightChars="-32"/>
              <w:jc w:val="center"/>
              <w:rPr>
                <w:rFonts w:eastAsia="仿宋_GB2312"/>
                <w:color w:val="000000"/>
                <w:kern w:val="0"/>
                <w:sz w:val="28"/>
                <w:szCs w:val="28"/>
              </w:rPr>
            </w:pPr>
          </w:p>
        </w:tc>
        <w:tc>
          <w:tcPr>
            <w:tcW w:w="1985" w:type="dxa"/>
          </w:tcPr>
          <w:p w14:paraId="18E1979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胆道出血 </w:t>
            </w:r>
          </w:p>
        </w:tc>
        <w:tc>
          <w:tcPr>
            <w:tcW w:w="5528" w:type="dxa"/>
          </w:tcPr>
          <w:p w14:paraId="778567C0">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引流管头端有棱角，易引起胆管组织及胆管粘膜损伤 </w:t>
            </w:r>
          </w:p>
        </w:tc>
      </w:tr>
      <w:tr w14:paraId="5ABD4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0981878A">
            <w:pPr>
              <w:spacing w:line="600" w:lineRule="exact"/>
              <w:ind w:right="-67" w:rightChars="-32"/>
              <w:jc w:val="center"/>
              <w:rPr>
                <w:rFonts w:eastAsia="仿宋_GB2312"/>
                <w:color w:val="000000"/>
                <w:kern w:val="0"/>
                <w:sz w:val="28"/>
                <w:szCs w:val="28"/>
              </w:rPr>
            </w:pPr>
          </w:p>
        </w:tc>
        <w:tc>
          <w:tcPr>
            <w:tcW w:w="850" w:type="dxa"/>
            <w:vMerge w:val="continue"/>
          </w:tcPr>
          <w:p w14:paraId="2ED42F91">
            <w:pPr>
              <w:spacing w:line="600" w:lineRule="exact"/>
              <w:ind w:right="-67" w:rightChars="-32"/>
              <w:jc w:val="center"/>
              <w:rPr>
                <w:rFonts w:eastAsia="仿宋_GB2312"/>
                <w:color w:val="000000"/>
                <w:kern w:val="0"/>
                <w:sz w:val="28"/>
                <w:szCs w:val="28"/>
              </w:rPr>
            </w:pPr>
          </w:p>
        </w:tc>
        <w:tc>
          <w:tcPr>
            <w:tcW w:w="1985" w:type="dxa"/>
          </w:tcPr>
          <w:p w14:paraId="30F7DB1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引流管老化、断裂</w:t>
            </w:r>
          </w:p>
        </w:tc>
        <w:tc>
          <w:tcPr>
            <w:tcW w:w="5528" w:type="dxa"/>
          </w:tcPr>
          <w:p w14:paraId="5B98FBE4">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1.可能原因是由于仓库保存不当引起 </w:t>
            </w:r>
          </w:p>
          <w:p w14:paraId="78F53E8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2.保存过程中温度过高，引起产品老化断裂</w:t>
            </w:r>
          </w:p>
          <w:p w14:paraId="7E8BB2D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3.引流孔设计不合理</w:t>
            </w:r>
          </w:p>
        </w:tc>
      </w:tr>
      <w:tr w14:paraId="772F88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6D82393A">
            <w:pPr>
              <w:spacing w:line="600" w:lineRule="exact"/>
              <w:ind w:right="-67" w:rightChars="-32"/>
              <w:jc w:val="center"/>
              <w:rPr>
                <w:rFonts w:eastAsia="仿宋_GB2312"/>
                <w:color w:val="000000"/>
                <w:kern w:val="0"/>
                <w:sz w:val="28"/>
                <w:szCs w:val="28"/>
              </w:rPr>
            </w:pPr>
          </w:p>
        </w:tc>
        <w:tc>
          <w:tcPr>
            <w:tcW w:w="850" w:type="dxa"/>
            <w:vMerge w:val="continue"/>
          </w:tcPr>
          <w:p w14:paraId="3E10FD23">
            <w:pPr>
              <w:spacing w:line="600" w:lineRule="exact"/>
              <w:ind w:right="-67" w:rightChars="-32"/>
              <w:jc w:val="center"/>
              <w:rPr>
                <w:rFonts w:eastAsia="仿宋_GB2312"/>
                <w:color w:val="000000"/>
                <w:kern w:val="0"/>
                <w:sz w:val="28"/>
                <w:szCs w:val="28"/>
              </w:rPr>
            </w:pPr>
          </w:p>
        </w:tc>
        <w:tc>
          <w:tcPr>
            <w:tcW w:w="1985" w:type="dxa"/>
          </w:tcPr>
          <w:p w14:paraId="1E553DB5">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显影环脱落</w:t>
            </w:r>
          </w:p>
        </w:tc>
        <w:tc>
          <w:tcPr>
            <w:tcW w:w="5528" w:type="dxa"/>
          </w:tcPr>
          <w:p w14:paraId="198AA7B9">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可能原因是产品内径偏大或是显影环外径偏小导致</w:t>
            </w:r>
          </w:p>
        </w:tc>
      </w:tr>
      <w:tr w14:paraId="64E89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DD85C0E">
            <w:pPr>
              <w:spacing w:line="600" w:lineRule="exact"/>
              <w:ind w:right="-67" w:rightChars="-32"/>
              <w:jc w:val="center"/>
              <w:rPr>
                <w:rFonts w:eastAsia="仿宋_GB2312"/>
                <w:color w:val="000000"/>
                <w:kern w:val="0"/>
                <w:sz w:val="28"/>
                <w:szCs w:val="28"/>
              </w:rPr>
            </w:pPr>
          </w:p>
        </w:tc>
        <w:tc>
          <w:tcPr>
            <w:tcW w:w="850" w:type="dxa"/>
          </w:tcPr>
          <w:p w14:paraId="01DD91BA">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使用风险</w:t>
            </w:r>
          </w:p>
        </w:tc>
        <w:tc>
          <w:tcPr>
            <w:tcW w:w="1985" w:type="dxa"/>
          </w:tcPr>
          <w:p w14:paraId="41F62FA1">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胆汁倒灌至十二指肠，胃，最后从口腔吐出</w:t>
            </w:r>
          </w:p>
        </w:tc>
        <w:tc>
          <w:tcPr>
            <w:tcW w:w="5528" w:type="dxa"/>
          </w:tcPr>
          <w:p w14:paraId="544F6552">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引流管接头和管体之间拧得过紧，导致该段管体压瘪，未能有效负压引流</w:t>
            </w:r>
          </w:p>
        </w:tc>
      </w:tr>
      <w:tr w14:paraId="397C93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4C70EBE2">
            <w:pPr>
              <w:spacing w:line="600" w:lineRule="exact"/>
              <w:ind w:right="-67" w:rightChars="-32"/>
              <w:jc w:val="center"/>
              <w:rPr>
                <w:rFonts w:eastAsia="仿宋_GB2312"/>
                <w:color w:val="000000"/>
                <w:kern w:val="0"/>
                <w:sz w:val="28"/>
                <w:szCs w:val="28"/>
              </w:rPr>
            </w:pPr>
          </w:p>
        </w:tc>
        <w:tc>
          <w:tcPr>
            <w:tcW w:w="850" w:type="dxa"/>
            <w:vMerge w:val="restart"/>
          </w:tcPr>
          <w:p w14:paraId="5BAC6DC4">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说明书或标签缺陷 </w:t>
            </w:r>
          </w:p>
          <w:p w14:paraId="4EC69F4E">
            <w:pPr>
              <w:keepNext/>
              <w:keepLines/>
              <w:spacing w:before="260" w:after="260" w:line="600" w:lineRule="exact"/>
              <w:ind w:right="-67" w:rightChars="-32"/>
              <w:jc w:val="center"/>
              <w:rPr>
                <w:rFonts w:eastAsia="仿宋_GB2312"/>
                <w:color w:val="000000"/>
                <w:kern w:val="0"/>
                <w:sz w:val="28"/>
                <w:szCs w:val="28"/>
              </w:rPr>
            </w:pPr>
          </w:p>
        </w:tc>
        <w:tc>
          <w:tcPr>
            <w:tcW w:w="1985" w:type="dxa"/>
          </w:tcPr>
          <w:p w14:paraId="2D944EDF">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说明书不详尽 </w:t>
            </w:r>
          </w:p>
          <w:p w14:paraId="0E8A7276">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14:paraId="6C4FFBB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1.说明书不详细：如说明书未明确标出适用患及禁忌证</w:t>
            </w:r>
          </w:p>
          <w:p w14:paraId="2D403559">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2.未标示胆管引流管的体内留置时间</w:t>
            </w:r>
          </w:p>
        </w:tc>
      </w:tr>
      <w:tr w14:paraId="1B27F6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14:paraId="3A7BBAB3">
            <w:pPr>
              <w:spacing w:line="600" w:lineRule="exact"/>
              <w:ind w:right="-67" w:rightChars="-32"/>
              <w:jc w:val="center"/>
              <w:rPr>
                <w:rFonts w:eastAsia="仿宋_GB2312"/>
                <w:color w:val="000000"/>
                <w:kern w:val="0"/>
                <w:sz w:val="28"/>
                <w:szCs w:val="28"/>
              </w:rPr>
            </w:pPr>
          </w:p>
        </w:tc>
        <w:tc>
          <w:tcPr>
            <w:tcW w:w="850" w:type="dxa"/>
            <w:vMerge w:val="continue"/>
          </w:tcPr>
          <w:p w14:paraId="2B2D2A14">
            <w:pPr>
              <w:spacing w:line="600" w:lineRule="exact"/>
              <w:ind w:right="-67" w:rightChars="-32"/>
              <w:jc w:val="center"/>
              <w:rPr>
                <w:rFonts w:eastAsia="仿宋_GB2312"/>
                <w:color w:val="000000"/>
                <w:kern w:val="0"/>
                <w:sz w:val="28"/>
                <w:szCs w:val="28"/>
              </w:rPr>
            </w:pPr>
          </w:p>
        </w:tc>
        <w:tc>
          <w:tcPr>
            <w:tcW w:w="1985" w:type="dxa"/>
          </w:tcPr>
          <w:p w14:paraId="767440DF">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引流管误用 </w:t>
            </w:r>
          </w:p>
          <w:p w14:paraId="119B939E">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14:paraId="4EAC5036">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1.产品的包装及标示不当,临床使用未能及时发现 </w:t>
            </w:r>
          </w:p>
          <w:p w14:paraId="2EAD046B">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2.产品的型号打印不清楚 </w:t>
            </w:r>
          </w:p>
        </w:tc>
      </w:tr>
    </w:tbl>
    <w:p w14:paraId="47057E80">
      <w:pPr>
        <w:spacing w:line="520" w:lineRule="exact"/>
        <w:ind w:right="-67" w:rightChars="-32" w:firstLine="640" w:firstLineChars="200"/>
        <w:rPr>
          <w:rFonts w:eastAsia="楷体_GB2312"/>
          <w:color w:val="000000"/>
          <w:sz w:val="32"/>
          <w:szCs w:val="32"/>
        </w:rPr>
      </w:pPr>
    </w:p>
    <w:p w14:paraId="5E03FB8B">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2B88A5B1">
      <w:pPr>
        <w:spacing w:line="520" w:lineRule="exact"/>
        <w:ind w:right="-67" w:rightChars="-32" w:firstLine="800" w:firstLineChars="250"/>
        <w:rPr>
          <w:rFonts w:eastAsia="仿宋_GB2312"/>
          <w:color w:val="000000"/>
          <w:sz w:val="32"/>
          <w:szCs w:val="32"/>
        </w:rPr>
      </w:pPr>
      <w:r>
        <w:rPr>
          <w:rFonts w:eastAsia="仿宋_GB2312"/>
          <w:color w:val="000000"/>
          <w:sz w:val="32"/>
          <w:szCs w:val="32"/>
        </w:rPr>
        <w:t>1.产品风险管理资料</w:t>
      </w:r>
    </w:p>
    <w:p w14:paraId="29DA43EF">
      <w:pPr>
        <w:spacing w:line="520" w:lineRule="exact"/>
        <w:ind w:firstLine="800" w:firstLineChars="250"/>
        <w:rPr>
          <w:rFonts w:eastAsia="仿宋_GB2312"/>
          <w:color w:val="000000"/>
          <w:sz w:val="32"/>
          <w:szCs w:val="32"/>
        </w:rPr>
      </w:pPr>
      <w:r>
        <w:rPr>
          <w:rFonts w:eastAsia="仿宋_GB2312"/>
          <w:color w:val="000000"/>
          <w:sz w:val="32"/>
          <w:szCs w:val="32"/>
        </w:rPr>
        <w:t>经鼻胆汁外引流管主要的风险包括生物学危害、信息危害、人为因素产生的危害、操作危害、功能危害、机械能危害、失效产生的危害等，具体危害如下：</w:t>
      </w:r>
    </w:p>
    <w:p w14:paraId="5A976B2A">
      <w:pPr>
        <w:spacing w:line="520" w:lineRule="exact"/>
        <w:ind w:firstLine="800" w:firstLineChars="250"/>
        <w:rPr>
          <w:rFonts w:eastAsia="仿宋_GB2312"/>
          <w:color w:val="000000"/>
          <w:sz w:val="32"/>
          <w:szCs w:val="32"/>
        </w:rPr>
      </w:pPr>
    </w:p>
    <w:p w14:paraId="59DB143B">
      <w:pPr>
        <w:spacing w:line="540" w:lineRule="exact"/>
        <w:jc w:val="center"/>
        <w:rPr>
          <w:rFonts w:eastAsia="黑体"/>
          <w:color w:val="000000" w:themeColor="text1"/>
          <w:sz w:val="28"/>
          <w:szCs w:val="28"/>
        </w:rPr>
      </w:pPr>
      <w:r>
        <w:rPr>
          <w:rFonts w:eastAsia="黑体"/>
          <w:color w:val="000000" w:themeColor="text1"/>
          <w:spacing w:val="-4"/>
          <w:sz w:val="28"/>
          <w:szCs w:val="28"/>
        </w:rPr>
        <w:t>表2  产品主要危害</w:t>
      </w:r>
    </w:p>
    <w:tbl>
      <w:tblPr>
        <w:tblStyle w:val="11"/>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275"/>
        <w:gridCol w:w="4694"/>
        <w:gridCol w:w="2332"/>
      </w:tblGrid>
      <w:tr w14:paraId="1A99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376" w:type="dxa"/>
            <w:gridSpan w:val="2"/>
            <w:vAlign w:val="center"/>
          </w:tcPr>
          <w:p w14:paraId="09066AE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危害分类</w:t>
            </w:r>
          </w:p>
        </w:tc>
        <w:tc>
          <w:tcPr>
            <w:tcW w:w="4694" w:type="dxa"/>
            <w:vAlign w:val="center"/>
          </w:tcPr>
          <w:p w14:paraId="48A060B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危害形成的因素</w:t>
            </w:r>
          </w:p>
        </w:tc>
        <w:tc>
          <w:tcPr>
            <w:tcW w:w="2332" w:type="dxa"/>
            <w:vAlign w:val="center"/>
          </w:tcPr>
          <w:p w14:paraId="02A194F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可能的后果</w:t>
            </w:r>
          </w:p>
        </w:tc>
      </w:tr>
      <w:tr w14:paraId="61D6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jc w:val="center"/>
        </w:trPr>
        <w:tc>
          <w:tcPr>
            <w:tcW w:w="1101" w:type="dxa"/>
            <w:vMerge w:val="restart"/>
            <w:vAlign w:val="center"/>
          </w:tcPr>
          <w:p w14:paraId="64FBDD0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生物学危害</w:t>
            </w:r>
          </w:p>
        </w:tc>
        <w:tc>
          <w:tcPr>
            <w:tcW w:w="1275" w:type="dxa"/>
            <w:vAlign w:val="center"/>
          </w:tcPr>
          <w:p w14:paraId="0AE76F5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再次或交叉</w:t>
            </w:r>
          </w:p>
          <w:p w14:paraId="14CEFAB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感染</w:t>
            </w:r>
          </w:p>
        </w:tc>
        <w:tc>
          <w:tcPr>
            <w:tcW w:w="4694" w:type="dxa"/>
            <w:vAlign w:val="center"/>
          </w:tcPr>
          <w:p w14:paraId="60CE194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一次性使用的产品被再次使用。</w:t>
            </w:r>
          </w:p>
        </w:tc>
        <w:tc>
          <w:tcPr>
            <w:tcW w:w="2332" w:type="dxa"/>
            <w:vAlign w:val="center"/>
          </w:tcPr>
          <w:p w14:paraId="5202888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引起感染、交叉感染</w:t>
            </w:r>
          </w:p>
        </w:tc>
      </w:tr>
      <w:tr w14:paraId="38EC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14:paraId="3E0E1486">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6A099D4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添加剂或加工助剂</w:t>
            </w:r>
          </w:p>
        </w:tc>
        <w:tc>
          <w:tcPr>
            <w:tcW w:w="4694" w:type="dxa"/>
            <w:vAlign w:val="center"/>
          </w:tcPr>
          <w:p w14:paraId="454054D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在产品中引入的助剂，如使用未经过生物安全性评价的硅油、粘合剂或增塑剂等；</w:t>
            </w:r>
          </w:p>
          <w:p w14:paraId="4F4A89A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未按照工艺要求配料，添加剂或助剂使用比例不正确。</w:t>
            </w:r>
          </w:p>
        </w:tc>
        <w:tc>
          <w:tcPr>
            <w:tcW w:w="2332" w:type="dxa"/>
            <w:vAlign w:val="center"/>
          </w:tcPr>
          <w:p w14:paraId="09B46BD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对人体产生潜在的危害</w:t>
            </w:r>
          </w:p>
        </w:tc>
      </w:tr>
      <w:tr w14:paraId="71E09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14:paraId="2B89B75E">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7238ACE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w:t>
            </w:r>
          </w:p>
          <w:p w14:paraId="5676C86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污染</w:t>
            </w:r>
          </w:p>
        </w:tc>
        <w:tc>
          <w:tcPr>
            <w:tcW w:w="4694" w:type="dxa"/>
            <w:vAlign w:val="center"/>
          </w:tcPr>
          <w:p w14:paraId="10B66CB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生产环境污染产品，如外来的纤维、粉尘、细菌等其他杂质；</w:t>
            </w:r>
          </w:p>
          <w:p w14:paraId="3396A4E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产品原材料受到污染；</w:t>
            </w:r>
          </w:p>
          <w:p w14:paraId="156D466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灭菌操作不严格；</w:t>
            </w:r>
          </w:p>
          <w:p w14:paraId="6186C2A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包装破损；</w:t>
            </w:r>
          </w:p>
          <w:p w14:paraId="5A90E0E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使用时操作不正规；</w:t>
            </w:r>
          </w:p>
          <w:p w14:paraId="3F196A7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残留物过多。</w:t>
            </w:r>
          </w:p>
        </w:tc>
        <w:tc>
          <w:tcPr>
            <w:tcW w:w="2332" w:type="dxa"/>
            <w:vAlign w:val="center"/>
          </w:tcPr>
          <w:p w14:paraId="27C8449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产品带菌、热原，引起患者感染</w:t>
            </w:r>
          </w:p>
        </w:tc>
      </w:tr>
      <w:tr w14:paraId="0BFE7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14:paraId="67436DCD">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220CF97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生物不相容性</w:t>
            </w:r>
          </w:p>
        </w:tc>
        <w:tc>
          <w:tcPr>
            <w:tcW w:w="4694" w:type="dxa"/>
            <w:vAlign w:val="center"/>
          </w:tcPr>
          <w:p w14:paraId="6562D7A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与患者接触材料的化学成分的毒性</w:t>
            </w:r>
          </w:p>
        </w:tc>
        <w:tc>
          <w:tcPr>
            <w:tcW w:w="2332" w:type="dxa"/>
            <w:vAlign w:val="center"/>
          </w:tcPr>
          <w:p w14:paraId="51E5EA5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引起细胞毒性、迟发致敏反应、皮肤刺激反应等。</w:t>
            </w:r>
          </w:p>
        </w:tc>
      </w:tr>
      <w:tr w14:paraId="18F9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101" w:type="dxa"/>
            <w:vMerge w:val="restart"/>
            <w:vAlign w:val="center"/>
          </w:tcPr>
          <w:p w14:paraId="22E5090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信息</w:t>
            </w:r>
          </w:p>
          <w:p w14:paraId="4A660AD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w:t>
            </w:r>
          </w:p>
        </w:tc>
        <w:tc>
          <w:tcPr>
            <w:tcW w:w="1275" w:type="dxa"/>
            <w:vAlign w:val="center"/>
          </w:tcPr>
          <w:p w14:paraId="48A253A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标记</w:t>
            </w:r>
          </w:p>
        </w:tc>
        <w:tc>
          <w:tcPr>
            <w:tcW w:w="4694" w:type="dxa"/>
            <w:vAlign w:val="center"/>
          </w:tcPr>
          <w:p w14:paraId="51C8ADD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不完整的产品使用说明书；</w:t>
            </w:r>
          </w:p>
          <w:p w14:paraId="1855203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对产品性能特征不恰当地描述；</w:t>
            </w:r>
          </w:p>
          <w:p w14:paraId="34B9E89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不恰当地对产品预期的使用规范；</w:t>
            </w:r>
          </w:p>
          <w:p w14:paraId="0467C2E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对产品注意事项的限制未充分公示。</w:t>
            </w:r>
          </w:p>
        </w:tc>
        <w:tc>
          <w:tcPr>
            <w:tcW w:w="2332" w:type="dxa"/>
            <w:vAlign w:val="center"/>
          </w:tcPr>
          <w:p w14:paraId="3B963B9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产品对人体产生危害</w:t>
            </w:r>
          </w:p>
        </w:tc>
      </w:tr>
      <w:tr w14:paraId="5DBD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01" w:type="dxa"/>
            <w:vMerge w:val="continue"/>
            <w:vAlign w:val="center"/>
          </w:tcPr>
          <w:p w14:paraId="4CE36903">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021C32A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操作说明书</w:t>
            </w:r>
          </w:p>
        </w:tc>
        <w:tc>
          <w:tcPr>
            <w:tcW w:w="4694" w:type="dxa"/>
            <w:vAlign w:val="center"/>
          </w:tcPr>
          <w:p w14:paraId="122DFDF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产品过于复杂的操作说明；</w:t>
            </w:r>
          </w:p>
          <w:p w14:paraId="0EF351E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警告不明确；</w:t>
            </w:r>
          </w:p>
          <w:p w14:paraId="6E05B2D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副作用的警告不明显或叙述不清；</w:t>
            </w:r>
          </w:p>
          <w:p w14:paraId="2F9FBB6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没有一次性使用医疗器械可能再次使用时会产生危害的警告。</w:t>
            </w:r>
          </w:p>
        </w:tc>
        <w:tc>
          <w:tcPr>
            <w:tcW w:w="2332" w:type="dxa"/>
            <w:vAlign w:val="center"/>
          </w:tcPr>
          <w:p w14:paraId="16357E6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对人体产生副作用或引发其他伤害</w:t>
            </w:r>
          </w:p>
        </w:tc>
      </w:tr>
      <w:tr w14:paraId="39B41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01" w:type="dxa"/>
            <w:vAlign w:val="center"/>
          </w:tcPr>
          <w:p w14:paraId="4F5049E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不完整的要求产生的危害</w:t>
            </w:r>
          </w:p>
        </w:tc>
        <w:tc>
          <w:tcPr>
            <w:tcW w:w="1275" w:type="dxa"/>
            <w:vAlign w:val="center"/>
          </w:tcPr>
          <w:p w14:paraId="74A570C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对参数的不恰当规范</w:t>
            </w:r>
          </w:p>
        </w:tc>
        <w:tc>
          <w:tcPr>
            <w:tcW w:w="4694" w:type="dxa"/>
            <w:vAlign w:val="center"/>
          </w:tcPr>
          <w:p w14:paraId="3C4AA7D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产品的设计参数不恰当；</w:t>
            </w:r>
          </w:p>
          <w:p w14:paraId="35AF6B8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产品性能的要求不全面；</w:t>
            </w:r>
          </w:p>
          <w:p w14:paraId="1807B26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未提及产品的货架有效期或不规范。</w:t>
            </w:r>
          </w:p>
        </w:tc>
        <w:tc>
          <w:tcPr>
            <w:tcW w:w="2332" w:type="dxa"/>
            <w:vAlign w:val="center"/>
          </w:tcPr>
          <w:p w14:paraId="662336D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产生无效治疗或发生副作用</w:t>
            </w:r>
          </w:p>
        </w:tc>
      </w:tr>
      <w:tr w14:paraId="5EE3D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jc w:val="center"/>
        </w:trPr>
        <w:tc>
          <w:tcPr>
            <w:tcW w:w="1101" w:type="dxa"/>
            <w:vAlign w:val="center"/>
          </w:tcPr>
          <w:p w14:paraId="48F2B67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人为因素产生的危害</w:t>
            </w:r>
          </w:p>
        </w:tc>
        <w:tc>
          <w:tcPr>
            <w:tcW w:w="1275" w:type="dxa"/>
            <w:vAlign w:val="center"/>
          </w:tcPr>
          <w:p w14:paraId="13A54AE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显示信息与实际状态不对应</w:t>
            </w:r>
          </w:p>
        </w:tc>
        <w:tc>
          <w:tcPr>
            <w:tcW w:w="4694" w:type="dxa"/>
            <w:vAlign w:val="center"/>
          </w:tcPr>
          <w:p w14:paraId="0F5ABB3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由缺乏技术的/未经培训的人员使用。</w:t>
            </w:r>
          </w:p>
        </w:tc>
        <w:tc>
          <w:tcPr>
            <w:tcW w:w="2332" w:type="dxa"/>
            <w:vAlign w:val="center"/>
          </w:tcPr>
          <w:p w14:paraId="01C7EDF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对操作者和患者均产生不必要的危害</w:t>
            </w:r>
          </w:p>
        </w:tc>
      </w:tr>
      <w:tr w14:paraId="3AE8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2" w:hRule="atLeast"/>
          <w:jc w:val="center"/>
        </w:trPr>
        <w:tc>
          <w:tcPr>
            <w:tcW w:w="1101" w:type="dxa"/>
            <w:vAlign w:val="center"/>
          </w:tcPr>
          <w:p w14:paraId="6460DE4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w:t>
            </w:r>
          </w:p>
          <w:p w14:paraId="05F8FB48">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w:t>
            </w:r>
          </w:p>
        </w:tc>
        <w:tc>
          <w:tcPr>
            <w:tcW w:w="1275" w:type="dxa"/>
            <w:vAlign w:val="center"/>
          </w:tcPr>
          <w:p w14:paraId="3067BC0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使用错误</w:t>
            </w:r>
          </w:p>
        </w:tc>
        <w:tc>
          <w:tcPr>
            <w:tcW w:w="4694" w:type="dxa"/>
            <w:vAlign w:val="center"/>
          </w:tcPr>
          <w:p w14:paraId="6057ED9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和配套的医疗器械一起使用时不适当；</w:t>
            </w:r>
          </w:p>
          <w:p w14:paraId="269F7B5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操作者未经过培训或未按照说明书作业导致伤害病人或操作者；</w:t>
            </w:r>
          </w:p>
          <w:p w14:paraId="62D509D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使用错误的型号规格。</w:t>
            </w:r>
          </w:p>
        </w:tc>
        <w:tc>
          <w:tcPr>
            <w:tcW w:w="2332" w:type="dxa"/>
            <w:vAlign w:val="center"/>
          </w:tcPr>
          <w:p w14:paraId="0184C01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14:paraId="74A97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101" w:type="dxa"/>
            <w:vMerge w:val="restart"/>
            <w:vAlign w:val="center"/>
          </w:tcPr>
          <w:p w14:paraId="683599C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功能危害</w:t>
            </w:r>
          </w:p>
        </w:tc>
        <w:tc>
          <w:tcPr>
            <w:tcW w:w="1275" w:type="dxa"/>
            <w:tcBorders>
              <w:bottom w:val="single" w:color="auto" w:sz="4" w:space="0"/>
            </w:tcBorders>
            <w:vAlign w:val="center"/>
          </w:tcPr>
          <w:p w14:paraId="63685DE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无法通过钳道</w:t>
            </w:r>
          </w:p>
        </w:tc>
        <w:tc>
          <w:tcPr>
            <w:tcW w:w="4694" w:type="dxa"/>
            <w:tcBorders>
              <w:bottom w:val="single" w:color="auto" w:sz="4" w:space="0"/>
            </w:tcBorders>
            <w:vAlign w:val="center"/>
          </w:tcPr>
          <w:p w14:paraId="1FC3C7A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产品规格选择错误；引流管外径超出内窥镜内径；操作方法错误</w:t>
            </w:r>
          </w:p>
        </w:tc>
        <w:tc>
          <w:tcPr>
            <w:tcW w:w="2332" w:type="dxa"/>
            <w:vMerge w:val="restart"/>
            <w:vAlign w:val="center"/>
          </w:tcPr>
          <w:p w14:paraId="50B89F7A">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14:paraId="47C99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1101" w:type="dxa"/>
            <w:vMerge w:val="continue"/>
            <w:vAlign w:val="center"/>
          </w:tcPr>
          <w:p w14:paraId="58C0251B">
            <w:pPr>
              <w:autoSpaceDE w:val="0"/>
              <w:autoSpaceDN w:val="0"/>
              <w:adjustRightInd w:val="0"/>
              <w:spacing w:line="520" w:lineRule="exact"/>
              <w:ind w:right="-67" w:rightChars="-32"/>
              <w:rPr>
                <w:rFonts w:eastAsia="仿宋_GB2312"/>
                <w:color w:val="000000"/>
                <w:kern w:val="0"/>
                <w:sz w:val="28"/>
                <w:szCs w:val="28"/>
              </w:rPr>
            </w:pPr>
          </w:p>
        </w:tc>
        <w:tc>
          <w:tcPr>
            <w:tcW w:w="1275" w:type="dxa"/>
            <w:tcBorders>
              <w:top w:val="single" w:color="auto" w:sz="4" w:space="0"/>
            </w:tcBorders>
            <w:vAlign w:val="center"/>
          </w:tcPr>
          <w:p w14:paraId="556D549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无法进行引流</w:t>
            </w:r>
          </w:p>
        </w:tc>
        <w:tc>
          <w:tcPr>
            <w:tcW w:w="4694" w:type="dxa"/>
            <w:tcBorders>
              <w:top w:val="single" w:color="auto" w:sz="4" w:space="0"/>
            </w:tcBorders>
            <w:vAlign w:val="center"/>
          </w:tcPr>
          <w:p w14:paraId="76E0C487">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产品泄露；</w:t>
            </w:r>
          </w:p>
          <w:p w14:paraId="28BE8DC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引流管被封堵不通畅；引流管溢出孔被封堵无法引流；</w:t>
            </w:r>
          </w:p>
        </w:tc>
        <w:tc>
          <w:tcPr>
            <w:tcW w:w="2332" w:type="dxa"/>
            <w:vMerge w:val="continue"/>
            <w:vAlign w:val="center"/>
          </w:tcPr>
          <w:p w14:paraId="4F046244">
            <w:pPr>
              <w:autoSpaceDE w:val="0"/>
              <w:autoSpaceDN w:val="0"/>
              <w:adjustRightInd w:val="0"/>
              <w:spacing w:line="520" w:lineRule="exact"/>
              <w:ind w:right="-67" w:rightChars="-32"/>
              <w:rPr>
                <w:rFonts w:eastAsia="仿宋_GB2312"/>
                <w:color w:val="000000"/>
                <w:kern w:val="0"/>
                <w:sz w:val="28"/>
                <w:szCs w:val="28"/>
              </w:rPr>
            </w:pPr>
          </w:p>
        </w:tc>
      </w:tr>
      <w:tr w14:paraId="60A69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restart"/>
            <w:vAlign w:val="center"/>
          </w:tcPr>
          <w:p w14:paraId="3268E18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机械能危害</w:t>
            </w:r>
          </w:p>
        </w:tc>
        <w:tc>
          <w:tcPr>
            <w:tcW w:w="1275" w:type="dxa"/>
            <w:vAlign w:val="center"/>
          </w:tcPr>
          <w:p w14:paraId="175C40B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零部件脱落</w:t>
            </w:r>
          </w:p>
        </w:tc>
        <w:tc>
          <w:tcPr>
            <w:tcW w:w="4694" w:type="dxa"/>
            <w:vAlign w:val="center"/>
          </w:tcPr>
          <w:p w14:paraId="03897F10">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外引流管与基座脱离，连接力不足；显影环脱落</w:t>
            </w:r>
          </w:p>
        </w:tc>
        <w:tc>
          <w:tcPr>
            <w:tcW w:w="2332" w:type="dxa"/>
            <w:vMerge w:val="restart"/>
            <w:vAlign w:val="center"/>
          </w:tcPr>
          <w:p w14:paraId="7D1EBC84">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14:paraId="18B1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continue"/>
            <w:vAlign w:val="center"/>
          </w:tcPr>
          <w:p w14:paraId="3AEAD828">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14:paraId="455FEAE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外引流管断裂</w:t>
            </w:r>
          </w:p>
        </w:tc>
        <w:tc>
          <w:tcPr>
            <w:tcW w:w="4694" w:type="dxa"/>
            <w:vAlign w:val="center"/>
          </w:tcPr>
          <w:p w14:paraId="31D93AE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产品易打折；产品断裂强度低；</w:t>
            </w:r>
          </w:p>
          <w:p w14:paraId="1707A70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钻孔撕裂导致断裂</w:t>
            </w:r>
          </w:p>
        </w:tc>
        <w:tc>
          <w:tcPr>
            <w:tcW w:w="2332" w:type="dxa"/>
            <w:vMerge w:val="continue"/>
            <w:vAlign w:val="center"/>
          </w:tcPr>
          <w:p w14:paraId="600F35FB">
            <w:pPr>
              <w:autoSpaceDE w:val="0"/>
              <w:autoSpaceDN w:val="0"/>
              <w:adjustRightInd w:val="0"/>
              <w:spacing w:line="520" w:lineRule="exact"/>
              <w:ind w:right="-67" w:rightChars="-32"/>
              <w:rPr>
                <w:rFonts w:eastAsia="仿宋_GB2312"/>
                <w:color w:val="000000"/>
                <w:kern w:val="0"/>
                <w:sz w:val="28"/>
                <w:szCs w:val="28"/>
              </w:rPr>
            </w:pPr>
          </w:p>
        </w:tc>
      </w:tr>
      <w:tr w14:paraId="722D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Align w:val="center"/>
          </w:tcPr>
          <w:p w14:paraId="521E618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失效产生的危害</w:t>
            </w:r>
          </w:p>
        </w:tc>
        <w:tc>
          <w:tcPr>
            <w:tcW w:w="1275" w:type="dxa"/>
            <w:vAlign w:val="center"/>
          </w:tcPr>
          <w:p w14:paraId="5647A3A3">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w:t>
            </w:r>
          </w:p>
          <w:p w14:paraId="6B70DA3F">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退化</w:t>
            </w:r>
          </w:p>
        </w:tc>
        <w:tc>
          <w:tcPr>
            <w:tcW w:w="4694" w:type="dxa"/>
            <w:vAlign w:val="center"/>
          </w:tcPr>
          <w:p w14:paraId="4C05139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由于老化、重复使用、使用过程中产品破裂而导致功能退化。</w:t>
            </w:r>
          </w:p>
        </w:tc>
        <w:tc>
          <w:tcPr>
            <w:tcW w:w="2332" w:type="dxa"/>
            <w:vAlign w:val="center"/>
          </w:tcPr>
          <w:p w14:paraId="69532945">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产生无效的治疗，延误患者病情。</w:t>
            </w:r>
          </w:p>
        </w:tc>
      </w:tr>
      <w:tr w14:paraId="2B08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restart"/>
          </w:tcPr>
          <w:p w14:paraId="5ED36F69">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功能性失效引起的危害</w:t>
            </w:r>
          </w:p>
        </w:tc>
        <w:tc>
          <w:tcPr>
            <w:tcW w:w="1275" w:type="dxa"/>
          </w:tcPr>
          <w:p w14:paraId="52BD2921">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造成病人损伤</w:t>
            </w:r>
          </w:p>
        </w:tc>
        <w:tc>
          <w:tcPr>
            <w:tcW w:w="4694" w:type="dxa"/>
          </w:tcPr>
          <w:p w14:paraId="24AF702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引流导管表面太粗糙。</w:t>
            </w:r>
          </w:p>
          <w:p w14:paraId="10F24B0B">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导管端部边缘锋利。</w:t>
            </w:r>
          </w:p>
          <w:p w14:paraId="29BE23CD">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导管强度不够。</w:t>
            </w:r>
          </w:p>
          <w:p w14:paraId="3BC27F32">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导管塑形形状不合理</w:t>
            </w:r>
          </w:p>
          <w:p w14:paraId="78FE798C">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产品引流通畅性差。</w:t>
            </w:r>
          </w:p>
          <w:p w14:paraId="62E75C06">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导管显影性差。</w:t>
            </w:r>
          </w:p>
          <w:p w14:paraId="67F551AE">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导管的形状恢复差</w:t>
            </w:r>
          </w:p>
        </w:tc>
        <w:tc>
          <w:tcPr>
            <w:tcW w:w="2332" w:type="dxa"/>
          </w:tcPr>
          <w:p w14:paraId="5A8002F5">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对乳头和胆道壁造成刺激或损伤。</w:t>
            </w:r>
          </w:p>
          <w:p w14:paraId="1953D14C">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对乳头和胆道壁造成刺激或损伤。</w:t>
            </w:r>
          </w:p>
          <w:p w14:paraId="33D71945">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受到人体运动和胃肠道蠕动压迫，导管损伤甚至断裂，对病人造成损伤</w:t>
            </w:r>
          </w:p>
          <w:p w14:paraId="39508E30">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导管形状不贴合人体自然腔道，置入后对人体造成损伤影响胆汁的引流效果，影响病人的康复效果。</w:t>
            </w:r>
          </w:p>
          <w:p w14:paraId="64937873">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操作无法辨识导管，影响插入和释放操作，延长手术操作时间。</w:t>
            </w:r>
          </w:p>
          <w:p w14:paraId="394DF13C">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导管放置后，无法恢复原本的形态，无法贴合人体自然腔道，导致腔道损伤。</w:t>
            </w:r>
          </w:p>
        </w:tc>
      </w:tr>
      <w:tr w14:paraId="420A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continue"/>
          </w:tcPr>
          <w:p w14:paraId="1200B053">
            <w:pPr>
              <w:autoSpaceDE w:val="0"/>
              <w:autoSpaceDN w:val="0"/>
              <w:adjustRightInd w:val="0"/>
              <w:spacing w:line="520" w:lineRule="exact"/>
              <w:ind w:right="-67" w:rightChars="-32"/>
              <w:rPr>
                <w:rFonts w:eastAsia="仿宋_GB2312"/>
                <w:color w:val="000000"/>
                <w:kern w:val="0"/>
                <w:sz w:val="28"/>
                <w:szCs w:val="28"/>
              </w:rPr>
            </w:pPr>
          </w:p>
        </w:tc>
        <w:tc>
          <w:tcPr>
            <w:tcW w:w="1275" w:type="dxa"/>
          </w:tcPr>
          <w:p w14:paraId="388CBAF2">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损坏配套内窥镜器械</w:t>
            </w:r>
          </w:p>
        </w:tc>
        <w:tc>
          <w:tcPr>
            <w:tcW w:w="4694" w:type="dxa"/>
          </w:tcPr>
          <w:p w14:paraId="2614B4F7">
            <w:pPr>
              <w:pStyle w:val="25"/>
              <w:autoSpaceDE w:val="0"/>
              <w:autoSpaceDN w:val="0"/>
              <w:adjustRightInd w:val="0"/>
              <w:spacing w:line="520" w:lineRule="exact"/>
              <w:ind w:right="-67" w:rightChars="-32" w:firstLine="0" w:firstLineChars="0"/>
              <w:jc w:val="center"/>
              <w:rPr>
                <w:rFonts w:eastAsia="仿宋_GB2312"/>
                <w:color w:val="000000"/>
                <w:kern w:val="0"/>
                <w:sz w:val="28"/>
                <w:szCs w:val="28"/>
              </w:rPr>
            </w:pPr>
            <w:r>
              <w:rPr>
                <w:rFonts w:eastAsia="仿宋_GB2312"/>
                <w:color w:val="000000"/>
                <w:kern w:val="0"/>
                <w:sz w:val="28"/>
                <w:szCs w:val="28"/>
              </w:rPr>
              <w:t>引流导管表面太粗糙。</w:t>
            </w:r>
          </w:p>
          <w:p w14:paraId="2201557C">
            <w:pPr>
              <w:pStyle w:val="25"/>
              <w:autoSpaceDE w:val="0"/>
              <w:autoSpaceDN w:val="0"/>
              <w:adjustRightInd w:val="0"/>
              <w:spacing w:line="520" w:lineRule="exact"/>
              <w:ind w:right="-67" w:rightChars="-32" w:firstLine="0" w:firstLineChars="0"/>
              <w:jc w:val="center"/>
              <w:rPr>
                <w:rFonts w:eastAsia="仿宋_GB2312"/>
                <w:color w:val="000000"/>
                <w:kern w:val="0"/>
                <w:sz w:val="28"/>
                <w:szCs w:val="28"/>
              </w:rPr>
            </w:pPr>
            <w:r>
              <w:rPr>
                <w:rFonts w:eastAsia="仿宋_GB2312"/>
                <w:color w:val="000000"/>
                <w:kern w:val="0"/>
                <w:sz w:val="28"/>
                <w:szCs w:val="28"/>
              </w:rPr>
              <w:t>引流导管偏硬，抬钳器无法抬起。</w:t>
            </w:r>
          </w:p>
        </w:tc>
        <w:tc>
          <w:tcPr>
            <w:tcW w:w="2332" w:type="dxa"/>
          </w:tcPr>
          <w:p w14:paraId="0C569AD5">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损坏内窥镜钳道。</w:t>
            </w:r>
          </w:p>
          <w:p w14:paraId="1EFE7A27">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损坏内窥镜抬钳器。</w:t>
            </w:r>
          </w:p>
        </w:tc>
      </w:tr>
    </w:tbl>
    <w:p w14:paraId="59D937F5">
      <w:pPr>
        <w:spacing w:line="520" w:lineRule="exact"/>
        <w:ind w:firstLine="640" w:firstLineChars="200"/>
        <w:rPr>
          <w:rFonts w:eastAsia="仿宋_GB2312"/>
          <w:color w:val="000000"/>
          <w:sz w:val="32"/>
          <w:szCs w:val="32"/>
        </w:rPr>
      </w:pPr>
    </w:p>
    <w:p w14:paraId="7574D258">
      <w:pPr>
        <w:spacing w:line="520" w:lineRule="exact"/>
        <w:ind w:firstLine="640" w:firstLineChars="200"/>
        <w:rPr>
          <w:rFonts w:eastAsia="仿宋_GB2312"/>
          <w:color w:val="000000"/>
          <w:sz w:val="32"/>
          <w:szCs w:val="32"/>
        </w:rPr>
      </w:pPr>
      <w:r>
        <w:rPr>
          <w:rFonts w:eastAsia="仿宋_GB2312"/>
          <w:color w:val="000000"/>
          <w:sz w:val="32"/>
          <w:szCs w:val="32"/>
        </w:rPr>
        <w:t>申请人可参考本指导原则所列主要风险，结合产品自身产品特点确定其他风险，在产品的整个生命周期，按照YY/T 0316 《医疗器械 风险管理对医疗器械的应用》开展风险管理，识别已知和可预见的危险，评估风险等级。对于不能接受的风险，申请人可选择最合适的方式控制风险，应按以下优先顺序进行：</w:t>
      </w:r>
    </w:p>
    <w:p w14:paraId="296834FE">
      <w:pPr>
        <w:spacing w:line="520" w:lineRule="exact"/>
        <w:ind w:firstLine="640" w:firstLineChars="200"/>
        <w:rPr>
          <w:rFonts w:eastAsia="仿宋_GB2312"/>
          <w:color w:val="000000"/>
          <w:sz w:val="32"/>
          <w:szCs w:val="32"/>
        </w:rPr>
      </w:pPr>
      <w:r>
        <w:rPr>
          <w:rFonts w:eastAsia="仿宋_GB2312"/>
          <w:color w:val="000000"/>
          <w:sz w:val="32"/>
          <w:szCs w:val="32"/>
        </w:rPr>
        <w:t>（1）通过设计和生产消除或适当降低风险；</w:t>
      </w:r>
    </w:p>
    <w:p w14:paraId="47BA7B01">
      <w:pPr>
        <w:spacing w:line="520" w:lineRule="exact"/>
        <w:ind w:firstLine="640" w:firstLineChars="200"/>
        <w:rPr>
          <w:rFonts w:eastAsia="仿宋_GB2312"/>
          <w:color w:val="000000"/>
          <w:sz w:val="32"/>
          <w:szCs w:val="32"/>
        </w:rPr>
      </w:pPr>
      <w:r>
        <w:rPr>
          <w:rFonts w:eastAsia="仿宋_GB2312"/>
          <w:color w:val="000000"/>
          <w:sz w:val="32"/>
          <w:szCs w:val="32"/>
        </w:rPr>
        <w:t>（2）对无法消除的风险采取充分的防护措施，包括必要的警报；</w:t>
      </w:r>
    </w:p>
    <w:p w14:paraId="442A2705">
      <w:pPr>
        <w:spacing w:line="520" w:lineRule="exact"/>
        <w:ind w:firstLine="640" w:firstLineChars="200"/>
        <w:rPr>
          <w:rFonts w:eastAsia="仿宋_GB2312"/>
          <w:color w:val="000000"/>
          <w:sz w:val="32"/>
          <w:szCs w:val="32"/>
        </w:rPr>
      </w:pPr>
      <w:r>
        <w:rPr>
          <w:rFonts w:eastAsia="仿宋_GB2312"/>
          <w:color w:val="000000"/>
          <w:sz w:val="32"/>
          <w:szCs w:val="32"/>
        </w:rPr>
        <w:t>（3）提供安全信息（警告/预防措施/禁忌证），适当时向使用者提供培训。</w:t>
      </w:r>
    </w:p>
    <w:p w14:paraId="0C139687">
      <w:pPr>
        <w:spacing w:line="520" w:lineRule="exact"/>
        <w:ind w:firstLine="640" w:firstLineChars="200"/>
        <w:rPr>
          <w:rFonts w:eastAsia="仿宋_GB2312"/>
          <w:color w:val="000000"/>
          <w:sz w:val="32"/>
          <w:szCs w:val="32"/>
        </w:rPr>
      </w:pPr>
      <w:r>
        <w:rPr>
          <w:rFonts w:eastAsia="仿宋_GB2312"/>
          <w:color w:val="000000"/>
          <w:sz w:val="32"/>
          <w:szCs w:val="32"/>
        </w:rPr>
        <w:t>申请人应对风险控制措施的有效性进行验证，对剩余风险的可接受性进行评价，确保每个危险（源）相关的剩余风险和总体剩余风险是可接受的。申请人应按照《医疗器械注册申报资料要求》提供相关的风险管理资料。</w:t>
      </w:r>
    </w:p>
    <w:p w14:paraId="27D35F4A">
      <w:pPr>
        <w:spacing w:line="520" w:lineRule="exact"/>
        <w:ind w:right="-67" w:rightChars="-32" w:firstLine="640" w:firstLineChars="200"/>
        <w:rPr>
          <w:rFonts w:eastAsia="仿宋_GB2312"/>
          <w:color w:val="000000"/>
          <w:sz w:val="32"/>
          <w:szCs w:val="32"/>
        </w:rPr>
      </w:pPr>
      <w:r>
        <w:rPr>
          <w:rFonts w:eastAsia="仿宋_GB2312"/>
          <w:color w:val="000000"/>
          <w:sz w:val="32"/>
          <w:szCs w:val="32"/>
        </w:rPr>
        <w:t>2.医疗器械安全和性能基本原则清单</w:t>
      </w:r>
    </w:p>
    <w:p w14:paraId="71D0C653">
      <w:pPr>
        <w:spacing w:line="520" w:lineRule="exact"/>
        <w:ind w:firstLine="640" w:firstLineChars="200"/>
        <w:rPr>
          <w:rFonts w:eastAsia="仿宋_GB2312"/>
          <w:color w:val="000000"/>
          <w:sz w:val="32"/>
          <w:szCs w:val="32"/>
        </w:rPr>
      </w:pPr>
      <w:r>
        <w:rPr>
          <w:rFonts w:eastAsia="仿宋_GB2312"/>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14:paraId="65C1B2D5">
      <w:pPr>
        <w:spacing w:line="520" w:lineRule="exact"/>
        <w:ind w:firstLine="640" w:firstLineChars="200"/>
        <w:rPr>
          <w:rFonts w:eastAsia="仿宋_GB2312"/>
          <w:color w:val="000000"/>
          <w:sz w:val="32"/>
          <w:szCs w:val="32"/>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7B8AE380">
      <w:pPr>
        <w:spacing w:line="520" w:lineRule="exact"/>
        <w:ind w:right="-67" w:rightChars="-32" w:firstLine="640" w:firstLineChars="200"/>
        <w:rPr>
          <w:rFonts w:eastAsia="仿宋_GB2312"/>
          <w:color w:val="000000"/>
          <w:sz w:val="32"/>
          <w:szCs w:val="32"/>
        </w:rPr>
      </w:pPr>
      <w:r>
        <w:rPr>
          <w:rFonts w:eastAsia="仿宋_GB2312"/>
          <w:color w:val="000000"/>
          <w:sz w:val="32"/>
          <w:szCs w:val="32"/>
        </w:rPr>
        <w:t>3.产品技术要求</w:t>
      </w:r>
    </w:p>
    <w:p w14:paraId="2BC3E3AD">
      <w:pPr>
        <w:spacing w:line="520" w:lineRule="exact"/>
        <w:ind w:firstLine="640" w:firstLineChars="200"/>
        <w:rPr>
          <w:rFonts w:eastAsia="仿宋_GB2312"/>
          <w:color w:val="000000"/>
          <w:sz w:val="32"/>
          <w:szCs w:val="32"/>
        </w:rPr>
      </w:pPr>
      <w:r>
        <w:rPr>
          <w:rFonts w:eastAsia="仿宋_GB2312"/>
          <w:color w:val="000000"/>
          <w:sz w:val="32"/>
          <w:szCs w:val="32"/>
        </w:rPr>
        <w:t>根据产品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14:paraId="04E16587">
      <w:pPr>
        <w:spacing w:line="520" w:lineRule="exact"/>
        <w:ind w:firstLine="640" w:firstLineChars="200"/>
        <w:rPr>
          <w:rFonts w:eastAsia="仿宋_GB2312"/>
          <w:color w:val="000000"/>
          <w:sz w:val="32"/>
          <w:szCs w:val="32"/>
        </w:rPr>
      </w:pPr>
      <w:r>
        <w:rPr>
          <w:rFonts w:eastAsia="仿宋_GB2312"/>
          <w:color w:val="000000"/>
          <w:sz w:val="32"/>
          <w:szCs w:val="32"/>
        </w:rPr>
        <w:t>产品技术要求中规定的“性能指标”部分是否齐全，可以通过是否具有以下主要内容来进行审评：</w:t>
      </w:r>
    </w:p>
    <w:p w14:paraId="6413E41C">
      <w:pPr>
        <w:spacing w:line="520" w:lineRule="exact"/>
        <w:ind w:right="-67" w:rightChars="-32" w:firstLine="640" w:firstLineChars="200"/>
        <w:rPr>
          <w:rFonts w:eastAsia="仿宋_GB2312"/>
          <w:color w:val="000000"/>
          <w:sz w:val="32"/>
          <w:szCs w:val="32"/>
        </w:rPr>
      </w:pPr>
      <w:r>
        <w:rPr>
          <w:rFonts w:eastAsia="仿宋_GB2312"/>
          <w:color w:val="000000"/>
          <w:sz w:val="32"/>
          <w:szCs w:val="32"/>
        </w:rPr>
        <w:t>3.1形状尺寸要求</w:t>
      </w:r>
    </w:p>
    <w:p w14:paraId="4E33C793">
      <w:pPr>
        <w:spacing w:line="520" w:lineRule="exact"/>
        <w:ind w:firstLine="640" w:firstLineChars="200"/>
        <w:rPr>
          <w:rFonts w:eastAsia="仿宋_GB2312"/>
          <w:color w:val="000000"/>
          <w:sz w:val="32"/>
          <w:szCs w:val="32"/>
        </w:rPr>
      </w:pPr>
      <w:r>
        <w:rPr>
          <w:rFonts w:eastAsia="仿宋_GB2312"/>
          <w:color w:val="000000"/>
          <w:sz w:val="32"/>
          <w:szCs w:val="32"/>
        </w:rPr>
        <w:t>3.1.1外观：引流管（尤其是头端）的相关要求。</w:t>
      </w:r>
    </w:p>
    <w:p w14:paraId="1824443A">
      <w:pPr>
        <w:spacing w:line="520" w:lineRule="exact"/>
        <w:ind w:firstLine="640" w:firstLineChars="200"/>
        <w:rPr>
          <w:rFonts w:eastAsia="仿宋_GB2312"/>
          <w:color w:val="000000"/>
          <w:sz w:val="32"/>
          <w:szCs w:val="32"/>
        </w:rPr>
      </w:pPr>
      <w:r>
        <w:rPr>
          <w:rFonts w:eastAsia="仿宋_GB2312"/>
          <w:color w:val="000000"/>
          <w:sz w:val="32"/>
          <w:szCs w:val="32"/>
        </w:rPr>
        <w:t>3.1.2尺寸及形状</w:t>
      </w:r>
    </w:p>
    <w:p w14:paraId="5CE9E6A3">
      <w:pPr>
        <w:spacing w:line="520" w:lineRule="exact"/>
        <w:ind w:firstLine="640" w:firstLineChars="200"/>
        <w:rPr>
          <w:rFonts w:eastAsia="仿宋_GB2312"/>
          <w:color w:val="000000"/>
          <w:sz w:val="32"/>
          <w:szCs w:val="32"/>
        </w:rPr>
      </w:pPr>
      <w:r>
        <w:rPr>
          <w:rFonts w:eastAsia="仿宋_GB2312"/>
          <w:color w:val="000000"/>
          <w:sz w:val="32"/>
          <w:szCs w:val="32"/>
        </w:rPr>
        <w:t>建议应给出引流管及组件的示意图。</w:t>
      </w:r>
    </w:p>
    <w:p w14:paraId="4C6BBDC6">
      <w:pPr>
        <w:spacing w:line="520" w:lineRule="exact"/>
        <w:ind w:firstLine="640" w:firstLineChars="200"/>
        <w:rPr>
          <w:rFonts w:eastAsia="仿宋_GB2312"/>
          <w:color w:val="000000"/>
          <w:sz w:val="32"/>
          <w:szCs w:val="32"/>
        </w:rPr>
      </w:pPr>
      <w:r>
        <w:rPr>
          <w:rFonts w:eastAsia="仿宋_GB2312"/>
          <w:color w:val="000000"/>
          <w:sz w:val="32"/>
          <w:szCs w:val="32"/>
        </w:rPr>
        <w:t>3.1.2.1引流管的外径、内径、总长度、远端长度（L2）、固定圈形状要求。</w:t>
      </w:r>
    </w:p>
    <w:p w14:paraId="61126229">
      <w:pPr>
        <w:spacing w:line="520" w:lineRule="exact"/>
        <w:ind w:firstLine="640" w:firstLineChars="200"/>
        <w:rPr>
          <w:rFonts w:eastAsia="仿宋_GB2312"/>
          <w:color w:val="000000"/>
          <w:sz w:val="32"/>
          <w:szCs w:val="32"/>
        </w:rPr>
      </w:pPr>
      <w:r>
        <w:rPr>
          <w:rFonts w:eastAsia="仿宋_GB2312"/>
          <w:color w:val="000000"/>
          <w:sz w:val="32"/>
          <w:szCs w:val="32"/>
        </w:rPr>
        <w:t>3.1.2.2经鼻管的外径和长度。</w:t>
      </w:r>
    </w:p>
    <w:p w14:paraId="57303D30">
      <w:pPr>
        <w:spacing w:line="360" w:lineRule="auto"/>
        <w:ind w:left="-105" w:leftChars="-250" w:hanging="420" w:hangingChars="200"/>
        <w:jc w:val="center"/>
      </w:pPr>
      <w:r>
        <w:drawing>
          <wp:inline distT="0" distB="0" distL="0" distR="0">
            <wp:extent cx="1666875" cy="1704975"/>
            <wp:effectExtent l="19050" t="0" r="9525" b="0"/>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pic:cNvPicPr>
                      <a:picLocks noChangeAspect="1" noChangeArrowheads="1"/>
                    </pic:cNvPicPr>
                  </pic:nvPicPr>
                  <pic:blipFill>
                    <a:blip r:embed="rId9" cstate="print"/>
                    <a:srcRect/>
                    <a:stretch>
                      <a:fillRect/>
                    </a:stretch>
                  </pic:blipFill>
                  <pic:spPr>
                    <a:xfrm>
                      <a:off x="0" y="0"/>
                      <a:ext cx="1666875" cy="1704975"/>
                    </a:xfrm>
                    <a:prstGeom prst="rect">
                      <a:avLst/>
                    </a:prstGeom>
                    <a:noFill/>
                    <a:ln w="9525">
                      <a:noFill/>
                      <a:miter lim="800000"/>
                      <a:headEnd/>
                      <a:tailEnd/>
                    </a:ln>
                  </pic:spPr>
                </pic:pic>
              </a:graphicData>
            </a:graphic>
          </wp:inline>
        </w:drawing>
      </w:r>
      <w:r>
        <w:t xml:space="preserve">     </w:t>
      </w:r>
      <w:r>
        <w:rPr>
          <w:kern w:val="0"/>
        </w:rPr>
        <w:drawing>
          <wp:inline distT="0" distB="0" distL="0" distR="0">
            <wp:extent cx="1870075" cy="1722755"/>
            <wp:effectExtent l="19050" t="0" r="0" b="0"/>
            <wp:docPr id="5" name="图片 2" descr="反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反式"/>
                    <pic:cNvPicPr>
                      <a:picLocks noChangeAspect="1" noChangeArrowheads="1"/>
                    </pic:cNvPicPr>
                  </pic:nvPicPr>
                  <pic:blipFill>
                    <a:blip r:embed="rId14" cstate="print"/>
                    <a:srcRect/>
                    <a:stretch>
                      <a:fillRect/>
                    </a:stretch>
                  </pic:blipFill>
                  <pic:spPr>
                    <a:xfrm>
                      <a:off x="0" y="0"/>
                      <a:ext cx="1874850" cy="1727079"/>
                    </a:xfrm>
                    <a:prstGeom prst="rect">
                      <a:avLst/>
                    </a:prstGeom>
                    <a:noFill/>
                    <a:ln w="9525">
                      <a:noFill/>
                      <a:miter lim="800000"/>
                      <a:headEnd/>
                      <a:tailEnd/>
                    </a:ln>
                  </pic:spPr>
                </pic:pic>
              </a:graphicData>
            </a:graphic>
          </wp:inline>
        </w:drawing>
      </w:r>
    </w:p>
    <w:p w14:paraId="4C894134">
      <w:pPr>
        <w:spacing w:line="360" w:lineRule="auto"/>
        <w:ind w:left="-105" w:leftChars="-250" w:hanging="420" w:hangingChars="200"/>
        <w:jc w:val="center"/>
      </w:pPr>
      <w:r>
        <w:t xml:space="preserve"> </w:t>
      </w:r>
      <w:r>
        <w:rPr>
          <w:kern w:val="0"/>
        </w:rPr>
        <w:t>α形引流管（</w:t>
      </w:r>
      <w:r>
        <w:t>右</w:t>
      </w:r>
      <w:r>
        <w:rPr>
          <w:kern w:val="0"/>
        </w:rPr>
        <w:t>α形）</w:t>
      </w:r>
      <w:r>
        <w:t xml:space="preserve">    </w:t>
      </w:r>
      <w:r>
        <w:rPr>
          <w:kern w:val="0"/>
        </w:rPr>
        <w:t>逆α形引流管（左α形）</w:t>
      </w:r>
    </w:p>
    <w:p w14:paraId="3F01A2AA">
      <w:pPr>
        <w:spacing w:line="360" w:lineRule="auto"/>
        <w:jc w:val="center"/>
      </w:pPr>
      <w:r>
        <w:drawing>
          <wp:inline distT="0" distB="0" distL="0" distR="0">
            <wp:extent cx="2028825" cy="1866900"/>
            <wp:effectExtent l="19050" t="0" r="9525" b="0"/>
            <wp:docPr id="4" name="图片 3" descr="猪尾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猪尾巴"/>
                    <pic:cNvPicPr>
                      <a:picLocks noChangeAspect="1" noChangeArrowheads="1"/>
                    </pic:cNvPicPr>
                  </pic:nvPicPr>
                  <pic:blipFill>
                    <a:blip r:embed="rId10" cstate="print"/>
                    <a:srcRect/>
                    <a:stretch>
                      <a:fillRect/>
                    </a:stretch>
                  </pic:blipFill>
                  <pic:spPr>
                    <a:xfrm>
                      <a:off x="0" y="0"/>
                      <a:ext cx="2028825" cy="1866900"/>
                    </a:xfrm>
                    <a:prstGeom prst="rect">
                      <a:avLst/>
                    </a:prstGeom>
                    <a:noFill/>
                    <a:ln w="9525">
                      <a:noFill/>
                      <a:miter lim="800000"/>
                      <a:headEnd/>
                      <a:tailEnd/>
                    </a:ln>
                  </pic:spPr>
                </pic:pic>
              </a:graphicData>
            </a:graphic>
          </wp:inline>
        </w:drawing>
      </w:r>
    </w:p>
    <w:p w14:paraId="0A914DF9">
      <w:pPr>
        <w:spacing w:line="360" w:lineRule="auto"/>
        <w:jc w:val="center"/>
      </w:pPr>
      <w:r>
        <w:rPr>
          <w:kern w:val="0"/>
        </w:rPr>
        <w:t>猪尾a形引流管</w:t>
      </w:r>
    </w:p>
    <w:p w14:paraId="4688B124">
      <w:pPr>
        <w:spacing w:line="360" w:lineRule="auto"/>
        <w:jc w:val="center"/>
      </w:pPr>
      <w:r>
        <w:drawing>
          <wp:inline distT="0" distB="0" distL="0" distR="0">
            <wp:extent cx="5029200" cy="810895"/>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5" cstate="print"/>
                    <a:srcRect/>
                    <a:stretch>
                      <a:fillRect/>
                    </a:stretch>
                  </pic:blipFill>
                  <pic:spPr>
                    <a:xfrm>
                      <a:off x="0" y="0"/>
                      <a:ext cx="5029200" cy="810895"/>
                    </a:xfrm>
                    <a:prstGeom prst="rect">
                      <a:avLst/>
                    </a:prstGeom>
                    <a:noFill/>
                    <a:ln w="9525">
                      <a:noFill/>
                      <a:miter lim="800000"/>
                      <a:headEnd/>
                      <a:tailEnd/>
                    </a:ln>
                  </pic:spPr>
                </pic:pic>
              </a:graphicData>
            </a:graphic>
          </wp:inline>
        </w:drawing>
      </w:r>
    </w:p>
    <w:p w14:paraId="39151458">
      <w:pPr>
        <w:spacing w:line="360" w:lineRule="auto"/>
        <w:jc w:val="center"/>
        <w:rPr>
          <w:color w:val="FF0000"/>
        </w:rPr>
      </w:pPr>
      <w:r>
        <w:t>鼻转换管</w:t>
      </w:r>
    </w:p>
    <w:p w14:paraId="6D901D6A">
      <w:pPr>
        <w:spacing w:line="360" w:lineRule="auto"/>
        <w:jc w:val="center"/>
      </w:pPr>
      <w:r>
        <w:drawing>
          <wp:inline distT="0" distB="0" distL="0" distR="0">
            <wp:extent cx="5103495" cy="1052830"/>
            <wp:effectExtent l="19050" t="0" r="1905" b="0"/>
            <wp:docPr id="30" name="图片 30" descr="连接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连接管"/>
                    <pic:cNvPicPr>
                      <a:picLocks noChangeAspect="1" noChangeArrowheads="1"/>
                    </pic:cNvPicPr>
                  </pic:nvPicPr>
                  <pic:blipFill>
                    <a:blip r:embed="rId16" cstate="print"/>
                    <a:srcRect/>
                    <a:stretch>
                      <a:fillRect/>
                    </a:stretch>
                  </pic:blipFill>
                  <pic:spPr>
                    <a:xfrm>
                      <a:off x="0" y="0"/>
                      <a:ext cx="5103495" cy="1052830"/>
                    </a:xfrm>
                    <a:prstGeom prst="rect">
                      <a:avLst/>
                    </a:prstGeom>
                    <a:noFill/>
                    <a:ln w="9525">
                      <a:noFill/>
                      <a:miter lim="800000"/>
                      <a:headEnd/>
                      <a:tailEnd/>
                    </a:ln>
                  </pic:spPr>
                </pic:pic>
              </a:graphicData>
            </a:graphic>
          </wp:inline>
        </w:drawing>
      </w:r>
    </w:p>
    <w:p w14:paraId="58250914">
      <w:pPr>
        <w:spacing w:line="360" w:lineRule="auto"/>
        <w:jc w:val="center"/>
      </w:pPr>
      <w:r>
        <w:rPr>
          <w:kern w:val="0"/>
        </w:rPr>
        <w:t>连接管</w:t>
      </w:r>
    </w:p>
    <w:p w14:paraId="2208CC6A">
      <w:pPr>
        <w:spacing w:line="360" w:lineRule="auto"/>
        <w:jc w:val="center"/>
        <w:rPr>
          <w:rFonts w:eastAsia="黑体"/>
          <w:sz w:val="28"/>
          <w:szCs w:val="28"/>
        </w:rPr>
      </w:pPr>
      <w:r>
        <w:rPr>
          <w:rFonts w:eastAsia="黑体"/>
          <w:sz w:val="28"/>
          <w:szCs w:val="28"/>
        </w:rPr>
        <w:t xml:space="preserve">图3  </w:t>
      </w:r>
      <w:r>
        <w:rPr>
          <w:rFonts w:eastAsia="黑体"/>
          <w:bCs/>
          <w:sz w:val="28"/>
          <w:szCs w:val="28"/>
        </w:rPr>
        <w:t>一次性鼻胆引流管</w:t>
      </w:r>
      <w:r>
        <w:rPr>
          <w:rFonts w:eastAsia="黑体"/>
          <w:sz w:val="28"/>
          <w:szCs w:val="28"/>
        </w:rPr>
        <w:t>结构示意图</w:t>
      </w:r>
    </w:p>
    <w:p w14:paraId="03FB81FC">
      <w:pPr>
        <w:spacing w:line="360" w:lineRule="auto"/>
        <w:jc w:val="center"/>
        <w:rPr>
          <w:rFonts w:eastAsia="黑体"/>
          <w:sz w:val="28"/>
          <w:szCs w:val="28"/>
        </w:rPr>
      </w:pPr>
    </w:p>
    <w:p w14:paraId="4B7F8403">
      <w:pPr>
        <w:spacing w:line="520" w:lineRule="exact"/>
        <w:ind w:firstLine="640" w:firstLineChars="200"/>
        <w:rPr>
          <w:rFonts w:eastAsia="仿宋_GB2312"/>
          <w:color w:val="000000"/>
          <w:sz w:val="32"/>
          <w:szCs w:val="32"/>
        </w:rPr>
      </w:pPr>
      <w:r>
        <w:rPr>
          <w:rFonts w:eastAsia="仿宋_GB2312"/>
          <w:color w:val="000000"/>
          <w:sz w:val="32"/>
          <w:szCs w:val="32"/>
        </w:rPr>
        <w:t>3.2物理性能</w:t>
      </w:r>
    </w:p>
    <w:p w14:paraId="03B0E91C">
      <w:pPr>
        <w:spacing w:line="520" w:lineRule="exact"/>
        <w:ind w:firstLine="640" w:firstLineChars="200"/>
        <w:rPr>
          <w:rFonts w:eastAsia="仿宋_GB2312"/>
          <w:color w:val="000000"/>
          <w:sz w:val="32"/>
          <w:szCs w:val="32"/>
        </w:rPr>
      </w:pPr>
      <w:r>
        <w:rPr>
          <w:rFonts w:eastAsia="仿宋_GB2312"/>
          <w:color w:val="000000"/>
          <w:sz w:val="32"/>
          <w:szCs w:val="32"/>
        </w:rPr>
        <w:t>3.2.1射线可探测性（如适用）</w:t>
      </w:r>
    </w:p>
    <w:p w14:paraId="23EBFAB4">
      <w:pPr>
        <w:spacing w:line="520" w:lineRule="exact"/>
        <w:ind w:firstLine="640" w:firstLineChars="200"/>
        <w:rPr>
          <w:rFonts w:eastAsia="仿宋_GB2312"/>
          <w:color w:val="000000"/>
          <w:sz w:val="32"/>
          <w:szCs w:val="32"/>
        </w:rPr>
      </w:pPr>
      <w:r>
        <w:rPr>
          <w:rFonts w:eastAsia="仿宋_GB2312"/>
          <w:color w:val="000000"/>
          <w:sz w:val="32"/>
          <w:szCs w:val="32"/>
        </w:rPr>
        <w:t>如果生产商标示射线可探测，应能提供相应的试验证据。</w:t>
      </w:r>
    </w:p>
    <w:p w14:paraId="59B3059A">
      <w:pPr>
        <w:spacing w:line="520" w:lineRule="exact"/>
        <w:ind w:firstLine="640" w:firstLineChars="200"/>
        <w:rPr>
          <w:rFonts w:eastAsia="仿宋_GB2312"/>
          <w:color w:val="000000"/>
          <w:sz w:val="32"/>
          <w:szCs w:val="32"/>
        </w:rPr>
      </w:pPr>
      <w:r>
        <w:rPr>
          <w:rFonts w:eastAsia="仿宋_GB2312"/>
          <w:color w:val="000000"/>
          <w:sz w:val="32"/>
          <w:szCs w:val="32"/>
        </w:rPr>
        <w:t xml:space="preserve">3.2.2抗弯曲性  </w:t>
      </w:r>
    </w:p>
    <w:p w14:paraId="37CBF8EF">
      <w:pPr>
        <w:spacing w:line="520" w:lineRule="exact"/>
        <w:ind w:firstLine="640" w:firstLineChars="200"/>
        <w:rPr>
          <w:rFonts w:eastAsia="仿宋_GB2312"/>
          <w:color w:val="000000"/>
          <w:sz w:val="32"/>
          <w:szCs w:val="32"/>
        </w:rPr>
      </w:pPr>
      <w:r>
        <w:rPr>
          <w:rFonts w:eastAsia="仿宋_GB2312"/>
          <w:color w:val="000000"/>
          <w:sz w:val="32"/>
          <w:szCs w:val="32"/>
        </w:rPr>
        <w:t>引流管的管体在弯曲状态下是否可靠支撑引流的完成（待相关行业标准发布后参照执行）。</w:t>
      </w:r>
    </w:p>
    <w:p w14:paraId="70995024">
      <w:pPr>
        <w:spacing w:line="520" w:lineRule="exact"/>
        <w:ind w:firstLine="640" w:firstLineChars="200"/>
        <w:rPr>
          <w:rFonts w:eastAsia="仿宋_GB2312"/>
          <w:color w:val="000000"/>
          <w:sz w:val="32"/>
          <w:szCs w:val="32"/>
        </w:rPr>
      </w:pPr>
      <w:r>
        <w:rPr>
          <w:rFonts w:eastAsia="仿宋_GB2312"/>
          <w:color w:val="000000"/>
          <w:sz w:val="32"/>
          <w:szCs w:val="32"/>
        </w:rPr>
        <w:t>3.2.3抗变形（适用于连接负压泵的产品）</w:t>
      </w:r>
    </w:p>
    <w:p w14:paraId="00C0C2CA">
      <w:pPr>
        <w:spacing w:line="520" w:lineRule="exact"/>
        <w:ind w:firstLine="640" w:firstLineChars="200"/>
        <w:rPr>
          <w:rFonts w:eastAsia="仿宋_GB2312"/>
          <w:color w:val="000000"/>
          <w:sz w:val="32"/>
          <w:szCs w:val="32"/>
        </w:rPr>
      </w:pPr>
      <w:r>
        <w:rPr>
          <w:rFonts w:eastAsia="仿宋_GB2312"/>
          <w:color w:val="000000"/>
          <w:sz w:val="32"/>
          <w:szCs w:val="32"/>
        </w:rPr>
        <w:t>预期在负压使用下的任何组件，在生产商标称的最大负压下应无明显影响其功能的变形。</w:t>
      </w:r>
    </w:p>
    <w:p w14:paraId="40A85961">
      <w:pPr>
        <w:spacing w:line="520" w:lineRule="exact"/>
        <w:ind w:firstLine="640" w:firstLineChars="200"/>
        <w:rPr>
          <w:rFonts w:eastAsia="仿宋_GB2312"/>
          <w:color w:val="000000"/>
          <w:sz w:val="32"/>
          <w:szCs w:val="32"/>
        </w:rPr>
      </w:pPr>
      <w:r>
        <w:rPr>
          <w:rFonts w:eastAsia="仿宋_GB2312"/>
          <w:color w:val="000000"/>
          <w:sz w:val="32"/>
          <w:szCs w:val="32"/>
        </w:rPr>
        <w:t>3.2.4无泄漏</w:t>
      </w:r>
    </w:p>
    <w:p w14:paraId="0C352B67">
      <w:pPr>
        <w:spacing w:line="520" w:lineRule="exact"/>
        <w:ind w:firstLine="640" w:firstLineChars="200"/>
        <w:rPr>
          <w:rFonts w:eastAsia="仿宋_GB2312"/>
          <w:color w:val="000000"/>
          <w:sz w:val="32"/>
          <w:szCs w:val="32"/>
        </w:rPr>
      </w:pPr>
      <w:r>
        <w:rPr>
          <w:rFonts w:eastAsia="仿宋_GB2312"/>
          <w:color w:val="000000"/>
          <w:sz w:val="32"/>
          <w:szCs w:val="32"/>
        </w:rPr>
        <w:t>引流管或任何组件在生产商标称的最大负压下应无泄漏。</w:t>
      </w:r>
    </w:p>
    <w:p w14:paraId="7F8E5DD5">
      <w:pPr>
        <w:spacing w:line="520" w:lineRule="exact"/>
        <w:ind w:firstLine="640" w:firstLineChars="200"/>
        <w:rPr>
          <w:rFonts w:eastAsia="仿宋_GB2312"/>
          <w:color w:val="000000"/>
          <w:sz w:val="32"/>
          <w:szCs w:val="32"/>
        </w:rPr>
      </w:pPr>
      <w:r>
        <w:rPr>
          <w:rFonts w:eastAsia="仿宋_GB2312"/>
          <w:color w:val="000000"/>
          <w:sz w:val="32"/>
          <w:szCs w:val="32"/>
        </w:rPr>
        <w:t>3.2.5断裂力</w:t>
      </w:r>
    </w:p>
    <w:p w14:paraId="18578C84">
      <w:pPr>
        <w:spacing w:line="520" w:lineRule="exact"/>
        <w:ind w:firstLine="640" w:firstLineChars="200"/>
        <w:rPr>
          <w:rFonts w:eastAsia="仿宋_GB2312"/>
          <w:color w:val="000000"/>
          <w:sz w:val="32"/>
          <w:szCs w:val="32"/>
        </w:rPr>
      </w:pPr>
      <w:r>
        <w:rPr>
          <w:rFonts w:eastAsia="仿宋_GB2312"/>
          <w:color w:val="000000"/>
          <w:sz w:val="32"/>
          <w:szCs w:val="32"/>
        </w:rPr>
        <w:t>3.2.5.1连接器</w:t>
      </w:r>
    </w:p>
    <w:p w14:paraId="241FCF54">
      <w:pPr>
        <w:spacing w:line="520" w:lineRule="exact"/>
        <w:ind w:firstLine="640" w:firstLineChars="200"/>
        <w:rPr>
          <w:rFonts w:eastAsia="仿宋_GB2312"/>
          <w:color w:val="000000"/>
          <w:sz w:val="32"/>
          <w:szCs w:val="32"/>
        </w:rPr>
      </w:pPr>
      <w:r>
        <w:rPr>
          <w:rFonts w:eastAsia="仿宋_GB2312"/>
          <w:color w:val="000000"/>
          <w:sz w:val="32"/>
          <w:szCs w:val="32"/>
        </w:rPr>
        <w:t>连接器的定义参照GB/T 15812.1《非血管内导管第1部分：一般性能试验方法》附录F的规定：即按照制造商的说明，需要装配的连接器。</w:t>
      </w:r>
    </w:p>
    <w:p w14:paraId="7A862260">
      <w:pPr>
        <w:spacing w:line="520" w:lineRule="exact"/>
        <w:ind w:firstLine="640" w:firstLineChars="200"/>
        <w:rPr>
          <w:rFonts w:eastAsia="仿宋_GB2312"/>
          <w:color w:val="000000"/>
          <w:sz w:val="32"/>
          <w:szCs w:val="32"/>
        </w:rPr>
      </w:pPr>
      <w:r>
        <w:rPr>
          <w:rFonts w:eastAsia="仿宋_GB2312"/>
          <w:color w:val="000000"/>
          <w:sz w:val="32"/>
          <w:szCs w:val="32"/>
        </w:rPr>
        <w:t>连接器的最小断裂力不小于制造商的声称值，建议不低于YY 0489《一次性使用无菌引流导管及辅助器械》的相关规定，否则应提交充分的验证资料证明产品的安全有效性。</w:t>
      </w:r>
    </w:p>
    <w:p w14:paraId="5BB34724">
      <w:pPr>
        <w:spacing w:line="520" w:lineRule="exact"/>
        <w:ind w:firstLine="640" w:firstLineChars="200"/>
        <w:rPr>
          <w:rFonts w:eastAsia="仿宋_GB2312"/>
          <w:color w:val="000000"/>
          <w:kern w:val="0"/>
          <w:sz w:val="32"/>
          <w:szCs w:val="32"/>
        </w:rPr>
      </w:pPr>
      <w:r>
        <w:rPr>
          <w:rFonts w:eastAsia="仿宋_GB2312"/>
          <w:color w:val="000000"/>
          <w:sz w:val="32"/>
          <w:szCs w:val="32"/>
        </w:rPr>
        <w:t>3.2.5.2</w:t>
      </w:r>
      <w:r>
        <w:rPr>
          <w:rFonts w:eastAsia="仿宋_GB2312"/>
          <w:color w:val="000000"/>
          <w:kern w:val="0"/>
          <w:sz w:val="32"/>
          <w:szCs w:val="32"/>
        </w:rPr>
        <w:t>引流导管和其他组件部分</w:t>
      </w:r>
    </w:p>
    <w:p w14:paraId="52620280">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引流导管和其他组件部分的定义参照GB/T 15812.1《非血管内导管第1部分：一般性能试验方法》附录B的规定：即产品中各管状部分、各座或连接器与管路的各连接处、以及不同管路的各连接处。</w:t>
      </w:r>
    </w:p>
    <w:p w14:paraId="5C458613">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引流导管和其他组件部分的最小断裂力不小于制造商的声称值，</w:t>
      </w:r>
      <w:r>
        <w:rPr>
          <w:rFonts w:eastAsia="仿宋_GB2312"/>
          <w:color w:val="000000"/>
          <w:sz w:val="32"/>
          <w:szCs w:val="32"/>
        </w:rPr>
        <w:t>建议不低于YY 0489《一次性使用无菌引流导管及辅助器械》的相关规定，否则应提交充分的验证资料证明产品的安全有效性。</w:t>
      </w:r>
    </w:p>
    <w:p w14:paraId="2BEFC8D2">
      <w:pPr>
        <w:spacing w:line="520" w:lineRule="exact"/>
        <w:ind w:firstLine="640" w:firstLineChars="200"/>
        <w:rPr>
          <w:rFonts w:eastAsia="仿宋_GB2312"/>
          <w:color w:val="000000"/>
          <w:kern w:val="0"/>
          <w:sz w:val="32"/>
          <w:szCs w:val="32"/>
        </w:rPr>
      </w:pPr>
      <w:r>
        <w:rPr>
          <w:rFonts w:eastAsia="仿宋_GB2312"/>
          <w:color w:val="000000"/>
          <w:sz w:val="32"/>
          <w:szCs w:val="32"/>
        </w:rPr>
        <w:t>3.2.6</w:t>
      </w:r>
      <w:r>
        <w:rPr>
          <w:rFonts w:eastAsia="仿宋_GB2312"/>
          <w:color w:val="000000"/>
          <w:kern w:val="0"/>
          <w:sz w:val="32"/>
          <w:szCs w:val="32"/>
        </w:rPr>
        <w:t>流量</w:t>
      </w:r>
    </w:p>
    <w:p w14:paraId="575B74BC">
      <w:pPr>
        <w:spacing w:line="520" w:lineRule="exact"/>
        <w:ind w:firstLine="640" w:firstLineChars="200"/>
        <w:rPr>
          <w:rFonts w:eastAsia="仿宋_GB2312"/>
          <w:color w:val="000000"/>
          <w:kern w:val="0"/>
          <w:sz w:val="32"/>
          <w:szCs w:val="32"/>
        </w:rPr>
      </w:pPr>
      <w:r>
        <w:rPr>
          <w:rFonts w:eastAsia="仿宋_GB2312"/>
          <w:color w:val="000000"/>
          <w:kern w:val="0"/>
          <w:sz w:val="32"/>
          <w:szCs w:val="32"/>
        </w:rPr>
        <w:t>按照GB/T 15812.1《非血管内导管第1部分：一般性能试验方法》附录E进行试验，流量应不小于制造商的声称值。</w:t>
      </w:r>
    </w:p>
    <w:p w14:paraId="2914EF91">
      <w:pPr>
        <w:spacing w:line="520" w:lineRule="exact"/>
        <w:ind w:firstLine="640" w:firstLineChars="200"/>
        <w:rPr>
          <w:rFonts w:eastAsia="仿宋_GB2312"/>
          <w:color w:val="000000"/>
          <w:kern w:val="0"/>
          <w:sz w:val="32"/>
          <w:szCs w:val="32"/>
        </w:rPr>
      </w:pPr>
      <w:r>
        <w:rPr>
          <w:rFonts w:eastAsia="仿宋_GB2312"/>
          <w:color w:val="000000"/>
          <w:sz w:val="32"/>
          <w:szCs w:val="32"/>
        </w:rPr>
        <w:t>3.2.7</w:t>
      </w:r>
      <w:r>
        <w:rPr>
          <w:rFonts w:eastAsia="仿宋_GB2312"/>
          <w:color w:val="000000"/>
          <w:kern w:val="0"/>
          <w:sz w:val="32"/>
          <w:szCs w:val="32"/>
        </w:rPr>
        <w:t>鲁尔接头（若适用）</w:t>
      </w:r>
    </w:p>
    <w:p w14:paraId="1FC81D34">
      <w:pPr>
        <w:spacing w:line="520" w:lineRule="exact"/>
        <w:ind w:firstLine="640" w:firstLineChars="200"/>
        <w:rPr>
          <w:rFonts w:eastAsia="仿宋_GB2312"/>
          <w:color w:val="000000"/>
          <w:kern w:val="0"/>
          <w:sz w:val="32"/>
          <w:szCs w:val="32"/>
        </w:rPr>
      </w:pPr>
      <w:r>
        <w:rPr>
          <w:rFonts w:eastAsia="仿宋_GB2312"/>
          <w:color w:val="000000"/>
          <w:kern w:val="0"/>
          <w:sz w:val="32"/>
          <w:szCs w:val="32"/>
        </w:rPr>
        <w:t>应符合GB/T 1962.1《注射器、注射针及其他医疗器械6%(鲁尔)圆锥接头 第1部分:通用要求》、GB/T 1962.2《注射器、注射针及其他医疗器械6%(鲁尔)圆锥接头 第2部分:锁定接头》的要求。</w:t>
      </w:r>
    </w:p>
    <w:p w14:paraId="5D8BC767">
      <w:pPr>
        <w:spacing w:line="520" w:lineRule="exact"/>
        <w:ind w:firstLine="640" w:firstLineChars="200"/>
        <w:rPr>
          <w:rFonts w:eastAsia="仿宋_GB2312"/>
          <w:color w:val="000000"/>
          <w:kern w:val="0"/>
          <w:sz w:val="32"/>
          <w:szCs w:val="32"/>
        </w:rPr>
      </w:pPr>
      <w:r>
        <w:rPr>
          <w:rFonts w:eastAsia="仿宋_GB2312"/>
          <w:color w:val="000000"/>
          <w:sz w:val="32"/>
          <w:szCs w:val="32"/>
        </w:rPr>
        <w:t>3.2.8</w:t>
      </w:r>
      <w:r>
        <w:rPr>
          <w:rFonts w:eastAsia="仿宋_GB2312"/>
          <w:color w:val="000000"/>
          <w:kern w:val="0"/>
          <w:sz w:val="32"/>
          <w:szCs w:val="32"/>
        </w:rPr>
        <w:t>配合性能（若适用）</w:t>
      </w:r>
    </w:p>
    <w:p w14:paraId="0C8FE7A4">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引流管与鼻转换管的配合性能应予以要求。</w:t>
      </w:r>
    </w:p>
    <w:p w14:paraId="071A1FBF">
      <w:pPr>
        <w:spacing w:line="520" w:lineRule="exact"/>
        <w:ind w:firstLine="640" w:firstLineChars="200"/>
        <w:rPr>
          <w:rFonts w:eastAsia="仿宋_GB2312"/>
          <w:color w:val="000000"/>
          <w:kern w:val="0"/>
          <w:sz w:val="32"/>
          <w:szCs w:val="32"/>
        </w:rPr>
      </w:pPr>
      <w:r>
        <w:rPr>
          <w:rFonts w:eastAsia="仿宋_GB2312"/>
          <w:color w:val="000000"/>
          <w:sz w:val="32"/>
          <w:szCs w:val="32"/>
        </w:rPr>
        <w:t>3.2.9</w:t>
      </w:r>
      <w:r>
        <w:rPr>
          <w:rFonts w:eastAsia="仿宋_GB2312"/>
          <w:color w:val="000000"/>
          <w:kern w:val="0"/>
          <w:sz w:val="32"/>
          <w:szCs w:val="32"/>
        </w:rPr>
        <w:t>导丝通畅性</w:t>
      </w:r>
    </w:p>
    <w:p w14:paraId="2ABC5CB5">
      <w:pPr>
        <w:spacing w:line="520" w:lineRule="exact"/>
        <w:ind w:left="624"/>
        <w:rPr>
          <w:rFonts w:eastAsia="仿宋_GB2312"/>
          <w:color w:val="000000"/>
          <w:kern w:val="0"/>
          <w:sz w:val="32"/>
          <w:szCs w:val="32"/>
        </w:rPr>
      </w:pPr>
      <w:r>
        <w:rPr>
          <w:rFonts w:eastAsia="仿宋_GB2312"/>
          <w:color w:val="000000"/>
          <w:kern w:val="0"/>
          <w:sz w:val="32"/>
          <w:szCs w:val="32"/>
        </w:rPr>
        <w:t>从外引流管远端插入导丝（导丝直径由企业制订），导丝在引流管内应穿行顺滑，无明显阻滞现象。</w:t>
      </w:r>
    </w:p>
    <w:p w14:paraId="5D720702">
      <w:pPr>
        <w:spacing w:line="520" w:lineRule="exact"/>
        <w:ind w:firstLine="640" w:firstLineChars="200"/>
        <w:rPr>
          <w:rFonts w:eastAsia="仿宋_GB2312"/>
          <w:color w:val="000000"/>
          <w:kern w:val="0"/>
          <w:sz w:val="32"/>
          <w:szCs w:val="32"/>
        </w:rPr>
      </w:pPr>
      <w:r>
        <w:rPr>
          <w:rFonts w:eastAsia="仿宋_GB2312"/>
          <w:color w:val="000000"/>
          <w:sz w:val="32"/>
          <w:szCs w:val="32"/>
        </w:rPr>
        <w:t>3.3</w:t>
      </w:r>
      <w:r>
        <w:rPr>
          <w:rFonts w:eastAsia="仿宋_GB2312"/>
          <w:color w:val="000000"/>
          <w:kern w:val="0"/>
          <w:sz w:val="32"/>
          <w:szCs w:val="32"/>
        </w:rPr>
        <w:t>化学指标</w:t>
      </w:r>
    </w:p>
    <w:p w14:paraId="0CBB9921">
      <w:pPr>
        <w:spacing w:line="520" w:lineRule="exact"/>
        <w:ind w:firstLine="640" w:firstLineChars="200"/>
        <w:rPr>
          <w:rFonts w:eastAsia="仿宋_GB2312"/>
          <w:color w:val="000000"/>
          <w:kern w:val="0"/>
          <w:sz w:val="32"/>
          <w:szCs w:val="32"/>
        </w:rPr>
      </w:pPr>
      <w:r>
        <w:rPr>
          <w:rFonts w:eastAsia="仿宋_GB2312"/>
          <w:color w:val="000000"/>
          <w:sz w:val="32"/>
          <w:szCs w:val="32"/>
        </w:rPr>
        <w:t>3.3.1</w:t>
      </w:r>
      <w:r>
        <w:rPr>
          <w:rFonts w:eastAsia="仿宋_GB2312"/>
          <w:color w:val="000000"/>
          <w:kern w:val="0"/>
          <w:sz w:val="32"/>
          <w:szCs w:val="32"/>
        </w:rPr>
        <w:t>环氧乙烷残留量</w:t>
      </w:r>
    </w:p>
    <w:p w14:paraId="6C0EC04A">
      <w:pPr>
        <w:spacing w:line="520" w:lineRule="exact"/>
        <w:ind w:firstLine="640" w:firstLineChars="200"/>
        <w:rPr>
          <w:rFonts w:eastAsia="仿宋_GB2312"/>
          <w:color w:val="000000"/>
          <w:kern w:val="0"/>
          <w:sz w:val="32"/>
          <w:szCs w:val="32"/>
        </w:rPr>
      </w:pPr>
      <w:r>
        <w:rPr>
          <w:rFonts w:eastAsia="仿宋_GB2312"/>
          <w:color w:val="000000"/>
          <w:sz w:val="32"/>
          <w:szCs w:val="32"/>
        </w:rPr>
        <w:t>3.3.2</w:t>
      </w:r>
      <w:r>
        <w:rPr>
          <w:rFonts w:eastAsia="仿宋_GB2312"/>
          <w:color w:val="000000"/>
          <w:kern w:val="0"/>
          <w:sz w:val="32"/>
          <w:szCs w:val="32"/>
        </w:rPr>
        <w:t>根据不同材料特性，参照GB/T 14233.1《</w:t>
      </w:r>
      <w:r>
        <w:rPr>
          <w:rFonts w:eastAsia="仿宋_GB2312"/>
          <w:kern w:val="0"/>
          <w:sz w:val="32"/>
          <w:szCs w:val="32"/>
        </w:rPr>
        <w:t>医用输液、输血、注射器具检验方法第1部分：化学分析方法</w:t>
      </w:r>
      <w:r>
        <w:rPr>
          <w:rFonts w:eastAsia="仿宋_GB2312"/>
          <w:color w:val="000000"/>
          <w:kern w:val="0"/>
          <w:sz w:val="32"/>
          <w:szCs w:val="32"/>
        </w:rPr>
        <w:t>》，由企业决定对化学性能提出要求项目，至少应包括还原物质、酸碱度、重金属总含量、蒸发残渣。</w:t>
      </w:r>
    </w:p>
    <w:p w14:paraId="0ACA29D8">
      <w:pPr>
        <w:spacing w:line="520" w:lineRule="exact"/>
        <w:ind w:firstLine="640" w:firstLineChars="200"/>
        <w:rPr>
          <w:rFonts w:eastAsia="仿宋_GB2312"/>
          <w:color w:val="000000"/>
          <w:kern w:val="0"/>
          <w:sz w:val="32"/>
          <w:szCs w:val="32"/>
        </w:rPr>
      </w:pPr>
      <w:r>
        <w:rPr>
          <w:rFonts w:eastAsia="仿宋_GB2312"/>
          <w:color w:val="000000"/>
          <w:sz w:val="32"/>
          <w:szCs w:val="32"/>
        </w:rPr>
        <w:t>3.4</w:t>
      </w:r>
      <w:r>
        <w:rPr>
          <w:rFonts w:eastAsia="仿宋_GB2312"/>
          <w:color w:val="000000"/>
          <w:kern w:val="0"/>
          <w:sz w:val="32"/>
          <w:szCs w:val="32"/>
        </w:rPr>
        <w:t>无菌性能：以灭菌包装提供的产品应无菌。</w:t>
      </w:r>
    </w:p>
    <w:p w14:paraId="6771E590">
      <w:pPr>
        <w:spacing w:line="520" w:lineRule="exact"/>
        <w:ind w:right="-67" w:rightChars="-32" w:firstLine="640" w:firstLineChars="200"/>
        <w:rPr>
          <w:rFonts w:eastAsia="仿宋_GB2312"/>
          <w:color w:val="000000"/>
          <w:sz w:val="32"/>
          <w:szCs w:val="32"/>
        </w:rPr>
      </w:pPr>
      <w:r>
        <w:rPr>
          <w:rFonts w:eastAsia="仿宋_GB2312"/>
          <w:color w:val="000000"/>
          <w:sz w:val="32"/>
          <w:szCs w:val="32"/>
        </w:rPr>
        <w:t>4.检验报告</w:t>
      </w:r>
    </w:p>
    <w:p w14:paraId="57E4408C">
      <w:pPr>
        <w:pStyle w:val="25"/>
        <w:spacing w:line="520" w:lineRule="exact"/>
        <w:ind w:firstLine="640"/>
        <w:rPr>
          <w:rFonts w:eastAsia="仿宋_GB2312"/>
          <w:color w:val="000000"/>
          <w:kern w:val="0"/>
          <w:sz w:val="32"/>
          <w:szCs w:val="32"/>
        </w:rPr>
      </w:pPr>
      <w:r>
        <w:rPr>
          <w:rFonts w:eastAsia="仿宋_GB2312"/>
          <w:color w:val="000000"/>
          <w:sz w:val="32"/>
          <w:szCs w:val="32"/>
        </w:rPr>
        <w:t>（1）</w:t>
      </w:r>
      <w:r>
        <w:rPr>
          <w:rFonts w:eastAsia="仿宋_GB2312"/>
          <w:color w:val="000000"/>
          <w:kern w:val="0"/>
          <w:sz w:val="32"/>
          <w:szCs w:val="32"/>
        </w:rPr>
        <w:t>同一注册单元内所检验的产品应当是能够代表本注册单元内其他产品安全性和有效性的典型产品，其功能最齐全、或结构最复杂、或风险最高。</w:t>
      </w:r>
    </w:p>
    <w:p w14:paraId="3A3D7FEA">
      <w:pPr>
        <w:pStyle w:val="25"/>
        <w:spacing w:line="520" w:lineRule="exact"/>
        <w:ind w:firstLine="640"/>
        <w:rPr>
          <w:rFonts w:eastAsia="仿宋_GB2312"/>
          <w:color w:val="000000"/>
          <w:kern w:val="0"/>
          <w:sz w:val="32"/>
          <w:szCs w:val="32"/>
        </w:rPr>
      </w:pPr>
      <w:r>
        <w:rPr>
          <w:rFonts w:eastAsia="仿宋_GB2312"/>
          <w:color w:val="000000"/>
          <w:sz w:val="32"/>
          <w:szCs w:val="32"/>
        </w:rPr>
        <w:t>（2）</w:t>
      </w:r>
      <w:r>
        <w:rPr>
          <w:rFonts w:eastAsia="仿宋_GB2312"/>
          <w:color w:val="000000"/>
          <w:kern w:val="0"/>
          <w:sz w:val="32"/>
          <w:szCs w:val="32"/>
        </w:rPr>
        <w:t>典型产品的确定可以通过比较同一注册单元内所有产品的技术结构、性能指标等相应资料，说明其能够代表本注册单元内其他产品的安全性和有效性。</w:t>
      </w:r>
    </w:p>
    <w:p w14:paraId="573AD3FE">
      <w:pPr>
        <w:pStyle w:val="25"/>
        <w:spacing w:line="520" w:lineRule="exact"/>
        <w:ind w:firstLine="640"/>
        <w:rPr>
          <w:rFonts w:eastAsia="仿宋"/>
          <w:color w:val="000000"/>
          <w:spacing w:val="-4"/>
          <w:sz w:val="32"/>
          <w:szCs w:val="28"/>
        </w:rPr>
      </w:pPr>
      <w:r>
        <w:rPr>
          <w:rFonts w:eastAsia="仿宋_GB2312"/>
          <w:color w:val="000000"/>
          <w:kern w:val="0"/>
          <w:sz w:val="32"/>
          <w:szCs w:val="32"/>
        </w:rPr>
        <w:t>例：引流管有α形引流管（右α形）、逆α形引流管（左α形）、猪尾α形等多种技术结构（如图3所示）。在上述三种类型产品预期用途一致的情况下，如猪尾α形引流管结构最复杂，生物、化学、物理等性能指标涵盖其他两种产品的指标，能够代表其他产品的安全性、有效性，则可以确定猪尾α形引流管为这三种产品的典型产品。</w:t>
      </w:r>
    </w:p>
    <w:p w14:paraId="228BED4F">
      <w:pPr>
        <w:spacing w:line="520" w:lineRule="exact"/>
        <w:ind w:right="-67" w:rightChars="-32" w:firstLine="640" w:firstLineChars="200"/>
        <w:rPr>
          <w:rFonts w:eastAsia="仿宋_GB2312"/>
          <w:color w:val="000000"/>
          <w:sz w:val="32"/>
          <w:szCs w:val="32"/>
        </w:rPr>
      </w:pPr>
      <w:r>
        <w:rPr>
          <w:rFonts w:eastAsia="仿宋_GB2312"/>
          <w:color w:val="000000"/>
          <w:sz w:val="32"/>
          <w:szCs w:val="32"/>
        </w:rPr>
        <w:t>5.产品的研究资料</w:t>
      </w:r>
    </w:p>
    <w:p w14:paraId="1B1636E7">
      <w:pPr>
        <w:overflowPunct w:val="0"/>
        <w:spacing w:line="520" w:lineRule="exact"/>
        <w:ind w:firstLine="640" w:firstLineChars="200"/>
        <w:rPr>
          <w:rFonts w:eastAsia="仿宋_GB2312"/>
          <w:color w:val="000000"/>
          <w:sz w:val="32"/>
          <w:szCs w:val="32"/>
        </w:rPr>
      </w:pPr>
      <w:r>
        <w:rPr>
          <w:rFonts w:eastAsia="仿宋_GB2312"/>
          <w:color w:val="000000"/>
          <w:sz w:val="32"/>
          <w:szCs w:val="32"/>
        </w:rPr>
        <w:t>根据所申报的产品，提供适用的研究资料。</w:t>
      </w:r>
    </w:p>
    <w:p w14:paraId="1A042902">
      <w:pPr>
        <w:tabs>
          <w:tab w:val="left" w:pos="6078"/>
        </w:tabs>
        <w:spacing w:line="520" w:lineRule="exact"/>
        <w:ind w:firstLine="640" w:firstLineChars="200"/>
        <w:rPr>
          <w:rFonts w:eastAsia="仿宋"/>
          <w:color w:val="000000" w:themeColor="text1"/>
          <w:spacing w:val="-4"/>
          <w:sz w:val="32"/>
          <w:szCs w:val="28"/>
        </w:rPr>
      </w:pPr>
      <w:r>
        <w:rPr>
          <w:rFonts w:hint="eastAsia" w:eastAsia="仿宋_GB2312"/>
          <w:color w:val="000000"/>
          <w:sz w:val="32"/>
          <w:szCs w:val="32"/>
        </w:rPr>
        <w:t>5.1</w:t>
      </w:r>
      <w:r>
        <w:rPr>
          <w:rFonts w:eastAsia="仿宋_GB2312"/>
          <w:color w:val="000000"/>
          <w:sz w:val="32"/>
          <w:szCs w:val="32"/>
        </w:rPr>
        <w:t>产品性能研究</w:t>
      </w:r>
      <w:r>
        <w:rPr>
          <w:rFonts w:eastAsia="仿宋"/>
          <w:color w:val="000000" w:themeColor="text1"/>
          <w:spacing w:val="-4"/>
          <w:sz w:val="32"/>
          <w:szCs w:val="28"/>
        </w:rPr>
        <w:tab/>
      </w:r>
    </w:p>
    <w:p w14:paraId="6073EE1B">
      <w:pPr>
        <w:spacing w:line="520" w:lineRule="exact"/>
        <w:ind w:firstLine="640" w:firstLineChars="200"/>
        <w:rPr>
          <w:rFonts w:eastAsia="仿宋_GB2312"/>
          <w:color w:val="000000"/>
          <w:sz w:val="32"/>
          <w:szCs w:val="32"/>
        </w:rPr>
      </w:pPr>
      <w:r>
        <w:rPr>
          <w:rFonts w:eastAsia="仿宋_GB2312"/>
          <w:color w:val="000000"/>
          <w:sz w:val="32"/>
          <w:szCs w:val="32"/>
        </w:rPr>
        <w:t>应当提供产品性能研究资料以及产品技术要求的研究和编制说明，包括功能性、安全性指标以及与质量控制相关的其他指标的确定依据，所采用的标准或方法，采用的原因及理论基础。</w:t>
      </w:r>
    </w:p>
    <w:p w14:paraId="46082971">
      <w:pPr>
        <w:spacing w:line="520" w:lineRule="exact"/>
        <w:ind w:firstLine="640" w:firstLineChars="200"/>
        <w:jc w:val="left"/>
        <w:rPr>
          <w:rFonts w:eastAsia="仿宋_GB2312"/>
          <w:color w:val="000000"/>
          <w:sz w:val="32"/>
          <w:szCs w:val="32"/>
        </w:rPr>
      </w:pPr>
      <w:r>
        <w:rPr>
          <w:rFonts w:eastAsia="仿宋_GB2312"/>
          <w:color w:val="000000"/>
          <w:sz w:val="32"/>
          <w:szCs w:val="32"/>
        </w:rPr>
        <w:t>虽然目前还没有完全适用的国家标准和行业标准，但是可以参照类似产品和相关产品的国家标准和行业标准，并结合实际使用情况制订相应的产品技术指标。例如各性能指标的制订可参考YY 0489《一次性使用无菌引流导管及辅助器械》，外径小于2mm的导管虽然不在该标准的范围内，亦可参考。</w:t>
      </w:r>
    </w:p>
    <w:p w14:paraId="11D7C4DA">
      <w:pPr>
        <w:spacing w:line="520" w:lineRule="exact"/>
        <w:ind w:firstLine="640" w:firstLineChars="200"/>
        <w:jc w:val="left"/>
        <w:rPr>
          <w:rFonts w:eastAsia="仿宋_GB2312"/>
          <w:color w:val="000000"/>
          <w:sz w:val="32"/>
          <w:szCs w:val="32"/>
        </w:rPr>
      </w:pPr>
      <w:r>
        <w:rPr>
          <w:rFonts w:eastAsia="仿宋_GB2312"/>
          <w:color w:val="000000"/>
          <w:sz w:val="32"/>
          <w:szCs w:val="32"/>
        </w:rPr>
        <w:t>建议提交模拟胆汁下，引流管抗断裂力（尤其是远端打孔处）、疲劳性能研究资料。</w:t>
      </w:r>
    </w:p>
    <w:p w14:paraId="109DB869">
      <w:pPr>
        <w:spacing w:line="520" w:lineRule="exact"/>
        <w:ind w:firstLine="640" w:firstLineChars="200"/>
        <w:rPr>
          <w:rFonts w:eastAsia="仿宋_GB2312"/>
          <w:color w:val="000000"/>
          <w:sz w:val="32"/>
          <w:szCs w:val="32"/>
        </w:rPr>
      </w:pPr>
      <w:r>
        <w:rPr>
          <w:rFonts w:hint="eastAsia" w:eastAsia="仿宋_GB2312"/>
          <w:color w:val="000000"/>
          <w:sz w:val="32"/>
          <w:szCs w:val="32"/>
        </w:rPr>
        <w:t>5.2</w:t>
      </w:r>
      <w:r>
        <w:rPr>
          <w:rFonts w:eastAsia="仿宋_GB2312"/>
          <w:color w:val="000000"/>
          <w:sz w:val="32"/>
          <w:szCs w:val="32"/>
        </w:rPr>
        <w:t>生物相容性评价研究</w:t>
      </w:r>
    </w:p>
    <w:p w14:paraId="543BA059">
      <w:pPr>
        <w:spacing w:line="520" w:lineRule="exact"/>
        <w:ind w:firstLine="640" w:firstLineChars="200"/>
        <w:rPr>
          <w:rFonts w:eastAsia="仿宋_GB2312"/>
          <w:color w:val="000000"/>
          <w:sz w:val="32"/>
          <w:szCs w:val="32"/>
        </w:rPr>
      </w:pPr>
      <w:r>
        <w:rPr>
          <w:rFonts w:eastAsia="仿宋_GB2312"/>
          <w:color w:val="000000"/>
          <w:sz w:val="32"/>
          <w:szCs w:val="32"/>
        </w:rPr>
        <w:t>应评价预期插入患者体内引流液体的引流导管和引流系统的其他任何组件的生物相容性，应无生物学危害。</w:t>
      </w:r>
    </w:p>
    <w:p w14:paraId="55AAD1E5">
      <w:pPr>
        <w:spacing w:line="520" w:lineRule="exact"/>
        <w:ind w:firstLine="640" w:firstLineChars="200"/>
        <w:rPr>
          <w:rFonts w:eastAsia="仿宋_GB2312"/>
          <w:color w:val="000000"/>
          <w:sz w:val="32"/>
          <w:szCs w:val="32"/>
        </w:rPr>
      </w:pPr>
      <w:r>
        <w:rPr>
          <w:rFonts w:eastAsia="仿宋_GB2312"/>
          <w:color w:val="000000"/>
          <w:sz w:val="32"/>
          <w:szCs w:val="32"/>
        </w:rPr>
        <w:t>产品生物相容性评价应依据GB/T 16886系列标准进行评价并提交资料，必要时进行生物相容性试验。</w:t>
      </w:r>
    </w:p>
    <w:p w14:paraId="085E56E9">
      <w:pPr>
        <w:spacing w:line="520" w:lineRule="exact"/>
        <w:ind w:firstLine="640" w:firstLineChars="200"/>
        <w:rPr>
          <w:rFonts w:eastAsia="仿宋_GB2312"/>
          <w:color w:val="000000"/>
          <w:sz w:val="32"/>
          <w:szCs w:val="32"/>
        </w:rPr>
      </w:pPr>
      <w:r>
        <w:rPr>
          <w:rFonts w:eastAsia="仿宋_GB2312"/>
          <w:color w:val="000000"/>
          <w:sz w:val="32"/>
          <w:szCs w:val="32"/>
        </w:rPr>
        <w:t>通常产品组件与患者人体黏膜长期接触，直接接触的部位采用医用高分子材料制成。</w:t>
      </w:r>
    </w:p>
    <w:p w14:paraId="582FCE56">
      <w:pPr>
        <w:spacing w:line="520" w:lineRule="exact"/>
        <w:ind w:firstLine="640" w:firstLineChars="200"/>
        <w:rPr>
          <w:rFonts w:eastAsia="仿宋_GB2312"/>
          <w:color w:val="000000"/>
          <w:sz w:val="32"/>
          <w:szCs w:val="32"/>
        </w:rPr>
      </w:pPr>
      <w:r>
        <w:rPr>
          <w:rFonts w:eastAsia="仿宋_GB2312"/>
          <w:color w:val="000000"/>
          <w:sz w:val="32"/>
          <w:szCs w:val="32"/>
        </w:rPr>
        <w:t xml:space="preserve">实施或豁免生物学试验的理由和论证可参照《医疗器械生物学评价和审查指南》中相关要求。  </w:t>
      </w:r>
    </w:p>
    <w:p w14:paraId="1BF1A51D">
      <w:pPr>
        <w:spacing w:line="520" w:lineRule="exact"/>
        <w:ind w:firstLine="640" w:firstLineChars="200"/>
        <w:rPr>
          <w:rFonts w:eastAsia="仿宋_GB2312"/>
          <w:color w:val="000000"/>
          <w:sz w:val="32"/>
          <w:szCs w:val="32"/>
        </w:rPr>
      </w:pPr>
      <w:r>
        <w:rPr>
          <w:rFonts w:hint="eastAsia" w:eastAsia="仿宋_GB2312"/>
          <w:color w:val="000000"/>
          <w:sz w:val="32"/>
          <w:szCs w:val="32"/>
        </w:rPr>
        <w:t>5.3</w:t>
      </w:r>
      <w:r>
        <w:rPr>
          <w:rFonts w:eastAsia="仿宋_GB2312"/>
          <w:color w:val="000000"/>
          <w:sz w:val="32"/>
          <w:szCs w:val="32"/>
        </w:rPr>
        <w:t>灭菌工艺研究</w:t>
      </w:r>
    </w:p>
    <w:p w14:paraId="3447DCAD">
      <w:pPr>
        <w:spacing w:line="520" w:lineRule="exact"/>
        <w:ind w:firstLine="640" w:firstLineChars="200"/>
        <w:rPr>
          <w:rFonts w:eastAsia="仿宋_GB2312"/>
          <w:color w:val="000000"/>
          <w:sz w:val="32"/>
          <w:szCs w:val="32"/>
        </w:rPr>
      </w:pPr>
      <w:r>
        <w:rPr>
          <w:rFonts w:eastAsia="仿宋_GB2312"/>
          <w:color w:val="000000"/>
          <w:sz w:val="32"/>
          <w:szCs w:val="32"/>
        </w:rPr>
        <w:t>应明确灭菌工艺（方法和参数）及其选择依据和无菌保证水平（SAL），并提供灭菌确认报告。如：</w:t>
      </w:r>
    </w:p>
    <w:p w14:paraId="70CF9FA4">
      <w:pPr>
        <w:spacing w:line="520" w:lineRule="exact"/>
        <w:ind w:firstLine="640" w:firstLineChars="200"/>
        <w:rPr>
          <w:rFonts w:eastAsia="仿宋_GB2312"/>
          <w:color w:val="000000"/>
          <w:sz w:val="32"/>
          <w:szCs w:val="32"/>
        </w:rPr>
      </w:pPr>
      <w:r>
        <w:rPr>
          <w:rFonts w:eastAsia="仿宋_GB2312"/>
          <w:color w:val="000000"/>
          <w:sz w:val="32"/>
          <w:szCs w:val="32"/>
        </w:rPr>
        <w:t>对于经环氧乙烷灭菌的产品，需提供灭菌结果确认和过程控制报告，具体可参照GB 18279系列标准。</w:t>
      </w:r>
    </w:p>
    <w:p w14:paraId="60C556B5">
      <w:pPr>
        <w:spacing w:line="520" w:lineRule="exact"/>
        <w:ind w:firstLine="640" w:firstLineChars="200"/>
        <w:rPr>
          <w:rFonts w:eastAsia="仿宋_GB2312"/>
          <w:color w:val="000000"/>
          <w:sz w:val="32"/>
          <w:szCs w:val="32"/>
        </w:rPr>
      </w:pPr>
      <w:r>
        <w:rPr>
          <w:rFonts w:eastAsia="仿宋_GB2312"/>
          <w:color w:val="000000"/>
          <w:sz w:val="32"/>
          <w:szCs w:val="32"/>
        </w:rPr>
        <w:t>残留毒性：若灭菌使用的方法容易出现残留，如环氧乙烷灭菌，应当明确残留物信息及采取的处理方法，并提供研究资料。</w:t>
      </w:r>
    </w:p>
    <w:p w14:paraId="0C825150">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5.4</w:t>
      </w:r>
      <w:r>
        <w:rPr>
          <w:rFonts w:eastAsia="仿宋_GB2312"/>
          <w:color w:val="000000"/>
          <w:sz w:val="32"/>
          <w:szCs w:val="32"/>
        </w:rPr>
        <w:t>稳定性研究</w:t>
      </w:r>
    </w:p>
    <w:p w14:paraId="4BF63DBC">
      <w:pPr>
        <w:spacing w:line="520" w:lineRule="exact"/>
        <w:ind w:firstLine="640" w:firstLineChars="200"/>
        <w:rPr>
          <w:rFonts w:eastAsia="仿宋_GB2312"/>
          <w:bCs/>
          <w:color w:val="000000"/>
          <w:sz w:val="32"/>
          <w:szCs w:val="32"/>
        </w:rPr>
      </w:pPr>
      <w:r>
        <w:rPr>
          <w:rFonts w:hint="eastAsia" w:eastAsia="仿宋_GB2312"/>
          <w:bCs/>
          <w:color w:val="000000"/>
          <w:sz w:val="32"/>
          <w:szCs w:val="32"/>
        </w:rPr>
        <w:t>5.4.1</w:t>
      </w:r>
      <w:r>
        <w:rPr>
          <w:rFonts w:eastAsia="仿宋_GB2312"/>
          <w:bCs/>
          <w:color w:val="000000"/>
          <w:sz w:val="32"/>
          <w:szCs w:val="32"/>
        </w:rPr>
        <w:t>货架有效期</w:t>
      </w:r>
    </w:p>
    <w:p w14:paraId="1FDA6116">
      <w:pPr>
        <w:overflowPunct w:val="0"/>
        <w:spacing w:line="520" w:lineRule="exact"/>
        <w:ind w:firstLine="640" w:firstLineChars="200"/>
        <w:rPr>
          <w:rFonts w:eastAsia="仿宋_GB2312"/>
          <w:color w:val="000000"/>
          <w:sz w:val="32"/>
          <w:szCs w:val="32"/>
        </w:rPr>
      </w:pPr>
      <w:r>
        <w:rPr>
          <w:rFonts w:eastAsia="仿宋_GB2312"/>
          <w:color w:val="000000"/>
          <w:sz w:val="32"/>
          <w:szCs w:val="32"/>
        </w:rPr>
        <w:t>申请人应提交产品有效期研究确认资料，产品有效期研究可采用加速老化或实时老化的研究，加速老化研究可参考YY/T 0681.1《无菌医疗器械包装试验方法第1部分：加速老化试验指南》。</w:t>
      </w:r>
    </w:p>
    <w:p w14:paraId="1425C9A6">
      <w:pPr>
        <w:spacing w:line="520" w:lineRule="exact"/>
        <w:ind w:firstLine="640" w:firstLineChars="200"/>
        <w:rPr>
          <w:rFonts w:eastAsia="仿宋_GB2312"/>
          <w:bCs/>
          <w:color w:val="000000"/>
          <w:sz w:val="32"/>
          <w:szCs w:val="32"/>
        </w:rPr>
      </w:pPr>
      <w:r>
        <w:rPr>
          <w:rFonts w:hint="eastAsia" w:eastAsia="仿宋_GB2312"/>
          <w:bCs/>
          <w:color w:val="000000"/>
          <w:sz w:val="32"/>
          <w:szCs w:val="32"/>
        </w:rPr>
        <w:t>5.4.2</w:t>
      </w:r>
      <w:r>
        <w:rPr>
          <w:rFonts w:eastAsia="仿宋_GB2312"/>
          <w:bCs/>
          <w:color w:val="000000"/>
          <w:sz w:val="32"/>
          <w:szCs w:val="32"/>
        </w:rPr>
        <w:t>运输稳定性</w:t>
      </w:r>
    </w:p>
    <w:p w14:paraId="3F0D18DD">
      <w:pPr>
        <w:overflowPunct w:val="0"/>
        <w:spacing w:line="520" w:lineRule="exact"/>
        <w:ind w:firstLine="630"/>
        <w:rPr>
          <w:rFonts w:eastAsia="仿宋_GB2312"/>
          <w:color w:val="000000"/>
          <w:sz w:val="32"/>
          <w:szCs w:val="32"/>
        </w:rPr>
      </w:pPr>
      <w:r>
        <w:rPr>
          <w:rFonts w:eastAsia="仿宋_GB2312"/>
          <w:color w:val="000000"/>
          <w:sz w:val="32"/>
          <w:szCs w:val="32"/>
        </w:rPr>
        <w:t>申请人应提交包装研究资料，依据有关国内、国际标准进行（如GB/T 19633.1、</w:t>
      </w:r>
      <w:bookmarkStart w:id="3" w:name="OLE_LINK17"/>
      <w:bookmarkStart w:id="4" w:name="OLE_LINK16"/>
      <w:r>
        <w:rPr>
          <w:rFonts w:eastAsia="仿宋_GB2312"/>
          <w:color w:val="000000"/>
          <w:sz w:val="32"/>
          <w:szCs w:val="32"/>
        </w:rPr>
        <w:t>GB/T 19633.2、ISO 11607</w:t>
      </w:r>
      <w:bookmarkEnd w:id="3"/>
      <w:bookmarkEnd w:id="4"/>
      <w:r>
        <w:rPr>
          <w:rFonts w:eastAsia="仿宋_GB2312"/>
          <w:color w:val="000000"/>
          <w:sz w:val="32"/>
          <w:szCs w:val="32"/>
        </w:rPr>
        <w:t>、ASTM F2475、</w:t>
      </w:r>
      <w:bookmarkStart w:id="5" w:name="OLE_LINK4"/>
      <w:bookmarkStart w:id="6" w:name="OLE_LINK3"/>
      <w:r>
        <w:rPr>
          <w:rFonts w:eastAsia="仿宋_GB2312"/>
          <w:color w:val="000000"/>
          <w:sz w:val="32"/>
          <w:szCs w:val="32"/>
        </w:rPr>
        <w:t>ASTM D4169</w:t>
      </w:r>
      <w:bookmarkEnd w:id="5"/>
      <w:bookmarkEnd w:id="6"/>
      <w:r>
        <w:rPr>
          <w:rFonts w:eastAsia="仿宋_GB2312"/>
          <w:color w:val="000000"/>
          <w:sz w:val="32"/>
          <w:szCs w:val="32"/>
        </w:rPr>
        <w:t>、ISTA 2A:2011等）对包装进行分析研究和评价。直接接触产品的包装材料的选择应至少考虑以下因素：包装材料的物理化学性能；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14:paraId="67C9D048">
      <w:pPr>
        <w:spacing w:line="520" w:lineRule="exact"/>
        <w:ind w:firstLine="640" w:firstLineChars="200"/>
        <w:rPr>
          <w:rFonts w:eastAsia="仿宋_GB2312"/>
          <w:bCs/>
          <w:color w:val="000000"/>
          <w:sz w:val="32"/>
          <w:szCs w:val="32"/>
        </w:rPr>
      </w:pPr>
      <w:r>
        <w:rPr>
          <w:rFonts w:eastAsia="仿宋_GB2312"/>
          <w:bCs/>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49DA25BE">
      <w:pPr>
        <w:spacing w:line="520" w:lineRule="exact"/>
        <w:ind w:firstLine="640" w:firstLineChars="200"/>
        <w:rPr>
          <w:rFonts w:eastAsia="仿宋_GB2312"/>
          <w:color w:val="000000"/>
          <w:sz w:val="32"/>
          <w:szCs w:val="32"/>
        </w:rPr>
      </w:pPr>
      <w:r>
        <w:rPr>
          <w:rFonts w:hint="eastAsia" w:eastAsia="仿宋_GB2312"/>
          <w:color w:val="000000"/>
          <w:sz w:val="32"/>
          <w:szCs w:val="32"/>
        </w:rPr>
        <w:t>5.5</w:t>
      </w:r>
      <w:r>
        <w:rPr>
          <w:rFonts w:eastAsia="仿宋_GB2312"/>
          <w:color w:val="000000"/>
          <w:sz w:val="32"/>
          <w:szCs w:val="32"/>
        </w:rPr>
        <w:t>其他资料</w:t>
      </w:r>
    </w:p>
    <w:p w14:paraId="7586F2A2">
      <w:pPr>
        <w:pStyle w:val="4"/>
        <w:spacing w:line="520" w:lineRule="exact"/>
        <w:ind w:firstLine="640" w:firstLineChars="200"/>
        <w:rPr>
          <w:rFonts w:ascii="Times New Roman" w:hAnsi="Times New Roman" w:eastAsia="仿宋_GB2312"/>
          <w:color w:val="000000"/>
          <w:sz w:val="32"/>
          <w:szCs w:val="32"/>
        </w:rPr>
      </w:pPr>
      <w:bookmarkStart w:id="7" w:name="OLE_LINK10"/>
      <w:r>
        <w:rPr>
          <w:rFonts w:ascii="Times New Roman" w:hAnsi="Times New Roman" w:eastAsia="仿宋_GB2312"/>
          <w:color w:val="000000"/>
          <w:sz w:val="32"/>
          <w:szCs w:val="32"/>
        </w:rPr>
        <w:t>该产品</w:t>
      </w:r>
      <w:r>
        <w:rPr>
          <w:rFonts w:ascii="Times New Roman" w:hAnsi="Times New Roman" w:eastAsia="仿宋_GB2312"/>
          <w:sz w:val="32"/>
          <w:szCs w:val="32"/>
        </w:rPr>
        <w:t>列入《免于进行临床评价的医疗器械产品目录》，</w:t>
      </w:r>
      <w:r>
        <w:rPr>
          <w:rFonts w:ascii="Times New Roman" w:hAnsi="Times New Roman" w:eastAsia="仿宋_GB2312"/>
          <w:color w:val="000000"/>
          <w:sz w:val="32"/>
          <w:szCs w:val="32"/>
        </w:rPr>
        <w:t>申请人应当按照《列入免于临床评价医疗器械目录产品对比说明技术指导原则》的要求，提交相关资料，从基本原理、结构组成、性能、安全性、适用范围等方面，证明产品的安全有效性。</w:t>
      </w:r>
    </w:p>
    <w:p w14:paraId="37EB3A40">
      <w:pPr>
        <w:pStyle w:val="4"/>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对于一次性使用的医疗器械，还应当提供证明其无法重复使用的支持性资料。</w:t>
      </w:r>
    </w:p>
    <w:bookmarkEnd w:id="7"/>
    <w:p w14:paraId="164057D1">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6BA91DBD">
      <w:pPr>
        <w:tabs>
          <w:tab w:val="left" w:pos="312"/>
        </w:tabs>
        <w:spacing w:line="520" w:lineRule="exact"/>
        <w:ind w:firstLine="640" w:firstLineChars="200"/>
        <w:rPr>
          <w:rFonts w:eastAsia="仿宋_GB2312"/>
          <w:sz w:val="32"/>
          <w:szCs w:val="32"/>
        </w:rPr>
      </w:pPr>
      <w:r>
        <w:rPr>
          <w:rFonts w:eastAsia="仿宋_GB2312"/>
          <w:sz w:val="32"/>
          <w:szCs w:val="32"/>
        </w:rPr>
        <w:t>该产品列入《免于临床评价医疗器械目录》，申请人无需提交临床评价资料。</w:t>
      </w:r>
    </w:p>
    <w:p w14:paraId="02580AFA">
      <w:pPr>
        <w:tabs>
          <w:tab w:val="left" w:pos="312"/>
        </w:tabs>
        <w:spacing w:line="520" w:lineRule="exact"/>
        <w:ind w:firstLine="640" w:firstLineChars="200"/>
        <w:rPr>
          <w:rFonts w:eastAsia="仿宋_GB2312"/>
          <w:sz w:val="32"/>
          <w:szCs w:val="32"/>
        </w:rPr>
      </w:pPr>
      <w:r>
        <w:rPr>
          <w:rFonts w:eastAsia="仿宋_GB2312"/>
          <w:color w:val="000000"/>
          <w:sz w:val="32"/>
          <w:szCs w:val="32"/>
        </w:rPr>
        <w:t>对于与《免于临床评价医疗器械目录》描述不相符的经鼻胆汁外引流管产品，例如新型材料、新型结构设计、新型作用机理产品，应按照《医疗器械临床评价技术指导原则》第二部分及其它的要求提交临床评价资料。</w:t>
      </w:r>
    </w:p>
    <w:p w14:paraId="798E1F0B">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2684E272">
      <w:pPr>
        <w:spacing w:line="520" w:lineRule="exact"/>
        <w:ind w:right="-67" w:rightChars="-32" w:firstLine="640" w:firstLineChars="200"/>
        <w:rPr>
          <w:rFonts w:eastAsia="仿宋_GB2312"/>
          <w:sz w:val="32"/>
          <w:szCs w:val="32"/>
        </w:rPr>
      </w:pPr>
      <w:r>
        <w:rPr>
          <w:rFonts w:eastAsia="仿宋_GB2312"/>
          <w:color w:val="000000"/>
          <w:sz w:val="32"/>
          <w:szCs w:val="32"/>
        </w:rPr>
        <w:t>产品说明书、标签和包装标识的编写要求应符合《医疗器械说明书、标签和包装标识管理规定》和YY/T 0466.1中的相关要求。说明书中</w:t>
      </w:r>
      <w:r>
        <w:rPr>
          <w:rFonts w:eastAsia="仿宋_GB2312"/>
          <w:sz w:val="32"/>
          <w:szCs w:val="32"/>
        </w:rPr>
        <w:t>应包括使用期限、说明书修订或编制日期、基本性能等细节。</w:t>
      </w:r>
    </w:p>
    <w:p w14:paraId="74D560D6">
      <w:pPr>
        <w:spacing w:line="520" w:lineRule="exact"/>
        <w:ind w:firstLine="640" w:firstLineChars="200"/>
        <w:rPr>
          <w:rFonts w:eastAsia="仿宋_GB2312"/>
          <w:color w:val="000000"/>
          <w:sz w:val="32"/>
          <w:szCs w:val="32"/>
        </w:rPr>
      </w:pPr>
      <w:r>
        <w:rPr>
          <w:rFonts w:eastAsia="仿宋_GB2312"/>
          <w:sz w:val="32"/>
          <w:szCs w:val="32"/>
        </w:rPr>
        <w:t>根据产品特点，说明书中应重点明确以下内容：包装有效期、一次性使用、</w:t>
      </w:r>
      <w:r>
        <w:rPr>
          <w:rFonts w:eastAsia="仿宋_GB2312"/>
          <w:color w:val="000000"/>
          <w:sz w:val="32"/>
          <w:szCs w:val="32"/>
        </w:rPr>
        <w:t>灭菌方式、禁忌证、潜在的不良反应事件、各个组件的主要结构示意图及各个组件的用途、产品允许留置人体的时间、对应用留置产品的患者如何进行监护、对负压源的要求（如适用）等。</w:t>
      </w:r>
    </w:p>
    <w:p w14:paraId="353578FD">
      <w:pPr>
        <w:spacing w:line="52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14:paraId="0415695A">
      <w:pPr>
        <w:spacing w:line="520" w:lineRule="exact"/>
        <w:ind w:right="-67" w:rightChars="-32" w:firstLine="640" w:firstLineChars="200"/>
        <w:rPr>
          <w:rFonts w:eastAsia="仿宋_GB2312"/>
          <w:color w:val="000000"/>
          <w:sz w:val="32"/>
          <w:szCs w:val="32"/>
        </w:rPr>
      </w:pPr>
      <w:r>
        <w:rPr>
          <w:rFonts w:eastAsia="仿宋_GB2312"/>
          <w:color w:val="000000"/>
          <w:sz w:val="32"/>
          <w:szCs w:val="32"/>
        </w:rPr>
        <w:t>质量管理体系文件应符合《医疗器械生产质量管理规范》的要求，并按《医疗器械注册申报资料要求及说明》提交资料。</w:t>
      </w:r>
    </w:p>
    <w:p w14:paraId="59C74E45">
      <w:pPr>
        <w:pStyle w:val="25"/>
        <w:spacing w:line="520" w:lineRule="exact"/>
        <w:ind w:firstLine="640"/>
        <w:rPr>
          <w:rFonts w:eastAsia="仿宋_GB2312"/>
          <w:color w:val="000000"/>
          <w:kern w:val="0"/>
          <w:sz w:val="32"/>
          <w:szCs w:val="32"/>
        </w:rPr>
      </w:pPr>
      <w:r>
        <w:rPr>
          <w:rFonts w:eastAsia="仿宋_GB2312"/>
          <w:color w:val="000000"/>
          <w:kern w:val="0"/>
          <w:sz w:val="32"/>
          <w:szCs w:val="32"/>
        </w:rPr>
        <w:t>根据产品设计方案，明确产品工艺流程，注明关键工艺和特殊工艺，并说明其过程控制点，如：产品的主要工艺--引流管注塑、清洗、定型、打孔、组装、包装、灭菌等工序。</w:t>
      </w:r>
    </w:p>
    <w:p w14:paraId="4DDD973B">
      <w:pPr>
        <w:pStyle w:val="25"/>
        <w:spacing w:line="520" w:lineRule="exact"/>
        <w:ind w:firstLine="640"/>
        <w:rPr>
          <w:rFonts w:eastAsia="仿宋_GB2312"/>
          <w:color w:val="000000"/>
          <w:kern w:val="0"/>
          <w:sz w:val="32"/>
          <w:szCs w:val="32"/>
        </w:rPr>
      </w:pPr>
      <w:r>
        <w:rPr>
          <w:rFonts w:eastAsia="仿宋_GB2312"/>
          <w:color w:val="000000"/>
          <w:kern w:val="0"/>
          <w:sz w:val="32"/>
          <w:szCs w:val="32"/>
        </w:rPr>
        <w:t>应提交研制、生产场地的相关信息，如有多个研制、生产场地，应当概述每个研制、生产场地的实际情况，可以提交场地平面图。</w:t>
      </w:r>
    </w:p>
    <w:p w14:paraId="236FF91A">
      <w:pPr>
        <w:spacing w:line="520" w:lineRule="exact"/>
        <w:ind w:firstLine="640" w:firstLineChars="200"/>
        <w:outlineLvl w:val="0"/>
        <w:rPr>
          <w:rFonts w:eastAsia="黑体"/>
          <w:bCs/>
          <w:sz w:val="32"/>
          <w:szCs w:val="28"/>
        </w:rPr>
      </w:pPr>
      <w:r>
        <w:rPr>
          <w:rFonts w:eastAsia="黑体"/>
          <w:bCs/>
          <w:sz w:val="32"/>
          <w:szCs w:val="28"/>
        </w:rPr>
        <w:t>三、参考文献</w:t>
      </w:r>
    </w:p>
    <w:p w14:paraId="24965D39">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14:paraId="55405C84">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w:t>
      </w:r>
      <w:r>
        <w:rPr>
          <w:rFonts w:eastAsia="仿宋_GB2312"/>
          <w:color w:val="000000"/>
          <w:sz w:val="32"/>
          <w:szCs w:val="32"/>
          <w:lang w:val="en"/>
        </w:rPr>
        <w:t>[Z]</w:t>
      </w:r>
      <w:r>
        <w:rPr>
          <w:rFonts w:eastAsia="仿宋_GB2312"/>
          <w:color w:val="000000"/>
          <w:sz w:val="32"/>
          <w:szCs w:val="32"/>
        </w:rPr>
        <w:t>.</w:t>
      </w:r>
    </w:p>
    <w:p w14:paraId="1C2ED557">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lang w:val="en"/>
        </w:rPr>
        <w:t>[Z]</w:t>
      </w:r>
      <w:r>
        <w:rPr>
          <w:rFonts w:eastAsia="仿宋_GB2312"/>
          <w:color w:val="000000"/>
          <w:sz w:val="32"/>
          <w:szCs w:val="32"/>
        </w:rPr>
        <w:t>.</w:t>
      </w:r>
    </w:p>
    <w:p w14:paraId="25DDC283">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lang w:val="en"/>
        </w:rPr>
        <w:t>[Z]</w:t>
      </w:r>
      <w:r>
        <w:rPr>
          <w:rFonts w:eastAsia="仿宋_GB2312"/>
          <w:color w:val="000000"/>
          <w:sz w:val="32"/>
          <w:szCs w:val="32"/>
        </w:rPr>
        <w:t>.</w:t>
      </w:r>
    </w:p>
    <w:p w14:paraId="53232DAE">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lang w:val="en"/>
        </w:rPr>
        <w:t>[Z]</w:t>
      </w:r>
      <w:r>
        <w:rPr>
          <w:rFonts w:eastAsia="仿宋_GB2312"/>
          <w:color w:val="000000"/>
          <w:sz w:val="32"/>
          <w:szCs w:val="32"/>
        </w:rPr>
        <w:t>.</w:t>
      </w:r>
    </w:p>
    <w:p w14:paraId="218AC0DC">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2017年第104号[Z]</w:t>
      </w:r>
      <w:r>
        <w:rPr>
          <w:rFonts w:eastAsia="仿宋_GB2312"/>
          <w:color w:val="000000"/>
          <w:sz w:val="32"/>
          <w:szCs w:val="32"/>
        </w:rPr>
        <w:t>.</w:t>
      </w:r>
    </w:p>
    <w:p w14:paraId="070D81BD">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告2017年第187号[Z]</w:t>
      </w:r>
      <w:r>
        <w:rPr>
          <w:rFonts w:eastAsia="仿宋_GB2312"/>
          <w:color w:val="000000"/>
          <w:sz w:val="32"/>
          <w:szCs w:val="32"/>
        </w:rPr>
        <w:t>.</w:t>
      </w:r>
    </w:p>
    <w:p w14:paraId="62ED29A4">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年第8号[Z]</w:t>
      </w:r>
      <w:r>
        <w:rPr>
          <w:rFonts w:eastAsia="仿宋_GB2312"/>
          <w:sz w:val="32"/>
          <w:szCs w:val="32"/>
        </w:rPr>
        <w:t>.</w:t>
      </w:r>
    </w:p>
    <w:p w14:paraId="05ED617B">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号[Z]</w:t>
      </w:r>
      <w:r>
        <w:rPr>
          <w:rFonts w:eastAsia="仿宋_GB2312"/>
          <w:color w:val="000000"/>
          <w:sz w:val="32"/>
          <w:szCs w:val="32"/>
        </w:rPr>
        <w:t>.</w:t>
      </w:r>
    </w:p>
    <w:p w14:paraId="7679A674">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号[Z]</w:t>
      </w:r>
      <w:r>
        <w:rPr>
          <w:rFonts w:eastAsia="仿宋_GB2312"/>
          <w:color w:val="000000"/>
          <w:sz w:val="32"/>
          <w:szCs w:val="32"/>
        </w:rPr>
        <w:t>.</w:t>
      </w:r>
    </w:p>
    <w:p w14:paraId="6F0D5019">
      <w:pPr>
        <w:spacing w:line="520" w:lineRule="exact"/>
        <w:ind w:firstLine="640" w:firstLineChars="200"/>
        <w:rPr>
          <w:rFonts w:hint="eastAsia" w:eastAsia="仿宋_GB2312"/>
          <w:sz w:val="32"/>
          <w:szCs w:val="32"/>
        </w:rPr>
      </w:pPr>
      <w:r>
        <w:rPr>
          <w:rFonts w:eastAsia="仿宋_GB2312"/>
          <w:color w:val="000000"/>
          <w:sz w:val="32"/>
          <w:szCs w:val="32"/>
        </w:rPr>
        <w:t>[11]</w:t>
      </w:r>
      <w:r>
        <w:rPr>
          <w:rFonts w:hint="eastAsia" w:eastAsia="仿宋_GB2312"/>
          <w:sz w:val="32"/>
          <w:szCs w:val="32"/>
        </w:rPr>
        <w:t>国家食品药品监督管理局.医疗器械说明书和标签管理规定:国家食品药品监督管理总局令第6号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p w14:paraId="377D8D69">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w:t>
      </w:r>
      <w:r>
        <w:rPr>
          <w:rFonts w:eastAsia="仿宋_GB2312"/>
          <w:kern w:val="0"/>
          <w:sz w:val="32"/>
          <w:szCs w:val="32"/>
        </w:rPr>
        <w:t>GB/T 1962.1,注射器、注射针及其他医疗器械6%(鲁尔)圆锥接头 第1部分：通用要求[S].</w:t>
      </w:r>
    </w:p>
    <w:p w14:paraId="45D33048">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w:t>
      </w:r>
      <w:r>
        <w:rPr>
          <w:rFonts w:eastAsia="仿宋_GB2312"/>
          <w:kern w:val="0"/>
          <w:sz w:val="32"/>
          <w:szCs w:val="32"/>
        </w:rPr>
        <w:t>GB/T 1962.2,注射器、注射针及其他医疗器械6%(鲁尔)圆锥接头 第2部分：锁定接头[S].</w:t>
      </w:r>
    </w:p>
    <w:p w14:paraId="7832A9D5">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4</w:t>
      </w:r>
      <w:r>
        <w:rPr>
          <w:rFonts w:eastAsia="仿宋_GB2312"/>
          <w:color w:val="000000"/>
          <w:sz w:val="32"/>
          <w:szCs w:val="32"/>
        </w:rPr>
        <w:t>]</w:t>
      </w:r>
      <w:r>
        <w:rPr>
          <w:rFonts w:eastAsia="仿宋_GB2312"/>
          <w:kern w:val="0"/>
          <w:sz w:val="32"/>
          <w:szCs w:val="32"/>
        </w:rPr>
        <w:t>GB/T 14233.1,医用输液、输血、注射器具检验方法第1部分：化学分析方法[S].</w:t>
      </w:r>
    </w:p>
    <w:p w14:paraId="7F34A1B4">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5</w:t>
      </w:r>
      <w:r>
        <w:rPr>
          <w:rFonts w:eastAsia="仿宋_GB2312"/>
          <w:color w:val="000000"/>
          <w:sz w:val="32"/>
          <w:szCs w:val="32"/>
        </w:rPr>
        <w:t>]</w:t>
      </w:r>
      <w:r>
        <w:rPr>
          <w:rFonts w:eastAsia="仿宋_GB2312"/>
          <w:kern w:val="0"/>
          <w:sz w:val="32"/>
          <w:szCs w:val="32"/>
        </w:rPr>
        <w:t>GB/T 14233.2,医用输液、输血、注射器具检验方法第2部分：生物学试验方法[S].</w:t>
      </w:r>
    </w:p>
    <w:p w14:paraId="7B1D2A2F">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6</w:t>
      </w:r>
      <w:r>
        <w:rPr>
          <w:rFonts w:eastAsia="仿宋_GB2312"/>
          <w:color w:val="000000"/>
          <w:sz w:val="32"/>
          <w:szCs w:val="32"/>
        </w:rPr>
        <w:t>]</w:t>
      </w:r>
      <w:r>
        <w:rPr>
          <w:rFonts w:eastAsia="仿宋_GB2312"/>
          <w:kern w:val="0"/>
          <w:sz w:val="32"/>
          <w:szCs w:val="32"/>
        </w:rPr>
        <w:t>GB/T 15812.1,非血管内导管 第1部分：一般性能试验方法[S].</w:t>
      </w:r>
    </w:p>
    <w:p w14:paraId="0147B5A8">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17</w:t>
      </w:r>
      <w:r>
        <w:rPr>
          <w:rFonts w:eastAsia="仿宋_GB2312"/>
          <w:color w:val="000000"/>
          <w:sz w:val="32"/>
          <w:szCs w:val="32"/>
        </w:rPr>
        <w:t>]</w:t>
      </w:r>
      <w:r>
        <w:rPr>
          <w:rFonts w:eastAsia="仿宋_GB2312"/>
          <w:kern w:val="0"/>
          <w:sz w:val="32"/>
          <w:szCs w:val="32"/>
        </w:rPr>
        <w:t>YY 0489,一次性使用无菌引流导管及辅助器械[S].</w:t>
      </w:r>
    </w:p>
    <w:p w14:paraId="71FEB675">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8</w:t>
      </w:r>
      <w:r>
        <w:rPr>
          <w:rFonts w:eastAsia="仿宋_GB2312"/>
          <w:color w:val="000000"/>
          <w:sz w:val="32"/>
          <w:szCs w:val="32"/>
        </w:rPr>
        <w:t>]</w:t>
      </w:r>
      <w:r>
        <w:rPr>
          <w:rFonts w:eastAsia="仿宋_GB2312"/>
          <w:kern w:val="0"/>
          <w:sz w:val="32"/>
          <w:szCs w:val="32"/>
        </w:rPr>
        <w:t>YY/T 0586,医用高分子制品X射线不透性试验方法[S].</w:t>
      </w:r>
    </w:p>
    <w:p w14:paraId="70B82A8B">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w:t>
      </w:r>
      <w:r>
        <w:rPr>
          <w:rFonts w:eastAsia="仿宋_GB2312"/>
          <w:kern w:val="0"/>
          <w:sz w:val="32"/>
          <w:szCs w:val="32"/>
        </w:rPr>
        <w:t>GB 18279.1,医疗保健产品灭菌 环氧乙烷 第1部分：医疗器械灭菌过程的开发、确认和常规控制的要求[S].</w:t>
      </w:r>
    </w:p>
    <w:p w14:paraId="67687ACD">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20</w:t>
      </w:r>
      <w:r>
        <w:rPr>
          <w:rFonts w:eastAsia="仿宋_GB2312"/>
          <w:color w:val="000000"/>
          <w:sz w:val="32"/>
          <w:szCs w:val="32"/>
        </w:rPr>
        <w:t>]</w:t>
      </w:r>
      <w:r>
        <w:rPr>
          <w:rFonts w:eastAsia="仿宋_GB2312"/>
          <w:kern w:val="0"/>
          <w:sz w:val="32"/>
          <w:szCs w:val="32"/>
        </w:rPr>
        <w:t>GB/T 16886.1,医疗器械生物学评价 第1部分：风险管理过程中的评价与试验[S].</w:t>
      </w:r>
    </w:p>
    <w:p w14:paraId="2181822F">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1]</w:t>
      </w:r>
      <w:r>
        <w:rPr>
          <w:rFonts w:eastAsia="仿宋_GB2312"/>
          <w:kern w:val="0"/>
          <w:sz w:val="32"/>
          <w:szCs w:val="32"/>
        </w:rPr>
        <w:t>GB/T 16886.5,医疗器械生物学评价 第5部分：体外细胞毒性试验[S].</w:t>
      </w:r>
    </w:p>
    <w:p w14:paraId="31C78C82">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eastAsia="仿宋_GB2312"/>
          <w:kern w:val="0"/>
          <w:sz w:val="32"/>
          <w:szCs w:val="32"/>
        </w:rPr>
        <w:t>GB/T 16886.7,医疗器械生物学评价 第7部分：环氧乙烷灭菌残留量[S].</w:t>
      </w:r>
    </w:p>
    <w:p w14:paraId="204BC344">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eastAsia="仿宋_GB2312"/>
          <w:kern w:val="0"/>
          <w:sz w:val="32"/>
          <w:szCs w:val="32"/>
        </w:rPr>
        <w:t>GB/T 16886.10,医疗器械生物学评价第10部分：刺激与迟发型超敏反应试验[S].</w:t>
      </w:r>
    </w:p>
    <w:p w14:paraId="168E45AA">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eastAsia="仿宋_GB2312"/>
          <w:kern w:val="0"/>
          <w:sz w:val="32"/>
          <w:szCs w:val="32"/>
        </w:rPr>
        <w:t>GB/T 19633.1,最终灭菌医疗器械包装 第1部分：材料、无菌屏障系统和包装系统的要求[S].</w:t>
      </w:r>
    </w:p>
    <w:p w14:paraId="24538263">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eastAsia="仿宋_GB2312"/>
          <w:kern w:val="0"/>
          <w:sz w:val="32"/>
          <w:szCs w:val="32"/>
        </w:rPr>
        <w:t>GB/T 19633.2,最终灭菌医疗器械包装第2部分：成形、密封和装配过程确认的要求[S].</w:t>
      </w:r>
    </w:p>
    <w:p w14:paraId="50DE069F">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26</w:t>
      </w:r>
      <w:r>
        <w:rPr>
          <w:rFonts w:eastAsia="仿宋_GB2312"/>
          <w:color w:val="000000"/>
          <w:sz w:val="32"/>
          <w:szCs w:val="32"/>
        </w:rPr>
        <w:t>]</w:t>
      </w:r>
      <w:r>
        <w:rPr>
          <w:rFonts w:eastAsia="仿宋_GB2312"/>
          <w:kern w:val="0"/>
          <w:sz w:val="32"/>
          <w:szCs w:val="32"/>
        </w:rPr>
        <w:t>YY/T 0316,医疗器械风险管理对医疗器械的应用[S].</w:t>
      </w:r>
    </w:p>
    <w:p w14:paraId="31E8AB29">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eastAsia="仿宋_GB2312"/>
          <w:kern w:val="0"/>
          <w:sz w:val="32"/>
          <w:szCs w:val="32"/>
        </w:rPr>
        <w:t>YY/T 0466.1,医疗器械 用于医疗器械标签、标记和提供信息的符号 第1部分：通用要求[S].</w:t>
      </w:r>
    </w:p>
    <w:p w14:paraId="71D029E7">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eastAsia="仿宋_GB2312"/>
          <w:kern w:val="0"/>
          <w:sz w:val="32"/>
          <w:szCs w:val="32"/>
        </w:rPr>
        <w:t>YY/T 0681.1,无菌医疗器械包装试验方法 第1部分：加速老化试验指南[S].</w:t>
      </w:r>
    </w:p>
    <w:p w14:paraId="7A83C916">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eastAsia="仿宋_GB2312"/>
          <w:kern w:val="0"/>
          <w:sz w:val="32"/>
          <w:szCs w:val="32"/>
        </w:rPr>
        <w:t>YY/T 0681.15,无菌医疗器械包装试验方法 第15部分：运输容器和系统的性能试验[S].</w:t>
      </w:r>
    </w:p>
    <w:p w14:paraId="3F6B36E8">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30</w:t>
      </w:r>
      <w:r>
        <w:rPr>
          <w:rFonts w:eastAsia="仿宋_GB2312"/>
          <w:color w:val="000000"/>
          <w:sz w:val="32"/>
          <w:szCs w:val="32"/>
        </w:rPr>
        <w:t>]</w:t>
      </w:r>
      <w:r>
        <w:rPr>
          <w:rFonts w:eastAsia="仿宋_GB2312"/>
          <w:kern w:val="0"/>
          <w:sz w:val="32"/>
          <w:szCs w:val="32"/>
        </w:rPr>
        <w:t>YY/T 1268,环氧乙烷灭菌的产品追加和过程等效[S].</w:t>
      </w:r>
    </w:p>
    <w:p w14:paraId="4C510779">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1]</w:t>
      </w:r>
      <w:r>
        <w:rPr>
          <w:rFonts w:eastAsia="仿宋_GB2312"/>
          <w:kern w:val="0"/>
          <w:sz w:val="32"/>
          <w:szCs w:val="32"/>
        </w:rPr>
        <w:t>ISTA 2A:2011,不大于68kg的单一包装产品的部分模拟运输完整性的性能测试[S].</w:t>
      </w:r>
    </w:p>
    <w:p w14:paraId="5A539657">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32</w:t>
      </w:r>
      <w:r>
        <w:rPr>
          <w:rFonts w:eastAsia="仿宋_GB2312"/>
          <w:color w:val="000000"/>
          <w:sz w:val="32"/>
          <w:szCs w:val="32"/>
        </w:rPr>
        <w:t>]</w:t>
      </w:r>
      <w:r>
        <w:rPr>
          <w:rFonts w:eastAsia="仿宋_GB2312"/>
          <w:kern w:val="0"/>
          <w:sz w:val="32"/>
          <w:szCs w:val="32"/>
        </w:rPr>
        <w:t xml:space="preserve">中华人民共和国药典, 2020年版. </w:t>
      </w:r>
    </w:p>
    <w:p w14:paraId="68BD762C">
      <w:pPr>
        <w:spacing w:line="520" w:lineRule="exact"/>
        <w:rPr>
          <w:rFonts w:eastAsia="仿宋_GB2312"/>
          <w:sz w:val="32"/>
          <w:szCs w:val="32"/>
        </w:rPr>
      </w:pPr>
    </w:p>
    <w:p w14:paraId="5D4F9659">
      <w:pPr>
        <w:spacing w:line="520" w:lineRule="exact"/>
        <w:ind w:firstLine="640" w:firstLineChars="200"/>
        <w:rPr>
          <w:rFonts w:eastAsia="仿宋_GB2312"/>
          <w:sz w:val="32"/>
          <w:szCs w:val="32"/>
        </w:rPr>
      </w:pPr>
      <w:r>
        <w:rPr>
          <w:rFonts w:eastAsia="仿宋_GB2312"/>
          <w:sz w:val="32"/>
          <w:szCs w:val="32"/>
        </w:rPr>
        <w:t>附件：审查关注点</w:t>
      </w:r>
      <w:r>
        <w:rPr>
          <w:rFonts w:eastAsia="仿宋_GB2312"/>
          <w:color w:val="000000"/>
          <w:sz w:val="32"/>
          <w:szCs w:val="32"/>
        </w:rPr>
        <w:br w:type="page"/>
      </w:r>
    </w:p>
    <w:p w14:paraId="12A8ECB5">
      <w:pPr>
        <w:spacing w:line="520" w:lineRule="exact"/>
        <w:ind w:firstLine="640" w:firstLineChars="200"/>
        <w:outlineLvl w:val="0"/>
        <w:rPr>
          <w:rFonts w:eastAsia="黑体"/>
          <w:bCs/>
          <w:sz w:val="32"/>
          <w:szCs w:val="28"/>
        </w:rPr>
      </w:pPr>
      <w:r>
        <w:rPr>
          <w:rFonts w:eastAsia="黑体"/>
          <w:bCs/>
          <w:sz w:val="32"/>
          <w:szCs w:val="28"/>
        </w:rPr>
        <w:t>附件</w:t>
      </w:r>
    </w:p>
    <w:p w14:paraId="247637E8">
      <w:pPr>
        <w:spacing w:line="520" w:lineRule="exact"/>
        <w:jc w:val="center"/>
        <w:outlineLvl w:val="0"/>
        <w:rPr>
          <w:rFonts w:eastAsia="方正小标宋简体"/>
          <w:bCs/>
          <w:sz w:val="44"/>
          <w:szCs w:val="44"/>
        </w:rPr>
      </w:pPr>
      <w:r>
        <w:rPr>
          <w:rFonts w:eastAsia="方正小标宋简体"/>
          <w:bCs/>
          <w:sz w:val="44"/>
          <w:szCs w:val="44"/>
        </w:rPr>
        <w:t>审查关注点</w:t>
      </w:r>
    </w:p>
    <w:p w14:paraId="3459A777">
      <w:pPr>
        <w:widowControl/>
        <w:jc w:val="left"/>
        <w:rPr>
          <w:rFonts w:eastAsia="仿宋_GB2312"/>
          <w:color w:val="000000"/>
          <w:sz w:val="32"/>
          <w:szCs w:val="32"/>
        </w:rPr>
      </w:pPr>
    </w:p>
    <w:p w14:paraId="57302B82">
      <w:pPr>
        <w:spacing w:line="520" w:lineRule="exact"/>
        <w:ind w:firstLine="640" w:firstLineChars="200"/>
        <w:outlineLvl w:val="0"/>
        <w:rPr>
          <w:rFonts w:eastAsia="黑体"/>
          <w:bCs/>
          <w:color w:val="000000" w:themeColor="text1"/>
          <w:sz w:val="32"/>
          <w:szCs w:val="28"/>
        </w:rPr>
      </w:pPr>
      <w:r>
        <w:rPr>
          <w:rFonts w:eastAsia="仿宋_GB2312"/>
          <w:color w:val="000000"/>
          <w:sz w:val="32"/>
          <w:szCs w:val="32"/>
        </w:rPr>
        <w:t xml:space="preserve">一、产品性能研究资料：产品结构示意图需给出关键部位的结构示意图，如引流管的形状、引流侧孔的数量及排布方式。                </w:t>
      </w:r>
    </w:p>
    <w:p w14:paraId="31D19CC2">
      <w:pPr>
        <w:pStyle w:val="22"/>
        <w:widowControl w:val="0"/>
        <w:spacing w:line="520" w:lineRule="exact"/>
        <w:ind w:firstLine="667" w:firstLineChars="214"/>
        <w:rPr>
          <w:rFonts w:ascii="Times New Roman" w:hAnsi="Times New Roman" w:eastAsia="仿宋_GB2312"/>
          <w:sz w:val="32"/>
          <w:szCs w:val="32"/>
        </w:rPr>
      </w:pPr>
      <w:r>
        <w:rPr>
          <w:rFonts w:ascii="Times New Roman" w:hAnsi="Times New Roman" w:eastAsia="仿宋_GB2312"/>
          <w:sz w:val="32"/>
          <w:szCs w:val="32"/>
        </w:rPr>
        <w:t>二、灭菌工艺研究资料：</w:t>
      </w:r>
    </w:p>
    <w:p w14:paraId="0A17EB5C">
      <w:pPr>
        <w:spacing w:line="520" w:lineRule="exac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w:t>
      </w:r>
      <w:r>
        <w:rPr>
          <w:rFonts w:eastAsia="仿宋_GB2312"/>
          <w:color w:val="000000"/>
          <w:sz w:val="32"/>
          <w:szCs w:val="32"/>
        </w:rPr>
        <w:t>）重点关注灭菌产品族的评价和确认，主要的灭菌过程参数，如预真空压力、温度、湿度、压力、环氧乙烷纯度及浓度、灭菌时间、解析时间和温度。</w:t>
      </w:r>
    </w:p>
    <w:p w14:paraId="382C125E">
      <w:pPr>
        <w:spacing w:line="520" w:lineRule="exac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w:t>
      </w:r>
      <w:r>
        <w:rPr>
          <w:rFonts w:eastAsia="仿宋_GB2312"/>
          <w:color w:val="000000"/>
          <w:sz w:val="32"/>
          <w:szCs w:val="32"/>
        </w:rPr>
        <w:t>）残留毒性：若灭菌使用的方法容易出现残留，如环氧乙烷灭菌，应当明确残留物信息及采取的处理方法，并提供研究资料。</w:t>
      </w:r>
    </w:p>
    <w:p w14:paraId="10237F67">
      <w:pPr>
        <w:pStyle w:val="22"/>
        <w:widowControl w:val="0"/>
        <w:spacing w:line="520" w:lineRule="exact"/>
        <w:ind w:firstLine="624"/>
        <w:rPr>
          <w:rFonts w:ascii="Times New Roman" w:hAnsi="Times New Roman" w:eastAsia="仿宋_GB2312"/>
          <w:sz w:val="32"/>
          <w:szCs w:val="32"/>
        </w:rPr>
      </w:pPr>
      <w:r>
        <w:rPr>
          <w:rFonts w:ascii="Times New Roman" w:hAnsi="Times New Roman" w:eastAsia="仿宋_GB2312"/>
          <w:sz w:val="32"/>
          <w:szCs w:val="32"/>
        </w:rPr>
        <w:t>三、关注产品技术要求中影响引流管临床使用的关键性能指标：断裂性能、抗变形、抗弯曲、密封性等。产品的断裂力有两个档次的要求，请关注，具体内容已在正文中说明。</w:t>
      </w:r>
    </w:p>
    <w:p w14:paraId="0941C4AC">
      <w:pPr>
        <w:pStyle w:val="22"/>
        <w:widowControl w:val="0"/>
        <w:spacing w:line="520" w:lineRule="exact"/>
        <w:ind w:firstLine="624"/>
        <w:rPr>
          <w:rFonts w:ascii="Times New Roman" w:hAnsi="Times New Roman" w:eastAsia="仿宋_GB2312"/>
          <w:sz w:val="32"/>
          <w:szCs w:val="32"/>
        </w:rPr>
      </w:pPr>
      <w:r>
        <w:rPr>
          <w:rFonts w:ascii="Times New Roman" w:hAnsi="Times New Roman" w:eastAsia="仿宋_GB2312"/>
          <w:sz w:val="32"/>
          <w:szCs w:val="32"/>
        </w:rPr>
        <w:t>四、产品检验报告：</w:t>
      </w:r>
    </w:p>
    <w:p w14:paraId="2CB09201">
      <w:pPr>
        <w:spacing w:line="520" w:lineRule="exact"/>
        <w:rPr>
          <w:rFonts w:eastAsia="仿宋_GB2312"/>
          <w:color w:val="000000"/>
          <w:sz w:val="32"/>
          <w:szCs w:val="32"/>
        </w:rPr>
      </w:pPr>
      <w:r>
        <w:rPr>
          <w:rFonts w:eastAsia="仿宋_GB2312"/>
          <w:color w:val="000000"/>
          <w:sz w:val="32"/>
          <w:szCs w:val="32"/>
        </w:rPr>
        <w:t xml:space="preserve">    应关注检测的典型型号是否覆盖所有性能要求，检验报告所附照片中的产品结构组成、标识标签等信息，是否与其他申报资料描述相同。</w:t>
      </w:r>
    </w:p>
    <w:p w14:paraId="560C3366">
      <w:pPr>
        <w:spacing w:line="520" w:lineRule="exact"/>
        <w:ind w:firstLine="645"/>
        <w:rPr>
          <w:rFonts w:eastAsia="仿宋_GB2312"/>
          <w:color w:val="000000"/>
          <w:sz w:val="32"/>
          <w:szCs w:val="32"/>
        </w:rPr>
      </w:pPr>
      <w:r>
        <w:rPr>
          <w:rFonts w:eastAsia="仿宋_GB2312"/>
          <w:color w:val="000000"/>
          <w:sz w:val="32"/>
          <w:szCs w:val="32"/>
        </w:rPr>
        <w:t>五、使用说明书：</w:t>
      </w:r>
    </w:p>
    <w:p w14:paraId="01E04574">
      <w:pPr>
        <w:spacing w:line="520" w:lineRule="exact"/>
        <w:ind w:firstLine="645"/>
        <w:rPr>
          <w:rFonts w:eastAsia="仿宋_GB2312"/>
          <w:color w:val="000000"/>
          <w:sz w:val="32"/>
          <w:szCs w:val="32"/>
        </w:rPr>
      </w:pPr>
      <w:r>
        <w:rPr>
          <w:rFonts w:eastAsia="仿宋_GB2312"/>
          <w:color w:val="000000"/>
          <w:sz w:val="32"/>
          <w:szCs w:val="32"/>
        </w:rPr>
        <w:t>关注适用范围和</w:t>
      </w:r>
      <w:r>
        <w:rPr>
          <w:rFonts w:hint="eastAsia" w:eastAsia="仿宋_GB2312"/>
          <w:color w:val="000000"/>
          <w:sz w:val="32"/>
          <w:szCs w:val="32"/>
        </w:rPr>
        <w:t>禁忌证</w:t>
      </w:r>
      <w:r>
        <w:rPr>
          <w:rFonts w:eastAsia="仿宋_GB2312"/>
          <w:color w:val="000000"/>
          <w:sz w:val="32"/>
          <w:szCs w:val="32"/>
        </w:rPr>
        <w:t>是否与临床评价资料结论一致，不能宣称临床评价结论以外的其他的预期用途，也不能对临床评价结论进行扩大或改变。</w:t>
      </w:r>
    </w:p>
    <w:p w14:paraId="38A7D4C2">
      <w:pPr>
        <w:spacing w:line="560" w:lineRule="exact"/>
        <w:rPr>
          <w:rFonts w:eastAsia="黑体"/>
          <w:sz w:val="32"/>
          <w:szCs w:val="32"/>
        </w:rPr>
      </w:pPr>
    </w:p>
    <w:p w14:paraId="3966BFBE">
      <w:pPr>
        <w:spacing w:line="520" w:lineRule="exact"/>
        <w:jc w:val="left"/>
        <w:rPr>
          <w:rFonts w:hint="eastAsia" w:eastAsia="宋体"/>
          <w:lang w:eastAsia="zh-CN"/>
        </w:rPr>
      </w:pPr>
    </w:p>
    <w:p w14:paraId="395394CB">
      <w:pPr>
        <w:spacing w:line="520" w:lineRule="exact"/>
        <w:jc w:val="center"/>
        <w:rPr>
          <w:rFonts w:hint="eastAsia" w:eastAsia="宋体"/>
          <w:lang w:eastAsia="zh-CN"/>
        </w:rPr>
      </w:pPr>
    </w:p>
    <w:p w14:paraId="2DA329B4">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endnotePr>
        <w:numFmt w:val="decimal"/>
      </w:endnotePr>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5770">
    <w:pPr>
      <w:pStyle w:val="7"/>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881516151"/>
                  <w:docPartObj>
                    <w:docPartGallery w:val="autotext"/>
                  </w:docPartObj>
                </w:sdtPr>
                <w:sdtContent>
                  <w:p w14:paraId="0CF8B043">
                    <w:pPr>
                      <w:pStyle w:val="7"/>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p>
                </w:sdtContent>
              </w:sdt>
              <w:p w14:paraId="2FC1CBE8"/>
            </w:txbxContent>
          </v:textbox>
        </v:shape>
      </w:pict>
    </w:r>
  </w:p>
  <w:p w14:paraId="4EA4BA3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2184">
    <w:pPr>
      <w:pStyle w:val="7"/>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14:paraId="35C575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39A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E63088"/>
    <w:rsid w:val="00003C2A"/>
    <w:rsid w:val="000053EA"/>
    <w:rsid w:val="00013617"/>
    <w:rsid w:val="00016EE4"/>
    <w:rsid w:val="000271BD"/>
    <w:rsid w:val="00044789"/>
    <w:rsid w:val="00044921"/>
    <w:rsid w:val="00047054"/>
    <w:rsid w:val="00055C06"/>
    <w:rsid w:val="00072403"/>
    <w:rsid w:val="00074EB5"/>
    <w:rsid w:val="000869B4"/>
    <w:rsid w:val="00095D15"/>
    <w:rsid w:val="00096CE9"/>
    <w:rsid w:val="000A3C40"/>
    <w:rsid w:val="000A5355"/>
    <w:rsid w:val="000B09F1"/>
    <w:rsid w:val="000B6F8B"/>
    <w:rsid w:val="000C0981"/>
    <w:rsid w:val="000C27A7"/>
    <w:rsid w:val="000C32F7"/>
    <w:rsid w:val="000C4E20"/>
    <w:rsid w:val="000C78EF"/>
    <w:rsid w:val="000D28E5"/>
    <w:rsid w:val="000D7899"/>
    <w:rsid w:val="000E00CC"/>
    <w:rsid w:val="000E70A7"/>
    <w:rsid w:val="000F0B7A"/>
    <w:rsid w:val="00105DB3"/>
    <w:rsid w:val="00110DAD"/>
    <w:rsid w:val="0012217F"/>
    <w:rsid w:val="001327E9"/>
    <w:rsid w:val="0015141F"/>
    <w:rsid w:val="00153E67"/>
    <w:rsid w:val="00161431"/>
    <w:rsid w:val="001621F3"/>
    <w:rsid w:val="001638B6"/>
    <w:rsid w:val="00164761"/>
    <w:rsid w:val="00164E5B"/>
    <w:rsid w:val="00165855"/>
    <w:rsid w:val="00172709"/>
    <w:rsid w:val="00174F3F"/>
    <w:rsid w:val="00181B1E"/>
    <w:rsid w:val="00181F36"/>
    <w:rsid w:val="00182DC3"/>
    <w:rsid w:val="00183ED1"/>
    <w:rsid w:val="00192A46"/>
    <w:rsid w:val="0019393C"/>
    <w:rsid w:val="00194C1D"/>
    <w:rsid w:val="001B193B"/>
    <w:rsid w:val="001B24B7"/>
    <w:rsid w:val="001B3F21"/>
    <w:rsid w:val="001C5425"/>
    <w:rsid w:val="001D2899"/>
    <w:rsid w:val="001E6415"/>
    <w:rsid w:val="002041AF"/>
    <w:rsid w:val="00207940"/>
    <w:rsid w:val="00212DA1"/>
    <w:rsid w:val="002130A5"/>
    <w:rsid w:val="00226AE0"/>
    <w:rsid w:val="00246FDE"/>
    <w:rsid w:val="00256967"/>
    <w:rsid w:val="00257C2A"/>
    <w:rsid w:val="00266781"/>
    <w:rsid w:val="00285A8F"/>
    <w:rsid w:val="0029450E"/>
    <w:rsid w:val="002A17DA"/>
    <w:rsid w:val="002A189F"/>
    <w:rsid w:val="002A3D70"/>
    <w:rsid w:val="002A7BD0"/>
    <w:rsid w:val="002C4428"/>
    <w:rsid w:val="002D1DA0"/>
    <w:rsid w:val="002D3138"/>
    <w:rsid w:val="002D7141"/>
    <w:rsid w:val="002E54B5"/>
    <w:rsid w:val="003023DA"/>
    <w:rsid w:val="003043AE"/>
    <w:rsid w:val="00312053"/>
    <w:rsid w:val="00315C89"/>
    <w:rsid w:val="00316903"/>
    <w:rsid w:val="003216D6"/>
    <w:rsid w:val="00322219"/>
    <w:rsid w:val="003234B3"/>
    <w:rsid w:val="00334EDF"/>
    <w:rsid w:val="00340DE2"/>
    <w:rsid w:val="00343D55"/>
    <w:rsid w:val="00345836"/>
    <w:rsid w:val="00357EED"/>
    <w:rsid w:val="00372FD4"/>
    <w:rsid w:val="003B1699"/>
    <w:rsid w:val="003B1D89"/>
    <w:rsid w:val="003B2688"/>
    <w:rsid w:val="003B4BC6"/>
    <w:rsid w:val="003C1875"/>
    <w:rsid w:val="003C34C9"/>
    <w:rsid w:val="003C50A3"/>
    <w:rsid w:val="003D6DF3"/>
    <w:rsid w:val="003E095F"/>
    <w:rsid w:val="003E3C28"/>
    <w:rsid w:val="003E7D6F"/>
    <w:rsid w:val="003F4C71"/>
    <w:rsid w:val="00401353"/>
    <w:rsid w:val="004148F1"/>
    <w:rsid w:val="00420AD5"/>
    <w:rsid w:val="00421CEC"/>
    <w:rsid w:val="00421E13"/>
    <w:rsid w:val="0042540C"/>
    <w:rsid w:val="00444455"/>
    <w:rsid w:val="00447944"/>
    <w:rsid w:val="00453B56"/>
    <w:rsid w:val="00455BC8"/>
    <w:rsid w:val="00462D18"/>
    <w:rsid w:val="0047670C"/>
    <w:rsid w:val="004915C4"/>
    <w:rsid w:val="004950B8"/>
    <w:rsid w:val="004B032B"/>
    <w:rsid w:val="004B0EE9"/>
    <w:rsid w:val="004B6CA1"/>
    <w:rsid w:val="004B7F1B"/>
    <w:rsid w:val="004C46D0"/>
    <w:rsid w:val="004D3765"/>
    <w:rsid w:val="004D4A66"/>
    <w:rsid w:val="004D7A82"/>
    <w:rsid w:val="004F4706"/>
    <w:rsid w:val="004F6714"/>
    <w:rsid w:val="005021B1"/>
    <w:rsid w:val="00505143"/>
    <w:rsid w:val="00522504"/>
    <w:rsid w:val="00531867"/>
    <w:rsid w:val="00534ADD"/>
    <w:rsid w:val="0053747B"/>
    <w:rsid w:val="0054026B"/>
    <w:rsid w:val="00542150"/>
    <w:rsid w:val="00551A51"/>
    <w:rsid w:val="00552AB4"/>
    <w:rsid w:val="00552D04"/>
    <w:rsid w:val="00556B12"/>
    <w:rsid w:val="00561D7F"/>
    <w:rsid w:val="005753E2"/>
    <w:rsid w:val="005821A3"/>
    <w:rsid w:val="00585344"/>
    <w:rsid w:val="00587893"/>
    <w:rsid w:val="00590064"/>
    <w:rsid w:val="005933D9"/>
    <w:rsid w:val="00593A39"/>
    <w:rsid w:val="0059750A"/>
    <w:rsid w:val="005B0C2F"/>
    <w:rsid w:val="005B0C68"/>
    <w:rsid w:val="005B256B"/>
    <w:rsid w:val="005C3CF1"/>
    <w:rsid w:val="005C5D7C"/>
    <w:rsid w:val="005D0001"/>
    <w:rsid w:val="005D19FD"/>
    <w:rsid w:val="005D2314"/>
    <w:rsid w:val="005D478D"/>
    <w:rsid w:val="005E08F9"/>
    <w:rsid w:val="006122C7"/>
    <w:rsid w:val="006162BF"/>
    <w:rsid w:val="00625CE9"/>
    <w:rsid w:val="00627F39"/>
    <w:rsid w:val="00634FF3"/>
    <w:rsid w:val="006374B3"/>
    <w:rsid w:val="00637989"/>
    <w:rsid w:val="00642140"/>
    <w:rsid w:val="006548B6"/>
    <w:rsid w:val="0065492E"/>
    <w:rsid w:val="006641B6"/>
    <w:rsid w:val="006646AD"/>
    <w:rsid w:val="006651CF"/>
    <w:rsid w:val="006662F2"/>
    <w:rsid w:val="0068614B"/>
    <w:rsid w:val="00691368"/>
    <w:rsid w:val="0069318C"/>
    <w:rsid w:val="006A06B9"/>
    <w:rsid w:val="006A3947"/>
    <w:rsid w:val="006A39A4"/>
    <w:rsid w:val="006A3C1C"/>
    <w:rsid w:val="006B793C"/>
    <w:rsid w:val="006B79E1"/>
    <w:rsid w:val="006C1CF4"/>
    <w:rsid w:val="006C1E22"/>
    <w:rsid w:val="006C3FD3"/>
    <w:rsid w:val="006D6789"/>
    <w:rsid w:val="006E0893"/>
    <w:rsid w:val="006E09BB"/>
    <w:rsid w:val="006E52AF"/>
    <w:rsid w:val="006E7A87"/>
    <w:rsid w:val="006F23D2"/>
    <w:rsid w:val="006F4D4F"/>
    <w:rsid w:val="00700307"/>
    <w:rsid w:val="007055D5"/>
    <w:rsid w:val="00706B16"/>
    <w:rsid w:val="0071697E"/>
    <w:rsid w:val="00733AAC"/>
    <w:rsid w:val="0074195D"/>
    <w:rsid w:val="0074682A"/>
    <w:rsid w:val="00746F97"/>
    <w:rsid w:val="007506C6"/>
    <w:rsid w:val="007511F6"/>
    <w:rsid w:val="00752FEE"/>
    <w:rsid w:val="00757EDB"/>
    <w:rsid w:val="00761F39"/>
    <w:rsid w:val="00764A39"/>
    <w:rsid w:val="00765E2D"/>
    <w:rsid w:val="00771E06"/>
    <w:rsid w:val="00792B29"/>
    <w:rsid w:val="00793257"/>
    <w:rsid w:val="007971FE"/>
    <w:rsid w:val="007A1192"/>
    <w:rsid w:val="007B3CD7"/>
    <w:rsid w:val="007C0777"/>
    <w:rsid w:val="007C7037"/>
    <w:rsid w:val="007D3BDE"/>
    <w:rsid w:val="007D7E80"/>
    <w:rsid w:val="007E6E46"/>
    <w:rsid w:val="007F0AD2"/>
    <w:rsid w:val="007F1332"/>
    <w:rsid w:val="007F2EB3"/>
    <w:rsid w:val="007F4B3F"/>
    <w:rsid w:val="00800819"/>
    <w:rsid w:val="00804DF2"/>
    <w:rsid w:val="00804FE5"/>
    <w:rsid w:val="00815951"/>
    <w:rsid w:val="00816141"/>
    <w:rsid w:val="008267DF"/>
    <w:rsid w:val="008272B7"/>
    <w:rsid w:val="008306DC"/>
    <w:rsid w:val="008321A8"/>
    <w:rsid w:val="0083631F"/>
    <w:rsid w:val="00841B54"/>
    <w:rsid w:val="00842CA5"/>
    <w:rsid w:val="008449F7"/>
    <w:rsid w:val="00846789"/>
    <w:rsid w:val="00852070"/>
    <w:rsid w:val="008838CC"/>
    <w:rsid w:val="008857AE"/>
    <w:rsid w:val="0089213E"/>
    <w:rsid w:val="008937D0"/>
    <w:rsid w:val="008968E8"/>
    <w:rsid w:val="008A2CA7"/>
    <w:rsid w:val="008A38C6"/>
    <w:rsid w:val="008A4BD5"/>
    <w:rsid w:val="008A5792"/>
    <w:rsid w:val="008C1F10"/>
    <w:rsid w:val="008C22EB"/>
    <w:rsid w:val="008C26EC"/>
    <w:rsid w:val="008D3EF9"/>
    <w:rsid w:val="008E1F24"/>
    <w:rsid w:val="008E63E6"/>
    <w:rsid w:val="008F29D0"/>
    <w:rsid w:val="008F4465"/>
    <w:rsid w:val="00905728"/>
    <w:rsid w:val="009073F8"/>
    <w:rsid w:val="009106BE"/>
    <w:rsid w:val="00915838"/>
    <w:rsid w:val="00942F8C"/>
    <w:rsid w:val="00945585"/>
    <w:rsid w:val="00952E5A"/>
    <w:rsid w:val="0097434A"/>
    <w:rsid w:val="00974438"/>
    <w:rsid w:val="00977CEB"/>
    <w:rsid w:val="00983F5F"/>
    <w:rsid w:val="00987DE2"/>
    <w:rsid w:val="0099100A"/>
    <w:rsid w:val="009928FF"/>
    <w:rsid w:val="00995F60"/>
    <w:rsid w:val="009A16AB"/>
    <w:rsid w:val="009A2977"/>
    <w:rsid w:val="009A3A31"/>
    <w:rsid w:val="009A42BB"/>
    <w:rsid w:val="009A4DE7"/>
    <w:rsid w:val="009B123D"/>
    <w:rsid w:val="009C1F50"/>
    <w:rsid w:val="009C38FF"/>
    <w:rsid w:val="009D3ECE"/>
    <w:rsid w:val="009E6434"/>
    <w:rsid w:val="009F1CDA"/>
    <w:rsid w:val="009F3366"/>
    <w:rsid w:val="009F4831"/>
    <w:rsid w:val="00A00D5F"/>
    <w:rsid w:val="00A162CA"/>
    <w:rsid w:val="00A26E68"/>
    <w:rsid w:val="00A337CB"/>
    <w:rsid w:val="00A40D2B"/>
    <w:rsid w:val="00A4707A"/>
    <w:rsid w:val="00A47C49"/>
    <w:rsid w:val="00A50C30"/>
    <w:rsid w:val="00A510DC"/>
    <w:rsid w:val="00A53CBB"/>
    <w:rsid w:val="00A555B2"/>
    <w:rsid w:val="00A70071"/>
    <w:rsid w:val="00A7247F"/>
    <w:rsid w:val="00A81C2C"/>
    <w:rsid w:val="00A8225A"/>
    <w:rsid w:val="00A8635E"/>
    <w:rsid w:val="00A91812"/>
    <w:rsid w:val="00A96ED5"/>
    <w:rsid w:val="00AA3E3E"/>
    <w:rsid w:val="00AA67EC"/>
    <w:rsid w:val="00AA72D2"/>
    <w:rsid w:val="00AC291D"/>
    <w:rsid w:val="00AC360D"/>
    <w:rsid w:val="00AC5CE5"/>
    <w:rsid w:val="00AC7D52"/>
    <w:rsid w:val="00AE5419"/>
    <w:rsid w:val="00AF0BCD"/>
    <w:rsid w:val="00AF1606"/>
    <w:rsid w:val="00AF45C5"/>
    <w:rsid w:val="00B01276"/>
    <w:rsid w:val="00B015FD"/>
    <w:rsid w:val="00B024D3"/>
    <w:rsid w:val="00B2220E"/>
    <w:rsid w:val="00B30193"/>
    <w:rsid w:val="00B30942"/>
    <w:rsid w:val="00B338D8"/>
    <w:rsid w:val="00B37179"/>
    <w:rsid w:val="00B429B0"/>
    <w:rsid w:val="00B47255"/>
    <w:rsid w:val="00B5451E"/>
    <w:rsid w:val="00B5588F"/>
    <w:rsid w:val="00B57687"/>
    <w:rsid w:val="00B60546"/>
    <w:rsid w:val="00B62776"/>
    <w:rsid w:val="00B80200"/>
    <w:rsid w:val="00B803D8"/>
    <w:rsid w:val="00B80443"/>
    <w:rsid w:val="00B82BD0"/>
    <w:rsid w:val="00B86CD3"/>
    <w:rsid w:val="00B90268"/>
    <w:rsid w:val="00B96457"/>
    <w:rsid w:val="00B96F05"/>
    <w:rsid w:val="00BA049B"/>
    <w:rsid w:val="00BA1AD6"/>
    <w:rsid w:val="00BD4E56"/>
    <w:rsid w:val="00BE5B8F"/>
    <w:rsid w:val="00BE7401"/>
    <w:rsid w:val="00BE76A3"/>
    <w:rsid w:val="00BF0A42"/>
    <w:rsid w:val="00BF6E78"/>
    <w:rsid w:val="00C30A85"/>
    <w:rsid w:val="00C32634"/>
    <w:rsid w:val="00C35430"/>
    <w:rsid w:val="00C37D96"/>
    <w:rsid w:val="00C404BF"/>
    <w:rsid w:val="00C4091F"/>
    <w:rsid w:val="00C46FDE"/>
    <w:rsid w:val="00C578DF"/>
    <w:rsid w:val="00C57CAA"/>
    <w:rsid w:val="00C616F2"/>
    <w:rsid w:val="00C66728"/>
    <w:rsid w:val="00C81AB3"/>
    <w:rsid w:val="00C86ADC"/>
    <w:rsid w:val="00C879CA"/>
    <w:rsid w:val="00C91482"/>
    <w:rsid w:val="00C94824"/>
    <w:rsid w:val="00C96D7D"/>
    <w:rsid w:val="00CA5368"/>
    <w:rsid w:val="00CB4799"/>
    <w:rsid w:val="00CC2766"/>
    <w:rsid w:val="00CD0473"/>
    <w:rsid w:val="00CD34DF"/>
    <w:rsid w:val="00CD7535"/>
    <w:rsid w:val="00CE1065"/>
    <w:rsid w:val="00CE296C"/>
    <w:rsid w:val="00CE674B"/>
    <w:rsid w:val="00CF34F3"/>
    <w:rsid w:val="00CF39D8"/>
    <w:rsid w:val="00CF3E42"/>
    <w:rsid w:val="00D0549C"/>
    <w:rsid w:val="00D10CDE"/>
    <w:rsid w:val="00D111E3"/>
    <w:rsid w:val="00D2630A"/>
    <w:rsid w:val="00D33991"/>
    <w:rsid w:val="00D34651"/>
    <w:rsid w:val="00D35C69"/>
    <w:rsid w:val="00D4140B"/>
    <w:rsid w:val="00D41AEE"/>
    <w:rsid w:val="00D46E09"/>
    <w:rsid w:val="00D4773A"/>
    <w:rsid w:val="00D54BFC"/>
    <w:rsid w:val="00D70B05"/>
    <w:rsid w:val="00D74402"/>
    <w:rsid w:val="00D7476F"/>
    <w:rsid w:val="00D76546"/>
    <w:rsid w:val="00D77942"/>
    <w:rsid w:val="00D8020C"/>
    <w:rsid w:val="00D819D5"/>
    <w:rsid w:val="00D83405"/>
    <w:rsid w:val="00D84000"/>
    <w:rsid w:val="00D8480E"/>
    <w:rsid w:val="00D870EC"/>
    <w:rsid w:val="00D93962"/>
    <w:rsid w:val="00D96198"/>
    <w:rsid w:val="00DB0817"/>
    <w:rsid w:val="00DB7B0B"/>
    <w:rsid w:val="00DC22C7"/>
    <w:rsid w:val="00DD0BCD"/>
    <w:rsid w:val="00DD7A80"/>
    <w:rsid w:val="00DD7EF5"/>
    <w:rsid w:val="00DE6019"/>
    <w:rsid w:val="00DE67FB"/>
    <w:rsid w:val="00DF5022"/>
    <w:rsid w:val="00E11FD0"/>
    <w:rsid w:val="00E256E5"/>
    <w:rsid w:val="00E31BA4"/>
    <w:rsid w:val="00E56A14"/>
    <w:rsid w:val="00E6041E"/>
    <w:rsid w:val="00E63088"/>
    <w:rsid w:val="00E750EB"/>
    <w:rsid w:val="00E767A4"/>
    <w:rsid w:val="00E8002E"/>
    <w:rsid w:val="00E81E9E"/>
    <w:rsid w:val="00E91A09"/>
    <w:rsid w:val="00E97B1D"/>
    <w:rsid w:val="00EB06D0"/>
    <w:rsid w:val="00EB5554"/>
    <w:rsid w:val="00EB6A13"/>
    <w:rsid w:val="00EC2D40"/>
    <w:rsid w:val="00EC55FB"/>
    <w:rsid w:val="00EC7060"/>
    <w:rsid w:val="00ED2E62"/>
    <w:rsid w:val="00ED571F"/>
    <w:rsid w:val="00EF70FF"/>
    <w:rsid w:val="00EF73D8"/>
    <w:rsid w:val="00F0122A"/>
    <w:rsid w:val="00F07F8D"/>
    <w:rsid w:val="00F133BE"/>
    <w:rsid w:val="00F17AB0"/>
    <w:rsid w:val="00F2764E"/>
    <w:rsid w:val="00F329AB"/>
    <w:rsid w:val="00F3467D"/>
    <w:rsid w:val="00F459FC"/>
    <w:rsid w:val="00F47850"/>
    <w:rsid w:val="00F500EE"/>
    <w:rsid w:val="00F51D15"/>
    <w:rsid w:val="00F568C7"/>
    <w:rsid w:val="00F60D2B"/>
    <w:rsid w:val="00F661AE"/>
    <w:rsid w:val="00F75C7C"/>
    <w:rsid w:val="00F75FA9"/>
    <w:rsid w:val="00F805F2"/>
    <w:rsid w:val="00F9033C"/>
    <w:rsid w:val="00F90E7A"/>
    <w:rsid w:val="00F9279B"/>
    <w:rsid w:val="00F94450"/>
    <w:rsid w:val="00F97EF5"/>
    <w:rsid w:val="00FA25C3"/>
    <w:rsid w:val="00FA3912"/>
    <w:rsid w:val="00FA4976"/>
    <w:rsid w:val="00FB60E5"/>
    <w:rsid w:val="00FC1CCC"/>
    <w:rsid w:val="00FC25D5"/>
    <w:rsid w:val="00FC7181"/>
    <w:rsid w:val="00FD00BA"/>
    <w:rsid w:val="00FD29D0"/>
    <w:rsid w:val="00FD4078"/>
    <w:rsid w:val="25DE193D"/>
    <w:rsid w:val="43A51BA9"/>
    <w:rsid w:val="5D0F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iPriority w:val="99"/>
    <w:pPr>
      <w:jc w:val="left"/>
    </w:pPr>
    <w:rPr>
      <w:rFonts w:asciiTheme="minorHAnsi" w:hAnsiTheme="minorHAnsi" w:eastAsiaTheme="minorEastAsia" w:cstheme="minorBidi"/>
      <w:szCs w:val="22"/>
    </w:rPr>
  </w:style>
  <w:style w:type="paragraph" w:styleId="3">
    <w:name w:val="Body Text"/>
    <w:basedOn w:val="1"/>
    <w:link w:val="23"/>
    <w:semiHidden/>
    <w:unhideWhenUsed/>
    <w:qFormat/>
    <w:uiPriority w:val="99"/>
    <w:pPr>
      <w:spacing w:after="120"/>
    </w:pPr>
  </w:style>
  <w:style w:type="paragraph" w:styleId="4">
    <w:name w:val="Plain Text"/>
    <w:basedOn w:val="1"/>
    <w:link w:val="34"/>
    <w:unhideWhenUsed/>
    <w:qFormat/>
    <w:uiPriority w:val="99"/>
    <w:rPr>
      <w:rFonts w:ascii="宋体" w:hAnsi="Courier New"/>
      <w:kern w:val="0"/>
      <w:sz w:val="20"/>
      <w:szCs w:val="21"/>
    </w:rPr>
  </w:style>
  <w:style w:type="paragraph" w:styleId="5">
    <w:name w:val="Date"/>
    <w:basedOn w:val="1"/>
    <w:next w:val="1"/>
    <w:link w:val="33"/>
    <w:semiHidden/>
    <w:unhideWhenUsed/>
    <w:uiPriority w:val="99"/>
    <w:pPr>
      <w:ind w:left="100" w:leftChars="2500"/>
    </w:pPr>
  </w:style>
  <w:style w:type="paragraph" w:styleId="6">
    <w:name w:val="Balloon Text"/>
    <w:basedOn w:val="1"/>
    <w:link w:val="26"/>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link w:val="19"/>
    <w:qFormat/>
    <w:uiPriority w:val="0"/>
    <w:pPr>
      <w:ind w:firstLine="420" w:firstLineChars="100"/>
    </w:pPr>
    <w:rPr>
      <w:rFonts w:asciiTheme="minorHAnsi" w:hAnsiTheme="minorHAnsi" w:eastAsiaTheme="minorEastAsia" w:cstheme="minorBidi"/>
      <w:szCs w:val="2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annotation reference"/>
    <w:basedOn w:val="13"/>
    <w:semiHidden/>
    <w:unhideWhenUsed/>
    <w:uiPriority w:val="99"/>
    <w:rPr>
      <w:sz w:val="21"/>
      <w:szCs w:val="21"/>
    </w:rPr>
  </w:style>
  <w:style w:type="character" w:customStyle="1" w:styleId="17">
    <w:name w:val="页眉 字符"/>
    <w:basedOn w:val="13"/>
    <w:link w:val="8"/>
    <w:qFormat/>
    <w:uiPriority w:val="0"/>
    <w:rPr>
      <w:sz w:val="18"/>
      <w:szCs w:val="18"/>
    </w:rPr>
  </w:style>
  <w:style w:type="character" w:customStyle="1" w:styleId="18">
    <w:name w:val="页脚 字符"/>
    <w:basedOn w:val="13"/>
    <w:link w:val="7"/>
    <w:uiPriority w:val="99"/>
    <w:rPr>
      <w:sz w:val="18"/>
      <w:szCs w:val="18"/>
    </w:rPr>
  </w:style>
  <w:style w:type="character" w:customStyle="1" w:styleId="19">
    <w:name w:val="正文首行缩进 字符"/>
    <w:link w:val="10"/>
    <w:uiPriority w:val="0"/>
  </w:style>
  <w:style w:type="character" w:customStyle="1" w:styleId="20">
    <w:name w:val="批注文字 字符"/>
    <w:link w:val="2"/>
    <w:uiPriority w:val="99"/>
  </w:style>
  <w:style w:type="character" w:customStyle="1" w:styleId="21">
    <w:name w:val="批注文字 Char1"/>
    <w:basedOn w:val="13"/>
    <w:semiHidden/>
    <w:uiPriority w:val="99"/>
    <w:rPr>
      <w:rFonts w:ascii="Times New Roman" w:hAnsi="Times New Roman" w:eastAsia="宋体" w:cs="Times New Roman"/>
      <w:szCs w:val="20"/>
    </w:rPr>
  </w:style>
  <w:style w:type="paragraph" w:customStyle="1" w:styleId="22">
    <w:name w:val="王奕改内文"/>
    <w:basedOn w:val="1"/>
    <w:link w:val="29"/>
    <w:qFormat/>
    <w:uiPriority w:val="0"/>
    <w:pPr>
      <w:widowControl/>
      <w:spacing w:line="360" w:lineRule="auto"/>
      <w:ind w:firstLine="200" w:firstLineChars="200"/>
    </w:pPr>
    <w:rPr>
      <w:rFonts w:ascii="宋体" w:hAnsi="宋体"/>
      <w:color w:val="000000"/>
      <w:spacing w:val="-4"/>
      <w:sz w:val="24"/>
    </w:rPr>
  </w:style>
  <w:style w:type="character" w:customStyle="1" w:styleId="23">
    <w:name w:val="正文文本 字符"/>
    <w:basedOn w:val="13"/>
    <w:link w:val="3"/>
    <w:semiHidden/>
    <w:qFormat/>
    <w:uiPriority w:val="99"/>
    <w:rPr>
      <w:rFonts w:ascii="Times New Roman" w:hAnsi="Times New Roman" w:eastAsia="宋体" w:cs="Times New Roman"/>
      <w:szCs w:val="20"/>
    </w:rPr>
  </w:style>
  <w:style w:type="character" w:customStyle="1" w:styleId="24">
    <w:name w:val="正文首行缩进 Char1"/>
    <w:basedOn w:val="23"/>
    <w:semiHidden/>
    <w:qFormat/>
    <w:uiPriority w:val="99"/>
    <w:rPr>
      <w:rFonts w:ascii="Times New Roman" w:hAnsi="Times New Roman" w:eastAsia="宋体" w:cs="Times New Roman"/>
      <w:szCs w:val="20"/>
    </w:rPr>
  </w:style>
  <w:style w:type="paragraph" w:styleId="25">
    <w:name w:val="List Paragraph"/>
    <w:basedOn w:val="1"/>
    <w:qFormat/>
    <w:uiPriority w:val="34"/>
    <w:pPr>
      <w:ind w:firstLine="420" w:firstLineChars="200"/>
    </w:pPr>
  </w:style>
  <w:style w:type="character" w:customStyle="1" w:styleId="26">
    <w:name w:val="批注框文本 字符"/>
    <w:basedOn w:val="13"/>
    <w:link w:val="6"/>
    <w:semiHidden/>
    <w:uiPriority w:val="99"/>
    <w:rPr>
      <w:rFonts w:ascii="Times New Roman" w:hAnsi="Times New Roman" w:eastAsia="宋体" w:cs="Times New Roman"/>
      <w:sz w:val="18"/>
      <w:szCs w:val="18"/>
    </w:rPr>
  </w:style>
  <w:style w:type="character" w:customStyle="1" w:styleId="27">
    <w:name w:val="apple-converted-space"/>
    <w:basedOn w:val="13"/>
    <w:qFormat/>
    <w:uiPriority w:val="0"/>
  </w:style>
  <w:style w:type="paragraph" w:customStyle="1" w:styleId="28">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9">
    <w:name w:val="王奕改内文 Char"/>
    <w:link w:val="22"/>
    <w:qFormat/>
    <w:uiPriority w:val="0"/>
    <w:rPr>
      <w:rFonts w:ascii="宋体" w:hAnsi="宋体" w:eastAsia="宋体" w:cs="Times New Roman"/>
      <w:color w:val="000000"/>
      <w:spacing w:val="-4"/>
      <w:sz w:val="24"/>
      <w:szCs w:val="20"/>
    </w:rPr>
  </w:style>
  <w:style w:type="paragraph" w:customStyle="1" w:styleId="30">
    <w:name w:val="样式1"/>
    <w:basedOn w:val="8"/>
    <w:link w:val="31"/>
    <w:qFormat/>
    <w:uiPriority w:val="0"/>
    <w:pPr>
      <w:framePr w:wrap="notBeside" w:vAnchor="text" w:hAnchor="text" w:y="1"/>
      <w:pBdr>
        <w:bottom w:val="none" w:color="auto" w:sz="0" w:space="0"/>
      </w:pBdr>
      <w:jc w:val="both"/>
    </w:pPr>
    <w:rPr>
      <w:rFonts w:ascii="Calibri" w:hAnsi="Calibri"/>
    </w:rPr>
  </w:style>
  <w:style w:type="character" w:customStyle="1" w:styleId="31">
    <w:name w:val="样式1 Char"/>
    <w:basedOn w:val="17"/>
    <w:link w:val="30"/>
    <w:uiPriority w:val="0"/>
    <w:rPr>
      <w:rFonts w:ascii="Calibri" w:hAnsi="Calibri" w:eastAsia="宋体" w:cs="Times New Roman"/>
      <w:sz w:val="18"/>
      <w:szCs w:val="18"/>
    </w:rPr>
  </w:style>
  <w:style w:type="character" w:customStyle="1" w:styleId="32">
    <w:name w:val="f101"/>
    <w:uiPriority w:val="0"/>
    <w:rPr>
      <w:sz w:val="24"/>
      <w:szCs w:val="24"/>
    </w:rPr>
  </w:style>
  <w:style w:type="character" w:customStyle="1" w:styleId="33">
    <w:name w:val="日期 字符"/>
    <w:basedOn w:val="13"/>
    <w:link w:val="5"/>
    <w:semiHidden/>
    <w:qFormat/>
    <w:uiPriority w:val="99"/>
    <w:rPr>
      <w:rFonts w:ascii="Times New Roman" w:hAnsi="Times New Roman" w:eastAsia="宋体" w:cs="Times New Roman"/>
      <w:szCs w:val="20"/>
    </w:rPr>
  </w:style>
  <w:style w:type="character" w:customStyle="1" w:styleId="34">
    <w:name w:val="纯文本 字符"/>
    <w:basedOn w:val="13"/>
    <w:link w:val="4"/>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8973</Words>
  <Characters>9715</Characters>
  <Lines>73</Lines>
  <Paragraphs>20</Paragraphs>
  <TotalTime>1</TotalTime>
  <ScaleCrop>false</ScaleCrop>
  <LinksUpToDate>false</LinksUpToDate>
  <CharactersWithSpaces>9973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2022-07-27T01:53:00Z</dcterms:created>
  <dc:creator>user</dc:creator>
  <cp:lastModifiedBy>太极箫客</cp:lastModifiedBy>
  <dcterms:modified xsi:type="dcterms:W3CDTF">2025-08-14T06:13:58Z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4DF2A525E61C45A5B8DC856A2C01FE68</vt:lpwstr>
  </property>
  <property fmtid="{D5CDD505-2E9C-101B-9397-08002B2CF9AE}" pid="4" name="KSOTemplateDocerSaveRecord">
    <vt:lpwstr>eyJoZGlkIjoiMDJiMzI3ODBiNTFmMWRjNDUyMjM1ZmZjODY5NDc2MWMiLCJ1c2VySWQiOiI0NTQ4Nzg1NzAifQ==</vt:lpwstr>
  </property>
</Properties>
</file>