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0ADC4">
      <w:pPr>
        <w:overflowPunct w:val="0"/>
        <w:snapToGrid w:val="0"/>
        <w:spacing w:after="120" w:afterLines="50" w:line="300" w:lineRule="auto"/>
        <w:jc w:val="both"/>
        <w:rPr>
          <w:rFonts w:ascii="Times New Roman" w:hAnsi="Times New Roman" w:eastAsia="Times New Roman" w:cs="Times New Roman"/>
          <w:sz w:val="20"/>
          <w:szCs w:val="20"/>
        </w:rPr>
      </w:pPr>
      <w:bookmarkStart w:id="0" w:name="_GoBack"/>
      <w:bookmarkEnd w:id="0"/>
    </w:p>
    <w:p w14:paraId="48D105FE">
      <w:pPr>
        <w:overflowPunct w:val="0"/>
        <w:snapToGrid w:val="0"/>
        <w:spacing w:after="120" w:afterLines="50" w:line="300" w:lineRule="auto"/>
        <w:jc w:val="both"/>
        <w:rPr>
          <w:rFonts w:ascii="Times New Roman" w:hAnsi="Times New Roman" w:eastAsia="Times New Roman" w:cs="Times New Roman"/>
          <w:sz w:val="20"/>
          <w:szCs w:val="20"/>
        </w:rPr>
      </w:pPr>
    </w:p>
    <w:p w14:paraId="16F79567">
      <w:pPr>
        <w:overflowPunct w:val="0"/>
        <w:snapToGrid w:val="0"/>
        <w:spacing w:after="120" w:afterLines="50" w:line="300" w:lineRule="auto"/>
        <w:jc w:val="both"/>
        <w:rPr>
          <w:rFonts w:ascii="Times New Roman" w:hAnsi="Times New Roman" w:eastAsia="Times New Roman" w:cs="Times New Roman"/>
          <w:sz w:val="20"/>
          <w:szCs w:val="20"/>
        </w:rPr>
      </w:pPr>
    </w:p>
    <w:p w14:paraId="302D9B25">
      <w:pPr>
        <w:overflowPunct w:val="0"/>
        <w:snapToGrid w:val="0"/>
        <w:spacing w:after="120" w:afterLines="50" w:line="300" w:lineRule="auto"/>
        <w:jc w:val="both"/>
        <w:rPr>
          <w:rFonts w:ascii="Times New Roman" w:hAnsi="Times New Roman" w:eastAsia="Times New Roman" w:cs="Times New Roman"/>
          <w:sz w:val="19"/>
          <w:szCs w:val="19"/>
        </w:rPr>
      </w:pPr>
    </w:p>
    <w:p w14:paraId="34ED9EEA">
      <w:pPr>
        <w:overflowPunct w:val="0"/>
        <w:snapToGrid w:val="0"/>
        <w:spacing w:after="120" w:afterLines="50" w:line="300" w:lineRule="auto"/>
        <w:jc w:val="both"/>
        <w:rPr>
          <w:rFonts w:ascii="Arial" w:hAnsi="Arial" w:eastAsia="Arial" w:cs="Arial"/>
          <w:sz w:val="64"/>
          <w:szCs w:val="64"/>
          <w:lang w:eastAsia="zh-CN"/>
        </w:rPr>
      </w:pPr>
      <w:r>
        <w:rPr>
          <w:rFonts w:ascii="Arial"/>
          <w:b/>
          <w:sz w:val="64"/>
          <w:lang w:eastAsia="zh-CN"/>
        </w:rPr>
        <w:t>CPG章节 355.300 离子生成器械</w:t>
      </w:r>
    </w:p>
    <w:p w14:paraId="13170B8E">
      <w:pPr>
        <w:pStyle w:val="2"/>
        <w:overflowPunct w:val="0"/>
        <w:snapToGrid w:val="0"/>
        <w:spacing w:after="240" w:afterLines="100" w:line="300" w:lineRule="auto"/>
        <w:ind w:left="0"/>
        <w:jc w:val="both"/>
        <w:rPr>
          <w:sz w:val="28"/>
          <w:szCs w:val="28"/>
          <w:lang w:eastAsia="zh-CN"/>
        </w:rPr>
      </w:pPr>
      <w:r>
        <w:rPr>
          <w:sz w:val="28"/>
          <w:szCs w:val="28"/>
          <w:lang w:eastAsia="zh-CN"/>
        </w:rPr>
        <w:t>背景：</w:t>
      </w:r>
    </w:p>
    <w:p w14:paraId="2F2D49C4">
      <w:pPr>
        <w:pStyle w:val="2"/>
        <w:overflowPunct w:val="0"/>
        <w:snapToGrid w:val="0"/>
        <w:spacing w:after="240" w:afterLines="100" w:line="300" w:lineRule="auto"/>
        <w:ind w:left="0"/>
        <w:jc w:val="both"/>
        <w:rPr>
          <w:sz w:val="28"/>
          <w:szCs w:val="28"/>
          <w:lang w:eastAsia="zh-CN"/>
        </w:rPr>
      </w:pPr>
      <w:r>
        <w:rPr>
          <w:sz w:val="28"/>
          <w:szCs w:val="28"/>
          <w:lang w:eastAsia="zh-CN"/>
        </w:rPr>
        <w:t>目前正在推广用于治疗各种疾病的多种离子生成器械，分别为阴性和阳性。当对</w:t>
      </w:r>
      <w:r>
        <w:rPr>
          <w:rFonts w:hint="eastAsia" w:eastAsiaTheme="minorEastAsia"/>
          <w:sz w:val="28"/>
          <w:szCs w:val="28"/>
          <w:lang w:eastAsia="zh-CN"/>
        </w:rPr>
        <w:t>此类</w:t>
      </w:r>
      <w:r>
        <w:rPr>
          <w:sz w:val="28"/>
          <w:szCs w:val="28"/>
          <w:lang w:eastAsia="zh-CN"/>
        </w:rPr>
        <w:t>离子生成器械提出医疗声称时，其受《*联邦*食品、药品和化妆品法案》监管。在医疗声称得到充分控制和有效的科学研究支持前，这些设备均认为是贴错标签。如果离子生成器产生臭氧，则应符合21 CFR 801.415的规定，只要其预期用途符合器械的定义。目前市售的离子生成器的大部分标签声称不会产生臭氧或者水平非常低。这种说法的真实性需要验证。</w:t>
      </w:r>
    </w:p>
    <w:p w14:paraId="1E6041F0">
      <w:pPr>
        <w:pStyle w:val="2"/>
        <w:overflowPunct w:val="0"/>
        <w:snapToGrid w:val="0"/>
        <w:spacing w:after="240" w:afterLines="100" w:line="300" w:lineRule="auto"/>
        <w:ind w:left="0"/>
        <w:jc w:val="both"/>
        <w:rPr>
          <w:sz w:val="28"/>
          <w:szCs w:val="28"/>
          <w:lang w:eastAsia="zh-CN"/>
        </w:rPr>
      </w:pPr>
      <w:r>
        <w:rPr>
          <w:sz w:val="28"/>
          <w:szCs w:val="28"/>
          <w:lang w:eastAsia="zh-CN"/>
        </w:rPr>
        <w:t>政策：</w:t>
      </w:r>
    </w:p>
    <w:p w14:paraId="08320767">
      <w:pPr>
        <w:pStyle w:val="2"/>
        <w:overflowPunct w:val="0"/>
        <w:snapToGrid w:val="0"/>
        <w:spacing w:after="240" w:afterLines="100" w:line="300" w:lineRule="auto"/>
        <w:ind w:left="0"/>
        <w:jc w:val="both"/>
        <w:rPr>
          <w:sz w:val="28"/>
          <w:szCs w:val="28"/>
          <w:lang w:eastAsia="zh-CN"/>
        </w:rPr>
      </w:pPr>
      <w:r>
        <w:rPr>
          <w:sz w:val="28"/>
          <w:szCs w:val="28"/>
          <w:lang w:eastAsia="zh-CN"/>
        </w:rPr>
        <w:t>用于医疗用途的离子生成器械符合《联邦食品、药品和化妆品法案》的要求。贴有未经证实声称的此类器械违反了502（a）和502（f）（1）的规定。如果遇到，请遵</w:t>
      </w:r>
      <w:r>
        <w:rPr>
          <w:rFonts w:ascii="宋体" w:hAnsi="宋体" w:eastAsia="宋体"/>
          <w:sz w:val="28"/>
          <w:szCs w:val="28"/>
          <w:lang w:eastAsia="zh-CN"/>
        </w:rPr>
        <w:t>循“合</w:t>
      </w:r>
      <w:r>
        <w:rPr>
          <w:sz w:val="28"/>
          <w:szCs w:val="28"/>
          <w:lang w:eastAsia="zh-CN"/>
        </w:rPr>
        <w:t>规政策指南7150.10健康欺诈 - 考虑监管行为的因</w:t>
      </w:r>
      <w:r>
        <w:rPr>
          <w:rFonts w:ascii="宋体" w:hAnsi="宋体" w:eastAsia="宋体"/>
          <w:sz w:val="28"/>
          <w:szCs w:val="28"/>
          <w:lang w:eastAsia="zh-CN"/>
        </w:rPr>
        <w:t>素”</w:t>
      </w:r>
      <w:r>
        <w:rPr>
          <w:sz w:val="28"/>
          <w:szCs w:val="28"/>
          <w:lang w:eastAsia="zh-CN"/>
        </w:rPr>
        <w:t>。*（请注意</w:t>
      </w:r>
      <w:r>
        <w:rPr>
          <w:rFonts w:ascii="宋体" w:hAnsi="宋体" w:eastAsia="宋体"/>
          <w:sz w:val="28"/>
          <w:szCs w:val="28"/>
          <w:lang w:eastAsia="zh-CN"/>
        </w:rPr>
        <w:t>：“健康欺诈”</w:t>
      </w:r>
      <w:r>
        <w:rPr>
          <w:sz w:val="28"/>
          <w:szCs w:val="28"/>
          <w:lang w:eastAsia="zh-CN"/>
        </w:rPr>
        <w:t>的定义包括“用于人类或动物物品的宣传、广告、分销或销售......”）。</w:t>
      </w:r>
    </w:p>
    <w:p w14:paraId="6AC29126">
      <w:pPr>
        <w:pStyle w:val="2"/>
        <w:overflowPunct w:val="0"/>
        <w:snapToGrid w:val="0"/>
        <w:spacing w:after="240" w:afterLines="100" w:line="300" w:lineRule="auto"/>
        <w:ind w:left="0"/>
        <w:jc w:val="both"/>
        <w:rPr>
          <w:rFonts w:eastAsiaTheme="minorEastAsia"/>
          <w:sz w:val="28"/>
          <w:szCs w:val="28"/>
          <w:lang w:eastAsia="zh-CN"/>
        </w:rPr>
      </w:pPr>
      <w:r>
        <w:rPr>
          <w:sz w:val="28"/>
          <w:szCs w:val="28"/>
          <w:lang w:eastAsia="zh-CN"/>
        </w:rPr>
        <w:t>*星号之间的材料是新材料或改进材料*</w:t>
      </w:r>
    </w:p>
    <w:p w14:paraId="541ACA06">
      <w:pPr>
        <w:pStyle w:val="2"/>
        <w:overflowPunct w:val="0"/>
        <w:snapToGrid w:val="0"/>
        <w:spacing w:line="300" w:lineRule="auto"/>
        <w:ind w:left="0"/>
        <w:jc w:val="both"/>
        <w:rPr>
          <w:sz w:val="28"/>
          <w:szCs w:val="28"/>
          <w:lang w:eastAsia="zh-CN"/>
        </w:rPr>
      </w:pPr>
      <w:r>
        <w:rPr>
          <w:sz w:val="28"/>
          <w:szCs w:val="28"/>
          <w:lang w:eastAsia="zh-CN"/>
        </w:rPr>
        <w:t>发布日期</w:t>
      </w:r>
      <w:r>
        <w:rPr>
          <w:rFonts w:hint="eastAsia" w:eastAsiaTheme="minorEastAsia"/>
          <w:sz w:val="28"/>
          <w:szCs w:val="28"/>
          <w:lang w:eastAsia="zh-CN"/>
        </w:rPr>
        <w:t>：</w:t>
      </w:r>
      <w:r>
        <w:rPr>
          <w:sz w:val="28"/>
          <w:szCs w:val="28"/>
          <w:lang w:eastAsia="zh-CN"/>
        </w:rPr>
        <w:t>1974年12月16日</w:t>
      </w:r>
    </w:p>
    <w:p w14:paraId="0D18C0BA">
      <w:pPr>
        <w:pStyle w:val="2"/>
        <w:overflowPunct w:val="0"/>
        <w:snapToGrid w:val="0"/>
        <w:spacing w:line="300" w:lineRule="auto"/>
        <w:ind w:left="0"/>
        <w:jc w:val="both"/>
        <w:rPr>
          <w:rFonts w:eastAsiaTheme="minorEastAsia"/>
          <w:sz w:val="28"/>
          <w:szCs w:val="28"/>
          <w:lang w:eastAsia="zh-CN"/>
        </w:rPr>
      </w:pPr>
      <w:r>
        <w:rPr>
          <w:sz w:val="28"/>
          <w:szCs w:val="28"/>
          <w:lang w:eastAsia="zh-CN"/>
        </w:rPr>
        <w:t>再发布日期</w:t>
      </w:r>
      <w:r>
        <w:rPr>
          <w:rFonts w:hint="eastAsia" w:eastAsiaTheme="minorEastAsia"/>
          <w:sz w:val="28"/>
          <w:szCs w:val="28"/>
          <w:lang w:eastAsia="zh-CN"/>
        </w:rPr>
        <w:t>：</w:t>
      </w:r>
      <w:r>
        <w:rPr>
          <w:sz w:val="28"/>
          <w:szCs w:val="28"/>
          <w:lang w:eastAsia="zh-CN"/>
        </w:rPr>
        <w:t>1980年10月1日</w:t>
      </w:r>
    </w:p>
    <w:p w14:paraId="0A99CD25">
      <w:pPr>
        <w:pStyle w:val="2"/>
        <w:overflowPunct w:val="0"/>
        <w:snapToGrid w:val="0"/>
        <w:spacing w:after="240" w:afterLines="100" w:line="300" w:lineRule="auto"/>
        <w:ind w:left="0"/>
        <w:jc w:val="both"/>
        <w:rPr>
          <w:sz w:val="28"/>
          <w:szCs w:val="28"/>
          <w:lang w:eastAsia="zh-CN"/>
        </w:rPr>
      </w:pPr>
      <w:r>
        <w:rPr>
          <w:sz w:val="28"/>
          <w:szCs w:val="28"/>
          <w:lang w:eastAsia="zh-CN"/>
        </w:rPr>
        <w:t>修订日期</w:t>
      </w:r>
      <w:r>
        <w:rPr>
          <w:rFonts w:hint="eastAsia" w:eastAsiaTheme="minorEastAsia"/>
          <w:sz w:val="28"/>
          <w:szCs w:val="28"/>
          <w:lang w:eastAsia="zh-CN"/>
        </w:rPr>
        <w:t>：</w:t>
      </w:r>
      <w:r>
        <w:rPr>
          <w:sz w:val="28"/>
          <w:szCs w:val="28"/>
          <w:lang w:eastAsia="zh-CN"/>
        </w:rPr>
        <w:t>1987年9月24日、1995年3月</w:t>
      </w:r>
    </w:p>
    <w:p w14:paraId="3DD81F7C">
      <w:pPr>
        <w:spacing w:before="7"/>
        <w:rPr>
          <w:rFonts w:ascii="Arial" w:hAnsi="Arial" w:eastAsia="Arial" w:cs="Arial"/>
          <w:sz w:val="18"/>
          <w:szCs w:val="18"/>
          <w:lang w:eastAsia="zh-CN"/>
        </w:rPr>
      </w:pPr>
    </w:p>
    <w:tbl>
      <w:tblPr>
        <w:tblStyle w:val="7"/>
        <w:tblW w:w="5000" w:type="pct"/>
        <w:tblInd w:w="0" w:type="dxa"/>
        <w:tblLayout w:type="autofit"/>
        <w:tblCellMar>
          <w:top w:w="0" w:type="dxa"/>
          <w:left w:w="0" w:type="dxa"/>
          <w:bottom w:w="0" w:type="dxa"/>
          <w:right w:w="0" w:type="dxa"/>
        </w:tblCellMar>
      </w:tblPr>
      <w:tblGrid>
        <w:gridCol w:w="10796"/>
      </w:tblGrid>
      <w:tr w14:paraId="06C68E9D">
        <w:tblPrEx>
          <w:tblCellMar>
            <w:top w:w="0" w:type="dxa"/>
            <w:left w:w="0" w:type="dxa"/>
            <w:bottom w:w="0" w:type="dxa"/>
            <w:right w:w="0" w:type="dxa"/>
          </w:tblCellMar>
        </w:tblPrEx>
        <w:tc>
          <w:tcPr>
            <w:tcW w:w="5000" w:type="pct"/>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332039EB">
            <w:pPr>
              <w:pStyle w:val="9"/>
              <w:overflowPunct w:val="0"/>
              <w:snapToGrid w:val="0"/>
              <w:spacing w:after="120" w:afterLines="50" w:line="300" w:lineRule="auto"/>
              <w:ind w:left="44" w:leftChars="20" w:right="44" w:rightChars="20"/>
              <w:rPr>
                <w:rFonts w:ascii="Arial" w:hAnsi="Arial" w:eastAsia="宋体" w:cs="Arial"/>
                <w:sz w:val="24"/>
                <w:szCs w:val="24"/>
                <w:u w:val="single"/>
              </w:rPr>
            </w:pPr>
            <w:r>
              <w:fldChar w:fldCharType="begin"/>
            </w:r>
            <w:r>
              <w:instrText xml:space="preserve"> HYPERLINK "https://www.fda.gov/ICECI/ComplianceManuals/CompliancePolicyGuidanceManual/default.htm" \h </w:instrText>
            </w:r>
            <w:r>
              <w:fldChar w:fldCharType="separate"/>
            </w:r>
            <w:r>
              <w:rPr>
                <w:rFonts w:hint="eastAsia" w:ascii="Arial" w:hAnsi="Arial" w:eastAsia="宋体" w:cs="Arial"/>
                <w:b/>
                <w:sz w:val="24"/>
                <w:szCs w:val="24"/>
                <w:u w:val="single"/>
              </w:rPr>
              <w:t>更多的合规政策指南</w:t>
            </w:r>
            <w:r>
              <w:rPr>
                <w:rFonts w:ascii="Arial" w:hAnsi="Arial" w:eastAsia="宋体" w:cs="Arial"/>
                <w:b/>
                <w:sz w:val="24"/>
                <w:szCs w:val="24"/>
                <w:u w:val="single"/>
              </w:rPr>
              <w:br w:type="textWrapping"/>
            </w:r>
            <w:r>
              <w:rPr>
                <w:rFonts w:ascii="Arial" w:hAnsi="Arial" w:eastAsia="宋体" w:cs="Arial"/>
                <w:b/>
                <w:sz w:val="24"/>
                <w:szCs w:val="24"/>
                <w:u w:val="single"/>
              </w:rPr>
              <w:t>(/ICECI/Compliance Manuals/Compliance PolicyGuidance Manual/default.htm)</w:t>
            </w:r>
            <w:r>
              <w:rPr>
                <w:rFonts w:ascii="Arial" w:hAnsi="Arial" w:eastAsia="宋体" w:cs="Arial"/>
                <w:b/>
                <w:sz w:val="24"/>
                <w:szCs w:val="24"/>
                <w:u w:val="single"/>
              </w:rPr>
              <w:fldChar w:fldCharType="end"/>
            </w:r>
          </w:p>
        </w:tc>
      </w:tr>
      <w:tr w14:paraId="2AA7451C">
        <w:tblPrEx>
          <w:tblCellMar>
            <w:top w:w="0" w:type="dxa"/>
            <w:left w:w="0" w:type="dxa"/>
            <w:bottom w:w="0" w:type="dxa"/>
            <w:right w:w="0" w:type="dxa"/>
          </w:tblCellMar>
        </w:tblPrEx>
        <w:tc>
          <w:tcPr>
            <w:tcW w:w="5000" w:type="pct"/>
            <w:tcBorders>
              <w:top w:val="single" w:color="4F81BD" w:themeColor="accent1" w:sz="12" w:space="0"/>
              <w:left w:val="single" w:color="DDDDDD" w:sz="6" w:space="0"/>
              <w:bottom w:val="single" w:color="DDDDDD" w:sz="6" w:space="0"/>
              <w:right w:val="single" w:color="DDDDDD" w:sz="6" w:space="0"/>
            </w:tcBorders>
            <w:vAlign w:val="center"/>
          </w:tcPr>
          <w:p w14:paraId="62040BD9">
            <w:pPr>
              <w:pStyle w:val="9"/>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ascii="Arial" w:hAnsi="Arial" w:eastAsia="宋体" w:cs="Arial"/>
                <w:b/>
                <w:sz w:val="24"/>
                <w:szCs w:val="24"/>
                <w:u w:val="single" w:color="000000"/>
              </w:rPr>
              <w:t>前言：合规政策指南（CPG）</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Manual/ucm116271.htm)</w:t>
            </w:r>
            <w:r>
              <w:rPr>
                <w:rFonts w:ascii="Arial" w:hAnsi="Arial" w:eastAsia="宋体" w:cs="Arial"/>
                <w:b/>
                <w:sz w:val="24"/>
                <w:szCs w:val="24"/>
                <w:u w:val="single" w:color="000000"/>
              </w:rPr>
              <w:fldChar w:fldCharType="end"/>
            </w:r>
          </w:p>
        </w:tc>
      </w:tr>
      <w:tr w14:paraId="2BD8135D">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65DA950A">
            <w:pPr>
              <w:pStyle w:val="9"/>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color="000000"/>
              </w:rPr>
              <w:t>第一章-通则</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Manual/ucm116280.htm)</w:t>
            </w:r>
            <w:r>
              <w:rPr>
                <w:rFonts w:ascii="Arial" w:hAnsi="Arial" w:eastAsia="宋体" w:cs="Arial"/>
                <w:b/>
                <w:sz w:val="24"/>
                <w:szCs w:val="24"/>
                <w:u w:val="single" w:color="000000"/>
              </w:rPr>
              <w:fldChar w:fldCharType="end"/>
            </w:r>
          </w:p>
        </w:tc>
      </w:tr>
      <w:tr w14:paraId="67A25BC0">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1C6E5A94">
            <w:pPr>
              <w:pStyle w:val="9"/>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z w:val="24"/>
                <w:szCs w:val="24"/>
                <w:u w:val="single" w:color="000000"/>
              </w:rPr>
              <w:t>第二章-生物制剂</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Manual/ucm116336.htm)</w:t>
            </w:r>
            <w:r>
              <w:rPr>
                <w:rFonts w:ascii="Arial" w:hAnsi="Arial" w:eastAsia="宋体" w:cs="Arial"/>
                <w:b/>
                <w:sz w:val="24"/>
                <w:szCs w:val="24"/>
                <w:u w:val="single" w:color="000000"/>
              </w:rPr>
              <w:fldChar w:fldCharType="end"/>
            </w:r>
          </w:p>
        </w:tc>
      </w:tr>
      <w:tr w14:paraId="0FBF4BE1">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73DB332D">
            <w:pPr>
              <w:pStyle w:val="9"/>
              <w:overflowPunct w:val="0"/>
              <w:snapToGrid w:val="0"/>
              <w:spacing w:after="120" w:afterLines="50" w:line="300" w:lineRule="auto"/>
              <w:ind w:left="44" w:leftChars="20" w:right="44" w:rightChars="20"/>
              <w:rPr>
                <w:rFonts w:ascii="Arial" w:hAnsi="Arial" w:eastAsia="宋体" w:cs="Arial"/>
                <w:sz w:val="24"/>
                <w:szCs w:val="24"/>
                <w:lang w:val="en-US"/>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z w:val="24"/>
                <w:szCs w:val="24"/>
                <w:u w:val="single" w:color="000000"/>
              </w:rPr>
              <w:t>第三章</w:t>
            </w:r>
            <w:r>
              <w:rPr>
                <w:rFonts w:ascii="Arial" w:hAnsi="Arial" w:eastAsia="宋体" w:cs="Arial"/>
                <w:b/>
                <w:sz w:val="24"/>
                <w:szCs w:val="24"/>
                <w:u w:val="single" w:color="000000"/>
                <w:lang w:val="en-US"/>
              </w:rPr>
              <w:t>-</w:t>
            </w:r>
            <w:r>
              <w:rPr>
                <w:rFonts w:ascii="Arial" w:hAnsi="Arial" w:eastAsia="宋体" w:cs="Arial"/>
                <w:b/>
                <w:sz w:val="24"/>
                <w:szCs w:val="24"/>
                <w:u w:val="single" w:color="000000"/>
              </w:rPr>
              <w:t>器械</w:t>
            </w:r>
            <w:r>
              <w:rPr>
                <w:rFonts w:ascii="Arial" w:hAnsi="Arial" w:eastAsia="宋体" w:cs="Arial"/>
                <w:b/>
                <w:sz w:val="24"/>
                <w:szCs w:val="24"/>
                <w:u w:val="single" w:color="000000"/>
                <w:lang w:val="en-US"/>
              </w:rPr>
              <w:br w:type="textWrapping"/>
            </w:r>
            <w:r>
              <w:rPr>
                <w:rFonts w:ascii="Arial" w:hAnsi="Arial" w:eastAsia="宋体" w:cs="Arial"/>
                <w:b/>
                <w:sz w:val="24"/>
                <w:szCs w:val="24"/>
                <w:u w:val="single" w:color="000000"/>
                <w:lang w:val="en-US"/>
              </w:rPr>
              <w:t>(/ICECI/Compliance Manuals/Compliance PolicyGuidance Manual/ucm116801.htm)</w:t>
            </w:r>
            <w:r>
              <w:rPr>
                <w:rFonts w:ascii="Arial" w:hAnsi="Arial" w:eastAsia="宋体" w:cs="Arial"/>
                <w:b/>
                <w:sz w:val="24"/>
                <w:szCs w:val="24"/>
                <w:u w:val="single" w:color="000000"/>
                <w:lang w:val="en-US"/>
              </w:rPr>
              <w:fldChar w:fldCharType="end"/>
            </w:r>
          </w:p>
        </w:tc>
      </w:tr>
      <w:tr w14:paraId="67838A17">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3B83C70B">
            <w:pPr>
              <w:pStyle w:val="9"/>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ascii="Arial" w:hAnsi="Arial" w:eastAsia="宋体" w:cs="Arial"/>
                <w:b/>
                <w:sz w:val="24"/>
                <w:szCs w:val="24"/>
                <w:u w:val="single" w:color="000000"/>
              </w:rPr>
              <w:t>第四章-人用药品</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Manual/ucm119572.htm)</w:t>
            </w:r>
            <w:r>
              <w:rPr>
                <w:rFonts w:ascii="Arial" w:hAnsi="Arial" w:eastAsia="宋体" w:cs="Arial"/>
                <w:b/>
                <w:sz w:val="24"/>
                <w:szCs w:val="24"/>
                <w:u w:val="single" w:color="000000"/>
              </w:rPr>
              <w:fldChar w:fldCharType="end"/>
            </w:r>
          </w:p>
        </w:tc>
      </w:tr>
      <w:tr w14:paraId="2434F3FD">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3752A964">
            <w:pPr>
              <w:pStyle w:val="9"/>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"https://www.fda.gov/ICECI/ComplianceManuals/CompliancePolicyGuidanceManual/ucm119194.htm" \h </w:instrText>
            </w:r>
            <w:r>
              <w:fldChar w:fldCharType="separate"/>
            </w:r>
            <w:r>
              <w:rPr>
                <w:rFonts w:ascii="Arial" w:hAnsi="Arial" w:eastAsia="宋体" w:cs="Arial"/>
                <w:b/>
                <w:sz w:val="24"/>
                <w:szCs w:val="24"/>
                <w:u w:val="single" w:color="000000"/>
              </w:rPr>
              <w:t>第五章-食品、颜料和化妆品</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Manual/ucm119194.htm)</w:t>
            </w:r>
            <w:r>
              <w:rPr>
                <w:rFonts w:ascii="Arial" w:hAnsi="Arial" w:eastAsia="宋体" w:cs="Arial"/>
                <w:b/>
                <w:sz w:val="24"/>
                <w:szCs w:val="24"/>
                <w:u w:val="single" w:color="000000"/>
              </w:rPr>
              <w:fldChar w:fldCharType="end"/>
            </w:r>
          </w:p>
        </w:tc>
      </w:tr>
      <w:tr w14:paraId="7D10989E">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30F09134">
            <w:pPr>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"https://www.fda.gov/ICECI/ComplianceManuals/CompliancePolicyGuidanceManual/ucm117042.htm" \h </w:instrText>
            </w:r>
            <w:r>
              <w:fldChar w:fldCharType="separate"/>
            </w:r>
            <w:r>
              <w:rPr>
                <w:rFonts w:ascii="Arial" w:hAnsi="Arial" w:eastAsia="宋体" w:cs="Arial"/>
                <w:b/>
                <w:sz w:val="24"/>
                <w:szCs w:val="24"/>
                <w:u w:val="single" w:color="000000"/>
              </w:rPr>
              <w:t>第六章-兽医医学</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Manual/ucm117042.htm)</w:t>
            </w:r>
            <w:r>
              <w:rPr>
                <w:rFonts w:ascii="Arial" w:hAnsi="Arial" w:eastAsia="宋体" w:cs="Arial"/>
                <w:b/>
                <w:sz w:val="24"/>
                <w:szCs w:val="24"/>
                <w:u w:val="single" w:color="000000"/>
              </w:rPr>
              <w:fldChar w:fldCharType="end"/>
            </w:r>
          </w:p>
        </w:tc>
      </w:tr>
    </w:tbl>
    <w:p w14:paraId="4BBB5390">
      <w:pPr>
        <w:rPr>
          <w:rFonts w:ascii="Times New Roman" w:hAnsi="Times New Roman" w:eastAsia="Times New Roman" w:cs="Times New Roman"/>
          <w:sz w:val="20"/>
          <w:szCs w:val="20"/>
        </w:rPr>
      </w:pPr>
    </w:p>
    <w:p w14:paraId="5D795164">
      <w:pPr>
        <w:overflowPunct w:val="0"/>
        <w:snapToGrid w:val="0"/>
        <w:spacing w:after="120" w:afterLines="50" w:line="300" w:lineRule="auto"/>
        <w:jc w:val="both"/>
        <w:rPr>
          <w:rFonts w:hint="eastAsia" w:eastAsia="宋体"/>
          <w:lang w:eastAsia="zh-CN"/>
        </w:rPr>
      </w:pPr>
    </w:p>
    <w:p w14:paraId="37AC4CE4">
      <w:pPr>
        <w:overflowPunct w:val="0"/>
        <w:snapToGrid w:val="0"/>
        <w:spacing w:after="120" w:afterLines="50" w:line="300" w:lineRule="auto"/>
        <w:jc w:val="center"/>
        <w:rPr>
          <w:rFonts w:hint="eastAsia" w:eastAsia="宋体"/>
          <w:lang w:eastAsia="zh-CN"/>
        </w:rPr>
      </w:pPr>
    </w:p>
    <w:p w14:paraId="63A48DEC">
      <w:pPr>
        <w:overflowPunct w:val="0"/>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36194">
    <w:pPr>
      <w:tabs>
        <w:tab w:val="right" w:pos="10773"/>
      </w:tabs>
      <w:spacing w:line="184" w:lineRule="exact"/>
      <w:ind w:left="40"/>
      <w:rPr>
        <w:rFonts w:ascii="Arial" w:hAnsi="Arial" w:cs="Arial"/>
        <w:sz w:val="15"/>
        <w:szCs w:val="15"/>
        <w:lang w:eastAsia="zh-CN"/>
      </w:rPr>
    </w:pPr>
    <w:r>
      <w:fldChar w:fldCharType="begin"/>
    </w:r>
    <w:r>
      <w:instrText xml:space="preserve"> HYPERLINK "https://www.fda.gov/ICECI/ComplianceManuals/CompliancePolicyGuidanceManual/ucm116336.htm" \h </w:instrText>
    </w:r>
    <w:r>
      <w:fldChar w:fldCharType="separate"/>
    </w:r>
    <w:r>
      <w:rPr>
        <w:rFonts w:ascii="Arial"/>
        <w:sz w:val="15"/>
        <w:szCs w:val="15"/>
      </w:rPr>
      <w:t>https://www.fda.gov/ICECI/ComplianceManuals/CompliancePolicyGuidanceManual/ucm073907.htm</w:t>
    </w:r>
    <w:r>
      <w:rPr>
        <w:rFonts w:ascii="Arial"/>
        <w:sz w:val="15"/>
        <w:szCs w:val="15"/>
      </w:rPr>
      <w:fldChar w:fldCharType="end"/>
    </w:r>
    <w:r>
      <w:rPr>
        <w:rFonts w:hint="eastAsia" w:ascii="Arial"/>
        <w:sz w:val="15"/>
        <w:szCs w:val="15"/>
        <w:lang w:eastAsia="zh-CN"/>
      </w:rPr>
      <w:tab/>
    </w:r>
    <w:r>
      <w:rPr>
        <w:sz w:val="15"/>
        <w:szCs w:val="15"/>
      </w:rPr>
      <w:fldChar w:fldCharType="begin"/>
    </w:r>
    <w:r>
      <w:rPr>
        <w:rFonts w:ascii="Arial"/>
        <w:sz w:val="15"/>
        <w:szCs w:val="15"/>
      </w:rPr>
      <w:instrText xml:space="preserve"> PAGE </w:instrText>
    </w:r>
    <w:r>
      <w:rPr>
        <w:sz w:val="15"/>
        <w:szCs w:val="15"/>
      </w:rPr>
      <w:fldChar w:fldCharType="separate"/>
    </w:r>
    <w:r>
      <w:rPr>
        <w:rFonts w:ascii="Arial"/>
        <w:sz w:val="15"/>
        <w:szCs w:val="15"/>
      </w:rPr>
      <w:t>2</w:t>
    </w:r>
    <w:r>
      <w:rPr>
        <w:sz w:val="15"/>
        <w:szCs w:val="15"/>
      </w:rPr>
      <w:fldChar w:fldCharType="end"/>
    </w:r>
    <w:r>
      <w:fldChar w:fldCharType="begin"/>
    </w:r>
    <w:r>
      <w:instrText xml:space="preserve"> HYPERLINK "https://www.fda.gov/ICECI/ComplianceManuals/CompliancePolicyGuidanceManual/ucm116336.htm" \h </w:instrText>
    </w:r>
    <w:r>
      <w:fldChar w:fldCharType="separate"/>
    </w:r>
    <w:r>
      <w:rPr>
        <w:rFonts w:ascii="Arial"/>
        <w:sz w:val="15"/>
        <w:szCs w:val="15"/>
      </w:rPr>
      <w:t>/2</w:t>
    </w:r>
    <w:r>
      <w:rPr>
        <w:rFonts w:ascii="Arial"/>
        <w:sz w:val="15"/>
        <w:szCs w:val="15"/>
      </w:rPr>
      <w:fldChar w:fldCharType="end"/>
    </w:r>
  </w:p>
  <w:p w14:paraId="4ED18527">
    <w:pPr>
      <w:spacing w:line="14" w:lineRule="auto"/>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26670">
    <w:pPr>
      <w:tabs>
        <w:tab w:val="left" w:pos="4111"/>
      </w:tabs>
      <w:spacing w:line="184" w:lineRule="exact"/>
      <w:ind w:left="20"/>
      <w:rPr>
        <w:rFonts w:ascii="Arial" w:hAnsi="Arial" w:eastAsia="Arial" w:cs="Arial"/>
        <w:sz w:val="15"/>
        <w:szCs w:val="15"/>
        <w:lang w:eastAsia="zh-CN"/>
      </w:rPr>
    </w:pPr>
    <w:r>
      <w:rPr>
        <w:rFonts w:ascii="Arial"/>
        <w:sz w:val="15"/>
        <w:szCs w:val="15"/>
        <w:lang w:eastAsia="zh-CN"/>
      </w:rPr>
      <w:t>2017年8月10日</w:t>
    </w:r>
    <w:r>
      <w:rPr>
        <w:rFonts w:hint="eastAsia" w:ascii="Arial"/>
        <w:sz w:val="15"/>
        <w:szCs w:val="15"/>
        <w:lang w:eastAsia="zh-CN"/>
      </w:rPr>
      <w:tab/>
    </w:r>
    <w:r>
      <w:rPr>
        <w:rFonts w:ascii="Arial"/>
        <w:sz w:val="15"/>
        <w:szCs w:val="15"/>
        <w:lang w:eastAsia="zh-CN"/>
      </w:rPr>
      <w:t>合规政策指南&gt;CPG章节 355.300 离子生成器械</w:t>
    </w:r>
  </w:p>
  <w:p w14:paraId="7324D368">
    <w:pPr>
      <w:spacing w:line="184" w:lineRule="exact"/>
      <w:ind w:left="20"/>
      <w:rPr>
        <w:rFonts w:ascii="Arial" w:hAnsi="Arial" w:cs="Arial"/>
        <w:sz w:val="15"/>
        <w:szCs w:val="15"/>
        <w:lang w:eastAsia="zh-CN"/>
      </w:rPr>
    </w:pPr>
  </w:p>
  <w:p w14:paraId="18010B68">
    <w:pPr>
      <w:spacing w:line="184" w:lineRule="exact"/>
      <w:ind w:left="20"/>
      <w:rPr>
        <w:rFonts w:ascii="Arial" w:hAnsi="Arial" w:cs="Arial"/>
        <w:sz w:val="15"/>
        <w:szCs w:val="15"/>
        <w:lang w:eastAsia="zh-CN"/>
      </w:rPr>
    </w:pPr>
  </w:p>
  <w:p w14:paraId="00239E29">
    <w:pPr>
      <w:spacing w:line="184" w:lineRule="exact"/>
      <w:ind w:left="20"/>
      <w:rPr>
        <w:rFonts w:ascii="Arial" w:hAnsi="Arial" w:cs="Arial"/>
        <w:sz w:val="15"/>
        <w:szCs w:val="15"/>
        <w:lang w:eastAsia="zh-CN"/>
      </w:rPr>
    </w:pPr>
  </w:p>
  <w:p w14:paraId="245DA902">
    <w:pPr>
      <w:spacing w:line="14" w:lineRule="auto"/>
      <w:rPr>
        <w:sz w:val="15"/>
        <w:szCs w:val="15"/>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934"/>
    <w:rsid w:val="00047625"/>
    <w:rsid w:val="00052893"/>
    <w:rsid w:val="00204142"/>
    <w:rsid w:val="003B3112"/>
    <w:rsid w:val="003C680A"/>
    <w:rsid w:val="004D67FF"/>
    <w:rsid w:val="006574FB"/>
    <w:rsid w:val="006F41AD"/>
    <w:rsid w:val="007D3295"/>
    <w:rsid w:val="00965917"/>
    <w:rsid w:val="009E5B72"/>
    <w:rsid w:val="00A05934"/>
    <w:rsid w:val="00A36364"/>
    <w:rsid w:val="00A55EDD"/>
    <w:rsid w:val="00B64B6B"/>
    <w:rsid w:val="00C22677"/>
    <w:rsid w:val="00C622F1"/>
    <w:rsid w:val="00CB52F2"/>
    <w:rsid w:val="00F43B62"/>
    <w:rsid w:val="65143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de-DE"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Arial"/>
      <w:sz w:val="25"/>
      <w:szCs w:val="25"/>
    </w:rPr>
  </w:style>
  <w:style w:type="paragraph" w:styleId="3">
    <w:name w:val="footer"/>
    <w:basedOn w:val="1"/>
    <w:link w:val="11"/>
    <w:unhideWhenUsed/>
    <w:uiPriority w:val="99"/>
    <w:pPr>
      <w:tabs>
        <w:tab w:val="center" w:pos="4153"/>
        <w:tab w:val="right" w:pos="8306"/>
      </w:tabs>
      <w:snapToGrid w:val="0"/>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qFormat/>
    <w:uiPriority w:val="99"/>
    <w:rPr>
      <w:sz w:val="18"/>
      <w:szCs w:val="18"/>
    </w:rPr>
  </w:style>
  <w:style w:type="character" w:customStyle="1" w:styleId="11">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507</Words>
  <Characters>1092</Characters>
  <Lines>14</Lines>
  <Paragraphs>4</Paragraphs>
  <TotalTime>1</TotalTime>
  <ScaleCrop>false</ScaleCrop>
  <LinksUpToDate>false</LinksUpToDate>
  <CharactersWithSpaces>1122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2017-11-10T00:57:00Z</dcterms:created>
  <dc:creator>wenrongzhen</dc:creator>
  <cp:lastModifiedBy>太极箫客</cp:lastModifiedBy>
  <dcterms:modified xsi:type="dcterms:W3CDTF">2025-08-14T06:13:55Z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0CF13C32EBA9427A932BB87126641670_12</vt:lpwstr>
  </property>
</Properties>
</file>