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99A6D">
      <w:pPr>
        <w:snapToGrid w:val="0"/>
        <w:spacing w:before="120" w:beforeLines="50"/>
        <w:jc w:val="center"/>
        <w:rPr>
          <w:sz w:val="48"/>
          <w:szCs w:val="48"/>
          <w:lang w:eastAsia="zh-CN"/>
        </w:rPr>
      </w:pPr>
      <w:bookmarkStart w:id="0" w:name="bookmark0"/>
      <w:bookmarkStart w:id="40" w:name="_GoBack"/>
      <w:bookmarkEnd w:id="40"/>
      <w:r>
        <w:rPr>
          <w:b/>
          <w:bCs/>
          <w:sz w:val="48"/>
          <w:szCs w:val="48"/>
          <w:lang w:eastAsia="zh-CN"/>
        </w:rPr>
        <w:t>修订后的通则的某些规定对美国食品药品监督管理局监管的临床研究的影响</w:t>
      </w:r>
      <w:bookmarkEnd w:id="0"/>
    </w:p>
    <w:p w14:paraId="41D634EB">
      <w:pPr>
        <w:snapToGrid w:val="0"/>
        <w:spacing w:before="120" w:beforeLines="50"/>
        <w:jc w:val="both"/>
        <w:rPr>
          <w:lang w:eastAsia="zh-CN"/>
        </w:rPr>
      </w:pPr>
      <w:bookmarkStart w:id="1" w:name="bookmark1"/>
    </w:p>
    <w:p w14:paraId="51B8F5BC">
      <w:pPr>
        <w:pBdr>
          <w:top w:val="single" w:color="auto" w:sz="4" w:space="1"/>
        </w:pBdr>
        <w:snapToGrid w:val="0"/>
        <w:spacing w:before="120" w:beforeLines="50"/>
        <w:jc w:val="center"/>
        <w:rPr>
          <w:sz w:val="44"/>
          <w:szCs w:val="44"/>
          <w:lang w:eastAsia="zh-CN"/>
        </w:rPr>
      </w:pPr>
      <w:r>
        <w:rPr>
          <w:sz w:val="44"/>
          <w:szCs w:val="44"/>
          <w:lang w:eastAsia="zh-CN"/>
        </w:rPr>
        <w:t>申办者、研究者和机构审查委员会指南</w:t>
      </w:r>
      <w:bookmarkEnd w:id="1"/>
    </w:p>
    <w:p w14:paraId="3FB80962">
      <w:pPr>
        <w:snapToGrid w:val="0"/>
        <w:spacing w:before="120" w:beforeLines="50"/>
        <w:jc w:val="both"/>
        <w:rPr>
          <w:lang w:eastAsia="zh-CN"/>
        </w:rPr>
      </w:pPr>
    </w:p>
    <w:p w14:paraId="124CD783">
      <w:pPr>
        <w:snapToGrid w:val="0"/>
        <w:spacing w:before="120" w:beforeLines="50"/>
        <w:rPr>
          <w:sz w:val="24"/>
          <w:lang w:eastAsia="zh-CN"/>
        </w:rPr>
      </w:pPr>
      <w:r>
        <w:rPr>
          <w:sz w:val="24"/>
          <w:lang w:eastAsia="zh-CN"/>
        </w:rPr>
        <w:t>可随时提交一组有关本指南的电子或书面意见。请提交电子意见至</w:t>
      </w:r>
      <w:r>
        <w:fldChar w:fldCharType="begin"/>
      </w:r>
      <w:r>
        <w:instrText xml:space="preserve"> HYPERLINK "https://www.regulations.gov/" \h </w:instrText>
      </w:r>
      <w:r>
        <w:fldChar w:fldCharType="separate"/>
      </w:r>
      <w:r>
        <w:rPr>
          <w:rStyle w:val="11"/>
          <w:color w:val="0000FF"/>
          <w:sz w:val="24"/>
          <w:lang w:eastAsia="zh-CN"/>
        </w:rPr>
        <w:t>https://www.regulations.gov</w:t>
      </w:r>
      <w:r>
        <w:rPr>
          <w:rStyle w:val="11"/>
          <w:color w:val="0000FF"/>
          <w:sz w:val="24"/>
          <w:lang w:eastAsia="zh-CN"/>
        </w:rPr>
        <w:fldChar w:fldCharType="end"/>
      </w:r>
      <w:r>
        <w:rPr>
          <w:sz w:val="24"/>
          <w:lang w:eastAsia="zh-CN"/>
        </w:rPr>
        <w:t>。请将书面意见提交至</w:t>
      </w:r>
      <w:r>
        <w:rPr>
          <w:rFonts w:hint="eastAsia"/>
          <w:sz w:val="24"/>
          <w:lang w:eastAsia="zh-CN"/>
        </w:rPr>
        <w:t>美国食品药品监督管理局备案文件管理部（5630 Fishers Lane, Room 1061, (HFA-305), Rockville, MD 20852）</w:t>
      </w:r>
      <w:r>
        <w:rPr>
          <w:sz w:val="24"/>
          <w:lang w:eastAsia="zh-CN"/>
        </w:rPr>
        <w:t>。所有意见都应注明文件编号FDA-2018-D-3551。</w:t>
      </w:r>
    </w:p>
    <w:p w14:paraId="28F46713">
      <w:pPr>
        <w:snapToGrid w:val="0"/>
        <w:spacing w:before="120" w:beforeLines="50"/>
        <w:rPr>
          <w:sz w:val="24"/>
          <w:lang w:eastAsia="zh-CN"/>
        </w:rPr>
      </w:pPr>
      <w:r>
        <w:rPr>
          <w:sz w:val="24"/>
          <w:lang w:eastAsia="zh-CN"/>
        </w:rPr>
        <w:t>可通过以下方式获取额外副本：药物临床试验质量管理规范办公室、特殊医疗项目办公室、医疗产品和烟草办公室、食品与药品监督管理局，地址：10903 New Hampshire Avenue, Silver Spring, MD 20993，或致电301-796-8340，或通过互联网访问</w:t>
      </w:r>
      <w:r>
        <w:fldChar w:fldCharType="begin"/>
      </w:r>
      <w:r>
        <w:instrText xml:space="preserve">HYPERLINK "https://www.fda.gov/ScienceResearch/SpecialTopics/RunningClinicalTrials/GuidancesInformationSheetsandNotices/ucm219433.htm"</w:instrText>
      </w:r>
      <w:r>
        <w:fldChar w:fldCharType="separate"/>
      </w:r>
      <w:r>
        <w:rPr>
          <w:rStyle w:val="11"/>
          <w:color w:val="0000FF"/>
          <w:sz w:val="24"/>
          <w:lang w:eastAsia="zh-CN"/>
        </w:rPr>
        <w:t>https://www.fda.gov/ScienceResearch/SpecialTopics/RunningClinicalTrials/GuidancesInformati</w:t>
      </w:r>
      <w:r>
        <w:fldChar w:fldCharType="end"/>
      </w:r>
      <w:r>
        <w:fldChar w:fldCharType="begin"/>
      </w:r>
      <w:r>
        <w:instrText xml:space="preserve"> HYPERLINK "https://www.fda.gov/ScienceResearch/SpecialTopics/RunningClinicalTrials/GuidancesInformationSheetsandNotices/ucm219433.htm" </w:instrText>
      </w:r>
      <w:r>
        <w:fldChar w:fldCharType="separate"/>
      </w:r>
      <w:r>
        <w:rPr>
          <w:rStyle w:val="11"/>
          <w:color w:val="0000FF"/>
          <w:sz w:val="24"/>
          <w:lang w:eastAsia="zh-CN"/>
        </w:rPr>
        <w:t>onSheetsandNotices/ucm219433.htm</w:t>
      </w:r>
      <w:r>
        <w:rPr>
          <w:rStyle w:val="11"/>
          <w:color w:val="0000FF"/>
          <w:sz w:val="24"/>
          <w:lang w:eastAsia="zh-CN"/>
        </w:rPr>
        <w:fldChar w:fldCharType="end"/>
      </w:r>
      <w:r>
        <w:rPr>
          <w:sz w:val="24"/>
          <w:lang w:eastAsia="zh-CN"/>
        </w:rPr>
        <w:t>。</w:t>
      </w:r>
    </w:p>
    <w:p w14:paraId="43231D5E">
      <w:pPr>
        <w:snapToGrid w:val="0"/>
        <w:spacing w:before="120" w:beforeLines="50"/>
        <w:jc w:val="both"/>
        <w:rPr>
          <w:sz w:val="24"/>
          <w:lang w:eastAsia="zh-CN"/>
        </w:rPr>
      </w:pPr>
      <w:r>
        <w:rPr>
          <w:rFonts w:hint="eastAsia"/>
          <w:sz w:val="24"/>
          <w:lang w:eastAsia="zh-CN"/>
        </w:rPr>
        <w:t>如对</w:t>
      </w:r>
      <w:r>
        <w:rPr>
          <w:sz w:val="24"/>
          <w:lang w:eastAsia="zh-CN"/>
        </w:rPr>
        <w:t>本文件</w:t>
      </w:r>
      <w:r>
        <w:rPr>
          <w:rFonts w:hint="eastAsia"/>
          <w:sz w:val="24"/>
          <w:lang w:eastAsia="zh-CN"/>
        </w:rPr>
        <w:t>有任何疑问</w:t>
      </w:r>
      <w:r>
        <w:rPr>
          <w:sz w:val="24"/>
          <w:lang w:eastAsia="zh-CN"/>
        </w:rPr>
        <w:t>，请致电301-796-1612，与药物临床试验质量管理规范办公室的Karena Cooper联系。</w:t>
      </w:r>
    </w:p>
    <w:p w14:paraId="352A7458">
      <w:pPr>
        <w:snapToGrid w:val="0"/>
        <w:spacing w:before="120" w:beforeLines="50"/>
        <w:jc w:val="center"/>
        <w:rPr>
          <w:b/>
          <w:bCs/>
          <w:sz w:val="24"/>
          <w:lang w:eastAsia="zh-CN"/>
        </w:rPr>
      </w:pPr>
    </w:p>
    <w:p w14:paraId="38BE1B9A">
      <w:pPr>
        <w:snapToGrid w:val="0"/>
        <w:spacing w:before="120" w:beforeLines="50"/>
        <w:jc w:val="center"/>
        <w:rPr>
          <w:b/>
          <w:bCs/>
          <w:sz w:val="24"/>
          <w:lang w:eastAsia="zh-CN"/>
        </w:rPr>
      </w:pPr>
    </w:p>
    <w:p w14:paraId="7035AF4B">
      <w:pPr>
        <w:snapToGrid w:val="0"/>
        <w:spacing w:before="120" w:beforeLines="50"/>
        <w:jc w:val="center"/>
        <w:rPr>
          <w:b/>
          <w:bCs/>
          <w:sz w:val="24"/>
          <w:lang w:eastAsia="zh-CN"/>
        </w:rPr>
      </w:pPr>
    </w:p>
    <w:p w14:paraId="5692D3F8">
      <w:pPr>
        <w:snapToGrid w:val="0"/>
        <w:spacing w:before="120" w:beforeLines="50"/>
        <w:jc w:val="center"/>
        <w:rPr>
          <w:b/>
          <w:bCs/>
          <w:sz w:val="24"/>
          <w:lang w:eastAsia="zh-CN"/>
        </w:rPr>
      </w:pPr>
    </w:p>
    <w:p w14:paraId="59DAB785">
      <w:pPr>
        <w:snapToGrid w:val="0"/>
        <w:spacing w:before="120" w:beforeLines="50"/>
        <w:jc w:val="center"/>
        <w:rPr>
          <w:sz w:val="24"/>
          <w:lang w:eastAsia="zh-CN"/>
        </w:rPr>
      </w:pPr>
      <w:r>
        <w:rPr>
          <w:b/>
          <w:bCs/>
          <w:sz w:val="24"/>
          <w:lang w:eastAsia="zh-CN"/>
        </w:rPr>
        <w:t>美国卫生</w:t>
      </w:r>
      <w:r>
        <w:rPr>
          <w:rFonts w:hint="eastAsia"/>
          <w:b/>
          <w:bCs/>
          <w:sz w:val="24"/>
          <w:lang w:eastAsia="zh-CN"/>
        </w:rPr>
        <w:t>与</w:t>
      </w:r>
      <w:r>
        <w:rPr>
          <w:b/>
          <w:bCs/>
          <w:sz w:val="24"/>
          <w:lang w:eastAsia="zh-CN"/>
        </w:rPr>
        <w:t>公众服务部</w:t>
      </w:r>
    </w:p>
    <w:p w14:paraId="36BF4EC5">
      <w:pPr>
        <w:snapToGrid w:val="0"/>
        <w:spacing w:before="120" w:beforeLines="50"/>
        <w:jc w:val="center"/>
        <w:rPr>
          <w:sz w:val="24"/>
          <w:lang w:eastAsia="zh-CN"/>
        </w:rPr>
      </w:pPr>
      <w:r>
        <w:rPr>
          <w:b/>
          <w:bCs/>
          <w:sz w:val="24"/>
          <w:lang w:eastAsia="zh-CN"/>
        </w:rPr>
        <w:t>美国食品药品监督管理局</w:t>
      </w:r>
    </w:p>
    <w:p w14:paraId="643DB328">
      <w:pPr>
        <w:snapToGrid w:val="0"/>
        <w:spacing w:before="120" w:beforeLines="50"/>
        <w:jc w:val="center"/>
        <w:rPr>
          <w:b/>
          <w:bCs/>
          <w:sz w:val="24"/>
          <w:lang w:eastAsia="zh-CN"/>
        </w:rPr>
      </w:pPr>
      <w:r>
        <w:rPr>
          <w:b/>
          <w:bCs/>
          <w:sz w:val="24"/>
          <w:lang w:eastAsia="zh-CN"/>
        </w:rPr>
        <w:t>临床试验质量管理规范办公室（OGCP）</w:t>
      </w:r>
    </w:p>
    <w:p w14:paraId="2E0EEC56">
      <w:pPr>
        <w:snapToGrid w:val="0"/>
        <w:spacing w:before="120" w:beforeLines="50"/>
        <w:jc w:val="center"/>
        <w:rPr>
          <w:sz w:val="24"/>
          <w:lang w:eastAsia="zh-CN"/>
        </w:rPr>
      </w:pPr>
    </w:p>
    <w:p w14:paraId="0D8D5AD0">
      <w:pPr>
        <w:snapToGrid w:val="0"/>
        <w:spacing w:before="120" w:beforeLines="50"/>
        <w:jc w:val="center"/>
        <w:rPr>
          <w:b/>
          <w:bCs/>
          <w:sz w:val="24"/>
          <w:lang w:eastAsia="zh-CN"/>
        </w:rPr>
      </w:pPr>
      <w:bookmarkStart w:id="2" w:name="bookmark2"/>
      <w:r>
        <w:rPr>
          <w:b/>
          <w:bCs/>
          <w:sz w:val="24"/>
          <w:lang w:eastAsia="zh-CN"/>
        </w:rPr>
        <w:t>2018年10月</w:t>
      </w:r>
      <w:bookmarkEnd w:id="2"/>
    </w:p>
    <w:p w14:paraId="02E1A08D">
      <w:pPr>
        <w:snapToGrid w:val="0"/>
        <w:spacing w:before="120" w:beforeLines="50"/>
        <w:jc w:val="both"/>
        <w:rPr>
          <w:lang w:eastAsia="zh-CN"/>
        </w:rPr>
      </w:pPr>
    </w:p>
    <w:p w14:paraId="24D90389">
      <w:pPr>
        <w:snapToGrid w:val="0"/>
        <w:spacing w:before="120" w:beforeLines="50"/>
        <w:jc w:val="both"/>
        <w:rPr>
          <w:lang w:eastAsia="zh-CN"/>
        </w:rPr>
        <w:sectPr>
          <w:headerReference r:id="rId5" w:type="default"/>
          <w:type w:val="continuous"/>
          <w:pgSz w:w="11907" w:h="16840"/>
          <w:pgMar w:top="1429" w:right="1797" w:bottom="1429" w:left="1797" w:header="720" w:footer="720" w:gutter="0"/>
          <w:cols w:space="720" w:num="1"/>
          <w:docGrid w:linePitch="360" w:charSpace="0"/>
        </w:sectPr>
      </w:pPr>
    </w:p>
    <w:p w14:paraId="34696F19">
      <w:pPr>
        <w:snapToGrid w:val="0"/>
        <w:spacing w:before="120" w:beforeLines="50"/>
        <w:jc w:val="both"/>
        <w:rPr>
          <w:lang w:eastAsia="zh-CN"/>
        </w:rPr>
      </w:pPr>
    </w:p>
    <w:p w14:paraId="4BD7D1C5">
      <w:pPr>
        <w:snapToGrid w:val="0"/>
        <w:spacing w:before="120" w:beforeLines="50"/>
        <w:jc w:val="center"/>
        <w:rPr>
          <w:b/>
          <w:bCs/>
          <w:sz w:val="28"/>
          <w:szCs w:val="28"/>
          <w:lang w:eastAsia="zh-CN"/>
        </w:rPr>
      </w:pPr>
      <w:bookmarkStart w:id="3" w:name="bookmark3"/>
      <w:r>
        <w:rPr>
          <w:b/>
          <w:bCs/>
          <w:sz w:val="28"/>
          <w:szCs w:val="28"/>
          <w:lang w:eastAsia="zh-CN"/>
        </w:rPr>
        <w:t>目录</w:t>
      </w:r>
      <w:bookmarkEnd w:id="3"/>
    </w:p>
    <w:p w14:paraId="31975B8B">
      <w:pPr>
        <w:snapToGrid w:val="0"/>
        <w:spacing w:before="120" w:beforeLines="50"/>
        <w:jc w:val="center"/>
        <w:rPr>
          <w:sz w:val="28"/>
          <w:szCs w:val="28"/>
          <w:lang w:eastAsia="zh-CN"/>
        </w:rPr>
      </w:pPr>
    </w:p>
    <w:p w14:paraId="169FA955">
      <w:pPr>
        <w:pStyle w:val="7"/>
        <w:spacing w:before="120"/>
        <w:rPr>
          <w:rFonts w:asciiTheme="minorHAnsi" w:hAnsiTheme="minorHAnsi" w:eastAsiaTheme="minorEastAsia" w:cstheme="minorBidi"/>
          <w:b w:val="0"/>
          <w:color w:val="auto"/>
          <w:kern w:val="2"/>
          <w:sz w:val="21"/>
          <w:szCs w:val="22"/>
          <w:lang w:eastAsia="zh-CN" w:bidi="ar-SA"/>
        </w:rPr>
      </w:pPr>
      <w:r>
        <w:rPr>
          <w:bCs/>
          <w:lang w:eastAsia="zh-CN"/>
        </w:rPr>
        <w:fldChar w:fldCharType="begin"/>
      </w:r>
      <w:r>
        <w:rPr>
          <w:bCs/>
          <w:lang w:eastAsia="zh-CN"/>
        </w:rPr>
        <w:instrText xml:space="preserve"> TOC \o "1-2" \t "样式m1,1,样式m2,2" </w:instrText>
      </w:r>
      <w:r>
        <w:rPr>
          <w:bCs/>
        </w:rPr>
        <w:fldChar w:fldCharType="separate"/>
      </w:r>
      <w:r>
        <w:rPr>
          <w:lang w:eastAsia="zh-CN"/>
        </w:rPr>
        <w:t>I.</w:t>
      </w:r>
      <w:r>
        <w:rPr>
          <w:rFonts w:asciiTheme="minorHAnsi" w:hAnsiTheme="minorHAnsi" w:eastAsiaTheme="minorEastAsia" w:cstheme="minorBidi"/>
          <w:b w:val="0"/>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_Toc97318162 \h </w:instrText>
      </w:r>
      <w:r>
        <w:fldChar w:fldCharType="separate"/>
      </w:r>
      <w:r>
        <w:rPr>
          <w:lang w:eastAsia="zh-CN"/>
        </w:rPr>
        <w:t>1</w:t>
      </w:r>
      <w:r>
        <w:fldChar w:fldCharType="end"/>
      </w:r>
    </w:p>
    <w:p w14:paraId="062FE073">
      <w:pPr>
        <w:pStyle w:val="7"/>
        <w:spacing w:before="120"/>
        <w:rPr>
          <w:rFonts w:asciiTheme="minorHAnsi" w:hAnsiTheme="minorHAnsi" w:eastAsiaTheme="minorEastAsia" w:cstheme="minorBidi"/>
          <w:b w:val="0"/>
          <w:color w:val="auto"/>
          <w:kern w:val="2"/>
          <w:sz w:val="21"/>
          <w:szCs w:val="22"/>
          <w:lang w:eastAsia="zh-CN" w:bidi="ar-SA"/>
        </w:rPr>
      </w:pPr>
      <w:r>
        <w:rPr>
          <w:lang w:eastAsia="zh-CN"/>
        </w:rPr>
        <w:t>II.</w:t>
      </w:r>
      <w:r>
        <w:rPr>
          <w:rFonts w:asciiTheme="minorHAnsi" w:hAnsiTheme="minorHAnsi" w:eastAsiaTheme="minorEastAsia" w:cstheme="minorBidi"/>
          <w:b w:val="0"/>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_Toc97318163 \h </w:instrText>
      </w:r>
      <w:r>
        <w:fldChar w:fldCharType="separate"/>
      </w:r>
      <w:r>
        <w:rPr>
          <w:lang w:eastAsia="zh-CN"/>
        </w:rPr>
        <w:t>2</w:t>
      </w:r>
      <w:r>
        <w:fldChar w:fldCharType="end"/>
      </w:r>
    </w:p>
    <w:p w14:paraId="75C24296">
      <w:pPr>
        <w:pStyle w:val="7"/>
        <w:tabs>
          <w:tab w:val="left" w:pos="850"/>
        </w:tabs>
        <w:spacing w:before="120"/>
        <w:rPr>
          <w:rFonts w:asciiTheme="minorHAnsi" w:hAnsiTheme="minorHAnsi" w:eastAsiaTheme="minorEastAsia" w:cstheme="minorBidi"/>
          <w:b w:val="0"/>
          <w:color w:val="auto"/>
          <w:kern w:val="2"/>
          <w:sz w:val="21"/>
          <w:szCs w:val="22"/>
          <w:lang w:eastAsia="zh-CN" w:bidi="ar-SA"/>
        </w:rPr>
      </w:pPr>
      <w:r>
        <w:rPr>
          <w:lang w:eastAsia="zh-CN"/>
        </w:rPr>
        <w:t xml:space="preserve">III. </w:t>
      </w:r>
      <w:r>
        <w:rPr>
          <w:rFonts w:asciiTheme="minorHAnsi" w:hAnsiTheme="minorHAnsi" w:eastAsiaTheme="minorEastAsia" w:cstheme="minorBidi"/>
          <w:b w:val="0"/>
          <w:color w:val="auto"/>
          <w:kern w:val="2"/>
          <w:sz w:val="21"/>
          <w:szCs w:val="22"/>
          <w:lang w:eastAsia="zh-CN" w:bidi="ar-SA"/>
        </w:rPr>
        <w:tab/>
      </w:r>
      <w:r>
        <w:rPr>
          <w:lang w:eastAsia="zh-CN"/>
        </w:rPr>
        <w:t>知情同意书</w:t>
      </w:r>
      <w:r>
        <w:rPr>
          <w:lang w:eastAsia="zh-CN"/>
        </w:rPr>
        <w:tab/>
      </w:r>
      <w:r>
        <w:fldChar w:fldCharType="begin"/>
      </w:r>
      <w:r>
        <w:rPr>
          <w:lang w:eastAsia="zh-CN"/>
        </w:rPr>
        <w:instrText xml:space="preserve"> PAGEREF _Toc97318164 \h </w:instrText>
      </w:r>
      <w:r>
        <w:fldChar w:fldCharType="separate"/>
      </w:r>
      <w:r>
        <w:rPr>
          <w:lang w:eastAsia="zh-CN"/>
        </w:rPr>
        <w:t>3</w:t>
      </w:r>
      <w:r>
        <w:fldChar w:fldCharType="end"/>
      </w:r>
    </w:p>
    <w:p w14:paraId="38817824">
      <w:pPr>
        <w:pStyle w:val="7"/>
        <w:tabs>
          <w:tab w:val="left" w:pos="850"/>
        </w:tabs>
        <w:spacing w:before="120"/>
        <w:rPr>
          <w:rFonts w:asciiTheme="minorHAnsi" w:hAnsiTheme="minorHAnsi" w:eastAsiaTheme="minorEastAsia" w:cstheme="minorBidi"/>
          <w:b w:val="0"/>
          <w:color w:val="auto"/>
          <w:kern w:val="2"/>
          <w:sz w:val="21"/>
          <w:szCs w:val="22"/>
          <w:lang w:eastAsia="zh-CN" w:bidi="ar-SA"/>
        </w:rPr>
      </w:pPr>
      <w:r>
        <w:rPr>
          <w:lang w:eastAsia="zh-CN"/>
        </w:rPr>
        <w:t xml:space="preserve">IV. </w:t>
      </w:r>
      <w:r>
        <w:rPr>
          <w:rFonts w:asciiTheme="minorHAnsi" w:hAnsiTheme="minorHAnsi" w:eastAsiaTheme="minorEastAsia" w:cstheme="minorBidi"/>
          <w:b w:val="0"/>
          <w:color w:val="auto"/>
          <w:kern w:val="2"/>
          <w:sz w:val="21"/>
          <w:szCs w:val="22"/>
          <w:lang w:eastAsia="zh-CN" w:bidi="ar-SA"/>
        </w:rPr>
        <w:tab/>
      </w:r>
      <w:r>
        <w:rPr>
          <w:lang w:eastAsia="zh-CN"/>
        </w:rPr>
        <w:t>快速审查程序和清单</w:t>
      </w:r>
      <w:r>
        <w:rPr>
          <w:lang w:eastAsia="zh-CN"/>
        </w:rPr>
        <w:tab/>
      </w:r>
      <w:r>
        <w:fldChar w:fldCharType="begin"/>
      </w:r>
      <w:r>
        <w:rPr>
          <w:lang w:eastAsia="zh-CN"/>
        </w:rPr>
        <w:instrText xml:space="preserve"> PAGEREF _Toc97318165 \h </w:instrText>
      </w:r>
      <w:r>
        <w:fldChar w:fldCharType="separate"/>
      </w:r>
      <w:r>
        <w:rPr>
          <w:lang w:eastAsia="zh-CN"/>
        </w:rPr>
        <w:t>3</w:t>
      </w:r>
      <w:r>
        <w:fldChar w:fldCharType="end"/>
      </w:r>
    </w:p>
    <w:p w14:paraId="59EADC76">
      <w:pPr>
        <w:pStyle w:val="7"/>
        <w:spacing w:before="120"/>
        <w:rPr>
          <w:rFonts w:asciiTheme="minorHAnsi" w:hAnsiTheme="minorHAnsi" w:eastAsiaTheme="minorEastAsia" w:cstheme="minorBidi"/>
          <w:b w:val="0"/>
          <w:color w:val="auto"/>
          <w:kern w:val="2"/>
          <w:sz w:val="21"/>
          <w:szCs w:val="22"/>
          <w:lang w:eastAsia="zh-CN" w:bidi="ar-SA"/>
        </w:rPr>
      </w:pPr>
      <w:r>
        <w:rPr>
          <w:lang w:eastAsia="zh-CN"/>
        </w:rPr>
        <w:t xml:space="preserve">V. </w:t>
      </w:r>
      <w:r>
        <w:rPr>
          <w:rFonts w:asciiTheme="minorHAnsi" w:hAnsiTheme="minorHAnsi" w:eastAsiaTheme="minorEastAsia" w:cstheme="minorBidi"/>
          <w:b w:val="0"/>
          <w:color w:val="auto"/>
          <w:kern w:val="2"/>
          <w:sz w:val="21"/>
          <w:szCs w:val="22"/>
          <w:lang w:eastAsia="zh-CN" w:bidi="ar-SA"/>
        </w:rPr>
        <w:tab/>
      </w:r>
      <w:r>
        <w:rPr>
          <w:lang w:eastAsia="zh-CN"/>
        </w:rPr>
        <w:t>伦理审查委员会持续审查</w:t>
      </w:r>
      <w:r>
        <w:rPr>
          <w:lang w:eastAsia="zh-CN"/>
        </w:rPr>
        <w:tab/>
      </w:r>
      <w:r>
        <w:fldChar w:fldCharType="begin"/>
      </w:r>
      <w:r>
        <w:rPr>
          <w:lang w:eastAsia="zh-CN"/>
        </w:rPr>
        <w:instrText xml:space="preserve"> PAGEREF _Toc97318166 \h </w:instrText>
      </w:r>
      <w:r>
        <w:fldChar w:fldCharType="separate"/>
      </w:r>
      <w:r>
        <w:rPr>
          <w:lang w:eastAsia="zh-CN"/>
        </w:rPr>
        <w:t>4</w:t>
      </w:r>
      <w:r>
        <w:fldChar w:fldCharType="end"/>
      </w:r>
    </w:p>
    <w:p w14:paraId="22187D7A">
      <w:pPr>
        <w:pStyle w:val="7"/>
        <w:tabs>
          <w:tab w:val="left" w:pos="850"/>
        </w:tabs>
        <w:spacing w:before="120"/>
        <w:rPr>
          <w:rFonts w:asciiTheme="minorHAnsi" w:hAnsiTheme="minorHAnsi" w:eastAsiaTheme="minorEastAsia" w:cstheme="minorBidi"/>
          <w:b w:val="0"/>
          <w:color w:val="auto"/>
          <w:kern w:val="2"/>
          <w:sz w:val="21"/>
          <w:szCs w:val="22"/>
          <w:lang w:eastAsia="zh-CN" w:bidi="ar-SA"/>
        </w:rPr>
      </w:pPr>
      <w:r>
        <w:rPr>
          <w:rFonts w:hint="eastAsia"/>
          <w:lang w:eastAsia="zh-CN"/>
        </w:rPr>
        <w:t>V</w:t>
      </w:r>
      <w:r>
        <w:rPr>
          <w:lang w:eastAsia="zh-CN"/>
        </w:rPr>
        <w:t>I.</w:t>
      </w:r>
      <w:r>
        <w:rPr>
          <w:rFonts w:asciiTheme="minorHAnsi" w:hAnsiTheme="minorHAnsi" w:eastAsiaTheme="minorEastAsia" w:cstheme="minorBidi"/>
          <w:b w:val="0"/>
          <w:color w:val="auto"/>
          <w:kern w:val="2"/>
          <w:sz w:val="21"/>
          <w:szCs w:val="22"/>
          <w:lang w:eastAsia="zh-CN" w:bidi="ar-SA"/>
        </w:rPr>
        <w:tab/>
      </w:r>
      <w:r>
        <w:rPr>
          <w:lang w:eastAsia="zh-CN"/>
        </w:rPr>
        <w:t>进一步说明</w:t>
      </w:r>
      <w:r>
        <w:rPr>
          <w:lang w:eastAsia="zh-CN"/>
        </w:rPr>
        <w:tab/>
      </w:r>
      <w:r>
        <w:fldChar w:fldCharType="begin"/>
      </w:r>
      <w:r>
        <w:rPr>
          <w:lang w:eastAsia="zh-CN"/>
        </w:rPr>
        <w:instrText xml:space="preserve"> PAGEREF _Toc97318167 \h </w:instrText>
      </w:r>
      <w:r>
        <w:fldChar w:fldCharType="separate"/>
      </w:r>
      <w:r>
        <w:rPr>
          <w:lang w:eastAsia="zh-CN"/>
        </w:rPr>
        <w:t>4</w:t>
      </w:r>
      <w:r>
        <w:fldChar w:fldCharType="end"/>
      </w:r>
    </w:p>
    <w:p w14:paraId="2092664C">
      <w:pPr>
        <w:pStyle w:val="7"/>
        <w:spacing w:before="120"/>
        <w:rPr>
          <w:rFonts w:asciiTheme="minorHAnsi" w:hAnsiTheme="minorHAnsi" w:eastAsiaTheme="minorEastAsia" w:cstheme="minorBidi"/>
          <w:b w:val="0"/>
          <w:color w:val="auto"/>
          <w:kern w:val="2"/>
          <w:sz w:val="21"/>
          <w:szCs w:val="22"/>
          <w:lang w:eastAsia="zh-CN" w:bidi="ar-SA"/>
        </w:rPr>
      </w:pPr>
      <w:r>
        <w:rPr>
          <w:lang w:eastAsia="zh-CN"/>
        </w:rPr>
        <w:t>附录：</w:t>
      </w:r>
      <w:r>
        <w:rPr>
          <w:lang w:eastAsia="zh-CN"/>
        </w:rPr>
        <w:tab/>
      </w:r>
      <w:r>
        <w:fldChar w:fldCharType="begin"/>
      </w:r>
      <w:r>
        <w:rPr>
          <w:lang w:eastAsia="zh-CN"/>
        </w:rPr>
        <w:instrText xml:space="preserve"> PAGEREF _Toc97318168 \h </w:instrText>
      </w:r>
      <w:r>
        <w:fldChar w:fldCharType="separate"/>
      </w:r>
      <w:r>
        <w:rPr>
          <w:lang w:eastAsia="zh-CN"/>
        </w:rPr>
        <w:t>5</w:t>
      </w:r>
      <w:r>
        <w:fldChar w:fldCharType="end"/>
      </w:r>
    </w:p>
    <w:p w14:paraId="2B6B3532">
      <w:pPr>
        <w:tabs>
          <w:tab w:val="left" w:pos="442"/>
          <w:tab w:val="right" w:leader="dot" w:pos="9326"/>
        </w:tabs>
        <w:snapToGrid w:val="0"/>
        <w:spacing w:before="120" w:beforeLines="50"/>
        <w:jc w:val="both"/>
        <w:rPr>
          <w:b/>
          <w:bCs/>
          <w:lang w:eastAsia="zh-CN"/>
        </w:rPr>
      </w:pPr>
      <w:r>
        <w:rPr>
          <w:bCs/>
          <w:sz w:val="24"/>
          <w:szCs w:val="21"/>
        </w:rPr>
        <w:fldChar w:fldCharType="end"/>
      </w:r>
    </w:p>
    <w:p w14:paraId="4AE492DC">
      <w:pPr>
        <w:tabs>
          <w:tab w:val="left" w:leader="dot" w:pos="9211"/>
        </w:tabs>
        <w:snapToGrid w:val="0"/>
        <w:spacing w:before="120" w:beforeLines="50"/>
        <w:jc w:val="both"/>
        <w:rPr>
          <w:b/>
          <w:bCs/>
          <w:lang w:eastAsia="zh-CN"/>
        </w:rPr>
      </w:pPr>
    </w:p>
    <w:p w14:paraId="3DE2D7A4">
      <w:pPr>
        <w:tabs>
          <w:tab w:val="left" w:leader="dot" w:pos="9211"/>
        </w:tabs>
        <w:snapToGrid w:val="0"/>
        <w:spacing w:before="120" w:beforeLines="50"/>
        <w:jc w:val="both"/>
        <w:rPr>
          <w:lang w:eastAsia="zh-CN"/>
        </w:rPr>
        <w:sectPr>
          <w:headerReference r:id="rId6" w:type="default"/>
          <w:pgSz w:w="11907" w:h="16840"/>
          <w:pgMar w:top="1429" w:right="1797" w:bottom="1429" w:left="1797" w:header="720" w:footer="720" w:gutter="0"/>
          <w:cols w:space="720" w:num="1"/>
          <w:docGrid w:linePitch="360" w:charSpace="0"/>
        </w:sectPr>
      </w:pPr>
    </w:p>
    <w:p w14:paraId="427780A0">
      <w:pPr>
        <w:snapToGrid w:val="0"/>
        <w:spacing w:before="120" w:beforeLines="50"/>
        <w:jc w:val="center"/>
        <w:rPr>
          <w:sz w:val="32"/>
          <w:szCs w:val="32"/>
          <w:lang w:eastAsia="zh-CN"/>
        </w:rPr>
      </w:pPr>
      <w:r>
        <w:rPr>
          <w:b/>
          <w:bCs/>
          <w:sz w:val="32"/>
          <w:szCs w:val="32"/>
          <w:lang w:eastAsia="zh-CN"/>
        </w:rPr>
        <w:t>修订后的通则的某些规定对</w:t>
      </w:r>
      <w:bookmarkStart w:id="4" w:name="OLE_LINK1"/>
      <w:r>
        <w:rPr>
          <w:rFonts w:hint="eastAsia"/>
          <w:b/>
          <w:bCs/>
          <w:color w:val="000000" w:themeColor="text1"/>
          <w:sz w:val="32"/>
          <w:szCs w:val="32"/>
          <w:lang w:eastAsia="zh-CN"/>
        </w:rPr>
        <w:t>美国食品药品监督管理局</w:t>
      </w:r>
      <w:r>
        <w:rPr>
          <w:b/>
          <w:bCs/>
          <w:sz w:val="32"/>
          <w:szCs w:val="32"/>
          <w:lang w:eastAsia="zh-CN"/>
        </w:rPr>
        <w:t>监管</w:t>
      </w:r>
      <w:bookmarkEnd w:id="4"/>
      <w:r>
        <w:rPr>
          <w:b/>
          <w:bCs/>
          <w:sz w:val="32"/>
          <w:szCs w:val="32"/>
          <w:lang w:eastAsia="zh-CN"/>
        </w:rPr>
        <w:t>的临床研究的影响</w:t>
      </w:r>
    </w:p>
    <w:p w14:paraId="7D8E4FFD">
      <w:pPr>
        <w:pBdr>
          <w:top w:val="single" w:color="auto" w:sz="4" w:space="1"/>
        </w:pBdr>
        <w:snapToGrid w:val="0"/>
        <w:spacing w:before="120" w:beforeLines="50"/>
        <w:jc w:val="center"/>
        <w:rPr>
          <w:b/>
          <w:bCs/>
          <w:sz w:val="36"/>
          <w:szCs w:val="36"/>
          <w:lang w:eastAsia="zh-CN"/>
        </w:rPr>
      </w:pPr>
      <w:bookmarkStart w:id="5" w:name="bookmark4"/>
      <w:r>
        <w:rPr>
          <w:b/>
          <w:bCs/>
          <w:sz w:val="36"/>
          <w:szCs w:val="36"/>
          <w:lang w:eastAsia="zh-CN"/>
        </w:rPr>
        <w:t>申办者、研究者和伦理审查委员会指南</w:t>
      </w:r>
      <w:bookmarkEnd w:id="5"/>
    </w:p>
    <w:p w14:paraId="579FA341">
      <w:pPr>
        <w:snapToGrid w:val="0"/>
        <w:spacing w:before="120" w:beforeLines="50"/>
        <w:jc w:val="both"/>
        <w:rPr>
          <w:lang w:eastAsia="zh-CN"/>
        </w:rPr>
      </w:pPr>
    </w:p>
    <w:tbl>
      <w:tblPr>
        <w:tblStyle w:val="9"/>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15591C8D">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70" w:hRule="atLeast"/>
        </w:trPr>
        <w:tc>
          <w:tcPr>
            <w:tcW w:w="9312" w:type="dxa"/>
            <w:shd w:val="clear" w:color="auto" w:fill="FFFFFF"/>
            <w:vAlign w:val="center"/>
          </w:tcPr>
          <w:p w14:paraId="2246E8AE">
            <w:pPr>
              <w:snapToGrid w:val="0"/>
              <w:spacing w:before="120" w:beforeLines="50"/>
              <w:jc w:val="both"/>
              <w:rPr>
                <w:lang w:eastAsia="zh-CN"/>
              </w:rPr>
            </w:pPr>
            <w:r>
              <w:rPr>
                <w:b/>
                <w:i/>
                <w:sz w:val="24"/>
                <w:lang w:eastAsia="zh-CN"/>
              </w:rPr>
              <w:t>本指南代表美国食品药品监督管理局（FDA）对该主题的当前看法。本文件不赋予任何人任何权利，对FDA或公众不具有约束力。如果替代方法满足</w:t>
            </w:r>
            <w:commentRangeStart w:id="0"/>
            <w:r>
              <w:rPr>
                <w:b/>
                <w:i/>
                <w:sz w:val="24"/>
                <w:lang w:eastAsia="zh-CN"/>
              </w:rPr>
              <w:t>适用</w:t>
            </w:r>
            <w:r>
              <w:rPr>
                <w:rFonts w:hint="eastAsia"/>
                <w:b/>
                <w:i/>
                <w:sz w:val="24"/>
                <w:lang w:eastAsia="zh-CN"/>
              </w:rPr>
              <w:t>的情形和</w:t>
            </w:r>
            <w:r>
              <w:rPr>
                <w:b/>
                <w:i/>
                <w:sz w:val="24"/>
                <w:lang w:eastAsia="zh-CN"/>
              </w:rPr>
              <w:t>法规</w:t>
            </w:r>
            <w:commentRangeEnd w:id="0"/>
            <w:r>
              <w:rPr>
                <w:rStyle w:val="12"/>
              </w:rPr>
              <w:commentReference w:id="0"/>
            </w:r>
            <w:r>
              <w:rPr>
                <w:b/>
                <w:i/>
                <w:sz w:val="24"/>
                <w:lang w:eastAsia="zh-CN"/>
              </w:rPr>
              <w:t>的要求，则贵司可使用替代方法。如需讨论替代方法，请联系标题页所列负责本指南的FDA工作人员或办公室</w:t>
            </w:r>
            <w:r>
              <w:rPr>
                <w:rFonts w:hint="eastAsia"/>
                <w:i/>
                <w:iCs/>
                <w:sz w:val="24"/>
                <w:lang w:eastAsia="zh-CN"/>
              </w:rPr>
              <w:t>。</w:t>
            </w:r>
          </w:p>
        </w:tc>
      </w:tr>
    </w:tbl>
    <w:p w14:paraId="16A90FB0">
      <w:pPr>
        <w:pStyle w:val="15"/>
        <w:spacing w:before="120" w:after="120"/>
        <w:rPr>
          <w:lang w:eastAsia="zh-CN"/>
        </w:rPr>
      </w:pPr>
      <w:bookmarkStart w:id="6" w:name="bookmark5"/>
      <w:bookmarkStart w:id="7" w:name="bookmark9"/>
      <w:bookmarkStart w:id="8" w:name="_Toc97318162"/>
    </w:p>
    <w:p w14:paraId="6ECB8AD5">
      <w:pPr>
        <w:pStyle w:val="15"/>
        <w:spacing w:before="120" w:after="120" w:line="360" w:lineRule="exact"/>
        <w:rPr>
          <w:lang w:eastAsia="zh-CN"/>
        </w:rPr>
      </w:pPr>
      <w:r>
        <w:rPr>
          <w:lang w:eastAsia="zh-CN"/>
        </w:rPr>
        <w:t>I.</w:t>
      </w:r>
      <w:r>
        <w:rPr>
          <w:lang w:eastAsia="zh-CN"/>
        </w:rPr>
        <w:tab/>
      </w:r>
      <w:r>
        <w:rPr>
          <w:lang w:eastAsia="zh-CN"/>
        </w:rPr>
        <w:t>引言</w:t>
      </w:r>
      <w:bookmarkEnd w:id="6"/>
      <w:bookmarkEnd w:id="7"/>
      <w:bookmarkEnd w:id="8"/>
    </w:p>
    <w:p w14:paraId="1199FA8D">
      <w:pPr>
        <w:snapToGrid w:val="0"/>
        <w:spacing w:before="120" w:beforeLines="50" w:line="360" w:lineRule="exact"/>
        <w:jc w:val="both"/>
        <w:rPr>
          <w:sz w:val="24"/>
          <w:lang w:eastAsia="zh-CN"/>
        </w:rPr>
      </w:pPr>
      <w:r>
        <w:rPr>
          <w:sz w:val="24"/>
          <w:lang w:eastAsia="zh-CN"/>
        </w:rPr>
        <w:t>FDA关于人类受试者保护（21 CFR第50部）和伦理审查委员会（IRB；21 CFR第56部分）的规定有助于确保参与FDA监管的临床研究的人类受试者的权利、安全和福利得到保护。这些法规通常符合美国卫生与公众服务部（HHS）《保护人类研究受试者的联邦政策》（45 CFR 46，</w:t>
      </w:r>
      <w:r>
        <w:rPr>
          <w:rFonts w:hint="eastAsia"/>
          <w:sz w:val="24"/>
          <w:lang w:eastAsia="zh-CN"/>
        </w:rPr>
        <w:t>第</w:t>
      </w:r>
      <w:r>
        <w:rPr>
          <w:sz w:val="24"/>
          <w:lang w:eastAsia="zh-CN"/>
        </w:rPr>
        <w:t>A子部分；《通则》），该政策规定了对参与由美国卫生与公众服务部进行或支持的研究的人类受试者的保护要求。</w:t>
      </w:r>
    </w:p>
    <w:p w14:paraId="5B2DBFB9">
      <w:pPr>
        <w:snapToGrid w:val="0"/>
        <w:spacing w:before="120" w:beforeLines="50" w:line="360" w:lineRule="exact"/>
        <w:jc w:val="both"/>
        <w:rPr>
          <w:sz w:val="24"/>
          <w:lang w:eastAsia="zh-CN"/>
        </w:rPr>
      </w:pPr>
      <w:r>
        <w:rPr>
          <w:sz w:val="24"/>
          <w:lang w:eastAsia="zh-CN"/>
        </w:rPr>
        <w:t>在2017年1月19日发布的最终规则中，美国卫生与公众服务部和一些联邦部门和机构对《通则》进行了修订。</w:t>
      </w:r>
      <w:r>
        <w:fldChar w:fldCharType="begin"/>
      </w:r>
      <w:r>
        <w:rPr>
          <w:lang w:eastAsia="zh-CN"/>
        </w:rPr>
        <w:instrText xml:space="preserve"> HYPERLINK \l "bookmark6" \o "当前文件" \h </w:instrText>
      </w:r>
      <w:r>
        <w:fldChar w:fldCharType="separate"/>
      </w:r>
      <w:r>
        <w:rPr>
          <w:sz w:val="24"/>
          <w:vertAlign w:val="superscript"/>
          <w:lang w:eastAsia="zh-CN"/>
        </w:rPr>
        <w:t>1</w:t>
      </w:r>
      <w:r>
        <w:rPr>
          <w:sz w:val="24"/>
          <w:lang w:eastAsia="zh-CN"/>
        </w:rPr>
        <w:fldChar w:fldCharType="end"/>
      </w:r>
      <w:r>
        <w:rPr>
          <w:sz w:val="24"/>
          <w:lang w:eastAsia="zh-CN"/>
        </w:rPr>
        <w:t>修订后的《通则》的</w:t>
      </w:r>
      <w:r>
        <w:rPr>
          <w:rFonts w:hint="eastAsia"/>
          <w:sz w:val="24"/>
          <w:lang w:eastAsia="zh-CN"/>
        </w:rPr>
        <w:t>普遍遵守</w:t>
      </w:r>
      <w:r>
        <w:rPr>
          <w:sz w:val="24"/>
          <w:lang w:eastAsia="zh-CN"/>
        </w:rPr>
        <w:t>日期为2019年1月21日。</w:t>
      </w:r>
      <w:r>
        <w:fldChar w:fldCharType="begin"/>
      </w:r>
      <w:r>
        <w:rPr>
          <w:lang w:eastAsia="zh-CN"/>
        </w:rPr>
        <w:instrText xml:space="preserve">HYPERLINK \l "bookmark7" \o "当前文件" \h</w:instrText>
      </w:r>
      <w:r>
        <w:fldChar w:fldCharType="separate"/>
      </w:r>
      <w:r>
        <w:rPr>
          <w:sz w:val="24"/>
          <w:vertAlign w:val="superscript"/>
          <w:lang w:eastAsia="zh-CN"/>
        </w:rPr>
        <w:t>2</w:t>
      </w:r>
      <w:r>
        <w:fldChar w:fldCharType="end"/>
      </w:r>
    </w:p>
    <w:p w14:paraId="05210782">
      <w:pPr>
        <w:snapToGrid w:val="0"/>
        <w:spacing w:before="120" w:beforeLines="50" w:line="360" w:lineRule="exact"/>
        <w:jc w:val="both"/>
        <w:rPr>
          <w:sz w:val="24"/>
          <w:lang w:eastAsia="zh-CN"/>
        </w:rPr>
      </w:pPr>
      <w:r>
        <w:rPr>
          <w:sz w:val="24"/>
          <w:lang w:eastAsia="zh-CN"/>
        </w:rPr>
        <w:t>FDA</w:t>
      </w:r>
      <w:r>
        <w:rPr>
          <w:rFonts w:hint="eastAsia"/>
          <w:color w:val="000000" w:themeColor="text1"/>
          <w:sz w:val="24"/>
          <w:lang w:eastAsia="zh-CN"/>
        </w:rPr>
        <w:t>有意</w:t>
      </w:r>
      <w:r>
        <w:rPr>
          <w:sz w:val="24"/>
          <w:lang w:eastAsia="zh-CN"/>
        </w:rPr>
        <w:t>发出通知并对规章制定提出意见，以在适用范围内使FDA的法规与修订后的《通则》相一致。由于FDA尚未修订其法规，因此FDA发布本指南，以减少遵守两套不同的人类受试者保护法规造成的困惑和负担。本指南旨在解决利益相关方提出的问题，即在FDA规则制定过程中，修订后的《通则》某些条款对受FDA监管的临床研究的影响。</w:t>
      </w:r>
      <w:r>
        <w:fldChar w:fldCharType="begin"/>
      </w:r>
      <w:r>
        <w:rPr>
          <w:lang w:eastAsia="zh-CN"/>
        </w:rPr>
        <w:instrText xml:space="preserve">HYPERLINK \l "bookmark8" \h</w:instrText>
      </w:r>
      <w:r>
        <w:fldChar w:fldCharType="separate"/>
      </w:r>
      <w:r>
        <w:rPr>
          <w:sz w:val="24"/>
          <w:vertAlign w:val="superscript"/>
          <w:lang w:eastAsia="zh-CN"/>
        </w:rPr>
        <w:t>3</w:t>
      </w:r>
      <w:r>
        <w:fldChar w:fldCharType="end"/>
      </w:r>
    </w:p>
    <w:p w14:paraId="5F29BDE6">
      <w:pPr>
        <w:snapToGrid w:val="0"/>
        <w:spacing w:before="120" w:beforeLines="50" w:line="360" w:lineRule="exact"/>
        <w:jc w:val="both"/>
        <w:rPr>
          <w:lang w:eastAsia="zh-CN"/>
        </w:rPr>
      </w:pPr>
      <w:r>
        <w:rPr>
          <w:sz w:val="24"/>
          <w:lang w:eastAsia="zh-CN"/>
        </w:rPr>
        <w:t>如果临床研究由美国卫生与公众服务部进行或支持，并涉及FDA监管的产品，则该研究受45 CFR第46部和21 CFR第50和56部分的约束。正如FDA之前在人类受试者保护指南中所述，在法规不同的情况下，应遵循为人类受试者提供更大保护的法规。</w:t>
      </w:r>
      <w:r>
        <w:fldChar w:fldCharType="begin"/>
      </w:r>
      <w:r>
        <w:rPr>
          <w:lang w:eastAsia="zh-CN"/>
        </w:rPr>
        <w:instrText xml:space="preserve">HYPERLINK \l "bookmark12" \o "当前文件" \h</w:instrText>
      </w:r>
      <w:r>
        <w:fldChar w:fldCharType="separate"/>
      </w:r>
      <w:r>
        <w:rPr>
          <w:sz w:val="24"/>
          <w:vertAlign w:val="superscript"/>
          <w:lang w:val="de-DE" w:eastAsia="zh-CN"/>
        </w:rPr>
        <w:t>4</w:t>
      </w:r>
      <w:r>
        <w:fldChar w:fldCharType="end"/>
      </w:r>
    </w:p>
    <w:p w14:paraId="5F66F8D2">
      <w:pPr>
        <w:snapToGrid w:val="0"/>
        <w:spacing w:before="120" w:beforeLines="50"/>
        <w:jc w:val="both"/>
        <w:rPr>
          <w:sz w:val="18"/>
          <w:szCs w:val="18"/>
          <w:lang w:val="de-DE"/>
        </w:rPr>
      </w:pPr>
      <w:r>
        <w:rPr>
          <w:sz w:val="18"/>
          <w:szCs w:val="18"/>
          <w:lang w:val="de-DE" w:eastAsia="zh-CN"/>
        </w:rPr>
        <w:t>____________________</w:t>
      </w:r>
    </w:p>
    <w:p w14:paraId="0C646915">
      <w:pPr>
        <w:tabs>
          <w:tab w:val="left" w:pos="115"/>
        </w:tabs>
        <w:snapToGrid w:val="0"/>
        <w:spacing w:before="120" w:beforeLines="50"/>
        <w:jc w:val="both"/>
        <w:rPr>
          <w:sz w:val="18"/>
          <w:szCs w:val="18"/>
          <w:lang w:val="de-DE"/>
        </w:rPr>
      </w:pPr>
      <w:bookmarkStart w:id="9" w:name="bookmark6"/>
      <w:r>
        <w:rPr>
          <w:sz w:val="18"/>
          <w:szCs w:val="18"/>
          <w:vertAlign w:val="superscript"/>
          <w:lang w:val="de-DE" w:eastAsia="zh-CN"/>
        </w:rPr>
        <w:t>1</w:t>
      </w:r>
      <w:r>
        <w:rPr>
          <w:sz w:val="18"/>
          <w:szCs w:val="18"/>
          <w:lang w:val="de-DE" w:eastAsia="zh-CN"/>
        </w:rPr>
        <w:tab/>
      </w:r>
      <w:r>
        <w:rPr>
          <w:sz w:val="18"/>
          <w:szCs w:val="18"/>
          <w:lang w:val="de-DE" w:eastAsia="zh-CN"/>
        </w:rPr>
        <w:t>82 FR 7149</w:t>
      </w:r>
      <w:r>
        <w:rPr>
          <w:rFonts w:hint="eastAsia"/>
          <w:sz w:val="18"/>
          <w:szCs w:val="18"/>
          <w:lang w:val="de-DE" w:eastAsia="zh-CN"/>
        </w:rPr>
        <w:t>，</w:t>
      </w:r>
      <w:r>
        <w:rPr>
          <w:sz w:val="18"/>
          <w:szCs w:val="18"/>
          <w:lang w:val="de-DE" w:eastAsia="zh-CN"/>
        </w:rPr>
        <w:t>2017</w:t>
      </w:r>
      <w:r>
        <w:rPr>
          <w:sz w:val="18"/>
          <w:szCs w:val="18"/>
          <w:lang w:eastAsia="zh-CN"/>
        </w:rPr>
        <w:t>年</w:t>
      </w:r>
      <w:r>
        <w:rPr>
          <w:sz w:val="18"/>
          <w:szCs w:val="18"/>
          <w:lang w:val="de-DE" w:eastAsia="zh-CN"/>
        </w:rPr>
        <w:t>1</w:t>
      </w:r>
      <w:r>
        <w:rPr>
          <w:sz w:val="18"/>
          <w:szCs w:val="18"/>
          <w:lang w:eastAsia="zh-CN"/>
        </w:rPr>
        <w:t>月</w:t>
      </w:r>
      <w:r>
        <w:rPr>
          <w:sz w:val="18"/>
          <w:szCs w:val="18"/>
          <w:lang w:val="de-DE" w:eastAsia="zh-CN"/>
        </w:rPr>
        <w:t>19</w:t>
      </w:r>
      <w:r>
        <w:rPr>
          <w:sz w:val="18"/>
          <w:szCs w:val="18"/>
          <w:lang w:eastAsia="zh-CN"/>
        </w:rPr>
        <w:t>日</w:t>
      </w:r>
      <w:r>
        <w:fldChar w:fldCharType="begin"/>
      </w:r>
      <w:r>
        <w:instrText xml:space="preserve">HYPERLINK "；https://www.gpo.gov/fdsys/pkg/FR-2017-01-19/pdf/2017-01058.pdf。"</w:instrText>
      </w:r>
      <w:r>
        <w:fldChar w:fldCharType="separate"/>
      </w:r>
      <w:r>
        <w:rPr>
          <w:rStyle w:val="11"/>
          <w:color w:val="auto"/>
          <w:sz w:val="18"/>
          <w:szCs w:val="18"/>
          <w:u w:val="none"/>
          <w:lang w:val="de-DE" w:eastAsia="zh-CN"/>
        </w:rPr>
        <w:t>；</w:t>
      </w:r>
      <w:r>
        <w:rPr>
          <w:rStyle w:val="11"/>
          <w:color w:val="0000FF"/>
          <w:sz w:val="18"/>
          <w:szCs w:val="18"/>
          <w:lang w:val="de-DE" w:eastAsia="zh-CN"/>
        </w:rPr>
        <w:t>https://www.gpo.gov/fdsys/pkg/FR-2017-01-19/pdf/2017-01058.pdf</w:t>
      </w:r>
      <w:r>
        <w:rPr>
          <w:rStyle w:val="11"/>
          <w:color w:val="0000FF"/>
          <w:sz w:val="18"/>
          <w:szCs w:val="18"/>
          <w:lang w:eastAsia="zh-CN"/>
        </w:rPr>
        <w:t>。</w:t>
      </w:r>
      <w:r>
        <w:fldChar w:fldCharType="end"/>
      </w:r>
      <w:bookmarkEnd w:id="9"/>
    </w:p>
    <w:p w14:paraId="0320077A">
      <w:pPr>
        <w:tabs>
          <w:tab w:val="left" w:pos="110"/>
        </w:tabs>
        <w:snapToGrid w:val="0"/>
        <w:spacing w:before="120" w:beforeLines="50"/>
        <w:jc w:val="both"/>
        <w:rPr>
          <w:sz w:val="18"/>
          <w:szCs w:val="18"/>
          <w:lang w:val="de-DE"/>
        </w:rPr>
      </w:pPr>
      <w:bookmarkStart w:id="10" w:name="bookmark7"/>
      <w:r>
        <w:rPr>
          <w:sz w:val="18"/>
          <w:szCs w:val="18"/>
          <w:vertAlign w:val="superscript"/>
          <w:lang w:val="de-DE" w:eastAsia="zh-CN"/>
        </w:rPr>
        <w:t>2</w:t>
      </w:r>
      <w:r>
        <w:rPr>
          <w:sz w:val="18"/>
          <w:szCs w:val="18"/>
          <w:lang w:val="de-DE" w:eastAsia="zh-CN"/>
        </w:rPr>
        <w:tab/>
      </w:r>
      <w:r>
        <w:rPr>
          <w:sz w:val="18"/>
          <w:szCs w:val="18"/>
          <w:lang w:val="de-DE" w:eastAsia="zh-CN"/>
        </w:rPr>
        <w:t>83 FR 28497</w:t>
      </w:r>
      <w:r>
        <w:rPr>
          <w:rFonts w:hint="eastAsia"/>
          <w:sz w:val="18"/>
          <w:szCs w:val="18"/>
          <w:lang w:val="de-DE" w:eastAsia="zh-CN"/>
        </w:rPr>
        <w:t>，</w:t>
      </w:r>
      <w:r>
        <w:rPr>
          <w:sz w:val="18"/>
          <w:szCs w:val="18"/>
          <w:lang w:val="de-DE" w:eastAsia="zh-CN"/>
        </w:rPr>
        <w:t>2018</w:t>
      </w:r>
      <w:r>
        <w:rPr>
          <w:sz w:val="18"/>
          <w:szCs w:val="18"/>
          <w:lang w:eastAsia="zh-CN"/>
        </w:rPr>
        <w:t>年</w:t>
      </w:r>
      <w:r>
        <w:rPr>
          <w:sz w:val="18"/>
          <w:szCs w:val="18"/>
          <w:lang w:val="de-DE" w:eastAsia="zh-CN"/>
        </w:rPr>
        <w:t>6</w:t>
      </w:r>
      <w:r>
        <w:rPr>
          <w:sz w:val="18"/>
          <w:szCs w:val="18"/>
          <w:lang w:eastAsia="zh-CN"/>
        </w:rPr>
        <w:t>月</w:t>
      </w:r>
      <w:r>
        <w:rPr>
          <w:sz w:val="18"/>
          <w:szCs w:val="18"/>
          <w:lang w:val="de-DE" w:eastAsia="zh-CN"/>
        </w:rPr>
        <w:t>19</w:t>
      </w:r>
      <w:r>
        <w:rPr>
          <w:sz w:val="18"/>
          <w:szCs w:val="18"/>
          <w:lang w:eastAsia="zh-CN"/>
        </w:rPr>
        <w:t>日</w:t>
      </w:r>
      <w:r>
        <w:rPr>
          <w:rFonts w:hint="eastAsia"/>
          <w:sz w:val="18"/>
          <w:szCs w:val="18"/>
          <w:lang w:val="de-DE" w:eastAsia="zh-CN"/>
        </w:rPr>
        <w:t>；</w:t>
      </w:r>
      <w:r>
        <w:fldChar w:fldCharType="begin"/>
      </w:r>
      <w:r>
        <w:instrText xml:space="preserve"> HYPERLINK "https://www.gpo.gov/fdsvs/pkg/FR-2018-06-19/pdf/2018-13187.pdf。" </w:instrText>
      </w:r>
      <w:r>
        <w:fldChar w:fldCharType="separate"/>
      </w:r>
      <w:r>
        <w:rPr>
          <w:rStyle w:val="11"/>
          <w:color w:val="0000FF"/>
          <w:sz w:val="18"/>
          <w:szCs w:val="18"/>
          <w:lang w:val="de-DE" w:eastAsia="zh-CN"/>
        </w:rPr>
        <w:t>https://www.gpo.gov/fdsvs/pkg/FR-2018-06-19/pdf/2018-13187.pdf</w:t>
      </w:r>
      <w:r>
        <w:rPr>
          <w:rStyle w:val="11"/>
          <w:color w:val="0000FF"/>
          <w:sz w:val="18"/>
          <w:szCs w:val="18"/>
          <w:lang w:eastAsia="zh-CN"/>
        </w:rPr>
        <w:t>。</w:t>
      </w:r>
      <w:r>
        <w:rPr>
          <w:rStyle w:val="11"/>
          <w:color w:val="0000FF"/>
          <w:sz w:val="18"/>
          <w:szCs w:val="18"/>
          <w:lang w:eastAsia="zh-CN"/>
        </w:rPr>
        <w:fldChar w:fldCharType="end"/>
      </w:r>
      <w:bookmarkEnd w:id="10"/>
    </w:p>
    <w:p w14:paraId="7ECB7350">
      <w:pPr>
        <w:tabs>
          <w:tab w:val="left" w:pos="110"/>
        </w:tabs>
        <w:snapToGrid w:val="0"/>
        <w:spacing w:before="120" w:beforeLines="50"/>
        <w:jc w:val="both"/>
        <w:rPr>
          <w:sz w:val="18"/>
          <w:szCs w:val="18"/>
          <w:lang w:val="de-DE"/>
        </w:rPr>
      </w:pPr>
      <w:bookmarkStart w:id="11" w:name="bookmark8"/>
      <w:r>
        <w:rPr>
          <w:sz w:val="18"/>
          <w:szCs w:val="18"/>
          <w:vertAlign w:val="superscript"/>
          <w:lang w:val="de-DE" w:eastAsia="zh-CN"/>
        </w:rPr>
        <w:t>3</w:t>
      </w:r>
      <w:r>
        <w:rPr>
          <w:sz w:val="18"/>
          <w:szCs w:val="18"/>
          <w:lang w:val="de-DE" w:eastAsia="zh-CN"/>
        </w:rPr>
        <w:tab/>
      </w:r>
      <w:r>
        <w:rPr>
          <w:sz w:val="18"/>
          <w:szCs w:val="18"/>
          <w:lang w:eastAsia="zh-CN"/>
        </w:rPr>
        <w:t>有关相关指南的更多信息</w:t>
      </w:r>
      <w:r>
        <w:rPr>
          <w:sz w:val="18"/>
          <w:szCs w:val="18"/>
          <w:lang w:val="de-DE" w:eastAsia="zh-CN"/>
        </w:rPr>
        <w:t>，</w:t>
      </w:r>
      <w:r>
        <w:rPr>
          <w:sz w:val="18"/>
          <w:szCs w:val="18"/>
          <w:lang w:eastAsia="zh-CN"/>
        </w:rPr>
        <w:t>请参阅</w:t>
      </w:r>
      <w:r>
        <w:rPr>
          <w:sz w:val="18"/>
          <w:szCs w:val="18"/>
          <w:lang w:val="de-DE" w:eastAsia="zh-CN"/>
        </w:rPr>
        <w:t>FDA</w:t>
      </w:r>
      <w:r>
        <w:rPr>
          <w:sz w:val="18"/>
          <w:szCs w:val="18"/>
          <w:lang w:eastAsia="zh-CN"/>
        </w:rPr>
        <w:t>网页</w:t>
      </w:r>
      <w:r>
        <w:rPr>
          <w:rFonts w:ascii="宋体" w:hAnsi="宋体"/>
          <w:sz w:val="18"/>
          <w:szCs w:val="18"/>
          <w:lang w:val="de-DE" w:eastAsia="zh-CN"/>
        </w:rPr>
        <w:t>“</w:t>
      </w:r>
      <w:r>
        <w:rPr>
          <w:sz w:val="18"/>
          <w:szCs w:val="18"/>
          <w:lang w:eastAsia="zh-CN"/>
        </w:rPr>
        <w:t>临床试验</w:t>
      </w:r>
      <w:r>
        <w:rPr>
          <w:rFonts w:hint="eastAsia"/>
          <w:sz w:val="18"/>
          <w:szCs w:val="18"/>
          <w:lang w:eastAsia="zh-CN"/>
        </w:rPr>
        <w:t>指南</w:t>
      </w:r>
      <w:r>
        <w:rPr>
          <w:sz w:val="18"/>
          <w:szCs w:val="18"/>
          <w:lang w:eastAsia="zh-CN"/>
        </w:rPr>
        <w:t>文件</w:t>
      </w:r>
      <w:r>
        <w:rPr>
          <w:rFonts w:ascii="宋体" w:hAnsi="宋体"/>
          <w:sz w:val="18"/>
          <w:szCs w:val="18"/>
          <w:lang w:val="de-DE" w:eastAsia="zh-CN"/>
        </w:rPr>
        <w:t>”</w:t>
      </w:r>
      <w:r>
        <w:rPr>
          <w:sz w:val="18"/>
          <w:szCs w:val="18"/>
          <w:lang w:val="de-DE" w:eastAsia="zh-CN"/>
        </w:rPr>
        <w:t>，</w:t>
      </w:r>
      <w:r>
        <w:rPr>
          <w:sz w:val="18"/>
          <w:szCs w:val="18"/>
          <w:lang w:eastAsia="zh-CN"/>
        </w:rPr>
        <w:t>请访问</w:t>
      </w:r>
      <w:r>
        <w:fldChar w:fldCharType="begin"/>
      </w:r>
      <w:r>
        <w:rPr>
          <w:lang w:val="de-DE"/>
        </w:rPr>
        <w:instrText xml:space="preserve"> HYPERLINK "https://www.fda.gov/RegulatoryInformation/Guidances/ucm122046.htm" </w:instrText>
      </w:r>
      <w:r>
        <w:fldChar w:fldCharType="separate"/>
      </w:r>
      <w:r>
        <w:rPr>
          <w:rStyle w:val="11"/>
          <w:color w:val="0000FF"/>
          <w:sz w:val="18"/>
          <w:szCs w:val="18"/>
          <w:u w:val="none"/>
          <w:lang w:val="de-DE" w:eastAsia="zh-CN"/>
        </w:rPr>
        <w:t xml:space="preserve"> </w:t>
      </w:r>
      <w:r>
        <w:rPr>
          <w:rStyle w:val="11"/>
          <w:color w:val="0000FF"/>
          <w:sz w:val="18"/>
          <w:szCs w:val="18"/>
          <w:lang w:val="de-DE" w:eastAsia="zh-CN"/>
        </w:rPr>
        <w:t>https://www.fda. gov/Re gulatoryInformation/Guidances/ucm122046.htm</w:t>
      </w:r>
      <w:r>
        <w:rPr>
          <w:rStyle w:val="11"/>
          <w:color w:val="0000FF"/>
          <w:sz w:val="18"/>
          <w:szCs w:val="18"/>
          <w:lang w:eastAsia="zh-CN"/>
        </w:rPr>
        <w:t>。</w:t>
      </w:r>
      <w:bookmarkEnd w:id="11"/>
      <w:r>
        <w:rPr>
          <w:rStyle w:val="11"/>
          <w:color w:val="0000FF"/>
          <w:sz w:val="18"/>
          <w:szCs w:val="18"/>
          <w:lang w:eastAsia="zh-CN"/>
        </w:rPr>
        <w:fldChar w:fldCharType="end"/>
      </w:r>
    </w:p>
    <w:p w14:paraId="5E13B368">
      <w:pPr>
        <w:tabs>
          <w:tab w:val="left" w:pos="110"/>
        </w:tabs>
        <w:snapToGrid w:val="0"/>
        <w:spacing w:before="120" w:beforeLines="50"/>
        <w:jc w:val="both"/>
        <w:rPr>
          <w:lang w:val="de-DE"/>
        </w:rPr>
      </w:pPr>
      <w:r>
        <w:rPr>
          <w:lang w:val="de-DE" w:eastAsia="zh-CN"/>
        </w:rPr>
        <w:br w:type="page"/>
      </w:r>
    </w:p>
    <w:p w14:paraId="34D68A8D">
      <w:pPr>
        <w:snapToGrid w:val="0"/>
        <w:spacing w:before="120" w:beforeLines="50" w:line="340" w:lineRule="exact"/>
        <w:jc w:val="both"/>
        <w:rPr>
          <w:sz w:val="24"/>
          <w:lang w:eastAsia="zh-CN"/>
        </w:rPr>
      </w:pPr>
      <w:r>
        <w:rPr>
          <w:rFonts w:hint="eastAsia"/>
          <w:sz w:val="24"/>
          <w:lang w:eastAsia="zh-CN"/>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sz w:val="24"/>
          <w:lang w:eastAsia="zh-CN"/>
        </w:rPr>
        <w:t>。</w:t>
      </w:r>
    </w:p>
    <w:p w14:paraId="258E2109">
      <w:pPr>
        <w:snapToGrid w:val="0"/>
        <w:spacing w:before="120" w:beforeLines="50" w:line="340" w:lineRule="exact"/>
        <w:jc w:val="both"/>
        <w:rPr>
          <w:sz w:val="24"/>
          <w:lang w:eastAsia="zh-CN"/>
        </w:rPr>
      </w:pPr>
    </w:p>
    <w:p w14:paraId="589619A1">
      <w:pPr>
        <w:pStyle w:val="15"/>
        <w:spacing w:before="120" w:after="120" w:line="340" w:lineRule="exact"/>
        <w:rPr>
          <w:lang w:eastAsia="zh-CN"/>
        </w:rPr>
      </w:pPr>
      <w:bookmarkStart w:id="12" w:name="bookmark11"/>
      <w:bookmarkStart w:id="13" w:name="bookmark10"/>
      <w:bookmarkStart w:id="14" w:name="_Toc97318163"/>
      <w:r>
        <w:rPr>
          <w:lang w:eastAsia="zh-CN"/>
        </w:rPr>
        <w:t>II.</w:t>
      </w:r>
      <w:r>
        <w:rPr>
          <w:lang w:eastAsia="zh-CN"/>
        </w:rPr>
        <w:tab/>
      </w:r>
      <w:r>
        <w:rPr>
          <w:lang w:eastAsia="zh-CN"/>
        </w:rPr>
        <w:t>背景</w:t>
      </w:r>
      <w:bookmarkEnd w:id="12"/>
      <w:bookmarkEnd w:id="13"/>
      <w:bookmarkEnd w:id="14"/>
    </w:p>
    <w:p w14:paraId="11621AA5">
      <w:pPr>
        <w:snapToGrid w:val="0"/>
        <w:spacing w:before="120" w:beforeLines="50" w:line="340" w:lineRule="exact"/>
        <w:jc w:val="both"/>
        <w:rPr>
          <w:sz w:val="24"/>
          <w:lang w:eastAsia="zh-CN"/>
        </w:rPr>
      </w:pPr>
      <w:r>
        <w:rPr>
          <w:sz w:val="24"/>
          <w:lang w:eastAsia="zh-CN"/>
        </w:rPr>
        <w:t>FDA关于人类受试者保护（21 CFR第50部）和伦理审查委员会（IRB；21 CFR第56部分）的规定有助于确保参与FDA监管的临床研究的人类受试者的权利、安全和福利得到保护。美国卫生与公众服务部通过应用《通则》，规范其进行或支持的人类受试者研究。《通则》的目的是促进对人类受试者保护的统一、理解和遵守，并在联邦部门和机构之间建立统一的法规体系。《通则》已被其他16个联邦部门和机构采用，并且FDA于1991年修订了21 CFR第50 和56部分中的规定，以符合《通则》，</w:t>
      </w:r>
      <w:r>
        <w:fldChar w:fldCharType="begin"/>
      </w:r>
      <w:r>
        <w:rPr>
          <w:lang w:eastAsia="zh-CN"/>
        </w:rPr>
        <w:instrText xml:space="preserve"> HYPERLINK \l "bookmark13" \h </w:instrText>
      </w:r>
      <w:r>
        <w:fldChar w:fldCharType="separate"/>
      </w:r>
      <w:r>
        <w:rPr>
          <w:sz w:val="24"/>
          <w:vertAlign w:val="superscript"/>
          <w:lang w:eastAsia="zh-CN"/>
        </w:rPr>
        <w:t>5</w:t>
      </w:r>
      <w:r>
        <w:rPr>
          <w:sz w:val="24"/>
          <w:lang w:eastAsia="zh-CN"/>
        </w:rPr>
        <w:fldChar w:fldCharType="end"/>
      </w:r>
      <w:r>
        <w:rPr>
          <w:sz w:val="24"/>
          <w:lang w:eastAsia="zh-CN"/>
        </w:rPr>
        <w:t>但由于FDA的使命或法规不同，有少数例外。</w:t>
      </w:r>
    </w:p>
    <w:p w14:paraId="7BA4E7A8">
      <w:pPr>
        <w:snapToGrid w:val="0"/>
        <w:spacing w:before="120" w:beforeLines="50" w:line="340" w:lineRule="exact"/>
        <w:jc w:val="both"/>
        <w:rPr>
          <w:sz w:val="24"/>
          <w:lang w:eastAsia="zh-CN"/>
        </w:rPr>
      </w:pPr>
      <w:r>
        <w:rPr>
          <w:sz w:val="24"/>
          <w:lang w:eastAsia="zh-CN"/>
        </w:rPr>
        <w:t>2016年12月13日，21世纪《治愈法案》（《治愈法案》）签署成为法律。</w:t>
      </w:r>
      <w:r>
        <w:fldChar w:fldCharType="begin"/>
      </w:r>
      <w:r>
        <w:rPr>
          <w:lang w:eastAsia="zh-CN"/>
        </w:rPr>
        <w:instrText xml:space="preserve">HYPERLINK \l "bookmark14" \h</w:instrText>
      </w:r>
      <w:r>
        <w:fldChar w:fldCharType="separate"/>
      </w:r>
      <w:r>
        <w:rPr>
          <w:sz w:val="24"/>
          <w:vertAlign w:val="superscript"/>
          <w:lang w:eastAsia="zh-CN"/>
        </w:rPr>
        <w:t>6</w:t>
      </w:r>
      <w:r>
        <w:rPr>
          <w:sz w:val="24"/>
          <w:lang w:eastAsia="zh-CN"/>
        </w:rPr>
        <w:t xml:space="preserve"> </w:t>
      </w:r>
      <w:r>
        <w:fldChar w:fldCharType="end"/>
      </w:r>
      <w:r>
        <w:rPr>
          <w:sz w:val="24"/>
          <w:lang w:eastAsia="zh-CN"/>
        </w:rPr>
        <w:t>第3023节规定，美国卫生与公众服务部部长，在切实可行且符合其他法定条文的范围内，协调美国卫生与公众服务部的人类受试者法规和FDA的人类受试者法规之间的差异。《治愈法案》支持美国卫生与公众服务部和FDA长期以来协调人类受试者保护法规的努力，从而在保护研究受试者的同时减轻了申办者、研究者和伦理审查委员会的负担。</w:t>
      </w:r>
    </w:p>
    <w:p w14:paraId="00580F52">
      <w:pPr>
        <w:snapToGrid w:val="0"/>
        <w:spacing w:before="120" w:beforeLines="50" w:line="340" w:lineRule="exact"/>
        <w:jc w:val="both"/>
        <w:rPr>
          <w:sz w:val="24"/>
          <w:lang w:eastAsia="zh-CN"/>
        </w:rPr>
      </w:pPr>
      <w:r>
        <w:rPr>
          <w:sz w:val="24"/>
          <w:lang w:eastAsia="zh-CN"/>
        </w:rPr>
        <w:t>如前所述，美国卫生与公众服务部于2017年1月19日发布了最终规则，对《通则》进行了修订。</w:t>
      </w:r>
      <w:r>
        <w:fldChar w:fldCharType="begin"/>
      </w:r>
      <w:r>
        <w:rPr>
          <w:lang w:eastAsia="zh-CN"/>
        </w:rPr>
        <w:instrText xml:space="preserve">HYPERLINK \l "bookmark15" \o "当前文件" \h</w:instrText>
      </w:r>
      <w:r>
        <w:fldChar w:fldCharType="separate"/>
      </w:r>
      <w:r>
        <w:rPr>
          <w:sz w:val="24"/>
          <w:vertAlign w:val="superscript"/>
          <w:lang w:eastAsia="zh-CN"/>
        </w:rPr>
        <w:t>7</w:t>
      </w:r>
      <w:r>
        <w:fldChar w:fldCharType="end"/>
      </w:r>
      <w:r>
        <w:rPr>
          <w:sz w:val="24"/>
          <w:lang w:eastAsia="zh-CN"/>
        </w:rPr>
        <w:t>对《通则》的修订（</w:t>
      </w:r>
      <w:r>
        <w:rPr>
          <w:rFonts w:ascii="宋体" w:hAnsi="宋体"/>
          <w:sz w:val="24"/>
          <w:lang w:eastAsia="zh-CN"/>
        </w:rPr>
        <w:t>“</w:t>
      </w:r>
      <w:r>
        <w:rPr>
          <w:sz w:val="24"/>
          <w:lang w:eastAsia="zh-CN"/>
        </w:rPr>
        <w:t>2018年要求</w:t>
      </w:r>
      <w:r>
        <w:rPr>
          <w:rFonts w:ascii="宋体" w:hAnsi="宋体"/>
          <w:sz w:val="24"/>
          <w:lang w:eastAsia="zh-CN"/>
        </w:rPr>
        <w:t>”</w:t>
      </w:r>
      <w:r>
        <w:rPr>
          <w:sz w:val="24"/>
          <w:lang w:eastAsia="zh-CN"/>
        </w:rPr>
        <w:t>）</w:t>
      </w:r>
      <w:r>
        <w:rPr>
          <w:rFonts w:hint="eastAsia"/>
          <w:sz w:val="24"/>
          <w:lang w:eastAsia="zh-CN"/>
        </w:rPr>
        <w:t>导致</w:t>
      </w:r>
      <w:r>
        <w:rPr>
          <w:sz w:val="24"/>
          <w:lang w:eastAsia="zh-CN"/>
        </w:rPr>
        <w:t>FDA人类受试者法规与美国卫生与公众服务部的人类受试者法规之间</w:t>
      </w:r>
      <w:r>
        <w:rPr>
          <w:rFonts w:hint="eastAsia"/>
          <w:sz w:val="24"/>
          <w:lang w:eastAsia="zh-CN"/>
        </w:rPr>
        <w:t>存在</w:t>
      </w:r>
      <w:r>
        <w:rPr>
          <w:sz w:val="24"/>
          <w:lang w:eastAsia="zh-CN"/>
        </w:rPr>
        <w:t>某些差异。许多申办者、研究者和伦理审查委员会均参与了美国卫生与公众服务部监管的研究和FDA监管的临床研究。FDA监管的部分临床研究也可能由美国卫生与公众服务部进行或由其支持，故而会受到两套法规的约束。因此，许多申办者、研究者和伦理审查委员会需熟悉并遵守美国卫生与公众服务部和FDA的规定。尽管FDA打算制定规则，以在切实可行且符合其他法定条文的范围内，使其法规与2018年要求（与《治愈法案》第3023节一致）相一致，但我们认识到在此期间可能会出现困惑。本指南旨在阐明2018年要求的某些规定对受FDA监管的临床研究的影响。</w:t>
      </w:r>
      <w:bookmarkStart w:id="15" w:name="bookmark12"/>
    </w:p>
    <w:p w14:paraId="4D5076DC">
      <w:pPr>
        <w:snapToGrid w:val="0"/>
        <w:spacing w:before="120" w:beforeLines="50"/>
        <w:jc w:val="both"/>
        <w:rPr>
          <w:sz w:val="18"/>
          <w:szCs w:val="18"/>
        </w:rPr>
      </w:pPr>
      <w:r>
        <w:rPr>
          <w:sz w:val="18"/>
          <w:szCs w:val="18"/>
          <w:lang w:eastAsia="zh-CN"/>
        </w:rPr>
        <w:t>____________________</w:t>
      </w:r>
    </w:p>
    <w:p w14:paraId="22ECA6FF">
      <w:pPr>
        <w:tabs>
          <w:tab w:val="left" w:pos="125"/>
        </w:tabs>
        <w:snapToGrid w:val="0"/>
        <w:spacing w:before="120" w:beforeLines="50"/>
        <w:rPr>
          <w:color w:val="0000FF"/>
          <w:sz w:val="18"/>
          <w:szCs w:val="18"/>
        </w:rPr>
      </w:pPr>
      <w:r>
        <w:rPr>
          <w:sz w:val="18"/>
          <w:szCs w:val="18"/>
          <w:vertAlign w:val="superscript"/>
          <w:lang w:eastAsia="zh-CN"/>
        </w:rPr>
        <w:t>4</w:t>
      </w:r>
      <w:r>
        <w:rPr>
          <w:sz w:val="18"/>
          <w:szCs w:val="18"/>
          <w:lang w:eastAsia="zh-CN"/>
        </w:rPr>
        <w:tab/>
      </w:r>
      <w:r>
        <w:rPr>
          <w:sz w:val="18"/>
          <w:szCs w:val="18"/>
          <w:lang w:eastAsia="zh-CN"/>
        </w:rPr>
        <w:t>参见，如，</w:t>
      </w:r>
      <w:r>
        <w:rPr>
          <w:rFonts w:ascii="宋体" w:hAnsi="宋体"/>
          <w:sz w:val="18"/>
          <w:szCs w:val="18"/>
          <w:lang w:eastAsia="zh-CN"/>
        </w:rPr>
        <w:t>“</w:t>
      </w:r>
      <w:r>
        <w:rPr>
          <w:sz w:val="18"/>
          <w:szCs w:val="18"/>
          <w:lang w:eastAsia="zh-CN"/>
        </w:rPr>
        <w:t>使用电子知情同意书问题和答案：伦理审查委员会、研究者和申办者指南</w:t>
      </w:r>
      <w:r>
        <w:rPr>
          <w:rFonts w:ascii="宋体" w:hAnsi="宋体"/>
          <w:sz w:val="18"/>
          <w:szCs w:val="18"/>
          <w:lang w:eastAsia="zh-CN"/>
        </w:rPr>
        <w:t>”</w:t>
      </w:r>
      <w:r>
        <w:rPr>
          <w:sz w:val="18"/>
          <w:szCs w:val="18"/>
          <w:lang w:eastAsia="zh-CN"/>
        </w:rPr>
        <w:t>，（2016年12月），</w:t>
      </w:r>
      <w:r>
        <w:fldChar w:fldCharType="begin"/>
      </w:r>
      <w:r>
        <w:instrText xml:space="preserve">HYPERLINK "https://www.fda.gov/downloads/drugs/guidances/ucm436811.pdf"</w:instrText>
      </w:r>
      <w:r>
        <w:fldChar w:fldCharType="separate"/>
      </w:r>
      <w:r>
        <w:rPr>
          <w:rStyle w:val="11"/>
          <w:color w:val="0000FF"/>
          <w:sz w:val="18"/>
          <w:szCs w:val="18"/>
          <w:lang w:eastAsia="zh-CN"/>
        </w:rPr>
        <w:t>https://www.fda.gov/downloads/drugs/guidances/ucm436811.pdf。</w:t>
      </w:r>
      <w:bookmarkEnd w:id="15"/>
      <w:r>
        <w:fldChar w:fldCharType="end"/>
      </w:r>
    </w:p>
    <w:p w14:paraId="6BCF5B07">
      <w:pPr>
        <w:tabs>
          <w:tab w:val="left" w:pos="101"/>
        </w:tabs>
        <w:snapToGrid w:val="0"/>
        <w:spacing w:before="120" w:beforeLines="50"/>
        <w:rPr>
          <w:sz w:val="18"/>
          <w:szCs w:val="18"/>
          <w:lang w:eastAsia="zh-CN"/>
        </w:rPr>
      </w:pPr>
      <w:bookmarkStart w:id="16" w:name="bookmark13"/>
      <w:r>
        <w:rPr>
          <w:sz w:val="18"/>
          <w:szCs w:val="18"/>
          <w:vertAlign w:val="superscript"/>
          <w:lang w:eastAsia="zh-CN"/>
        </w:rPr>
        <w:t>5</w:t>
      </w:r>
      <w:r>
        <w:rPr>
          <w:sz w:val="18"/>
          <w:szCs w:val="18"/>
          <w:lang w:eastAsia="zh-CN"/>
        </w:rPr>
        <w:tab/>
      </w:r>
      <w:r>
        <w:rPr>
          <w:sz w:val="18"/>
          <w:szCs w:val="18"/>
          <w:lang w:eastAsia="zh-CN"/>
        </w:rPr>
        <w:t>56 FR 28025，1991年6月18日。</w:t>
      </w:r>
      <w:bookmarkEnd w:id="16"/>
    </w:p>
    <w:p w14:paraId="0CE405F2">
      <w:pPr>
        <w:tabs>
          <w:tab w:val="left" w:pos="91"/>
        </w:tabs>
        <w:snapToGrid w:val="0"/>
        <w:spacing w:before="120" w:beforeLines="50"/>
        <w:rPr>
          <w:color w:val="0000FF"/>
          <w:sz w:val="18"/>
          <w:szCs w:val="18"/>
          <w:lang w:eastAsia="zh-CN"/>
        </w:rPr>
      </w:pPr>
      <w:bookmarkStart w:id="17" w:name="bookmark14"/>
      <w:r>
        <w:rPr>
          <w:sz w:val="18"/>
          <w:szCs w:val="18"/>
          <w:vertAlign w:val="superscript"/>
          <w:lang w:eastAsia="zh-CN"/>
        </w:rPr>
        <w:t>6</w:t>
      </w:r>
      <w:r>
        <w:rPr>
          <w:sz w:val="18"/>
          <w:szCs w:val="18"/>
          <w:lang w:eastAsia="zh-CN"/>
        </w:rPr>
        <w:tab/>
      </w:r>
      <w:r>
        <w:rPr>
          <w:sz w:val="18"/>
          <w:szCs w:val="18"/>
          <w:lang w:eastAsia="zh-CN"/>
        </w:rPr>
        <w:t>《公法》114-255，2016年12月13日颁布；</w:t>
      </w:r>
      <w:r>
        <w:fldChar w:fldCharType="begin"/>
      </w:r>
      <w:r>
        <w:instrText xml:space="preserve">HYPERLINK "https://www.gpo.gov/fdsys/pkg/PLAW-114publ255/pdf/PLAW-114publ255.pdf"</w:instrText>
      </w:r>
      <w:r>
        <w:fldChar w:fldCharType="separate"/>
      </w:r>
      <w:r>
        <w:rPr>
          <w:rStyle w:val="11"/>
          <w:color w:val="0000FF"/>
          <w:sz w:val="18"/>
          <w:szCs w:val="18"/>
          <w:lang w:eastAsia="zh-CN"/>
        </w:rPr>
        <w:t xml:space="preserve"> https://www.gpo.gov/fdsvs/pkg/PLAW-114publ255/pdf/PLAW -</w:t>
      </w:r>
      <w:r>
        <w:fldChar w:fldCharType="end"/>
      </w:r>
      <w:r>
        <w:rPr>
          <w:color w:val="0000FF"/>
          <w:sz w:val="18"/>
          <w:szCs w:val="18"/>
          <w:u w:val="single"/>
          <w:lang w:eastAsia="zh-CN"/>
        </w:rPr>
        <w:t xml:space="preserve"> </w:t>
      </w:r>
      <w:r>
        <w:fldChar w:fldCharType="begin"/>
      </w:r>
      <w:r>
        <w:instrText xml:space="preserve"> HYPERLINK "https://www.gpo.gov/fdsys/pkg/PLAW-114publ255/pdf/PLAW-114publ255.pdf" </w:instrText>
      </w:r>
      <w:r>
        <w:fldChar w:fldCharType="separate"/>
      </w:r>
      <w:r>
        <w:rPr>
          <w:rStyle w:val="11"/>
          <w:color w:val="0000FF"/>
          <w:sz w:val="18"/>
          <w:szCs w:val="18"/>
          <w:lang w:eastAsia="zh-CN"/>
        </w:rPr>
        <w:t>114publ255.pdf。</w:t>
      </w:r>
      <w:bookmarkEnd w:id="17"/>
      <w:r>
        <w:rPr>
          <w:rStyle w:val="11"/>
          <w:color w:val="0000FF"/>
          <w:sz w:val="18"/>
          <w:szCs w:val="18"/>
          <w:lang w:eastAsia="zh-CN"/>
        </w:rPr>
        <w:fldChar w:fldCharType="end"/>
      </w:r>
    </w:p>
    <w:p w14:paraId="22C4C5B2">
      <w:pPr>
        <w:tabs>
          <w:tab w:val="left" w:pos="91"/>
        </w:tabs>
        <w:snapToGrid w:val="0"/>
        <w:spacing w:before="120" w:beforeLines="50"/>
        <w:jc w:val="both"/>
        <w:rPr>
          <w:sz w:val="18"/>
          <w:szCs w:val="18"/>
          <w:lang w:eastAsia="zh-CN"/>
        </w:rPr>
      </w:pPr>
      <w:bookmarkStart w:id="18" w:name="bookmark15"/>
      <w:r>
        <w:rPr>
          <w:sz w:val="18"/>
          <w:szCs w:val="18"/>
          <w:vertAlign w:val="superscript"/>
          <w:lang w:eastAsia="zh-CN"/>
        </w:rPr>
        <w:t>7</w:t>
      </w:r>
      <w:r>
        <w:rPr>
          <w:sz w:val="18"/>
          <w:szCs w:val="18"/>
          <w:lang w:eastAsia="zh-CN"/>
        </w:rPr>
        <w:tab/>
      </w:r>
      <w:r>
        <w:rPr>
          <w:sz w:val="18"/>
          <w:szCs w:val="18"/>
          <w:lang w:eastAsia="zh-CN"/>
        </w:rPr>
        <w:t>2017年1月19日，修订了《通则》的最终规则于2018年1月19日生效并获得普遍遵守（82 FR 7149）。根据2018年1月22日发布的临时最终规则，生效和普遍遵守日期推迟了6个月，推迟到2018年7月19日（83 FR 2885）。2018年6月19日，发布了最终规则，将普遍遵守日期推迟到2019年1月21日（83 FR 28497）。修订后的《通则》，包括2018年1月22日临时最终规则和2018年6月19日最终规则做出的技术修订，被称为</w:t>
      </w:r>
      <w:r>
        <w:rPr>
          <w:rFonts w:ascii="宋体" w:hAnsi="宋体"/>
          <w:sz w:val="18"/>
          <w:szCs w:val="18"/>
          <w:lang w:eastAsia="zh-CN"/>
        </w:rPr>
        <w:t>“</w:t>
      </w:r>
      <w:r>
        <w:rPr>
          <w:sz w:val="18"/>
          <w:szCs w:val="18"/>
          <w:lang w:eastAsia="zh-CN"/>
        </w:rPr>
        <w:t>2018年要求</w:t>
      </w:r>
      <w:r>
        <w:rPr>
          <w:rFonts w:ascii="宋体" w:hAnsi="宋体"/>
          <w:sz w:val="18"/>
          <w:szCs w:val="18"/>
          <w:lang w:eastAsia="zh-CN"/>
        </w:rPr>
        <w:t>”</w:t>
      </w:r>
      <w:r>
        <w:rPr>
          <w:sz w:val="18"/>
          <w:szCs w:val="18"/>
          <w:lang w:eastAsia="zh-CN"/>
        </w:rPr>
        <w:t>。</w:t>
      </w:r>
      <w:bookmarkEnd w:id="18"/>
    </w:p>
    <w:p w14:paraId="71E0FAA7">
      <w:pPr>
        <w:tabs>
          <w:tab w:val="left" w:pos="91"/>
        </w:tabs>
        <w:snapToGrid w:val="0"/>
        <w:spacing w:before="120" w:beforeLines="50"/>
        <w:jc w:val="both"/>
        <w:rPr>
          <w:lang w:eastAsia="zh-CN"/>
        </w:rPr>
      </w:pPr>
      <w:r>
        <w:rPr>
          <w:lang w:eastAsia="zh-CN"/>
        </w:rPr>
        <w:br w:type="page"/>
      </w:r>
    </w:p>
    <w:p w14:paraId="5EFCD353">
      <w:pPr>
        <w:pStyle w:val="15"/>
        <w:spacing w:before="120" w:after="120" w:line="400" w:lineRule="exact"/>
        <w:rPr>
          <w:lang w:eastAsia="zh-CN"/>
        </w:rPr>
      </w:pPr>
      <w:bookmarkStart w:id="19" w:name="bookmark16"/>
      <w:bookmarkStart w:id="20" w:name="bookmark17"/>
      <w:bookmarkStart w:id="21" w:name="_Toc97318164"/>
      <w:r>
        <w:rPr>
          <w:lang w:eastAsia="zh-CN"/>
        </w:rPr>
        <w:t xml:space="preserve">III. </w:t>
      </w:r>
      <w:r>
        <w:rPr>
          <w:lang w:eastAsia="zh-CN"/>
        </w:rPr>
        <w:tab/>
      </w:r>
      <w:r>
        <w:rPr>
          <w:lang w:eastAsia="zh-CN"/>
        </w:rPr>
        <w:t>知情同意书</w:t>
      </w:r>
      <w:bookmarkEnd w:id="19"/>
      <w:bookmarkEnd w:id="20"/>
      <w:bookmarkEnd w:id="21"/>
    </w:p>
    <w:p w14:paraId="2443FE55">
      <w:pPr>
        <w:snapToGrid w:val="0"/>
        <w:spacing w:before="120" w:beforeLines="50" w:line="400" w:lineRule="exact"/>
        <w:jc w:val="both"/>
        <w:rPr>
          <w:sz w:val="24"/>
          <w:lang w:eastAsia="zh-CN"/>
        </w:rPr>
      </w:pPr>
      <w:r>
        <w:rPr>
          <w:sz w:val="24"/>
          <w:lang w:eastAsia="zh-CN"/>
        </w:rPr>
        <w:t>2018年要求包含几项新的知情同意书要求，包括知情同意</w:t>
      </w:r>
      <w:r>
        <w:rPr>
          <w:rFonts w:hint="eastAsia"/>
          <w:sz w:val="24"/>
          <w:lang w:eastAsia="zh-CN"/>
        </w:rPr>
        <w:t>书</w:t>
      </w:r>
      <w:r>
        <w:rPr>
          <w:sz w:val="24"/>
          <w:lang w:eastAsia="zh-CN"/>
        </w:rPr>
        <w:t>和知情同意过程中所包含的信息的内容、组织、报告方式（为方便预期受试者决定是否参与研究）的变更，以及对知情同意</w:t>
      </w:r>
      <w:r>
        <w:rPr>
          <w:rFonts w:hint="eastAsia"/>
          <w:sz w:val="24"/>
          <w:lang w:eastAsia="zh-CN"/>
        </w:rPr>
        <w:t>书</w:t>
      </w:r>
      <w:r>
        <w:rPr>
          <w:sz w:val="24"/>
          <w:lang w:eastAsia="zh-CN"/>
        </w:rPr>
        <w:t>的基本和附加要素的变更。FDA已收到利益相关方提出的问题，即这些规定是否可纳入FDA监管的临床研究的知情同意书和知情同意过程，或者是否有必要制定两份不同的知情同意书，</w:t>
      </w:r>
      <w:r>
        <w:rPr>
          <w:rFonts w:hint="eastAsia"/>
          <w:sz w:val="24"/>
          <w:lang w:eastAsia="zh-CN"/>
        </w:rPr>
        <w:t>分别</w:t>
      </w:r>
      <w:r>
        <w:rPr>
          <w:sz w:val="24"/>
          <w:lang w:eastAsia="zh-CN"/>
        </w:rPr>
        <w:t>用于联邦政府进行/支持的研究</w:t>
      </w:r>
      <w:r>
        <w:rPr>
          <w:rFonts w:hint="eastAsia"/>
          <w:sz w:val="24"/>
          <w:lang w:eastAsia="zh-CN"/>
        </w:rPr>
        <w:t>及</w:t>
      </w:r>
      <w:r>
        <w:rPr>
          <w:sz w:val="24"/>
          <w:lang w:eastAsia="zh-CN"/>
        </w:rPr>
        <w:t>受FDA监管的研究。</w:t>
      </w:r>
    </w:p>
    <w:p w14:paraId="5F80BAEC">
      <w:pPr>
        <w:snapToGrid w:val="0"/>
        <w:spacing w:before="120" w:beforeLines="50" w:line="400" w:lineRule="exact"/>
        <w:jc w:val="both"/>
        <w:rPr>
          <w:sz w:val="24"/>
          <w:lang w:eastAsia="zh-CN"/>
        </w:rPr>
      </w:pPr>
      <w:r>
        <w:rPr>
          <w:sz w:val="24"/>
          <w:lang w:eastAsia="zh-CN"/>
        </w:rPr>
        <w:t>为回复利益相关方的询问，我们澄清，2018年要求中与同意表和过程中所包含的信息的内容、组织、</w:t>
      </w:r>
      <w:r>
        <w:rPr>
          <w:rFonts w:hint="eastAsia"/>
          <w:sz w:val="24"/>
          <w:lang w:eastAsia="zh-CN"/>
        </w:rPr>
        <w:t>报告方式</w:t>
      </w:r>
      <w:r>
        <w:rPr>
          <w:sz w:val="24"/>
          <w:lang w:eastAsia="zh-CN"/>
        </w:rPr>
        <w:t>以及知情同意书的基本和附加要素相关的规定，与FDA现行的政策和指南一致。这可避免申办者或研究者制定和伦理审查委员会审查两份不同的知情同意书。有关2018年要求中新增知情同意书条款的子集，见附录。</w:t>
      </w:r>
    </w:p>
    <w:p w14:paraId="688FEAD7">
      <w:pPr>
        <w:snapToGrid w:val="0"/>
        <w:spacing w:before="120" w:beforeLines="50" w:line="400" w:lineRule="exact"/>
        <w:jc w:val="both"/>
        <w:rPr>
          <w:sz w:val="24"/>
          <w:lang w:eastAsia="zh-CN"/>
        </w:rPr>
      </w:pPr>
    </w:p>
    <w:p w14:paraId="743124A7">
      <w:pPr>
        <w:pStyle w:val="15"/>
        <w:spacing w:before="120" w:after="120" w:line="400" w:lineRule="exact"/>
        <w:rPr>
          <w:lang w:eastAsia="zh-CN"/>
        </w:rPr>
      </w:pPr>
      <w:bookmarkStart w:id="22" w:name="bookmark18"/>
      <w:bookmarkStart w:id="23" w:name="bookmark19"/>
      <w:bookmarkStart w:id="24" w:name="_Toc97318165"/>
      <w:r>
        <w:rPr>
          <w:lang w:eastAsia="zh-CN"/>
        </w:rPr>
        <w:t xml:space="preserve">IV. </w:t>
      </w:r>
      <w:r>
        <w:rPr>
          <w:lang w:eastAsia="zh-CN"/>
        </w:rPr>
        <w:tab/>
      </w:r>
      <w:r>
        <w:rPr>
          <w:lang w:eastAsia="zh-CN"/>
        </w:rPr>
        <w:t>快速审查程序和清单</w:t>
      </w:r>
      <w:bookmarkEnd w:id="22"/>
      <w:bookmarkEnd w:id="23"/>
      <w:bookmarkEnd w:id="24"/>
    </w:p>
    <w:p w14:paraId="1C57FFC0">
      <w:pPr>
        <w:snapToGrid w:val="0"/>
        <w:spacing w:before="120" w:beforeLines="50" w:line="400" w:lineRule="exact"/>
        <w:jc w:val="both"/>
        <w:rPr>
          <w:sz w:val="24"/>
          <w:lang w:eastAsia="zh-CN"/>
        </w:rPr>
      </w:pPr>
      <w:r>
        <w:rPr>
          <w:sz w:val="24"/>
          <w:lang w:eastAsia="zh-CN"/>
        </w:rPr>
        <w:t>FDA在21 CFR 56.110中规定，对于某些风险不大于最低风险的研究，应加快伦理审查委员会审查程序。第56.110(a)节描述了可由伦理审查委员会通过《联邦公报通知》建立的快速审查程序进行审查的研究类别清单。FDA于1998年11月9日在《联邦公报》制定并公布了这份清单（1998年清单）。</w:t>
      </w:r>
      <w:r>
        <w:fldChar w:fldCharType="begin"/>
      </w:r>
      <w:r>
        <w:rPr>
          <w:lang w:eastAsia="zh-CN"/>
        </w:rPr>
        <w:instrText xml:space="preserve">HYPERLINK \l "bookmark20" \o "当前文件" \h</w:instrText>
      </w:r>
      <w:r>
        <w:fldChar w:fldCharType="separate"/>
      </w:r>
      <w:r>
        <w:rPr>
          <w:sz w:val="24"/>
          <w:vertAlign w:val="superscript"/>
          <w:lang w:eastAsia="zh-CN"/>
        </w:rPr>
        <w:t>8</w:t>
      </w:r>
      <w:r>
        <w:rPr>
          <w:sz w:val="24"/>
          <w:lang w:eastAsia="zh-CN"/>
        </w:rPr>
        <w:t xml:space="preserve"> </w:t>
      </w:r>
      <w:r>
        <w:fldChar w:fldCharType="end"/>
      </w:r>
      <w:r>
        <w:rPr>
          <w:sz w:val="24"/>
          <w:lang w:eastAsia="zh-CN"/>
        </w:rPr>
        <w:t>第56.110(b)节明确指出，在适当情况下，伦理审查委员会</w:t>
      </w:r>
      <w:r>
        <w:rPr>
          <w:rFonts w:ascii="宋体" w:hAnsi="宋体"/>
          <w:sz w:val="24"/>
          <w:lang w:eastAsia="zh-CN"/>
        </w:rPr>
        <w:t>“</w:t>
      </w:r>
      <w:r>
        <w:rPr>
          <w:sz w:val="24"/>
          <w:lang w:eastAsia="zh-CN"/>
        </w:rPr>
        <w:t>审查员</w:t>
      </w:r>
      <w:r>
        <w:rPr>
          <w:rFonts w:ascii="宋体" w:hAnsi="宋体"/>
          <w:sz w:val="24"/>
          <w:lang w:eastAsia="zh-CN"/>
        </w:rPr>
        <w:t>”</w:t>
      </w:r>
      <w:r>
        <w:rPr>
          <w:sz w:val="24"/>
          <w:lang w:eastAsia="zh-CN"/>
        </w:rPr>
        <w:t>必须确定清单上的研究风险不超过最低风险，以便伦理审查委员会启用快速审查程序。</w:t>
      </w:r>
    </w:p>
    <w:p w14:paraId="76FB1D92">
      <w:pPr>
        <w:snapToGrid w:val="0"/>
        <w:spacing w:before="120" w:beforeLines="50" w:line="400" w:lineRule="exact"/>
        <w:jc w:val="both"/>
        <w:rPr>
          <w:sz w:val="24"/>
          <w:lang w:eastAsia="zh-CN"/>
        </w:rPr>
      </w:pPr>
      <w:r>
        <w:rPr>
          <w:sz w:val="24"/>
          <w:lang w:eastAsia="zh-CN"/>
        </w:rPr>
        <w:t>FDA承认，根据2018年要求第45 CFR 46.110(b</w:t>
      </w:r>
      <w:r>
        <w:rPr>
          <w:color w:val="000000" w:themeColor="text1"/>
          <w:sz w:val="24"/>
          <w:lang w:eastAsia="zh-CN"/>
        </w:rPr>
        <w:t>)</w:t>
      </w:r>
      <w:r>
        <w:rPr>
          <w:rFonts w:hint="eastAsia"/>
          <w:color w:val="000000" w:themeColor="text1"/>
          <w:sz w:val="24"/>
          <w:lang w:eastAsia="zh-CN"/>
        </w:rPr>
        <w:t>条款</w:t>
      </w:r>
      <w:r>
        <w:rPr>
          <w:sz w:val="24"/>
          <w:lang w:eastAsia="zh-CN"/>
        </w:rPr>
        <w:t>的要求，伦理审查委员会可对快速审查清单上的研究启用快速程序，除非伦理审查委员会审查员确定该研究的风险超过最低风险。由于FDA尚未修订其法规，伦理审查委员会须继续遵守FDA 21 CFR 56.110(b)的法规，并使用1998年清单进行受FDA监管的临床研究，包括同时受美国卫生与公众服务部和FDA法规约束的研究。</w:t>
      </w:r>
      <w:bookmarkStart w:id="25" w:name="bookmark20"/>
    </w:p>
    <w:p w14:paraId="1AAA6C6B">
      <w:pPr>
        <w:snapToGrid w:val="0"/>
        <w:spacing w:before="120" w:beforeLines="50" w:line="400" w:lineRule="exact"/>
        <w:jc w:val="both"/>
        <w:rPr>
          <w:sz w:val="24"/>
          <w:lang w:eastAsia="zh-CN"/>
        </w:rPr>
      </w:pPr>
    </w:p>
    <w:p w14:paraId="170DFA73">
      <w:pPr>
        <w:snapToGrid w:val="0"/>
        <w:spacing w:before="120" w:beforeLines="50"/>
        <w:jc w:val="both"/>
        <w:rPr>
          <w:sz w:val="18"/>
          <w:szCs w:val="18"/>
          <w:lang w:eastAsia="zh-CN"/>
        </w:rPr>
      </w:pPr>
    </w:p>
    <w:p w14:paraId="0E4DBC63">
      <w:pPr>
        <w:snapToGrid w:val="0"/>
        <w:spacing w:before="120" w:beforeLines="50"/>
        <w:jc w:val="both"/>
        <w:rPr>
          <w:sz w:val="18"/>
          <w:szCs w:val="18"/>
          <w:lang w:eastAsia="zh-CN"/>
        </w:rPr>
      </w:pPr>
    </w:p>
    <w:p w14:paraId="5740D4B1">
      <w:pPr>
        <w:snapToGrid w:val="0"/>
        <w:spacing w:before="120" w:beforeLines="50"/>
        <w:jc w:val="both"/>
        <w:rPr>
          <w:sz w:val="18"/>
          <w:szCs w:val="18"/>
          <w:lang w:eastAsia="zh-CN"/>
        </w:rPr>
      </w:pPr>
    </w:p>
    <w:p w14:paraId="6D2C6303">
      <w:pPr>
        <w:snapToGrid w:val="0"/>
        <w:spacing w:before="120" w:beforeLines="50"/>
        <w:jc w:val="both"/>
        <w:rPr>
          <w:sz w:val="18"/>
          <w:szCs w:val="18"/>
          <w:lang w:eastAsia="zh-CN"/>
        </w:rPr>
      </w:pPr>
    </w:p>
    <w:p w14:paraId="5ADF6CB0">
      <w:pPr>
        <w:snapToGrid w:val="0"/>
        <w:spacing w:before="120" w:beforeLines="50"/>
        <w:jc w:val="both"/>
        <w:rPr>
          <w:sz w:val="18"/>
          <w:szCs w:val="18"/>
          <w:lang w:eastAsia="zh-CN"/>
        </w:rPr>
      </w:pPr>
      <w:r>
        <w:rPr>
          <w:sz w:val="18"/>
          <w:szCs w:val="18"/>
          <w:lang w:eastAsia="zh-CN"/>
        </w:rPr>
        <w:t>____________________</w:t>
      </w:r>
    </w:p>
    <w:p w14:paraId="48598CDB">
      <w:pPr>
        <w:snapToGrid w:val="0"/>
        <w:spacing w:before="120" w:beforeLines="50"/>
        <w:rPr>
          <w:color w:val="0000FF"/>
          <w:sz w:val="18"/>
          <w:szCs w:val="18"/>
          <w:lang w:eastAsia="zh-CN"/>
        </w:rPr>
      </w:pPr>
      <w:r>
        <w:rPr>
          <w:sz w:val="18"/>
          <w:szCs w:val="18"/>
          <w:vertAlign w:val="superscript"/>
          <w:lang w:eastAsia="zh-CN"/>
        </w:rPr>
        <w:t xml:space="preserve">8 </w:t>
      </w:r>
      <w:r>
        <w:rPr>
          <w:sz w:val="18"/>
          <w:szCs w:val="18"/>
          <w:lang w:eastAsia="zh-CN"/>
        </w:rPr>
        <w:t>63 FR 60353，1998年11月9日；</w:t>
      </w:r>
      <w:r>
        <w:fldChar w:fldCharType="begin"/>
      </w:r>
      <w:r>
        <w:instrText xml:space="preserve">HYPERLINK "https://www.gpo.gov/fdsys/pkg/FR-1998-11-09/pdf/98-29748.pdf"</w:instrText>
      </w:r>
      <w:r>
        <w:fldChar w:fldCharType="separate"/>
      </w:r>
      <w:r>
        <w:rPr>
          <w:rStyle w:val="11"/>
          <w:color w:val="0000FF"/>
          <w:sz w:val="18"/>
          <w:szCs w:val="18"/>
          <w:lang w:eastAsia="zh-CN"/>
        </w:rPr>
        <w:t>https://www.gpo.gov/fdsys/pkg/FR-1998-11-09/pdf/98-29748.pdf</w:t>
      </w:r>
      <w:r>
        <w:rPr>
          <w:rStyle w:val="11"/>
          <w:color w:val="0000FF"/>
          <w:sz w:val="18"/>
          <w:szCs w:val="18"/>
          <w:u w:val="none"/>
          <w:lang w:eastAsia="zh-CN"/>
        </w:rPr>
        <w:t>。</w:t>
      </w:r>
      <w:bookmarkEnd w:id="25"/>
      <w:r>
        <w:fldChar w:fldCharType="end"/>
      </w:r>
    </w:p>
    <w:p w14:paraId="2E7D7D22">
      <w:pPr>
        <w:snapToGrid w:val="0"/>
        <w:spacing w:before="120" w:beforeLines="50"/>
        <w:jc w:val="both"/>
        <w:rPr>
          <w:lang w:eastAsia="zh-CN"/>
        </w:rPr>
      </w:pPr>
      <w:r>
        <w:rPr>
          <w:lang w:eastAsia="zh-CN"/>
        </w:rPr>
        <w:br w:type="page"/>
      </w:r>
    </w:p>
    <w:p w14:paraId="1F365772">
      <w:pPr>
        <w:pStyle w:val="15"/>
        <w:spacing w:before="120" w:after="120" w:line="400" w:lineRule="exact"/>
        <w:rPr>
          <w:lang w:eastAsia="zh-CN"/>
        </w:rPr>
      </w:pPr>
      <w:bookmarkStart w:id="26" w:name="_Toc97318166"/>
      <w:bookmarkStart w:id="27" w:name="bookmark22"/>
      <w:bookmarkStart w:id="28" w:name="bookmark21"/>
      <w:r>
        <w:rPr>
          <w:lang w:eastAsia="zh-CN"/>
        </w:rPr>
        <w:t xml:space="preserve">V. </w:t>
      </w:r>
      <w:r>
        <w:rPr>
          <w:lang w:eastAsia="zh-CN"/>
        </w:rPr>
        <w:tab/>
      </w:r>
      <w:r>
        <w:rPr>
          <w:lang w:eastAsia="zh-CN"/>
        </w:rPr>
        <w:t>伦理审查委员会持续审查</w:t>
      </w:r>
      <w:bookmarkEnd w:id="26"/>
      <w:bookmarkEnd w:id="27"/>
      <w:bookmarkEnd w:id="28"/>
    </w:p>
    <w:p w14:paraId="02C57EF1">
      <w:pPr>
        <w:snapToGrid w:val="0"/>
        <w:spacing w:before="120" w:beforeLines="50" w:line="400" w:lineRule="exact"/>
        <w:jc w:val="both"/>
        <w:rPr>
          <w:sz w:val="24"/>
          <w:lang w:eastAsia="zh-CN"/>
        </w:rPr>
      </w:pPr>
      <w:r>
        <w:rPr>
          <w:sz w:val="24"/>
          <w:lang w:eastAsia="zh-CN"/>
        </w:rPr>
        <w:t>2018年要求删除了在某些情况下进行持续审查的要求（见45 CFR 46.109(f)(1)）。根据45 CFR 46.109(f)(1)(i)和(iii)，对于符合45 CFR 46.110要求的快速审查条件的研究，或已进展到仅剩数据分析，和/或从受试者应接受的作为临床护理一部分的程序获取随访临床数据的研究，无需继续审查，但伦理审查委员会另有规定的除外。</w:t>
      </w:r>
    </w:p>
    <w:p w14:paraId="6DA3A4D0">
      <w:pPr>
        <w:snapToGrid w:val="0"/>
        <w:spacing w:before="120" w:beforeLines="50" w:line="400" w:lineRule="exact"/>
        <w:jc w:val="both"/>
        <w:rPr>
          <w:lang w:eastAsia="zh-CN"/>
        </w:rPr>
      </w:pPr>
      <w:r>
        <w:rPr>
          <w:sz w:val="24"/>
          <w:lang w:eastAsia="zh-CN"/>
        </w:rPr>
        <w:t>由于FDA尚未修订其法规，伦理审查委员会须继续遵守现行21 CFR 56.109(f)对伦理审查委员会持续审查的要求，包括受美国卫生与公众服务部和FDA管辖的临床研究。伦理审查委员会须视风险程度，以每年至少一次的时间间隔对研究进行持续审查（21 CFR 56.109(f)）。</w:t>
      </w:r>
      <w:r>
        <w:fldChar w:fldCharType="begin"/>
      </w:r>
      <w:r>
        <w:rPr>
          <w:lang w:eastAsia="zh-CN"/>
        </w:rPr>
        <w:instrText xml:space="preserve">HYPERLINK \l "bookmark25" \o "当前文件" \h</w:instrText>
      </w:r>
      <w:r>
        <w:fldChar w:fldCharType="separate"/>
      </w:r>
      <w:r>
        <w:rPr>
          <w:sz w:val="24"/>
          <w:vertAlign w:val="superscript"/>
          <w:lang w:eastAsia="zh-CN"/>
        </w:rPr>
        <w:t>9</w:t>
      </w:r>
      <w:r>
        <w:fldChar w:fldCharType="end"/>
      </w:r>
    </w:p>
    <w:p w14:paraId="39F6A16C">
      <w:pPr>
        <w:snapToGrid w:val="0"/>
        <w:spacing w:before="120" w:beforeLines="50" w:line="400" w:lineRule="exact"/>
        <w:jc w:val="both"/>
        <w:rPr>
          <w:sz w:val="24"/>
          <w:lang w:eastAsia="zh-CN"/>
        </w:rPr>
      </w:pPr>
    </w:p>
    <w:p w14:paraId="459B7F54">
      <w:pPr>
        <w:pStyle w:val="15"/>
        <w:spacing w:before="120" w:after="120" w:line="400" w:lineRule="exact"/>
        <w:rPr>
          <w:lang w:eastAsia="zh-CN"/>
        </w:rPr>
      </w:pPr>
      <w:bookmarkStart w:id="29" w:name="_Toc97318167"/>
      <w:bookmarkStart w:id="30" w:name="bookmark23"/>
      <w:bookmarkStart w:id="31" w:name="bookmark24"/>
      <w:r>
        <w:rPr>
          <w:rFonts w:hint="eastAsia"/>
          <w:lang w:eastAsia="zh-CN"/>
        </w:rPr>
        <w:t>V</w:t>
      </w:r>
      <w:r>
        <w:rPr>
          <w:lang w:eastAsia="zh-CN"/>
        </w:rPr>
        <w:t>I.</w:t>
      </w:r>
      <w:r>
        <w:rPr>
          <w:lang w:eastAsia="zh-CN"/>
        </w:rPr>
        <w:tab/>
      </w:r>
      <w:r>
        <w:rPr>
          <w:lang w:eastAsia="zh-CN"/>
        </w:rPr>
        <w:t>进一步说明</w:t>
      </w:r>
      <w:bookmarkEnd w:id="29"/>
      <w:bookmarkEnd w:id="30"/>
      <w:bookmarkEnd w:id="31"/>
    </w:p>
    <w:p w14:paraId="7970A436">
      <w:pPr>
        <w:snapToGrid w:val="0"/>
        <w:spacing w:before="120" w:beforeLines="50" w:line="400" w:lineRule="exact"/>
        <w:jc w:val="both"/>
        <w:rPr>
          <w:sz w:val="24"/>
          <w:lang w:eastAsia="zh-CN"/>
        </w:rPr>
      </w:pPr>
      <w:r>
        <w:rPr>
          <w:sz w:val="24"/>
          <w:lang w:eastAsia="zh-CN"/>
        </w:rPr>
        <w:t>FDA正在积极努力使其人类受试者保护法规与《治愈法案》相一致。我们认识到，在此过渡期间，将2018年要求的其他规定应用于FDA监管的临床研究可能存在问题。若有要求</w:t>
      </w:r>
      <w:r>
        <w:rPr>
          <w:rFonts w:hint="eastAsia"/>
          <w:sz w:val="24"/>
          <w:lang w:eastAsia="zh-CN"/>
        </w:rPr>
        <w:t>，</w:t>
      </w:r>
      <w:r>
        <w:rPr>
          <w:sz w:val="24"/>
          <w:lang w:eastAsia="zh-CN"/>
        </w:rPr>
        <w:t>进一步澄清的问题和/或意见可随时提交给本指南的公共档案，FDA将考虑在必要时发布其他指南以</w:t>
      </w:r>
      <w:r>
        <w:rPr>
          <w:rFonts w:hint="eastAsia"/>
          <w:sz w:val="24"/>
          <w:lang w:eastAsia="zh-CN"/>
        </w:rPr>
        <w:t>明确</w:t>
      </w:r>
      <w:r>
        <w:rPr>
          <w:sz w:val="24"/>
          <w:lang w:eastAsia="zh-CN"/>
        </w:rPr>
        <w:t>其他规定。</w:t>
      </w:r>
    </w:p>
    <w:p w14:paraId="71589EA1">
      <w:pPr>
        <w:snapToGrid w:val="0"/>
        <w:spacing w:before="120" w:beforeLines="50"/>
        <w:jc w:val="both"/>
        <w:rPr>
          <w:sz w:val="18"/>
          <w:szCs w:val="18"/>
          <w:lang w:eastAsia="zh-CN"/>
        </w:rPr>
      </w:pPr>
      <w:bookmarkStart w:id="32" w:name="bookmark25"/>
    </w:p>
    <w:p w14:paraId="6FCA7FCB">
      <w:pPr>
        <w:snapToGrid w:val="0"/>
        <w:spacing w:before="120" w:beforeLines="50"/>
        <w:jc w:val="both"/>
        <w:rPr>
          <w:sz w:val="18"/>
          <w:szCs w:val="18"/>
          <w:lang w:eastAsia="zh-CN"/>
        </w:rPr>
      </w:pPr>
    </w:p>
    <w:p w14:paraId="469591F2">
      <w:pPr>
        <w:snapToGrid w:val="0"/>
        <w:spacing w:before="120" w:beforeLines="50"/>
        <w:jc w:val="both"/>
        <w:rPr>
          <w:sz w:val="18"/>
          <w:szCs w:val="18"/>
          <w:lang w:eastAsia="zh-CN"/>
        </w:rPr>
      </w:pPr>
    </w:p>
    <w:p w14:paraId="730CCCD9">
      <w:pPr>
        <w:snapToGrid w:val="0"/>
        <w:spacing w:before="120" w:beforeLines="50"/>
        <w:jc w:val="both"/>
        <w:rPr>
          <w:sz w:val="18"/>
          <w:szCs w:val="18"/>
          <w:lang w:eastAsia="zh-CN"/>
        </w:rPr>
      </w:pPr>
    </w:p>
    <w:p w14:paraId="4D1B9C2A">
      <w:pPr>
        <w:snapToGrid w:val="0"/>
        <w:spacing w:before="120" w:beforeLines="50"/>
        <w:jc w:val="both"/>
        <w:rPr>
          <w:sz w:val="18"/>
          <w:szCs w:val="18"/>
          <w:lang w:eastAsia="zh-CN"/>
        </w:rPr>
      </w:pPr>
    </w:p>
    <w:p w14:paraId="3742D080">
      <w:pPr>
        <w:snapToGrid w:val="0"/>
        <w:spacing w:before="120" w:beforeLines="50"/>
        <w:jc w:val="both"/>
        <w:rPr>
          <w:sz w:val="18"/>
          <w:szCs w:val="18"/>
          <w:lang w:eastAsia="zh-CN"/>
        </w:rPr>
      </w:pPr>
    </w:p>
    <w:p w14:paraId="19457ECB">
      <w:pPr>
        <w:snapToGrid w:val="0"/>
        <w:spacing w:before="120" w:beforeLines="50"/>
        <w:jc w:val="both"/>
        <w:rPr>
          <w:sz w:val="18"/>
          <w:szCs w:val="18"/>
          <w:lang w:eastAsia="zh-CN"/>
        </w:rPr>
      </w:pPr>
    </w:p>
    <w:p w14:paraId="1A1DDF61">
      <w:pPr>
        <w:snapToGrid w:val="0"/>
        <w:spacing w:before="120" w:beforeLines="50"/>
        <w:jc w:val="both"/>
        <w:rPr>
          <w:sz w:val="18"/>
          <w:szCs w:val="18"/>
          <w:lang w:eastAsia="zh-CN"/>
        </w:rPr>
      </w:pPr>
    </w:p>
    <w:p w14:paraId="070F5778">
      <w:pPr>
        <w:snapToGrid w:val="0"/>
        <w:spacing w:before="120" w:beforeLines="50"/>
        <w:jc w:val="both"/>
        <w:rPr>
          <w:sz w:val="18"/>
          <w:szCs w:val="18"/>
          <w:lang w:eastAsia="zh-CN"/>
        </w:rPr>
      </w:pPr>
    </w:p>
    <w:p w14:paraId="729B5827">
      <w:pPr>
        <w:snapToGrid w:val="0"/>
        <w:spacing w:before="120" w:beforeLines="50"/>
        <w:jc w:val="both"/>
        <w:rPr>
          <w:sz w:val="18"/>
          <w:szCs w:val="18"/>
          <w:lang w:eastAsia="zh-CN"/>
        </w:rPr>
      </w:pPr>
    </w:p>
    <w:p w14:paraId="4C91CDE6">
      <w:pPr>
        <w:snapToGrid w:val="0"/>
        <w:spacing w:before="120" w:beforeLines="50"/>
        <w:jc w:val="both"/>
        <w:rPr>
          <w:sz w:val="18"/>
          <w:szCs w:val="18"/>
          <w:lang w:eastAsia="zh-CN"/>
        </w:rPr>
      </w:pPr>
    </w:p>
    <w:p w14:paraId="1094C29B">
      <w:pPr>
        <w:snapToGrid w:val="0"/>
        <w:spacing w:before="120" w:beforeLines="50"/>
        <w:jc w:val="both"/>
        <w:rPr>
          <w:sz w:val="18"/>
          <w:szCs w:val="18"/>
          <w:lang w:eastAsia="zh-CN"/>
        </w:rPr>
      </w:pPr>
    </w:p>
    <w:p w14:paraId="35FA63D0">
      <w:pPr>
        <w:snapToGrid w:val="0"/>
        <w:spacing w:before="120" w:beforeLines="50"/>
        <w:jc w:val="both"/>
        <w:rPr>
          <w:sz w:val="18"/>
          <w:szCs w:val="18"/>
          <w:lang w:eastAsia="zh-CN"/>
        </w:rPr>
      </w:pPr>
    </w:p>
    <w:p w14:paraId="61D4028B">
      <w:pPr>
        <w:snapToGrid w:val="0"/>
        <w:spacing w:before="120" w:beforeLines="50"/>
        <w:jc w:val="both"/>
        <w:rPr>
          <w:sz w:val="18"/>
          <w:szCs w:val="18"/>
          <w:lang w:eastAsia="zh-CN"/>
        </w:rPr>
      </w:pPr>
    </w:p>
    <w:p w14:paraId="1D72827D">
      <w:pPr>
        <w:snapToGrid w:val="0"/>
        <w:spacing w:before="120" w:beforeLines="50"/>
        <w:jc w:val="both"/>
        <w:rPr>
          <w:sz w:val="18"/>
          <w:szCs w:val="18"/>
          <w:lang w:eastAsia="zh-CN"/>
        </w:rPr>
      </w:pPr>
    </w:p>
    <w:p w14:paraId="4D04AFC7">
      <w:pPr>
        <w:snapToGrid w:val="0"/>
        <w:spacing w:before="120" w:beforeLines="50"/>
        <w:jc w:val="both"/>
        <w:rPr>
          <w:sz w:val="18"/>
          <w:szCs w:val="18"/>
          <w:lang w:eastAsia="zh-CN"/>
        </w:rPr>
      </w:pPr>
    </w:p>
    <w:p w14:paraId="47D8523D">
      <w:pPr>
        <w:snapToGrid w:val="0"/>
        <w:spacing w:before="120" w:beforeLines="50"/>
        <w:rPr>
          <w:sz w:val="18"/>
          <w:szCs w:val="18"/>
        </w:rPr>
      </w:pPr>
      <w:r>
        <w:rPr>
          <w:sz w:val="18"/>
          <w:szCs w:val="18"/>
          <w:lang w:eastAsia="zh-CN"/>
        </w:rPr>
        <w:t>____________________</w:t>
      </w:r>
    </w:p>
    <w:p w14:paraId="50D7CC0B">
      <w:pPr>
        <w:snapToGrid w:val="0"/>
        <w:spacing w:before="120" w:beforeLines="50"/>
        <w:rPr>
          <w:sz w:val="18"/>
          <w:szCs w:val="18"/>
        </w:rPr>
      </w:pPr>
      <w:r>
        <w:rPr>
          <w:sz w:val="18"/>
          <w:szCs w:val="18"/>
          <w:vertAlign w:val="superscript"/>
          <w:lang w:eastAsia="zh-CN"/>
        </w:rPr>
        <w:t>9</w:t>
      </w:r>
      <w:r>
        <w:rPr>
          <w:sz w:val="18"/>
          <w:szCs w:val="18"/>
          <w:lang w:eastAsia="zh-CN"/>
        </w:rPr>
        <w:t>如需更多信息，参见FDA的</w:t>
      </w:r>
      <w:r>
        <w:rPr>
          <w:rFonts w:ascii="宋体" w:hAnsi="宋体"/>
          <w:sz w:val="18"/>
          <w:szCs w:val="18"/>
          <w:lang w:eastAsia="zh-CN"/>
        </w:rPr>
        <w:t>“</w:t>
      </w:r>
      <w:r>
        <w:rPr>
          <w:sz w:val="18"/>
          <w:szCs w:val="18"/>
          <w:lang w:eastAsia="zh-CN"/>
        </w:rPr>
        <w:t>伦理审查委员会、临床研究者和申办者指南；伦理审查委员会在临床研究批准后继续审查，</w:t>
      </w:r>
      <w:r>
        <w:rPr>
          <w:rFonts w:ascii="宋体" w:hAnsi="宋体"/>
          <w:sz w:val="18"/>
          <w:szCs w:val="18"/>
          <w:lang w:eastAsia="zh-CN"/>
        </w:rPr>
        <w:t>”</w:t>
      </w:r>
      <w:r>
        <w:rPr>
          <w:sz w:val="18"/>
          <w:szCs w:val="18"/>
          <w:lang w:eastAsia="zh-CN"/>
        </w:rPr>
        <w:t>（2012年2月），</w:t>
      </w:r>
      <w:r>
        <w:fldChar w:fldCharType="begin"/>
      </w:r>
      <w:r>
        <w:instrText xml:space="preserve">HYPERLINK "https://www.fda.gov/downloads/regulatoryinformation/guidances/ucm294558.pdf"</w:instrText>
      </w:r>
      <w:r>
        <w:fldChar w:fldCharType="separate"/>
      </w:r>
      <w:r>
        <w:rPr>
          <w:rStyle w:val="11"/>
          <w:color w:val="0000FF"/>
          <w:sz w:val="18"/>
          <w:szCs w:val="18"/>
          <w:u w:val="none"/>
          <w:lang w:eastAsia="zh-CN"/>
        </w:rPr>
        <w:t>（</w:t>
      </w:r>
      <w:r>
        <w:rPr>
          <w:rStyle w:val="11"/>
          <w:color w:val="0000FF"/>
          <w:sz w:val="18"/>
          <w:szCs w:val="18"/>
          <w:lang w:eastAsia="zh-CN"/>
        </w:rPr>
        <w:t>https://www.fda.gov/downloads/regulatoryinformation/guidances/ucm294558.pdf</w:t>
      </w:r>
      <w:r>
        <w:rPr>
          <w:rStyle w:val="11"/>
          <w:color w:val="0000FF"/>
          <w:sz w:val="18"/>
          <w:szCs w:val="18"/>
          <w:u w:val="none"/>
          <w:lang w:eastAsia="zh-CN"/>
        </w:rPr>
        <w:t>）</w:t>
      </w:r>
      <w:r>
        <w:fldChar w:fldCharType="end"/>
      </w:r>
      <w:r>
        <w:rPr>
          <w:sz w:val="18"/>
          <w:szCs w:val="18"/>
          <w:lang w:eastAsia="zh-CN"/>
        </w:rPr>
        <w:t>。</w:t>
      </w:r>
      <w:bookmarkEnd w:id="32"/>
    </w:p>
    <w:p w14:paraId="01BBB2B1">
      <w:pPr>
        <w:snapToGrid w:val="0"/>
        <w:spacing w:before="120" w:beforeLines="50"/>
      </w:pPr>
      <w:r>
        <w:rPr>
          <w:lang w:eastAsia="zh-CN"/>
        </w:rPr>
        <w:br w:type="page"/>
      </w:r>
    </w:p>
    <w:p w14:paraId="18C2EAF9">
      <w:pPr>
        <w:pStyle w:val="15"/>
        <w:spacing w:before="120" w:after="120" w:line="400" w:lineRule="exact"/>
        <w:rPr>
          <w:lang w:eastAsia="zh-CN"/>
        </w:rPr>
      </w:pPr>
      <w:bookmarkStart w:id="33" w:name="_Toc97318168"/>
      <w:bookmarkStart w:id="34" w:name="bookmark26"/>
      <w:r>
        <w:rPr>
          <w:lang w:eastAsia="zh-CN"/>
        </w:rPr>
        <w:t>附录：</w:t>
      </w:r>
      <w:bookmarkEnd w:id="33"/>
      <w:r>
        <w:rPr>
          <w:lang w:eastAsia="zh-CN"/>
        </w:rPr>
        <w:t xml:space="preserve"> </w:t>
      </w:r>
    </w:p>
    <w:p w14:paraId="08BD0E8E">
      <w:pPr>
        <w:snapToGrid w:val="0"/>
        <w:spacing w:before="120" w:beforeLines="50" w:line="400" w:lineRule="exact"/>
        <w:jc w:val="both"/>
        <w:rPr>
          <w:sz w:val="28"/>
          <w:szCs w:val="28"/>
          <w:lang w:eastAsia="zh-CN"/>
        </w:rPr>
      </w:pPr>
      <w:r>
        <w:rPr>
          <w:rFonts w:hint="eastAsia"/>
          <w:b/>
          <w:bCs/>
          <w:color w:val="000000" w:themeColor="text1"/>
          <w:sz w:val="28"/>
          <w:szCs w:val="28"/>
          <w:lang w:eastAsia="zh-CN"/>
        </w:rPr>
        <w:t>从</w:t>
      </w:r>
      <w:r>
        <w:rPr>
          <w:b/>
          <w:bCs/>
          <w:sz w:val="28"/>
          <w:szCs w:val="28"/>
          <w:lang w:eastAsia="zh-CN"/>
        </w:rPr>
        <w:t>2018年要求选择的部分知情同意书条款</w:t>
      </w:r>
      <w:bookmarkEnd w:id="34"/>
      <w:bookmarkStart w:id="35" w:name="bookmark27"/>
      <w:bookmarkEnd w:id="35"/>
    </w:p>
    <w:p w14:paraId="57E41BA0">
      <w:pPr>
        <w:tabs>
          <w:tab w:val="left" w:pos="567"/>
        </w:tabs>
        <w:snapToGrid w:val="0"/>
        <w:spacing w:before="120" w:beforeLines="50" w:line="400" w:lineRule="exact"/>
        <w:ind w:left="646" w:hanging="646" w:hangingChars="268"/>
        <w:jc w:val="both"/>
        <w:rPr>
          <w:sz w:val="24"/>
          <w:lang w:eastAsia="zh-CN"/>
        </w:rPr>
      </w:pPr>
      <w:bookmarkStart w:id="36" w:name="bookmark28"/>
      <w:r>
        <w:rPr>
          <w:b/>
          <w:bCs/>
          <w:sz w:val="24"/>
          <w:lang w:eastAsia="zh-CN"/>
        </w:rPr>
        <w:t>A.</w:t>
      </w:r>
      <w:r>
        <w:rPr>
          <w:b/>
          <w:bCs/>
          <w:sz w:val="24"/>
          <w:lang w:eastAsia="zh-CN"/>
        </w:rPr>
        <w:tab/>
      </w:r>
      <w:r>
        <w:rPr>
          <w:b/>
          <w:bCs/>
          <w:sz w:val="24"/>
          <w:lang w:eastAsia="zh-CN"/>
        </w:rPr>
        <w:t>知情同意书一般要求</w:t>
      </w:r>
      <w:bookmarkEnd w:id="36"/>
    </w:p>
    <w:p w14:paraId="6504B23F">
      <w:pPr>
        <w:snapToGrid w:val="0"/>
        <w:spacing w:before="120" w:beforeLines="50" w:line="400" w:lineRule="exact"/>
        <w:jc w:val="both"/>
        <w:rPr>
          <w:sz w:val="24"/>
          <w:lang w:eastAsia="zh-CN"/>
        </w:rPr>
      </w:pPr>
      <w:r>
        <w:rPr>
          <w:sz w:val="24"/>
          <w:lang w:eastAsia="zh-CN"/>
        </w:rPr>
        <w:t>2018年要求包含知情同意书的新的一般要求，这些要求涉及知情同意</w:t>
      </w:r>
      <w:r>
        <w:rPr>
          <w:rFonts w:hint="eastAsia"/>
          <w:sz w:val="24"/>
          <w:lang w:eastAsia="zh-CN"/>
        </w:rPr>
        <w:t>书</w:t>
      </w:r>
      <w:r>
        <w:rPr>
          <w:sz w:val="24"/>
          <w:lang w:eastAsia="zh-CN"/>
        </w:rPr>
        <w:t>和知情同意过程中所包含的信息的内容、组织、</w:t>
      </w:r>
      <w:r>
        <w:rPr>
          <w:rFonts w:hint="eastAsia"/>
          <w:sz w:val="24"/>
          <w:lang w:eastAsia="zh-CN"/>
        </w:rPr>
        <w:t>报告方式</w:t>
      </w:r>
      <w:r>
        <w:rPr>
          <w:sz w:val="24"/>
          <w:lang w:eastAsia="zh-CN"/>
        </w:rPr>
        <w:t>，以方便预期受试者决定是否参与研究。</w:t>
      </w:r>
    </w:p>
    <w:p w14:paraId="00371506">
      <w:pPr>
        <w:snapToGrid w:val="0"/>
        <w:spacing w:before="120" w:beforeLines="50" w:line="400" w:lineRule="exact"/>
        <w:jc w:val="both"/>
        <w:rPr>
          <w:sz w:val="24"/>
          <w:lang w:eastAsia="zh-CN"/>
        </w:rPr>
      </w:pPr>
      <w:r>
        <w:rPr>
          <w:sz w:val="24"/>
          <w:lang w:eastAsia="zh-CN"/>
        </w:rPr>
        <w:t>新的或包含新信息的规定如下：</w:t>
      </w:r>
    </w:p>
    <w:p w14:paraId="5C2E3D80">
      <w:pPr>
        <w:snapToGrid w:val="0"/>
        <w:spacing w:before="120" w:beforeLines="50" w:line="400" w:lineRule="exact"/>
        <w:ind w:left="567" w:leftChars="270"/>
        <w:jc w:val="both"/>
        <w:rPr>
          <w:sz w:val="24"/>
          <w:lang w:eastAsia="zh-CN"/>
        </w:rPr>
      </w:pPr>
      <w:r>
        <w:rPr>
          <w:b/>
          <w:bCs/>
          <w:sz w:val="24"/>
          <w:lang w:eastAsia="zh-CN"/>
        </w:rPr>
        <w:t>46.116(a)(4)</w:t>
      </w:r>
      <w:r>
        <w:rPr>
          <w:sz w:val="24"/>
          <w:lang w:eastAsia="zh-CN"/>
        </w:rPr>
        <w:t xml:space="preserve"> 须向潜在受试者或法定授权代表提供正常人希望获得的信息，以便就是否参与研究做出明智的决定，并提供讨论此类信息的机会。</w:t>
      </w:r>
    </w:p>
    <w:p w14:paraId="74FA4BCA">
      <w:pPr>
        <w:snapToGrid w:val="0"/>
        <w:spacing w:before="120" w:beforeLines="50" w:line="400" w:lineRule="exact"/>
        <w:ind w:left="567" w:leftChars="270"/>
        <w:jc w:val="both"/>
        <w:rPr>
          <w:sz w:val="24"/>
          <w:lang w:eastAsia="zh-CN"/>
        </w:rPr>
      </w:pPr>
      <w:r>
        <w:rPr>
          <w:b/>
          <w:bCs/>
          <w:sz w:val="24"/>
          <w:lang w:eastAsia="zh-CN"/>
        </w:rPr>
        <w:t>46.116(a)(5)(i)</w:t>
      </w:r>
      <w:r>
        <w:rPr>
          <w:sz w:val="24"/>
          <w:lang w:eastAsia="zh-CN"/>
        </w:rPr>
        <w:t xml:space="preserve"> 知情同意书首先须简明扼要地介绍关键信息，这些信息最有可能帮助潜在受试者或合法授权代表了解人们参与或不参与研究的原因。知情同意书的该部分内容须以便于理解的方式组织和呈现。</w:t>
      </w:r>
    </w:p>
    <w:p w14:paraId="413A6903">
      <w:pPr>
        <w:snapToGrid w:val="0"/>
        <w:spacing w:before="120" w:beforeLines="50" w:line="400" w:lineRule="exact"/>
        <w:ind w:left="567" w:leftChars="270"/>
        <w:jc w:val="both"/>
        <w:rPr>
          <w:sz w:val="24"/>
          <w:lang w:eastAsia="zh-CN"/>
        </w:rPr>
      </w:pPr>
      <w:r>
        <w:rPr>
          <w:b/>
          <w:bCs/>
          <w:sz w:val="24"/>
          <w:lang w:eastAsia="zh-CN"/>
        </w:rPr>
        <w:t>46.116(a)(5)(ii)</w:t>
      </w:r>
      <w:r>
        <w:rPr>
          <w:sz w:val="24"/>
          <w:lang w:eastAsia="zh-CN"/>
        </w:rPr>
        <w:t xml:space="preserve"> 知情同意书作为一个整体，须提供与研究有关的足够详细的信息，而且须以一种不只是提供独立事实清单的方式组织和呈现，而是有助于潜在受试者或合法授权代表了解人们参与或不参与研究的原因。</w:t>
      </w:r>
    </w:p>
    <w:p w14:paraId="78DB6FD4">
      <w:pPr>
        <w:snapToGrid w:val="0"/>
        <w:spacing w:before="120" w:beforeLines="50" w:line="400" w:lineRule="exact"/>
        <w:ind w:left="567" w:leftChars="270"/>
        <w:jc w:val="both"/>
        <w:rPr>
          <w:sz w:val="24"/>
          <w:lang w:eastAsia="zh-CN"/>
        </w:rPr>
      </w:pPr>
      <w:r>
        <w:rPr>
          <w:b/>
          <w:bCs/>
          <w:sz w:val="24"/>
          <w:lang w:eastAsia="zh-CN"/>
        </w:rPr>
        <w:t>46.117(b)(2)</w:t>
      </w:r>
      <w:r>
        <w:rPr>
          <w:sz w:val="24"/>
          <w:lang w:eastAsia="zh-CN"/>
        </w:rPr>
        <w:t xml:space="preserve"> 提供了一份简短的书面知情同意书，说明45 CFR 46.116要求的知情同意书的必要要素已口头提交给受试者或受试者的合法授权代表，并且45 CFR 46.116(a)(5)(i)要求的关键信息先提供给受试者，然后再提供其他信息（如有）。</w:t>
      </w:r>
    </w:p>
    <w:p w14:paraId="155E0CC2">
      <w:pPr>
        <w:tabs>
          <w:tab w:val="left" w:pos="567"/>
        </w:tabs>
        <w:snapToGrid w:val="0"/>
        <w:spacing w:before="120" w:beforeLines="50" w:line="400" w:lineRule="exact"/>
        <w:ind w:left="646" w:hanging="646" w:hangingChars="268"/>
        <w:jc w:val="both"/>
        <w:rPr>
          <w:sz w:val="24"/>
          <w:lang w:eastAsia="zh-CN"/>
        </w:rPr>
      </w:pPr>
      <w:r>
        <w:rPr>
          <w:b/>
          <w:bCs/>
          <w:sz w:val="24"/>
          <w:lang w:eastAsia="zh-CN"/>
        </w:rPr>
        <w:t>B.</w:t>
      </w:r>
      <w:r>
        <w:rPr>
          <w:b/>
          <w:bCs/>
          <w:sz w:val="24"/>
          <w:lang w:eastAsia="zh-CN"/>
        </w:rPr>
        <w:tab/>
      </w:r>
      <w:r>
        <w:rPr>
          <w:b/>
          <w:bCs/>
          <w:sz w:val="24"/>
          <w:lang w:eastAsia="zh-CN"/>
        </w:rPr>
        <w:t>知情同意书的基本和附加要素</w:t>
      </w:r>
    </w:p>
    <w:p w14:paraId="541C21F4">
      <w:pPr>
        <w:snapToGrid w:val="0"/>
        <w:spacing w:before="120" w:beforeLines="50" w:line="400" w:lineRule="exact"/>
        <w:jc w:val="both"/>
        <w:rPr>
          <w:sz w:val="24"/>
          <w:lang w:eastAsia="zh-CN"/>
        </w:rPr>
      </w:pPr>
      <w:r>
        <w:rPr>
          <w:sz w:val="24"/>
          <w:lang w:eastAsia="zh-CN"/>
        </w:rPr>
        <w:t>2018年要求包含一项新的基本要素和三项附加的知情同意书要素，如下所示：</w:t>
      </w:r>
    </w:p>
    <w:p w14:paraId="564F5F50">
      <w:pPr>
        <w:snapToGrid w:val="0"/>
        <w:spacing w:before="120" w:beforeLines="50"/>
        <w:jc w:val="both"/>
        <w:rPr>
          <w:lang w:eastAsia="zh-CN"/>
        </w:rPr>
      </w:pPr>
      <w:r>
        <w:rPr>
          <w:lang w:eastAsia="zh-CN"/>
        </w:rPr>
        <w:br w:type="page"/>
      </w:r>
    </w:p>
    <w:p w14:paraId="3E085974">
      <w:pPr>
        <w:tabs>
          <w:tab w:val="left" w:pos="567"/>
        </w:tabs>
        <w:snapToGrid w:val="0"/>
        <w:spacing w:before="120" w:beforeLines="50" w:line="400" w:lineRule="exact"/>
        <w:ind w:left="567" w:leftChars="269" w:hanging="2"/>
        <w:jc w:val="both"/>
        <w:rPr>
          <w:sz w:val="24"/>
        </w:rPr>
      </w:pPr>
      <w:bookmarkStart w:id="37" w:name="bookmark29"/>
      <w:r>
        <w:rPr>
          <w:b/>
          <w:bCs/>
          <w:sz w:val="24"/>
          <w:lang w:eastAsia="zh-CN"/>
        </w:rPr>
        <w:t>45 CFR 46.116(b)(9)中的新基本要素</w:t>
      </w:r>
      <w:bookmarkEnd w:id="37"/>
    </w:p>
    <w:p w14:paraId="615C855D">
      <w:pPr>
        <w:snapToGrid w:val="0"/>
        <w:spacing w:before="120" w:beforeLines="50" w:line="400" w:lineRule="exact"/>
        <w:ind w:left="567" w:leftChars="270"/>
        <w:jc w:val="both"/>
        <w:rPr>
          <w:sz w:val="24"/>
          <w:lang w:eastAsia="zh-CN"/>
        </w:rPr>
      </w:pPr>
      <w:r>
        <w:rPr>
          <w:sz w:val="24"/>
          <w:lang w:eastAsia="zh-CN"/>
        </w:rPr>
        <w:t>下列任何涉及收集可识别个人信息或可识别生物样本研究的一项声明：</w:t>
      </w:r>
      <w:r>
        <w:fldChar w:fldCharType="begin"/>
      </w:r>
      <w:r>
        <w:rPr>
          <w:lang w:eastAsia="zh-CN"/>
        </w:rPr>
        <w:instrText xml:space="preserve">HYPERLINK \l "bookmark31" \o "Current Document" \h</w:instrText>
      </w:r>
      <w:r>
        <w:fldChar w:fldCharType="separate"/>
      </w:r>
      <w:r>
        <w:rPr>
          <w:sz w:val="24"/>
          <w:vertAlign w:val="superscript"/>
          <w:lang w:eastAsia="zh-CN"/>
        </w:rPr>
        <w:t>10</w:t>
      </w:r>
      <w:r>
        <w:fldChar w:fldCharType="end"/>
      </w:r>
    </w:p>
    <w:p w14:paraId="357532E7">
      <w:pPr>
        <w:tabs>
          <w:tab w:val="left" w:pos="1147"/>
        </w:tabs>
        <w:snapToGrid w:val="0"/>
        <w:spacing w:before="120" w:beforeLines="50" w:line="400" w:lineRule="exact"/>
        <w:ind w:left="567" w:leftChars="270"/>
        <w:jc w:val="both"/>
        <w:rPr>
          <w:sz w:val="24"/>
          <w:lang w:eastAsia="zh-CN"/>
        </w:rPr>
      </w:pPr>
      <w:r>
        <w:rPr>
          <w:sz w:val="24"/>
          <w:lang w:eastAsia="zh-CN"/>
        </w:rPr>
        <w:t>(i) 声明可能会从可识别个人信息或可识别生物样本中删除标识，并且在删除后，该信息或生物样本可用于未来研究或分发给另一位研究者，以进行未来研究，而无需获得受试者或合法授权代表的额外知情同意书，如果可能；或</w:t>
      </w:r>
    </w:p>
    <w:p w14:paraId="6C2E93E5">
      <w:pPr>
        <w:tabs>
          <w:tab w:val="left" w:pos="1178"/>
        </w:tabs>
        <w:snapToGrid w:val="0"/>
        <w:spacing w:before="120" w:beforeLines="50" w:line="400" w:lineRule="exact"/>
        <w:ind w:left="567" w:leftChars="270"/>
        <w:jc w:val="both"/>
        <w:rPr>
          <w:sz w:val="24"/>
          <w:lang w:eastAsia="zh-CN"/>
        </w:rPr>
      </w:pPr>
      <w:r>
        <w:rPr>
          <w:sz w:val="24"/>
          <w:lang w:eastAsia="zh-CN"/>
        </w:rPr>
        <w:t>(ii) 声明作为研究的一部分收集的受试者信息或生物样本，即使标识删除，也不会用于或分发用于未来研究。</w:t>
      </w:r>
    </w:p>
    <w:p w14:paraId="51EC9913">
      <w:pPr>
        <w:tabs>
          <w:tab w:val="left" w:pos="567"/>
        </w:tabs>
        <w:snapToGrid w:val="0"/>
        <w:spacing w:before="120" w:beforeLines="50" w:line="400" w:lineRule="exact"/>
        <w:ind w:left="567" w:leftChars="269" w:hanging="2"/>
        <w:jc w:val="both"/>
        <w:rPr>
          <w:b/>
          <w:bCs/>
          <w:sz w:val="24"/>
          <w:lang w:eastAsia="zh-CN"/>
        </w:rPr>
      </w:pPr>
      <w:bookmarkStart w:id="38" w:name="bookmark30"/>
      <w:r>
        <w:rPr>
          <w:b/>
          <w:bCs/>
          <w:sz w:val="24"/>
          <w:lang w:eastAsia="zh-CN"/>
        </w:rPr>
        <w:t>45 CFR 46.116(c)(7)-(9)的新附加要素</w:t>
      </w:r>
      <w:bookmarkEnd w:id="38"/>
    </w:p>
    <w:p w14:paraId="7CB9427E">
      <w:pPr>
        <w:snapToGrid w:val="0"/>
        <w:spacing w:before="120" w:beforeLines="50" w:line="400" w:lineRule="exact"/>
        <w:ind w:left="567" w:leftChars="270"/>
        <w:jc w:val="both"/>
        <w:rPr>
          <w:sz w:val="24"/>
          <w:lang w:eastAsia="zh-CN"/>
        </w:rPr>
      </w:pPr>
      <w:r>
        <w:rPr>
          <w:b/>
          <w:bCs/>
          <w:sz w:val="24"/>
          <w:lang w:eastAsia="zh-CN"/>
        </w:rPr>
        <w:t xml:space="preserve">46.116(c)(7) </w:t>
      </w:r>
      <w:r>
        <w:rPr>
          <w:sz w:val="24"/>
          <w:lang w:eastAsia="zh-CN"/>
        </w:rPr>
        <w:t>声明受试者的生物样本（即使已删除标识）可用于商业利润以及受试者是否会对商业利润分红；</w:t>
      </w:r>
    </w:p>
    <w:p w14:paraId="6A38DEBF">
      <w:pPr>
        <w:snapToGrid w:val="0"/>
        <w:spacing w:before="120" w:beforeLines="50" w:line="400" w:lineRule="exact"/>
        <w:ind w:left="567" w:leftChars="270"/>
        <w:jc w:val="both"/>
        <w:rPr>
          <w:sz w:val="24"/>
          <w:lang w:eastAsia="zh-CN"/>
        </w:rPr>
      </w:pPr>
      <w:r>
        <w:rPr>
          <w:b/>
          <w:bCs/>
          <w:sz w:val="24"/>
          <w:lang w:eastAsia="zh-CN"/>
        </w:rPr>
        <w:t>46.116(c)(8)</w:t>
      </w:r>
      <w:r>
        <w:rPr>
          <w:sz w:val="24"/>
          <w:lang w:eastAsia="zh-CN"/>
        </w:rPr>
        <w:t xml:space="preserve"> 声明是否向受试者披露临床相关研究结果（包括个人研究结果）以及如果披露，在何种条件下披露；及</w:t>
      </w:r>
    </w:p>
    <w:p w14:paraId="22C632B6">
      <w:pPr>
        <w:snapToGrid w:val="0"/>
        <w:spacing w:before="120" w:beforeLines="50" w:line="400" w:lineRule="exact"/>
        <w:ind w:left="567" w:leftChars="270"/>
        <w:jc w:val="both"/>
        <w:rPr>
          <w:sz w:val="24"/>
          <w:lang w:eastAsia="zh-CN"/>
        </w:rPr>
      </w:pPr>
      <w:r>
        <w:rPr>
          <w:b/>
          <w:bCs/>
          <w:sz w:val="24"/>
          <w:lang w:eastAsia="zh-CN"/>
        </w:rPr>
        <w:t>46.116(c)(9)</w:t>
      </w:r>
      <w:r>
        <w:rPr>
          <w:sz w:val="24"/>
          <w:lang w:eastAsia="zh-CN"/>
        </w:rPr>
        <w:t xml:space="preserve"> 声明对于涉及生物样本的研究，研究是否会（如果已知）或可能包括全基因组测序（即，对人类种系或体细胞样本进行测序，以生成该样本的基因组或外显子组序列）。</w:t>
      </w:r>
    </w:p>
    <w:p w14:paraId="2894241F">
      <w:pPr>
        <w:snapToGrid w:val="0"/>
        <w:spacing w:before="120" w:beforeLines="50"/>
        <w:jc w:val="both"/>
        <w:rPr>
          <w:sz w:val="18"/>
          <w:szCs w:val="18"/>
          <w:lang w:eastAsia="zh-CN"/>
        </w:rPr>
      </w:pPr>
      <w:bookmarkStart w:id="39" w:name="bookmark31"/>
    </w:p>
    <w:p w14:paraId="563A6EFC">
      <w:pPr>
        <w:snapToGrid w:val="0"/>
        <w:spacing w:before="120" w:beforeLines="50"/>
        <w:jc w:val="both"/>
        <w:rPr>
          <w:sz w:val="18"/>
          <w:szCs w:val="18"/>
          <w:lang w:eastAsia="zh-CN"/>
        </w:rPr>
      </w:pPr>
    </w:p>
    <w:p w14:paraId="1AC09C74">
      <w:pPr>
        <w:snapToGrid w:val="0"/>
        <w:spacing w:before="120" w:beforeLines="50"/>
        <w:jc w:val="both"/>
        <w:rPr>
          <w:sz w:val="18"/>
          <w:szCs w:val="18"/>
          <w:lang w:eastAsia="zh-CN"/>
        </w:rPr>
      </w:pPr>
    </w:p>
    <w:p w14:paraId="6A3EDEFC">
      <w:pPr>
        <w:snapToGrid w:val="0"/>
        <w:spacing w:before="120" w:beforeLines="50"/>
        <w:jc w:val="both"/>
        <w:rPr>
          <w:sz w:val="18"/>
          <w:szCs w:val="18"/>
          <w:lang w:eastAsia="zh-CN"/>
        </w:rPr>
      </w:pPr>
    </w:p>
    <w:p w14:paraId="08FD6961">
      <w:pPr>
        <w:snapToGrid w:val="0"/>
        <w:spacing w:before="120" w:beforeLines="50"/>
        <w:jc w:val="both"/>
        <w:rPr>
          <w:sz w:val="18"/>
          <w:szCs w:val="18"/>
          <w:lang w:eastAsia="zh-CN"/>
        </w:rPr>
      </w:pPr>
    </w:p>
    <w:p w14:paraId="7CC05D11">
      <w:pPr>
        <w:snapToGrid w:val="0"/>
        <w:spacing w:before="120" w:beforeLines="50"/>
        <w:jc w:val="both"/>
        <w:rPr>
          <w:sz w:val="18"/>
          <w:szCs w:val="18"/>
          <w:lang w:eastAsia="zh-CN"/>
        </w:rPr>
      </w:pPr>
    </w:p>
    <w:p w14:paraId="7ABF432B">
      <w:pPr>
        <w:snapToGrid w:val="0"/>
        <w:spacing w:before="120" w:beforeLines="50"/>
        <w:jc w:val="both"/>
        <w:rPr>
          <w:sz w:val="18"/>
          <w:szCs w:val="18"/>
          <w:lang w:eastAsia="zh-CN"/>
        </w:rPr>
      </w:pPr>
    </w:p>
    <w:p w14:paraId="1680BB57">
      <w:pPr>
        <w:snapToGrid w:val="0"/>
        <w:spacing w:before="120" w:beforeLines="50"/>
        <w:jc w:val="both"/>
        <w:rPr>
          <w:sz w:val="18"/>
          <w:szCs w:val="18"/>
          <w:lang w:eastAsia="zh-CN"/>
        </w:rPr>
      </w:pPr>
    </w:p>
    <w:p w14:paraId="639FAFAD">
      <w:pPr>
        <w:snapToGrid w:val="0"/>
        <w:spacing w:before="120" w:beforeLines="50"/>
        <w:jc w:val="both"/>
        <w:rPr>
          <w:sz w:val="18"/>
          <w:szCs w:val="18"/>
          <w:lang w:eastAsia="zh-CN"/>
        </w:rPr>
      </w:pPr>
    </w:p>
    <w:p w14:paraId="00236D19">
      <w:pPr>
        <w:snapToGrid w:val="0"/>
        <w:spacing w:before="120" w:beforeLines="50"/>
        <w:jc w:val="both"/>
        <w:rPr>
          <w:sz w:val="18"/>
          <w:szCs w:val="18"/>
          <w:lang w:eastAsia="zh-CN"/>
        </w:rPr>
      </w:pPr>
    </w:p>
    <w:p w14:paraId="6A1D051D">
      <w:pPr>
        <w:snapToGrid w:val="0"/>
        <w:spacing w:before="120" w:beforeLines="50"/>
        <w:jc w:val="both"/>
        <w:rPr>
          <w:sz w:val="18"/>
          <w:szCs w:val="18"/>
          <w:lang w:eastAsia="zh-CN"/>
        </w:rPr>
      </w:pPr>
    </w:p>
    <w:p w14:paraId="765A09BE">
      <w:pPr>
        <w:snapToGrid w:val="0"/>
        <w:spacing w:before="120" w:beforeLines="50"/>
        <w:jc w:val="both"/>
        <w:rPr>
          <w:sz w:val="18"/>
          <w:szCs w:val="18"/>
          <w:lang w:eastAsia="zh-CN"/>
        </w:rPr>
      </w:pPr>
    </w:p>
    <w:p w14:paraId="7734AEF0">
      <w:pPr>
        <w:snapToGrid w:val="0"/>
        <w:spacing w:before="120" w:beforeLines="50"/>
        <w:jc w:val="both"/>
        <w:rPr>
          <w:sz w:val="18"/>
          <w:szCs w:val="18"/>
          <w:lang w:eastAsia="zh-CN"/>
        </w:rPr>
      </w:pPr>
    </w:p>
    <w:p w14:paraId="3B282333">
      <w:pPr>
        <w:snapToGrid w:val="0"/>
        <w:spacing w:before="120" w:beforeLines="50"/>
        <w:jc w:val="both"/>
        <w:rPr>
          <w:sz w:val="18"/>
          <w:szCs w:val="18"/>
          <w:lang w:eastAsia="zh-CN"/>
        </w:rPr>
      </w:pPr>
      <w:r>
        <w:rPr>
          <w:sz w:val="18"/>
          <w:szCs w:val="18"/>
          <w:lang w:eastAsia="zh-CN"/>
        </w:rPr>
        <w:t>____________________</w:t>
      </w:r>
    </w:p>
    <w:p w14:paraId="0DDB38AB">
      <w:pPr>
        <w:snapToGrid w:val="0"/>
        <w:spacing w:before="120" w:beforeLines="50"/>
        <w:jc w:val="both"/>
        <w:rPr>
          <w:sz w:val="18"/>
          <w:szCs w:val="18"/>
          <w:lang w:eastAsia="zh-CN"/>
        </w:rPr>
      </w:pPr>
      <w:r>
        <w:rPr>
          <w:sz w:val="18"/>
          <w:szCs w:val="18"/>
          <w:vertAlign w:val="superscript"/>
          <w:lang w:eastAsia="zh-CN"/>
        </w:rPr>
        <w:t>10</w:t>
      </w:r>
      <w:r>
        <w:rPr>
          <w:i/>
          <w:iCs/>
          <w:sz w:val="18"/>
          <w:szCs w:val="18"/>
          <w:lang w:eastAsia="zh-CN"/>
        </w:rPr>
        <w:t>个人信息</w:t>
      </w:r>
      <w:r>
        <w:rPr>
          <w:sz w:val="18"/>
          <w:szCs w:val="18"/>
          <w:lang w:eastAsia="zh-CN"/>
        </w:rPr>
        <w:t>包括个人可合理预期没有观察或记录的情况下</w:t>
      </w:r>
      <w:r>
        <w:rPr>
          <w:rFonts w:hint="eastAsia"/>
          <w:sz w:val="18"/>
          <w:szCs w:val="18"/>
          <w:lang w:eastAsia="zh-CN"/>
        </w:rPr>
        <w:t>发生</w:t>
      </w:r>
      <w:r>
        <w:rPr>
          <w:sz w:val="18"/>
          <w:szCs w:val="18"/>
          <w:lang w:eastAsia="zh-CN"/>
        </w:rPr>
        <w:t>的行为的信息，以及个人出于特定目的提供且个人可以合理预期不会公开的信息（例如，医疗记录）。（45 CFR 46.102(e)(4)）。</w:t>
      </w:r>
      <w:bookmarkEnd w:id="39"/>
    </w:p>
    <w:p w14:paraId="2E19A322">
      <w:pPr>
        <w:snapToGrid w:val="0"/>
        <w:spacing w:before="120" w:beforeLines="50"/>
        <w:jc w:val="both"/>
        <w:rPr>
          <w:sz w:val="18"/>
          <w:szCs w:val="18"/>
          <w:lang w:eastAsia="zh-CN"/>
        </w:rPr>
      </w:pPr>
      <w:r>
        <w:rPr>
          <w:i/>
          <w:iCs/>
          <w:sz w:val="18"/>
          <w:szCs w:val="18"/>
          <w:lang w:eastAsia="zh-CN"/>
        </w:rPr>
        <w:t>可识别个人信息</w:t>
      </w:r>
      <w:r>
        <w:rPr>
          <w:sz w:val="18"/>
          <w:szCs w:val="18"/>
          <w:lang w:eastAsia="zh-CN"/>
        </w:rPr>
        <w:t>指研究者可以或很容易确定受试者身份的信息或与该信息相关的个人信息。（45 CFR 46.102(e)(5)）。</w:t>
      </w:r>
    </w:p>
    <w:p w14:paraId="28940CDF">
      <w:pPr>
        <w:snapToGrid w:val="0"/>
        <w:spacing w:before="120" w:beforeLines="50"/>
        <w:jc w:val="both"/>
        <w:rPr>
          <w:sz w:val="18"/>
          <w:szCs w:val="18"/>
        </w:rPr>
      </w:pPr>
      <w:r>
        <w:rPr>
          <w:i/>
          <w:iCs/>
          <w:sz w:val="18"/>
          <w:szCs w:val="18"/>
          <w:lang w:eastAsia="zh-CN"/>
        </w:rPr>
        <w:t>可识别生物样本</w:t>
      </w:r>
      <w:r>
        <w:rPr>
          <w:sz w:val="18"/>
          <w:szCs w:val="18"/>
          <w:lang w:eastAsia="zh-CN"/>
        </w:rPr>
        <w:t>指研究者可以或很容易确定受试者身份的生物样本或与该生物样本相关的生物样本。（45 CFR 46.102(e)(6)）。</w:t>
      </w:r>
    </w:p>
    <w:p w14:paraId="52BE7F5B">
      <w:pPr>
        <w:snapToGrid w:val="0"/>
        <w:spacing w:before="120" w:beforeLines="50"/>
        <w:jc w:val="both"/>
      </w:pPr>
    </w:p>
    <w:p w14:paraId="7716A93C">
      <w:pPr>
        <w:snapToGrid w:val="0"/>
        <w:spacing w:before="120" w:beforeLines="50"/>
        <w:jc w:val="center"/>
        <w:rPr>
          <w:rFonts w:hint="eastAsia" w:eastAsia="宋体"/>
          <w:lang w:eastAsia="zh-CN"/>
        </w:rPr>
      </w:pPr>
    </w:p>
    <w:p w14:paraId="5F7EBF7E">
      <w:pPr>
        <w:snapToGrid w:val="0"/>
        <w:spacing w:before="120" w:beforeLines="50"/>
        <w:jc w:val="center"/>
        <w:rPr>
          <w:rFonts w:hint="eastAsia" w:eastAsia="宋体"/>
          <w:lang w:eastAsia="zh-CN"/>
        </w:rPr>
      </w:pPr>
    </w:p>
    <w:p w14:paraId="4E341729">
      <w:pPr>
        <w:snapToGrid w:val="0"/>
        <w:spacing w:before="120" w:before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7" w:type="default"/>
      <w:pgSz w:w="11907" w:h="16840"/>
      <w:pgMar w:top="1429" w:right="1797" w:bottom="1429" w:left="1797" w:header="720" w:footer="720" w:gutter="0"/>
      <w:pgNumType w:start="1"/>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3:49:00Z" w:initials="小">
    <w:p w14:paraId="45F389FD">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F389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E5FE6">
    <w:pPr>
      <w:pStyle w:val="5"/>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6</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10F0">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9FCD">
    <w:pPr>
      <w:pStyle w:val="6"/>
      <w:pBdr>
        <w:bottom w:val="none" w:color="auto" w:sz="0" w:space="0"/>
      </w:pBdr>
    </w:pPr>
    <w:r>
      <w:rPr>
        <w:rFonts w:hint="eastAsia"/>
        <w:b/>
        <w:bCs/>
        <w:i/>
        <w:iCs/>
        <w:sz w:val="21"/>
        <w:lang w:eastAsia="zh-CN"/>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CE1A2B"/>
    <w:rsid w:val="00083A73"/>
    <w:rsid w:val="00085A57"/>
    <w:rsid w:val="000A3A03"/>
    <w:rsid w:val="000C41E6"/>
    <w:rsid w:val="0019709E"/>
    <w:rsid w:val="001A2F78"/>
    <w:rsid w:val="001A4B24"/>
    <w:rsid w:val="001F409E"/>
    <w:rsid w:val="002231C0"/>
    <w:rsid w:val="002661F6"/>
    <w:rsid w:val="00276696"/>
    <w:rsid w:val="00313505"/>
    <w:rsid w:val="003231E9"/>
    <w:rsid w:val="003435E6"/>
    <w:rsid w:val="00383162"/>
    <w:rsid w:val="00386627"/>
    <w:rsid w:val="00396B09"/>
    <w:rsid w:val="003D29CD"/>
    <w:rsid w:val="003E2D90"/>
    <w:rsid w:val="004172DD"/>
    <w:rsid w:val="00446922"/>
    <w:rsid w:val="0047323B"/>
    <w:rsid w:val="004755D9"/>
    <w:rsid w:val="0047731D"/>
    <w:rsid w:val="004B0D09"/>
    <w:rsid w:val="004B3BBF"/>
    <w:rsid w:val="004B7D3D"/>
    <w:rsid w:val="004D0574"/>
    <w:rsid w:val="004D3252"/>
    <w:rsid w:val="004F1E04"/>
    <w:rsid w:val="00507746"/>
    <w:rsid w:val="0055163C"/>
    <w:rsid w:val="00574A7A"/>
    <w:rsid w:val="00576662"/>
    <w:rsid w:val="00582C6B"/>
    <w:rsid w:val="00593FF7"/>
    <w:rsid w:val="005A4065"/>
    <w:rsid w:val="005B0CF9"/>
    <w:rsid w:val="005F2A45"/>
    <w:rsid w:val="005F4EBA"/>
    <w:rsid w:val="00626DAC"/>
    <w:rsid w:val="00646ECF"/>
    <w:rsid w:val="006927D4"/>
    <w:rsid w:val="006965E5"/>
    <w:rsid w:val="006A04B3"/>
    <w:rsid w:val="007244AA"/>
    <w:rsid w:val="00730AE9"/>
    <w:rsid w:val="0076616C"/>
    <w:rsid w:val="00767DFA"/>
    <w:rsid w:val="00780A8E"/>
    <w:rsid w:val="00827E2E"/>
    <w:rsid w:val="00835248"/>
    <w:rsid w:val="00851DF3"/>
    <w:rsid w:val="00861110"/>
    <w:rsid w:val="008C4A24"/>
    <w:rsid w:val="009533C4"/>
    <w:rsid w:val="009B2AB7"/>
    <w:rsid w:val="00A358DE"/>
    <w:rsid w:val="00A40545"/>
    <w:rsid w:val="00A97CD6"/>
    <w:rsid w:val="00AC260F"/>
    <w:rsid w:val="00AF77A0"/>
    <w:rsid w:val="00B554C5"/>
    <w:rsid w:val="00B7241B"/>
    <w:rsid w:val="00BA0D07"/>
    <w:rsid w:val="00C00420"/>
    <w:rsid w:val="00C07F1A"/>
    <w:rsid w:val="00C12AFB"/>
    <w:rsid w:val="00C270BC"/>
    <w:rsid w:val="00CE1A2B"/>
    <w:rsid w:val="00D42AB9"/>
    <w:rsid w:val="00D75B73"/>
    <w:rsid w:val="00D80CF9"/>
    <w:rsid w:val="00D814BE"/>
    <w:rsid w:val="00DB4B7E"/>
    <w:rsid w:val="00E431AE"/>
    <w:rsid w:val="00ED63AB"/>
    <w:rsid w:val="00EF1DE6"/>
    <w:rsid w:val="00F15A53"/>
    <w:rsid w:val="00F20349"/>
    <w:rsid w:val="00F34320"/>
    <w:rsid w:val="00F6583D"/>
    <w:rsid w:val="00FA4FBB"/>
    <w:rsid w:val="00FB175A"/>
    <w:rsid w:val="00FC6223"/>
    <w:rsid w:val="081AD041"/>
    <w:rsid w:val="0A71ECB8"/>
    <w:rsid w:val="1F82BDAB"/>
    <w:rsid w:val="3B3722B7"/>
    <w:rsid w:val="3CD2F318"/>
    <w:rsid w:val="42774BDE"/>
    <w:rsid w:val="48D879B9"/>
    <w:rsid w:val="52F6E016"/>
    <w:rsid w:val="569F4659"/>
    <w:rsid w:val="57B7099B"/>
    <w:rsid w:val="59CF2C66"/>
    <w:rsid w:val="6381BAD8"/>
    <w:rsid w:val="68C6ED9B"/>
    <w:rsid w:val="6A62B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4"/>
      <w:lang w:val="en-US" w:eastAsia="en-US" w:bidi="en-U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semiHidden/>
    <w:unhideWhenUsed/>
    <w:uiPriority w:val="99"/>
    <w:rPr>
      <w:rFonts w:asciiTheme="minorHAnsi" w:hAnsiTheme="minorHAnsi" w:eastAsiaTheme="minorEastAsia" w:cstheme="minorBidi"/>
      <w:color w:val="auto"/>
      <w:kern w:val="2"/>
      <w:szCs w:val="22"/>
      <w:lang w:eastAsia="zh-CN" w:bidi="ar-SA"/>
    </w:rPr>
  </w:style>
  <w:style w:type="paragraph" w:styleId="3">
    <w:name w:val="Date"/>
    <w:basedOn w:val="1"/>
    <w:next w:val="1"/>
    <w:link w:val="21"/>
    <w:semiHidden/>
    <w:unhideWhenUsed/>
    <w:uiPriority w:val="99"/>
    <w:pPr>
      <w:ind w:left="100" w:leftChars="2500"/>
    </w:pPr>
  </w:style>
  <w:style w:type="paragraph" w:styleId="4">
    <w:name w:val="Balloon Text"/>
    <w:basedOn w:val="1"/>
    <w:link w:val="24"/>
    <w:semiHidden/>
    <w:unhideWhenUsed/>
    <w:qFormat/>
    <w:uiPriority w:val="99"/>
    <w:rPr>
      <w:sz w:val="18"/>
      <w:szCs w:val="18"/>
    </w:rPr>
  </w:style>
  <w:style w:type="paragraph" w:styleId="5">
    <w:name w:val="footer"/>
    <w:basedOn w:val="1"/>
    <w:link w:val="23"/>
    <w:unhideWhenUsed/>
    <w:uiPriority w:val="99"/>
    <w:pPr>
      <w:tabs>
        <w:tab w:val="center" w:pos="4153"/>
        <w:tab w:val="right" w:pos="8306"/>
      </w:tabs>
      <w:snapToGrid w:val="0"/>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uiPriority w:val="39"/>
    <w:pPr>
      <w:tabs>
        <w:tab w:val="left" w:pos="426"/>
        <w:tab w:val="right" w:leader="dot" w:pos="8303"/>
      </w:tabs>
      <w:spacing w:beforeLines="50"/>
    </w:pPr>
    <w:rPr>
      <w:b/>
      <w:sz w:val="24"/>
      <w:szCs w:val="21"/>
    </w:rPr>
  </w:style>
  <w:style w:type="paragraph" w:styleId="8">
    <w:name w:val="toc 2"/>
    <w:basedOn w:val="1"/>
    <w:next w:val="1"/>
    <w:autoRedefine/>
    <w:unhideWhenUsed/>
    <w:qFormat/>
    <w:uiPriority w:val="39"/>
    <w:pPr>
      <w:tabs>
        <w:tab w:val="left" w:pos="840"/>
        <w:tab w:val="right" w:leader="dot" w:pos="8303"/>
      </w:tabs>
      <w:spacing w:beforeLines="50"/>
      <w:ind w:left="850" w:leftChars="200" w:hanging="430" w:hangingChars="205"/>
    </w:pPr>
    <w:rPr>
      <w:sz w:val="24"/>
      <w:szCs w:val="21"/>
    </w:rPr>
  </w:style>
  <w:style w:type="character" w:styleId="11">
    <w:name w:val="Hyperlink"/>
    <w:basedOn w:val="10"/>
    <w:uiPriority w:val="0"/>
    <w:rPr>
      <w:color w:val="0066CC"/>
      <w:u w:val="single"/>
    </w:rPr>
  </w:style>
  <w:style w:type="character" w:styleId="12">
    <w:name w:val="annotation reference"/>
    <w:basedOn w:val="10"/>
    <w:semiHidden/>
    <w:unhideWhenUsed/>
    <w:qFormat/>
    <w:uiPriority w:val="99"/>
    <w:rPr>
      <w:sz w:val="21"/>
      <w:szCs w:val="21"/>
    </w:rPr>
  </w:style>
  <w:style w:type="paragraph" w:customStyle="1" w:styleId="13">
    <w:name w:val="样式b1"/>
    <w:basedOn w:val="1"/>
    <w:qFormat/>
    <w:uiPriority w:val="0"/>
    <w:pPr>
      <w:pBdr>
        <w:bottom w:val="single" w:color="auto" w:sz="4" w:space="1"/>
      </w:pBdr>
      <w:snapToGrid w:val="0"/>
      <w:spacing w:beforeLines="50"/>
      <w:jc w:val="center"/>
    </w:pPr>
    <w:rPr>
      <w:b/>
      <w:bCs/>
      <w:sz w:val="52"/>
      <w:szCs w:val="52"/>
    </w:rPr>
  </w:style>
  <w:style w:type="paragraph" w:customStyle="1" w:styleId="14">
    <w:name w:val="样式b2"/>
    <w:basedOn w:val="1"/>
    <w:uiPriority w:val="0"/>
    <w:pPr>
      <w:snapToGrid w:val="0"/>
      <w:spacing w:beforeLines="50"/>
      <w:jc w:val="center"/>
    </w:pPr>
    <w:rPr>
      <w:b/>
      <w:bCs/>
      <w:sz w:val="52"/>
      <w:szCs w:val="52"/>
    </w:rPr>
  </w:style>
  <w:style w:type="paragraph" w:customStyle="1" w:styleId="15">
    <w:name w:val="样式m1"/>
    <w:basedOn w:val="1"/>
    <w:autoRedefine/>
    <w:uiPriority w:val="0"/>
    <w:pPr>
      <w:tabs>
        <w:tab w:val="left" w:pos="709"/>
      </w:tabs>
      <w:snapToGrid w:val="0"/>
      <w:spacing w:beforeLines="50" w:afterLines="50"/>
      <w:ind w:left="708" w:hanging="708" w:hangingChars="252"/>
      <w:jc w:val="both"/>
    </w:pPr>
    <w:rPr>
      <w:b/>
      <w:bCs/>
      <w:sz w:val="28"/>
      <w:szCs w:val="28"/>
    </w:rPr>
  </w:style>
  <w:style w:type="paragraph" w:customStyle="1" w:styleId="16">
    <w:name w:val="样式m2"/>
    <w:basedOn w:val="1"/>
    <w:uiPriority w:val="0"/>
    <w:pPr>
      <w:tabs>
        <w:tab w:val="left" w:pos="1276"/>
      </w:tabs>
      <w:snapToGrid w:val="0"/>
      <w:spacing w:beforeLines="50" w:afterLines="50"/>
      <w:ind w:left="1275" w:leftChars="337" w:hanging="567" w:hangingChars="269"/>
      <w:jc w:val="both"/>
    </w:pPr>
    <w:rPr>
      <w:b/>
      <w:bCs/>
      <w:szCs w:val="21"/>
    </w:rPr>
  </w:style>
  <w:style w:type="paragraph" w:customStyle="1" w:styleId="17">
    <w:name w:val="样式m22"/>
    <w:basedOn w:val="1"/>
    <w:qFormat/>
    <w:uiPriority w:val="0"/>
    <w:pPr>
      <w:tabs>
        <w:tab w:val="left" w:pos="1560"/>
      </w:tabs>
      <w:snapToGrid w:val="0"/>
      <w:spacing w:beforeLines="50" w:afterLines="50"/>
      <w:jc w:val="both"/>
    </w:pPr>
    <w:rPr>
      <w:b/>
      <w:bCs/>
      <w:szCs w:val="21"/>
    </w:rPr>
  </w:style>
  <w:style w:type="paragraph" w:customStyle="1" w:styleId="18">
    <w:name w:val="样式m3"/>
    <w:basedOn w:val="1"/>
    <w:uiPriority w:val="0"/>
    <w:pPr>
      <w:snapToGrid w:val="0"/>
      <w:spacing w:beforeLines="50" w:afterLines="50"/>
      <w:jc w:val="both"/>
    </w:pPr>
    <w:rPr>
      <w:b/>
      <w:bCs/>
      <w:szCs w:val="21"/>
    </w:rPr>
  </w:style>
  <w:style w:type="paragraph" w:customStyle="1" w:styleId="19">
    <w:name w:val="样式x"/>
    <w:basedOn w:val="1"/>
    <w:uiPriority w:val="0"/>
    <w:pPr>
      <w:tabs>
        <w:tab w:val="left" w:pos="709"/>
      </w:tabs>
      <w:snapToGrid w:val="0"/>
      <w:spacing w:beforeLines="50"/>
      <w:ind w:left="707" w:leftChars="203" w:hanging="281" w:hangingChars="134"/>
      <w:jc w:val="both"/>
    </w:pPr>
    <w:rPr>
      <w:szCs w:val="21"/>
    </w:rPr>
  </w:style>
  <w:style w:type="paragraph" w:customStyle="1" w:styleId="20">
    <w:name w:val="样式x2"/>
    <w:basedOn w:val="1"/>
    <w:qFormat/>
    <w:uiPriority w:val="0"/>
    <w:pPr>
      <w:snapToGrid w:val="0"/>
      <w:spacing w:beforeLines="50"/>
      <w:ind w:left="1558" w:leftChars="539" w:hanging="426" w:hangingChars="203"/>
      <w:jc w:val="both"/>
    </w:pPr>
    <w:rPr>
      <w:szCs w:val="21"/>
    </w:rPr>
  </w:style>
  <w:style w:type="character" w:customStyle="1" w:styleId="21">
    <w:name w:val="日期 字符"/>
    <w:basedOn w:val="10"/>
    <w:link w:val="3"/>
    <w:semiHidden/>
    <w:uiPriority w:val="99"/>
    <w:rPr>
      <w:rFonts w:eastAsia="宋体"/>
      <w:color w:val="000000"/>
      <w:sz w:val="21"/>
    </w:rPr>
  </w:style>
  <w:style w:type="character" w:customStyle="1" w:styleId="22">
    <w:name w:val="页眉 字符"/>
    <w:basedOn w:val="10"/>
    <w:link w:val="6"/>
    <w:uiPriority w:val="99"/>
    <w:rPr>
      <w:rFonts w:eastAsia="宋体"/>
      <w:color w:val="000000"/>
      <w:sz w:val="18"/>
      <w:szCs w:val="18"/>
    </w:rPr>
  </w:style>
  <w:style w:type="character" w:customStyle="1" w:styleId="23">
    <w:name w:val="页脚 字符"/>
    <w:basedOn w:val="10"/>
    <w:link w:val="5"/>
    <w:uiPriority w:val="99"/>
    <w:rPr>
      <w:rFonts w:eastAsia="宋体"/>
      <w:color w:val="000000"/>
      <w:sz w:val="18"/>
      <w:szCs w:val="18"/>
    </w:rPr>
  </w:style>
  <w:style w:type="character" w:customStyle="1" w:styleId="24">
    <w:name w:val="批注框文本 字符"/>
    <w:basedOn w:val="10"/>
    <w:link w:val="4"/>
    <w:semiHidden/>
    <w:uiPriority w:val="99"/>
    <w:rPr>
      <w:rFonts w:eastAsia="宋体"/>
      <w:color w:val="000000"/>
      <w:sz w:val="18"/>
      <w:szCs w:val="18"/>
    </w:rPr>
  </w:style>
  <w:style w:type="paragraph" w:styleId="25">
    <w:name w:val="List Paragraph"/>
    <w:basedOn w:val="1"/>
    <w:qFormat/>
    <w:uiPriority w:val="34"/>
    <w:pPr>
      <w:ind w:firstLine="420" w:firstLineChars="200"/>
    </w:pPr>
  </w:style>
  <w:style w:type="character" w:customStyle="1" w:styleId="26">
    <w:name w:val="未处理的提及1"/>
    <w:basedOn w:val="10"/>
    <w:semiHidden/>
    <w:unhideWhenUsed/>
    <w:uiPriority w:val="99"/>
    <w:rPr>
      <w:color w:val="605E5C"/>
      <w:shd w:val="clear" w:color="auto" w:fill="E1DFDD"/>
    </w:rPr>
  </w:style>
  <w:style w:type="character" w:customStyle="1" w:styleId="27">
    <w:name w:val="批注文字 字符"/>
    <w:basedOn w:val="10"/>
    <w:link w:val="2"/>
    <w:semiHidden/>
    <w:uiPriority w:val="99"/>
    <w:rPr>
      <w:rFonts w:asciiTheme="minorHAnsi" w:hAnsiTheme="minorHAnsi" w:cstheme="minorBidi"/>
      <w:kern w:val="2"/>
      <w:sz w:val="21"/>
      <w:szCs w:val="22"/>
      <w:lang w:eastAsia="zh-CN" w:bidi="ar-SA"/>
    </w:rPr>
  </w:style>
  <w:style w:type="paragraph" w:customStyle="1" w:styleId="28">
    <w:name w:val="Revision"/>
    <w:hidden/>
    <w:semiHidden/>
    <w:qFormat/>
    <w:uiPriority w:val="99"/>
    <w:pPr>
      <w:widowControl/>
    </w:pPr>
    <w:rPr>
      <w:rFonts w:ascii="Times New Roman" w:hAnsi="Times New Roman" w:eastAsia="宋体" w:cs="Times New Roman"/>
      <w:color w:val="000000"/>
      <w:sz w:val="21"/>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BE349EB5071640ADAC02AA835A69CF" ma:contentTypeVersion="11" ma:contentTypeDescription="Create a new document." ma:contentTypeScope="" ma:versionID="79565946ee9d597aa7fe4ea5676b5ea6">
  <xsd:schema xmlns:xsd="http://www.w3.org/2001/XMLSchema" xmlns:xs="http://www.w3.org/2001/XMLSchema" xmlns:p="http://schemas.microsoft.com/office/2006/metadata/properties" xmlns:ns2="bd039c77-efa6-40ed-9b55-d4e668ca7878" targetNamespace="http://schemas.microsoft.com/office/2006/metadata/properties" ma:root="true" ma:fieldsID="ec60d1535eabc9fd0423ca8063fa360a" ns2:_="">
    <xsd:import namespace="bd039c77-efa6-40ed-9b55-d4e668ca7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39c77-efa6-40ed-9b55-d4e668ca7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1CBE6-5BB5-4BD6-A7D3-4E7A5B013F28}">
  <ds:schemaRefs/>
</ds:datastoreItem>
</file>

<file path=customXml/itemProps2.xml><?xml version="1.0" encoding="utf-8"?>
<ds:datastoreItem xmlns:ds="http://schemas.openxmlformats.org/officeDocument/2006/customXml" ds:itemID="{C29A892E-0CCC-4711-BDA4-6DB4F0792553}">
  <ds:schemaRefs/>
</ds:datastoreItem>
</file>

<file path=customXml/itemProps3.xml><?xml version="1.0" encoding="utf-8"?>
<ds:datastoreItem xmlns:ds="http://schemas.openxmlformats.org/officeDocument/2006/customXml" ds:itemID="{9F0E1AD8-FAD4-444E-9853-C656EBBC5B0B}">
  <ds:schemaRefs/>
</ds:datastoreItem>
</file>

<file path=customXml/itemProps4.xml><?xml version="1.0" encoding="utf-8"?>
<ds:datastoreItem xmlns:ds="http://schemas.openxmlformats.org/officeDocument/2006/customXml" ds:itemID="{A0C2D6E5-7FBB-461F-9BC7-AB490C88512D}">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8</Pages>
  <Words>4351</Words>
  <Characters>5810</Characters>
  <Lines>54</Lines>
  <Paragraphs>15</Paragraphs>
  <TotalTime>53</TotalTime>
  <ScaleCrop>false</ScaleCrop>
  <LinksUpToDate>false</LinksUpToDate>
  <CharactersWithSpaces>5934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2021-11-13T04:34:00Z</dcterms:created>
  <dc:creator>Food and Drug Administration</dc:creator>
  <cp:lastModifiedBy>太极箫客</cp:lastModifiedBy>
  <dcterms:modified xsi:type="dcterms:W3CDTF">2025-08-14T06:33:32Z</dcterms:modified>
  <dc:subject>Draft guidance for sponsors, sponsor-investigators, researchers, industry, and FDA Staff</dc:subject>
  <dc:title>Certificates of Confidentiality Draft Guidance</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0x0101001DBE349EB5071640ADAC02AA835A69CF</vt:lpwstr>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y fmtid="{D5CDD505-2E9C-101B-9397-08002B2CF9AE}" pid="5" name="ICV">
    <vt:lpwstr>9CF82CA48D4C4226B165E8BA38E2A030_12</vt:lpwstr>
  </property>
</Properties>
</file>