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77B96">
      <w:pPr>
        <w:widowControl/>
        <w:shd w:val="clear" w:color="auto" w:fill="CCE8CF"/>
        <w:jc w:val="left"/>
        <w:outlineLvl w:val="0"/>
        <w:rPr>
          <w:rFonts w:ascii="Arial" w:hAnsi="Arial" w:eastAsia="宋体" w:cs="Arial"/>
          <w:b/>
          <w:bCs/>
          <w:color w:val="484138"/>
          <w:kern w:val="36"/>
          <w:sz w:val="36"/>
          <w:szCs w:val="36"/>
        </w:rPr>
      </w:pPr>
      <w:bookmarkStart w:id="3" w:name="_GoBack"/>
      <w:bookmarkEnd w:id="3"/>
      <w:r>
        <w:rPr>
          <w:rFonts w:hint="eastAsia" w:ascii="Arial" w:hAnsi="Arial" w:eastAsia="宋体" w:cs="Arial"/>
          <w:b/>
          <w:bCs/>
          <w:color w:val="484138"/>
          <w:kern w:val="36"/>
          <w:sz w:val="36"/>
          <w:szCs w:val="36"/>
        </w:rPr>
        <w:t>使用间接免疫荧光测定（IFA）、间接血凝测定（IHA），放射免疫测定（RIA）和酶联免疫吸附测定（ELISA）评估甲状腺自身抗体的体外诊断器械的审查标准</w:t>
      </w:r>
    </w:p>
    <w:p w14:paraId="4815219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6EB140A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eastAsia="宋体" w:cs="Arial"/>
          <w:color w:val="000000"/>
          <w:kern w:val="0"/>
          <w:sz w:val="18"/>
          <w:szCs w:val="18"/>
        </w:rPr>
      </w:pPr>
      <w:r>
        <w:rPr>
          <w:rFonts w:hint="eastAsia" w:ascii="Arial" w:hAnsi="Arial" w:eastAsia="宋体" w:cs="Arial"/>
          <w:color w:val="000000"/>
          <w:kern w:val="0"/>
          <w:sz w:val="18"/>
          <w:szCs w:val="18"/>
        </w:rPr>
        <w:t>使用间接免疫荧光测定（IFA）、间接血凝测定（IHA），放射免疫测定（RIA）和酶联免疫吸附测定（ELISA）评估甲状腺自身抗体的体外诊断器械的审查标准。</w:t>
      </w:r>
    </w:p>
    <w:p w14:paraId="2A40C75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6BEF32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这是一个灵活的文件，表明当前有关使用IFA、IHA、RIA和ELISA方法的甲状腺自身抗体体外诊断器械的关注问题和建议。其基于（1）最新的基础科学，（2）临床经验，（3）1990年安全医疗器械法（SMDA）和（4）联邦法规（CFR）中的FDA法规。随着科学和医学的进步，这些审查标准将根据需要重新评估和修订。</w:t>
      </w:r>
    </w:p>
    <w:p w14:paraId="6B960B1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C6B6FE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9DCF85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本指南草案的目的</w:t>
      </w:r>
    </w:p>
    <w:p w14:paraId="5757051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14068A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本文件旨在针对用于检测、定量和/或半定量临床样本中的甲状腺自身抗体的器械在许可上市之前须送交食品药品监督管理局（FDA）的信息提供指南和说明。</w:t>
      </w:r>
    </w:p>
    <w:p w14:paraId="785232B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0705A6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上市前通告510（k）提交资料应提供证据证明器械具有精确性、安全性、有效性并且与在美国合法销售的比较器械实质等同。</w:t>
      </w:r>
    </w:p>
    <w:p w14:paraId="444C795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C836A7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889078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定义</w:t>
      </w:r>
    </w:p>
    <w:p w14:paraId="669028F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962DA3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36CAAC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31E47E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99BA81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299160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E886E7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0F182D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4F0CC3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1F6E07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966D03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0F1B65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0F0384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0D7AF6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709916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C9C268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这种通用器械类型旨在用于临床实验室或医生的办公室实验室*，其作为通过IFA、IHA、RIA或ELISA对甲状腺自身抗体进行定性、定量和/或半定量测量的体外诊断测试。</w:t>
      </w:r>
    </w:p>
    <w:p w14:paraId="65FC6E4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0A6633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Pr>
          <w:rFonts w:ascii="宋体" w:hAnsi="宋体" w:eastAsia="宋体" w:cs="宋体"/>
          <w:color w:val="000000"/>
          <w:kern w:val="0"/>
          <w:sz w:val="18"/>
          <w:szCs w:val="18"/>
        </w:rPr>
        <w:t>*</w:t>
      </w:r>
      <w:r>
        <w:rPr>
          <w:rFonts w:hint="eastAsia"/>
        </w:rPr>
        <w:t xml:space="preserve"> </w:t>
      </w:r>
      <w:r>
        <w:rPr>
          <w:rFonts w:hint="eastAsia" w:ascii="宋体" w:hAnsi="宋体" w:eastAsia="宋体" w:cs="宋体"/>
          <w:color w:val="000000"/>
          <w:kern w:val="0"/>
          <w:sz w:val="18"/>
          <w:szCs w:val="18"/>
        </w:rPr>
        <w:t>已提交附加数据以证明器械在这些环境中的性能时，器械可经过许可用于医生的办公室实验室。</w:t>
      </w:r>
    </w:p>
    <w:p w14:paraId="0F4588E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AFEC7D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产品代码</w:t>
      </w:r>
      <w:r>
        <w:rPr>
          <w:rFonts w:ascii="宋体" w:hAnsi="宋体" w:eastAsia="宋体" w:cs="宋体"/>
          <w:color w:val="000000"/>
          <w:kern w:val="0"/>
          <w:sz w:val="18"/>
          <w:szCs w:val="18"/>
        </w:rPr>
        <w:t>： JNL， DDC， DDJ， JZO</w:t>
      </w:r>
    </w:p>
    <w:p w14:paraId="4B8FAC5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026E68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法规编号</w:t>
      </w:r>
      <w:r>
        <w:rPr>
          <w:rFonts w:ascii="宋体" w:hAnsi="宋体" w:eastAsia="宋体" w:cs="宋体"/>
          <w:color w:val="000000"/>
          <w:kern w:val="0"/>
          <w:sz w:val="18"/>
          <w:szCs w:val="18"/>
        </w:rPr>
        <w:t>：</w:t>
      </w:r>
    </w:p>
    <w:p w14:paraId="4B454FF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8E98ED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21 CFR 866.5870  </w:t>
      </w:r>
      <w:r>
        <w:rPr>
          <w:rFonts w:hint="eastAsia" w:ascii="宋体" w:hAnsi="宋体" w:eastAsia="宋体" w:cs="宋体"/>
          <w:color w:val="000000"/>
          <w:kern w:val="0"/>
          <w:sz w:val="18"/>
          <w:szCs w:val="18"/>
        </w:rPr>
        <w:t>甲状腺自身抗体免疫测试系统。</w:t>
      </w:r>
    </w:p>
    <w:p w14:paraId="0A559B4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687CA4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识别。</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甲状腺自身抗体测试系统是由用于通过免疫化学技术测量甲状腺自身抗体（针对身体自身组织产生的抗体）的试剂组成的器械。甲状腺自身抗体的测量可有助于诊断某些甲状腺疾病，例如桥本氏病（慢性淋巴细胞性甲状腺炎）、无毒性甲状腺肿（甲状腺肿大）和格雷夫斯氏病（伴有眼球突出的甲状腺肿大）。</w:t>
      </w:r>
    </w:p>
    <w:p w14:paraId="0800923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581332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2AF4B2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分类</w:t>
      </w:r>
      <w:r>
        <w:rPr>
          <w:rFonts w:ascii="宋体" w:hAnsi="宋体" w:eastAsia="宋体" w:cs="宋体"/>
          <w:color w:val="000000"/>
          <w:kern w:val="0"/>
          <w:sz w:val="18"/>
          <w:szCs w:val="18"/>
        </w:rPr>
        <w:t>：  II</w:t>
      </w:r>
      <w:r>
        <w:rPr>
          <w:rFonts w:hint="eastAsia" w:ascii="宋体" w:hAnsi="宋体" w:eastAsia="宋体" w:cs="宋体"/>
          <w:color w:val="000000"/>
          <w:kern w:val="0"/>
          <w:sz w:val="18"/>
          <w:szCs w:val="18"/>
        </w:rPr>
        <w:t>类</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性能标准</w:t>
      </w:r>
      <w:r>
        <w:rPr>
          <w:rFonts w:ascii="宋体" w:hAnsi="宋体" w:eastAsia="宋体" w:cs="宋体"/>
          <w:color w:val="000000"/>
          <w:kern w:val="0"/>
          <w:sz w:val="18"/>
          <w:szCs w:val="18"/>
        </w:rPr>
        <w:t>）</w:t>
      </w:r>
    </w:p>
    <w:p w14:paraId="68E5755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8CFB60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面板</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免疫学</w:t>
      </w:r>
      <w:r>
        <w:rPr>
          <w:rFonts w:ascii="宋体" w:hAnsi="宋体" w:eastAsia="宋体" w:cs="宋体"/>
          <w:color w:val="000000"/>
          <w:kern w:val="0"/>
          <w:sz w:val="18"/>
          <w:szCs w:val="18"/>
        </w:rPr>
        <w:t xml:space="preserve"> （82）</w:t>
      </w:r>
    </w:p>
    <w:p w14:paraId="0179E0A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ED71FB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所需审查</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上市前通告</w:t>
      </w:r>
      <w:r>
        <w:rPr>
          <w:rFonts w:ascii="宋体" w:hAnsi="宋体" w:eastAsia="宋体" w:cs="宋体"/>
          <w:color w:val="000000"/>
          <w:kern w:val="0"/>
          <w:sz w:val="18"/>
          <w:szCs w:val="18"/>
        </w:rPr>
        <w:t xml:space="preserve"> （510（k））</w:t>
      </w:r>
    </w:p>
    <w:p w14:paraId="2A762C3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347B93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880F75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I.   </w:t>
      </w:r>
      <w:r>
        <w:rPr>
          <w:rFonts w:hint="eastAsia" w:ascii="宋体" w:hAnsi="宋体" w:eastAsia="宋体" w:cs="宋体"/>
          <w:color w:val="000000"/>
          <w:kern w:val="0"/>
          <w:sz w:val="18"/>
          <w:szCs w:val="18"/>
        </w:rPr>
        <w:t>临床适应症</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显著性</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预期用途</w:t>
      </w:r>
    </w:p>
    <w:p w14:paraId="52947A4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301B42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A.  </w:t>
      </w:r>
      <w:r>
        <w:rPr>
          <w:rFonts w:hint="eastAsia" w:ascii="宋体" w:hAnsi="宋体" w:eastAsia="宋体" w:cs="宋体"/>
          <w:color w:val="000000"/>
          <w:kern w:val="0"/>
          <w:sz w:val="18"/>
          <w:szCs w:val="18"/>
        </w:rPr>
        <w:t>前言</w:t>
      </w:r>
    </w:p>
    <w:p w14:paraId="155ABF4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A53AAC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甲状腺的主要作用是储存和合成甲状腺激素。正常甲状腺由许多卵泡组成，每个卵泡由围绕包含胶体的中心腔的单层上皮细胞组成。甲状腺球蛋白是甲状腺卵泡胶体的主要成分。其由甲状腺上皮细胞产生，是一种水溶性糖蛋白，分子量为670，000道尔顿。血清中含有少量甲状腺球蛋白。微粒体抗原是存在于细胞质中和甲状腺细胞顶端膜上的糖蛋白，其分子量为110，000道尔顿。报告表明，甲状腺过氧化物酶（TPO）是甲状腺微粒体抗原的主要成分，也是由针对微粒体糖蛋白的自身抗体识别的抗原成分。1</w:t>
      </w:r>
    </w:p>
    <w:p w14:paraId="2E4D222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69B10C3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7474C0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FC3737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11DAD8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70AD24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4432DB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739A11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67323CC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7BBF96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F47006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E0DCF0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自身免疫性甲状腺疾病具有器官特异性，并且可由循环抗体是否存在来定义。最常见的抗体是甲状腺上皮细胞内衬的甲状腺球蛋白和微粒体或甲状腺过氧化物酶（TPO）的抗体。</w:t>
      </w:r>
    </w:p>
    <w:p w14:paraId="2F38247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4ACBEB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在桥本氏病及其变体—格雷夫斯氏病、粘液水肿、无毒性甲状腺肿和甲状腺癌中可检测到这些甲状腺抗原的自身抗体。抗甲状腺球蛋白和抗微粒体（TPO）抗体最为常见，并且在桥本氏病中具有最高滴度。格雷夫斯氏病患者也可以表现出相对高滴度的甲状腺抗体。在其他甲状腺疾病和没有临床疾病证据的个体中也观察到这些自身抗体，但其滴度较低。2</w:t>
      </w:r>
    </w:p>
    <w:p w14:paraId="5F76ED7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p>
    <w:p w14:paraId="47CE9E2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较不常见的两种其它甲状腺抗体是胶体或CA-2和人甲状腺刺激性免疫球蛋白（TSI）的第二抗原的抗体。CA-2是不同于甲状腺球蛋白的微量胶体蛋白，并且其抗体的显著性不定。在低百分比的甲状腺炎患者中（其中，没有其他抗甲状腺抗体存在）以及在5％至10％的格雷夫斯氏病和甲状腺癌患者中可观察到阳性CA-2反应。</w:t>
      </w:r>
      <w:r>
        <w:rPr>
          <w:rFonts w:hint="eastAsia" w:ascii="宋体" w:hAnsi="宋体" w:eastAsia="宋体" w:cs="宋体"/>
          <w:color w:val="000000"/>
          <w:kern w:val="0"/>
          <w:sz w:val="18"/>
          <w:szCs w:val="18"/>
          <w:vertAlign w:val="superscript"/>
        </w:rPr>
        <w:t xml:space="preserve">2 </w:t>
      </w:r>
      <w:r>
        <w:rPr>
          <w:rFonts w:ascii="宋体" w:hAnsi="宋体" w:eastAsia="宋体" w:cs="宋体"/>
          <w:color w:val="000000"/>
          <w:kern w:val="0"/>
          <w:sz w:val="18"/>
          <w:szCs w:val="18"/>
          <w:vertAlign w:val="superscript"/>
        </w:rPr>
        <w:t xml:space="preserve"> </w:t>
      </w:r>
      <w:r>
        <w:rPr>
          <w:rFonts w:hint="eastAsia" w:ascii="宋体" w:hAnsi="宋体" w:eastAsia="宋体" w:cs="宋体"/>
          <w:color w:val="000000"/>
          <w:kern w:val="0"/>
          <w:sz w:val="18"/>
          <w:szCs w:val="18"/>
        </w:rPr>
        <w:t>CA-2抗体可以通过IFA检测。TSI，以前称为长效甲状腺刺激素（LATS），是一种多克隆γ球蛋白，其似乎与甲状腺细胞上的某一受体结合并可刺激甲状腺活动。其存在于约50％的格雷夫斯氏病患者的血清中，但不存在或仅存在于少数患有结节性中毒性甲状腺疾病或其它甲状腺疾病的患者中。TSI可以通过使用125 I标记的TSH和促甲状腺素（TSH）受体的竞争性抑制测定来进行测量。</w:t>
      </w:r>
    </w:p>
    <w:p w14:paraId="0A4E709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p>
    <w:p w14:paraId="3643DF4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vertAlign w:val="superscript"/>
        </w:rPr>
      </w:pPr>
      <w:r>
        <w:rPr>
          <w:rFonts w:hint="eastAsia" w:ascii="宋体" w:hAnsi="宋体" w:eastAsia="宋体" w:cs="宋体"/>
          <w:color w:val="000000"/>
          <w:kern w:val="0"/>
          <w:sz w:val="18"/>
          <w:szCs w:val="18"/>
        </w:rPr>
        <w:t>桥本氏甲状腺炎是一种发生在约1％至2％人群中的炎性病症（主要患者为中年女性），并且其特征是由于明显的淋巴细胞炎性变化导致的腺体增大。后者可以由具有活性生发中心的淋巴卵泡组成，其中大部分抗甲状腺球蛋白抗体似乎属于合成类。正常的甲状腺腺体结构被不利改变，并且在一些较为明显的病例中，进行性疾病可导致甲状腺萎缩和粘液水肿（干燥、蜡状肿胀，且在皮肤和与甲状腺功能减退相关的其它组织中出现的粘蛋白异常沉积）。在甲状腺毒症中，甲状腺可能含有小面积的淋巴浸润以及典型的腺体多动症的迹象。格雷夫斯氏病是一种多系统性疾病，其在年轻至中年女性中特别常见，并由不同程度的（1）甲状腺功能亢进与弥漫性甲状腺增生（扩散性中毒性甲状腺最常见的模式）； （2）肌病；和（3）浸润性眼病，常常导致眼球突出（眼球突出）组成。</w:t>
      </w:r>
      <w:r>
        <w:rPr>
          <w:rFonts w:hint="eastAsia" w:ascii="宋体" w:hAnsi="宋体" w:eastAsia="宋体" w:cs="宋体"/>
          <w:color w:val="000000"/>
          <w:kern w:val="0"/>
          <w:sz w:val="18"/>
          <w:szCs w:val="18"/>
          <w:vertAlign w:val="superscript"/>
        </w:rPr>
        <w:t>2</w:t>
      </w:r>
    </w:p>
    <w:p w14:paraId="16B737A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22E7A1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177A73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23F32C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942530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27C5DA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363BFD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66AE74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BF5DCA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2099D5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30DA8C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53AF48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89E23E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D336A8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C86E92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C6A93C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9A067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D17CD9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A94680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5BA108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于与自身抗体生产相关的所有器官疾病，重要的是确定所讨论的抗体何时呈致病性或与由于因非免疫原因引起的组织损伤而被释放的抗原反应。免疫反应性可能不是主要致病事件，但一旦存在，可能会使组织进一步损伤。有关桥本甲状腺炎和格雷夫斯氏病中甲状腺自身抗体的主要致病作用的证据是（1）在个体病例中自身抗体水平与疾病严重性之间缺乏相关性，以及（2）缺乏在因胎盘转移而具有高水平抗甲状腺抗体的婴儿中甲状腺疾病的进展。</w:t>
      </w:r>
    </w:p>
    <w:p w14:paraId="4569064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1994E3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D21991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B.  </w:t>
      </w:r>
      <w:r>
        <w:rPr>
          <w:rFonts w:hint="eastAsia" w:ascii="宋体" w:hAnsi="宋体" w:eastAsia="宋体" w:cs="宋体"/>
          <w:color w:val="000000"/>
          <w:kern w:val="0"/>
          <w:sz w:val="18"/>
          <w:szCs w:val="18"/>
        </w:rPr>
        <w:t>说明</w:t>
      </w:r>
      <w:r>
        <w:rPr>
          <w:rFonts w:ascii="宋体" w:hAnsi="宋体" w:eastAsia="宋体" w:cs="宋体"/>
          <w:color w:val="000000"/>
          <w:kern w:val="0"/>
          <w:sz w:val="18"/>
          <w:szCs w:val="18"/>
        </w:rPr>
        <w:t>：</w:t>
      </w:r>
    </w:p>
    <w:p w14:paraId="063838A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F4D955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提供简明讨论，酌情包括以下内容。使用关键文献引用支持讨论。</w:t>
      </w:r>
    </w:p>
    <w:p w14:paraId="1C351B6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D84B21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  </w:t>
      </w:r>
      <w:r>
        <w:rPr>
          <w:rFonts w:hint="eastAsia" w:ascii="宋体" w:hAnsi="宋体" w:eastAsia="宋体" w:cs="宋体"/>
          <w:color w:val="000000"/>
          <w:kern w:val="0"/>
          <w:sz w:val="18"/>
          <w:szCs w:val="18"/>
        </w:rPr>
        <w:t>临床适应症、显著性和预期用途。</w:t>
      </w:r>
    </w:p>
    <w:p w14:paraId="239D047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BDF5F7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w:t>
      </w:r>
      <w:r>
        <w:rPr>
          <w:rFonts w:hint="eastAsia" w:ascii="宋体" w:hAnsi="宋体" w:eastAsia="宋体" w:cs="宋体"/>
          <w:color w:val="000000"/>
          <w:kern w:val="0"/>
          <w:sz w:val="18"/>
          <w:szCs w:val="18"/>
        </w:rPr>
        <w:t>涉及的甲状腺疾病的背景说明，包括受影响人群类型（性别，年龄等）</w:t>
      </w:r>
    </w:p>
    <w:p w14:paraId="0DA7C43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F521EE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3.  </w:t>
      </w:r>
      <w:r>
        <w:rPr>
          <w:rFonts w:hint="eastAsia" w:ascii="宋体" w:hAnsi="宋体" w:eastAsia="宋体" w:cs="宋体"/>
          <w:color w:val="000000"/>
          <w:kern w:val="0"/>
          <w:sz w:val="18"/>
          <w:szCs w:val="18"/>
        </w:rPr>
        <w:t>阳性结果的显著性（疾病适应症和随访试验）。</w:t>
      </w:r>
    </w:p>
    <w:p w14:paraId="079C875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514F0E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4.  </w:t>
      </w:r>
      <w:r>
        <w:rPr>
          <w:rFonts w:hint="eastAsia" w:ascii="宋体" w:hAnsi="宋体" w:eastAsia="宋体" w:cs="宋体"/>
          <w:color w:val="000000"/>
          <w:kern w:val="0"/>
          <w:sz w:val="18"/>
          <w:szCs w:val="18"/>
        </w:rPr>
        <w:t>假阳性和假阴性结果的显著性。</w:t>
      </w:r>
    </w:p>
    <w:p w14:paraId="4F44140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C39662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5.  </w:t>
      </w:r>
      <w:r>
        <w:rPr>
          <w:rFonts w:hint="eastAsia" w:ascii="宋体" w:hAnsi="宋体" w:eastAsia="宋体" w:cs="宋体"/>
          <w:color w:val="000000"/>
          <w:kern w:val="0"/>
          <w:sz w:val="18"/>
          <w:szCs w:val="18"/>
        </w:rPr>
        <w:t>医学界的特别关注，包括可能影响审查过程或可能影响公共政策制定的相关医学问题。</w:t>
      </w:r>
    </w:p>
    <w:p w14:paraId="797B4A8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1BE533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6.</w:t>
      </w:r>
      <w:r>
        <w:rPr>
          <w:rFonts w:hint="eastAsia" w:ascii="宋体" w:hAnsi="宋体" w:eastAsia="宋体" w:cs="宋体"/>
          <w:color w:val="000000"/>
          <w:kern w:val="0"/>
          <w:sz w:val="18"/>
          <w:szCs w:val="18"/>
        </w:rPr>
        <w:t>用于检测抗体的所有测试方法的简要历史总结。</w:t>
      </w:r>
    </w:p>
    <w:p w14:paraId="2960797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2DBC2E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7.</w:t>
      </w:r>
      <w:r>
        <w:rPr>
          <w:rFonts w:hint="eastAsia" w:ascii="宋体" w:hAnsi="宋体" w:eastAsia="宋体" w:cs="宋体"/>
          <w:color w:val="000000"/>
          <w:kern w:val="0"/>
          <w:sz w:val="18"/>
          <w:szCs w:val="18"/>
        </w:rPr>
        <w:t>与其他可用方法相比，器械方法的优点/优势和限制/缺点。</w:t>
      </w:r>
    </w:p>
    <w:p w14:paraId="4457240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661809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8.</w:t>
      </w:r>
      <w:r>
        <w:rPr>
          <w:rFonts w:hint="eastAsia" w:ascii="宋体" w:hAnsi="宋体" w:eastAsia="宋体" w:cs="宋体"/>
          <w:color w:val="000000"/>
          <w:kern w:val="0"/>
          <w:sz w:val="18"/>
          <w:szCs w:val="18"/>
        </w:rPr>
        <w:t>基质。</w:t>
      </w:r>
    </w:p>
    <w:p w14:paraId="0868707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13A790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A20D4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4A0E6C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17299F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405C87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917F1B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6F51D2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337F31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84ACDA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727F18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C78561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9E42C3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46527E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26C773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5C7381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286690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62E048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186A87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II. </w:t>
      </w:r>
      <w:r>
        <w:rPr>
          <w:rFonts w:hint="eastAsia" w:ascii="宋体" w:hAnsi="宋体" w:eastAsia="宋体" w:cs="宋体"/>
          <w:color w:val="000000"/>
          <w:kern w:val="0"/>
          <w:sz w:val="18"/>
          <w:szCs w:val="18"/>
        </w:rPr>
        <w:t>器械描述</w:t>
      </w:r>
      <w:r>
        <w:rPr>
          <w:rFonts w:ascii="宋体" w:hAnsi="宋体" w:eastAsia="宋体" w:cs="宋体"/>
          <w:color w:val="000000"/>
          <w:kern w:val="0"/>
          <w:sz w:val="18"/>
          <w:szCs w:val="18"/>
        </w:rPr>
        <w:t>：</w:t>
      </w:r>
    </w:p>
    <w:p w14:paraId="6CB563D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3B2D6E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实质等同性的测定基于特定的预期用途（检测到何种分析物和适应症）和器械中使用的技术/方法。讨论器械方法的原理，以及其是否已经完整或为新方法且未经验证。</w:t>
      </w:r>
    </w:p>
    <w:p w14:paraId="2E43DD3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17FA15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5E214C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III. </w:t>
      </w:r>
      <w:r>
        <w:rPr>
          <w:rFonts w:hint="eastAsia" w:ascii="宋体" w:hAnsi="宋体" w:eastAsia="宋体" w:cs="宋体"/>
          <w:color w:val="000000"/>
          <w:kern w:val="0"/>
          <w:sz w:val="18"/>
          <w:szCs w:val="18"/>
        </w:rPr>
        <w:t>临床与非临床研究</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具体性能特性</w:t>
      </w:r>
      <w:r>
        <w:rPr>
          <w:rFonts w:ascii="宋体" w:hAnsi="宋体" w:eastAsia="宋体" w:cs="宋体"/>
          <w:color w:val="000000"/>
          <w:kern w:val="0"/>
          <w:sz w:val="18"/>
          <w:szCs w:val="18"/>
        </w:rPr>
        <w:t>：</w:t>
      </w:r>
    </w:p>
    <w:p w14:paraId="3FBFC8D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D1805E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FDA要求体外诊断器械的上市前通告申请中提供不同类型和数量的数据和统计分析。所需数据的数量和类型取决于新器械的预期用途、技术特性、测试是定性，定量还是半定量以及制造商提出的某些声明。可以通过与具有相同预期用途的任何合法销售的医疗器械（比较产品）进行比较来确定器械的性能。</w:t>
      </w:r>
    </w:p>
    <w:p w14:paraId="1B269B7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A9E953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证明对于使用该器械所需的所有有关实质等同性和特定性能特性的声明。明确记录用于体外测试的所有方案。展示测试数据结果、分析和结论。对结果进行总结，并包括有关非预期结果和执行的任何其他测试的解释。适当时，图表（散点图，直方图等）可以用作分析和结论的一部分。要求提交实际的且未经处理的实验室数据。</w:t>
      </w:r>
    </w:p>
    <w:p w14:paraId="638210A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5A6F4F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A.  </w:t>
      </w:r>
      <w:r>
        <w:rPr>
          <w:rFonts w:hint="eastAsia" w:ascii="宋体" w:hAnsi="宋体" w:eastAsia="宋体" w:cs="宋体"/>
          <w:color w:val="000000"/>
          <w:kern w:val="0"/>
          <w:sz w:val="18"/>
          <w:szCs w:val="18"/>
        </w:rPr>
        <w:t>分析性</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实验室</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体外研究</w:t>
      </w:r>
    </w:p>
    <w:p w14:paraId="7E972B3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77ED27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   </w:t>
      </w:r>
      <w:r>
        <w:rPr>
          <w:rFonts w:hint="eastAsia" w:ascii="宋体" w:hAnsi="宋体" w:eastAsia="宋体" w:cs="宋体"/>
          <w:color w:val="000000"/>
          <w:kern w:val="0"/>
          <w:sz w:val="18"/>
          <w:szCs w:val="18"/>
        </w:rPr>
        <w:t>确认临界点</w:t>
      </w:r>
    </w:p>
    <w:p w14:paraId="7F84C76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3184BD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说明确定测定界限的基本原理。提供描述性信息和实验室数据，以说明如何通过测定确定临界点（阳性和阴性或医疗诊断点之间的区别）。</w:t>
      </w:r>
    </w:p>
    <w:p w14:paraId="4D15899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7D7A02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w:t>
      </w:r>
      <w:r>
        <w:rPr>
          <w:rFonts w:hint="eastAsia" w:ascii="宋体" w:hAnsi="宋体" w:eastAsia="宋体" w:cs="宋体"/>
          <w:color w:val="000000"/>
          <w:kern w:val="0"/>
          <w:sz w:val="18"/>
          <w:szCs w:val="18"/>
        </w:rPr>
        <w:t>定义所用人群，包括以下信息：</w:t>
      </w:r>
    </w:p>
    <w:p w14:paraId="0B8397F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C15D19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vertAlign w:val="superscript"/>
        </w:rPr>
      </w:pPr>
      <w:r>
        <w:rPr>
          <w:rFonts w:ascii="宋体" w:hAnsi="宋体" w:eastAsia="宋体" w:cs="宋体"/>
          <w:color w:val="000000"/>
          <w:kern w:val="0"/>
          <w:sz w:val="18"/>
          <w:szCs w:val="18"/>
        </w:rPr>
        <w:t xml:space="preserve">        i.    </w:t>
      </w:r>
      <w:r>
        <w:rPr>
          <w:rFonts w:hint="eastAsia" w:ascii="宋体" w:hAnsi="宋体" w:eastAsia="宋体" w:cs="宋体"/>
          <w:color w:val="000000"/>
          <w:kern w:val="0"/>
          <w:sz w:val="18"/>
          <w:szCs w:val="18"/>
        </w:rPr>
        <w:t>正常人群中的样本数（用于确定初始筛选稀释），并根据性别和年龄组归纳样本。</w:t>
      </w:r>
      <w:r>
        <w:rPr>
          <w:rFonts w:ascii="宋体" w:hAnsi="宋体" w:eastAsia="宋体" w:cs="宋体"/>
          <w:color w:val="000000"/>
          <w:kern w:val="0"/>
          <w:sz w:val="18"/>
          <w:szCs w:val="18"/>
          <w:vertAlign w:val="superscript"/>
        </w:rPr>
        <w:t>4</w:t>
      </w:r>
    </w:p>
    <w:p w14:paraId="03D821D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55B721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3B157D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0A3A77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F3DFAD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4402D0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CFDCAD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5F15DA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1B2C16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785034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577D2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BDA6CB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1492DA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D9BFF6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902E5D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12F75B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B9C930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F4E77B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ii.   </w:t>
      </w:r>
      <w:r>
        <w:rPr>
          <w:rFonts w:hint="eastAsia" w:ascii="宋体" w:hAnsi="宋体" w:eastAsia="宋体" w:cs="宋体"/>
          <w:color w:val="000000"/>
          <w:kern w:val="0"/>
          <w:sz w:val="18"/>
          <w:szCs w:val="18"/>
        </w:rPr>
        <w:t>每个疾病组（根据性别和年龄组归纳）中含有的样本数。</w:t>
      </w:r>
    </w:p>
    <w:p w14:paraId="6B26B6C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9C01D2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iii.  </w:t>
      </w:r>
      <w:r>
        <w:rPr>
          <w:rFonts w:hint="eastAsia" w:ascii="宋体" w:hAnsi="宋体" w:eastAsia="宋体" w:cs="宋体"/>
          <w:color w:val="000000"/>
          <w:kern w:val="0"/>
          <w:sz w:val="18"/>
          <w:szCs w:val="18"/>
        </w:rPr>
        <w:t>人群所来自的地理区域。</w:t>
      </w:r>
    </w:p>
    <w:p w14:paraId="77EE441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8ACBEF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iv.  </w:t>
      </w:r>
      <w:r>
        <w:rPr>
          <w:rFonts w:hint="eastAsia" w:ascii="宋体" w:hAnsi="宋体" w:eastAsia="宋体" w:cs="宋体"/>
          <w:color w:val="000000"/>
          <w:kern w:val="0"/>
          <w:sz w:val="18"/>
          <w:szCs w:val="18"/>
        </w:rPr>
        <w:t>人群特征的图形（例如，散点图，直方图等）表示。</w:t>
      </w:r>
    </w:p>
    <w:p w14:paraId="675A5C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F0D5BB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  </w:t>
      </w:r>
      <w:r>
        <w:rPr>
          <w:rFonts w:hint="eastAsia" w:ascii="宋体" w:hAnsi="宋体" w:eastAsia="宋体" w:cs="宋体"/>
          <w:color w:val="000000"/>
          <w:kern w:val="0"/>
          <w:sz w:val="18"/>
          <w:szCs w:val="18"/>
        </w:rPr>
        <w:t>定义用于测定临界点的统计方法。</w:t>
      </w:r>
    </w:p>
    <w:p w14:paraId="6AE58EB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7484C0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  </w:t>
      </w:r>
      <w:r>
        <w:rPr>
          <w:rFonts w:hint="eastAsia" w:ascii="宋体" w:hAnsi="宋体" w:eastAsia="宋体" w:cs="宋体"/>
          <w:color w:val="000000"/>
          <w:kern w:val="0"/>
          <w:sz w:val="18"/>
          <w:szCs w:val="18"/>
        </w:rPr>
        <w:t>适当地给出临界点选择的受试者工作曲线（ROC）分析和其他图形表示。</w:t>
      </w:r>
    </w:p>
    <w:p w14:paraId="7A56018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BFAC20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  </w:t>
      </w:r>
      <w:r>
        <w:rPr>
          <w:rFonts w:hint="eastAsia" w:ascii="宋体" w:hAnsi="宋体" w:eastAsia="宋体" w:cs="宋体"/>
          <w:color w:val="000000"/>
          <w:kern w:val="0"/>
          <w:sz w:val="18"/>
          <w:szCs w:val="18"/>
        </w:rPr>
        <w:t>定义未定区域的原则（如果适用）。</w:t>
      </w:r>
    </w:p>
    <w:p w14:paraId="752F720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  </w:t>
      </w:r>
      <w:r>
        <w:rPr>
          <w:rFonts w:hint="eastAsia" w:ascii="宋体" w:hAnsi="宋体" w:eastAsia="宋体" w:cs="宋体"/>
          <w:color w:val="000000"/>
          <w:kern w:val="0"/>
          <w:sz w:val="18"/>
          <w:szCs w:val="18"/>
        </w:rPr>
        <w:t>试剂特性</w:t>
      </w:r>
    </w:p>
    <w:p w14:paraId="3DE419D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F95790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w:t>
      </w:r>
      <w:r>
        <w:rPr>
          <w:rFonts w:hint="eastAsia" w:ascii="宋体" w:hAnsi="宋体" w:eastAsia="宋体" w:cs="宋体"/>
          <w:color w:val="000000"/>
          <w:kern w:val="0"/>
          <w:sz w:val="18"/>
          <w:szCs w:val="18"/>
        </w:rPr>
        <w:t>给出在测定中使用的抗原和抗体的简介。</w:t>
      </w:r>
    </w:p>
    <w:p w14:paraId="220CE74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4B35E4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    </w:t>
      </w:r>
      <w:r>
        <w:rPr>
          <w:rFonts w:hint="eastAsia" w:ascii="宋体" w:hAnsi="宋体" w:eastAsia="宋体" w:cs="宋体"/>
          <w:color w:val="000000"/>
          <w:kern w:val="0"/>
          <w:sz w:val="18"/>
          <w:szCs w:val="18"/>
        </w:rPr>
        <w:t>如果使用任何重组技术用于制备抗原，则说明所使用的方法。</w:t>
      </w:r>
    </w:p>
    <w:p w14:paraId="4318D65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3.  </w:t>
      </w:r>
      <w:r>
        <w:rPr>
          <w:rFonts w:hint="eastAsia" w:ascii="宋体" w:hAnsi="宋体" w:eastAsia="宋体" w:cs="宋体"/>
          <w:color w:val="000000"/>
          <w:kern w:val="0"/>
          <w:sz w:val="18"/>
          <w:szCs w:val="18"/>
        </w:rPr>
        <w:t>测定特异性</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干扰物质</w:t>
      </w:r>
    </w:p>
    <w:p w14:paraId="3B7F16A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655EF7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在特定样本类型或条件下遇到的任何潜在的交叉反应或干扰物质应该使用测定系统进行测试，例如溶血、脂血、微生物污染、存在的其他分析物或其他自身抗体以及储存或冻融。</w:t>
      </w:r>
    </w:p>
    <w:p w14:paraId="73E3E41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1160AD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w:t>
      </w:r>
      <w:r>
        <w:rPr>
          <w:rFonts w:hint="eastAsia" w:ascii="宋体" w:hAnsi="宋体" w:eastAsia="宋体" w:cs="宋体"/>
          <w:color w:val="000000"/>
          <w:kern w:val="0"/>
          <w:sz w:val="18"/>
          <w:szCs w:val="18"/>
        </w:rPr>
        <w:t>验证建议储存条件与测定是否相符。说明基于样本储存稳定性研究的最佳条件。应评估假阳性和阴性（如适用）。</w:t>
      </w:r>
    </w:p>
    <w:p w14:paraId="3E48F54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0ED021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   </w:t>
      </w:r>
      <w:r>
        <w:rPr>
          <w:rFonts w:hint="eastAsia" w:ascii="宋体" w:hAnsi="宋体" w:eastAsia="宋体" w:cs="宋体"/>
          <w:color w:val="000000"/>
          <w:kern w:val="0"/>
          <w:sz w:val="18"/>
          <w:szCs w:val="18"/>
        </w:rPr>
        <w:t>如果要求使用血浆，则必须对每种抗凝剂进行研究，以表明每种抗凝血剂均不干扰测定。</w:t>
      </w:r>
    </w:p>
    <w:p w14:paraId="4898108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8D29E0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   </w:t>
      </w:r>
      <w:r>
        <w:rPr>
          <w:rFonts w:hint="eastAsia" w:ascii="宋体" w:hAnsi="宋体" w:eastAsia="宋体" w:cs="宋体"/>
          <w:color w:val="000000"/>
          <w:kern w:val="0"/>
          <w:sz w:val="18"/>
          <w:szCs w:val="18"/>
        </w:rPr>
        <w:t>对于每种抗凝血剂，测试10个在临界点为阳性的匹配血清和血浆样本。</w:t>
      </w:r>
    </w:p>
    <w:p w14:paraId="5510C35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ECE442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24F9A4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ACB597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9ABB6D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3C7F49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617E85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E16E28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038317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6BB973F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1E9692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4D45CC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82746E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D7CAAE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CAC30B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882BB6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F5F86B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E92AA9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ii.  </w:t>
      </w:r>
      <w:r>
        <w:rPr>
          <w:rFonts w:hint="eastAsia" w:ascii="宋体" w:hAnsi="宋体" w:eastAsia="宋体" w:cs="宋体"/>
          <w:color w:val="000000"/>
          <w:kern w:val="0"/>
          <w:sz w:val="18"/>
          <w:szCs w:val="18"/>
        </w:rPr>
        <w:t>对于每种抗凝血剂，测试10匹配阴性血清和血浆样本。</w:t>
      </w:r>
    </w:p>
    <w:p w14:paraId="5EC38E5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F29560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如果预期抗凝血剂无干扰（如高稀释因子），请提供说明</w:t>
      </w:r>
    </w:p>
    <w:p w14:paraId="1865F1E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A0FB55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4.  </w:t>
      </w:r>
      <w:r>
        <w:rPr>
          <w:rFonts w:hint="eastAsia" w:ascii="宋体" w:hAnsi="宋体" w:eastAsia="宋体" w:cs="宋体"/>
          <w:color w:val="000000"/>
          <w:kern w:val="0"/>
          <w:sz w:val="18"/>
          <w:szCs w:val="18"/>
        </w:rPr>
        <w:t>性能特性</w:t>
      </w:r>
    </w:p>
    <w:p w14:paraId="4C5EADC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D5F746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请包括以下性能特性</w:t>
      </w:r>
      <w:r>
        <w:rPr>
          <w:rFonts w:ascii="宋体" w:hAnsi="宋体" w:eastAsia="宋体" w:cs="宋体"/>
          <w:color w:val="000000"/>
          <w:kern w:val="0"/>
          <w:sz w:val="18"/>
          <w:szCs w:val="18"/>
        </w:rPr>
        <w:t>：</w:t>
      </w:r>
    </w:p>
    <w:p w14:paraId="2532FA5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8F0744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w:t>
      </w:r>
      <w:r>
        <w:rPr>
          <w:rFonts w:hint="eastAsia" w:ascii="宋体" w:hAnsi="宋体" w:eastAsia="宋体" w:cs="宋体"/>
          <w:color w:val="000000"/>
          <w:kern w:val="0"/>
          <w:sz w:val="18"/>
          <w:szCs w:val="18"/>
        </w:rPr>
        <w:t>分析敏感性</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如适用</w:t>
      </w:r>
      <w:r>
        <w:rPr>
          <w:rFonts w:ascii="宋体" w:hAnsi="宋体" w:eastAsia="宋体" w:cs="宋体"/>
          <w:color w:val="000000"/>
          <w:kern w:val="0"/>
          <w:sz w:val="18"/>
          <w:szCs w:val="18"/>
        </w:rPr>
        <w:t>）</w:t>
      </w:r>
    </w:p>
    <w:p w14:paraId="241B89C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1CE1C2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分析敏感性或检测限的定义为从零区分的最低量（通常使用高于零控制平均值的95％置信区间或2个标准偏差（SD））。</w:t>
      </w:r>
      <w:r>
        <w:rPr>
          <w:rFonts w:hint="eastAsia" w:ascii="宋体" w:hAnsi="宋体" w:eastAsia="宋体" w:cs="宋体"/>
          <w:color w:val="000000"/>
          <w:kern w:val="0"/>
          <w:sz w:val="18"/>
          <w:szCs w:val="18"/>
          <w:vertAlign w:val="superscript"/>
        </w:rPr>
        <w:t>4，5</w:t>
      </w:r>
      <w:r>
        <w:rPr>
          <w:rFonts w:hint="eastAsia" w:ascii="宋体" w:hAnsi="宋体" w:eastAsia="宋体" w:cs="宋体"/>
          <w:color w:val="000000"/>
          <w:kern w:val="0"/>
          <w:sz w:val="18"/>
          <w:szCs w:val="18"/>
        </w:rPr>
        <w:t>在同一运行中运行零标准（零稀释剂）至少20-25次，并计算零标准的平均值和平均值的2 SD（计数，OD等）。如果分析物的水平在临床上不具显著性，则检测限的测定可能不相关。</w:t>
      </w:r>
    </w:p>
    <w:p w14:paraId="1FDF819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057DEC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   </w:t>
      </w:r>
      <w:r>
        <w:rPr>
          <w:rFonts w:hint="eastAsia" w:ascii="宋体" w:hAnsi="宋体" w:eastAsia="宋体" w:cs="宋体"/>
          <w:color w:val="000000"/>
          <w:kern w:val="0"/>
          <w:sz w:val="18"/>
          <w:szCs w:val="18"/>
        </w:rPr>
        <w:t>相对敏感性和特异性</w:t>
      </w:r>
    </w:p>
    <w:p w14:paraId="624B178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2D41A3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应通过与合法销售的器械或参考方法进行比较来测定相对敏感性和特异性，并在包装说明书的性能特性部分中报告。</w:t>
      </w:r>
    </w:p>
    <w:p w14:paraId="3F26A1A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    </w:t>
      </w:r>
      <w:r>
        <w:rPr>
          <w:rFonts w:hint="eastAsia" w:ascii="宋体" w:hAnsi="宋体" w:eastAsia="宋体" w:cs="宋体"/>
          <w:color w:val="000000"/>
          <w:kern w:val="0"/>
          <w:sz w:val="18"/>
          <w:szCs w:val="18"/>
        </w:rPr>
        <w:t>线性范围</w:t>
      </w:r>
    </w:p>
    <w:p w14:paraId="1C98176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CF424C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验证正常和异常样本测定的线性范围，其须覆盖整个可报告的测定范围。</w:t>
      </w:r>
      <w:r>
        <w:rPr>
          <w:rFonts w:hint="eastAsia" w:ascii="宋体" w:hAnsi="宋体" w:eastAsia="宋体" w:cs="宋体"/>
          <w:color w:val="000000"/>
          <w:kern w:val="0"/>
          <w:sz w:val="18"/>
          <w:szCs w:val="18"/>
          <w:vertAlign w:val="superscript"/>
        </w:rPr>
        <w:t>6</w:t>
      </w:r>
    </w:p>
    <w:p w14:paraId="59EF5DB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E5F742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    </w:t>
      </w:r>
      <w:r>
        <w:rPr>
          <w:rFonts w:hint="eastAsia" w:ascii="宋体" w:hAnsi="宋体" w:eastAsia="宋体" w:cs="宋体"/>
          <w:color w:val="000000"/>
          <w:kern w:val="0"/>
          <w:sz w:val="18"/>
          <w:szCs w:val="18"/>
        </w:rPr>
        <w:t>重现性与可重复性研究</w:t>
      </w:r>
      <w:r>
        <w:rPr>
          <w:rFonts w:ascii="宋体" w:hAnsi="宋体" w:eastAsia="宋体" w:cs="宋体"/>
          <w:color w:val="000000"/>
          <w:kern w:val="0"/>
          <w:sz w:val="18"/>
          <w:szCs w:val="18"/>
        </w:rPr>
        <w:t xml:space="preserve"> </w:t>
      </w:r>
      <w:r>
        <w:rPr>
          <w:rFonts w:ascii="宋体" w:hAnsi="宋体" w:eastAsia="宋体" w:cs="宋体"/>
          <w:color w:val="000000"/>
          <w:kern w:val="0"/>
          <w:sz w:val="18"/>
          <w:szCs w:val="18"/>
          <w:vertAlign w:val="superscript"/>
        </w:rPr>
        <w:t>4，5，6，7，8</w:t>
      </w:r>
    </w:p>
    <w:p w14:paraId="680CB28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124A7B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国家临床实验室标准化委员会（NCCLS）建议对方差实验进行分析，该实验测试分析物（在这种情况下为甲状腺自身抗体）的医疗诊断点（正常或升高）附近的两个临床显著水平。</w:t>
      </w:r>
      <w:r>
        <w:rPr>
          <w:rFonts w:hint="eastAsia" w:ascii="宋体" w:hAnsi="宋体" w:eastAsia="宋体" w:cs="宋体"/>
          <w:color w:val="000000"/>
          <w:kern w:val="0"/>
          <w:sz w:val="18"/>
          <w:szCs w:val="18"/>
          <w:vertAlign w:val="superscript"/>
        </w:rPr>
        <w:t>8</w:t>
      </w:r>
      <w:r>
        <w:rPr>
          <w:rFonts w:hint="eastAsia" w:ascii="宋体" w:hAnsi="宋体" w:eastAsia="宋体" w:cs="宋体"/>
          <w:color w:val="000000"/>
          <w:kern w:val="0"/>
          <w:sz w:val="18"/>
          <w:szCs w:val="18"/>
        </w:rPr>
        <w:t>在同一运行和每天两次不同运行中使用模拟患者样本或实际患者样本之间的对照3次，共20天。这允许单独估计日间、运行间和日内标准偏差（SD）以及运行内和总SD。</w:t>
      </w:r>
    </w:p>
    <w:p w14:paraId="2B1020F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43F1E8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0A8A1E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12E464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590C8D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B61468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7DEC56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4C22D5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F44A85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6BF1123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E6D6CE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A3D174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EC8DCA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A996FA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BE8124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C660CB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0ACB34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   </w:t>
      </w:r>
      <w:r>
        <w:rPr>
          <w:rFonts w:hint="eastAsia" w:ascii="宋体" w:hAnsi="宋体" w:eastAsia="宋体" w:cs="宋体"/>
          <w:color w:val="000000"/>
          <w:kern w:val="0"/>
          <w:sz w:val="18"/>
          <w:szCs w:val="18"/>
        </w:rPr>
        <w:t>定性</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定量测试</w:t>
      </w:r>
      <w:r>
        <w:rPr>
          <w:rFonts w:ascii="宋体" w:hAnsi="宋体" w:eastAsia="宋体" w:cs="宋体"/>
          <w:color w:val="000000"/>
          <w:kern w:val="0"/>
          <w:sz w:val="18"/>
          <w:szCs w:val="18"/>
        </w:rPr>
        <w:t>：</w:t>
      </w:r>
    </w:p>
    <w:p w14:paraId="7D4552F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99764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计算每组值之间的总，日间和日内以及运行内的平均值及不精确变异系数。</w:t>
      </w:r>
    </w:p>
    <w:p w14:paraId="2688996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ii. </w:t>
      </w:r>
      <w:r>
        <w:rPr>
          <w:rFonts w:hint="eastAsia" w:ascii="宋体" w:hAnsi="宋体" w:eastAsia="宋体" w:cs="宋体"/>
          <w:color w:val="000000"/>
          <w:kern w:val="0"/>
          <w:sz w:val="18"/>
          <w:szCs w:val="18"/>
        </w:rPr>
        <w:t>半定量测试</w:t>
      </w:r>
      <w:r>
        <w:rPr>
          <w:rFonts w:ascii="宋体" w:hAnsi="宋体" w:eastAsia="宋体" w:cs="宋体"/>
          <w:color w:val="000000"/>
          <w:kern w:val="0"/>
          <w:sz w:val="18"/>
          <w:szCs w:val="18"/>
        </w:rPr>
        <w:t>：</w:t>
      </w:r>
    </w:p>
    <w:p w14:paraId="7F8D06A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2E2460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在具有滴定形式的器械中，例如免疫荧光测定，证明运行内重现性在通常可接受的加或减一倍两倍稀释的限度内。</w:t>
      </w:r>
    </w:p>
    <w:p w14:paraId="29D3A47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iii. </w:t>
      </w:r>
      <w:r>
        <w:rPr>
          <w:rFonts w:hint="eastAsia" w:ascii="宋体" w:hAnsi="宋体" w:eastAsia="宋体" w:cs="宋体"/>
          <w:color w:val="000000"/>
          <w:kern w:val="0"/>
          <w:sz w:val="18"/>
          <w:szCs w:val="18"/>
        </w:rPr>
        <w:t>平均值</w:t>
      </w:r>
      <w:r>
        <w:rPr>
          <w:rFonts w:ascii="宋体" w:hAnsi="宋体" w:eastAsia="宋体" w:cs="宋体"/>
          <w:color w:val="000000"/>
          <w:kern w:val="0"/>
          <w:sz w:val="18"/>
          <w:szCs w:val="18"/>
        </w:rPr>
        <w:t xml:space="preserve">， SD </w:t>
      </w:r>
      <w:r>
        <w:rPr>
          <w:rFonts w:hint="eastAsia" w:ascii="宋体" w:hAnsi="宋体" w:eastAsia="宋体" w:cs="宋体"/>
          <w:color w:val="000000"/>
          <w:kern w:val="0"/>
          <w:sz w:val="18"/>
          <w:szCs w:val="18"/>
        </w:rPr>
        <w:t>以及变异系数</w:t>
      </w:r>
      <w:r>
        <w:rPr>
          <w:rFonts w:ascii="宋体" w:hAnsi="宋体" w:eastAsia="宋体" w:cs="宋体"/>
          <w:color w:val="000000"/>
          <w:kern w:val="0"/>
          <w:sz w:val="18"/>
          <w:szCs w:val="18"/>
        </w:rPr>
        <w:t>：</w:t>
      </w:r>
    </w:p>
    <w:p w14:paraId="2CABE18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670F91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在包装说明书的性能特性部分中根据样本重复次数报告适当的平均值、SD和/或变异系数与置信水平。报告每天的运行次数。</w:t>
      </w:r>
    </w:p>
    <w:p w14:paraId="1F15557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5914C3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e.    </w:t>
      </w:r>
      <w:r>
        <w:rPr>
          <w:rFonts w:hint="eastAsia" w:ascii="宋体" w:hAnsi="宋体" w:eastAsia="宋体" w:cs="宋体"/>
          <w:color w:val="000000"/>
          <w:kern w:val="0"/>
          <w:sz w:val="18"/>
          <w:szCs w:val="18"/>
        </w:rPr>
        <w:t>前带或高剂量钩状效应研究</w:t>
      </w:r>
    </w:p>
    <w:p w14:paraId="76DCECA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F3F60A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测试具有最高滴度、连续稀释和未稀释的样本。如果遇到前带问题，在包装说明书的性能特性部分中说明检测到前带问题的部位，以及用户用以纠正问题的程序。在适当的情况下，说明主观性测试中前带反应的形式。</w:t>
      </w:r>
    </w:p>
    <w:p w14:paraId="0C4CF2F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f.    </w:t>
      </w:r>
      <w:r>
        <w:rPr>
          <w:rFonts w:hint="eastAsia" w:ascii="宋体" w:hAnsi="宋体" w:eastAsia="宋体" w:cs="宋体"/>
          <w:color w:val="000000"/>
          <w:kern w:val="0"/>
          <w:sz w:val="18"/>
          <w:szCs w:val="18"/>
        </w:rPr>
        <w:t>替代试验场地</w:t>
      </w:r>
    </w:p>
    <w:p w14:paraId="4AFE672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E2AAF3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请包括在这些环境中进行的重现性研究。新技术的现场测试应至少包括三个独立的替代试验场地。在这三个场地中的每一个场地，均应对器械的精密度和精确度进行评估。由现场人员和专业实验室人员测试的样本应具有统计上有效的数量，并对结果进行比较，表明器械在训练较少的用户操作时的性能。</w:t>
      </w:r>
    </w:p>
    <w:p w14:paraId="6C2E599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3F685B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402C63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9604D9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7DE920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C88924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0B3091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6A0D259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F9D109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43A3D4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AE40D1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A1678F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A7BBDF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7197D5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2DC772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B0824D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667E1A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EDED46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7DD7F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F6D29B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483335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2583C1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28E77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5.  </w:t>
      </w:r>
      <w:r>
        <w:rPr>
          <w:rFonts w:hint="eastAsia" w:ascii="宋体" w:hAnsi="宋体" w:eastAsia="宋体" w:cs="宋体"/>
          <w:color w:val="000000"/>
          <w:kern w:val="0"/>
          <w:sz w:val="18"/>
          <w:szCs w:val="18"/>
        </w:rPr>
        <w:t>对比研究</w:t>
      </w:r>
    </w:p>
    <w:p w14:paraId="4BC9599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884C47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将新器械与合法销售的器械进行比较。包括合法销售的器械的包装说明书。</w:t>
      </w:r>
    </w:p>
    <w:p w14:paraId="66BE6C5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5C550F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A9FB0B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建议采用公认的参考方法（如果有的话）进行比较，以使对拟定器械的性能特性进行公正的评估，特别是如果新器械与合法销售的器械之间在方法/技术方面存在较大差异。</w:t>
      </w:r>
    </w:p>
    <w:p w14:paraId="2EB0101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3791DC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w:t>
      </w:r>
      <w:r>
        <w:rPr>
          <w:rFonts w:hint="eastAsia" w:ascii="宋体" w:hAnsi="宋体" w:eastAsia="宋体" w:cs="宋体"/>
          <w:color w:val="000000"/>
          <w:kern w:val="0"/>
          <w:sz w:val="18"/>
          <w:szCs w:val="18"/>
        </w:rPr>
        <w:t>定性测试</w:t>
      </w:r>
      <w:r>
        <w:rPr>
          <w:rFonts w:ascii="宋体" w:hAnsi="宋体" w:eastAsia="宋体" w:cs="宋体"/>
          <w:color w:val="000000"/>
          <w:kern w:val="0"/>
          <w:sz w:val="18"/>
          <w:szCs w:val="18"/>
        </w:rPr>
        <w:t>：</w:t>
      </w:r>
    </w:p>
    <w:p w14:paraId="04AF558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0BDF5B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应在足够数量的阳性和阴性样本上进行研究，以使其在统计上具有显著性。（统计学家可以建议一个适当的数值。）</w:t>
      </w:r>
    </w:p>
    <w:p w14:paraId="4ECC50C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9B07DA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    </w:t>
      </w:r>
      <w:r>
        <w:rPr>
          <w:rFonts w:hint="eastAsia" w:ascii="宋体" w:hAnsi="宋体" w:eastAsia="宋体" w:cs="宋体"/>
          <w:color w:val="000000"/>
          <w:kern w:val="0"/>
          <w:sz w:val="18"/>
          <w:szCs w:val="18"/>
        </w:rPr>
        <w:t>定量</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半定量测试</w:t>
      </w:r>
      <w:r>
        <w:rPr>
          <w:rFonts w:ascii="宋体" w:hAnsi="宋体" w:eastAsia="宋体" w:cs="宋体"/>
          <w:color w:val="000000"/>
          <w:kern w:val="0"/>
          <w:sz w:val="18"/>
          <w:szCs w:val="18"/>
        </w:rPr>
        <w:t>：</w:t>
      </w:r>
    </w:p>
    <w:p w14:paraId="2D07E93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7ECA9B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仅有当浓度已知的公认标准物质可用于标准化测定中计算结果的校准物或标准物时，测定才被视为定量。</w:t>
      </w:r>
    </w:p>
    <w:p w14:paraId="2ADE83C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374E6E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如果用以证实定量声明的新器械中使用的参比物与比较器械中使用的参比物相同，则应当提交对比数据，表明标准物质用作样本时两种测定之间的相关性。通过新器械和比较器械运行连续稀释的参比物。测定应显示类似结果。</w:t>
      </w:r>
    </w:p>
    <w:p w14:paraId="7CED346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053F39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对比使用不含干扰物质的阳性甲状腺自身抗体样本获得的结果，样本覆盖整个测定范围（抗体从低到高水平）的40-100个个人。</w:t>
      </w:r>
      <w:r>
        <w:rPr>
          <w:rFonts w:hint="eastAsia" w:ascii="宋体" w:hAnsi="宋体" w:eastAsia="宋体" w:cs="宋体"/>
          <w:color w:val="000000"/>
          <w:kern w:val="0"/>
          <w:sz w:val="18"/>
          <w:szCs w:val="18"/>
          <w:vertAlign w:val="superscript"/>
        </w:rPr>
        <w:t>7，9</w:t>
      </w:r>
    </w:p>
    <w:p w14:paraId="011F997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284CED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p>
    <w:p w14:paraId="620795D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进行线性回归分析并报告斜率、截距、相关系数、测定范围以及测试样本的性质和数量。</w:t>
      </w:r>
    </w:p>
    <w:p w14:paraId="5DDE5A5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3A8BD5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48D1E1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6F7FEF0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CC1F89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7D8814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FF1405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3542E3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684D9F4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EB07DD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A82C5A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76DC1E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17497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EAB455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2C2185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6003512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351C2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A8D9FF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    </w:t>
      </w:r>
      <w:r>
        <w:rPr>
          <w:rFonts w:hint="eastAsia" w:ascii="宋体" w:hAnsi="宋体" w:eastAsia="宋体" w:cs="宋体"/>
          <w:color w:val="000000"/>
          <w:kern w:val="0"/>
          <w:sz w:val="18"/>
          <w:szCs w:val="18"/>
        </w:rPr>
        <w:t>对比差异</w:t>
      </w:r>
      <w:r>
        <w:rPr>
          <w:rFonts w:ascii="宋体" w:hAnsi="宋体" w:eastAsia="宋体" w:cs="宋体"/>
          <w:color w:val="000000"/>
          <w:kern w:val="0"/>
          <w:sz w:val="18"/>
          <w:szCs w:val="18"/>
        </w:rPr>
        <w:t>：</w:t>
      </w:r>
    </w:p>
    <w:p w14:paraId="6F8C044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F8482A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新器械和比较方法之间的可疑结果或差异应使用另一种方法或临床诊断来解决。</w:t>
      </w:r>
    </w:p>
    <w:p w14:paraId="4E7642E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CC2912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6.  </w:t>
      </w:r>
      <w:r>
        <w:rPr>
          <w:rFonts w:hint="eastAsia" w:ascii="宋体" w:hAnsi="宋体" w:eastAsia="宋体" w:cs="宋体"/>
          <w:color w:val="000000"/>
          <w:kern w:val="0"/>
          <w:sz w:val="18"/>
          <w:szCs w:val="18"/>
        </w:rPr>
        <w:t>样本采集与处理条件</w:t>
      </w:r>
    </w:p>
    <w:p w14:paraId="5225233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05E990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rPr>
        <w:t>在</w:t>
      </w:r>
      <w:r>
        <w:rPr>
          <w:rFonts w:hint="eastAsia" w:ascii="宋体" w:hAnsi="宋体" w:eastAsia="宋体" w:cs="宋体"/>
          <w:color w:val="000000"/>
          <w:kern w:val="0"/>
          <w:sz w:val="18"/>
          <w:szCs w:val="18"/>
        </w:rPr>
        <w:t>包装说明书中说明样本采集、储存和处理条件，并在提交材料中提供数据或适当的参考资料以证明声明。</w:t>
      </w:r>
    </w:p>
    <w:p w14:paraId="5B240BD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CA6008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7. </w:t>
      </w:r>
      <w:r>
        <w:rPr>
          <w:rFonts w:hint="eastAsia" w:ascii="宋体" w:hAnsi="宋体" w:eastAsia="宋体" w:cs="宋体"/>
          <w:color w:val="000000"/>
          <w:kern w:val="0"/>
          <w:sz w:val="18"/>
          <w:szCs w:val="18"/>
        </w:rPr>
        <w:t>计算机控制医疗器械</w:t>
      </w:r>
    </w:p>
    <w:p w14:paraId="06F8C8C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D7F984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有关计算机辅助临床实验室器械的信息，请参见可从小型制造商服务组（DSMA），1-800-638-2041获得的“有关接受510（k）审查的计算机控制医疗器械的审查指南”。</w:t>
      </w:r>
    </w:p>
    <w:p w14:paraId="08792EF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2B43E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A8826C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B.  </w:t>
      </w:r>
      <w:r>
        <w:rPr>
          <w:rFonts w:hint="eastAsia" w:ascii="宋体" w:hAnsi="宋体" w:eastAsia="宋体" w:cs="宋体"/>
          <w:color w:val="000000"/>
          <w:kern w:val="0"/>
          <w:sz w:val="18"/>
          <w:szCs w:val="18"/>
        </w:rPr>
        <w:t>临床研究</w:t>
      </w:r>
    </w:p>
    <w:p w14:paraId="29B8986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79F833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在某些情况下，需要比较临床数据确定实质等同性，例如，在器械类别中引入新型或不常见的方法或技术特征，其中声称临床性能等同于使用“常规” 技术的合法销售器械的临床性能。</w:t>
      </w:r>
    </w:p>
    <w:p w14:paraId="0E39D98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B8719F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对于510（k）提交，请将器械与合法销售的器械进行对比。理想情况下，该研究应在独立的临床实验室场所进行。建议至少使另外两名独立研究者在单独的外部地点进行研究。研究者应根据机构名称和地址确定。</w:t>
      </w:r>
    </w:p>
    <w:p w14:paraId="3CEA4EB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1AFCEA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  </w:t>
      </w:r>
      <w:r>
        <w:rPr>
          <w:rFonts w:hint="eastAsia" w:ascii="宋体" w:hAnsi="宋体" w:eastAsia="宋体" w:cs="宋体"/>
          <w:color w:val="000000"/>
          <w:kern w:val="0"/>
          <w:sz w:val="18"/>
          <w:szCs w:val="18"/>
        </w:rPr>
        <w:t>适当的临床研究</w:t>
      </w:r>
    </w:p>
    <w:p w14:paraId="106D8D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D720E0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w:t>
      </w:r>
      <w:r>
        <w:rPr>
          <w:rFonts w:hint="eastAsia" w:ascii="宋体" w:hAnsi="宋体" w:eastAsia="宋体" w:cs="宋体"/>
          <w:color w:val="000000"/>
          <w:kern w:val="0"/>
          <w:sz w:val="18"/>
          <w:szCs w:val="18"/>
        </w:rPr>
        <w:t>证明针对使用器械所有有关实质等同性和特定参数的声明。</w:t>
      </w:r>
    </w:p>
    <w:p w14:paraId="092FBD0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65D11D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    </w:t>
      </w:r>
      <w:r>
        <w:rPr>
          <w:rFonts w:hint="eastAsia" w:ascii="宋体" w:hAnsi="宋体" w:eastAsia="宋体" w:cs="宋体"/>
          <w:color w:val="000000"/>
          <w:kern w:val="0"/>
          <w:sz w:val="18"/>
          <w:szCs w:val="18"/>
        </w:rPr>
        <w:t>说明所有应用于临床研究的方案，并始终遵守这些方案。</w:t>
      </w:r>
    </w:p>
    <w:p w14:paraId="7DFFF66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3AF512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    </w:t>
      </w:r>
      <w:r>
        <w:rPr>
          <w:rFonts w:hint="eastAsia" w:ascii="宋体" w:hAnsi="宋体" w:eastAsia="宋体" w:cs="宋体"/>
          <w:color w:val="000000"/>
          <w:kern w:val="0"/>
          <w:sz w:val="18"/>
          <w:szCs w:val="18"/>
        </w:rPr>
        <w:t>在开始研究之前确定样本量，其应在统计上足以确定器械是否安全和有效。</w:t>
      </w:r>
    </w:p>
    <w:p w14:paraId="2DB4276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BFC7D1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    </w:t>
      </w:r>
      <w:r>
        <w:rPr>
          <w:rFonts w:hint="eastAsia" w:ascii="宋体" w:hAnsi="宋体" w:eastAsia="宋体" w:cs="宋体"/>
          <w:color w:val="000000"/>
          <w:kern w:val="0"/>
          <w:sz w:val="18"/>
          <w:szCs w:val="18"/>
        </w:rPr>
        <w:t>抽样方法：</w:t>
      </w:r>
    </w:p>
    <w:p w14:paraId="496DAA7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243264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E3B4EB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BD70F4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40C982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78A170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8EC684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CA49C8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F37008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3FCEC9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2B416F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37C19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说明用于选择和排除患者的抽样方法。</w:t>
      </w:r>
    </w:p>
    <w:p w14:paraId="7B5F85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6B41EC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   </w:t>
      </w:r>
      <w:r>
        <w:rPr>
          <w:rFonts w:hint="eastAsia" w:ascii="宋体" w:hAnsi="宋体" w:eastAsia="宋体" w:cs="宋体"/>
          <w:color w:val="000000"/>
          <w:kern w:val="0"/>
          <w:sz w:val="18"/>
          <w:szCs w:val="18"/>
        </w:rPr>
        <w:t>患者选择：</w:t>
      </w:r>
    </w:p>
    <w:p w14:paraId="0903B7E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C2B14F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需从患有可能导致假阳性或假阴性结果的疾病或病症的个体选择样本。理想情况下，优选进行前瞻性研究。然而，如果选择进行回顾性研究，则需选择符合方案中规定的患者选择标准的所有合格患者。</w:t>
      </w:r>
    </w:p>
    <w:p w14:paraId="4C3D8D3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531BE7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ii.</w:t>
      </w:r>
      <w:r>
        <w:rPr>
          <w:rFonts w:hint="eastAsia" w:ascii="宋体" w:hAnsi="宋体" w:eastAsia="宋体" w:cs="宋体"/>
          <w:color w:val="000000"/>
          <w:kern w:val="0"/>
          <w:sz w:val="18"/>
          <w:szCs w:val="18"/>
        </w:rPr>
        <w:t>说明所有患者和样本。确保涵盖每个患者的每个样本的数据点。</w:t>
      </w:r>
    </w:p>
    <w:p w14:paraId="2C24F0E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1FCBE4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604E28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  </w:t>
      </w:r>
      <w:r>
        <w:rPr>
          <w:rFonts w:hint="eastAsia" w:ascii="宋体" w:hAnsi="宋体" w:eastAsia="宋体" w:cs="宋体"/>
          <w:color w:val="000000"/>
          <w:kern w:val="0"/>
          <w:sz w:val="18"/>
          <w:szCs w:val="18"/>
        </w:rPr>
        <w:t>确立参考范围</w:t>
      </w:r>
    </w:p>
    <w:p w14:paraId="597E295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2C390F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w:t>
      </w:r>
      <w:r>
        <w:rPr>
          <w:rFonts w:hint="eastAsia" w:ascii="宋体" w:hAnsi="宋体" w:eastAsia="宋体" w:cs="宋体"/>
          <w:color w:val="000000"/>
          <w:kern w:val="0"/>
          <w:sz w:val="18"/>
          <w:szCs w:val="18"/>
        </w:rPr>
        <w:t>正常个人</w:t>
      </w:r>
      <w:r>
        <w:rPr>
          <w:rFonts w:ascii="宋体" w:hAnsi="宋体" w:eastAsia="宋体" w:cs="宋体"/>
          <w:color w:val="000000"/>
          <w:kern w:val="0"/>
          <w:sz w:val="18"/>
          <w:szCs w:val="18"/>
        </w:rPr>
        <w:t>：</w:t>
      </w:r>
    </w:p>
    <w:p w14:paraId="675D959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3A326D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vertAlign w:val="superscript"/>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确立正常的参考范围，并按照年龄、性别、地理位置以及将影响所获得值的任何其他因素表征在统计上具有足够数量的样本，其中，样本取自正常人群。</w:t>
      </w:r>
      <w:r>
        <w:rPr>
          <w:rFonts w:hint="eastAsia" w:ascii="宋体" w:hAnsi="宋体" w:eastAsia="宋体" w:cs="宋体"/>
          <w:color w:val="000000"/>
          <w:kern w:val="0"/>
          <w:sz w:val="18"/>
          <w:szCs w:val="18"/>
          <w:vertAlign w:val="superscript"/>
        </w:rPr>
        <w:t>3，10</w:t>
      </w:r>
    </w:p>
    <w:p w14:paraId="6F98B7B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800491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    </w:t>
      </w:r>
      <w:r>
        <w:rPr>
          <w:rFonts w:hint="eastAsia" w:ascii="宋体" w:hAnsi="宋体" w:eastAsia="宋体" w:cs="宋体"/>
          <w:color w:val="000000"/>
          <w:kern w:val="0"/>
          <w:sz w:val="18"/>
          <w:szCs w:val="18"/>
        </w:rPr>
        <w:t>患者组</w:t>
      </w:r>
      <w:r>
        <w:rPr>
          <w:rFonts w:ascii="宋体" w:hAnsi="宋体" w:eastAsia="宋体" w:cs="宋体"/>
          <w:color w:val="000000"/>
          <w:kern w:val="0"/>
          <w:sz w:val="18"/>
          <w:szCs w:val="18"/>
        </w:rPr>
        <w:t>：</w:t>
      </w:r>
    </w:p>
    <w:p w14:paraId="040EE8D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E52D27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   </w:t>
      </w:r>
      <w:r>
        <w:rPr>
          <w:rFonts w:hint="eastAsia" w:ascii="宋体" w:hAnsi="宋体" w:eastAsia="宋体" w:cs="宋体"/>
          <w:color w:val="000000"/>
          <w:kern w:val="0"/>
          <w:sz w:val="18"/>
          <w:szCs w:val="18"/>
        </w:rPr>
        <w:t>确认新器械可检测因各种该器械所针对的疾病而产生的阳性率的百分比。使用在统计上具有足够数量的患者，其按年龄、性别、地理位置、任何疾病症状、临床表现以及将影响所获得值的任何其他因素。</w:t>
      </w:r>
      <w:r>
        <w:rPr>
          <w:rFonts w:ascii="宋体" w:hAnsi="宋体" w:eastAsia="宋体" w:cs="宋体"/>
          <w:color w:val="000000"/>
          <w:kern w:val="0"/>
          <w:sz w:val="18"/>
          <w:szCs w:val="18"/>
          <w:vertAlign w:val="superscript"/>
        </w:rPr>
        <w:t>3，10</w:t>
      </w:r>
    </w:p>
    <w:p w14:paraId="2A53A64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26463A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ii. </w:t>
      </w:r>
      <w:r>
        <w:rPr>
          <w:rFonts w:hint="eastAsia" w:ascii="宋体" w:hAnsi="宋体" w:eastAsia="宋体" w:cs="宋体"/>
          <w:color w:val="000000"/>
          <w:kern w:val="0"/>
          <w:sz w:val="18"/>
          <w:szCs w:val="18"/>
        </w:rPr>
        <w:t>假性结果</w:t>
      </w:r>
      <w:r>
        <w:rPr>
          <w:rFonts w:ascii="宋体" w:hAnsi="宋体" w:eastAsia="宋体" w:cs="宋体"/>
          <w:color w:val="000000"/>
          <w:kern w:val="0"/>
          <w:sz w:val="18"/>
          <w:szCs w:val="18"/>
        </w:rPr>
        <w:t>：</w:t>
      </w:r>
      <w:r>
        <w:rPr>
          <w:rFonts w:hint="eastAsia" w:ascii="宋体" w:hAnsi="宋体" w:eastAsia="宋体" w:cs="宋体"/>
          <w:color w:val="000000"/>
          <w:kern w:val="0"/>
          <w:sz w:val="18"/>
          <w:szCs w:val="18"/>
        </w:rPr>
        <w:t xml:space="preserve"> </w:t>
      </w:r>
    </w:p>
    <w:p w14:paraId="0BDBD7D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21F22D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抗核抗体（ANA）阳性的患者可以在甲状腺自身抗体检测的IFA测定中产生假阳性结果。</w:t>
      </w:r>
    </w:p>
    <w:p w14:paraId="323322A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B5958D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出于诊断或治疗目的给患者施用放射性同位素可能干扰一些RIA测定。</w:t>
      </w:r>
    </w:p>
    <w:p w14:paraId="4ABF2A5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661FBA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如果有的话，酌情提供有关每种疾病的假阳性和假阴性结果报告。</w:t>
      </w:r>
    </w:p>
    <w:p w14:paraId="7915158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1A4820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B32FE1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DDEA08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83831B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D77E33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87AD35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735F5D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08C54D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64DB09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2F03C2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606583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D54B92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7A317B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    </w:t>
      </w:r>
      <w:r>
        <w:rPr>
          <w:rFonts w:hint="eastAsia" w:ascii="宋体" w:hAnsi="宋体" w:eastAsia="宋体" w:cs="宋体"/>
          <w:color w:val="000000"/>
          <w:kern w:val="0"/>
          <w:sz w:val="18"/>
          <w:szCs w:val="18"/>
        </w:rPr>
        <w:t>声明的样本类型：</w:t>
      </w:r>
    </w:p>
    <w:p w14:paraId="66722CD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371F9B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除非其他数据可证明所有样本类型之间没有差异，否则应研究预期使用说明中</w:t>
      </w:r>
      <w:bookmarkStart w:id="0" w:name="OLE_LINK3"/>
      <w:bookmarkStart w:id="1" w:name="OLE_LINK4"/>
      <w:r>
        <w:rPr>
          <w:rFonts w:hint="eastAsia" w:ascii="宋体" w:hAnsi="宋体" w:eastAsia="宋体" w:cs="宋体"/>
          <w:color w:val="000000"/>
          <w:kern w:val="0"/>
          <w:sz w:val="18"/>
          <w:szCs w:val="18"/>
        </w:rPr>
        <w:t>声明的</w:t>
      </w:r>
      <w:bookmarkEnd w:id="0"/>
      <w:bookmarkEnd w:id="1"/>
      <w:bookmarkStart w:id="2" w:name="OLE_LINK58"/>
      <w:r>
        <w:rPr>
          <w:rFonts w:hint="eastAsia" w:ascii="宋体" w:hAnsi="宋体" w:eastAsia="宋体" w:cs="宋体"/>
          <w:color w:val="000000"/>
          <w:kern w:val="0"/>
          <w:sz w:val="18"/>
          <w:szCs w:val="18"/>
        </w:rPr>
        <w:t>所有样本类型</w:t>
      </w:r>
      <w:bookmarkEnd w:id="2"/>
      <w:r>
        <w:rPr>
          <w:rFonts w:hint="eastAsia" w:ascii="宋体" w:hAnsi="宋体" w:eastAsia="宋体" w:cs="宋体"/>
          <w:color w:val="000000"/>
          <w:kern w:val="0"/>
          <w:sz w:val="18"/>
          <w:szCs w:val="18"/>
        </w:rPr>
        <w:t>。</w:t>
      </w:r>
    </w:p>
    <w:p w14:paraId="0349606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119A07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IV. </w:t>
      </w:r>
      <w:r>
        <w:rPr>
          <w:rFonts w:hint="eastAsia" w:ascii="宋体" w:hAnsi="宋体" w:eastAsia="宋体" w:cs="宋体"/>
          <w:color w:val="000000"/>
          <w:kern w:val="0"/>
          <w:sz w:val="18"/>
          <w:szCs w:val="18"/>
        </w:rPr>
        <w:t>标签注意事项</w:t>
      </w:r>
    </w:p>
    <w:p w14:paraId="381FC50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196C0B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以下是法律[502（f）（1）]和法规[21 CFR 809.10（b）]中某些要点的补充细节。</w:t>
      </w:r>
    </w:p>
    <w:p w14:paraId="38BD101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30C40C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1682BA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包装说明书</w:t>
      </w:r>
    </w:p>
    <w:p w14:paraId="79D7D93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F9877B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包括新甲状腺自身抗体器械的包装说明书。引用关键文献以支持整个文档中的声明。</w:t>
      </w:r>
    </w:p>
    <w:p w14:paraId="269C5BF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52439C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A.  </w:t>
      </w:r>
      <w:r>
        <w:rPr>
          <w:rFonts w:hint="eastAsia" w:ascii="宋体" w:hAnsi="宋体" w:eastAsia="宋体" w:cs="宋体"/>
          <w:color w:val="000000"/>
          <w:kern w:val="0"/>
          <w:sz w:val="18"/>
          <w:szCs w:val="18"/>
        </w:rPr>
        <w:t>预期用途</w:t>
      </w:r>
    </w:p>
    <w:p w14:paraId="0067A35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00D797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基于器械中使用的技术/方法简要说明预期用途。包括以下信息：</w:t>
      </w:r>
    </w:p>
    <w:p w14:paraId="3CE8CD1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98D15D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  </w:t>
      </w:r>
      <w:r>
        <w:rPr>
          <w:rFonts w:hint="eastAsia" w:ascii="宋体" w:hAnsi="宋体" w:eastAsia="宋体" w:cs="宋体"/>
          <w:color w:val="000000"/>
          <w:kern w:val="0"/>
          <w:sz w:val="18"/>
          <w:szCs w:val="18"/>
        </w:rPr>
        <w:t>测定属于定性、定量还是半定量型。为声明提供定量结果，必须按其值已知并已确定的标准物质校准物或标准物。</w:t>
      </w:r>
    </w:p>
    <w:p w14:paraId="504B6B2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029106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  </w:t>
      </w:r>
      <w:r>
        <w:rPr>
          <w:rFonts w:hint="eastAsia" w:ascii="宋体" w:hAnsi="宋体" w:eastAsia="宋体" w:cs="宋体"/>
          <w:color w:val="000000"/>
          <w:kern w:val="0"/>
          <w:sz w:val="18"/>
          <w:szCs w:val="18"/>
        </w:rPr>
        <w:t>测试方法。</w:t>
      </w:r>
    </w:p>
    <w:p w14:paraId="5D7582A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A6D00F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3.  </w:t>
      </w:r>
      <w:r>
        <w:rPr>
          <w:rFonts w:hint="eastAsia" w:ascii="宋体" w:hAnsi="宋体" w:eastAsia="宋体" w:cs="宋体"/>
          <w:color w:val="000000"/>
          <w:kern w:val="0"/>
          <w:sz w:val="18"/>
          <w:szCs w:val="18"/>
        </w:rPr>
        <w:t>样本类型。</w:t>
      </w:r>
    </w:p>
    <w:p w14:paraId="3A6AE9C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1FBA30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4.  </w:t>
      </w:r>
      <w:r>
        <w:rPr>
          <w:rFonts w:hint="eastAsia" w:ascii="宋体" w:hAnsi="宋体" w:eastAsia="宋体" w:cs="宋体"/>
          <w:color w:val="000000"/>
          <w:kern w:val="0"/>
          <w:sz w:val="18"/>
          <w:szCs w:val="18"/>
        </w:rPr>
        <w:t>表明该器械是否用于临床实验室和/或替代性医疗场所。“局限性”部分应包括测试性能所需的任何特定培训。</w:t>
      </w:r>
    </w:p>
    <w:p w14:paraId="3BA98B3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80634D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典型的预期使用声明应为：</w:t>
      </w:r>
    </w:p>
    <w:p w14:paraId="34E044F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867F4A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“ABC的***测试系统是一种器械，其用于通过在人血清中进行间接免疫荧光来半定量测量抗甲状腺球蛋白抗体从而帮助诊断某些甲状腺疾病，例如桥本氏病、无毒性甲状腺肿和格雷夫斯氏病。”</w:t>
      </w:r>
    </w:p>
    <w:p w14:paraId="35112F0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p w14:paraId="2CFFEB0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E6CCEC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9942A5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F26086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D69EA5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F8B40B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8F4FBF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348B11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BFBD9A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2645A8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A6220C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5DBE20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B.  </w:t>
      </w:r>
      <w:r>
        <w:rPr>
          <w:rFonts w:hint="eastAsia" w:ascii="宋体" w:hAnsi="宋体" w:eastAsia="宋体" w:cs="宋体"/>
          <w:color w:val="000000"/>
          <w:kern w:val="0"/>
          <w:sz w:val="18"/>
          <w:szCs w:val="18"/>
        </w:rPr>
        <w:t>质量控制</w:t>
      </w:r>
      <w:r>
        <w:rPr>
          <w:rFonts w:ascii="宋体" w:hAnsi="宋体" w:eastAsia="宋体" w:cs="宋体"/>
          <w:color w:val="000000"/>
          <w:kern w:val="0"/>
          <w:sz w:val="18"/>
          <w:szCs w:val="18"/>
        </w:rPr>
        <w:t xml:space="preserve"> （QC）</w:t>
      </w:r>
    </w:p>
    <w:p w14:paraId="164E206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A78588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包装说明书应建议质量控制样本的水平及其数量、基质类型、位置和解释，以确保系统满足其性能要求。请声明，如果控制未按预期进行，则测定结果被视为无效，应该重复测定。</w:t>
      </w:r>
    </w:p>
    <w:p w14:paraId="687052F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1B71D2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处理控制的方式应与处理患者样本方式相同。例如，如果患者样本被稀释或滴定，则控制物质也应当使用相同的稀释剂稀释或滴定。</w:t>
      </w:r>
    </w:p>
    <w:p w14:paraId="62B7D5D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C.  </w:t>
      </w:r>
      <w:r>
        <w:rPr>
          <w:rFonts w:hint="eastAsia" w:ascii="宋体" w:hAnsi="宋体" w:eastAsia="宋体" w:cs="宋体"/>
          <w:color w:val="000000"/>
          <w:kern w:val="0"/>
          <w:sz w:val="18"/>
          <w:szCs w:val="18"/>
        </w:rPr>
        <w:t>结果</w:t>
      </w:r>
    </w:p>
    <w:p w14:paraId="65AB530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5943D5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适当说明预期值与解释。</w:t>
      </w:r>
    </w:p>
    <w:p w14:paraId="0D0BD79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p>
    <w:p w14:paraId="1DA07EF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  IFA</w:t>
      </w:r>
    </w:p>
    <w:p w14:paraId="52DF170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E17445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w:t>
      </w:r>
      <w:r>
        <w:rPr>
          <w:rFonts w:hint="eastAsia" w:ascii="宋体" w:hAnsi="宋体" w:eastAsia="宋体" w:cs="宋体"/>
          <w:color w:val="000000"/>
          <w:kern w:val="0"/>
          <w:sz w:val="18"/>
          <w:szCs w:val="18"/>
        </w:rPr>
        <w:t>针对阳性和阴性结果说明荧光性。</w:t>
      </w:r>
    </w:p>
    <w:p w14:paraId="5FD3D4F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F7DD65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   </w:t>
      </w:r>
      <w:r>
        <w:rPr>
          <w:rFonts w:hint="eastAsia" w:ascii="宋体" w:hAnsi="宋体" w:eastAsia="宋体" w:cs="宋体"/>
          <w:color w:val="000000"/>
          <w:kern w:val="0"/>
          <w:sz w:val="18"/>
          <w:szCs w:val="18"/>
        </w:rPr>
        <w:t>列出可发现的染色模式。可使用照片或图表帮助说明。</w:t>
      </w:r>
    </w:p>
    <w:p w14:paraId="2E0528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7B5C00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    </w:t>
      </w:r>
      <w:r>
        <w:rPr>
          <w:rFonts w:hint="eastAsia" w:ascii="宋体" w:hAnsi="宋体" w:eastAsia="宋体" w:cs="宋体"/>
          <w:color w:val="000000"/>
          <w:kern w:val="0"/>
          <w:sz w:val="18"/>
          <w:szCs w:val="18"/>
        </w:rPr>
        <w:t>给出与特定抗体相关的模式说明和解释。</w:t>
      </w:r>
    </w:p>
    <w:p w14:paraId="59E931A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725E42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    </w:t>
      </w:r>
      <w:r>
        <w:rPr>
          <w:rFonts w:hint="eastAsia" w:ascii="宋体" w:hAnsi="宋体" w:eastAsia="宋体" w:cs="宋体"/>
          <w:color w:val="000000"/>
          <w:kern w:val="0"/>
          <w:sz w:val="18"/>
          <w:szCs w:val="18"/>
        </w:rPr>
        <w:t>给出将阳性样本滴定到端点的说明。</w:t>
      </w:r>
    </w:p>
    <w:p w14:paraId="09CF8B5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p w14:paraId="653BDDF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7BE474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  IHA</w:t>
      </w:r>
    </w:p>
    <w:p w14:paraId="21337C5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2B1C76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w:t>
      </w:r>
      <w:r>
        <w:rPr>
          <w:rFonts w:hint="eastAsia" w:ascii="宋体" w:hAnsi="宋体" w:eastAsia="宋体" w:cs="宋体"/>
          <w:color w:val="000000"/>
          <w:kern w:val="0"/>
          <w:sz w:val="18"/>
          <w:szCs w:val="18"/>
        </w:rPr>
        <w:t>详细说明阳性和阴性结果的来源。</w:t>
      </w:r>
    </w:p>
    <w:p w14:paraId="7ED67C2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5F5962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    </w:t>
      </w:r>
      <w:r>
        <w:rPr>
          <w:rFonts w:hint="eastAsia" w:ascii="宋体" w:hAnsi="宋体" w:eastAsia="宋体" w:cs="宋体"/>
          <w:color w:val="000000"/>
          <w:kern w:val="0"/>
          <w:sz w:val="18"/>
          <w:szCs w:val="18"/>
        </w:rPr>
        <w:t>定义和说明阳性结果的端点。</w:t>
      </w:r>
    </w:p>
    <w:p w14:paraId="7B46DD1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17B83F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    </w:t>
      </w:r>
      <w:r>
        <w:rPr>
          <w:rFonts w:hint="eastAsia" w:ascii="宋体" w:hAnsi="宋体" w:eastAsia="宋体" w:cs="宋体"/>
          <w:color w:val="000000"/>
          <w:kern w:val="0"/>
          <w:sz w:val="18"/>
          <w:szCs w:val="18"/>
        </w:rPr>
        <w:t>说明前带反应的来源（抗体过量）并指导用户前带出现问题的做法。</w:t>
      </w:r>
    </w:p>
    <w:p w14:paraId="0C122BD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27DF9F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    </w:t>
      </w:r>
      <w:r>
        <w:rPr>
          <w:rFonts w:hint="eastAsia" w:ascii="宋体" w:hAnsi="宋体" w:eastAsia="宋体" w:cs="宋体"/>
          <w:color w:val="000000"/>
          <w:kern w:val="0"/>
          <w:sz w:val="18"/>
          <w:szCs w:val="18"/>
        </w:rPr>
        <w:t>解释重复测定样本结果高于测定线性关系的程序。</w:t>
      </w:r>
    </w:p>
    <w:p w14:paraId="49EEB0A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3C8DE7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4DE667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CA6579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548C54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6130B3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C8958E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2A7B39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FF48CE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2E9F35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6E97BD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7F657C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C91353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4AFABE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3.  RIA</w:t>
      </w:r>
    </w:p>
    <w:p w14:paraId="41485EA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439F44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w:t>
      </w:r>
      <w:r>
        <w:rPr>
          <w:rFonts w:hint="eastAsia" w:ascii="宋体" w:hAnsi="宋体" w:eastAsia="宋体" w:cs="宋体"/>
          <w:color w:val="000000"/>
          <w:kern w:val="0"/>
          <w:sz w:val="18"/>
          <w:szCs w:val="18"/>
        </w:rPr>
        <w:t>解释用于手动（如适用）计算每个样本百分比边界的程序，并包括样本计算。</w:t>
      </w:r>
    </w:p>
    <w:p w14:paraId="161F8F2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1507A7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    </w:t>
      </w:r>
      <w:r>
        <w:rPr>
          <w:rFonts w:hint="eastAsia" w:ascii="宋体" w:hAnsi="宋体" w:eastAsia="宋体" w:cs="宋体"/>
          <w:color w:val="000000"/>
          <w:kern w:val="0"/>
          <w:sz w:val="18"/>
          <w:szCs w:val="18"/>
        </w:rPr>
        <w:t>给出绘制百分比边界对标准物浓度的说明以显示典型结果的实例（数字和图形）。</w:t>
      </w:r>
    </w:p>
    <w:p w14:paraId="74B8179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CBA1B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    </w:t>
      </w:r>
      <w:r>
        <w:rPr>
          <w:rFonts w:hint="eastAsia" w:ascii="宋体" w:hAnsi="宋体" w:eastAsia="宋体" w:cs="宋体"/>
          <w:color w:val="000000"/>
          <w:kern w:val="0"/>
          <w:sz w:val="18"/>
          <w:szCs w:val="18"/>
        </w:rPr>
        <w:t>简要说明如何执行自动计算，例如，所使用的数据压缩程序的类型。</w:t>
      </w:r>
    </w:p>
    <w:p w14:paraId="7557ED6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p>
    <w:p w14:paraId="7F11331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4.  ELISA</w:t>
      </w:r>
    </w:p>
    <w:p w14:paraId="21E5B81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76D2F2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w:t>
      </w:r>
      <w:r>
        <w:rPr>
          <w:rFonts w:hint="eastAsia" w:ascii="宋体" w:hAnsi="宋体" w:eastAsia="宋体" w:cs="宋体"/>
          <w:color w:val="000000"/>
          <w:kern w:val="0"/>
          <w:sz w:val="18"/>
          <w:szCs w:val="18"/>
        </w:rPr>
        <w:t>解释计算未知值的程序，包括样本计算。</w:t>
      </w:r>
    </w:p>
    <w:p w14:paraId="7B2ED67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94B2B0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    </w:t>
      </w:r>
      <w:r>
        <w:rPr>
          <w:rFonts w:hint="eastAsia" w:ascii="宋体" w:hAnsi="宋体" w:eastAsia="宋体" w:cs="宋体"/>
          <w:color w:val="000000"/>
          <w:kern w:val="0"/>
          <w:sz w:val="18"/>
          <w:szCs w:val="18"/>
        </w:rPr>
        <w:t>解释重样本测定复高于测定线性关系的程序。说明样本稀释，其中，包括稀释因子和使用的稀释剂类型。</w:t>
      </w:r>
    </w:p>
    <w:p w14:paraId="49E1775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143FBE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D.  </w:t>
      </w:r>
      <w:r>
        <w:rPr>
          <w:rFonts w:hint="eastAsia" w:ascii="宋体" w:hAnsi="宋体" w:eastAsia="宋体" w:cs="宋体"/>
          <w:color w:val="000000"/>
          <w:kern w:val="0"/>
          <w:sz w:val="18"/>
          <w:szCs w:val="18"/>
        </w:rPr>
        <w:t>程序的局限性</w:t>
      </w:r>
    </w:p>
    <w:p w14:paraId="58FD701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54FE97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声明程序的局限性，包括以下内容：</w:t>
      </w:r>
    </w:p>
    <w:p w14:paraId="0F799E0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704134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w:t>
      </w:r>
      <w:r>
        <w:rPr>
          <w:rFonts w:hint="eastAsia" w:ascii="宋体" w:hAnsi="宋体" w:eastAsia="宋体" w:cs="宋体"/>
          <w:color w:val="000000"/>
          <w:kern w:val="0"/>
          <w:sz w:val="18"/>
          <w:szCs w:val="18"/>
        </w:rPr>
        <w:t>应声明测试结果本身并不用于诊断甲状腺疾病，且应结合碘吸收和其他标准甲状腺测试和患者的临床表现来加以考虑。</w:t>
      </w:r>
    </w:p>
    <w:p w14:paraId="63C04ED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  IFA</w:t>
      </w:r>
    </w:p>
    <w:p w14:paraId="551A3FC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1E86D2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w:t>
      </w:r>
      <w:r>
        <w:rPr>
          <w:rFonts w:hint="eastAsia" w:ascii="宋体" w:hAnsi="宋体" w:eastAsia="宋体" w:cs="宋体"/>
          <w:color w:val="000000"/>
          <w:kern w:val="0"/>
          <w:sz w:val="18"/>
          <w:szCs w:val="18"/>
        </w:rPr>
        <w:t>解释不同类型的荧光显微镜之间的可能变化。</w:t>
      </w:r>
    </w:p>
    <w:p w14:paraId="7BE2491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A9E982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   </w:t>
      </w:r>
      <w:r>
        <w:rPr>
          <w:rFonts w:hint="eastAsia" w:ascii="宋体" w:hAnsi="宋体" w:eastAsia="宋体" w:cs="宋体"/>
          <w:color w:val="000000"/>
          <w:kern w:val="0"/>
          <w:sz w:val="18"/>
          <w:szCs w:val="18"/>
        </w:rPr>
        <w:t>给出有关区分甲状腺特异性细胞质荧光与从原发性胆汁性肝硬化中线粒体抗体获得的细胞质荧光的警告。如果疑似存在线粒体抗体，可以通过对抗核抗体进行更具体的测试来进行区分。</w:t>
      </w:r>
    </w:p>
    <w:p w14:paraId="4019E04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A81F80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   </w:t>
      </w:r>
      <w:r>
        <w:rPr>
          <w:rFonts w:hint="eastAsia" w:ascii="宋体" w:hAnsi="宋体" w:eastAsia="宋体" w:cs="宋体"/>
          <w:color w:val="000000"/>
          <w:kern w:val="0"/>
          <w:sz w:val="18"/>
          <w:szCs w:val="18"/>
        </w:rPr>
        <w:t>可能存在多种抗体，且其可使染色解释复杂化。连续稀释患者样本通常有助于区分多种模式。</w:t>
      </w:r>
    </w:p>
    <w:p w14:paraId="33CB06A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008B31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D8BBA8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B3E48D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FBF386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157100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CBE0D8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1F4771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2443A0D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2705AF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59BA85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DE7A5A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E8C9F5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9BF082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  </w:t>
      </w:r>
      <w:r>
        <w:rPr>
          <w:rFonts w:hint="eastAsia" w:ascii="宋体" w:hAnsi="宋体" w:eastAsia="宋体" w:cs="宋体"/>
          <w:color w:val="000000"/>
          <w:kern w:val="0"/>
          <w:sz w:val="18"/>
          <w:szCs w:val="18"/>
        </w:rPr>
        <w:t>前带反应可表现为可疑式阳性或阴性，因为存在与大量抗体的存在有关的少量抗原。如果疑似存在前带反应，则应连续稀释患者样本。</w:t>
      </w:r>
    </w:p>
    <w:p w14:paraId="516BBB0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3.  IHA</w:t>
      </w:r>
    </w:p>
    <w:p w14:paraId="6C1B7F0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D2D433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给出有关嗜异性抗体和可能的前带反应的警告</w:t>
      </w:r>
    </w:p>
    <w:p w14:paraId="45187D1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09D28B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4.  RIA</w:t>
      </w:r>
    </w:p>
    <w:p w14:paraId="482EA0F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21C2B47">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a.   </w:t>
      </w:r>
      <w:r>
        <w:rPr>
          <w:rFonts w:hint="eastAsia" w:ascii="宋体" w:hAnsi="宋体" w:eastAsia="宋体" w:cs="宋体"/>
          <w:color w:val="000000"/>
          <w:kern w:val="0"/>
          <w:sz w:val="18"/>
          <w:szCs w:val="18"/>
        </w:rPr>
        <w:t>给出有关因处于诊断或治疗目的给予患者施用放射性同位素而可能引起干扰的警告。</w:t>
      </w:r>
    </w:p>
    <w:p w14:paraId="27E7684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A98CFE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b.  </w:t>
      </w:r>
      <w:r>
        <w:rPr>
          <w:rFonts w:hint="eastAsia" w:ascii="宋体" w:hAnsi="宋体" w:eastAsia="宋体" w:cs="宋体"/>
          <w:color w:val="000000"/>
          <w:kern w:val="0"/>
          <w:sz w:val="18"/>
          <w:szCs w:val="18"/>
        </w:rPr>
        <w:t>提供适当处置放射性物质的说明。</w:t>
      </w:r>
    </w:p>
    <w:p w14:paraId="3F07D96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B89112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E.  </w:t>
      </w:r>
      <w:r>
        <w:rPr>
          <w:rFonts w:hint="eastAsia" w:ascii="宋体" w:hAnsi="宋体" w:eastAsia="宋体" w:cs="宋体"/>
          <w:color w:val="000000"/>
          <w:kern w:val="0"/>
          <w:sz w:val="18"/>
          <w:szCs w:val="18"/>
        </w:rPr>
        <w:t>预期值</w:t>
      </w:r>
    </w:p>
    <w:p w14:paraId="2C18338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3F9C6BE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  </w:t>
      </w:r>
      <w:r>
        <w:rPr>
          <w:rFonts w:hint="eastAsia" w:ascii="宋体" w:hAnsi="宋体" w:eastAsia="宋体" w:cs="宋体"/>
          <w:color w:val="000000"/>
          <w:kern w:val="0"/>
          <w:sz w:val="18"/>
          <w:szCs w:val="18"/>
        </w:rPr>
        <w:t>正常人群中的预期值呈负性。然而，明显健康、无症状的个体（5-10％）可以测试甲状腺自身抗体阳性。这些抗体的发病率随着年龄的增加而增加，对女性来说，从7</w:t>
      </w:r>
      <w:r>
        <w:rPr>
          <w:rFonts w:ascii="宋体" w:hAnsi="宋体" w:eastAsia="宋体" w:cs="宋体"/>
          <w:color w:val="000000"/>
          <w:kern w:val="0"/>
          <w:sz w:val="18"/>
          <w:szCs w:val="18"/>
        </w:rPr>
        <w:t>0</w:t>
      </w:r>
      <w:r>
        <w:rPr>
          <w:rFonts w:hint="eastAsia" w:ascii="宋体" w:hAnsi="宋体" w:eastAsia="宋体" w:cs="宋体"/>
          <w:color w:val="000000"/>
          <w:kern w:val="0"/>
          <w:sz w:val="18"/>
          <w:szCs w:val="18"/>
        </w:rPr>
        <w:t>岁开始增加，而对男性来说，从</w:t>
      </w:r>
      <w:r>
        <w:rPr>
          <w:rFonts w:ascii="宋体" w:hAnsi="宋体" w:eastAsia="宋体" w:cs="宋体"/>
          <w:color w:val="000000"/>
          <w:kern w:val="0"/>
          <w:sz w:val="18"/>
          <w:szCs w:val="18"/>
        </w:rPr>
        <w:t>80</w:t>
      </w:r>
      <w:r>
        <w:rPr>
          <w:rFonts w:hint="eastAsia" w:ascii="宋体" w:hAnsi="宋体" w:eastAsia="宋体" w:cs="宋体"/>
          <w:color w:val="000000"/>
          <w:kern w:val="0"/>
          <w:sz w:val="18"/>
          <w:szCs w:val="18"/>
        </w:rPr>
        <w:t>岁开始增加。</w:t>
      </w:r>
    </w:p>
    <w:p w14:paraId="0D0C1B2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E035CB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  </w:t>
      </w:r>
      <w:r>
        <w:rPr>
          <w:rFonts w:hint="eastAsia" w:ascii="宋体" w:hAnsi="宋体" w:eastAsia="宋体" w:cs="宋体"/>
          <w:color w:val="000000"/>
          <w:kern w:val="0"/>
          <w:sz w:val="18"/>
          <w:szCs w:val="18"/>
        </w:rPr>
        <w:t>甲状腺自身抗体可能存在于非甲状腺疾病中，例如恶性贫血、糖尿病、爱迪生式病和干燥综合征。</w:t>
      </w:r>
    </w:p>
    <w:p w14:paraId="35CD2A1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9F62EC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3.  </w:t>
      </w:r>
      <w:r>
        <w:rPr>
          <w:rFonts w:hint="eastAsia" w:ascii="宋体" w:hAnsi="宋体" w:eastAsia="宋体" w:cs="宋体"/>
          <w:color w:val="000000"/>
          <w:kern w:val="0"/>
          <w:sz w:val="18"/>
          <w:szCs w:val="18"/>
        </w:rPr>
        <w:t>针对每种疾病状态提交显示每种类型甲状腺自身抗体的发病率或患病率的信息。</w:t>
      </w:r>
    </w:p>
    <w:p w14:paraId="13A2B26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08BD75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来自</w:t>
      </w:r>
      <w:r>
        <w:rPr>
          <w:rFonts w:ascii="宋体" w:hAnsi="宋体" w:eastAsia="宋体" w:cs="宋体"/>
          <w:color w:val="000000"/>
          <w:kern w:val="0"/>
          <w:sz w:val="18"/>
          <w:szCs w:val="18"/>
        </w:rPr>
        <w:t xml:space="preserve">：        </w:t>
      </w:r>
      <w:r>
        <w:rPr>
          <w:rFonts w:hint="eastAsia" w:ascii="宋体" w:hAnsi="宋体" w:eastAsia="宋体" w:cs="宋体"/>
          <w:color w:val="000000"/>
          <w:kern w:val="0"/>
          <w:sz w:val="18"/>
          <w:szCs w:val="18"/>
        </w:rPr>
        <w:t>临床实验室器械部免疫科分部</w:t>
      </w:r>
    </w:p>
    <w:p w14:paraId="69354BD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800445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编制人</w:t>
      </w:r>
      <w:r>
        <w:rPr>
          <w:rFonts w:ascii="宋体" w:hAnsi="宋体" w:eastAsia="宋体" w:cs="宋体"/>
          <w:color w:val="000000"/>
          <w:kern w:val="0"/>
          <w:sz w:val="18"/>
          <w:szCs w:val="18"/>
        </w:rPr>
        <w:t xml:space="preserve">：  Deborah M. Moore， </w:t>
      </w:r>
      <w:r>
        <w:rPr>
          <w:rFonts w:hint="eastAsia" w:ascii="宋体" w:hAnsi="宋体" w:eastAsia="宋体" w:cs="宋体"/>
          <w:color w:val="000000"/>
          <w:kern w:val="0"/>
          <w:sz w:val="18"/>
          <w:szCs w:val="18"/>
        </w:rPr>
        <w:t>科学审查员</w:t>
      </w:r>
    </w:p>
    <w:p w14:paraId="6C4D9C1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w:t>
      </w:r>
      <w:r>
        <w:rPr>
          <w:rFonts w:ascii="Arial" w:hAnsi="Arial" w:cs="Arial"/>
          <w:color w:val="313131"/>
          <w:sz w:val="18"/>
          <w:szCs w:val="18"/>
        </w:rPr>
        <w:t>1994年2月</w:t>
      </w:r>
    </w:p>
    <w:p w14:paraId="76085945">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2A5CFBC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7A29D5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021C65F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0FA230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ECE33E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6E7AA5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572705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DE13F7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5200BCD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44CA386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55DB3C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7F93356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982CC3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A7B658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187C3CC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612459F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eastAsia" w:ascii="宋体" w:hAnsi="宋体" w:eastAsia="宋体" w:cs="宋体"/>
          <w:color w:val="000000"/>
          <w:kern w:val="0"/>
          <w:sz w:val="18"/>
          <w:szCs w:val="18"/>
        </w:rPr>
      </w:pPr>
    </w:p>
    <w:p w14:paraId="3DB588A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5191485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V.  </w:t>
      </w:r>
      <w:r>
        <w:rPr>
          <w:rFonts w:hint="eastAsia" w:ascii="宋体" w:hAnsi="宋体" w:eastAsia="宋体" w:cs="宋体"/>
          <w:color w:val="000000"/>
          <w:kern w:val="0"/>
          <w:sz w:val="18"/>
          <w:szCs w:val="18"/>
        </w:rPr>
        <w:t>参考文件</w:t>
      </w:r>
    </w:p>
    <w:p w14:paraId="401D0A6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1794F3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  Czarnocka B，et al. Purification of the Human Thyroid Peroxidase and</w:t>
      </w:r>
      <w:r>
        <w:rPr>
          <w:rFonts w:hint="eastAsia" w:ascii="宋体" w:hAnsi="宋体" w:eastAsia="宋体" w:cs="宋体"/>
          <w:color w:val="000000"/>
          <w:kern w:val="0"/>
          <w:sz w:val="18"/>
          <w:szCs w:val="18"/>
        </w:rPr>
        <w:t xml:space="preserve"> </w:t>
      </w:r>
      <w:r>
        <w:rPr>
          <w:rFonts w:ascii="宋体" w:hAnsi="宋体" w:eastAsia="宋体" w:cs="宋体"/>
          <w:color w:val="000000"/>
          <w:kern w:val="0"/>
          <w:sz w:val="18"/>
          <w:szCs w:val="18"/>
        </w:rPr>
        <w:t>its Identification as the Microsomal Antigen involved in Autoimmune</w:t>
      </w:r>
      <w:r>
        <w:rPr>
          <w:rFonts w:hint="eastAsia" w:ascii="宋体" w:hAnsi="宋体" w:eastAsia="宋体" w:cs="宋体"/>
          <w:color w:val="000000"/>
          <w:kern w:val="0"/>
          <w:sz w:val="18"/>
          <w:szCs w:val="18"/>
        </w:rPr>
        <w:t xml:space="preserve"> </w:t>
      </w:r>
      <w:r>
        <w:rPr>
          <w:rFonts w:ascii="宋体" w:hAnsi="宋体" w:eastAsia="宋体" w:cs="宋体"/>
          <w:color w:val="000000"/>
          <w:kern w:val="0"/>
          <w:sz w:val="18"/>
          <w:szCs w:val="18"/>
        </w:rPr>
        <w:t>Thyroid Disease. FEBS 190：147 （1985）.</w:t>
      </w:r>
    </w:p>
    <w:p w14:paraId="6B67586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32E108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2.  Henry J， Immunology and Immunopathology.  Clinical Diagnosis and</w:t>
      </w:r>
    </w:p>
    <w:p w14:paraId="31618D9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Management by Laboratory Methods， 18th ed 1985； WB Saunders Co.，</w:t>
      </w:r>
    </w:p>
    <w:p w14:paraId="5AE356AF">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Philadelphia， PA.</w:t>
      </w:r>
    </w:p>
    <w:p w14:paraId="6DE3E56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E0EB7EE">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3.  National Committee for Clinical Laboratory Standards.  How to define，</w:t>
      </w:r>
    </w:p>
    <w:p w14:paraId="04EFDFC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determine， and utilize reference intervals in the clinical</w:t>
      </w:r>
    </w:p>
    <w:p w14:paraId="1D323AD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laboratory； proposed guideline. Villanova， PA 1991. Order code C28-P.</w:t>
      </w:r>
    </w:p>
    <w:p w14:paraId="6CEC216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6C09A2B9">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4.  Vadlamudi SK， Stewart WD， Fugate KJ， Tsakeris TM. Performance</w:t>
      </w:r>
    </w:p>
    <w:p w14:paraId="3C0E8CE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characteristics for an immunoassay.  Scand J Clin Lab Invest</w:t>
      </w:r>
    </w:p>
    <w:p w14:paraId="28B02A3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1991；51：134-138.</w:t>
      </w:r>
    </w:p>
    <w:p w14:paraId="35B63E5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AA39CA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5.  Peters T， Westgard JO.  Evaluation of methods， Chapter 7 in： Tiets</w:t>
      </w:r>
    </w:p>
    <w:p w14:paraId="19A1887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NW， editor.  Fundamentals of Clinical Chemistry， 3rd ed， 1987： 225-37</w:t>
      </w:r>
    </w:p>
    <w:p w14:paraId="3AF87C9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Philadelphia， PA； WB Saunders Co.</w:t>
      </w:r>
    </w:p>
    <w:p w14:paraId="2BA4710D">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4286C0A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6.  National Committee for Clinical Laboratory Standards.  Evaluation of</w:t>
      </w:r>
    </w:p>
    <w:p w14:paraId="05CBC348">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the linearity of quantitative methods； proposed guideline.  1986 </w:t>
      </w:r>
    </w:p>
    <w:p w14:paraId="24D6EBD4">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Order code EP6-P.</w:t>
      </w:r>
    </w:p>
    <w:p w14:paraId="442E9E0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485F9E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7.  Information for authors.  Clin Chem 1991； 37：1-3.</w:t>
      </w:r>
    </w:p>
    <w:p w14:paraId="693C72F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074FEB80">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8.  National Committee for Clinical Laboratory Standards.  Evaluation of</w:t>
      </w:r>
    </w:p>
    <w:p w14:paraId="6DF9E9B2">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precision performance of clinical chemistry devices - 2nd ed；</w:t>
      </w:r>
    </w:p>
    <w:p w14:paraId="616431AB">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tentative guideline. 1991：1-56.  Order code EP5-T2.</w:t>
      </w:r>
    </w:p>
    <w:p w14:paraId="48A8B48C">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1D2F2FBA">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9.  National Committee for Clinical Laboratory Standards.  User</w:t>
      </w:r>
    </w:p>
    <w:p w14:paraId="6A46347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comparison of quantitative clinical laboratory methods using patient</w:t>
      </w:r>
    </w:p>
    <w:p w14:paraId="1C3552E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samples； proposed guideline.  1985； 6（1）. Order code EP9-P.</w:t>
      </w:r>
    </w:p>
    <w:p w14:paraId="21ED8B21">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p>
    <w:p w14:paraId="7C01D8D3">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10. Ash KO.  Reference Intervals （Normal Ranges）： A Challenge to</w:t>
      </w:r>
    </w:p>
    <w:p w14:paraId="046F5636">
      <w:pPr>
        <w:widowControl/>
        <w:shd w:val="clear" w:color="auto" w:fill="CCE8C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eastAsia="宋体" w:cs="宋体"/>
          <w:color w:val="000000"/>
          <w:kern w:val="0"/>
          <w:sz w:val="18"/>
          <w:szCs w:val="18"/>
        </w:rPr>
      </w:pPr>
      <w:r>
        <w:rPr>
          <w:rFonts w:ascii="宋体" w:hAnsi="宋体" w:eastAsia="宋体" w:cs="宋体"/>
          <w:color w:val="000000"/>
          <w:kern w:val="0"/>
          <w:sz w:val="18"/>
          <w:szCs w:val="18"/>
        </w:rPr>
        <w:t xml:space="preserve">        Laboratories.  Am J. Med Tech 1980； 46：504-11.</w:t>
      </w:r>
    </w:p>
    <w:p w14:paraId="43772F0D"/>
    <w:p w14:paraId="11C3A46B">
      <w:pPr>
        <w:widowControl/>
        <w:shd w:val="clear" w:color="auto" w:fill="CCE8CF"/>
        <w:jc w:val="left"/>
        <w:outlineLvl w:val="0"/>
        <w:rPr>
          <w:rFonts w:hint="eastAsia" w:eastAsia="宋体"/>
          <w:lang w:eastAsia="zh-CN"/>
        </w:rPr>
      </w:pPr>
    </w:p>
    <w:p w14:paraId="7251199E">
      <w:pPr>
        <w:widowControl/>
        <w:shd w:val="clear" w:color="auto" w:fill="CCE8CF"/>
        <w:jc w:val="center"/>
        <w:outlineLvl w:val="0"/>
        <w:rPr>
          <w:rFonts w:hint="eastAsia" w:eastAsia="宋体"/>
          <w:lang w:eastAsia="zh-CN"/>
        </w:rPr>
      </w:pPr>
    </w:p>
    <w:p w14:paraId="419035F0">
      <w:pPr>
        <w:widowControl/>
        <w:shd w:val="clear" w:color="auto" w:fill="CCE8CF"/>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36A"/>
    <w:rsid w:val="00015AD0"/>
    <w:rsid w:val="000310C3"/>
    <w:rsid w:val="000A5EAB"/>
    <w:rsid w:val="00144206"/>
    <w:rsid w:val="00151C09"/>
    <w:rsid w:val="00194FAC"/>
    <w:rsid w:val="001A31DB"/>
    <w:rsid w:val="00224FCF"/>
    <w:rsid w:val="00231F5A"/>
    <w:rsid w:val="002351D5"/>
    <w:rsid w:val="002547E5"/>
    <w:rsid w:val="00284A3F"/>
    <w:rsid w:val="002A3A81"/>
    <w:rsid w:val="00347871"/>
    <w:rsid w:val="0038533A"/>
    <w:rsid w:val="00394B4B"/>
    <w:rsid w:val="00422DBC"/>
    <w:rsid w:val="00444E8D"/>
    <w:rsid w:val="00472D7E"/>
    <w:rsid w:val="004A2A06"/>
    <w:rsid w:val="004D01D3"/>
    <w:rsid w:val="004D367A"/>
    <w:rsid w:val="004D54B6"/>
    <w:rsid w:val="005A6172"/>
    <w:rsid w:val="005A7092"/>
    <w:rsid w:val="005C4C2B"/>
    <w:rsid w:val="005C73E5"/>
    <w:rsid w:val="00640966"/>
    <w:rsid w:val="00646FE4"/>
    <w:rsid w:val="00680395"/>
    <w:rsid w:val="00686CAF"/>
    <w:rsid w:val="006E4DD9"/>
    <w:rsid w:val="00721C1E"/>
    <w:rsid w:val="007B489F"/>
    <w:rsid w:val="007D2F2C"/>
    <w:rsid w:val="007D594B"/>
    <w:rsid w:val="007F00F4"/>
    <w:rsid w:val="007F170D"/>
    <w:rsid w:val="0081412D"/>
    <w:rsid w:val="00816C2D"/>
    <w:rsid w:val="008231FD"/>
    <w:rsid w:val="00885740"/>
    <w:rsid w:val="008B07F4"/>
    <w:rsid w:val="008E5E92"/>
    <w:rsid w:val="00902823"/>
    <w:rsid w:val="00931176"/>
    <w:rsid w:val="009723F7"/>
    <w:rsid w:val="00985209"/>
    <w:rsid w:val="00A05CE2"/>
    <w:rsid w:val="00A3596D"/>
    <w:rsid w:val="00A9536A"/>
    <w:rsid w:val="00AD1090"/>
    <w:rsid w:val="00B13F28"/>
    <w:rsid w:val="00B92DEF"/>
    <w:rsid w:val="00BA4BF0"/>
    <w:rsid w:val="00BA6E1A"/>
    <w:rsid w:val="00C15D72"/>
    <w:rsid w:val="00C72805"/>
    <w:rsid w:val="00CD452F"/>
    <w:rsid w:val="00D20585"/>
    <w:rsid w:val="00D74636"/>
    <w:rsid w:val="00DE5340"/>
    <w:rsid w:val="00E2503A"/>
    <w:rsid w:val="00E26D71"/>
    <w:rsid w:val="00EA2C05"/>
    <w:rsid w:val="00ED2D8E"/>
    <w:rsid w:val="00F07566"/>
    <w:rsid w:val="00F2299E"/>
    <w:rsid w:val="00F35112"/>
    <w:rsid w:val="00FA71E8"/>
    <w:rsid w:val="00FB5A7F"/>
    <w:rsid w:val="1A33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标题 1 Char"/>
    <w:basedOn w:val="8"/>
    <w:link w:val="2"/>
    <w:qFormat/>
    <w:uiPriority w:val="9"/>
    <w:rPr>
      <w:rFonts w:ascii="宋体" w:hAnsi="宋体" w:eastAsia="宋体" w:cs="宋体"/>
      <w:b/>
      <w:bCs/>
      <w:kern w:val="36"/>
      <w:sz w:val="48"/>
      <w:szCs w:val="48"/>
    </w:rPr>
  </w:style>
  <w:style w:type="character" w:customStyle="1" w:styleId="12">
    <w:name w:val="HTML 预设格式 Char"/>
    <w:basedOn w:val="8"/>
    <w:link w:val="5"/>
    <w:semiHidden/>
    <w:qFormat/>
    <w:uiPriority w:val="99"/>
    <w:rPr>
      <w:rFonts w:ascii="宋体" w:hAnsi="宋体" w:eastAsia="宋体" w:cs="宋体"/>
      <w:kern w:val="0"/>
      <w:sz w:val="24"/>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7178</Words>
  <Characters>8589</Characters>
  <Lines>76</Lines>
  <Paragraphs>21</Paragraphs>
  <TotalTime>1</TotalTime>
  <ScaleCrop>false</ScaleCrop>
  <LinksUpToDate>false</LinksUpToDate>
  <CharactersWithSpaces>10189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2017-04-10T09:29:00Z</dcterms:created>
  <dc:creator>pc</dc:creator>
  <cp:lastModifiedBy>太极箫客</cp:lastModifiedBy>
  <dcterms:modified xsi:type="dcterms:W3CDTF">2025-08-14T06:33:19Z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87F96D66815B4BEA91AAA90CCF8B3EDB_12</vt:lpwstr>
  </property>
</Properties>
</file>