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8091BA7">
      <w:pPr>
        <w:widowControl/>
        <w:snapToGrid w:val="0"/>
        <w:spacing w:before="100" w:beforeAutospacing="1" w:after="100" w:afterAutospacing="1" w:line="300" w:lineRule="auto"/>
        <w:outlineLvl w:val="0"/>
        <w:rPr>
          <w:rFonts w:ascii="Arial" w:hAnsi="Arial" w:eastAsia="宋体" w:cs="Arial"/>
          <w:b/>
          <w:bCs/>
          <w:kern w:val="36"/>
          <w:sz w:val="48"/>
          <w:szCs w:val="48"/>
        </w:rPr>
      </w:pPr>
      <w:bookmarkStart w:id="1" w:name="_GoBack"/>
      <w:bookmarkEnd w:id="1"/>
      <w:r>
        <w:rPr>
          <w:rFonts w:ascii="Arial" w:hAnsi="Arial" w:eastAsia="宋体" w:cs="Arial"/>
          <w:b/>
          <w:bCs/>
          <w:kern w:val="36"/>
          <w:sz w:val="48"/>
          <w:szCs w:val="48"/>
        </w:rPr>
        <w:t>使用葡萄糖氧化酶、脱氢酶或己糖激酶方法评估便携式血糖监测体外诊断器械的审查标准</w:t>
      </w:r>
    </w:p>
    <w:p w14:paraId="73A7240E">
      <w:pPr>
        <w:widowControl/>
        <w:snapToGrid w:val="0"/>
        <w:spacing w:before="100" w:beforeAutospacing="1" w:after="100" w:afterAutospacing="1" w:line="300" w:lineRule="auto"/>
        <w:jc w:val="center"/>
        <w:outlineLvl w:val="2"/>
        <w:rPr>
          <w:rFonts w:ascii="Arial" w:hAnsi="Arial" w:eastAsia="宋体" w:cs="Arial"/>
          <w:b/>
          <w:bCs/>
          <w:kern w:val="0"/>
          <w:sz w:val="27"/>
          <w:szCs w:val="27"/>
        </w:rPr>
      </w:pPr>
      <w:r>
        <w:rPr>
          <w:rFonts w:ascii="Arial" w:hAnsi="Arial" w:eastAsia="宋体" w:cs="Arial"/>
          <w:b/>
          <w:bCs/>
          <w:kern w:val="0"/>
          <w:sz w:val="27"/>
          <w:szCs w:val="27"/>
        </w:rPr>
        <w:t>文件草案</w:t>
      </w:r>
    </w:p>
    <w:p w14:paraId="77CBEB4F">
      <w:pPr>
        <w:pStyle w:val="20"/>
        <w:snapToGrid w:val="0"/>
        <w:spacing w:after="0" w:line="300" w:lineRule="auto"/>
        <w:rPr>
          <w:rFonts w:ascii="Arial" w:hAnsi="Arial" w:eastAsia="宋体" w:cs="Arial"/>
          <w:kern w:val="0"/>
          <w:sz w:val="24"/>
          <w:szCs w:val="24"/>
        </w:rPr>
      </w:pPr>
      <w:r>
        <w:rPr>
          <w:rFonts w:ascii="Arial" w:hAnsi="Arial" w:eastAsia="宋体" w:cs="Arial"/>
          <w:kern w:val="0"/>
          <w:sz w:val="24"/>
          <w:szCs w:val="24"/>
        </w:rPr>
        <w:t>本指导性文件发布仅用于征询评论。临床化学和毒理学器械分部</w:t>
      </w:r>
    </w:p>
    <w:p w14:paraId="126EB97F">
      <w:pPr>
        <w:widowControl/>
        <w:snapToGrid w:val="0"/>
        <w:spacing w:line="300" w:lineRule="auto"/>
        <w:jc w:val="center"/>
        <w:rPr>
          <w:rFonts w:ascii="Arial" w:hAnsi="Arial" w:eastAsia="宋体" w:cs="Arial"/>
          <w:kern w:val="0"/>
          <w:sz w:val="24"/>
          <w:szCs w:val="24"/>
        </w:rPr>
      </w:pPr>
      <w:r>
        <w:rPr>
          <w:rFonts w:ascii="Arial" w:hAnsi="Arial" w:eastAsia="宋体" w:cs="Arial"/>
          <w:kern w:val="0"/>
          <w:sz w:val="24"/>
          <w:szCs w:val="24"/>
        </w:rPr>
        <w:t>临床实验室器械部</w:t>
      </w:r>
    </w:p>
    <w:p w14:paraId="23622CC1">
      <w:pPr>
        <w:widowControl/>
        <w:snapToGrid w:val="0"/>
        <w:spacing w:line="300" w:lineRule="auto"/>
        <w:jc w:val="center"/>
        <w:rPr>
          <w:rFonts w:ascii="Arial" w:hAnsi="Arial" w:eastAsia="宋体" w:cs="Arial"/>
          <w:kern w:val="0"/>
          <w:sz w:val="24"/>
          <w:szCs w:val="24"/>
        </w:rPr>
      </w:pPr>
      <w:r>
        <w:rPr>
          <w:rFonts w:ascii="Arial" w:hAnsi="Arial" w:eastAsia="宋体" w:cs="Arial"/>
          <w:kern w:val="0"/>
          <w:sz w:val="24"/>
          <w:szCs w:val="24"/>
        </w:rPr>
        <w:t>器械评估办公室</w:t>
      </w:r>
    </w:p>
    <w:p w14:paraId="05EAC984">
      <w:pPr>
        <w:widowControl/>
        <w:snapToGrid w:val="0"/>
        <w:spacing w:line="300" w:lineRule="auto"/>
        <w:jc w:val="center"/>
        <w:rPr>
          <w:rFonts w:ascii="Arial" w:hAnsi="Arial" w:eastAsia="宋体" w:cs="Arial"/>
          <w:b/>
          <w:kern w:val="0"/>
          <w:sz w:val="24"/>
          <w:szCs w:val="24"/>
        </w:rPr>
      </w:pPr>
      <w:r>
        <w:rPr>
          <w:rFonts w:hint="eastAsia" w:ascii="Arial" w:hAnsi="Arial" w:eastAsia="宋体" w:cs="Arial"/>
          <w:b/>
          <w:kern w:val="0"/>
          <w:sz w:val="24"/>
          <w:szCs w:val="24"/>
        </w:rPr>
        <w:t>草案于</w:t>
      </w:r>
      <w:r>
        <w:rPr>
          <w:rFonts w:ascii="Arial" w:hAnsi="Arial" w:eastAsia="宋体" w:cs="Arial"/>
          <w:b/>
          <w:kern w:val="0"/>
          <w:sz w:val="24"/>
          <w:szCs w:val="24"/>
        </w:rPr>
        <w:t>1997</w:t>
      </w:r>
      <w:r>
        <w:rPr>
          <w:rFonts w:hint="eastAsia" w:ascii="Arial" w:hAnsi="Arial" w:eastAsia="宋体" w:cs="Arial"/>
          <w:b/>
          <w:kern w:val="0"/>
          <w:sz w:val="24"/>
          <w:szCs w:val="24"/>
        </w:rPr>
        <w:t>年</w:t>
      </w:r>
      <w:r>
        <w:rPr>
          <w:rFonts w:ascii="Arial" w:hAnsi="Arial" w:eastAsia="宋体" w:cs="Arial"/>
          <w:b/>
          <w:kern w:val="0"/>
          <w:sz w:val="24"/>
          <w:szCs w:val="24"/>
        </w:rPr>
        <w:t>2</w:t>
      </w:r>
      <w:r>
        <w:rPr>
          <w:rFonts w:hint="eastAsia" w:ascii="Arial" w:hAnsi="Arial" w:eastAsia="宋体" w:cs="Arial"/>
          <w:b/>
          <w:kern w:val="0"/>
          <w:sz w:val="24"/>
          <w:szCs w:val="24"/>
        </w:rPr>
        <w:t>月</w:t>
      </w:r>
      <w:r>
        <w:rPr>
          <w:rFonts w:ascii="Arial" w:hAnsi="Arial" w:eastAsia="宋体" w:cs="Arial"/>
          <w:b/>
          <w:kern w:val="0"/>
          <w:sz w:val="24"/>
          <w:szCs w:val="24"/>
        </w:rPr>
        <w:t>28</w:t>
      </w:r>
      <w:r>
        <w:rPr>
          <w:rFonts w:hint="eastAsia" w:ascii="Arial" w:hAnsi="Arial" w:eastAsia="宋体" w:cs="Arial"/>
          <w:b/>
          <w:kern w:val="0"/>
          <w:sz w:val="24"/>
          <w:szCs w:val="24"/>
        </w:rPr>
        <w:t>日发布以征询评论</w:t>
      </w:r>
    </w:p>
    <w:p w14:paraId="7A0DD478">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有关本文件草案的评论和建议应在上述发布日期后60天内提交，提交地址为：Joseph Hackett，Ph.D，临床实验室器械部副主任，10903 New Hampshire Avenue，Silver Spring，MD 20993。可能直到文件下次修订或更新时，评论和建议才会被机构受理。有关文件草案的问题，请拨打电话301-796-0695联系临床实验室器械部。</w:t>
      </w:r>
    </w:p>
    <w:p w14:paraId="007CE3D9">
      <w:pPr>
        <w:widowControl/>
        <w:snapToGrid w:val="0"/>
        <w:spacing w:line="300" w:lineRule="auto"/>
        <w:jc w:val="center"/>
        <w:rPr>
          <w:rFonts w:ascii="Arial" w:hAnsi="Arial" w:eastAsia="宋体" w:cs="Arial"/>
          <w:kern w:val="0"/>
          <w:sz w:val="24"/>
          <w:szCs w:val="24"/>
        </w:rPr>
      </w:pPr>
      <w:r>
        <w:rPr>
          <w:rFonts w:ascii="Arial" w:hAnsi="Arial" w:eastAsia="宋体" w:cs="Arial"/>
          <w:kern w:val="0"/>
          <w:sz w:val="24"/>
          <w:szCs w:val="24"/>
        </w:rPr>
        <w:t>美国卫生与公众服务部</w:t>
      </w:r>
    </w:p>
    <w:p w14:paraId="63CE2320">
      <w:pPr>
        <w:widowControl/>
        <w:snapToGrid w:val="0"/>
        <w:spacing w:line="300" w:lineRule="auto"/>
        <w:jc w:val="center"/>
        <w:rPr>
          <w:rFonts w:ascii="Arial" w:hAnsi="Arial" w:eastAsia="宋体" w:cs="Arial"/>
          <w:kern w:val="0"/>
          <w:sz w:val="24"/>
          <w:szCs w:val="24"/>
        </w:rPr>
      </w:pPr>
      <w:r>
        <w:rPr>
          <w:rFonts w:ascii="Arial" w:hAnsi="Arial" w:eastAsia="宋体" w:cs="Arial"/>
          <w:kern w:val="0"/>
          <w:sz w:val="24"/>
          <w:szCs w:val="24"/>
        </w:rPr>
        <w:t>公共卫生署</w:t>
      </w:r>
    </w:p>
    <w:p w14:paraId="460396E0">
      <w:pPr>
        <w:widowControl/>
        <w:snapToGrid w:val="0"/>
        <w:spacing w:line="300" w:lineRule="auto"/>
        <w:jc w:val="center"/>
        <w:rPr>
          <w:rFonts w:ascii="Arial" w:hAnsi="Arial" w:eastAsia="宋体" w:cs="Arial"/>
          <w:kern w:val="0"/>
          <w:sz w:val="24"/>
          <w:szCs w:val="24"/>
        </w:rPr>
      </w:pPr>
      <w:r>
        <w:rPr>
          <w:rFonts w:ascii="Arial" w:hAnsi="Arial" w:eastAsia="宋体" w:cs="Arial"/>
          <w:kern w:val="0"/>
          <w:sz w:val="24"/>
          <w:szCs w:val="24"/>
        </w:rPr>
        <w:t>食品药品监督管理局</w:t>
      </w:r>
    </w:p>
    <w:p w14:paraId="4C4BB11E">
      <w:pPr>
        <w:widowControl/>
        <w:snapToGrid w:val="0"/>
        <w:spacing w:line="300" w:lineRule="auto"/>
        <w:jc w:val="center"/>
        <w:rPr>
          <w:rFonts w:ascii="Arial" w:hAnsi="Arial" w:eastAsia="宋体" w:cs="Arial"/>
          <w:kern w:val="0"/>
          <w:sz w:val="24"/>
          <w:szCs w:val="24"/>
        </w:rPr>
      </w:pPr>
      <w:r>
        <w:rPr>
          <w:rFonts w:ascii="Arial" w:hAnsi="Arial" w:eastAsia="宋体" w:cs="Arial"/>
          <w:kern w:val="0"/>
          <w:sz w:val="24"/>
          <w:szCs w:val="24"/>
        </w:rPr>
        <w:t>器械与放射健康中心</w:t>
      </w:r>
    </w:p>
    <w:p w14:paraId="6A791863">
      <w:pPr>
        <w:widowControl/>
        <w:snapToGrid w:val="0"/>
        <w:spacing w:before="100" w:beforeAutospacing="1" w:after="100" w:afterAutospacing="1" w:line="300" w:lineRule="auto"/>
        <w:jc w:val="center"/>
        <w:outlineLvl w:val="2"/>
        <w:rPr>
          <w:rFonts w:ascii="Arial" w:hAnsi="Arial" w:eastAsia="宋体" w:cs="Arial"/>
          <w:b/>
          <w:bCs/>
          <w:kern w:val="0"/>
          <w:sz w:val="27"/>
          <w:szCs w:val="27"/>
        </w:rPr>
      </w:pPr>
      <w:r>
        <w:rPr>
          <w:rFonts w:ascii="Arial" w:hAnsi="Arial" w:eastAsia="宋体" w:cs="Arial"/>
          <w:b/>
          <w:bCs/>
          <w:kern w:val="0"/>
          <w:sz w:val="27"/>
          <w:szCs w:val="27"/>
        </w:rPr>
        <w:t>使用葡萄糖氧化酶、脱氢酶或己糖激酶方法评估便携式血糖监测体外诊断器械的审查标准</w:t>
      </w:r>
    </w:p>
    <w:p w14:paraId="2710DFB2">
      <w:pPr>
        <w:widowControl/>
        <w:snapToGrid w:val="0"/>
        <w:spacing w:line="300" w:lineRule="auto"/>
        <w:jc w:val="center"/>
        <w:rPr>
          <w:rFonts w:ascii="Arial" w:hAnsi="Arial" w:eastAsia="宋体" w:cs="Arial"/>
          <w:kern w:val="0"/>
          <w:sz w:val="24"/>
          <w:szCs w:val="24"/>
        </w:rPr>
      </w:pPr>
      <w:r>
        <w:rPr>
          <w:rFonts w:ascii="Arial" w:hAnsi="Arial" w:eastAsia="宋体" w:cs="Arial"/>
          <w:kern w:val="0"/>
          <w:sz w:val="24"/>
          <w:szCs w:val="24"/>
        </w:rPr>
        <w:t>版本 1996年2月14日</w:t>
      </w:r>
    </w:p>
    <w:p w14:paraId="5644FF2F">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sz w:val="24"/>
          <w:szCs w:val="24"/>
        </w:rPr>
        <w:t>这是一个灵活的文件，代表当前与为采用</w:t>
      </w:r>
      <w:r>
        <w:rPr>
          <w:rFonts w:ascii="Arial" w:hAnsi="Arial" w:eastAsia="宋体" w:cs="Arial"/>
          <w:kern w:val="0"/>
          <w:sz w:val="24"/>
          <w:szCs w:val="24"/>
        </w:rPr>
        <w:t>酶学方法的葡萄糖</w:t>
      </w:r>
      <w:r>
        <w:rPr>
          <w:rFonts w:hint="eastAsia" w:ascii="Arial" w:hAnsi="Arial" w:eastAsia="宋体" w:cs="Arial"/>
          <w:b/>
          <w:kern w:val="0"/>
          <w:sz w:val="24"/>
          <w:szCs w:val="24"/>
        </w:rPr>
        <w:t>体外</w:t>
      </w:r>
      <w:r>
        <w:rPr>
          <w:rFonts w:ascii="Arial" w:hAnsi="Arial" w:eastAsia="宋体" w:cs="Arial"/>
          <w:kern w:val="0"/>
          <w:sz w:val="24"/>
          <w:szCs w:val="24"/>
        </w:rPr>
        <w:t>诊断器械编制上市前通告（510（k））有关</w:t>
      </w:r>
      <w:r>
        <w:rPr>
          <w:rFonts w:ascii="Arial" w:hAnsi="Arial" w:eastAsia="宋体" w:cs="Arial"/>
          <w:sz w:val="24"/>
          <w:szCs w:val="24"/>
        </w:rPr>
        <w:t>的指南。其基于1）</w:t>
      </w:r>
      <w:r>
        <w:rPr>
          <w:rFonts w:ascii="Arial" w:hAnsi="Arial" w:eastAsia="宋体" w:cs="Arial"/>
          <w:kern w:val="0"/>
          <w:sz w:val="24"/>
          <w:szCs w:val="24"/>
        </w:rPr>
        <w:t>当前技术</w:t>
      </w:r>
      <w:r>
        <w:rPr>
          <w:rFonts w:ascii="Arial" w:hAnsi="Arial" w:eastAsia="宋体" w:cs="Arial"/>
          <w:sz w:val="24"/>
          <w:szCs w:val="24"/>
        </w:rPr>
        <w:t>，2）临床经验和3）先前由制造商提交给食品药品监督管理局的提交资料</w:t>
      </w:r>
      <w:r>
        <w:rPr>
          <w:rFonts w:ascii="Arial" w:hAnsi="Arial" w:eastAsia="宋体" w:cs="Arial"/>
          <w:kern w:val="0"/>
          <w:sz w:val="24"/>
          <w:szCs w:val="24"/>
        </w:rPr>
        <w:t>以及4）1990年的“安全医疗器械法案”和“美国联邦法规”（CFR）中的法规。为了使我们可以根据需要修改草案，请将贵公司的评论发送到以下地址。</w:t>
      </w:r>
    </w:p>
    <w:p w14:paraId="69CBFD03">
      <w:pPr>
        <w:widowControl/>
        <w:snapToGrid w:val="0"/>
        <w:spacing w:before="100" w:beforeAutospacing="1" w:after="100" w:afterAutospacing="1" w:line="300" w:lineRule="auto"/>
        <w:rPr>
          <w:rFonts w:ascii="Arial" w:hAnsi="Arial" w:eastAsia="宋体" w:cs="Arial"/>
          <w:kern w:val="0"/>
          <w:sz w:val="24"/>
          <w:szCs w:val="24"/>
        </w:rPr>
      </w:pPr>
    </w:p>
    <w:p w14:paraId="0FF4A04F">
      <w:pPr>
        <w:widowControl/>
        <w:snapToGrid w:val="0"/>
        <w:spacing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临床实验室器械部</w:t>
      </w:r>
    </w:p>
    <w:p w14:paraId="6662E085">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10903 New Hampshire Avenue</w:t>
      </w:r>
    </w:p>
    <w:p w14:paraId="7E66FBD6">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Silver Spring，MD 20993</w:t>
      </w:r>
    </w:p>
    <w:p w14:paraId="794DE5B2">
      <w:pPr>
        <w:widowControl/>
        <w:snapToGrid w:val="0"/>
        <w:spacing w:before="100" w:beforeAutospacing="1" w:afterAutospacing="1" w:line="300" w:lineRule="auto"/>
        <w:rPr>
          <w:rFonts w:ascii="Arial" w:hAnsi="Arial" w:eastAsia="宋体" w:cs="Arial"/>
          <w:kern w:val="0"/>
          <w:sz w:val="24"/>
          <w:szCs w:val="24"/>
        </w:rPr>
      </w:pPr>
    </w:p>
    <w:p w14:paraId="70FC1509">
      <w:pPr>
        <w:widowControl/>
        <w:snapToGrid w:val="0"/>
        <w:spacing w:before="100" w:beforeAutospacing="1" w:after="100" w:afterAutospacing="1" w:line="300" w:lineRule="auto"/>
        <w:rPr>
          <w:rFonts w:ascii="Arial" w:hAnsi="Arial" w:eastAsia="宋体" w:cs="Arial"/>
          <w:kern w:val="0"/>
          <w:sz w:val="24"/>
          <w:szCs w:val="24"/>
        </w:rPr>
      </w:pPr>
      <w:r>
        <w:rPr>
          <w:rFonts w:hint="eastAsia" w:ascii="Arial" w:hAnsi="Arial" w:eastAsia="宋体" w:cs="Arial"/>
          <w:b/>
          <w:kern w:val="0"/>
          <w:sz w:val="24"/>
          <w:szCs w:val="24"/>
        </w:rPr>
        <w:t>定义：</w:t>
      </w:r>
      <w:r>
        <w:rPr>
          <w:rFonts w:ascii="Arial" w:hAnsi="Arial" w:eastAsia="宋体" w:cs="Arial"/>
          <w:kern w:val="0"/>
          <w:sz w:val="24"/>
          <w:szCs w:val="24"/>
        </w:rPr>
        <w:t>便携式血糖仪用于医院、护理点、医生办公室和非处方的体外诊断测试，通过基于葡萄糖氧化酶、脱氢酶或己糖激酶的方法对葡萄糖进行定量和半定量测量。这些不包括用于血浆、血清、尿液和CSF进行常规和统计葡萄糖试验的大型临床化学分析仪或专用葡萄糖分析仪。</w:t>
      </w:r>
    </w:p>
    <w:p w14:paraId="52DD37CF">
      <w:pPr>
        <w:widowControl/>
        <w:snapToGrid w:val="0"/>
        <w:spacing w:before="100" w:beforeAutospacing="1" w:after="100" w:afterAutospacing="1" w:line="300" w:lineRule="auto"/>
        <w:rPr>
          <w:rFonts w:ascii="Arial" w:hAnsi="Arial" w:eastAsia="宋体" w:cs="Arial"/>
          <w:kern w:val="0"/>
          <w:sz w:val="24"/>
          <w:szCs w:val="24"/>
        </w:rPr>
      </w:pPr>
      <w:r>
        <w:rPr>
          <w:rFonts w:hint="eastAsia" w:ascii="Arial" w:hAnsi="Arial" w:eastAsia="宋体" w:cs="Arial"/>
          <w:b/>
          <w:kern w:val="0"/>
          <w:sz w:val="24"/>
          <w:szCs w:val="24"/>
        </w:rPr>
        <w:t>产品代码：</w:t>
      </w:r>
      <w:r>
        <w:rPr>
          <w:rFonts w:ascii="Arial" w:hAnsi="Arial" w:eastAsia="宋体" w:cs="Arial"/>
          <w:kern w:val="0"/>
          <w:sz w:val="24"/>
          <w:szCs w:val="24"/>
        </w:rPr>
        <w:t>CGA，CFR，LFR</w:t>
      </w:r>
    </w:p>
    <w:p w14:paraId="7D44BC42">
      <w:pPr>
        <w:widowControl/>
        <w:snapToGrid w:val="0"/>
        <w:spacing w:before="100" w:beforeAutospacing="1" w:after="100" w:afterAutospacing="1" w:line="300" w:lineRule="auto"/>
        <w:rPr>
          <w:rFonts w:ascii="Arial" w:hAnsi="Arial" w:eastAsia="宋体" w:cs="Arial"/>
          <w:kern w:val="0"/>
          <w:sz w:val="24"/>
          <w:szCs w:val="24"/>
        </w:rPr>
      </w:pPr>
      <w:r>
        <w:rPr>
          <w:rFonts w:hint="eastAsia" w:ascii="Arial" w:hAnsi="Arial" w:eastAsia="宋体" w:cs="Arial"/>
          <w:b/>
          <w:kern w:val="0"/>
          <w:sz w:val="24"/>
          <w:szCs w:val="24"/>
        </w:rPr>
        <w:t>法规：</w:t>
      </w:r>
      <w:r>
        <w:rPr>
          <w:rFonts w:ascii="Arial" w:hAnsi="Arial" w:eastAsia="宋体" w:cs="Arial"/>
          <w:kern w:val="0"/>
          <w:sz w:val="24"/>
          <w:szCs w:val="24"/>
        </w:rPr>
        <w:t>21 CFR 862.1345</w:t>
      </w:r>
    </w:p>
    <w:p w14:paraId="2440BAE6">
      <w:pPr>
        <w:widowControl/>
        <w:snapToGrid w:val="0"/>
        <w:spacing w:line="300" w:lineRule="auto"/>
        <w:rPr>
          <w:rFonts w:ascii="Arial" w:hAnsi="Arial" w:eastAsia="宋体" w:cs="Arial"/>
          <w:kern w:val="0"/>
          <w:sz w:val="24"/>
          <w:szCs w:val="24"/>
        </w:rPr>
      </w:pPr>
      <w:r>
        <w:rPr>
          <w:rFonts w:ascii="Arial" w:hAnsi="Arial" w:eastAsia="宋体" w:cs="Arial"/>
          <w:b/>
          <w:bCs/>
          <w:kern w:val="0"/>
          <w:sz w:val="24"/>
          <w:szCs w:val="24"/>
        </w:rPr>
        <w:t>（a）识别。</w:t>
      </w:r>
    </w:p>
    <w:p w14:paraId="1623A7F5">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葡萄糖试验系统是用于在血液和其他体液中定量测量葡萄糖的器械。葡萄糖测量用于诊断和治疗碳水化合物代谢疾病，包括糖尿病、新生儿低血糖症和特发性低血糖症以及胰岛细胞肿瘤。</w:t>
      </w:r>
    </w:p>
    <w:p w14:paraId="2FA8DB38">
      <w:pPr>
        <w:widowControl/>
        <w:snapToGrid w:val="0"/>
        <w:spacing w:line="300" w:lineRule="auto"/>
        <w:rPr>
          <w:rFonts w:ascii="Arial" w:hAnsi="Arial" w:eastAsia="宋体" w:cs="Arial"/>
          <w:kern w:val="0"/>
          <w:sz w:val="24"/>
          <w:szCs w:val="24"/>
        </w:rPr>
      </w:pPr>
      <w:r>
        <w:rPr>
          <w:rFonts w:ascii="Arial" w:hAnsi="Arial" w:eastAsia="宋体" w:cs="Arial"/>
          <w:b/>
          <w:bCs/>
          <w:kern w:val="0"/>
          <w:sz w:val="24"/>
          <w:szCs w:val="24"/>
        </w:rPr>
        <w:t>（b）分类：II</w:t>
      </w:r>
      <w:r>
        <w:rPr>
          <w:rFonts w:hint="eastAsia" w:ascii="Arial" w:hAnsi="Arial" w:eastAsia="宋体" w:cs="Arial"/>
          <w:b/>
          <w:kern w:val="0"/>
          <w:sz w:val="24"/>
          <w:szCs w:val="24"/>
        </w:rPr>
        <w:t>类</w:t>
      </w:r>
    </w:p>
    <w:p w14:paraId="618E832A">
      <w:pPr>
        <w:widowControl/>
        <w:snapToGrid w:val="0"/>
        <w:spacing w:before="100" w:beforeAutospacing="1" w:after="100" w:afterAutospacing="1" w:line="300" w:lineRule="auto"/>
        <w:rPr>
          <w:rFonts w:ascii="Arial" w:hAnsi="Arial" w:eastAsia="宋体" w:cs="Arial"/>
          <w:kern w:val="0"/>
          <w:sz w:val="24"/>
          <w:szCs w:val="24"/>
        </w:rPr>
      </w:pPr>
      <w:r>
        <w:rPr>
          <w:rFonts w:hint="eastAsia" w:ascii="Arial" w:hAnsi="Arial" w:eastAsia="宋体" w:cs="Arial"/>
          <w:b/>
          <w:kern w:val="0"/>
          <w:sz w:val="24"/>
          <w:szCs w:val="24"/>
        </w:rPr>
        <w:t>所需审查：</w:t>
      </w:r>
      <w:r>
        <w:rPr>
          <w:rFonts w:ascii="Arial" w:hAnsi="Arial" w:eastAsia="宋体" w:cs="Arial"/>
          <w:kern w:val="0"/>
          <w:sz w:val="24"/>
          <w:szCs w:val="24"/>
        </w:rPr>
        <w:t>510（k）</w:t>
      </w:r>
    </w:p>
    <w:p w14:paraId="2ED6867B">
      <w:pPr>
        <w:widowControl/>
        <w:snapToGrid w:val="0"/>
        <w:spacing w:before="100" w:beforeAutospacing="1" w:after="100" w:afterAutospacing="1" w:line="300" w:lineRule="auto"/>
        <w:outlineLvl w:val="3"/>
        <w:rPr>
          <w:rFonts w:ascii="Arial" w:hAnsi="Arial" w:eastAsia="宋体" w:cs="Arial"/>
          <w:b/>
          <w:bCs/>
          <w:kern w:val="0"/>
          <w:sz w:val="24"/>
          <w:szCs w:val="24"/>
        </w:rPr>
      </w:pPr>
      <w:r>
        <w:rPr>
          <w:rFonts w:ascii="Arial" w:hAnsi="Arial" w:eastAsia="宋体" w:cs="Arial"/>
          <w:b/>
          <w:bCs/>
          <w:kern w:val="0"/>
          <w:sz w:val="24"/>
          <w:szCs w:val="24"/>
        </w:rPr>
        <w:t>目的</w:t>
      </w:r>
    </w:p>
    <w:p w14:paraId="6D380540">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本文件的目的是就某一器械可许可上市之前须提交给FDA的信息提供指南。此通告使FDA能够基于更为一致的数据库做出更合理的决定。我们希望这些文件可使商业器械使用更可靠、可重复以及更简单。</w:t>
      </w:r>
    </w:p>
    <w:p w14:paraId="4DB33D56">
      <w:pPr>
        <w:widowControl/>
        <w:snapToGrid w:val="0"/>
        <w:spacing w:before="100" w:beforeAutospacing="1" w:after="100" w:afterAutospacing="1" w:line="300" w:lineRule="auto"/>
        <w:rPr>
          <w:rFonts w:ascii="Arial" w:hAnsi="Arial" w:eastAsia="宋体" w:cs="Arial"/>
          <w:kern w:val="0"/>
          <w:sz w:val="24"/>
          <w:szCs w:val="24"/>
        </w:rPr>
      </w:pPr>
    </w:p>
    <w:p w14:paraId="7E7BBBAF">
      <w:pPr>
        <w:widowControl/>
        <w:snapToGrid w:val="0"/>
        <w:spacing w:before="100" w:beforeAutospacing="1" w:after="100" w:afterAutospacing="1" w:line="300" w:lineRule="auto"/>
        <w:rPr>
          <w:rFonts w:ascii="Arial" w:hAnsi="Arial" w:eastAsia="宋体" w:cs="Arial"/>
          <w:kern w:val="0"/>
          <w:sz w:val="24"/>
          <w:szCs w:val="24"/>
        </w:rPr>
      </w:pPr>
    </w:p>
    <w:p w14:paraId="12790EBF">
      <w:pPr>
        <w:widowControl/>
        <w:snapToGrid w:val="0"/>
        <w:spacing w:before="100" w:beforeAutospacing="1" w:after="100" w:afterAutospacing="1" w:line="300" w:lineRule="auto"/>
        <w:rPr>
          <w:rFonts w:ascii="Arial" w:hAnsi="Arial" w:eastAsia="宋体" w:cs="Arial"/>
          <w:kern w:val="0"/>
          <w:sz w:val="24"/>
          <w:szCs w:val="24"/>
        </w:rPr>
      </w:pPr>
    </w:p>
    <w:p w14:paraId="0E330FCE">
      <w:pPr>
        <w:widowControl/>
        <w:snapToGrid w:val="0"/>
        <w:spacing w:before="100" w:beforeAutospacing="1" w:after="100" w:afterAutospacing="1" w:line="300" w:lineRule="auto"/>
        <w:rPr>
          <w:rFonts w:ascii="Arial" w:hAnsi="Arial" w:eastAsia="宋体" w:cs="Arial"/>
          <w:kern w:val="0"/>
          <w:sz w:val="24"/>
          <w:szCs w:val="24"/>
        </w:rPr>
      </w:pPr>
    </w:p>
    <w:p w14:paraId="3E34773F">
      <w:pPr>
        <w:widowControl/>
        <w:snapToGrid w:val="0"/>
        <w:spacing w:before="100" w:beforeAutospacing="1" w:after="100" w:afterAutospacing="1" w:line="300" w:lineRule="auto"/>
        <w:outlineLvl w:val="3"/>
        <w:rPr>
          <w:rFonts w:ascii="Arial" w:hAnsi="Arial" w:eastAsia="宋体" w:cs="Arial"/>
          <w:b/>
          <w:bCs/>
          <w:kern w:val="0"/>
          <w:sz w:val="24"/>
          <w:szCs w:val="24"/>
        </w:rPr>
      </w:pPr>
      <w:r>
        <w:rPr>
          <w:rFonts w:ascii="Arial" w:hAnsi="Arial" w:eastAsia="宋体" w:cs="Arial"/>
          <w:b/>
          <w:bCs/>
          <w:kern w:val="0"/>
          <w:sz w:val="24"/>
          <w:szCs w:val="24"/>
        </w:rPr>
        <w:t>I. 背景</w:t>
      </w:r>
    </w:p>
    <w:p w14:paraId="06734644">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在过去十年中，葡萄糖监测已成为护理糖尿病患者的主要辅助措施。现在，糖尿病患者和医疗专家可以经常使用便携式器械测量和记录血糖水平。在医院中，通常使用血糖监测仪，而非使用常规实验室葡萄糖试验方法来快速获得ER、ICU、CCU、OR或其他临床位置中的患者的血糖浓度。如果在家里使用，这些器械可使糖尿病患者每天监测和处理血糖水平的波动。</w:t>
      </w:r>
      <w:r>
        <w:rPr>
          <w:rFonts w:ascii="Arial" w:hAnsi="Arial" w:eastAsia="宋体" w:cs="Arial"/>
          <w:kern w:val="0"/>
          <w:sz w:val="24"/>
          <w:szCs w:val="24"/>
          <w:vertAlign w:val="superscript"/>
        </w:rPr>
        <w:t>1</w:t>
      </w:r>
    </w:p>
    <w:p w14:paraId="37464723">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尽管血糖监测仪存有一些问题，由医生、糖尿病教育工作者和实验室工作人员等组成的共识专家组建议对胰岛素治疗的糖尿病进行血糖监测（BGMg）试验。该专家组由美国糖尿病协会、FDA、NIH和CDC申办，其指出当前监测系统存在的大多数问题与用户有关而不与系统本身相关。因此，重点应放在向用户传递适当知识并跟进他们的表现等方面。</w:t>
      </w:r>
      <w:r>
        <w:rPr>
          <w:rFonts w:ascii="Arial" w:hAnsi="Arial" w:eastAsia="宋体" w:cs="Arial"/>
          <w:kern w:val="0"/>
          <w:sz w:val="24"/>
          <w:szCs w:val="24"/>
          <w:vertAlign w:val="superscript"/>
        </w:rPr>
        <w:t>2</w:t>
      </w:r>
      <w:r>
        <w:rPr>
          <w:rFonts w:ascii="Arial" w:hAnsi="Arial" w:eastAsia="宋体" w:cs="Arial"/>
          <w:kern w:val="0"/>
          <w:sz w:val="24"/>
          <w:szCs w:val="24"/>
        </w:rPr>
        <w:t>该专家组建议制造商应通过开发具有记忆的系统来对比患者记录的计示葡萄糖结果与实验室葡萄糖结果，并必须在样本运行前进行的</w:t>
      </w:r>
      <w:r>
        <w:rPr>
          <w:rFonts w:hint="eastAsia" w:ascii="Arial" w:hAnsi="Arial" w:eastAsia="宋体" w:cs="Arial"/>
          <w:b/>
          <w:kern w:val="0"/>
          <w:sz w:val="24"/>
          <w:szCs w:val="24"/>
        </w:rPr>
        <w:t>质量控制检查</w:t>
      </w:r>
      <w:r>
        <w:rPr>
          <w:rFonts w:ascii="Arial" w:hAnsi="Arial" w:eastAsia="宋体" w:cs="Arial"/>
          <w:kern w:val="0"/>
          <w:sz w:val="24"/>
          <w:szCs w:val="24"/>
        </w:rPr>
        <w:t>来提供帮助。</w:t>
      </w:r>
    </w:p>
    <w:p w14:paraId="421660FF">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葡萄糖监测的主要预期用途是帮助评估和管理糖尿病患者。1986年11月17 - 19日，美国糖尿病协会的共识专家组建议BGMg应用于以下用途：</w:t>
      </w:r>
    </w:p>
    <w:p w14:paraId="7AA605C0">
      <w:pPr>
        <w:widowControl/>
        <w:numPr>
          <w:ilvl w:val="0"/>
          <w:numId w:val="1"/>
        </w:numPr>
        <w:tabs>
          <w:tab w:val="clear" w:pos="720"/>
        </w:tabs>
        <w:snapToGrid w:val="0"/>
        <w:spacing w:before="100" w:beforeAutospacing="1" w:after="100" w:afterAutospacing="1" w:line="300" w:lineRule="auto"/>
        <w:ind w:left="923" w:leftChars="234" w:hanging="432" w:hangingChars="180"/>
        <w:rPr>
          <w:rFonts w:ascii="Arial" w:hAnsi="Arial" w:eastAsia="宋体" w:cs="Arial"/>
          <w:kern w:val="0"/>
          <w:sz w:val="24"/>
          <w:szCs w:val="24"/>
        </w:rPr>
      </w:pPr>
      <w:r>
        <w:rPr>
          <w:rFonts w:ascii="Arial" w:hAnsi="Arial" w:eastAsia="宋体" w:cs="Arial"/>
          <w:kern w:val="0"/>
          <w:sz w:val="24"/>
          <w:szCs w:val="24"/>
        </w:rPr>
        <w:t>怀孕但伴有糖尿病</w:t>
      </w:r>
    </w:p>
    <w:p w14:paraId="2D7C596B">
      <w:pPr>
        <w:widowControl/>
        <w:numPr>
          <w:ilvl w:val="0"/>
          <w:numId w:val="1"/>
        </w:numPr>
        <w:tabs>
          <w:tab w:val="clear" w:pos="720"/>
        </w:tabs>
        <w:snapToGrid w:val="0"/>
        <w:spacing w:before="100" w:beforeAutospacing="1" w:after="100" w:afterAutospacing="1" w:line="300" w:lineRule="auto"/>
        <w:ind w:left="923" w:leftChars="234" w:hanging="432" w:hangingChars="180"/>
        <w:rPr>
          <w:rFonts w:ascii="Arial" w:hAnsi="Arial" w:eastAsia="宋体" w:cs="Arial"/>
          <w:kern w:val="0"/>
          <w:sz w:val="24"/>
          <w:szCs w:val="24"/>
        </w:rPr>
      </w:pPr>
      <w:r>
        <w:rPr>
          <w:rFonts w:ascii="Arial" w:hAnsi="Arial" w:eastAsia="宋体" w:cs="Arial"/>
          <w:kern w:val="0"/>
          <w:sz w:val="24"/>
          <w:szCs w:val="24"/>
        </w:rPr>
        <w:t>具有严重酮病或低血糖倾向的个人</w:t>
      </w:r>
    </w:p>
    <w:p w14:paraId="7B8A97CC">
      <w:pPr>
        <w:widowControl/>
        <w:numPr>
          <w:ilvl w:val="0"/>
          <w:numId w:val="1"/>
        </w:numPr>
        <w:tabs>
          <w:tab w:val="clear" w:pos="720"/>
        </w:tabs>
        <w:snapToGrid w:val="0"/>
        <w:spacing w:before="100" w:beforeAutospacing="1" w:after="100" w:afterAutospacing="1" w:line="300" w:lineRule="auto"/>
        <w:ind w:left="923" w:leftChars="234" w:hanging="432" w:hangingChars="180"/>
        <w:rPr>
          <w:rFonts w:ascii="Arial" w:hAnsi="Arial" w:eastAsia="宋体" w:cs="Arial"/>
          <w:kern w:val="0"/>
          <w:sz w:val="24"/>
          <w:szCs w:val="24"/>
        </w:rPr>
      </w:pPr>
      <w:r>
        <w:rPr>
          <w:rFonts w:ascii="Arial" w:hAnsi="Arial" w:eastAsia="宋体" w:cs="Arial"/>
          <w:kern w:val="0"/>
          <w:sz w:val="24"/>
          <w:szCs w:val="24"/>
        </w:rPr>
        <w:t>倾向于出现低血糖症且可能未出现常见警告症状的个人</w:t>
      </w:r>
    </w:p>
    <w:p w14:paraId="7E11DF89">
      <w:pPr>
        <w:widowControl/>
        <w:numPr>
          <w:ilvl w:val="0"/>
          <w:numId w:val="1"/>
        </w:numPr>
        <w:tabs>
          <w:tab w:val="clear" w:pos="720"/>
        </w:tabs>
        <w:snapToGrid w:val="0"/>
        <w:spacing w:before="100" w:beforeAutospacing="1" w:after="100" w:afterAutospacing="1" w:line="300" w:lineRule="auto"/>
        <w:ind w:left="923" w:leftChars="234" w:hanging="432" w:hangingChars="180"/>
        <w:rPr>
          <w:rFonts w:ascii="Arial" w:hAnsi="Arial" w:eastAsia="宋体" w:cs="Arial"/>
          <w:kern w:val="0"/>
          <w:sz w:val="24"/>
          <w:szCs w:val="24"/>
        </w:rPr>
      </w:pPr>
      <w:r>
        <w:rPr>
          <w:rFonts w:ascii="Arial" w:hAnsi="Arial" w:eastAsia="宋体" w:cs="Arial"/>
          <w:kern w:val="0"/>
          <w:sz w:val="24"/>
          <w:szCs w:val="24"/>
        </w:rPr>
        <w:t>接受强化治疗计划的个人，特别是使用便携式胰岛素输注器械和多次每日胰岛素注射的个人</w:t>
      </w:r>
    </w:p>
    <w:p w14:paraId="6658F909">
      <w:pPr>
        <w:widowControl/>
        <w:numPr>
          <w:ilvl w:val="0"/>
          <w:numId w:val="1"/>
        </w:numPr>
        <w:tabs>
          <w:tab w:val="clear" w:pos="720"/>
        </w:tabs>
        <w:snapToGrid w:val="0"/>
        <w:spacing w:before="100" w:beforeAutospacing="1" w:after="100" w:afterAutospacing="1" w:line="300" w:lineRule="auto"/>
        <w:ind w:left="923" w:leftChars="234" w:hanging="432" w:hangingChars="180"/>
        <w:rPr>
          <w:rFonts w:ascii="Arial" w:hAnsi="Arial" w:eastAsia="宋体" w:cs="Arial"/>
          <w:kern w:val="0"/>
          <w:sz w:val="24"/>
          <w:szCs w:val="24"/>
        </w:rPr>
      </w:pPr>
      <w:r>
        <w:rPr>
          <w:rFonts w:ascii="Arial" w:hAnsi="Arial" w:eastAsia="宋体" w:cs="Arial"/>
          <w:kern w:val="0"/>
          <w:sz w:val="24"/>
          <w:szCs w:val="24"/>
        </w:rPr>
        <w:t>肾葡萄糖阈值异常的个人</w:t>
      </w:r>
    </w:p>
    <w:p w14:paraId="412340EF">
      <w:pPr>
        <w:widowControl/>
        <w:snapToGrid w:val="0"/>
        <w:spacing w:before="100" w:beforeAutospacing="1" w:after="100" w:afterAutospacing="1" w:line="300" w:lineRule="auto"/>
        <w:rPr>
          <w:rFonts w:ascii="Arial" w:hAnsi="Arial" w:eastAsia="宋体" w:cs="Arial"/>
          <w:kern w:val="0"/>
          <w:sz w:val="24"/>
          <w:szCs w:val="24"/>
          <w:vertAlign w:val="superscript"/>
        </w:rPr>
      </w:pPr>
      <w:r>
        <w:rPr>
          <w:rFonts w:ascii="Arial" w:hAnsi="Arial" w:eastAsia="宋体" w:cs="Arial"/>
          <w:kern w:val="0"/>
          <w:sz w:val="24"/>
          <w:szCs w:val="24"/>
        </w:rPr>
        <w:t>该专家组指出，虽然存在争议，但BGMg可能对未用胰岛素治疗的糖尿病患者有用。然而，该专家组警告道，BGMg不能用于诊断糖尿病，BGMg系统在筛查中的作用仍不确定。该专家组对这些系统是否可用于新生儿缄口不言。然而，一些BGMg系统已经过确认可用于新生儿样本。（请参见FDA关于适用于新生儿托儿所临床应用的便携式葡萄糖监测仪械的审查标准）。</w:t>
      </w:r>
      <w:r>
        <w:rPr>
          <w:rFonts w:ascii="Arial" w:hAnsi="Arial" w:eastAsia="宋体" w:cs="Arial"/>
          <w:kern w:val="0"/>
          <w:sz w:val="24"/>
          <w:szCs w:val="24"/>
          <w:vertAlign w:val="superscript"/>
        </w:rPr>
        <w:t>4</w:t>
      </w:r>
    </w:p>
    <w:p w14:paraId="24FC94AE">
      <w:pPr>
        <w:widowControl/>
        <w:snapToGrid w:val="0"/>
        <w:spacing w:before="100" w:beforeAutospacing="1" w:after="100" w:afterAutospacing="1" w:line="300" w:lineRule="auto"/>
        <w:rPr>
          <w:rFonts w:ascii="Arial" w:hAnsi="Arial" w:eastAsia="宋体" w:cs="Arial"/>
          <w:kern w:val="0"/>
          <w:sz w:val="24"/>
          <w:szCs w:val="24"/>
          <w:vertAlign w:val="superscript"/>
        </w:rPr>
      </w:pPr>
    </w:p>
    <w:p w14:paraId="5E1ED3D4">
      <w:pPr>
        <w:widowControl/>
        <w:snapToGrid w:val="0"/>
        <w:spacing w:before="100" w:beforeAutospacing="1" w:after="100" w:afterAutospacing="1" w:line="300" w:lineRule="auto"/>
        <w:rPr>
          <w:rFonts w:ascii="Arial" w:hAnsi="Arial" w:eastAsia="宋体" w:cs="Arial"/>
          <w:kern w:val="0"/>
          <w:sz w:val="24"/>
          <w:szCs w:val="24"/>
          <w:vertAlign w:val="superscript"/>
        </w:rPr>
      </w:pPr>
    </w:p>
    <w:p w14:paraId="2F093788">
      <w:pPr>
        <w:widowControl/>
        <w:snapToGrid w:val="0"/>
        <w:spacing w:before="100" w:beforeAutospacing="1" w:after="100" w:afterAutospacing="1" w:line="300" w:lineRule="auto"/>
        <w:rPr>
          <w:rFonts w:ascii="Arial" w:hAnsi="Arial" w:eastAsia="宋体" w:cs="Arial"/>
          <w:kern w:val="0"/>
          <w:sz w:val="24"/>
          <w:szCs w:val="24"/>
          <w:vertAlign w:val="superscript"/>
        </w:rPr>
      </w:pPr>
    </w:p>
    <w:p w14:paraId="34E1973B">
      <w:pPr>
        <w:widowControl/>
        <w:snapToGrid w:val="0"/>
        <w:spacing w:before="100" w:beforeAutospacing="1" w:after="100" w:afterAutospacing="1" w:line="300" w:lineRule="auto"/>
        <w:rPr>
          <w:rFonts w:ascii="Arial" w:hAnsi="Arial" w:eastAsia="宋体" w:cs="Arial"/>
          <w:kern w:val="0"/>
          <w:sz w:val="24"/>
          <w:szCs w:val="24"/>
          <w:vertAlign w:val="superscript"/>
        </w:rPr>
      </w:pPr>
    </w:p>
    <w:p w14:paraId="5D667612">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对于葡萄糖监测，已确定一些涉及范围的问题。这些包括1）预期和实际使用，2）校准和质量控制的充分性，3）这些器械的准确性和精密性，4）用户类型，5）培训，6）用户说明的充分性，以及7）程序和技术限制，</w:t>
      </w:r>
      <w:r>
        <w:rPr>
          <w:rFonts w:ascii="Arial" w:hAnsi="Arial" w:eastAsia="宋体" w:cs="Arial"/>
          <w:kern w:val="0"/>
          <w:sz w:val="24"/>
          <w:szCs w:val="24"/>
          <w:vertAlign w:val="superscript"/>
        </w:rPr>
        <w:t>2</w:t>
      </w:r>
      <w:r>
        <w:rPr>
          <w:rFonts w:ascii="Arial" w:hAnsi="Arial" w:eastAsia="宋体" w:cs="Arial"/>
          <w:kern w:val="0"/>
          <w:sz w:val="24"/>
          <w:szCs w:val="24"/>
        </w:rPr>
        <w:t xml:space="preserve"> 8）样本类型（动脉、毛细血管、静脉、全血、血浆），以及9）Hct效应。另外，最新报告指出，环境因素（如温度、湿度和高度）也可能影响结果。</w:t>
      </w:r>
    </w:p>
    <w:p w14:paraId="26DA0648">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共识文件表达以下性能目标：a）“所有未来自我监测血糖（SMBG）系统的目标应是在葡萄糖浓度为30-400mg / dL时实现10％的可变性（系统加用户）。然而，该专家组承认，临床管理的准确定仍未具有严格定义，”b）“对于现有系统，SMBG测量应该在参考测量结果的15％以内”， c）“接受某种形式正式培训的个人中约50-70％能够获得位于参考方法20％以内的结果；然而，性能可能随着时间的推移而劣化。”</w:t>
      </w:r>
      <w:r>
        <w:rPr>
          <w:rFonts w:ascii="Arial" w:hAnsi="Arial" w:eastAsia="宋体" w:cs="Arial"/>
          <w:kern w:val="0"/>
          <w:sz w:val="24"/>
          <w:szCs w:val="24"/>
          <w:vertAlign w:val="superscript"/>
        </w:rPr>
        <w:t>2</w:t>
      </w:r>
    </w:p>
    <w:p w14:paraId="0B7388C8">
      <w:pPr>
        <w:widowControl/>
        <w:snapToGrid w:val="0"/>
        <w:spacing w:before="100" w:beforeAutospacing="1" w:after="100" w:afterAutospacing="1" w:line="300" w:lineRule="auto"/>
        <w:outlineLvl w:val="3"/>
        <w:rPr>
          <w:rFonts w:ascii="Arial" w:hAnsi="Arial" w:eastAsia="宋体" w:cs="Arial"/>
          <w:b/>
          <w:bCs/>
          <w:kern w:val="0"/>
          <w:sz w:val="24"/>
          <w:szCs w:val="24"/>
        </w:rPr>
      </w:pPr>
      <w:r>
        <w:rPr>
          <w:rFonts w:ascii="Arial" w:hAnsi="Arial" w:eastAsia="宋体" w:cs="Arial"/>
          <w:b/>
          <w:bCs/>
          <w:kern w:val="0"/>
          <w:sz w:val="24"/>
          <w:szCs w:val="24"/>
        </w:rPr>
        <w:t>II. 器械描述</w:t>
      </w:r>
    </w:p>
    <w:p w14:paraId="643CD3FF">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大多数血糖监测仪械由葡萄糖试验条和反射计组成，确定全血中的葡萄糖浓度。一些系统依赖于葡萄糖氧化酶 - 比色反应，该反应在将一滴血液置于试剂浸渍的衬垫上时发生。试验衬垫含有酶葡萄糖氧化酶和过氧化物酶以及颜色指示剂。将全血至于试验衬垫上时，葡萄糖被氧化为葡萄糖酸和过氧化氢，其中，葡萄糖氧化酶为催化剂。该反应产生的过氧化氢在过氧化物酶的存在下氧化氧受体，使颜色产生变化，其强度与血液样本中葡萄糖的量直接成正比。</w:t>
      </w:r>
    </w:p>
    <w:p w14:paraId="628FC6EF">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反射光度计或电流分析系统可用于测量在试剂条上发生的反应。为了实现这一点，将试剂条插入试验室中。光照在试剂衬垫上时，光被反射。然后以电子方式测量该反射光，并显示血糖浓度值。</w:t>
      </w:r>
    </w:p>
    <w:p w14:paraId="1E4AC60D">
      <w:pPr>
        <w:widowControl/>
        <w:snapToGrid w:val="0"/>
        <w:spacing w:before="100" w:beforeAutospacing="1" w:after="100" w:afterAutospacing="1" w:line="300" w:lineRule="auto"/>
        <w:rPr>
          <w:rFonts w:ascii="Arial" w:hAnsi="Arial" w:eastAsia="宋体" w:cs="Arial"/>
          <w:kern w:val="0"/>
          <w:sz w:val="24"/>
          <w:szCs w:val="24"/>
        </w:rPr>
      </w:pPr>
    </w:p>
    <w:p w14:paraId="69F6818D">
      <w:pPr>
        <w:widowControl/>
        <w:snapToGrid w:val="0"/>
        <w:spacing w:before="100" w:beforeAutospacing="1" w:after="100" w:afterAutospacing="1" w:line="300" w:lineRule="auto"/>
        <w:rPr>
          <w:rFonts w:ascii="Arial" w:hAnsi="Arial" w:eastAsia="宋体" w:cs="Arial"/>
          <w:kern w:val="0"/>
          <w:sz w:val="24"/>
          <w:szCs w:val="24"/>
        </w:rPr>
      </w:pPr>
    </w:p>
    <w:p w14:paraId="2A28007B">
      <w:pPr>
        <w:widowControl/>
        <w:snapToGrid w:val="0"/>
        <w:spacing w:before="100" w:beforeAutospacing="1" w:after="100" w:afterAutospacing="1" w:line="300" w:lineRule="auto"/>
        <w:rPr>
          <w:rFonts w:ascii="Arial" w:hAnsi="Arial" w:eastAsia="宋体" w:cs="Arial"/>
          <w:kern w:val="0"/>
          <w:sz w:val="24"/>
          <w:szCs w:val="24"/>
        </w:rPr>
      </w:pPr>
    </w:p>
    <w:p w14:paraId="1DF0EDB5">
      <w:pPr>
        <w:widowControl/>
        <w:snapToGrid w:val="0"/>
        <w:spacing w:before="100" w:beforeAutospacing="1" w:after="100" w:afterAutospacing="1" w:line="300" w:lineRule="auto"/>
        <w:rPr>
          <w:rFonts w:ascii="Arial" w:hAnsi="Arial" w:eastAsia="宋体" w:cs="Arial"/>
          <w:kern w:val="0"/>
          <w:sz w:val="24"/>
          <w:szCs w:val="24"/>
        </w:rPr>
      </w:pPr>
    </w:p>
    <w:p w14:paraId="4DBF28FF">
      <w:pPr>
        <w:widowControl/>
        <w:snapToGrid w:val="0"/>
        <w:spacing w:before="100" w:beforeAutospacing="1" w:after="100" w:afterAutospacing="1" w:line="300" w:lineRule="auto"/>
        <w:rPr>
          <w:rFonts w:ascii="Arial" w:hAnsi="Arial" w:eastAsia="宋体" w:cs="Arial"/>
          <w:kern w:val="0"/>
          <w:sz w:val="24"/>
          <w:szCs w:val="24"/>
        </w:rPr>
      </w:pPr>
    </w:p>
    <w:p w14:paraId="06DC7697">
      <w:pPr>
        <w:widowControl/>
        <w:snapToGrid w:val="0"/>
        <w:spacing w:before="100" w:beforeAutospacing="1" w:after="100" w:afterAutospacing="1" w:line="300" w:lineRule="auto"/>
        <w:rPr>
          <w:rFonts w:ascii="Arial" w:hAnsi="Arial" w:eastAsia="宋体" w:cs="Arial"/>
          <w:kern w:val="0"/>
          <w:sz w:val="24"/>
          <w:szCs w:val="24"/>
        </w:rPr>
      </w:pPr>
    </w:p>
    <w:p w14:paraId="5A727B62">
      <w:pPr>
        <w:widowControl/>
        <w:snapToGrid w:val="0"/>
        <w:spacing w:before="100" w:beforeAutospacing="1" w:after="100" w:afterAutospacing="1" w:line="300" w:lineRule="auto"/>
        <w:rPr>
          <w:rFonts w:ascii="Arial" w:hAnsi="Arial" w:eastAsia="宋体" w:cs="Arial"/>
          <w:kern w:val="0"/>
          <w:sz w:val="24"/>
          <w:szCs w:val="24"/>
        </w:rPr>
      </w:pPr>
    </w:p>
    <w:p w14:paraId="244DA07B">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吸光度测定法是另一种使用两种波长（而不是大多数反射光度测定系统使用的单一波长）来测量葡萄糖浓度的方法。</w:t>
      </w:r>
    </w:p>
    <w:p w14:paraId="095DDBE9">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其他系统使用电化学方法。这些监测仪通过测量当葡萄糖氧化酶催化葡萄糖氧化成葡萄糖酸时或当葡萄糖脱氢酶催化葡萄糖氧化成葡萄糖酸内酯时产生的电流来对葡萄糖进行量化。在该反应期间产生的电子从血液转移到电极。所得电流的大小与样本中葡萄糖的浓度成比例，并转换为显示在监测仪上的读数。</w:t>
      </w:r>
    </w:p>
    <w:p w14:paraId="6B107F72">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一些血糖监测系统基于反射测定己糖激酶法。将血液施加于试剂条时，葡萄糖被磷酸化为葡萄糖-6-磷酸。其随后被氧化，与此同时，NAD还原。所形成的NADH与样本中存在的葡萄糖的量直接成正比。然后，NADH在另一种酶存在的条件下还原染料，并产生有色产物。在应用样本之后插入光度计中的试纸可测量反应反射率、使用算法计算葡萄糖，并显示结果。</w:t>
      </w:r>
    </w:p>
    <w:p w14:paraId="1806DDB6">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一些监测仪具有电子语音能力等功能以及用于组织/管理数据和葡萄糖历史的程序。此外，许多型号具有允许存储和调用试验结果的记忆芯片。这些功能可能包括：</w:t>
      </w:r>
    </w:p>
    <w:p w14:paraId="481F4784">
      <w:pPr>
        <w:widowControl/>
        <w:numPr>
          <w:ilvl w:val="0"/>
          <w:numId w:val="2"/>
        </w:numPr>
        <w:tabs>
          <w:tab w:val="clear" w:pos="720"/>
        </w:tabs>
        <w:snapToGrid w:val="0"/>
        <w:spacing w:before="100" w:beforeAutospacing="1" w:after="100" w:afterAutospacing="1" w:line="300" w:lineRule="auto"/>
        <w:ind w:left="867" w:leftChars="206" w:hanging="434" w:hangingChars="181"/>
        <w:rPr>
          <w:rFonts w:ascii="Arial" w:hAnsi="Arial" w:eastAsia="宋体" w:cs="Arial"/>
          <w:kern w:val="0"/>
          <w:sz w:val="24"/>
          <w:szCs w:val="24"/>
        </w:rPr>
      </w:pPr>
      <w:r>
        <w:rPr>
          <w:rFonts w:ascii="Arial" w:hAnsi="Arial" w:eastAsia="宋体" w:cs="Arial"/>
          <w:kern w:val="0"/>
          <w:sz w:val="24"/>
          <w:szCs w:val="24"/>
        </w:rPr>
        <w:t>用于显示血糖值的日间参考的实时时钟。</w:t>
      </w:r>
    </w:p>
    <w:p w14:paraId="32B25017">
      <w:pPr>
        <w:widowControl/>
        <w:numPr>
          <w:ilvl w:val="0"/>
          <w:numId w:val="2"/>
        </w:numPr>
        <w:tabs>
          <w:tab w:val="clear" w:pos="720"/>
        </w:tabs>
        <w:snapToGrid w:val="0"/>
        <w:spacing w:before="100" w:beforeAutospacing="1" w:after="100" w:afterAutospacing="1" w:line="300" w:lineRule="auto"/>
        <w:ind w:left="867" w:leftChars="206" w:hanging="434" w:hangingChars="181"/>
        <w:rPr>
          <w:rFonts w:ascii="Arial" w:hAnsi="Arial" w:eastAsia="宋体" w:cs="Arial"/>
          <w:kern w:val="0"/>
          <w:sz w:val="24"/>
          <w:szCs w:val="24"/>
        </w:rPr>
      </w:pPr>
      <w:r>
        <w:rPr>
          <w:rFonts w:ascii="Arial" w:hAnsi="Arial" w:eastAsia="宋体" w:cs="Arial"/>
          <w:kern w:val="0"/>
          <w:sz w:val="24"/>
          <w:szCs w:val="24"/>
        </w:rPr>
        <w:t>用于显示结果的调用按钮（一次显示一个读数）。</w:t>
      </w:r>
    </w:p>
    <w:p w14:paraId="0FF5F1DB">
      <w:pPr>
        <w:widowControl/>
        <w:numPr>
          <w:ilvl w:val="0"/>
          <w:numId w:val="2"/>
        </w:numPr>
        <w:tabs>
          <w:tab w:val="clear" w:pos="720"/>
        </w:tabs>
        <w:snapToGrid w:val="0"/>
        <w:spacing w:before="100" w:beforeAutospacing="1" w:after="100" w:afterAutospacing="1" w:line="300" w:lineRule="auto"/>
        <w:ind w:left="867" w:leftChars="206" w:hanging="434" w:hangingChars="181"/>
        <w:rPr>
          <w:rFonts w:ascii="Arial" w:hAnsi="Arial" w:eastAsia="宋体" w:cs="Arial"/>
          <w:kern w:val="0"/>
          <w:sz w:val="24"/>
          <w:szCs w:val="24"/>
        </w:rPr>
      </w:pPr>
      <w:r>
        <w:rPr>
          <w:rFonts w:ascii="Arial" w:hAnsi="Arial" w:eastAsia="宋体" w:cs="Arial"/>
          <w:kern w:val="0"/>
          <w:sz w:val="24"/>
          <w:szCs w:val="24"/>
        </w:rPr>
        <w:t>事件标记按钮，用于识别特殊情况或从计算中删除结果。</w:t>
      </w:r>
    </w:p>
    <w:p w14:paraId="1AC3A2A7">
      <w:pPr>
        <w:widowControl/>
        <w:numPr>
          <w:ilvl w:val="0"/>
          <w:numId w:val="2"/>
        </w:numPr>
        <w:tabs>
          <w:tab w:val="clear" w:pos="720"/>
        </w:tabs>
        <w:snapToGrid w:val="0"/>
        <w:spacing w:before="100" w:beforeAutospacing="1" w:after="100" w:afterAutospacing="1" w:line="300" w:lineRule="auto"/>
        <w:ind w:left="867" w:leftChars="206" w:hanging="434" w:hangingChars="181"/>
        <w:rPr>
          <w:rFonts w:ascii="Arial" w:hAnsi="Arial" w:eastAsia="宋体" w:cs="Arial"/>
          <w:kern w:val="0"/>
          <w:sz w:val="24"/>
          <w:szCs w:val="24"/>
        </w:rPr>
      </w:pPr>
      <w:r>
        <w:rPr>
          <w:rFonts w:ascii="Arial" w:hAnsi="Arial" w:eastAsia="宋体" w:cs="Arial"/>
          <w:kern w:val="0"/>
          <w:sz w:val="24"/>
          <w:szCs w:val="24"/>
        </w:rPr>
        <w:t>充足内存，用于记录和显示100条或100条以上记录，如血葡萄糖值、日期和时间。</w:t>
      </w:r>
    </w:p>
    <w:p w14:paraId="122302A1">
      <w:pPr>
        <w:widowControl/>
        <w:numPr>
          <w:ilvl w:val="0"/>
          <w:numId w:val="2"/>
        </w:numPr>
        <w:tabs>
          <w:tab w:val="clear" w:pos="720"/>
        </w:tabs>
        <w:snapToGrid w:val="0"/>
        <w:spacing w:before="100" w:beforeAutospacing="1" w:after="100" w:afterAutospacing="1" w:line="300" w:lineRule="auto"/>
        <w:ind w:left="867" w:leftChars="206" w:hanging="434" w:hangingChars="181"/>
        <w:rPr>
          <w:rFonts w:ascii="Arial" w:hAnsi="Arial" w:eastAsia="宋体" w:cs="Arial"/>
          <w:kern w:val="0"/>
          <w:sz w:val="24"/>
          <w:szCs w:val="24"/>
        </w:rPr>
      </w:pPr>
      <w:r>
        <w:rPr>
          <w:rFonts w:ascii="Arial" w:hAnsi="Arial" w:eastAsia="宋体" w:cs="Arial"/>
          <w:kern w:val="0"/>
          <w:sz w:val="24"/>
          <w:szCs w:val="24"/>
        </w:rPr>
        <w:t>根据需要，将显示最近14天或14天以上的平均血糖值。</w:t>
      </w:r>
    </w:p>
    <w:p w14:paraId="59F3414F">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所有仪表均由电池供电，并使用固态电子器械。</w:t>
      </w:r>
      <w:r>
        <w:rPr>
          <w:rFonts w:ascii="Arial" w:hAnsi="Arial" w:eastAsia="宋体" w:cs="Arial"/>
          <w:kern w:val="0"/>
          <w:sz w:val="24"/>
          <w:szCs w:val="24"/>
          <w:vertAlign w:val="superscript"/>
        </w:rPr>
        <w:t>5</w:t>
      </w:r>
      <w:r>
        <w:rPr>
          <w:rFonts w:ascii="Arial" w:hAnsi="Arial" w:eastAsia="宋体" w:cs="Arial"/>
          <w:kern w:val="0"/>
          <w:sz w:val="24"/>
          <w:szCs w:val="24"/>
        </w:rPr>
        <w:t>有效浓度范围取决于系统类型，但通常也涉及临床相关范围。尺寸、形状和校准技术因制造商而异。有些无需计时或擦拭，并经过工厂校准。大多数监视系统使用检查条来定期评估监测仪的光学和电气部件。大多数检测仪制造商具有葡萄糖控制方案，并将葡萄糖值规定在特定范围内，该控制方案必须周期性地运行来检查试验条和显示器的运行状态以及操作员技术。然而，其不监测收集程序的质量或血液是否已正确施加于试验条。</w:t>
      </w:r>
    </w:p>
    <w:p w14:paraId="40137351">
      <w:pPr>
        <w:widowControl/>
        <w:snapToGrid w:val="0"/>
        <w:spacing w:before="100" w:beforeAutospacing="1" w:after="100" w:afterAutospacing="1" w:line="300" w:lineRule="auto"/>
        <w:rPr>
          <w:rFonts w:ascii="Arial" w:hAnsi="Arial" w:eastAsia="宋体" w:cs="Arial"/>
          <w:kern w:val="0"/>
          <w:sz w:val="24"/>
          <w:szCs w:val="24"/>
        </w:rPr>
      </w:pPr>
    </w:p>
    <w:p w14:paraId="61045ADB">
      <w:pPr>
        <w:widowControl/>
        <w:snapToGrid w:val="0"/>
        <w:spacing w:before="100" w:beforeAutospacing="1" w:after="100" w:afterAutospacing="1" w:line="300" w:lineRule="auto"/>
        <w:rPr>
          <w:rFonts w:ascii="Arial" w:hAnsi="Arial" w:eastAsia="宋体" w:cs="Arial"/>
          <w:kern w:val="0"/>
          <w:sz w:val="24"/>
          <w:szCs w:val="24"/>
        </w:rPr>
      </w:pPr>
    </w:p>
    <w:p w14:paraId="5FD32EA9">
      <w:pPr>
        <w:widowControl/>
        <w:snapToGrid w:val="0"/>
        <w:spacing w:before="100" w:beforeAutospacing="1" w:after="100" w:afterAutospacing="1" w:line="300" w:lineRule="auto"/>
        <w:rPr>
          <w:rFonts w:ascii="Arial" w:hAnsi="Arial" w:eastAsia="宋体" w:cs="Arial"/>
          <w:kern w:val="0"/>
          <w:sz w:val="24"/>
          <w:szCs w:val="24"/>
        </w:rPr>
      </w:pPr>
    </w:p>
    <w:p w14:paraId="6196278F">
      <w:pPr>
        <w:widowControl/>
        <w:snapToGrid w:val="0"/>
        <w:spacing w:before="100" w:beforeAutospacing="1" w:after="100" w:afterAutospacing="1" w:line="300" w:lineRule="auto"/>
        <w:rPr>
          <w:rFonts w:ascii="Arial" w:hAnsi="Arial" w:eastAsia="宋体" w:cs="Arial"/>
          <w:kern w:val="0"/>
          <w:sz w:val="24"/>
          <w:szCs w:val="24"/>
        </w:rPr>
      </w:pPr>
    </w:p>
    <w:p w14:paraId="726232EF">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无需从用户抽取血液的吸收光谱法血糖监测技术正在开发当中。某一监测仪仅可用于研究使用，是一种无创性监测仪，其可测量近红外光在体内的吸收率来确定血糖浓度。除了无需进行手指针刺、化学反应或定时和擦拭外，该程序允许进行瞬时和连续测量。可植入连续监测系统也正处于开发当中。</w:t>
      </w:r>
    </w:p>
    <w:p w14:paraId="217C0658">
      <w:pPr>
        <w:widowControl/>
        <w:snapToGrid w:val="0"/>
        <w:spacing w:before="100" w:beforeAutospacing="1" w:after="100" w:afterAutospacing="1" w:line="300" w:lineRule="auto"/>
        <w:outlineLvl w:val="3"/>
        <w:rPr>
          <w:rFonts w:ascii="Arial" w:hAnsi="Arial" w:eastAsia="宋体" w:cs="Arial"/>
          <w:b/>
          <w:bCs/>
          <w:kern w:val="0"/>
          <w:sz w:val="24"/>
          <w:szCs w:val="24"/>
        </w:rPr>
      </w:pPr>
      <w:r>
        <w:rPr>
          <w:rFonts w:ascii="Arial" w:hAnsi="Arial" w:eastAsia="宋体" w:cs="Arial"/>
          <w:b/>
          <w:bCs/>
          <w:kern w:val="0"/>
          <w:sz w:val="24"/>
          <w:szCs w:val="24"/>
        </w:rPr>
        <w:t>III. 人为因素研究</w:t>
      </w:r>
    </w:p>
    <w:p w14:paraId="603C7176">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自1984年以来，食品药品监督管理局（FDA）已收到许多与血糖仪问题有关的报告。这些问题中大部分归因于用户：（a）未正确维护仪表，（b）所有的技术或操作程序不当，或（c）没有遵循仪表使用说明。</w:t>
      </w:r>
    </w:p>
    <w:p w14:paraId="47A4E093">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须考虑的工效学因素包括仪表尺寸、显示屏尺寸、按钮位置和仪表提箱。这些因素有时在用户表现中起重要作用。例如，所显示的数字的高度可以为较为重要的考虑因素。人为因素设计考虑表明，对于所有视力缺陷均已得到矫正的糖尿病患者，5mm应该被视为有效使用仪表的最小可接受字符大小。</w:t>
      </w:r>
    </w:p>
    <w:p w14:paraId="3191C8D6">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人为因素考虑还表明，按钮数量的偏好范围位于一个至三个之间，其中，仅有一个按钮时，该按钮控制所有功能，有三个按钮时，每个按钮均控制不同功能。按钮的表面积必须足够大，使手指可轻易按压并施加必要的作用力而不会滑动。Grandjean（1982）推荐按钮直径应为12-15mm。表面还可以提供触觉提示来帮助用户正确定位他们的手指。这可以通过提供粗糙或带纹理的按钮表面或通过使其略微凹入来适合手指下侧的凸形来实现。</w:t>
      </w:r>
      <w:r>
        <w:rPr>
          <w:rFonts w:ascii="Arial" w:hAnsi="Arial" w:eastAsia="宋体" w:cs="Arial"/>
          <w:kern w:val="0"/>
          <w:sz w:val="24"/>
          <w:szCs w:val="24"/>
          <w:vertAlign w:val="superscript"/>
        </w:rPr>
        <w:t>6</w:t>
      </w:r>
    </w:p>
    <w:p w14:paraId="1E2EF65D">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最佳的仪表设计对于减少用户误差来说非常重要。应鼓励用户通过用户调查提供有关仪表设计的反馈。调查可以采用数字评级量表（1到5）。</w:t>
      </w:r>
    </w:p>
    <w:p w14:paraId="19AC8581">
      <w:pPr>
        <w:widowControl/>
        <w:snapToGrid w:val="0"/>
        <w:spacing w:before="100" w:beforeAutospacing="1" w:after="100" w:afterAutospacing="1" w:line="300" w:lineRule="auto"/>
        <w:rPr>
          <w:rFonts w:ascii="Arial" w:hAnsi="Arial" w:eastAsia="宋体" w:cs="Arial"/>
          <w:kern w:val="0"/>
          <w:sz w:val="24"/>
          <w:szCs w:val="24"/>
        </w:rPr>
      </w:pPr>
    </w:p>
    <w:p w14:paraId="0CCDEE0F">
      <w:pPr>
        <w:widowControl/>
        <w:snapToGrid w:val="0"/>
        <w:spacing w:before="100" w:beforeAutospacing="1" w:after="100" w:afterAutospacing="1" w:line="300" w:lineRule="auto"/>
        <w:rPr>
          <w:rFonts w:ascii="Arial" w:hAnsi="Arial" w:eastAsia="宋体" w:cs="Arial"/>
          <w:kern w:val="0"/>
          <w:sz w:val="24"/>
          <w:szCs w:val="24"/>
        </w:rPr>
      </w:pPr>
    </w:p>
    <w:p w14:paraId="57491D4F">
      <w:pPr>
        <w:widowControl/>
        <w:snapToGrid w:val="0"/>
        <w:spacing w:before="100" w:beforeAutospacing="1" w:after="100" w:afterAutospacing="1" w:line="300" w:lineRule="auto"/>
        <w:rPr>
          <w:rFonts w:ascii="Arial" w:hAnsi="Arial" w:eastAsia="宋体" w:cs="Arial"/>
          <w:kern w:val="0"/>
          <w:sz w:val="24"/>
          <w:szCs w:val="24"/>
        </w:rPr>
      </w:pPr>
    </w:p>
    <w:p w14:paraId="3288D34C">
      <w:pPr>
        <w:widowControl/>
        <w:snapToGrid w:val="0"/>
        <w:spacing w:before="100" w:beforeAutospacing="1" w:after="100" w:afterAutospacing="1" w:line="300" w:lineRule="auto"/>
        <w:rPr>
          <w:rFonts w:ascii="Arial" w:hAnsi="Arial" w:eastAsia="宋体" w:cs="Arial"/>
          <w:kern w:val="0"/>
          <w:sz w:val="24"/>
          <w:szCs w:val="24"/>
        </w:rPr>
      </w:pPr>
    </w:p>
    <w:p w14:paraId="2E51AC77">
      <w:pPr>
        <w:widowControl/>
        <w:snapToGrid w:val="0"/>
        <w:spacing w:before="100" w:beforeAutospacing="1" w:after="100" w:afterAutospacing="1" w:line="300" w:lineRule="auto"/>
        <w:rPr>
          <w:rFonts w:ascii="Arial" w:hAnsi="Arial" w:eastAsia="宋体" w:cs="Arial"/>
          <w:kern w:val="0"/>
          <w:sz w:val="24"/>
          <w:szCs w:val="24"/>
        </w:rPr>
      </w:pPr>
    </w:p>
    <w:p w14:paraId="04D9AB42">
      <w:pPr>
        <w:widowControl/>
        <w:snapToGrid w:val="0"/>
        <w:spacing w:before="100" w:beforeAutospacing="1" w:after="100" w:afterAutospacing="1" w:line="300" w:lineRule="auto"/>
        <w:rPr>
          <w:rFonts w:ascii="Arial" w:hAnsi="Arial" w:eastAsia="宋体" w:cs="Arial"/>
          <w:kern w:val="0"/>
          <w:sz w:val="24"/>
          <w:szCs w:val="24"/>
        </w:rPr>
      </w:pPr>
    </w:p>
    <w:p w14:paraId="4513B489">
      <w:pPr>
        <w:widowControl/>
        <w:snapToGrid w:val="0"/>
        <w:spacing w:before="100" w:beforeAutospacing="1" w:after="100" w:afterAutospacing="1" w:line="300" w:lineRule="auto"/>
        <w:rPr>
          <w:rFonts w:ascii="Arial" w:hAnsi="Arial" w:eastAsia="宋体" w:cs="Arial"/>
          <w:kern w:val="0"/>
          <w:sz w:val="24"/>
          <w:szCs w:val="24"/>
        </w:rPr>
      </w:pPr>
    </w:p>
    <w:p w14:paraId="79994679">
      <w:pPr>
        <w:widowControl/>
        <w:snapToGrid w:val="0"/>
        <w:spacing w:after="156" w:afterLines="50" w:line="300" w:lineRule="auto"/>
        <w:rPr>
          <w:rFonts w:ascii="Arial" w:hAnsi="Arial" w:eastAsia="宋体" w:cs="Arial"/>
          <w:kern w:val="0"/>
          <w:sz w:val="24"/>
          <w:szCs w:val="24"/>
        </w:rPr>
      </w:pPr>
      <w:r>
        <w:rPr>
          <w:rFonts w:ascii="Arial" w:hAnsi="Arial" w:eastAsia="宋体" w:cs="Arial"/>
          <w:kern w:val="0"/>
          <w:sz w:val="24"/>
          <w:szCs w:val="24"/>
        </w:rPr>
        <w:t>须针对工具考虑以下特性：</w:t>
      </w:r>
    </w:p>
    <w:p w14:paraId="5EA85CEE">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外观</w:t>
      </w:r>
    </w:p>
    <w:p w14:paraId="5332F140">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大小</w:t>
      </w:r>
    </w:p>
    <w:p w14:paraId="62DF2E85">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颜色</w:t>
      </w:r>
    </w:p>
    <w:p w14:paraId="5C143400">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按钮大小</w:t>
      </w:r>
    </w:p>
    <w:p w14:paraId="00011ABB">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按钮颜色</w:t>
      </w:r>
    </w:p>
    <w:p w14:paraId="068B1B32">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显示读数大小</w:t>
      </w:r>
    </w:p>
    <w:p w14:paraId="72D86BAF">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程序错误和分析错误标记</w:t>
      </w:r>
    </w:p>
    <w:p w14:paraId="3831F356">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读数可见性</w:t>
      </w:r>
    </w:p>
    <w:p w14:paraId="432E6182">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反应可见度</w:t>
      </w:r>
    </w:p>
    <w:p w14:paraId="0A3B1072">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反应启动程序</w:t>
      </w:r>
    </w:p>
    <w:p w14:paraId="2F0800DF">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警告声</w:t>
      </w:r>
    </w:p>
    <w:p w14:paraId="20DDAB1E">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易用性</w:t>
      </w:r>
    </w:p>
    <w:p w14:paraId="4ADD62FF">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便利性</w:t>
      </w:r>
    </w:p>
    <w:p w14:paraId="6A8E4D02">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易于清洁/维护</w:t>
      </w:r>
    </w:p>
    <w:p w14:paraId="5CAAA650">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电池和更换</w:t>
      </w:r>
    </w:p>
    <w:p w14:paraId="200F5CE5">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内存特性和使用</w:t>
      </w:r>
    </w:p>
    <w:p w14:paraId="38BA329F">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提箱或存储箱</w:t>
      </w:r>
    </w:p>
    <w:p w14:paraId="14739E26">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检查条和控件</w:t>
      </w:r>
    </w:p>
    <w:p w14:paraId="5042968F">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方法快速参考卡</w:t>
      </w:r>
    </w:p>
    <w:p w14:paraId="19AE4927">
      <w:pPr>
        <w:widowControl/>
        <w:snapToGrid w:val="0"/>
        <w:spacing w:before="156" w:beforeLines="50" w:line="300" w:lineRule="auto"/>
        <w:rPr>
          <w:rFonts w:ascii="Arial" w:hAnsi="Arial" w:eastAsia="宋体" w:cs="Arial"/>
          <w:kern w:val="0"/>
          <w:sz w:val="24"/>
          <w:szCs w:val="24"/>
        </w:rPr>
      </w:pPr>
      <w:r>
        <w:rPr>
          <w:rFonts w:hint="eastAsia" w:ascii="Arial" w:hAnsi="Arial" w:eastAsia="宋体" w:cs="Arial"/>
          <w:kern w:val="0"/>
          <w:sz w:val="24"/>
          <w:szCs w:val="24"/>
        </w:rPr>
        <w:t>须针对</w:t>
      </w:r>
      <w:r>
        <w:rPr>
          <w:rFonts w:ascii="Arial" w:hAnsi="Arial" w:eastAsia="宋体" w:cs="Arial"/>
          <w:kern w:val="0"/>
          <w:sz w:val="24"/>
          <w:szCs w:val="24"/>
        </w:rPr>
        <w:t>试剂条考虑以下特性：</w:t>
      </w:r>
    </w:p>
    <w:p w14:paraId="5CBA9A4B">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大小和形状</w:t>
      </w:r>
    </w:p>
    <w:p w14:paraId="3E935E15">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外观</w:t>
      </w:r>
    </w:p>
    <w:p w14:paraId="1104503D">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衬垫外观</w:t>
      </w:r>
    </w:p>
    <w:p w14:paraId="60446063">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所需血量</w:t>
      </w:r>
    </w:p>
    <w:p w14:paraId="70E71D55">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易于应用</w:t>
      </w:r>
    </w:p>
    <w:p w14:paraId="20665A29">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擦拭方法</w:t>
      </w:r>
    </w:p>
    <w:p w14:paraId="010DB508">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擦拭材料</w:t>
      </w:r>
    </w:p>
    <w:p w14:paraId="4E743D11">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警告声的有用性</w:t>
      </w:r>
    </w:p>
    <w:p w14:paraId="0E1B4EED">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衬垫反应颜色</w:t>
      </w:r>
    </w:p>
    <w:p w14:paraId="0A5CBD7F">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反应颜色的均匀性</w:t>
      </w:r>
    </w:p>
    <w:p w14:paraId="23725409">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定时</w:t>
      </w:r>
    </w:p>
    <w:p w14:paraId="373494E4">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用于确认/检查仪表性能的目视读取比色图表</w:t>
      </w:r>
    </w:p>
    <w:p w14:paraId="50E89AB7">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存储、处理和稳定性</w:t>
      </w:r>
    </w:p>
    <w:p w14:paraId="03124FFE">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执行一项由FDA资助的人为因素研究，评估执行正确读取所需的操作顺序。血液采样为独立于仪表类型但是高度依赖于试纸化学技术的功能，但一般认为，其很有可能出现误差。在该操作中，用户必须抽取血液并将其放于试纸上。</w:t>
      </w:r>
      <w:r>
        <w:rPr>
          <w:rFonts w:ascii="Arial" w:hAnsi="Arial" w:eastAsia="宋体" w:cs="Arial"/>
          <w:kern w:val="0"/>
          <w:sz w:val="24"/>
          <w:szCs w:val="24"/>
          <w:vertAlign w:val="superscript"/>
        </w:rPr>
        <w:t>6</w:t>
      </w:r>
    </w:p>
    <w:p w14:paraId="67B2E4CD">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第二个最容易出错的功能是试验本身。在这里，已确定的主要误差源为定时、擦拭或印迹以及将试纸插入仪表。该功能中可能发生的大多数错误均会影响仪表读数，并可能无法被用户检测到。这些程序通常特定于被测试的仪表类型。</w:t>
      </w:r>
    </w:p>
    <w:p w14:paraId="01F83F2B">
      <w:pPr>
        <w:widowControl/>
        <w:snapToGrid w:val="0"/>
        <w:spacing w:before="100" w:beforeAutospacing="1" w:after="100" w:afterAutospacing="1" w:line="300" w:lineRule="auto"/>
        <w:outlineLvl w:val="3"/>
        <w:rPr>
          <w:rFonts w:ascii="Arial" w:hAnsi="Arial" w:eastAsia="宋体" w:cs="Arial"/>
          <w:b/>
          <w:bCs/>
          <w:kern w:val="0"/>
          <w:sz w:val="24"/>
          <w:szCs w:val="24"/>
        </w:rPr>
      </w:pPr>
      <w:r>
        <w:rPr>
          <w:rFonts w:ascii="Arial" w:hAnsi="Arial" w:eastAsia="宋体" w:cs="Arial"/>
          <w:b/>
          <w:bCs/>
          <w:kern w:val="0"/>
          <w:sz w:val="24"/>
          <w:szCs w:val="24"/>
        </w:rPr>
        <w:t>IV. 用于获得监管许可的性能考虑</w:t>
      </w:r>
    </w:p>
    <w:p w14:paraId="66C2E761">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用于对器械进行评估的适当研究包括精密度、线性、血细胞比容效应、干扰和与实验室葡萄糖方法的对比。鼓励制造商对温度、湿度和高度等环境因素的影响进行研究。</w:t>
      </w:r>
    </w:p>
    <w:p w14:paraId="35F6150C">
      <w:pPr>
        <w:widowControl/>
        <w:snapToGrid w:val="0"/>
        <w:spacing w:before="100" w:beforeAutospacing="1" w:after="100" w:afterAutospacing="1" w:line="300" w:lineRule="auto"/>
        <w:outlineLvl w:val="4"/>
        <w:rPr>
          <w:rFonts w:ascii="Arial" w:hAnsi="Arial" w:eastAsia="宋体" w:cs="Arial"/>
          <w:b/>
          <w:bCs/>
          <w:kern w:val="0"/>
          <w:sz w:val="20"/>
          <w:szCs w:val="20"/>
        </w:rPr>
      </w:pPr>
      <w:r>
        <w:rPr>
          <w:rFonts w:ascii="Arial" w:hAnsi="Arial" w:eastAsia="宋体" w:cs="Arial"/>
          <w:b/>
          <w:bCs/>
          <w:kern w:val="0"/>
          <w:sz w:val="20"/>
          <w:szCs w:val="20"/>
        </w:rPr>
        <w:t>A. 精密度</w:t>
      </w:r>
    </w:p>
    <w:p w14:paraId="7BD5CE11">
      <w:pPr>
        <w:widowControl/>
        <w:snapToGrid w:val="0"/>
        <w:spacing w:before="100" w:beforeAutospacing="1" w:after="100" w:afterAutospacing="1" w:line="300" w:lineRule="auto"/>
        <w:rPr>
          <w:rFonts w:ascii="Arial" w:hAnsi="Arial" w:eastAsia="宋体" w:cs="Arial"/>
          <w:spacing w:val="-2"/>
          <w:kern w:val="0"/>
          <w:sz w:val="24"/>
          <w:szCs w:val="24"/>
        </w:rPr>
      </w:pPr>
      <w:r>
        <w:rPr>
          <w:rFonts w:ascii="Arial" w:hAnsi="Arial" w:eastAsia="宋体" w:cs="Arial"/>
          <w:spacing w:val="-2"/>
          <w:kern w:val="0"/>
          <w:sz w:val="24"/>
          <w:szCs w:val="24"/>
        </w:rPr>
        <w:t xml:space="preserve">血糖仪通常设计用于获得最佳性能，并采用特定基质（通常为毛细血管血或静脉血）。因此，应使用适当的基质材料进行精密度研究。需牢记，使用静脉血进行研究时，许多BGM提供的葡萄糖结果具有精密度但正确性欠佳。这尤其适用于生物传感器，其极度依赖于毛细血管血氧水平，并且生物传感器中富含氧气时，使用静脉血进行的研究通常具有较高结果值（在某些情况下，+ 20％-30％），从而使得静脉血（具有降低50-60％的pO </w:t>
      </w:r>
      <w:r>
        <w:rPr>
          <w:rFonts w:ascii="Arial" w:hAnsi="Arial" w:eastAsia="宋体" w:cs="Arial"/>
          <w:spacing w:val="-2"/>
          <w:kern w:val="0"/>
          <w:sz w:val="24"/>
          <w:szCs w:val="24"/>
          <w:vertAlign w:val="subscript"/>
        </w:rPr>
        <w:t>2</w:t>
      </w:r>
      <w:r>
        <w:rPr>
          <w:rFonts w:ascii="Arial" w:hAnsi="Arial" w:eastAsia="宋体" w:cs="Arial"/>
          <w:spacing w:val="-2"/>
          <w:kern w:val="0"/>
          <w:sz w:val="24"/>
          <w:szCs w:val="24"/>
        </w:rPr>
        <w:t>）因氧含量更低而显示更高的反应速率。</w:t>
      </w:r>
    </w:p>
    <w:p w14:paraId="11B8D9FC">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FDA建议在评估和说明标签精确度声明时应遵循NCCLS精密度指南EP5-T2或等效性指南。此外，建议根据添加马来酰亚胺的加标样本制备以下葡萄糖浓度，防止糖酵解。使用水性对照溶液时，应考虑制备类似浓度。</w:t>
      </w:r>
    </w:p>
    <w:p w14:paraId="37F7CCBA">
      <w:pPr>
        <w:widowControl/>
        <w:numPr>
          <w:ilvl w:val="0"/>
          <w:numId w:val="3"/>
        </w:numPr>
        <w:tabs>
          <w:tab w:val="clear" w:pos="720"/>
        </w:tabs>
        <w:snapToGrid w:val="0"/>
        <w:spacing w:before="100" w:beforeAutospacing="1" w:after="100" w:afterAutospacing="1" w:line="300" w:lineRule="auto"/>
        <w:ind w:left="0" w:firstLine="321" w:firstLineChars="134"/>
        <w:rPr>
          <w:rFonts w:ascii="Arial" w:hAnsi="Arial" w:eastAsia="宋体" w:cs="Arial"/>
          <w:kern w:val="0"/>
          <w:sz w:val="24"/>
          <w:szCs w:val="24"/>
        </w:rPr>
      </w:pPr>
      <w:r>
        <w:rPr>
          <w:rFonts w:ascii="Arial" w:hAnsi="Arial" w:eastAsia="宋体" w:cs="Arial"/>
          <w:kern w:val="0"/>
          <w:sz w:val="24"/>
          <w:szCs w:val="24"/>
        </w:rPr>
        <w:t xml:space="preserve">30-50 mg/dl </w:t>
      </w:r>
    </w:p>
    <w:p w14:paraId="38FD634B">
      <w:pPr>
        <w:widowControl/>
        <w:numPr>
          <w:ilvl w:val="0"/>
          <w:numId w:val="3"/>
        </w:numPr>
        <w:tabs>
          <w:tab w:val="clear" w:pos="720"/>
        </w:tabs>
        <w:snapToGrid w:val="0"/>
        <w:spacing w:before="100" w:beforeAutospacing="1" w:after="100" w:afterAutospacing="1" w:line="300" w:lineRule="auto"/>
        <w:ind w:left="0" w:firstLine="321" w:firstLineChars="134"/>
        <w:rPr>
          <w:rFonts w:ascii="Arial" w:hAnsi="Arial" w:eastAsia="宋体" w:cs="Arial"/>
          <w:kern w:val="0"/>
          <w:sz w:val="24"/>
          <w:szCs w:val="24"/>
        </w:rPr>
      </w:pPr>
      <w:r>
        <w:rPr>
          <w:rFonts w:ascii="Arial" w:hAnsi="Arial" w:eastAsia="宋体" w:cs="Arial"/>
          <w:kern w:val="0"/>
          <w:sz w:val="24"/>
          <w:szCs w:val="24"/>
        </w:rPr>
        <w:t xml:space="preserve">51-110 mg/dl </w:t>
      </w:r>
    </w:p>
    <w:p w14:paraId="7EF6B487">
      <w:pPr>
        <w:widowControl/>
        <w:numPr>
          <w:ilvl w:val="0"/>
          <w:numId w:val="3"/>
        </w:numPr>
        <w:tabs>
          <w:tab w:val="clear" w:pos="720"/>
        </w:tabs>
        <w:snapToGrid w:val="0"/>
        <w:spacing w:before="100" w:beforeAutospacing="1" w:after="100" w:afterAutospacing="1" w:line="300" w:lineRule="auto"/>
        <w:ind w:left="0" w:firstLine="321" w:firstLineChars="134"/>
        <w:rPr>
          <w:rFonts w:ascii="Arial" w:hAnsi="Arial" w:eastAsia="宋体" w:cs="Arial"/>
          <w:kern w:val="0"/>
          <w:sz w:val="24"/>
          <w:szCs w:val="24"/>
        </w:rPr>
      </w:pPr>
      <w:r>
        <w:rPr>
          <w:rFonts w:ascii="Arial" w:hAnsi="Arial" w:eastAsia="宋体" w:cs="Arial"/>
          <w:kern w:val="0"/>
          <w:sz w:val="24"/>
          <w:szCs w:val="24"/>
        </w:rPr>
        <w:t xml:space="preserve">111-150 mg/dl </w:t>
      </w:r>
    </w:p>
    <w:p w14:paraId="5729B42F">
      <w:pPr>
        <w:widowControl/>
        <w:numPr>
          <w:ilvl w:val="0"/>
          <w:numId w:val="3"/>
        </w:numPr>
        <w:tabs>
          <w:tab w:val="clear" w:pos="720"/>
        </w:tabs>
        <w:snapToGrid w:val="0"/>
        <w:spacing w:before="100" w:beforeAutospacing="1" w:after="100" w:afterAutospacing="1" w:line="300" w:lineRule="auto"/>
        <w:ind w:left="0" w:firstLine="321" w:firstLineChars="134"/>
        <w:rPr>
          <w:rFonts w:ascii="Arial" w:hAnsi="Arial" w:eastAsia="宋体" w:cs="Arial"/>
          <w:kern w:val="0"/>
          <w:sz w:val="24"/>
          <w:szCs w:val="24"/>
        </w:rPr>
      </w:pPr>
      <w:r>
        <w:rPr>
          <w:rFonts w:ascii="Arial" w:hAnsi="Arial" w:eastAsia="宋体" w:cs="Arial"/>
          <w:kern w:val="0"/>
          <w:sz w:val="24"/>
          <w:szCs w:val="24"/>
        </w:rPr>
        <w:t xml:space="preserve">151-250 mg/dl </w:t>
      </w:r>
    </w:p>
    <w:p w14:paraId="0D151603">
      <w:pPr>
        <w:widowControl/>
        <w:numPr>
          <w:ilvl w:val="0"/>
          <w:numId w:val="3"/>
        </w:numPr>
        <w:tabs>
          <w:tab w:val="clear" w:pos="720"/>
        </w:tabs>
        <w:snapToGrid w:val="0"/>
        <w:spacing w:before="100" w:beforeAutospacing="1" w:after="100" w:afterAutospacing="1" w:line="300" w:lineRule="auto"/>
        <w:ind w:left="0" w:firstLine="321" w:firstLineChars="134"/>
        <w:rPr>
          <w:rFonts w:ascii="Arial" w:hAnsi="Arial" w:eastAsia="宋体" w:cs="Arial"/>
          <w:kern w:val="0"/>
          <w:sz w:val="24"/>
          <w:szCs w:val="24"/>
        </w:rPr>
      </w:pPr>
      <w:r>
        <w:rPr>
          <w:rFonts w:ascii="Arial" w:hAnsi="Arial" w:eastAsia="宋体" w:cs="Arial"/>
          <w:kern w:val="0"/>
          <w:sz w:val="24"/>
          <w:szCs w:val="24"/>
        </w:rPr>
        <w:t xml:space="preserve">251-400 mg/dl </w:t>
      </w:r>
    </w:p>
    <w:p w14:paraId="1C3A1D66">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如果用于POL用途，应在3个独立的医生办公室实验室（POL）现场进行精密度研究；如果旨在用于护理点（POC），应在3个不同的医院或在医院内的3个不同的环境（ 例如，ER，ICU等）现场进行精密度研究；或在制造现场进行精密度研究。此外，在研究期间应使用相同批次的血糖条。应将其与用于确定精密度的方案一起纳入在上市前通告提交资料中，即510（k）。</w:t>
      </w:r>
    </w:p>
    <w:p w14:paraId="22EFE242">
      <w:pPr>
        <w:widowControl/>
        <w:snapToGrid w:val="0"/>
        <w:spacing w:before="100" w:beforeAutospacing="1" w:after="100" w:afterAutospacing="1" w:line="300" w:lineRule="auto"/>
        <w:outlineLvl w:val="4"/>
        <w:rPr>
          <w:rFonts w:ascii="Arial" w:hAnsi="Arial" w:eastAsia="宋体" w:cs="Arial"/>
          <w:b/>
          <w:bCs/>
          <w:kern w:val="0"/>
          <w:sz w:val="20"/>
          <w:szCs w:val="20"/>
        </w:rPr>
      </w:pPr>
      <w:r>
        <w:rPr>
          <w:rFonts w:ascii="Arial" w:hAnsi="Arial" w:eastAsia="宋体" w:cs="Arial"/>
          <w:b/>
          <w:bCs/>
          <w:kern w:val="0"/>
          <w:sz w:val="20"/>
          <w:szCs w:val="20"/>
        </w:rPr>
        <w:t>B. 线性</w:t>
      </w:r>
    </w:p>
    <w:p w14:paraId="47F93FBA">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定义和评估标签说明时，请遵循NCCLS线性指南</w:t>
      </w:r>
      <w:r>
        <w:rPr>
          <w:rFonts w:ascii="Arial" w:hAnsi="Arial" w:eastAsia="宋体" w:cs="Arial"/>
          <w:b/>
          <w:kern w:val="0"/>
          <w:sz w:val="24"/>
          <w:szCs w:val="24"/>
        </w:rPr>
        <w:t>EP6-P</w:t>
      </w:r>
      <w:r>
        <w:rPr>
          <w:rFonts w:ascii="Arial" w:hAnsi="Arial" w:eastAsia="宋体" w:cs="Arial"/>
          <w:kern w:val="0"/>
          <w:sz w:val="24"/>
          <w:szCs w:val="24"/>
        </w:rPr>
        <w:t>或等效性指南。</w:t>
      </w:r>
    </w:p>
    <w:p w14:paraId="13BA0679">
      <w:pPr>
        <w:widowControl/>
        <w:snapToGrid w:val="0"/>
        <w:spacing w:before="100" w:beforeAutospacing="1" w:after="100" w:afterAutospacing="1" w:line="300" w:lineRule="auto"/>
        <w:outlineLvl w:val="4"/>
        <w:rPr>
          <w:rFonts w:ascii="Arial" w:hAnsi="Arial" w:eastAsia="宋体" w:cs="Arial"/>
          <w:b/>
          <w:bCs/>
          <w:kern w:val="0"/>
          <w:sz w:val="20"/>
          <w:szCs w:val="20"/>
        </w:rPr>
      </w:pPr>
      <w:r>
        <w:rPr>
          <w:rFonts w:ascii="Arial" w:hAnsi="Arial" w:eastAsia="宋体" w:cs="Arial"/>
          <w:b/>
          <w:bCs/>
          <w:kern w:val="0"/>
          <w:sz w:val="20"/>
          <w:szCs w:val="20"/>
        </w:rPr>
        <w:t>C. 血细胞比容研究</w:t>
      </w:r>
    </w:p>
    <w:p w14:paraId="776F71C1">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因血细胞比容效应而使对葡萄糖的估计过高和过低是常见的误差来源。研究应在生理有意义的水平进行，并与方案和结果一起提交。</w:t>
      </w:r>
    </w:p>
    <w:p w14:paraId="5F24CC74">
      <w:pPr>
        <w:widowControl/>
        <w:snapToGrid w:val="0"/>
        <w:spacing w:before="100" w:beforeAutospacing="1" w:after="100" w:afterAutospacing="1" w:line="300" w:lineRule="auto"/>
        <w:outlineLvl w:val="4"/>
        <w:rPr>
          <w:rFonts w:ascii="Arial" w:hAnsi="Arial" w:eastAsia="宋体" w:cs="Arial"/>
          <w:b/>
          <w:bCs/>
          <w:kern w:val="0"/>
          <w:sz w:val="20"/>
          <w:szCs w:val="20"/>
        </w:rPr>
      </w:pPr>
      <w:r>
        <w:rPr>
          <w:rFonts w:ascii="Arial" w:hAnsi="Arial" w:eastAsia="宋体" w:cs="Arial"/>
          <w:b/>
          <w:bCs/>
          <w:kern w:val="0"/>
          <w:sz w:val="20"/>
          <w:szCs w:val="20"/>
        </w:rPr>
        <w:t>D. 偏差</w:t>
      </w:r>
    </w:p>
    <w:p w14:paraId="1A3FC39A">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拟定测定相对于对比方法的％偏差可以按如下计算：</w:t>
      </w:r>
    </w:p>
    <w:tbl>
      <w:tblPr>
        <w:tblStyle w:val="10"/>
        <w:tblW w:w="5785" w:type="dxa"/>
        <w:tblCellSpacing w:w="15" w:type="dxa"/>
        <w:tblInd w:w="0" w:type="dxa"/>
        <w:tblLayout w:type="fixed"/>
        <w:tblCellMar>
          <w:top w:w="15" w:type="dxa"/>
          <w:left w:w="15" w:type="dxa"/>
          <w:bottom w:w="15" w:type="dxa"/>
          <w:right w:w="15" w:type="dxa"/>
        </w:tblCellMar>
      </w:tblPr>
      <w:tblGrid>
        <w:gridCol w:w="917"/>
        <w:gridCol w:w="4868"/>
      </w:tblGrid>
      <w:tr w14:paraId="3B992DA1">
        <w:tblPrEx>
          <w:tblCellMar>
            <w:top w:w="15" w:type="dxa"/>
            <w:left w:w="15" w:type="dxa"/>
            <w:bottom w:w="15" w:type="dxa"/>
            <w:right w:w="15" w:type="dxa"/>
          </w:tblCellMar>
        </w:tblPrEx>
        <w:trPr>
          <w:tblCellSpacing w:w="15" w:type="dxa"/>
        </w:trPr>
        <w:tc>
          <w:tcPr>
            <w:tcW w:w="872" w:type="dxa"/>
            <w:vMerge w:val="restart"/>
            <w:vAlign w:val="center"/>
          </w:tcPr>
          <w:p w14:paraId="4FC8CA20">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 偏差 =</w:t>
            </w:r>
          </w:p>
        </w:tc>
        <w:tc>
          <w:tcPr>
            <w:tcW w:w="4823" w:type="dxa"/>
            <w:vAlign w:val="center"/>
          </w:tcPr>
          <w:p w14:paraId="55C2996B">
            <w:pPr>
              <w:widowControl/>
              <w:snapToGrid w:val="0"/>
              <w:spacing w:line="300" w:lineRule="auto"/>
              <w:rPr>
                <w:rFonts w:ascii="Arial" w:hAnsi="Arial" w:eastAsia="宋体" w:cs="Arial"/>
                <w:kern w:val="0"/>
                <w:sz w:val="24"/>
                <w:szCs w:val="24"/>
              </w:rPr>
            </w:pPr>
            <w:r>
              <w:rPr>
                <w:rFonts w:ascii="Arial" w:hAnsi="Arial" w:eastAsia="宋体" w:cs="Arial"/>
                <w:b/>
                <w:bCs/>
                <w:kern w:val="0"/>
                <w:sz w:val="24"/>
                <w:szCs w:val="24"/>
              </w:rPr>
              <w:t>拟定方法结果 - 对比结果</w:t>
            </w:r>
          </w:p>
        </w:tc>
      </w:tr>
      <w:tr w14:paraId="1E64BEFA">
        <w:tblPrEx>
          <w:tblCellMar>
            <w:top w:w="15" w:type="dxa"/>
            <w:left w:w="15" w:type="dxa"/>
            <w:bottom w:w="15" w:type="dxa"/>
            <w:right w:w="15" w:type="dxa"/>
          </w:tblCellMar>
        </w:tblPrEx>
        <w:trPr>
          <w:tblCellSpacing w:w="15" w:type="dxa"/>
        </w:trPr>
        <w:tc>
          <w:tcPr>
            <w:tcW w:w="872" w:type="dxa"/>
            <w:vMerge w:val="continue"/>
            <w:vAlign w:val="center"/>
          </w:tcPr>
          <w:p w14:paraId="1E5F58C4">
            <w:pPr>
              <w:widowControl/>
              <w:snapToGrid w:val="0"/>
              <w:spacing w:line="300" w:lineRule="auto"/>
              <w:rPr>
                <w:rFonts w:ascii="Arial" w:hAnsi="Arial" w:eastAsia="宋体" w:cs="Arial"/>
                <w:kern w:val="0"/>
                <w:sz w:val="24"/>
                <w:szCs w:val="24"/>
              </w:rPr>
            </w:pPr>
          </w:p>
        </w:tc>
        <w:tc>
          <w:tcPr>
            <w:tcW w:w="4823" w:type="dxa"/>
            <w:vAlign w:val="center"/>
          </w:tcPr>
          <w:p w14:paraId="2A94A885">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对比结果      x 100</w:t>
            </w:r>
          </w:p>
        </w:tc>
      </w:tr>
    </w:tbl>
    <w:p w14:paraId="2D839246">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报告葡萄糖监测仪的总误差。</w:t>
      </w:r>
    </w:p>
    <w:p w14:paraId="45BAECD6">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总偏差可以根据拟定测定和对比方法的最小二乘线性回归线计算。另外，克拉克误差网格可以用于估计两种方法之间的偏差结果的临床意义。</w:t>
      </w:r>
    </w:p>
    <w:p w14:paraId="0D9EF42C">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用于估计偏差的方案应该包括在510（k）中。</w:t>
      </w:r>
    </w:p>
    <w:p w14:paraId="2FEEEC54">
      <w:pPr>
        <w:widowControl/>
        <w:snapToGrid w:val="0"/>
        <w:spacing w:before="100" w:beforeAutospacing="1" w:after="100" w:afterAutospacing="1" w:line="300" w:lineRule="auto"/>
        <w:outlineLvl w:val="4"/>
        <w:rPr>
          <w:rFonts w:ascii="Arial" w:hAnsi="Arial" w:eastAsia="宋体" w:cs="Arial"/>
          <w:b/>
          <w:bCs/>
          <w:kern w:val="0"/>
          <w:sz w:val="20"/>
          <w:szCs w:val="20"/>
        </w:rPr>
      </w:pPr>
      <w:r>
        <w:rPr>
          <w:rFonts w:ascii="Arial" w:hAnsi="Arial" w:eastAsia="宋体" w:cs="Arial"/>
          <w:b/>
          <w:bCs/>
          <w:kern w:val="0"/>
          <w:sz w:val="20"/>
          <w:szCs w:val="20"/>
        </w:rPr>
        <w:t>E. 干扰研究</w:t>
      </w:r>
    </w:p>
    <w:p w14:paraId="22394EA6">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请遵循EP7-P或等效性指南中概述的NCCLS指南来测试各种分析物或药物的干扰。包括外源性和内源性物质。考虑用于试验的常见干扰物如下：对乙酰氨基酚、抗坏血酸、胆红素、胆固醇、肌酸酐、多巴胺、麻黄碱、布洛芬、左旋多巴、甲基多巴、水杨酸盐、四环素、妥拉磺脲、甲苯磺丁脲、甘油三酯和尿酸。防腐剂也应包括在内。</w:t>
      </w:r>
    </w:p>
    <w:p w14:paraId="77219B37">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可以取全血的等分试样并用各种范围的葡萄糖浓度对其进行补充。相同的目标葡萄糖值应该用于4至5份等分试样，并用于研究每种干扰物。每份等分试样应补充特定浓度的所研究的化合物。应选择每个化合物在实验系列中的具体浓度以纳入血液中预期的生理或治疗浓度。应对每个等分试样进行重复测量。</w:t>
      </w:r>
    </w:p>
    <w:p w14:paraId="1EEADB8D">
      <w:pPr>
        <w:widowControl/>
        <w:jc w:val="left"/>
        <w:rPr>
          <w:rFonts w:ascii="Arial" w:hAnsi="Arial" w:eastAsia="宋体" w:cs="Arial"/>
          <w:b/>
          <w:bCs/>
          <w:kern w:val="0"/>
          <w:sz w:val="20"/>
          <w:szCs w:val="20"/>
        </w:rPr>
      </w:pPr>
      <w:r>
        <w:rPr>
          <w:rFonts w:ascii="Arial" w:hAnsi="Arial" w:eastAsia="宋体" w:cs="Arial"/>
          <w:b/>
          <w:bCs/>
          <w:kern w:val="0"/>
          <w:sz w:val="20"/>
          <w:szCs w:val="20"/>
        </w:rPr>
        <w:br w:type="page"/>
      </w:r>
    </w:p>
    <w:p w14:paraId="0093C1AF">
      <w:pPr>
        <w:widowControl/>
        <w:snapToGrid w:val="0"/>
        <w:spacing w:before="100" w:beforeAutospacing="1" w:after="100" w:afterAutospacing="1" w:line="300" w:lineRule="auto"/>
        <w:outlineLvl w:val="4"/>
        <w:rPr>
          <w:rFonts w:ascii="Arial" w:hAnsi="Arial" w:eastAsia="宋体" w:cs="Arial"/>
          <w:b/>
          <w:bCs/>
          <w:kern w:val="0"/>
          <w:sz w:val="20"/>
          <w:szCs w:val="20"/>
        </w:rPr>
      </w:pPr>
      <w:r>
        <w:rPr>
          <w:rFonts w:ascii="Arial" w:hAnsi="Arial" w:eastAsia="宋体" w:cs="Arial"/>
          <w:b/>
          <w:bCs/>
          <w:kern w:val="0"/>
          <w:sz w:val="20"/>
          <w:szCs w:val="20"/>
        </w:rPr>
        <w:t>F. 相关性研究</w:t>
      </w:r>
    </w:p>
    <w:p w14:paraId="09EEEA64">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建议使用毛细血管血来测定相关性，并使用全血葡萄糖己糖激酶脱蛋白法作为对比方法。另外，可以使用充分表征的临床实验室方法或采用己糖激酶或葡萄糖氧化酶的合法销售的葡萄糖计。有关新生儿试验，请参见新生儿特异性葡萄糖监测指导性文件。</w:t>
      </w:r>
      <w:r>
        <w:rPr>
          <w:rFonts w:ascii="Arial" w:hAnsi="Arial" w:eastAsia="宋体" w:cs="Arial"/>
          <w:kern w:val="0"/>
          <w:sz w:val="24"/>
          <w:szCs w:val="24"/>
          <w:vertAlign w:val="superscript"/>
        </w:rPr>
        <w:t>4</w:t>
      </w:r>
    </w:p>
    <w:p w14:paraId="217FA194">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应该使用拟定器械对毛细血管血样本进行分析，其中，该样本应覆盖约</w:t>
      </w:r>
      <w:r>
        <w:rPr>
          <w:rFonts w:ascii="Arial" w:hAnsi="Arial" w:eastAsia="宋体" w:cs="Arial"/>
          <w:b/>
          <w:kern w:val="0"/>
          <w:sz w:val="24"/>
          <w:szCs w:val="24"/>
        </w:rPr>
        <w:t>40-400mg/dL</w:t>
      </w:r>
      <w:r>
        <w:rPr>
          <w:rFonts w:ascii="Arial" w:hAnsi="Arial" w:eastAsia="宋体" w:cs="Arial"/>
          <w:kern w:val="0"/>
          <w:sz w:val="24"/>
          <w:szCs w:val="24"/>
        </w:rPr>
        <w:t>的分析范围。应使用对比方法对相同样本进行分析。请遵循NCCLS指南EP9-T或等效性指南。</w:t>
      </w:r>
      <w:r>
        <w:rPr>
          <w:rFonts w:ascii="Arial" w:hAnsi="Arial" w:eastAsia="宋体" w:cs="Arial"/>
          <w:kern w:val="0"/>
          <w:sz w:val="24"/>
          <w:szCs w:val="24"/>
          <w:vertAlign w:val="superscript"/>
        </w:rPr>
        <w:t>10</w:t>
      </w:r>
      <w:r>
        <w:rPr>
          <w:rFonts w:ascii="Arial" w:hAnsi="Arial" w:eastAsia="宋体" w:cs="Arial"/>
          <w:kern w:val="0"/>
          <w:sz w:val="24"/>
          <w:szCs w:val="24"/>
        </w:rPr>
        <w:t>线性回归应用于表示通过拟定方法和对比方法获得的结果之间的关系。纳入对斜率、截距、相关系数和置信区间进行的计算。因为与斜率和截距有关的估计的可靠性可能受数据集中的非线性、异常值、小范围的数据和对比方法的可变性影响。优选情况下，样本应当覆盖可能遇到的浓度完整范围， 并应给出斜率和截距的标准偏差。</w:t>
      </w:r>
    </w:p>
    <w:p w14:paraId="4B56CEEE">
      <w:pPr>
        <w:widowControl/>
        <w:numPr>
          <w:ilvl w:val="0"/>
          <w:numId w:val="4"/>
        </w:numPr>
        <w:tabs>
          <w:tab w:val="clear" w:pos="720"/>
        </w:tabs>
        <w:snapToGrid w:val="0"/>
        <w:spacing w:before="100" w:beforeAutospacing="1" w:after="100" w:afterAutospacing="1" w:line="300" w:lineRule="auto"/>
        <w:ind w:left="0" w:firstLine="0"/>
        <w:rPr>
          <w:rFonts w:ascii="Arial" w:hAnsi="Arial" w:eastAsia="宋体" w:cs="Arial"/>
          <w:b/>
          <w:kern w:val="0"/>
          <w:sz w:val="24"/>
          <w:szCs w:val="24"/>
        </w:rPr>
      </w:pPr>
      <w:r>
        <w:rPr>
          <w:rFonts w:ascii="Arial" w:hAnsi="Arial" w:eastAsia="宋体" w:cs="Arial"/>
          <w:b/>
          <w:kern w:val="0"/>
          <w:sz w:val="24"/>
          <w:szCs w:val="24"/>
        </w:rPr>
        <w:t>消费者研究</w:t>
      </w:r>
    </w:p>
    <w:p w14:paraId="0C4F9113">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在实际使用条件下针对器械进行的现场试验极为重要。患者位于门诊诊所和/或医生办公室时，应对患者进行筛选。患者应该有不同的年龄、性别、背景和教育。患者总数应包括至少100个不同的患者样本。</w:t>
      </w:r>
    </w:p>
    <w:p w14:paraId="6949B00F">
      <w:pPr>
        <w:widowControl/>
        <w:snapToGrid w:val="0"/>
        <w:spacing w:before="100" w:beforeAutospacing="1" w:after="100" w:afterAutospacing="1" w:line="300" w:lineRule="auto"/>
        <w:rPr>
          <w:rFonts w:ascii="Arial" w:hAnsi="Arial" w:eastAsia="宋体" w:cs="Arial"/>
          <w:kern w:val="0"/>
          <w:sz w:val="24"/>
          <w:szCs w:val="24"/>
          <w:vertAlign w:val="superscript"/>
        </w:rPr>
      </w:pPr>
      <w:r>
        <w:rPr>
          <w:rFonts w:ascii="Arial" w:hAnsi="Arial" w:eastAsia="宋体" w:cs="Arial"/>
          <w:kern w:val="0"/>
          <w:sz w:val="24"/>
          <w:szCs w:val="24"/>
        </w:rPr>
        <w:t>选择用于对比研究的每位患者应该按照器械说明执行其自己的手指针刺并在受试器械上进行试验。然后，训练有素的技术人员应立即在患者身上执行手指针刺，并在同一器械上执行试验。患者和技术人员应单独记录结果并保密。在5分钟内，应采集另一个血液样本应以用于通过良好表征的实验室方法进行的试验。毛细血管血为所选样本。必须使用静脉样本时，重要的是考虑到在对比毛细血管、静脉、全血和血浆样本时引入的变量。血清或血浆值平均是全血值的1.18倍。（对于为63％的Hct，其真实，但对于为43％的“平均”Hct，因子为1.11）。</w:t>
      </w:r>
      <w:r>
        <w:rPr>
          <w:rFonts w:ascii="Arial" w:hAnsi="Arial" w:eastAsia="宋体" w:cs="Arial"/>
          <w:kern w:val="0"/>
          <w:sz w:val="24"/>
          <w:szCs w:val="24"/>
          <w:vertAlign w:val="superscript"/>
        </w:rPr>
        <w:t>5</w:t>
      </w:r>
    </w:p>
    <w:p w14:paraId="5B4F436F">
      <w:pPr>
        <w:widowControl/>
        <w:jc w:val="left"/>
        <w:rPr>
          <w:rFonts w:ascii="Arial" w:hAnsi="Arial" w:eastAsia="宋体" w:cs="Arial"/>
          <w:kern w:val="0"/>
          <w:sz w:val="24"/>
          <w:szCs w:val="24"/>
          <w:vertAlign w:val="superscript"/>
        </w:rPr>
      </w:pPr>
      <w:r>
        <w:rPr>
          <w:rFonts w:ascii="Arial" w:hAnsi="Arial" w:eastAsia="宋体" w:cs="Arial"/>
          <w:kern w:val="0"/>
          <w:sz w:val="24"/>
          <w:szCs w:val="24"/>
          <w:vertAlign w:val="superscript"/>
        </w:rPr>
        <w:br w:type="page"/>
      </w:r>
    </w:p>
    <w:p w14:paraId="02241673">
      <w:pPr>
        <w:widowControl/>
        <w:numPr>
          <w:ilvl w:val="0"/>
          <w:numId w:val="4"/>
        </w:numPr>
        <w:tabs>
          <w:tab w:val="clear" w:pos="720"/>
        </w:tabs>
        <w:snapToGrid w:val="0"/>
        <w:spacing w:before="100" w:beforeAutospacing="1" w:after="100" w:afterAutospacing="1" w:line="300" w:lineRule="auto"/>
        <w:ind w:left="0" w:firstLine="0"/>
        <w:rPr>
          <w:rFonts w:ascii="Arial" w:hAnsi="Arial" w:eastAsia="宋体" w:cs="Arial"/>
          <w:kern w:val="0"/>
          <w:sz w:val="24"/>
          <w:szCs w:val="24"/>
        </w:rPr>
      </w:pPr>
      <w:bookmarkStart w:id="0" w:name="OLE_LINK1"/>
      <w:r>
        <w:rPr>
          <w:rFonts w:ascii="Arial" w:hAnsi="Arial" w:eastAsia="宋体" w:cs="Arial"/>
          <w:b/>
          <w:bCs/>
          <w:kern w:val="0"/>
          <w:sz w:val="24"/>
          <w:szCs w:val="24"/>
        </w:rPr>
        <w:t>护理点（POC）/医师办公室实验室（POL）</w:t>
      </w:r>
    </w:p>
    <w:bookmarkEnd w:id="0"/>
    <w:p w14:paraId="6CB4C2B8">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符合预期设置的典型人员应该使用拟定器械进行手指针刺和试验。在5分钟内，应从患者获得另一个样本来用于使用对比器械进行的试验。对于POC用途，建议从该医院或三个不同医院内的至少三个POC站点收集数据。对于POL用途，建议从至少三个独立的POL站点收集数据，确保准确性和精确度。应在每个POC / POL站点收集并分析至少40个样本。</w:t>
      </w:r>
    </w:p>
    <w:p w14:paraId="43F65850">
      <w:pPr>
        <w:widowControl/>
        <w:snapToGrid w:val="0"/>
        <w:spacing w:before="100" w:beforeAutospacing="1" w:after="100" w:afterAutospacing="1" w:line="300" w:lineRule="auto"/>
        <w:outlineLvl w:val="4"/>
        <w:rPr>
          <w:rFonts w:ascii="Arial" w:hAnsi="Arial" w:eastAsia="宋体" w:cs="Arial"/>
          <w:b/>
          <w:bCs/>
          <w:kern w:val="0"/>
          <w:sz w:val="20"/>
          <w:szCs w:val="20"/>
        </w:rPr>
      </w:pPr>
      <w:r>
        <w:rPr>
          <w:rFonts w:ascii="Arial" w:hAnsi="Arial" w:eastAsia="宋体" w:cs="Arial"/>
          <w:b/>
          <w:bCs/>
          <w:kern w:val="0"/>
          <w:sz w:val="20"/>
          <w:szCs w:val="20"/>
        </w:rPr>
        <w:t>G. 软件验证和确认</w:t>
      </w:r>
    </w:p>
    <w:p w14:paraId="065BB3F6">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考虑到软件功能已增加，重要的是，此类器械的上市前通告应包含与软件验证、确认和试验有关的充分文件。本文件应说明通过确定与功能和设计质量标准的一致性以及通过试验来确保防止潜在危害的安全措施正常运行，评估和提高整个开发过程中软件质量的活动。应提交对文件进行总结的认证声明。</w:t>
      </w:r>
    </w:p>
    <w:p w14:paraId="49FA4D01">
      <w:pPr>
        <w:widowControl/>
        <w:snapToGrid w:val="0"/>
        <w:spacing w:before="100" w:beforeAutospacing="1" w:after="100" w:afterAutospacing="1" w:line="300" w:lineRule="auto"/>
        <w:outlineLvl w:val="3"/>
        <w:rPr>
          <w:rFonts w:ascii="Arial" w:hAnsi="Arial" w:eastAsia="宋体" w:cs="Arial"/>
          <w:b/>
          <w:bCs/>
          <w:kern w:val="0"/>
          <w:sz w:val="24"/>
          <w:szCs w:val="24"/>
          <w:highlight w:val="yellow"/>
        </w:rPr>
      </w:pPr>
      <w:r>
        <w:rPr>
          <w:rFonts w:ascii="Arial" w:hAnsi="Arial" w:eastAsia="宋体" w:cs="Arial"/>
          <w:b/>
          <w:bCs/>
          <w:kern w:val="0"/>
          <w:sz w:val="24"/>
          <w:szCs w:val="24"/>
        </w:rPr>
        <w:t>V. 标签</w:t>
      </w:r>
    </w:p>
    <w:p w14:paraId="25464260">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血糖仪的包装说明书应该简单、简明、易于理解。图形（如线条图、插图、符号、图标、照片、表格和图形等）是非常有用的工具。另外，纳入已用颜色编码的试剂容器也具有一定帮助。该类型的尺寸应为12或14点，尤其是对于老年用户或视力受损的用户，除指定需要充分照明来进行试验外。此外，在整个标记过程中，应使用相同的术语来标识器械及其部件。应避免使用同义词或替代短语。</w:t>
      </w:r>
    </w:p>
    <w:p w14:paraId="1EDCF994">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标记过程应遵循21 CFR§809.10，并解决以下具体注意事项：</w:t>
      </w:r>
    </w:p>
    <w:p w14:paraId="166D4F76">
      <w:pPr>
        <w:widowControl/>
        <w:numPr>
          <w:ilvl w:val="0"/>
          <w:numId w:val="5"/>
        </w:numPr>
        <w:tabs>
          <w:tab w:val="clear" w:pos="720"/>
        </w:tabs>
        <w:snapToGrid w:val="0"/>
        <w:spacing w:before="100" w:beforeAutospacing="1" w:after="100" w:afterAutospacing="1" w:line="300" w:lineRule="auto"/>
        <w:ind w:left="725" w:leftChars="166" w:hanging="376" w:hangingChars="157"/>
        <w:rPr>
          <w:rFonts w:ascii="Arial" w:hAnsi="Arial" w:eastAsia="宋体" w:cs="Arial"/>
          <w:kern w:val="0"/>
          <w:sz w:val="24"/>
          <w:szCs w:val="24"/>
        </w:rPr>
      </w:pPr>
      <w:r>
        <w:rPr>
          <w:rFonts w:ascii="Arial" w:hAnsi="Arial" w:eastAsia="宋体" w:cs="Arial"/>
          <w:kern w:val="0"/>
          <w:sz w:val="24"/>
          <w:szCs w:val="24"/>
        </w:rPr>
        <w:t>预期使用声明（第809.10（a）（2）节）应在外包装容器上清楚标明所提供的程序类型和预期用途。包装说明书中的预期用途声明应重申此信息。请参见809.10（b）。</w:t>
      </w:r>
    </w:p>
    <w:p w14:paraId="57D4E481">
      <w:pPr>
        <w:widowControl/>
        <w:numPr>
          <w:ilvl w:val="0"/>
          <w:numId w:val="5"/>
        </w:numPr>
        <w:tabs>
          <w:tab w:val="clear" w:pos="720"/>
        </w:tabs>
        <w:snapToGrid w:val="0"/>
        <w:spacing w:before="100" w:beforeAutospacing="1" w:after="100" w:afterAutospacing="1" w:line="300" w:lineRule="auto"/>
        <w:ind w:left="725" w:leftChars="166" w:hanging="376" w:hangingChars="157"/>
        <w:rPr>
          <w:rFonts w:ascii="Arial" w:hAnsi="Arial" w:eastAsia="宋体" w:cs="Arial"/>
          <w:kern w:val="0"/>
          <w:sz w:val="24"/>
          <w:szCs w:val="24"/>
        </w:rPr>
      </w:pPr>
      <w:r>
        <w:rPr>
          <w:rFonts w:ascii="Arial" w:hAnsi="Arial" w:eastAsia="宋体" w:cs="Arial"/>
          <w:kern w:val="0"/>
          <w:sz w:val="24"/>
          <w:szCs w:val="24"/>
        </w:rPr>
        <w:t>应提供单独的信息部分（试验结果解释），并包括第809.10（b）（10）节规定的信息（程序限制）。</w:t>
      </w:r>
    </w:p>
    <w:p w14:paraId="263E7A3F">
      <w:pPr>
        <w:widowControl/>
        <w:numPr>
          <w:ilvl w:val="0"/>
          <w:numId w:val="5"/>
        </w:numPr>
        <w:tabs>
          <w:tab w:val="clear" w:pos="720"/>
        </w:tabs>
        <w:snapToGrid w:val="0"/>
        <w:spacing w:before="100" w:beforeAutospacing="1" w:after="100" w:afterAutospacing="1" w:line="300" w:lineRule="auto"/>
        <w:ind w:left="725" w:leftChars="166" w:hanging="376" w:hangingChars="157"/>
        <w:rPr>
          <w:rFonts w:ascii="Arial" w:hAnsi="Arial" w:eastAsia="宋体" w:cs="Arial"/>
          <w:kern w:val="0"/>
          <w:sz w:val="24"/>
          <w:szCs w:val="24"/>
        </w:rPr>
      </w:pPr>
      <w:r>
        <w:rPr>
          <w:rFonts w:ascii="Arial" w:hAnsi="Arial" w:eastAsia="宋体" w:cs="Arial"/>
          <w:kern w:val="0"/>
          <w:sz w:val="24"/>
          <w:szCs w:val="24"/>
        </w:rPr>
        <w:t>应突出显示常规警告和预防措施，例如。加粗，并使其位于适当的说明书部分中。</w:t>
      </w:r>
    </w:p>
    <w:p w14:paraId="2E483013">
      <w:pPr>
        <w:widowControl/>
        <w:numPr>
          <w:ilvl w:val="0"/>
          <w:numId w:val="5"/>
        </w:numPr>
        <w:tabs>
          <w:tab w:val="clear" w:pos="720"/>
        </w:tabs>
        <w:snapToGrid w:val="0"/>
        <w:spacing w:before="100" w:beforeAutospacing="1" w:after="100" w:afterAutospacing="1" w:line="300" w:lineRule="auto"/>
        <w:ind w:left="725" w:leftChars="166" w:hanging="376" w:hangingChars="157"/>
        <w:rPr>
          <w:rFonts w:ascii="Arial" w:hAnsi="Arial" w:eastAsia="宋体" w:cs="Arial"/>
          <w:kern w:val="0"/>
          <w:sz w:val="24"/>
          <w:szCs w:val="24"/>
        </w:rPr>
      </w:pPr>
      <w:r>
        <w:rPr>
          <w:rFonts w:ascii="Arial" w:hAnsi="Arial" w:eastAsia="宋体" w:cs="Arial"/>
          <w:kern w:val="0"/>
          <w:sz w:val="24"/>
          <w:szCs w:val="24"/>
        </w:rPr>
        <w:t>关于相关性研究的简要非技术性讨论应包括在包装说明书中。</w:t>
      </w:r>
    </w:p>
    <w:p w14:paraId="083B442B">
      <w:pPr>
        <w:widowControl/>
        <w:numPr>
          <w:ilvl w:val="0"/>
          <w:numId w:val="5"/>
        </w:numPr>
        <w:tabs>
          <w:tab w:val="clear" w:pos="720"/>
        </w:tabs>
        <w:snapToGrid w:val="0"/>
        <w:spacing w:before="100" w:beforeAutospacing="1" w:after="100" w:afterAutospacing="1" w:line="300" w:lineRule="auto"/>
        <w:ind w:left="725" w:leftChars="166" w:hanging="376" w:hangingChars="157"/>
        <w:rPr>
          <w:rFonts w:ascii="Arial" w:hAnsi="Arial" w:eastAsia="宋体" w:cs="Arial"/>
          <w:kern w:val="0"/>
          <w:sz w:val="24"/>
          <w:szCs w:val="24"/>
        </w:rPr>
      </w:pPr>
      <w:r>
        <w:rPr>
          <w:rFonts w:ascii="Arial" w:hAnsi="Arial" w:eastAsia="宋体" w:cs="Arial"/>
          <w:kern w:val="0"/>
          <w:sz w:val="24"/>
          <w:szCs w:val="24"/>
        </w:rPr>
        <w:t>在制造站点或POC / POL环境下获得的精密度数据应包括在包装说明书中。精密度数据应该代表用户获得的性能。站点数据的合并可能会使结果产生偏差从而使结果无效。</w:t>
      </w:r>
    </w:p>
    <w:p w14:paraId="4244B8A0">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鉴于第VII章“局限性”中提出的问题，建议在包装说明书/说明手册中的局限性部分酌情纳入以下警示性说明：</w:t>
      </w:r>
    </w:p>
    <w:p w14:paraId="3DDE3BB0">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长期暴露于空气和光线中可能会改变结果。建议将试纸在低于30°C（86°F）的温度下存储在原来的加盖小瓶中。避免暴露于过度潮湿的环境中；请勿冷冻。</w:t>
      </w:r>
    </w:p>
    <w:p w14:paraId="19EE32E0">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低于35％或高于55％的血细胞比容可对结果产生双向影响。</w:t>
      </w:r>
      <w:r>
        <w:rPr>
          <w:rFonts w:ascii="Arial" w:hAnsi="Arial" w:eastAsia="宋体" w:cs="Arial"/>
          <w:kern w:val="0"/>
          <w:sz w:val="24"/>
          <w:szCs w:val="24"/>
          <w:vertAlign w:val="superscript"/>
        </w:rPr>
        <w:t>11</w:t>
      </w:r>
    </w:p>
    <w:p w14:paraId="02B3BEEC">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脂肪严重过多的（肥胖）样本可能干扰一些方法。如果要了解这种干扰，在医生监督下的患者应该在开始家庭葡萄糖监测之前通过临床实验室方法建立基线葡萄糖值。此后，应定期对这些基线值进行检查。</w:t>
      </w:r>
    </w:p>
    <w:p w14:paraId="6DAE2B02">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在具有或不具有酮症的高血糖 - 高渗性状态下，计量读数毛细管血糖值可显著低于“真实葡萄糖水平”。应在产品说明书中纳入明确声明，即不应用BGM对危重患者进行测试，或应在极度小心的条件下进行测试。</w:t>
      </w:r>
    </w:p>
    <w:p w14:paraId="1CEF3433">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建议仔细说明低于50 mg / dL或高于250 mg / dL的葡萄糖值。如果获得此范围内的值，请尽快咨询医生。</w:t>
      </w:r>
    </w:p>
    <w:p w14:paraId="5F0A7947">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医疗专业人员应定期评估其技术和患者的技术。为了实现这一点，建议将BGMg结果与在同一血液样本上同时获得的实验室测量值进行对比。应当使用采用己糖激酶或葡萄糖氧化酶的充分表征的临床实验室方法作为对比方法。</w:t>
      </w:r>
    </w:p>
    <w:p w14:paraId="1E657911">
      <w:pPr>
        <w:widowControl/>
        <w:jc w:val="left"/>
        <w:rPr>
          <w:rFonts w:ascii="Arial" w:hAnsi="Arial" w:eastAsia="宋体" w:cs="Arial"/>
          <w:kern w:val="0"/>
          <w:sz w:val="24"/>
          <w:szCs w:val="24"/>
        </w:rPr>
      </w:pPr>
      <w:r>
        <w:rPr>
          <w:rFonts w:ascii="Arial" w:hAnsi="Arial" w:eastAsia="宋体" w:cs="Arial"/>
          <w:kern w:val="0"/>
          <w:sz w:val="24"/>
          <w:szCs w:val="24"/>
        </w:rPr>
        <w:br w:type="page"/>
      </w:r>
    </w:p>
    <w:p w14:paraId="755F8345">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使用血糖监测仪时，不应将氟化物用作静脉样本的防腐剂。</w:t>
      </w:r>
    </w:p>
    <w:p w14:paraId="7848CB90">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被食物或饮料中的食糖污染的手和手指可能产生错误升高的结果。请纳入进行试验前在温热的肥皂水中洗手、冲洗并干燥的说明。</w:t>
      </w:r>
    </w:p>
    <w:p w14:paraId="15221E13">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严重脱水和过多的水分流失可能产生不准确的较低结果。</w:t>
      </w:r>
    </w:p>
    <w:p w14:paraId="2755ECEA">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全血和血清/血浆值的差异可能使结果具有可变性。</w:t>
      </w:r>
    </w:p>
    <w:p w14:paraId="6A8D045E">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在漂白剂以及含漂白剂的产品附近存储试纸将影响葡萄糖氧化酶条的结果。</w:t>
      </w:r>
    </w:p>
    <w:p w14:paraId="33835AFD">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在进行试验的区域内，应禁止使用便携式电话和其他无线电发射器械。</w:t>
      </w:r>
    </w:p>
    <w:p w14:paraId="01B1E4DA">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 xml:space="preserve">因高海拔处的氧浓度（pO </w:t>
      </w:r>
      <w:r>
        <w:rPr>
          <w:rFonts w:ascii="Arial" w:hAnsi="Arial" w:eastAsia="宋体" w:cs="Arial"/>
          <w:kern w:val="0"/>
          <w:sz w:val="24"/>
          <w:szCs w:val="24"/>
          <w:vertAlign w:val="subscript"/>
        </w:rPr>
        <w:t>2</w:t>
      </w:r>
      <w:r>
        <w:rPr>
          <w:rFonts w:ascii="Arial" w:hAnsi="Arial" w:eastAsia="宋体" w:cs="Arial"/>
          <w:kern w:val="0"/>
          <w:sz w:val="24"/>
          <w:szCs w:val="24"/>
        </w:rPr>
        <w:t>）较低，可能获得不准确的结果。</w:t>
      </w:r>
    </w:p>
    <w:p w14:paraId="57CAB67E">
      <w:pPr>
        <w:widowControl/>
        <w:numPr>
          <w:ilvl w:val="0"/>
          <w:numId w:val="6"/>
        </w:numPr>
        <w:tabs>
          <w:tab w:val="clear" w:pos="720"/>
        </w:tabs>
        <w:snapToGrid w:val="0"/>
        <w:spacing w:before="100" w:beforeAutospacing="1" w:after="100" w:afterAutospacing="1" w:line="300" w:lineRule="auto"/>
        <w:ind w:left="895" w:leftChars="226" w:hanging="420" w:hangingChars="175"/>
        <w:rPr>
          <w:rFonts w:ascii="Arial" w:hAnsi="Arial" w:eastAsia="宋体" w:cs="Arial"/>
          <w:kern w:val="0"/>
          <w:sz w:val="24"/>
          <w:szCs w:val="24"/>
        </w:rPr>
      </w:pPr>
      <w:r>
        <w:rPr>
          <w:rFonts w:ascii="Arial" w:hAnsi="Arial" w:eastAsia="宋体" w:cs="Arial"/>
          <w:kern w:val="0"/>
          <w:sz w:val="24"/>
          <w:szCs w:val="24"/>
        </w:rPr>
        <w:t>请纳入预防性声明，即色盲人士不应使用视觉色彩程序。</w:t>
      </w:r>
    </w:p>
    <w:p w14:paraId="0FB3C916">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工具使用说明书的标签至少应包含809.10（b）（6）中概述的项目以及故障排除信息、问答部分、公司紧急电话号码（1-800＃）和营业时间以提供帮助。</w:t>
      </w:r>
    </w:p>
    <w:p w14:paraId="042EB39A">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国家临床实验室标准委员会发表一份关于家用体外试验产品标签的文件（GP-14P）。其含有非常有用的信息，包括用于评估包装说明书的可读性水平的SMOG可读性公式。CDRH已编写家用指导性文件、</w:t>
      </w:r>
      <w:r>
        <w:rPr>
          <w:rFonts w:ascii="Arial" w:hAnsi="Arial" w:eastAsia="宋体" w:cs="Arial"/>
          <w:kern w:val="0"/>
          <w:sz w:val="24"/>
          <w:szCs w:val="24"/>
          <w:vertAlign w:val="superscript"/>
        </w:rPr>
        <w:t>12</w:t>
      </w:r>
      <w:r>
        <w:rPr>
          <w:rFonts w:ascii="Arial" w:hAnsi="Arial" w:eastAsia="宋体" w:cs="Arial"/>
          <w:kern w:val="0"/>
          <w:sz w:val="24"/>
          <w:szCs w:val="24"/>
        </w:rPr>
        <w:t>计算机控制的医疗器械指导性文件以及一本关于编制家用说明手册的书籍。</w:t>
      </w:r>
      <w:r>
        <w:rPr>
          <w:rFonts w:ascii="Arial" w:hAnsi="Arial" w:eastAsia="宋体" w:cs="Arial"/>
          <w:kern w:val="0"/>
          <w:sz w:val="24"/>
          <w:szCs w:val="24"/>
          <w:vertAlign w:val="superscript"/>
        </w:rPr>
        <w:t>14</w:t>
      </w:r>
      <w:r>
        <w:rPr>
          <w:rFonts w:ascii="Arial" w:hAnsi="Arial" w:eastAsia="宋体" w:cs="Arial"/>
          <w:kern w:val="0"/>
          <w:sz w:val="24"/>
          <w:szCs w:val="24"/>
        </w:rPr>
        <w:t>贵公司也可从这些文件中获得有价值的信息。有关更多信息，请联系FDA小型制造商援助司，电话：1-800-638-2041。</w:t>
      </w:r>
    </w:p>
    <w:p w14:paraId="484AC1F2">
      <w:pPr>
        <w:widowControl/>
        <w:snapToGrid w:val="0"/>
        <w:spacing w:before="100" w:beforeAutospacing="1" w:after="100" w:afterAutospacing="1" w:line="300" w:lineRule="auto"/>
        <w:outlineLvl w:val="3"/>
        <w:rPr>
          <w:rFonts w:ascii="Arial" w:hAnsi="Arial" w:eastAsia="宋体" w:cs="Arial"/>
          <w:b/>
          <w:bCs/>
          <w:kern w:val="0"/>
          <w:sz w:val="24"/>
          <w:szCs w:val="24"/>
        </w:rPr>
      </w:pPr>
      <w:r>
        <w:rPr>
          <w:rFonts w:ascii="Arial" w:hAnsi="Arial" w:eastAsia="宋体" w:cs="Arial"/>
          <w:b/>
          <w:bCs/>
          <w:kern w:val="0"/>
          <w:sz w:val="24"/>
          <w:szCs w:val="24"/>
        </w:rPr>
        <w:t>VI. 质量控制</w:t>
      </w:r>
    </w:p>
    <w:p w14:paraId="6E0A5CCC">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美国糖尿病协会的共识专家组注意到，一般来说，质量控制规范较为不足。</w:t>
      </w:r>
      <w:r>
        <w:rPr>
          <w:rFonts w:ascii="Arial" w:hAnsi="Arial" w:eastAsia="宋体" w:cs="Arial"/>
          <w:kern w:val="0"/>
          <w:sz w:val="24"/>
          <w:szCs w:val="24"/>
          <w:vertAlign w:val="superscript"/>
        </w:rPr>
        <w:t>3</w:t>
      </w:r>
      <w:r>
        <w:rPr>
          <w:rFonts w:ascii="Arial" w:hAnsi="Arial" w:eastAsia="宋体" w:cs="Arial"/>
          <w:kern w:val="0"/>
          <w:sz w:val="24"/>
          <w:szCs w:val="24"/>
        </w:rPr>
        <w:t>质量控制计划的基本组成部分包括：1）校准检查，确保计量表的足够性能；2）衡量已知葡萄糖浓度的控制方案以对试剂条和计量表的性能进行评估，3）将结果与良好表征的实验室对比方法进行对比，以及4）由合格医疗人员对用户技术进行定期审查并纠正缺陷。</w:t>
      </w:r>
    </w:p>
    <w:p w14:paraId="6EE4655E">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因不同制造商所使用的试剂条化学品不同，从而产生在外部质量控制程序的设计中应当考虑的问题，其中，该程序基于单一葡萄糖水平控制。</w:t>
      </w:r>
      <w:r>
        <w:rPr>
          <w:rFonts w:ascii="Arial" w:hAnsi="Arial" w:eastAsia="宋体" w:cs="Arial"/>
          <w:kern w:val="0"/>
          <w:sz w:val="24"/>
          <w:szCs w:val="24"/>
          <w:vertAlign w:val="superscript"/>
        </w:rPr>
        <w:t>15</w:t>
      </w:r>
      <w:r>
        <w:rPr>
          <w:rFonts w:ascii="Arial" w:hAnsi="Arial" w:eastAsia="宋体" w:cs="Arial"/>
          <w:kern w:val="0"/>
          <w:sz w:val="24"/>
          <w:szCs w:val="24"/>
        </w:rPr>
        <w:t>在对血糖仪进行对比时，Brooks等人</w:t>
      </w:r>
      <w:r>
        <w:rPr>
          <w:rFonts w:ascii="Arial" w:hAnsi="Arial" w:eastAsia="宋体" w:cs="Arial"/>
          <w:kern w:val="0"/>
          <w:sz w:val="24"/>
          <w:szCs w:val="24"/>
          <w:vertAlign w:val="superscript"/>
        </w:rPr>
        <w:t>16,17</w:t>
      </w:r>
      <w:r>
        <w:rPr>
          <w:rFonts w:ascii="Arial" w:hAnsi="Arial" w:eastAsia="宋体" w:cs="Arial"/>
          <w:kern w:val="0"/>
          <w:sz w:val="24"/>
          <w:szCs w:val="24"/>
        </w:rPr>
        <w:t>强调使用含水的对照材料以及基于血清的对照材料获得的异常结果。一些研究者认为，溶液粘度是影响不同试剂条的反应性的主要因素。</w:t>
      </w:r>
      <w:r>
        <w:rPr>
          <w:rFonts w:ascii="Arial" w:hAnsi="Arial" w:eastAsia="宋体" w:cs="Arial"/>
          <w:kern w:val="0"/>
          <w:sz w:val="24"/>
          <w:szCs w:val="24"/>
          <w:vertAlign w:val="superscript"/>
        </w:rPr>
        <w:t>15</w:t>
      </w:r>
      <w:r>
        <w:rPr>
          <w:rFonts w:ascii="Arial" w:hAnsi="Arial" w:eastAsia="宋体" w:cs="Arial"/>
          <w:kern w:val="0"/>
          <w:sz w:val="24"/>
          <w:szCs w:val="24"/>
        </w:rPr>
        <w:t>在质量控制程序的设计中，可能需要使用已调节粘度的控制材料来最小化此类影响。</w:t>
      </w:r>
    </w:p>
    <w:p w14:paraId="01C3361C">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质量控制方案并未衡量在采集和应用血液至试剂条期间产生的错误。因此，应通过比较患者的BGMg结果与通过良好表征的比较方法在同一血液样本上同时获得的测量值，定期评估BGMg技术所有方面的精确度和准确度。相同的血液样本应与血糖仪和实验室方法一起使用，以避免因毛细血管血、静脉血、全血和血浆样本之间的差异而产生的不确定性。</w:t>
      </w:r>
      <w:r>
        <w:rPr>
          <w:rFonts w:ascii="Arial" w:hAnsi="Arial" w:eastAsia="宋体" w:cs="Arial"/>
          <w:kern w:val="0"/>
          <w:sz w:val="24"/>
          <w:szCs w:val="24"/>
          <w:vertAlign w:val="superscript"/>
        </w:rPr>
        <w:t>2</w:t>
      </w:r>
      <w:r>
        <w:rPr>
          <w:rFonts w:ascii="Arial" w:hAnsi="Arial" w:eastAsia="宋体" w:cs="Arial"/>
          <w:kern w:val="0"/>
          <w:sz w:val="24"/>
          <w:szCs w:val="24"/>
        </w:rPr>
        <w:t>应在工具手册中的适当部分对校准和质量控制程序进行讨论 。</w:t>
      </w:r>
    </w:p>
    <w:p w14:paraId="48A7A5BA">
      <w:pPr>
        <w:widowControl/>
        <w:snapToGrid w:val="0"/>
        <w:spacing w:before="100" w:beforeAutospacing="1" w:after="100" w:afterAutospacing="1" w:line="300" w:lineRule="auto"/>
        <w:outlineLvl w:val="3"/>
        <w:rPr>
          <w:rFonts w:ascii="Arial" w:hAnsi="Arial" w:eastAsia="宋体" w:cs="Arial"/>
          <w:b/>
          <w:bCs/>
          <w:kern w:val="0"/>
          <w:sz w:val="24"/>
          <w:szCs w:val="24"/>
        </w:rPr>
      </w:pPr>
      <w:r>
        <w:rPr>
          <w:rFonts w:ascii="Arial" w:hAnsi="Arial" w:eastAsia="宋体" w:cs="Arial"/>
          <w:b/>
          <w:bCs/>
          <w:kern w:val="0"/>
          <w:sz w:val="24"/>
          <w:szCs w:val="24"/>
        </w:rPr>
        <w:t>VII. 局限性</w:t>
      </w:r>
    </w:p>
    <w:p w14:paraId="4932D64D">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在实际的患者护理情况下，葡萄糖监测仪提供的结果并不足以推动临床决策。</w:t>
      </w:r>
      <w:r>
        <w:rPr>
          <w:rFonts w:ascii="Arial" w:hAnsi="Arial" w:eastAsia="宋体" w:cs="Arial"/>
          <w:kern w:val="0"/>
          <w:sz w:val="24"/>
          <w:szCs w:val="24"/>
          <w:vertAlign w:val="superscript"/>
        </w:rPr>
        <w:t>2,18</w:t>
      </w:r>
      <w:r>
        <w:rPr>
          <w:rFonts w:ascii="Arial" w:hAnsi="Arial" w:eastAsia="宋体" w:cs="Arial"/>
          <w:kern w:val="0"/>
          <w:sz w:val="24"/>
          <w:szCs w:val="24"/>
        </w:rPr>
        <w:t>各种因素可能会影响精确度和准确度。下面列出一些因素。</w:t>
      </w:r>
    </w:p>
    <w:p w14:paraId="7E9D09C9">
      <w:pPr>
        <w:widowControl/>
        <w:numPr>
          <w:ilvl w:val="0"/>
          <w:numId w:val="7"/>
        </w:numPr>
        <w:tabs>
          <w:tab w:val="clear" w:pos="720"/>
        </w:tabs>
        <w:snapToGrid w:val="0"/>
        <w:spacing w:before="100" w:beforeAutospacing="1" w:after="100" w:afterAutospacing="1" w:line="300" w:lineRule="auto"/>
        <w:ind w:left="0" w:firstLine="0"/>
        <w:rPr>
          <w:rFonts w:ascii="Arial" w:hAnsi="Arial" w:eastAsia="宋体" w:cs="Arial"/>
          <w:b/>
          <w:bCs/>
          <w:kern w:val="0"/>
          <w:sz w:val="24"/>
          <w:szCs w:val="24"/>
        </w:rPr>
      </w:pPr>
      <w:r>
        <w:rPr>
          <w:rFonts w:ascii="Arial" w:hAnsi="Arial" w:eastAsia="宋体" w:cs="Arial"/>
          <w:b/>
          <w:bCs/>
          <w:kern w:val="0"/>
          <w:sz w:val="24"/>
          <w:szCs w:val="24"/>
        </w:rPr>
        <w:t>用户可变性。</w:t>
      </w:r>
    </w:p>
    <w:p w14:paraId="4E786AE6">
      <w:pPr>
        <w:widowControl/>
        <w:snapToGrid w:val="0"/>
        <w:spacing w:before="100" w:beforeAutospacing="1" w:after="100" w:afterAutospacing="1" w:line="300" w:lineRule="auto"/>
        <w:ind w:left="388" w:leftChars="185" w:firstLine="9" w:firstLineChars="4"/>
        <w:rPr>
          <w:rFonts w:ascii="Arial" w:hAnsi="Arial" w:eastAsia="宋体" w:cs="Arial"/>
          <w:kern w:val="0"/>
          <w:sz w:val="24"/>
          <w:szCs w:val="24"/>
        </w:rPr>
      </w:pPr>
      <w:r>
        <w:rPr>
          <w:rFonts w:ascii="Arial" w:hAnsi="Arial" w:eastAsia="宋体" w:cs="Arial"/>
          <w:kern w:val="0"/>
          <w:sz w:val="24"/>
          <w:szCs w:val="24"/>
        </w:rPr>
        <w:t>BGMg具有技术敏感性。研究者发现，高达50％的值可以与一般使用中的参考值偏离20％以上（一些医生认为，如果误差&gt; 20％，可视为导致对胰岛素剂量进行不当调节的变化量）。</w:t>
      </w:r>
    </w:p>
    <w:p w14:paraId="75749E43">
      <w:pPr>
        <w:widowControl/>
        <w:numPr>
          <w:ilvl w:val="0"/>
          <w:numId w:val="7"/>
        </w:numPr>
        <w:tabs>
          <w:tab w:val="clear" w:pos="720"/>
        </w:tabs>
        <w:snapToGrid w:val="0"/>
        <w:spacing w:before="100" w:beforeAutospacing="1" w:after="100" w:afterAutospacing="1" w:line="300" w:lineRule="auto"/>
        <w:ind w:left="0" w:firstLine="0"/>
        <w:rPr>
          <w:rFonts w:ascii="Arial" w:hAnsi="Arial" w:eastAsia="宋体" w:cs="Arial"/>
          <w:kern w:val="0"/>
          <w:sz w:val="24"/>
          <w:szCs w:val="24"/>
        </w:rPr>
      </w:pPr>
      <w:r>
        <w:rPr>
          <w:rFonts w:ascii="Arial" w:hAnsi="Arial" w:eastAsia="宋体" w:cs="Arial"/>
          <w:b/>
          <w:bCs/>
          <w:kern w:val="0"/>
          <w:sz w:val="24"/>
          <w:szCs w:val="24"/>
        </w:rPr>
        <w:t>血细胞比容。</w:t>
      </w:r>
    </w:p>
    <w:p w14:paraId="561A2186">
      <w:pPr>
        <w:widowControl/>
        <w:snapToGrid w:val="0"/>
        <w:spacing w:before="100" w:beforeAutospacing="1" w:after="100" w:afterAutospacing="1" w:line="300" w:lineRule="auto"/>
        <w:ind w:left="388" w:leftChars="185" w:firstLine="9" w:firstLineChars="4"/>
        <w:rPr>
          <w:rFonts w:ascii="Arial" w:hAnsi="Arial" w:eastAsia="宋体" w:cs="Arial"/>
          <w:kern w:val="0"/>
          <w:sz w:val="24"/>
          <w:szCs w:val="24"/>
        </w:rPr>
      </w:pPr>
      <w:r>
        <w:rPr>
          <w:rFonts w:ascii="Arial" w:hAnsi="Arial" w:eastAsia="宋体" w:cs="Arial"/>
          <w:kern w:val="0"/>
          <w:sz w:val="24"/>
          <w:szCs w:val="24"/>
        </w:rPr>
        <w:t>贫血症可使血糖值假性升高，但红细胞增多和脱水可使血糖值假性降低。根据系统类型，血细胞比容每变化10％，这种效应的幅度可变化4-30％。</w:t>
      </w:r>
      <w:r>
        <w:rPr>
          <w:rFonts w:ascii="Arial" w:hAnsi="Arial" w:eastAsia="宋体" w:cs="Arial"/>
          <w:kern w:val="0"/>
          <w:sz w:val="24"/>
          <w:szCs w:val="24"/>
          <w:vertAlign w:val="superscript"/>
        </w:rPr>
        <w:t>3</w:t>
      </w:r>
      <w:r>
        <w:rPr>
          <w:rFonts w:ascii="Arial" w:hAnsi="Arial" w:eastAsia="宋体" w:cs="Arial"/>
          <w:kern w:val="0"/>
          <w:sz w:val="24"/>
          <w:szCs w:val="24"/>
        </w:rPr>
        <w:t>高血细胞比容在新生儿中极为常见。如果未对系统进行验证来确定其是否适用于新生儿，请将此作为一种限制。</w:t>
      </w:r>
    </w:p>
    <w:p w14:paraId="57703827">
      <w:pPr>
        <w:widowControl/>
        <w:jc w:val="left"/>
        <w:rPr>
          <w:rFonts w:ascii="Arial" w:hAnsi="Arial" w:eastAsia="宋体" w:cs="Arial"/>
          <w:kern w:val="0"/>
          <w:sz w:val="24"/>
          <w:szCs w:val="24"/>
        </w:rPr>
      </w:pPr>
      <w:r>
        <w:rPr>
          <w:rFonts w:ascii="Arial" w:hAnsi="Arial" w:eastAsia="宋体" w:cs="Arial"/>
          <w:kern w:val="0"/>
          <w:sz w:val="24"/>
          <w:szCs w:val="24"/>
        </w:rPr>
        <w:br w:type="page"/>
      </w:r>
    </w:p>
    <w:p w14:paraId="3A06121F">
      <w:pPr>
        <w:widowControl/>
        <w:numPr>
          <w:ilvl w:val="0"/>
          <w:numId w:val="7"/>
        </w:numPr>
        <w:tabs>
          <w:tab w:val="clear" w:pos="720"/>
        </w:tabs>
        <w:snapToGrid w:val="0"/>
        <w:spacing w:before="100" w:beforeAutospacing="1" w:after="100" w:afterAutospacing="1" w:line="300" w:lineRule="auto"/>
        <w:ind w:left="0" w:firstLine="0"/>
        <w:rPr>
          <w:rFonts w:ascii="Arial" w:hAnsi="Arial" w:eastAsia="宋体" w:cs="Arial"/>
          <w:kern w:val="0"/>
          <w:sz w:val="24"/>
          <w:szCs w:val="24"/>
        </w:rPr>
      </w:pPr>
      <w:r>
        <w:rPr>
          <w:rFonts w:ascii="Arial" w:hAnsi="Arial" w:eastAsia="宋体" w:cs="Arial"/>
          <w:b/>
          <w:bCs/>
          <w:kern w:val="0"/>
          <w:sz w:val="24"/>
          <w:szCs w:val="24"/>
        </w:rPr>
        <w:t>低血糖和高血糖。</w:t>
      </w:r>
    </w:p>
    <w:p w14:paraId="5160683E">
      <w:pPr>
        <w:widowControl/>
        <w:snapToGrid w:val="0"/>
        <w:spacing w:before="100" w:beforeAutospacing="1" w:after="100" w:afterAutospacing="1" w:line="300" w:lineRule="auto"/>
        <w:ind w:left="388" w:leftChars="185" w:firstLine="9" w:firstLineChars="4"/>
        <w:rPr>
          <w:rFonts w:ascii="Arial" w:hAnsi="Arial" w:eastAsia="宋体" w:cs="Arial"/>
          <w:kern w:val="0"/>
          <w:sz w:val="24"/>
          <w:szCs w:val="24"/>
        </w:rPr>
      </w:pPr>
      <w:r>
        <w:rPr>
          <w:rFonts w:ascii="Arial" w:hAnsi="Arial" w:eastAsia="宋体" w:cs="Arial"/>
          <w:kern w:val="0"/>
          <w:sz w:val="24"/>
          <w:szCs w:val="24"/>
        </w:rPr>
        <w:t>应仔细解释低血糖（小于50mg / dL）或严重高血糖范围（大于250mg / dL）内的值。</w:t>
      </w:r>
    </w:p>
    <w:p w14:paraId="32FB0E94">
      <w:pPr>
        <w:widowControl/>
        <w:numPr>
          <w:ilvl w:val="0"/>
          <w:numId w:val="7"/>
        </w:numPr>
        <w:tabs>
          <w:tab w:val="clear" w:pos="720"/>
        </w:tabs>
        <w:snapToGrid w:val="0"/>
        <w:spacing w:before="100" w:beforeAutospacing="1" w:after="100" w:afterAutospacing="1" w:line="300" w:lineRule="auto"/>
        <w:ind w:left="0" w:firstLine="0"/>
        <w:rPr>
          <w:rFonts w:ascii="Arial" w:hAnsi="Arial" w:eastAsia="宋体" w:cs="Arial"/>
          <w:kern w:val="0"/>
          <w:sz w:val="24"/>
          <w:szCs w:val="24"/>
        </w:rPr>
      </w:pPr>
      <w:r>
        <w:rPr>
          <w:rFonts w:ascii="Arial" w:hAnsi="Arial" w:eastAsia="宋体" w:cs="Arial"/>
          <w:b/>
          <w:bCs/>
          <w:kern w:val="0"/>
          <w:sz w:val="24"/>
          <w:szCs w:val="24"/>
        </w:rPr>
        <w:t>胆固醇和甘油三酯水平升高。</w:t>
      </w:r>
    </w:p>
    <w:p w14:paraId="33083926">
      <w:pPr>
        <w:widowControl/>
        <w:snapToGrid w:val="0"/>
        <w:spacing w:before="100" w:beforeAutospacing="1" w:after="100" w:afterAutospacing="1" w:line="300" w:lineRule="auto"/>
        <w:ind w:left="388" w:leftChars="185" w:firstLine="9" w:firstLineChars="4"/>
        <w:rPr>
          <w:rFonts w:ascii="Arial" w:hAnsi="Arial" w:eastAsia="宋体" w:cs="Arial"/>
          <w:kern w:val="0"/>
          <w:sz w:val="24"/>
          <w:szCs w:val="24"/>
        </w:rPr>
      </w:pPr>
      <w:r>
        <w:rPr>
          <w:rFonts w:ascii="Arial" w:hAnsi="Arial" w:eastAsia="宋体" w:cs="Arial"/>
          <w:kern w:val="0"/>
          <w:sz w:val="24"/>
          <w:szCs w:val="24"/>
        </w:rPr>
        <w:t>胆固醇和甘油三酯水平升高可能会干扰光被反射的方式，从而使计量表产生错误结果。</w:t>
      </w:r>
    </w:p>
    <w:p w14:paraId="1C23735C">
      <w:pPr>
        <w:widowControl/>
        <w:numPr>
          <w:ilvl w:val="0"/>
          <w:numId w:val="7"/>
        </w:numPr>
        <w:tabs>
          <w:tab w:val="clear" w:pos="720"/>
        </w:tabs>
        <w:snapToGrid w:val="0"/>
        <w:spacing w:before="100" w:beforeAutospacing="1" w:after="100" w:afterAutospacing="1" w:line="300" w:lineRule="auto"/>
        <w:ind w:left="0" w:firstLine="0"/>
        <w:rPr>
          <w:rFonts w:ascii="Arial" w:hAnsi="Arial" w:eastAsia="宋体" w:cs="Arial"/>
          <w:kern w:val="0"/>
          <w:sz w:val="24"/>
          <w:szCs w:val="24"/>
        </w:rPr>
      </w:pPr>
      <w:r>
        <w:rPr>
          <w:rFonts w:ascii="Arial" w:hAnsi="Arial" w:eastAsia="宋体" w:cs="Arial"/>
          <w:b/>
          <w:bCs/>
          <w:kern w:val="0"/>
          <w:sz w:val="24"/>
          <w:szCs w:val="24"/>
        </w:rPr>
        <w:t>高空效应。</w:t>
      </w:r>
    </w:p>
    <w:p w14:paraId="214863A1">
      <w:pPr>
        <w:widowControl/>
        <w:snapToGrid w:val="0"/>
        <w:spacing w:before="100" w:beforeAutospacing="1" w:after="100" w:afterAutospacing="1" w:line="300" w:lineRule="auto"/>
        <w:ind w:left="388" w:leftChars="185" w:firstLine="9" w:firstLineChars="4"/>
        <w:rPr>
          <w:rFonts w:ascii="Arial" w:hAnsi="Arial" w:eastAsia="宋体" w:cs="Arial"/>
          <w:kern w:val="0"/>
          <w:sz w:val="24"/>
          <w:szCs w:val="24"/>
        </w:rPr>
      </w:pPr>
      <w:r>
        <w:rPr>
          <w:rFonts w:ascii="Arial" w:hAnsi="Arial" w:eastAsia="宋体" w:cs="Arial"/>
          <w:kern w:val="0"/>
          <w:sz w:val="24"/>
          <w:szCs w:val="24"/>
        </w:rPr>
        <w:t>已经表明，在高海拔处时氧张力将降低，这种情况可能会干扰用于反应的氧的存在量，从而产生不准确的结果。</w:t>
      </w:r>
    </w:p>
    <w:p w14:paraId="23984B52">
      <w:pPr>
        <w:widowControl/>
        <w:numPr>
          <w:ilvl w:val="0"/>
          <w:numId w:val="7"/>
        </w:numPr>
        <w:tabs>
          <w:tab w:val="clear" w:pos="720"/>
        </w:tabs>
        <w:snapToGrid w:val="0"/>
        <w:spacing w:before="100" w:beforeAutospacing="1" w:after="100" w:afterAutospacing="1" w:line="300" w:lineRule="auto"/>
        <w:ind w:left="0" w:firstLine="0"/>
        <w:rPr>
          <w:rFonts w:ascii="Arial" w:hAnsi="Arial" w:eastAsia="宋体" w:cs="Arial"/>
          <w:kern w:val="0"/>
          <w:sz w:val="24"/>
          <w:szCs w:val="24"/>
        </w:rPr>
      </w:pPr>
      <w:r>
        <w:rPr>
          <w:rFonts w:ascii="Arial" w:hAnsi="Arial" w:eastAsia="宋体" w:cs="Arial"/>
          <w:b/>
          <w:bCs/>
          <w:kern w:val="0"/>
          <w:sz w:val="24"/>
          <w:szCs w:val="24"/>
        </w:rPr>
        <w:t>电磁干扰（EMI）。</w:t>
      </w:r>
    </w:p>
    <w:p w14:paraId="30D1DF61">
      <w:pPr>
        <w:widowControl/>
        <w:snapToGrid w:val="0"/>
        <w:spacing w:before="100" w:beforeAutospacing="1" w:after="100" w:afterAutospacing="1" w:line="300" w:lineRule="auto"/>
        <w:ind w:left="388" w:leftChars="185" w:firstLine="9" w:firstLineChars="4"/>
        <w:rPr>
          <w:rFonts w:ascii="Arial" w:hAnsi="Arial" w:eastAsia="宋体" w:cs="Arial"/>
          <w:kern w:val="0"/>
          <w:sz w:val="24"/>
          <w:szCs w:val="24"/>
        </w:rPr>
      </w:pPr>
      <w:r>
        <w:rPr>
          <w:rFonts w:ascii="Arial" w:hAnsi="Arial" w:eastAsia="宋体" w:cs="Arial"/>
          <w:kern w:val="0"/>
          <w:sz w:val="24"/>
          <w:szCs w:val="24"/>
        </w:rPr>
        <w:t>最近的研究表明，EMI可能导致电子医疗器械性能下降，并可能使治疗不当。</w:t>
      </w:r>
    </w:p>
    <w:p w14:paraId="1F1357B8">
      <w:pPr>
        <w:widowControl/>
        <w:snapToGrid w:val="0"/>
        <w:spacing w:before="100" w:beforeAutospacing="1" w:after="100" w:afterAutospacing="1" w:line="300" w:lineRule="auto"/>
        <w:outlineLvl w:val="3"/>
        <w:rPr>
          <w:rFonts w:ascii="Arial" w:hAnsi="Arial" w:eastAsia="宋体" w:cs="Arial"/>
          <w:b/>
          <w:bCs/>
          <w:kern w:val="0"/>
          <w:sz w:val="24"/>
          <w:szCs w:val="24"/>
        </w:rPr>
      </w:pPr>
      <w:r>
        <w:rPr>
          <w:rFonts w:ascii="Arial" w:hAnsi="Arial" w:eastAsia="宋体" w:cs="Arial"/>
          <w:b/>
          <w:bCs/>
          <w:kern w:val="0"/>
          <w:sz w:val="24"/>
          <w:szCs w:val="24"/>
        </w:rPr>
        <w:t>总结</w:t>
      </w:r>
    </w:p>
    <w:p w14:paraId="07ED99BD">
      <w:pPr>
        <w:widowControl/>
        <w:snapToGrid w:val="0"/>
        <w:spacing w:before="100" w:beforeAutospacing="1" w:after="100" w:afterAutospacing="1" w:line="300" w:lineRule="auto"/>
        <w:ind w:left="388" w:leftChars="185" w:firstLine="9" w:firstLineChars="4"/>
        <w:rPr>
          <w:rFonts w:ascii="Arial" w:hAnsi="Arial" w:eastAsia="宋体" w:cs="Arial"/>
          <w:kern w:val="0"/>
          <w:sz w:val="24"/>
          <w:szCs w:val="24"/>
        </w:rPr>
      </w:pPr>
      <w:r>
        <w:rPr>
          <w:rFonts w:ascii="Arial" w:hAnsi="Arial" w:eastAsia="宋体" w:cs="Arial"/>
          <w:kern w:val="0"/>
          <w:sz w:val="24"/>
          <w:szCs w:val="24"/>
        </w:rPr>
        <w:t>在对糖尿病患者进行治疗时，已建议对血糖进行高频次的监测。须考虑的主要问题是确保质量控制，并确保BGMg系统生产的数据具有准确度和精确度。上市前通告审查目标是记录消费者性能和人为因素考虑，并确保标签包含适当的质量控制和使用限制。可读性试验和用户调查问卷以及消费者研究可针对使用说明的充分性和简单性进行总结。</w:t>
      </w:r>
    </w:p>
    <w:p w14:paraId="6BB828C7">
      <w:pPr>
        <w:widowControl/>
        <w:snapToGrid w:val="0"/>
        <w:spacing w:before="100" w:beforeAutospacing="1" w:after="100" w:afterAutospacing="1" w:line="300" w:lineRule="auto"/>
        <w:outlineLvl w:val="3"/>
        <w:rPr>
          <w:rFonts w:ascii="Arial" w:hAnsi="Arial" w:eastAsia="宋体" w:cs="Arial"/>
          <w:b/>
          <w:bCs/>
          <w:kern w:val="0"/>
          <w:sz w:val="24"/>
          <w:szCs w:val="24"/>
        </w:rPr>
      </w:pPr>
      <w:r>
        <w:rPr>
          <w:rFonts w:ascii="Arial" w:hAnsi="Arial" w:eastAsia="宋体" w:cs="Arial"/>
          <w:b/>
          <w:bCs/>
          <w:kern w:val="0"/>
          <w:sz w:val="24"/>
          <w:szCs w:val="24"/>
        </w:rPr>
        <w:t>VIII. 参考文件</w:t>
      </w:r>
    </w:p>
    <w:p w14:paraId="341CFBAA">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便携式血糖监测仪。卫生器械，1994年3月，第23卷，第3期，64-97页。</w:t>
      </w:r>
    </w:p>
    <w:p w14:paraId="7FBA3824">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小组背书家用血糖测试。临床化学新闻，1987年1月。</w:t>
      </w:r>
    </w:p>
    <w:p w14:paraId="04AE8661">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血糖自我监测的共识声明。糖尿病护理1987；1：95-99。</w:t>
      </w:r>
    </w:p>
    <w:p w14:paraId="3E32749E">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适用于新生儿托儿所中临床应用的便携式葡萄糖监测器械的CDRH审查标准。</w:t>
      </w:r>
    </w:p>
    <w:p w14:paraId="2D255FFC">
      <w:pPr>
        <w:widowControl/>
        <w:snapToGrid w:val="0"/>
        <w:spacing w:before="100" w:beforeAutospacing="1" w:after="100" w:afterAutospacing="1" w:line="300" w:lineRule="auto"/>
        <w:ind w:left="784"/>
        <w:rPr>
          <w:rFonts w:ascii="Arial" w:hAnsi="Arial" w:eastAsia="宋体" w:cs="Arial"/>
          <w:kern w:val="0"/>
          <w:sz w:val="24"/>
          <w:szCs w:val="24"/>
        </w:rPr>
      </w:pPr>
    </w:p>
    <w:p w14:paraId="7E5F499E">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实验室方法进行的临床诊断和管理，第十八版，John Bernard Henry，编辑。W.B. Saunders Company，费城，1991年。</w:t>
      </w:r>
    </w:p>
    <w:p w14:paraId="002DDB5E">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血液自我监测中的人为因素。美国卫生与公众服务部，1988 - 1990年。</w:t>
      </w:r>
    </w:p>
    <w:p w14:paraId="6779CD8E">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NCCLS暂定指南EP5-T2。临床化学器械精确性性能的用户评价。维拉诺瓦，宾夕法尼亚州：国家临床实验室标准委员会，1992年。</w:t>
      </w:r>
    </w:p>
    <w:p w14:paraId="46F15C65">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NCCLS拟定指南EP6-P。定量分析方法线性度的评价。维拉诺瓦，宾夕法尼亚州：国家临床实验室标准委员会，1986年。</w:t>
      </w:r>
    </w:p>
    <w:p w14:paraId="42FBEC7D">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NCCLS拟定指南EP7-P。临床化学中的干扰试验。维拉诺瓦，宾夕法尼亚州：国家临床实验室标准委员会，1986年。</w:t>
      </w:r>
    </w:p>
    <w:p w14:paraId="0F755675">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NCCLS暂定指南EP9-T。使用患者样本进行的方法比较和偏差估计。维拉诺瓦，宾夕法尼亚州：国家临床实验室标准委员会，1992年9月</w:t>
      </w:r>
    </w:p>
    <w:p w14:paraId="7EE614C6">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Wenene R.K.，血细胞比容对葡萄糖试剂条试验的影响，糖尿病医学，1991 1：8：172-5。</w:t>
      </w:r>
    </w:p>
    <w:p w14:paraId="5EC46345">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CDRH家用IVD工作组的报告。评估家用IVD的安全性和有效性：有关上市前提交的指南，1989年9月。</w:t>
      </w:r>
    </w:p>
    <w:p w14:paraId="4244A38D">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接受510（k）审查的计算机控制医疗器械的审查员指南，1991年。</w:t>
      </w:r>
    </w:p>
    <w:p w14:paraId="2F61981C">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正确书写，有关为家庭医疗中使用的医疗器械制定用户使用说明书的建议，1993年。</w:t>
      </w:r>
    </w:p>
    <w:p w14:paraId="2463EB7C">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Phillipou，G.，Farrant，R.K.，Phillips，P.J.</w:t>
      </w:r>
      <w:r>
        <w:rPr>
          <w:rFonts w:ascii="Arial" w:hAnsi="Arial" w:eastAsia="宋体" w:cs="Arial"/>
        </w:rPr>
        <w:t xml:space="preserve"> </w:t>
      </w:r>
      <w:r>
        <w:rPr>
          <w:rFonts w:ascii="Arial" w:hAnsi="Arial" w:eastAsia="宋体" w:cs="Arial"/>
          <w:kern w:val="0"/>
          <w:sz w:val="24"/>
          <w:szCs w:val="24"/>
        </w:rPr>
        <w:t>用于葡萄糖试剂条和计量仪的水性葡萄糖控制溶液。临床化学，1989年； 35：2017-2018。</w:t>
      </w:r>
    </w:p>
    <w:p w14:paraId="477FABF6">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Brooks，K.E.，Rawai，N.，Henderson，A.R。三种血糖监测仪的实验室评估。Accu-Chek 11，Glucometer 11和Glucoscan 2000. 临床化学，1986年，132：2195-2000。</w:t>
      </w:r>
    </w:p>
    <w:p w14:paraId="63939DEE">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Rawai， N.， Henderson， A.R.用于血糖监测仪的质量控制材料。Refloflux 11（Boehringer Mannheim）和Sugar Chex（Streck Laboratories）控制。临床化学，1987年，133：1294-1295。</w:t>
      </w:r>
    </w:p>
    <w:p w14:paraId="245B3124">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医院环境中的便携式血液分析。美国临床病理学家协会摘要报告，1983年11月。</w:t>
      </w:r>
    </w:p>
    <w:p w14:paraId="0B1BC2B6">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Silberberg，Jeffrey L.因电磁干扰而产生的电子医疗器械性能下降。合规性设计，1993年。</w:t>
      </w:r>
    </w:p>
    <w:p w14:paraId="2FB0DECD">
      <w:pPr>
        <w:widowControl/>
        <w:numPr>
          <w:ilvl w:val="0"/>
          <w:numId w:val="8"/>
        </w:numPr>
        <w:tabs>
          <w:tab w:val="clear" w:pos="720"/>
        </w:tabs>
        <w:snapToGrid w:val="0"/>
        <w:spacing w:before="100" w:beforeAutospacing="1" w:after="100" w:afterAutospacing="1" w:line="300" w:lineRule="auto"/>
        <w:ind w:left="783" w:leftChars="140" w:hanging="489" w:hangingChars="204"/>
        <w:rPr>
          <w:rFonts w:ascii="Arial" w:hAnsi="Arial" w:eastAsia="宋体" w:cs="Arial"/>
          <w:kern w:val="0"/>
          <w:sz w:val="24"/>
          <w:szCs w:val="24"/>
        </w:rPr>
      </w:pPr>
      <w:r>
        <w:rPr>
          <w:rFonts w:ascii="Arial" w:hAnsi="Arial" w:eastAsia="宋体" w:cs="Arial"/>
          <w:kern w:val="0"/>
          <w:sz w:val="24"/>
          <w:szCs w:val="24"/>
        </w:rPr>
        <w:t>K.M. Hennessy，使用便携式BGM获得的血细胞比容效应结果，临床化学。第39卷，第6期，1993年。</w:t>
      </w:r>
    </w:p>
    <w:p w14:paraId="77E2FC46">
      <w:pPr>
        <w:widowControl/>
        <w:jc w:val="left"/>
        <w:rPr>
          <w:rFonts w:ascii="Arial" w:hAnsi="Arial" w:eastAsia="宋体" w:cs="Arial"/>
          <w:kern w:val="0"/>
          <w:sz w:val="24"/>
          <w:szCs w:val="24"/>
        </w:rPr>
      </w:pPr>
      <w:r>
        <w:rPr>
          <w:rFonts w:ascii="Arial" w:hAnsi="Arial" w:eastAsia="宋体" w:cs="Arial"/>
          <w:kern w:val="0"/>
          <w:sz w:val="24"/>
          <w:szCs w:val="24"/>
        </w:rPr>
        <w:br w:type="page"/>
      </w:r>
    </w:p>
    <w:p w14:paraId="2DB8670C">
      <w:pPr>
        <w:widowControl/>
        <w:snapToGrid w:val="0"/>
        <w:spacing w:beforeAutospacing="1" w:afterAutospacing="1" w:line="300" w:lineRule="auto"/>
        <w:rPr>
          <w:rFonts w:ascii="Arial" w:hAnsi="Arial" w:eastAsia="宋体" w:cs="Arial"/>
          <w:kern w:val="0"/>
          <w:sz w:val="24"/>
          <w:szCs w:val="24"/>
        </w:rPr>
      </w:pPr>
      <w:r>
        <w:rPr>
          <w:rFonts w:ascii="Arial" w:hAnsi="Arial" w:eastAsia="宋体" w:cs="Arial"/>
          <w:kern w:val="0"/>
          <w:sz w:val="24"/>
          <w:szCs w:val="24"/>
        </w:rPr>
        <w:t>缩略词</w:t>
      </w:r>
    </w:p>
    <w:p w14:paraId="0EFD0AED">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BGM - 血糖监测仪</w:t>
      </w:r>
    </w:p>
    <w:p w14:paraId="2AD706A9">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BGMg - 血糖监测</w:t>
      </w:r>
    </w:p>
    <w:p w14:paraId="65AC8737">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CDC - 疾病控制中心</w:t>
      </w:r>
    </w:p>
    <w:p w14:paraId="2696B6FE">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CDRH -器械与放射健康中心</w:t>
      </w:r>
    </w:p>
    <w:p w14:paraId="39D284B4">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FDA - 食品药品监督管理局</w:t>
      </w:r>
    </w:p>
    <w:p w14:paraId="65D7D0EE">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IVD - 体外诊断</w:t>
      </w:r>
    </w:p>
    <w:p w14:paraId="6A34AC87">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NCCLS - 国家临床实验室标准委员会</w:t>
      </w:r>
    </w:p>
    <w:p w14:paraId="2170AC42">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NIH - 美国国家卫生研究所</w:t>
      </w:r>
    </w:p>
    <w:p w14:paraId="2A290AD1">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NIST - 国家标准与技术研究所</w:t>
      </w:r>
    </w:p>
    <w:p w14:paraId="33E1D692">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POC - 护理点</w:t>
      </w:r>
    </w:p>
    <w:p w14:paraId="31CAA1C3">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POL - 医师办公室实验室</w:t>
      </w:r>
    </w:p>
    <w:p w14:paraId="75C46827">
      <w:pPr>
        <w:widowControl/>
        <w:snapToGrid w:val="0"/>
        <w:spacing w:line="300" w:lineRule="auto"/>
        <w:rPr>
          <w:rFonts w:ascii="Arial" w:hAnsi="Arial" w:eastAsia="宋体" w:cs="Arial"/>
          <w:kern w:val="0"/>
          <w:sz w:val="24"/>
          <w:szCs w:val="24"/>
        </w:rPr>
      </w:pPr>
      <w:r>
        <w:rPr>
          <w:rFonts w:ascii="Arial" w:hAnsi="Arial" w:eastAsia="宋体" w:cs="Arial"/>
          <w:kern w:val="0"/>
          <w:sz w:val="24"/>
          <w:szCs w:val="24"/>
        </w:rPr>
        <w:t>SMBG - 自我监测血糖</w:t>
      </w:r>
    </w:p>
    <w:p w14:paraId="02D431CF">
      <w:pPr>
        <w:widowControl/>
        <w:snapToGrid w:val="0"/>
        <w:spacing w:before="100" w:beforeAutospacing="1" w:after="100" w:afterAutospacing="1" w:line="300" w:lineRule="auto"/>
        <w:rPr>
          <w:rFonts w:ascii="Arial" w:hAnsi="Arial" w:eastAsia="宋体" w:cs="Arial"/>
          <w:b/>
          <w:kern w:val="0"/>
          <w:sz w:val="24"/>
          <w:szCs w:val="24"/>
        </w:rPr>
      </w:pPr>
      <w:r>
        <w:rPr>
          <w:rFonts w:ascii="Arial" w:hAnsi="Arial" w:eastAsia="宋体" w:cs="Arial"/>
          <w:b/>
          <w:kern w:val="0"/>
          <w:sz w:val="24"/>
          <w:szCs w:val="24"/>
        </w:rPr>
        <w:t>备忘录</w:t>
      </w:r>
    </w:p>
    <w:p w14:paraId="68FF19D4">
      <w:pPr>
        <w:widowControl/>
        <w:snapToGrid w:val="0"/>
        <w:spacing w:before="100" w:beforeAutospacing="1" w:after="100" w:afterAutospacing="1" w:line="300" w:lineRule="auto"/>
        <w:rPr>
          <w:rFonts w:ascii="Arial" w:hAnsi="Arial" w:eastAsia="宋体" w:cs="Arial"/>
          <w:kern w:val="0"/>
          <w:sz w:val="24"/>
          <w:szCs w:val="24"/>
        </w:rPr>
      </w:pPr>
      <w:r>
        <w:rPr>
          <w:rFonts w:ascii="Arial" w:hAnsi="Arial" w:eastAsia="宋体" w:cs="Arial"/>
          <w:kern w:val="0"/>
          <w:sz w:val="24"/>
          <w:szCs w:val="24"/>
        </w:rPr>
        <w:t>说明：贵公司编制提交资料时，请使用此便携式血糖仪上市前通告备忘录作为指南。</w:t>
      </w:r>
    </w:p>
    <w:p w14:paraId="792B6AA7">
      <w:pPr>
        <w:widowControl/>
        <w:numPr>
          <w:ilvl w:val="0"/>
          <w:numId w:val="9"/>
        </w:numPr>
        <w:tabs>
          <w:tab w:val="clear" w:pos="720"/>
        </w:tabs>
        <w:snapToGrid w:val="0"/>
        <w:spacing w:before="100" w:beforeAutospacing="1" w:after="100" w:afterAutospacing="1" w:line="300" w:lineRule="auto"/>
        <w:ind w:left="1050" w:leftChars="267" w:hanging="489" w:hangingChars="204"/>
        <w:rPr>
          <w:rFonts w:ascii="Arial" w:hAnsi="Arial" w:eastAsia="宋体" w:cs="Arial"/>
          <w:kern w:val="0"/>
          <w:sz w:val="24"/>
          <w:szCs w:val="24"/>
        </w:rPr>
      </w:pPr>
      <w:r>
        <w:rPr>
          <w:rFonts w:ascii="Arial" w:hAnsi="Arial" w:eastAsia="宋体" w:cs="Arial"/>
          <w:kern w:val="0"/>
          <w:sz w:val="24"/>
          <w:szCs w:val="24"/>
        </w:rPr>
        <w:t>CDRH上市前提交封面</w:t>
      </w:r>
    </w:p>
    <w:p w14:paraId="01646A35">
      <w:pPr>
        <w:widowControl/>
        <w:numPr>
          <w:ilvl w:val="0"/>
          <w:numId w:val="9"/>
        </w:numPr>
        <w:tabs>
          <w:tab w:val="clear" w:pos="720"/>
        </w:tabs>
        <w:snapToGrid w:val="0"/>
        <w:spacing w:before="100" w:beforeAutospacing="1" w:after="100" w:afterAutospacing="1" w:line="300" w:lineRule="auto"/>
        <w:ind w:left="1050" w:leftChars="267" w:hanging="489" w:hangingChars="204"/>
        <w:rPr>
          <w:rFonts w:ascii="Arial" w:hAnsi="Arial" w:eastAsia="宋体" w:cs="Arial"/>
          <w:kern w:val="0"/>
          <w:sz w:val="24"/>
          <w:szCs w:val="24"/>
        </w:rPr>
      </w:pPr>
      <w:r>
        <w:rPr>
          <w:rFonts w:ascii="Arial" w:hAnsi="Arial" w:eastAsia="宋体" w:cs="Arial"/>
          <w:kern w:val="0"/>
          <w:sz w:val="24"/>
          <w:szCs w:val="24"/>
        </w:rPr>
        <w:t>符合21 CFR 807.87（j）要求且真实准确的详细声明。不允许添加以及删除。</w:t>
      </w:r>
    </w:p>
    <w:p w14:paraId="102D5250">
      <w:pPr>
        <w:widowControl/>
        <w:numPr>
          <w:ilvl w:val="0"/>
          <w:numId w:val="9"/>
        </w:numPr>
        <w:tabs>
          <w:tab w:val="clear" w:pos="720"/>
        </w:tabs>
        <w:snapToGrid w:val="0"/>
        <w:spacing w:before="100" w:beforeAutospacing="1" w:after="100" w:afterAutospacing="1" w:line="300" w:lineRule="auto"/>
        <w:ind w:left="1050" w:leftChars="267" w:hanging="489" w:hangingChars="204"/>
        <w:rPr>
          <w:rFonts w:ascii="Arial" w:hAnsi="Arial" w:eastAsia="宋体" w:cs="Arial"/>
          <w:kern w:val="0"/>
          <w:sz w:val="24"/>
          <w:szCs w:val="24"/>
        </w:rPr>
      </w:pPr>
      <w:r>
        <w:rPr>
          <w:rFonts w:ascii="Arial" w:hAnsi="Arial" w:eastAsia="宋体" w:cs="Arial"/>
          <w:kern w:val="0"/>
          <w:sz w:val="24"/>
          <w:szCs w:val="24"/>
        </w:rPr>
        <w:t>510（k）21 CFR 807.92或21 CFR 807.93要求的总结或声明。</w:t>
      </w:r>
    </w:p>
    <w:p w14:paraId="08870681">
      <w:pPr>
        <w:widowControl/>
        <w:numPr>
          <w:ilvl w:val="0"/>
          <w:numId w:val="9"/>
        </w:numPr>
        <w:tabs>
          <w:tab w:val="clear" w:pos="720"/>
        </w:tabs>
        <w:snapToGrid w:val="0"/>
        <w:spacing w:before="100" w:beforeAutospacing="1" w:after="100" w:afterAutospacing="1" w:line="300" w:lineRule="auto"/>
        <w:ind w:left="1050" w:leftChars="267" w:hanging="489" w:hangingChars="204"/>
        <w:rPr>
          <w:rFonts w:ascii="Arial" w:hAnsi="Arial" w:eastAsia="宋体" w:cs="Arial"/>
          <w:kern w:val="0"/>
          <w:sz w:val="24"/>
          <w:szCs w:val="24"/>
        </w:rPr>
      </w:pPr>
      <w:r>
        <w:rPr>
          <w:rFonts w:ascii="Arial" w:hAnsi="Arial" w:eastAsia="宋体" w:cs="Arial"/>
          <w:kern w:val="0"/>
          <w:sz w:val="24"/>
          <w:szCs w:val="24"/>
        </w:rPr>
        <w:t>在单独页面上提供的适应症。</w:t>
      </w:r>
    </w:p>
    <w:p w14:paraId="2E2A30E6">
      <w:pPr>
        <w:widowControl/>
        <w:numPr>
          <w:ilvl w:val="0"/>
          <w:numId w:val="9"/>
        </w:numPr>
        <w:tabs>
          <w:tab w:val="clear" w:pos="720"/>
        </w:tabs>
        <w:snapToGrid w:val="0"/>
        <w:spacing w:before="100" w:beforeAutospacing="1" w:after="100" w:afterAutospacing="1" w:line="300" w:lineRule="auto"/>
        <w:ind w:left="1050" w:leftChars="267" w:hanging="489" w:hangingChars="204"/>
        <w:rPr>
          <w:rFonts w:ascii="Arial" w:hAnsi="Arial" w:eastAsia="宋体" w:cs="Arial"/>
          <w:kern w:val="0"/>
          <w:sz w:val="24"/>
          <w:szCs w:val="24"/>
        </w:rPr>
      </w:pPr>
      <w:r>
        <w:rPr>
          <w:rFonts w:ascii="Arial" w:hAnsi="Arial" w:eastAsia="宋体" w:cs="Arial"/>
          <w:kern w:val="0"/>
          <w:sz w:val="24"/>
          <w:szCs w:val="24"/>
        </w:rPr>
        <w:t>符合21 CFR 809.10（b）针对便携式血糖监测仪的要求的体外诊断产品标签。</w:t>
      </w:r>
    </w:p>
    <w:p w14:paraId="122276FB">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b/>
          <w:kern w:val="0"/>
          <w:sz w:val="24"/>
          <w:szCs w:val="24"/>
        </w:rPr>
      </w:pPr>
      <w:r>
        <w:rPr>
          <w:rFonts w:ascii="Arial" w:hAnsi="Arial" w:eastAsia="宋体" w:cs="Arial"/>
          <w:b/>
          <w:kern w:val="0"/>
          <w:sz w:val="24"/>
          <w:szCs w:val="24"/>
        </w:rPr>
        <w:t>预期用途</w:t>
      </w:r>
    </w:p>
    <w:p w14:paraId="52E3E49C">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器械标识</w:t>
      </w:r>
    </w:p>
    <w:p w14:paraId="53F68D57">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用户标识</w:t>
      </w:r>
    </w:p>
    <w:p w14:paraId="341F7BFF">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矩阵</w:t>
      </w:r>
    </w:p>
    <w:p w14:paraId="7451A9EA">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家用</w:t>
      </w:r>
    </w:p>
    <w:p w14:paraId="408C257A">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护理点使用（POC）</w:t>
      </w:r>
    </w:p>
    <w:p w14:paraId="3B5EABA2">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医师办公室实验室使用（POL）</w:t>
      </w:r>
    </w:p>
    <w:p w14:paraId="744EF4E7">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定量</w:t>
      </w:r>
    </w:p>
    <w:p w14:paraId="48A0749E">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半定量/定性（目视解释、色块或颜色图表）</w:t>
      </w:r>
    </w:p>
    <w:p w14:paraId="77083A5A">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kern w:val="0"/>
          <w:sz w:val="24"/>
          <w:szCs w:val="24"/>
        </w:rPr>
      </w:pPr>
      <w:r>
        <w:rPr>
          <w:rFonts w:ascii="Arial" w:hAnsi="Arial" w:eastAsia="宋体" w:cs="Arial"/>
          <w:b/>
          <w:bCs/>
          <w:kern w:val="0"/>
          <w:sz w:val="24"/>
          <w:szCs w:val="24"/>
        </w:rPr>
        <w:t>存储/维护 </w:t>
      </w:r>
    </w:p>
    <w:p w14:paraId="721B9203">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血糖系统（试纸、计量表、控件）带表（电池安装、清洁建议）</w:t>
      </w:r>
    </w:p>
    <w:p w14:paraId="23B0E8F8">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kern w:val="0"/>
          <w:sz w:val="24"/>
          <w:szCs w:val="24"/>
        </w:rPr>
      </w:pPr>
      <w:r>
        <w:rPr>
          <w:rFonts w:ascii="Arial" w:hAnsi="Arial" w:eastAsia="宋体" w:cs="Arial"/>
          <w:b/>
          <w:bCs/>
          <w:kern w:val="0"/>
          <w:sz w:val="24"/>
          <w:szCs w:val="24"/>
        </w:rPr>
        <w:t>样本采集/制备</w:t>
      </w:r>
    </w:p>
    <w:p w14:paraId="0C183E70">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毛细血管全血（手指针刺）</w:t>
      </w:r>
    </w:p>
    <w:p w14:paraId="77B8E4C1">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静脉全血</w:t>
      </w:r>
    </w:p>
    <w:p w14:paraId="491F1B80">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动脉全血</w:t>
      </w:r>
    </w:p>
    <w:p w14:paraId="4D19D2F4">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b/>
          <w:kern w:val="0"/>
          <w:sz w:val="24"/>
          <w:szCs w:val="24"/>
        </w:rPr>
      </w:pPr>
      <w:r>
        <w:rPr>
          <w:rFonts w:ascii="Arial" w:hAnsi="Arial" w:eastAsia="宋体" w:cs="Arial"/>
          <w:b/>
          <w:kern w:val="0"/>
          <w:sz w:val="24"/>
          <w:szCs w:val="24"/>
        </w:rPr>
        <w:t>试验程序</w:t>
      </w:r>
    </w:p>
    <w:p w14:paraId="0E7239DF">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步进式程序，最好带插图</w:t>
      </w:r>
    </w:p>
    <w:p w14:paraId="1BA84E79">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kern w:val="0"/>
          <w:sz w:val="24"/>
          <w:szCs w:val="24"/>
        </w:rPr>
      </w:pPr>
      <w:r>
        <w:rPr>
          <w:rFonts w:ascii="Arial" w:hAnsi="Arial" w:eastAsia="宋体" w:cs="Arial"/>
          <w:b/>
          <w:bCs/>
          <w:kern w:val="0"/>
          <w:sz w:val="24"/>
          <w:szCs w:val="24"/>
        </w:rPr>
        <w:t>适用于此仪表的限制/警告和注意事项</w:t>
      </w:r>
    </w:p>
    <w:p w14:paraId="45798439">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kern w:val="0"/>
          <w:sz w:val="24"/>
          <w:szCs w:val="24"/>
        </w:rPr>
      </w:pPr>
      <w:r>
        <w:rPr>
          <w:rFonts w:ascii="Arial" w:hAnsi="Arial" w:eastAsia="宋体" w:cs="Arial"/>
          <w:b/>
          <w:kern w:val="0"/>
          <w:sz w:val="24"/>
          <w:szCs w:val="24"/>
        </w:rPr>
        <w:t>性能特性</w:t>
      </w:r>
    </w:p>
    <w:p w14:paraId="5B8544FA">
      <w:pPr>
        <w:widowControl/>
        <w:snapToGrid w:val="0"/>
        <w:spacing w:line="300" w:lineRule="auto"/>
        <w:ind w:left="1651" w:leftChars="786" w:firstLine="12" w:firstLineChars="5"/>
        <w:rPr>
          <w:rFonts w:ascii="Arial" w:hAnsi="Arial" w:eastAsia="宋体" w:cs="Arial"/>
          <w:kern w:val="0"/>
          <w:sz w:val="24"/>
          <w:szCs w:val="24"/>
        </w:rPr>
      </w:pPr>
      <w:r>
        <w:rPr>
          <w:rFonts w:ascii="Arial" w:hAnsi="Arial" w:eastAsia="宋体" w:cs="Arial"/>
          <w:kern w:val="0"/>
          <w:sz w:val="24"/>
          <w:szCs w:val="24"/>
        </w:rPr>
        <w:t>使用适当的样本（样本须覆盖测定范围）并使用良好表征的实验室方法进行站点特异相关性研究。</w:t>
      </w:r>
    </w:p>
    <w:p w14:paraId="1DF89BD3">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提供适当模型</w:t>
      </w:r>
    </w:p>
    <w:p w14:paraId="3177DD20">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在医学决策层次下进行矩阵精确度研究。</w:t>
      </w:r>
    </w:p>
    <w:p w14:paraId="4D903A44">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偏差计算。</w:t>
      </w:r>
    </w:p>
    <w:p w14:paraId="621BF484">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线性研究</w:t>
      </w:r>
    </w:p>
    <w:p w14:paraId="04CD5971">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b/>
          <w:bCs/>
          <w:kern w:val="0"/>
          <w:sz w:val="24"/>
          <w:szCs w:val="24"/>
        </w:rPr>
      </w:pPr>
      <w:r>
        <w:rPr>
          <w:rFonts w:ascii="Arial" w:hAnsi="Arial" w:eastAsia="宋体" w:cs="Arial"/>
          <w:b/>
          <w:bCs/>
          <w:kern w:val="0"/>
          <w:sz w:val="24"/>
          <w:szCs w:val="24"/>
        </w:rPr>
        <w:t xml:space="preserve">干扰 </w:t>
      </w:r>
    </w:p>
    <w:p w14:paraId="4DD29431">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b/>
          <w:bCs/>
          <w:kern w:val="0"/>
          <w:sz w:val="24"/>
          <w:szCs w:val="24"/>
        </w:rPr>
      </w:pPr>
      <w:r>
        <w:rPr>
          <w:rFonts w:ascii="Arial" w:hAnsi="Arial" w:eastAsia="宋体" w:cs="Arial"/>
          <w:b/>
          <w:bCs/>
          <w:kern w:val="0"/>
          <w:sz w:val="24"/>
          <w:szCs w:val="24"/>
        </w:rPr>
        <w:t>质量控制/校准</w:t>
      </w:r>
    </w:p>
    <w:p w14:paraId="252FDEE4">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易于遵循包装说明书和/或用户手册中的步骤</w:t>
      </w:r>
    </w:p>
    <w:p w14:paraId="6B143CD7">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kern w:val="0"/>
          <w:sz w:val="24"/>
          <w:szCs w:val="24"/>
        </w:rPr>
      </w:pPr>
      <w:r>
        <w:rPr>
          <w:rFonts w:ascii="Arial" w:hAnsi="Arial" w:eastAsia="宋体" w:cs="Arial"/>
          <w:b/>
          <w:kern w:val="0"/>
          <w:sz w:val="24"/>
          <w:szCs w:val="24"/>
        </w:rPr>
        <w:t>预期</w:t>
      </w:r>
      <w:r>
        <w:rPr>
          <w:rFonts w:ascii="Arial" w:hAnsi="Arial" w:eastAsia="宋体" w:cs="Arial"/>
          <w:b/>
          <w:bCs/>
          <w:kern w:val="0"/>
          <w:sz w:val="24"/>
          <w:szCs w:val="24"/>
        </w:rPr>
        <w:t xml:space="preserve">值 </w:t>
      </w:r>
    </w:p>
    <w:p w14:paraId="1F50BCA1">
      <w:pPr>
        <w:pStyle w:val="22"/>
        <w:widowControl/>
        <w:numPr>
          <w:ilvl w:val="0"/>
          <w:numId w:val="10"/>
        </w:numPr>
        <w:snapToGrid w:val="0"/>
        <w:spacing w:line="300" w:lineRule="auto"/>
        <w:ind w:left="1274" w:hanging="462" w:firstLineChars="0"/>
        <w:rPr>
          <w:rFonts w:ascii="Arial" w:hAnsi="Arial" w:eastAsia="宋体" w:cs="Arial"/>
          <w:kern w:val="0"/>
          <w:sz w:val="24"/>
          <w:szCs w:val="24"/>
        </w:rPr>
      </w:pPr>
      <w:r>
        <w:rPr>
          <w:rFonts w:ascii="Arial" w:hAnsi="Arial" w:eastAsia="宋体" w:cs="Arial"/>
          <w:b/>
          <w:bCs/>
          <w:kern w:val="0"/>
          <w:sz w:val="24"/>
          <w:szCs w:val="24"/>
        </w:rPr>
        <w:t>建议用于便携式血糖仪的</w:t>
      </w:r>
      <w:r>
        <w:rPr>
          <w:rFonts w:ascii="Arial" w:hAnsi="Arial" w:eastAsia="宋体" w:cs="Arial"/>
          <w:kern w:val="0"/>
          <w:sz w:val="24"/>
          <w:szCs w:val="24"/>
        </w:rPr>
        <w:t>标签</w:t>
      </w:r>
      <w:r>
        <w:rPr>
          <w:rFonts w:ascii="Arial" w:hAnsi="Arial" w:eastAsia="宋体" w:cs="Arial"/>
          <w:b/>
          <w:bCs/>
          <w:kern w:val="0"/>
          <w:sz w:val="24"/>
          <w:szCs w:val="24"/>
        </w:rPr>
        <w:t>，但并非21 CFR 809.10（b）的要求</w:t>
      </w:r>
    </w:p>
    <w:p w14:paraId="41CB7152">
      <w:pPr>
        <w:pStyle w:val="22"/>
        <w:widowControl/>
        <w:snapToGrid w:val="0"/>
        <w:spacing w:line="300" w:lineRule="auto"/>
        <w:ind w:left="1274" w:firstLine="0" w:firstLineChars="0"/>
        <w:rPr>
          <w:rFonts w:ascii="Arial" w:hAnsi="Arial" w:eastAsia="宋体" w:cs="Arial"/>
          <w:kern w:val="0"/>
          <w:sz w:val="24"/>
          <w:szCs w:val="24"/>
        </w:rPr>
      </w:pPr>
    </w:p>
    <w:p w14:paraId="0CE02231">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类型大小 - 12或14点</w:t>
      </w:r>
    </w:p>
    <w:p w14:paraId="2E48C638">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指定充分照明</w:t>
      </w:r>
    </w:p>
    <w:p w14:paraId="418CDA4E">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术语 - 使用清晰简明的术语</w:t>
      </w:r>
    </w:p>
    <w:p w14:paraId="7585A953">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kern w:val="0"/>
          <w:sz w:val="24"/>
          <w:szCs w:val="24"/>
        </w:rPr>
      </w:pPr>
      <w:r>
        <w:rPr>
          <w:rFonts w:ascii="Arial" w:hAnsi="Arial" w:eastAsia="宋体" w:cs="Arial"/>
          <w:b/>
          <w:bCs/>
          <w:kern w:val="0"/>
          <w:sz w:val="24"/>
          <w:szCs w:val="24"/>
        </w:rPr>
        <w:t>培训（</w:t>
      </w:r>
      <w:r>
        <w:rPr>
          <w:rFonts w:ascii="Arial" w:hAnsi="Arial" w:eastAsia="宋体" w:cs="Arial"/>
          <w:b/>
          <w:kern w:val="0"/>
          <w:sz w:val="24"/>
          <w:szCs w:val="24"/>
        </w:rPr>
        <w:t>可选</w:t>
      </w:r>
      <w:r>
        <w:rPr>
          <w:rFonts w:ascii="Arial" w:hAnsi="Arial" w:eastAsia="宋体" w:cs="Arial"/>
          <w:b/>
          <w:bCs/>
          <w:kern w:val="0"/>
          <w:sz w:val="24"/>
          <w:szCs w:val="24"/>
        </w:rPr>
        <w:t>）</w:t>
      </w:r>
    </w:p>
    <w:p w14:paraId="1CA60E28">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视频磁带</w:t>
      </w:r>
    </w:p>
    <w:p w14:paraId="1DF6B708">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音频磁带</w:t>
      </w:r>
    </w:p>
    <w:p w14:paraId="619F1C7A">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其他</w:t>
      </w:r>
    </w:p>
    <w:p w14:paraId="46275352">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b/>
          <w:kern w:val="0"/>
          <w:sz w:val="24"/>
          <w:szCs w:val="24"/>
        </w:rPr>
      </w:pPr>
      <w:r>
        <w:rPr>
          <w:rFonts w:ascii="Arial" w:hAnsi="Arial" w:eastAsia="宋体" w:cs="Arial"/>
          <w:b/>
          <w:bCs/>
          <w:kern w:val="0"/>
          <w:sz w:val="24"/>
          <w:szCs w:val="24"/>
        </w:rPr>
        <w:t>用于为消费</w:t>
      </w:r>
      <w:r>
        <w:rPr>
          <w:rFonts w:ascii="Arial" w:hAnsi="Arial" w:eastAsia="宋体" w:cs="Arial"/>
          <w:b/>
          <w:kern w:val="0"/>
          <w:sz w:val="24"/>
          <w:szCs w:val="24"/>
        </w:rPr>
        <w:t xml:space="preserve">者提供支持的免费电话号码 </w:t>
      </w:r>
    </w:p>
    <w:p w14:paraId="1A5B1277">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kern w:val="0"/>
          <w:sz w:val="24"/>
          <w:szCs w:val="24"/>
        </w:rPr>
      </w:pPr>
      <w:r>
        <w:rPr>
          <w:rFonts w:ascii="Arial" w:hAnsi="Arial" w:eastAsia="宋体" w:cs="Arial"/>
          <w:b/>
          <w:kern w:val="0"/>
          <w:sz w:val="24"/>
          <w:szCs w:val="24"/>
        </w:rPr>
        <w:t>消费者研究现场</w:t>
      </w:r>
      <w:r>
        <w:rPr>
          <w:rFonts w:ascii="Arial" w:hAnsi="Arial" w:eastAsia="宋体" w:cs="Arial"/>
          <w:b/>
          <w:bCs/>
          <w:kern w:val="0"/>
          <w:sz w:val="24"/>
          <w:szCs w:val="24"/>
        </w:rPr>
        <w:t>测试（OTC）</w:t>
      </w:r>
    </w:p>
    <w:p w14:paraId="13AF6F1A">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提供至少100个用户的研究方案和结果</w:t>
      </w:r>
    </w:p>
    <w:p w14:paraId="1F68F744">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用户必须代表广泛的人口统计特征</w:t>
      </w:r>
    </w:p>
    <w:p w14:paraId="0DBD1507">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消费者试验调查</w:t>
      </w:r>
    </w:p>
    <w:p w14:paraId="7981B374">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kern w:val="0"/>
          <w:sz w:val="24"/>
          <w:szCs w:val="24"/>
        </w:rPr>
      </w:pPr>
      <w:r>
        <w:rPr>
          <w:rFonts w:ascii="Arial" w:hAnsi="Arial" w:eastAsia="宋体" w:cs="Arial"/>
          <w:b/>
          <w:bCs/>
          <w:kern w:val="0"/>
          <w:sz w:val="24"/>
          <w:szCs w:val="24"/>
        </w:rPr>
        <w:t>护理点（POC）/医生办公室实验室 </w:t>
      </w:r>
    </w:p>
    <w:p w14:paraId="171C55A5">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40位患者/现场试验人员描述研究</w:t>
      </w:r>
    </w:p>
    <w:p w14:paraId="72B63F53">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方案结果：站点的准确度和精确度</w:t>
      </w:r>
    </w:p>
    <w:p w14:paraId="44A7E269">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b/>
          <w:kern w:val="0"/>
          <w:sz w:val="24"/>
          <w:szCs w:val="24"/>
        </w:rPr>
      </w:pPr>
      <w:r>
        <w:rPr>
          <w:rFonts w:ascii="Arial" w:hAnsi="Arial" w:eastAsia="宋体" w:cs="Arial"/>
          <w:b/>
          <w:kern w:val="0"/>
          <w:sz w:val="24"/>
          <w:szCs w:val="24"/>
        </w:rPr>
        <w:t>血细胞研究</w:t>
      </w:r>
    </w:p>
    <w:p w14:paraId="48EA94E2">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研究方案</w:t>
      </w:r>
    </w:p>
    <w:p w14:paraId="228C2B4E">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结果</w:t>
      </w:r>
    </w:p>
    <w:p w14:paraId="26B79E87">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b/>
          <w:kern w:val="0"/>
          <w:sz w:val="24"/>
          <w:szCs w:val="24"/>
        </w:rPr>
      </w:pPr>
      <w:r>
        <w:rPr>
          <w:rFonts w:ascii="Arial" w:hAnsi="Arial" w:eastAsia="宋体" w:cs="Arial"/>
          <w:b/>
          <w:kern w:val="0"/>
          <w:sz w:val="24"/>
          <w:szCs w:val="24"/>
        </w:rPr>
        <w:t>高度研究 </w:t>
      </w:r>
    </w:p>
    <w:p w14:paraId="1202A4EF">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研究方案</w:t>
      </w:r>
    </w:p>
    <w:p w14:paraId="04C389F8">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结果</w:t>
      </w:r>
    </w:p>
    <w:p w14:paraId="1ABEE9E0">
      <w:pPr>
        <w:widowControl/>
        <w:numPr>
          <w:ilvl w:val="1"/>
          <w:numId w:val="9"/>
        </w:numPr>
        <w:tabs>
          <w:tab w:val="clear" w:pos="1440"/>
        </w:tabs>
        <w:snapToGrid w:val="0"/>
        <w:spacing w:before="100" w:beforeAutospacing="1" w:after="100" w:afterAutospacing="1" w:line="300" w:lineRule="auto"/>
        <w:ind w:left="0" w:firstLine="1152" w:firstLineChars="478"/>
        <w:rPr>
          <w:rFonts w:ascii="Arial" w:hAnsi="Arial" w:eastAsia="宋体" w:cs="Arial"/>
          <w:b/>
          <w:kern w:val="0"/>
          <w:sz w:val="24"/>
          <w:szCs w:val="24"/>
        </w:rPr>
      </w:pPr>
      <w:r>
        <w:rPr>
          <w:rFonts w:ascii="Arial" w:hAnsi="Arial" w:eastAsia="宋体" w:cs="Arial"/>
          <w:b/>
          <w:kern w:val="0"/>
          <w:sz w:val="24"/>
          <w:szCs w:val="24"/>
        </w:rPr>
        <w:t>人为因素研究</w:t>
      </w:r>
    </w:p>
    <w:p w14:paraId="58F089EF">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易于使用的方案</w:t>
      </w:r>
    </w:p>
    <w:p w14:paraId="3EDC1DB1">
      <w:pPr>
        <w:widowControl/>
        <w:snapToGrid w:val="0"/>
        <w:spacing w:line="300" w:lineRule="auto"/>
        <w:ind w:firstLine="1665" w:firstLineChars="694"/>
        <w:rPr>
          <w:rFonts w:ascii="Arial" w:hAnsi="Arial" w:eastAsia="宋体" w:cs="Arial"/>
          <w:kern w:val="0"/>
          <w:sz w:val="24"/>
          <w:szCs w:val="24"/>
        </w:rPr>
      </w:pPr>
      <w:r>
        <w:rPr>
          <w:rFonts w:ascii="Arial" w:hAnsi="Arial" w:eastAsia="宋体" w:cs="Arial"/>
          <w:kern w:val="0"/>
          <w:sz w:val="24"/>
          <w:szCs w:val="24"/>
        </w:rPr>
        <w:t>结果</w:t>
      </w:r>
    </w:p>
    <w:p w14:paraId="11C7026A">
      <w:pPr>
        <w:widowControl/>
        <w:snapToGrid w:val="0"/>
        <w:spacing w:line="300" w:lineRule="auto"/>
        <w:ind w:firstLine="1665" w:firstLineChars="694"/>
        <w:rPr>
          <w:rFonts w:ascii="Arial" w:hAnsi="Arial" w:eastAsia="宋体" w:cs="Arial"/>
          <w:kern w:val="0"/>
          <w:sz w:val="24"/>
          <w:szCs w:val="24"/>
        </w:rPr>
      </w:pPr>
    </w:p>
    <w:p w14:paraId="6EB722B9">
      <w:pPr>
        <w:pStyle w:val="22"/>
        <w:widowControl/>
        <w:numPr>
          <w:ilvl w:val="0"/>
          <w:numId w:val="10"/>
        </w:numPr>
        <w:snapToGrid w:val="0"/>
        <w:spacing w:line="300" w:lineRule="auto"/>
        <w:ind w:left="1274" w:hanging="462" w:firstLineChars="0"/>
        <w:rPr>
          <w:rFonts w:ascii="Arial" w:hAnsi="Arial" w:eastAsia="宋体" w:cs="Arial"/>
          <w:kern w:val="0"/>
          <w:sz w:val="24"/>
          <w:szCs w:val="24"/>
        </w:rPr>
      </w:pPr>
      <w:r>
        <w:rPr>
          <w:rFonts w:ascii="Arial" w:hAnsi="Arial" w:eastAsia="宋体" w:cs="Arial"/>
          <w:b/>
          <w:bCs/>
          <w:kern w:val="0"/>
          <w:sz w:val="24"/>
          <w:szCs w:val="24"/>
        </w:rPr>
        <w:t>软件确认/验证</w:t>
      </w:r>
      <w:r>
        <w:rPr>
          <w:rFonts w:ascii="Arial" w:hAnsi="Arial" w:eastAsia="宋体" w:cs="Arial"/>
          <w:kern w:val="0"/>
          <w:sz w:val="24"/>
          <w:szCs w:val="24"/>
        </w:rPr>
        <w:t xml:space="preserve"> </w:t>
      </w:r>
    </w:p>
    <w:p w14:paraId="655510F6">
      <w:pPr>
        <w:snapToGrid w:val="0"/>
        <w:spacing w:line="300" w:lineRule="auto"/>
        <w:rPr>
          <w:rFonts w:ascii="Arial" w:hAnsi="Arial" w:eastAsia="宋体" w:cs="Arial"/>
        </w:rPr>
      </w:pPr>
    </w:p>
    <w:p w14:paraId="6852C24E">
      <w:pPr>
        <w:widowControl/>
        <w:snapToGrid w:val="0"/>
        <w:spacing w:before="100" w:beforeAutospacing="1" w:after="100" w:afterAutospacing="1" w:line="300" w:lineRule="auto"/>
        <w:outlineLvl w:val="0"/>
        <w:rPr>
          <w:rFonts w:hint="eastAsia" w:eastAsia="宋体"/>
          <w:lang w:eastAsia="zh-CN"/>
        </w:rPr>
      </w:pPr>
    </w:p>
    <w:p w14:paraId="1F816505">
      <w:pPr>
        <w:widowControl/>
        <w:snapToGrid w:val="0"/>
        <w:spacing w:before="100" w:beforeAutospacing="1" w:after="100" w:afterAutospacing="1" w:line="300" w:lineRule="auto"/>
        <w:jc w:val="center"/>
        <w:outlineLvl w:val="0"/>
        <w:rPr>
          <w:rFonts w:hint="eastAsia" w:eastAsia="宋体"/>
          <w:lang w:eastAsia="zh-CN"/>
        </w:rPr>
      </w:pPr>
    </w:p>
    <w:p w14:paraId="570C7BAF">
      <w:pPr>
        <w:widowControl/>
        <w:snapToGrid w:val="0"/>
        <w:spacing w:before="100" w:beforeAutospacing="1" w:after="100" w:afterAutospacing="1" w:line="300" w:lineRule="auto"/>
        <w:jc w:val="center"/>
        <w:outlineLvl w:val="0"/>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4"/>
                    <a:stretch>
                      <a:fillRect/>
                    </a:stretch>
                  </pic:blipFill>
                  <pic:spPr>
                    <a:xfrm>
                      <a:off x="0" y="0"/>
                      <a:ext cx="5210175" cy="734377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Wingdings 2">
    <w:panose1 w:val="05020102010507070707"/>
    <w:charset w:val="02"/>
    <w:family w:val="roman"/>
    <w:pitch w:val="default"/>
    <w:sig w:usb0="00000000" w:usb1="0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A446B5"/>
    <w:multiLevelType w:val="multilevel"/>
    <w:tmpl w:val="00A446B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E517C99"/>
    <w:multiLevelType w:val="multilevel"/>
    <w:tmpl w:val="0E517C99"/>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26AA72AC"/>
    <w:multiLevelType w:val="multilevel"/>
    <w:tmpl w:val="26AA72AC"/>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3">
    <w:nsid w:val="29252DDD"/>
    <w:multiLevelType w:val="multilevel"/>
    <w:tmpl w:val="29252DDD"/>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ACC0D8B"/>
    <w:multiLevelType w:val="multilevel"/>
    <w:tmpl w:val="2ACC0D8B"/>
    <w:lvl w:ilvl="0" w:tentative="0">
      <w:start w:val="1"/>
      <w:numFmt w:val="decimal"/>
      <w:lvlText w:val="%1."/>
      <w:lvlJc w:val="left"/>
      <w:pPr>
        <w:tabs>
          <w:tab w:val="left" w:pos="720"/>
        </w:tabs>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5">
    <w:nsid w:val="3CC17104"/>
    <w:multiLevelType w:val="multilevel"/>
    <w:tmpl w:val="3CC17104"/>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289096F"/>
    <w:multiLevelType w:val="multilevel"/>
    <w:tmpl w:val="5289096F"/>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7">
    <w:nsid w:val="5AC570A7"/>
    <w:multiLevelType w:val="multilevel"/>
    <w:tmpl w:val="5AC570A7"/>
    <w:lvl w:ilvl="0" w:tentative="0">
      <w:start w:val="1"/>
      <w:numFmt w:val="bullet"/>
      <w:lvlText w:val=""/>
      <w:lvlJc w:val="left"/>
      <w:pPr>
        <w:ind w:left="2092" w:hanging="420"/>
      </w:pPr>
      <w:rPr>
        <w:rFonts w:hint="default" w:ascii="Wingdings 2" w:hAnsi="Wingdings 2"/>
      </w:rPr>
    </w:lvl>
    <w:lvl w:ilvl="1" w:tentative="0">
      <w:start w:val="1"/>
      <w:numFmt w:val="bullet"/>
      <w:lvlText w:val=""/>
      <w:lvlJc w:val="left"/>
      <w:pPr>
        <w:ind w:left="2512" w:hanging="420"/>
      </w:pPr>
      <w:rPr>
        <w:rFonts w:hint="default" w:ascii="Wingdings" w:hAnsi="Wingdings"/>
      </w:rPr>
    </w:lvl>
    <w:lvl w:ilvl="2" w:tentative="0">
      <w:start w:val="1"/>
      <w:numFmt w:val="bullet"/>
      <w:lvlText w:val=""/>
      <w:lvlJc w:val="left"/>
      <w:pPr>
        <w:ind w:left="2932" w:hanging="420"/>
      </w:pPr>
      <w:rPr>
        <w:rFonts w:hint="default" w:ascii="Wingdings" w:hAnsi="Wingdings"/>
      </w:rPr>
    </w:lvl>
    <w:lvl w:ilvl="3" w:tentative="0">
      <w:start w:val="1"/>
      <w:numFmt w:val="bullet"/>
      <w:lvlText w:val=""/>
      <w:lvlJc w:val="left"/>
      <w:pPr>
        <w:ind w:left="3352" w:hanging="420"/>
      </w:pPr>
      <w:rPr>
        <w:rFonts w:hint="default" w:ascii="Wingdings" w:hAnsi="Wingdings"/>
      </w:rPr>
    </w:lvl>
    <w:lvl w:ilvl="4" w:tentative="0">
      <w:start w:val="1"/>
      <w:numFmt w:val="bullet"/>
      <w:lvlText w:val=""/>
      <w:lvlJc w:val="left"/>
      <w:pPr>
        <w:ind w:left="3772" w:hanging="420"/>
      </w:pPr>
      <w:rPr>
        <w:rFonts w:hint="default" w:ascii="Wingdings" w:hAnsi="Wingdings"/>
      </w:rPr>
    </w:lvl>
    <w:lvl w:ilvl="5" w:tentative="0">
      <w:start w:val="1"/>
      <w:numFmt w:val="bullet"/>
      <w:lvlText w:val=""/>
      <w:lvlJc w:val="left"/>
      <w:pPr>
        <w:ind w:left="4192" w:hanging="420"/>
      </w:pPr>
      <w:rPr>
        <w:rFonts w:hint="default" w:ascii="Wingdings" w:hAnsi="Wingdings"/>
      </w:rPr>
    </w:lvl>
    <w:lvl w:ilvl="6" w:tentative="0">
      <w:start w:val="1"/>
      <w:numFmt w:val="bullet"/>
      <w:lvlText w:val=""/>
      <w:lvlJc w:val="left"/>
      <w:pPr>
        <w:ind w:left="4612" w:hanging="420"/>
      </w:pPr>
      <w:rPr>
        <w:rFonts w:hint="default" w:ascii="Wingdings" w:hAnsi="Wingdings"/>
      </w:rPr>
    </w:lvl>
    <w:lvl w:ilvl="7" w:tentative="0">
      <w:start w:val="1"/>
      <w:numFmt w:val="bullet"/>
      <w:lvlText w:val=""/>
      <w:lvlJc w:val="left"/>
      <w:pPr>
        <w:ind w:left="5032" w:hanging="420"/>
      </w:pPr>
      <w:rPr>
        <w:rFonts w:hint="default" w:ascii="Wingdings" w:hAnsi="Wingdings"/>
      </w:rPr>
    </w:lvl>
    <w:lvl w:ilvl="8" w:tentative="0">
      <w:start w:val="1"/>
      <w:numFmt w:val="bullet"/>
      <w:lvlText w:val=""/>
      <w:lvlJc w:val="left"/>
      <w:pPr>
        <w:ind w:left="5452" w:hanging="420"/>
      </w:pPr>
      <w:rPr>
        <w:rFonts w:hint="default" w:ascii="Wingdings" w:hAnsi="Wingdings"/>
      </w:rPr>
    </w:lvl>
  </w:abstractNum>
  <w:abstractNum w:abstractNumId="8">
    <w:nsid w:val="7B303EAA"/>
    <w:multiLevelType w:val="multilevel"/>
    <w:tmpl w:val="7B303EAA"/>
    <w:lvl w:ilvl="0" w:tentative="0">
      <w:start w:val="1"/>
      <w:numFmt w:val="decimal"/>
      <w:lvlText w:val="%1."/>
      <w:lvlJc w:val="left"/>
      <w:pPr>
        <w:tabs>
          <w:tab w:val="left" w:pos="720"/>
        </w:tabs>
        <w:ind w:left="720" w:hanging="360"/>
      </w:pPr>
      <w:rPr>
        <w:b w:val="0"/>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9">
    <w:nsid w:val="7D601995"/>
    <w:multiLevelType w:val="multilevel"/>
    <w:tmpl w:val="7D601995"/>
    <w:lvl w:ilvl="0" w:tentative="0">
      <w:start w:val="1"/>
      <w:numFmt w:val="decimal"/>
      <w:lvlText w:val="%1."/>
      <w:lvlJc w:val="left"/>
      <w:pPr>
        <w:tabs>
          <w:tab w:val="left" w:pos="720"/>
        </w:tabs>
        <w:ind w:left="720"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6"/>
  </w:num>
  <w:num w:numId="2">
    <w:abstractNumId w:val="1"/>
  </w:num>
  <w:num w:numId="3">
    <w:abstractNumId w:val="9"/>
  </w:num>
  <w:num w:numId="4">
    <w:abstractNumId w:val="8"/>
  </w:num>
  <w:num w:numId="5">
    <w:abstractNumId w:val="2"/>
  </w:num>
  <w:num w:numId="6">
    <w:abstractNumId w:val="0"/>
  </w:num>
  <w:num w:numId="7">
    <w:abstractNumId w:val="4"/>
  </w:num>
  <w:num w:numId="8">
    <w:abstractNumId w:val="3"/>
  </w:num>
  <w:num w:numId="9">
    <w:abstractNumId w:val="5"/>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C3B49"/>
    <w:rsid w:val="000412AB"/>
    <w:rsid w:val="000944A9"/>
    <w:rsid w:val="000A43CC"/>
    <w:rsid w:val="000B47DB"/>
    <w:rsid w:val="000D3075"/>
    <w:rsid w:val="000F4E5B"/>
    <w:rsid w:val="00125189"/>
    <w:rsid w:val="00135CB5"/>
    <w:rsid w:val="001B37B7"/>
    <w:rsid w:val="001C30F2"/>
    <w:rsid w:val="001F2946"/>
    <w:rsid w:val="0020222F"/>
    <w:rsid w:val="002337B6"/>
    <w:rsid w:val="00297A27"/>
    <w:rsid w:val="002D3D16"/>
    <w:rsid w:val="002F4A15"/>
    <w:rsid w:val="00340031"/>
    <w:rsid w:val="00354D33"/>
    <w:rsid w:val="00367180"/>
    <w:rsid w:val="003A29CA"/>
    <w:rsid w:val="003D419D"/>
    <w:rsid w:val="00437A8D"/>
    <w:rsid w:val="00463C39"/>
    <w:rsid w:val="00471A5D"/>
    <w:rsid w:val="00483BCE"/>
    <w:rsid w:val="004B3307"/>
    <w:rsid w:val="004E0CA3"/>
    <w:rsid w:val="004F5EEE"/>
    <w:rsid w:val="00551319"/>
    <w:rsid w:val="005A14BE"/>
    <w:rsid w:val="005B000B"/>
    <w:rsid w:val="00615834"/>
    <w:rsid w:val="00616B3B"/>
    <w:rsid w:val="00617DE4"/>
    <w:rsid w:val="00675E25"/>
    <w:rsid w:val="00677EA0"/>
    <w:rsid w:val="00684FF6"/>
    <w:rsid w:val="006856C1"/>
    <w:rsid w:val="006877AF"/>
    <w:rsid w:val="0069121F"/>
    <w:rsid w:val="006D051D"/>
    <w:rsid w:val="006E19B1"/>
    <w:rsid w:val="006E2B21"/>
    <w:rsid w:val="00777408"/>
    <w:rsid w:val="00780F92"/>
    <w:rsid w:val="00791DCE"/>
    <w:rsid w:val="007A5DFC"/>
    <w:rsid w:val="007F2E8D"/>
    <w:rsid w:val="008406CC"/>
    <w:rsid w:val="00863F99"/>
    <w:rsid w:val="00895C51"/>
    <w:rsid w:val="00935A45"/>
    <w:rsid w:val="009851F8"/>
    <w:rsid w:val="009B46D7"/>
    <w:rsid w:val="009B6E84"/>
    <w:rsid w:val="009D358B"/>
    <w:rsid w:val="009F5667"/>
    <w:rsid w:val="00A1690A"/>
    <w:rsid w:val="00A258B3"/>
    <w:rsid w:val="00A72BA0"/>
    <w:rsid w:val="00AA0A46"/>
    <w:rsid w:val="00AB7EE6"/>
    <w:rsid w:val="00AC3B49"/>
    <w:rsid w:val="00AD1077"/>
    <w:rsid w:val="00AE5901"/>
    <w:rsid w:val="00B22D62"/>
    <w:rsid w:val="00B6326A"/>
    <w:rsid w:val="00BA0ACA"/>
    <w:rsid w:val="00BA10C7"/>
    <w:rsid w:val="00BA5FF2"/>
    <w:rsid w:val="00BB7580"/>
    <w:rsid w:val="00C05A59"/>
    <w:rsid w:val="00C114EB"/>
    <w:rsid w:val="00C40248"/>
    <w:rsid w:val="00C61DCA"/>
    <w:rsid w:val="00C93627"/>
    <w:rsid w:val="00CF46DA"/>
    <w:rsid w:val="00D55C72"/>
    <w:rsid w:val="00D5770B"/>
    <w:rsid w:val="00D96C80"/>
    <w:rsid w:val="00DB1848"/>
    <w:rsid w:val="00DB78E6"/>
    <w:rsid w:val="00DC0957"/>
    <w:rsid w:val="00DE70D8"/>
    <w:rsid w:val="00DE79A7"/>
    <w:rsid w:val="00E24C7B"/>
    <w:rsid w:val="00E45949"/>
    <w:rsid w:val="00E64430"/>
    <w:rsid w:val="00E6779A"/>
    <w:rsid w:val="00E93FAD"/>
    <w:rsid w:val="00EA5C34"/>
    <w:rsid w:val="00EC0DA5"/>
    <w:rsid w:val="00ED29F8"/>
    <w:rsid w:val="00ED44C3"/>
    <w:rsid w:val="00F80EF8"/>
    <w:rsid w:val="00FB23E6"/>
    <w:rsid w:val="00FC4DC0"/>
    <w:rsid w:val="00FE7B12"/>
    <w:rsid w:val="1BAA5173"/>
    <w:rsid w:val="38E44104"/>
    <w:rsid w:val="456B77A4"/>
    <w:rsid w:val="56171A5D"/>
    <w:rsid w:val="5B6F5FE7"/>
    <w:rsid w:val="6AF068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9"/>
    <w:pPr>
      <w:widowControl/>
      <w:spacing w:before="100" w:beforeAutospacing="1" w:after="100" w:afterAutospacing="1"/>
      <w:jc w:val="left"/>
      <w:outlineLvl w:val="0"/>
    </w:pPr>
    <w:rPr>
      <w:rFonts w:ascii="宋体" w:hAnsi="宋体" w:eastAsia="宋体" w:cs="宋体"/>
      <w:b/>
      <w:bCs/>
      <w:kern w:val="36"/>
      <w:sz w:val="48"/>
      <w:szCs w:val="48"/>
    </w:rPr>
  </w:style>
  <w:style w:type="paragraph" w:styleId="3">
    <w:name w:val="heading 3"/>
    <w:basedOn w:val="1"/>
    <w:next w:val="1"/>
    <w:link w:val="16"/>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paragraph" w:styleId="4">
    <w:name w:val="heading 4"/>
    <w:basedOn w:val="1"/>
    <w:next w:val="1"/>
    <w:link w:val="17"/>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paragraph" w:styleId="5">
    <w:name w:val="heading 5"/>
    <w:basedOn w:val="1"/>
    <w:next w:val="1"/>
    <w:link w:val="18"/>
    <w:qFormat/>
    <w:uiPriority w:val="9"/>
    <w:pPr>
      <w:widowControl/>
      <w:spacing w:before="100" w:beforeAutospacing="1" w:after="100" w:afterAutospacing="1"/>
      <w:jc w:val="left"/>
      <w:outlineLvl w:val="4"/>
    </w:pPr>
    <w:rPr>
      <w:rFonts w:ascii="宋体" w:hAnsi="宋体" w:eastAsia="宋体" w:cs="宋体"/>
      <w:b/>
      <w:bCs/>
      <w:kern w:val="0"/>
      <w:sz w:val="20"/>
      <w:szCs w:val="20"/>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6">
    <w:name w:val="Balloon Text"/>
    <w:basedOn w:val="1"/>
    <w:link w:val="21"/>
    <w:semiHidden/>
    <w:unhideWhenUsed/>
    <w:qFormat/>
    <w:uiPriority w:val="99"/>
    <w:rPr>
      <w:sz w:val="18"/>
      <w:szCs w:val="18"/>
    </w:rPr>
  </w:style>
  <w:style w:type="paragraph" w:styleId="7">
    <w:name w:val="footer"/>
    <w:basedOn w:val="1"/>
    <w:link w:val="14"/>
    <w:unhideWhenUsed/>
    <w:qFormat/>
    <w:uiPriority w:val="99"/>
    <w:pPr>
      <w:tabs>
        <w:tab w:val="center" w:pos="4153"/>
        <w:tab w:val="right" w:pos="8306"/>
      </w:tabs>
      <w:snapToGrid w:val="0"/>
      <w:jc w:val="left"/>
    </w:pPr>
    <w:rPr>
      <w:sz w:val="18"/>
      <w:szCs w:val="18"/>
    </w:rPr>
  </w:style>
  <w:style w:type="paragraph" w:styleId="8">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12">
    <w:name w:val="Strong"/>
    <w:basedOn w:val="11"/>
    <w:qFormat/>
    <w:uiPriority w:val="22"/>
    <w:rPr>
      <w:b/>
      <w:bCs/>
    </w:rPr>
  </w:style>
  <w:style w:type="character" w:customStyle="1" w:styleId="13">
    <w:name w:val="页眉 Char"/>
    <w:basedOn w:val="11"/>
    <w:link w:val="8"/>
    <w:semiHidden/>
    <w:qFormat/>
    <w:uiPriority w:val="99"/>
    <w:rPr>
      <w:sz w:val="18"/>
      <w:szCs w:val="18"/>
    </w:rPr>
  </w:style>
  <w:style w:type="character" w:customStyle="1" w:styleId="14">
    <w:name w:val="页脚 Char"/>
    <w:basedOn w:val="11"/>
    <w:link w:val="7"/>
    <w:semiHidden/>
    <w:qFormat/>
    <w:uiPriority w:val="99"/>
    <w:rPr>
      <w:sz w:val="18"/>
      <w:szCs w:val="18"/>
    </w:rPr>
  </w:style>
  <w:style w:type="character" w:customStyle="1" w:styleId="15">
    <w:name w:val="标题 1 Char"/>
    <w:basedOn w:val="11"/>
    <w:link w:val="2"/>
    <w:qFormat/>
    <w:uiPriority w:val="9"/>
    <w:rPr>
      <w:rFonts w:ascii="宋体" w:hAnsi="宋体" w:eastAsia="宋体" w:cs="宋体"/>
      <w:b/>
      <w:bCs/>
      <w:kern w:val="36"/>
      <w:sz w:val="48"/>
      <w:szCs w:val="48"/>
    </w:rPr>
  </w:style>
  <w:style w:type="character" w:customStyle="1" w:styleId="16">
    <w:name w:val="标题 3 Char"/>
    <w:basedOn w:val="11"/>
    <w:link w:val="3"/>
    <w:qFormat/>
    <w:uiPriority w:val="9"/>
    <w:rPr>
      <w:rFonts w:ascii="宋体" w:hAnsi="宋体" w:eastAsia="宋体" w:cs="宋体"/>
      <w:b/>
      <w:bCs/>
      <w:kern w:val="0"/>
      <w:sz w:val="27"/>
      <w:szCs w:val="27"/>
    </w:rPr>
  </w:style>
  <w:style w:type="character" w:customStyle="1" w:styleId="17">
    <w:name w:val="标题 4 Char"/>
    <w:basedOn w:val="11"/>
    <w:link w:val="4"/>
    <w:qFormat/>
    <w:uiPriority w:val="9"/>
    <w:rPr>
      <w:rFonts w:ascii="宋体" w:hAnsi="宋体" w:eastAsia="宋体" w:cs="宋体"/>
      <w:b/>
      <w:bCs/>
      <w:kern w:val="0"/>
      <w:sz w:val="24"/>
      <w:szCs w:val="24"/>
    </w:rPr>
  </w:style>
  <w:style w:type="character" w:customStyle="1" w:styleId="18">
    <w:name w:val="标题 5 Char"/>
    <w:basedOn w:val="11"/>
    <w:link w:val="5"/>
    <w:qFormat/>
    <w:uiPriority w:val="9"/>
    <w:rPr>
      <w:rFonts w:ascii="宋体" w:hAnsi="宋体" w:eastAsia="宋体" w:cs="宋体"/>
      <w:b/>
      <w:bCs/>
      <w:kern w:val="0"/>
      <w:sz w:val="20"/>
      <w:szCs w:val="20"/>
    </w:rPr>
  </w:style>
  <w:style w:type="character" w:customStyle="1" w:styleId="19">
    <w:name w:val="正文文本 (3)_"/>
    <w:basedOn w:val="11"/>
    <w:link w:val="20"/>
    <w:qFormat/>
    <w:locked/>
    <w:uiPriority w:val="99"/>
    <w:rPr>
      <w:rFonts w:ascii="Times New Roman" w:hAnsi="Times New Roman" w:cs="Times New Roman"/>
      <w:b/>
      <w:bCs/>
      <w:sz w:val="27"/>
      <w:szCs w:val="27"/>
      <w:shd w:val="clear" w:color="auto" w:fill="FFFFFF"/>
    </w:rPr>
  </w:style>
  <w:style w:type="paragraph" w:customStyle="1" w:styleId="20">
    <w:name w:val="正文文本 (3)"/>
    <w:basedOn w:val="1"/>
    <w:link w:val="19"/>
    <w:uiPriority w:val="99"/>
    <w:pPr>
      <w:widowControl/>
      <w:shd w:val="clear" w:color="auto" w:fill="FFFFFF"/>
      <w:spacing w:before="120" w:after="120" w:line="240" w:lineRule="atLeast"/>
      <w:jc w:val="center"/>
    </w:pPr>
    <w:rPr>
      <w:rFonts w:ascii="Times New Roman" w:hAnsi="Times New Roman" w:cs="Times New Roman"/>
      <w:b/>
      <w:bCs/>
      <w:sz w:val="27"/>
      <w:szCs w:val="27"/>
    </w:rPr>
  </w:style>
  <w:style w:type="character" w:customStyle="1" w:styleId="21">
    <w:name w:val="批注框文本 Char"/>
    <w:basedOn w:val="11"/>
    <w:link w:val="6"/>
    <w:semiHidden/>
    <w:qFormat/>
    <w:uiPriority w:val="99"/>
    <w:rPr>
      <w:kern w:val="2"/>
      <w:sz w:val="18"/>
      <w:szCs w:val="18"/>
    </w:rPr>
  </w:style>
  <w:style w:type="paragraph" w:styleId="22">
    <w:name w:val="List Paragraph"/>
    <w:basedOn w:val="1"/>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4EA912-430B-4F5D-B0D6-7723D49AC100}">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19</Pages>
  <Words>9960</Words>
  <Characters>11119</Characters>
  <Lines>80</Lines>
  <Paragraphs>22</Paragraphs>
  <TotalTime>0</TotalTime>
  <ScaleCrop>false</ScaleCrop>
  <LinksUpToDate>false</LinksUpToDate>
  <CharactersWithSpaces>11268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2017-04-12T01:48:00Z</dcterms:created>
  <dc:creator>pc</dc:creator>
  <cp:lastModifiedBy>太极箫客</cp:lastModifiedBy>
  <dcterms:modified xsi:type="dcterms:W3CDTF">2025-08-14T06:33:16Z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eyJoZGlkIjoiMDJiMzI3ODBiNTFmMWRjNDUyMjM1ZmZjODY5NDc2MWMiLCJ1c2VySWQiOiI0NTQ4Nzg1NzAifQ==</vt:lpwstr>
  </property>
  <property fmtid="{D5CDD505-2E9C-101B-9397-08002B2CF9AE}" pid="4" name="ICV">
    <vt:lpwstr>F9B83F78791C42858FBD95D98032E66B_12</vt:lpwstr>
  </property>
</Properties>
</file>