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8D55D">
      <w:pPr>
        <w:pBdr>
          <w:bottom w:val="single" w:color="auto" w:sz="4" w:space="1"/>
        </w:pBdr>
        <w:spacing w:before="120"/>
        <w:jc w:val="center"/>
        <w:rPr>
          <w:b/>
          <w:bCs/>
          <w:sz w:val="44"/>
          <w:szCs w:val="44"/>
          <w:lang w:eastAsia="zh-CN"/>
        </w:rPr>
      </w:pPr>
      <w:bookmarkStart w:id="51" w:name="_GoBack"/>
      <w:bookmarkEnd w:id="51"/>
      <w:r>
        <w:rPr>
          <w:rFonts w:cs="宋体"/>
          <w:b/>
          <w:sz w:val="44"/>
          <w:lang w:eastAsia="zh-CN"/>
        </w:rPr>
        <w:t>使用国际标准ISO 10993-1，医疗器械生物学评价-第1部分：风险管理过程中的评价与试验</w:t>
      </w:r>
    </w:p>
    <w:p w14:paraId="426E35B7">
      <w:pPr>
        <w:spacing w:before="120"/>
        <w:jc w:val="center"/>
        <w:rPr>
          <w:b/>
          <w:bCs/>
          <w:sz w:val="44"/>
          <w:szCs w:val="44"/>
          <w:lang w:eastAsia="zh-CN"/>
        </w:rPr>
      </w:pPr>
      <w:r>
        <w:rPr>
          <w:rFonts w:cs="宋体"/>
          <w:b/>
          <w:sz w:val="44"/>
          <w:lang w:eastAsia="zh-CN"/>
        </w:rPr>
        <w:t>行业和美国食品药品监督管理局工作人员指南</w:t>
      </w:r>
    </w:p>
    <w:p w14:paraId="190F7AA9">
      <w:pPr>
        <w:spacing w:before="120"/>
        <w:jc w:val="center"/>
        <w:rPr>
          <w:b/>
          <w:bCs/>
          <w:lang w:eastAsia="zh-CN"/>
        </w:rPr>
      </w:pPr>
      <w:r>
        <w:rPr>
          <w:rFonts w:hint="eastAsia" w:cs="宋体"/>
          <w:b/>
          <w:lang w:eastAsia="zh-CN"/>
        </w:rPr>
        <w:t>文件</w:t>
      </w:r>
      <w:r>
        <w:rPr>
          <w:rFonts w:cs="宋体"/>
          <w:b/>
          <w:lang w:eastAsia="zh-CN"/>
        </w:rPr>
        <w:t>发布日期：2020年9月4日</w:t>
      </w:r>
    </w:p>
    <w:p w14:paraId="01E15C52">
      <w:pPr>
        <w:spacing w:before="120"/>
        <w:jc w:val="center"/>
        <w:rPr>
          <w:b/>
          <w:bCs/>
          <w:lang w:eastAsia="zh-CN"/>
        </w:rPr>
      </w:pPr>
      <w:r>
        <w:rPr>
          <w:rFonts w:cs="宋体"/>
          <w:b/>
          <w:lang w:eastAsia="zh-CN"/>
        </w:rPr>
        <w:t>文件草案发布日期：2013年4月23日</w:t>
      </w:r>
    </w:p>
    <w:p w14:paraId="3D9F6EBC">
      <w:pPr>
        <w:spacing w:before="120"/>
        <w:jc w:val="center"/>
        <w:rPr>
          <w:b/>
          <w:bCs/>
          <w:lang w:eastAsia="zh-CN"/>
        </w:rPr>
      </w:pPr>
      <w:r>
        <w:rPr>
          <w:rFonts w:cs="宋体"/>
          <w:b/>
          <w:lang w:eastAsia="zh-CN"/>
        </w:rPr>
        <w:t>本文件取代2016年6月16日发布的《使用国际标准ISO 10993-1，医疗器械生物学评价-第1部分：风险管理过程中的评价与试验》</w:t>
      </w:r>
    </w:p>
    <w:p w14:paraId="69620CF5">
      <w:pPr>
        <w:spacing w:before="120"/>
        <w:rPr>
          <w:lang w:eastAsia="zh-CN"/>
        </w:rPr>
      </w:pPr>
    </w:p>
    <w:p w14:paraId="2867FDF0">
      <w:pPr>
        <w:spacing w:before="120"/>
      </w:pPr>
      <w:r>
        <w:rPr>
          <w:rFonts w:cs="宋体"/>
        </w:rPr>
        <w:t>如对本文件有任何疑问，请发送电子邮件至</w:t>
      </w:r>
      <w:r>
        <w:rPr>
          <w:rFonts w:cs="宋体"/>
          <w:color w:val="0000FF"/>
          <w:u w:val="single"/>
        </w:rPr>
        <w:t>CDRH.Biocomp@fda.hhs.gov</w:t>
      </w:r>
      <w:r>
        <w:rPr>
          <w:rFonts w:cs="宋体"/>
        </w:rPr>
        <w:t>或</w:t>
      </w:r>
      <w:r>
        <w:rPr>
          <w:rFonts w:hint="eastAsia" w:cs="宋体"/>
          <w:lang w:eastAsia="zh-CN"/>
        </w:rPr>
        <w:t>致电</w:t>
      </w:r>
      <w:r>
        <w:rPr>
          <w:rFonts w:cs="宋体"/>
        </w:rPr>
        <w:t>（301）-796-5701，联系产品评价和质量办公室（OPEQ）/临床和科学政策工作人员，或者拨打1-800-835-4709、240402-8010或发送电子邮件至</w:t>
      </w:r>
      <w:r>
        <w:rPr>
          <w:rFonts w:cs="宋体"/>
          <w:color w:val="0000FF"/>
          <w:u w:val="single"/>
        </w:rPr>
        <w:t>ocod@fda.hhs.gov</w:t>
      </w:r>
      <w:r>
        <w:rPr>
          <w:rFonts w:cs="宋体"/>
        </w:rPr>
        <w:t>，联系CBER交流、外联和发展办公室（OCOD）。</w:t>
      </w:r>
    </w:p>
    <w:p w14:paraId="305E2552">
      <w:pPr>
        <w:spacing w:before="120"/>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3"/>
        <w:gridCol w:w="4643"/>
      </w:tblGrid>
      <w:tr w14:paraId="2B9F9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tcPr>
          <w:p w14:paraId="7DAA44A5">
            <w:pPr>
              <w:adjustRightInd w:val="0"/>
              <w:spacing w:before="36" w:beforeLines="15" w:line="276" w:lineRule="auto"/>
              <w:rPr>
                <w:sz w:val="21"/>
                <w:szCs w:val="21"/>
              </w:rPr>
            </w:pPr>
            <w:r>
              <w:rPr>
                <w:rFonts w:ascii="宋体" w:hAnsi="宋体" w:cs="宋体"/>
                <w:lang w:eastAsia="zh-CN" w:bidi="ar-SA"/>
              </w:rPr>
              <w:drawing>
                <wp:inline distT="0" distB="0" distL="0" distR="0">
                  <wp:extent cx="2739390" cy="624840"/>
                  <wp:effectExtent l="0" t="0" r="381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2739390" cy="624840"/>
                          </a:xfrm>
                          <a:prstGeom prst="rect">
                            <a:avLst/>
                          </a:prstGeom>
                        </pic:spPr>
                      </pic:pic>
                    </a:graphicData>
                  </a:graphic>
                </wp:inline>
              </w:drawing>
            </w:r>
          </w:p>
        </w:tc>
        <w:tc>
          <w:tcPr>
            <w:tcW w:w="2500" w:type="pct"/>
          </w:tcPr>
          <w:p w14:paraId="4F813FF6">
            <w:pPr>
              <w:adjustRightInd w:val="0"/>
              <w:spacing w:before="36" w:beforeLines="15" w:line="276" w:lineRule="auto"/>
              <w:jc w:val="right"/>
              <w:rPr>
                <w:b/>
                <w:bCs/>
                <w:sz w:val="21"/>
                <w:szCs w:val="21"/>
                <w:lang w:eastAsia="zh-CN"/>
              </w:rPr>
            </w:pPr>
            <w:r>
              <w:rPr>
                <w:rFonts w:cs="宋体"/>
                <w:b/>
                <w:sz w:val="21"/>
                <w:lang w:eastAsia="zh-CN"/>
              </w:rPr>
              <w:t>美国卫生与公共服务部</w:t>
            </w:r>
          </w:p>
          <w:p w14:paraId="09AE1421">
            <w:pPr>
              <w:adjustRightInd w:val="0"/>
              <w:spacing w:before="36" w:beforeLines="15" w:line="276" w:lineRule="auto"/>
              <w:jc w:val="right"/>
              <w:rPr>
                <w:b/>
                <w:bCs/>
                <w:sz w:val="21"/>
                <w:szCs w:val="21"/>
                <w:lang w:eastAsia="zh-CN"/>
              </w:rPr>
            </w:pPr>
            <w:r>
              <w:rPr>
                <w:rFonts w:cs="宋体"/>
                <w:b/>
                <w:sz w:val="21"/>
                <w:lang w:eastAsia="zh-CN"/>
              </w:rPr>
              <w:t>美国食品药品监督管理局</w:t>
            </w:r>
          </w:p>
          <w:p w14:paraId="3233FE77">
            <w:pPr>
              <w:adjustRightInd w:val="0"/>
              <w:spacing w:before="36" w:beforeLines="15" w:line="276" w:lineRule="auto"/>
              <w:jc w:val="right"/>
              <w:rPr>
                <w:b/>
                <w:bCs/>
                <w:sz w:val="21"/>
                <w:szCs w:val="21"/>
                <w:lang w:eastAsia="zh-CN"/>
              </w:rPr>
            </w:pPr>
            <w:r>
              <w:rPr>
                <w:rFonts w:cs="宋体"/>
                <w:b/>
                <w:sz w:val="21"/>
                <w:lang w:eastAsia="zh-CN"/>
              </w:rPr>
              <w:t>医疗器械和</w:t>
            </w:r>
            <w:r>
              <w:rPr>
                <w:rFonts w:hint="eastAsia" w:cs="宋体"/>
                <w:b/>
                <w:sz w:val="21"/>
                <w:lang w:eastAsia="zh-CN"/>
              </w:rPr>
              <w:t>辐射</w:t>
            </w:r>
            <w:r>
              <w:rPr>
                <w:rFonts w:cs="宋体"/>
                <w:b/>
                <w:sz w:val="21"/>
                <w:lang w:eastAsia="zh-CN"/>
              </w:rPr>
              <w:t>健康中心</w:t>
            </w:r>
          </w:p>
          <w:p w14:paraId="081869CD">
            <w:pPr>
              <w:adjustRightInd w:val="0"/>
              <w:spacing w:before="36" w:beforeLines="15" w:line="276" w:lineRule="auto"/>
              <w:jc w:val="right"/>
              <w:rPr>
                <w:b/>
                <w:bCs/>
                <w:sz w:val="21"/>
                <w:szCs w:val="21"/>
                <w:lang w:eastAsia="zh-CN"/>
              </w:rPr>
            </w:pPr>
            <w:r>
              <w:rPr>
                <w:rFonts w:cs="宋体"/>
                <w:b/>
                <w:sz w:val="21"/>
                <w:lang w:eastAsia="zh-CN"/>
              </w:rPr>
              <w:t>生物制品评价</w:t>
            </w:r>
            <w:r>
              <w:rPr>
                <w:rFonts w:hint="eastAsia" w:cs="宋体"/>
                <w:b/>
                <w:sz w:val="21"/>
                <w:lang w:eastAsia="zh-CN"/>
              </w:rPr>
              <w:t>与</w:t>
            </w:r>
            <w:r>
              <w:rPr>
                <w:rFonts w:cs="宋体"/>
                <w:b/>
                <w:sz w:val="21"/>
                <w:lang w:eastAsia="zh-CN"/>
              </w:rPr>
              <w:t>研究中心</w:t>
            </w:r>
          </w:p>
        </w:tc>
      </w:tr>
    </w:tbl>
    <w:p w14:paraId="6F17CD1A">
      <w:pPr>
        <w:spacing w:before="120"/>
        <w:rPr>
          <w:lang w:eastAsia="zh-CN"/>
        </w:rPr>
      </w:pPr>
      <w:r>
        <w:rPr>
          <w:rFonts w:cs="宋体"/>
          <w:lang w:eastAsia="zh-CN"/>
        </w:rPr>
        <w:br w:type="page"/>
      </w:r>
    </w:p>
    <w:p w14:paraId="7BC8C106">
      <w:pPr>
        <w:spacing w:before="120"/>
        <w:jc w:val="center"/>
        <w:rPr>
          <w:b/>
          <w:bCs/>
          <w:sz w:val="44"/>
          <w:szCs w:val="44"/>
        </w:rPr>
      </w:pPr>
      <w:r>
        <w:rPr>
          <w:rFonts w:cs="宋体"/>
          <w:b/>
          <w:sz w:val="44"/>
        </w:rPr>
        <w:t>前言</w:t>
      </w:r>
    </w:p>
    <w:p w14:paraId="5FA20195">
      <w:pPr>
        <w:spacing w:before="120"/>
        <w:rPr>
          <w:b/>
          <w:bCs/>
          <w:sz w:val="32"/>
          <w:szCs w:val="32"/>
        </w:rPr>
      </w:pPr>
      <w:r>
        <w:rPr>
          <w:rFonts w:cs="宋体"/>
          <w:b/>
          <w:sz w:val="32"/>
        </w:rPr>
        <w:t>公众意见</w:t>
      </w:r>
    </w:p>
    <w:p w14:paraId="65239B73">
      <w:pPr>
        <w:spacing w:before="120"/>
        <w:rPr>
          <w:lang w:eastAsia="zh-CN"/>
        </w:rPr>
      </w:pPr>
      <w:r>
        <w:rPr>
          <w:rFonts w:hint="eastAsia" w:cs="宋体"/>
        </w:rPr>
        <w:t>电子版意见和建议可随时提交至http://www.regulations.gov，供FDA审议。</w:t>
      </w:r>
      <w:r>
        <w:rPr>
          <w:rFonts w:hint="eastAsia" w:cs="宋体"/>
          <w:lang w:eastAsia="zh-CN"/>
        </w:rPr>
        <w:t>可将书面意见提交至：</w:t>
      </w:r>
      <w:r>
        <w:rPr>
          <w:rFonts w:cs="宋体"/>
          <w:lang w:eastAsia="zh-CN"/>
        </w:rPr>
        <w:t>美国食品药品监督管理局备案文件管理部，</w:t>
      </w:r>
      <w:r>
        <w:rPr>
          <w:rFonts w:hint="eastAsia" w:cs="宋体"/>
          <w:lang w:eastAsia="zh-CN"/>
        </w:rPr>
        <w:t>地址为5630 Fishers Lane, Room 1061, (HFA-305), Rockville, MD 20852。</w:t>
      </w:r>
      <w:r>
        <w:rPr>
          <w:rFonts w:cs="宋体"/>
          <w:lang w:eastAsia="zh-CN"/>
        </w:rPr>
        <w:t>所有意见或建议均应注明备案文件编号FDA-2013-D-0350。在下次修订或更新本文件时，FDA将考虑实施该意见。</w:t>
      </w:r>
    </w:p>
    <w:p w14:paraId="220F8151">
      <w:pPr>
        <w:spacing w:before="120"/>
        <w:rPr>
          <w:b/>
          <w:bCs/>
          <w:sz w:val="32"/>
          <w:szCs w:val="32"/>
          <w:lang w:eastAsia="zh-CN"/>
        </w:rPr>
      </w:pPr>
      <w:r>
        <w:rPr>
          <w:rFonts w:cs="宋体"/>
          <w:b/>
          <w:sz w:val="32"/>
          <w:lang w:eastAsia="zh-CN"/>
        </w:rPr>
        <w:t>更多副本</w:t>
      </w:r>
    </w:p>
    <w:p w14:paraId="47E0C18A">
      <w:pPr>
        <w:spacing w:before="120"/>
        <w:rPr>
          <w:b/>
          <w:bCs/>
          <w:sz w:val="28"/>
          <w:szCs w:val="28"/>
          <w:lang w:eastAsia="zh-CN"/>
        </w:rPr>
      </w:pPr>
      <w:r>
        <w:rPr>
          <w:rFonts w:cs="宋体"/>
          <w:b/>
          <w:sz w:val="28"/>
          <w:lang w:eastAsia="zh-CN"/>
        </w:rPr>
        <w:t>CDRH</w:t>
      </w:r>
    </w:p>
    <w:p w14:paraId="146D9F0E">
      <w:pPr>
        <w:spacing w:before="120"/>
        <w:rPr>
          <w:lang w:eastAsia="zh-CN"/>
        </w:rPr>
      </w:pPr>
      <w:r>
        <w:rPr>
          <w:rFonts w:cs="宋体"/>
          <w:lang w:eastAsia="zh-CN"/>
        </w:rPr>
        <w:t>更多副本可通过互联网获得。您也可以通过电子邮件发送请求至</w:t>
      </w:r>
      <w:r>
        <w:rPr>
          <w:rFonts w:cs="宋体"/>
          <w:color w:val="0000FF"/>
          <w:u w:val="single"/>
          <w:lang w:eastAsia="zh-CN"/>
        </w:rPr>
        <w:t>CDRH-Guidance@fda.hhs.gov</w:t>
      </w:r>
      <w:r>
        <w:rPr>
          <w:rFonts w:cs="宋体"/>
          <w:lang w:eastAsia="zh-CN"/>
        </w:rPr>
        <w:t>获取本指南的副本。请在申请中注明文件编号1811-R1和指南的完整标题。</w:t>
      </w:r>
    </w:p>
    <w:p w14:paraId="4C7BA058">
      <w:pPr>
        <w:spacing w:before="120"/>
        <w:rPr>
          <w:b/>
          <w:bCs/>
          <w:sz w:val="28"/>
          <w:szCs w:val="28"/>
        </w:rPr>
      </w:pPr>
      <w:r>
        <w:rPr>
          <w:rFonts w:cs="宋体"/>
          <w:b/>
          <w:sz w:val="28"/>
        </w:rPr>
        <w:t>CBER</w:t>
      </w:r>
    </w:p>
    <w:p w14:paraId="7CCEC0EA">
      <w:pPr>
        <w:spacing w:before="120"/>
      </w:pPr>
      <w:bookmarkStart w:id="0" w:name="_Hlk95488824"/>
      <w:r>
        <w:rPr>
          <w:rFonts w:cs="宋体"/>
        </w:rPr>
        <w:t>您可通过以下方式获取更多指南副本：</w:t>
      </w:r>
      <w:bookmarkEnd w:id="0"/>
      <w:r>
        <w:rPr>
          <w:rFonts w:cs="宋体"/>
        </w:rPr>
        <w:t>生物制品评价</w:t>
      </w:r>
      <w:r>
        <w:rPr>
          <w:rFonts w:hint="eastAsia" w:cs="宋体"/>
          <w:lang w:eastAsia="zh-CN"/>
        </w:rPr>
        <w:t>与</w:t>
      </w:r>
      <w:r>
        <w:rPr>
          <w:rFonts w:cs="宋体"/>
        </w:rPr>
        <w:t>研究中心（CBER），交流、外联和发展办公室（OCOD），10903 New Hampshire Ave., WO71, Room 3128, Silver Spring, MD 20903；或拨打1-800-835-4709或240-402-8010；或发送电子邮件至</w:t>
      </w:r>
      <w:r>
        <w:rPr>
          <w:rFonts w:cs="宋体"/>
          <w:color w:val="0000FF"/>
          <w:u w:val="single"/>
        </w:rPr>
        <w:t>ocod@fda.hhs.gov</w:t>
      </w:r>
      <w:r>
        <w:rPr>
          <w:rFonts w:cs="宋体"/>
        </w:rPr>
        <w:t>；或者登录</w:t>
      </w:r>
      <w:r>
        <w:rPr>
          <w:rFonts w:cs="宋体"/>
          <w:color w:val="0000FF"/>
          <w:u w:val="single"/>
        </w:rPr>
        <w:t>https://www.fda.gov/BiologicsBloodVaccines/</w:t>
      </w:r>
      <w:r>
        <w:rPr>
          <w:rFonts w:hint="eastAsia" w:cs="宋体"/>
          <w:color w:val="0000FF"/>
          <w:u w:val="single"/>
          <w:lang w:eastAsia="zh-CN"/>
        </w:rPr>
        <w:t xml:space="preserve"> </w:t>
      </w:r>
      <w:r>
        <w:rPr>
          <w:rFonts w:cs="宋体"/>
          <w:color w:val="0000FF"/>
          <w:u w:val="single"/>
        </w:rPr>
        <w:t>GuidanceComplianceRegulatoryInformation/Guidances/default.htm</w:t>
      </w:r>
      <w:r>
        <w:rPr>
          <w:rFonts w:cs="宋体"/>
        </w:rPr>
        <w:t>。</w:t>
      </w:r>
    </w:p>
    <w:p w14:paraId="67B40BCC">
      <w:pPr>
        <w:spacing w:before="120"/>
      </w:pPr>
      <w:r>
        <w:rPr>
          <w:rFonts w:cs="宋体"/>
        </w:rPr>
        <w:br w:type="page"/>
      </w:r>
    </w:p>
    <w:p w14:paraId="05E23C73">
      <w:pPr>
        <w:spacing w:before="120"/>
        <w:jc w:val="center"/>
        <w:rPr>
          <w:b/>
          <w:bCs/>
          <w:sz w:val="32"/>
          <w:szCs w:val="32"/>
        </w:rPr>
      </w:pPr>
      <w:r>
        <w:rPr>
          <w:rFonts w:cs="宋体"/>
          <w:b/>
          <w:sz w:val="32"/>
        </w:rPr>
        <w:t>目录</w:t>
      </w:r>
    </w:p>
    <w:p w14:paraId="60BAAC86">
      <w:pPr>
        <w:pStyle w:val="5"/>
        <w:rPr>
          <w:rFonts w:asciiTheme="minorHAnsi" w:hAnsiTheme="minorHAnsi" w:eastAsiaTheme="minorEastAsia" w:cstheme="minorBidi"/>
          <w:color w:val="auto"/>
          <w:kern w:val="2"/>
          <w:sz w:val="21"/>
          <w:szCs w:val="22"/>
          <w:lang w:eastAsia="zh-CN" w:bidi="ar-SA"/>
        </w:rPr>
      </w:pPr>
      <w:bookmarkStart w:id="1" w:name="bookmark82"/>
      <w:bookmarkEnd w:id="1"/>
      <w:r>
        <w:fldChar w:fldCharType="begin"/>
      </w:r>
      <w:r>
        <w:instrText xml:space="preserve"> TOC \o "1-2" \h \z \u </w:instrText>
      </w:r>
      <w:r>
        <w:fldChar w:fldCharType="separate"/>
      </w:r>
      <w:r>
        <w:fldChar w:fldCharType="begin"/>
      </w:r>
      <w:r>
        <w:instrText xml:space="preserve"> HYPERLINK \l "_Toc97827694" </w:instrText>
      </w:r>
      <w:r>
        <w:fldChar w:fldCharType="separate"/>
      </w:r>
      <w:r>
        <w:rPr>
          <w:rStyle w:val="10"/>
          <w:b/>
          <w:bCs/>
        </w:rPr>
        <w:t>I.</w:t>
      </w:r>
      <w:r>
        <w:rPr>
          <w:rFonts w:asciiTheme="minorHAnsi" w:hAnsiTheme="minorHAnsi" w:eastAsiaTheme="minorEastAsia" w:cstheme="minorBidi"/>
          <w:color w:val="auto"/>
          <w:kern w:val="2"/>
          <w:sz w:val="21"/>
          <w:szCs w:val="22"/>
          <w:lang w:eastAsia="zh-CN" w:bidi="ar-SA"/>
        </w:rPr>
        <w:tab/>
      </w:r>
      <w:r>
        <w:rPr>
          <w:rStyle w:val="10"/>
          <w:rFonts w:hint="eastAsia" w:cs="宋体"/>
          <w:b/>
        </w:rPr>
        <w:t>引言</w:t>
      </w:r>
      <w:r>
        <w:tab/>
      </w:r>
      <w:r>
        <w:fldChar w:fldCharType="begin"/>
      </w:r>
      <w:r>
        <w:instrText xml:space="preserve"> PAGEREF _Toc97827694 \h </w:instrText>
      </w:r>
      <w:r>
        <w:fldChar w:fldCharType="separate"/>
      </w:r>
      <w:r>
        <w:t>4</w:t>
      </w:r>
      <w:r>
        <w:fldChar w:fldCharType="end"/>
      </w:r>
      <w:r>
        <w:fldChar w:fldCharType="end"/>
      </w:r>
    </w:p>
    <w:p w14:paraId="7479742E">
      <w:pPr>
        <w:pStyle w:val="5"/>
        <w:rPr>
          <w:rFonts w:asciiTheme="minorHAnsi" w:hAnsiTheme="minorHAnsi" w:eastAsiaTheme="minorEastAsia" w:cstheme="minorBidi"/>
          <w:color w:val="auto"/>
          <w:kern w:val="2"/>
          <w:sz w:val="21"/>
          <w:szCs w:val="22"/>
          <w:lang w:eastAsia="zh-CN" w:bidi="ar-SA"/>
        </w:rPr>
      </w:pPr>
      <w:r>
        <w:fldChar w:fldCharType="begin"/>
      </w:r>
      <w:r>
        <w:instrText xml:space="preserve"> HYPERLINK \l "_Toc97827695" </w:instrText>
      </w:r>
      <w:r>
        <w:fldChar w:fldCharType="separate"/>
      </w:r>
      <w:r>
        <w:rPr>
          <w:rStyle w:val="10"/>
          <w:b/>
          <w:bCs/>
        </w:rPr>
        <w:t>II.</w:t>
      </w:r>
      <w:r>
        <w:rPr>
          <w:rFonts w:asciiTheme="minorHAnsi" w:hAnsiTheme="minorHAnsi" w:eastAsiaTheme="minorEastAsia" w:cstheme="minorBidi"/>
          <w:color w:val="auto"/>
          <w:kern w:val="2"/>
          <w:sz w:val="21"/>
          <w:szCs w:val="22"/>
          <w:lang w:eastAsia="zh-CN" w:bidi="ar-SA"/>
        </w:rPr>
        <w:tab/>
      </w:r>
      <w:r>
        <w:rPr>
          <w:rStyle w:val="10"/>
          <w:rFonts w:hint="eastAsia" w:cs="宋体"/>
          <w:b/>
        </w:rPr>
        <w:t>范围</w:t>
      </w:r>
      <w:r>
        <w:tab/>
      </w:r>
      <w:r>
        <w:fldChar w:fldCharType="begin"/>
      </w:r>
      <w:r>
        <w:instrText xml:space="preserve"> PAGEREF _Toc97827695 \h </w:instrText>
      </w:r>
      <w:r>
        <w:fldChar w:fldCharType="separate"/>
      </w:r>
      <w:r>
        <w:t>6</w:t>
      </w:r>
      <w:r>
        <w:fldChar w:fldCharType="end"/>
      </w:r>
      <w:r>
        <w:fldChar w:fldCharType="end"/>
      </w:r>
    </w:p>
    <w:p w14:paraId="726B114D">
      <w:pPr>
        <w:pStyle w:val="5"/>
        <w:rPr>
          <w:rFonts w:asciiTheme="minorHAnsi" w:hAnsiTheme="minorHAnsi" w:eastAsiaTheme="minorEastAsia" w:cstheme="minorBidi"/>
          <w:color w:val="auto"/>
          <w:kern w:val="2"/>
          <w:sz w:val="21"/>
          <w:szCs w:val="22"/>
          <w:lang w:eastAsia="zh-CN" w:bidi="ar-SA"/>
        </w:rPr>
      </w:pPr>
      <w:r>
        <w:fldChar w:fldCharType="begin"/>
      </w:r>
      <w:r>
        <w:instrText xml:space="preserve"> HYPERLINK \l "_Toc97827696" </w:instrText>
      </w:r>
      <w:r>
        <w:fldChar w:fldCharType="separate"/>
      </w:r>
      <w:r>
        <w:rPr>
          <w:rStyle w:val="10"/>
          <w:b/>
          <w:bCs/>
          <w:lang w:eastAsia="zh-CN"/>
        </w:rPr>
        <w:t>III.</w:t>
      </w:r>
      <w:r>
        <w:rPr>
          <w:rFonts w:asciiTheme="minorHAnsi" w:hAnsiTheme="minorHAnsi" w:eastAsiaTheme="minorEastAsia" w:cstheme="minorBidi"/>
          <w:color w:val="auto"/>
          <w:kern w:val="2"/>
          <w:sz w:val="21"/>
          <w:szCs w:val="22"/>
          <w:lang w:eastAsia="zh-CN" w:bidi="ar-SA"/>
        </w:rPr>
        <w:tab/>
      </w:r>
      <w:r>
        <w:rPr>
          <w:rStyle w:val="10"/>
          <w:rFonts w:hint="eastAsia" w:cs="宋体"/>
          <w:b/>
          <w:lang w:eastAsia="zh-CN"/>
        </w:rPr>
        <w:t>生物相容性评价的风险管理</w:t>
      </w:r>
      <w:r>
        <w:tab/>
      </w:r>
      <w:r>
        <w:fldChar w:fldCharType="begin"/>
      </w:r>
      <w:r>
        <w:instrText xml:space="preserve"> PAGEREF _Toc97827696 \h </w:instrText>
      </w:r>
      <w:r>
        <w:fldChar w:fldCharType="separate"/>
      </w:r>
      <w:r>
        <w:t>9</w:t>
      </w:r>
      <w:r>
        <w:fldChar w:fldCharType="end"/>
      </w:r>
      <w:r>
        <w:fldChar w:fldCharType="end"/>
      </w:r>
    </w:p>
    <w:p w14:paraId="1083BC46">
      <w:pPr>
        <w:pStyle w:val="6"/>
        <w:tabs>
          <w:tab w:val="left" w:pos="1050"/>
          <w:tab w:val="right" w:leader="dot" w:pos="9060"/>
        </w:tabs>
        <w:ind w:left="600"/>
        <w:rPr>
          <w:rFonts w:asciiTheme="minorHAnsi" w:hAnsiTheme="minorHAnsi" w:eastAsiaTheme="minorEastAsia" w:cstheme="minorBidi"/>
          <w:color w:val="auto"/>
          <w:kern w:val="2"/>
          <w:sz w:val="21"/>
          <w:szCs w:val="22"/>
          <w:lang w:eastAsia="zh-CN" w:bidi="ar-SA"/>
        </w:rPr>
      </w:pPr>
      <w:r>
        <w:fldChar w:fldCharType="begin"/>
      </w:r>
      <w:r>
        <w:instrText xml:space="preserve"> HYPERLINK \l "_Toc97827697" </w:instrText>
      </w:r>
      <w:r>
        <w:fldChar w:fldCharType="separate"/>
      </w:r>
      <w:r>
        <w:rPr>
          <w:rStyle w:val="10"/>
          <w:b/>
          <w:bCs/>
        </w:rPr>
        <w:t>A.</w:t>
      </w:r>
      <w:r>
        <w:rPr>
          <w:rFonts w:asciiTheme="minorHAnsi" w:hAnsiTheme="minorHAnsi" w:eastAsiaTheme="minorEastAsia" w:cstheme="minorBidi"/>
          <w:color w:val="auto"/>
          <w:kern w:val="2"/>
          <w:sz w:val="21"/>
          <w:szCs w:val="22"/>
          <w:lang w:eastAsia="zh-CN" w:bidi="ar-SA"/>
        </w:rPr>
        <w:tab/>
      </w:r>
      <w:r>
        <w:rPr>
          <w:rStyle w:val="10"/>
          <w:rFonts w:hint="eastAsia" w:cs="宋体"/>
          <w:b/>
        </w:rPr>
        <w:t>医疗器械的风险评定</w:t>
      </w:r>
      <w:r>
        <w:tab/>
      </w:r>
      <w:r>
        <w:fldChar w:fldCharType="begin"/>
      </w:r>
      <w:r>
        <w:instrText xml:space="preserve"> PAGEREF _Toc97827697 \h </w:instrText>
      </w:r>
      <w:r>
        <w:fldChar w:fldCharType="separate"/>
      </w:r>
      <w:r>
        <w:t>9</w:t>
      </w:r>
      <w:r>
        <w:fldChar w:fldCharType="end"/>
      </w:r>
      <w:r>
        <w:fldChar w:fldCharType="end"/>
      </w:r>
    </w:p>
    <w:p w14:paraId="28DA824D">
      <w:pPr>
        <w:pStyle w:val="6"/>
        <w:tabs>
          <w:tab w:val="left" w:pos="1050"/>
          <w:tab w:val="right" w:leader="dot" w:pos="9060"/>
        </w:tabs>
        <w:ind w:left="600"/>
        <w:rPr>
          <w:rFonts w:asciiTheme="minorHAnsi" w:hAnsiTheme="minorHAnsi" w:eastAsiaTheme="minorEastAsia" w:cstheme="minorBidi"/>
          <w:color w:val="auto"/>
          <w:kern w:val="2"/>
          <w:sz w:val="21"/>
          <w:szCs w:val="22"/>
          <w:lang w:eastAsia="zh-CN" w:bidi="ar-SA"/>
        </w:rPr>
      </w:pPr>
      <w:r>
        <w:fldChar w:fldCharType="begin"/>
      </w:r>
      <w:r>
        <w:instrText xml:space="preserve"> HYPERLINK \l "_Toc97827698" </w:instrText>
      </w:r>
      <w:r>
        <w:fldChar w:fldCharType="separate"/>
      </w:r>
      <w:r>
        <w:rPr>
          <w:rStyle w:val="10"/>
          <w:b/>
          <w:bCs/>
        </w:rPr>
        <w:t>B.</w:t>
      </w:r>
      <w:r>
        <w:rPr>
          <w:rFonts w:asciiTheme="minorHAnsi" w:hAnsiTheme="minorHAnsi" w:eastAsiaTheme="minorEastAsia" w:cstheme="minorBidi"/>
          <w:color w:val="auto"/>
          <w:kern w:val="2"/>
          <w:sz w:val="21"/>
          <w:szCs w:val="22"/>
          <w:lang w:eastAsia="zh-CN" w:bidi="ar-SA"/>
        </w:rPr>
        <w:tab/>
      </w:r>
      <w:r>
        <w:rPr>
          <w:rStyle w:val="10"/>
          <w:rFonts w:hint="eastAsia" w:cs="宋体"/>
          <w:b/>
        </w:rPr>
        <w:t>潜在风险的识别</w:t>
      </w:r>
      <w:r>
        <w:tab/>
      </w:r>
      <w:r>
        <w:fldChar w:fldCharType="begin"/>
      </w:r>
      <w:r>
        <w:instrText xml:space="preserve"> PAGEREF _Toc97827698 \h </w:instrText>
      </w:r>
      <w:r>
        <w:fldChar w:fldCharType="separate"/>
      </w:r>
      <w:r>
        <w:t>10</w:t>
      </w:r>
      <w:r>
        <w:fldChar w:fldCharType="end"/>
      </w:r>
      <w:r>
        <w:fldChar w:fldCharType="end"/>
      </w:r>
    </w:p>
    <w:p w14:paraId="61C598A4">
      <w:pPr>
        <w:pStyle w:val="6"/>
        <w:tabs>
          <w:tab w:val="left" w:pos="1050"/>
          <w:tab w:val="right" w:leader="dot" w:pos="9060"/>
        </w:tabs>
        <w:ind w:left="600"/>
        <w:rPr>
          <w:rFonts w:asciiTheme="minorHAnsi" w:hAnsiTheme="minorHAnsi" w:eastAsiaTheme="minorEastAsia" w:cstheme="minorBidi"/>
          <w:color w:val="auto"/>
          <w:kern w:val="2"/>
          <w:sz w:val="21"/>
          <w:szCs w:val="22"/>
          <w:lang w:eastAsia="zh-CN" w:bidi="ar-SA"/>
        </w:rPr>
      </w:pPr>
      <w:r>
        <w:fldChar w:fldCharType="begin"/>
      </w:r>
      <w:r>
        <w:instrText xml:space="preserve"> HYPERLINK \l "_Toc97827699" </w:instrText>
      </w:r>
      <w:r>
        <w:fldChar w:fldCharType="separate"/>
      </w:r>
      <w:r>
        <w:rPr>
          <w:rStyle w:val="10"/>
          <w:b/>
          <w:bCs/>
          <w:lang w:eastAsia="zh-CN"/>
        </w:rPr>
        <w:t>C.</w:t>
      </w:r>
      <w:r>
        <w:rPr>
          <w:rFonts w:asciiTheme="minorHAnsi" w:hAnsiTheme="minorHAnsi" w:eastAsiaTheme="minorEastAsia" w:cstheme="minorBidi"/>
          <w:color w:val="auto"/>
          <w:kern w:val="2"/>
          <w:sz w:val="21"/>
          <w:szCs w:val="22"/>
          <w:lang w:eastAsia="zh-CN" w:bidi="ar-SA"/>
        </w:rPr>
        <w:tab/>
      </w:r>
      <w:r>
        <w:rPr>
          <w:rStyle w:val="10"/>
          <w:rFonts w:hint="eastAsia" w:cs="宋体"/>
          <w:b/>
          <w:lang w:eastAsia="zh-CN"/>
        </w:rPr>
        <w:t>考虑用于识别和降低风险的现有信息</w:t>
      </w:r>
      <w:r>
        <w:tab/>
      </w:r>
      <w:r>
        <w:fldChar w:fldCharType="begin"/>
      </w:r>
      <w:r>
        <w:instrText xml:space="preserve"> PAGEREF _Toc97827699 \h </w:instrText>
      </w:r>
      <w:r>
        <w:fldChar w:fldCharType="separate"/>
      </w:r>
      <w:r>
        <w:t>12</w:t>
      </w:r>
      <w:r>
        <w:fldChar w:fldCharType="end"/>
      </w:r>
      <w:r>
        <w:fldChar w:fldCharType="end"/>
      </w:r>
    </w:p>
    <w:p w14:paraId="747DAF28">
      <w:pPr>
        <w:pStyle w:val="6"/>
        <w:tabs>
          <w:tab w:val="left" w:pos="1050"/>
          <w:tab w:val="right" w:leader="dot" w:pos="9060"/>
        </w:tabs>
        <w:ind w:left="600"/>
        <w:rPr>
          <w:rFonts w:asciiTheme="minorHAnsi" w:hAnsiTheme="minorHAnsi" w:eastAsiaTheme="minorEastAsia" w:cstheme="minorBidi"/>
          <w:color w:val="auto"/>
          <w:kern w:val="2"/>
          <w:sz w:val="21"/>
          <w:szCs w:val="22"/>
          <w:lang w:eastAsia="zh-CN" w:bidi="ar-SA"/>
        </w:rPr>
      </w:pPr>
      <w:r>
        <w:fldChar w:fldCharType="begin"/>
      </w:r>
      <w:r>
        <w:instrText xml:space="preserve"> HYPERLINK \l "_Toc97827700" </w:instrText>
      </w:r>
      <w:r>
        <w:fldChar w:fldCharType="separate"/>
      </w:r>
      <w:r>
        <w:rPr>
          <w:rStyle w:val="10"/>
          <w:b/>
          <w:bCs/>
        </w:rPr>
        <w:t>D.</w:t>
      </w:r>
      <w:r>
        <w:rPr>
          <w:rFonts w:asciiTheme="minorHAnsi" w:hAnsiTheme="minorHAnsi" w:eastAsiaTheme="minorEastAsia" w:cstheme="minorBidi"/>
          <w:color w:val="auto"/>
          <w:kern w:val="2"/>
          <w:sz w:val="21"/>
          <w:szCs w:val="22"/>
          <w:lang w:eastAsia="zh-CN" w:bidi="ar-SA"/>
        </w:rPr>
        <w:tab/>
      </w:r>
      <w:r>
        <w:rPr>
          <w:rStyle w:val="10"/>
          <w:rFonts w:hint="eastAsia" w:cs="宋体"/>
          <w:b/>
        </w:rPr>
        <w:t>提交和解释</w:t>
      </w:r>
      <w:r>
        <w:tab/>
      </w:r>
      <w:r>
        <w:fldChar w:fldCharType="begin"/>
      </w:r>
      <w:r>
        <w:instrText xml:space="preserve"> PAGEREF _Toc97827700 \h </w:instrText>
      </w:r>
      <w:r>
        <w:fldChar w:fldCharType="separate"/>
      </w:r>
      <w:r>
        <w:t>16</w:t>
      </w:r>
      <w:r>
        <w:fldChar w:fldCharType="end"/>
      </w:r>
      <w:r>
        <w:fldChar w:fldCharType="end"/>
      </w:r>
    </w:p>
    <w:p w14:paraId="14B57ABC">
      <w:pPr>
        <w:pStyle w:val="5"/>
        <w:rPr>
          <w:rFonts w:asciiTheme="minorHAnsi" w:hAnsiTheme="minorHAnsi" w:eastAsiaTheme="minorEastAsia" w:cstheme="minorBidi"/>
          <w:color w:val="auto"/>
          <w:kern w:val="2"/>
          <w:sz w:val="21"/>
          <w:szCs w:val="22"/>
          <w:lang w:eastAsia="zh-CN" w:bidi="ar-SA"/>
        </w:rPr>
      </w:pPr>
      <w:r>
        <w:fldChar w:fldCharType="begin"/>
      </w:r>
      <w:r>
        <w:instrText xml:space="preserve"> HYPERLINK \l "_Toc97827701" </w:instrText>
      </w:r>
      <w:r>
        <w:fldChar w:fldCharType="separate"/>
      </w:r>
      <w:r>
        <w:rPr>
          <w:rStyle w:val="10"/>
          <w:b/>
          <w:bCs/>
        </w:rPr>
        <w:t>IV.</w:t>
      </w:r>
      <w:r>
        <w:rPr>
          <w:rFonts w:asciiTheme="minorHAnsi" w:hAnsiTheme="minorHAnsi" w:eastAsiaTheme="minorEastAsia" w:cstheme="minorBidi"/>
          <w:color w:val="auto"/>
          <w:kern w:val="2"/>
          <w:sz w:val="21"/>
          <w:szCs w:val="22"/>
          <w:lang w:eastAsia="zh-CN" w:bidi="ar-SA"/>
        </w:rPr>
        <w:tab/>
      </w:r>
      <w:r>
        <w:rPr>
          <w:rStyle w:val="10"/>
          <w:rFonts w:cs="宋体"/>
          <w:b/>
        </w:rPr>
        <w:t>ISO 10993-</w:t>
      </w:r>
      <w:r>
        <w:rPr>
          <w:rStyle w:val="10"/>
          <w:rFonts w:hint="eastAsia" w:cs="宋体"/>
          <w:b/>
        </w:rPr>
        <w:t>第</w:t>
      </w:r>
      <w:r>
        <w:rPr>
          <w:rStyle w:val="10"/>
          <w:rFonts w:cs="宋体"/>
          <w:b/>
        </w:rPr>
        <w:t>1</w:t>
      </w:r>
      <w:r>
        <w:rPr>
          <w:rStyle w:val="10"/>
          <w:rFonts w:hint="eastAsia" w:cs="宋体"/>
          <w:b/>
        </w:rPr>
        <w:t>部分和</w:t>
      </w:r>
      <w:r>
        <w:rPr>
          <w:rStyle w:val="10"/>
          <w:rFonts w:cs="宋体"/>
          <w:b/>
        </w:rPr>
        <w:t>FDA</w:t>
      </w:r>
      <w:r>
        <w:rPr>
          <w:rStyle w:val="10"/>
          <w:rFonts w:hint="eastAsia" w:cs="宋体"/>
          <w:b/>
        </w:rPr>
        <w:t>修改矩阵</w:t>
      </w:r>
      <w:r>
        <w:tab/>
      </w:r>
      <w:r>
        <w:fldChar w:fldCharType="begin"/>
      </w:r>
      <w:r>
        <w:instrText xml:space="preserve"> PAGEREF _Toc97827701 \h </w:instrText>
      </w:r>
      <w:r>
        <w:fldChar w:fldCharType="separate"/>
      </w:r>
      <w:r>
        <w:t>18</w:t>
      </w:r>
      <w:r>
        <w:fldChar w:fldCharType="end"/>
      </w:r>
      <w:r>
        <w:fldChar w:fldCharType="end"/>
      </w:r>
    </w:p>
    <w:p w14:paraId="113232AD">
      <w:pPr>
        <w:pStyle w:val="6"/>
        <w:tabs>
          <w:tab w:val="left" w:pos="1050"/>
          <w:tab w:val="right" w:leader="dot" w:pos="9060"/>
        </w:tabs>
        <w:ind w:left="600"/>
        <w:rPr>
          <w:rFonts w:asciiTheme="minorHAnsi" w:hAnsiTheme="minorHAnsi" w:eastAsiaTheme="minorEastAsia" w:cstheme="minorBidi"/>
          <w:color w:val="auto"/>
          <w:kern w:val="2"/>
          <w:sz w:val="21"/>
          <w:szCs w:val="22"/>
          <w:lang w:eastAsia="zh-CN" w:bidi="ar-SA"/>
        </w:rPr>
      </w:pPr>
      <w:r>
        <w:fldChar w:fldCharType="begin"/>
      </w:r>
      <w:r>
        <w:instrText xml:space="preserve"> HYPERLINK \l "_Toc97827702" </w:instrText>
      </w:r>
      <w:r>
        <w:fldChar w:fldCharType="separate"/>
      </w:r>
      <w:r>
        <w:rPr>
          <w:rStyle w:val="10"/>
          <w:b/>
          <w:bCs/>
        </w:rPr>
        <w:t>A.</w:t>
      </w:r>
      <w:r>
        <w:rPr>
          <w:rFonts w:asciiTheme="minorHAnsi" w:hAnsiTheme="minorHAnsi" w:eastAsiaTheme="minorEastAsia" w:cstheme="minorBidi"/>
          <w:color w:val="auto"/>
          <w:kern w:val="2"/>
          <w:sz w:val="21"/>
          <w:szCs w:val="22"/>
          <w:lang w:eastAsia="zh-CN" w:bidi="ar-SA"/>
        </w:rPr>
        <w:tab/>
      </w:r>
      <w:r>
        <w:rPr>
          <w:rStyle w:val="10"/>
          <w:rFonts w:hint="eastAsia" w:cs="宋体"/>
          <w:b/>
        </w:rPr>
        <w:t>局部和全身风险评价</w:t>
      </w:r>
      <w:r>
        <w:tab/>
      </w:r>
      <w:r>
        <w:fldChar w:fldCharType="begin"/>
      </w:r>
      <w:r>
        <w:instrText xml:space="preserve"> PAGEREF _Toc97827702 \h </w:instrText>
      </w:r>
      <w:r>
        <w:fldChar w:fldCharType="separate"/>
      </w:r>
      <w:r>
        <w:t>19</w:t>
      </w:r>
      <w:r>
        <w:fldChar w:fldCharType="end"/>
      </w:r>
      <w:r>
        <w:fldChar w:fldCharType="end"/>
      </w:r>
    </w:p>
    <w:p w14:paraId="4DCEC90D">
      <w:pPr>
        <w:pStyle w:val="6"/>
        <w:tabs>
          <w:tab w:val="left" w:pos="1050"/>
          <w:tab w:val="right" w:leader="dot" w:pos="9060"/>
        </w:tabs>
        <w:ind w:left="600"/>
        <w:rPr>
          <w:rFonts w:asciiTheme="minorHAnsi" w:hAnsiTheme="minorHAnsi" w:eastAsiaTheme="minorEastAsia" w:cstheme="minorBidi"/>
          <w:color w:val="auto"/>
          <w:kern w:val="2"/>
          <w:sz w:val="21"/>
          <w:szCs w:val="22"/>
          <w:lang w:eastAsia="zh-CN" w:bidi="ar-SA"/>
        </w:rPr>
      </w:pPr>
      <w:r>
        <w:fldChar w:fldCharType="begin"/>
      </w:r>
      <w:r>
        <w:instrText xml:space="preserve"> HYPERLINK \l "_Toc97827703" </w:instrText>
      </w:r>
      <w:r>
        <w:fldChar w:fldCharType="separate"/>
      </w:r>
      <w:r>
        <w:rPr>
          <w:rStyle w:val="10"/>
          <w:b/>
          <w:bCs/>
        </w:rPr>
        <w:t>B.</w:t>
      </w:r>
      <w:r>
        <w:rPr>
          <w:rFonts w:asciiTheme="minorHAnsi" w:hAnsiTheme="minorHAnsi" w:eastAsiaTheme="minorEastAsia" w:cstheme="minorBidi"/>
          <w:color w:val="auto"/>
          <w:kern w:val="2"/>
          <w:sz w:val="21"/>
          <w:szCs w:val="22"/>
          <w:lang w:eastAsia="zh-CN" w:bidi="ar-SA"/>
        </w:rPr>
        <w:tab/>
      </w:r>
      <w:r>
        <w:rPr>
          <w:rStyle w:val="10"/>
          <w:rFonts w:cs="宋体"/>
          <w:b/>
        </w:rPr>
        <w:t>ISO 10993-1</w:t>
      </w:r>
      <w:r>
        <w:rPr>
          <w:rStyle w:val="10"/>
          <w:rFonts w:hint="eastAsia" w:cs="宋体"/>
          <w:b/>
        </w:rPr>
        <w:t>的</w:t>
      </w:r>
      <w:r>
        <w:rPr>
          <w:rStyle w:val="10"/>
          <w:rFonts w:cs="宋体"/>
          <w:b/>
        </w:rPr>
        <w:t>FDA</w:t>
      </w:r>
      <w:r>
        <w:rPr>
          <w:rStyle w:val="10"/>
          <w:rFonts w:hint="eastAsia" w:cs="宋体"/>
          <w:b/>
        </w:rPr>
        <w:t>应用</w:t>
      </w:r>
      <w:r>
        <w:tab/>
      </w:r>
      <w:r>
        <w:fldChar w:fldCharType="begin"/>
      </w:r>
      <w:r>
        <w:instrText xml:space="preserve"> PAGEREF _Toc97827703 \h </w:instrText>
      </w:r>
      <w:r>
        <w:fldChar w:fldCharType="separate"/>
      </w:r>
      <w:r>
        <w:t>20</w:t>
      </w:r>
      <w:r>
        <w:fldChar w:fldCharType="end"/>
      </w:r>
      <w:r>
        <w:fldChar w:fldCharType="end"/>
      </w:r>
    </w:p>
    <w:p w14:paraId="1103C607">
      <w:pPr>
        <w:pStyle w:val="6"/>
        <w:tabs>
          <w:tab w:val="left" w:pos="1050"/>
          <w:tab w:val="right" w:leader="dot" w:pos="9060"/>
        </w:tabs>
        <w:ind w:left="600"/>
        <w:rPr>
          <w:rFonts w:asciiTheme="minorHAnsi" w:hAnsiTheme="minorHAnsi" w:eastAsiaTheme="minorEastAsia" w:cstheme="minorBidi"/>
          <w:color w:val="auto"/>
          <w:kern w:val="2"/>
          <w:sz w:val="21"/>
          <w:szCs w:val="22"/>
          <w:lang w:eastAsia="zh-CN" w:bidi="ar-SA"/>
        </w:rPr>
      </w:pPr>
      <w:r>
        <w:fldChar w:fldCharType="begin"/>
      </w:r>
      <w:r>
        <w:instrText xml:space="preserve"> HYPERLINK \l "_Toc97827704" </w:instrText>
      </w:r>
      <w:r>
        <w:fldChar w:fldCharType="separate"/>
      </w:r>
      <w:r>
        <w:rPr>
          <w:rStyle w:val="10"/>
          <w:b/>
          <w:bCs/>
        </w:rPr>
        <w:t>C.</w:t>
      </w:r>
      <w:r>
        <w:rPr>
          <w:rFonts w:asciiTheme="minorHAnsi" w:hAnsiTheme="minorHAnsi" w:eastAsiaTheme="minorEastAsia" w:cstheme="minorBidi"/>
          <w:color w:val="auto"/>
          <w:kern w:val="2"/>
          <w:sz w:val="21"/>
          <w:szCs w:val="22"/>
          <w:lang w:eastAsia="zh-CN" w:bidi="ar-SA"/>
        </w:rPr>
        <w:tab/>
      </w:r>
      <w:r>
        <w:rPr>
          <w:rStyle w:val="10"/>
          <w:rFonts w:cs="宋体"/>
          <w:b/>
        </w:rPr>
        <w:t>FDA</w:t>
      </w:r>
      <w:r>
        <w:rPr>
          <w:rStyle w:val="10"/>
          <w:rFonts w:hint="eastAsia" w:cs="宋体"/>
          <w:b/>
        </w:rPr>
        <w:t>修改矩阵</w:t>
      </w:r>
      <w:r>
        <w:tab/>
      </w:r>
      <w:r>
        <w:fldChar w:fldCharType="begin"/>
      </w:r>
      <w:r>
        <w:instrText xml:space="preserve"> PAGEREF _Toc97827704 \h </w:instrText>
      </w:r>
      <w:r>
        <w:fldChar w:fldCharType="separate"/>
      </w:r>
      <w:r>
        <w:t>23</w:t>
      </w:r>
      <w:r>
        <w:fldChar w:fldCharType="end"/>
      </w:r>
      <w:r>
        <w:fldChar w:fldCharType="end"/>
      </w:r>
    </w:p>
    <w:p w14:paraId="58D0A6E6">
      <w:pPr>
        <w:pStyle w:val="6"/>
        <w:tabs>
          <w:tab w:val="left" w:pos="1050"/>
          <w:tab w:val="right" w:leader="dot" w:pos="9060"/>
        </w:tabs>
        <w:ind w:left="600"/>
        <w:rPr>
          <w:rFonts w:asciiTheme="minorHAnsi" w:hAnsiTheme="minorHAnsi" w:eastAsiaTheme="minorEastAsia" w:cstheme="minorBidi"/>
          <w:color w:val="auto"/>
          <w:kern w:val="2"/>
          <w:sz w:val="21"/>
          <w:szCs w:val="22"/>
          <w:lang w:eastAsia="zh-CN" w:bidi="ar-SA"/>
        </w:rPr>
      </w:pPr>
      <w:r>
        <w:fldChar w:fldCharType="begin"/>
      </w:r>
      <w:r>
        <w:instrText xml:space="preserve"> HYPERLINK \l "_Toc97827705" </w:instrText>
      </w:r>
      <w:r>
        <w:fldChar w:fldCharType="separate"/>
      </w:r>
      <w:r>
        <w:rPr>
          <w:rStyle w:val="10"/>
          <w:b/>
          <w:bCs/>
        </w:rPr>
        <w:t>D.</w:t>
      </w:r>
      <w:r>
        <w:rPr>
          <w:rFonts w:asciiTheme="minorHAnsi" w:hAnsiTheme="minorHAnsi" w:eastAsiaTheme="minorEastAsia" w:cstheme="minorBidi"/>
          <w:color w:val="auto"/>
          <w:kern w:val="2"/>
          <w:sz w:val="21"/>
          <w:szCs w:val="22"/>
          <w:lang w:eastAsia="zh-CN" w:bidi="ar-SA"/>
        </w:rPr>
        <w:tab/>
      </w:r>
      <w:r>
        <w:rPr>
          <w:rStyle w:val="10"/>
          <w:rFonts w:hint="eastAsia" w:cs="宋体"/>
          <w:b/>
        </w:rPr>
        <w:t>终点评估</w:t>
      </w:r>
      <w:r>
        <w:tab/>
      </w:r>
      <w:r>
        <w:fldChar w:fldCharType="begin"/>
      </w:r>
      <w:r>
        <w:instrText xml:space="preserve"> PAGEREF _Toc97827705 \h </w:instrText>
      </w:r>
      <w:r>
        <w:fldChar w:fldCharType="separate"/>
      </w:r>
      <w:r>
        <w:t>24</w:t>
      </w:r>
      <w:r>
        <w:fldChar w:fldCharType="end"/>
      </w:r>
      <w:r>
        <w:fldChar w:fldCharType="end"/>
      </w:r>
    </w:p>
    <w:p w14:paraId="579FB3C6">
      <w:pPr>
        <w:pStyle w:val="5"/>
        <w:rPr>
          <w:rFonts w:asciiTheme="minorHAnsi" w:hAnsiTheme="minorHAnsi" w:eastAsiaTheme="minorEastAsia" w:cstheme="minorBidi"/>
          <w:color w:val="auto"/>
          <w:kern w:val="2"/>
          <w:sz w:val="21"/>
          <w:szCs w:val="22"/>
          <w:lang w:eastAsia="zh-CN" w:bidi="ar-SA"/>
        </w:rPr>
      </w:pPr>
      <w:r>
        <w:fldChar w:fldCharType="begin"/>
      </w:r>
      <w:r>
        <w:instrText xml:space="preserve"> HYPERLINK \l "_Toc97827706" </w:instrText>
      </w:r>
      <w:r>
        <w:fldChar w:fldCharType="separate"/>
      </w:r>
      <w:r>
        <w:rPr>
          <w:rStyle w:val="10"/>
          <w:b/>
          <w:bCs/>
          <w:lang w:eastAsia="zh-CN"/>
        </w:rPr>
        <w:t>V.</w:t>
      </w:r>
      <w:r>
        <w:rPr>
          <w:rFonts w:asciiTheme="minorHAnsi" w:hAnsiTheme="minorHAnsi" w:eastAsiaTheme="minorEastAsia" w:cstheme="minorBidi"/>
          <w:color w:val="auto"/>
          <w:kern w:val="2"/>
          <w:sz w:val="21"/>
          <w:szCs w:val="22"/>
          <w:lang w:eastAsia="zh-CN" w:bidi="ar-SA"/>
        </w:rPr>
        <w:tab/>
      </w:r>
      <w:r>
        <w:rPr>
          <w:rStyle w:val="10"/>
          <w:rFonts w:hint="eastAsia" w:cs="宋体"/>
          <w:b/>
          <w:lang w:eastAsia="zh-CN"/>
        </w:rPr>
        <w:t>一般生物相容性试验注意事项</w:t>
      </w:r>
      <w:r>
        <w:tab/>
      </w:r>
      <w:r>
        <w:fldChar w:fldCharType="begin"/>
      </w:r>
      <w:r>
        <w:instrText xml:space="preserve"> PAGEREF _Toc97827706 \h </w:instrText>
      </w:r>
      <w:r>
        <w:fldChar w:fldCharType="separate"/>
      </w:r>
      <w:r>
        <w:t>24</w:t>
      </w:r>
      <w:r>
        <w:fldChar w:fldCharType="end"/>
      </w:r>
      <w:r>
        <w:fldChar w:fldCharType="end"/>
      </w:r>
    </w:p>
    <w:p w14:paraId="24C09430">
      <w:pPr>
        <w:pStyle w:val="6"/>
        <w:tabs>
          <w:tab w:val="left" w:pos="1050"/>
          <w:tab w:val="right" w:leader="dot" w:pos="9060"/>
        </w:tabs>
        <w:ind w:left="600"/>
        <w:rPr>
          <w:rFonts w:asciiTheme="minorHAnsi" w:hAnsiTheme="minorHAnsi" w:eastAsiaTheme="minorEastAsia" w:cstheme="minorBidi"/>
          <w:color w:val="auto"/>
          <w:kern w:val="2"/>
          <w:sz w:val="21"/>
          <w:szCs w:val="22"/>
          <w:lang w:eastAsia="zh-CN" w:bidi="ar-SA"/>
        </w:rPr>
      </w:pPr>
      <w:r>
        <w:fldChar w:fldCharType="begin"/>
      </w:r>
      <w:r>
        <w:instrText xml:space="preserve"> HYPERLINK \l "_Toc97827707" </w:instrText>
      </w:r>
      <w:r>
        <w:fldChar w:fldCharType="separate"/>
      </w:r>
      <w:r>
        <w:rPr>
          <w:rStyle w:val="10"/>
          <w:b/>
          <w:bCs/>
          <w:lang w:eastAsia="zh-CN"/>
        </w:rPr>
        <w:t>A.</w:t>
      </w:r>
      <w:r>
        <w:rPr>
          <w:rFonts w:asciiTheme="minorHAnsi" w:hAnsiTheme="minorHAnsi" w:eastAsiaTheme="minorEastAsia" w:cstheme="minorBidi"/>
          <w:color w:val="auto"/>
          <w:kern w:val="2"/>
          <w:sz w:val="21"/>
          <w:szCs w:val="22"/>
          <w:lang w:eastAsia="zh-CN" w:bidi="ar-SA"/>
        </w:rPr>
        <w:tab/>
      </w:r>
      <w:r>
        <w:rPr>
          <w:rStyle w:val="10"/>
          <w:rFonts w:hint="eastAsia" w:cs="宋体"/>
          <w:b/>
          <w:lang w:eastAsia="zh-CN"/>
        </w:rPr>
        <w:t>使用医疗器械最终产品或典型供试品</w:t>
      </w:r>
      <w:r>
        <w:tab/>
      </w:r>
      <w:r>
        <w:fldChar w:fldCharType="begin"/>
      </w:r>
      <w:r>
        <w:instrText xml:space="preserve"> PAGEREF _Toc97827707 \h </w:instrText>
      </w:r>
      <w:r>
        <w:fldChar w:fldCharType="separate"/>
      </w:r>
      <w:r>
        <w:t>25</w:t>
      </w:r>
      <w:r>
        <w:fldChar w:fldCharType="end"/>
      </w:r>
      <w:r>
        <w:fldChar w:fldCharType="end"/>
      </w:r>
    </w:p>
    <w:p w14:paraId="0B01C670">
      <w:pPr>
        <w:pStyle w:val="6"/>
        <w:tabs>
          <w:tab w:val="left" w:pos="1050"/>
          <w:tab w:val="right" w:leader="dot" w:pos="9060"/>
        </w:tabs>
        <w:ind w:left="600"/>
        <w:rPr>
          <w:rFonts w:asciiTheme="minorHAnsi" w:hAnsiTheme="minorHAnsi" w:eastAsiaTheme="minorEastAsia" w:cstheme="minorBidi"/>
          <w:color w:val="auto"/>
          <w:kern w:val="2"/>
          <w:sz w:val="21"/>
          <w:szCs w:val="22"/>
          <w:lang w:eastAsia="zh-CN" w:bidi="ar-SA"/>
        </w:rPr>
      </w:pPr>
      <w:r>
        <w:fldChar w:fldCharType="begin"/>
      </w:r>
      <w:r>
        <w:instrText xml:space="preserve"> HYPERLINK \l "_Toc97827708" </w:instrText>
      </w:r>
      <w:r>
        <w:fldChar w:fldCharType="separate"/>
      </w:r>
      <w:r>
        <w:rPr>
          <w:rStyle w:val="10"/>
          <w:b/>
          <w:bCs/>
          <w:lang w:eastAsia="zh-CN"/>
        </w:rPr>
        <w:t>B.</w:t>
      </w:r>
      <w:r>
        <w:rPr>
          <w:rFonts w:asciiTheme="minorHAnsi" w:hAnsiTheme="minorHAnsi" w:eastAsiaTheme="minorEastAsia" w:cstheme="minorBidi"/>
          <w:color w:val="auto"/>
          <w:kern w:val="2"/>
          <w:sz w:val="21"/>
          <w:szCs w:val="22"/>
          <w:lang w:eastAsia="zh-CN" w:bidi="ar-SA"/>
        </w:rPr>
        <w:tab/>
      </w:r>
      <w:r>
        <w:rPr>
          <w:rStyle w:val="10"/>
          <w:rFonts w:hint="eastAsia" w:cs="宋体"/>
          <w:b/>
          <w:lang w:eastAsia="zh-CN"/>
        </w:rPr>
        <w:t>原位聚合和</w:t>
      </w:r>
      <w:r>
        <w:rPr>
          <w:rStyle w:val="10"/>
          <w:rFonts w:cs="宋体"/>
          <w:b/>
          <w:lang w:eastAsia="zh-CN"/>
        </w:rPr>
        <w:t>/</w:t>
      </w:r>
      <w:r>
        <w:rPr>
          <w:rStyle w:val="10"/>
          <w:rFonts w:hint="eastAsia" w:cs="宋体"/>
          <w:b/>
          <w:lang w:eastAsia="zh-CN"/>
        </w:rPr>
        <w:t>或可吸收材料的试验</w:t>
      </w:r>
      <w:r>
        <w:tab/>
      </w:r>
      <w:r>
        <w:fldChar w:fldCharType="begin"/>
      </w:r>
      <w:r>
        <w:instrText xml:space="preserve"> PAGEREF _Toc97827708 \h </w:instrText>
      </w:r>
      <w:r>
        <w:fldChar w:fldCharType="separate"/>
      </w:r>
      <w:r>
        <w:t>25</w:t>
      </w:r>
      <w:r>
        <w:fldChar w:fldCharType="end"/>
      </w:r>
      <w:r>
        <w:fldChar w:fldCharType="end"/>
      </w:r>
    </w:p>
    <w:p w14:paraId="5E2677B9">
      <w:pPr>
        <w:pStyle w:val="6"/>
        <w:tabs>
          <w:tab w:val="left" w:pos="1050"/>
          <w:tab w:val="right" w:leader="dot" w:pos="9060"/>
        </w:tabs>
        <w:ind w:left="600"/>
        <w:rPr>
          <w:rFonts w:asciiTheme="minorHAnsi" w:hAnsiTheme="minorHAnsi" w:eastAsiaTheme="minorEastAsia" w:cstheme="minorBidi"/>
          <w:color w:val="auto"/>
          <w:kern w:val="2"/>
          <w:sz w:val="21"/>
          <w:szCs w:val="22"/>
          <w:lang w:eastAsia="zh-CN" w:bidi="ar-SA"/>
        </w:rPr>
      </w:pPr>
      <w:r>
        <w:fldChar w:fldCharType="begin"/>
      </w:r>
      <w:r>
        <w:instrText xml:space="preserve"> HYPERLINK \l "_Toc97827709" </w:instrText>
      </w:r>
      <w:r>
        <w:fldChar w:fldCharType="separate"/>
      </w:r>
      <w:r>
        <w:rPr>
          <w:rStyle w:val="10"/>
          <w:b/>
          <w:bCs/>
          <w:lang w:eastAsia="zh-CN"/>
        </w:rPr>
        <w:t>C.</w:t>
      </w:r>
      <w:r>
        <w:rPr>
          <w:rFonts w:asciiTheme="minorHAnsi" w:hAnsiTheme="minorHAnsi" w:eastAsiaTheme="minorEastAsia" w:cstheme="minorBidi"/>
          <w:color w:val="auto"/>
          <w:kern w:val="2"/>
          <w:sz w:val="21"/>
          <w:szCs w:val="22"/>
          <w:lang w:eastAsia="zh-CN" w:bidi="ar-SA"/>
        </w:rPr>
        <w:tab/>
      </w:r>
      <w:r>
        <w:rPr>
          <w:rStyle w:val="10"/>
          <w:rFonts w:hint="eastAsia" w:cs="宋体"/>
          <w:b/>
          <w:lang w:eastAsia="zh-CN"/>
        </w:rPr>
        <w:t>器械机械故障导致的生物学反应</w:t>
      </w:r>
      <w:r>
        <w:tab/>
      </w:r>
      <w:r>
        <w:fldChar w:fldCharType="begin"/>
      </w:r>
      <w:r>
        <w:instrText xml:space="preserve"> PAGEREF _Toc97827709 \h </w:instrText>
      </w:r>
      <w:r>
        <w:fldChar w:fldCharType="separate"/>
      </w:r>
      <w:r>
        <w:t>26</w:t>
      </w:r>
      <w:r>
        <w:fldChar w:fldCharType="end"/>
      </w:r>
      <w:r>
        <w:fldChar w:fldCharType="end"/>
      </w:r>
    </w:p>
    <w:p w14:paraId="04CBE787">
      <w:pPr>
        <w:pStyle w:val="6"/>
        <w:tabs>
          <w:tab w:val="left" w:pos="1050"/>
          <w:tab w:val="right" w:leader="dot" w:pos="9060"/>
        </w:tabs>
        <w:ind w:left="600"/>
        <w:rPr>
          <w:rFonts w:asciiTheme="minorHAnsi" w:hAnsiTheme="minorHAnsi" w:eastAsiaTheme="minorEastAsia" w:cstheme="minorBidi"/>
          <w:color w:val="auto"/>
          <w:kern w:val="2"/>
          <w:sz w:val="21"/>
          <w:szCs w:val="22"/>
          <w:lang w:eastAsia="zh-CN" w:bidi="ar-SA"/>
        </w:rPr>
      </w:pPr>
      <w:r>
        <w:fldChar w:fldCharType="begin"/>
      </w:r>
      <w:r>
        <w:instrText xml:space="preserve"> HYPERLINK \l "_Toc97827710" </w:instrText>
      </w:r>
      <w:r>
        <w:fldChar w:fldCharType="separate"/>
      </w:r>
      <w:r>
        <w:rPr>
          <w:rStyle w:val="10"/>
          <w:b/>
          <w:bCs/>
        </w:rPr>
        <w:t>D.</w:t>
      </w:r>
      <w:r>
        <w:rPr>
          <w:rFonts w:asciiTheme="minorHAnsi" w:hAnsiTheme="minorHAnsi" w:eastAsiaTheme="minorEastAsia" w:cstheme="minorBidi"/>
          <w:color w:val="auto"/>
          <w:kern w:val="2"/>
          <w:sz w:val="21"/>
          <w:szCs w:val="22"/>
          <w:lang w:eastAsia="zh-CN" w:bidi="ar-SA"/>
        </w:rPr>
        <w:tab/>
      </w:r>
      <w:r>
        <w:rPr>
          <w:rStyle w:val="10"/>
          <w:rFonts w:hint="eastAsia" w:cs="宋体"/>
          <w:b/>
        </w:rPr>
        <w:t>亚微米或纳米技术成分</w:t>
      </w:r>
      <w:r>
        <w:tab/>
      </w:r>
      <w:r>
        <w:fldChar w:fldCharType="begin"/>
      </w:r>
      <w:r>
        <w:instrText xml:space="preserve"> PAGEREF _Toc97827710 \h </w:instrText>
      </w:r>
      <w:r>
        <w:fldChar w:fldCharType="separate"/>
      </w:r>
      <w:r>
        <w:t>27</w:t>
      </w:r>
      <w:r>
        <w:fldChar w:fldCharType="end"/>
      </w:r>
      <w:r>
        <w:fldChar w:fldCharType="end"/>
      </w:r>
    </w:p>
    <w:p w14:paraId="1D7DC810">
      <w:pPr>
        <w:pStyle w:val="6"/>
        <w:tabs>
          <w:tab w:val="left" w:pos="1050"/>
          <w:tab w:val="right" w:leader="dot" w:pos="9060"/>
        </w:tabs>
        <w:ind w:left="600"/>
        <w:rPr>
          <w:rFonts w:asciiTheme="minorHAnsi" w:hAnsiTheme="minorHAnsi" w:eastAsiaTheme="minorEastAsia" w:cstheme="minorBidi"/>
          <w:color w:val="auto"/>
          <w:kern w:val="2"/>
          <w:sz w:val="21"/>
          <w:szCs w:val="22"/>
          <w:lang w:eastAsia="zh-CN" w:bidi="ar-SA"/>
        </w:rPr>
      </w:pPr>
      <w:r>
        <w:fldChar w:fldCharType="begin"/>
      </w:r>
      <w:r>
        <w:instrText xml:space="preserve"> HYPERLINK \l "_Toc97827711" </w:instrText>
      </w:r>
      <w:r>
        <w:fldChar w:fldCharType="separate"/>
      </w:r>
      <w:r>
        <w:rPr>
          <w:rStyle w:val="10"/>
          <w:b/>
          <w:bCs/>
          <w:lang w:eastAsia="zh-CN"/>
        </w:rPr>
        <w:t>E.</w:t>
      </w:r>
      <w:r>
        <w:rPr>
          <w:rFonts w:asciiTheme="minorHAnsi" w:hAnsiTheme="minorHAnsi" w:eastAsiaTheme="minorEastAsia" w:cstheme="minorBidi"/>
          <w:color w:val="auto"/>
          <w:kern w:val="2"/>
          <w:sz w:val="21"/>
          <w:szCs w:val="22"/>
          <w:lang w:eastAsia="zh-CN" w:bidi="ar-SA"/>
        </w:rPr>
        <w:tab/>
      </w:r>
      <w:r>
        <w:rPr>
          <w:rStyle w:val="10"/>
          <w:rFonts w:hint="eastAsia" w:cs="宋体"/>
          <w:b/>
          <w:lang w:eastAsia="zh-CN"/>
        </w:rPr>
        <w:t>用于浸提试验的供试品制备</w:t>
      </w:r>
      <w:r>
        <w:tab/>
      </w:r>
      <w:r>
        <w:fldChar w:fldCharType="begin"/>
      </w:r>
      <w:r>
        <w:instrText xml:space="preserve"> PAGEREF _Toc97827711 \h </w:instrText>
      </w:r>
      <w:r>
        <w:fldChar w:fldCharType="separate"/>
      </w:r>
      <w:r>
        <w:t>28</w:t>
      </w:r>
      <w:r>
        <w:fldChar w:fldCharType="end"/>
      </w:r>
      <w:r>
        <w:fldChar w:fldCharType="end"/>
      </w:r>
    </w:p>
    <w:p w14:paraId="7D70D31E">
      <w:pPr>
        <w:pStyle w:val="6"/>
        <w:tabs>
          <w:tab w:val="left" w:pos="1050"/>
          <w:tab w:val="right" w:leader="dot" w:pos="9060"/>
        </w:tabs>
        <w:ind w:left="600"/>
        <w:rPr>
          <w:rFonts w:asciiTheme="minorHAnsi" w:hAnsiTheme="minorHAnsi" w:eastAsiaTheme="minorEastAsia" w:cstheme="minorBidi"/>
          <w:color w:val="auto"/>
          <w:kern w:val="2"/>
          <w:sz w:val="21"/>
          <w:szCs w:val="22"/>
          <w:lang w:eastAsia="zh-CN" w:bidi="ar-SA"/>
        </w:rPr>
      </w:pPr>
      <w:r>
        <w:fldChar w:fldCharType="begin"/>
      </w:r>
      <w:r>
        <w:instrText xml:space="preserve"> HYPERLINK \l "_Toc97827712" </w:instrText>
      </w:r>
      <w:r>
        <w:fldChar w:fldCharType="separate"/>
      </w:r>
      <w:r>
        <w:rPr>
          <w:rStyle w:val="10"/>
          <w:b/>
          <w:bCs/>
          <w:lang w:eastAsia="zh-CN"/>
        </w:rPr>
        <w:t>F.</w:t>
      </w:r>
      <w:r>
        <w:rPr>
          <w:rFonts w:asciiTheme="minorHAnsi" w:hAnsiTheme="minorHAnsi" w:eastAsiaTheme="minorEastAsia" w:cstheme="minorBidi"/>
          <w:color w:val="auto"/>
          <w:kern w:val="2"/>
          <w:sz w:val="21"/>
          <w:szCs w:val="22"/>
          <w:lang w:eastAsia="zh-CN" w:bidi="ar-SA"/>
        </w:rPr>
        <w:tab/>
      </w:r>
      <w:r>
        <w:rPr>
          <w:rStyle w:val="10"/>
          <w:rFonts w:hint="eastAsia" w:cs="宋体"/>
          <w:b/>
          <w:lang w:eastAsia="zh-CN"/>
        </w:rPr>
        <w:t>在单一供试品中纳入多个组分或材料</w:t>
      </w:r>
      <w:r>
        <w:tab/>
      </w:r>
      <w:r>
        <w:fldChar w:fldCharType="begin"/>
      </w:r>
      <w:r>
        <w:instrText xml:space="preserve"> PAGEREF _Toc97827712 \h </w:instrText>
      </w:r>
      <w:r>
        <w:fldChar w:fldCharType="separate"/>
      </w:r>
      <w:r>
        <w:t>30</w:t>
      </w:r>
      <w:r>
        <w:fldChar w:fldCharType="end"/>
      </w:r>
      <w:r>
        <w:fldChar w:fldCharType="end"/>
      </w:r>
    </w:p>
    <w:p w14:paraId="6C6026C6">
      <w:pPr>
        <w:pStyle w:val="5"/>
        <w:rPr>
          <w:rFonts w:asciiTheme="minorHAnsi" w:hAnsiTheme="minorHAnsi" w:eastAsiaTheme="minorEastAsia" w:cstheme="minorBidi"/>
          <w:color w:val="auto"/>
          <w:kern w:val="2"/>
          <w:sz w:val="21"/>
          <w:szCs w:val="22"/>
          <w:lang w:eastAsia="zh-CN" w:bidi="ar-SA"/>
        </w:rPr>
      </w:pPr>
      <w:r>
        <w:fldChar w:fldCharType="begin"/>
      </w:r>
      <w:r>
        <w:instrText xml:space="preserve"> HYPERLINK \l "_Toc97827713" </w:instrText>
      </w:r>
      <w:r>
        <w:fldChar w:fldCharType="separate"/>
      </w:r>
      <w:r>
        <w:rPr>
          <w:rStyle w:val="10"/>
          <w:b/>
          <w:bCs/>
        </w:rPr>
        <w:t>VI.</w:t>
      </w:r>
      <w:r>
        <w:rPr>
          <w:rFonts w:asciiTheme="minorHAnsi" w:hAnsiTheme="minorHAnsi" w:eastAsiaTheme="minorEastAsia" w:cstheme="minorBidi"/>
          <w:color w:val="auto"/>
          <w:kern w:val="2"/>
          <w:sz w:val="21"/>
          <w:szCs w:val="22"/>
          <w:lang w:eastAsia="zh-CN" w:bidi="ar-SA"/>
        </w:rPr>
        <w:tab/>
      </w:r>
      <w:r>
        <w:rPr>
          <w:rStyle w:val="10"/>
          <w:rFonts w:hint="eastAsia" w:cs="宋体"/>
          <w:b/>
        </w:rPr>
        <w:t>试验特定考虑因素</w:t>
      </w:r>
      <w:r>
        <w:tab/>
      </w:r>
      <w:r>
        <w:fldChar w:fldCharType="begin"/>
      </w:r>
      <w:r>
        <w:instrText xml:space="preserve"> PAGEREF _Toc97827713 \h </w:instrText>
      </w:r>
      <w:r>
        <w:fldChar w:fldCharType="separate"/>
      </w:r>
      <w:r>
        <w:t>30</w:t>
      </w:r>
      <w:r>
        <w:fldChar w:fldCharType="end"/>
      </w:r>
      <w:r>
        <w:fldChar w:fldCharType="end"/>
      </w:r>
    </w:p>
    <w:p w14:paraId="3FBC63F4">
      <w:pPr>
        <w:pStyle w:val="6"/>
        <w:tabs>
          <w:tab w:val="left" w:pos="1050"/>
          <w:tab w:val="right" w:leader="dot" w:pos="9060"/>
        </w:tabs>
        <w:ind w:left="600"/>
        <w:rPr>
          <w:rFonts w:asciiTheme="minorHAnsi" w:hAnsiTheme="minorHAnsi" w:eastAsiaTheme="minorEastAsia" w:cstheme="minorBidi"/>
          <w:color w:val="auto"/>
          <w:kern w:val="2"/>
          <w:sz w:val="21"/>
          <w:szCs w:val="22"/>
          <w:lang w:eastAsia="zh-CN" w:bidi="ar-SA"/>
        </w:rPr>
      </w:pPr>
      <w:r>
        <w:fldChar w:fldCharType="begin"/>
      </w:r>
      <w:r>
        <w:instrText xml:space="preserve"> HYPERLINK \l "_Toc97827714" </w:instrText>
      </w:r>
      <w:r>
        <w:fldChar w:fldCharType="separate"/>
      </w:r>
      <w:r>
        <w:rPr>
          <w:rStyle w:val="10"/>
          <w:b/>
          <w:bCs/>
        </w:rPr>
        <w:t>A.</w:t>
      </w:r>
      <w:r>
        <w:rPr>
          <w:rFonts w:asciiTheme="minorHAnsi" w:hAnsiTheme="minorHAnsi" w:eastAsiaTheme="minorEastAsia" w:cstheme="minorBidi"/>
          <w:color w:val="auto"/>
          <w:kern w:val="2"/>
          <w:sz w:val="21"/>
          <w:szCs w:val="22"/>
          <w:lang w:eastAsia="zh-CN" w:bidi="ar-SA"/>
        </w:rPr>
        <w:tab/>
      </w:r>
      <w:r>
        <w:rPr>
          <w:rStyle w:val="10"/>
          <w:rFonts w:hint="eastAsia" w:cs="宋体"/>
          <w:b/>
        </w:rPr>
        <w:t>细胞毒性</w:t>
      </w:r>
      <w:r>
        <w:tab/>
      </w:r>
      <w:r>
        <w:fldChar w:fldCharType="begin"/>
      </w:r>
      <w:r>
        <w:instrText xml:space="preserve"> PAGEREF _Toc97827714 \h </w:instrText>
      </w:r>
      <w:r>
        <w:fldChar w:fldCharType="separate"/>
      </w:r>
      <w:r>
        <w:t>30</w:t>
      </w:r>
      <w:r>
        <w:fldChar w:fldCharType="end"/>
      </w:r>
      <w:r>
        <w:fldChar w:fldCharType="end"/>
      </w:r>
    </w:p>
    <w:p w14:paraId="39536261">
      <w:pPr>
        <w:pStyle w:val="6"/>
        <w:tabs>
          <w:tab w:val="left" w:pos="1050"/>
          <w:tab w:val="right" w:leader="dot" w:pos="9060"/>
        </w:tabs>
        <w:ind w:left="600"/>
        <w:rPr>
          <w:rFonts w:asciiTheme="minorHAnsi" w:hAnsiTheme="minorHAnsi" w:eastAsiaTheme="minorEastAsia" w:cstheme="minorBidi"/>
          <w:color w:val="auto"/>
          <w:kern w:val="2"/>
          <w:sz w:val="21"/>
          <w:szCs w:val="22"/>
          <w:lang w:eastAsia="zh-CN" w:bidi="ar-SA"/>
        </w:rPr>
      </w:pPr>
      <w:r>
        <w:fldChar w:fldCharType="begin"/>
      </w:r>
      <w:r>
        <w:instrText xml:space="preserve"> HYPERLINK \l "_Toc97827715" </w:instrText>
      </w:r>
      <w:r>
        <w:fldChar w:fldCharType="separate"/>
      </w:r>
      <w:r>
        <w:rPr>
          <w:rStyle w:val="10"/>
          <w:b/>
          <w:bCs/>
        </w:rPr>
        <w:t>B.</w:t>
      </w:r>
      <w:r>
        <w:rPr>
          <w:rFonts w:asciiTheme="minorHAnsi" w:hAnsiTheme="minorHAnsi" w:eastAsiaTheme="minorEastAsia" w:cstheme="minorBidi"/>
          <w:color w:val="auto"/>
          <w:kern w:val="2"/>
          <w:sz w:val="21"/>
          <w:szCs w:val="22"/>
          <w:lang w:eastAsia="zh-CN" w:bidi="ar-SA"/>
        </w:rPr>
        <w:tab/>
      </w:r>
      <w:r>
        <w:rPr>
          <w:rStyle w:val="10"/>
          <w:rFonts w:hint="eastAsia" w:cs="宋体"/>
          <w:b/>
        </w:rPr>
        <w:t>致敏性</w:t>
      </w:r>
      <w:r>
        <w:tab/>
      </w:r>
      <w:r>
        <w:fldChar w:fldCharType="begin"/>
      </w:r>
      <w:r>
        <w:instrText xml:space="preserve"> PAGEREF _Toc97827715 \h </w:instrText>
      </w:r>
      <w:r>
        <w:fldChar w:fldCharType="separate"/>
      </w:r>
      <w:r>
        <w:t>31</w:t>
      </w:r>
      <w:r>
        <w:fldChar w:fldCharType="end"/>
      </w:r>
      <w:r>
        <w:fldChar w:fldCharType="end"/>
      </w:r>
    </w:p>
    <w:p w14:paraId="4EF1FBCE">
      <w:pPr>
        <w:pStyle w:val="6"/>
        <w:tabs>
          <w:tab w:val="left" w:pos="1050"/>
          <w:tab w:val="right" w:leader="dot" w:pos="9060"/>
        </w:tabs>
        <w:ind w:left="600"/>
        <w:rPr>
          <w:rFonts w:asciiTheme="minorHAnsi" w:hAnsiTheme="minorHAnsi" w:eastAsiaTheme="minorEastAsia" w:cstheme="minorBidi"/>
          <w:color w:val="auto"/>
          <w:kern w:val="2"/>
          <w:sz w:val="21"/>
          <w:szCs w:val="22"/>
          <w:lang w:eastAsia="zh-CN" w:bidi="ar-SA"/>
        </w:rPr>
      </w:pPr>
      <w:r>
        <w:fldChar w:fldCharType="begin"/>
      </w:r>
      <w:r>
        <w:instrText xml:space="preserve"> HYPERLINK \l "_Toc97827716" </w:instrText>
      </w:r>
      <w:r>
        <w:fldChar w:fldCharType="separate"/>
      </w:r>
      <w:r>
        <w:rPr>
          <w:rStyle w:val="10"/>
          <w:b/>
          <w:bCs/>
        </w:rPr>
        <w:t>C.</w:t>
      </w:r>
      <w:r>
        <w:rPr>
          <w:rFonts w:asciiTheme="minorHAnsi" w:hAnsiTheme="minorHAnsi" w:eastAsiaTheme="minorEastAsia" w:cstheme="minorBidi"/>
          <w:color w:val="auto"/>
          <w:kern w:val="2"/>
          <w:sz w:val="21"/>
          <w:szCs w:val="22"/>
          <w:lang w:eastAsia="zh-CN" w:bidi="ar-SA"/>
        </w:rPr>
        <w:tab/>
      </w:r>
      <w:r>
        <w:rPr>
          <w:rStyle w:val="10"/>
          <w:rFonts w:hint="eastAsia" w:cs="宋体"/>
          <w:b/>
        </w:rPr>
        <w:t>血液相容性</w:t>
      </w:r>
      <w:r>
        <w:tab/>
      </w:r>
      <w:r>
        <w:fldChar w:fldCharType="begin"/>
      </w:r>
      <w:r>
        <w:instrText xml:space="preserve"> PAGEREF _Toc97827716 \h </w:instrText>
      </w:r>
      <w:r>
        <w:fldChar w:fldCharType="separate"/>
      </w:r>
      <w:r>
        <w:t>33</w:t>
      </w:r>
      <w:r>
        <w:fldChar w:fldCharType="end"/>
      </w:r>
      <w:r>
        <w:fldChar w:fldCharType="end"/>
      </w:r>
    </w:p>
    <w:p w14:paraId="3455DC23">
      <w:pPr>
        <w:pStyle w:val="6"/>
        <w:tabs>
          <w:tab w:val="left" w:pos="1050"/>
          <w:tab w:val="right" w:leader="dot" w:pos="9060"/>
        </w:tabs>
        <w:ind w:left="600"/>
        <w:rPr>
          <w:rFonts w:asciiTheme="minorHAnsi" w:hAnsiTheme="minorHAnsi" w:eastAsiaTheme="minorEastAsia" w:cstheme="minorBidi"/>
          <w:color w:val="auto"/>
          <w:kern w:val="2"/>
          <w:sz w:val="21"/>
          <w:szCs w:val="22"/>
          <w:lang w:eastAsia="zh-CN" w:bidi="ar-SA"/>
        </w:rPr>
      </w:pPr>
      <w:r>
        <w:fldChar w:fldCharType="begin"/>
      </w:r>
      <w:r>
        <w:instrText xml:space="preserve"> HYPERLINK \l "_Toc97827717" </w:instrText>
      </w:r>
      <w:r>
        <w:fldChar w:fldCharType="separate"/>
      </w:r>
      <w:r>
        <w:rPr>
          <w:rStyle w:val="10"/>
          <w:b/>
          <w:bCs/>
        </w:rPr>
        <w:t>D.</w:t>
      </w:r>
      <w:r>
        <w:rPr>
          <w:rFonts w:asciiTheme="minorHAnsi" w:hAnsiTheme="minorHAnsi" w:eastAsiaTheme="minorEastAsia" w:cstheme="minorBidi"/>
          <w:color w:val="auto"/>
          <w:kern w:val="2"/>
          <w:sz w:val="21"/>
          <w:szCs w:val="22"/>
          <w:lang w:eastAsia="zh-CN" w:bidi="ar-SA"/>
        </w:rPr>
        <w:tab/>
      </w:r>
      <w:r>
        <w:rPr>
          <w:rStyle w:val="10"/>
          <w:rFonts w:hint="eastAsia" w:cs="宋体"/>
          <w:b/>
        </w:rPr>
        <w:t>致热原性</w:t>
      </w:r>
      <w:r>
        <w:tab/>
      </w:r>
      <w:r>
        <w:fldChar w:fldCharType="begin"/>
      </w:r>
      <w:r>
        <w:instrText xml:space="preserve"> PAGEREF _Toc97827717 \h </w:instrText>
      </w:r>
      <w:r>
        <w:fldChar w:fldCharType="separate"/>
      </w:r>
      <w:r>
        <w:t>38</w:t>
      </w:r>
      <w:r>
        <w:fldChar w:fldCharType="end"/>
      </w:r>
      <w:r>
        <w:fldChar w:fldCharType="end"/>
      </w:r>
    </w:p>
    <w:p w14:paraId="5CEAFD6F">
      <w:pPr>
        <w:pStyle w:val="6"/>
        <w:tabs>
          <w:tab w:val="left" w:pos="1050"/>
          <w:tab w:val="right" w:leader="dot" w:pos="9060"/>
        </w:tabs>
        <w:ind w:left="600"/>
        <w:rPr>
          <w:rFonts w:asciiTheme="minorHAnsi" w:hAnsiTheme="minorHAnsi" w:eastAsiaTheme="minorEastAsia" w:cstheme="minorBidi"/>
          <w:color w:val="auto"/>
          <w:kern w:val="2"/>
          <w:sz w:val="21"/>
          <w:szCs w:val="22"/>
          <w:lang w:eastAsia="zh-CN" w:bidi="ar-SA"/>
        </w:rPr>
      </w:pPr>
      <w:r>
        <w:fldChar w:fldCharType="begin"/>
      </w:r>
      <w:r>
        <w:instrText xml:space="preserve"> HYPERLINK \l "_Toc97827718" </w:instrText>
      </w:r>
      <w:r>
        <w:fldChar w:fldCharType="separate"/>
      </w:r>
      <w:r>
        <w:rPr>
          <w:rStyle w:val="10"/>
          <w:b/>
          <w:bCs/>
        </w:rPr>
        <w:t>E.</w:t>
      </w:r>
      <w:r>
        <w:rPr>
          <w:rFonts w:asciiTheme="minorHAnsi" w:hAnsiTheme="minorHAnsi" w:eastAsiaTheme="minorEastAsia" w:cstheme="minorBidi"/>
          <w:color w:val="auto"/>
          <w:kern w:val="2"/>
          <w:sz w:val="21"/>
          <w:szCs w:val="22"/>
          <w:lang w:eastAsia="zh-CN" w:bidi="ar-SA"/>
        </w:rPr>
        <w:tab/>
      </w:r>
      <w:r>
        <w:rPr>
          <w:rStyle w:val="10"/>
          <w:rFonts w:hint="eastAsia" w:cs="宋体"/>
          <w:b/>
        </w:rPr>
        <w:t>植入</w:t>
      </w:r>
      <w:r>
        <w:tab/>
      </w:r>
      <w:r>
        <w:fldChar w:fldCharType="begin"/>
      </w:r>
      <w:r>
        <w:instrText xml:space="preserve"> PAGEREF _Toc97827718 \h </w:instrText>
      </w:r>
      <w:r>
        <w:fldChar w:fldCharType="separate"/>
      </w:r>
      <w:r>
        <w:t>39</w:t>
      </w:r>
      <w:r>
        <w:fldChar w:fldCharType="end"/>
      </w:r>
      <w:r>
        <w:fldChar w:fldCharType="end"/>
      </w:r>
    </w:p>
    <w:p w14:paraId="3E09798B">
      <w:pPr>
        <w:pStyle w:val="6"/>
        <w:tabs>
          <w:tab w:val="left" w:pos="1050"/>
          <w:tab w:val="right" w:leader="dot" w:pos="9060"/>
        </w:tabs>
        <w:ind w:left="600"/>
        <w:rPr>
          <w:rFonts w:asciiTheme="minorHAnsi" w:hAnsiTheme="minorHAnsi" w:eastAsiaTheme="minorEastAsia" w:cstheme="minorBidi"/>
          <w:color w:val="auto"/>
          <w:kern w:val="2"/>
          <w:sz w:val="21"/>
          <w:szCs w:val="22"/>
          <w:lang w:eastAsia="zh-CN" w:bidi="ar-SA"/>
        </w:rPr>
      </w:pPr>
      <w:r>
        <w:fldChar w:fldCharType="begin"/>
      </w:r>
      <w:r>
        <w:instrText xml:space="preserve"> HYPERLINK \l "_Toc97827719" </w:instrText>
      </w:r>
      <w:r>
        <w:fldChar w:fldCharType="separate"/>
      </w:r>
      <w:r>
        <w:rPr>
          <w:rStyle w:val="10"/>
          <w:b/>
          <w:bCs/>
        </w:rPr>
        <w:t>F.</w:t>
      </w:r>
      <w:r>
        <w:rPr>
          <w:rFonts w:asciiTheme="minorHAnsi" w:hAnsiTheme="minorHAnsi" w:eastAsiaTheme="minorEastAsia" w:cstheme="minorBidi"/>
          <w:color w:val="auto"/>
          <w:kern w:val="2"/>
          <w:sz w:val="21"/>
          <w:szCs w:val="22"/>
          <w:lang w:eastAsia="zh-CN" w:bidi="ar-SA"/>
        </w:rPr>
        <w:tab/>
      </w:r>
      <w:r>
        <w:rPr>
          <w:rStyle w:val="10"/>
          <w:rFonts w:hint="eastAsia" w:cs="宋体"/>
          <w:b/>
        </w:rPr>
        <w:t>遗传毒性</w:t>
      </w:r>
      <w:r>
        <w:tab/>
      </w:r>
      <w:r>
        <w:fldChar w:fldCharType="begin"/>
      </w:r>
      <w:r>
        <w:instrText xml:space="preserve"> PAGEREF _Toc97827719 \h </w:instrText>
      </w:r>
      <w:r>
        <w:fldChar w:fldCharType="separate"/>
      </w:r>
      <w:r>
        <w:t>40</w:t>
      </w:r>
      <w:r>
        <w:fldChar w:fldCharType="end"/>
      </w:r>
      <w:r>
        <w:fldChar w:fldCharType="end"/>
      </w:r>
    </w:p>
    <w:p w14:paraId="0C88AAC2">
      <w:pPr>
        <w:pStyle w:val="6"/>
        <w:tabs>
          <w:tab w:val="left" w:pos="1050"/>
          <w:tab w:val="right" w:leader="dot" w:pos="9060"/>
        </w:tabs>
        <w:ind w:left="600"/>
        <w:rPr>
          <w:rFonts w:asciiTheme="minorHAnsi" w:hAnsiTheme="minorHAnsi" w:eastAsiaTheme="minorEastAsia" w:cstheme="minorBidi"/>
          <w:color w:val="auto"/>
          <w:kern w:val="2"/>
          <w:sz w:val="21"/>
          <w:szCs w:val="22"/>
          <w:lang w:eastAsia="zh-CN" w:bidi="ar-SA"/>
        </w:rPr>
      </w:pPr>
      <w:r>
        <w:fldChar w:fldCharType="begin"/>
      </w:r>
      <w:r>
        <w:instrText xml:space="preserve"> HYPERLINK \l "_Toc97827720" </w:instrText>
      </w:r>
      <w:r>
        <w:fldChar w:fldCharType="separate"/>
      </w:r>
      <w:r>
        <w:rPr>
          <w:rStyle w:val="10"/>
          <w:b/>
          <w:bCs/>
        </w:rPr>
        <w:t>G.</w:t>
      </w:r>
      <w:r>
        <w:rPr>
          <w:rFonts w:asciiTheme="minorHAnsi" w:hAnsiTheme="minorHAnsi" w:eastAsiaTheme="minorEastAsia" w:cstheme="minorBidi"/>
          <w:color w:val="auto"/>
          <w:kern w:val="2"/>
          <w:sz w:val="21"/>
          <w:szCs w:val="22"/>
          <w:lang w:eastAsia="zh-CN" w:bidi="ar-SA"/>
        </w:rPr>
        <w:tab/>
      </w:r>
      <w:r>
        <w:rPr>
          <w:rStyle w:val="10"/>
          <w:rFonts w:hint="eastAsia" w:cs="宋体"/>
          <w:b/>
        </w:rPr>
        <w:t>致癌性</w:t>
      </w:r>
      <w:r>
        <w:tab/>
      </w:r>
      <w:r>
        <w:fldChar w:fldCharType="begin"/>
      </w:r>
      <w:r>
        <w:instrText xml:space="preserve"> PAGEREF _Toc97827720 \h </w:instrText>
      </w:r>
      <w:r>
        <w:fldChar w:fldCharType="separate"/>
      </w:r>
      <w:r>
        <w:t>43</w:t>
      </w:r>
      <w:r>
        <w:fldChar w:fldCharType="end"/>
      </w:r>
      <w:r>
        <w:fldChar w:fldCharType="end"/>
      </w:r>
    </w:p>
    <w:p w14:paraId="720B7F1C">
      <w:pPr>
        <w:pStyle w:val="6"/>
        <w:tabs>
          <w:tab w:val="left" w:pos="1050"/>
          <w:tab w:val="right" w:leader="dot" w:pos="9060"/>
        </w:tabs>
        <w:ind w:left="600"/>
        <w:rPr>
          <w:rFonts w:asciiTheme="minorHAnsi" w:hAnsiTheme="minorHAnsi" w:eastAsiaTheme="minorEastAsia" w:cstheme="minorBidi"/>
          <w:color w:val="auto"/>
          <w:kern w:val="2"/>
          <w:sz w:val="21"/>
          <w:szCs w:val="22"/>
          <w:lang w:eastAsia="zh-CN" w:bidi="ar-SA"/>
        </w:rPr>
      </w:pPr>
      <w:r>
        <w:fldChar w:fldCharType="begin"/>
      </w:r>
      <w:r>
        <w:instrText xml:space="preserve"> HYPERLINK \l "_Toc97827721" </w:instrText>
      </w:r>
      <w:r>
        <w:fldChar w:fldCharType="separate"/>
      </w:r>
      <w:r>
        <w:rPr>
          <w:rStyle w:val="10"/>
          <w:b/>
          <w:bCs/>
        </w:rPr>
        <w:t>H.</w:t>
      </w:r>
      <w:r>
        <w:rPr>
          <w:rFonts w:asciiTheme="minorHAnsi" w:hAnsiTheme="minorHAnsi" w:eastAsiaTheme="minorEastAsia" w:cstheme="minorBidi"/>
          <w:color w:val="auto"/>
          <w:kern w:val="2"/>
          <w:sz w:val="21"/>
          <w:szCs w:val="22"/>
          <w:lang w:eastAsia="zh-CN" w:bidi="ar-SA"/>
        </w:rPr>
        <w:tab/>
      </w:r>
      <w:r>
        <w:rPr>
          <w:rStyle w:val="10"/>
          <w:rFonts w:hint="eastAsia" w:cs="宋体"/>
          <w:b/>
        </w:rPr>
        <w:t>生殖和发育毒性</w:t>
      </w:r>
      <w:r>
        <w:tab/>
      </w:r>
      <w:r>
        <w:fldChar w:fldCharType="begin"/>
      </w:r>
      <w:r>
        <w:instrText xml:space="preserve"> PAGEREF _Toc97827721 \h </w:instrText>
      </w:r>
      <w:r>
        <w:fldChar w:fldCharType="separate"/>
      </w:r>
      <w:r>
        <w:t>45</w:t>
      </w:r>
      <w:r>
        <w:fldChar w:fldCharType="end"/>
      </w:r>
      <w:r>
        <w:fldChar w:fldCharType="end"/>
      </w:r>
    </w:p>
    <w:p w14:paraId="3E183C93">
      <w:pPr>
        <w:pStyle w:val="6"/>
        <w:tabs>
          <w:tab w:val="left" w:pos="1050"/>
          <w:tab w:val="right" w:leader="dot" w:pos="9060"/>
        </w:tabs>
        <w:ind w:left="600"/>
        <w:rPr>
          <w:rFonts w:asciiTheme="minorHAnsi" w:hAnsiTheme="minorHAnsi" w:eastAsiaTheme="minorEastAsia" w:cstheme="minorBidi"/>
          <w:color w:val="auto"/>
          <w:kern w:val="2"/>
          <w:sz w:val="21"/>
          <w:szCs w:val="22"/>
          <w:lang w:eastAsia="zh-CN" w:bidi="ar-SA"/>
        </w:rPr>
      </w:pPr>
      <w:r>
        <w:fldChar w:fldCharType="begin"/>
      </w:r>
      <w:r>
        <w:instrText xml:space="preserve"> HYPERLINK \l "_Toc97827722" </w:instrText>
      </w:r>
      <w:r>
        <w:fldChar w:fldCharType="separate"/>
      </w:r>
      <w:r>
        <w:rPr>
          <w:rStyle w:val="10"/>
          <w:b/>
          <w:bCs/>
        </w:rPr>
        <w:t>I.</w:t>
      </w:r>
      <w:r>
        <w:rPr>
          <w:rFonts w:asciiTheme="minorHAnsi" w:hAnsiTheme="minorHAnsi" w:eastAsiaTheme="minorEastAsia" w:cstheme="minorBidi"/>
          <w:color w:val="auto"/>
          <w:kern w:val="2"/>
          <w:sz w:val="21"/>
          <w:szCs w:val="22"/>
          <w:lang w:eastAsia="zh-CN" w:bidi="ar-SA"/>
        </w:rPr>
        <w:tab/>
      </w:r>
      <w:r>
        <w:rPr>
          <w:rStyle w:val="10"/>
          <w:rFonts w:hint="eastAsia" w:cs="宋体"/>
          <w:b/>
        </w:rPr>
        <w:t>降解评价</w:t>
      </w:r>
      <w:r>
        <w:tab/>
      </w:r>
      <w:r>
        <w:fldChar w:fldCharType="begin"/>
      </w:r>
      <w:r>
        <w:instrText xml:space="preserve"> PAGEREF _Toc97827722 \h </w:instrText>
      </w:r>
      <w:r>
        <w:fldChar w:fldCharType="separate"/>
      </w:r>
      <w:r>
        <w:t>45</w:t>
      </w:r>
      <w:r>
        <w:fldChar w:fldCharType="end"/>
      </w:r>
      <w:r>
        <w:fldChar w:fldCharType="end"/>
      </w:r>
    </w:p>
    <w:p w14:paraId="42D8A05B">
      <w:pPr>
        <w:pStyle w:val="5"/>
        <w:rPr>
          <w:rFonts w:asciiTheme="minorHAnsi" w:hAnsiTheme="minorHAnsi" w:eastAsiaTheme="minorEastAsia" w:cstheme="minorBidi"/>
          <w:color w:val="auto"/>
          <w:kern w:val="2"/>
          <w:sz w:val="21"/>
          <w:szCs w:val="22"/>
          <w:lang w:eastAsia="zh-CN" w:bidi="ar-SA"/>
        </w:rPr>
      </w:pPr>
      <w:r>
        <w:fldChar w:fldCharType="begin"/>
      </w:r>
      <w:r>
        <w:instrText xml:space="preserve"> HYPERLINK \l "_Toc97827723" </w:instrText>
      </w:r>
      <w:r>
        <w:fldChar w:fldCharType="separate"/>
      </w:r>
      <w:r>
        <w:rPr>
          <w:rStyle w:val="10"/>
          <w:b/>
          <w:bCs/>
        </w:rPr>
        <w:t>VII.</w:t>
      </w:r>
      <w:r>
        <w:rPr>
          <w:rFonts w:asciiTheme="minorHAnsi" w:hAnsiTheme="minorHAnsi" w:eastAsiaTheme="minorEastAsia" w:cstheme="minorBidi"/>
          <w:color w:val="auto"/>
          <w:kern w:val="2"/>
          <w:sz w:val="21"/>
          <w:szCs w:val="22"/>
          <w:lang w:eastAsia="zh-CN" w:bidi="ar-SA"/>
        </w:rPr>
        <w:tab/>
      </w:r>
      <w:r>
        <w:rPr>
          <w:rStyle w:val="10"/>
          <w:rFonts w:hint="eastAsia" w:cs="宋体"/>
          <w:b/>
        </w:rPr>
        <w:t>化学制品评价</w:t>
      </w:r>
      <w:r>
        <w:tab/>
      </w:r>
      <w:r>
        <w:fldChar w:fldCharType="begin"/>
      </w:r>
      <w:r>
        <w:instrText xml:space="preserve"> PAGEREF _Toc97827723 \h </w:instrText>
      </w:r>
      <w:r>
        <w:fldChar w:fldCharType="separate"/>
      </w:r>
      <w:r>
        <w:t>46</w:t>
      </w:r>
      <w:r>
        <w:fldChar w:fldCharType="end"/>
      </w:r>
      <w:r>
        <w:fldChar w:fldCharType="end"/>
      </w:r>
    </w:p>
    <w:p w14:paraId="0B8C8B71">
      <w:pPr>
        <w:pStyle w:val="5"/>
        <w:rPr>
          <w:rFonts w:asciiTheme="minorHAnsi" w:hAnsiTheme="minorHAnsi" w:eastAsiaTheme="minorEastAsia" w:cstheme="minorBidi"/>
          <w:color w:val="auto"/>
          <w:kern w:val="2"/>
          <w:sz w:val="21"/>
          <w:szCs w:val="22"/>
          <w:lang w:eastAsia="zh-CN" w:bidi="ar-SA"/>
        </w:rPr>
      </w:pPr>
      <w:r>
        <w:fldChar w:fldCharType="begin"/>
      </w:r>
      <w:r>
        <w:instrText xml:space="preserve"> HYPERLINK \l "_Toc97827724" </w:instrText>
      </w:r>
      <w:r>
        <w:fldChar w:fldCharType="separate"/>
      </w:r>
      <w:r>
        <w:rPr>
          <w:rStyle w:val="10"/>
          <w:b/>
          <w:bCs/>
        </w:rPr>
        <w:t>VIII.</w:t>
      </w:r>
      <w:r>
        <w:rPr>
          <w:rFonts w:asciiTheme="minorHAnsi" w:hAnsiTheme="minorHAnsi" w:eastAsiaTheme="minorEastAsia" w:cstheme="minorBidi"/>
          <w:color w:val="auto"/>
          <w:kern w:val="2"/>
          <w:sz w:val="21"/>
          <w:szCs w:val="22"/>
          <w:lang w:eastAsia="zh-CN" w:bidi="ar-SA"/>
        </w:rPr>
        <w:tab/>
      </w:r>
      <w:r>
        <w:rPr>
          <w:rStyle w:val="10"/>
          <w:rFonts w:hint="eastAsia" w:cs="宋体"/>
          <w:b/>
        </w:rPr>
        <w:t>标签</w:t>
      </w:r>
      <w:r>
        <w:rPr>
          <w:rStyle w:val="10"/>
          <w:rFonts w:cs="宋体"/>
          <w:b/>
          <w:vertAlign w:val="superscript"/>
        </w:rPr>
        <w:t>64</w:t>
      </w:r>
      <w:r>
        <w:rPr>
          <w:rStyle w:val="10"/>
          <w:rFonts w:hint="eastAsia" w:cs="宋体"/>
          <w:b/>
        </w:rPr>
        <w:t>器械为</w:t>
      </w:r>
      <w:r>
        <w:rPr>
          <w:rStyle w:val="10"/>
          <w:rFonts w:cs="宋体"/>
          <w:b/>
        </w:rPr>
        <w:t>“</w:t>
      </w:r>
      <w:r>
        <w:rPr>
          <w:rStyle w:val="10"/>
          <w:rFonts w:hint="eastAsia" w:cs="宋体"/>
          <w:b/>
        </w:rPr>
        <w:t>不含</w:t>
      </w:r>
      <w:r>
        <w:rPr>
          <w:rStyle w:val="10"/>
          <w:rFonts w:cs="宋体"/>
          <w:b/>
        </w:rPr>
        <w:t>-”</w:t>
      </w:r>
      <w:r>
        <w:tab/>
      </w:r>
      <w:r>
        <w:fldChar w:fldCharType="begin"/>
      </w:r>
      <w:r>
        <w:instrText xml:space="preserve"> PAGEREF _Toc97827724 \h </w:instrText>
      </w:r>
      <w:r>
        <w:fldChar w:fldCharType="separate"/>
      </w:r>
      <w:r>
        <w:t>50</w:t>
      </w:r>
      <w:r>
        <w:fldChar w:fldCharType="end"/>
      </w:r>
      <w:r>
        <w:fldChar w:fldCharType="end"/>
      </w:r>
    </w:p>
    <w:p w14:paraId="29CE335C">
      <w:pPr>
        <w:pStyle w:val="5"/>
        <w:rPr>
          <w:rFonts w:asciiTheme="minorHAnsi" w:hAnsiTheme="minorHAnsi" w:eastAsiaTheme="minorEastAsia" w:cstheme="minorBidi"/>
          <w:color w:val="auto"/>
          <w:kern w:val="2"/>
          <w:sz w:val="21"/>
          <w:szCs w:val="22"/>
          <w:lang w:eastAsia="zh-CN" w:bidi="ar-SA"/>
        </w:rPr>
      </w:pPr>
      <w:r>
        <w:fldChar w:fldCharType="begin"/>
      </w:r>
      <w:r>
        <w:instrText xml:space="preserve"> HYPERLINK \l "_Toc97827725" </w:instrText>
      </w:r>
      <w:r>
        <w:fldChar w:fldCharType="separate"/>
      </w:r>
      <w:r>
        <w:rPr>
          <w:rStyle w:val="10"/>
          <w:rFonts w:hint="eastAsia" w:cs="宋体"/>
          <w:b/>
          <w:lang w:eastAsia="zh-CN"/>
        </w:rPr>
        <w:t>附件</w:t>
      </w:r>
      <w:r>
        <w:rPr>
          <w:rStyle w:val="10"/>
          <w:rFonts w:cs="宋体"/>
          <w:b/>
          <w:lang w:eastAsia="zh-CN"/>
        </w:rPr>
        <w:t>A</w:t>
      </w:r>
      <w:r>
        <w:rPr>
          <w:rStyle w:val="10"/>
          <w:rFonts w:hint="eastAsia" w:cs="宋体"/>
          <w:b/>
          <w:lang w:eastAsia="zh-CN"/>
        </w:rPr>
        <w:t>：供考虑的评价终点</w:t>
      </w:r>
      <w:r>
        <w:tab/>
      </w:r>
      <w:r>
        <w:fldChar w:fldCharType="begin"/>
      </w:r>
      <w:r>
        <w:instrText xml:space="preserve"> PAGEREF _Toc97827725 \h </w:instrText>
      </w:r>
      <w:r>
        <w:fldChar w:fldCharType="separate"/>
      </w:r>
      <w:r>
        <w:t>51</w:t>
      </w:r>
      <w:r>
        <w:fldChar w:fldCharType="end"/>
      </w:r>
      <w:r>
        <w:fldChar w:fldCharType="end"/>
      </w:r>
    </w:p>
    <w:p w14:paraId="66952AEF">
      <w:pPr>
        <w:pStyle w:val="5"/>
        <w:rPr>
          <w:rFonts w:asciiTheme="minorHAnsi" w:hAnsiTheme="minorHAnsi" w:eastAsiaTheme="minorEastAsia" w:cstheme="minorBidi"/>
          <w:color w:val="auto"/>
          <w:kern w:val="2"/>
          <w:sz w:val="21"/>
          <w:szCs w:val="22"/>
          <w:lang w:eastAsia="zh-CN" w:bidi="ar-SA"/>
        </w:rPr>
      </w:pPr>
      <w:r>
        <w:fldChar w:fldCharType="begin"/>
      </w:r>
      <w:r>
        <w:instrText xml:space="preserve"> HYPERLINK \l "_Toc97827726" </w:instrText>
      </w:r>
      <w:r>
        <w:fldChar w:fldCharType="separate"/>
      </w:r>
      <w:r>
        <w:rPr>
          <w:rStyle w:val="10"/>
          <w:rFonts w:hint="eastAsia" w:cs="宋体"/>
          <w:b/>
          <w:lang w:eastAsia="zh-CN"/>
        </w:rPr>
        <w:t>附件</w:t>
      </w:r>
      <w:r>
        <w:rPr>
          <w:rStyle w:val="10"/>
          <w:rFonts w:cs="宋体"/>
          <w:b/>
          <w:lang w:eastAsia="zh-CN"/>
        </w:rPr>
        <w:t>B</w:t>
      </w:r>
      <w:r>
        <w:rPr>
          <w:rStyle w:val="10"/>
          <w:rFonts w:hint="eastAsia" w:cs="宋体"/>
          <w:b/>
          <w:lang w:eastAsia="zh-CN"/>
        </w:rPr>
        <w:t>：用于生物相容性评价的器械主文件</w:t>
      </w:r>
      <w:r>
        <w:tab/>
      </w:r>
      <w:r>
        <w:fldChar w:fldCharType="begin"/>
      </w:r>
      <w:r>
        <w:instrText xml:space="preserve"> PAGEREF _Toc97827726 \h </w:instrText>
      </w:r>
      <w:r>
        <w:fldChar w:fldCharType="separate"/>
      </w:r>
      <w:r>
        <w:t>55</w:t>
      </w:r>
      <w:r>
        <w:fldChar w:fldCharType="end"/>
      </w:r>
      <w:r>
        <w:fldChar w:fldCharType="end"/>
      </w:r>
    </w:p>
    <w:p w14:paraId="039CFCDA">
      <w:pPr>
        <w:pStyle w:val="5"/>
        <w:rPr>
          <w:rFonts w:asciiTheme="minorHAnsi" w:hAnsiTheme="minorHAnsi" w:eastAsiaTheme="minorEastAsia" w:cstheme="minorBidi"/>
          <w:color w:val="auto"/>
          <w:kern w:val="2"/>
          <w:sz w:val="21"/>
          <w:szCs w:val="22"/>
          <w:lang w:eastAsia="zh-CN" w:bidi="ar-SA"/>
        </w:rPr>
      </w:pPr>
      <w:r>
        <w:fldChar w:fldCharType="begin"/>
      </w:r>
      <w:r>
        <w:instrText xml:space="preserve"> HYPERLINK \l "_Toc97827727" </w:instrText>
      </w:r>
      <w:r>
        <w:fldChar w:fldCharType="separate"/>
      </w:r>
      <w:r>
        <w:rPr>
          <w:rStyle w:val="10"/>
          <w:rFonts w:hint="eastAsia" w:cs="宋体"/>
          <w:b/>
          <w:lang w:eastAsia="zh-CN"/>
        </w:rPr>
        <w:t>附件</w:t>
      </w:r>
      <w:r>
        <w:rPr>
          <w:rStyle w:val="10"/>
          <w:rFonts w:cs="宋体"/>
          <w:b/>
          <w:lang w:eastAsia="zh-CN"/>
        </w:rPr>
        <w:t>C</w:t>
      </w:r>
      <w:r>
        <w:rPr>
          <w:rStyle w:val="10"/>
          <w:rFonts w:hint="eastAsia" w:cs="宋体"/>
          <w:b/>
          <w:lang w:eastAsia="zh-CN"/>
        </w:rPr>
        <w:t>：生物相容性文件总结</w:t>
      </w:r>
      <w:r>
        <w:tab/>
      </w:r>
      <w:r>
        <w:fldChar w:fldCharType="begin"/>
      </w:r>
      <w:r>
        <w:instrText xml:space="preserve"> PAGEREF _Toc97827727 \h </w:instrText>
      </w:r>
      <w:r>
        <w:fldChar w:fldCharType="separate"/>
      </w:r>
      <w:r>
        <w:t>57</w:t>
      </w:r>
      <w:r>
        <w:fldChar w:fldCharType="end"/>
      </w:r>
      <w:r>
        <w:fldChar w:fldCharType="end"/>
      </w:r>
    </w:p>
    <w:p w14:paraId="389CEB7F">
      <w:pPr>
        <w:pStyle w:val="5"/>
        <w:rPr>
          <w:rFonts w:asciiTheme="minorHAnsi" w:hAnsiTheme="minorHAnsi" w:eastAsiaTheme="minorEastAsia" w:cstheme="minorBidi"/>
          <w:color w:val="auto"/>
          <w:kern w:val="2"/>
          <w:sz w:val="21"/>
          <w:szCs w:val="22"/>
          <w:lang w:eastAsia="zh-CN" w:bidi="ar-SA"/>
        </w:rPr>
      </w:pPr>
      <w:r>
        <w:fldChar w:fldCharType="begin"/>
      </w:r>
      <w:r>
        <w:instrText xml:space="preserve"> HYPERLINK \l "_Toc97827728" </w:instrText>
      </w:r>
      <w:r>
        <w:fldChar w:fldCharType="separate"/>
      </w:r>
      <w:r>
        <w:rPr>
          <w:rStyle w:val="10"/>
          <w:rFonts w:hint="eastAsia" w:cs="宋体"/>
          <w:b/>
          <w:lang w:eastAsia="zh-CN"/>
        </w:rPr>
        <w:t>附件</w:t>
      </w:r>
      <w:r>
        <w:rPr>
          <w:rStyle w:val="10"/>
          <w:rFonts w:cs="宋体"/>
          <w:b/>
          <w:lang w:eastAsia="zh-CN"/>
        </w:rPr>
        <w:t>D</w:t>
      </w:r>
      <w:r>
        <w:rPr>
          <w:rStyle w:val="10"/>
          <w:rFonts w:hint="eastAsia" w:cs="宋体"/>
          <w:b/>
          <w:lang w:eastAsia="zh-CN"/>
        </w:rPr>
        <w:t>：生物相容性评价流程</w:t>
      </w:r>
      <w:r>
        <w:tab/>
      </w:r>
      <w:r>
        <w:fldChar w:fldCharType="begin"/>
      </w:r>
      <w:r>
        <w:instrText xml:space="preserve"> PAGEREF _Toc97827728 \h </w:instrText>
      </w:r>
      <w:r>
        <w:fldChar w:fldCharType="separate"/>
      </w:r>
      <w:r>
        <w:t>59</w:t>
      </w:r>
      <w:r>
        <w:fldChar w:fldCharType="end"/>
      </w:r>
      <w:r>
        <w:fldChar w:fldCharType="end"/>
      </w:r>
    </w:p>
    <w:p w14:paraId="770338BB">
      <w:pPr>
        <w:pStyle w:val="5"/>
        <w:rPr>
          <w:rFonts w:asciiTheme="minorHAnsi" w:hAnsiTheme="minorHAnsi" w:eastAsiaTheme="minorEastAsia" w:cstheme="minorBidi"/>
          <w:color w:val="auto"/>
          <w:kern w:val="2"/>
          <w:sz w:val="21"/>
          <w:szCs w:val="22"/>
          <w:lang w:eastAsia="zh-CN" w:bidi="ar-SA"/>
        </w:rPr>
      </w:pPr>
      <w:r>
        <w:fldChar w:fldCharType="begin"/>
      </w:r>
      <w:r>
        <w:instrText xml:space="preserve"> HYPERLINK \l "_Toc97827729" </w:instrText>
      </w:r>
      <w:r>
        <w:fldChar w:fldCharType="separate"/>
      </w:r>
      <w:r>
        <w:rPr>
          <w:rStyle w:val="10"/>
          <w:rFonts w:hint="eastAsia" w:cs="宋体"/>
          <w:b/>
          <w:lang w:eastAsia="zh-CN"/>
        </w:rPr>
        <w:t>附件</w:t>
      </w:r>
      <w:r>
        <w:rPr>
          <w:rStyle w:val="10"/>
          <w:rFonts w:cs="宋体"/>
          <w:b/>
          <w:lang w:eastAsia="zh-CN"/>
        </w:rPr>
        <w:t>E</w:t>
      </w:r>
      <w:r>
        <w:rPr>
          <w:rStyle w:val="10"/>
          <w:rFonts w:hint="eastAsia" w:cs="宋体"/>
          <w:b/>
          <w:lang w:eastAsia="zh-CN"/>
        </w:rPr>
        <w:t>：试验报告的内容</w:t>
      </w:r>
      <w:r>
        <w:tab/>
      </w:r>
      <w:r>
        <w:fldChar w:fldCharType="begin"/>
      </w:r>
      <w:r>
        <w:instrText xml:space="preserve"> PAGEREF _Toc97827729 \h </w:instrText>
      </w:r>
      <w:r>
        <w:fldChar w:fldCharType="separate"/>
      </w:r>
      <w:r>
        <w:t>61</w:t>
      </w:r>
      <w:r>
        <w:fldChar w:fldCharType="end"/>
      </w:r>
      <w:r>
        <w:fldChar w:fldCharType="end"/>
      </w:r>
    </w:p>
    <w:p w14:paraId="51A456B8">
      <w:pPr>
        <w:pStyle w:val="5"/>
        <w:rPr>
          <w:rFonts w:asciiTheme="minorHAnsi" w:hAnsiTheme="minorHAnsi" w:eastAsiaTheme="minorEastAsia" w:cstheme="minorBidi"/>
          <w:color w:val="auto"/>
          <w:kern w:val="2"/>
          <w:sz w:val="21"/>
          <w:szCs w:val="22"/>
          <w:lang w:eastAsia="zh-CN" w:bidi="ar-SA"/>
        </w:rPr>
      </w:pPr>
      <w:r>
        <w:fldChar w:fldCharType="begin"/>
      </w:r>
      <w:r>
        <w:instrText xml:space="preserve"> HYPERLINK \l "_Toc97827730" </w:instrText>
      </w:r>
      <w:r>
        <w:fldChar w:fldCharType="separate"/>
      </w:r>
      <w:r>
        <w:rPr>
          <w:rStyle w:val="10"/>
          <w:rFonts w:hint="eastAsia" w:cs="宋体"/>
          <w:b/>
          <w:lang w:eastAsia="zh-CN"/>
        </w:rPr>
        <w:t>附件</w:t>
      </w:r>
      <w:r>
        <w:rPr>
          <w:rStyle w:val="10"/>
          <w:rFonts w:cs="宋体"/>
          <w:b/>
          <w:lang w:eastAsia="zh-CN"/>
        </w:rPr>
        <w:t>F</w:t>
      </w:r>
      <w:r>
        <w:rPr>
          <w:rStyle w:val="10"/>
          <w:rFonts w:hint="eastAsia" w:cs="宋体"/>
          <w:b/>
          <w:lang w:eastAsia="zh-CN"/>
        </w:rPr>
        <w:t>：组件和器械文件示例</w:t>
      </w:r>
      <w:r>
        <w:tab/>
      </w:r>
      <w:r>
        <w:fldChar w:fldCharType="begin"/>
      </w:r>
      <w:r>
        <w:instrText xml:space="preserve"> PAGEREF _Toc97827730 \h </w:instrText>
      </w:r>
      <w:r>
        <w:fldChar w:fldCharType="separate"/>
      </w:r>
      <w:r>
        <w:t>63</w:t>
      </w:r>
      <w:r>
        <w:fldChar w:fldCharType="end"/>
      </w:r>
      <w:r>
        <w:fldChar w:fldCharType="end"/>
      </w:r>
    </w:p>
    <w:p w14:paraId="289FA331">
      <w:pPr>
        <w:pStyle w:val="6"/>
        <w:tabs>
          <w:tab w:val="left" w:pos="1050"/>
          <w:tab w:val="right" w:leader="dot" w:pos="9060"/>
        </w:tabs>
        <w:ind w:left="600"/>
        <w:rPr>
          <w:rFonts w:asciiTheme="minorHAnsi" w:hAnsiTheme="minorHAnsi" w:eastAsiaTheme="minorEastAsia" w:cstheme="minorBidi"/>
          <w:color w:val="auto"/>
          <w:kern w:val="2"/>
          <w:sz w:val="21"/>
          <w:szCs w:val="22"/>
          <w:lang w:eastAsia="zh-CN" w:bidi="ar-SA"/>
        </w:rPr>
      </w:pPr>
      <w:r>
        <w:fldChar w:fldCharType="begin"/>
      </w:r>
      <w:r>
        <w:instrText xml:space="preserve"> HYPERLINK \l "_Toc97827731" </w:instrText>
      </w:r>
      <w:r>
        <w:fldChar w:fldCharType="separate"/>
      </w:r>
      <w:r>
        <w:rPr>
          <w:rStyle w:val="10"/>
          <w:b/>
          <w:bCs/>
        </w:rPr>
        <w:t>A.</w:t>
      </w:r>
      <w:r>
        <w:rPr>
          <w:rFonts w:asciiTheme="minorHAnsi" w:hAnsiTheme="minorHAnsi" w:eastAsiaTheme="minorEastAsia" w:cstheme="minorBidi"/>
          <w:color w:val="auto"/>
          <w:kern w:val="2"/>
          <w:sz w:val="21"/>
          <w:szCs w:val="22"/>
          <w:lang w:eastAsia="zh-CN" w:bidi="ar-SA"/>
        </w:rPr>
        <w:tab/>
      </w:r>
      <w:r>
        <w:rPr>
          <w:rStyle w:val="10"/>
          <w:rFonts w:hint="eastAsia" w:cs="宋体"/>
          <w:b/>
        </w:rPr>
        <w:t>组件文件</w:t>
      </w:r>
      <w:r>
        <w:tab/>
      </w:r>
      <w:r>
        <w:fldChar w:fldCharType="begin"/>
      </w:r>
      <w:r>
        <w:instrText xml:space="preserve"> PAGEREF _Toc97827731 \h </w:instrText>
      </w:r>
      <w:r>
        <w:fldChar w:fldCharType="separate"/>
      </w:r>
      <w:r>
        <w:t>63</w:t>
      </w:r>
      <w:r>
        <w:fldChar w:fldCharType="end"/>
      </w:r>
      <w:r>
        <w:fldChar w:fldCharType="end"/>
      </w:r>
    </w:p>
    <w:p w14:paraId="0F445A2F">
      <w:pPr>
        <w:pStyle w:val="6"/>
        <w:tabs>
          <w:tab w:val="left" w:pos="1050"/>
          <w:tab w:val="right" w:leader="dot" w:pos="9060"/>
        </w:tabs>
        <w:ind w:left="600"/>
        <w:rPr>
          <w:rFonts w:asciiTheme="minorHAnsi" w:hAnsiTheme="minorHAnsi" w:eastAsiaTheme="minorEastAsia" w:cstheme="minorBidi"/>
          <w:color w:val="auto"/>
          <w:kern w:val="2"/>
          <w:sz w:val="21"/>
          <w:szCs w:val="22"/>
          <w:lang w:eastAsia="zh-CN" w:bidi="ar-SA"/>
        </w:rPr>
      </w:pPr>
      <w:r>
        <w:fldChar w:fldCharType="begin"/>
      </w:r>
      <w:r>
        <w:instrText xml:space="preserve"> HYPERLINK \l "_Toc97827732" </w:instrText>
      </w:r>
      <w:r>
        <w:fldChar w:fldCharType="separate"/>
      </w:r>
      <w:r>
        <w:rPr>
          <w:rStyle w:val="10"/>
          <w:b/>
          <w:bCs/>
        </w:rPr>
        <w:t>B.</w:t>
      </w:r>
      <w:r>
        <w:rPr>
          <w:rFonts w:asciiTheme="minorHAnsi" w:hAnsiTheme="minorHAnsi" w:eastAsiaTheme="minorEastAsia" w:cstheme="minorBidi"/>
          <w:color w:val="auto"/>
          <w:kern w:val="2"/>
          <w:sz w:val="21"/>
          <w:szCs w:val="22"/>
          <w:lang w:eastAsia="zh-CN" w:bidi="ar-SA"/>
        </w:rPr>
        <w:tab/>
      </w:r>
      <w:r>
        <w:rPr>
          <w:rStyle w:val="10"/>
          <w:rFonts w:hint="eastAsia" w:cs="宋体"/>
          <w:b/>
        </w:rPr>
        <w:t>器械文件</w:t>
      </w:r>
      <w:r>
        <w:tab/>
      </w:r>
      <w:r>
        <w:fldChar w:fldCharType="begin"/>
      </w:r>
      <w:r>
        <w:instrText xml:space="preserve"> PAGEREF _Toc97827732 \h </w:instrText>
      </w:r>
      <w:r>
        <w:fldChar w:fldCharType="separate"/>
      </w:r>
      <w:r>
        <w:t>63</w:t>
      </w:r>
      <w:r>
        <w:fldChar w:fldCharType="end"/>
      </w:r>
      <w:r>
        <w:fldChar w:fldCharType="end"/>
      </w:r>
    </w:p>
    <w:p w14:paraId="4C446636">
      <w:pPr>
        <w:pStyle w:val="6"/>
        <w:tabs>
          <w:tab w:val="left" w:pos="1050"/>
          <w:tab w:val="right" w:leader="dot" w:pos="9060"/>
        </w:tabs>
        <w:ind w:left="600"/>
        <w:rPr>
          <w:rFonts w:asciiTheme="minorHAnsi" w:hAnsiTheme="minorHAnsi" w:eastAsiaTheme="minorEastAsia" w:cstheme="minorBidi"/>
          <w:color w:val="auto"/>
          <w:kern w:val="2"/>
          <w:sz w:val="21"/>
          <w:szCs w:val="22"/>
          <w:lang w:eastAsia="zh-CN" w:bidi="ar-SA"/>
        </w:rPr>
      </w:pPr>
      <w:r>
        <w:fldChar w:fldCharType="begin"/>
      </w:r>
      <w:r>
        <w:instrText xml:space="preserve"> HYPERLINK \l "_Toc97827733" </w:instrText>
      </w:r>
      <w:r>
        <w:fldChar w:fldCharType="separate"/>
      </w:r>
      <w:r>
        <w:rPr>
          <w:rStyle w:val="10"/>
          <w:b/>
          <w:bCs/>
        </w:rPr>
        <w:t>C.</w:t>
      </w:r>
      <w:r>
        <w:rPr>
          <w:rFonts w:asciiTheme="minorHAnsi" w:hAnsiTheme="minorHAnsi" w:eastAsiaTheme="minorEastAsia" w:cstheme="minorBidi"/>
          <w:color w:val="auto"/>
          <w:kern w:val="2"/>
          <w:sz w:val="21"/>
          <w:szCs w:val="22"/>
          <w:lang w:eastAsia="zh-CN" w:bidi="ar-SA"/>
        </w:rPr>
        <w:tab/>
      </w:r>
      <w:r>
        <w:rPr>
          <w:rStyle w:val="10"/>
          <w:rFonts w:hint="eastAsia" w:cs="宋体"/>
          <w:b/>
        </w:rPr>
        <w:t>新工艺</w:t>
      </w:r>
      <w:r>
        <w:rPr>
          <w:rStyle w:val="10"/>
          <w:rFonts w:cs="宋体"/>
          <w:b/>
        </w:rPr>
        <w:t>/</w:t>
      </w:r>
      <w:r>
        <w:rPr>
          <w:rStyle w:val="10"/>
          <w:rFonts w:hint="eastAsia" w:cs="宋体"/>
          <w:b/>
        </w:rPr>
        <w:t>灭菌变更</w:t>
      </w:r>
      <w:r>
        <w:tab/>
      </w:r>
      <w:r>
        <w:fldChar w:fldCharType="begin"/>
      </w:r>
      <w:r>
        <w:instrText xml:space="preserve"> PAGEREF _Toc97827733 \h </w:instrText>
      </w:r>
      <w:r>
        <w:fldChar w:fldCharType="separate"/>
      </w:r>
      <w:r>
        <w:t>64</w:t>
      </w:r>
      <w:r>
        <w:fldChar w:fldCharType="end"/>
      </w:r>
      <w:r>
        <w:fldChar w:fldCharType="end"/>
      </w:r>
    </w:p>
    <w:p w14:paraId="7711F4BD">
      <w:pPr>
        <w:pStyle w:val="6"/>
        <w:tabs>
          <w:tab w:val="left" w:pos="1050"/>
          <w:tab w:val="right" w:leader="dot" w:pos="9060"/>
        </w:tabs>
        <w:ind w:left="600"/>
        <w:rPr>
          <w:rFonts w:asciiTheme="minorHAnsi" w:hAnsiTheme="minorHAnsi" w:eastAsiaTheme="minorEastAsia" w:cstheme="minorBidi"/>
          <w:color w:val="auto"/>
          <w:kern w:val="2"/>
          <w:sz w:val="21"/>
          <w:szCs w:val="22"/>
          <w:lang w:eastAsia="zh-CN" w:bidi="ar-SA"/>
        </w:rPr>
      </w:pPr>
      <w:r>
        <w:fldChar w:fldCharType="begin"/>
      </w:r>
      <w:r>
        <w:instrText xml:space="preserve"> HYPERLINK \l "_Toc97827734" </w:instrText>
      </w:r>
      <w:r>
        <w:fldChar w:fldCharType="separate"/>
      </w:r>
      <w:r>
        <w:rPr>
          <w:rStyle w:val="10"/>
          <w:b/>
          <w:bCs/>
        </w:rPr>
        <w:t>D.</w:t>
      </w:r>
      <w:r>
        <w:rPr>
          <w:rFonts w:asciiTheme="minorHAnsi" w:hAnsiTheme="minorHAnsi" w:eastAsiaTheme="minorEastAsia" w:cstheme="minorBidi"/>
          <w:color w:val="auto"/>
          <w:kern w:val="2"/>
          <w:sz w:val="21"/>
          <w:szCs w:val="22"/>
          <w:lang w:eastAsia="zh-CN" w:bidi="ar-SA"/>
        </w:rPr>
        <w:tab/>
      </w:r>
      <w:r>
        <w:rPr>
          <w:rStyle w:val="10"/>
          <w:rFonts w:hint="eastAsia" w:cs="宋体"/>
          <w:b/>
        </w:rPr>
        <w:t>配方变更</w:t>
      </w:r>
      <w:r>
        <w:tab/>
      </w:r>
      <w:r>
        <w:fldChar w:fldCharType="begin"/>
      </w:r>
      <w:r>
        <w:instrText xml:space="preserve"> PAGEREF _Toc97827734 \h </w:instrText>
      </w:r>
      <w:r>
        <w:fldChar w:fldCharType="separate"/>
      </w:r>
      <w:r>
        <w:t>65</w:t>
      </w:r>
      <w:r>
        <w:fldChar w:fldCharType="end"/>
      </w:r>
      <w:r>
        <w:fldChar w:fldCharType="end"/>
      </w:r>
    </w:p>
    <w:p w14:paraId="06E6EFAC">
      <w:pPr>
        <w:pStyle w:val="5"/>
        <w:rPr>
          <w:rFonts w:asciiTheme="minorHAnsi" w:hAnsiTheme="minorHAnsi" w:eastAsiaTheme="minorEastAsia" w:cstheme="minorBidi"/>
          <w:color w:val="auto"/>
          <w:kern w:val="2"/>
          <w:sz w:val="21"/>
          <w:szCs w:val="22"/>
          <w:lang w:eastAsia="zh-CN" w:bidi="ar-SA"/>
        </w:rPr>
      </w:pPr>
      <w:r>
        <w:fldChar w:fldCharType="begin"/>
      </w:r>
      <w:r>
        <w:instrText xml:space="preserve"> HYPERLINK \l "_Toc97827735" </w:instrText>
      </w:r>
      <w:r>
        <w:fldChar w:fldCharType="separate"/>
      </w:r>
      <w:r>
        <w:rPr>
          <w:rStyle w:val="10"/>
          <w:rFonts w:hint="eastAsia" w:cs="宋体"/>
          <w:b/>
          <w:lang w:eastAsia="zh-CN"/>
        </w:rPr>
        <w:t>附件</w:t>
      </w:r>
      <w:r>
        <w:rPr>
          <w:rStyle w:val="10"/>
          <w:rFonts w:cs="宋体"/>
          <w:b/>
          <w:lang w:eastAsia="zh-CN"/>
        </w:rPr>
        <w:t>G</w:t>
      </w:r>
      <w:r>
        <w:rPr>
          <w:rStyle w:val="10"/>
          <w:rFonts w:hint="eastAsia" w:cs="宋体"/>
          <w:b/>
          <w:lang w:eastAsia="zh-CN"/>
        </w:rPr>
        <w:t>：术语表</w:t>
      </w:r>
      <w:r>
        <w:tab/>
      </w:r>
      <w:r>
        <w:fldChar w:fldCharType="begin"/>
      </w:r>
      <w:r>
        <w:instrText xml:space="preserve"> PAGEREF _Toc97827735 \h </w:instrText>
      </w:r>
      <w:r>
        <w:fldChar w:fldCharType="separate"/>
      </w:r>
      <w:r>
        <w:t>66</w:t>
      </w:r>
      <w:r>
        <w:fldChar w:fldCharType="end"/>
      </w:r>
      <w:r>
        <w:fldChar w:fldCharType="end"/>
      </w:r>
    </w:p>
    <w:p w14:paraId="6EF05AD9">
      <w:pPr>
        <w:adjustRightInd w:val="0"/>
        <w:spacing w:before="0" w:beforeLines="0" w:line="240" w:lineRule="auto"/>
      </w:pPr>
      <w:r>
        <w:rPr>
          <w:rFonts w:cs="Times New Roman"/>
        </w:rPr>
        <w:fldChar w:fldCharType="end"/>
      </w:r>
    </w:p>
    <w:p w14:paraId="2E061941">
      <w:pPr>
        <w:spacing w:before="120"/>
        <w:sectPr>
          <w:headerReference r:id="rId7" w:type="first"/>
          <w:footerReference r:id="rId10" w:type="first"/>
          <w:headerReference r:id="rId5" w:type="default"/>
          <w:footerReference r:id="rId8" w:type="default"/>
          <w:headerReference r:id="rId6" w:type="even"/>
          <w:footerReference r:id="rId9" w:type="even"/>
          <w:pgSz w:w="11906" w:h="16838"/>
          <w:pgMar w:top="1418" w:right="1418" w:bottom="1418" w:left="1418" w:header="720" w:footer="720" w:gutter="0"/>
          <w:cols w:space="720" w:num="1"/>
          <w:docGrid w:linePitch="360" w:charSpace="0"/>
        </w:sectPr>
      </w:pPr>
    </w:p>
    <w:p w14:paraId="5ECEA2CE">
      <w:pPr>
        <w:pBdr>
          <w:bottom w:val="single" w:color="auto" w:sz="4" w:space="1"/>
        </w:pBdr>
        <w:spacing w:before="120"/>
        <w:jc w:val="center"/>
        <w:rPr>
          <w:b/>
          <w:bCs/>
          <w:sz w:val="44"/>
          <w:szCs w:val="44"/>
          <w:lang w:eastAsia="zh-CN"/>
        </w:rPr>
      </w:pPr>
      <w:r>
        <w:rPr>
          <w:rFonts w:cs="宋体"/>
          <w:b/>
          <w:sz w:val="44"/>
          <w:lang w:eastAsia="zh-CN"/>
        </w:rPr>
        <w:t>使用国际标准ISO 10993-1，《医疗器械生物学评价-第1部分：风险管理过程中的评价与试验》</w:t>
      </w:r>
    </w:p>
    <w:p w14:paraId="38489706">
      <w:pPr>
        <w:spacing w:before="120"/>
        <w:jc w:val="center"/>
        <w:rPr>
          <w:b/>
          <w:bCs/>
          <w:sz w:val="44"/>
          <w:szCs w:val="44"/>
          <w:lang w:eastAsia="zh-CN"/>
        </w:rPr>
      </w:pPr>
      <w:r>
        <w:rPr>
          <w:rFonts w:cs="宋体"/>
          <w:b/>
          <w:sz w:val="44"/>
          <w:lang w:eastAsia="zh-CN"/>
        </w:rPr>
        <w:t>行业和美国食品药品监督管理局工作人员指南</w:t>
      </w:r>
    </w:p>
    <w:tbl>
      <w:tblPr>
        <w:tblStyle w:val="8"/>
        <w:tblW w:w="0" w:type="auto"/>
        <w:tblInd w:w="0" w:type="dxa"/>
        <w:tblBorders>
          <w:top w:val="thinThickThinSmallGap" w:color="auto" w:sz="24" w:space="0"/>
          <w:left w:val="thinThickThinSmallGap" w:color="auto" w:sz="24" w:space="0"/>
          <w:bottom w:val="thinThickThinSmallGap" w:color="auto" w:sz="24" w:space="0"/>
          <w:right w:val="thinThickThinSmallGap" w:color="auto" w:sz="24" w:space="0"/>
          <w:insideH w:val="none" w:color="auto" w:sz="0" w:space="0"/>
          <w:insideV w:val="none" w:color="auto" w:sz="0" w:space="0"/>
        </w:tblBorders>
        <w:tblLayout w:type="autofit"/>
        <w:tblCellMar>
          <w:top w:w="0" w:type="dxa"/>
          <w:left w:w="108" w:type="dxa"/>
          <w:bottom w:w="0" w:type="dxa"/>
          <w:right w:w="108" w:type="dxa"/>
        </w:tblCellMar>
      </w:tblPr>
      <w:tblGrid>
        <w:gridCol w:w="9060"/>
      </w:tblGrid>
      <w:tr w14:paraId="412EC169">
        <w:tblPrEx>
          <w:tblBorders>
            <w:top w:val="thinThickThinSmallGap" w:color="auto" w:sz="24" w:space="0"/>
            <w:left w:val="thinThickThinSmallGap" w:color="auto" w:sz="24" w:space="0"/>
            <w:bottom w:val="thinThickThinSmallGap" w:color="auto" w:sz="24" w:space="0"/>
            <w:right w:val="thinThickThinSmallGap" w:color="auto" w:sz="24" w:space="0"/>
            <w:insideH w:val="none" w:color="auto" w:sz="0" w:space="0"/>
            <w:insideV w:val="none" w:color="auto" w:sz="0" w:space="0"/>
          </w:tblBorders>
          <w:tblCellMar>
            <w:top w:w="0" w:type="dxa"/>
            <w:left w:w="108" w:type="dxa"/>
            <w:bottom w:w="0" w:type="dxa"/>
            <w:right w:w="108" w:type="dxa"/>
          </w:tblCellMar>
        </w:tblPrEx>
        <w:tc>
          <w:tcPr>
            <w:tcW w:w="9060" w:type="dxa"/>
          </w:tcPr>
          <w:p w14:paraId="69B789CF">
            <w:pPr>
              <w:pStyle w:val="37"/>
              <w:spacing w:before="36"/>
              <w:rPr>
                <w:b/>
                <w:bCs/>
                <w:i/>
                <w:iCs/>
                <w:lang w:eastAsia="zh-CN"/>
              </w:rPr>
            </w:pPr>
            <w:r>
              <w:rPr>
                <w:rFonts w:hint="eastAsia" w:cs="宋体"/>
                <w:b/>
                <w:i/>
                <w:lang w:eastAsia="zh-CN"/>
              </w:rPr>
              <w:t>本指南代表食品药品监督管理局（FDA或本机构）目前关于该主题的思考。其不会为任何人创造或赋予任何权利，也不会对FDA或公众产生约束。如果替代方法满足适用的法律法规的要求，则可以使用该方法。如需讨论替代方法，请联系标题页负责实施本指南文件的FDA工作人员或办公室。</w:t>
            </w:r>
          </w:p>
        </w:tc>
      </w:tr>
    </w:tbl>
    <w:p w14:paraId="67206D5D">
      <w:pPr>
        <w:pStyle w:val="40"/>
        <w:numPr>
          <w:ilvl w:val="0"/>
          <w:numId w:val="1"/>
        </w:numPr>
        <w:spacing w:before="120"/>
        <w:ind w:left="643" w:hanging="643" w:hangingChars="200"/>
        <w:outlineLvl w:val="0"/>
        <w:rPr>
          <w:b/>
          <w:bCs/>
          <w:sz w:val="32"/>
          <w:szCs w:val="32"/>
        </w:rPr>
      </w:pPr>
      <w:bookmarkStart w:id="2" w:name="_Toc97827694"/>
      <w:r>
        <w:rPr>
          <w:rFonts w:cs="宋体"/>
          <w:b/>
          <w:sz w:val="32"/>
        </w:rPr>
        <w:t>引言</w:t>
      </w:r>
      <w:bookmarkEnd w:id="2"/>
    </w:p>
    <w:p w14:paraId="62106CBD">
      <w:pPr>
        <w:spacing w:before="120"/>
        <w:rPr>
          <w:lang w:eastAsia="zh-CN"/>
        </w:rPr>
      </w:pPr>
      <w:r>
        <w:rPr>
          <w:rFonts w:cs="宋体"/>
          <w:lang w:eastAsia="zh-CN"/>
        </w:rPr>
        <w:t>美国FDA已开发本指南文件，以辅助行业对与人体</w:t>
      </w:r>
      <w:r>
        <w:rPr>
          <w:rFonts w:cs="宋体"/>
          <w:vertAlign w:val="superscript"/>
          <w:lang w:eastAsia="zh-CN"/>
        </w:rPr>
        <w:t>1</w:t>
      </w:r>
      <w:r>
        <w:rPr>
          <w:rFonts w:cs="宋体"/>
          <w:color w:val="0000FF"/>
          <w:u w:val="single"/>
          <w:lang w:eastAsia="zh-CN"/>
        </w:rPr>
        <w:t>直接或间接接触</w:t>
      </w:r>
      <w:r>
        <w:rPr>
          <w:rFonts w:cs="宋体"/>
          <w:lang w:eastAsia="zh-CN"/>
        </w:rPr>
        <w:t>的医疗器械制备上市前申请（PMA）、人道主义器械豁免（HDE）、</w:t>
      </w:r>
      <w:r>
        <w:rPr>
          <w:rFonts w:hint="eastAsia" w:cs="宋体"/>
          <w:lang w:eastAsia="zh-CN"/>
        </w:rPr>
        <w:t>试验用</w:t>
      </w:r>
      <w:r>
        <w:rPr>
          <w:rFonts w:cs="宋体"/>
          <w:lang w:eastAsia="zh-CN"/>
        </w:rPr>
        <w:t>器械申请（IDE）、上市前通告（510(k)）和</w:t>
      </w:r>
      <w:r>
        <w:rPr>
          <w:rFonts w:hint="eastAsia" w:cs="宋体"/>
          <w:lang w:eastAsia="zh-CN"/>
        </w:rPr>
        <w:t>创新</w:t>
      </w:r>
      <w:r>
        <w:rPr>
          <w:rFonts w:cs="宋体"/>
          <w:lang w:eastAsia="zh-CN"/>
        </w:rPr>
        <w:t>产品申请，以确定人体与器械部件</w:t>
      </w:r>
      <w:r>
        <w:rPr>
          <w:rFonts w:cs="宋体"/>
          <w:color w:val="0000FF"/>
          <w:u w:val="single"/>
          <w:lang w:eastAsia="zh-CN"/>
        </w:rPr>
        <w:t>材料</w:t>
      </w:r>
      <w:r>
        <w:rPr>
          <w:rFonts w:cs="宋体"/>
          <w:lang w:eastAsia="zh-CN"/>
        </w:rPr>
        <w:t>接触是否会产生毒性。本指南旨在提供与使用国际标准ISO-10993-1，《医疗器械生物学评价-第1部分：风险管理过程中的评价与试验》相关的更多分类和更新信息，以支持向FDA提交申请。本指南取代了器械评价办公室（ODE）蓝皮书备忘录#G95-1（1995）《使用国际标准ISO 10993，医疗器械生物学评价-第1部分：风险管理过程中的评价与试验》。本指南文件还纳入了一些新考虑因素，包括使用基于风险的方法来确定是否需要进行</w:t>
      </w:r>
      <w:r>
        <w:rPr>
          <w:rFonts w:cs="宋体"/>
          <w:color w:val="0000FF"/>
          <w:u w:val="single"/>
          <w:lang w:eastAsia="zh-CN"/>
        </w:rPr>
        <w:t>生物相容性</w:t>
      </w:r>
      <w:r>
        <w:rPr>
          <w:rFonts w:cs="宋体"/>
          <w:lang w:eastAsia="zh-CN"/>
        </w:rPr>
        <w:t>试验、化学评价建议，以及对含有亚微米或纳米技术成分的器械和由</w:t>
      </w:r>
      <w:r>
        <w:rPr>
          <w:rFonts w:cs="宋体"/>
          <w:i/>
          <w:lang w:eastAsia="zh-CN"/>
        </w:rPr>
        <w:t>原位</w:t>
      </w:r>
      <w:r>
        <w:rPr>
          <w:rFonts w:cs="宋体"/>
          <w:lang w:eastAsia="zh-CN"/>
        </w:rPr>
        <w:t>聚合和/或可吸收材料制成的器械的生物相容性试验物品准备建议，这些因素均是G95-1中之前未讨论的内容。</w:t>
      </w:r>
    </w:p>
    <w:p w14:paraId="065FB3FD">
      <w:pPr>
        <w:spacing w:before="120"/>
        <w:rPr>
          <w:rFonts w:cs="宋体"/>
          <w:lang w:eastAsia="zh-CN"/>
        </w:rPr>
      </w:pPr>
    </w:p>
    <w:p w14:paraId="20889E18">
      <w:pPr>
        <w:spacing w:before="120"/>
        <w:rPr>
          <w:rFonts w:cs="宋体"/>
          <w:lang w:eastAsia="zh-CN"/>
        </w:rPr>
      </w:pPr>
    </w:p>
    <w:p w14:paraId="3425C680">
      <w:pPr>
        <w:spacing w:before="120"/>
        <w:rPr>
          <w:rFonts w:cs="宋体"/>
          <w:lang w:eastAsia="zh-CN"/>
        </w:rPr>
      </w:pPr>
    </w:p>
    <w:p w14:paraId="031FAD88">
      <w:pPr>
        <w:spacing w:before="120"/>
        <w:rPr>
          <w:rFonts w:cs="宋体"/>
          <w:lang w:eastAsia="zh-CN"/>
        </w:rPr>
      </w:pPr>
    </w:p>
    <w:p w14:paraId="7150E483">
      <w:pPr>
        <w:spacing w:before="120"/>
        <w:rPr>
          <w:rFonts w:cs="宋体"/>
          <w:lang w:eastAsia="zh-CN"/>
        </w:rPr>
      </w:pPr>
    </w:p>
    <w:p w14:paraId="1B3B8FFE">
      <w:pPr>
        <w:spacing w:before="120"/>
        <w:rPr>
          <w:rFonts w:cs="宋体"/>
          <w:lang w:eastAsia="zh-CN"/>
        </w:rPr>
      </w:pPr>
    </w:p>
    <w:p w14:paraId="570FBFF7">
      <w:pPr>
        <w:spacing w:before="120"/>
        <w:rPr>
          <w:rFonts w:cs="宋体"/>
          <w:lang w:eastAsia="zh-CN"/>
        </w:rPr>
      </w:pPr>
    </w:p>
    <w:p w14:paraId="32B692BE">
      <w:pPr>
        <w:spacing w:before="120"/>
        <w:rPr>
          <w:lang w:eastAsia="zh-CN"/>
        </w:rPr>
      </w:pPr>
      <w:r>
        <w:rPr>
          <w:rFonts w:cs="宋体"/>
          <w:lang w:eastAsia="zh-CN"/>
        </w:rPr>
        <w:t>________________________</w:t>
      </w:r>
    </w:p>
    <w:p w14:paraId="283CF6CA">
      <w:pPr>
        <w:spacing w:before="0" w:beforeLines="0"/>
        <w:rPr>
          <w:rFonts w:cs="宋体"/>
          <w:sz w:val="21"/>
          <w:lang w:eastAsia="zh-CN"/>
        </w:rPr>
      </w:pPr>
      <w:r>
        <w:rPr>
          <w:rFonts w:cs="宋体"/>
          <w:sz w:val="21"/>
          <w:vertAlign w:val="superscript"/>
          <w:lang w:eastAsia="zh-CN"/>
        </w:rPr>
        <w:t>1</w:t>
      </w:r>
      <w:r>
        <w:rPr>
          <w:rFonts w:cs="宋体"/>
          <w:sz w:val="21"/>
          <w:lang w:eastAsia="zh-CN"/>
        </w:rPr>
        <w:t>鉴于本文件的目的，术语“人体”指患者组织或临床实践者。例如，应对旨在由临床实践者进行保护性使用的口罩或手套进行生物相容性评价。同样，也应对如植入物或皮肤电极等医疗器械进行生物相容性评价。</w:t>
      </w:r>
    </w:p>
    <w:p w14:paraId="3526BD80">
      <w:pPr>
        <w:spacing w:before="0" w:beforeLines="0"/>
        <w:rPr>
          <w:lang w:eastAsia="zh-CN"/>
        </w:rPr>
      </w:pPr>
      <w:r>
        <w:rPr>
          <w:rFonts w:cs="宋体"/>
          <w:sz w:val="21"/>
          <w:lang w:eastAsia="zh-CN"/>
        </w:rPr>
        <w:br w:type="page"/>
      </w:r>
    </w:p>
    <w:p w14:paraId="2B287457">
      <w:pPr>
        <w:spacing w:before="120"/>
        <w:rPr>
          <w:lang w:eastAsia="zh-CN"/>
        </w:rPr>
      </w:pPr>
      <w:r>
        <w:rPr>
          <w:rFonts w:cs="宋体"/>
          <w:lang w:eastAsia="zh-CN"/>
        </w:rPr>
        <w:t>在对新器械进行评价时，如果器械不与组织直接或间接接触，</w:t>
      </w:r>
      <w:r>
        <w:rPr>
          <w:rFonts w:cs="宋体"/>
          <w:color w:val="0000FF"/>
          <w:u w:val="single"/>
          <w:lang w:eastAsia="zh-CN"/>
        </w:rPr>
        <w:t>申请人</w:t>
      </w:r>
      <w:r>
        <w:rPr>
          <w:rFonts w:cs="宋体"/>
          <w:lang w:eastAsia="zh-CN"/>
        </w:rPr>
        <w:t>应明确声明，</w:t>
      </w:r>
      <w:r>
        <w:rPr>
          <w:rFonts w:cs="宋体"/>
          <w:vertAlign w:val="superscript"/>
          <w:lang w:eastAsia="zh-CN"/>
        </w:rPr>
        <w:t>2</w:t>
      </w:r>
      <w:r>
        <w:rPr>
          <w:rFonts w:cs="宋体"/>
          <w:lang w:eastAsia="zh-CN"/>
        </w:rPr>
        <w:t>并且无需提供进一步的生物相容性信息。</w:t>
      </w:r>
    </w:p>
    <w:p w14:paraId="4A03F3BD">
      <w:pPr>
        <w:spacing w:before="120"/>
        <w:rPr>
          <w:lang w:eastAsia="zh-CN"/>
        </w:rPr>
      </w:pPr>
      <w:r>
        <w:rPr>
          <w:rFonts w:cs="宋体"/>
          <w:lang w:eastAsia="zh-CN"/>
        </w:rPr>
        <w:t>在评价器械改良情况时，如果改良不会变更任何与组织直接或间接接触的组件，申请人应作出明确声明，并且，无需提供进一步的生物相容性信息。但是，如果变更会对其它未经变更的、与组织直接或间接接触的器械部件造成影响，应进行生物相容性评价以确定变更可能造成的影响。例如，如果新增不与组织接触的内部组件，但是，需要通过加热使其与其它患者接触的组件相连，那么在加热时，可能影响与患者接触的组件，从而生物相容性也会受到影响，则应进行评价。</w:t>
      </w:r>
    </w:p>
    <w:p w14:paraId="14AA741A">
      <w:pPr>
        <w:spacing w:before="120"/>
        <w:rPr>
          <w:lang w:eastAsia="zh-CN"/>
        </w:rPr>
      </w:pPr>
      <w:r>
        <w:rPr>
          <w:rFonts w:cs="宋体"/>
          <w:lang w:eastAsia="zh-CN"/>
        </w:rPr>
        <w:t>请登录</w:t>
      </w:r>
      <w:r>
        <w:rPr>
          <w:rFonts w:cs="宋体"/>
          <w:color w:val="0000FF"/>
          <w:u w:val="single"/>
          <w:lang w:eastAsia="zh-CN"/>
        </w:rPr>
        <w:t>FDA共识标准数据库</w:t>
      </w:r>
      <w:r>
        <w:rPr>
          <w:rFonts w:cs="宋体"/>
          <w:lang w:eastAsia="zh-CN"/>
        </w:rPr>
        <w:t>获取在本文中所引用的现行版FDA认可的标准。</w:t>
      </w:r>
      <w:r>
        <w:rPr>
          <w:rFonts w:cs="宋体"/>
          <w:vertAlign w:val="superscript"/>
          <w:lang w:eastAsia="zh-CN"/>
        </w:rPr>
        <w:t>3</w:t>
      </w:r>
    </w:p>
    <w:p w14:paraId="6A34C623">
      <w:pPr>
        <w:spacing w:before="120"/>
        <w:rPr>
          <w:lang w:eastAsia="zh-CN"/>
        </w:rPr>
      </w:pPr>
      <w:r>
        <w:rPr>
          <w:rFonts w:cs="宋体"/>
          <w:lang w:eastAsia="zh-CN"/>
        </w:rPr>
        <w:t>在本指南中，术语“我们（的）”和“本机构（的）”，均指FDA的工作人员。“您”和“您的”指代申请人。</w:t>
      </w:r>
    </w:p>
    <w:p w14:paraId="05F003E9">
      <w:pPr>
        <w:spacing w:before="120"/>
        <w:rPr>
          <w:lang w:eastAsia="zh-CN"/>
        </w:rPr>
      </w:pPr>
      <w:r>
        <w:rPr>
          <w:rFonts w:hint="eastAsia" w:cs="宋体"/>
          <w:lang w:eastAsia="zh-CN"/>
        </w:rPr>
        <w:t>FDA指导性文件，包括本指南在内，不具有法律强制责任。相反，指南表明了本机构目前关于该主题的思考，除非引用具体的法规或法律要求，否则只应视为建议。在本机构指南中使用词语“应”是指建议或推荐进行某一事项，并非强制要求。</w:t>
      </w:r>
      <w:bookmarkStart w:id="3" w:name="bookmark125"/>
      <w:bookmarkEnd w:id="3"/>
    </w:p>
    <w:p w14:paraId="26418F03">
      <w:pPr>
        <w:spacing w:before="120"/>
        <w:rPr>
          <w:lang w:eastAsia="zh-CN"/>
        </w:rPr>
      </w:pPr>
    </w:p>
    <w:p w14:paraId="06E99B33">
      <w:pPr>
        <w:spacing w:before="120"/>
        <w:rPr>
          <w:lang w:eastAsia="zh-CN"/>
        </w:rPr>
      </w:pPr>
    </w:p>
    <w:p w14:paraId="02126F41">
      <w:pPr>
        <w:spacing w:before="120"/>
        <w:rPr>
          <w:lang w:eastAsia="zh-CN"/>
        </w:rPr>
      </w:pPr>
    </w:p>
    <w:p w14:paraId="12444585">
      <w:pPr>
        <w:spacing w:before="120"/>
        <w:rPr>
          <w:lang w:eastAsia="zh-CN"/>
        </w:rPr>
      </w:pPr>
    </w:p>
    <w:p w14:paraId="602BAA2C">
      <w:pPr>
        <w:spacing w:before="120"/>
        <w:rPr>
          <w:lang w:eastAsia="zh-CN"/>
        </w:rPr>
      </w:pPr>
    </w:p>
    <w:p w14:paraId="062C564B">
      <w:pPr>
        <w:spacing w:before="120"/>
        <w:rPr>
          <w:lang w:eastAsia="zh-CN"/>
        </w:rPr>
      </w:pPr>
    </w:p>
    <w:p w14:paraId="6DF73BD5">
      <w:pPr>
        <w:spacing w:before="120"/>
        <w:rPr>
          <w:lang w:eastAsia="zh-CN"/>
        </w:rPr>
      </w:pPr>
    </w:p>
    <w:p w14:paraId="05903413">
      <w:pPr>
        <w:spacing w:before="120"/>
        <w:rPr>
          <w:lang w:eastAsia="zh-CN"/>
        </w:rPr>
      </w:pPr>
    </w:p>
    <w:p w14:paraId="51D735A5">
      <w:pPr>
        <w:spacing w:before="120"/>
        <w:rPr>
          <w:lang w:eastAsia="zh-CN"/>
        </w:rPr>
      </w:pPr>
    </w:p>
    <w:p w14:paraId="3BD0C1EA">
      <w:pPr>
        <w:spacing w:before="120"/>
        <w:rPr>
          <w:lang w:eastAsia="zh-CN"/>
        </w:rPr>
      </w:pPr>
    </w:p>
    <w:p w14:paraId="2AD8B6F9">
      <w:pPr>
        <w:spacing w:before="120"/>
        <w:rPr>
          <w:lang w:eastAsia="zh-CN"/>
        </w:rPr>
      </w:pPr>
      <w:r>
        <w:rPr>
          <w:rFonts w:cs="宋体"/>
          <w:lang w:eastAsia="zh-CN"/>
        </w:rPr>
        <w:t>________________________</w:t>
      </w:r>
    </w:p>
    <w:p w14:paraId="2B559C11">
      <w:pPr>
        <w:spacing w:before="0" w:beforeLines="0"/>
        <w:rPr>
          <w:sz w:val="21"/>
          <w:szCs w:val="21"/>
          <w:lang w:eastAsia="zh-CN"/>
        </w:rPr>
      </w:pPr>
      <w:r>
        <w:rPr>
          <w:rFonts w:cs="宋体"/>
          <w:sz w:val="21"/>
          <w:vertAlign w:val="superscript"/>
          <w:lang w:eastAsia="zh-CN"/>
        </w:rPr>
        <w:t>2</w:t>
      </w:r>
      <w:r>
        <w:rPr>
          <w:rFonts w:cs="宋体"/>
          <w:color w:val="0000FF"/>
          <w:sz w:val="21"/>
          <w:u w:val="single"/>
          <w:lang w:eastAsia="zh-CN"/>
        </w:rPr>
        <w:t>非接触性器械</w:t>
      </w:r>
      <w:r>
        <w:rPr>
          <w:rFonts w:cs="宋体"/>
          <w:sz w:val="21"/>
          <w:lang w:eastAsia="zh-CN"/>
        </w:rPr>
        <w:t>不与身体进行直接或间接接触（例如，独立软件），因此，进行生物相容性评价将足以确定组织与组件之间无直接或间接接触，并且，无需提供进一步生物相容性信息。但是，对于</w:t>
      </w:r>
      <w:r>
        <w:rPr>
          <w:rFonts w:cs="宋体"/>
          <w:color w:val="0000FF"/>
          <w:sz w:val="21"/>
          <w:u w:val="single"/>
          <w:lang w:eastAsia="zh-CN"/>
        </w:rPr>
        <w:t>短暂接触</w:t>
      </w:r>
      <w:r>
        <w:rPr>
          <w:rFonts w:cs="宋体"/>
          <w:sz w:val="21"/>
          <w:lang w:eastAsia="zh-CN"/>
        </w:rPr>
        <w:t>的器械，应进行生物相容性风险评定，以决定是否需要进行试验。</w:t>
      </w:r>
    </w:p>
    <w:p w14:paraId="63C8CFA9">
      <w:pPr>
        <w:spacing w:before="0" w:beforeLines="0"/>
        <w:rPr>
          <w:sz w:val="21"/>
          <w:szCs w:val="21"/>
          <w:lang w:eastAsia="zh-CN"/>
        </w:rPr>
      </w:pPr>
      <w:r>
        <w:rPr>
          <w:rFonts w:cs="宋体"/>
          <w:sz w:val="21"/>
          <w:vertAlign w:val="superscript"/>
        </w:rPr>
        <w:t>3</w:t>
      </w:r>
      <w:r>
        <w:rPr>
          <w:rFonts w:cs="宋体"/>
          <w:sz w:val="21"/>
        </w:rPr>
        <w:t>可登录以下网址获取</w:t>
      </w:r>
      <w:r>
        <w:rPr>
          <w:rFonts w:cs="宋体"/>
          <w:color w:val="0000FF"/>
          <w:sz w:val="21"/>
          <w:u w:val="single"/>
        </w:rPr>
        <w:t>https://www.accessdata.fda.gov/scripts/cdrh/cfdocs/cfStandards/search.cfm</w:t>
      </w:r>
      <w:r>
        <w:rPr>
          <w:rFonts w:cs="宋体"/>
          <w:sz w:val="21"/>
        </w:rPr>
        <w:t>。</w:t>
      </w:r>
    </w:p>
    <w:p w14:paraId="34A26A3D">
      <w:pPr>
        <w:spacing w:before="120"/>
      </w:pPr>
      <w:r>
        <w:rPr>
          <w:rFonts w:cs="宋体"/>
        </w:rPr>
        <w:br w:type="page"/>
      </w:r>
    </w:p>
    <w:p w14:paraId="349FFEB9">
      <w:pPr>
        <w:pStyle w:val="40"/>
        <w:numPr>
          <w:ilvl w:val="0"/>
          <w:numId w:val="1"/>
        </w:numPr>
        <w:spacing w:before="120"/>
        <w:ind w:left="643" w:hanging="643" w:hangingChars="200"/>
        <w:outlineLvl w:val="0"/>
        <w:rPr>
          <w:b/>
          <w:bCs/>
          <w:sz w:val="32"/>
          <w:szCs w:val="32"/>
        </w:rPr>
      </w:pPr>
      <w:bookmarkStart w:id="4" w:name="_Toc97827695"/>
      <w:r>
        <w:rPr>
          <w:rFonts w:cs="宋体"/>
          <w:b/>
          <w:sz w:val="32"/>
        </w:rPr>
        <w:t>范围</w:t>
      </w:r>
      <w:bookmarkEnd w:id="4"/>
    </w:p>
    <w:p w14:paraId="78FBD526">
      <w:pPr>
        <w:spacing w:before="120"/>
        <w:rPr>
          <w:lang w:eastAsia="zh-CN"/>
        </w:rPr>
      </w:pPr>
      <w:r>
        <w:rPr>
          <w:rFonts w:cs="宋体"/>
          <w:lang w:eastAsia="zh-CN"/>
        </w:rPr>
        <w:t>本文件及其附件仅适用于对与人体直接或间接接触的</w:t>
      </w:r>
      <w:r>
        <w:rPr>
          <w:rFonts w:hint="eastAsia" w:cs="宋体"/>
          <w:lang w:eastAsia="zh-CN"/>
        </w:rPr>
        <w:t>无</w:t>
      </w:r>
      <w:r>
        <w:rPr>
          <w:rFonts w:cs="宋体"/>
          <w:lang w:eastAsia="zh-CN"/>
        </w:rPr>
        <w:t>菌或</w:t>
      </w:r>
      <w:r>
        <w:rPr>
          <w:rFonts w:hint="eastAsia" w:cs="宋体"/>
          <w:lang w:eastAsia="zh-CN"/>
        </w:rPr>
        <w:t>非</w:t>
      </w:r>
      <w:r>
        <w:rPr>
          <w:rFonts w:cs="宋体"/>
          <w:lang w:eastAsia="zh-CN"/>
        </w:rPr>
        <w:t>无菌医疗器械进行生物学评价。本文件明确涵盖了ISO 10993-1的使用，但是，也与其它生物相容性标准（例如，ISO</w:t>
      </w:r>
      <w:r>
        <w:rPr>
          <w:rFonts w:cs="宋体"/>
          <w:vertAlign w:val="superscript"/>
          <w:lang w:eastAsia="zh-CN"/>
        </w:rPr>
        <w:t>4</w:t>
      </w:r>
      <w:r>
        <w:rPr>
          <w:rFonts w:cs="宋体"/>
          <w:lang w:eastAsia="zh-CN"/>
        </w:rPr>
        <w:t xml:space="preserve"> 10993系列标准、ASTM、</w:t>
      </w:r>
      <w:r>
        <w:rPr>
          <w:rFonts w:cs="宋体"/>
          <w:vertAlign w:val="superscript"/>
          <w:lang w:eastAsia="zh-CN"/>
        </w:rPr>
        <w:t>5</w:t>
      </w:r>
      <w:r>
        <w:rPr>
          <w:rFonts w:cs="宋体"/>
          <w:lang w:eastAsia="zh-CN"/>
        </w:rPr>
        <w:t>ICH、</w:t>
      </w:r>
      <w:r>
        <w:rPr>
          <w:rFonts w:cs="宋体"/>
          <w:vertAlign w:val="superscript"/>
          <w:lang w:eastAsia="zh-CN"/>
        </w:rPr>
        <w:t>6</w:t>
      </w:r>
      <w:r>
        <w:rPr>
          <w:rFonts w:cs="宋体"/>
          <w:lang w:eastAsia="zh-CN"/>
        </w:rPr>
        <w:t>OECD、</w:t>
      </w:r>
      <w:r>
        <w:rPr>
          <w:rFonts w:cs="宋体"/>
          <w:vertAlign w:val="superscript"/>
          <w:lang w:eastAsia="zh-CN"/>
        </w:rPr>
        <w:t>7</w:t>
      </w:r>
      <w:r>
        <w:rPr>
          <w:rFonts w:cs="宋体"/>
          <w:lang w:eastAsia="zh-CN"/>
        </w:rPr>
        <w:t>USP</w:t>
      </w:r>
      <w:r>
        <w:rPr>
          <w:rFonts w:cs="宋体"/>
          <w:vertAlign w:val="superscript"/>
          <w:lang w:eastAsia="zh-CN"/>
        </w:rPr>
        <w:t>8</w:t>
      </w:r>
      <w:r>
        <w:rPr>
          <w:rFonts w:cs="宋体"/>
          <w:lang w:eastAsia="zh-CN"/>
        </w:rPr>
        <w:t>的其它部分）相关。</w:t>
      </w:r>
    </w:p>
    <w:p w14:paraId="702CF9C1">
      <w:pPr>
        <w:spacing w:before="120"/>
        <w:rPr>
          <w:lang w:eastAsia="zh-CN"/>
        </w:rPr>
      </w:pPr>
      <w:r>
        <w:rPr>
          <w:rFonts w:cs="宋体"/>
          <w:lang w:eastAsia="zh-CN"/>
        </w:rPr>
        <w:t>本文件对下述专题进行了讨论：</w:t>
      </w:r>
    </w:p>
    <w:p w14:paraId="08765123">
      <w:pPr>
        <w:pStyle w:val="40"/>
        <w:numPr>
          <w:ilvl w:val="0"/>
          <w:numId w:val="2"/>
        </w:numPr>
        <w:spacing w:before="120"/>
        <w:ind w:left="704" w:firstLineChars="0"/>
        <w:rPr>
          <w:lang w:eastAsia="zh-CN"/>
        </w:rPr>
      </w:pPr>
      <w:r>
        <w:rPr>
          <w:rFonts w:cs="宋体"/>
          <w:lang w:eastAsia="zh-CN"/>
        </w:rPr>
        <w:t>针对申报医疗器械的生物相容性评价结果进行</w:t>
      </w:r>
      <w:r>
        <w:rPr>
          <w:rFonts w:cs="宋体"/>
          <w:color w:val="0000FF"/>
          <w:u w:val="single"/>
          <w:lang w:eastAsia="zh-CN"/>
        </w:rPr>
        <w:t>风险评定</w:t>
      </w:r>
      <w:r>
        <w:rPr>
          <w:rFonts w:cs="宋体"/>
          <w:lang w:eastAsia="zh-CN"/>
        </w:rPr>
        <w:t>；</w:t>
      </w:r>
    </w:p>
    <w:p w14:paraId="3E134E1B">
      <w:pPr>
        <w:pStyle w:val="40"/>
        <w:numPr>
          <w:ilvl w:val="0"/>
          <w:numId w:val="2"/>
        </w:numPr>
        <w:spacing w:before="120"/>
        <w:ind w:left="704" w:firstLineChars="0"/>
        <w:rPr>
          <w:lang w:eastAsia="zh-CN"/>
        </w:rPr>
      </w:pPr>
      <w:r>
        <w:rPr>
          <w:rFonts w:cs="宋体"/>
          <w:lang w:eastAsia="zh-CN"/>
        </w:rPr>
        <w:t>使用ISO 10993-1和FDA修改矩阵（</w:t>
      </w:r>
      <w:r>
        <w:rPr>
          <w:rFonts w:cs="宋体"/>
          <w:color w:val="0000FF"/>
          <w:u w:val="single"/>
          <w:lang w:eastAsia="zh-CN"/>
        </w:rPr>
        <w:t>附件A</w:t>
      </w:r>
      <w:r>
        <w:rPr>
          <w:rFonts w:cs="宋体"/>
          <w:lang w:eastAsia="zh-CN"/>
        </w:rPr>
        <w:t>）来确定评价的相关生物形容性终点；</w:t>
      </w:r>
    </w:p>
    <w:p w14:paraId="05A849F6">
      <w:pPr>
        <w:pStyle w:val="40"/>
        <w:numPr>
          <w:ilvl w:val="0"/>
          <w:numId w:val="2"/>
        </w:numPr>
        <w:spacing w:before="120"/>
        <w:ind w:left="704" w:firstLineChars="0"/>
        <w:rPr>
          <w:lang w:eastAsia="zh-CN"/>
        </w:rPr>
      </w:pPr>
      <w:r>
        <w:rPr>
          <w:rFonts w:cs="宋体"/>
          <w:lang w:eastAsia="zh-CN"/>
        </w:rPr>
        <w:t>生物相容性一般试验的注意事项，包括供试品的制备；</w:t>
      </w:r>
    </w:p>
    <w:p w14:paraId="242A2847">
      <w:pPr>
        <w:pStyle w:val="40"/>
        <w:numPr>
          <w:ilvl w:val="0"/>
          <w:numId w:val="2"/>
        </w:numPr>
        <w:spacing w:before="120"/>
        <w:ind w:left="704" w:firstLineChars="0"/>
        <w:rPr>
          <w:lang w:eastAsia="zh-CN"/>
        </w:rPr>
      </w:pPr>
      <w:r>
        <w:rPr>
          <w:rFonts w:cs="宋体"/>
          <w:lang w:eastAsia="zh-CN"/>
        </w:rPr>
        <w:t>下述试验的具体注意事项：细胞毒性、致敏、血液相容性、热原、植入、遗传</w:t>
      </w:r>
      <w:r>
        <w:rPr>
          <w:rFonts w:cs="宋体"/>
          <w:color w:val="0000FF"/>
          <w:u w:val="single"/>
          <w:lang w:eastAsia="zh-CN"/>
        </w:rPr>
        <w:t>毒性</w:t>
      </w:r>
      <w:r>
        <w:rPr>
          <w:rFonts w:cs="宋体"/>
          <w:lang w:eastAsia="zh-CN"/>
        </w:rPr>
        <w:t>、致癌、生殖和发育毒性以及</w:t>
      </w:r>
      <w:r>
        <w:rPr>
          <w:rFonts w:cs="宋体"/>
          <w:color w:val="0000FF"/>
          <w:u w:val="single"/>
          <w:lang w:eastAsia="zh-CN"/>
        </w:rPr>
        <w:t>降解</w:t>
      </w:r>
      <w:r>
        <w:rPr>
          <w:rFonts w:cs="宋体"/>
          <w:lang w:eastAsia="zh-CN"/>
        </w:rPr>
        <w:t>评价；</w:t>
      </w:r>
    </w:p>
    <w:p w14:paraId="0057F155">
      <w:pPr>
        <w:pStyle w:val="40"/>
        <w:numPr>
          <w:ilvl w:val="0"/>
          <w:numId w:val="2"/>
        </w:numPr>
        <w:spacing w:before="120"/>
        <w:ind w:left="704" w:firstLineChars="0"/>
      </w:pPr>
      <w:r>
        <w:rPr>
          <w:rFonts w:cs="宋体"/>
        </w:rPr>
        <w:t>化学评价建议；</w:t>
      </w:r>
      <w:r>
        <w:rPr>
          <w:rFonts w:cs="宋体"/>
          <w:vertAlign w:val="superscript"/>
        </w:rPr>
        <w:t>9</w:t>
      </w:r>
      <w:r>
        <w:rPr>
          <w:rFonts w:cs="宋体"/>
        </w:rPr>
        <w:t>和</w:t>
      </w:r>
    </w:p>
    <w:p w14:paraId="48D1EC92">
      <w:pPr>
        <w:pStyle w:val="40"/>
        <w:numPr>
          <w:ilvl w:val="0"/>
          <w:numId w:val="2"/>
        </w:numPr>
        <w:spacing w:before="120"/>
        <w:ind w:left="704" w:firstLineChars="0"/>
        <w:rPr>
          <w:lang w:eastAsia="zh-CN"/>
        </w:rPr>
      </w:pPr>
      <w:r>
        <w:rPr>
          <w:rFonts w:cs="宋体"/>
          <w:lang w:eastAsia="zh-CN"/>
        </w:rPr>
        <w:t>将器械标记为“不含-”的注意事项。</w:t>
      </w:r>
    </w:p>
    <w:p w14:paraId="386D7AB4">
      <w:pPr>
        <w:spacing w:before="120"/>
        <w:rPr>
          <w:lang w:eastAsia="zh-CN"/>
        </w:rPr>
      </w:pPr>
      <w:r>
        <w:rPr>
          <w:rFonts w:cs="宋体"/>
          <w:lang w:eastAsia="zh-CN"/>
        </w:rPr>
        <w:t>此外，本指南包括下述旨在作为资源的附件：</w:t>
      </w:r>
    </w:p>
    <w:p w14:paraId="5B090F33">
      <w:pPr>
        <w:pStyle w:val="40"/>
        <w:numPr>
          <w:ilvl w:val="0"/>
          <w:numId w:val="2"/>
        </w:numPr>
        <w:spacing w:before="120"/>
        <w:ind w:left="704" w:firstLineChars="0"/>
        <w:rPr>
          <w:lang w:eastAsia="zh-CN"/>
        </w:rPr>
      </w:pPr>
      <w:r>
        <w:rPr>
          <w:rFonts w:cs="宋体"/>
          <w:color w:val="0000FF"/>
          <w:u w:val="single"/>
          <w:lang w:eastAsia="zh-CN"/>
        </w:rPr>
        <w:t>附件B</w:t>
      </w:r>
      <w:r>
        <w:rPr>
          <w:rFonts w:cs="宋体"/>
          <w:lang w:eastAsia="zh-CN"/>
        </w:rPr>
        <w:t>：用于生物相容性评价的器械主文件（MAF），包括本机构建议纳入到MAF中的信息；</w:t>
      </w:r>
    </w:p>
    <w:p w14:paraId="4F5BEE0D">
      <w:pPr>
        <w:spacing w:before="120"/>
        <w:rPr>
          <w:lang w:eastAsia="zh-CN"/>
        </w:rPr>
      </w:pPr>
    </w:p>
    <w:p w14:paraId="6560156F">
      <w:pPr>
        <w:spacing w:before="120"/>
        <w:rPr>
          <w:lang w:eastAsia="zh-CN"/>
        </w:rPr>
      </w:pPr>
    </w:p>
    <w:p w14:paraId="082A6092">
      <w:pPr>
        <w:spacing w:before="120"/>
        <w:rPr>
          <w:lang w:eastAsia="zh-CN"/>
        </w:rPr>
      </w:pPr>
    </w:p>
    <w:p w14:paraId="6D741F1A">
      <w:pPr>
        <w:spacing w:before="120"/>
        <w:rPr>
          <w:lang w:eastAsia="zh-CN"/>
        </w:rPr>
      </w:pPr>
    </w:p>
    <w:p w14:paraId="79C9FB0C">
      <w:pPr>
        <w:spacing w:before="120"/>
        <w:rPr>
          <w:lang w:eastAsia="zh-CN"/>
        </w:rPr>
      </w:pPr>
      <w:r>
        <w:rPr>
          <w:rFonts w:cs="宋体"/>
        </w:rPr>
        <w:t>________________________</w:t>
      </w:r>
    </w:p>
    <w:p w14:paraId="33CED598">
      <w:pPr>
        <w:spacing w:before="0" w:beforeLines="0"/>
        <w:rPr>
          <w:sz w:val="21"/>
          <w:szCs w:val="21"/>
          <w:lang w:eastAsia="zh-CN"/>
        </w:rPr>
      </w:pPr>
      <w:r>
        <w:rPr>
          <w:rFonts w:cs="宋体"/>
          <w:sz w:val="21"/>
          <w:vertAlign w:val="superscript"/>
        </w:rPr>
        <w:t>4</w:t>
      </w:r>
      <w:r>
        <w:rPr>
          <w:rFonts w:cs="宋体"/>
          <w:sz w:val="21"/>
        </w:rPr>
        <w:t xml:space="preserve"> ISO代表国际标准化组织（International Organization for Standardization），是一个国际标准制定组织。有关更多信息，请参见</w:t>
      </w:r>
      <w:r>
        <w:rPr>
          <w:rFonts w:cs="宋体"/>
          <w:color w:val="0000FF"/>
          <w:sz w:val="21"/>
          <w:u w:val="single"/>
        </w:rPr>
        <w:t>http://www.iso.org/iso/home.html</w:t>
      </w:r>
      <w:r>
        <w:rPr>
          <w:rFonts w:cs="宋体"/>
          <w:sz w:val="21"/>
        </w:rPr>
        <w:t>。</w:t>
      </w:r>
    </w:p>
    <w:p w14:paraId="20E4FB51">
      <w:pPr>
        <w:spacing w:before="0" w:beforeLines="0"/>
        <w:rPr>
          <w:sz w:val="21"/>
          <w:szCs w:val="21"/>
          <w:lang w:eastAsia="zh-CN"/>
        </w:rPr>
      </w:pPr>
      <w:r>
        <w:rPr>
          <w:rFonts w:cs="宋体"/>
          <w:sz w:val="21"/>
          <w:vertAlign w:val="superscript"/>
          <w:lang w:eastAsia="zh-CN"/>
        </w:rPr>
        <w:t>5</w:t>
      </w:r>
      <w:r>
        <w:rPr>
          <w:rFonts w:hint="eastAsia" w:cs="宋体"/>
          <w:sz w:val="21"/>
          <w:vertAlign w:val="superscript"/>
          <w:lang w:eastAsia="zh-CN"/>
        </w:rPr>
        <w:t xml:space="preserve"> </w:t>
      </w:r>
      <w:r>
        <w:rPr>
          <w:rFonts w:cs="宋体"/>
          <w:sz w:val="21"/>
          <w:lang w:eastAsia="zh-CN"/>
        </w:rPr>
        <w:t>ASTM代表美国材料试验协会，是一个国际标准制定组织。更多信息，请参见</w:t>
      </w:r>
      <w:r>
        <w:rPr>
          <w:rFonts w:cs="宋体"/>
          <w:color w:val="0000FF"/>
          <w:sz w:val="21"/>
          <w:u w:val="single"/>
          <w:lang w:eastAsia="zh-CN"/>
        </w:rPr>
        <w:t>http://www.astm.org/ABOUT/overview.html</w:t>
      </w:r>
      <w:r>
        <w:rPr>
          <w:rFonts w:cs="宋体"/>
          <w:sz w:val="21"/>
          <w:lang w:eastAsia="zh-CN"/>
        </w:rPr>
        <w:t>。</w:t>
      </w:r>
    </w:p>
    <w:p w14:paraId="0B8A16C4">
      <w:pPr>
        <w:spacing w:before="0" w:beforeLines="0"/>
        <w:rPr>
          <w:sz w:val="21"/>
          <w:szCs w:val="21"/>
          <w:lang w:eastAsia="zh-CN"/>
        </w:rPr>
      </w:pPr>
      <w:r>
        <w:rPr>
          <w:rFonts w:cs="宋体"/>
          <w:sz w:val="21"/>
          <w:vertAlign w:val="superscript"/>
          <w:lang w:eastAsia="zh-CN"/>
        </w:rPr>
        <w:t>6</w:t>
      </w:r>
      <w:r>
        <w:rPr>
          <w:rFonts w:cs="宋体"/>
          <w:sz w:val="21"/>
          <w:lang w:eastAsia="zh-CN"/>
        </w:rPr>
        <w:t xml:space="preserve"> ICH代表国际协调会议，是一个国际标准制定组织。更多信息，请参见</w:t>
      </w:r>
      <w:r>
        <w:rPr>
          <w:rFonts w:cs="宋体"/>
          <w:color w:val="0000FF"/>
          <w:sz w:val="21"/>
          <w:u w:val="single"/>
          <w:lang w:eastAsia="zh-CN"/>
        </w:rPr>
        <w:t>http://www.ich.org/about/vision.html</w:t>
      </w:r>
      <w:r>
        <w:rPr>
          <w:rFonts w:cs="宋体"/>
          <w:sz w:val="21"/>
          <w:lang w:eastAsia="zh-CN"/>
        </w:rPr>
        <w:t>。</w:t>
      </w:r>
    </w:p>
    <w:p w14:paraId="4B98037E">
      <w:pPr>
        <w:spacing w:before="0" w:beforeLines="0"/>
        <w:rPr>
          <w:sz w:val="21"/>
          <w:szCs w:val="21"/>
          <w:lang w:eastAsia="zh-CN"/>
        </w:rPr>
      </w:pPr>
      <w:r>
        <w:rPr>
          <w:rFonts w:cs="宋体"/>
          <w:sz w:val="21"/>
          <w:vertAlign w:val="superscript"/>
          <w:lang w:eastAsia="zh-CN"/>
        </w:rPr>
        <w:t>7</w:t>
      </w:r>
      <w:r>
        <w:rPr>
          <w:rFonts w:cs="宋体"/>
          <w:sz w:val="21"/>
          <w:lang w:eastAsia="zh-CN"/>
        </w:rPr>
        <w:t xml:space="preserve"> OECD代表经济合作与发展组织，是一个国际标准制定组织。更多信息，请参见</w:t>
      </w:r>
      <w:r>
        <w:rPr>
          <w:rFonts w:cs="宋体"/>
          <w:color w:val="0000FF"/>
          <w:sz w:val="21"/>
          <w:u w:val="single"/>
          <w:lang w:eastAsia="zh-CN"/>
        </w:rPr>
        <w:t>http://www.oecd.org/</w:t>
      </w:r>
      <w:r>
        <w:rPr>
          <w:rFonts w:cs="宋体"/>
          <w:sz w:val="21"/>
          <w:lang w:eastAsia="zh-CN"/>
        </w:rPr>
        <w:t>。</w:t>
      </w:r>
    </w:p>
    <w:p w14:paraId="21CACBA5">
      <w:pPr>
        <w:spacing w:before="0" w:beforeLines="0"/>
        <w:rPr>
          <w:sz w:val="21"/>
          <w:szCs w:val="21"/>
          <w:lang w:eastAsia="zh-CN"/>
        </w:rPr>
      </w:pPr>
      <w:r>
        <w:rPr>
          <w:rFonts w:cs="宋体"/>
          <w:sz w:val="21"/>
          <w:vertAlign w:val="superscript"/>
          <w:lang w:eastAsia="zh-CN"/>
        </w:rPr>
        <w:t>8</w:t>
      </w:r>
      <w:r>
        <w:rPr>
          <w:rFonts w:cs="宋体"/>
          <w:sz w:val="21"/>
          <w:lang w:eastAsia="zh-CN"/>
        </w:rPr>
        <w:t xml:space="preserve"> USP代表美国药典委员会，是一个美国标准的制定组织。更多信息，请参见</w:t>
      </w:r>
      <w:r>
        <w:rPr>
          <w:rFonts w:cs="宋体"/>
          <w:color w:val="0000FF"/>
          <w:sz w:val="21"/>
          <w:u w:val="single"/>
          <w:lang w:eastAsia="zh-CN"/>
        </w:rPr>
        <w:t>http://www.usp.org/about-usp</w:t>
      </w:r>
      <w:r>
        <w:rPr>
          <w:rFonts w:cs="宋体"/>
          <w:sz w:val="21"/>
          <w:lang w:eastAsia="zh-CN"/>
        </w:rPr>
        <w:t>。</w:t>
      </w:r>
    </w:p>
    <w:p w14:paraId="17C43111">
      <w:pPr>
        <w:spacing w:before="0" w:beforeLines="0"/>
        <w:rPr>
          <w:sz w:val="21"/>
          <w:szCs w:val="21"/>
          <w:lang w:eastAsia="zh-CN"/>
        </w:rPr>
      </w:pPr>
      <w:r>
        <w:rPr>
          <w:rFonts w:cs="宋体"/>
          <w:sz w:val="21"/>
          <w:vertAlign w:val="superscript"/>
          <w:lang w:eastAsia="zh-CN"/>
        </w:rPr>
        <w:t>9</w:t>
      </w:r>
      <w:r>
        <w:rPr>
          <w:rFonts w:cs="宋体"/>
          <w:sz w:val="21"/>
          <w:lang w:eastAsia="zh-CN"/>
        </w:rPr>
        <w:t>从本指南的草案中删除了与医疗器械中着色剂评价相关的所有问题，其目的是为了在单独指导性文件中解决这些内容的问题。</w:t>
      </w:r>
    </w:p>
    <w:p w14:paraId="26CA9BDD">
      <w:pPr>
        <w:spacing w:before="120"/>
        <w:rPr>
          <w:lang w:eastAsia="zh-CN"/>
        </w:rPr>
      </w:pPr>
      <w:r>
        <w:rPr>
          <w:rFonts w:cs="宋体"/>
          <w:lang w:eastAsia="zh-CN"/>
        </w:rPr>
        <w:br w:type="page"/>
      </w:r>
    </w:p>
    <w:p w14:paraId="05990022">
      <w:pPr>
        <w:pStyle w:val="40"/>
        <w:numPr>
          <w:ilvl w:val="0"/>
          <w:numId w:val="2"/>
        </w:numPr>
        <w:spacing w:before="120"/>
        <w:ind w:left="704" w:firstLineChars="0"/>
        <w:rPr>
          <w:lang w:eastAsia="zh-CN"/>
        </w:rPr>
      </w:pPr>
      <w:r>
        <w:rPr>
          <w:rFonts w:cs="宋体"/>
          <w:color w:val="0000FF"/>
          <w:u w:val="single"/>
          <w:lang w:eastAsia="zh-CN"/>
        </w:rPr>
        <w:t>附件C</w:t>
      </w:r>
      <w:r>
        <w:rPr>
          <w:rFonts w:cs="宋体"/>
          <w:lang w:eastAsia="zh-CN"/>
        </w:rPr>
        <w:t>：生物相容性文件概述，包括本机构建议对用于支持申报的生物相容性信息进行概述的示例表；</w:t>
      </w:r>
    </w:p>
    <w:p w14:paraId="59A6BB58">
      <w:pPr>
        <w:pStyle w:val="40"/>
        <w:numPr>
          <w:ilvl w:val="0"/>
          <w:numId w:val="2"/>
        </w:numPr>
        <w:spacing w:before="120"/>
        <w:ind w:left="704" w:firstLineChars="0"/>
        <w:rPr>
          <w:lang w:eastAsia="zh-CN"/>
        </w:rPr>
      </w:pPr>
      <w:r>
        <w:rPr>
          <w:rFonts w:cs="宋体"/>
          <w:color w:val="0000FF"/>
          <w:u w:val="single"/>
          <w:lang w:eastAsia="zh-CN"/>
        </w:rPr>
        <w:t>附件D</w:t>
      </w:r>
      <w:r>
        <w:rPr>
          <w:rFonts w:cs="宋体"/>
          <w:lang w:eastAsia="zh-CN"/>
        </w:rPr>
        <w:t>：阐述了如何进行生物相容性评价的流程图；</w:t>
      </w:r>
    </w:p>
    <w:p w14:paraId="6C6DF223">
      <w:pPr>
        <w:pStyle w:val="40"/>
        <w:numPr>
          <w:ilvl w:val="0"/>
          <w:numId w:val="2"/>
        </w:numPr>
        <w:spacing w:before="120"/>
        <w:ind w:left="704" w:firstLineChars="0"/>
        <w:rPr>
          <w:lang w:eastAsia="zh-CN"/>
        </w:rPr>
      </w:pPr>
      <w:r>
        <w:rPr>
          <w:rFonts w:cs="宋体"/>
          <w:color w:val="0000FF"/>
          <w:u w:val="single"/>
          <w:lang w:eastAsia="zh-CN"/>
        </w:rPr>
        <w:t>附件E</w:t>
      </w:r>
      <w:r>
        <w:rPr>
          <w:rFonts w:cs="宋体"/>
          <w:lang w:eastAsia="zh-CN"/>
        </w:rPr>
        <w:t>：生物相容性报告的内容，包括试验报告的推荐内容；</w:t>
      </w:r>
    </w:p>
    <w:p w14:paraId="50EF1A61">
      <w:pPr>
        <w:pStyle w:val="40"/>
        <w:numPr>
          <w:ilvl w:val="0"/>
          <w:numId w:val="2"/>
        </w:numPr>
        <w:spacing w:before="120"/>
        <w:ind w:left="704" w:firstLineChars="0"/>
        <w:rPr>
          <w:lang w:eastAsia="zh-CN"/>
        </w:rPr>
      </w:pPr>
      <w:r>
        <w:rPr>
          <w:rFonts w:cs="宋体"/>
          <w:color w:val="0000FF"/>
          <w:u w:val="single"/>
          <w:lang w:eastAsia="zh-CN"/>
        </w:rPr>
        <w:t>附件F：</w:t>
      </w:r>
      <w:r>
        <w:rPr>
          <w:rFonts w:cs="宋体"/>
          <w:lang w:eastAsia="zh-CN"/>
        </w:rPr>
        <w:t>组件和器械文档示例，将供试品成分与医疗器械成品成分进行比较或将之前在美国合法上市的器械成分与现行器械成分进行比较时，对本机构推荐使用的示例文档语言进行了概述；</w:t>
      </w:r>
    </w:p>
    <w:p w14:paraId="7FD3EA34">
      <w:pPr>
        <w:pStyle w:val="40"/>
        <w:numPr>
          <w:ilvl w:val="0"/>
          <w:numId w:val="2"/>
        </w:numPr>
        <w:spacing w:before="120"/>
        <w:ind w:left="704" w:firstLineChars="0"/>
        <w:rPr>
          <w:lang w:eastAsia="zh-CN"/>
        </w:rPr>
      </w:pPr>
      <w:r>
        <w:rPr>
          <w:rFonts w:cs="宋体"/>
          <w:color w:val="0000FF"/>
          <w:u w:val="single"/>
          <w:lang w:eastAsia="zh-CN"/>
        </w:rPr>
        <w:t>附件G</w:t>
      </w:r>
      <w:r>
        <w:rPr>
          <w:rFonts w:cs="宋体"/>
          <w:lang w:eastAsia="zh-CN"/>
        </w:rPr>
        <w:t>：术语，包括本指南中所使用的术语和定义。</w:t>
      </w:r>
    </w:p>
    <w:p w14:paraId="7FCCCD77">
      <w:pPr>
        <w:spacing w:before="120"/>
        <w:rPr>
          <w:lang w:eastAsia="zh-CN"/>
        </w:rPr>
      </w:pPr>
      <w:r>
        <w:rPr>
          <w:rFonts w:cs="宋体"/>
          <w:lang w:eastAsia="zh-CN"/>
        </w:rPr>
        <w:t>如有其它经FDA认可的、用于解决特定类型器械的生物相容性问题的共识标准</w:t>
      </w:r>
      <w:r>
        <w:rPr>
          <w:rFonts w:cs="宋体"/>
          <w:vertAlign w:val="superscript"/>
          <w:lang w:eastAsia="zh-CN"/>
        </w:rPr>
        <w:t>10</w:t>
      </w:r>
      <w:r>
        <w:rPr>
          <w:rFonts w:cs="宋体"/>
          <w:lang w:eastAsia="zh-CN"/>
        </w:rPr>
        <w:t>（例如，ISO 7405《牙科学-牙科中所使用的医疗器械生物相容性评价》），应遵循更具有器械针对性的标准。在某些情况下，比如对于牙科器械，应使用器械标准中的生物相容性建议而不是使用在ISO 10993-1中概述的建议。反之，一些针对性器械的指南包含了与生物相容性评价相关的建议，应结合ISO 10993-1进行考虑。例如，FDA指南《</w:t>
      </w:r>
      <w:r>
        <w:rPr>
          <w:rFonts w:cs="宋体"/>
          <w:color w:val="0000FF"/>
          <w:u w:val="single"/>
          <w:lang w:eastAsia="zh-CN"/>
        </w:rPr>
        <w:t>传统和高渗透性血液透析器上市前通告内容指南</w:t>
      </w:r>
      <w:r>
        <w:rPr>
          <w:rFonts w:cs="宋体"/>
          <w:lang w:eastAsia="zh-CN"/>
        </w:rPr>
        <w:t>》</w:t>
      </w:r>
      <w:r>
        <w:rPr>
          <w:rFonts w:cs="宋体"/>
          <w:vertAlign w:val="superscript"/>
          <w:lang w:eastAsia="zh-CN"/>
        </w:rPr>
        <w:t>11</w:t>
      </w:r>
      <w:r>
        <w:rPr>
          <w:rFonts w:cs="宋体"/>
          <w:lang w:eastAsia="zh-CN"/>
        </w:rPr>
        <w:t>中明确规定，由于血液透析器的膜组件表面积较大，因此，建议对子组件进行试验，并且，仅在“浸提条件（如供试品单位表面积所使用的溶剂体积）比ISO 10993中推荐的条件更苛刻”时，推荐对整个器械进行试验。在这种情况下，如果对最终产品进行血液透析器生物相容性试验，FDA推荐在血液透析器中灌满溶剂，以获取更大的表面积-浸提体积比（与ISO 10993-12《医疗器械生物学评价-第12部分：样品制备和参考材料》中的推荐比例相比）。但是，如果单独对不含膜的组件进行试验，则可使用ISO 10993-12中针对供试品制备的建议。</w:t>
      </w:r>
    </w:p>
    <w:p w14:paraId="45762C61">
      <w:pPr>
        <w:spacing w:before="120"/>
        <w:rPr>
          <w:rFonts w:cs="宋体"/>
          <w:lang w:eastAsia="zh-CN"/>
        </w:rPr>
      </w:pPr>
    </w:p>
    <w:p w14:paraId="1ADA1AB7">
      <w:pPr>
        <w:spacing w:before="120"/>
        <w:rPr>
          <w:rFonts w:cs="宋体"/>
          <w:lang w:eastAsia="zh-CN"/>
        </w:rPr>
      </w:pPr>
    </w:p>
    <w:p w14:paraId="3C3F921B">
      <w:pPr>
        <w:spacing w:before="120"/>
        <w:rPr>
          <w:rFonts w:cs="宋体"/>
          <w:lang w:eastAsia="zh-CN"/>
        </w:rPr>
      </w:pPr>
    </w:p>
    <w:p w14:paraId="1DD7DB05">
      <w:pPr>
        <w:spacing w:before="120"/>
        <w:rPr>
          <w:rFonts w:cs="宋体"/>
          <w:lang w:eastAsia="zh-CN"/>
        </w:rPr>
      </w:pPr>
    </w:p>
    <w:p w14:paraId="7CFA1DDD">
      <w:pPr>
        <w:spacing w:before="120"/>
        <w:rPr>
          <w:rFonts w:cs="宋体"/>
          <w:lang w:eastAsia="zh-CN"/>
        </w:rPr>
      </w:pPr>
    </w:p>
    <w:p w14:paraId="0F733443">
      <w:pPr>
        <w:spacing w:before="120"/>
        <w:rPr>
          <w:lang w:eastAsia="zh-CN"/>
        </w:rPr>
      </w:pPr>
      <w:r>
        <w:rPr>
          <w:rFonts w:cs="宋体"/>
          <w:lang w:eastAsia="zh-CN"/>
        </w:rPr>
        <w:t>________________________</w:t>
      </w:r>
    </w:p>
    <w:p w14:paraId="190930F1">
      <w:pPr>
        <w:spacing w:before="0" w:beforeLines="0"/>
        <w:rPr>
          <w:sz w:val="21"/>
          <w:szCs w:val="21"/>
          <w:lang w:eastAsia="zh-CN"/>
        </w:rPr>
      </w:pPr>
      <w:r>
        <w:rPr>
          <w:rFonts w:cs="宋体"/>
          <w:sz w:val="21"/>
          <w:vertAlign w:val="superscript"/>
          <w:lang w:eastAsia="zh-CN"/>
        </w:rPr>
        <w:t>10</w:t>
      </w:r>
      <w:r>
        <w:rPr>
          <w:rFonts w:cs="宋体"/>
          <w:sz w:val="21"/>
          <w:lang w:eastAsia="zh-CN"/>
        </w:rPr>
        <w:t>有关在评价医疗器械上市前申请时认可和使用国家和国际共识标准的信息，请参见FDA的</w:t>
      </w:r>
      <w:r>
        <w:rPr>
          <w:rFonts w:cs="宋体"/>
          <w:color w:val="0000FF"/>
          <w:sz w:val="21"/>
          <w:u w:val="single"/>
          <w:lang w:eastAsia="zh-CN"/>
        </w:rPr>
        <w:t>《自愿共识标准在医疗器械上市前申请中的合理使用：面向行业和美国食品药品监督管理局工作人员的指南》（</w:t>
      </w:r>
      <w:r>
        <w:rPr>
          <w:rFonts w:cs="宋体"/>
          <w:sz w:val="21"/>
          <w:lang w:eastAsia="zh-CN"/>
        </w:rPr>
        <w:t xml:space="preserve"> </w:t>
      </w:r>
      <w:r>
        <w:rPr>
          <w:rFonts w:cs="宋体"/>
          <w:color w:val="0000FF"/>
          <w:sz w:val="21"/>
          <w:u w:val="single"/>
          <w:lang w:eastAsia="zh-CN"/>
        </w:rPr>
        <w:t>https://www.fda.gov/regulatory-information/search-fda-guidance-documents/appropriate-use-voluntary-consensus-standards-premarket-submissions-medical-devices）</w:t>
      </w:r>
      <w:r>
        <w:rPr>
          <w:rFonts w:cs="宋体"/>
          <w:sz w:val="21"/>
          <w:lang w:eastAsia="zh-CN"/>
        </w:rPr>
        <w:t>。</w:t>
      </w:r>
    </w:p>
    <w:p w14:paraId="5123B71D">
      <w:pPr>
        <w:spacing w:before="0" w:beforeLines="0"/>
        <w:rPr>
          <w:sz w:val="21"/>
          <w:szCs w:val="21"/>
          <w:lang w:eastAsia="zh-CN"/>
        </w:rPr>
      </w:pPr>
      <w:r>
        <w:rPr>
          <w:rFonts w:cs="宋体"/>
          <w:sz w:val="21"/>
          <w:vertAlign w:val="superscript"/>
        </w:rPr>
        <w:t>11</w:t>
      </w:r>
      <w:r>
        <w:rPr>
          <w:rFonts w:cs="宋体"/>
          <w:sz w:val="21"/>
        </w:rPr>
        <w:t>可登录以下网址获取</w:t>
      </w:r>
      <w:r>
        <w:rPr>
          <w:rFonts w:cs="宋体"/>
          <w:color w:val="0000FF"/>
          <w:sz w:val="21"/>
          <w:u w:val="single"/>
        </w:rPr>
        <w:t>https://www.fda.gov/medical-devices/guidance-documents-medical-devices-and-</w:t>
      </w:r>
      <w:r>
        <w:rPr>
          <w:rFonts w:hint="eastAsia" w:cs="宋体"/>
          <w:color w:val="0000FF"/>
          <w:sz w:val="21"/>
          <w:u w:val="single"/>
          <w:lang w:eastAsia="zh-CN"/>
        </w:rPr>
        <w:t xml:space="preserve"> </w:t>
      </w:r>
      <w:r>
        <w:rPr>
          <w:rFonts w:cs="宋体"/>
          <w:color w:val="0000FF"/>
          <w:sz w:val="21"/>
          <w:u w:val="single"/>
        </w:rPr>
        <w:t>radiation-emitting-products/content-premarket-notifications-conventional-and-high-permeability-hemodialyzers-guidance-industry</w:t>
      </w:r>
    </w:p>
    <w:p w14:paraId="4B46412D">
      <w:pPr>
        <w:spacing w:before="120"/>
      </w:pPr>
      <w:r>
        <w:rPr>
          <w:rFonts w:cs="宋体"/>
        </w:rPr>
        <w:br w:type="page"/>
      </w:r>
    </w:p>
    <w:p w14:paraId="6EF342BE">
      <w:pPr>
        <w:spacing w:before="120"/>
        <w:rPr>
          <w:lang w:eastAsia="zh-CN"/>
        </w:rPr>
      </w:pPr>
      <w:r>
        <w:rPr>
          <w:rFonts w:cs="宋体"/>
          <w:lang w:eastAsia="zh-CN"/>
        </w:rPr>
        <w:t>此外，如果产品属于组合器械，</w:t>
      </w:r>
      <w:r>
        <w:rPr>
          <w:rFonts w:cs="宋体"/>
          <w:vertAlign w:val="superscript"/>
          <w:lang w:eastAsia="zh-CN"/>
        </w:rPr>
        <w:t>12</w:t>
      </w:r>
      <w:r>
        <w:rPr>
          <w:rFonts w:cs="宋体"/>
          <w:lang w:eastAsia="zh-CN"/>
        </w:rPr>
        <w:t>请注意，除了遵循本指南的一般原则，可能</w:t>
      </w:r>
      <w:r>
        <w:rPr>
          <w:rFonts w:cs="宋体"/>
          <w:vertAlign w:val="superscript"/>
          <w:lang w:eastAsia="zh-CN"/>
        </w:rPr>
        <w:t>13</w:t>
      </w:r>
      <w:r>
        <w:rPr>
          <w:rFonts w:cs="宋体"/>
          <w:lang w:eastAsia="zh-CN"/>
        </w:rPr>
        <w:t>也需要执行附加或改进试验。例如，</w:t>
      </w:r>
      <w:r>
        <w:rPr>
          <w:rFonts w:hint="eastAsia" w:cs="宋体"/>
          <w:lang w:eastAsia="zh-CN"/>
        </w:rPr>
        <w:t>生物制品-器械组合产品</w:t>
      </w:r>
      <w:r>
        <w:rPr>
          <w:rFonts w:cs="宋体"/>
          <w:lang w:eastAsia="zh-CN"/>
        </w:rPr>
        <w:t>的样品制备可能独立于</w:t>
      </w:r>
      <w:r>
        <w:rPr>
          <w:rFonts w:hint="eastAsia" w:cs="宋体"/>
          <w:lang w:eastAsia="zh-CN"/>
        </w:rPr>
        <w:t>产</w:t>
      </w:r>
      <w:r>
        <w:rPr>
          <w:rFonts w:cs="宋体"/>
          <w:lang w:eastAsia="zh-CN"/>
        </w:rPr>
        <w:t>品的类型和待评价终点，并且，针对</w:t>
      </w:r>
      <w:r>
        <w:rPr>
          <w:rFonts w:hint="eastAsia" w:cs="宋体"/>
          <w:lang w:eastAsia="zh-CN"/>
        </w:rPr>
        <w:t>这种组合产品的</w:t>
      </w:r>
      <w:r>
        <w:rPr>
          <w:rFonts w:cs="宋体"/>
          <w:lang w:eastAsia="zh-CN"/>
        </w:rPr>
        <w:t>生物相容性评价的详细指南不在本文件的范围内。同样，本机构鼓励您与相关审评部门来讨论组合产品，他们将酌情通过组合产品办公室就针对组合产品生物相容性的关注点启动合理协商。</w:t>
      </w:r>
    </w:p>
    <w:p w14:paraId="05545E40">
      <w:pPr>
        <w:spacing w:before="120"/>
        <w:rPr>
          <w:lang w:eastAsia="zh-CN"/>
        </w:rPr>
      </w:pPr>
      <w:r>
        <w:rPr>
          <w:rFonts w:cs="宋体"/>
          <w:lang w:eastAsia="zh-CN"/>
        </w:rPr>
        <w:t>此外，本机构还认识到ISO标准需要定期审查和修订。通过FDA标准识别过程，本机构通过发布在FDA网站上的补充信息表来提供与ISO 10993系列标准和其它生物相容性标准的识别程度相关的信息。</w:t>
      </w:r>
      <w:r>
        <w:rPr>
          <w:rFonts w:cs="宋体"/>
          <w:vertAlign w:val="superscript"/>
          <w:lang w:eastAsia="zh-CN"/>
        </w:rPr>
        <w:t>14</w:t>
      </w:r>
      <w:r>
        <w:rPr>
          <w:rFonts w:cs="宋体"/>
          <w:lang w:eastAsia="zh-CN"/>
        </w:rPr>
        <w:t>由于ISO 10993系列标准包括可用于多种用途的通用方法，并且，在某些情况下，不包含可接受准则或不对结果进行评价，因此FDA建议为所有进行的试验提供完整的测试报告。</w:t>
      </w:r>
      <w:r>
        <w:rPr>
          <w:rFonts w:cs="宋体"/>
          <w:vertAlign w:val="superscript"/>
          <w:lang w:eastAsia="zh-CN"/>
        </w:rPr>
        <w:t>15</w:t>
      </w:r>
      <w:r>
        <w:rPr>
          <w:rFonts w:cs="宋体"/>
          <w:lang w:eastAsia="zh-CN"/>
        </w:rPr>
        <w:t>因此，在为ISO 10993系列中经FDA识别的标准提供符合性声明时，也应提供用于支持声明的补充信息副本（例如，</w:t>
      </w:r>
      <w:r>
        <w:rPr>
          <w:rFonts w:cs="宋体"/>
          <w:color w:val="0000FF"/>
          <w:u w:val="single"/>
          <w:lang w:eastAsia="zh-CN"/>
        </w:rPr>
        <w:t>附件E</w:t>
      </w:r>
      <w:r>
        <w:rPr>
          <w:rFonts w:cs="宋体"/>
          <w:lang w:eastAsia="zh-CN"/>
        </w:rPr>
        <w:t>中所述的研究试验报告副本）。</w:t>
      </w:r>
      <w:r>
        <w:rPr>
          <w:rFonts w:cs="宋体"/>
          <w:vertAlign w:val="superscript"/>
          <w:lang w:eastAsia="zh-CN"/>
        </w:rPr>
        <w:t>16</w:t>
      </w:r>
      <w:r>
        <w:rPr>
          <w:rFonts w:cs="宋体"/>
          <w:lang w:eastAsia="zh-CN"/>
        </w:rPr>
        <w:t>FDA将酌情升级本指南文件，对ISO 10993-1或其它经FDA认可的导致本文件中的建议出现重大变更的生物相容性标准进行进一步修订。</w:t>
      </w:r>
    </w:p>
    <w:p w14:paraId="497AD88A">
      <w:pPr>
        <w:spacing w:before="120"/>
        <w:rPr>
          <w:lang w:eastAsia="zh-CN"/>
        </w:rPr>
      </w:pPr>
    </w:p>
    <w:p w14:paraId="22589954">
      <w:pPr>
        <w:spacing w:before="120"/>
        <w:rPr>
          <w:lang w:eastAsia="zh-CN"/>
        </w:rPr>
      </w:pPr>
    </w:p>
    <w:p w14:paraId="3BFEF086">
      <w:pPr>
        <w:spacing w:before="120"/>
        <w:rPr>
          <w:lang w:eastAsia="zh-CN"/>
        </w:rPr>
      </w:pPr>
    </w:p>
    <w:p w14:paraId="3E5E29AF">
      <w:pPr>
        <w:spacing w:before="120"/>
        <w:rPr>
          <w:lang w:eastAsia="zh-CN"/>
        </w:rPr>
      </w:pPr>
    </w:p>
    <w:p w14:paraId="3D71F2B8">
      <w:pPr>
        <w:spacing w:before="120"/>
        <w:rPr>
          <w:lang w:eastAsia="zh-CN"/>
        </w:rPr>
      </w:pPr>
    </w:p>
    <w:p w14:paraId="64E56A68">
      <w:pPr>
        <w:spacing w:before="120"/>
        <w:rPr>
          <w:lang w:eastAsia="zh-CN"/>
        </w:rPr>
      </w:pPr>
    </w:p>
    <w:p w14:paraId="50301642">
      <w:pPr>
        <w:spacing w:before="120"/>
        <w:rPr>
          <w:lang w:eastAsia="zh-CN"/>
        </w:rPr>
      </w:pPr>
    </w:p>
    <w:p w14:paraId="5FD2D331">
      <w:pPr>
        <w:spacing w:before="120"/>
        <w:rPr>
          <w:lang w:eastAsia="zh-CN"/>
        </w:rPr>
      </w:pPr>
    </w:p>
    <w:p w14:paraId="3C0A35D9">
      <w:pPr>
        <w:spacing w:before="120"/>
        <w:rPr>
          <w:lang w:eastAsia="zh-CN"/>
        </w:rPr>
      </w:pPr>
      <w:r>
        <w:rPr>
          <w:rFonts w:cs="宋体"/>
          <w:lang w:eastAsia="zh-CN"/>
        </w:rPr>
        <w:t>________________________</w:t>
      </w:r>
    </w:p>
    <w:p w14:paraId="0EA30E9F">
      <w:pPr>
        <w:spacing w:before="0" w:beforeLines="0"/>
        <w:rPr>
          <w:sz w:val="21"/>
          <w:szCs w:val="21"/>
          <w:lang w:eastAsia="zh-CN"/>
        </w:rPr>
      </w:pPr>
      <w:r>
        <w:rPr>
          <w:rFonts w:cs="宋体"/>
          <w:sz w:val="21"/>
          <w:vertAlign w:val="superscript"/>
          <w:lang w:eastAsia="zh-CN"/>
        </w:rPr>
        <w:t>12</w:t>
      </w:r>
      <w:r>
        <w:rPr>
          <w:rFonts w:cs="宋体"/>
          <w:sz w:val="21"/>
          <w:lang w:eastAsia="zh-CN"/>
        </w:rPr>
        <w:t>请参见21 CFR 3.2(e)以获取组合产品的定义。</w:t>
      </w:r>
    </w:p>
    <w:p w14:paraId="2074ADF3">
      <w:pPr>
        <w:spacing w:before="0" w:beforeLines="0"/>
        <w:rPr>
          <w:sz w:val="21"/>
          <w:szCs w:val="21"/>
          <w:lang w:eastAsia="zh-CN"/>
        </w:rPr>
      </w:pPr>
      <w:r>
        <w:rPr>
          <w:rFonts w:cs="宋体"/>
          <w:sz w:val="21"/>
          <w:vertAlign w:val="superscript"/>
          <w:lang w:eastAsia="zh-CN"/>
        </w:rPr>
        <w:t>13</w:t>
      </w:r>
      <w:r>
        <w:rPr>
          <w:rFonts w:cs="宋体"/>
          <w:sz w:val="21"/>
          <w:lang w:eastAsia="zh-CN"/>
        </w:rPr>
        <w:t>此处和整个文件中使用术语“可能”一词，以指示是否需要提供附加信息的最终决定将取决于供考虑最终器械的特性。</w:t>
      </w:r>
    </w:p>
    <w:p w14:paraId="374201FE">
      <w:pPr>
        <w:spacing w:before="0" w:beforeLines="0"/>
        <w:rPr>
          <w:sz w:val="21"/>
          <w:szCs w:val="21"/>
          <w:lang w:eastAsia="zh-CN"/>
        </w:rPr>
      </w:pPr>
      <w:r>
        <w:rPr>
          <w:rFonts w:cs="宋体"/>
          <w:sz w:val="21"/>
          <w:vertAlign w:val="superscript"/>
          <w:lang w:eastAsia="zh-CN"/>
        </w:rPr>
        <w:t>14</w:t>
      </w:r>
      <w:r>
        <w:rPr>
          <w:rFonts w:cs="宋体"/>
          <w:sz w:val="21"/>
          <w:lang w:eastAsia="zh-CN"/>
        </w:rPr>
        <w:t>参见</w:t>
      </w:r>
      <w:r>
        <w:rPr>
          <w:rFonts w:cs="宋体"/>
          <w:color w:val="0000FF"/>
          <w:sz w:val="21"/>
          <w:u w:val="single"/>
          <w:lang w:eastAsia="zh-CN"/>
        </w:rPr>
        <w:t>FDA</w:t>
      </w:r>
      <w:r>
        <w:rPr>
          <w:rFonts w:hint="eastAsia" w:cs="宋体"/>
          <w:color w:val="0000FF"/>
          <w:sz w:val="21"/>
          <w:u w:val="single"/>
          <w:lang w:eastAsia="zh-CN"/>
        </w:rPr>
        <w:t>认可</w:t>
      </w:r>
      <w:r>
        <w:rPr>
          <w:rFonts w:cs="宋体"/>
          <w:color w:val="0000FF"/>
          <w:sz w:val="21"/>
          <w:u w:val="single"/>
          <w:lang w:eastAsia="zh-CN"/>
        </w:rPr>
        <w:t>的共识标准数据库</w:t>
      </w:r>
      <w:r>
        <w:rPr>
          <w:rFonts w:cs="宋体"/>
          <w:sz w:val="21"/>
          <w:lang w:eastAsia="zh-CN"/>
        </w:rPr>
        <w:t>并在补充信息表中输入“10993-1”。</w:t>
      </w:r>
    </w:p>
    <w:p w14:paraId="7A534862">
      <w:pPr>
        <w:spacing w:before="0" w:beforeLines="0"/>
        <w:rPr>
          <w:sz w:val="21"/>
          <w:szCs w:val="21"/>
          <w:lang w:eastAsia="zh-CN"/>
        </w:rPr>
      </w:pPr>
      <w:r>
        <w:rPr>
          <w:rFonts w:cs="宋体"/>
          <w:sz w:val="21"/>
          <w:vertAlign w:val="superscript"/>
          <w:lang w:eastAsia="zh-CN"/>
        </w:rPr>
        <w:t>15</w:t>
      </w:r>
      <w:r>
        <w:rPr>
          <w:rFonts w:cs="宋体"/>
          <w:sz w:val="21"/>
          <w:lang w:eastAsia="zh-CN"/>
        </w:rPr>
        <w:t>在简化510(k)申请过程的情况下，通常需要对方法进行汇总以确保采用与同品种器械相同的方法进行试验，并且，使用了相同的评价标准。如果对于申请人来说提交试验报告的副本（FDA未作要求）更容易，这应是可接受的。对于特殊510(k)，请参见指南《特殊510(k)项目》，可登录以下网址获取</w:t>
      </w:r>
      <w:r>
        <w:rPr>
          <w:rFonts w:cs="宋体"/>
          <w:color w:val="0000FF"/>
          <w:sz w:val="21"/>
          <w:u w:val="single"/>
          <w:lang w:eastAsia="zh-CN"/>
        </w:rPr>
        <w:t>https://www.fda.gov/regulatory-information/search-fda-guidance-documents/special-510k-program</w:t>
      </w:r>
      <w:r>
        <w:rPr>
          <w:rFonts w:cs="宋体"/>
          <w:sz w:val="21"/>
          <w:lang w:eastAsia="zh-CN"/>
        </w:rPr>
        <w:t>，以了解更多关于FDA建议应包括的生物相容性信息。</w:t>
      </w:r>
    </w:p>
    <w:p w14:paraId="7A7356B3">
      <w:pPr>
        <w:spacing w:before="0" w:beforeLines="0"/>
        <w:rPr>
          <w:sz w:val="21"/>
          <w:szCs w:val="21"/>
          <w:lang w:eastAsia="zh-CN"/>
        </w:rPr>
      </w:pPr>
      <w:r>
        <w:rPr>
          <w:rFonts w:cs="宋体"/>
          <w:sz w:val="21"/>
          <w:vertAlign w:val="superscript"/>
          <w:lang w:eastAsia="zh-CN"/>
        </w:rPr>
        <w:t>16</w:t>
      </w:r>
      <w:r>
        <w:rPr>
          <w:rFonts w:cs="宋体"/>
          <w:sz w:val="21"/>
          <w:lang w:eastAsia="zh-CN"/>
        </w:rPr>
        <w:t>有关在评价医疗器械上市前申请时认可和使用国家和国际共识标准的信息（包括符合这些标准的声明），请参见FDA的</w:t>
      </w:r>
      <w:r>
        <w:rPr>
          <w:rFonts w:cs="宋体"/>
          <w:color w:val="0000FF"/>
          <w:sz w:val="21"/>
          <w:u w:val="single"/>
          <w:lang w:eastAsia="zh-CN"/>
        </w:rPr>
        <w:t>《自愿共识标准在医疗器械上市前申请中的合理使用：面向行业和美国食品药品监督管理局工作人员的指南》</w:t>
      </w:r>
      <w:r>
        <w:rPr>
          <w:rFonts w:cs="宋体"/>
          <w:sz w:val="21"/>
          <w:lang w:eastAsia="zh-CN"/>
        </w:rPr>
        <w:t>。</w:t>
      </w:r>
    </w:p>
    <w:p w14:paraId="3624069E">
      <w:pPr>
        <w:spacing w:before="120"/>
        <w:rPr>
          <w:lang w:eastAsia="zh-CN"/>
        </w:rPr>
      </w:pPr>
      <w:r>
        <w:rPr>
          <w:rFonts w:cs="宋体"/>
          <w:lang w:eastAsia="zh-CN"/>
        </w:rPr>
        <w:br w:type="page"/>
      </w:r>
    </w:p>
    <w:p w14:paraId="10B06E08">
      <w:pPr>
        <w:spacing w:before="120"/>
        <w:rPr>
          <w:lang w:eastAsia="zh-CN"/>
        </w:rPr>
      </w:pPr>
      <w:r>
        <w:rPr>
          <w:rFonts w:cs="宋体"/>
          <w:lang w:eastAsia="zh-CN"/>
        </w:rPr>
        <w:t>在决定对任何新器械材料开始长期试验之前，建议申请人与相应中心和审评部门发起一次讨论，以保证试验选择正确。</w:t>
      </w:r>
    </w:p>
    <w:p w14:paraId="5B79E5E6">
      <w:pPr>
        <w:pStyle w:val="40"/>
        <w:numPr>
          <w:ilvl w:val="0"/>
          <w:numId w:val="1"/>
        </w:numPr>
        <w:spacing w:before="120"/>
        <w:ind w:left="643" w:hanging="643" w:hangingChars="200"/>
        <w:outlineLvl w:val="0"/>
        <w:rPr>
          <w:b/>
          <w:bCs/>
          <w:sz w:val="32"/>
          <w:szCs w:val="32"/>
          <w:lang w:eastAsia="zh-CN"/>
        </w:rPr>
      </w:pPr>
      <w:bookmarkStart w:id="5" w:name="_Toc97827696"/>
      <w:r>
        <w:rPr>
          <w:rFonts w:cs="宋体"/>
          <w:b/>
          <w:sz w:val="32"/>
          <w:lang w:eastAsia="zh-CN"/>
        </w:rPr>
        <w:t>生物相容性评价的风险管理</w:t>
      </w:r>
      <w:bookmarkEnd w:id="5"/>
    </w:p>
    <w:p w14:paraId="6E757CD9">
      <w:pPr>
        <w:spacing w:before="120"/>
        <w:rPr>
          <w:lang w:eastAsia="zh-CN"/>
        </w:rPr>
      </w:pPr>
      <w:r>
        <w:rPr>
          <w:rFonts w:cs="宋体"/>
          <w:lang w:eastAsia="zh-CN"/>
        </w:rPr>
        <w:t>如ISO 10993-1中所声明的，应在风险管理过程中对医疗器械（或该医疗器械的材料组成）进行生物学评价。在这一过程中，首先对器械进行评价，包括材料组成、制造工艺、器械的临床使用（包括预期解剖部位</w:t>
      </w:r>
      <w:r>
        <w:rPr>
          <w:rFonts w:hint="eastAsia" w:cs="宋体"/>
          <w:lang w:eastAsia="zh-CN"/>
        </w:rPr>
        <w:t>、</w:t>
      </w:r>
      <w:r>
        <w:rPr>
          <w:rFonts w:cs="宋体"/>
          <w:lang w:eastAsia="zh-CN"/>
        </w:rPr>
        <w:t>和接触频率和接触时间</w:t>
      </w:r>
      <w:r>
        <w:rPr>
          <w:rFonts w:hint="eastAsia" w:cs="宋体"/>
          <w:lang w:eastAsia="zh-CN"/>
        </w:rPr>
        <w:t>）</w:t>
      </w:r>
      <w:r>
        <w:rPr>
          <w:rFonts w:cs="宋体"/>
          <w:lang w:eastAsia="zh-CN"/>
        </w:rPr>
        <w:t>。考虑到该信息，应识别生物相容性方面的潜在风险。此类风险可能包括化学毒性、针对器械的物理特性产生无法接受的生物学反应以及可能改变器械物理化学性能并可能造成生物相容性反应发生变化的制造和工艺方面。一旦识别出风险，申请人应评价针对这些风险可使用哪些信息，并识别出存在的知识缺口。考虑到潜在的生物学影响，应制定一项计划，通过生物相容性试验或可合理解决风险的其它评价来应对知识缺口问题。应在合理的受益-风险背景下考虑对总体生物相容性评价做出解释。</w:t>
      </w:r>
    </w:p>
    <w:p w14:paraId="2C4377EF">
      <w:pPr>
        <w:pStyle w:val="40"/>
        <w:numPr>
          <w:ilvl w:val="0"/>
          <w:numId w:val="3"/>
        </w:numPr>
        <w:spacing w:before="120"/>
        <w:ind w:left="1162" w:leftChars="250" w:hanging="562" w:hangingChars="200"/>
        <w:outlineLvl w:val="1"/>
        <w:rPr>
          <w:b/>
          <w:bCs/>
          <w:sz w:val="28"/>
          <w:szCs w:val="28"/>
        </w:rPr>
      </w:pPr>
      <w:bookmarkStart w:id="6" w:name="_Toc97827697"/>
      <w:r>
        <w:rPr>
          <w:rFonts w:cs="宋体"/>
          <w:b/>
          <w:sz w:val="28"/>
        </w:rPr>
        <w:t>医疗器械的风险评定</w:t>
      </w:r>
      <w:bookmarkEnd w:id="6"/>
    </w:p>
    <w:p w14:paraId="335CE344">
      <w:pPr>
        <w:spacing w:before="120"/>
        <w:ind w:left="600" w:leftChars="250"/>
        <w:rPr>
          <w:lang w:eastAsia="zh-CN"/>
        </w:rPr>
      </w:pPr>
      <w:r>
        <w:rPr>
          <w:rFonts w:cs="宋体"/>
          <w:lang w:eastAsia="zh-CN"/>
        </w:rPr>
        <w:t>风险评定应对器械的最终产品进行评价。FDA仅会对以</w:t>
      </w:r>
      <w:r>
        <w:rPr>
          <w:rFonts w:cs="宋体"/>
          <w:color w:val="0000FF"/>
          <w:u w:val="single"/>
          <w:lang w:eastAsia="zh-CN"/>
        </w:rPr>
        <w:t>最终成品形式</w:t>
      </w:r>
      <w:r>
        <w:rPr>
          <w:rFonts w:cs="宋体"/>
          <w:lang w:eastAsia="zh-CN"/>
        </w:rPr>
        <w:t>提供的医疗器械进行上市审批。本机构不会为医疗器械装配过程中所使用的单独材料进行许可或批准。因此，风险评定不仅应评价器械中所使用的材料，也应评价材料的工艺、制造方法（包括灭菌工艺）以及在过程中所使用的制造辅助工具的任何残留物。</w:t>
      </w:r>
    </w:p>
    <w:p w14:paraId="0D878092">
      <w:pPr>
        <w:spacing w:before="120"/>
        <w:ind w:left="600" w:leftChars="250"/>
        <w:rPr>
          <w:lang w:eastAsia="zh-CN"/>
        </w:rPr>
      </w:pPr>
      <w:r>
        <w:rPr>
          <w:rFonts w:cs="宋体"/>
          <w:lang w:eastAsia="zh-CN"/>
        </w:rPr>
        <w:t>风险评定应考虑到器械申报的临床使用，包括解剖部位、接触时间和预期使用人群。例如，对于预期寿命受限的儿科患者，永久植入医疗器械相关风险的耐受性可能高于对在其他健康儿童中植入相同器械的耐受性。在评价潜在接触时间的过程中，也应考虑器械的哪种材料组件可能与组织直接或间接接触，并且，是否为一次性接触或持久接触或存在累积效应的间歇性接触。例如，起搏器脉冲发生器通常配有由能够对人体产生</w:t>
      </w:r>
      <w:r>
        <w:rPr>
          <w:rFonts w:cs="宋体"/>
          <w:color w:val="0000FF"/>
          <w:u w:val="single"/>
          <w:lang w:eastAsia="zh-CN"/>
        </w:rPr>
        <w:t>毒性</w:t>
      </w:r>
      <w:r>
        <w:rPr>
          <w:rFonts w:cs="宋体"/>
          <w:lang w:eastAsia="zh-CN"/>
        </w:rPr>
        <w:t>的化学制品制成的内部电子元件，但是，利用合理的实验室测试能够证明脉冲发生器是密闭的并将限制这些化学制品与周围组织的接触。</w:t>
      </w:r>
    </w:p>
    <w:p w14:paraId="0978D71E">
      <w:pPr>
        <w:spacing w:before="120"/>
        <w:rPr>
          <w:lang w:eastAsia="zh-CN"/>
        </w:rPr>
      </w:pPr>
      <w:r>
        <w:rPr>
          <w:rFonts w:cs="宋体"/>
          <w:lang w:eastAsia="zh-CN"/>
        </w:rPr>
        <w:br w:type="page"/>
      </w:r>
    </w:p>
    <w:p w14:paraId="225C24DA">
      <w:pPr>
        <w:pStyle w:val="40"/>
        <w:numPr>
          <w:ilvl w:val="0"/>
          <w:numId w:val="3"/>
        </w:numPr>
        <w:spacing w:before="120"/>
        <w:ind w:left="1162" w:leftChars="250" w:hanging="562" w:hangingChars="200"/>
        <w:outlineLvl w:val="1"/>
        <w:rPr>
          <w:b/>
          <w:bCs/>
          <w:sz w:val="28"/>
          <w:szCs w:val="28"/>
        </w:rPr>
      </w:pPr>
      <w:bookmarkStart w:id="7" w:name="_Toc97827698"/>
      <w:r>
        <w:rPr>
          <w:rFonts w:cs="宋体"/>
          <w:b/>
          <w:sz w:val="28"/>
        </w:rPr>
        <w:t>潜在风险的识别</w:t>
      </w:r>
      <w:bookmarkEnd w:id="7"/>
    </w:p>
    <w:p w14:paraId="7DC8DDE3">
      <w:pPr>
        <w:spacing w:before="120"/>
        <w:ind w:left="600" w:leftChars="250"/>
        <w:rPr>
          <w:lang w:eastAsia="zh-CN"/>
        </w:rPr>
      </w:pPr>
      <w:r>
        <w:rPr>
          <w:rFonts w:cs="宋体"/>
          <w:lang w:eastAsia="zh-CN"/>
        </w:rPr>
        <w:t>潜在生物相容性风险的评价将不仅包括化学毒性，也包括可能造成不良组织反应的物理特征。这些特征包括表面性能、周围组织受力（如机械力、热力、电磁力）、几何构造和颗粒物等。此外，制造和工艺参数的变更可能对生物相容性造成影响。例如，植入器械的初始工艺可能包括将器械置于酸浴中，以便于对植入物表面进行钝化处理。如果改变此钝化工艺，消除酸浴，以便采用其它方法对表面进行钝化处理，那么，消除酸浴可能意外造成热原物质减少程度降低，从而在植入器械后引发热原反应（发热）。其它可能影响生物相容性的普通变更是变更树脂供应商。例如，如果新的树脂供应商未清除所有加工溶剂（其中一些可能是已知的有毒化合物，如甲醛），制造出的最终器械可能产生利用原始树脂制造的器械所不会引发的未知毒性（例如，细胞毒性、刺激、致敏、遗传毒性）。</w:t>
      </w:r>
    </w:p>
    <w:p w14:paraId="15B848AF">
      <w:pPr>
        <w:spacing w:before="120"/>
        <w:ind w:left="600" w:leftChars="250"/>
        <w:rPr>
          <w:lang w:eastAsia="zh-CN"/>
        </w:rPr>
      </w:pPr>
      <w:r>
        <w:rPr>
          <w:rFonts w:cs="宋体"/>
          <w:lang w:eastAsia="zh-CN"/>
        </w:rPr>
        <w:t>潜在生物相容性风险的信息来源包括但不限于制造商之前在优先选择的相同或相似解剖位置利用相同材料的经验；由其他制造商报告的在相同或相似解剖位置使用相同材料的经验；由材料供应商提供的信息（例如，在主文件中，</w:t>
      </w:r>
      <w:r>
        <w:rPr>
          <w:rFonts w:cs="宋体"/>
          <w:vertAlign w:val="superscript"/>
          <w:lang w:eastAsia="zh-CN"/>
        </w:rPr>
        <w:t>17</w:t>
      </w:r>
      <w:r>
        <w:rPr>
          <w:rFonts w:cs="宋体"/>
          <w:lang w:eastAsia="zh-CN"/>
        </w:rPr>
        <w:t>见</w:t>
      </w:r>
      <w:r>
        <w:rPr>
          <w:rFonts w:cs="宋体"/>
          <w:color w:val="0000FF"/>
          <w:u w:val="single"/>
          <w:lang w:eastAsia="zh-CN"/>
        </w:rPr>
        <w:t>附件B</w:t>
      </w:r>
      <w:r>
        <w:rPr>
          <w:rFonts w:cs="宋体"/>
          <w:lang w:eastAsia="zh-CN"/>
        </w:rPr>
        <w:t>）；最终成品器械的化学分析或表面分析；以及公开发表的文献。在特定情况下，如上市后监管信息等临床经验可用于提供信息。例如，在有限时间内，患者关于与皮肤接触器械的经验（包括关于可能发生刺激或致敏的信息）可能有助于风险评定。</w:t>
      </w:r>
    </w:p>
    <w:p w14:paraId="59C90E61">
      <w:pPr>
        <w:spacing w:before="120"/>
        <w:ind w:left="600" w:leftChars="250"/>
        <w:rPr>
          <w:lang w:eastAsia="zh-CN"/>
        </w:rPr>
      </w:pPr>
      <w:r>
        <w:rPr>
          <w:rFonts w:cs="宋体"/>
          <w:lang w:eastAsia="zh-CN"/>
        </w:rPr>
        <w:t>在为向FDA提交的新器械使用特定器械的实践经验数据时，了解如何将供试器械与研究器械进行比较至关重要。通常，供试器械与研究器械越相似（包括其预期用途），风险信息可能越适用。例如，对于利用特定聚合物制成的血管导管，引用相同聚合物在与血液接触器械中的使用经验与引用相似聚合物在仅与黏膜接触器械中的使用经验相比，更适用。同样，利用采用相同配方和工艺制成的组件的经验（例如，产品系列中的器械）与利用由不同制造商提供的组件（不清楚配方和工艺）制成的器械的使用经验相比，更合适。</w:t>
      </w:r>
    </w:p>
    <w:p w14:paraId="4B10DC61">
      <w:pPr>
        <w:spacing w:before="120"/>
        <w:rPr>
          <w:rFonts w:cs="宋体"/>
          <w:lang w:eastAsia="zh-CN"/>
        </w:rPr>
      </w:pPr>
    </w:p>
    <w:p w14:paraId="60E33FB7">
      <w:pPr>
        <w:spacing w:before="120"/>
        <w:rPr>
          <w:rFonts w:cs="宋体"/>
          <w:lang w:eastAsia="zh-CN"/>
        </w:rPr>
      </w:pPr>
    </w:p>
    <w:p w14:paraId="09103E74">
      <w:pPr>
        <w:spacing w:before="120"/>
        <w:rPr>
          <w:rFonts w:cs="宋体"/>
          <w:lang w:eastAsia="zh-CN"/>
        </w:rPr>
      </w:pPr>
    </w:p>
    <w:p w14:paraId="49C52D6C">
      <w:pPr>
        <w:spacing w:before="120"/>
        <w:rPr>
          <w:rFonts w:cs="宋体"/>
          <w:lang w:eastAsia="zh-CN"/>
        </w:rPr>
      </w:pPr>
    </w:p>
    <w:p w14:paraId="2C6C7362">
      <w:pPr>
        <w:spacing w:before="120"/>
        <w:rPr>
          <w:rFonts w:cs="宋体"/>
          <w:lang w:eastAsia="zh-CN"/>
        </w:rPr>
      </w:pPr>
    </w:p>
    <w:p w14:paraId="6DC666CF">
      <w:pPr>
        <w:spacing w:before="120"/>
        <w:rPr>
          <w:lang w:eastAsia="zh-CN"/>
        </w:rPr>
      </w:pPr>
      <w:r>
        <w:rPr>
          <w:rFonts w:cs="宋体"/>
        </w:rPr>
        <w:t>________________________</w:t>
      </w:r>
    </w:p>
    <w:p w14:paraId="61BC5C25">
      <w:pPr>
        <w:spacing w:before="0" w:beforeLines="0"/>
        <w:rPr>
          <w:sz w:val="21"/>
          <w:szCs w:val="21"/>
          <w:lang w:eastAsia="zh-CN"/>
        </w:rPr>
      </w:pPr>
      <w:r>
        <w:rPr>
          <w:rFonts w:cs="宋体"/>
          <w:sz w:val="21"/>
          <w:vertAlign w:val="superscript"/>
        </w:rPr>
        <w:t>17</w:t>
      </w:r>
      <w:r>
        <w:rPr>
          <w:rFonts w:cs="宋体"/>
          <w:sz w:val="21"/>
        </w:rPr>
        <w:t xml:space="preserve"> 有关器械主文件的其他信息，可登录以下网址在线获取：</w:t>
      </w:r>
      <w:r>
        <w:rPr>
          <w:rFonts w:cs="宋体"/>
          <w:color w:val="0000FF"/>
          <w:sz w:val="21"/>
          <w:u w:val="single"/>
        </w:rPr>
        <w:t>https://www.fda.gov/medical-devices/</w:t>
      </w:r>
      <w:r>
        <w:rPr>
          <w:rFonts w:hint="eastAsia" w:cs="宋体"/>
          <w:color w:val="0000FF"/>
          <w:sz w:val="21"/>
          <w:u w:val="single"/>
          <w:lang w:eastAsia="zh-CN"/>
        </w:rPr>
        <w:t xml:space="preserve"> </w:t>
      </w:r>
      <w:r>
        <w:rPr>
          <w:rFonts w:cs="宋体"/>
          <w:color w:val="0000FF"/>
          <w:sz w:val="21"/>
          <w:u w:val="single"/>
        </w:rPr>
        <w:t>premarket-approval-pma/master-files.</w:t>
      </w:r>
    </w:p>
    <w:p w14:paraId="3154F786">
      <w:pPr>
        <w:spacing w:before="120"/>
        <w:rPr>
          <w:lang w:eastAsia="zh-CN"/>
        </w:rPr>
      </w:pPr>
      <w:r>
        <w:rPr>
          <w:rFonts w:cs="宋体"/>
        </w:rPr>
        <w:br w:type="page"/>
      </w:r>
    </w:p>
    <w:p w14:paraId="6EC264F0">
      <w:pPr>
        <w:spacing w:before="120"/>
        <w:ind w:left="600" w:leftChars="250"/>
        <w:rPr>
          <w:lang w:eastAsia="zh-CN"/>
        </w:rPr>
      </w:pPr>
      <w:r>
        <w:rPr>
          <w:rFonts w:cs="宋体"/>
          <w:lang w:eastAsia="zh-CN"/>
        </w:rPr>
        <w:t>如果材料、器械组件和/或器械的主文件中包含材料或组件推荐工艺的信息和任何已进行的生物学试验（见</w:t>
      </w:r>
      <w:r>
        <w:rPr>
          <w:rFonts w:cs="宋体"/>
          <w:color w:val="0000FF"/>
          <w:u w:val="single"/>
          <w:lang w:eastAsia="zh-CN"/>
        </w:rPr>
        <w:t>附件B</w:t>
      </w:r>
      <w:r>
        <w:rPr>
          <w:rFonts w:cs="宋体"/>
          <w:lang w:eastAsia="zh-CN"/>
        </w:rPr>
        <w:t>），这种主文件可能是有用的。主文件中也应包含由供应商提供的风险评定，其中包括关于化学配方和材料构造或组件的讨论以及包含如何对由该材料制成的器械进行评价的信息的讨论。</w:t>
      </w:r>
    </w:p>
    <w:p w14:paraId="3F9DBF0B">
      <w:pPr>
        <w:spacing w:before="120"/>
        <w:ind w:left="600" w:leftChars="250"/>
        <w:rPr>
          <w:lang w:eastAsia="zh-CN"/>
        </w:rPr>
      </w:pPr>
      <w:r>
        <w:rPr>
          <w:rFonts w:cs="宋体"/>
          <w:lang w:eastAsia="zh-CN"/>
        </w:rPr>
        <w:t>在特定情况下，申请人可能计划使用已知存在毒性但可用于最终用途的材料。在这种情况下，风险评定应考虑将使用本产品的预期使用人群（例如，用于临床医生的防护面罩）或将利用器械进行治疗的人群，并且，包括使用选定材料的潜在优势的讨论和已考虑的潜在风险缓解措施（例如，气密封）。</w:t>
      </w:r>
    </w:p>
    <w:p w14:paraId="7FBBEACE">
      <w:pPr>
        <w:spacing w:before="120"/>
        <w:ind w:left="600" w:leftChars="250"/>
        <w:rPr>
          <w:lang w:eastAsia="zh-CN"/>
        </w:rPr>
      </w:pPr>
      <w:r>
        <w:rPr>
          <w:rFonts w:cs="宋体"/>
          <w:lang w:eastAsia="zh-CN"/>
        </w:rPr>
        <w:t>对器械最终产品中所使用的材料进行化学分析能够提供大量信息。进行化学分析可能特别有助于证明之前经批准的医疗器械的化学毒性试验与正接受本机构审评的器械之间存在相关性。例如，在某些情况下，利用化学分析能够证明生物相容性浸提物中的</w:t>
      </w:r>
      <w:r>
        <w:rPr>
          <w:rFonts w:hint="eastAsia" w:cs="宋体"/>
          <w:lang w:eastAsia="zh-CN"/>
        </w:rPr>
        <w:t>可</w:t>
      </w:r>
      <w:r>
        <w:rPr>
          <w:rFonts w:cs="宋体"/>
          <w:color w:val="0000FF"/>
          <w:u w:val="single"/>
          <w:lang w:eastAsia="zh-CN"/>
        </w:rPr>
        <w:t>浸提物</w:t>
      </w:r>
      <w:r>
        <w:rPr>
          <w:rFonts w:cs="宋体"/>
          <w:lang w:eastAsia="zh-CN"/>
        </w:rPr>
        <w:t>和</w:t>
      </w:r>
      <w:r>
        <w:rPr>
          <w:rFonts w:cs="宋体"/>
          <w:color w:val="0000FF"/>
          <w:u w:val="single"/>
          <w:lang w:eastAsia="zh-CN"/>
        </w:rPr>
        <w:t>可沥滤物</w:t>
      </w:r>
      <w:r>
        <w:rPr>
          <w:rFonts w:cs="宋体"/>
          <w:lang w:eastAsia="zh-CN"/>
        </w:rPr>
        <w:t>未发生变化，因此，无需利用该类溶剂进行其他生物相容性试验。此外，可利用化学分析来评价从器械中洗脱出的化学制品的</w:t>
      </w:r>
      <w:r>
        <w:rPr>
          <w:rFonts w:cs="宋体"/>
          <w:color w:val="0000FF"/>
          <w:u w:val="single"/>
          <w:lang w:eastAsia="zh-CN"/>
        </w:rPr>
        <w:t>毒理学风险</w:t>
      </w:r>
      <w:r>
        <w:rPr>
          <w:rFonts w:cs="宋体"/>
          <w:lang w:eastAsia="zh-CN"/>
        </w:rPr>
        <w:t>。例如，利用</w:t>
      </w:r>
      <w:r>
        <w:rPr>
          <w:rFonts w:cs="宋体"/>
          <w:color w:val="0000FF"/>
          <w:u w:val="single"/>
          <w:lang w:eastAsia="zh-CN"/>
        </w:rPr>
        <w:t>极限浸提</w:t>
      </w:r>
      <w:r>
        <w:rPr>
          <w:rFonts w:cs="宋体"/>
          <w:lang w:eastAsia="zh-CN"/>
        </w:rPr>
        <w:t>技术进行的化学分析（根据ISO 10993-12）同样有助于对如潜在致癌物等长期毒性终点进行评价。也可使用浸提技术来识别体内合成（例如，原位聚合材料）或可预期吸收（例如，降解材料）材料的中间体和最终分解产物。但是，通常利用化学分析不足以对最终成品器械的所有风险进行识别，其原因是，化学分析将不会考虑到成品器械的各个方面，如表面性能（例如，粗糙-抛光表面）或在特定情况下对生物学反应产生影响的器械几何构造（例如，促凝性、植入）。此外，化学分析的结局通常对试验参数较为敏感。应选择</w:t>
      </w:r>
      <w:r>
        <w:rPr>
          <w:rFonts w:hint="eastAsia" w:cs="宋体"/>
          <w:lang w:eastAsia="zh-CN"/>
        </w:rPr>
        <w:t>与器械材料中有最佳相容性的</w:t>
      </w:r>
      <w:r>
        <w:rPr>
          <w:rFonts w:cs="宋体"/>
          <w:lang w:eastAsia="zh-CN"/>
        </w:rPr>
        <w:t>浸提</w:t>
      </w:r>
      <w:r>
        <w:rPr>
          <w:rFonts w:hint="eastAsia" w:cs="宋体"/>
          <w:lang w:eastAsia="zh-CN"/>
        </w:rPr>
        <w:t>溶</w:t>
      </w:r>
      <w:r>
        <w:rPr>
          <w:rFonts w:cs="宋体"/>
          <w:lang w:eastAsia="zh-CN"/>
        </w:rPr>
        <w:t>剂，并提供在临床使用中</w:t>
      </w:r>
      <w:r>
        <w:rPr>
          <w:rFonts w:hint="eastAsia" w:cs="宋体"/>
          <w:lang w:eastAsia="zh-CN"/>
        </w:rPr>
        <w:t>可能被</w:t>
      </w:r>
      <w:r>
        <w:rPr>
          <w:rFonts w:cs="宋体"/>
          <w:lang w:eastAsia="zh-CN"/>
        </w:rPr>
        <w:t>浸提</w:t>
      </w:r>
      <w:r>
        <w:rPr>
          <w:rFonts w:hint="eastAsia" w:cs="宋体"/>
          <w:lang w:eastAsia="zh-CN"/>
        </w:rPr>
        <w:t>出</w:t>
      </w:r>
      <w:r>
        <w:rPr>
          <w:rFonts w:cs="宋体"/>
          <w:lang w:eastAsia="zh-CN"/>
        </w:rPr>
        <w:t>的化学制品类型的信息。应谨慎使用使聚合物发生膨胀、造成聚合物降解或溶解，或干扰化学制品检测的试剂。</w:t>
      </w:r>
    </w:p>
    <w:p w14:paraId="1D5DFF8E">
      <w:pPr>
        <w:spacing w:before="120"/>
        <w:rPr>
          <w:lang w:eastAsia="zh-CN"/>
        </w:rPr>
      </w:pPr>
      <w:r>
        <w:rPr>
          <w:rFonts w:cs="宋体"/>
          <w:lang w:eastAsia="zh-CN"/>
        </w:rPr>
        <w:br w:type="page"/>
      </w:r>
    </w:p>
    <w:p w14:paraId="672BD978">
      <w:pPr>
        <w:spacing w:before="120"/>
        <w:ind w:left="600" w:leftChars="250"/>
        <w:rPr>
          <w:lang w:eastAsia="zh-CN"/>
        </w:rPr>
      </w:pPr>
      <w:r>
        <w:rPr>
          <w:rFonts w:cs="宋体"/>
          <w:lang w:eastAsia="zh-CN"/>
        </w:rPr>
        <w:t>最后，可能存在利用现有信息无法解决的潜在危害。在特定情况下，如在标准配方中增加新化学制品，由于材料和新增化学制品之间可能发生相互作用，因此，新增化学制品和原始材料单独的毒性信息可能是不充分的。因此，风险评定应考虑所了解的关于新增材料、基础材料以及两者之间的化学相互作用的信息。</w:t>
      </w:r>
    </w:p>
    <w:p w14:paraId="1842BB85">
      <w:pPr>
        <w:pStyle w:val="40"/>
        <w:numPr>
          <w:ilvl w:val="0"/>
          <w:numId w:val="3"/>
        </w:numPr>
        <w:spacing w:before="120"/>
        <w:ind w:left="1162" w:leftChars="250" w:hanging="562" w:hangingChars="200"/>
        <w:outlineLvl w:val="1"/>
        <w:rPr>
          <w:b/>
          <w:bCs/>
          <w:sz w:val="28"/>
          <w:szCs w:val="28"/>
          <w:lang w:eastAsia="zh-CN"/>
        </w:rPr>
      </w:pPr>
      <w:bookmarkStart w:id="8" w:name="_Toc97827699"/>
      <w:r>
        <w:rPr>
          <w:rFonts w:cs="宋体"/>
          <w:b/>
          <w:sz w:val="28"/>
          <w:lang w:eastAsia="zh-CN"/>
        </w:rPr>
        <w:t>考虑用于识别和降低风险的现有信息</w:t>
      </w:r>
      <w:bookmarkEnd w:id="8"/>
    </w:p>
    <w:p w14:paraId="7F71F0C3">
      <w:pPr>
        <w:spacing w:before="120"/>
        <w:ind w:left="600" w:leftChars="250"/>
        <w:rPr>
          <w:lang w:eastAsia="zh-CN"/>
        </w:rPr>
      </w:pPr>
      <w:r>
        <w:rPr>
          <w:rFonts w:cs="宋体"/>
          <w:lang w:eastAsia="zh-CN"/>
        </w:rPr>
        <w:t>为减少不必要的试验（包括动物试验），</w:t>
      </w:r>
      <w:r>
        <w:rPr>
          <w:rFonts w:cs="宋体"/>
          <w:vertAlign w:val="superscript"/>
          <w:lang w:eastAsia="zh-CN"/>
        </w:rPr>
        <w:t>18</w:t>
      </w:r>
      <w:r>
        <w:rPr>
          <w:rFonts w:cs="宋体"/>
          <w:lang w:eastAsia="zh-CN"/>
        </w:rPr>
        <w:t>FDA建议申请人在进行其风险评定时考虑所有有用的相关信息。FDA认为，在适当情况下，您的风险评定可能包含下述信息：</w:t>
      </w:r>
    </w:p>
    <w:p w14:paraId="0CB5DD09">
      <w:pPr>
        <w:pStyle w:val="40"/>
        <w:numPr>
          <w:ilvl w:val="0"/>
          <w:numId w:val="4"/>
        </w:numPr>
        <w:spacing w:before="120"/>
        <w:ind w:left="1305" w:firstLineChars="0"/>
        <w:rPr>
          <w:lang w:eastAsia="zh-CN"/>
        </w:rPr>
      </w:pPr>
      <w:r>
        <w:rPr>
          <w:rFonts w:cs="宋体"/>
          <w:u w:val="single"/>
          <w:lang w:eastAsia="zh-CN"/>
        </w:rPr>
        <w:t>文献和其它公开信息：</w:t>
      </w:r>
      <w:r>
        <w:rPr>
          <w:rFonts w:cs="宋体"/>
          <w:lang w:eastAsia="zh-CN"/>
        </w:rPr>
        <w:t>申请人应审核所有有用的毒性方面的文献和其它公共信息，以决定其医疗器械制造所用材料的毒性风险。如果无法获取用于对复合物安全性进行评价的数据，那么，可利用毒理学关注阈值（TTC）</w:t>
      </w:r>
      <w:r>
        <w:rPr>
          <w:rFonts w:cs="宋体"/>
          <w:vertAlign w:val="superscript"/>
          <w:lang w:eastAsia="zh-CN"/>
        </w:rPr>
        <w:t>19</w:t>
      </w:r>
      <w:r>
        <w:rPr>
          <w:rFonts w:cs="宋体"/>
          <w:lang w:eastAsia="zh-CN"/>
        </w:rPr>
        <w:t>来评价部分生物相容性终点。</w:t>
      </w:r>
    </w:p>
    <w:p w14:paraId="0215B601">
      <w:pPr>
        <w:pStyle w:val="40"/>
        <w:spacing w:before="120"/>
        <w:ind w:left="1305" w:firstLine="0" w:firstLineChars="0"/>
        <w:rPr>
          <w:lang w:eastAsia="zh-CN"/>
        </w:rPr>
      </w:pPr>
      <w:r>
        <w:rPr>
          <w:rFonts w:cs="宋体"/>
          <w:lang w:eastAsia="zh-CN"/>
        </w:rPr>
        <w:t>申请人应评审有用文献和其他公共信息，以识别出与其器械使用相关的特殊风险和可能的风险消减措施。例如，文献可通知制造商应对外周支架镍钛合金进行钝化处理以确保进行植入后，不会从器械中滤出镍（一种已知毒性的化学物质）。文献在识别一种可吸收器械的可能降解产物方面同样有用，使申请人能够通过执行更多所关注的试验来分析由器械降解所释放出的化学物质的特性。申请人应选择通过哪些文献和其他公共信息来提示其进行风险评定；应在评价信息与特定医疗器械相关程度的前提下，对所有有用信息进行考虑。例如，通常被FDA认定为“安全的”并可作为食品添加剂使用的医疗器械或其组件，由于从食品应用外推到用于与组织接触（如肌肉或血液）的医疗器械被视为不适当，因此，可能不会通知进行医疗器械风险评定。此外，当对与特殊器械材料相关的有用文献进行考虑时，申请人也应评价该信息是否与医疗器械的制造和加工相关。同样，当材料或供应商发生变更时，如临床资料等文献或其它公共信息的相关程度会降低。这些变更可能影响医疗器械的安全性或有效性，应在向FDA提交的任何风险评定中进行适当考虑。</w:t>
      </w:r>
    </w:p>
    <w:p w14:paraId="1D01598F">
      <w:pPr>
        <w:spacing w:before="120"/>
        <w:rPr>
          <w:lang w:eastAsia="zh-CN"/>
        </w:rPr>
      </w:pPr>
      <w:r>
        <w:rPr>
          <w:rFonts w:cs="宋体"/>
          <w:lang w:eastAsia="zh-CN"/>
        </w:rPr>
        <w:t>________________________</w:t>
      </w:r>
    </w:p>
    <w:p w14:paraId="33DBE1F3">
      <w:pPr>
        <w:spacing w:before="0" w:beforeLines="0"/>
        <w:rPr>
          <w:sz w:val="21"/>
          <w:szCs w:val="21"/>
          <w:lang w:eastAsia="zh-CN"/>
        </w:rPr>
      </w:pPr>
      <w:r>
        <w:rPr>
          <w:rFonts w:cs="宋体"/>
          <w:sz w:val="21"/>
          <w:vertAlign w:val="superscript"/>
          <w:lang w:eastAsia="zh-CN"/>
        </w:rPr>
        <w:t>18</w:t>
      </w:r>
      <w:r>
        <w:rPr>
          <w:rFonts w:cs="宋体"/>
          <w:sz w:val="21"/>
          <w:lang w:eastAsia="zh-CN"/>
        </w:rPr>
        <w:t xml:space="preserve"> FDA支持“3R”原则，即在可行情况下减少、改进和取代试验中的动物使用。如果申请人希望使用其认为合适、充分、有资格用于医疗器械且可行的非动物试验方法，本机构鼓励申请人与本机构协商。我局将考虑这种备选方法是否可被评价为等同于动物试验方法。</w:t>
      </w:r>
    </w:p>
    <w:p w14:paraId="031F10F1">
      <w:pPr>
        <w:spacing w:before="0" w:beforeLines="0"/>
        <w:rPr>
          <w:lang w:eastAsia="zh-CN"/>
        </w:rPr>
      </w:pPr>
      <w:r>
        <w:rPr>
          <w:rFonts w:cs="宋体"/>
          <w:sz w:val="21"/>
          <w:vertAlign w:val="superscript"/>
          <w:lang w:eastAsia="zh-CN"/>
        </w:rPr>
        <w:t>19</w:t>
      </w:r>
      <w:r>
        <w:rPr>
          <w:rFonts w:cs="宋体"/>
          <w:sz w:val="21"/>
          <w:lang w:eastAsia="zh-CN"/>
        </w:rPr>
        <w:t>有关使用TTC和构效关系（SAR）模型在风险管理过程中解决遗传毒性和致癌性问题的信息，请参见ICH M7</w:t>
      </w:r>
      <w:r>
        <w:rPr>
          <w:rFonts w:cs="宋体"/>
          <w:color w:val="0000FF"/>
          <w:sz w:val="21"/>
          <w:u w:val="single"/>
          <w:lang w:eastAsia="zh-CN"/>
        </w:rPr>
        <w:t>《评价和控制药物中DNA反应（诱变）杂质以限制潜在致癌风险》</w:t>
      </w:r>
      <w:r>
        <w:rPr>
          <w:rFonts w:cs="宋体"/>
          <w:sz w:val="21"/>
          <w:lang w:eastAsia="zh-CN"/>
        </w:rPr>
        <w:t>，可登录以下网址获取</w:t>
      </w:r>
      <w:r>
        <w:rPr>
          <w:rFonts w:cs="宋体"/>
          <w:color w:val="0000FF"/>
          <w:sz w:val="21"/>
          <w:u w:val="single"/>
          <w:lang w:eastAsia="zh-CN"/>
        </w:rPr>
        <w:t>https://www.fda.gov/regulatory-information/search-fda-guidance-documents/m7r1-assessment-and-</w:t>
      </w:r>
      <w:r>
        <w:rPr>
          <w:rFonts w:hint="eastAsia" w:cs="宋体"/>
          <w:color w:val="0000FF"/>
          <w:sz w:val="21"/>
          <w:u w:val="single"/>
          <w:lang w:eastAsia="zh-CN"/>
        </w:rPr>
        <w:t xml:space="preserve"> </w:t>
      </w:r>
      <w:r>
        <w:rPr>
          <w:rFonts w:cs="宋体"/>
          <w:color w:val="0000FF"/>
          <w:sz w:val="21"/>
          <w:u w:val="single"/>
          <w:lang w:eastAsia="zh-CN"/>
        </w:rPr>
        <w:t>control-dna-reactive-mutagenic-impurities-pharmaceuticals-limit-potential</w:t>
      </w:r>
      <w:r>
        <w:rPr>
          <w:rFonts w:cs="宋体"/>
          <w:sz w:val="21"/>
          <w:lang w:eastAsia="zh-CN"/>
        </w:rPr>
        <w:t>。</w:t>
      </w:r>
      <w:r>
        <w:rPr>
          <w:rFonts w:cs="宋体"/>
          <w:lang w:eastAsia="zh-CN"/>
        </w:rPr>
        <w:br w:type="page"/>
      </w:r>
    </w:p>
    <w:p w14:paraId="15F3EC74">
      <w:pPr>
        <w:pStyle w:val="40"/>
        <w:spacing w:before="120"/>
        <w:ind w:left="1305" w:firstLine="0" w:firstLineChars="0"/>
        <w:rPr>
          <w:lang w:eastAsia="zh-CN"/>
        </w:rPr>
      </w:pPr>
      <w:r>
        <w:rPr>
          <w:rFonts w:cs="宋体"/>
          <w:lang w:eastAsia="zh-CN"/>
        </w:rPr>
        <w:t>如果目前已有发表的文献可用于豁免某项生物相容性试验，应递交与申报器械使用相比的文献中报告的暴露剂量、途径和频率的适用性。此外，尽管文献可能适用于对某个生物相容性终点进行评价，该文献可能不适用于豁免进行所有生物相容性试验。例如，无明显有害效应剂量（NOAEL）和最低可见有害作用水平（LOAEL）数据应源于与所研究终点相关的研究。例如，源于全身毒性研究的NOAEL和LOAEL通常可用于豁免进行急性、亚慢性或长期全身毒性试验，但是可能与遗传毒性、局部和全身致癌性、致敏、刺激或生殖毒性评价无关（如果在选择用于确立NOAEL或LOAEL的研究中未对这些终点进行评价）。但是，确立用于研究生殖毒性的NOAEL/LOAEL数值或许可用于对从未与生殖器官直接接触的器械中所释放出的复合物的潜在生殖毒性进行评价。</w:t>
      </w:r>
    </w:p>
    <w:p w14:paraId="49C2D870">
      <w:pPr>
        <w:pStyle w:val="40"/>
        <w:numPr>
          <w:ilvl w:val="0"/>
          <w:numId w:val="4"/>
        </w:numPr>
        <w:spacing w:before="120"/>
        <w:ind w:left="1305" w:firstLineChars="0"/>
        <w:rPr>
          <w:lang w:eastAsia="zh-CN"/>
        </w:rPr>
      </w:pPr>
      <w:r>
        <w:rPr>
          <w:rFonts w:cs="宋体"/>
          <w:u w:val="single"/>
          <w:lang w:eastAsia="zh-CN"/>
        </w:rPr>
        <w:t>临床经验</w:t>
      </w:r>
      <w:r>
        <w:rPr>
          <w:rFonts w:cs="宋体"/>
          <w:lang w:eastAsia="zh-CN"/>
        </w:rPr>
        <w:t>：应在器械的总体受益-风险预测条件下考虑临床经验，通过器械数据的总体可用情况可推测更需要进行哪项试验，或者，是否需要进行全部试验。例如，在体外生物相容性或体内动物研究中可能利用临床经验来缓解风险。在其它情况下，如果在预期使用人群中，患者预期寿命受限，那么可能无需进行试验来解决长期生物相容性终点问题（例如，遗传毒性、慢性毒性或致癌性）。</w:t>
      </w:r>
    </w:p>
    <w:p w14:paraId="1FFAB004">
      <w:pPr>
        <w:spacing w:before="120"/>
        <w:rPr>
          <w:lang w:eastAsia="zh-CN"/>
        </w:rPr>
      </w:pPr>
      <w:r>
        <w:rPr>
          <w:rFonts w:cs="宋体"/>
          <w:lang w:eastAsia="zh-CN"/>
        </w:rPr>
        <w:br w:type="page"/>
      </w:r>
    </w:p>
    <w:p w14:paraId="52F6174E">
      <w:pPr>
        <w:pStyle w:val="40"/>
        <w:spacing w:before="120"/>
        <w:ind w:left="1305" w:firstLine="0" w:firstLineChars="0"/>
        <w:rPr>
          <w:lang w:eastAsia="zh-CN"/>
        </w:rPr>
      </w:pPr>
      <w:r>
        <w:rPr>
          <w:rFonts w:cs="宋体"/>
          <w:lang w:eastAsia="zh-CN"/>
        </w:rPr>
        <w:t>通常，临床研究在识别生物相容性关注问题方面并不够敏感。由非生物相容性材料引起的临床症状或亚临床症状可能无法识别，或者，这些症状可能无法与疾病状态进行区分，因此，无法通过临床资料进行生物相容性评价。例如，在植入支架部位出现血管栓塞可能预示人体对支架产生毒性反应或可能与支架在植入过程中的损坏相关（例如，因操作员失误或传输器械故障造成）。但是，在受限环境中，临床经验可能会缓解所识别出的确定风险。例如，如果具有之前使用特定医疗器械的临床经验（源于临床研究或通过美国境外的销售），并且，未出现过敏问题，可能无需进行补体激活生物相容性试验。同样，在</w:t>
      </w:r>
      <w:r>
        <w:rPr>
          <w:rFonts w:hint="eastAsia" w:cs="宋体"/>
          <w:lang w:eastAsia="zh-CN"/>
        </w:rPr>
        <w:t>医疗器械</w:t>
      </w:r>
      <w:r>
        <w:rPr>
          <w:rFonts w:cs="宋体"/>
          <w:lang w:eastAsia="zh-CN"/>
        </w:rPr>
        <w:t>临床</w:t>
      </w:r>
      <w:r>
        <w:rPr>
          <w:rFonts w:hint="eastAsia" w:cs="宋体"/>
          <w:lang w:eastAsia="zh-CN"/>
        </w:rPr>
        <w:t>试验</w:t>
      </w:r>
      <w:r>
        <w:rPr>
          <w:rFonts w:cs="宋体"/>
          <w:lang w:eastAsia="zh-CN"/>
        </w:rPr>
        <w:t>豁免（IDE）研究中，</w:t>
      </w:r>
      <w:r>
        <w:rPr>
          <w:rFonts w:hint="eastAsia" w:cs="宋体"/>
          <w:lang w:eastAsia="zh-CN"/>
        </w:rPr>
        <w:t>首次</w:t>
      </w:r>
      <w:r>
        <w:rPr>
          <w:rFonts w:cs="宋体"/>
          <w:lang w:eastAsia="zh-CN"/>
        </w:rPr>
        <w:t>人体研究数据可能</w:t>
      </w:r>
      <w:r>
        <w:rPr>
          <w:rFonts w:hint="eastAsia" w:cs="宋体"/>
          <w:lang w:eastAsia="zh-CN"/>
        </w:rPr>
        <w:t>有助于</w:t>
      </w:r>
      <w:r>
        <w:rPr>
          <w:rFonts w:cs="宋体"/>
          <w:lang w:eastAsia="zh-CN"/>
        </w:rPr>
        <w:t>启动针对经改良的器械设计</w:t>
      </w:r>
      <w:r>
        <w:rPr>
          <w:rFonts w:hint="eastAsia" w:cs="宋体"/>
          <w:lang w:eastAsia="zh-CN"/>
        </w:rPr>
        <w:t>的</w:t>
      </w:r>
      <w:r>
        <w:rPr>
          <w:rFonts w:cs="宋体"/>
          <w:lang w:eastAsia="zh-CN"/>
        </w:rPr>
        <w:t>研究，同时以平行方式来完成生物相容性评价，并且，器械设计一旦进入商业化（依据对人体造成的风险），利用生物相容性评价来提供完整的生物相容性信息是可接受的。</w:t>
      </w:r>
      <w:r>
        <w:rPr>
          <w:rFonts w:cs="宋体"/>
          <w:vertAlign w:val="superscript"/>
          <w:lang w:eastAsia="zh-CN"/>
        </w:rPr>
        <w:t>20</w:t>
      </w:r>
    </w:p>
    <w:p w14:paraId="45E8E447">
      <w:pPr>
        <w:pStyle w:val="40"/>
        <w:spacing w:before="120"/>
        <w:ind w:left="1305" w:firstLine="0" w:firstLineChars="0"/>
        <w:rPr>
          <w:lang w:eastAsia="zh-CN"/>
        </w:rPr>
      </w:pPr>
      <w:r>
        <w:rPr>
          <w:rFonts w:cs="宋体"/>
          <w:lang w:eastAsia="zh-CN"/>
        </w:rPr>
        <w:t>临床研究经验同样可能表明需要为下一代器械进行生物相容性评价。例如，特定的可吸收医疗器械的某些临床研究会证明非临床性能（实验室或动物）研究无法准确预测吸收动力学。在利用适用于器械吸收的已获批台架模型为新一代器械进行评价和评价在吸收过程中释放的化学物质的类型和数量会如何影响生物相容性时，该信息是有用的。</w:t>
      </w:r>
    </w:p>
    <w:p w14:paraId="128A4293">
      <w:pPr>
        <w:pStyle w:val="40"/>
        <w:spacing w:before="120"/>
        <w:ind w:left="1305" w:firstLine="0" w:firstLineChars="0"/>
        <w:rPr>
          <w:lang w:eastAsia="zh-CN"/>
        </w:rPr>
      </w:pPr>
      <w:r>
        <w:rPr>
          <w:rFonts w:cs="宋体"/>
          <w:lang w:eastAsia="zh-CN"/>
        </w:rPr>
        <w:t>但是，也存在一些情况，即，FDA无法找到临床经验来提供相关生物相容性信息。例如，提供特定植入物材料具有较长应用史的临床信息可能不足以支持由相同材料制成的植入物的生物相容性，其原因是，制造和加工会影响最终器械化学性能对人体的效应。此外，这类信息往往太过于宽泛和笼统而没有用处。</w:t>
      </w:r>
    </w:p>
    <w:p w14:paraId="579346B3">
      <w:pPr>
        <w:spacing w:before="120"/>
        <w:rPr>
          <w:rFonts w:cs="宋体"/>
          <w:lang w:eastAsia="zh-CN"/>
        </w:rPr>
      </w:pPr>
    </w:p>
    <w:p w14:paraId="480C2189">
      <w:pPr>
        <w:spacing w:before="120"/>
        <w:rPr>
          <w:rFonts w:cs="宋体"/>
          <w:lang w:eastAsia="zh-CN"/>
        </w:rPr>
      </w:pPr>
    </w:p>
    <w:p w14:paraId="5EA76236">
      <w:pPr>
        <w:spacing w:before="120"/>
        <w:rPr>
          <w:lang w:eastAsia="zh-CN"/>
        </w:rPr>
      </w:pPr>
      <w:r>
        <w:rPr>
          <w:rFonts w:cs="宋体"/>
          <w:lang w:eastAsia="zh-CN"/>
        </w:rPr>
        <w:t>________________________</w:t>
      </w:r>
    </w:p>
    <w:p w14:paraId="10B5F423">
      <w:pPr>
        <w:spacing w:before="0" w:beforeLines="0"/>
        <w:rPr>
          <w:sz w:val="21"/>
          <w:szCs w:val="21"/>
          <w:lang w:eastAsia="zh-CN"/>
        </w:rPr>
      </w:pPr>
      <w:r>
        <w:rPr>
          <w:rFonts w:cs="宋体"/>
          <w:sz w:val="21"/>
          <w:vertAlign w:val="superscript"/>
          <w:lang w:eastAsia="zh-CN"/>
        </w:rPr>
        <w:t>20</w:t>
      </w:r>
      <w:r>
        <w:rPr>
          <w:rFonts w:hint="eastAsia" w:cs="宋体"/>
          <w:sz w:val="21"/>
          <w:vertAlign w:val="superscript"/>
          <w:lang w:eastAsia="zh-CN"/>
        </w:rPr>
        <w:t xml:space="preserve"> </w:t>
      </w:r>
      <w:r>
        <w:rPr>
          <w:rFonts w:cs="宋体"/>
          <w:sz w:val="21"/>
          <w:lang w:eastAsia="zh-CN"/>
        </w:rPr>
        <w:t>FDA在早期可行性研究（EFS）IDE申请中考虑了生物相容性信息以及非临床和临床前信息，通过对获得突破性认证器械的审查，并通过本机构的受益-风险分析，决定在启动临床研究前使用哪些生物相容性终点，以及在收集临床资料的同时，进行哪些评价是合理的。有关更多信息，请参见</w:t>
      </w:r>
      <w:r>
        <w:rPr>
          <w:rFonts w:cs="宋体"/>
          <w:color w:val="0000FF"/>
          <w:sz w:val="21"/>
          <w:u w:val="single"/>
          <w:lang w:eastAsia="zh-CN"/>
        </w:rPr>
        <w:t>《某些首次人体（FIH）研究等早期可行性医疗器械临床研究的研究器械豁免（IDEs）：行业和美国食品药品监督管理局工作人员指南》</w:t>
      </w:r>
      <w:r>
        <w:rPr>
          <w:rFonts w:cs="宋体"/>
          <w:sz w:val="21"/>
          <w:lang w:eastAsia="zh-CN"/>
        </w:rPr>
        <w:t>，可登录以下网址获取</w:t>
      </w:r>
      <w:r>
        <w:rPr>
          <w:rFonts w:cs="宋体"/>
          <w:color w:val="0000FF"/>
          <w:sz w:val="21"/>
          <w:u w:val="single"/>
          <w:lang w:eastAsia="zh-CN"/>
        </w:rPr>
        <w:t>https://www.fda.gov/regulatory-information/</w:t>
      </w:r>
      <w:r>
        <w:rPr>
          <w:rFonts w:hint="eastAsia" w:cs="宋体"/>
          <w:color w:val="0000FF"/>
          <w:sz w:val="21"/>
          <w:u w:val="single"/>
          <w:lang w:eastAsia="zh-CN"/>
        </w:rPr>
        <w:t xml:space="preserve"> </w:t>
      </w:r>
      <w:r>
        <w:rPr>
          <w:rFonts w:cs="宋体"/>
          <w:color w:val="0000FF"/>
          <w:sz w:val="21"/>
          <w:u w:val="single"/>
          <w:lang w:eastAsia="zh-CN"/>
        </w:rPr>
        <w:t>search-fda-guidance-documents/investigational-device-exemptions-ides-early-feasibility-medical-device-clinical-studies-including</w:t>
      </w:r>
      <w:r>
        <w:rPr>
          <w:rFonts w:cs="宋体"/>
          <w:sz w:val="21"/>
          <w:lang w:eastAsia="zh-CN"/>
        </w:rPr>
        <w:t xml:space="preserve"> 和</w:t>
      </w:r>
      <w:r>
        <w:rPr>
          <w:rFonts w:cs="宋体"/>
          <w:color w:val="0000FF"/>
          <w:sz w:val="21"/>
          <w:u w:val="single"/>
          <w:lang w:eastAsia="zh-CN"/>
        </w:rPr>
        <w:t>《突破性医疗器械项目：行业和美国食品药品监督管理局工作人员指南》</w:t>
      </w:r>
      <w:r>
        <w:rPr>
          <w:rFonts w:cs="宋体"/>
          <w:sz w:val="21"/>
          <w:lang w:eastAsia="zh-CN"/>
        </w:rPr>
        <w:t>，可登录以下网址获取</w:t>
      </w:r>
      <w:r>
        <w:rPr>
          <w:rFonts w:cs="宋体"/>
          <w:color w:val="0000FF"/>
          <w:sz w:val="21"/>
          <w:u w:val="single"/>
          <w:lang w:eastAsia="zh-CN"/>
        </w:rPr>
        <w:t>https://www.fda.gov/regulatory-information/search-fda-guidance-documents/</w:t>
      </w:r>
      <w:r>
        <w:rPr>
          <w:rFonts w:hint="eastAsia" w:cs="宋体"/>
          <w:color w:val="0000FF"/>
          <w:sz w:val="21"/>
          <w:u w:val="single"/>
          <w:lang w:eastAsia="zh-CN"/>
        </w:rPr>
        <w:t xml:space="preserve"> </w:t>
      </w:r>
      <w:r>
        <w:rPr>
          <w:rFonts w:cs="宋体"/>
          <w:color w:val="0000FF"/>
          <w:sz w:val="21"/>
          <w:u w:val="single"/>
          <w:lang w:eastAsia="zh-CN"/>
        </w:rPr>
        <w:t>breakthrough-devices-program</w:t>
      </w:r>
      <w:r>
        <w:rPr>
          <w:rFonts w:cs="宋体"/>
          <w:sz w:val="21"/>
          <w:lang w:eastAsia="zh-CN"/>
        </w:rPr>
        <w:t>。</w:t>
      </w:r>
      <w:r>
        <w:rPr>
          <w:rFonts w:cs="宋体"/>
          <w:lang w:eastAsia="zh-CN"/>
        </w:rPr>
        <w:br w:type="page"/>
      </w:r>
    </w:p>
    <w:p w14:paraId="5D28BF84">
      <w:pPr>
        <w:pStyle w:val="40"/>
        <w:numPr>
          <w:ilvl w:val="0"/>
          <w:numId w:val="4"/>
        </w:numPr>
        <w:spacing w:before="120"/>
        <w:ind w:left="1305" w:firstLineChars="0"/>
        <w:rPr>
          <w:lang w:eastAsia="zh-CN"/>
        </w:rPr>
      </w:pPr>
      <w:r>
        <w:rPr>
          <w:rFonts w:cs="宋体"/>
          <w:u w:val="single"/>
          <w:lang w:eastAsia="zh-CN"/>
        </w:rPr>
        <w:t>动物研究经验</w:t>
      </w:r>
      <w:r>
        <w:rPr>
          <w:rFonts w:cs="宋体"/>
          <w:lang w:eastAsia="zh-CN"/>
        </w:rPr>
        <w:t>：医疗器械最终成品的</w:t>
      </w:r>
      <w:r>
        <w:rPr>
          <w:rFonts w:cs="宋体"/>
          <w:color w:val="0000FF"/>
          <w:u w:val="single"/>
          <w:lang w:eastAsia="zh-CN"/>
        </w:rPr>
        <w:t>体内动物研究</w:t>
      </w:r>
      <w:r>
        <w:rPr>
          <w:rFonts w:cs="宋体"/>
          <w:lang w:eastAsia="zh-CN"/>
        </w:rPr>
        <w:t>数据可用于替代一些生物相容性试验。如果研究旨在包括对生物相容性终点进行评价，可采纳使用相关动物模型进行的试验。这些研究应评价植入到临床相关植入部位中的供试品所引起的生物学反应。例如，如果在利用合理研究终点设计的体内动物研究设计中包含了单独植入生物相容性评价、体内凝血活性评价、以及急性或亚慢性和慢性毒性评价的终点，则可能无需进行这些评价，并且，将考虑并使用适当ISO 10993试验方法中的科学原理和建议。</w:t>
      </w:r>
    </w:p>
    <w:p w14:paraId="7F481B0B">
      <w:pPr>
        <w:pStyle w:val="40"/>
        <w:spacing w:before="120"/>
        <w:ind w:left="1305" w:firstLine="0" w:firstLineChars="0"/>
        <w:rPr>
          <w:lang w:eastAsia="zh-CN"/>
        </w:rPr>
      </w:pPr>
      <w:r>
        <w:rPr>
          <w:rFonts w:cs="宋体"/>
          <w:lang w:eastAsia="zh-CN"/>
        </w:rPr>
        <w:t>如果动物研究数据（例如，组织学、尸体剖检）识别出了不良生物学反应，可能会批准进行一些额外的生物相容性试验。例如，经戊二醛固定的组织心脏瓣膜和一些标准生物相容性试验（如细胞毒性和遗传毒性）可能会在动物研究中显示产生毒性效应。这些调查结果通常会引起其它研究，如针对器械释放的疑似化学毒素进行化学表征和剂量范围细胞毒性和遗传毒性研究，以确定不良调查结果的原因并确定是否需要进行额外消减。</w:t>
      </w:r>
    </w:p>
    <w:p w14:paraId="0C426B03">
      <w:pPr>
        <w:pStyle w:val="40"/>
        <w:spacing w:before="120"/>
        <w:ind w:left="1305" w:firstLine="0" w:firstLineChars="0"/>
        <w:rPr>
          <w:lang w:eastAsia="zh-CN"/>
        </w:rPr>
      </w:pPr>
      <w:r>
        <w:rPr>
          <w:rFonts w:cs="宋体"/>
          <w:lang w:eastAsia="zh-CN"/>
        </w:rPr>
        <w:t>动物研究经验可能预示需要对新一代器械进行生物相容性评价。例如，与由特定材料制成的可吸收粘附屏障相关的文献中的动物研究数据可能提供与吸收时间线和新型或改良器械潜在不良反应相关的信息。</w:t>
      </w:r>
    </w:p>
    <w:p w14:paraId="6B1008DC">
      <w:pPr>
        <w:pStyle w:val="40"/>
        <w:spacing w:before="120"/>
        <w:ind w:left="1305" w:firstLine="0" w:firstLineChars="0"/>
        <w:rPr>
          <w:lang w:eastAsia="zh-CN"/>
        </w:rPr>
      </w:pPr>
      <w:r>
        <w:rPr>
          <w:rFonts w:cs="宋体"/>
          <w:lang w:eastAsia="zh-CN"/>
        </w:rPr>
        <w:t>但是，同样在某些情况下，FDA未发现可提供相关生物相容性信息的动物数据。例如，指示特定植入物材料存在生物相容性的文献数据可能不足以支持由相同材料制成的器械的生物相容性，其原因是制造</w:t>
      </w:r>
      <w:r>
        <w:rPr>
          <w:rFonts w:hint="eastAsia" w:cs="宋体"/>
          <w:lang w:eastAsia="zh-CN"/>
        </w:rPr>
        <w:t>过程</w:t>
      </w:r>
      <w:r>
        <w:rPr>
          <w:rFonts w:cs="宋体"/>
          <w:lang w:eastAsia="zh-CN"/>
        </w:rPr>
        <w:t>和加工</w:t>
      </w:r>
      <w:r>
        <w:rPr>
          <w:rFonts w:hint="eastAsia" w:cs="宋体"/>
          <w:lang w:eastAsia="zh-CN"/>
        </w:rPr>
        <w:t>工艺</w:t>
      </w:r>
      <w:r>
        <w:rPr>
          <w:rFonts w:cs="宋体"/>
          <w:lang w:eastAsia="zh-CN"/>
        </w:rPr>
        <w:t>可能会影响最终器械化学性能对人体的效应。同样，旨在评价人为因素的动物研究和对动物尸体进行的研究将不会明确包含对生物学反应的评价，因此，可能无法用于支持生物相容性评价。</w:t>
      </w:r>
    </w:p>
    <w:p w14:paraId="4443189C">
      <w:pPr>
        <w:spacing w:before="120"/>
        <w:rPr>
          <w:lang w:eastAsia="zh-CN"/>
        </w:rPr>
      </w:pPr>
      <w:r>
        <w:rPr>
          <w:rFonts w:cs="宋体"/>
          <w:lang w:eastAsia="zh-CN"/>
        </w:rPr>
        <w:br w:type="page"/>
      </w:r>
    </w:p>
    <w:p w14:paraId="6130D7A8">
      <w:pPr>
        <w:pStyle w:val="40"/>
        <w:numPr>
          <w:ilvl w:val="0"/>
          <w:numId w:val="4"/>
        </w:numPr>
        <w:spacing w:before="120"/>
        <w:ind w:left="1305" w:firstLineChars="0"/>
        <w:rPr>
          <w:lang w:eastAsia="zh-CN"/>
        </w:rPr>
      </w:pPr>
      <w:r>
        <w:rPr>
          <w:rFonts w:cs="宋体"/>
          <w:u w:val="single"/>
          <w:lang w:eastAsia="zh-CN"/>
        </w:rPr>
        <w:t>医疗器械标准</w:t>
      </w:r>
      <w:r>
        <w:rPr>
          <w:rFonts w:cs="宋体"/>
          <w:lang w:eastAsia="zh-CN"/>
        </w:rPr>
        <w:t>：针对特定医疗器械类型或材料的标准在指示风险评定方面是有用的；但是，利用标准的程度可能取决于标准的特异性和/或特定材料。在理想情况下，标准应具有足够特异性，能够提供与材料风险相关的有用信息。例如，利用合格/不合格标准来概述某种类型器械的机械和化学性能的标准，鉴于其特异性，可能会有针对性地通知FDA进行评审。解决散状材料成分的标准可能同样作为将材料特征整合到风险评定的起点来提供信息。例如，只要合理考虑并消减与制造相关的风险（</w:t>
      </w:r>
      <w:r>
        <w:rPr>
          <w:rFonts w:cs="宋体"/>
          <w:color w:val="0000FF"/>
          <w:u w:val="single"/>
          <w:lang w:eastAsia="zh-CN"/>
        </w:rPr>
        <w:t>见第IV.A节</w:t>
      </w:r>
      <w:r>
        <w:rPr>
          <w:rFonts w:cs="宋体"/>
          <w:lang w:eastAsia="zh-CN"/>
        </w:rPr>
        <w:t>），利用材料标准来支持316L不锈钢外科手术血管钳的生物相容性评价是合理的。鉴于制造和加工过程可能对整合到最终医疗器械中的聚合物产生的影响，使用材料标准可能不足以识别出由聚合物制成器械的生物相容性风险。</w:t>
      </w:r>
    </w:p>
    <w:p w14:paraId="29CE2C10">
      <w:pPr>
        <w:pStyle w:val="40"/>
        <w:numPr>
          <w:ilvl w:val="0"/>
          <w:numId w:val="4"/>
        </w:numPr>
        <w:spacing w:before="120"/>
        <w:ind w:left="1305" w:firstLineChars="0"/>
        <w:rPr>
          <w:lang w:eastAsia="zh-CN"/>
        </w:rPr>
      </w:pPr>
      <w:r>
        <w:rPr>
          <w:rFonts w:cs="宋体"/>
          <w:u w:val="single"/>
          <w:lang w:eastAsia="zh-CN"/>
        </w:rPr>
        <w:t>之前经FDA评审的器械</w:t>
      </w:r>
      <w:r>
        <w:rPr>
          <w:rFonts w:cs="宋体"/>
          <w:lang w:eastAsia="zh-CN"/>
        </w:rPr>
        <w:t>：之前经FDA评审医疗器械材料的经验（例如，前代器械，经PMA批准的器械、同品种器械），同样可作为在风险评定中进行考虑的问题。当申请人能够拥有其本身的经验而不是由其它制造商或供应商提供的经验（可能不清楚器械的制造和加工过程），这些信息可能更有意义。申请人应在其风险评定中明确如何利用之前由FDA评审的器械来识别潜在风险和/或消减所识别出的风险。当参考之前经FDA评价的器械时，包括提交编号或主文件编号以及所提交的特定检测报告或数据的参考文献时（如适用），申请人应进行明确说明。申请人也应将申报器械材料与之前由FDA评审的器械材料进行明确比较。利用</w:t>
      </w:r>
      <w:r>
        <w:rPr>
          <w:rFonts w:cs="宋体"/>
          <w:color w:val="0000FF"/>
          <w:u w:val="single"/>
          <w:lang w:eastAsia="zh-CN"/>
        </w:rPr>
        <w:t>附件F</w:t>
      </w:r>
      <w:r>
        <w:rPr>
          <w:rFonts w:cs="宋体"/>
          <w:lang w:eastAsia="zh-CN"/>
        </w:rPr>
        <w:t>中所提供的文件示例来提供这种比较可能是有用的。</w:t>
      </w:r>
    </w:p>
    <w:p w14:paraId="657D2818">
      <w:pPr>
        <w:pStyle w:val="40"/>
        <w:numPr>
          <w:ilvl w:val="0"/>
          <w:numId w:val="3"/>
        </w:numPr>
        <w:spacing w:before="120"/>
        <w:ind w:left="1162" w:leftChars="250" w:hanging="562" w:hangingChars="200"/>
        <w:outlineLvl w:val="1"/>
        <w:rPr>
          <w:b/>
          <w:bCs/>
          <w:sz w:val="28"/>
          <w:szCs w:val="28"/>
        </w:rPr>
      </w:pPr>
      <w:bookmarkStart w:id="9" w:name="_Toc97827700"/>
      <w:r>
        <w:rPr>
          <w:rFonts w:cs="宋体"/>
          <w:b/>
          <w:sz w:val="28"/>
        </w:rPr>
        <w:t>提交和解释</w:t>
      </w:r>
      <w:bookmarkEnd w:id="9"/>
    </w:p>
    <w:p w14:paraId="720FD91F">
      <w:pPr>
        <w:spacing w:before="120"/>
        <w:ind w:left="600" w:leftChars="250"/>
        <w:rPr>
          <w:lang w:eastAsia="zh-CN"/>
        </w:rPr>
      </w:pPr>
      <w:r>
        <w:rPr>
          <w:rFonts w:cs="宋体"/>
          <w:lang w:eastAsia="zh-CN"/>
        </w:rPr>
        <w:t>FDA建议申请人在向CDRH或CBER的提交文件中生物相容性章节的起始部分提供其风险评定。根据上述注意事项，申请人应清楚概括其与风险评定相关的结论并解释所识别出的生物相容性风险和用于消减所识别出风险的有用信息之前的相关性，并识别任何仍存在的知识缺口。申请人应识别任何生物相容性试验或其它用于消减任何剩余风险的评价。</w:t>
      </w:r>
      <w:r>
        <w:rPr>
          <w:rFonts w:cs="宋体"/>
          <w:lang w:eastAsia="zh-CN"/>
        </w:rPr>
        <w:br w:type="page"/>
      </w:r>
    </w:p>
    <w:p w14:paraId="5101B888">
      <w:pPr>
        <w:spacing w:before="120"/>
        <w:ind w:left="600" w:leftChars="250"/>
        <w:rPr>
          <w:lang w:eastAsia="zh-CN"/>
        </w:rPr>
      </w:pPr>
      <w:r>
        <w:rPr>
          <w:rFonts w:cs="宋体"/>
          <w:lang w:eastAsia="zh-CN"/>
        </w:rPr>
        <w:t>申请人也应解释在其生物相容性试验或其它评价中识别出的任何毒性和不良反应。作为风险评定的组成部分，申请人应对任何其它可提供额外解释背景的有用信息进行讨论（如体内动物研究结果）。例如，如果由聚丙烯制成的器械在L929细胞</w:t>
      </w:r>
      <w:r>
        <w:rPr>
          <w:rFonts w:hint="eastAsia" w:cs="宋体"/>
          <w:lang w:eastAsia="zh-CN"/>
        </w:rPr>
        <w:t>毒性试验</w:t>
      </w:r>
      <w:r>
        <w:rPr>
          <w:rFonts w:cs="宋体"/>
          <w:lang w:eastAsia="zh-CN"/>
        </w:rPr>
        <w:t>中显示了2级细胞毒性（根据ISO 10993-5《医疗器械生物学评价-第5部分：体外细胞毒性试验》，该结果或许是可接受的），由于通常聚丙烯</w:t>
      </w:r>
      <w:r>
        <w:rPr>
          <w:rFonts w:hint="eastAsia" w:cs="宋体"/>
          <w:lang w:eastAsia="zh-CN"/>
        </w:rPr>
        <w:t>不会</w:t>
      </w:r>
      <w:r>
        <w:rPr>
          <w:rFonts w:cs="宋体"/>
          <w:lang w:eastAsia="zh-CN"/>
        </w:rPr>
        <w:t>引起该水平的细胞毒性反应，申请人应提供与毒性可能来源相关的额外信息。相反，带有粘合剂的皮肤接触电极（含洗涤剂）</w:t>
      </w:r>
      <w:r>
        <w:rPr>
          <w:rFonts w:hint="eastAsia" w:cs="宋体"/>
          <w:lang w:eastAsia="zh-CN"/>
        </w:rPr>
        <w:t>在</w:t>
      </w:r>
      <w:r>
        <w:rPr>
          <w:rFonts w:cs="宋体"/>
          <w:lang w:eastAsia="zh-CN"/>
        </w:rPr>
        <w:t>L929</w:t>
      </w:r>
      <w:r>
        <w:rPr>
          <w:rFonts w:hint="eastAsia" w:cs="宋体"/>
          <w:lang w:eastAsia="zh-CN"/>
        </w:rPr>
        <w:t>细胞毒性</w:t>
      </w:r>
      <w:r>
        <w:rPr>
          <w:rFonts w:cs="宋体"/>
          <w:lang w:eastAsia="zh-CN"/>
        </w:rPr>
        <w:t>试验中</w:t>
      </w:r>
      <w:r>
        <w:rPr>
          <w:rFonts w:hint="eastAsia" w:cs="宋体"/>
          <w:lang w:eastAsia="zh-CN"/>
        </w:rPr>
        <w:t>预期具有高于</w:t>
      </w:r>
      <w:r>
        <w:rPr>
          <w:rFonts w:cs="宋体"/>
          <w:lang w:eastAsia="zh-CN"/>
        </w:rPr>
        <w:t>2级</w:t>
      </w:r>
      <w:r>
        <w:rPr>
          <w:rFonts w:hint="eastAsia" w:cs="宋体"/>
          <w:lang w:eastAsia="zh-CN"/>
        </w:rPr>
        <w:t>的</w:t>
      </w:r>
      <w:r>
        <w:rPr>
          <w:rFonts w:cs="宋体"/>
          <w:lang w:eastAsia="zh-CN"/>
        </w:rPr>
        <w:t>细胞毒性，如果申请人能够确认不存在会导致严重细胞毒性反应的其他化学物质，则被视为可接受。一般来说，应在考虑器械预期用途的情况下，作为整体受益-风险评定的组成部分，对生物相容性试验确定的潜在毒性进行评价。</w:t>
      </w:r>
    </w:p>
    <w:p w14:paraId="4A1118F1">
      <w:pPr>
        <w:spacing w:before="120"/>
        <w:ind w:left="600" w:leftChars="250"/>
        <w:rPr>
          <w:lang w:eastAsia="zh-CN"/>
        </w:rPr>
      </w:pPr>
      <w:r>
        <w:rPr>
          <w:rFonts w:cs="宋体"/>
          <w:lang w:eastAsia="zh-CN"/>
        </w:rPr>
        <w:t>在生物相容性评价过程中，如果根据ISO 10993-18《医疗器械生物学评价-第18部分：材料化学表征》或ISO/TS 10993-19《医疗器械生物学评价-第19部分：材料的物理化学、形态学和形貌学表征》进行化学表征试验，则了解这些标准仅包含与多种分析技术相关的一般信息而不含有验收标准。因此，为支持符合性声明，作为用于支持这些标准使用的补充信息的部分内容，本机构建议在您的结果中提供用于选定方法和方案的原理，因此，FDA能够评价所获取的信息是否将为您的器械的生物相容性提供支持。</w:t>
      </w:r>
    </w:p>
    <w:p w14:paraId="0F485B73">
      <w:pPr>
        <w:spacing w:before="120"/>
        <w:ind w:left="600" w:leftChars="250"/>
        <w:rPr>
          <w:lang w:eastAsia="zh-CN"/>
        </w:rPr>
      </w:pPr>
      <w:r>
        <w:rPr>
          <w:rFonts w:cs="宋体"/>
          <w:color w:val="0000FF"/>
          <w:u w:val="single"/>
          <w:lang w:eastAsia="zh-CN"/>
        </w:rPr>
        <w:t>附件C</w:t>
      </w:r>
      <w:r>
        <w:rPr>
          <w:rFonts w:cs="宋体"/>
          <w:lang w:eastAsia="zh-CN"/>
        </w:rPr>
        <w:t>对生物相容性风险评定总结表进行了举例说明，FDA从评审角度认为该表格是有用的。申请人可能发现在进行其生物相容性风险评定时，利用这种方法和格式是有用的。FDA将在总体生物相容性评价中对风险评定进行评审，并决定风险、消减措施和生物相容性试验或其它信息是否适用于支持医疗器械的生物相容性。申请人可能希望在器械研发的早期阶段，与FDA就其执行合理风险评定的方案进行讨论。FDA建议申请人采用Q-</w:t>
      </w:r>
      <w:r>
        <w:rPr>
          <w:rFonts w:hint="eastAsia" w:cs="宋体"/>
          <w:lang w:eastAsia="zh-CN"/>
        </w:rPr>
        <w:t>申请</w:t>
      </w:r>
      <w:r>
        <w:rPr>
          <w:rFonts w:cs="宋体"/>
          <w:lang w:eastAsia="zh-CN"/>
        </w:rPr>
        <w:t>流程，以促进这方面的讨论。</w:t>
      </w:r>
      <w:r>
        <w:rPr>
          <w:rFonts w:cs="宋体"/>
          <w:vertAlign w:val="superscript"/>
          <w:lang w:eastAsia="zh-CN"/>
        </w:rPr>
        <w:t>21</w:t>
      </w:r>
      <w:r>
        <w:rPr>
          <w:rFonts w:cs="宋体"/>
          <w:lang w:eastAsia="zh-CN"/>
        </w:rPr>
        <w:t>尽管FDA通常无法在Q-</w:t>
      </w:r>
      <w:r>
        <w:rPr>
          <w:rFonts w:hint="eastAsia" w:cs="宋体"/>
          <w:lang w:eastAsia="zh-CN"/>
        </w:rPr>
        <w:t>申请流程</w:t>
      </w:r>
      <w:r>
        <w:rPr>
          <w:rFonts w:cs="宋体"/>
          <w:lang w:eastAsia="zh-CN"/>
        </w:rPr>
        <w:t>中对详细的风险评定进行评审，这通常有助于对这种风险评定的计划途径进行讨论。预提交可能特别有助于在下述和其他情况下获取与风险评定相关的反馈：</w:t>
      </w:r>
    </w:p>
    <w:p w14:paraId="65E913FB">
      <w:pPr>
        <w:spacing w:before="120"/>
        <w:ind w:left="600" w:leftChars="250"/>
        <w:rPr>
          <w:lang w:eastAsia="zh-CN"/>
        </w:rPr>
      </w:pPr>
    </w:p>
    <w:p w14:paraId="39B06FC8">
      <w:pPr>
        <w:spacing w:before="120"/>
        <w:ind w:left="600" w:leftChars="250"/>
        <w:rPr>
          <w:lang w:eastAsia="zh-CN"/>
        </w:rPr>
      </w:pPr>
    </w:p>
    <w:p w14:paraId="40BD1F34">
      <w:pPr>
        <w:spacing w:before="120"/>
        <w:ind w:left="600" w:leftChars="250"/>
        <w:rPr>
          <w:lang w:eastAsia="zh-CN"/>
        </w:rPr>
      </w:pPr>
    </w:p>
    <w:p w14:paraId="6ABF9191">
      <w:pPr>
        <w:spacing w:before="120"/>
        <w:rPr>
          <w:lang w:eastAsia="zh-CN"/>
        </w:rPr>
      </w:pPr>
      <w:r>
        <w:rPr>
          <w:rFonts w:cs="宋体"/>
        </w:rPr>
        <w:t>________________________</w:t>
      </w:r>
    </w:p>
    <w:p w14:paraId="38782BDD">
      <w:pPr>
        <w:spacing w:before="0" w:beforeLines="0"/>
        <w:rPr>
          <w:sz w:val="21"/>
          <w:szCs w:val="21"/>
          <w:lang w:eastAsia="zh-CN"/>
        </w:rPr>
      </w:pPr>
      <w:r>
        <w:rPr>
          <w:rFonts w:cs="宋体"/>
          <w:sz w:val="21"/>
          <w:vertAlign w:val="superscript"/>
        </w:rPr>
        <w:t>21</w:t>
      </w:r>
      <w:r>
        <w:rPr>
          <w:rFonts w:cs="宋体"/>
          <w:sz w:val="21"/>
        </w:rPr>
        <w:t>请参见FDA的指南文件《</w:t>
      </w:r>
      <w:r>
        <w:rPr>
          <w:rFonts w:cs="宋体"/>
          <w:color w:val="0000FF"/>
          <w:sz w:val="21"/>
          <w:u w:val="single"/>
        </w:rPr>
        <w:t>医疗器械申请的反馈和会议请求：Q</w:t>
      </w:r>
      <w:r>
        <w:rPr>
          <w:rFonts w:hint="eastAsia" w:cs="宋体"/>
          <w:color w:val="0000FF"/>
          <w:sz w:val="21"/>
          <w:u w:val="single"/>
          <w:lang w:eastAsia="zh-CN"/>
        </w:rPr>
        <w:t>申请</w:t>
      </w:r>
      <w:r>
        <w:rPr>
          <w:rFonts w:cs="宋体"/>
          <w:color w:val="0000FF"/>
          <w:sz w:val="21"/>
          <w:u w:val="single"/>
        </w:rPr>
        <w:t>计划：行业和美国食品药品监督管理局工作人员指南</w:t>
      </w:r>
      <w:r>
        <w:rPr>
          <w:rFonts w:cs="宋体"/>
          <w:sz w:val="21"/>
        </w:rPr>
        <w:t>》，可登录以下网址获取</w:t>
      </w:r>
      <w:r>
        <w:rPr>
          <w:rFonts w:cs="宋体"/>
          <w:color w:val="0000FF"/>
          <w:sz w:val="21"/>
          <w:u w:val="single"/>
        </w:rPr>
        <w:t>https://www.fda.gov/regulatory-information/</w:t>
      </w:r>
      <w:r>
        <w:rPr>
          <w:rFonts w:hint="eastAsia" w:cs="宋体"/>
          <w:color w:val="0000FF"/>
          <w:sz w:val="21"/>
          <w:u w:val="single"/>
          <w:lang w:eastAsia="zh-CN"/>
        </w:rPr>
        <w:t xml:space="preserve"> </w:t>
      </w:r>
      <w:r>
        <w:rPr>
          <w:rFonts w:cs="宋体"/>
          <w:color w:val="0000FF"/>
          <w:sz w:val="21"/>
          <w:u w:val="single"/>
        </w:rPr>
        <w:t>search-fda-guidance-documents/requests-feedback-and-meetings-medical-device-submissions-q-submission-program</w:t>
      </w:r>
      <w:r>
        <w:rPr>
          <w:rFonts w:cs="宋体"/>
          <w:sz w:val="21"/>
        </w:rPr>
        <w:t>。</w:t>
      </w:r>
    </w:p>
    <w:p w14:paraId="07C1E3BF">
      <w:pPr>
        <w:spacing w:before="120"/>
      </w:pPr>
      <w:r>
        <w:rPr>
          <w:rFonts w:cs="宋体"/>
        </w:rPr>
        <w:br w:type="page"/>
      </w:r>
    </w:p>
    <w:p w14:paraId="6B20A33D">
      <w:pPr>
        <w:pStyle w:val="40"/>
        <w:numPr>
          <w:ilvl w:val="0"/>
          <w:numId w:val="5"/>
        </w:numPr>
        <w:spacing w:before="120"/>
        <w:ind w:left="1305" w:firstLineChars="0"/>
        <w:rPr>
          <w:lang w:eastAsia="zh-CN"/>
        </w:rPr>
      </w:pPr>
      <w:r>
        <w:rPr>
          <w:rFonts w:cs="宋体"/>
          <w:lang w:eastAsia="zh-CN"/>
        </w:rPr>
        <w:t>在开发用于血液相容性的体外试验组合以确定所开发的验证信息是否适用于特定临床使用范围时；</w:t>
      </w:r>
    </w:p>
    <w:p w14:paraId="5E234E2C">
      <w:pPr>
        <w:pStyle w:val="40"/>
        <w:numPr>
          <w:ilvl w:val="0"/>
          <w:numId w:val="5"/>
        </w:numPr>
        <w:spacing w:before="120"/>
        <w:ind w:left="1305" w:firstLineChars="0"/>
        <w:rPr>
          <w:lang w:eastAsia="zh-CN"/>
        </w:rPr>
      </w:pPr>
      <w:r>
        <w:rPr>
          <w:rFonts w:cs="宋体"/>
          <w:lang w:eastAsia="zh-CN"/>
        </w:rPr>
        <w:t>在之前进行的生物相容性评价中出现存在问题的或不确定的结果，或在使用</w:t>
      </w:r>
      <w:r>
        <w:rPr>
          <w:rFonts w:cs="宋体"/>
          <w:color w:val="0000FF"/>
          <w:u w:val="single"/>
          <w:lang w:eastAsia="zh-CN"/>
        </w:rPr>
        <w:t>新型材料</w:t>
      </w:r>
      <w:r>
        <w:rPr>
          <w:rFonts w:cs="宋体"/>
          <w:lang w:eastAsia="zh-CN"/>
        </w:rPr>
        <w:t>的情况下，决定是否需要进行其他生物相容性评价时；</w:t>
      </w:r>
      <w:r>
        <w:rPr>
          <w:rFonts w:cs="宋体"/>
          <w:vertAlign w:val="superscript"/>
          <w:lang w:eastAsia="zh-CN"/>
        </w:rPr>
        <w:t>22</w:t>
      </w:r>
    </w:p>
    <w:p w14:paraId="0B7AE74C">
      <w:pPr>
        <w:pStyle w:val="40"/>
        <w:numPr>
          <w:ilvl w:val="0"/>
          <w:numId w:val="5"/>
        </w:numPr>
        <w:spacing w:before="120"/>
        <w:ind w:left="1305" w:firstLineChars="0"/>
        <w:rPr>
          <w:lang w:eastAsia="zh-CN"/>
        </w:rPr>
      </w:pPr>
      <w:r>
        <w:rPr>
          <w:rFonts w:cs="宋体"/>
          <w:lang w:eastAsia="zh-CN"/>
        </w:rPr>
        <w:t>在设计旨在解决生物相容性终点的体内或体外研究时；</w:t>
      </w:r>
    </w:p>
    <w:p w14:paraId="05080503">
      <w:pPr>
        <w:pStyle w:val="40"/>
        <w:numPr>
          <w:ilvl w:val="0"/>
          <w:numId w:val="5"/>
        </w:numPr>
        <w:spacing w:before="120"/>
        <w:ind w:left="1305" w:firstLineChars="0"/>
        <w:rPr>
          <w:lang w:eastAsia="zh-CN"/>
        </w:rPr>
      </w:pPr>
      <w:r>
        <w:rPr>
          <w:rFonts w:cs="宋体"/>
          <w:lang w:eastAsia="zh-CN"/>
        </w:rPr>
        <w:t>在设计使用加速因子（例如，加热）来模拟患者与医疗器械材料</w:t>
      </w:r>
      <w:r>
        <w:rPr>
          <w:rFonts w:hint="eastAsia" w:cs="宋体"/>
          <w:lang w:eastAsia="zh-CN"/>
        </w:rPr>
        <w:t>长期</w:t>
      </w:r>
      <w:r>
        <w:rPr>
          <w:rFonts w:cs="宋体"/>
          <w:lang w:eastAsia="zh-CN"/>
        </w:rPr>
        <w:t>接触情况的化学分析方案时；</w:t>
      </w:r>
    </w:p>
    <w:p w14:paraId="1FB4F29F">
      <w:pPr>
        <w:pStyle w:val="40"/>
        <w:numPr>
          <w:ilvl w:val="0"/>
          <w:numId w:val="5"/>
        </w:numPr>
        <w:spacing w:before="120"/>
        <w:ind w:left="1305" w:firstLineChars="0"/>
        <w:rPr>
          <w:lang w:eastAsia="zh-CN"/>
        </w:rPr>
      </w:pPr>
      <w:r>
        <w:rPr>
          <w:rFonts w:cs="宋体"/>
          <w:lang w:eastAsia="zh-CN"/>
        </w:rPr>
        <w:t>在决定如何为生物相容性试验来制备可吸收器械时（例如，未聚合的、预先聚合的、部分降解的或完全降解的供试品）。</w:t>
      </w:r>
    </w:p>
    <w:p w14:paraId="7BCC8FE1">
      <w:pPr>
        <w:pStyle w:val="40"/>
        <w:numPr>
          <w:ilvl w:val="0"/>
          <w:numId w:val="1"/>
        </w:numPr>
        <w:spacing w:before="120"/>
        <w:ind w:left="643" w:hanging="643" w:hangingChars="200"/>
        <w:outlineLvl w:val="0"/>
        <w:rPr>
          <w:b/>
          <w:bCs/>
          <w:sz w:val="32"/>
          <w:szCs w:val="32"/>
        </w:rPr>
      </w:pPr>
      <w:bookmarkStart w:id="10" w:name="_Toc97827701"/>
      <w:r>
        <w:rPr>
          <w:rFonts w:cs="宋体"/>
          <w:b/>
          <w:sz w:val="32"/>
        </w:rPr>
        <w:t>ISO 10993-第1部分和FDA修改矩阵</w:t>
      </w:r>
      <w:bookmarkEnd w:id="10"/>
    </w:p>
    <w:p w14:paraId="71B8ADEF">
      <w:pPr>
        <w:spacing w:before="120"/>
        <w:rPr>
          <w:lang w:eastAsia="zh-CN"/>
        </w:rPr>
      </w:pPr>
      <w:r>
        <w:rPr>
          <w:rFonts w:cs="宋体"/>
          <w:lang w:eastAsia="zh-CN"/>
        </w:rPr>
        <w:t>本指南认为生物相容性评价是成品医疗器械的一项评价，在适当情况下，应包括灭菌。但是，申请人应了解每件器械组件和组件之间可能发生的任何生物相容性方面的相互作用。尤为重要的是当器械组件组合可能掩盖或使生物相容性评价之间的相互作用变得复杂化时。例如，如果金属支架的聚合物涂层逐渐</w:t>
      </w:r>
      <w:r>
        <w:rPr>
          <w:rFonts w:hint="eastAsia" w:cs="宋体"/>
          <w:lang w:eastAsia="zh-CN"/>
        </w:rPr>
        <w:t>脱落</w:t>
      </w:r>
      <w:r>
        <w:rPr>
          <w:rFonts w:cs="宋体"/>
          <w:lang w:eastAsia="zh-CN"/>
        </w:rPr>
        <w:t>，那么，器械</w:t>
      </w:r>
      <w:r>
        <w:rPr>
          <w:rFonts w:hint="eastAsia" w:cs="宋体"/>
          <w:lang w:eastAsia="zh-CN"/>
        </w:rPr>
        <w:t>终产品的</w:t>
      </w:r>
      <w:r>
        <w:rPr>
          <w:rFonts w:cs="宋体"/>
          <w:lang w:eastAsia="zh-CN"/>
        </w:rPr>
        <w:t>生物相容性评价结果可能不足以反应器械的长期临床性能，并且，可能需要对带有或不带有涂层的支架进行生物相容性评价。同样，对于原位聚合和可吸收密封剂，在材料随时间变化的位置，可能需要分别对预聚合、聚合和降解密封剂进行评价。</w:t>
      </w:r>
    </w:p>
    <w:p w14:paraId="1FCCF381">
      <w:pPr>
        <w:spacing w:before="120"/>
        <w:rPr>
          <w:lang w:eastAsia="zh-CN"/>
        </w:rPr>
      </w:pPr>
    </w:p>
    <w:p w14:paraId="4FD35983">
      <w:pPr>
        <w:spacing w:before="120"/>
        <w:rPr>
          <w:lang w:eastAsia="zh-CN"/>
        </w:rPr>
      </w:pPr>
    </w:p>
    <w:p w14:paraId="04B3EE61">
      <w:pPr>
        <w:spacing w:before="120"/>
        <w:rPr>
          <w:lang w:eastAsia="zh-CN"/>
        </w:rPr>
      </w:pPr>
    </w:p>
    <w:p w14:paraId="14AC01C7">
      <w:pPr>
        <w:spacing w:before="120"/>
        <w:rPr>
          <w:lang w:eastAsia="zh-CN"/>
        </w:rPr>
      </w:pPr>
    </w:p>
    <w:p w14:paraId="25CCDE0D">
      <w:pPr>
        <w:spacing w:before="120"/>
        <w:rPr>
          <w:lang w:eastAsia="zh-CN"/>
        </w:rPr>
      </w:pPr>
    </w:p>
    <w:p w14:paraId="3F6F5963">
      <w:pPr>
        <w:spacing w:before="120"/>
        <w:rPr>
          <w:lang w:eastAsia="zh-CN"/>
        </w:rPr>
      </w:pPr>
    </w:p>
    <w:p w14:paraId="2DC4FB70">
      <w:pPr>
        <w:spacing w:before="120"/>
        <w:rPr>
          <w:lang w:eastAsia="zh-CN"/>
        </w:rPr>
      </w:pPr>
    </w:p>
    <w:p w14:paraId="7D61B448">
      <w:pPr>
        <w:spacing w:before="120"/>
        <w:rPr>
          <w:lang w:eastAsia="zh-CN"/>
        </w:rPr>
      </w:pPr>
    </w:p>
    <w:p w14:paraId="284E1A48">
      <w:pPr>
        <w:spacing w:before="120"/>
        <w:rPr>
          <w:lang w:eastAsia="zh-CN"/>
        </w:rPr>
      </w:pPr>
    </w:p>
    <w:p w14:paraId="5752F3D4">
      <w:pPr>
        <w:spacing w:before="120"/>
        <w:rPr>
          <w:lang w:eastAsia="zh-CN"/>
        </w:rPr>
      </w:pPr>
    </w:p>
    <w:p w14:paraId="06E42A39">
      <w:pPr>
        <w:spacing w:before="120"/>
        <w:rPr>
          <w:lang w:eastAsia="zh-CN"/>
        </w:rPr>
      </w:pPr>
      <w:r>
        <w:rPr>
          <w:rFonts w:cs="宋体"/>
          <w:lang w:eastAsia="zh-CN"/>
        </w:rPr>
        <w:t>________________________</w:t>
      </w:r>
    </w:p>
    <w:p w14:paraId="76859711">
      <w:pPr>
        <w:spacing w:before="0" w:beforeLines="0"/>
        <w:rPr>
          <w:sz w:val="21"/>
          <w:szCs w:val="21"/>
          <w:lang w:eastAsia="zh-CN"/>
        </w:rPr>
      </w:pPr>
      <w:r>
        <w:rPr>
          <w:rFonts w:cs="宋体"/>
          <w:sz w:val="21"/>
          <w:vertAlign w:val="superscript"/>
          <w:lang w:eastAsia="zh-CN"/>
        </w:rPr>
        <w:t>22</w:t>
      </w:r>
      <w:r>
        <w:rPr>
          <w:rFonts w:cs="宋体"/>
          <w:sz w:val="21"/>
          <w:lang w:eastAsia="zh-CN"/>
        </w:rPr>
        <w:t>通常不使用新型材料来制造医疗器械。本文中所提及的新型材料在关于FDA的当前考虑方向方面是透明的，并在关于利用这些材料制成器械的生物相容性评价方面提出了建议。但是，本机构认为这些建议将不适用于大多数器械申请。</w:t>
      </w:r>
    </w:p>
    <w:p w14:paraId="1A2B3C4B">
      <w:pPr>
        <w:spacing w:before="120"/>
        <w:rPr>
          <w:lang w:eastAsia="zh-CN"/>
        </w:rPr>
      </w:pPr>
      <w:r>
        <w:rPr>
          <w:rFonts w:cs="宋体"/>
          <w:lang w:eastAsia="zh-CN"/>
        </w:rPr>
        <w:br w:type="page"/>
      </w:r>
    </w:p>
    <w:p w14:paraId="54F5AC20">
      <w:pPr>
        <w:pStyle w:val="40"/>
        <w:numPr>
          <w:ilvl w:val="0"/>
          <w:numId w:val="6"/>
        </w:numPr>
        <w:spacing w:before="120"/>
        <w:ind w:left="1162" w:leftChars="250" w:hanging="562" w:hangingChars="200"/>
        <w:outlineLvl w:val="1"/>
        <w:rPr>
          <w:b/>
          <w:bCs/>
          <w:sz w:val="28"/>
          <w:szCs w:val="28"/>
        </w:rPr>
      </w:pPr>
      <w:bookmarkStart w:id="11" w:name="_Toc97827702"/>
      <w:r>
        <w:rPr>
          <w:rFonts w:cs="宋体"/>
          <w:b/>
          <w:sz w:val="28"/>
        </w:rPr>
        <w:t>局部和全身风险评价</w:t>
      </w:r>
      <w:bookmarkEnd w:id="11"/>
    </w:p>
    <w:p w14:paraId="6FD91CAB">
      <w:pPr>
        <w:spacing w:before="120"/>
        <w:ind w:left="600" w:leftChars="250"/>
        <w:rPr>
          <w:lang w:eastAsia="zh-CN"/>
        </w:rPr>
      </w:pPr>
      <w:r>
        <w:rPr>
          <w:rFonts w:cs="宋体"/>
          <w:lang w:eastAsia="zh-CN"/>
        </w:rPr>
        <w:t>对医疗器械进行生物学评价以确定因器械组件材料与人体接触引起的任何潜在不良生物学反应的可接受性。器械材料不应直接（例如通过表面结合化学物质或物理特性）或通过释放其材料成分：（i）产生不良局部或全身反应；（ii）存在致癌性；或（iii）产生不良生殖和/或发育毒性，除非，经确定，使用该物质的优势超过与不良生物学反应相关的风险。因此，对任何适合人类使用的新器械的评价要求利用全身分析信息来确保最终器械所提供的优势超过器械材料在预期使用过程中和在暴露组织内部或上方使用器械所引起的任何潜在风险。</w:t>
      </w:r>
    </w:p>
    <w:p w14:paraId="772DAC2D">
      <w:pPr>
        <w:spacing w:before="120"/>
        <w:ind w:left="600" w:leftChars="250"/>
        <w:rPr>
          <w:lang w:eastAsia="zh-CN"/>
        </w:rPr>
      </w:pPr>
      <w:r>
        <w:rPr>
          <w:rFonts w:cs="宋体"/>
          <w:lang w:eastAsia="zh-CN"/>
        </w:rPr>
        <w:t>在为医疗器械的评价选择合理的生物学终点时，人们应考虑如</w:t>
      </w:r>
      <w:r>
        <w:rPr>
          <w:rFonts w:cs="宋体"/>
          <w:color w:val="0000FF"/>
          <w:u w:val="single"/>
          <w:lang w:eastAsia="zh-CN"/>
        </w:rPr>
        <w:t>附件A</w:t>
      </w:r>
      <w:r>
        <w:rPr>
          <w:rFonts w:cs="宋体"/>
          <w:lang w:eastAsia="zh-CN"/>
        </w:rPr>
        <w:t>中所述的器械材料化学表征和性质，以及与人体接触的程度、频率和时间（如，预期使用）。总之，应考虑的生物相容性终点包括：体外细胞毒性；急性、亚慢性和慢性毒性；刺激；致敏；血液相容性；植入；遗传毒性；致癌性；和对生殖的影响，包括对发育的影响。但是，根据器械的物理性质（例如，表面形态、器械几何构造）、</w:t>
      </w:r>
      <w:r>
        <w:rPr>
          <w:rFonts w:cs="宋体"/>
          <w:vertAlign w:val="superscript"/>
          <w:lang w:eastAsia="zh-CN"/>
        </w:rPr>
        <w:t>23</w:t>
      </w:r>
      <w:r>
        <w:rPr>
          <w:rFonts w:cs="宋体"/>
          <w:lang w:eastAsia="zh-CN"/>
        </w:rPr>
        <w:t>器械的预期使用、目标人群、和/或与人体接触的性质，并非需要对所有生物相容性终点进行试验。相反，在</w:t>
      </w:r>
      <w:r>
        <w:rPr>
          <w:rFonts w:cs="宋体"/>
          <w:color w:val="0000FF"/>
          <w:u w:val="single"/>
          <w:lang w:eastAsia="zh-CN"/>
        </w:rPr>
        <w:t>附件A</w:t>
      </w:r>
      <w:r>
        <w:rPr>
          <w:rFonts w:cs="宋体"/>
          <w:lang w:eastAsia="zh-CN"/>
        </w:rPr>
        <w:t>中识别出的生物相容性终点可能不足以证明特定器械的生物相容性（例如，包含亚微米级或纳米级组件的器械，见</w:t>
      </w:r>
      <w:r>
        <w:rPr>
          <w:rFonts w:cs="宋体"/>
          <w:color w:val="0000FF"/>
          <w:u w:val="single"/>
          <w:lang w:eastAsia="zh-CN"/>
        </w:rPr>
        <w:t>第V.D节</w:t>
      </w:r>
      <w:r>
        <w:rPr>
          <w:rFonts w:cs="宋体"/>
          <w:lang w:eastAsia="zh-CN"/>
        </w:rPr>
        <w:t>）。此外，在传统生物相容性研究中未对与植入位置或毒性问题相关的局部毒性或末梢器官毒性进行评价</w:t>
      </w:r>
      <w:r>
        <w:rPr>
          <w:rFonts w:hint="eastAsia" w:cs="宋体"/>
          <w:lang w:eastAsia="zh-CN"/>
        </w:rPr>
        <w:t>的器械，</w:t>
      </w:r>
      <w:r>
        <w:rPr>
          <w:rFonts w:cs="宋体"/>
          <w:lang w:eastAsia="zh-CN"/>
        </w:rPr>
        <w:t>应考虑生物相容性终点（如神经毒性和免疫毒性）。例如，直接与大脑实质和脑脊液（CSF）接触的神经器械可能需要执行动物植入试验，以评价其对大脑实质、癫痫敏感性的影响，以及脉络丛分泌和蛛网膜绒毛吸收CSF功能机制在病理学和生理学效应方面的影响。新器械的特殊临床应用和在制造过程中所使用的材料将指导选择合理的生物相容性评价。在可能的情况下，针对器械的指导性文件将包括需要在生物相容性评价背景下进行考虑的其它安全性评价。</w:t>
      </w:r>
    </w:p>
    <w:p w14:paraId="2460E448">
      <w:pPr>
        <w:spacing w:before="120"/>
        <w:rPr>
          <w:rFonts w:cs="宋体"/>
          <w:lang w:eastAsia="zh-CN"/>
        </w:rPr>
      </w:pPr>
    </w:p>
    <w:p w14:paraId="342276F3">
      <w:pPr>
        <w:spacing w:before="120"/>
        <w:rPr>
          <w:rFonts w:cs="宋体"/>
          <w:lang w:eastAsia="zh-CN"/>
        </w:rPr>
      </w:pPr>
    </w:p>
    <w:p w14:paraId="293A051F">
      <w:pPr>
        <w:spacing w:before="120"/>
        <w:rPr>
          <w:rFonts w:cs="宋体"/>
          <w:lang w:eastAsia="zh-CN"/>
        </w:rPr>
      </w:pPr>
    </w:p>
    <w:p w14:paraId="759968BD">
      <w:pPr>
        <w:spacing w:before="120"/>
        <w:rPr>
          <w:rFonts w:cs="宋体"/>
          <w:lang w:eastAsia="zh-CN"/>
        </w:rPr>
      </w:pPr>
    </w:p>
    <w:p w14:paraId="195417B8">
      <w:pPr>
        <w:spacing w:before="120"/>
        <w:rPr>
          <w:rFonts w:cs="宋体"/>
          <w:lang w:eastAsia="zh-CN"/>
        </w:rPr>
      </w:pPr>
    </w:p>
    <w:p w14:paraId="4A1EA777">
      <w:pPr>
        <w:spacing w:before="120"/>
        <w:rPr>
          <w:rFonts w:cs="宋体"/>
          <w:lang w:eastAsia="zh-CN"/>
        </w:rPr>
      </w:pPr>
    </w:p>
    <w:p w14:paraId="38E4025C">
      <w:pPr>
        <w:spacing w:before="120"/>
        <w:rPr>
          <w:lang w:eastAsia="zh-CN"/>
        </w:rPr>
      </w:pPr>
      <w:r>
        <w:rPr>
          <w:rFonts w:cs="宋体"/>
          <w:lang w:eastAsia="zh-CN"/>
        </w:rPr>
        <w:t>_______________________</w:t>
      </w:r>
    </w:p>
    <w:p w14:paraId="638486E5">
      <w:pPr>
        <w:spacing w:before="0" w:beforeLines="0"/>
        <w:rPr>
          <w:sz w:val="21"/>
          <w:szCs w:val="21"/>
          <w:lang w:eastAsia="zh-CN"/>
        </w:rPr>
      </w:pPr>
      <w:r>
        <w:rPr>
          <w:rFonts w:cs="宋体"/>
          <w:sz w:val="21"/>
          <w:vertAlign w:val="superscript"/>
          <w:lang w:eastAsia="zh-CN"/>
        </w:rPr>
        <w:t>23</w:t>
      </w:r>
      <w:r>
        <w:rPr>
          <w:rFonts w:cs="宋体"/>
          <w:sz w:val="21"/>
          <w:lang w:eastAsia="zh-CN"/>
        </w:rPr>
        <w:t>例如，可能选择材料来提供器械合理发挥功能所需的特定刚度（即，器械特征），但是，也可能存在其它影响器械生物学反应的材料特征（例如，亲水性表面或疏水性表面）。</w:t>
      </w:r>
    </w:p>
    <w:p w14:paraId="3398B731">
      <w:pPr>
        <w:spacing w:before="120"/>
        <w:rPr>
          <w:lang w:eastAsia="zh-CN"/>
        </w:rPr>
      </w:pPr>
      <w:r>
        <w:rPr>
          <w:rFonts w:cs="宋体"/>
          <w:lang w:eastAsia="zh-CN"/>
        </w:rPr>
        <w:br w:type="page"/>
      </w:r>
    </w:p>
    <w:p w14:paraId="2E333575">
      <w:pPr>
        <w:spacing w:before="120"/>
        <w:ind w:left="600" w:leftChars="250"/>
        <w:rPr>
          <w:lang w:eastAsia="zh-CN"/>
        </w:rPr>
      </w:pPr>
      <w:r>
        <w:rPr>
          <w:rFonts w:cs="宋体"/>
          <w:lang w:eastAsia="zh-CN"/>
        </w:rPr>
        <w:t>一些器械由在公开发表的文献中对物理化学性能进行充分描述和/或在美国合法销售的医疗器械中具有较长的安全应用史的材料制成。在本指南的FDA矩阵中，或许无需对全部或部分推荐的生物相容性终点进行试验。例如，如果申请人能够通过文件证明在合法销售的同品种器械中或在具有组织接触可比性的合法销售器械中使用了一种特定材料（例如，316L不锈钢），并能够解释制造预期不会对生物相容性造成不良反应的原因，则可能无需进行其它试验来解决一些或所有为</w:t>
      </w:r>
      <w:r>
        <w:rPr>
          <w:rFonts w:cs="宋体"/>
          <w:color w:val="0000FF"/>
          <w:u w:val="single"/>
          <w:lang w:eastAsia="zh-CN"/>
        </w:rPr>
        <w:t>附件A</w:t>
      </w:r>
      <w:r>
        <w:rPr>
          <w:rFonts w:cs="宋体"/>
          <w:lang w:eastAsia="zh-CN"/>
        </w:rPr>
        <w:t>中考虑的问题所建议的生物相容性终点。申请人也应利用现有市场应用中的信息来支持已确立器械生物相容性的原理。</w:t>
      </w:r>
      <w:r>
        <w:rPr>
          <w:rFonts w:cs="宋体"/>
          <w:vertAlign w:val="superscript"/>
          <w:lang w:eastAsia="zh-CN"/>
        </w:rPr>
        <w:t>24</w:t>
      </w:r>
      <w:r>
        <w:rPr>
          <w:rFonts w:cs="宋体"/>
          <w:lang w:eastAsia="zh-CN"/>
        </w:rPr>
        <w:t>参考</w:t>
      </w:r>
      <w:r>
        <w:rPr>
          <w:rFonts w:cs="宋体"/>
          <w:color w:val="0000FF"/>
          <w:u w:val="single"/>
          <w:lang w:eastAsia="zh-CN"/>
        </w:rPr>
        <w:t>第III节</w:t>
      </w:r>
      <w:r>
        <w:rPr>
          <w:rFonts w:cs="宋体"/>
          <w:lang w:eastAsia="zh-CN"/>
        </w:rPr>
        <w:t>，生物相容性评价的风险管理，以获取如何使用先前信息来替代新试验的更多信息。同样，参见</w:t>
      </w:r>
      <w:r>
        <w:rPr>
          <w:rFonts w:cs="宋体"/>
          <w:color w:val="0000FF"/>
          <w:u w:val="single"/>
          <w:lang w:eastAsia="zh-CN"/>
        </w:rPr>
        <w:t>附件F</w:t>
      </w:r>
      <w:r>
        <w:rPr>
          <w:rFonts w:cs="宋体"/>
          <w:lang w:eastAsia="zh-CN"/>
        </w:rPr>
        <w:t>，组件和器械文件示例，以获取与合法销售器械进行比较的更多信息。</w:t>
      </w:r>
    </w:p>
    <w:p w14:paraId="7D968DC3">
      <w:pPr>
        <w:pStyle w:val="40"/>
        <w:numPr>
          <w:ilvl w:val="0"/>
          <w:numId w:val="6"/>
        </w:numPr>
        <w:spacing w:before="120"/>
        <w:ind w:left="1162" w:leftChars="250" w:hanging="562" w:hangingChars="200"/>
        <w:outlineLvl w:val="1"/>
        <w:rPr>
          <w:b/>
          <w:bCs/>
          <w:sz w:val="28"/>
          <w:szCs w:val="28"/>
        </w:rPr>
      </w:pPr>
      <w:bookmarkStart w:id="12" w:name="_Toc97827703"/>
      <w:r>
        <w:rPr>
          <w:rFonts w:cs="宋体"/>
          <w:b/>
          <w:sz w:val="28"/>
        </w:rPr>
        <w:t>ISO 10993-1的FDA应用</w:t>
      </w:r>
      <w:bookmarkEnd w:id="12"/>
    </w:p>
    <w:p w14:paraId="13C95DE4">
      <w:pPr>
        <w:spacing w:before="120"/>
        <w:ind w:left="600" w:leftChars="250"/>
        <w:rPr>
          <w:lang w:eastAsia="zh-CN"/>
        </w:rPr>
      </w:pPr>
      <w:r>
        <w:rPr>
          <w:rFonts w:cs="宋体"/>
          <w:lang w:eastAsia="zh-CN"/>
        </w:rPr>
        <w:t>为了协调生物相容性试验，国际标准化组织（ISO）制定了医疗器械生物学评价标准（ISO 10993）。该标准由多个部分组成，用于评价医疗器械材料对人体产生的影响。该标准第一部分《医疗器械生物学评价-第1部分：风险管理过程中的评价与试验》为部署医疗器械的生物学评价提供了一个框架，并且在需要时，可用于指导生物学试验的选择，以对医疗器械产生的生物学反应进行评价。ISO 10993标准的其他部分，大多数都提供了用于执行根据标准第1部分确定的生物学试验的适当方法。</w:t>
      </w:r>
    </w:p>
    <w:p w14:paraId="2F23A49C">
      <w:pPr>
        <w:spacing w:before="120"/>
        <w:ind w:left="600" w:leftChars="250"/>
        <w:rPr>
          <w:lang w:eastAsia="zh-CN"/>
        </w:rPr>
      </w:pPr>
      <w:r>
        <w:rPr>
          <w:rFonts w:cs="宋体"/>
          <w:lang w:eastAsia="zh-CN"/>
        </w:rPr>
        <w:t>对于2009年修订的ISO 10993-1标准，文件的重点从如何确定需要执行的生物相容性试验转变为在确定是否需要执行生物相容性试验之前考虑现有信息的方法。随着与组织反应基本机制相关的科学信息的进步，FDA在着眼于通过优先进行化学成分试验和采用体外模型的方法最小化试验动物的数量和接触情况方面（在这种情况下，利用这些方法获取的信息与通过体外模型获取的信息之间存在相关性）与ISO 10993-1:2009修订版的建议是一致的。</w:t>
      </w:r>
      <w:r>
        <w:rPr>
          <w:rFonts w:cs="宋体"/>
          <w:vertAlign w:val="superscript"/>
          <w:lang w:eastAsia="zh-CN"/>
        </w:rPr>
        <w:t>25</w:t>
      </w:r>
      <w:r>
        <w:rPr>
          <w:rFonts w:cs="宋体"/>
          <w:lang w:eastAsia="zh-CN"/>
        </w:rPr>
        <w:t>为提交FDA进行申报，应提交通过风险管理过程或生物相容性试验（利用体外和体内模型）获取最终器械的生物相容性信息和/或结合合理解决器械的生物相容性风险的补充生物相容性信息的化学表征。</w:t>
      </w:r>
    </w:p>
    <w:p w14:paraId="150B4DDC">
      <w:pPr>
        <w:spacing w:before="120"/>
        <w:rPr>
          <w:rFonts w:cs="宋体"/>
          <w:lang w:eastAsia="zh-CN"/>
        </w:rPr>
      </w:pPr>
    </w:p>
    <w:p w14:paraId="13D622D5">
      <w:pPr>
        <w:spacing w:before="120"/>
        <w:rPr>
          <w:rFonts w:cs="宋体"/>
          <w:lang w:eastAsia="zh-CN"/>
        </w:rPr>
      </w:pPr>
    </w:p>
    <w:p w14:paraId="7992793A">
      <w:pPr>
        <w:spacing w:before="120"/>
        <w:rPr>
          <w:lang w:eastAsia="zh-CN"/>
        </w:rPr>
      </w:pPr>
      <w:r>
        <w:rPr>
          <w:rFonts w:cs="宋体"/>
          <w:lang w:eastAsia="zh-CN"/>
        </w:rPr>
        <w:t>________________________</w:t>
      </w:r>
    </w:p>
    <w:p w14:paraId="7FF2D6C1">
      <w:pPr>
        <w:spacing w:before="0" w:beforeLines="0"/>
        <w:rPr>
          <w:sz w:val="21"/>
          <w:szCs w:val="21"/>
          <w:lang w:eastAsia="zh-CN"/>
        </w:rPr>
      </w:pPr>
      <w:r>
        <w:rPr>
          <w:rFonts w:cs="宋体"/>
          <w:sz w:val="21"/>
          <w:vertAlign w:val="superscript"/>
          <w:lang w:eastAsia="zh-CN"/>
        </w:rPr>
        <w:t>24</w:t>
      </w:r>
      <w:r>
        <w:rPr>
          <w:rFonts w:cs="宋体"/>
          <w:sz w:val="21"/>
          <w:lang w:eastAsia="zh-CN"/>
        </w:rPr>
        <w:t>为进行生物相容性评价，利用其它市场应用信息来支持510(k)、PMA、重复申请、HDE，以及启动IDE应是合理的。</w:t>
      </w:r>
    </w:p>
    <w:p w14:paraId="15318A43">
      <w:pPr>
        <w:spacing w:before="0" w:beforeLines="0"/>
        <w:rPr>
          <w:sz w:val="21"/>
          <w:szCs w:val="21"/>
          <w:lang w:eastAsia="zh-CN"/>
        </w:rPr>
      </w:pPr>
      <w:r>
        <w:rPr>
          <w:rFonts w:cs="宋体"/>
          <w:sz w:val="21"/>
          <w:vertAlign w:val="superscript"/>
          <w:lang w:eastAsia="zh-CN"/>
        </w:rPr>
        <w:t>25</w:t>
      </w:r>
      <w:r>
        <w:rPr>
          <w:rFonts w:cs="宋体"/>
          <w:sz w:val="21"/>
          <w:lang w:eastAsia="zh-CN"/>
        </w:rPr>
        <w:t xml:space="preserve"> ISO 10993-1:2009《医疗器械生物学评价–第1部分-风险管理过程中的评价与试验》。</w:t>
      </w:r>
    </w:p>
    <w:p w14:paraId="04A68A72">
      <w:pPr>
        <w:spacing w:before="120"/>
        <w:rPr>
          <w:lang w:eastAsia="zh-CN"/>
        </w:rPr>
      </w:pPr>
      <w:r>
        <w:rPr>
          <w:rFonts w:cs="宋体"/>
          <w:lang w:eastAsia="zh-CN"/>
        </w:rPr>
        <w:br w:type="page"/>
      </w:r>
    </w:p>
    <w:p w14:paraId="056EB1AB">
      <w:pPr>
        <w:spacing w:before="120"/>
        <w:ind w:left="600" w:leftChars="250"/>
        <w:rPr>
          <w:lang w:eastAsia="zh-CN"/>
        </w:rPr>
      </w:pPr>
      <w:r>
        <w:rPr>
          <w:rFonts w:cs="宋体"/>
          <w:lang w:eastAsia="zh-CN"/>
        </w:rPr>
        <w:t>ISO 10993-1利用与最初的第三方生物相容性指南（G87-1）相似的方法进行生物相容性评价，</w:t>
      </w:r>
      <w:r>
        <w:rPr>
          <w:rFonts w:cs="宋体"/>
          <w:vertAlign w:val="superscript"/>
          <w:lang w:eastAsia="zh-CN"/>
        </w:rPr>
        <w:t>26</w:t>
      </w:r>
      <w:r>
        <w:rPr>
          <w:rFonts w:cs="宋体"/>
          <w:lang w:eastAsia="zh-CN"/>
        </w:rPr>
        <w:t>包括相同的7项通则。</w:t>
      </w:r>
    </w:p>
    <w:p w14:paraId="02A29B0E">
      <w:pPr>
        <w:spacing w:before="120"/>
        <w:ind w:left="600" w:leftChars="250"/>
        <w:rPr>
          <w:lang w:eastAsia="zh-CN"/>
        </w:rPr>
      </w:pPr>
      <w:r>
        <w:rPr>
          <w:rFonts w:cs="宋体"/>
          <w:lang w:eastAsia="zh-CN"/>
        </w:rPr>
        <w:t>器械制造材料的选择及其生物相容性评价应首先考虑直接或间接组织接触的可能性以及任何关于器械制造的有用信息，例如，每项组件材料的化学配方，包括粘合剂、已知和疑似杂质、以及与加工相关的成分。</w:t>
      </w:r>
    </w:p>
    <w:p w14:paraId="332328D3">
      <w:pPr>
        <w:pStyle w:val="40"/>
        <w:numPr>
          <w:ilvl w:val="0"/>
          <w:numId w:val="7"/>
        </w:numPr>
        <w:spacing w:before="120"/>
        <w:ind w:left="1305" w:firstLineChars="0"/>
        <w:rPr>
          <w:lang w:eastAsia="zh-CN"/>
        </w:rPr>
      </w:pPr>
      <w:r>
        <w:rPr>
          <w:rFonts w:cs="宋体"/>
          <w:lang w:eastAsia="zh-CN"/>
        </w:rPr>
        <w:t>为向FDA进行申报，如果与制造材料相关的信息可能是材料供应商的产权信息，那么提供材料成分主文件可能有助于决定最终器械部分组件的配方（见</w:t>
      </w:r>
      <w:r>
        <w:rPr>
          <w:rFonts w:cs="宋体"/>
          <w:color w:val="0000FF"/>
          <w:u w:val="single"/>
          <w:lang w:eastAsia="zh-CN"/>
        </w:rPr>
        <w:t>附件B</w:t>
      </w:r>
      <w:r>
        <w:rPr>
          <w:rFonts w:cs="宋体"/>
          <w:lang w:eastAsia="zh-CN"/>
        </w:rPr>
        <w:t>）。但是，单独使用该信息不足以确立器械的生物相容性。目前，尚未确立适用于器械主文件的内容或完整性的标准。由于主文件中的信息可能特定于某一材料，可能无法解决器械制造工艺问题，通常提交给CDRH的材料主文件中包含的信息不足以解决与成品医疗器械相关的全面表征或生物相容性等问题。</w:t>
      </w:r>
    </w:p>
    <w:p w14:paraId="66E1FE18">
      <w:pPr>
        <w:pStyle w:val="40"/>
        <w:numPr>
          <w:ilvl w:val="0"/>
          <w:numId w:val="7"/>
        </w:numPr>
        <w:spacing w:before="120"/>
        <w:ind w:left="1305" w:firstLineChars="0"/>
        <w:rPr>
          <w:lang w:eastAsia="zh-CN"/>
        </w:rPr>
      </w:pPr>
      <w:r>
        <w:rPr>
          <w:rFonts w:cs="宋体"/>
          <w:lang w:eastAsia="zh-CN"/>
        </w:rPr>
        <w:t>应考虑制造材料、成品或可能沥滤的化学物质或降解产物与器械总体毒理学评价的相关性。</w:t>
      </w:r>
    </w:p>
    <w:p w14:paraId="06DDCE97">
      <w:pPr>
        <w:pStyle w:val="40"/>
        <w:numPr>
          <w:ilvl w:val="0"/>
          <w:numId w:val="7"/>
        </w:numPr>
        <w:spacing w:before="120"/>
        <w:ind w:left="1305" w:firstLineChars="0"/>
        <w:rPr>
          <w:lang w:eastAsia="zh-CN"/>
        </w:rPr>
      </w:pPr>
      <w:r>
        <w:rPr>
          <w:rFonts w:cs="宋体"/>
          <w:lang w:eastAsia="zh-CN"/>
        </w:rPr>
        <w:t>与生物相容性评价相关的终点应考虑医疗器械与人体接触的性质、程度、频率、时间和条件。可利用该原则对器械进行分类，以便于在总体生物相容性评价中选择并纳入合理的终点。</w:t>
      </w:r>
    </w:p>
    <w:p w14:paraId="1902FCE7">
      <w:pPr>
        <w:spacing w:before="120"/>
        <w:rPr>
          <w:rFonts w:cs="宋体"/>
          <w:lang w:eastAsia="zh-CN"/>
        </w:rPr>
      </w:pPr>
    </w:p>
    <w:p w14:paraId="22ACF440">
      <w:pPr>
        <w:spacing w:before="120"/>
        <w:rPr>
          <w:rFonts w:cs="宋体"/>
          <w:lang w:eastAsia="zh-CN"/>
        </w:rPr>
      </w:pPr>
    </w:p>
    <w:p w14:paraId="6022F5EB">
      <w:pPr>
        <w:spacing w:before="120"/>
        <w:rPr>
          <w:rFonts w:cs="宋体"/>
          <w:lang w:eastAsia="zh-CN"/>
        </w:rPr>
      </w:pPr>
    </w:p>
    <w:p w14:paraId="38411AD4">
      <w:pPr>
        <w:spacing w:before="120"/>
        <w:rPr>
          <w:rFonts w:cs="宋体"/>
          <w:lang w:eastAsia="zh-CN"/>
        </w:rPr>
      </w:pPr>
    </w:p>
    <w:p w14:paraId="34AF046B">
      <w:pPr>
        <w:spacing w:before="120"/>
        <w:rPr>
          <w:rFonts w:cs="宋体"/>
          <w:lang w:eastAsia="zh-CN"/>
        </w:rPr>
      </w:pPr>
    </w:p>
    <w:p w14:paraId="394948B3">
      <w:pPr>
        <w:spacing w:before="120"/>
        <w:rPr>
          <w:rFonts w:cs="宋体"/>
          <w:lang w:eastAsia="zh-CN"/>
        </w:rPr>
      </w:pPr>
    </w:p>
    <w:p w14:paraId="27C8A638">
      <w:pPr>
        <w:spacing w:before="120"/>
        <w:rPr>
          <w:rFonts w:cs="宋体"/>
          <w:lang w:eastAsia="zh-CN"/>
        </w:rPr>
      </w:pPr>
    </w:p>
    <w:p w14:paraId="579D873D">
      <w:pPr>
        <w:spacing w:before="120"/>
        <w:rPr>
          <w:rFonts w:cs="宋体"/>
          <w:lang w:eastAsia="zh-CN"/>
        </w:rPr>
      </w:pPr>
    </w:p>
    <w:p w14:paraId="515A0148">
      <w:pPr>
        <w:spacing w:before="120"/>
        <w:rPr>
          <w:rFonts w:cs="宋体"/>
          <w:lang w:eastAsia="zh-CN"/>
        </w:rPr>
      </w:pPr>
    </w:p>
    <w:p w14:paraId="4B3AE758">
      <w:pPr>
        <w:spacing w:before="120"/>
        <w:rPr>
          <w:lang w:eastAsia="zh-CN"/>
        </w:rPr>
      </w:pPr>
      <w:r>
        <w:rPr>
          <w:rFonts w:cs="宋体"/>
          <w:lang w:eastAsia="zh-CN"/>
        </w:rPr>
        <w:t>________________________</w:t>
      </w:r>
    </w:p>
    <w:p w14:paraId="36B34707">
      <w:pPr>
        <w:spacing w:before="0" w:beforeLines="0"/>
        <w:rPr>
          <w:sz w:val="21"/>
          <w:szCs w:val="21"/>
        </w:rPr>
      </w:pPr>
      <w:r>
        <w:rPr>
          <w:rFonts w:cs="宋体"/>
          <w:sz w:val="21"/>
          <w:vertAlign w:val="superscript"/>
          <w:lang w:eastAsia="zh-CN"/>
        </w:rPr>
        <w:t>26</w:t>
      </w:r>
      <w:r>
        <w:rPr>
          <w:rFonts w:cs="宋体"/>
          <w:sz w:val="21"/>
          <w:lang w:eastAsia="zh-CN"/>
        </w:rPr>
        <w:t xml:space="preserve"> 1986年，FDA、加拿大健康与福利部和英国社会服务机构发布了《第三方医疗器械生物相容性指南》。FDA随后发布了一般程序备忘录G87-1《第三方生物相容性指南》（1987年4月24日）。直到1995年，FDA审评员以及医疗器械制造商均根据该指南选择适当的试验评价医疗器械产生的不良生物学反应。FDA随后发布了蓝皮书备忘录G95-1，使用标准ISO-10993《医疗器械生物学评价-第1部分：评价和试验》（1995年5月1日）。</w:t>
      </w:r>
      <w:r>
        <w:rPr>
          <w:rFonts w:cs="宋体"/>
          <w:sz w:val="21"/>
        </w:rPr>
        <w:t>本指南的最终版本替换了G87-1和G95-1。</w:t>
      </w:r>
    </w:p>
    <w:p w14:paraId="084C8A6F">
      <w:pPr>
        <w:spacing w:before="120"/>
      </w:pPr>
      <w:r>
        <w:rPr>
          <w:rFonts w:cs="宋体"/>
        </w:rPr>
        <w:br w:type="page"/>
      </w:r>
    </w:p>
    <w:p w14:paraId="064B319A">
      <w:pPr>
        <w:pStyle w:val="40"/>
        <w:numPr>
          <w:ilvl w:val="0"/>
          <w:numId w:val="7"/>
        </w:numPr>
        <w:spacing w:before="120"/>
        <w:ind w:left="1305" w:firstLineChars="0"/>
        <w:rPr>
          <w:lang w:eastAsia="zh-CN"/>
        </w:rPr>
      </w:pPr>
      <w:r>
        <w:rPr>
          <w:rFonts w:cs="宋体"/>
          <w:lang w:eastAsia="zh-CN"/>
        </w:rPr>
        <w:t>应按照公认的GLP规范</w:t>
      </w:r>
      <w:r>
        <w:rPr>
          <w:rFonts w:cs="宋体"/>
          <w:vertAlign w:val="superscript"/>
          <w:lang w:eastAsia="zh-CN"/>
        </w:rPr>
        <w:t>27</w:t>
      </w:r>
      <w:r>
        <w:rPr>
          <w:rFonts w:cs="宋体"/>
          <w:lang w:eastAsia="zh-CN"/>
        </w:rPr>
        <w:t>执行所有体外或体内生物学安全性试验，包括但不限于指定经过培训的有资质人员执行生物相容性试验。</w:t>
      </w:r>
    </w:p>
    <w:p w14:paraId="0DBAA402">
      <w:pPr>
        <w:pStyle w:val="40"/>
        <w:spacing w:before="120"/>
        <w:ind w:left="1305" w:firstLine="0" w:firstLineChars="0"/>
        <w:rPr>
          <w:lang w:eastAsia="zh-CN"/>
        </w:rPr>
      </w:pPr>
      <w:r>
        <w:rPr>
          <w:rFonts w:cs="宋体"/>
          <w:lang w:eastAsia="zh-CN"/>
        </w:rPr>
        <w:t>为向FDA提出申请，如果提供关于这些类型的非临床</w:t>
      </w:r>
      <w:r>
        <w:rPr>
          <w:rFonts w:hint="eastAsia" w:cs="宋体"/>
          <w:lang w:eastAsia="zh-CN"/>
        </w:rPr>
        <w:t>实</w:t>
      </w:r>
      <w:r>
        <w:rPr>
          <w:rFonts w:cs="宋体"/>
          <w:lang w:eastAsia="zh-CN"/>
        </w:rPr>
        <w:t>验室研究</w:t>
      </w:r>
      <w:r>
        <w:rPr>
          <w:rFonts w:cs="宋体"/>
          <w:vertAlign w:val="superscript"/>
          <w:lang w:eastAsia="zh-CN"/>
        </w:rPr>
        <w:t>28</w:t>
      </w:r>
      <w:r>
        <w:rPr>
          <w:rFonts w:cs="宋体"/>
          <w:lang w:eastAsia="zh-CN"/>
        </w:rPr>
        <w:t>的信息，也应提交证明这些研究已根据21 CFR 58中GLP规范的适用要求进行了这些研究的声明。如有未根据该规范进行的任何研究（例如，在向监管机构提交的文件中包含支持性历史数据），必须提交声明以详细指出研究如何依据GLP法规的每个部分，并解释在不进行独立审计的情况下，机构将如何保证结果中所报告的全部数据代表了所有获取的数据（例如，所报告的数据不存在偏倚，并且，不进行选择性数据入选）。</w:t>
      </w:r>
    </w:p>
    <w:p w14:paraId="4C32AA02">
      <w:pPr>
        <w:pStyle w:val="40"/>
        <w:numPr>
          <w:ilvl w:val="0"/>
          <w:numId w:val="7"/>
        </w:numPr>
        <w:spacing w:before="120"/>
        <w:ind w:left="1305" w:firstLineChars="0"/>
        <w:rPr>
          <w:lang w:eastAsia="zh-CN"/>
        </w:rPr>
      </w:pPr>
      <w:r>
        <w:rPr>
          <w:rFonts w:cs="宋体"/>
          <w:lang w:eastAsia="zh-CN"/>
        </w:rPr>
        <w:t>在提供试验数据时，应向评审机构提交完整的试验数据，以及可用于独立作出结论的数据。</w:t>
      </w:r>
    </w:p>
    <w:p w14:paraId="4EB0DAEE">
      <w:pPr>
        <w:pStyle w:val="40"/>
        <w:spacing w:before="120"/>
        <w:ind w:left="1305" w:firstLine="0" w:firstLineChars="0"/>
        <w:rPr>
          <w:lang w:eastAsia="zh-CN"/>
        </w:rPr>
      </w:pPr>
      <w:r>
        <w:rPr>
          <w:rFonts w:cs="宋体"/>
          <w:lang w:eastAsia="zh-CN"/>
        </w:rPr>
        <w:t>在FDA提出申请时，如果根据无需数据报告的公认标准进行试验，那么，无需提交试验数据。</w:t>
      </w:r>
    </w:p>
    <w:p w14:paraId="71CBABE2">
      <w:pPr>
        <w:pStyle w:val="40"/>
        <w:numPr>
          <w:ilvl w:val="0"/>
          <w:numId w:val="7"/>
        </w:numPr>
        <w:spacing w:before="120"/>
        <w:ind w:left="1305" w:firstLineChars="0"/>
        <w:rPr>
          <w:lang w:eastAsia="zh-CN"/>
        </w:rPr>
      </w:pPr>
      <w:r>
        <w:rPr>
          <w:rFonts w:cs="宋体"/>
          <w:lang w:eastAsia="zh-CN"/>
        </w:rPr>
        <w:t>如果器械的化学成分、制造工艺、物理结构（如大小、几何构型、表面特性）或预期用途发生任何变更，应针对生物相容性是否发生变化以及是否需要进行额外生物相容性试验的情况进行评价。</w:t>
      </w:r>
    </w:p>
    <w:p w14:paraId="2D8DEB9F">
      <w:pPr>
        <w:pStyle w:val="40"/>
        <w:numPr>
          <w:ilvl w:val="0"/>
          <w:numId w:val="7"/>
        </w:numPr>
        <w:spacing w:before="120"/>
        <w:ind w:left="1305" w:firstLineChars="0"/>
        <w:rPr>
          <w:lang w:eastAsia="zh-CN"/>
        </w:rPr>
      </w:pPr>
      <w:r>
        <w:rPr>
          <w:rFonts w:cs="宋体"/>
          <w:lang w:eastAsia="zh-CN"/>
        </w:rPr>
        <w:t>在根据本指南进行生物相容性评价时，应联合考虑其他非临床研究、临床研究和上市后经验信息，以整合所有有用的相关信息进行安全性评估。</w:t>
      </w:r>
    </w:p>
    <w:p w14:paraId="62393C9C">
      <w:pPr>
        <w:spacing w:before="120"/>
        <w:rPr>
          <w:lang w:eastAsia="zh-CN"/>
        </w:rPr>
      </w:pPr>
      <w:bookmarkStart w:id="13" w:name="bookmark201"/>
      <w:bookmarkEnd w:id="13"/>
    </w:p>
    <w:p w14:paraId="7C248121">
      <w:pPr>
        <w:spacing w:before="120"/>
        <w:rPr>
          <w:lang w:eastAsia="zh-CN"/>
        </w:rPr>
      </w:pPr>
    </w:p>
    <w:p w14:paraId="44BC0483">
      <w:pPr>
        <w:spacing w:before="120"/>
        <w:rPr>
          <w:lang w:eastAsia="zh-CN"/>
        </w:rPr>
      </w:pPr>
    </w:p>
    <w:p w14:paraId="04F003FF">
      <w:pPr>
        <w:spacing w:before="120"/>
        <w:rPr>
          <w:lang w:eastAsia="zh-CN"/>
        </w:rPr>
      </w:pPr>
    </w:p>
    <w:p w14:paraId="06D60324">
      <w:pPr>
        <w:spacing w:before="120"/>
        <w:rPr>
          <w:lang w:eastAsia="zh-CN"/>
        </w:rPr>
      </w:pPr>
    </w:p>
    <w:p w14:paraId="5B4323B7">
      <w:pPr>
        <w:spacing w:before="120"/>
        <w:rPr>
          <w:lang w:eastAsia="zh-CN"/>
        </w:rPr>
      </w:pPr>
    </w:p>
    <w:p w14:paraId="492D5EA4">
      <w:pPr>
        <w:spacing w:before="120"/>
        <w:rPr>
          <w:lang w:eastAsia="zh-CN"/>
        </w:rPr>
      </w:pPr>
    </w:p>
    <w:p w14:paraId="6C949956">
      <w:pPr>
        <w:spacing w:before="120"/>
        <w:rPr>
          <w:lang w:eastAsia="zh-CN"/>
        </w:rPr>
      </w:pPr>
    </w:p>
    <w:p w14:paraId="1BCB5754">
      <w:pPr>
        <w:spacing w:before="120"/>
        <w:rPr>
          <w:lang w:eastAsia="zh-CN"/>
        </w:rPr>
      </w:pPr>
    </w:p>
    <w:p w14:paraId="62E1F852">
      <w:pPr>
        <w:spacing w:before="120"/>
        <w:rPr>
          <w:lang w:eastAsia="zh-CN"/>
        </w:rPr>
      </w:pPr>
    </w:p>
    <w:p w14:paraId="5774C252">
      <w:pPr>
        <w:spacing w:before="120"/>
        <w:rPr>
          <w:lang w:eastAsia="zh-CN"/>
        </w:rPr>
      </w:pPr>
      <w:r>
        <w:rPr>
          <w:rFonts w:cs="宋体"/>
          <w:lang w:eastAsia="zh-CN"/>
        </w:rPr>
        <w:t>________________________</w:t>
      </w:r>
    </w:p>
    <w:p w14:paraId="0EE4F5AF">
      <w:pPr>
        <w:spacing w:before="0" w:beforeLines="0"/>
        <w:rPr>
          <w:sz w:val="21"/>
          <w:szCs w:val="21"/>
          <w:lang w:eastAsia="zh-CN"/>
        </w:rPr>
      </w:pPr>
      <w:r>
        <w:rPr>
          <w:rFonts w:cs="宋体"/>
          <w:sz w:val="21"/>
          <w:vertAlign w:val="superscript"/>
          <w:lang w:eastAsia="zh-CN"/>
        </w:rPr>
        <w:t>27</w:t>
      </w:r>
      <w:r>
        <w:rPr>
          <w:rFonts w:cs="宋体"/>
          <w:sz w:val="21"/>
          <w:lang w:eastAsia="zh-CN"/>
        </w:rPr>
        <w:t xml:space="preserve"> FDA不认可ISO/IEC 17025《检测和校准实验室能力的通用要求》。</w:t>
      </w:r>
    </w:p>
    <w:p w14:paraId="4CF13D8B">
      <w:pPr>
        <w:spacing w:before="0" w:beforeLines="0"/>
        <w:rPr>
          <w:sz w:val="21"/>
          <w:szCs w:val="21"/>
          <w:lang w:eastAsia="zh-CN"/>
        </w:rPr>
      </w:pPr>
      <w:r>
        <w:rPr>
          <w:rFonts w:cs="宋体"/>
          <w:sz w:val="21"/>
          <w:vertAlign w:val="superscript"/>
          <w:lang w:eastAsia="zh-CN"/>
        </w:rPr>
        <w:t>28</w:t>
      </w:r>
      <w:r>
        <w:rPr>
          <w:rFonts w:cs="宋体"/>
          <w:sz w:val="21"/>
          <w:lang w:eastAsia="zh-CN"/>
        </w:rPr>
        <w:t>参见21 CFR 58.3(d)中的</w:t>
      </w:r>
      <w:r>
        <w:rPr>
          <w:rFonts w:cs="宋体"/>
          <w:i/>
          <w:sz w:val="21"/>
          <w:lang w:eastAsia="zh-CN"/>
        </w:rPr>
        <w:t>非临床实验室研究</w:t>
      </w:r>
      <w:r>
        <w:rPr>
          <w:rFonts w:cs="宋体"/>
          <w:sz w:val="21"/>
          <w:lang w:eastAsia="zh-CN"/>
        </w:rPr>
        <w:t>定义。</w:t>
      </w:r>
    </w:p>
    <w:p w14:paraId="73BC9B4D">
      <w:pPr>
        <w:spacing w:before="120"/>
        <w:rPr>
          <w:lang w:eastAsia="zh-CN"/>
        </w:rPr>
      </w:pPr>
      <w:r>
        <w:rPr>
          <w:rFonts w:cs="宋体"/>
          <w:lang w:eastAsia="zh-CN"/>
        </w:rPr>
        <w:br w:type="page"/>
      </w:r>
    </w:p>
    <w:p w14:paraId="3895099B">
      <w:pPr>
        <w:pStyle w:val="40"/>
        <w:numPr>
          <w:ilvl w:val="0"/>
          <w:numId w:val="6"/>
        </w:numPr>
        <w:spacing w:before="120"/>
        <w:ind w:left="1162" w:leftChars="250" w:hanging="562" w:hangingChars="200"/>
        <w:outlineLvl w:val="1"/>
        <w:rPr>
          <w:b/>
          <w:bCs/>
          <w:sz w:val="28"/>
          <w:szCs w:val="28"/>
        </w:rPr>
      </w:pPr>
      <w:bookmarkStart w:id="14" w:name="_Toc97827704"/>
      <w:r>
        <w:rPr>
          <w:rFonts w:cs="宋体"/>
          <w:b/>
          <w:sz w:val="28"/>
        </w:rPr>
        <w:t>FDA修改矩阵</w:t>
      </w:r>
      <w:bookmarkEnd w:id="14"/>
    </w:p>
    <w:p w14:paraId="489E46CA">
      <w:pPr>
        <w:spacing w:before="120"/>
        <w:ind w:left="600" w:leftChars="250"/>
        <w:rPr>
          <w:lang w:eastAsia="zh-CN"/>
        </w:rPr>
      </w:pPr>
      <w:r>
        <w:rPr>
          <w:rFonts w:cs="宋体"/>
          <w:lang w:eastAsia="zh-CN"/>
        </w:rPr>
        <w:t>与ISO 10993-1:2009相似，本指南也采用表格（矩阵）的形式概括为生物学反应评价提出的建议（生物学反应依据上述为提交以支持IDE或市场应用的生物相容性信息而讨论的不同因素）。</w:t>
      </w:r>
    </w:p>
    <w:p w14:paraId="7B0E9828">
      <w:pPr>
        <w:spacing w:before="120"/>
        <w:ind w:left="600" w:leftChars="250"/>
        <w:rPr>
          <w:lang w:eastAsia="zh-CN"/>
        </w:rPr>
      </w:pPr>
      <w:r>
        <w:rPr>
          <w:rFonts w:cs="宋体"/>
          <w:lang w:eastAsia="zh-CN"/>
        </w:rPr>
        <w:t>与G95-1不同的是，本指南中的矩阵由单一表格构成。</w:t>
      </w:r>
      <w:r>
        <w:rPr>
          <w:rFonts w:cs="宋体"/>
          <w:color w:val="0000FF"/>
          <w:u w:val="single"/>
          <w:lang w:eastAsia="zh-CN"/>
        </w:rPr>
        <w:t>附件A</w:t>
      </w:r>
      <w:r>
        <w:rPr>
          <w:rFonts w:cs="宋体"/>
          <w:lang w:eastAsia="zh-CN"/>
        </w:rPr>
        <w:t>，《用于考虑的评价终点》，包括ISO 10993-1:2009建议考虑的生物相容性终点，以及之前在G95-1中识别出的、FDA推荐考虑的其它终点。本表格中的一些终点（慢性毒性、致癌性、生殖/发育毒性和降解性）并未作为单独一列引入到ISO 10993-1:2009的附录A中，而是纳入到上一版ISO 10993-1和G95-1中。此外，本机构为由材料介导的热原增加一列，该列作为ISO 10993-1:2009中急性全身毒性的子集合。</w:t>
      </w:r>
      <w:r>
        <w:rPr>
          <w:rFonts w:cs="宋体"/>
          <w:color w:val="0000FF"/>
          <w:u w:val="single"/>
          <w:lang w:eastAsia="zh-CN"/>
        </w:rPr>
        <w:t>附件D</w:t>
      </w:r>
      <w:r>
        <w:rPr>
          <w:rFonts w:cs="宋体"/>
          <w:lang w:eastAsia="zh-CN"/>
        </w:rPr>
        <w:t>是生物相容性评价流程图，该流程图解释了何时需要进行其他生物相容性评价，并对G95-1中的上一版本进行了略微修改。如果使用新型材料或新的制造工艺（即，之前尚未在具有相同接触类型和接触时间、在美国境内合法销售的医疗器械中使用的材料或工艺），超出ISO 10993-1中推荐评价范围的其它评价可能需要对生物相容性特征进行完整描述。</w:t>
      </w:r>
    </w:p>
    <w:p w14:paraId="79F0427E">
      <w:pPr>
        <w:spacing w:before="120"/>
        <w:ind w:left="600" w:leftChars="250"/>
        <w:rPr>
          <w:lang w:eastAsia="zh-CN"/>
        </w:rPr>
      </w:pPr>
      <w:r>
        <w:rPr>
          <w:rFonts w:cs="宋体"/>
          <w:lang w:eastAsia="zh-CN"/>
        </w:rPr>
        <w:t>如果器械具有多种接触类型，您应该纳入信息以解决为器械识别出的每种接触类型，</w:t>
      </w:r>
      <w:r>
        <w:rPr>
          <w:rFonts w:cs="宋体"/>
          <w:vertAlign w:val="superscript"/>
          <w:lang w:eastAsia="zh-CN"/>
        </w:rPr>
        <w:t>29</w:t>
      </w:r>
      <w:r>
        <w:rPr>
          <w:rFonts w:cs="宋体"/>
          <w:lang w:eastAsia="zh-CN"/>
        </w:rPr>
        <w:t>即使在您的整个生物相容性评价中可能不必为每种接触类型进行试验。例如，起搏器可能包含植入到皮下的脉冲发生器和植入到心脏血管中的电极导线。因此，在进行生物相容性评价时，本机构认为可将这些器械归为与组织接触和血液接触类。</w:t>
      </w:r>
    </w:p>
    <w:p w14:paraId="1133E7AB">
      <w:pPr>
        <w:spacing w:before="120"/>
        <w:ind w:left="600" w:leftChars="250"/>
        <w:rPr>
          <w:lang w:eastAsia="zh-CN"/>
        </w:rPr>
      </w:pPr>
      <w:r>
        <w:rPr>
          <w:rFonts w:cs="宋体"/>
          <w:lang w:eastAsia="zh-CN"/>
        </w:rPr>
        <w:t>总之，FDA认同在ISO 10993-1中确立的、用于识别接触性质和接触时间的框架（例如，重复使用的累积效应）。</w:t>
      </w:r>
      <w:r>
        <w:rPr>
          <w:rFonts w:cs="宋体"/>
          <w:vertAlign w:val="superscript"/>
          <w:lang w:eastAsia="zh-CN"/>
        </w:rPr>
        <w:t>30</w:t>
      </w:r>
      <w:r>
        <w:rPr>
          <w:rFonts w:cs="宋体"/>
          <w:lang w:eastAsia="zh-CN"/>
        </w:rPr>
        <w:t>但是，FDA为本标准中识别出的评价进行了几项修改，其原因如第IV.D节和附件A所示。</w:t>
      </w:r>
    </w:p>
    <w:p w14:paraId="12005495">
      <w:pPr>
        <w:spacing w:before="120"/>
        <w:rPr>
          <w:rFonts w:cs="宋体"/>
          <w:lang w:eastAsia="zh-CN"/>
        </w:rPr>
      </w:pPr>
    </w:p>
    <w:p w14:paraId="31B99619">
      <w:pPr>
        <w:spacing w:before="120"/>
        <w:rPr>
          <w:rFonts w:cs="宋体"/>
          <w:lang w:eastAsia="zh-CN"/>
        </w:rPr>
      </w:pPr>
    </w:p>
    <w:p w14:paraId="37BFF8E0">
      <w:pPr>
        <w:spacing w:before="120"/>
        <w:rPr>
          <w:rFonts w:cs="宋体"/>
          <w:lang w:eastAsia="zh-CN"/>
        </w:rPr>
      </w:pPr>
    </w:p>
    <w:p w14:paraId="5ABB8144">
      <w:pPr>
        <w:spacing w:before="120"/>
        <w:rPr>
          <w:rFonts w:cs="宋体"/>
          <w:lang w:eastAsia="zh-CN"/>
        </w:rPr>
      </w:pPr>
    </w:p>
    <w:p w14:paraId="665AEA03">
      <w:pPr>
        <w:spacing w:before="120"/>
        <w:rPr>
          <w:rFonts w:cs="宋体"/>
          <w:lang w:eastAsia="zh-CN"/>
        </w:rPr>
      </w:pPr>
    </w:p>
    <w:p w14:paraId="0C5611E1">
      <w:pPr>
        <w:spacing w:before="120"/>
        <w:rPr>
          <w:lang w:eastAsia="zh-CN"/>
        </w:rPr>
      </w:pPr>
      <w:r>
        <w:rPr>
          <w:rFonts w:cs="宋体"/>
          <w:lang w:eastAsia="zh-CN"/>
        </w:rPr>
        <w:t>________________________</w:t>
      </w:r>
    </w:p>
    <w:p w14:paraId="058E4537">
      <w:pPr>
        <w:spacing w:before="0" w:beforeLines="0"/>
        <w:rPr>
          <w:sz w:val="21"/>
          <w:szCs w:val="21"/>
          <w:lang w:eastAsia="zh-CN"/>
        </w:rPr>
      </w:pPr>
      <w:r>
        <w:rPr>
          <w:rFonts w:cs="宋体"/>
          <w:sz w:val="21"/>
          <w:vertAlign w:val="superscript"/>
          <w:lang w:eastAsia="zh-CN"/>
        </w:rPr>
        <w:t>29</w:t>
      </w:r>
      <w:r>
        <w:rPr>
          <w:rFonts w:cs="宋体"/>
          <w:sz w:val="21"/>
          <w:lang w:eastAsia="zh-CN"/>
        </w:rPr>
        <w:t>如果存在关于针对特定类型器械进行合理评价的问题，本机构鼓励申请人与相应中心和审评部门取得联系。</w:t>
      </w:r>
    </w:p>
    <w:p w14:paraId="45C9809D">
      <w:pPr>
        <w:spacing w:before="0" w:beforeLines="0"/>
        <w:rPr>
          <w:sz w:val="21"/>
          <w:szCs w:val="21"/>
          <w:lang w:eastAsia="zh-CN"/>
        </w:rPr>
      </w:pPr>
      <w:r>
        <w:rPr>
          <w:rFonts w:cs="宋体"/>
          <w:sz w:val="21"/>
          <w:vertAlign w:val="superscript"/>
          <w:lang w:eastAsia="zh-CN"/>
        </w:rPr>
        <w:t>30</w:t>
      </w:r>
      <w:r>
        <w:rPr>
          <w:rFonts w:cs="宋体"/>
          <w:sz w:val="21"/>
          <w:lang w:eastAsia="zh-CN"/>
        </w:rPr>
        <w:t>参见ISO 10993-1:2009，第5.2条《按身体接触性质分类”和第5.3条“按接触时间分类》。</w:t>
      </w:r>
    </w:p>
    <w:p w14:paraId="0D0CDD74">
      <w:pPr>
        <w:spacing w:before="120"/>
        <w:rPr>
          <w:lang w:eastAsia="zh-CN"/>
        </w:rPr>
      </w:pPr>
      <w:r>
        <w:rPr>
          <w:rFonts w:cs="宋体"/>
          <w:lang w:eastAsia="zh-CN"/>
        </w:rPr>
        <w:br w:type="page"/>
      </w:r>
    </w:p>
    <w:p w14:paraId="0F4B4365">
      <w:pPr>
        <w:pStyle w:val="40"/>
        <w:numPr>
          <w:ilvl w:val="0"/>
          <w:numId w:val="6"/>
        </w:numPr>
        <w:spacing w:before="120"/>
        <w:ind w:left="1162" w:leftChars="250" w:hanging="562" w:hangingChars="200"/>
        <w:outlineLvl w:val="1"/>
        <w:rPr>
          <w:b/>
          <w:bCs/>
          <w:sz w:val="28"/>
          <w:szCs w:val="28"/>
        </w:rPr>
      </w:pPr>
      <w:bookmarkStart w:id="15" w:name="_Toc97827705"/>
      <w:r>
        <w:rPr>
          <w:rFonts w:cs="宋体"/>
          <w:b/>
          <w:sz w:val="28"/>
        </w:rPr>
        <w:t>终点评估</w:t>
      </w:r>
      <w:bookmarkEnd w:id="15"/>
    </w:p>
    <w:p w14:paraId="55653CFA">
      <w:pPr>
        <w:spacing w:before="120"/>
        <w:ind w:left="600" w:leftChars="250"/>
        <w:rPr>
          <w:lang w:eastAsia="zh-CN"/>
        </w:rPr>
      </w:pPr>
      <w:r>
        <w:rPr>
          <w:rFonts w:cs="宋体"/>
          <w:lang w:eastAsia="zh-CN"/>
        </w:rPr>
        <w:t>如</w:t>
      </w:r>
      <w:r>
        <w:rPr>
          <w:rFonts w:cs="宋体"/>
          <w:color w:val="0000FF"/>
          <w:u w:val="single"/>
          <w:lang w:eastAsia="zh-CN"/>
        </w:rPr>
        <w:t>附件A</w:t>
      </w:r>
      <w:r>
        <w:rPr>
          <w:rFonts w:cs="宋体"/>
          <w:lang w:eastAsia="zh-CN"/>
        </w:rPr>
        <w:t>和</w:t>
      </w:r>
      <w:r>
        <w:rPr>
          <w:rFonts w:cs="宋体"/>
          <w:color w:val="0000FF"/>
          <w:u w:val="single"/>
          <w:lang w:eastAsia="zh-CN"/>
        </w:rPr>
        <w:t>附件C</w:t>
      </w:r>
      <w:r>
        <w:rPr>
          <w:rFonts w:cs="宋体"/>
          <w:lang w:eastAsia="zh-CN"/>
        </w:rPr>
        <w:t>中所述，申请人应对每项生物相容性终点进行评价，并评价是否需要进行额外试验。矩阵中包含的所有生物学反应并非与全部器械相关。因此，修改后的矩阵仅是为选择进行考虑的终点的一个框架，并非规定生物相容性试验的清单。应在为</w:t>
      </w:r>
      <w:r>
        <w:rPr>
          <w:rFonts w:cs="宋体"/>
          <w:color w:val="0000FF"/>
          <w:u w:val="single"/>
          <w:lang w:eastAsia="zh-CN"/>
        </w:rPr>
        <w:t>附件A</w:t>
      </w:r>
      <w:r>
        <w:rPr>
          <w:rFonts w:cs="宋体"/>
          <w:lang w:eastAsia="zh-CN"/>
        </w:rPr>
        <w:t>中识别出的每项终点进行申报的文件中纳入支持采用之前收集的信息来替代额外生物相容性试验的科学依据。在为所有医疗器械进行申报的过程中，并非始终需要化学配方和加工信息；但是，该信息可能有助于申请人为豁免任何推荐终点试验来提供</w:t>
      </w:r>
      <w:r>
        <w:rPr>
          <w:rFonts w:hint="eastAsia" w:cs="宋体"/>
          <w:lang w:eastAsia="zh-CN"/>
        </w:rPr>
        <w:t>支持</w:t>
      </w:r>
      <w:r>
        <w:rPr>
          <w:rFonts w:cs="宋体"/>
          <w:lang w:eastAsia="zh-CN"/>
        </w:rPr>
        <w:t>依据。</w:t>
      </w:r>
    </w:p>
    <w:p w14:paraId="27E12102">
      <w:pPr>
        <w:spacing w:before="120"/>
        <w:ind w:left="600" w:leftChars="250"/>
        <w:rPr>
          <w:lang w:eastAsia="zh-CN"/>
        </w:rPr>
      </w:pPr>
      <w:r>
        <w:rPr>
          <w:rFonts w:cs="宋体"/>
          <w:lang w:eastAsia="zh-CN"/>
        </w:rPr>
        <w:t>ISO 10993-1:2009，第4.1条指出评价可能包括相关的临床前和临床经验研究以及实际试验。此类评价可能得出以下结论：如果材料已经被证实以等同于设计器械的方式在指定功能和物理形式下具有安全应用史，则无需试验。”</w:t>
      </w:r>
      <w:r>
        <w:rPr>
          <w:rFonts w:cs="宋体"/>
          <w:vertAlign w:val="superscript"/>
          <w:lang w:eastAsia="zh-CN"/>
        </w:rPr>
        <w:t>31</w:t>
      </w:r>
      <w:r>
        <w:rPr>
          <w:rFonts w:cs="宋体"/>
          <w:lang w:eastAsia="zh-CN"/>
        </w:rPr>
        <w:t>为断定无需进行其他生物相容性试验，申请人应提供证据来证明，每种材料与组织接触的类型和时间、其外形、配方、工艺、成分相互作用和储存条件与竞争器械使用的材料相同，或与申报器械相比，可证明竞争器械是“最坏情况”。如有差异，应对差异进行解释，并证明之前的数据如何适用于支持医疗器械最终产品的生物相容性评价。如果为这些研究收集的数据中不存在特定的生物相容性终点，则体内动物研究数据和/或临床资料的使用可能存在局限性（之前已在</w:t>
      </w:r>
      <w:r>
        <w:rPr>
          <w:rFonts w:cs="宋体"/>
          <w:color w:val="0000FF"/>
          <w:u w:val="single"/>
          <w:lang w:eastAsia="zh-CN"/>
        </w:rPr>
        <w:t>第III节</w:t>
      </w:r>
      <w:r>
        <w:rPr>
          <w:rFonts w:cs="宋体"/>
          <w:lang w:eastAsia="zh-CN"/>
        </w:rPr>
        <w:t>中进行了讨论）。</w:t>
      </w:r>
    </w:p>
    <w:p w14:paraId="02BC0992">
      <w:pPr>
        <w:pStyle w:val="40"/>
        <w:numPr>
          <w:ilvl w:val="0"/>
          <w:numId w:val="1"/>
        </w:numPr>
        <w:spacing w:before="120"/>
        <w:ind w:left="643" w:hanging="643" w:hangingChars="200"/>
        <w:outlineLvl w:val="0"/>
        <w:rPr>
          <w:b/>
          <w:bCs/>
          <w:sz w:val="32"/>
          <w:szCs w:val="32"/>
          <w:lang w:eastAsia="zh-CN"/>
        </w:rPr>
      </w:pPr>
      <w:bookmarkStart w:id="16" w:name="_Toc97827706"/>
      <w:r>
        <w:rPr>
          <w:rFonts w:cs="宋体"/>
          <w:b/>
          <w:sz w:val="32"/>
          <w:lang w:eastAsia="zh-CN"/>
        </w:rPr>
        <w:t>一般生物相容性试验注意事项</w:t>
      </w:r>
      <w:bookmarkEnd w:id="16"/>
    </w:p>
    <w:p w14:paraId="02C7D03A">
      <w:pPr>
        <w:spacing w:before="120"/>
        <w:rPr>
          <w:lang w:eastAsia="zh-CN"/>
        </w:rPr>
      </w:pPr>
      <w:r>
        <w:rPr>
          <w:rFonts w:cs="宋体"/>
          <w:lang w:eastAsia="zh-CN"/>
        </w:rPr>
        <w:t>供试品制备是生物相容性试验的一个关键变量。因此，重要的是了解如何将供试品与医疗器械最终产品进行比较（例如，无菌医疗器械，如适用）。可利用</w:t>
      </w:r>
      <w:r>
        <w:rPr>
          <w:rFonts w:cs="宋体"/>
          <w:color w:val="0000FF"/>
          <w:u w:val="single"/>
          <w:lang w:eastAsia="zh-CN"/>
        </w:rPr>
        <w:t>附件F</w:t>
      </w:r>
      <w:r>
        <w:rPr>
          <w:rFonts w:cs="宋体"/>
          <w:lang w:eastAsia="zh-CN"/>
        </w:rPr>
        <w:t>中包含的供试品文档语言示例来详细描述可能影响或不影响医疗器械最终产品生物相容性的差异。</w:t>
      </w:r>
    </w:p>
    <w:p w14:paraId="0154A12F">
      <w:pPr>
        <w:spacing w:before="120"/>
        <w:rPr>
          <w:lang w:eastAsia="zh-CN"/>
        </w:rPr>
      </w:pPr>
      <w:bookmarkStart w:id="17" w:name="bookmark215"/>
      <w:bookmarkEnd w:id="17"/>
    </w:p>
    <w:p w14:paraId="05A33875">
      <w:pPr>
        <w:spacing w:before="120"/>
        <w:rPr>
          <w:lang w:eastAsia="zh-CN"/>
        </w:rPr>
      </w:pPr>
    </w:p>
    <w:p w14:paraId="7EEE9E66">
      <w:pPr>
        <w:spacing w:before="120"/>
        <w:rPr>
          <w:lang w:eastAsia="zh-CN"/>
        </w:rPr>
      </w:pPr>
    </w:p>
    <w:p w14:paraId="233FB002">
      <w:pPr>
        <w:spacing w:before="120"/>
        <w:rPr>
          <w:lang w:eastAsia="zh-CN"/>
        </w:rPr>
      </w:pPr>
    </w:p>
    <w:p w14:paraId="5D50076E">
      <w:pPr>
        <w:spacing w:before="120"/>
        <w:rPr>
          <w:lang w:eastAsia="zh-CN"/>
        </w:rPr>
      </w:pPr>
    </w:p>
    <w:p w14:paraId="6239E478">
      <w:pPr>
        <w:spacing w:before="120"/>
        <w:rPr>
          <w:lang w:eastAsia="zh-CN"/>
        </w:rPr>
      </w:pPr>
    </w:p>
    <w:p w14:paraId="05AAAB7A">
      <w:pPr>
        <w:spacing w:before="120"/>
        <w:rPr>
          <w:lang w:eastAsia="zh-CN"/>
        </w:rPr>
      </w:pPr>
    </w:p>
    <w:p w14:paraId="7F812189">
      <w:pPr>
        <w:spacing w:before="120"/>
        <w:rPr>
          <w:lang w:eastAsia="zh-CN"/>
        </w:rPr>
      </w:pPr>
    </w:p>
    <w:p w14:paraId="29FFA84E">
      <w:pPr>
        <w:spacing w:before="120"/>
        <w:rPr>
          <w:lang w:eastAsia="zh-CN"/>
        </w:rPr>
      </w:pPr>
      <w:r>
        <w:rPr>
          <w:rFonts w:cs="宋体"/>
          <w:lang w:eastAsia="zh-CN"/>
        </w:rPr>
        <w:t>________________________</w:t>
      </w:r>
    </w:p>
    <w:p w14:paraId="27E93DC6">
      <w:pPr>
        <w:spacing w:before="0" w:beforeLines="0"/>
        <w:rPr>
          <w:sz w:val="21"/>
          <w:szCs w:val="21"/>
          <w:lang w:eastAsia="zh-CN"/>
        </w:rPr>
      </w:pPr>
      <w:r>
        <w:rPr>
          <w:rFonts w:cs="宋体"/>
          <w:sz w:val="21"/>
          <w:vertAlign w:val="superscript"/>
          <w:lang w:eastAsia="zh-CN"/>
        </w:rPr>
        <w:t>31</w:t>
      </w:r>
      <w:r>
        <w:rPr>
          <w:rFonts w:cs="宋体"/>
          <w:sz w:val="21"/>
          <w:lang w:eastAsia="zh-CN"/>
        </w:rPr>
        <w:t>参见ISO 10993-1:2009，第4部分《适用于医疗器械生物学评价的通则》，第4.1条。</w:t>
      </w:r>
    </w:p>
    <w:p w14:paraId="0CD77E2D">
      <w:pPr>
        <w:spacing w:before="120"/>
        <w:rPr>
          <w:lang w:eastAsia="zh-CN"/>
        </w:rPr>
      </w:pPr>
      <w:r>
        <w:rPr>
          <w:rFonts w:cs="宋体"/>
          <w:lang w:eastAsia="zh-CN"/>
        </w:rPr>
        <w:br w:type="page"/>
      </w:r>
    </w:p>
    <w:p w14:paraId="468BFEAA">
      <w:pPr>
        <w:pStyle w:val="40"/>
        <w:numPr>
          <w:ilvl w:val="0"/>
          <w:numId w:val="8"/>
        </w:numPr>
        <w:spacing w:before="120"/>
        <w:ind w:left="1162" w:leftChars="250" w:hanging="562" w:hangingChars="200"/>
        <w:outlineLvl w:val="1"/>
        <w:rPr>
          <w:b/>
          <w:bCs/>
          <w:sz w:val="28"/>
          <w:szCs w:val="28"/>
          <w:lang w:eastAsia="zh-CN"/>
        </w:rPr>
      </w:pPr>
      <w:bookmarkStart w:id="18" w:name="_Toc97827707"/>
      <w:r>
        <w:rPr>
          <w:rFonts w:cs="宋体"/>
          <w:b/>
          <w:sz w:val="28"/>
          <w:lang w:eastAsia="zh-CN"/>
        </w:rPr>
        <w:t>使用医疗器械最终产品或典型供试品</w:t>
      </w:r>
      <w:bookmarkEnd w:id="18"/>
    </w:p>
    <w:p w14:paraId="03B59613">
      <w:pPr>
        <w:spacing w:before="120"/>
        <w:ind w:left="600" w:leftChars="250"/>
      </w:pPr>
      <w:r>
        <w:rPr>
          <w:rFonts w:cs="宋体"/>
          <w:lang w:eastAsia="zh-CN"/>
        </w:rPr>
        <w:t>当必须进行生物相容性试验时，FDA建议尽可能在医疗器械的</w:t>
      </w:r>
      <w:r>
        <w:rPr>
          <w:rFonts w:hint="eastAsia" w:cs="宋体"/>
          <w:lang w:eastAsia="zh-CN"/>
        </w:rPr>
        <w:t>预期</w:t>
      </w:r>
      <w:r>
        <w:rPr>
          <w:rFonts w:cs="宋体"/>
          <w:lang w:eastAsia="zh-CN"/>
        </w:rPr>
        <w:t>使用条件下对其进行试验。在适当条件下，这可能包括最终的包装器械或经最终用户灭菌的器械。如果无法对医疗器械最终产品进行生物相容性试验，可考虑使用供试品（例如，取样片或“典型组件”）。典型供试品应经历与医疗器械最终产品相同的制造和灭菌过程，具有相同的化学、物理和表面特性，并具有相同的构成材料比例。如果医疗器械最终产品与供试品之间存在差异，应提供描述这些差异会如何影响研究调查结果的附加信息。例如，在对单一器械组件进行试验时，可观察到低水平的组织反应，但是，当以整个医疗器械最终产品形式对所有组件进行试验时，可能发生更强烈的组织反应。如果医疗器械最终产品与典型供试品之间存在差异，提供附加信息可能有助于决定选定供试品的合理性。例如，浸提和表面表征技术可能适用于证明表面的几何构型和表面表征是等效的，并证明从供试品中溶出的化学物质与从医疗器械最终产品中洗脱出的物质具有相同的动力学特性、化学特性和相对数量。例如，对于永久植入物或可吸收植入物，FDA可能要求通过极限浸提研究（根据ISO 10993-12）来获取数据和表面表征信息，以支持典型供试品的使用。</w:t>
      </w:r>
      <w:r>
        <w:rPr>
          <w:rFonts w:cs="宋体"/>
        </w:rPr>
        <w:t>另见</w:t>
      </w:r>
      <w:r>
        <w:rPr>
          <w:rFonts w:cs="宋体"/>
          <w:color w:val="0000FF"/>
          <w:u w:val="single"/>
        </w:rPr>
        <w:t>附件F</w:t>
      </w:r>
      <w:r>
        <w:rPr>
          <w:rFonts w:cs="宋体"/>
        </w:rPr>
        <w:t>。</w:t>
      </w:r>
    </w:p>
    <w:p w14:paraId="684B0C53">
      <w:pPr>
        <w:pStyle w:val="40"/>
        <w:numPr>
          <w:ilvl w:val="0"/>
          <w:numId w:val="8"/>
        </w:numPr>
        <w:spacing w:before="120"/>
        <w:ind w:left="1162" w:leftChars="250" w:hanging="562" w:hangingChars="200"/>
        <w:outlineLvl w:val="1"/>
        <w:rPr>
          <w:b/>
          <w:bCs/>
          <w:sz w:val="28"/>
          <w:szCs w:val="28"/>
          <w:lang w:eastAsia="zh-CN"/>
        </w:rPr>
      </w:pPr>
      <w:bookmarkStart w:id="19" w:name="_Toc97827708"/>
      <w:r>
        <w:rPr>
          <w:rFonts w:cs="宋体"/>
          <w:b/>
          <w:sz w:val="28"/>
          <w:lang w:eastAsia="zh-CN"/>
        </w:rPr>
        <w:t>原位聚合和/或可吸收材料的试验</w:t>
      </w:r>
      <w:bookmarkEnd w:id="19"/>
    </w:p>
    <w:p w14:paraId="2224B98D">
      <w:pPr>
        <w:spacing w:before="120"/>
        <w:ind w:left="600" w:leftChars="250"/>
        <w:rPr>
          <w:lang w:eastAsia="zh-CN"/>
        </w:rPr>
      </w:pPr>
      <w:r>
        <w:rPr>
          <w:rFonts w:cs="宋体"/>
          <w:lang w:eastAsia="zh-CN"/>
        </w:rPr>
        <w:t>针对由原位聚合和/或可吸收材料制成的器械，本机构建议制备供试品来代表器械最终产品。此外，本机构建议对医疗器械最终产品和在聚合和/或降解过程中各个时间点的医疗器械进行生物相容性评价，以确保对原始产物、中间反应产物和最终降解产物进行评价。在降解过程中可能需要对材料进行生物相容性评价，应利用体外降解方法并结合合理的技术理由对供试品的制备进行考虑。可利用在体外降解的供试品进行生物学试验，和/或进行化学分析以表明材料降解成已知在各个水平均无毒性的中间体或最终降解产物。但是，根据制造材料和降解试验条件，进行加速降解试验可能不会产生相同的中间体或最终降解产物，因此，进行加速降解试验可能是无法接受的。</w:t>
      </w:r>
      <w:r>
        <w:rPr>
          <w:rFonts w:cs="宋体"/>
          <w:lang w:eastAsia="zh-CN"/>
        </w:rPr>
        <w:br w:type="page"/>
      </w:r>
    </w:p>
    <w:p w14:paraId="75EF1130">
      <w:pPr>
        <w:spacing w:before="120"/>
        <w:ind w:left="600" w:leftChars="250"/>
        <w:rPr>
          <w:lang w:eastAsia="zh-CN"/>
        </w:rPr>
      </w:pPr>
      <w:r>
        <w:rPr>
          <w:rFonts w:cs="宋体"/>
          <w:lang w:eastAsia="zh-CN"/>
        </w:rPr>
        <w:t>针对为原位聚合或可吸收材料制成的器械所进行的体内试验，评价时间点取决于聚合和降解动力学。如有可能，本机构建议有针对性地进行评价以证明器械材料如何逐渐降解直到可吸收材料和/或其降解产物不再出现在组织中（例如，用显微镜观察）。或者，如果基本原理包含对组织中存在的可吸收材料的百分比的估计值（%）和获取稳态生物组织反应的确认信息，为更早结束研究提供这种理由是可接受的。</w:t>
      </w:r>
    </w:p>
    <w:p w14:paraId="6F735CC4">
      <w:pPr>
        <w:spacing w:before="120"/>
        <w:ind w:left="600" w:leftChars="250"/>
        <w:rPr>
          <w:lang w:eastAsia="zh-CN"/>
        </w:rPr>
      </w:pPr>
      <w:r>
        <w:rPr>
          <w:rFonts w:cs="宋体"/>
          <w:lang w:eastAsia="zh-CN"/>
        </w:rPr>
        <w:t>对于利用原位聚合或可吸收器械浸提物进行的体外生物相容性试验，对浸提物进行化学分析试验可能有助于决定浸提物是否能够代表聚合或降解过程中的溶出物，以及是否需要利用不同的浸提物进行多项生物相容性试验以代表聚合或降解过程的不同阶段。如果供试品在浸提前预先聚合，在生理学聚合过程中能够获取的未发生反应的成分可能或无法用于从预先聚合的供试品中进行浸提。对于可能无法在传统浸提介质中发生聚合的系统，可能必须采用其它方法。</w:t>
      </w:r>
    </w:p>
    <w:p w14:paraId="37BAAEA2">
      <w:pPr>
        <w:pStyle w:val="40"/>
        <w:numPr>
          <w:ilvl w:val="0"/>
          <w:numId w:val="8"/>
        </w:numPr>
        <w:spacing w:before="120"/>
        <w:ind w:left="1162" w:leftChars="250" w:hanging="562" w:hangingChars="200"/>
        <w:outlineLvl w:val="1"/>
        <w:rPr>
          <w:b/>
          <w:bCs/>
          <w:sz w:val="28"/>
          <w:szCs w:val="28"/>
          <w:lang w:eastAsia="zh-CN"/>
        </w:rPr>
      </w:pPr>
      <w:bookmarkStart w:id="20" w:name="_Toc97827709"/>
      <w:r>
        <w:rPr>
          <w:rFonts w:cs="宋体"/>
          <w:b/>
          <w:sz w:val="28"/>
          <w:lang w:eastAsia="zh-CN"/>
        </w:rPr>
        <w:t>器械机械故障导致的生物学反应</w:t>
      </w:r>
      <w:bookmarkEnd w:id="20"/>
    </w:p>
    <w:p w14:paraId="0FCA5831">
      <w:pPr>
        <w:spacing w:before="120"/>
        <w:ind w:left="600" w:leftChars="250"/>
        <w:rPr>
          <w:lang w:eastAsia="zh-CN"/>
        </w:rPr>
      </w:pPr>
      <w:r>
        <w:rPr>
          <w:rFonts w:cs="宋体"/>
          <w:lang w:eastAsia="zh-CN"/>
        </w:rPr>
        <w:t>尽管ISO 10993-1:2009在范围中明确排除了由任何机械故障引起的生物学危害，FDA认为在进行生物相容性评价时，考虑其潜在风险至关重要。对于某些器械，机械故障可能会改变器械的生物学反应。例如，如果器械释放出涂层颗粒或磨屑，鉴于其材料属性，如几何性质和/或物理化学性质，这些颗粒可能会引起生物学反应。</w:t>
      </w:r>
      <w:r>
        <w:rPr>
          <w:rFonts w:cs="宋体"/>
          <w:vertAlign w:val="superscript"/>
          <w:lang w:eastAsia="zh-CN"/>
        </w:rPr>
        <w:t>32</w:t>
      </w:r>
      <w:r>
        <w:rPr>
          <w:rFonts w:cs="宋体"/>
          <w:lang w:eastAsia="zh-CN"/>
        </w:rPr>
        <w:t>此外，涂层分层或成分</w:t>
      </w:r>
      <w:r>
        <w:rPr>
          <w:rFonts w:hint="eastAsia" w:cs="宋体"/>
          <w:lang w:eastAsia="zh-CN"/>
        </w:rPr>
        <w:t>释放</w:t>
      </w:r>
      <w:r>
        <w:rPr>
          <w:rFonts w:cs="宋体"/>
          <w:lang w:eastAsia="zh-CN"/>
        </w:rPr>
        <w:t>或</w:t>
      </w:r>
      <w:r>
        <w:rPr>
          <w:rFonts w:hint="eastAsia" w:cs="宋体"/>
          <w:lang w:eastAsia="zh-CN"/>
        </w:rPr>
        <w:t>失效</w:t>
      </w:r>
      <w:r>
        <w:rPr>
          <w:rFonts w:cs="宋体"/>
          <w:lang w:eastAsia="zh-CN"/>
        </w:rPr>
        <w:t>可能造成生物学系统与渗出的不同化学物质接触，或与基质材料中水平升高的化学物质接触。另一项考虑因素是可能伴随机械负荷发生的表面形态变化是否会导致生物学反应改变。本机构建议您在根据任何生物相容性试验来选择供试品时，对上述情况进行考虑。如果您的生物相容性试验不包含用于评价因机械故障所造成的潜在生物危害而进行的试验，则您在关于无需进行这种试验的原理阐述时可能包括其它非临床试验的结果，如实验室试验或体内动物研究。例如，镍钛诺器械的表面处理不充分，无法生成最佳钝化层，这种钝化层可能会因机械载荷（如在器械放置过程中）而遭到进一步损坏。这会释放有毒的镍，一种已知具有肾毒性的感光剂、遗传毒素和潜在的辅致癌剂。如果加工过程中采用了一种充分的钝化方法，并且，经腐蚀试验确认，存在合适的钝化层，那么，可最小化镍毒性，可能不需要进行用于评价生物学终点和/或镍溶出的试验。</w:t>
      </w:r>
    </w:p>
    <w:p w14:paraId="08B20B7F">
      <w:pPr>
        <w:spacing w:before="120"/>
        <w:rPr>
          <w:lang w:eastAsia="zh-CN"/>
        </w:rPr>
      </w:pPr>
      <w:r>
        <w:rPr>
          <w:rFonts w:cs="宋体"/>
          <w:lang w:eastAsia="zh-CN"/>
        </w:rPr>
        <w:t>________________________</w:t>
      </w:r>
    </w:p>
    <w:p w14:paraId="4587F998">
      <w:pPr>
        <w:spacing w:before="0" w:beforeLines="0"/>
        <w:rPr>
          <w:lang w:eastAsia="zh-CN"/>
        </w:rPr>
      </w:pPr>
      <w:r>
        <w:rPr>
          <w:rFonts w:cs="宋体"/>
          <w:sz w:val="21"/>
          <w:vertAlign w:val="superscript"/>
          <w:lang w:eastAsia="zh-CN"/>
        </w:rPr>
        <w:t>32</w:t>
      </w:r>
      <w:r>
        <w:rPr>
          <w:rFonts w:cs="宋体"/>
          <w:sz w:val="21"/>
          <w:lang w:eastAsia="zh-CN"/>
        </w:rPr>
        <w:t xml:space="preserve"> FDA的</w:t>
      </w:r>
      <w:r>
        <w:rPr>
          <w:rFonts w:cs="宋体"/>
          <w:color w:val="0000FF"/>
          <w:sz w:val="21"/>
          <w:u w:val="single"/>
          <w:lang w:eastAsia="zh-CN"/>
        </w:rPr>
        <w:t>《行业和FDA工作人员指南：人工腰椎间盘的研究器械豁免申请（IDE）的准备和审核》</w:t>
      </w:r>
      <w:r>
        <w:rPr>
          <w:rFonts w:cs="宋体"/>
          <w:sz w:val="21"/>
          <w:lang w:eastAsia="zh-CN"/>
        </w:rPr>
        <w:t>要求对由使用过程中的动态器械载荷产生的磨损颗粒进行评价，以“评价由磨屑引起的局部和全身反应（例如，生物相容性、神经反应、组织反应和毒性）”，可登录以下网址获取</w:t>
      </w:r>
      <w:r>
        <w:rPr>
          <w:rFonts w:cs="宋体"/>
          <w:color w:val="0000FF"/>
          <w:sz w:val="21"/>
          <w:u w:val="single"/>
          <w:lang w:eastAsia="zh-CN"/>
        </w:rPr>
        <w:t>https://www.fda.gov/regulatory-information/search-fda-guidance-documents/preparation-and-review-investigational-device-exemption-applications-ides-total-artificial-discs</w:t>
      </w:r>
      <w:r>
        <w:rPr>
          <w:rFonts w:cs="宋体"/>
          <w:lang w:eastAsia="zh-CN"/>
        </w:rPr>
        <w:br w:type="page"/>
      </w:r>
    </w:p>
    <w:p w14:paraId="60A61362">
      <w:pPr>
        <w:pStyle w:val="40"/>
        <w:numPr>
          <w:ilvl w:val="0"/>
          <w:numId w:val="8"/>
        </w:numPr>
        <w:spacing w:before="120"/>
        <w:ind w:left="1162" w:leftChars="250" w:hanging="562" w:hangingChars="200"/>
        <w:outlineLvl w:val="1"/>
        <w:rPr>
          <w:b/>
          <w:bCs/>
          <w:sz w:val="28"/>
          <w:szCs w:val="28"/>
        </w:rPr>
      </w:pPr>
      <w:bookmarkStart w:id="21" w:name="_Toc97827710"/>
      <w:r>
        <w:rPr>
          <w:rFonts w:cs="宋体"/>
          <w:b/>
          <w:sz w:val="28"/>
        </w:rPr>
        <w:t>亚微米或纳米技术成分</w:t>
      </w:r>
      <w:bookmarkEnd w:id="21"/>
    </w:p>
    <w:p w14:paraId="0EEE6234">
      <w:pPr>
        <w:spacing w:before="120"/>
        <w:ind w:left="600" w:leftChars="250"/>
        <w:rPr>
          <w:lang w:eastAsia="zh-CN"/>
        </w:rPr>
      </w:pPr>
      <w:r>
        <w:rPr>
          <w:rFonts w:cs="宋体"/>
          <w:lang w:eastAsia="zh-CN"/>
        </w:rPr>
        <w:t>目前普遍接受的是</w:t>
      </w:r>
      <w:r>
        <w:rPr>
          <w:rFonts w:cs="宋体"/>
          <w:vertAlign w:val="superscript"/>
          <w:lang w:eastAsia="zh-CN"/>
        </w:rPr>
        <w:t>33</w:t>
      </w:r>
      <w:r>
        <w:rPr>
          <w:rFonts w:hint="eastAsia" w:cs="宋体"/>
          <w:vertAlign w:val="superscript"/>
          <w:lang w:eastAsia="zh-CN"/>
        </w:rPr>
        <w:t>,</w:t>
      </w:r>
      <w:r>
        <w:rPr>
          <w:rFonts w:cs="宋体"/>
          <w:vertAlign w:val="superscript"/>
          <w:lang w:eastAsia="zh-CN"/>
        </w:rPr>
        <w:t>34</w:t>
      </w:r>
      <w:r>
        <w:rPr>
          <w:rFonts w:cs="宋体"/>
          <w:lang w:eastAsia="zh-CN"/>
        </w:rPr>
        <w:t>可能存在与亚微米（&lt; 1微米）或纳米技术成分相关的特性，如</w:t>
      </w:r>
      <w:r>
        <w:rPr>
          <w:rFonts w:cs="宋体"/>
          <w:color w:val="0000FF"/>
          <w:u w:val="single"/>
          <w:lang w:eastAsia="zh-CN"/>
        </w:rPr>
        <w:t>聚合</w:t>
      </w:r>
      <w:r>
        <w:rPr>
          <w:rFonts w:cs="宋体"/>
          <w:lang w:eastAsia="zh-CN"/>
        </w:rPr>
        <w:t>、</w:t>
      </w:r>
      <w:r>
        <w:rPr>
          <w:rFonts w:cs="宋体"/>
          <w:color w:val="0000FF"/>
          <w:u w:val="single"/>
          <w:lang w:eastAsia="zh-CN"/>
        </w:rPr>
        <w:t>凝聚</w:t>
      </w:r>
      <w:r>
        <w:rPr>
          <w:rFonts w:cs="宋体"/>
          <w:lang w:eastAsia="zh-CN"/>
        </w:rPr>
        <w:t>、免疫原性或毒性。如果需要进行表征和生物相容性试验，含有亚微米组件的医疗器械可能需要采用专业技术。</w:t>
      </w:r>
      <w:r>
        <w:rPr>
          <w:rFonts w:cs="宋体"/>
          <w:vertAlign w:val="superscript"/>
          <w:lang w:eastAsia="zh-CN"/>
        </w:rPr>
        <w:t>35</w:t>
      </w:r>
      <w:r>
        <w:rPr>
          <w:rFonts w:cs="宋体"/>
          <w:lang w:eastAsia="zh-CN"/>
        </w:rPr>
        <w:t>当使用基于化学渗出物的ISO 10993-12试验条件在亚微米组件生物相容性评价中进行分析，可使用限制条件。申请人在起草器械专用的亚微米或纳米技术成分生物相容性评价试验方案过程中，应查阅相关文献和标准，并在启动任何试验之前，联系相应中心和审评部门。</w:t>
      </w:r>
    </w:p>
    <w:p w14:paraId="3AB4791D">
      <w:pPr>
        <w:spacing w:before="120"/>
        <w:ind w:left="600" w:leftChars="250"/>
        <w:rPr>
          <w:lang w:eastAsia="zh-CN"/>
        </w:rPr>
      </w:pPr>
      <w:r>
        <w:rPr>
          <w:rFonts w:cs="宋体"/>
          <w:lang w:eastAsia="zh-CN"/>
        </w:rPr>
        <w:t>在对含有亚微米组件级组件进行生物相容性评价时，您应考虑下述情况：</w:t>
      </w:r>
    </w:p>
    <w:p w14:paraId="38971F95">
      <w:pPr>
        <w:pStyle w:val="40"/>
        <w:numPr>
          <w:ilvl w:val="0"/>
          <w:numId w:val="9"/>
        </w:numPr>
        <w:spacing w:before="120"/>
        <w:ind w:left="1305" w:firstLineChars="0"/>
        <w:rPr>
          <w:lang w:eastAsia="zh-CN"/>
        </w:rPr>
      </w:pPr>
      <w:r>
        <w:rPr>
          <w:rFonts w:cs="宋体"/>
          <w:lang w:eastAsia="zh-CN"/>
        </w:rPr>
        <w:t>仔细对供试品进行特性描述。</w:t>
      </w:r>
    </w:p>
    <w:p w14:paraId="18A36D00">
      <w:pPr>
        <w:pStyle w:val="40"/>
        <w:numPr>
          <w:ilvl w:val="0"/>
          <w:numId w:val="9"/>
        </w:numPr>
        <w:spacing w:before="120"/>
        <w:ind w:left="1305" w:firstLineChars="0"/>
        <w:rPr>
          <w:lang w:eastAsia="zh-CN"/>
        </w:rPr>
      </w:pPr>
      <w:r>
        <w:rPr>
          <w:rFonts w:cs="宋体"/>
          <w:lang w:eastAsia="zh-CN"/>
        </w:rPr>
        <w:t>避免测试偏差的浸提条件选择（例如，溶剂类型）。</w:t>
      </w:r>
    </w:p>
    <w:p w14:paraId="5099529F">
      <w:pPr>
        <w:pStyle w:val="40"/>
        <w:numPr>
          <w:ilvl w:val="0"/>
          <w:numId w:val="9"/>
        </w:numPr>
        <w:spacing w:before="120"/>
        <w:ind w:left="1305" w:firstLineChars="0"/>
        <w:rPr>
          <w:lang w:eastAsia="zh-CN"/>
        </w:rPr>
      </w:pPr>
      <w:r>
        <w:rPr>
          <w:rFonts w:cs="宋体"/>
          <w:lang w:eastAsia="zh-CN"/>
        </w:rPr>
        <w:t>确保所使用的供试品可代表旨在进行临床使用的器械。</w:t>
      </w:r>
    </w:p>
    <w:p w14:paraId="25036B64">
      <w:pPr>
        <w:spacing w:before="120"/>
        <w:ind w:left="600" w:leftChars="250"/>
        <w:rPr>
          <w:lang w:eastAsia="zh-CN"/>
        </w:rPr>
      </w:pPr>
      <w:r>
        <w:rPr>
          <w:rFonts w:cs="宋体"/>
          <w:lang w:eastAsia="zh-CN"/>
        </w:rPr>
        <w:t>对于试验选择，以下内容也同样重要：</w:t>
      </w:r>
    </w:p>
    <w:p w14:paraId="137455F9">
      <w:pPr>
        <w:spacing w:before="120"/>
        <w:rPr>
          <w:lang w:eastAsia="zh-CN"/>
        </w:rPr>
      </w:pPr>
      <w:bookmarkStart w:id="22" w:name="bookmark235"/>
      <w:bookmarkEnd w:id="22"/>
    </w:p>
    <w:p w14:paraId="7B9525A0">
      <w:pPr>
        <w:spacing w:before="120"/>
        <w:rPr>
          <w:lang w:eastAsia="zh-CN"/>
        </w:rPr>
      </w:pPr>
    </w:p>
    <w:p w14:paraId="3185A47E">
      <w:pPr>
        <w:spacing w:before="120"/>
        <w:rPr>
          <w:lang w:eastAsia="zh-CN"/>
        </w:rPr>
      </w:pPr>
    </w:p>
    <w:p w14:paraId="1041904F">
      <w:pPr>
        <w:spacing w:before="120"/>
        <w:rPr>
          <w:lang w:eastAsia="zh-CN"/>
        </w:rPr>
      </w:pPr>
    </w:p>
    <w:p w14:paraId="3482A828">
      <w:pPr>
        <w:spacing w:before="120"/>
        <w:rPr>
          <w:lang w:eastAsia="zh-CN"/>
        </w:rPr>
      </w:pPr>
    </w:p>
    <w:p w14:paraId="42C74F08">
      <w:pPr>
        <w:spacing w:before="120"/>
        <w:rPr>
          <w:lang w:eastAsia="zh-CN"/>
        </w:rPr>
      </w:pPr>
    </w:p>
    <w:p w14:paraId="0B6E41F5">
      <w:pPr>
        <w:spacing w:before="120"/>
        <w:rPr>
          <w:lang w:eastAsia="zh-CN"/>
        </w:rPr>
      </w:pPr>
    </w:p>
    <w:p w14:paraId="17F08A25">
      <w:pPr>
        <w:spacing w:before="120"/>
        <w:rPr>
          <w:lang w:eastAsia="zh-CN"/>
        </w:rPr>
      </w:pPr>
    </w:p>
    <w:p w14:paraId="01F06D36">
      <w:pPr>
        <w:spacing w:before="120"/>
        <w:rPr>
          <w:lang w:eastAsia="zh-CN"/>
        </w:rPr>
      </w:pPr>
    </w:p>
    <w:p w14:paraId="7F9A53D4">
      <w:pPr>
        <w:spacing w:before="120"/>
        <w:rPr>
          <w:lang w:eastAsia="zh-CN"/>
        </w:rPr>
      </w:pPr>
    </w:p>
    <w:p w14:paraId="5E8EFA75">
      <w:pPr>
        <w:spacing w:before="120"/>
        <w:rPr>
          <w:lang w:eastAsia="zh-CN"/>
        </w:rPr>
      </w:pPr>
    </w:p>
    <w:p w14:paraId="3017CE76">
      <w:pPr>
        <w:spacing w:before="120"/>
        <w:rPr>
          <w:lang w:eastAsia="zh-CN"/>
        </w:rPr>
      </w:pPr>
    </w:p>
    <w:p w14:paraId="02B7F424">
      <w:pPr>
        <w:spacing w:before="120"/>
        <w:rPr>
          <w:lang w:eastAsia="zh-CN"/>
        </w:rPr>
      </w:pPr>
      <w:r>
        <w:rPr>
          <w:rFonts w:cs="宋体"/>
        </w:rPr>
        <w:t>________________________</w:t>
      </w:r>
    </w:p>
    <w:p w14:paraId="0CB3884D">
      <w:pPr>
        <w:spacing w:before="0" w:beforeLines="0"/>
        <w:rPr>
          <w:sz w:val="21"/>
          <w:szCs w:val="21"/>
        </w:rPr>
      </w:pPr>
      <w:r>
        <w:rPr>
          <w:rFonts w:cs="宋体"/>
          <w:sz w:val="21"/>
          <w:vertAlign w:val="superscript"/>
        </w:rPr>
        <w:t>33</w:t>
      </w:r>
      <w:r>
        <w:rPr>
          <w:rFonts w:cs="宋体"/>
          <w:sz w:val="21"/>
        </w:rPr>
        <w:t xml:space="preserve"> Kunzmann, A., et al., “Toxicology of engineered nanomaterials: Focus on biocompatibility, biodistribution and biodegradation.”Biochim Biophys Acta, 2011, 1810(3): 361-373.</w:t>
      </w:r>
    </w:p>
    <w:p w14:paraId="5E809CE8">
      <w:pPr>
        <w:spacing w:before="0" w:beforeLines="0"/>
        <w:rPr>
          <w:sz w:val="21"/>
          <w:szCs w:val="21"/>
        </w:rPr>
      </w:pPr>
      <w:r>
        <w:rPr>
          <w:rFonts w:cs="宋体"/>
          <w:sz w:val="21"/>
          <w:vertAlign w:val="superscript"/>
        </w:rPr>
        <w:t>34</w:t>
      </w:r>
      <w:r>
        <w:rPr>
          <w:rFonts w:cs="宋体"/>
          <w:sz w:val="21"/>
        </w:rPr>
        <w:t xml:space="preserve"> Rivera, G.P., et al., “Correlating physico-chemical with toxicological properties of nanoparticles: the present and the future.”ACS Nano, 2010, 4(10): 5527-5531.</w:t>
      </w:r>
    </w:p>
    <w:p w14:paraId="224A69C2">
      <w:pPr>
        <w:spacing w:before="0" w:beforeLines="0"/>
        <w:rPr>
          <w:sz w:val="21"/>
          <w:szCs w:val="21"/>
          <w:lang w:eastAsia="zh-CN"/>
        </w:rPr>
      </w:pPr>
      <w:r>
        <w:rPr>
          <w:rFonts w:cs="宋体"/>
          <w:sz w:val="21"/>
          <w:vertAlign w:val="superscript"/>
          <w:lang w:eastAsia="zh-CN"/>
        </w:rPr>
        <w:t>35</w:t>
      </w:r>
      <w:r>
        <w:rPr>
          <w:rFonts w:cs="宋体"/>
          <w:sz w:val="21"/>
          <w:lang w:eastAsia="zh-CN"/>
        </w:rPr>
        <w:t>例如，ASTM F1903《体外颗粒生物学反应试验的标准实践》或ASTM F1904《体内颗粒生物学反应试验的标准实践》。</w:t>
      </w:r>
    </w:p>
    <w:p w14:paraId="211F2BE5">
      <w:pPr>
        <w:spacing w:before="120"/>
        <w:rPr>
          <w:lang w:eastAsia="zh-CN"/>
        </w:rPr>
      </w:pPr>
      <w:r>
        <w:rPr>
          <w:rFonts w:cs="宋体"/>
          <w:lang w:eastAsia="zh-CN"/>
        </w:rPr>
        <w:br w:type="page"/>
      </w:r>
    </w:p>
    <w:p w14:paraId="0F3B95B3">
      <w:pPr>
        <w:pStyle w:val="40"/>
        <w:numPr>
          <w:ilvl w:val="0"/>
          <w:numId w:val="9"/>
        </w:numPr>
        <w:spacing w:before="120"/>
        <w:ind w:left="1305" w:firstLineChars="0"/>
        <w:rPr>
          <w:lang w:eastAsia="zh-CN"/>
        </w:rPr>
      </w:pPr>
      <w:r>
        <w:rPr>
          <w:rFonts w:cs="宋体"/>
          <w:lang w:eastAsia="zh-CN"/>
        </w:rPr>
        <w:t>在以为评价包含亚微米级组件的器械所进行的各项试验的有效性相关的当代文献背景下，对标准生物相容性试验进行考虑。</w:t>
      </w:r>
    </w:p>
    <w:p w14:paraId="7BEABA9B">
      <w:pPr>
        <w:pStyle w:val="40"/>
        <w:numPr>
          <w:ilvl w:val="0"/>
          <w:numId w:val="9"/>
        </w:numPr>
        <w:spacing w:before="120"/>
        <w:ind w:left="1305" w:firstLineChars="0"/>
        <w:rPr>
          <w:lang w:eastAsia="zh-CN"/>
        </w:rPr>
      </w:pPr>
      <w:r>
        <w:rPr>
          <w:rFonts w:cs="宋体"/>
          <w:lang w:eastAsia="zh-CN"/>
        </w:rPr>
        <w:t>确保亚微米级组件将不会对选定试验造成影响。</w:t>
      </w:r>
    </w:p>
    <w:p w14:paraId="7705D08E">
      <w:pPr>
        <w:pStyle w:val="40"/>
        <w:numPr>
          <w:ilvl w:val="0"/>
          <w:numId w:val="9"/>
        </w:numPr>
        <w:spacing w:before="120"/>
        <w:ind w:left="1305" w:firstLineChars="0"/>
        <w:rPr>
          <w:lang w:eastAsia="zh-CN"/>
        </w:rPr>
      </w:pPr>
      <w:r>
        <w:rPr>
          <w:rFonts w:cs="宋体"/>
          <w:lang w:eastAsia="zh-CN"/>
        </w:rPr>
        <w:t>考虑可能与亚微米颗粒相关的任何其他毒性问题，如器官的吸收、分布和蓄积、潜在代谢以及排泄，这些可能是与亚微米级颗粒不容易代谢和/或无法从体内排泄相关的更重要的关注点。</w:t>
      </w:r>
    </w:p>
    <w:p w14:paraId="351EC85B">
      <w:pPr>
        <w:pStyle w:val="40"/>
        <w:numPr>
          <w:ilvl w:val="0"/>
          <w:numId w:val="8"/>
        </w:numPr>
        <w:spacing w:before="120"/>
        <w:ind w:left="1162" w:leftChars="250" w:hanging="562" w:hangingChars="200"/>
        <w:outlineLvl w:val="1"/>
        <w:rPr>
          <w:b/>
          <w:bCs/>
          <w:sz w:val="28"/>
          <w:szCs w:val="28"/>
          <w:lang w:eastAsia="zh-CN"/>
        </w:rPr>
      </w:pPr>
      <w:bookmarkStart w:id="23" w:name="_Toc97827711"/>
      <w:r>
        <w:rPr>
          <w:rFonts w:cs="宋体"/>
          <w:b/>
          <w:sz w:val="28"/>
          <w:lang w:eastAsia="zh-CN"/>
        </w:rPr>
        <w:t>用于浸提试验的供试品制备</w:t>
      </w:r>
      <w:bookmarkEnd w:id="23"/>
    </w:p>
    <w:p w14:paraId="78F90CC4">
      <w:pPr>
        <w:spacing w:before="120"/>
        <w:ind w:left="600" w:leftChars="250"/>
        <w:rPr>
          <w:lang w:eastAsia="zh-CN"/>
        </w:rPr>
      </w:pPr>
      <w:r>
        <w:rPr>
          <w:rFonts w:cs="宋体"/>
          <w:lang w:eastAsia="zh-CN"/>
        </w:rPr>
        <w:t>对于使用供试品浸提物进行的生物相容性试验，</w:t>
      </w:r>
      <w:r>
        <w:rPr>
          <w:rFonts w:cs="宋体"/>
          <w:vertAlign w:val="superscript"/>
          <w:lang w:eastAsia="zh-CN"/>
        </w:rPr>
        <w:t>36</w:t>
      </w:r>
      <w:r>
        <w:rPr>
          <w:rFonts w:cs="宋体"/>
          <w:lang w:eastAsia="zh-CN"/>
        </w:rPr>
        <w:t>本机构建议您：</w:t>
      </w:r>
    </w:p>
    <w:p w14:paraId="056BC6E0">
      <w:pPr>
        <w:pStyle w:val="40"/>
        <w:numPr>
          <w:ilvl w:val="0"/>
          <w:numId w:val="9"/>
        </w:numPr>
        <w:spacing w:before="120"/>
        <w:ind w:left="1305" w:firstLineChars="0"/>
        <w:rPr>
          <w:lang w:eastAsia="zh-CN"/>
        </w:rPr>
      </w:pPr>
      <w:r>
        <w:rPr>
          <w:rFonts w:cs="宋体"/>
          <w:lang w:eastAsia="zh-CN"/>
        </w:rPr>
        <w:t>根据ISO 10993-12或其它FDA认可的标准（例如，ASTM F619《医用塑料浸提的标准实践》），利用表面积与浸提体积比来确定供试品的合理数量。如果无法计算表面积，或如果使用质量会使供试品与ISO 10993-12中的建议相比获取更大的表面积-浸提体积比，那么，应仅使用质量-浸提体积比。如果需要使用其它浸提比例，应提供合理证明。例如，对于液路器械或组件（液体与器械或组件的通道接触，随后液体进入体内），可灌满液路。如果无法获取ISO 10993-12推荐的表面积-浸提体积比，应在试验报告中记录与表面积和浸提体积接触的液体。可针对静态和动态浸提来使用这种方法。对于一些试验系统，针对提供其它浸提水平的试验特异性浸提条件（例如，根据ISO 10993-10《医疗器械生物学评价-第10部分：刺激和皮肤致敏试验》，附录E），可能存在其它标准化方法。</w:t>
      </w:r>
    </w:p>
    <w:p w14:paraId="12B922AB">
      <w:pPr>
        <w:pStyle w:val="40"/>
        <w:numPr>
          <w:ilvl w:val="0"/>
          <w:numId w:val="9"/>
        </w:numPr>
        <w:spacing w:before="120"/>
        <w:ind w:left="1305" w:firstLineChars="0"/>
        <w:rPr>
          <w:lang w:eastAsia="zh-CN"/>
        </w:rPr>
      </w:pPr>
      <w:r>
        <w:rPr>
          <w:rFonts w:cs="宋体"/>
          <w:lang w:eastAsia="zh-CN"/>
        </w:rPr>
        <w:t>使用如在ISO 10993-12中描述的极性和非极性溶剂。在某些合理条件下，可使用其它溶剂。例如，混合极性溶剂（如，用于进行细胞毒性试验的、含有5 - 10%血清的细胞培养基）适用于浸提亲水性和亲脂性化学物质。同样，在器械无法与人体直接接触但是仅通过极性溶液间接接触时（例如，心血管导管内通道（内通道仅用于输注生理盐水）的评价），应提供用于豁免利用非极性溶液进行试验的理由。对于如材料介导的热原试验等，需要经血管注射浸提物，此时使用极性溶液是足够的。</w:t>
      </w:r>
    </w:p>
    <w:p w14:paraId="49EE6C5E">
      <w:pPr>
        <w:spacing w:before="120"/>
        <w:rPr>
          <w:rFonts w:cs="宋体"/>
          <w:lang w:eastAsia="zh-CN"/>
        </w:rPr>
      </w:pPr>
    </w:p>
    <w:p w14:paraId="5AC01BA7">
      <w:pPr>
        <w:spacing w:before="120"/>
        <w:rPr>
          <w:rFonts w:cs="宋体"/>
          <w:lang w:eastAsia="zh-CN"/>
        </w:rPr>
      </w:pPr>
    </w:p>
    <w:p w14:paraId="51FDB35A">
      <w:pPr>
        <w:spacing w:before="120"/>
        <w:rPr>
          <w:rFonts w:cs="宋体"/>
          <w:lang w:eastAsia="zh-CN"/>
        </w:rPr>
      </w:pPr>
    </w:p>
    <w:p w14:paraId="683A4063">
      <w:pPr>
        <w:spacing w:before="120"/>
        <w:rPr>
          <w:lang w:eastAsia="zh-CN"/>
        </w:rPr>
      </w:pPr>
      <w:r>
        <w:rPr>
          <w:rFonts w:cs="宋体"/>
          <w:lang w:eastAsia="zh-CN"/>
        </w:rPr>
        <w:t>________________________</w:t>
      </w:r>
    </w:p>
    <w:p w14:paraId="2A32E0DA">
      <w:pPr>
        <w:spacing w:before="0" w:beforeLines="0"/>
        <w:rPr>
          <w:sz w:val="21"/>
          <w:szCs w:val="21"/>
          <w:lang w:eastAsia="zh-CN"/>
        </w:rPr>
      </w:pPr>
      <w:r>
        <w:rPr>
          <w:rFonts w:cs="宋体"/>
          <w:sz w:val="21"/>
          <w:vertAlign w:val="superscript"/>
          <w:lang w:eastAsia="zh-CN"/>
        </w:rPr>
        <w:t>36</w:t>
      </w:r>
      <w:r>
        <w:rPr>
          <w:rFonts w:cs="宋体"/>
          <w:sz w:val="21"/>
          <w:lang w:eastAsia="zh-CN"/>
        </w:rPr>
        <w:t>对于生物相容性试验，浸提物可包括供试品表面的可沥滤残留物或在大多数供试品表面转移的浸提物。</w:t>
      </w:r>
    </w:p>
    <w:p w14:paraId="505B5B49">
      <w:pPr>
        <w:spacing w:before="120"/>
        <w:rPr>
          <w:lang w:eastAsia="zh-CN"/>
        </w:rPr>
      </w:pPr>
      <w:r>
        <w:rPr>
          <w:rFonts w:cs="宋体"/>
          <w:lang w:eastAsia="zh-CN"/>
        </w:rPr>
        <w:br w:type="page"/>
      </w:r>
    </w:p>
    <w:p w14:paraId="6373C2CD">
      <w:pPr>
        <w:pStyle w:val="40"/>
        <w:numPr>
          <w:ilvl w:val="0"/>
          <w:numId w:val="9"/>
        </w:numPr>
        <w:spacing w:before="120"/>
        <w:ind w:left="1305" w:firstLineChars="0"/>
      </w:pPr>
      <w:r>
        <w:rPr>
          <w:rFonts w:cs="宋体"/>
          <w:lang w:eastAsia="zh-CN"/>
        </w:rPr>
        <w:t>根据器械的预期用途，采用足以用于对器械浸提物和可溶出物进行试验的浸提条件。如ISO 10993-12:2012所述的传统生物相容性浸提方法（例如，37℃条件下浸提72小时；50℃条件下浸提72小时；70℃条件下浸提24小时；或121℃条件下浸提1小时），这对于许多生物相容性试验是可接受的。对于接触时间延长的器械和归为永久性植入物的器械，在37℃条件下进行浸提可能不足以获取代表在器械使用过程中浸提的化学物质的浸提物。但是，在某些情况下，温度超过37℃会产生可能不会在临床使用过程中产品的化学物质，并造成不代表医疗器械最终产品所发生的不良生物学反应的反应。例如，对于含有在高温下可能出现变形或材料结构/构造发生变化的热不稳定或热敏材料（例如，药物、生物分子、组织源性组件）的器械，根据ISO 10993-12，建议在37℃条件下进行浸提，但是，可能需要一些关于器械化学物质将逐渐变化的附加信息。</w:t>
      </w:r>
      <w:r>
        <w:rPr>
          <w:rFonts w:cs="宋体"/>
        </w:rPr>
        <w:t>总之，应提供适用于选定浸提条件的理由。</w:t>
      </w:r>
    </w:p>
    <w:p w14:paraId="6B0513A7">
      <w:pPr>
        <w:pStyle w:val="40"/>
        <w:numPr>
          <w:ilvl w:val="0"/>
          <w:numId w:val="9"/>
        </w:numPr>
        <w:spacing w:before="120"/>
        <w:ind w:left="1305" w:firstLineChars="0"/>
        <w:rPr>
          <w:lang w:eastAsia="zh-CN"/>
        </w:rPr>
      </w:pPr>
      <w:r>
        <w:rPr>
          <w:rFonts w:cs="宋体"/>
          <w:lang w:eastAsia="zh-CN"/>
        </w:rPr>
        <w:t>对试验浸提条件进行描述（例如，颜色、存在任何颗粒）、对浸提溶剂发生的任何变化进行描述（浸提前后）并解释这些变化的来源（例如，供试品降解）。</w:t>
      </w:r>
    </w:p>
    <w:p w14:paraId="3CCFDE10">
      <w:pPr>
        <w:pStyle w:val="40"/>
        <w:numPr>
          <w:ilvl w:val="0"/>
          <w:numId w:val="9"/>
        </w:numPr>
        <w:spacing w:before="120"/>
        <w:ind w:left="1305" w:firstLineChars="0"/>
        <w:rPr>
          <w:lang w:eastAsia="zh-CN"/>
        </w:rPr>
      </w:pPr>
      <w:r>
        <w:rPr>
          <w:rFonts w:cs="宋体"/>
          <w:lang w:eastAsia="zh-CN"/>
        </w:rPr>
        <w:t>除非另有规定，使用不进行额外加工的浸提物（例如，不利用过滤、离心或其它方法来清除颗粒；不调节pH值）。</w:t>
      </w:r>
    </w:p>
    <w:p w14:paraId="0D86D0FA">
      <w:pPr>
        <w:pStyle w:val="40"/>
        <w:numPr>
          <w:ilvl w:val="0"/>
          <w:numId w:val="9"/>
        </w:numPr>
        <w:spacing w:before="120"/>
        <w:ind w:left="1305" w:firstLineChars="0"/>
        <w:rPr>
          <w:lang w:eastAsia="zh-CN"/>
        </w:rPr>
      </w:pPr>
      <w:r>
        <w:rPr>
          <w:rFonts w:cs="宋体"/>
          <w:lang w:eastAsia="zh-CN"/>
        </w:rPr>
        <w:t>如果未立即使用供试品浸提物，本机构建议您在ISO 10993-12规定的时间范围内或利用等效方法来使用这些浸提物。本机构建议您对供试品储存条件的详细信息进行说明，并对为何储存将不会影响您的试验结果进行解释（即，如ISO 10993-12:2012中所声明的，“应确认浸提物在储存条件下的稳定性和均匀性”）。</w:t>
      </w:r>
    </w:p>
    <w:p w14:paraId="77D31A02">
      <w:pPr>
        <w:spacing w:before="120"/>
        <w:rPr>
          <w:lang w:eastAsia="zh-CN"/>
        </w:rPr>
      </w:pPr>
      <w:r>
        <w:rPr>
          <w:rFonts w:cs="宋体"/>
          <w:lang w:eastAsia="zh-CN"/>
        </w:rPr>
        <w:br w:type="page"/>
      </w:r>
    </w:p>
    <w:p w14:paraId="080BAD0A">
      <w:pPr>
        <w:pStyle w:val="40"/>
        <w:numPr>
          <w:ilvl w:val="0"/>
          <w:numId w:val="8"/>
        </w:numPr>
        <w:spacing w:before="120"/>
        <w:ind w:left="1162" w:leftChars="250" w:hanging="562" w:hangingChars="200"/>
        <w:outlineLvl w:val="1"/>
        <w:rPr>
          <w:b/>
          <w:bCs/>
          <w:sz w:val="28"/>
          <w:szCs w:val="28"/>
          <w:lang w:eastAsia="zh-CN"/>
        </w:rPr>
      </w:pPr>
      <w:bookmarkStart w:id="24" w:name="_Toc97827712"/>
      <w:r>
        <w:rPr>
          <w:rFonts w:cs="宋体"/>
          <w:b/>
          <w:sz w:val="28"/>
          <w:lang w:eastAsia="zh-CN"/>
        </w:rPr>
        <w:t>在单一供试品中纳入多个组分或材料</w:t>
      </w:r>
      <w:bookmarkEnd w:id="24"/>
    </w:p>
    <w:p w14:paraId="42F9FE2C">
      <w:pPr>
        <w:spacing w:before="120"/>
        <w:ind w:left="600" w:leftChars="250"/>
        <w:rPr>
          <w:lang w:eastAsia="zh-CN"/>
        </w:rPr>
      </w:pPr>
      <w:r>
        <w:rPr>
          <w:rFonts w:cs="宋体"/>
          <w:lang w:eastAsia="zh-CN"/>
        </w:rPr>
        <w:t>对于包含具有不同接触时间组件的器械（例如，分为短期接触、长期接触或持久接触），本机构建议分别进行基于浸提物的生物相容性试验。</w:t>
      </w:r>
      <w:r>
        <w:rPr>
          <w:rFonts w:cs="宋体"/>
          <w:vertAlign w:val="superscript"/>
          <w:lang w:eastAsia="zh-CN"/>
        </w:rPr>
        <w:t>37</w:t>
      </w:r>
      <w:r>
        <w:rPr>
          <w:rFonts w:cs="宋体"/>
          <w:lang w:eastAsia="zh-CN"/>
        </w:rPr>
        <w:t>如果组件组合成单一供试品，这将稀释试验系统中组件材料的数量，并可能不会准确识别在分别进行组件试验的情况下可能发现的有毒物质。例如，本机构建议分别对植入物和输送系统或其它套件部件进行试验。</w:t>
      </w:r>
    </w:p>
    <w:p w14:paraId="0B98B7E7">
      <w:pPr>
        <w:spacing w:before="120"/>
        <w:ind w:left="600" w:leftChars="250"/>
        <w:rPr>
          <w:lang w:eastAsia="zh-CN"/>
        </w:rPr>
      </w:pPr>
      <w:r>
        <w:rPr>
          <w:rFonts w:cs="宋体"/>
          <w:lang w:eastAsia="zh-CN"/>
        </w:rPr>
        <w:t>对于含有多种材料（具有不同表面积或与人体的接触面积不同）的器械或器械组件，如果其中一种或多种材料是新的（即，之前未用于具有相同类型和接触时间的器械），必须分别对新材料组件进行试验以进一步了解该组件的潜在毒性。例如，对于包含新球囊材料的导管输送系统，必须分别对输送系统和球囊进行试验，以确保对每种材料充分进行评价。</w:t>
      </w:r>
    </w:p>
    <w:p w14:paraId="7CD3CB31">
      <w:pPr>
        <w:pStyle w:val="40"/>
        <w:numPr>
          <w:ilvl w:val="0"/>
          <w:numId w:val="1"/>
        </w:numPr>
        <w:spacing w:before="120"/>
        <w:ind w:left="643" w:hanging="643" w:hangingChars="200"/>
        <w:outlineLvl w:val="0"/>
        <w:rPr>
          <w:b/>
          <w:bCs/>
          <w:sz w:val="32"/>
          <w:szCs w:val="32"/>
        </w:rPr>
      </w:pPr>
      <w:bookmarkStart w:id="25" w:name="_Toc97827713"/>
      <w:r>
        <w:rPr>
          <w:rFonts w:cs="宋体"/>
          <w:b/>
          <w:sz w:val="32"/>
        </w:rPr>
        <w:t>试验特定考虑因素</w:t>
      </w:r>
      <w:bookmarkEnd w:id="25"/>
    </w:p>
    <w:p w14:paraId="6427126E">
      <w:pPr>
        <w:spacing w:before="120"/>
        <w:rPr>
          <w:lang w:eastAsia="zh-CN"/>
        </w:rPr>
      </w:pPr>
      <w:r>
        <w:rPr>
          <w:rFonts w:cs="宋体"/>
          <w:lang w:eastAsia="zh-CN"/>
        </w:rPr>
        <w:t>如果您的风险评定指出必须进行试验，本机构建议您在执行下述识别出的任何试验时，对下述问题进行考虑。尽管在</w:t>
      </w:r>
      <w:r>
        <w:rPr>
          <w:rFonts w:cs="宋体"/>
          <w:color w:val="0000FF"/>
          <w:u w:val="single"/>
          <w:lang w:eastAsia="zh-CN"/>
        </w:rPr>
        <w:t>附件A</w:t>
      </w:r>
      <w:r>
        <w:rPr>
          <w:rFonts w:cs="宋体"/>
          <w:lang w:eastAsia="zh-CN"/>
        </w:rPr>
        <w:t>中识别出了其它生物相容性终点，下文仅对某些试验进行了讨论。已包含了在本部分中描述的试验特异性问题，这些也是在市场准入申请中频繁存在不足的部分。</w:t>
      </w:r>
    </w:p>
    <w:p w14:paraId="49FAFB13">
      <w:pPr>
        <w:pStyle w:val="40"/>
        <w:numPr>
          <w:ilvl w:val="0"/>
          <w:numId w:val="10"/>
        </w:numPr>
        <w:spacing w:before="120"/>
        <w:ind w:left="1162" w:leftChars="250" w:hanging="562" w:hangingChars="200"/>
        <w:outlineLvl w:val="1"/>
        <w:rPr>
          <w:b/>
          <w:bCs/>
          <w:sz w:val="28"/>
          <w:szCs w:val="28"/>
        </w:rPr>
      </w:pPr>
      <w:bookmarkStart w:id="26" w:name="_Toc97827714"/>
      <w:r>
        <w:rPr>
          <w:rFonts w:cs="宋体"/>
          <w:b/>
          <w:sz w:val="28"/>
        </w:rPr>
        <w:t>细胞毒性</w:t>
      </w:r>
      <w:bookmarkEnd w:id="26"/>
    </w:p>
    <w:p w14:paraId="48D5C4C9">
      <w:pPr>
        <w:spacing w:before="120"/>
        <w:ind w:left="600" w:leftChars="250"/>
        <w:rPr>
          <w:lang w:eastAsia="zh-CN"/>
        </w:rPr>
      </w:pPr>
      <w:r>
        <w:rPr>
          <w:rFonts w:cs="宋体"/>
          <w:lang w:eastAsia="zh-CN"/>
        </w:rPr>
        <w:t>如果未在风险评定过程中另行解决，对于采用在培养基中浸提供试品的试验，本机构建议利用能够在供试品中浸提极性和非极性成分的介质（如含有5 - 10%血清的哺乳动物细胞培养基（例如MEM）），在37℃条件下进行24-72小时浸提。</w:t>
      </w:r>
    </w:p>
    <w:p w14:paraId="6A1A2E08">
      <w:pPr>
        <w:spacing w:before="120"/>
        <w:ind w:left="600" w:leftChars="250"/>
        <w:rPr>
          <w:lang w:eastAsia="zh-CN"/>
        </w:rPr>
      </w:pPr>
      <w:r>
        <w:rPr>
          <w:rFonts w:cs="宋体"/>
          <w:lang w:eastAsia="zh-CN"/>
        </w:rPr>
        <w:t>对于新型材料（即，之前未在在美国合法销售的、具有相同接触类型和接触时间的医疗器械中使用过的材料），本机构建议考虑采用直接接触和洗脱方法。对于某些器械，可能需要根据ISO 10993-5进行直接接触研究以更好地反应临床使用。根据材料的性质和功能（例如，涂层或表面形态变化），如果无法获取植入数据，可能需要进行非标准化的直接接触研究（细胞在材料表面生长）。</w:t>
      </w:r>
    </w:p>
    <w:p w14:paraId="0CD67358">
      <w:pPr>
        <w:spacing w:before="120"/>
        <w:rPr>
          <w:rFonts w:cs="宋体"/>
          <w:lang w:eastAsia="zh-CN"/>
        </w:rPr>
      </w:pPr>
    </w:p>
    <w:p w14:paraId="7D73809F">
      <w:pPr>
        <w:spacing w:before="120"/>
        <w:rPr>
          <w:rFonts w:cs="宋体"/>
          <w:lang w:eastAsia="zh-CN"/>
        </w:rPr>
      </w:pPr>
    </w:p>
    <w:p w14:paraId="1A139CCF">
      <w:pPr>
        <w:spacing w:before="120"/>
        <w:rPr>
          <w:rFonts w:cs="宋体"/>
          <w:lang w:eastAsia="zh-CN"/>
        </w:rPr>
      </w:pPr>
    </w:p>
    <w:p w14:paraId="0D4B238E">
      <w:pPr>
        <w:spacing w:before="120"/>
        <w:rPr>
          <w:lang w:eastAsia="zh-CN"/>
        </w:rPr>
      </w:pPr>
      <w:r>
        <w:rPr>
          <w:rFonts w:cs="宋体"/>
          <w:lang w:eastAsia="zh-CN"/>
        </w:rPr>
        <w:t>________________________</w:t>
      </w:r>
    </w:p>
    <w:p w14:paraId="048F5AAD">
      <w:pPr>
        <w:spacing w:before="0" w:beforeLines="0"/>
        <w:rPr>
          <w:sz w:val="21"/>
          <w:szCs w:val="21"/>
          <w:lang w:eastAsia="zh-CN"/>
        </w:rPr>
      </w:pPr>
      <w:r>
        <w:rPr>
          <w:rFonts w:cs="宋体"/>
          <w:sz w:val="21"/>
          <w:vertAlign w:val="superscript"/>
          <w:lang w:eastAsia="zh-CN"/>
        </w:rPr>
        <w:t>37</w:t>
      </w:r>
      <w:r>
        <w:rPr>
          <w:rFonts w:cs="宋体"/>
          <w:sz w:val="21"/>
          <w:lang w:eastAsia="zh-CN"/>
        </w:rPr>
        <w:t>在许多情况下，整合短期接触的组件（&lt; 24小时）并提供支持性理由是可接受的。但是，建议对长期接触（24小时到30小时）或持久接触（&gt; 30天）的器械分别进行评价。</w:t>
      </w:r>
    </w:p>
    <w:p w14:paraId="17B1CAC5">
      <w:pPr>
        <w:spacing w:before="120"/>
        <w:rPr>
          <w:lang w:eastAsia="zh-CN"/>
        </w:rPr>
      </w:pPr>
      <w:r>
        <w:rPr>
          <w:rFonts w:cs="宋体"/>
          <w:lang w:eastAsia="zh-CN"/>
        </w:rPr>
        <w:br w:type="page"/>
      </w:r>
    </w:p>
    <w:p w14:paraId="0964CC6A">
      <w:pPr>
        <w:spacing w:before="120"/>
        <w:ind w:left="600" w:leftChars="250"/>
        <w:rPr>
          <w:lang w:eastAsia="zh-CN"/>
        </w:rPr>
      </w:pPr>
      <w:r>
        <w:rPr>
          <w:rFonts w:cs="宋体"/>
          <w:lang w:eastAsia="zh-CN"/>
        </w:rPr>
        <w:t>对于本身具有细胞毒性的材料，可能必须利用不同稀释度的供试溶液进行额外试验，以确定不再产生细胞毒性的水平。可利用临床剂量和其它消减因素（如接触时间和临床需求，例如临床受益-风险比）对该信息进行评价。对于一些如牙科用磷酸酸蚀剂等含有已知细胞抑制剂/细胞毒素剂或未硫化聚合树脂的器械，可能必须利用在美国合法销售的医疗器械来对比进行其他细胞毒性试验，以证明新器械的毒性未超出具有相同接触类型和接触时间的比较器械的毒性。</w:t>
      </w:r>
    </w:p>
    <w:p w14:paraId="7B02BA5F">
      <w:pPr>
        <w:pStyle w:val="40"/>
        <w:numPr>
          <w:ilvl w:val="0"/>
          <w:numId w:val="10"/>
        </w:numPr>
        <w:spacing w:before="120"/>
        <w:ind w:left="1162" w:leftChars="250" w:hanging="562" w:hangingChars="200"/>
        <w:outlineLvl w:val="1"/>
        <w:rPr>
          <w:b/>
          <w:bCs/>
          <w:sz w:val="28"/>
          <w:szCs w:val="28"/>
        </w:rPr>
      </w:pPr>
      <w:bookmarkStart w:id="27" w:name="_Toc97827715"/>
      <w:r>
        <w:rPr>
          <w:rFonts w:cs="宋体"/>
          <w:b/>
          <w:sz w:val="28"/>
        </w:rPr>
        <w:t>致敏性</w:t>
      </w:r>
      <w:bookmarkEnd w:id="27"/>
    </w:p>
    <w:p w14:paraId="32B4D3BC">
      <w:pPr>
        <w:spacing w:before="120"/>
        <w:ind w:left="600" w:leftChars="250"/>
        <w:rPr>
          <w:lang w:eastAsia="zh-CN"/>
        </w:rPr>
      </w:pPr>
      <w:r>
        <w:rPr>
          <w:rFonts w:cs="宋体"/>
          <w:lang w:eastAsia="zh-CN"/>
        </w:rPr>
        <w:t>通常会提交两种致敏试验以支持IDE和市场应用：豚鼠最大剂量致敏反应试验和局部淋巴结试验。根据10993-10，仅使用Buehler方法对局部器械进行试验（即，与皮肤接触的器械）。</w:t>
      </w:r>
    </w:p>
    <w:p w14:paraId="5E2BABA3">
      <w:pPr>
        <w:spacing w:before="120"/>
        <w:ind w:left="600" w:leftChars="250"/>
        <w:rPr>
          <w:b/>
          <w:bCs/>
          <w:lang w:eastAsia="zh-CN"/>
        </w:rPr>
      </w:pPr>
      <w:r>
        <w:rPr>
          <w:rFonts w:cs="宋体"/>
          <w:b/>
          <w:lang w:eastAsia="zh-CN"/>
        </w:rPr>
        <w:t>豚鼠最大剂量试验（GPMT）</w:t>
      </w:r>
    </w:p>
    <w:p w14:paraId="4C646BF9">
      <w:pPr>
        <w:spacing w:before="120"/>
        <w:ind w:left="600" w:leftChars="250"/>
        <w:rPr>
          <w:lang w:eastAsia="zh-CN"/>
        </w:rPr>
      </w:pPr>
      <w:r>
        <w:rPr>
          <w:rFonts w:cs="宋体"/>
          <w:lang w:eastAsia="zh-CN"/>
        </w:rPr>
        <w:t>应使用雄性和/或雌性的健康</w:t>
      </w:r>
      <w:r>
        <w:rPr>
          <w:rFonts w:hint="eastAsia" w:cs="宋体"/>
          <w:lang w:eastAsia="zh-CN"/>
        </w:rPr>
        <w:t>、初</w:t>
      </w:r>
      <w:r>
        <w:rPr>
          <w:rFonts w:cs="宋体"/>
          <w:lang w:eastAsia="zh-CN"/>
        </w:rPr>
        <w:t>成年</w:t>
      </w:r>
      <w:r>
        <w:rPr>
          <w:rFonts w:hint="eastAsia" w:cs="宋体"/>
          <w:lang w:eastAsia="zh-CN"/>
        </w:rPr>
        <w:t>动物</w:t>
      </w:r>
      <w:r>
        <w:rPr>
          <w:rFonts w:cs="宋体"/>
          <w:lang w:eastAsia="zh-CN"/>
        </w:rPr>
        <w:t>进行试验。如果使用雌性动物，本机构建议试验报告应确认动物</w:t>
      </w:r>
      <w:r>
        <w:rPr>
          <w:rFonts w:hint="eastAsia" w:cs="宋体"/>
          <w:lang w:eastAsia="zh-CN"/>
        </w:rPr>
        <w:t>未产并未孕</w:t>
      </w:r>
      <w:r>
        <w:rPr>
          <w:rFonts w:cs="宋体"/>
          <w:lang w:eastAsia="zh-CN"/>
        </w:rPr>
        <w:t>（受孕会降低雌性动物检测致敏反应的能力）。</w:t>
      </w:r>
    </w:p>
    <w:p w14:paraId="438F0E8B">
      <w:pPr>
        <w:spacing w:before="120"/>
        <w:ind w:left="600" w:leftChars="250"/>
        <w:rPr>
          <w:lang w:eastAsia="zh-CN"/>
        </w:rPr>
      </w:pPr>
      <w:r>
        <w:rPr>
          <w:rFonts w:cs="宋体"/>
          <w:lang w:eastAsia="zh-CN"/>
        </w:rPr>
        <w:t>应定期</w:t>
      </w:r>
      <w:r>
        <w:rPr>
          <w:rFonts w:hint="eastAsia" w:cs="宋体"/>
          <w:lang w:eastAsia="zh-CN"/>
        </w:rPr>
        <w:t>使用</w:t>
      </w:r>
      <w:r>
        <w:rPr>
          <w:rFonts w:cs="宋体"/>
          <w:lang w:eastAsia="zh-CN"/>
        </w:rPr>
        <w:t>相同来源和相同种属的动物</w:t>
      </w:r>
      <w:r>
        <w:rPr>
          <w:rFonts w:hint="eastAsia" w:cs="宋体"/>
          <w:lang w:eastAsia="zh-CN"/>
        </w:rPr>
        <w:t>作为</w:t>
      </w:r>
      <w:r>
        <w:rPr>
          <w:rFonts w:cs="宋体"/>
          <w:lang w:eastAsia="zh-CN"/>
        </w:rPr>
        <w:t>阳性对照进行试验（至少每6个月进行一次，如果时间更长，应与检测项目一同进行），以确保试验程序的再现性和灵敏度。本机构建议试验报告中包含平行试验的阳性对照数据或在进行器械试验的三个月内利用相同方法和相同动物种属进行的阳性对照试验的阳性对照数据。</w:t>
      </w:r>
      <w:r>
        <w:rPr>
          <w:rFonts w:cs="宋体"/>
          <w:vertAlign w:val="superscript"/>
          <w:lang w:eastAsia="zh-CN"/>
        </w:rPr>
        <w:t>38</w:t>
      </w:r>
      <w:r>
        <w:rPr>
          <w:rFonts w:cs="宋体"/>
          <w:lang w:eastAsia="zh-CN"/>
        </w:rPr>
        <w:t>本机构也建议您的阳性对照试验使用至少5只动物来证明检测系统中存在合理的可重复阳性反应。如果定期进行的阳性对照试验结果不合格，由于无法保证检测系统是否正常工作，因此，应认为在末次有效的阳性GPMT反应后生成的所有GPMT数据均无效。因此，重复进行阳性对照试验不足以证明阳性对照试验结果不合格。如果根本原因分析结果确认动物对阳性对照的灵敏度丢失，建议利用新动物来重复器械试验，以收集合格和不合格定期阳性对照试验的GPMT数据。</w:t>
      </w:r>
    </w:p>
    <w:p w14:paraId="316D9B00">
      <w:pPr>
        <w:spacing w:before="120"/>
        <w:rPr>
          <w:rFonts w:cs="宋体"/>
          <w:lang w:eastAsia="zh-CN"/>
        </w:rPr>
      </w:pPr>
    </w:p>
    <w:p w14:paraId="33CB5177">
      <w:pPr>
        <w:spacing w:before="120"/>
        <w:rPr>
          <w:rFonts w:cs="宋体"/>
          <w:lang w:eastAsia="zh-CN"/>
        </w:rPr>
      </w:pPr>
    </w:p>
    <w:p w14:paraId="3351D96E">
      <w:pPr>
        <w:spacing w:before="120"/>
        <w:rPr>
          <w:lang w:eastAsia="zh-CN"/>
        </w:rPr>
      </w:pPr>
      <w:r>
        <w:rPr>
          <w:rFonts w:cs="宋体"/>
          <w:lang w:eastAsia="zh-CN"/>
        </w:rPr>
        <w:t>________________________</w:t>
      </w:r>
    </w:p>
    <w:p w14:paraId="4E355BA1">
      <w:pPr>
        <w:spacing w:before="0" w:beforeLines="0"/>
        <w:rPr>
          <w:sz w:val="21"/>
          <w:szCs w:val="21"/>
          <w:lang w:eastAsia="zh-CN"/>
        </w:rPr>
      </w:pPr>
      <w:r>
        <w:rPr>
          <w:rFonts w:cs="宋体"/>
          <w:sz w:val="21"/>
          <w:vertAlign w:val="superscript"/>
          <w:lang w:eastAsia="zh-CN"/>
        </w:rPr>
        <w:t>38</w:t>
      </w:r>
      <w:r>
        <w:rPr>
          <w:rFonts w:cs="宋体"/>
          <w:sz w:val="21"/>
          <w:lang w:eastAsia="zh-CN"/>
        </w:rPr>
        <w:t xml:space="preserve"> ISO 10993-10:2010《医疗器械生物学评价-第10部分：刺激和皮肤致敏试验》中指出，对于致敏试验，“无需在进行每次试验时对阳性对照进行试验，但是，必须定期进行阳性对照试验（不超过6个月）”。标准进一步声明称，“仅每隔6个月进行一次阳性对照试验，如果阳性对照显示阴性结果，该结果可能会对6个月前获取的结果产生影响”。过去FDA不要求申请人等6个月来获取后续阳性对照数据以支持向FDA提交的文件。相反，过去FDA接受在进行器械试验3个月内进行能够获取阳性对照数据的研究。</w:t>
      </w:r>
    </w:p>
    <w:p w14:paraId="1745F81E">
      <w:pPr>
        <w:spacing w:before="120"/>
        <w:rPr>
          <w:lang w:eastAsia="zh-CN"/>
        </w:rPr>
      </w:pPr>
      <w:r>
        <w:rPr>
          <w:rFonts w:cs="宋体"/>
          <w:lang w:eastAsia="zh-CN"/>
        </w:rPr>
        <w:br w:type="page"/>
      </w:r>
    </w:p>
    <w:p w14:paraId="622DB13A">
      <w:pPr>
        <w:spacing w:before="120"/>
        <w:ind w:left="600" w:leftChars="250"/>
        <w:rPr>
          <w:lang w:eastAsia="zh-CN"/>
        </w:rPr>
      </w:pPr>
      <w:r>
        <w:rPr>
          <w:rFonts w:cs="宋体"/>
          <w:lang w:eastAsia="zh-CN"/>
        </w:rPr>
        <w:t>如果致敏试验方案中不包括原发性刺激研究，可能因刺激或致敏在研究结束时产生不良调查结果，并且，可能需要进行其他刺激研究以确定因果关系。</w:t>
      </w:r>
    </w:p>
    <w:p w14:paraId="0DF4E9E5">
      <w:pPr>
        <w:spacing w:before="120"/>
        <w:ind w:left="600" w:leftChars="250"/>
        <w:rPr>
          <w:b/>
          <w:bCs/>
          <w:lang w:eastAsia="zh-CN"/>
        </w:rPr>
      </w:pPr>
      <w:r>
        <w:rPr>
          <w:rFonts w:cs="宋体"/>
          <w:b/>
          <w:lang w:eastAsia="zh-CN"/>
        </w:rPr>
        <w:t>局部淋巴结试验（LLNA）</w:t>
      </w:r>
    </w:p>
    <w:p w14:paraId="07BDB848">
      <w:pPr>
        <w:spacing w:before="120"/>
        <w:ind w:left="600" w:leftChars="250"/>
        <w:rPr>
          <w:lang w:eastAsia="zh-CN"/>
        </w:rPr>
      </w:pPr>
      <w:r>
        <w:rPr>
          <w:rFonts w:cs="宋体"/>
          <w:lang w:eastAsia="zh-CN"/>
        </w:rPr>
        <w:t>FDA旨在以具体分析的方式，利用LLNA试验来分析器械浸提物/残留物中的化学混合物，并对结果进行评价。LLNA试验可能适用于下述情况：</w:t>
      </w:r>
    </w:p>
    <w:p w14:paraId="14535D94">
      <w:pPr>
        <w:pStyle w:val="40"/>
        <w:numPr>
          <w:ilvl w:val="0"/>
          <w:numId w:val="11"/>
        </w:numPr>
        <w:spacing w:before="120"/>
        <w:ind w:left="1305" w:firstLineChars="0"/>
        <w:rPr>
          <w:lang w:eastAsia="zh-CN"/>
        </w:rPr>
      </w:pPr>
      <w:r>
        <w:rPr>
          <w:rFonts w:cs="宋体"/>
          <w:lang w:eastAsia="zh-CN"/>
        </w:rPr>
        <w:t>在不存在与材料（例如纳米材料）相关的、可能干扰LLNA检测致敏物质能力的独特物理化学性质的情况下，LLNA可用于检测这些金属化合物（镍和含镍材料除外）。</w:t>
      </w:r>
    </w:p>
    <w:p w14:paraId="5D39ABD0">
      <w:pPr>
        <w:pStyle w:val="40"/>
        <w:numPr>
          <w:ilvl w:val="0"/>
          <w:numId w:val="11"/>
        </w:numPr>
        <w:spacing w:before="120"/>
        <w:ind w:left="1305" w:firstLineChars="0"/>
        <w:rPr>
          <w:lang w:eastAsia="zh-CN"/>
        </w:rPr>
      </w:pPr>
      <w:r>
        <w:rPr>
          <w:rFonts w:cs="宋体"/>
          <w:lang w:eastAsia="zh-CN"/>
        </w:rPr>
        <w:t>在不存在与材料（例如纳米材料）相关的、可能干扰LLNA的致敏化学物质检测能力的独特物理化学性质的情况下，LLNA可用于在水溶液中对器械材料进行试验。当在水溶液中对器械材料进行试验时，必须使用适当介质（例如，1%普朗尼克L92）</w:t>
      </w:r>
      <w:r>
        <w:rPr>
          <w:rFonts w:cs="宋体"/>
          <w:vertAlign w:val="superscript"/>
          <w:lang w:eastAsia="zh-CN"/>
        </w:rPr>
        <w:t>39</w:t>
      </w:r>
      <w:r>
        <w:rPr>
          <w:rFonts w:cs="宋体"/>
          <w:lang w:eastAsia="zh-CN"/>
        </w:rPr>
        <w:t>来维持试验浸提物与皮肤的接触状态，因此，可获取与阳性对照结果相似的充分接触情况。</w:t>
      </w:r>
    </w:p>
    <w:p w14:paraId="08813B7C">
      <w:pPr>
        <w:spacing w:before="120"/>
        <w:ind w:left="600" w:leftChars="250"/>
        <w:rPr>
          <w:lang w:eastAsia="zh-CN"/>
        </w:rPr>
      </w:pPr>
      <w:r>
        <w:rPr>
          <w:rFonts w:cs="宋体"/>
          <w:lang w:eastAsia="zh-CN"/>
        </w:rPr>
        <w:t>LLNA不应用于下述情况：</w:t>
      </w:r>
    </w:p>
    <w:p w14:paraId="33AA9312">
      <w:pPr>
        <w:pStyle w:val="40"/>
        <w:numPr>
          <w:ilvl w:val="0"/>
          <w:numId w:val="11"/>
        </w:numPr>
        <w:spacing w:before="120"/>
        <w:ind w:left="1305" w:firstLineChars="0"/>
        <w:rPr>
          <w:lang w:eastAsia="zh-CN"/>
        </w:rPr>
      </w:pPr>
      <w:r>
        <w:rPr>
          <w:rFonts w:cs="宋体"/>
          <w:lang w:eastAsia="zh-CN"/>
        </w:rPr>
        <w:t>对于由新型材料制成的器械（即，之前未用于任何在美国合法销售的医疗器械）或“当将不会渗透到皮肤中的供试物质用于与深部组织或受损伤表面接触的器械中”的情况下[根据ASTM F2148-18，第1.2节]，本机构建议进行GPMT试验。对于新型材料，利用LLNA试验无法确定化学物质是否能够渗透到皮肤中，因此推荐进行GPMT（包括利用皮内注射进行诱导）。</w:t>
      </w:r>
    </w:p>
    <w:p w14:paraId="3D683868">
      <w:pPr>
        <w:spacing w:before="120"/>
        <w:rPr>
          <w:lang w:eastAsia="zh-CN"/>
        </w:rPr>
      </w:pPr>
    </w:p>
    <w:p w14:paraId="1C27BB8F">
      <w:pPr>
        <w:spacing w:before="120"/>
        <w:rPr>
          <w:lang w:eastAsia="zh-CN"/>
        </w:rPr>
      </w:pPr>
    </w:p>
    <w:p w14:paraId="7DF76844">
      <w:pPr>
        <w:spacing w:before="120"/>
        <w:rPr>
          <w:lang w:eastAsia="zh-CN"/>
        </w:rPr>
      </w:pPr>
    </w:p>
    <w:p w14:paraId="080D0D54">
      <w:pPr>
        <w:spacing w:before="120"/>
        <w:rPr>
          <w:lang w:eastAsia="zh-CN"/>
        </w:rPr>
      </w:pPr>
    </w:p>
    <w:p w14:paraId="33A23E1F">
      <w:pPr>
        <w:spacing w:before="120"/>
        <w:rPr>
          <w:lang w:eastAsia="zh-CN"/>
        </w:rPr>
      </w:pPr>
    </w:p>
    <w:p w14:paraId="723609D2">
      <w:pPr>
        <w:spacing w:before="120"/>
        <w:rPr>
          <w:lang w:eastAsia="zh-CN"/>
        </w:rPr>
      </w:pPr>
    </w:p>
    <w:p w14:paraId="1E239FF9">
      <w:pPr>
        <w:spacing w:before="120"/>
        <w:rPr>
          <w:lang w:eastAsia="zh-CN"/>
        </w:rPr>
      </w:pPr>
    </w:p>
    <w:p w14:paraId="57BCCF79">
      <w:pPr>
        <w:spacing w:before="120"/>
        <w:rPr>
          <w:lang w:eastAsia="zh-CN"/>
        </w:rPr>
      </w:pPr>
    </w:p>
    <w:p w14:paraId="5D04F0F3">
      <w:pPr>
        <w:spacing w:before="120"/>
        <w:rPr>
          <w:lang w:eastAsia="zh-CN"/>
        </w:rPr>
      </w:pPr>
      <w:r>
        <w:rPr>
          <w:rFonts w:cs="宋体"/>
        </w:rPr>
        <w:t>________________________</w:t>
      </w:r>
    </w:p>
    <w:p w14:paraId="379EA96D">
      <w:pPr>
        <w:spacing w:before="0" w:beforeLines="0"/>
        <w:rPr>
          <w:sz w:val="21"/>
          <w:szCs w:val="21"/>
        </w:rPr>
      </w:pPr>
      <w:r>
        <w:rPr>
          <w:rFonts w:cs="宋体"/>
          <w:sz w:val="21"/>
          <w:vertAlign w:val="superscript"/>
        </w:rPr>
        <w:t>39</w:t>
      </w:r>
      <w:r>
        <w:rPr>
          <w:rFonts w:cs="宋体"/>
          <w:sz w:val="21"/>
        </w:rPr>
        <w:t xml:space="preserve"> Boverhof, D.R., et al., “Interlaboratory validation of 1% pluronic L92 surfactant as a suitable, aqueous vehicle for testing pesticide formulations using the murine local lymph node assay.”Toxicol Sci, 2008, 105(1): 79-85.</w:t>
      </w:r>
    </w:p>
    <w:p w14:paraId="170568D3">
      <w:pPr>
        <w:spacing w:before="120"/>
      </w:pPr>
      <w:r>
        <w:rPr>
          <w:rFonts w:cs="宋体"/>
        </w:rPr>
        <w:br w:type="page"/>
      </w:r>
    </w:p>
    <w:p w14:paraId="31D8E811">
      <w:pPr>
        <w:spacing w:before="120"/>
        <w:ind w:left="600" w:leftChars="250"/>
        <w:rPr>
          <w:lang w:eastAsia="zh-CN"/>
        </w:rPr>
      </w:pPr>
      <w:r>
        <w:rPr>
          <w:rFonts w:cs="宋体"/>
          <w:lang w:eastAsia="zh-CN"/>
        </w:rPr>
        <w:t>如果进行LLNA试验，FDA建议使用经充分验证的标准化方法。目前，仅由FDA公认的验证方法是根据ASTM F2148《利用小鼠局部淋巴结试验（LLNA）来评价迟发型接触性超敏反应的标准实践》进行的放射性LLNA试验。</w:t>
      </w:r>
    </w:p>
    <w:p w14:paraId="694B9570">
      <w:pPr>
        <w:spacing w:before="120"/>
        <w:ind w:left="600" w:leftChars="250"/>
        <w:rPr>
          <w:lang w:eastAsia="zh-CN"/>
        </w:rPr>
      </w:pPr>
      <w:r>
        <w:rPr>
          <w:rFonts w:cs="宋体"/>
          <w:lang w:eastAsia="zh-CN"/>
        </w:rPr>
        <w:t>下列试验方法可用作替代方法。如果使用一种非放射性LLNA方法（LLNA：2-溴脱氧尿苷酶联免疫吸附分析（BrdU-ELISA）或LLNA：聚甲醛三磷酸腺苷（DA）试验，本机构建议您也应考虑下述情况：</w:t>
      </w:r>
    </w:p>
    <w:p w14:paraId="13B0CB8C">
      <w:pPr>
        <w:pStyle w:val="40"/>
        <w:numPr>
          <w:ilvl w:val="0"/>
          <w:numId w:val="11"/>
        </w:numPr>
        <w:spacing w:before="120"/>
        <w:ind w:left="1305" w:firstLineChars="0"/>
        <w:rPr>
          <w:lang w:eastAsia="zh-CN"/>
        </w:rPr>
      </w:pPr>
      <w:r>
        <w:rPr>
          <w:rFonts w:cs="宋体"/>
          <w:lang w:eastAsia="zh-CN"/>
        </w:rPr>
        <w:t>对于LLNA：BrdU-ELISA试验，其精确度和可靠性支持使用该试验方法来识别作为潜在的皮肤致敏物质和非致敏物质的器械材料（利用刺激指数（SI）≥ 1.6作为判定标准来识别潜在致敏物质）。对于SI为1.6 - 1.9的边界阳性反应，可能存在限制使用这类LLNA试验的假阳性结果。</w:t>
      </w:r>
    </w:p>
    <w:p w14:paraId="007D75E2">
      <w:pPr>
        <w:pStyle w:val="40"/>
        <w:numPr>
          <w:ilvl w:val="0"/>
          <w:numId w:val="11"/>
        </w:numPr>
        <w:spacing w:before="120"/>
        <w:ind w:left="1305" w:firstLineChars="0"/>
        <w:rPr>
          <w:lang w:eastAsia="zh-CN"/>
        </w:rPr>
      </w:pPr>
      <w:r>
        <w:rPr>
          <w:rFonts w:cs="宋体"/>
          <w:lang w:eastAsia="zh-CN"/>
        </w:rPr>
        <w:t>对于LLNA：DA试验，其精确度和可靠性支持使用该试验方法来识别作为潜在的皮肤致敏物质和非致敏物质的器械材料（利用刺激指数（SI）≥ 1.8作为判定标准来识别潜在致敏物质）。对于SI为1.8 - 2.5的边界阳性反应，可能存在限制使用这类LLNA试验的假阳性结果。此外，LLNA：DA不适用于对影响ATP水平（例如，作为ATP抑制剂的化学物质）或对细胞内ATP的准确测定产生影响（例如，存在ATP降解酶、淋巴结中存在细胞外ATP）的器械材料进行试验。</w:t>
      </w:r>
    </w:p>
    <w:p w14:paraId="681FFF2B">
      <w:pPr>
        <w:pStyle w:val="40"/>
        <w:numPr>
          <w:ilvl w:val="0"/>
          <w:numId w:val="10"/>
        </w:numPr>
        <w:spacing w:before="120"/>
        <w:ind w:left="1162" w:leftChars="250" w:hanging="562" w:hangingChars="200"/>
        <w:outlineLvl w:val="1"/>
        <w:rPr>
          <w:b/>
          <w:bCs/>
          <w:sz w:val="28"/>
          <w:szCs w:val="28"/>
        </w:rPr>
      </w:pPr>
      <w:bookmarkStart w:id="28" w:name="_Toc97827716"/>
      <w:r>
        <w:rPr>
          <w:rFonts w:cs="宋体"/>
          <w:b/>
          <w:sz w:val="28"/>
        </w:rPr>
        <w:t>血液相容性</w:t>
      </w:r>
      <w:bookmarkEnd w:id="28"/>
    </w:p>
    <w:p w14:paraId="2E8D0AEF">
      <w:pPr>
        <w:spacing w:before="120"/>
        <w:ind w:left="600" w:leftChars="250"/>
        <w:rPr>
          <w:lang w:eastAsia="zh-CN"/>
        </w:rPr>
      </w:pPr>
      <w:r>
        <w:rPr>
          <w:rFonts w:cs="宋体"/>
          <w:lang w:eastAsia="zh-CN"/>
        </w:rPr>
        <w:t>对于与循环血液直接接触的器械（与接触时长无关），如果未在风险评定过程中另行解决，本机构建议您考虑进行溶血试验、补体激活试验和促凝试验。对于与循环血液间接接触的器械（与接触时长无关），由于通常无需为与血液间接接触的器械进行补体激活试验和体内促凝试验，因此，本机构建议您仅考虑进行溶血试验。但是，对于之前尚未在在美国合法销售的、适用于心血管应用的器械中使用的新型材料，或对于旨在在循环血液中释放化学物质的器械，可能需要为与血液间接接触的器械进行促凝性体外评价（例如，浸提物和可溶出物对血小板和凝血系统的影响）。</w:t>
      </w:r>
    </w:p>
    <w:p w14:paraId="110FF518">
      <w:pPr>
        <w:spacing w:before="120"/>
        <w:rPr>
          <w:lang w:eastAsia="zh-CN"/>
        </w:rPr>
      </w:pPr>
      <w:r>
        <w:rPr>
          <w:rFonts w:cs="宋体"/>
          <w:lang w:eastAsia="zh-CN"/>
        </w:rPr>
        <w:br w:type="page"/>
      </w:r>
    </w:p>
    <w:p w14:paraId="73E950DB">
      <w:pPr>
        <w:spacing w:before="120"/>
        <w:ind w:left="600" w:leftChars="250"/>
        <w:rPr>
          <w:lang w:eastAsia="zh-CN"/>
        </w:rPr>
      </w:pPr>
      <w:r>
        <w:rPr>
          <w:rFonts w:cs="宋体"/>
          <w:lang w:eastAsia="zh-CN"/>
        </w:rPr>
        <w:t>当经风险评定确定无需进行血液相容性试验时，本机构建议您提供支持无需进行这些特殊试验的评价总结。例如，为支持豁免血液相容性试验的决定，应将在配方和工艺中所使用的材料和器械的几何构型（例如，形状、尺寸、表面粗糙度、表面缺陷）与具有相同血液接触时间和拥有可接受应用史的，以及在美国合法销售的器械进行比较（见</w:t>
      </w:r>
      <w:r>
        <w:rPr>
          <w:rFonts w:cs="宋体"/>
          <w:color w:val="0000FF"/>
          <w:u w:val="single"/>
          <w:lang w:eastAsia="zh-CN"/>
        </w:rPr>
        <w:t>附件F</w:t>
      </w:r>
      <w:r>
        <w:rPr>
          <w:rFonts w:cs="宋体"/>
          <w:lang w:eastAsia="zh-CN"/>
        </w:rPr>
        <w:t>）。</w:t>
      </w:r>
    </w:p>
    <w:p w14:paraId="58CFE030">
      <w:pPr>
        <w:spacing w:before="120"/>
        <w:ind w:left="600" w:leftChars="250"/>
        <w:rPr>
          <w:b/>
          <w:bCs/>
          <w:lang w:eastAsia="zh-CN"/>
        </w:rPr>
      </w:pPr>
      <w:r>
        <w:rPr>
          <w:rFonts w:cs="宋体"/>
          <w:b/>
          <w:lang w:eastAsia="zh-CN"/>
        </w:rPr>
        <w:t>溶血</w:t>
      </w:r>
    </w:p>
    <w:p w14:paraId="39D86A61">
      <w:pPr>
        <w:spacing w:before="0" w:beforeLines="0"/>
        <w:ind w:left="600" w:leftChars="250"/>
        <w:rPr>
          <w:lang w:eastAsia="zh-CN"/>
        </w:rPr>
      </w:pPr>
      <w:r>
        <w:rPr>
          <w:rFonts w:cs="宋体"/>
          <w:lang w:eastAsia="zh-CN"/>
        </w:rPr>
        <w:t>关于对直接与循环血液接触的器械的溶血试验，本机构建议根据ASTM F756《评价材料溶血性能的标准实践》，采用直接或间接（浸提）方法或等效方法为材料/表面介导的溶血进行试验。针对为间接与循环血液接触的器械进行的溶血试验，本机构建议仅采用依据ASTM F756的间接（浸提）方法或等效方法。对于不与循环血液发生直接或间接接触的器械或器械组件，通常无需进行本试验。例如，针对作用于血管外表面的器械，除非该器械的部分组件存在进入循环血液的风险，否则，可能无需对其进行溶血试验（例如，用于血管表面的密封剂可能需要进行溶血试验）。</w:t>
      </w:r>
    </w:p>
    <w:p w14:paraId="3E75D604">
      <w:pPr>
        <w:spacing w:before="120"/>
        <w:ind w:left="600" w:leftChars="250"/>
        <w:rPr>
          <w:lang w:eastAsia="zh-CN"/>
        </w:rPr>
      </w:pPr>
      <w:r>
        <w:rPr>
          <w:rFonts w:cs="宋体"/>
          <w:lang w:eastAsia="zh-CN"/>
        </w:rPr>
        <w:t>对于一些由血流引起的较高剪切应力可能引发问题的器械，在临床使用条件下进行动态溶血评价可能同样至关重要。参见相关器械特定指南文件。</w:t>
      </w:r>
      <w:r>
        <w:rPr>
          <w:rFonts w:cs="宋体"/>
          <w:vertAlign w:val="superscript"/>
          <w:lang w:eastAsia="zh-CN"/>
        </w:rPr>
        <w:t>40</w:t>
      </w:r>
    </w:p>
    <w:p w14:paraId="49A03BEF">
      <w:pPr>
        <w:spacing w:before="120"/>
        <w:ind w:left="600" w:leftChars="250"/>
        <w:rPr>
          <w:b/>
          <w:bCs/>
          <w:lang w:eastAsia="zh-CN"/>
        </w:rPr>
      </w:pPr>
      <w:r>
        <w:rPr>
          <w:rFonts w:cs="宋体"/>
          <w:b/>
          <w:lang w:eastAsia="zh-CN"/>
        </w:rPr>
        <w:t>补体激活</w:t>
      </w:r>
    </w:p>
    <w:p w14:paraId="44FED697">
      <w:pPr>
        <w:spacing w:before="120"/>
        <w:rPr>
          <w:lang w:eastAsia="zh-CN"/>
        </w:rPr>
      </w:pPr>
    </w:p>
    <w:p w14:paraId="3790BB70">
      <w:pPr>
        <w:spacing w:before="120"/>
        <w:rPr>
          <w:lang w:eastAsia="zh-CN"/>
        </w:rPr>
      </w:pPr>
    </w:p>
    <w:p w14:paraId="589D50FE">
      <w:pPr>
        <w:spacing w:before="120"/>
        <w:rPr>
          <w:lang w:eastAsia="zh-CN"/>
        </w:rPr>
      </w:pPr>
    </w:p>
    <w:p w14:paraId="74BD26BC">
      <w:pPr>
        <w:spacing w:before="120"/>
        <w:rPr>
          <w:lang w:eastAsia="zh-CN"/>
        </w:rPr>
      </w:pPr>
    </w:p>
    <w:p w14:paraId="55149A36">
      <w:pPr>
        <w:spacing w:before="120"/>
        <w:rPr>
          <w:lang w:eastAsia="zh-CN"/>
        </w:rPr>
      </w:pPr>
    </w:p>
    <w:p w14:paraId="78169D63">
      <w:pPr>
        <w:spacing w:before="120"/>
        <w:rPr>
          <w:lang w:eastAsia="zh-CN"/>
        </w:rPr>
      </w:pPr>
    </w:p>
    <w:p w14:paraId="017041C2">
      <w:pPr>
        <w:spacing w:before="120"/>
        <w:rPr>
          <w:lang w:eastAsia="zh-CN"/>
        </w:rPr>
      </w:pPr>
    </w:p>
    <w:p w14:paraId="4A975910">
      <w:pPr>
        <w:spacing w:before="120"/>
        <w:rPr>
          <w:lang w:eastAsia="zh-CN"/>
        </w:rPr>
      </w:pPr>
    </w:p>
    <w:p w14:paraId="2B408D63">
      <w:pPr>
        <w:spacing w:before="120"/>
        <w:rPr>
          <w:lang w:eastAsia="zh-CN"/>
        </w:rPr>
      </w:pPr>
    </w:p>
    <w:p w14:paraId="320C040F">
      <w:pPr>
        <w:spacing w:before="120"/>
        <w:rPr>
          <w:lang w:eastAsia="zh-CN"/>
        </w:rPr>
      </w:pPr>
    </w:p>
    <w:p w14:paraId="660692E5">
      <w:pPr>
        <w:spacing w:before="120"/>
        <w:rPr>
          <w:lang w:eastAsia="zh-CN"/>
        </w:rPr>
      </w:pPr>
      <w:r>
        <w:rPr>
          <w:rFonts w:cs="宋体"/>
          <w:lang w:eastAsia="zh-CN"/>
        </w:rPr>
        <w:t>________________________</w:t>
      </w:r>
    </w:p>
    <w:p w14:paraId="536544C9">
      <w:pPr>
        <w:spacing w:before="0" w:beforeLines="0"/>
        <w:rPr>
          <w:sz w:val="21"/>
          <w:szCs w:val="21"/>
          <w:lang w:eastAsia="zh-CN"/>
        </w:rPr>
      </w:pPr>
      <w:r>
        <w:rPr>
          <w:rFonts w:cs="宋体"/>
          <w:sz w:val="21"/>
          <w:vertAlign w:val="superscript"/>
          <w:lang w:eastAsia="zh-CN"/>
        </w:rPr>
        <w:t>40</w:t>
      </w:r>
      <w:r>
        <w:rPr>
          <w:rFonts w:cs="宋体"/>
          <w:sz w:val="21"/>
          <w:lang w:eastAsia="zh-CN"/>
        </w:rPr>
        <w:t>例如，FDA指南文件</w:t>
      </w:r>
      <w:r>
        <w:rPr>
          <w:rFonts w:cs="宋体"/>
          <w:color w:val="0000FF"/>
          <w:sz w:val="21"/>
          <w:u w:val="single"/>
          <w:lang w:eastAsia="zh-CN"/>
        </w:rPr>
        <w:t>《用于血液透析的植入式血管通路器械-行业和FDA工作人员指南》</w:t>
      </w:r>
      <w:r>
        <w:rPr>
          <w:rFonts w:cs="宋体"/>
          <w:sz w:val="21"/>
          <w:lang w:eastAsia="zh-CN"/>
        </w:rPr>
        <w:t xml:space="preserve"> 中包含了针对这些器械进行机械溶血试验的建议信息，可登录以下网址获取</w:t>
      </w:r>
      <w:r>
        <w:rPr>
          <w:rFonts w:cs="宋体"/>
          <w:color w:val="0000FF"/>
          <w:sz w:val="21"/>
          <w:u w:val="single"/>
          <w:lang w:eastAsia="zh-CN"/>
        </w:rPr>
        <w:t>https://www.fda.gov/regulatory-information/search-fda-guidance-documents/implanted-blood-access-devices-hemodialysis</w:t>
      </w:r>
      <w:r>
        <w:rPr>
          <w:rFonts w:cs="宋体"/>
          <w:sz w:val="21"/>
          <w:lang w:eastAsia="zh-CN"/>
        </w:rPr>
        <w:t>。</w:t>
      </w:r>
    </w:p>
    <w:p w14:paraId="5C3180CE">
      <w:pPr>
        <w:spacing w:before="120"/>
        <w:rPr>
          <w:lang w:eastAsia="zh-CN"/>
        </w:rPr>
      </w:pPr>
      <w:r>
        <w:rPr>
          <w:rFonts w:cs="宋体"/>
          <w:lang w:eastAsia="zh-CN"/>
        </w:rPr>
        <w:br w:type="page"/>
      </w:r>
    </w:p>
    <w:p w14:paraId="423E1CD9">
      <w:pPr>
        <w:spacing w:before="120"/>
        <w:ind w:left="600" w:leftChars="250"/>
        <w:rPr>
          <w:lang w:eastAsia="zh-CN"/>
        </w:rPr>
      </w:pPr>
      <w:r>
        <w:rPr>
          <w:rFonts w:cs="宋体"/>
          <w:lang w:eastAsia="zh-CN"/>
        </w:rPr>
        <w:t>由医疗器械介导的补体激活是一个复杂的过程，而且与器械的理化性能呈函数关系。许多因素，如器械表面积、表面构造，和化学成分（例如，官能团）</w:t>
      </w:r>
      <w:r>
        <w:rPr>
          <w:rFonts w:cs="宋体"/>
          <w:vertAlign w:val="superscript"/>
          <w:lang w:eastAsia="zh-CN"/>
        </w:rPr>
        <w:t>41</w:t>
      </w:r>
      <w:r>
        <w:rPr>
          <w:rFonts w:cs="宋体"/>
          <w:lang w:eastAsia="zh-CN"/>
        </w:rPr>
        <w:t>可能对补体激活造成影响。如果为直接与血液接触的器械进行补体激活试验，本机构建议您对器械（即，直接接触研究）而不是器械浸提物进行补体激活试验。针对体外补体激活试验，本机构建议采用已确立的ELISA检测方法来评价SC5b-9片段激活。在体外“静态”补体激活试验中优先使用存在功能的全血。</w:t>
      </w:r>
      <w:r>
        <w:rPr>
          <w:rFonts w:cs="宋体"/>
          <w:vertAlign w:val="superscript"/>
          <w:lang w:eastAsia="zh-CN"/>
        </w:rPr>
        <w:t>42,43</w:t>
      </w:r>
      <w:r>
        <w:rPr>
          <w:rFonts w:cs="宋体"/>
          <w:lang w:eastAsia="zh-CN"/>
        </w:rPr>
        <w:t>如果使用全血或血浆，宜仔细选择抗凝剂的类型，以确保其不会抑制或加强由试验器械本身引起的补体激活。如果使用全血或血浆，应提供试验验证信息以确认试验能够检测出阴性对照和阳性对照之间的差异。在数据解释方面，如果供试品和阴性对照之间无显著统计学差异，认为试验结果令人满意。但是，如果供试品和阴性对照之间存在显著的统计学差异，利用在美国合法销售的竞争器械进行补体激活试验可能有助于对数据进行解释。其原因是，目前尚无已确立的、适用于临床上可接受的补体激活水平的合格/不合格标准。因此，可利用竞争产品数据来评价在体外模型中利用供试器械获取的结果的生物相关性。如果一同提供了上述概述的合理验证信息，可采用用于对补体激活进行试验的等效方法，如体内动物模型、体外“静态”方法，如ASTM F1984《对由固体材料引起全补体激活进行试验的标准实践》，或在模拟临床使用条件下进行的体外动力学试验。或者，如果在器械配方和工艺中使用的所有材料具有之前在具有可比性或更大表面积以及等效接触时间的、与血液接触的器械中的应用史，您或许可提供用于豁免补体激活试验的理由。</w:t>
      </w:r>
    </w:p>
    <w:p w14:paraId="55A9C25B">
      <w:pPr>
        <w:spacing w:before="120"/>
        <w:ind w:left="600" w:leftChars="250"/>
        <w:rPr>
          <w:b/>
          <w:bCs/>
          <w:lang w:eastAsia="zh-CN"/>
        </w:rPr>
      </w:pPr>
      <w:r>
        <w:rPr>
          <w:rFonts w:cs="宋体"/>
          <w:b/>
          <w:lang w:eastAsia="zh-CN"/>
        </w:rPr>
        <w:t>促凝性</w:t>
      </w:r>
    </w:p>
    <w:p w14:paraId="65F646DB">
      <w:pPr>
        <w:spacing w:before="0" w:beforeLines="0"/>
        <w:ind w:left="600" w:leftChars="250"/>
        <w:rPr>
          <w:lang w:eastAsia="zh-CN"/>
        </w:rPr>
      </w:pPr>
      <w:r>
        <w:rPr>
          <w:rFonts w:cs="宋体"/>
          <w:lang w:eastAsia="zh-CN"/>
        </w:rPr>
        <w:t>在与机构关于在器械试验中最大限度减少动物使用数量的立场保持一致的同时，本机构建议在相关动物模型中以安全性或功能性研究的方式进行促凝性评价（如果通常会为特定类型的器械进行该研究）。例如，通常在动物模型中评价血管支架的安全性，并且，该评价包括对输送系统和植入器械进行的促凝性评价。具有促凝性终点的研究方案应包含用于评价与器械相关血栓形成（例如，照片证据）和相关下游器官血栓栓塞的合理方法。如果在拆除器械时发现由器械引起的栓塞或器械旨在用于重要器官的上游，进行其他组织病理学分析或许有助于对局部组织、上游组织和下游组织进行评价。</w:t>
      </w:r>
    </w:p>
    <w:p w14:paraId="1F7088D5">
      <w:pPr>
        <w:spacing w:before="120"/>
        <w:rPr>
          <w:lang w:eastAsia="zh-CN"/>
        </w:rPr>
      </w:pPr>
      <w:r>
        <w:rPr>
          <w:rFonts w:cs="宋体"/>
        </w:rPr>
        <w:t>________________________</w:t>
      </w:r>
    </w:p>
    <w:p w14:paraId="6A7E7AC4">
      <w:pPr>
        <w:spacing w:before="0" w:beforeLines="0"/>
        <w:rPr>
          <w:sz w:val="21"/>
          <w:szCs w:val="21"/>
        </w:rPr>
      </w:pPr>
      <w:r>
        <w:rPr>
          <w:rFonts w:cs="宋体"/>
          <w:sz w:val="21"/>
          <w:vertAlign w:val="superscript"/>
        </w:rPr>
        <w:t>41</w:t>
      </w:r>
      <w:r>
        <w:rPr>
          <w:rFonts w:cs="宋体"/>
          <w:sz w:val="21"/>
        </w:rPr>
        <w:t xml:space="preserve"> Moghimi, S.M., et al., “Material properties in complement activation.”Adv Drug Deliv Rev, 2011, 63(12): 1000-1007.</w:t>
      </w:r>
    </w:p>
    <w:p w14:paraId="212DB67C">
      <w:pPr>
        <w:spacing w:before="0" w:beforeLines="0"/>
        <w:rPr>
          <w:sz w:val="21"/>
          <w:szCs w:val="21"/>
        </w:rPr>
      </w:pPr>
      <w:r>
        <w:rPr>
          <w:rFonts w:cs="宋体"/>
          <w:sz w:val="21"/>
          <w:vertAlign w:val="superscript"/>
        </w:rPr>
        <w:t>42</w:t>
      </w:r>
      <w:r>
        <w:rPr>
          <w:rFonts w:cs="宋体"/>
          <w:sz w:val="21"/>
        </w:rPr>
        <w:t xml:space="preserve"> Harboe, M., et al., “Advances in assay of complement function and activation.”Adv Drug Deliv Rev, 2011, 63(12): 976-987.</w:t>
      </w:r>
    </w:p>
    <w:p w14:paraId="1CBAB469">
      <w:pPr>
        <w:spacing w:before="0" w:beforeLines="0"/>
        <w:rPr>
          <w:sz w:val="21"/>
          <w:szCs w:val="21"/>
        </w:rPr>
      </w:pPr>
      <w:r>
        <w:rPr>
          <w:rFonts w:cs="宋体"/>
          <w:sz w:val="21"/>
          <w:vertAlign w:val="superscript"/>
        </w:rPr>
        <w:t>43</w:t>
      </w:r>
      <w:r>
        <w:rPr>
          <w:rFonts w:cs="宋体"/>
          <w:sz w:val="21"/>
        </w:rPr>
        <w:t xml:space="preserve"> Lachmann, P.J., “Preparing serum for functional complement assays.”J Immunol Methods, 2010, 352 (1-2): 195-197.</w:t>
      </w:r>
    </w:p>
    <w:p w14:paraId="30CCB849">
      <w:pPr>
        <w:spacing w:before="120"/>
      </w:pPr>
      <w:r>
        <w:rPr>
          <w:rFonts w:cs="宋体"/>
        </w:rPr>
        <w:br w:type="page"/>
      </w:r>
    </w:p>
    <w:p w14:paraId="34093054">
      <w:pPr>
        <w:spacing w:before="120"/>
        <w:ind w:left="600" w:leftChars="250"/>
        <w:rPr>
          <w:lang w:eastAsia="zh-CN"/>
        </w:rPr>
      </w:pPr>
      <w:r>
        <w:rPr>
          <w:rFonts w:cs="宋体"/>
          <w:lang w:eastAsia="zh-CN"/>
        </w:rPr>
        <w:t>在进行体内试验时，存在诸多可能影响试验结果的参数，包括：</w:t>
      </w:r>
    </w:p>
    <w:p w14:paraId="5F8FC827">
      <w:pPr>
        <w:pStyle w:val="40"/>
        <w:numPr>
          <w:ilvl w:val="0"/>
          <w:numId w:val="12"/>
        </w:numPr>
        <w:spacing w:before="120"/>
        <w:ind w:left="1305" w:firstLineChars="0"/>
      </w:pPr>
      <w:r>
        <w:rPr>
          <w:rFonts w:cs="宋体"/>
        </w:rPr>
        <w:t>动物种类；</w:t>
      </w:r>
    </w:p>
    <w:p w14:paraId="29FE5E81">
      <w:pPr>
        <w:pStyle w:val="40"/>
        <w:numPr>
          <w:ilvl w:val="0"/>
          <w:numId w:val="12"/>
        </w:numPr>
        <w:spacing w:before="120"/>
        <w:ind w:left="1305" w:firstLineChars="0"/>
        <w:rPr>
          <w:lang w:eastAsia="zh-CN"/>
        </w:rPr>
      </w:pPr>
      <w:r>
        <w:rPr>
          <w:rFonts w:cs="宋体"/>
          <w:lang w:eastAsia="zh-CN"/>
        </w:rPr>
        <w:t>动物在模拟临床体位操作过程中的体位；</w:t>
      </w:r>
    </w:p>
    <w:p w14:paraId="1E7C48A4">
      <w:pPr>
        <w:pStyle w:val="40"/>
        <w:numPr>
          <w:ilvl w:val="0"/>
          <w:numId w:val="12"/>
        </w:numPr>
        <w:spacing w:before="120"/>
        <w:ind w:left="1305" w:firstLineChars="0"/>
      </w:pPr>
      <w:r>
        <w:rPr>
          <w:rFonts w:cs="宋体"/>
        </w:rPr>
        <w:t>抗凝治疗，如适用；</w:t>
      </w:r>
    </w:p>
    <w:p w14:paraId="20FB83E3">
      <w:pPr>
        <w:pStyle w:val="40"/>
        <w:numPr>
          <w:ilvl w:val="0"/>
          <w:numId w:val="12"/>
        </w:numPr>
        <w:spacing w:before="120"/>
        <w:ind w:left="1305" w:firstLineChars="0"/>
        <w:rPr>
          <w:lang w:eastAsia="zh-CN"/>
        </w:rPr>
      </w:pPr>
      <w:r>
        <w:rPr>
          <w:rFonts w:cs="宋体"/>
          <w:lang w:eastAsia="zh-CN"/>
        </w:rPr>
        <w:t>减轻植入部位血管创伤的植入技术；</w:t>
      </w:r>
    </w:p>
    <w:p w14:paraId="6BFF59CE">
      <w:pPr>
        <w:pStyle w:val="40"/>
        <w:numPr>
          <w:ilvl w:val="0"/>
          <w:numId w:val="12"/>
        </w:numPr>
        <w:spacing w:before="120"/>
        <w:ind w:left="1305" w:firstLineChars="0"/>
        <w:rPr>
          <w:lang w:eastAsia="zh-CN"/>
        </w:rPr>
      </w:pPr>
      <w:r>
        <w:rPr>
          <w:rFonts w:cs="宋体"/>
          <w:lang w:eastAsia="zh-CN"/>
        </w:rPr>
        <w:t>血管-器械直径的比例（针对直径较大的血管，应使用直径更大的器械来维持与在患者体内观察到的关系相似的直径相关性，并避免对血流造成人为破坏以及与血管壁接触）；</w:t>
      </w:r>
    </w:p>
    <w:p w14:paraId="3E251279">
      <w:pPr>
        <w:pStyle w:val="40"/>
        <w:numPr>
          <w:ilvl w:val="0"/>
          <w:numId w:val="12"/>
        </w:numPr>
        <w:spacing w:before="120"/>
        <w:ind w:left="1305" w:firstLineChars="0"/>
        <w:rPr>
          <w:lang w:eastAsia="zh-CN"/>
        </w:rPr>
      </w:pPr>
      <w:r>
        <w:rPr>
          <w:rFonts w:cs="宋体"/>
          <w:lang w:eastAsia="zh-CN"/>
        </w:rPr>
        <w:t>保证血液流经器械周围的器械定位和固定情况；以及</w:t>
      </w:r>
    </w:p>
    <w:p w14:paraId="2F426F52">
      <w:pPr>
        <w:pStyle w:val="40"/>
        <w:numPr>
          <w:ilvl w:val="0"/>
          <w:numId w:val="12"/>
        </w:numPr>
        <w:spacing w:before="120"/>
        <w:ind w:left="1305" w:firstLineChars="0"/>
        <w:rPr>
          <w:lang w:eastAsia="zh-CN"/>
        </w:rPr>
      </w:pPr>
      <w:r>
        <w:rPr>
          <w:rFonts w:cs="宋体"/>
          <w:lang w:eastAsia="zh-CN"/>
        </w:rPr>
        <w:t>确保对粘附血栓造成最小破坏并最小化死后血块形成的外植技术。</w:t>
      </w:r>
    </w:p>
    <w:p w14:paraId="22B55B95">
      <w:pPr>
        <w:spacing w:before="120"/>
        <w:ind w:left="600" w:leftChars="250"/>
        <w:rPr>
          <w:lang w:eastAsia="zh-CN"/>
        </w:rPr>
      </w:pPr>
      <w:r>
        <w:rPr>
          <w:rFonts w:cs="宋体"/>
          <w:lang w:eastAsia="zh-CN"/>
        </w:rPr>
        <w:t>在进行体内研究时，进行荧光镜检查可能有助于确保合理安装器械。如果仅利用一部分器械进行促凝性试验，申请人应确认供试品能够代表所有与血液直接接触的材料和重要几何构造/表面特性。此外，针对所有体内促凝性评价，本机构建议提供器械/血管外植体的彩色照片。</w:t>
      </w:r>
    </w:p>
    <w:p w14:paraId="22871ED9">
      <w:pPr>
        <w:spacing w:before="120"/>
        <w:ind w:left="600" w:leftChars="250"/>
        <w:rPr>
          <w:lang w:eastAsia="zh-CN"/>
        </w:rPr>
      </w:pPr>
      <w:r>
        <w:rPr>
          <w:rFonts w:cs="宋体"/>
          <w:lang w:eastAsia="zh-CN"/>
        </w:rPr>
        <w:t>对于一些通常无法进行体内动物研究的器械，如氧合器，可能会利用一系列体外血液损伤评价来支持法规提交。特别是，可利用一系列包含血小板评价（例如，粘附、激活）的体外试验和凝血系统（例如，凝血酶-抗凝血酶复合物（TAT）、部分促凝血酶原激酶时间（PTT）</w:t>
      </w:r>
      <w:r>
        <w:rPr>
          <w:rFonts w:cs="宋体"/>
          <w:vertAlign w:val="superscript"/>
          <w:lang w:eastAsia="zh-CN"/>
        </w:rPr>
        <w:t>44</w:t>
      </w:r>
      <w:r>
        <w:rPr>
          <w:rFonts w:cs="宋体"/>
          <w:lang w:eastAsia="zh-CN"/>
        </w:rPr>
        <w:t>）来替代体内凝血活性试验。对于仅对材料变更而不是器械几何构型或表面特性进行的评价，在“静态”环境中进行试验（例如，在缺少模拟临床血流条件的情况下，缓慢搅拌血液）可能是足够的。但是，对于新器械和/或针对现有器械几何构型的变更，建议在模拟临床流程条件下对血流介导的血栓形成进行评价。本研究设计应包括对血小板、凝血系统、以及宏观血栓形成的评价。</w:t>
      </w:r>
    </w:p>
    <w:p w14:paraId="24628078">
      <w:pPr>
        <w:spacing w:before="120"/>
        <w:rPr>
          <w:rFonts w:cs="宋体"/>
          <w:lang w:eastAsia="zh-CN"/>
        </w:rPr>
      </w:pPr>
    </w:p>
    <w:p w14:paraId="4EED6A42">
      <w:pPr>
        <w:spacing w:before="120"/>
        <w:rPr>
          <w:rFonts w:cs="宋体"/>
          <w:lang w:eastAsia="zh-CN"/>
        </w:rPr>
      </w:pPr>
    </w:p>
    <w:p w14:paraId="274F704D">
      <w:pPr>
        <w:spacing w:before="120"/>
        <w:rPr>
          <w:rFonts w:cs="宋体"/>
          <w:lang w:eastAsia="zh-CN"/>
        </w:rPr>
      </w:pPr>
    </w:p>
    <w:p w14:paraId="2D93EF2C">
      <w:pPr>
        <w:spacing w:before="120"/>
        <w:rPr>
          <w:rFonts w:cs="宋体"/>
          <w:lang w:eastAsia="zh-CN"/>
        </w:rPr>
      </w:pPr>
    </w:p>
    <w:p w14:paraId="162C9DBE">
      <w:pPr>
        <w:spacing w:before="120"/>
        <w:rPr>
          <w:lang w:eastAsia="zh-CN"/>
        </w:rPr>
      </w:pPr>
      <w:r>
        <w:rPr>
          <w:rFonts w:cs="宋体"/>
          <w:lang w:eastAsia="zh-CN"/>
        </w:rPr>
        <w:t>________________________</w:t>
      </w:r>
    </w:p>
    <w:p w14:paraId="71E73044">
      <w:pPr>
        <w:spacing w:before="0" w:beforeLines="0"/>
        <w:rPr>
          <w:rFonts w:cs="宋体"/>
          <w:sz w:val="21"/>
          <w:lang w:eastAsia="zh-CN"/>
        </w:rPr>
      </w:pPr>
      <w:r>
        <w:rPr>
          <w:rFonts w:cs="宋体"/>
          <w:sz w:val="21"/>
          <w:vertAlign w:val="superscript"/>
          <w:lang w:eastAsia="zh-CN"/>
        </w:rPr>
        <w:t>44</w:t>
      </w:r>
      <w:r>
        <w:rPr>
          <w:rFonts w:cs="宋体"/>
          <w:sz w:val="21"/>
          <w:lang w:eastAsia="zh-CN"/>
        </w:rPr>
        <w:t>这将不会是进行临床使用的活化PTT（aPPT）试验。如ISO 10993-4:2017《医疗器械生物学评价-第4部分：与血液相互作用试验的选择》中所记录的，“由于活化物质会掩盖由器械或其组件材料引起的活化作用，在血液/器械相互作用的体外评价中进行活化PPT（aPTT）试验无价值。”</w:t>
      </w:r>
    </w:p>
    <w:p w14:paraId="39B9E968">
      <w:pPr>
        <w:spacing w:before="0" w:beforeLines="0"/>
        <w:rPr>
          <w:lang w:eastAsia="zh-CN"/>
        </w:rPr>
      </w:pPr>
      <w:r>
        <w:rPr>
          <w:rFonts w:cs="宋体"/>
          <w:sz w:val="21"/>
          <w:lang w:eastAsia="zh-CN"/>
        </w:rPr>
        <w:br w:type="page"/>
      </w:r>
    </w:p>
    <w:p w14:paraId="708B31BA">
      <w:pPr>
        <w:spacing w:before="120"/>
        <w:ind w:left="600" w:leftChars="250"/>
        <w:rPr>
          <w:lang w:eastAsia="zh-CN"/>
        </w:rPr>
      </w:pPr>
      <w:r>
        <w:rPr>
          <w:rFonts w:cs="宋体"/>
          <w:lang w:eastAsia="zh-CN"/>
        </w:rPr>
        <w:t>对于体外试验，优选使用人血。如果无法将多个供体的血液进行混合以用于单次试验，本机构建议利用源于另一个供体的血液进行每次重复试验，以证明试验结果不受供体差异影响。对于需要利用大量血液进行的试验，可使用动物血液，并提供理由。血流条件（例如，缓慢搅拌与临床相关的血流的比较）以及用于体外试验的抗凝作用的类型和浓度可能取决于试验系统和器械的临床使用范围。本机构建议对试验条件进行验证，以确认试验能够区分阳性反应和阴性反应。</w:t>
      </w:r>
    </w:p>
    <w:p w14:paraId="747C3B8B">
      <w:pPr>
        <w:spacing w:before="120"/>
        <w:ind w:left="600" w:leftChars="250"/>
        <w:rPr>
          <w:lang w:eastAsia="zh-CN"/>
        </w:rPr>
      </w:pPr>
      <w:r>
        <w:rPr>
          <w:rFonts w:cs="宋体"/>
          <w:lang w:eastAsia="zh-CN"/>
        </w:rPr>
        <w:t>在某些情况下，可能需要进行额外的促凝评价，例如，如果：</w:t>
      </w:r>
    </w:p>
    <w:p w14:paraId="5D053AEE">
      <w:pPr>
        <w:pStyle w:val="40"/>
        <w:numPr>
          <w:ilvl w:val="0"/>
          <w:numId w:val="12"/>
        </w:numPr>
        <w:spacing w:before="120"/>
        <w:ind w:left="1305" w:firstLineChars="0"/>
        <w:rPr>
          <w:lang w:eastAsia="zh-CN"/>
        </w:rPr>
      </w:pPr>
      <w:r>
        <w:rPr>
          <w:rFonts w:cs="宋体"/>
          <w:lang w:eastAsia="zh-CN"/>
        </w:rPr>
        <w:t>您的器械中含有之前未在与血液接触的、在美国合法销售的器械中使用的新型材料，特别是，如有对未经抗凝治疗的患者使用该器械的可能性，或者</w:t>
      </w:r>
    </w:p>
    <w:p w14:paraId="2CB2AAFB">
      <w:pPr>
        <w:pStyle w:val="40"/>
        <w:numPr>
          <w:ilvl w:val="0"/>
          <w:numId w:val="12"/>
        </w:numPr>
        <w:spacing w:before="120"/>
        <w:ind w:left="1305" w:firstLineChars="0"/>
        <w:rPr>
          <w:lang w:eastAsia="zh-CN"/>
        </w:rPr>
      </w:pPr>
      <w:r>
        <w:rPr>
          <w:rFonts w:cs="宋体"/>
          <w:lang w:eastAsia="zh-CN"/>
        </w:rPr>
        <w:t>在体内安全性研究或之前在体外促凝血研究中发现的可疑性或不确定性血液相容性结果。</w:t>
      </w:r>
    </w:p>
    <w:p w14:paraId="5D5635F3">
      <w:pPr>
        <w:spacing w:before="120"/>
        <w:ind w:left="600" w:leftChars="250"/>
        <w:rPr>
          <w:lang w:eastAsia="zh-CN"/>
        </w:rPr>
      </w:pPr>
      <w:r>
        <w:rPr>
          <w:rFonts w:cs="宋体"/>
          <w:lang w:eastAsia="zh-CN"/>
        </w:rPr>
        <w:t>根据特定器械类型、预期临床使用和进行试验前所考虑的问题（如有），本评价可能包含其他的体外或体内试验。</w:t>
      </w:r>
    </w:p>
    <w:p w14:paraId="4F609227">
      <w:pPr>
        <w:spacing w:before="120"/>
        <w:ind w:left="600" w:leftChars="250"/>
        <w:rPr>
          <w:lang w:eastAsia="zh-CN"/>
        </w:rPr>
      </w:pPr>
      <w:r>
        <w:rPr>
          <w:rFonts w:cs="宋体"/>
          <w:lang w:eastAsia="zh-CN"/>
        </w:rPr>
        <w:t>在某些情况下，可能需要进行急性的（例如，4-6小时）非抗凝动物研究，例如：</w:t>
      </w:r>
    </w:p>
    <w:p w14:paraId="46D3CB11">
      <w:pPr>
        <w:pStyle w:val="40"/>
        <w:numPr>
          <w:ilvl w:val="0"/>
          <w:numId w:val="12"/>
        </w:numPr>
        <w:spacing w:before="120"/>
        <w:ind w:left="1305" w:firstLineChars="0"/>
        <w:rPr>
          <w:lang w:eastAsia="zh-CN"/>
        </w:rPr>
      </w:pPr>
      <w:r>
        <w:rPr>
          <w:rFonts w:cs="宋体"/>
          <w:lang w:eastAsia="zh-CN"/>
        </w:rPr>
        <w:t>对于不总是结合抗凝治疗使用的器械（例如，诊断性心脏导管），</w:t>
      </w:r>
    </w:p>
    <w:p w14:paraId="46223067">
      <w:pPr>
        <w:pStyle w:val="40"/>
        <w:numPr>
          <w:ilvl w:val="0"/>
          <w:numId w:val="12"/>
        </w:numPr>
        <w:spacing w:before="120"/>
        <w:ind w:left="1305" w:firstLineChars="0"/>
        <w:rPr>
          <w:lang w:eastAsia="zh-CN"/>
        </w:rPr>
      </w:pPr>
      <w:r>
        <w:rPr>
          <w:rFonts w:cs="宋体"/>
          <w:lang w:eastAsia="zh-CN"/>
        </w:rPr>
        <w:t>对于因临床原因而无法使用抗凝血剂的患者（例如，对于适用于治疗血友病患者的器械），或者</w:t>
      </w:r>
    </w:p>
    <w:p w14:paraId="28A7C878">
      <w:pPr>
        <w:pStyle w:val="40"/>
        <w:numPr>
          <w:ilvl w:val="0"/>
          <w:numId w:val="12"/>
        </w:numPr>
        <w:spacing w:before="120"/>
        <w:ind w:left="1305" w:firstLineChars="0"/>
        <w:rPr>
          <w:lang w:eastAsia="zh-CN"/>
        </w:rPr>
      </w:pPr>
      <w:r>
        <w:rPr>
          <w:rFonts w:cs="宋体"/>
          <w:lang w:eastAsia="zh-CN"/>
        </w:rPr>
        <w:t>当所调查的设计特征适用于降低促凝血可能性时（例如，涂层的有效性）。</w:t>
      </w:r>
    </w:p>
    <w:p w14:paraId="5BD5DDF0">
      <w:pPr>
        <w:spacing w:before="120"/>
        <w:rPr>
          <w:lang w:eastAsia="zh-CN"/>
        </w:rPr>
      </w:pPr>
      <w:r>
        <w:rPr>
          <w:rFonts w:cs="宋体"/>
          <w:lang w:eastAsia="zh-CN"/>
        </w:rPr>
        <w:br w:type="page"/>
      </w:r>
    </w:p>
    <w:p w14:paraId="47C27065">
      <w:pPr>
        <w:spacing w:before="120"/>
        <w:ind w:left="600" w:leftChars="250"/>
        <w:rPr>
          <w:lang w:eastAsia="zh-CN"/>
        </w:rPr>
      </w:pPr>
      <w:r>
        <w:rPr>
          <w:rFonts w:cs="宋体"/>
          <w:lang w:eastAsia="zh-CN"/>
        </w:rPr>
        <w:t>尽管非抗凝体内研究存在局限性，当正确进行该研究时，它们会就协同机制（例如，器械的材料和几何构型、动脉-静脉血流）如何影响血栓形成方面提供有用信息。</w:t>
      </w:r>
    </w:p>
    <w:p w14:paraId="095EB381">
      <w:pPr>
        <w:spacing w:before="120"/>
        <w:ind w:left="600" w:leftChars="250"/>
        <w:rPr>
          <w:lang w:eastAsia="zh-CN"/>
        </w:rPr>
      </w:pPr>
      <w:r>
        <w:rPr>
          <w:rFonts w:cs="宋体"/>
          <w:lang w:eastAsia="zh-CN"/>
        </w:rPr>
        <w:t>如果非抗凝血性体内试验结果引起血栓评分升高（即，器械无抗血栓作用），可能必须筛查与器械相关的特征，如可能与促凝性相关的表面缺损（例如，至少40倍放大的显微镜）。在某些情况下，对您的器械的几何构型和表面进行详细分析并与在美国合法销售的器械进行比较，可能会更有意义。根据所观察到的血栓水平、表面分析结果和可能对患者构成的风险，本机构建议您使用临床相关水平的抗凝剂来重复体内研究，以确认抗凝剂将逆转在无抗凝血治疗模型中观察到的血栓反应。</w:t>
      </w:r>
      <w:r>
        <w:rPr>
          <w:rFonts w:cs="宋体"/>
          <w:vertAlign w:val="superscript"/>
          <w:lang w:eastAsia="zh-CN"/>
        </w:rPr>
        <w:t>45</w:t>
      </w:r>
      <w:r>
        <w:rPr>
          <w:rFonts w:cs="宋体"/>
          <w:lang w:eastAsia="zh-CN"/>
        </w:rPr>
        <w:t>在这种情况下，也可能需要贴上标签以表明禁止对未经抗凝血治疗的患者使用该器械。</w:t>
      </w:r>
    </w:p>
    <w:p w14:paraId="1119030E">
      <w:pPr>
        <w:pStyle w:val="40"/>
        <w:numPr>
          <w:ilvl w:val="0"/>
          <w:numId w:val="10"/>
        </w:numPr>
        <w:spacing w:before="120"/>
        <w:ind w:left="1162" w:leftChars="250" w:hanging="562" w:hangingChars="200"/>
        <w:outlineLvl w:val="1"/>
        <w:rPr>
          <w:b/>
          <w:bCs/>
          <w:sz w:val="28"/>
          <w:szCs w:val="28"/>
        </w:rPr>
      </w:pPr>
      <w:bookmarkStart w:id="29" w:name="_Toc97827717"/>
      <w:r>
        <w:rPr>
          <w:rFonts w:cs="宋体"/>
          <w:b/>
          <w:sz w:val="28"/>
        </w:rPr>
        <w:t>致热原性</w:t>
      </w:r>
      <w:bookmarkEnd w:id="29"/>
    </w:p>
    <w:p w14:paraId="0796E37E">
      <w:pPr>
        <w:spacing w:before="120"/>
        <w:ind w:left="600" w:leftChars="250"/>
        <w:rPr>
          <w:lang w:eastAsia="zh-CN"/>
        </w:rPr>
      </w:pPr>
      <w:r>
        <w:rPr>
          <w:rFonts w:cs="宋体"/>
          <w:lang w:eastAsia="zh-CN"/>
        </w:rPr>
        <w:t>植入物（因其与淋巴系统接触）和与心血管系统、淋巴系统或脑脊液（CSF）（与接触时间无关）直接或间接接触的无菌器械、以及标记为“无热原性”的器械应符合热原限度标准。</w:t>
      </w:r>
      <w:r>
        <w:rPr>
          <w:rFonts w:cs="宋体"/>
          <w:vertAlign w:val="superscript"/>
          <w:lang w:eastAsia="zh-CN"/>
        </w:rPr>
        <w:t>46</w:t>
      </w:r>
      <w:r>
        <w:rPr>
          <w:rFonts w:cs="宋体"/>
          <w:lang w:eastAsia="zh-CN"/>
        </w:rPr>
        <w:t>使用热原信息有助于患者避免发热反应风险。讨论热原时，应考虑热原的两个来源。首先，材料介导的致热原是在器械使用过程中能够从医疗器械中溶出的化学物质。</w:t>
      </w:r>
      <w:r>
        <w:rPr>
          <w:rFonts w:cs="宋体"/>
          <w:vertAlign w:val="superscript"/>
          <w:lang w:eastAsia="zh-CN"/>
        </w:rPr>
        <w:t>47</w:t>
      </w:r>
      <w:r>
        <w:rPr>
          <w:rFonts w:cs="宋体"/>
          <w:lang w:eastAsia="zh-CN"/>
        </w:rPr>
        <w:t>细菌内毒素致热原也会产生与一些材料介导的反应相似的发热反应。</w:t>
      </w:r>
    </w:p>
    <w:p w14:paraId="42A1FD1D">
      <w:pPr>
        <w:spacing w:before="120"/>
        <w:ind w:left="600" w:leftChars="250"/>
        <w:rPr>
          <w:lang w:eastAsia="zh-CN"/>
        </w:rPr>
      </w:pPr>
      <w:r>
        <w:rPr>
          <w:rFonts w:cs="宋体"/>
          <w:lang w:eastAsia="zh-CN"/>
        </w:rPr>
        <w:t>如果根据</w:t>
      </w:r>
      <w:r>
        <w:rPr>
          <w:rFonts w:cs="宋体"/>
          <w:color w:val="0000FF"/>
          <w:u w:val="single"/>
          <w:lang w:eastAsia="zh-CN"/>
        </w:rPr>
        <w:t>附件A</w:t>
      </w:r>
      <w:r>
        <w:rPr>
          <w:rFonts w:cs="宋体"/>
          <w:lang w:eastAsia="zh-CN"/>
        </w:rPr>
        <w:t>，建议进行考虑，如果器械浸提物的化学表征和之前提供的信息指示已对所有与患者接触的组件进行了热原评价，那么，无需进行材料介导的热原试验。否则，本机构建议您利用传统生物相容性浸提方法（例如，根据ISO 10993-12:2012，在50℃条件下浸提72小时；在70℃条件下浸提24小时；或在121℃条件下浸提1小时）并通过热原试验（如在USP 34 &lt; 151 &gt;家兔热原检查中概述的方法或等效的、经验证的方法）对材料介导的热原进行评价。对于含有不耐热或热敏材料（例如，药物、生物分子、组织源性组件）的、可能在高温下发生变形或材料构型/构造发生变化的器械，根据ISO 10993-12:2012，建议在37℃条件下进行浸提。</w:t>
      </w:r>
    </w:p>
    <w:p w14:paraId="1B2FFCFB">
      <w:pPr>
        <w:spacing w:before="120"/>
        <w:rPr>
          <w:lang w:eastAsia="zh-CN"/>
        </w:rPr>
      </w:pPr>
      <w:r>
        <w:rPr>
          <w:rFonts w:cs="宋体"/>
          <w:lang w:eastAsia="zh-CN"/>
        </w:rPr>
        <w:t>________________________</w:t>
      </w:r>
    </w:p>
    <w:p w14:paraId="43BEA3AA">
      <w:pPr>
        <w:spacing w:before="0" w:beforeLines="0"/>
        <w:rPr>
          <w:sz w:val="21"/>
          <w:szCs w:val="21"/>
          <w:lang w:eastAsia="zh-CN"/>
        </w:rPr>
      </w:pPr>
      <w:r>
        <w:rPr>
          <w:rFonts w:cs="宋体"/>
          <w:sz w:val="21"/>
          <w:vertAlign w:val="superscript"/>
          <w:lang w:eastAsia="zh-CN"/>
        </w:rPr>
        <w:t>45</w:t>
      </w:r>
      <w:r>
        <w:rPr>
          <w:rFonts w:cs="宋体"/>
          <w:sz w:val="21"/>
          <w:lang w:eastAsia="zh-CN"/>
        </w:rPr>
        <w:t>曾有人提出在4小时犬体内促凝性研究中使用抗凝剂来支持法规文件提交。在本类研究中使用抗凝剂可能显著影响研究在器械形成血栓可能性方面提供有益数据的能力。因此，本类研究中的数据通常仅用于进行比较（即，确定临床相关抗凝作用是否将对立在非抗凝血研究中观察到的任何血栓形成效应）。</w:t>
      </w:r>
    </w:p>
    <w:p w14:paraId="03997805">
      <w:pPr>
        <w:spacing w:before="0" w:beforeLines="0"/>
        <w:rPr>
          <w:sz w:val="21"/>
          <w:szCs w:val="21"/>
          <w:lang w:eastAsia="zh-CN"/>
        </w:rPr>
      </w:pPr>
      <w:r>
        <w:rPr>
          <w:rFonts w:cs="宋体"/>
          <w:sz w:val="21"/>
          <w:vertAlign w:val="superscript"/>
          <w:lang w:eastAsia="zh-CN"/>
        </w:rPr>
        <w:t>46</w:t>
      </w:r>
      <w:r>
        <w:rPr>
          <w:rFonts w:cs="宋体"/>
          <w:sz w:val="21"/>
          <w:lang w:eastAsia="zh-CN"/>
        </w:rPr>
        <w:t>参考FDA《</w:t>
      </w:r>
      <w:r>
        <w:rPr>
          <w:rFonts w:cs="宋体"/>
          <w:color w:val="0000FF"/>
          <w:sz w:val="21"/>
          <w:u w:val="single"/>
          <w:lang w:eastAsia="zh-CN"/>
        </w:rPr>
        <w:t>行业指南-热原和内毒素试验：问答</w:t>
      </w:r>
      <w:r>
        <w:rPr>
          <w:rFonts w:cs="宋体"/>
          <w:sz w:val="21"/>
          <w:lang w:eastAsia="zh-CN"/>
        </w:rPr>
        <w:t>》（2012年6月）以获取与热原限度标准相关的信息。</w:t>
      </w:r>
    </w:p>
    <w:p w14:paraId="5ECFB4E6">
      <w:pPr>
        <w:spacing w:before="0" w:beforeLines="0"/>
        <w:rPr>
          <w:lang w:eastAsia="zh-CN"/>
        </w:rPr>
      </w:pPr>
      <w:r>
        <w:rPr>
          <w:rFonts w:cs="宋体"/>
          <w:sz w:val="21"/>
          <w:vertAlign w:val="superscript"/>
          <w:lang w:eastAsia="zh-CN"/>
        </w:rPr>
        <w:t>47</w:t>
      </w:r>
      <w:r>
        <w:rPr>
          <w:rFonts w:cs="宋体"/>
          <w:sz w:val="21"/>
          <w:lang w:eastAsia="zh-CN"/>
        </w:rPr>
        <w:t>即使经过相对短暂的使用期，体内也能够释放化学热原，并启动发热反应。</w:t>
      </w:r>
      <w:r>
        <w:rPr>
          <w:rFonts w:cs="宋体"/>
          <w:lang w:eastAsia="zh-CN"/>
        </w:rPr>
        <w:br w:type="page"/>
      </w:r>
    </w:p>
    <w:p w14:paraId="5B781F0B">
      <w:pPr>
        <w:spacing w:before="120"/>
        <w:ind w:left="600" w:leftChars="250"/>
        <w:rPr>
          <w:lang w:eastAsia="zh-CN"/>
        </w:rPr>
      </w:pPr>
      <w:r>
        <w:rPr>
          <w:rFonts w:cs="宋体"/>
          <w:lang w:eastAsia="zh-CN"/>
        </w:rPr>
        <w:t>通常在无菌评价过程中解决细菌致热原</w:t>
      </w:r>
      <w:r>
        <w:rPr>
          <w:rFonts w:cs="宋体"/>
          <w:vertAlign w:val="superscript"/>
          <w:lang w:eastAsia="zh-CN"/>
        </w:rPr>
        <w:t>48</w:t>
      </w:r>
      <w:r>
        <w:rPr>
          <w:rFonts w:cs="宋体"/>
          <w:lang w:eastAsia="zh-CN"/>
        </w:rPr>
        <w:t>问题。本机构建议您参考最新的无菌指导性文件</w:t>
      </w:r>
      <w:r>
        <w:rPr>
          <w:rFonts w:cs="宋体"/>
          <w:vertAlign w:val="superscript"/>
          <w:lang w:eastAsia="zh-CN"/>
        </w:rPr>
        <w:t>49</w:t>
      </w:r>
      <w:r>
        <w:rPr>
          <w:rFonts w:cs="宋体"/>
          <w:lang w:eastAsia="zh-CN"/>
        </w:rPr>
        <w:t>，以获取与试验相关的建议，从而确定无菌器械的内毒素水平。</w:t>
      </w:r>
      <w:r>
        <w:rPr>
          <w:rFonts w:cs="宋体"/>
          <w:vertAlign w:val="superscript"/>
          <w:lang w:eastAsia="zh-CN"/>
        </w:rPr>
        <w:t>50</w:t>
      </w:r>
    </w:p>
    <w:p w14:paraId="2A4BDD36">
      <w:pPr>
        <w:spacing w:before="120"/>
        <w:ind w:left="600" w:leftChars="250"/>
        <w:rPr>
          <w:lang w:eastAsia="zh-CN"/>
        </w:rPr>
      </w:pPr>
      <w:r>
        <w:rPr>
          <w:rFonts w:cs="宋体"/>
          <w:lang w:eastAsia="zh-CN"/>
        </w:rPr>
        <w:t>根据与人体接触的性质，即使不存在内毒素限度标准，如果申请人打算在其器械上贴上“无热原”标签，本机构建议进行细菌内毒素和家兔材料介导热原试验。</w:t>
      </w:r>
    </w:p>
    <w:p w14:paraId="3B722FE4">
      <w:pPr>
        <w:pStyle w:val="40"/>
        <w:numPr>
          <w:ilvl w:val="0"/>
          <w:numId w:val="10"/>
        </w:numPr>
        <w:spacing w:before="120"/>
        <w:ind w:left="1162" w:leftChars="250" w:hanging="562" w:hangingChars="200"/>
        <w:outlineLvl w:val="1"/>
        <w:rPr>
          <w:b/>
          <w:bCs/>
          <w:sz w:val="28"/>
          <w:szCs w:val="28"/>
        </w:rPr>
      </w:pPr>
      <w:bookmarkStart w:id="30" w:name="_Toc97827718"/>
      <w:r>
        <w:rPr>
          <w:rFonts w:cs="宋体"/>
          <w:b/>
          <w:sz w:val="28"/>
        </w:rPr>
        <w:t>植入</w:t>
      </w:r>
      <w:bookmarkEnd w:id="30"/>
    </w:p>
    <w:p w14:paraId="26A41E6A">
      <w:pPr>
        <w:spacing w:before="120"/>
        <w:ind w:left="600" w:leftChars="250"/>
        <w:rPr>
          <w:lang w:eastAsia="zh-CN"/>
        </w:rPr>
      </w:pPr>
      <w:r>
        <w:rPr>
          <w:rFonts w:cs="宋体"/>
          <w:lang w:eastAsia="zh-CN"/>
        </w:rPr>
        <w:t>针对植入试验，如果器械的几何构造特征会混淆对试验的解释，使用器械子组件或取样件而不是最终器械并进行合理证明是可接受的。例如，如果提供信息来证明制造和表面表征具有可比性，那么，使用取样片代替支架是可接受的。</w:t>
      </w:r>
    </w:p>
    <w:p w14:paraId="012F8128">
      <w:pPr>
        <w:spacing w:before="120"/>
        <w:ind w:left="600" w:leftChars="250"/>
        <w:rPr>
          <w:rFonts w:cs="宋体"/>
          <w:lang w:eastAsia="zh-CN"/>
        </w:rPr>
      </w:pPr>
      <w:r>
        <w:rPr>
          <w:rFonts w:cs="宋体"/>
          <w:lang w:eastAsia="zh-CN"/>
        </w:rPr>
        <w:t>除在ISO 10993-6《医疗器械生物学评价-第6部分：植入后局部反应试验》中所描述的在皮下、肌肉或骨组织中进行的传统毒理学研究外，一项与临床相关的（例如，脑、血管）植入评价可能更适用于具有相对较高的安全性风险的特定植入器械。在模拟临床条件下，临床相关的植入研究对于确定植入物在相关解剖环境中引起的全身和局部组织反应至关重要。</w:t>
      </w:r>
      <w:r>
        <w:rPr>
          <w:rFonts w:cs="宋体"/>
          <w:vertAlign w:val="superscript"/>
          <w:lang w:eastAsia="zh-CN"/>
        </w:rPr>
        <w:t>51</w:t>
      </w:r>
      <w:r>
        <w:rPr>
          <w:rFonts w:cs="宋体"/>
          <w:lang w:eastAsia="zh-CN"/>
        </w:rPr>
        <w:t>在某些情况下，可在用于评价总体器械安全性（例如，用于评价传送和分配器械的动物研究方案可能也包含相对毒性终点的评价）的体内动物研究中对临床相关植入研究的毒性结局进行评价。</w:t>
      </w:r>
    </w:p>
    <w:p w14:paraId="1F4B437A">
      <w:pPr>
        <w:spacing w:before="120"/>
        <w:ind w:left="600" w:leftChars="250"/>
        <w:rPr>
          <w:rFonts w:cs="宋体"/>
          <w:lang w:eastAsia="zh-CN"/>
        </w:rPr>
      </w:pPr>
    </w:p>
    <w:p w14:paraId="3136EB83">
      <w:pPr>
        <w:spacing w:before="120"/>
        <w:ind w:left="600" w:leftChars="250"/>
        <w:rPr>
          <w:rFonts w:cs="宋体"/>
          <w:lang w:eastAsia="zh-CN"/>
        </w:rPr>
      </w:pPr>
    </w:p>
    <w:p w14:paraId="22F5C813">
      <w:pPr>
        <w:spacing w:before="120"/>
        <w:ind w:left="600" w:leftChars="250"/>
        <w:rPr>
          <w:rFonts w:cs="宋体"/>
          <w:lang w:eastAsia="zh-CN"/>
        </w:rPr>
      </w:pPr>
    </w:p>
    <w:p w14:paraId="4A093F51">
      <w:pPr>
        <w:spacing w:before="120"/>
        <w:ind w:left="600" w:leftChars="250"/>
        <w:rPr>
          <w:lang w:eastAsia="zh-CN"/>
        </w:rPr>
      </w:pPr>
    </w:p>
    <w:p w14:paraId="1FEAD771">
      <w:pPr>
        <w:spacing w:before="120"/>
        <w:rPr>
          <w:lang w:eastAsia="zh-CN"/>
        </w:rPr>
      </w:pPr>
      <w:r>
        <w:rPr>
          <w:rFonts w:cs="宋体"/>
          <w:lang w:eastAsia="zh-CN"/>
        </w:rPr>
        <w:t>________________________</w:t>
      </w:r>
    </w:p>
    <w:p w14:paraId="7D20A7A3">
      <w:pPr>
        <w:spacing w:before="0" w:beforeLines="0"/>
        <w:rPr>
          <w:sz w:val="21"/>
          <w:szCs w:val="21"/>
          <w:lang w:eastAsia="zh-CN"/>
        </w:rPr>
      </w:pPr>
      <w:r>
        <w:rPr>
          <w:rFonts w:cs="宋体"/>
          <w:sz w:val="21"/>
          <w:vertAlign w:val="superscript"/>
          <w:lang w:eastAsia="zh-CN"/>
        </w:rPr>
        <w:t>48</w:t>
      </w:r>
      <w:r>
        <w:rPr>
          <w:rFonts w:cs="宋体"/>
          <w:sz w:val="21"/>
          <w:lang w:eastAsia="zh-CN"/>
        </w:rPr>
        <w:t>指南的本部分仅解决发热反应的潜在问题，但是，细菌内毒素会引发炎症（例如，肿胀、疼痛）。</w:t>
      </w:r>
    </w:p>
    <w:p w14:paraId="68CC095B">
      <w:pPr>
        <w:spacing w:before="0" w:beforeLines="0"/>
        <w:rPr>
          <w:sz w:val="21"/>
          <w:szCs w:val="21"/>
          <w:lang w:eastAsia="zh-CN"/>
        </w:rPr>
      </w:pPr>
      <w:r>
        <w:rPr>
          <w:rFonts w:cs="宋体"/>
          <w:sz w:val="21"/>
          <w:vertAlign w:val="superscript"/>
          <w:lang w:eastAsia="zh-CN"/>
        </w:rPr>
        <w:t>49</w:t>
      </w:r>
      <w:r>
        <w:rPr>
          <w:rFonts w:cs="宋体"/>
          <w:sz w:val="21"/>
          <w:lang w:eastAsia="zh-CN"/>
        </w:rPr>
        <w:t>请参见FDA指南文件</w:t>
      </w:r>
      <w:r>
        <w:rPr>
          <w:rFonts w:cs="宋体"/>
          <w:color w:val="0000FF"/>
          <w:sz w:val="21"/>
          <w:u w:val="single"/>
          <w:lang w:eastAsia="zh-CN"/>
        </w:rPr>
        <w:t>《</w:t>
      </w:r>
      <w:r>
        <w:rPr>
          <w:rFonts w:hint="eastAsia" w:cs="宋体"/>
          <w:color w:val="0000FF"/>
          <w:sz w:val="21"/>
          <w:u w:val="single"/>
          <w:lang w:eastAsia="zh-CN"/>
        </w:rPr>
        <w:t>无菌器械上市前通告（</w:t>
      </w:r>
      <w:r>
        <w:rPr>
          <w:rFonts w:cs="宋体"/>
          <w:color w:val="0000FF"/>
          <w:sz w:val="21"/>
          <w:u w:val="single"/>
          <w:lang w:eastAsia="zh-CN"/>
        </w:rPr>
        <w:t>510(k)</w:t>
      </w:r>
      <w:r>
        <w:rPr>
          <w:rFonts w:hint="eastAsia" w:cs="宋体"/>
          <w:color w:val="0000FF"/>
          <w:sz w:val="21"/>
          <w:u w:val="single"/>
          <w:lang w:eastAsia="zh-CN"/>
        </w:rPr>
        <w:t>）申报中无菌信息的提交和审核</w:t>
      </w:r>
      <w:r>
        <w:rPr>
          <w:rFonts w:cs="宋体"/>
          <w:color w:val="0000FF"/>
          <w:sz w:val="21"/>
          <w:u w:val="single"/>
          <w:lang w:eastAsia="zh-CN"/>
        </w:rPr>
        <w:t>- 行业和FDA工作人员指南》</w:t>
      </w:r>
      <w:r>
        <w:rPr>
          <w:rFonts w:cs="宋体"/>
          <w:sz w:val="21"/>
          <w:lang w:eastAsia="zh-CN"/>
        </w:rPr>
        <w:t>，可登录以下网址获取</w:t>
      </w:r>
      <w:r>
        <w:rPr>
          <w:rFonts w:cs="宋体"/>
          <w:color w:val="0000FF"/>
          <w:sz w:val="21"/>
          <w:u w:val="single"/>
          <w:lang w:eastAsia="zh-CN"/>
        </w:rPr>
        <w:t>https://www.fda.gov/regulatory-information/</w:t>
      </w:r>
      <w:r>
        <w:rPr>
          <w:rFonts w:hint="eastAsia" w:cs="宋体"/>
          <w:color w:val="0000FF"/>
          <w:sz w:val="21"/>
          <w:u w:val="single"/>
          <w:lang w:eastAsia="zh-CN"/>
        </w:rPr>
        <w:t xml:space="preserve"> </w:t>
      </w:r>
      <w:r>
        <w:rPr>
          <w:rFonts w:cs="宋体"/>
          <w:color w:val="0000FF"/>
          <w:sz w:val="21"/>
          <w:u w:val="single"/>
          <w:lang w:eastAsia="zh-CN"/>
        </w:rPr>
        <w:t>search-fda-guidance-documents/submission-and-review-sterility-information-premarket-notification-510k-submissions-devices-labeled.</w:t>
      </w:r>
      <w:r>
        <w:rPr>
          <w:rFonts w:cs="宋体"/>
          <w:sz w:val="21"/>
          <w:lang w:eastAsia="zh-CN"/>
        </w:rPr>
        <w:t>有关细菌内毒素试验的信息，另请参见FDA</w:t>
      </w:r>
      <w:r>
        <w:rPr>
          <w:rFonts w:cs="宋体"/>
          <w:color w:val="0000FF"/>
          <w:sz w:val="21"/>
          <w:u w:val="single"/>
          <w:lang w:eastAsia="zh-CN"/>
        </w:rPr>
        <w:t>《行业指南 - 热原和内毒素试验：常见问题》</w:t>
      </w:r>
      <w:r>
        <w:rPr>
          <w:rFonts w:cs="宋体"/>
          <w:sz w:val="21"/>
          <w:lang w:eastAsia="zh-CN"/>
        </w:rPr>
        <w:t>（</w:t>
      </w:r>
      <w:r>
        <w:rPr>
          <w:rFonts w:cs="宋体"/>
          <w:color w:val="0000FF"/>
          <w:sz w:val="21"/>
          <w:u w:val="single"/>
          <w:lang w:eastAsia="zh-CN"/>
        </w:rPr>
        <w:t>https://www.fda.gov/regulatory-information/search-fda-guidance-documents/pyrogen-</w:t>
      </w:r>
      <w:r>
        <w:rPr>
          <w:rFonts w:hint="eastAsia" w:cs="宋体"/>
          <w:color w:val="0000FF"/>
          <w:sz w:val="21"/>
          <w:u w:val="single"/>
          <w:lang w:eastAsia="zh-CN"/>
        </w:rPr>
        <w:t xml:space="preserve"> </w:t>
      </w:r>
      <w:r>
        <w:rPr>
          <w:rFonts w:cs="宋体"/>
          <w:color w:val="0000FF"/>
          <w:sz w:val="21"/>
          <w:u w:val="single"/>
          <w:lang w:eastAsia="zh-CN"/>
        </w:rPr>
        <w:t>and-endotoxins-testing-questions-and-answers</w:t>
      </w:r>
      <w:r>
        <w:rPr>
          <w:rFonts w:cs="宋体"/>
          <w:sz w:val="21"/>
          <w:lang w:eastAsia="zh-CN"/>
        </w:rPr>
        <w:t>）。</w:t>
      </w:r>
    </w:p>
    <w:p w14:paraId="768FCCAF">
      <w:pPr>
        <w:spacing w:before="0" w:beforeLines="0"/>
        <w:rPr>
          <w:sz w:val="21"/>
          <w:szCs w:val="21"/>
          <w:lang w:eastAsia="zh-CN"/>
        </w:rPr>
      </w:pPr>
      <w:r>
        <w:rPr>
          <w:rFonts w:cs="宋体"/>
          <w:sz w:val="21"/>
          <w:vertAlign w:val="superscript"/>
          <w:lang w:eastAsia="zh-CN"/>
        </w:rPr>
        <w:t>50</w:t>
      </w:r>
      <w:r>
        <w:rPr>
          <w:rFonts w:cs="宋体"/>
          <w:sz w:val="21"/>
          <w:lang w:eastAsia="zh-CN"/>
        </w:rPr>
        <w:t>尽管通过起草无菌性指南来解决510(k)申请中的无菌性信息问题，与细菌内毒素试验相关的信息也与在IDE或其它市场应用中提交的器械相关。</w:t>
      </w:r>
    </w:p>
    <w:p w14:paraId="4FE14089">
      <w:pPr>
        <w:spacing w:before="0" w:beforeLines="0"/>
        <w:rPr>
          <w:sz w:val="21"/>
          <w:szCs w:val="21"/>
          <w:lang w:eastAsia="zh-CN"/>
        </w:rPr>
      </w:pPr>
      <w:r>
        <w:rPr>
          <w:rFonts w:cs="宋体"/>
          <w:sz w:val="21"/>
          <w:vertAlign w:val="superscript"/>
          <w:lang w:eastAsia="zh-CN"/>
        </w:rPr>
        <w:t>51</w:t>
      </w:r>
      <w:r>
        <w:rPr>
          <w:rFonts w:cs="宋体"/>
          <w:sz w:val="21"/>
          <w:lang w:eastAsia="zh-CN"/>
        </w:rPr>
        <w:t xml:space="preserve">针对有源植入式器械，请参见相关器械特异性指南文件，以获取与植入研究过程中的主动刺激需求相关的信息，如FDA的 </w:t>
      </w:r>
      <w:r>
        <w:rPr>
          <w:rFonts w:cs="宋体"/>
          <w:color w:val="0000FF"/>
          <w:sz w:val="21"/>
          <w:u w:val="single"/>
          <w:lang w:eastAsia="zh-CN"/>
        </w:rPr>
        <w:t>《行业和FDA工作人员指南-起搏电极和电极连接器510(k)申请的研究和市场应用申请指南》</w:t>
      </w:r>
      <w:r>
        <w:rPr>
          <w:rFonts w:cs="宋体"/>
          <w:sz w:val="21"/>
          <w:lang w:eastAsia="zh-CN"/>
        </w:rPr>
        <w:t>，可登录以下网址获取</w:t>
      </w:r>
      <w:r>
        <w:rPr>
          <w:rFonts w:cs="宋体"/>
          <w:color w:val="0000FF"/>
          <w:sz w:val="21"/>
          <w:u w:val="single"/>
          <w:lang w:eastAsia="zh-CN"/>
        </w:rPr>
        <w:t>https://www.fda.gov/medical-devices/guidance-documents-</w:t>
      </w:r>
      <w:r>
        <w:rPr>
          <w:rFonts w:hint="eastAsia" w:cs="宋体"/>
          <w:color w:val="0000FF"/>
          <w:sz w:val="21"/>
          <w:u w:val="single"/>
          <w:lang w:eastAsia="zh-CN"/>
        </w:rPr>
        <w:t xml:space="preserve"> </w:t>
      </w:r>
      <w:r>
        <w:rPr>
          <w:rFonts w:cs="宋体"/>
          <w:color w:val="0000FF"/>
          <w:sz w:val="21"/>
          <w:u w:val="single"/>
          <w:lang w:eastAsia="zh-CN"/>
        </w:rPr>
        <w:t>medical-devices-and-radiation-emitting-products/submission-research-and-marketing-applications-permanent-pacemaker-leads-and-pacemaker-lead-adaptor.</w:t>
      </w:r>
    </w:p>
    <w:p w14:paraId="4E6ECBED">
      <w:pPr>
        <w:spacing w:before="120"/>
        <w:rPr>
          <w:lang w:eastAsia="zh-CN"/>
        </w:rPr>
      </w:pPr>
      <w:r>
        <w:rPr>
          <w:rFonts w:cs="宋体"/>
          <w:lang w:eastAsia="zh-CN"/>
        </w:rPr>
        <w:br w:type="page"/>
      </w:r>
    </w:p>
    <w:p w14:paraId="167A9B4C">
      <w:pPr>
        <w:spacing w:before="120"/>
        <w:ind w:left="600" w:leftChars="250"/>
        <w:rPr>
          <w:lang w:eastAsia="zh-CN"/>
        </w:rPr>
      </w:pPr>
      <w:r>
        <w:rPr>
          <w:rFonts w:cs="宋体"/>
          <w:lang w:eastAsia="zh-CN"/>
        </w:rPr>
        <w:t>临床相关的植入和肌肉或皮下植入试验可能会为器械材料组件和用于预期解剖学位置的最终器械的总体生物相容性评价提供信息。当进行临床相关的植入研究时，通常无需进行肌肉或皮下植入试验。但是，肌肉或皮下植入研究可能有助于作为筛查试验来评价局部毒性。例如，因为肌肉植入物周围趋向于形成纤维囊，纤维囊中可能包含任何从供试品中逐渐洗脱出的物质，因此，可能产生在定点植入研究中不会观察到的加剧反应。此外，一项完善的肌肉植入研究通常有助于解释可能包括其他混杂因素（例如，伴随治疗可能干扰组织反应）的临床相关植入研究产生的数据。因此，即使在进行临床相关植入研究的情况下，特别是在医疗器械中使用新材料/化学物质或临床相关植入研究结果引发毒性问题的情况下，也应考虑将肌肉植入研究作为一项补充试验。</w:t>
      </w:r>
    </w:p>
    <w:p w14:paraId="78A47C30">
      <w:pPr>
        <w:spacing w:before="120"/>
        <w:ind w:left="600" w:leftChars="250"/>
      </w:pPr>
      <w:r>
        <w:rPr>
          <w:rFonts w:cs="宋体"/>
          <w:lang w:eastAsia="zh-CN"/>
        </w:rPr>
        <w:t>针对利用可降解材料制成的器械所进行的植入试验，本机构建议在试验中包含中期评价以确定降解过程中的组织反应（即，当存在微小降解或不发生降解时，如适用；在逐渐降解过程中；以及一旦达到与材料降解和组织反应相关的稳定状态）。</w:t>
      </w:r>
      <w:r>
        <w:rPr>
          <w:rFonts w:cs="宋体"/>
        </w:rPr>
        <w:t>可依据体外降解试验来选择中期评价时间点。</w:t>
      </w:r>
    </w:p>
    <w:p w14:paraId="593D3103">
      <w:pPr>
        <w:pStyle w:val="40"/>
        <w:numPr>
          <w:ilvl w:val="0"/>
          <w:numId w:val="10"/>
        </w:numPr>
        <w:spacing w:before="120"/>
        <w:ind w:left="1162" w:leftChars="250" w:hanging="562" w:hangingChars="200"/>
        <w:outlineLvl w:val="1"/>
        <w:rPr>
          <w:b/>
          <w:bCs/>
          <w:sz w:val="28"/>
          <w:szCs w:val="28"/>
        </w:rPr>
      </w:pPr>
      <w:bookmarkStart w:id="31" w:name="_Toc97827719"/>
      <w:r>
        <w:rPr>
          <w:rFonts w:cs="宋体"/>
          <w:b/>
          <w:sz w:val="28"/>
        </w:rPr>
        <w:t>遗传毒性</w:t>
      </w:r>
      <w:bookmarkEnd w:id="31"/>
    </w:p>
    <w:p w14:paraId="1B8E3428">
      <w:pPr>
        <w:spacing w:before="120"/>
        <w:ind w:left="600" w:leftChars="250"/>
        <w:rPr>
          <w:lang w:eastAsia="zh-CN"/>
        </w:rPr>
      </w:pPr>
      <w:r>
        <w:rPr>
          <w:rFonts w:cs="宋体"/>
          <w:lang w:eastAsia="zh-CN"/>
        </w:rPr>
        <w:t>如果器械浸提物的化学表征和参考文献表明已充分检测了所有组件的遗传毒性，则可豁免遗传毒性试验。</w:t>
      </w:r>
    </w:p>
    <w:p w14:paraId="3973A3DF">
      <w:pPr>
        <w:spacing w:before="120"/>
        <w:ind w:left="600" w:leftChars="250"/>
        <w:rPr>
          <w:lang w:eastAsia="zh-CN"/>
        </w:rPr>
      </w:pPr>
      <w:r>
        <w:rPr>
          <w:rFonts w:cs="宋体"/>
          <w:lang w:eastAsia="zh-CN"/>
        </w:rPr>
        <w:t>遗传毒性试验可能不会为含有存在已知毒性材料的器械提供信息（原因是，认为阳性结果是由于存在已知遗传毒素而产生的）。因此，可能忽略了其它来源的第二种遗传毒素。如果进行遗传毒性试验，应将阴性结果解释为其它器械组件或相互作用产品的结果是阴性的，但是未必能够否认已知毒素的风险。需要对化学</w:t>
      </w:r>
      <w:r>
        <w:rPr>
          <w:rFonts w:hint="eastAsia" w:cs="宋体"/>
          <w:lang w:eastAsia="zh-CN"/>
        </w:rPr>
        <w:t>表征</w:t>
      </w:r>
      <w:r>
        <w:rPr>
          <w:rFonts w:cs="宋体"/>
          <w:lang w:eastAsia="zh-CN"/>
        </w:rPr>
        <w:t>进行描述以证明器械释放出多高浓度的遗传毒素。针对已知遗传毒素，总体受益-风险决定将取决于器械使用范围以及与人体接触情况。</w:t>
      </w:r>
    </w:p>
    <w:p w14:paraId="55C66877">
      <w:pPr>
        <w:spacing w:before="120"/>
        <w:rPr>
          <w:lang w:eastAsia="zh-CN"/>
        </w:rPr>
      </w:pPr>
      <w:r>
        <w:rPr>
          <w:rFonts w:cs="宋体"/>
          <w:lang w:eastAsia="zh-CN"/>
        </w:rPr>
        <w:br w:type="page"/>
      </w:r>
    </w:p>
    <w:p w14:paraId="2462647A">
      <w:pPr>
        <w:spacing w:before="120"/>
        <w:ind w:left="600" w:leftChars="250"/>
        <w:rPr>
          <w:lang w:eastAsia="zh-CN"/>
        </w:rPr>
      </w:pPr>
      <w:r>
        <w:rPr>
          <w:rFonts w:cs="宋体"/>
          <w:lang w:eastAsia="zh-CN"/>
        </w:rPr>
        <w:t>在尚未充分确立遗传毒性特征时，需要进行遗传毒性试验。如</w:t>
      </w:r>
      <w:r>
        <w:rPr>
          <w:rFonts w:cs="宋体"/>
          <w:color w:val="0000FF"/>
          <w:u w:val="single"/>
          <w:lang w:eastAsia="zh-CN"/>
        </w:rPr>
        <w:t>附件A</w:t>
      </w:r>
      <w:r>
        <w:rPr>
          <w:rFonts w:cs="宋体"/>
          <w:lang w:eastAsia="zh-CN"/>
        </w:rPr>
        <w:t>中所述，CDRH与CBER通常要求为某些与血液、骨、粘膜或其它组织长期接触（&gt; 24小时到30天）或持久接触（&gt; 30天）的器械或任何之前尚未在美国合法销售的医疗器械（与使用时间无关）的材料提供遗传毒性信息。</w:t>
      </w:r>
    </w:p>
    <w:p w14:paraId="6DB55437">
      <w:pPr>
        <w:spacing w:before="120"/>
        <w:ind w:left="600" w:leftChars="250"/>
        <w:rPr>
          <w:lang w:eastAsia="zh-CN"/>
        </w:rPr>
      </w:pPr>
      <w:r>
        <w:rPr>
          <w:rFonts w:cs="宋体"/>
          <w:lang w:eastAsia="zh-CN"/>
        </w:rPr>
        <w:t>由于单</w:t>
      </w:r>
      <w:r>
        <w:rPr>
          <w:rFonts w:hint="eastAsia" w:cs="宋体"/>
          <w:lang w:eastAsia="zh-CN"/>
        </w:rPr>
        <w:t>项</w:t>
      </w:r>
      <w:r>
        <w:rPr>
          <w:rFonts w:cs="宋体"/>
          <w:lang w:eastAsia="zh-CN"/>
        </w:rPr>
        <w:t>试验无法检测出全部遗传毒素，本机构建议进行下述两项体外试验，并可选择进行第三项体内试验：</w:t>
      </w:r>
      <w:r>
        <w:rPr>
          <w:rFonts w:cs="宋体"/>
          <w:vertAlign w:val="superscript"/>
          <w:lang w:eastAsia="zh-CN"/>
        </w:rPr>
        <w:t>52</w:t>
      </w:r>
    </w:p>
    <w:p w14:paraId="606CAF26">
      <w:pPr>
        <w:pStyle w:val="40"/>
        <w:numPr>
          <w:ilvl w:val="0"/>
          <w:numId w:val="13"/>
        </w:numPr>
        <w:spacing w:before="120"/>
        <w:ind w:left="1305" w:firstLineChars="0"/>
        <w:rPr>
          <w:lang w:eastAsia="zh-CN"/>
        </w:rPr>
      </w:pPr>
      <w:r>
        <w:rPr>
          <w:rFonts w:cs="宋体"/>
          <w:lang w:eastAsia="zh-CN"/>
        </w:rPr>
        <w:t>细菌基因突变试验。利用</w:t>
      </w:r>
      <w:r>
        <w:rPr>
          <w:rFonts w:cs="宋体"/>
          <w:i/>
          <w:lang w:eastAsia="zh-CN"/>
        </w:rPr>
        <w:t>鼠伤寒沙门氏菌</w:t>
      </w:r>
      <w:r>
        <w:rPr>
          <w:rFonts w:cs="宋体"/>
          <w:lang w:eastAsia="zh-CN"/>
        </w:rPr>
        <w:t>和</w:t>
      </w:r>
      <w:r>
        <w:rPr>
          <w:rFonts w:cs="宋体"/>
          <w:i/>
          <w:lang w:eastAsia="zh-CN"/>
        </w:rPr>
        <w:t>大肠杆菌</w:t>
      </w:r>
      <w:r>
        <w:rPr>
          <w:rFonts w:cs="宋体"/>
          <w:lang w:eastAsia="zh-CN"/>
        </w:rPr>
        <w:t>的工程菌进行本试验，旨在检测出所有可能的单碱基对变化和移码突变[OECD 471（1997）《化学品试验指南–细菌回复突变试验》]。</w:t>
      </w:r>
    </w:p>
    <w:p w14:paraId="448837AB">
      <w:pPr>
        <w:pStyle w:val="40"/>
        <w:numPr>
          <w:ilvl w:val="0"/>
          <w:numId w:val="13"/>
        </w:numPr>
        <w:spacing w:before="120"/>
        <w:ind w:left="1305" w:firstLineChars="0"/>
        <w:rPr>
          <w:lang w:eastAsia="zh-CN"/>
        </w:rPr>
      </w:pPr>
      <w:r>
        <w:rPr>
          <w:rFonts w:cs="宋体"/>
          <w:lang w:eastAsia="zh-CN"/>
        </w:rPr>
        <w:t>体外哺乳类动物遗传毒性试验。建议选择下述一项试验：</w:t>
      </w:r>
    </w:p>
    <w:p w14:paraId="38CC866B">
      <w:pPr>
        <w:pStyle w:val="40"/>
        <w:numPr>
          <w:ilvl w:val="0"/>
          <w:numId w:val="14"/>
        </w:numPr>
        <w:spacing w:before="120"/>
        <w:ind w:left="1724" w:firstLineChars="0"/>
        <w:rPr>
          <w:lang w:eastAsia="zh-CN"/>
        </w:rPr>
      </w:pPr>
      <w:r>
        <w:rPr>
          <w:rFonts w:cs="宋体"/>
          <w:lang w:eastAsia="zh-CN"/>
        </w:rPr>
        <w:t>可优先选择小鼠淋巴瘤基因突变试验[OECD 476（1997）《化学品试验指南-体外哺乳动物细胞基因突变试验》]，该试验可检测与致癌活性相关的大量遗传毒性机制；</w:t>
      </w:r>
      <w:r>
        <w:rPr>
          <w:rFonts w:cs="宋体"/>
          <w:vertAlign w:val="superscript"/>
          <w:lang w:eastAsia="zh-CN"/>
        </w:rPr>
        <w:t>53</w:t>
      </w:r>
    </w:p>
    <w:p w14:paraId="194D94E9">
      <w:pPr>
        <w:pStyle w:val="40"/>
        <w:numPr>
          <w:ilvl w:val="0"/>
          <w:numId w:val="14"/>
        </w:numPr>
        <w:spacing w:before="120"/>
        <w:ind w:left="1724" w:firstLineChars="0"/>
        <w:rPr>
          <w:lang w:eastAsia="zh-CN"/>
        </w:rPr>
      </w:pPr>
      <w:r>
        <w:rPr>
          <w:rFonts w:cs="宋体"/>
          <w:lang w:eastAsia="zh-CN"/>
        </w:rPr>
        <w:t>体外染色体畸变（CA）试验[OECD 473（2014）《化学品试验指南-体外哺乳动物染色体畸变试验》]；或</w:t>
      </w:r>
    </w:p>
    <w:p w14:paraId="5056608C">
      <w:pPr>
        <w:pStyle w:val="40"/>
        <w:numPr>
          <w:ilvl w:val="0"/>
          <w:numId w:val="14"/>
        </w:numPr>
        <w:spacing w:before="120"/>
        <w:ind w:left="1724" w:firstLineChars="0"/>
        <w:rPr>
          <w:lang w:eastAsia="zh-CN"/>
        </w:rPr>
      </w:pPr>
      <w:r>
        <w:rPr>
          <w:rFonts w:cs="宋体"/>
          <w:lang w:eastAsia="zh-CN"/>
        </w:rPr>
        <w:t>体外微核试验[OECD 487（2014）《化学品试验指南-体外哺乳动物微核试验》]。</w:t>
      </w:r>
    </w:p>
    <w:p w14:paraId="61C8B297">
      <w:pPr>
        <w:spacing w:before="120"/>
        <w:rPr>
          <w:lang w:eastAsia="zh-CN"/>
        </w:rPr>
      </w:pPr>
    </w:p>
    <w:p w14:paraId="0040777F">
      <w:pPr>
        <w:spacing w:before="120"/>
        <w:rPr>
          <w:lang w:eastAsia="zh-CN"/>
        </w:rPr>
      </w:pPr>
    </w:p>
    <w:p w14:paraId="3F8C6F35">
      <w:pPr>
        <w:spacing w:before="120"/>
        <w:rPr>
          <w:lang w:eastAsia="zh-CN"/>
        </w:rPr>
      </w:pPr>
    </w:p>
    <w:p w14:paraId="439CDFEF">
      <w:pPr>
        <w:spacing w:before="120"/>
        <w:rPr>
          <w:lang w:eastAsia="zh-CN"/>
        </w:rPr>
      </w:pPr>
    </w:p>
    <w:p w14:paraId="5FCEEC07">
      <w:pPr>
        <w:spacing w:before="120"/>
        <w:rPr>
          <w:lang w:eastAsia="zh-CN"/>
        </w:rPr>
      </w:pPr>
    </w:p>
    <w:p w14:paraId="2041AE13">
      <w:pPr>
        <w:spacing w:before="120"/>
        <w:rPr>
          <w:lang w:eastAsia="zh-CN"/>
        </w:rPr>
      </w:pPr>
    </w:p>
    <w:p w14:paraId="12BFC71A">
      <w:pPr>
        <w:spacing w:before="120"/>
        <w:rPr>
          <w:lang w:eastAsia="zh-CN"/>
        </w:rPr>
      </w:pPr>
    </w:p>
    <w:p w14:paraId="2F98D726">
      <w:pPr>
        <w:spacing w:before="120"/>
        <w:rPr>
          <w:lang w:eastAsia="zh-CN"/>
        </w:rPr>
      </w:pPr>
    </w:p>
    <w:p w14:paraId="7A68A0C0">
      <w:pPr>
        <w:spacing w:before="120"/>
        <w:rPr>
          <w:lang w:eastAsia="zh-CN"/>
        </w:rPr>
      </w:pPr>
    </w:p>
    <w:p w14:paraId="6418B375">
      <w:pPr>
        <w:spacing w:before="120"/>
        <w:rPr>
          <w:lang w:eastAsia="zh-CN"/>
        </w:rPr>
      </w:pPr>
      <w:r>
        <w:rPr>
          <w:rFonts w:cs="宋体"/>
          <w:lang w:eastAsia="zh-CN"/>
        </w:rPr>
        <w:t>________________________</w:t>
      </w:r>
    </w:p>
    <w:p w14:paraId="72B50E17">
      <w:pPr>
        <w:spacing w:before="0" w:beforeLines="0"/>
        <w:rPr>
          <w:sz w:val="21"/>
          <w:szCs w:val="21"/>
          <w:lang w:eastAsia="zh-CN"/>
        </w:rPr>
      </w:pPr>
      <w:r>
        <w:rPr>
          <w:rFonts w:cs="宋体"/>
          <w:sz w:val="21"/>
          <w:vertAlign w:val="superscript"/>
          <w:lang w:eastAsia="zh-CN"/>
        </w:rPr>
        <w:t>52</w:t>
      </w:r>
      <w:r>
        <w:rPr>
          <w:rFonts w:cs="宋体"/>
          <w:sz w:val="21"/>
          <w:lang w:eastAsia="zh-CN"/>
        </w:rPr>
        <w:t>通过引用经CDRH认可的ISO 10993-3《医疗器械生物学评价-第3部分：遗传毒性、致癌性和生殖毒性试验》，整合在本部分中引用的所有OECD指南。</w:t>
      </w:r>
    </w:p>
    <w:p w14:paraId="7FEF9E2E">
      <w:pPr>
        <w:spacing w:before="0" w:beforeLines="0"/>
        <w:rPr>
          <w:sz w:val="21"/>
          <w:szCs w:val="21"/>
        </w:rPr>
      </w:pPr>
      <w:r>
        <w:rPr>
          <w:rFonts w:cs="宋体"/>
          <w:sz w:val="21"/>
          <w:vertAlign w:val="superscript"/>
        </w:rPr>
        <w:t>53</w:t>
      </w:r>
      <w:r>
        <w:rPr>
          <w:rFonts w:cs="宋体"/>
          <w:sz w:val="21"/>
        </w:rPr>
        <w:t xml:space="preserve"> Applegate, M.L., et al., “Molecular dissection of mutations at the heterozygous thymidine kinase locus in mouse lymphoma cells.”Proc.Natl.Acad.Sci.USA, 1990, 87(1): 51-55.</w:t>
      </w:r>
    </w:p>
    <w:p w14:paraId="40ABACA5">
      <w:pPr>
        <w:spacing w:before="120"/>
      </w:pPr>
      <w:r>
        <w:rPr>
          <w:rFonts w:cs="宋体"/>
        </w:rPr>
        <w:br w:type="page"/>
      </w:r>
    </w:p>
    <w:p w14:paraId="1CC2B3A7">
      <w:pPr>
        <w:pStyle w:val="40"/>
        <w:numPr>
          <w:ilvl w:val="0"/>
          <w:numId w:val="13"/>
        </w:numPr>
        <w:spacing w:before="120"/>
        <w:ind w:left="1305" w:firstLineChars="0"/>
        <w:rPr>
          <w:lang w:eastAsia="zh-CN"/>
        </w:rPr>
      </w:pPr>
      <w:r>
        <w:rPr>
          <w:rFonts w:cs="宋体"/>
          <w:lang w:eastAsia="zh-CN"/>
        </w:rPr>
        <w:t>应考虑为如含有新型材料的器械进行</w:t>
      </w:r>
      <w:r>
        <w:rPr>
          <w:rFonts w:hint="eastAsia" w:cs="宋体"/>
          <w:lang w:eastAsia="zh-CN"/>
        </w:rPr>
        <w:t>体内</w:t>
      </w:r>
      <w:r>
        <w:rPr>
          <w:rFonts w:cs="宋体"/>
          <w:lang w:eastAsia="zh-CN"/>
        </w:rPr>
        <w:t>遗传学试验。但是，如果对器械进行极限浸提后所获取的试验浸提物中的材料数量低于体内试验的检测阈值，则无需进行本试验。</w:t>
      </w:r>
    </w:p>
    <w:p w14:paraId="7472CA82">
      <w:pPr>
        <w:spacing w:before="120"/>
        <w:ind w:left="1304"/>
        <w:rPr>
          <w:lang w:eastAsia="zh-CN"/>
        </w:rPr>
      </w:pPr>
      <w:r>
        <w:rPr>
          <w:rFonts w:cs="宋体"/>
          <w:lang w:eastAsia="zh-CN"/>
        </w:rPr>
        <w:t>当需要进行体内试验时，建议选择下述一项试验：</w:t>
      </w:r>
    </w:p>
    <w:p w14:paraId="72CFC9F2">
      <w:pPr>
        <w:pStyle w:val="40"/>
        <w:numPr>
          <w:ilvl w:val="0"/>
          <w:numId w:val="15"/>
        </w:numPr>
        <w:spacing w:before="120"/>
        <w:ind w:left="1724" w:firstLineChars="0"/>
        <w:rPr>
          <w:lang w:eastAsia="zh-CN"/>
        </w:rPr>
      </w:pPr>
      <w:r>
        <w:rPr>
          <w:rFonts w:cs="宋体"/>
          <w:lang w:eastAsia="zh-CN"/>
        </w:rPr>
        <w:t>骨髓微核（MN）试验[OECD 474（2014）《化学品试验指南-哺乳动物红细胞微核试验》]；或</w:t>
      </w:r>
    </w:p>
    <w:p w14:paraId="28833856">
      <w:pPr>
        <w:pStyle w:val="40"/>
        <w:numPr>
          <w:ilvl w:val="0"/>
          <w:numId w:val="15"/>
        </w:numPr>
        <w:spacing w:before="120"/>
        <w:ind w:left="1724" w:firstLineChars="0"/>
        <w:rPr>
          <w:lang w:eastAsia="zh-CN"/>
        </w:rPr>
      </w:pPr>
      <w:r>
        <w:rPr>
          <w:rFonts w:cs="宋体"/>
          <w:lang w:eastAsia="zh-CN"/>
        </w:rPr>
        <w:t>骨髓染色体畸变（CA）试验[OECD 475（1997）《化学品试验指南-哺乳动物骨髓染色体畸变试验》]；或</w:t>
      </w:r>
    </w:p>
    <w:p w14:paraId="4D14F29D">
      <w:pPr>
        <w:pStyle w:val="40"/>
        <w:numPr>
          <w:ilvl w:val="0"/>
          <w:numId w:val="15"/>
        </w:numPr>
        <w:spacing w:before="120"/>
        <w:ind w:left="1724" w:firstLineChars="0"/>
        <w:rPr>
          <w:lang w:eastAsia="zh-CN"/>
        </w:rPr>
      </w:pPr>
      <w:r>
        <w:rPr>
          <w:rFonts w:cs="宋体"/>
          <w:lang w:eastAsia="zh-CN"/>
        </w:rPr>
        <w:t>外周血液MN试验（OECD 474）。</w:t>
      </w:r>
    </w:p>
    <w:p w14:paraId="7FFA765B">
      <w:pPr>
        <w:spacing w:before="120"/>
        <w:ind w:left="600" w:leftChars="250"/>
        <w:rPr>
          <w:lang w:eastAsia="zh-CN"/>
        </w:rPr>
      </w:pPr>
      <w:r>
        <w:rPr>
          <w:rFonts w:cs="宋体"/>
          <w:lang w:eastAsia="zh-CN"/>
        </w:rPr>
        <w:t>由于不同的遗传毒性试验对不同类型的遗传毒性进行检测，所以任何试验中产生的阳性数据都视为阳性结果。一旦任何体外试验产生疑似结果，应重复试验。一旦产生阳性结果，本机构建议进行进一步调查，以识别遗传毒性的来源。本机构建议利用本信息辅助通过在第</w:t>
      </w:r>
      <w:r>
        <w:rPr>
          <w:rFonts w:cs="宋体"/>
          <w:color w:val="0000FF"/>
          <w:u w:val="single"/>
          <w:lang w:eastAsia="zh-CN"/>
        </w:rPr>
        <w:t>VI.G</w:t>
      </w:r>
      <w:r>
        <w:rPr>
          <w:rFonts w:cs="宋体"/>
          <w:lang w:eastAsia="zh-CN"/>
        </w:rPr>
        <w:t>节中描述的、与致癌性相关的毒理学风险评定进行器械的总体受益-风险评定。不建议在</w:t>
      </w:r>
      <w:r>
        <w:rPr>
          <w:rFonts w:hint="eastAsia" w:cs="宋体"/>
          <w:lang w:eastAsia="zh-CN"/>
        </w:rPr>
        <w:t>后续评价</w:t>
      </w:r>
      <w:r>
        <w:rPr>
          <w:rFonts w:cs="宋体"/>
          <w:lang w:eastAsia="zh-CN"/>
        </w:rPr>
        <w:t>中利用体内遗传毒性试验来排除体外试验中的阳性结果，其原因是器械浸提物中的化学物质含量可能低于体内试验的检测限。</w:t>
      </w:r>
    </w:p>
    <w:p w14:paraId="691755A8">
      <w:pPr>
        <w:spacing w:before="120"/>
        <w:ind w:left="600" w:leftChars="250"/>
        <w:rPr>
          <w:lang w:eastAsia="zh-CN"/>
        </w:rPr>
      </w:pPr>
      <w:r>
        <w:rPr>
          <w:rFonts w:cs="宋体"/>
          <w:lang w:eastAsia="zh-CN"/>
        </w:rPr>
        <w:t>除非证实细胞毒性将干扰试验</w:t>
      </w:r>
      <w:r>
        <w:rPr>
          <w:rFonts w:hint="eastAsia" w:cs="宋体"/>
          <w:lang w:eastAsia="zh-CN"/>
        </w:rPr>
        <w:t>进行</w:t>
      </w:r>
      <w:r>
        <w:rPr>
          <w:rFonts w:cs="宋体"/>
          <w:lang w:eastAsia="zh-CN"/>
        </w:rPr>
        <w:t>，否则应仅对未经稀释的浸提物进行所有试验。对于基于哺乳动物细胞的体外试验，本机构建议利用定量方法来评价细胞毒性（即，不估计融合率）。</w:t>
      </w:r>
    </w:p>
    <w:p w14:paraId="3F3DEFBD">
      <w:pPr>
        <w:spacing w:before="120"/>
        <w:ind w:left="600" w:leftChars="250"/>
        <w:rPr>
          <w:lang w:eastAsia="zh-CN"/>
        </w:rPr>
      </w:pPr>
      <w:r>
        <w:rPr>
          <w:rFonts w:cs="宋体"/>
          <w:lang w:eastAsia="zh-CN"/>
        </w:rPr>
        <w:t>对于含有药物的组合产品，如果无法从文献中获取遗传毒性数据，应在剂量反应研究中单独检测药物（而不是作为浸提物进行检测）。此外，应利用标准浸提方法来评价最终组合产品。如果对不含药物的器械进行检测，应提供其他的化学表征信息来确认含药物的器械的最终制造不会引入可能存在遗传毒素的新化学物质。对于含有生物制剂的组合产品，应具体分析进行遗传毒性评价的需求。</w:t>
      </w:r>
    </w:p>
    <w:p w14:paraId="6740FDB4">
      <w:pPr>
        <w:spacing w:before="120"/>
        <w:rPr>
          <w:lang w:eastAsia="zh-CN"/>
        </w:rPr>
      </w:pPr>
      <w:r>
        <w:rPr>
          <w:rFonts w:cs="宋体"/>
          <w:lang w:eastAsia="zh-CN"/>
        </w:rPr>
        <w:br w:type="page"/>
      </w:r>
    </w:p>
    <w:p w14:paraId="4622FA1B">
      <w:pPr>
        <w:pStyle w:val="40"/>
        <w:numPr>
          <w:ilvl w:val="0"/>
          <w:numId w:val="10"/>
        </w:numPr>
        <w:spacing w:before="120"/>
        <w:ind w:left="1162" w:leftChars="250" w:hanging="562" w:hangingChars="200"/>
        <w:outlineLvl w:val="1"/>
        <w:rPr>
          <w:b/>
          <w:bCs/>
          <w:sz w:val="28"/>
          <w:szCs w:val="28"/>
        </w:rPr>
      </w:pPr>
      <w:bookmarkStart w:id="32" w:name="_Toc97827720"/>
      <w:r>
        <w:rPr>
          <w:rFonts w:cs="宋体"/>
          <w:b/>
          <w:sz w:val="28"/>
        </w:rPr>
        <w:t>致癌性</w:t>
      </w:r>
      <w:bookmarkEnd w:id="32"/>
    </w:p>
    <w:p w14:paraId="46E1AC7C">
      <w:pPr>
        <w:spacing w:before="120"/>
        <w:ind w:left="600" w:leftChars="250"/>
        <w:rPr>
          <w:lang w:eastAsia="zh-CN"/>
        </w:rPr>
      </w:pPr>
      <w:r>
        <w:rPr>
          <w:rFonts w:cs="宋体"/>
          <w:lang w:eastAsia="zh-CN"/>
        </w:rPr>
        <w:t>如</w:t>
      </w:r>
      <w:r>
        <w:rPr>
          <w:rFonts w:cs="宋体"/>
          <w:color w:val="0000FF"/>
          <w:u w:val="single"/>
          <w:lang w:eastAsia="zh-CN"/>
        </w:rPr>
        <w:t>附件A</w:t>
      </w:r>
      <w:r>
        <w:rPr>
          <w:rFonts w:cs="宋体"/>
          <w:lang w:eastAsia="zh-CN"/>
        </w:rPr>
        <w:t>中所述，FDA建议为持久接触器械（即，接触超过30天）的潜在致癌性进行评价。这包括与破损或损伤表面（即，伤口愈合）接触的器械，外部接入器械和植入器械。如果利用新型材料（即之前未在美国合法销售的器械中使用）来制造与破损或损伤表面接触的器械、特别是接入器械或植入器械，本机构也建议对致癌性文献进行回顾。在缺乏通过试验获取的致癌性信息的情况下，需要利用这些材料的构效关系（SAR）模型（不考虑接触时间）来更好地了解这些材料的潜在致癌性。</w:t>
      </w:r>
      <w:r>
        <w:rPr>
          <w:rFonts w:cs="宋体"/>
          <w:vertAlign w:val="superscript"/>
          <w:lang w:eastAsia="zh-CN"/>
        </w:rPr>
        <w:t>54</w:t>
      </w:r>
      <w:r>
        <w:rPr>
          <w:rFonts w:cs="宋体"/>
          <w:lang w:eastAsia="zh-CN"/>
        </w:rPr>
        <w:t>由于存在非遗传毒素致癌物</w:t>
      </w:r>
      <w:r>
        <w:rPr>
          <w:rFonts w:cs="宋体"/>
          <w:vertAlign w:val="superscript"/>
          <w:lang w:eastAsia="zh-CN"/>
        </w:rPr>
        <w:t>55</w:t>
      </w:r>
      <w:r>
        <w:rPr>
          <w:rFonts w:cs="宋体"/>
          <w:lang w:eastAsia="zh-CN"/>
        </w:rPr>
        <w:t>以及多因素引起的致癌作用，致癌性的评价不应单独依赖于遗传毒性信息。因此，因结合致癌性信息来考虑后续因素，以评价最终医疗器械的致癌风险：</w:t>
      </w:r>
    </w:p>
    <w:p w14:paraId="5AA2E03F">
      <w:pPr>
        <w:pStyle w:val="40"/>
        <w:numPr>
          <w:ilvl w:val="0"/>
          <w:numId w:val="13"/>
        </w:numPr>
        <w:spacing w:before="120"/>
        <w:ind w:left="1305" w:firstLineChars="0"/>
        <w:rPr>
          <w:lang w:eastAsia="zh-CN"/>
        </w:rPr>
      </w:pPr>
      <w:r>
        <w:rPr>
          <w:rFonts w:cs="宋体"/>
          <w:lang w:eastAsia="zh-CN"/>
        </w:rPr>
        <w:t>包括完整的化学配方和可能与组织接触的器械所有组件的制造残留物。由第三方供应商提供的并且将化学配方作为专利的器械材料或组件，申请人应要求供应商使用主文件向FDA提供化学配方信息。请参见</w:t>
      </w:r>
      <w:r>
        <w:rPr>
          <w:rFonts w:cs="宋体"/>
          <w:color w:val="0000FF"/>
          <w:u w:val="single"/>
          <w:lang w:eastAsia="zh-CN"/>
        </w:rPr>
        <w:t>附件B</w:t>
      </w:r>
      <w:r>
        <w:rPr>
          <w:rFonts w:cs="宋体"/>
          <w:lang w:eastAsia="zh-CN"/>
        </w:rPr>
        <w:t>以获取与有助于致癌性评价的化学配方信息相关的详细信息。</w:t>
      </w:r>
    </w:p>
    <w:p w14:paraId="3581AA80">
      <w:pPr>
        <w:pStyle w:val="40"/>
        <w:numPr>
          <w:ilvl w:val="0"/>
          <w:numId w:val="13"/>
        </w:numPr>
        <w:spacing w:before="120"/>
        <w:ind w:left="1305" w:firstLineChars="0"/>
      </w:pPr>
      <w:r>
        <w:rPr>
          <w:rFonts w:cs="宋体"/>
          <w:lang w:eastAsia="zh-CN"/>
        </w:rPr>
        <w:t>利用具有合理灵敏度（即，ppm或ppb）的分析化学方法来定量浸提物和可沥滤物的总量。应设计洗脱方法和分析技术来评价是否存在器械材料、任何分解产物、化学相互作用产物或加工剂（例如，粘合剂、模具清洁剂、模具防粘剂、化学杀菌剂等）。可利用TTC方法来决定在不进行化学鉴定的情况下进行定量是否足以评价器械的毒性风险。</w:t>
      </w:r>
      <w:r>
        <w:rPr>
          <w:rFonts w:cs="宋体"/>
          <w:vertAlign w:val="superscript"/>
        </w:rPr>
        <w:t>56</w:t>
      </w:r>
      <w:r>
        <w:rPr>
          <w:rFonts w:cs="宋体"/>
        </w:rPr>
        <w:t>否则，需要进行化学鉴定。</w:t>
      </w:r>
    </w:p>
    <w:p w14:paraId="15828C46">
      <w:pPr>
        <w:spacing w:before="120"/>
        <w:rPr>
          <w:rFonts w:cs="宋体"/>
          <w:lang w:eastAsia="zh-CN"/>
        </w:rPr>
      </w:pPr>
    </w:p>
    <w:p w14:paraId="1BBA9BEA">
      <w:pPr>
        <w:spacing w:before="120"/>
        <w:rPr>
          <w:rFonts w:cs="宋体"/>
          <w:lang w:eastAsia="zh-CN"/>
        </w:rPr>
      </w:pPr>
    </w:p>
    <w:p w14:paraId="60FC1D73">
      <w:pPr>
        <w:spacing w:before="120"/>
        <w:rPr>
          <w:rFonts w:cs="宋体"/>
          <w:lang w:eastAsia="zh-CN"/>
        </w:rPr>
      </w:pPr>
    </w:p>
    <w:p w14:paraId="298EA173">
      <w:pPr>
        <w:spacing w:before="120"/>
        <w:rPr>
          <w:lang w:eastAsia="zh-CN"/>
        </w:rPr>
      </w:pPr>
      <w:r>
        <w:rPr>
          <w:rFonts w:cs="宋体"/>
        </w:rPr>
        <w:t>________________________</w:t>
      </w:r>
    </w:p>
    <w:p w14:paraId="3A80D308">
      <w:pPr>
        <w:spacing w:before="0" w:beforeLines="0"/>
        <w:rPr>
          <w:sz w:val="21"/>
          <w:szCs w:val="21"/>
          <w:lang w:eastAsia="zh-CN"/>
        </w:rPr>
      </w:pPr>
      <w:r>
        <w:rPr>
          <w:rFonts w:cs="宋体"/>
          <w:sz w:val="21"/>
          <w:vertAlign w:val="superscript"/>
          <w:lang w:eastAsia="zh-CN"/>
        </w:rPr>
        <w:t>54</w:t>
      </w:r>
      <w:r>
        <w:rPr>
          <w:rFonts w:cs="宋体"/>
          <w:sz w:val="21"/>
          <w:lang w:eastAsia="zh-CN"/>
        </w:rPr>
        <w:t>有关使用TTC和SAR模型在风险管理过程中解决遗传毒性和致癌性问题的信息，请参见ICH M7</w:t>
      </w:r>
      <w:r>
        <w:rPr>
          <w:rFonts w:cs="宋体"/>
          <w:color w:val="0000FF"/>
          <w:sz w:val="21"/>
          <w:u w:val="single"/>
          <w:lang w:eastAsia="zh-CN"/>
        </w:rPr>
        <w:t>《评价和控制药物中DNA反应（诱变）杂质以限制潜在致癌风险》</w:t>
      </w:r>
      <w:r>
        <w:rPr>
          <w:rFonts w:cs="宋体"/>
          <w:sz w:val="21"/>
          <w:lang w:eastAsia="zh-CN"/>
        </w:rPr>
        <w:t>，可登录以下网址获取</w:t>
      </w:r>
      <w:r>
        <w:rPr>
          <w:rFonts w:cs="宋体"/>
          <w:color w:val="0000FF"/>
          <w:sz w:val="21"/>
          <w:u w:val="single"/>
          <w:lang w:eastAsia="zh-CN"/>
        </w:rPr>
        <w:t>https://www.fda.gov/regulatory-information/search-fda-guidance-documents/m7r1-assessment-and-control-dna-reactive-mutagenic-impurities-pharmaceuticals-limit-potential</w:t>
      </w:r>
      <w:r>
        <w:rPr>
          <w:rFonts w:cs="宋体"/>
          <w:sz w:val="21"/>
          <w:lang w:eastAsia="zh-CN"/>
        </w:rPr>
        <w:t>。</w:t>
      </w:r>
    </w:p>
    <w:p w14:paraId="180AF21B">
      <w:pPr>
        <w:spacing w:before="0" w:beforeLines="0"/>
        <w:rPr>
          <w:sz w:val="21"/>
          <w:szCs w:val="21"/>
        </w:rPr>
      </w:pPr>
      <w:r>
        <w:rPr>
          <w:rFonts w:cs="宋体"/>
          <w:sz w:val="21"/>
          <w:vertAlign w:val="superscript"/>
        </w:rPr>
        <w:t>55</w:t>
      </w:r>
      <w:r>
        <w:rPr>
          <w:rFonts w:cs="宋体"/>
          <w:sz w:val="21"/>
        </w:rPr>
        <w:t xml:space="preserve"> Benigni, R., et al., “Nongenotoxic carcinogenicity of chemicals: mechanisms of action and early recognition through a new set of structural alerts.”Chem Rev, 2013, 113(5): 2940-2957.</w:t>
      </w:r>
    </w:p>
    <w:p w14:paraId="25512CDA">
      <w:pPr>
        <w:spacing w:before="0" w:beforeLines="0"/>
        <w:rPr>
          <w:sz w:val="21"/>
          <w:szCs w:val="21"/>
          <w:lang w:eastAsia="zh-CN"/>
        </w:rPr>
      </w:pPr>
      <w:r>
        <w:rPr>
          <w:rFonts w:cs="宋体"/>
          <w:sz w:val="21"/>
          <w:vertAlign w:val="superscript"/>
          <w:lang w:eastAsia="zh-CN"/>
        </w:rPr>
        <w:t>56</w:t>
      </w:r>
      <w:r>
        <w:rPr>
          <w:rFonts w:cs="宋体"/>
          <w:sz w:val="21"/>
          <w:lang w:eastAsia="zh-CN"/>
        </w:rPr>
        <w:t>有关所需敏感度水平的详情，请参见ICH M7指南</w:t>
      </w:r>
      <w:r>
        <w:rPr>
          <w:rFonts w:cs="宋体"/>
          <w:color w:val="0000FF"/>
          <w:sz w:val="21"/>
          <w:u w:val="single"/>
          <w:lang w:eastAsia="zh-CN"/>
        </w:rPr>
        <w:t>《评价和控制药物中DNA反应（诱变）杂质以限制潜在致癌风险》</w:t>
      </w:r>
      <w:r>
        <w:rPr>
          <w:rFonts w:cs="宋体"/>
          <w:sz w:val="21"/>
          <w:lang w:eastAsia="zh-CN"/>
        </w:rPr>
        <w:t>，可登录以下网址获取</w:t>
      </w:r>
      <w:r>
        <w:rPr>
          <w:rFonts w:cs="宋体"/>
          <w:color w:val="0000FF"/>
          <w:sz w:val="21"/>
          <w:u w:val="single"/>
          <w:lang w:eastAsia="zh-CN"/>
        </w:rPr>
        <w:t>https://www.fda.gov/regulatory-information/search-fda-</w:t>
      </w:r>
      <w:r>
        <w:rPr>
          <w:rFonts w:hint="eastAsia" w:cs="宋体"/>
          <w:color w:val="0000FF"/>
          <w:sz w:val="21"/>
          <w:u w:val="single"/>
          <w:lang w:eastAsia="zh-CN"/>
        </w:rPr>
        <w:t xml:space="preserve"> </w:t>
      </w:r>
      <w:r>
        <w:rPr>
          <w:rFonts w:cs="宋体"/>
          <w:color w:val="0000FF"/>
          <w:sz w:val="21"/>
          <w:u w:val="single"/>
          <w:lang w:eastAsia="zh-CN"/>
        </w:rPr>
        <w:t>guidance-documents/m7r1-assessment-and-control-dna-reactive-mutagenic-impurities-pharmaceuticals-limit-potential</w:t>
      </w:r>
      <w:r>
        <w:rPr>
          <w:rFonts w:cs="宋体"/>
          <w:sz w:val="21"/>
          <w:lang w:eastAsia="zh-CN"/>
        </w:rPr>
        <w:t>。</w:t>
      </w:r>
    </w:p>
    <w:p w14:paraId="16212C8C">
      <w:pPr>
        <w:spacing w:before="120"/>
        <w:rPr>
          <w:lang w:eastAsia="zh-CN"/>
        </w:rPr>
      </w:pPr>
      <w:r>
        <w:rPr>
          <w:rFonts w:cs="宋体"/>
          <w:lang w:eastAsia="zh-CN"/>
        </w:rPr>
        <w:br w:type="page"/>
      </w:r>
    </w:p>
    <w:p w14:paraId="4A76D3A1">
      <w:pPr>
        <w:pStyle w:val="40"/>
        <w:numPr>
          <w:ilvl w:val="0"/>
          <w:numId w:val="13"/>
        </w:numPr>
        <w:spacing w:before="120"/>
        <w:ind w:left="1305" w:firstLineChars="0"/>
        <w:rPr>
          <w:lang w:eastAsia="zh-CN"/>
        </w:rPr>
      </w:pPr>
      <w:r>
        <w:rPr>
          <w:rFonts w:cs="宋体"/>
          <w:lang w:eastAsia="zh-CN"/>
        </w:rPr>
        <w:t>评价在</w:t>
      </w:r>
      <w:r>
        <w:rPr>
          <w:rFonts w:hint="eastAsia" w:cs="宋体"/>
          <w:lang w:eastAsia="zh-CN"/>
        </w:rPr>
        <w:t>个别</w:t>
      </w:r>
      <w:r>
        <w:rPr>
          <w:rFonts w:cs="宋体"/>
          <w:lang w:eastAsia="zh-CN"/>
        </w:rPr>
        <w:t>最坏情况下</w:t>
      </w:r>
      <w:r>
        <w:rPr>
          <w:rFonts w:hint="eastAsia" w:cs="宋体"/>
          <w:lang w:eastAsia="zh-CN"/>
        </w:rPr>
        <w:t>，患者接触</w:t>
      </w:r>
      <w:r>
        <w:rPr>
          <w:rFonts w:cs="宋体"/>
          <w:lang w:eastAsia="zh-CN"/>
        </w:rPr>
        <w:t>单一化学物质</w:t>
      </w:r>
      <w:r>
        <w:rPr>
          <w:rFonts w:hint="eastAsia" w:cs="宋体"/>
          <w:lang w:eastAsia="zh-CN"/>
        </w:rPr>
        <w:t>的含量</w:t>
      </w:r>
      <w:r>
        <w:rPr>
          <w:rFonts w:cs="宋体"/>
          <w:lang w:eastAsia="zh-CN"/>
        </w:rPr>
        <w:t>。为进行该评价，人们应假设患者与器械中100%的化学物质接触或100%可由器械生成的副产物接触。或者，应根据化学表征的极限浸提数据对最坏情况进行证明。作为本评价的组成部分，应考虑患者可能同时使用多种最大规格器械的情况，以计算所估计的患者接触最坏情况。接触评价也可用于下述情况：任何中间降解化学物质、剂量的途径-途径外推；以及可能发生的局部-全身接触。</w:t>
      </w:r>
    </w:p>
    <w:p w14:paraId="4BA1AD3E">
      <w:pPr>
        <w:pStyle w:val="40"/>
        <w:numPr>
          <w:ilvl w:val="0"/>
          <w:numId w:val="13"/>
        </w:numPr>
        <w:spacing w:before="120"/>
        <w:ind w:left="1305" w:firstLineChars="0"/>
        <w:rPr>
          <w:lang w:eastAsia="zh-CN"/>
        </w:rPr>
      </w:pPr>
      <w:r>
        <w:rPr>
          <w:rFonts w:cs="宋体"/>
          <w:lang w:eastAsia="zh-CN"/>
        </w:rPr>
        <w:t>评价化学物质的潜在遗传毒性和致癌性，具体方法如下：</w:t>
      </w:r>
    </w:p>
    <w:p w14:paraId="2D58ABAF">
      <w:pPr>
        <w:pStyle w:val="40"/>
        <w:numPr>
          <w:ilvl w:val="0"/>
          <w:numId w:val="16"/>
        </w:numPr>
        <w:spacing w:before="120"/>
        <w:ind w:left="1724" w:firstLineChars="0"/>
        <w:rPr>
          <w:lang w:eastAsia="zh-CN"/>
        </w:rPr>
      </w:pPr>
      <w:r>
        <w:rPr>
          <w:rFonts w:cs="宋体"/>
          <w:lang w:eastAsia="zh-CN"/>
        </w:rPr>
        <w:t>利用所识别出的检索词进行全面的文献回顾，</w:t>
      </w:r>
    </w:p>
    <w:p w14:paraId="147FF0A1">
      <w:pPr>
        <w:pStyle w:val="40"/>
        <w:numPr>
          <w:ilvl w:val="0"/>
          <w:numId w:val="16"/>
        </w:numPr>
        <w:spacing w:before="0" w:beforeLines="0"/>
        <w:ind w:left="1724" w:firstLineChars="0"/>
        <w:rPr>
          <w:lang w:eastAsia="zh-CN"/>
        </w:rPr>
      </w:pPr>
      <w:r>
        <w:rPr>
          <w:rFonts w:cs="宋体"/>
          <w:lang w:eastAsia="zh-CN"/>
        </w:rPr>
        <w:t>对长期体内动物研究中的任何致癌性证据进行评价（例如，炎症、肿瘤前期病灶、或动物研究中的肿瘤调查结果），</w:t>
      </w:r>
    </w:p>
    <w:p w14:paraId="0B3F0072">
      <w:pPr>
        <w:pStyle w:val="40"/>
        <w:numPr>
          <w:ilvl w:val="0"/>
          <w:numId w:val="16"/>
        </w:numPr>
        <w:spacing w:before="0" w:beforeLines="0"/>
        <w:ind w:left="1724" w:firstLineChars="0"/>
        <w:rPr>
          <w:lang w:eastAsia="zh-CN"/>
        </w:rPr>
      </w:pPr>
      <w:r>
        <w:rPr>
          <w:rFonts w:cs="宋体"/>
          <w:lang w:eastAsia="zh-CN"/>
        </w:rPr>
        <w:t>利用动物数据的相关性来评价人类风险，并且</w:t>
      </w:r>
    </w:p>
    <w:p w14:paraId="0B00D27C">
      <w:pPr>
        <w:pStyle w:val="40"/>
        <w:numPr>
          <w:ilvl w:val="0"/>
          <w:numId w:val="16"/>
        </w:numPr>
        <w:spacing w:before="0" w:beforeLines="0"/>
        <w:ind w:left="1724" w:firstLineChars="0"/>
      </w:pPr>
      <w:r>
        <w:rPr>
          <w:rFonts w:cs="宋体"/>
          <w:lang w:eastAsia="zh-CN"/>
        </w:rPr>
        <w:t>对源于可用的流行病学研究或任何相关长期临床研究调查结果中的人类数据进行评价，包括易感人群和生活阶段，以及器械植入部位和部位进展为局部肿瘤的倾向性。</w:t>
      </w:r>
      <w:r>
        <w:rPr>
          <w:rFonts w:cs="宋体"/>
          <w:vertAlign w:val="superscript"/>
        </w:rPr>
        <w:t>57,58</w:t>
      </w:r>
    </w:p>
    <w:p w14:paraId="399793F2">
      <w:pPr>
        <w:pStyle w:val="40"/>
        <w:numPr>
          <w:ilvl w:val="0"/>
          <w:numId w:val="13"/>
        </w:numPr>
        <w:spacing w:before="120"/>
        <w:ind w:left="1305" w:firstLineChars="0"/>
      </w:pPr>
      <w:r>
        <w:rPr>
          <w:rFonts w:cs="宋体"/>
          <w:lang w:eastAsia="zh-CN"/>
        </w:rPr>
        <w:t>如果在器械中识别出潜在致癌物[例如，国际癌症研究机构（IARC）的化学物质专题论著]</w:t>
      </w:r>
      <w:r>
        <w:rPr>
          <w:rFonts w:cs="宋体"/>
          <w:vertAlign w:val="superscript"/>
          <w:lang w:eastAsia="zh-CN"/>
        </w:rPr>
        <w:t>59</w:t>
      </w:r>
      <w:r>
        <w:rPr>
          <w:rFonts w:cs="宋体"/>
          <w:lang w:eastAsia="zh-CN"/>
        </w:rPr>
        <w:t>，在癌症风险评定中应提供文献证据以证明器械中可获取的潜在致癌物质含量不会构成无法接受的致癌风险。</w:t>
      </w:r>
      <w:r>
        <w:rPr>
          <w:rFonts w:cs="宋体"/>
          <w:vertAlign w:val="superscript"/>
        </w:rPr>
        <w:t>60</w:t>
      </w:r>
    </w:p>
    <w:p w14:paraId="43029C85">
      <w:pPr>
        <w:spacing w:before="120"/>
        <w:rPr>
          <w:rFonts w:cs="宋体"/>
          <w:lang w:eastAsia="zh-CN"/>
        </w:rPr>
      </w:pPr>
    </w:p>
    <w:p w14:paraId="563B68B1">
      <w:pPr>
        <w:spacing w:before="120"/>
        <w:rPr>
          <w:rFonts w:cs="宋体"/>
          <w:lang w:eastAsia="zh-CN"/>
        </w:rPr>
      </w:pPr>
    </w:p>
    <w:p w14:paraId="402C27FE">
      <w:pPr>
        <w:spacing w:before="120"/>
        <w:rPr>
          <w:rFonts w:cs="宋体"/>
          <w:lang w:eastAsia="zh-CN"/>
        </w:rPr>
      </w:pPr>
    </w:p>
    <w:p w14:paraId="7906FF01">
      <w:pPr>
        <w:spacing w:before="120"/>
        <w:rPr>
          <w:rFonts w:cs="宋体"/>
          <w:lang w:eastAsia="zh-CN"/>
        </w:rPr>
      </w:pPr>
    </w:p>
    <w:p w14:paraId="557983F9">
      <w:pPr>
        <w:spacing w:before="120"/>
        <w:rPr>
          <w:rFonts w:cs="宋体"/>
          <w:lang w:eastAsia="zh-CN"/>
        </w:rPr>
      </w:pPr>
    </w:p>
    <w:p w14:paraId="5E9882FD">
      <w:pPr>
        <w:spacing w:before="120"/>
        <w:rPr>
          <w:lang w:eastAsia="zh-CN"/>
        </w:rPr>
      </w:pPr>
      <w:r>
        <w:rPr>
          <w:rFonts w:cs="宋体"/>
        </w:rPr>
        <w:t>________________________</w:t>
      </w:r>
    </w:p>
    <w:p w14:paraId="5051418F">
      <w:pPr>
        <w:spacing w:before="0" w:beforeLines="0"/>
        <w:rPr>
          <w:sz w:val="21"/>
          <w:szCs w:val="21"/>
          <w:lang w:eastAsia="zh-CN"/>
        </w:rPr>
      </w:pPr>
      <w:r>
        <w:rPr>
          <w:rFonts w:cs="宋体"/>
          <w:sz w:val="21"/>
          <w:vertAlign w:val="superscript"/>
          <w:lang w:eastAsia="zh-CN"/>
        </w:rPr>
        <w:t>56</w:t>
      </w:r>
      <w:r>
        <w:rPr>
          <w:rFonts w:cs="宋体"/>
          <w:sz w:val="21"/>
          <w:lang w:eastAsia="zh-CN"/>
        </w:rPr>
        <w:t>有关所需敏感度水平的详情，请参见ICH M7指南</w:t>
      </w:r>
      <w:r>
        <w:rPr>
          <w:rFonts w:cs="宋体"/>
          <w:color w:val="0000FF"/>
          <w:sz w:val="21"/>
          <w:u w:val="single"/>
          <w:lang w:eastAsia="zh-CN"/>
        </w:rPr>
        <w:t>《评价和控制药物中DNA反应（诱变）杂质以限制潜在致癌风险》</w:t>
      </w:r>
      <w:r>
        <w:rPr>
          <w:rFonts w:cs="宋体"/>
          <w:sz w:val="21"/>
          <w:lang w:eastAsia="zh-CN"/>
        </w:rPr>
        <w:t>，可登录以下网址获取</w:t>
      </w:r>
      <w:r>
        <w:rPr>
          <w:rFonts w:cs="宋体"/>
          <w:color w:val="0000FF"/>
          <w:sz w:val="21"/>
          <w:u w:val="single"/>
          <w:lang w:eastAsia="zh-CN"/>
        </w:rPr>
        <w:t>https://www.fda.gov/regulatory-information/search-fda-</w:t>
      </w:r>
      <w:r>
        <w:rPr>
          <w:rFonts w:hint="eastAsia" w:cs="宋体"/>
          <w:color w:val="0000FF"/>
          <w:sz w:val="21"/>
          <w:u w:val="single"/>
          <w:lang w:eastAsia="zh-CN"/>
        </w:rPr>
        <w:t xml:space="preserve"> </w:t>
      </w:r>
      <w:r>
        <w:rPr>
          <w:rFonts w:cs="宋体"/>
          <w:color w:val="0000FF"/>
          <w:sz w:val="21"/>
          <w:u w:val="single"/>
          <w:lang w:eastAsia="zh-CN"/>
        </w:rPr>
        <w:t>guidance-documents/m7r1-assessment-and-control-dna-reactive-mutagenic-impurities-pharmaceuticals-limit-potential</w:t>
      </w:r>
      <w:r>
        <w:rPr>
          <w:rFonts w:cs="宋体"/>
          <w:sz w:val="21"/>
          <w:lang w:eastAsia="zh-CN"/>
        </w:rPr>
        <w:t>。</w:t>
      </w:r>
    </w:p>
    <w:p w14:paraId="584CEF47">
      <w:pPr>
        <w:spacing w:before="0" w:beforeLines="0"/>
        <w:rPr>
          <w:sz w:val="21"/>
          <w:szCs w:val="21"/>
        </w:rPr>
      </w:pPr>
      <w:r>
        <w:rPr>
          <w:rFonts w:cs="宋体"/>
          <w:sz w:val="21"/>
          <w:vertAlign w:val="superscript"/>
        </w:rPr>
        <w:t>57</w:t>
      </w:r>
      <w:r>
        <w:rPr>
          <w:rFonts w:cs="宋体"/>
          <w:sz w:val="21"/>
        </w:rPr>
        <w:t xml:space="preserve"> Huff, J., et al., “Chemicals associated with site-specific neoplasia in 1394 long-term carcinogenesis experiments in laboratory rodents.”Environ Health Perspect, 1991, 93: 247-70.</w:t>
      </w:r>
    </w:p>
    <w:p w14:paraId="1A8458F4">
      <w:pPr>
        <w:spacing w:before="0" w:beforeLines="0"/>
        <w:rPr>
          <w:sz w:val="21"/>
          <w:szCs w:val="21"/>
        </w:rPr>
      </w:pPr>
      <w:r>
        <w:rPr>
          <w:rFonts w:cs="宋体"/>
          <w:sz w:val="21"/>
          <w:vertAlign w:val="superscript"/>
        </w:rPr>
        <w:t>58</w:t>
      </w:r>
      <w:r>
        <w:rPr>
          <w:rFonts w:cs="宋体"/>
          <w:sz w:val="21"/>
        </w:rPr>
        <w:t xml:space="preserve"> Gold, L.S., et al., “Target organs in chronic bioassays of 533 chemical carcinogens.”Environ Health Perspect, 1991, 93: 233–246.</w:t>
      </w:r>
    </w:p>
    <w:p w14:paraId="7A098760">
      <w:pPr>
        <w:spacing w:before="0" w:beforeLines="0"/>
        <w:rPr>
          <w:sz w:val="21"/>
          <w:szCs w:val="21"/>
          <w:lang w:eastAsia="zh-CN"/>
        </w:rPr>
      </w:pPr>
      <w:r>
        <w:rPr>
          <w:rFonts w:cs="宋体"/>
          <w:sz w:val="21"/>
          <w:vertAlign w:val="superscript"/>
          <w:lang w:eastAsia="zh-CN"/>
        </w:rPr>
        <w:t>59</w:t>
      </w:r>
      <w:r>
        <w:rPr>
          <w:rFonts w:cs="宋体"/>
          <w:sz w:val="21"/>
          <w:lang w:eastAsia="zh-CN"/>
        </w:rPr>
        <w:t>请参见</w:t>
      </w:r>
      <w:r>
        <w:rPr>
          <w:rFonts w:cs="宋体"/>
          <w:color w:val="0000FF"/>
          <w:sz w:val="21"/>
          <w:u w:val="single"/>
          <w:lang w:eastAsia="zh-CN"/>
        </w:rPr>
        <w:t>《IARC人类致癌风险评价专刊》</w:t>
      </w:r>
      <w:r>
        <w:rPr>
          <w:rFonts w:cs="宋体"/>
          <w:sz w:val="21"/>
          <w:lang w:eastAsia="zh-CN"/>
        </w:rPr>
        <w:t>。</w:t>
      </w:r>
    </w:p>
    <w:p w14:paraId="69877577">
      <w:pPr>
        <w:spacing w:before="0" w:beforeLines="0"/>
        <w:rPr>
          <w:sz w:val="21"/>
          <w:szCs w:val="21"/>
          <w:lang w:eastAsia="zh-CN"/>
        </w:rPr>
      </w:pPr>
      <w:r>
        <w:rPr>
          <w:rFonts w:cs="宋体"/>
          <w:sz w:val="21"/>
          <w:vertAlign w:val="superscript"/>
          <w:lang w:eastAsia="zh-CN"/>
        </w:rPr>
        <w:t>60</w:t>
      </w:r>
      <w:r>
        <w:rPr>
          <w:rFonts w:hint="eastAsia" w:cs="宋体"/>
          <w:sz w:val="21"/>
          <w:vertAlign w:val="superscript"/>
          <w:lang w:eastAsia="zh-CN"/>
        </w:rPr>
        <w:t xml:space="preserve"> </w:t>
      </w:r>
      <w:r>
        <w:rPr>
          <w:rFonts w:cs="宋体"/>
          <w:sz w:val="21"/>
          <w:lang w:eastAsia="zh-CN"/>
        </w:rPr>
        <w:t>ISO 10993-17《医疗器械生物学评价-第17部分：可沥滤物容许限的确立》。</w:t>
      </w:r>
    </w:p>
    <w:p w14:paraId="650F39C4">
      <w:pPr>
        <w:spacing w:before="120"/>
        <w:rPr>
          <w:lang w:eastAsia="zh-CN"/>
        </w:rPr>
      </w:pPr>
      <w:r>
        <w:rPr>
          <w:rFonts w:cs="宋体"/>
          <w:lang w:eastAsia="zh-CN"/>
        </w:rPr>
        <w:br w:type="page"/>
      </w:r>
    </w:p>
    <w:p w14:paraId="07138DE6">
      <w:pPr>
        <w:spacing w:before="120"/>
        <w:ind w:left="600" w:leftChars="250"/>
        <w:rPr>
          <w:lang w:eastAsia="zh-CN"/>
        </w:rPr>
      </w:pPr>
      <w:r>
        <w:rPr>
          <w:rFonts w:cs="宋体"/>
          <w:lang w:eastAsia="zh-CN"/>
        </w:rPr>
        <w:t>如果批准致癌性试验（例如，当无法获取用于提供充分评价的数据时或当评价指出可能存在风险时），考虑使用已确认转基因状态的转基因动物模型（例如，RasH2）或其它验证模型。</w:t>
      </w:r>
    </w:p>
    <w:p w14:paraId="14376203">
      <w:pPr>
        <w:spacing w:before="120"/>
        <w:ind w:left="600" w:leftChars="250"/>
        <w:rPr>
          <w:lang w:eastAsia="zh-CN"/>
        </w:rPr>
      </w:pPr>
      <w:r>
        <w:rPr>
          <w:rFonts w:cs="宋体"/>
          <w:lang w:eastAsia="zh-CN"/>
        </w:rPr>
        <w:t>进行致癌性试验之前，建议申请人与FDA就申报试验进行讨论，以确保研究设计在采用基于统计学并证明统计学效力的样本量适用于对潜在致癌风险进行评价。</w:t>
      </w:r>
    </w:p>
    <w:p w14:paraId="2BB7BC12">
      <w:pPr>
        <w:pStyle w:val="40"/>
        <w:numPr>
          <w:ilvl w:val="0"/>
          <w:numId w:val="10"/>
        </w:numPr>
        <w:spacing w:before="120"/>
        <w:ind w:left="1162" w:leftChars="250" w:hanging="562" w:hangingChars="200"/>
        <w:outlineLvl w:val="1"/>
        <w:rPr>
          <w:b/>
          <w:bCs/>
          <w:sz w:val="28"/>
          <w:szCs w:val="28"/>
        </w:rPr>
      </w:pPr>
      <w:bookmarkStart w:id="33" w:name="_Toc97827721"/>
      <w:r>
        <w:rPr>
          <w:rFonts w:cs="宋体"/>
          <w:b/>
          <w:sz w:val="28"/>
        </w:rPr>
        <w:t>生殖和发育毒性</w:t>
      </w:r>
      <w:bookmarkEnd w:id="33"/>
    </w:p>
    <w:p w14:paraId="42B6D41B">
      <w:pPr>
        <w:spacing w:before="120"/>
        <w:ind w:left="600" w:leftChars="250"/>
      </w:pPr>
      <w:r>
        <w:rPr>
          <w:rFonts w:cs="宋体"/>
          <w:lang w:eastAsia="zh-CN"/>
        </w:rPr>
        <w:t>FDA建议对生殖和发育毒性进行评价以评价医疗器械、材料和/或其浸提物对生殖功能、胚胎发育（致畸性）以及如ISO 10993-1中所述的产前和早期产后发育的潜在影响。如果生物相容性评价识别出了已知或潜在生殖或发育毒性风险，和/或文献中的生殖和发育信息不足以解决风险，可能必须进行试验和/或通过标记以消减风险。</w:t>
      </w:r>
      <w:r>
        <w:rPr>
          <w:rFonts w:cs="宋体"/>
        </w:rPr>
        <w:t>示例包括：</w:t>
      </w:r>
    </w:p>
    <w:p w14:paraId="7AF3FA47">
      <w:pPr>
        <w:pStyle w:val="40"/>
        <w:numPr>
          <w:ilvl w:val="0"/>
          <w:numId w:val="13"/>
        </w:numPr>
        <w:spacing w:before="120"/>
        <w:ind w:left="1305" w:firstLineChars="0"/>
        <w:rPr>
          <w:lang w:eastAsia="zh-CN"/>
        </w:rPr>
      </w:pPr>
      <w:r>
        <w:rPr>
          <w:rFonts w:cs="宋体"/>
          <w:lang w:eastAsia="zh-CN"/>
        </w:rPr>
        <w:t>新型植入物材料，如果其化学可沥滤物可能与生殖器官接触（与接触类型或时间无关），和</w:t>
      </w:r>
    </w:p>
    <w:p w14:paraId="7CD57A43">
      <w:pPr>
        <w:pStyle w:val="40"/>
        <w:numPr>
          <w:ilvl w:val="0"/>
          <w:numId w:val="13"/>
        </w:numPr>
        <w:spacing w:before="120"/>
        <w:ind w:left="1305" w:firstLineChars="0"/>
        <w:rPr>
          <w:lang w:eastAsia="zh-CN"/>
        </w:rPr>
      </w:pPr>
      <w:r>
        <w:rPr>
          <w:rFonts w:cs="宋体"/>
          <w:lang w:eastAsia="zh-CN"/>
        </w:rPr>
        <w:t>与生殖器官接触的器械材料或组件。</w:t>
      </w:r>
    </w:p>
    <w:p w14:paraId="24C061F0">
      <w:pPr>
        <w:spacing w:before="120"/>
        <w:ind w:left="600" w:leftChars="250"/>
        <w:rPr>
          <w:lang w:eastAsia="zh-CN"/>
        </w:rPr>
      </w:pPr>
      <w:r>
        <w:rPr>
          <w:rFonts w:cs="宋体"/>
          <w:lang w:eastAsia="zh-CN"/>
        </w:rPr>
        <w:t>如果器械材料可能分布于全身（例如，可吸收性器械），并且无法获取生殖和发育毒性文献，则应考虑对育龄动物进行试验。</w:t>
      </w:r>
    </w:p>
    <w:p w14:paraId="037A08EF">
      <w:pPr>
        <w:pStyle w:val="40"/>
        <w:numPr>
          <w:ilvl w:val="0"/>
          <w:numId w:val="10"/>
        </w:numPr>
        <w:spacing w:before="120"/>
        <w:ind w:left="1162" w:leftChars="250" w:hanging="562" w:hangingChars="200"/>
        <w:outlineLvl w:val="1"/>
        <w:rPr>
          <w:b/>
          <w:bCs/>
          <w:sz w:val="28"/>
          <w:szCs w:val="28"/>
        </w:rPr>
      </w:pPr>
      <w:bookmarkStart w:id="34" w:name="_Toc97827722"/>
      <w:r>
        <w:rPr>
          <w:rFonts w:cs="宋体"/>
          <w:b/>
          <w:sz w:val="28"/>
        </w:rPr>
        <w:t>降解评价</w:t>
      </w:r>
      <w:bookmarkEnd w:id="34"/>
    </w:p>
    <w:p w14:paraId="7BB57D01">
      <w:pPr>
        <w:spacing w:before="120"/>
        <w:ind w:left="600" w:leftChars="250"/>
        <w:rPr>
          <w:lang w:eastAsia="zh-CN"/>
        </w:rPr>
      </w:pPr>
      <w:r>
        <w:rPr>
          <w:rFonts w:cs="宋体"/>
          <w:lang w:eastAsia="zh-CN"/>
        </w:rPr>
        <w:t>FDA建议对于可吸收性器械，应在适当的动物模型中进行体内降解评价。如ISO 10993-1中所述，应描述并在文件中记录影响降解率的参数。申请人应根据生理学相关数据和降解器械的生物学反应来报告降解速度。如果观察到不良生物学反应，建议进行额外体外评价以识别毒性来源，如关注的潜在化学物质。可能需要对器械最终产品进行其他试验（例如，降解试验和/或化学表征试验）。在进行体内降解或化学表征试验之前，FDA建议申请人与FDA就申报试验进行讨论，以确保申报试验的设计适用于评价对患者构成的潜在风险，如毒理学风险和机械性能丢失。应在申报中提供关于降解产物特征的方案和试验报告（参见附件E，试验报告中所包含的推荐要素）。</w:t>
      </w:r>
    </w:p>
    <w:p w14:paraId="17BB4EB9">
      <w:pPr>
        <w:spacing w:before="120"/>
        <w:rPr>
          <w:lang w:eastAsia="zh-CN"/>
        </w:rPr>
      </w:pPr>
      <w:r>
        <w:rPr>
          <w:rFonts w:cs="宋体"/>
          <w:lang w:eastAsia="zh-CN"/>
        </w:rPr>
        <w:br w:type="page"/>
      </w:r>
    </w:p>
    <w:p w14:paraId="7C899ACD">
      <w:pPr>
        <w:pStyle w:val="40"/>
        <w:numPr>
          <w:ilvl w:val="0"/>
          <w:numId w:val="1"/>
        </w:numPr>
        <w:spacing w:before="120"/>
        <w:ind w:left="643" w:hanging="643" w:hangingChars="200"/>
        <w:outlineLvl w:val="0"/>
        <w:rPr>
          <w:b/>
          <w:bCs/>
          <w:sz w:val="32"/>
          <w:szCs w:val="32"/>
        </w:rPr>
      </w:pPr>
      <w:bookmarkStart w:id="35" w:name="_Toc97827723"/>
      <w:r>
        <w:rPr>
          <w:rFonts w:cs="宋体"/>
          <w:b/>
          <w:sz w:val="32"/>
        </w:rPr>
        <w:t>化学制品评价</w:t>
      </w:r>
      <w:bookmarkEnd w:id="35"/>
    </w:p>
    <w:p w14:paraId="4604AC06">
      <w:pPr>
        <w:spacing w:before="120"/>
        <w:rPr>
          <w:lang w:eastAsia="zh-CN"/>
        </w:rPr>
      </w:pPr>
      <w:r>
        <w:rPr>
          <w:rFonts w:cs="宋体"/>
          <w:lang w:eastAsia="zh-CN"/>
        </w:rPr>
        <w:t>FDA根据接触时间和接触性质，对医疗器械的安全性进行了评价。医疗器械评价的本质是了解人体与医疗器械的全部接触情况，包括器械中所含的所有化学实体。对于与患者接触部分可能含有有毒化学物质的器械，安全性评价应包括化学风险（即，毒理学关注点的水平）和接触类型和时间。</w:t>
      </w:r>
    </w:p>
    <w:p w14:paraId="3C483E44">
      <w:pPr>
        <w:spacing w:before="120"/>
        <w:rPr>
          <w:lang w:eastAsia="zh-CN"/>
        </w:rPr>
      </w:pPr>
      <w:r>
        <w:rPr>
          <w:rFonts w:cs="宋体"/>
          <w:lang w:eastAsia="zh-CN"/>
        </w:rPr>
        <w:t>在下述情况下，FDA可能要求提供其他化学信息：</w:t>
      </w:r>
    </w:p>
    <w:p w14:paraId="3A89999C">
      <w:pPr>
        <w:pStyle w:val="40"/>
        <w:numPr>
          <w:ilvl w:val="0"/>
          <w:numId w:val="17"/>
        </w:numPr>
        <w:spacing w:before="120"/>
        <w:ind w:left="704" w:firstLineChars="0"/>
        <w:rPr>
          <w:lang w:eastAsia="zh-CN"/>
        </w:rPr>
      </w:pPr>
      <w:r>
        <w:rPr>
          <w:rFonts w:cs="宋体"/>
          <w:lang w:eastAsia="zh-CN"/>
        </w:rPr>
        <w:t>对于由之前从未在美国合法销售的医疗器械中使用的新材料制成的器械，可能必须提供毒理学信息（即，文献数据、最终器械的其他生物相容性试验、或关注化学物质的毒性试验），因此，可对新材料进行完整毒性评价。或许不必将毒性评价局限于由ISO 10993-1为特定接触类型和时间而识别出的终点。为更充分地评价可能引起罕见毒理学问题的新材料，FDA将要求获取其他毒物学信息来补充根据ISO 10993-1提供的信息，从而更充分了解新材料的毒理学风险，以确保这些材料在医疗器械中使用的安全性。</w:t>
      </w:r>
    </w:p>
    <w:p w14:paraId="4BD6C685">
      <w:pPr>
        <w:pStyle w:val="40"/>
        <w:numPr>
          <w:ilvl w:val="0"/>
          <w:numId w:val="17"/>
        </w:numPr>
        <w:spacing w:before="120"/>
        <w:ind w:left="704" w:firstLineChars="0"/>
        <w:rPr>
          <w:lang w:eastAsia="zh-CN"/>
        </w:rPr>
      </w:pPr>
      <w:r>
        <w:rPr>
          <w:rFonts w:cs="宋体"/>
          <w:lang w:eastAsia="zh-CN"/>
        </w:rPr>
        <w:t>对于申报利用新的化学物质来修改材料配方或器械制造工艺（例如，表面活性剂、抗氧化剂、可塑剂）而进行的提交，或许必须提供</w:t>
      </w:r>
      <w:r>
        <w:rPr>
          <w:rFonts w:cs="宋体"/>
          <w:vertAlign w:val="superscript"/>
          <w:lang w:eastAsia="zh-CN"/>
        </w:rPr>
        <w:t>61</w:t>
      </w:r>
      <w:r>
        <w:rPr>
          <w:rFonts w:cs="宋体"/>
          <w:lang w:eastAsia="zh-CN"/>
        </w:rPr>
        <w:t>毒理学信息[即，纯度和杂质信息，文献数据、或针对所关注的化学物质进行的其他毒性试验]以解决ISO 10993-1为相关接触类型和时间所识别出的终点。</w:t>
      </w:r>
    </w:p>
    <w:p w14:paraId="3AF96E44">
      <w:pPr>
        <w:spacing w:before="120"/>
        <w:rPr>
          <w:lang w:eastAsia="zh-CN"/>
        </w:rPr>
      </w:pPr>
      <w:bookmarkStart w:id="36" w:name="bookmark343"/>
      <w:bookmarkEnd w:id="36"/>
    </w:p>
    <w:p w14:paraId="619FA1F9">
      <w:pPr>
        <w:spacing w:before="120"/>
        <w:rPr>
          <w:lang w:eastAsia="zh-CN"/>
        </w:rPr>
      </w:pPr>
    </w:p>
    <w:p w14:paraId="0E3B7AB9">
      <w:pPr>
        <w:spacing w:before="120"/>
        <w:rPr>
          <w:lang w:eastAsia="zh-CN"/>
        </w:rPr>
      </w:pPr>
    </w:p>
    <w:p w14:paraId="16C258CE">
      <w:pPr>
        <w:spacing w:before="120"/>
        <w:rPr>
          <w:lang w:eastAsia="zh-CN"/>
        </w:rPr>
      </w:pPr>
    </w:p>
    <w:p w14:paraId="31C8C139">
      <w:pPr>
        <w:spacing w:before="120"/>
        <w:rPr>
          <w:lang w:eastAsia="zh-CN"/>
        </w:rPr>
      </w:pPr>
    </w:p>
    <w:p w14:paraId="7DA97268">
      <w:pPr>
        <w:spacing w:before="120"/>
        <w:rPr>
          <w:lang w:eastAsia="zh-CN"/>
        </w:rPr>
      </w:pPr>
    </w:p>
    <w:p w14:paraId="689703A7">
      <w:pPr>
        <w:spacing w:before="120"/>
        <w:rPr>
          <w:lang w:eastAsia="zh-CN"/>
        </w:rPr>
      </w:pPr>
    </w:p>
    <w:p w14:paraId="73DEDA5F">
      <w:pPr>
        <w:spacing w:before="120"/>
        <w:rPr>
          <w:lang w:eastAsia="zh-CN"/>
        </w:rPr>
      </w:pPr>
    </w:p>
    <w:p w14:paraId="476C7575">
      <w:pPr>
        <w:spacing w:before="120"/>
        <w:rPr>
          <w:lang w:eastAsia="zh-CN"/>
        </w:rPr>
      </w:pPr>
    </w:p>
    <w:p w14:paraId="7718E357">
      <w:pPr>
        <w:spacing w:before="120"/>
        <w:rPr>
          <w:lang w:eastAsia="zh-CN"/>
        </w:rPr>
      </w:pPr>
    </w:p>
    <w:p w14:paraId="0BF96656">
      <w:pPr>
        <w:spacing w:before="120"/>
        <w:rPr>
          <w:lang w:eastAsia="zh-CN"/>
        </w:rPr>
      </w:pPr>
      <w:r>
        <w:rPr>
          <w:rFonts w:cs="宋体"/>
          <w:lang w:eastAsia="zh-CN"/>
        </w:rPr>
        <w:t>________________________</w:t>
      </w:r>
    </w:p>
    <w:p w14:paraId="235F7550">
      <w:pPr>
        <w:spacing w:before="0" w:beforeLines="0"/>
        <w:rPr>
          <w:sz w:val="21"/>
          <w:szCs w:val="21"/>
          <w:lang w:eastAsia="zh-CN"/>
        </w:rPr>
      </w:pPr>
      <w:r>
        <w:rPr>
          <w:rFonts w:cs="宋体"/>
          <w:sz w:val="21"/>
          <w:vertAlign w:val="superscript"/>
          <w:lang w:eastAsia="zh-CN"/>
        </w:rPr>
        <w:t>61</w:t>
      </w:r>
      <w:r>
        <w:rPr>
          <w:rFonts w:cs="宋体"/>
          <w:sz w:val="21"/>
          <w:lang w:eastAsia="zh-CN"/>
        </w:rPr>
        <w:t>根据采购管理责任（21 CFR 820.50），如果考虑新材料供应商，应对来料进行比较性化学表征试验或利用成分标准来确定新材料或成分中是否存在可能影响生物相容性、以至于可能需要进行其他试验的其他类型或数量的杂质，或者是否其足以证明器械主记录中的改变（认为无需进行试验）。</w:t>
      </w:r>
    </w:p>
    <w:p w14:paraId="3709908E">
      <w:pPr>
        <w:spacing w:before="120"/>
        <w:rPr>
          <w:lang w:eastAsia="zh-CN"/>
        </w:rPr>
      </w:pPr>
      <w:r>
        <w:rPr>
          <w:rFonts w:cs="宋体"/>
          <w:lang w:eastAsia="zh-CN"/>
        </w:rPr>
        <w:br w:type="page"/>
      </w:r>
    </w:p>
    <w:p w14:paraId="098AB5C9">
      <w:pPr>
        <w:pStyle w:val="40"/>
        <w:numPr>
          <w:ilvl w:val="0"/>
          <w:numId w:val="17"/>
        </w:numPr>
        <w:spacing w:before="120"/>
        <w:ind w:left="704" w:firstLineChars="0"/>
        <w:rPr>
          <w:lang w:eastAsia="zh-CN"/>
        </w:rPr>
      </w:pPr>
      <w:r>
        <w:rPr>
          <w:rFonts w:cs="宋体"/>
          <w:lang w:eastAsia="zh-CN"/>
        </w:rPr>
        <w:t>对于含毒性已知化学物质的器械（例如，在组合产品中使用的药物或生物制剂），</w:t>
      </w:r>
      <w:r>
        <w:rPr>
          <w:rFonts w:cs="宋体"/>
          <w:vertAlign w:val="superscript"/>
          <w:lang w:eastAsia="zh-CN"/>
        </w:rPr>
        <w:t>62</w:t>
      </w:r>
      <w:r>
        <w:rPr>
          <w:rFonts w:cs="宋体"/>
          <w:lang w:eastAsia="zh-CN"/>
        </w:rPr>
        <w:t>利用对医疗器械最终产品采取的传统生物相容性试验可能无法消减毒理学风险。例如，通过化学表征和文献回顾可能会更好地对遗传毒性、致癌性和发育毒性终点进行评价。因此，在这些特殊情况下，可能必须使用化学表征数据和文献中的毒理学信息来支持风险评定。</w:t>
      </w:r>
    </w:p>
    <w:p w14:paraId="296C8EDA">
      <w:pPr>
        <w:pStyle w:val="40"/>
        <w:numPr>
          <w:ilvl w:val="0"/>
          <w:numId w:val="17"/>
        </w:numPr>
        <w:spacing w:before="120"/>
        <w:ind w:left="704" w:firstLineChars="0"/>
        <w:rPr>
          <w:lang w:eastAsia="zh-CN"/>
        </w:rPr>
      </w:pPr>
      <w:r>
        <w:rPr>
          <w:rFonts w:cs="宋体"/>
          <w:lang w:eastAsia="zh-CN"/>
        </w:rPr>
        <w:t>对于由随时间变化的材料制成的器械（例如，组合产品，或可原位吸收或降解的材料），或许不适用于仅利用所制造器械的生物相容性信息来预测器械在植入寿命中的毒性。因此，可能必须使用化学表征数据和文献中的毒理学信息来支持风险评定。</w:t>
      </w:r>
    </w:p>
    <w:p w14:paraId="44B108D4">
      <w:pPr>
        <w:pStyle w:val="40"/>
        <w:numPr>
          <w:ilvl w:val="0"/>
          <w:numId w:val="17"/>
        </w:numPr>
        <w:spacing w:before="120"/>
        <w:ind w:left="704" w:firstLineChars="0"/>
        <w:rPr>
          <w:lang w:eastAsia="zh-CN"/>
        </w:rPr>
      </w:pPr>
      <w:r>
        <w:rPr>
          <w:rFonts w:cs="宋体"/>
          <w:lang w:eastAsia="zh-CN"/>
        </w:rPr>
        <w:t>对于某些在生物相容性研究中观察到未知结果的器械，可能必须使用其他化学表征数据和文献中的毒理学信息来确定毒性原因以及是否需要通过采取其他消减措施来降低风险。</w:t>
      </w:r>
    </w:p>
    <w:p w14:paraId="56AC795E">
      <w:pPr>
        <w:pStyle w:val="40"/>
        <w:numPr>
          <w:ilvl w:val="0"/>
          <w:numId w:val="17"/>
        </w:numPr>
        <w:spacing w:before="120"/>
        <w:ind w:left="704" w:firstLineChars="0"/>
        <w:rPr>
          <w:lang w:eastAsia="zh-CN"/>
        </w:rPr>
      </w:pPr>
      <w:r>
        <w:rPr>
          <w:rFonts w:cs="宋体"/>
          <w:lang w:eastAsia="zh-CN"/>
        </w:rPr>
        <w:t>对于某些器械，如果提供的“较长安全应用史”原理不足以理解配方添加剂和制造方法以及条件对医疗器械最终产品生物相容性的影响，则可能必须使用化学表征数据和文献中的毒理学信息来支持风险评定。</w:t>
      </w:r>
    </w:p>
    <w:p w14:paraId="31B8E883">
      <w:pPr>
        <w:spacing w:before="120"/>
        <w:rPr>
          <w:lang w:eastAsia="zh-CN"/>
        </w:rPr>
      </w:pPr>
      <w:r>
        <w:rPr>
          <w:rFonts w:cs="宋体"/>
          <w:lang w:eastAsia="zh-CN"/>
        </w:rPr>
        <w:t>当需要附加器械或器械组件化学信息时，应提供下述描述性信息：</w:t>
      </w:r>
    </w:p>
    <w:p w14:paraId="1DBCA982">
      <w:pPr>
        <w:pStyle w:val="40"/>
        <w:numPr>
          <w:ilvl w:val="0"/>
          <w:numId w:val="18"/>
        </w:numPr>
        <w:spacing w:before="120"/>
        <w:ind w:left="704" w:firstLineChars="0"/>
        <w:rPr>
          <w:lang w:eastAsia="zh-CN"/>
        </w:rPr>
      </w:pPr>
      <w:r>
        <w:rPr>
          <w:rFonts w:cs="宋体"/>
          <w:lang w:eastAsia="zh-CN"/>
        </w:rPr>
        <w:t>通过通用名、化学名称、化学摘要注册（CAS）号和商标名对化学品进行识别。</w:t>
      </w:r>
    </w:p>
    <w:p w14:paraId="11EB324F">
      <w:pPr>
        <w:spacing w:before="120"/>
        <w:rPr>
          <w:lang w:eastAsia="zh-CN"/>
        </w:rPr>
      </w:pPr>
      <w:bookmarkStart w:id="37" w:name="bookmark348"/>
      <w:bookmarkEnd w:id="37"/>
    </w:p>
    <w:p w14:paraId="19A3C451">
      <w:pPr>
        <w:spacing w:before="120"/>
        <w:rPr>
          <w:lang w:eastAsia="zh-CN"/>
        </w:rPr>
      </w:pPr>
    </w:p>
    <w:p w14:paraId="6B446EEE">
      <w:pPr>
        <w:spacing w:before="120"/>
        <w:rPr>
          <w:lang w:eastAsia="zh-CN"/>
        </w:rPr>
      </w:pPr>
    </w:p>
    <w:p w14:paraId="506C3815">
      <w:pPr>
        <w:spacing w:before="120"/>
        <w:rPr>
          <w:lang w:eastAsia="zh-CN"/>
        </w:rPr>
      </w:pPr>
    </w:p>
    <w:p w14:paraId="26E2E897">
      <w:pPr>
        <w:spacing w:before="120"/>
        <w:rPr>
          <w:lang w:eastAsia="zh-CN"/>
        </w:rPr>
      </w:pPr>
    </w:p>
    <w:p w14:paraId="6A01AF96">
      <w:pPr>
        <w:spacing w:before="120"/>
        <w:rPr>
          <w:lang w:eastAsia="zh-CN"/>
        </w:rPr>
      </w:pPr>
    </w:p>
    <w:p w14:paraId="5DB9F950">
      <w:pPr>
        <w:spacing w:before="120"/>
        <w:rPr>
          <w:lang w:eastAsia="zh-CN"/>
        </w:rPr>
      </w:pPr>
    </w:p>
    <w:p w14:paraId="5003355F">
      <w:pPr>
        <w:spacing w:before="120"/>
        <w:rPr>
          <w:lang w:eastAsia="zh-CN"/>
        </w:rPr>
      </w:pPr>
    </w:p>
    <w:p w14:paraId="262358ED">
      <w:pPr>
        <w:spacing w:before="120"/>
        <w:rPr>
          <w:lang w:eastAsia="zh-CN"/>
        </w:rPr>
      </w:pPr>
    </w:p>
    <w:p w14:paraId="351746A7">
      <w:pPr>
        <w:spacing w:before="120"/>
        <w:rPr>
          <w:lang w:eastAsia="zh-CN"/>
        </w:rPr>
      </w:pPr>
    </w:p>
    <w:p w14:paraId="58FE443E">
      <w:pPr>
        <w:spacing w:before="120"/>
        <w:rPr>
          <w:lang w:eastAsia="zh-CN"/>
        </w:rPr>
      </w:pPr>
    </w:p>
    <w:p w14:paraId="0065E088">
      <w:pPr>
        <w:spacing w:before="120"/>
        <w:rPr>
          <w:lang w:eastAsia="zh-CN"/>
        </w:rPr>
      </w:pPr>
      <w:r>
        <w:rPr>
          <w:rFonts w:cs="宋体"/>
          <w:lang w:eastAsia="zh-CN"/>
        </w:rPr>
        <w:t>________________________</w:t>
      </w:r>
    </w:p>
    <w:p w14:paraId="54CEE0E0">
      <w:pPr>
        <w:spacing w:before="0" w:beforeLines="0"/>
        <w:rPr>
          <w:sz w:val="21"/>
          <w:szCs w:val="21"/>
          <w:lang w:eastAsia="zh-CN"/>
        </w:rPr>
      </w:pPr>
      <w:r>
        <w:rPr>
          <w:rFonts w:cs="宋体"/>
          <w:sz w:val="21"/>
          <w:vertAlign w:val="superscript"/>
          <w:lang w:eastAsia="zh-CN"/>
        </w:rPr>
        <w:t>62</w:t>
      </w:r>
      <w:r>
        <w:rPr>
          <w:rFonts w:cs="宋体"/>
          <w:sz w:val="21"/>
          <w:lang w:eastAsia="zh-CN"/>
        </w:rPr>
        <w:t>在所提交的或在器械或药物主文件、新药申请（NDA）或生物制品许可协议（BLA）中引用的有用信息量可能对用于充分评价毒理学问题水平的化学制品成分的附加信息数量造成影响。</w:t>
      </w:r>
    </w:p>
    <w:p w14:paraId="59A89F62">
      <w:pPr>
        <w:spacing w:before="120"/>
        <w:rPr>
          <w:lang w:eastAsia="zh-CN"/>
        </w:rPr>
      </w:pPr>
      <w:r>
        <w:rPr>
          <w:rFonts w:cs="宋体"/>
          <w:lang w:eastAsia="zh-CN"/>
        </w:rPr>
        <w:br w:type="page"/>
      </w:r>
    </w:p>
    <w:p w14:paraId="69BF9161">
      <w:pPr>
        <w:pStyle w:val="40"/>
        <w:numPr>
          <w:ilvl w:val="0"/>
          <w:numId w:val="18"/>
        </w:numPr>
        <w:spacing w:before="120"/>
        <w:ind w:left="704" w:firstLineChars="0"/>
        <w:rPr>
          <w:lang w:eastAsia="zh-CN"/>
        </w:rPr>
      </w:pPr>
      <w:r>
        <w:rPr>
          <w:rFonts w:cs="宋体"/>
          <w:lang w:eastAsia="zh-CN"/>
        </w:rPr>
        <w:t>如已知，</w:t>
      </w:r>
      <w:r>
        <w:rPr>
          <w:rFonts w:cs="宋体"/>
          <w:vertAlign w:val="superscript"/>
          <w:lang w:eastAsia="zh-CN"/>
        </w:rPr>
        <w:t>63</w:t>
      </w:r>
      <w:r>
        <w:rPr>
          <w:rFonts w:cs="宋体"/>
          <w:lang w:eastAsia="zh-CN"/>
        </w:rPr>
        <w:t>化学品的成分、配方和分子量、结构信息以及制造和纯度信息，如制造工艺的详细描述（包括所使用的物质、合成使用量、以及反应条件）、化学品标准、多批化学品的分析、以及主要杂质的鉴别。</w:t>
      </w:r>
    </w:p>
    <w:p w14:paraId="75391612">
      <w:pPr>
        <w:pStyle w:val="40"/>
        <w:numPr>
          <w:ilvl w:val="0"/>
          <w:numId w:val="18"/>
        </w:numPr>
        <w:spacing w:before="120"/>
        <w:ind w:left="704" w:firstLineChars="0"/>
        <w:rPr>
          <w:lang w:eastAsia="zh-CN"/>
        </w:rPr>
      </w:pPr>
      <w:r>
        <w:rPr>
          <w:rFonts w:cs="宋体"/>
          <w:lang w:eastAsia="zh-CN"/>
        </w:rPr>
        <w:t>以适用器械成分占器械总量（例如，µg）的重量百分数形式表示的每种化学品在配方中的具体量。如果无法获取该信息（例如，通过材料供应商），利用最坏估计方法进行风险评定是可接受的。例如，可能假设在最终器械配方中使用100%的材料（例如，树脂球）是令人担心的化学品问题（即，所提供材料中的任何化学成分）。</w:t>
      </w:r>
    </w:p>
    <w:p w14:paraId="2A109698">
      <w:pPr>
        <w:pStyle w:val="40"/>
        <w:numPr>
          <w:ilvl w:val="0"/>
          <w:numId w:val="18"/>
        </w:numPr>
        <w:spacing w:before="120"/>
        <w:ind w:left="704" w:firstLineChars="0"/>
        <w:rPr>
          <w:lang w:eastAsia="zh-CN"/>
        </w:rPr>
      </w:pPr>
      <w:r>
        <w:rPr>
          <w:rFonts w:cs="宋体"/>
          <w:lang w:eastAsia="zh-CN"/>
        </w:rPr>
        <w:t>通过器械名称、制造商和提交编号来识别任何在美国销售的其它器械（其所含的、已知与组织直接或间接接触的化学实体之前曾被使用过）以及关于成分和使用数量的比较性信息。该信息通常仅适用于由相同制造商所制造的成分。</w:t>
      </w:r>
    </w:p>
    <w:p w14:paraId="596E07FB">
      <w:pPr>
        <w:spacing w:before="120"/>
        <w:rPr>
          <w:lang w:eastAsia="zh-CN"/>
        </w:rPr>
      </w:pPr>
      <w:r>
        <w:rPr>
          <w:rFonts w:cs="宋体"/>
          <w:lang w:eastAsia="zh-CN"/>
        </w:rPr>
        <w:t>如果无法获取关于成分化学物质的识别和数量的信息（例如，通过材料供应商），利用通过极性溶剂（例如，水、0.9%生理盐水）、半极性溶剂（例如，异丙醇、乙醇、酒精/水）和非极性溶剂（例如，己烷）或许足以支持器械生物相容性评价。溶剂的选择将取决于器械材料并应进行证明。例如，应使用0.9%生理盐水对含有金属成分的器械进行极性溶剂浸提以优化离子释放。此外，浸提条件（即，溶剂、温度和时间）不应破坏器械完整性。</w:t>
      </w:r>
    </w:p>
    <w:p w14:paraId="6D34FBF3">
      <w:pPr>
        <w:spacing w:before="120"/>
        <w:rPr>
          <w:lang w:eastAsia="zh-CN"/>
        </w:rPr>
      </w:pPr>
      <w:r>
        <w:rPr>
          <w:rFonts w:cs="宋体"/>
          <w:lang w:eastAsia="zh-CN"/>
        </w:rPr>
        <w:t>此外，为评价患者于器械或器械组件的接触情况，应提供下述接触信息：</w:t>
      </w:r>
    </w:p>
    <w:p w14:paraId="73241083">
      <w:pPr>
        <w:pStyle w:val="40"/>
        <w:numPr>
          <w:ilvl w:val="0"/>
          <w:numId w:val="18"/>
        </w:numPr>
        <w:spacing w:before="120"/>
        <w:ind w:left="704" w:firstLineChars="0"/>
        <w:rPr>
          <w:lang w:eastAsia="zh-CN"/>
        </w:rPr>
      </w:pPr>
      <w:r>
        <w:rPr>
          <w:rFonts w:cs="宋体"/>
          <w:lang w:eastAsia="zh-CN"/>
        </w:rPr>
        <w:t>针对患者直接或间接接触的每种化学物质（包括任何相关杂质）的接触评价。如果可能重复给药，应纳入患者接触量计算的考虑范围。这包括能够在器械表面或内部转移的化学物质。如果需要通过试验来评价化学物质是否在器械中发生迁移，可利用上述用于洗脱的化学表征试验方法进行试验。针对本试验来提供试验报告（包括试验条件的详细信息）以确认化学物质在预期使用条件下是稳定的。如在风险评定中所讨论的描述性信息或许足以替代任何新试验。</w:t>
      </w:r>
    </w:p>
    <w:p w14:paraId="2D8CD49E">
      <w:pPr>
        <w:spacing w:before="120"/>
        <w:rPr>
          <w:rFonts w:cs="宋体"/>
          <w:lang w:eastAsia="zh-CN"/>
        </w:rPr>
      </w:pPr>
    </w:p>
    <w:p w14:paraId="0EC57FED">
      <w:pPr>
        <w:spacing w:before="120"/>
        <w:rPr>
          <w:rFonts w:cs="宋体"/>
          <w:lang w:eastAsia="zh-CN"/>
        </w:rPr>
      </w:pPr>
    </w:p>
    <w:p w14:paraId="49C9685C">
      <w:pPr>
        <w:spacing w:before="120"/>
        <w:rPr>
          <w:rFonts w:cs="宋体"/>
          <w:lang w:eastAsia="zh-CN"/>
        </w:rPr>
      </w:pPr>
    </w:p>
    <w:p w14:paraId="22144D2D">
      <w:pPr>
        <w:spacing w:before="120"/>
        <w:rPr>
          <w:rFonts w:cs="宋体"/>
          <w:lang w:eastAsia="zh-CN"/>
        </w:rPr>
      </w:pPr>
    </w:p>
    <w:p w14:paraId="7FE17DC7">
      <w:pPr>
        <w:spacing w:before="120"/>
        <w:rPr>
          <w:rFonts w:cs="宋体"/>
          <w:lang w:eastAsia="zh-CN"/>
        </w:rPr>
      </w:pPr>
    </w:p>
    <w:p w14:paraId="5A64B8D9">
      <w:pPr>
        <w:spacing w:before="120"/>
        <w:rPr>
          <w:lang w:eastAsia="zh-CN"/>
        </w:rPr>
      </w:pPr>
      <w:r>
        <w:rPr>
          <w:rFonts w:cs="宋体"/>
          <w:lang w:eastAsia="zh-CN"/>
        </w:rPr>
        <w:t>________________________</w:t>
      </w:r>
    </w:p>
    <w:p w14:paraId="70E7F2CB">
      <w:pPr>
        <w:spacing w:before="0" w:beforeLines="0"/>
        <w:rPr>
          <w:rFonts w:cs="宋体"/>
          <w:sz w:val="21"/>
          <w:lang w:eastAsia="zh-CN"/>
        </w:rPr>
      </w:pPr>
      <w:r>
        <w:rPr>
          <w:rFonts w:cs="宋体"/>
          <w:sz w:val="21"/>
          <w:vertAlign w:val="superscript"/>
          <w:lang w:eastAsia="zh-CN"/>
        </w:rPr>
        <w:t>63</w:t>
      </w:r>
      <w:r>
        <w:rPr>
          <w:rFonts w:cs="宋体"/>
          <w:sz w:val="21"/>
          <w:lang w:eastAsia="zh-CN"/>
        </w:rPr>
        <w:t>在提交或参考器械或药物主文件过程中所获取的可用信息量可能对用于充分评价毒理学问题水平的化学制品成分的附加信息数量造成影响。</w:t>
      </w:r>
    </w:p>
    <w:p w14:paraId="5E9A48F4">
      <w:pPr>
        <w:spacing w:before="0" w:beforeLines="0"/>
        <w:rPr>
          <w:lang w:eastAsia="zh-CN"/>
        </w:rPr>
      </w:pPr>
      <w:r>
        <w:rPr>
          <w:rFonts w:cs="宋体"/>
          <w:sz w:val="21"/>
          <w:lang w:eastAsia="zh-CN"/>
        </w:rPr>
        <w:br w:type="page"/>
      </w:r>
    </w:p>
    <w:p w14:paraId="499A752A">
      <w:pPr>
        <w:spacing w:before="120"/>
        <w:rPr>
          <w:lang w:eastAsia="zh-CN"/>
        </w:rPr>
      </w:pPr>
      <w:r>
        <w:rPr>
          <w:rFonts w:cs="宋体"/>
          <w:lang w:eastAsia="zh-CN"/>
        </w:rPr>
        <w:t>如果上述信息证实，因为从不与组织接触或与其间接接触的器械组件上分离出化学物质或根据上述#5中描述的试验结果，所以器械或器械组件中的化学物质不存在毒性问题，则</w:t>
      </w:r>
      <w:r>
        <w:rPr>
          <w:rFonts w:cs="宋体"/>
          <w:b/>
          <w:lang w:eastAsia="zh-CN"/>
        </w:rPr>
        <w:t>无需提供进一步信息。</w:t>
      </w:r>
    </w:p>
    <w:p w14:paraId="458DA499">
      <w:pPr>
        <w:spacing w:before="120"/>
        <w:rPr>
          <w:lang w:eastAsia="zh-CN"/>
        </w:rPr>
      </w:pPr>
      <w:r>
        <w:rPr>
          <w:rFonts w:cs="宋体"/>
          <w:lang w:eastAsia="zh-CN"/>
        </w:rPr>
        <w:t>如果上述信息暗示患者与器械或器械组件中的化学物质发生了接触，应提供下述毒理学信息：</w:t>
      </w:r>
    </w:p>
    <w:p w14:paraId="65F06157">
      <w:pPr>
        <w:pStyle w:val="40"/>
        <w:numPr>
          <w:ilvl w:val="0"/>
          <w:numId w:val="18"/>
        </w:numPr>
        <w:spacing w:before="120"/>
        <w:ind w:left="704" w:firstLineChars="0"/>
        <w:rPr>
          <w:lang w:eastAsia="zh-CN"/>
        </w:rPr>
      </w:pPr>
      <w:r>
        <w:rPr>
          <w:rFonts w:cs="宋体"/>
          <w:lang w:eastAsia="zh-CN"/>
        </w:rPr>
        <w:t>利用文献中的毒性信息和所获取的任何由申请人获取的、针对所有已知毒性反应的未发表的数据对每个化学实体进行安全性评价。在无法通过文献、供应商和/或之前申请的医疗器械获取用于化学实体的全部毒理学特征的情况下，除非提供科学原理来解释为何无需进行其他试验，否则，可能需要对化学实体进行整套毒性试验（即，在</w:t>
      </w:r>
      <w:r>
        <w:rPr>
          <w:rFonts w:cs="宋体"/>
          <w:color w:val="0000FF"/>
          <w:u w:val="single"/>
          <w:lang w:eastAsia="zh-CN"/>
        </w:rPr>
        <w:t>附件A</w:t>
      </w:r>
      <w:r>
        <w:rPr>
          <w:rFonts w:cs="宋体"/>
          <w:lang w:eastAsia="zh-CN"/>
        </w:rPr>
        <w:t>中概述的试验以外的试验，包括但不限于遗传毒性、生殖和发育毒性和致癌性）。例如，如果浸提物和/或可沥滤物数据证明接触量将低于特定化学物质的、衍生的可耐受摄入量（TI）或TTC（如果无法推出TI），那么，不必为评价某些生物学终点进行进一步毒理学评价（例如，全身毒性、遗传毒性、致癌性）。</w:t>
      </w:r>
    </w:p>
    <w:p w14:paraId="51D325B0">
      <w:pPr>
        <w:spacing w:before="120"/>
        <w:rPr>
          <w:lang w:eastAsia="zh-CN"/>
        </w:rPr>
      </w:pPr>
      <w:r>
        <w:rPr>
          <w:rFonts w:cs="宋体"/>
          <w:lang w:eastAsia="zh-CN"/>
        </w:rPr>
        <w:t>毒理学问题的关注程度应依据患者与化学实体的接触情况和可用的毒理学数据。一种评价方法是考虑患者与器械或器械组件的全部接触情况与已知毒量或可能存在毒量的关系。</w:t>
      </w:r>
    </w:p>
    <w:p w14:paraId="2C59BE09">
      <w:pPr>
        <w:spacing w:before="120"/>
        <w:rPr>
          <w:lang w:eastAsia="zh-CN"/>
        </w:rPr>
      </w:pPr>
      <w:r>
        <w:rPr>
          <w:rFonts w:cs="宋体"/>
          <w:lang w:eastAsia="zh-CN"/>
        </w:rPr>
        <w:t>如果可用毒性信息表明即使释放出所有化学物质，进行该程度的接触也不会引起毒性问题（即，接触量低于存在产生毒性问题的接触量），则无需获取进一步信息。</w:t>
      </w:r>
    </w:p>
    <w:p w14:paraId="09DC24BB">
      <w:pPr>
        <w:spacing w:before="120"/>
        <w:rPr>
          <w:lang w:eastAsia="zh-CN"/>
        </w:rPr>
      </w:pPr>
      <w:r>
        <w:rPr>
          <w:rFonts w:cs="宋体"/>
          <w:lang w:eastAsia="zh-CN"/>
        </w:rPr>
        <w:t>但是，在释放所有化学物质后，如果产生潜在毒性问题，将需要获取进一步信息来确定释放了多少化学物质以及体内化学物质的归属。具体来说，应提供下述信息：</w:t>
      </w:r>
    </w:p>
    <w:p w14:paraId="5D79DC05">
      <w:pPr>
        <w:pStyle w:val="40"/>
        <w:numPr>
          <w:ilvl w:val="0"/>
          <w:numId w:val="18"/>
        </w:numPr>
        <w:spacing w:before="120"/>
        <w:ind w:left="704" w:firstLineChars="0"/>
        <w:rPr>
          <w:lang w:eastAsia="zh-CN"/>
        </w:rPr>
      </w:pPr>
      <w:r>
        <w:rPr>
          <w:rFonts w:cs="宋体"/>
          <w:lang w:eastAsia="zh-CN"/>
        </w:rPr>
        <w:t>用于证明患者在30天内可能接触（例如，释放量）的化学物质多少的数据（或在临床使用和安全界限范围内可能发生的最坏情况下的接触）。</w:t>
      </w:r>
    </w:p>
    <w:p w14:paraId="619E73EF">
      <w:pPr>
        <w:spacing w:before="120"/>
        <w:rPr>
          <w:lang w:eastAsia="zh-CN"/>
        </w:rPr>
      </w:pPr>
      <w:r>
        <w:rPr>
          <w:rFonts w:cs="宋体"/>
          <w:lang w:eastAsia="zh-CN"/>
        </w:rPr>
        <w:br w:type="page"/>
      </w:r>
    </w:p>
    <w:p w14:paraId="26FA8D9A">
      <w:pPr>
        <w:pStyle w:val="40"/>
        <w:numPr>
          <w:ilvl w:val="0"/>
          <w:numId w:val="18"/>
        </w:numPr>
        <w:spacing w:before="120"/>
        <w:ind w:left="704" w:firstLineChars="0"/>
        <w:rPr>
          <w:lang w:eastAsia="zh-CN"/>
        </w:rPr>
      </w:pPr>
      <w:r>
        <w:rPr>
          <w:rFonts w:cs="宋体"/>
          <w:lang w:eastAsia="zh-CN"/>
        </w:rPr>
        <w:t>如果数据指示患者将与化学物质（例如，通过洗脱）接触，可能必须在临床相关动物模型中，对器械上的化学物质的归属进行评价，以评价排泄时间，并进行药代动力学分析[例如，吸收、分布、代谢和排泄（ADME）]。本机构建议申请人参考可获取的相关的针对器械的指导原则文件，或联系审核部门以讨论在这些情况下使用的合理动物模型。</w:t>
      </w:r>
    </w:p>
    <w:p w14:paraId="751701FE">
      <w:pPr>
        <w:pStyle w:val="40"/>
        <w:numPr>
          <w:ilvl w:val="0"/>
          <w:numId w:val="1"/>
        </w:numPr>
        <w:spacing w:before="120"/>
        <w:ind w:left="643" w:hanging="643" w:hangingChars="200"/>
        <w:outlineLvl w:val="0"/>
        <w:rPr>
          <w:b/>
          <w:bCs/>
          <w:sz w:val="32"/>
          <w:szCs w:val="32"/>
        </w:rPr>
      </w:pPr>
      <w:bookmarkStart w:id="38" w:name="_Toc97827724"/>
      <w:r>
        <w:rPr>
          <w:rFonts w:cs="宋体"/>
          <w:b/>
          <w:sz w:val="32"/>
        </w:rPr>
        <w:t>标签</w:t>
      </w:r>
      <w:r>
        <w:rPr>
          <w:rFonts w:cs="宋体"/>
          <w:b/>
          <w:sz w:val="32"/>
          <w:vertAlign w:val="superscript"/>
        </w:rPr>
        <w:t>64</w:t>
      </w:r>
      <w:r>
        <w:rPr>
          <w:rFonts w:cs="宋体"/>
          <w:b/>
          <w:sz w:val="32"/>
        </w:rPr>
        <w:t>器械为“不含-”</w:t>
      </w:r>
      <w:bookmarkEnd w:id="38"/>
    </w:p>
    <w:p w14:paraId="0EB45E32">
      <w:pPr>
        <w:spacing w:before="120"/>
        <w:rPr>
          <w:lang w:eastAsia="zh-CN"/>
        </w:rPr>
      </w:pPr>
      <w:r>
        <w:rPr>
          <w:rFonts w:cs="宋体"/>
          <w:lang w:eastAsia="zh-CN"/>
        </w:rPr>
        <w:t>FDA注意到为与使用者就可能引起过敏或产生毒性化合物方面进行交流，申请人要求在器械标签中纳入声明信息，如“不含乳胶”、“不含DEHP”、“不含BPA”或“无热原”。现有的试验方法可能无法可靠地保证医疗器械中不存在可能在高敏感个体中产生不良反应的过敏原或有毒化合物。使用这些术语可能会使使用者在使用医疗器械时，产生一种有安全感的错觉。如果申请人选择在医疗器械标签中纳入声明，以用于暗示在旨在其医疗器械或医疗器械容器中未使用某种特殊材料，FDA建议根据材料认证使用如“未使用天然乳胶进行制造”或“未使用BPA”进行制造等声明，以指示在器械或器械组件中未使用天然乳胶或BPA。如果未定性使用该声明，该声明应适用于整个器械及其所有包装。申请人也能选择声明称，医疗器械或器械容器中的特定组件并未使用令人担忧的材料制成。例如，“未使用天然橡胶制造&lt;瓶塞&gt;”。</w:t>
      </w:r>
      <w:r>
        <w:rPr>
          <w:rFonts w:cs="宋体"/>
          <w:vertAlign w:val="superscript"/>
          <w:lang w:eastAsia="zh-CN"/>
        </w:rPr>
        <w:t>65</w:t>
      </w:r>
    </w:p>
    <w:p w14:paraId="388E4D73">
      <w:pPr>
        <w:spacing w:before="120"/>
        <w:rPr>
          <w:lang w:eastAsia="zh-CN"/>
        </w:rPr>
      </w:pPr>
      <w:r>
        <w:rPr>
          <w:rFonts w:cs="宋体"/>
          <w:lang w:eastAsia="zh-CN"/>
        </w:rPr>
        <w:t>如果申请人在申报时选择在其标签中纳入“不含-”声明，FDA建议申请人提供数据来支持器械中不含能够引起不良事件水平的材料（例如，过敏反应或毒性）。</w:t>
      </w:r>
    </w:p>
    <w:p w14:paraId="08A3319C">
      <w:pPr>
        <w:spacing w:before="120"/>
        <w:rPr>
          <w:rFonts w:cs="宋体"/>
          <w:lang w:eastAsia="zh-CN"/>
        </w:rPr>
      </w:pPr>
    </w:p>
    <w:p w14:paraId="77B2D9F4">
      <w:pPr>
        <w:spacing w:before="120"/>
        <w:rPr>
          <w:rFonts w:cs="宋体"/>
          <w:lang w:eastAsia="zh-CN"/>
        </w:rPr>
      </w:pPr>
    </w:p>
    <w:p w14:paraId="23604CE5">
      <w:pPr>
        <w:spacing w:before="120"/>
        <w:rPr>
          <w:rFonts w:cs="宋体"/>
          <w:lang w:eastAsia="zh-CN"/>
        </w:rPr>
      </w:pPr>
    </w:p>
    <w:p w14:paraId="0A453DE1">
      <w:pPr>
        <w:spacing w:before="120"/>
        <w:rPr>
          <w:rFonts w:cs="宋体"/>
          <w:lang w:eastAsia="zh-CN"/>
        </w:rPr>
      </w:pPr>
    </w:p>
    <w:p w14:paraId="4F02362E">
      <w:pPr>
        <w:spacing w:before="120"/>
        <w:rPr>
          <w:lang w:eastAsia="zh-CN"/>
        </w:rPr>
      </w:pPr>
      <w:r>
        <w:rPr>
          <w:rFonts w:cs="宋体"/>
          <w:lang w:eastAsia="zh-CN"/>
        </w:rPr>
        <w:t>________________________</w:t>
      </w:r>
    </w:p>
    <w:p w14:paraId="2ED8BD88">
      <w:pPr>
        <w:spacing w:before="0" w:beforeLines="0"/>
        <w:rPr>
          <w:sz w:val="21"/>
          <w:szCs w:val="21"/>
          <w:lang w:eastAsia="zh-CN"/>
        </w:rPr>
      </w:pPr>
      <w:r>
        <w:rPr>
          <w:rFonts w:cs="宋体"/>
          <w:sz w:val="21"/>
          <w:vertAlign w:val="superscript"/>
          <w:lang w:eastAsia="zh-CN"/>
        </w:rPr>
        <w:t>64</w:t>
      </w:r>
      <w:r>
        <w:rPr>
          <w:rFonts w:cs="宋体"/>
          <w:sz w:val="21"/>
          <w:lang w:eastAsia="zh-CN"/>
        </w:rPr>
        <w:t>尽管510(k)批准未对最终标签提出要求，最终标签必须符合CFR第21篇第801部分的要求，以及如果适用，医疗器械在进行州际贸易前，必须符合第809部分的要求。此外，请了解21 CFR 801.109在处方器械最终标签方面的适用性。另见指南</w:t>
      </w:r>
      <w:r>
        <w:rPr>
          <w:rFonts w:cs="宋体"/>
          <w:color w:val="0000FF"/>
          <w:sz w:val="21"/>
          <w:u w:val="single"/>
          <w:lang w:eastAsia="zh-CN"/>
        </w:rPr>
        <w:t>《特定处方医疗器械标签要求的替代方案》</w:t>
      </w:r>
      <w:r>
        <w:rPr>
          <w:rFonts w:cs="宋体"/>
          <w:sz w:val="21"/>
          <w:lang w:eastAsia="zh-CN"/>
        </w:rPr>
        <w:t>，可登录以下网址获取</w:t>
      </w:r>
      <w:r>
        <w:rPr>
          <w:rFonts w:cs="宋体"/>
          <w:color w:val="0000FF"/>
          <w:sz w:val="21"/>
          <w:u w:val="single"/>
          <w:lang w:eastAsia="zh-CN"/>
        </w:rPr>
        <w:t>https://www.fda.gov/regulatory-information/search-fda-guidance-documents/alternative-</w:t>
      </w:r>
      <w:r>
        <w:rPr>
          <w:rFonts w:hint="eastAsia" w:cs="宋体"/>
          <w:color w:val="0000FF"/>
          <w:sz w:val="21"/>
          <w:u w:val="single"/>
          <w:lang w:eastAsia="zh-CN"/>
        </w:rPr>
        <w:t xml:space="preserve"> </w:t>
      </w:r>
      <w:r>
        <w:rPr>
          <w:rFonts w:cs="宋体"/>
          <w:color w:val="0000FF"/>
          <w:sz w:val="21"/>
          <w:u w:val="single"/>
          <w:lang w:eastAsia="zh-CN"/>
        </w:rPr>
        <w:t>certain-prescription-device-labeling-requirements</w:t>
      </w:r>
      <w:r>
        <w:rPr>
          <w:rFonts w:cs="宋体"/>
          <w:sz w:val="21"/>
          <w:lang w:eastAsia="zh-CN"/>
        </w:rPr>
        <w:t>。本指导原则中的标签建议与CFR第21篇第801部分和第809部分中的要求一致。</w:t>
      </w:r>
    </w:p>
    <w:p w14:paraId="6222CA1B">
      <w:pPr>
        <w:spacing w:before="0" w:beforeLines="0"/>
        <w:rPr>
          <w:sz w:val="21"/>
          <w:szCs w:val="21"/>
          <w:lang w:eastAsia="zh-CN"/>
        </w:rPr>
      </w:pPr>
      <w:r>
        <w:rPr>
          <w:rFonts w:cs="宋体"/>
          <w:sz w:val="21"/>
          <w:vertAlign w:val="superscript"/>
          <w:lang w:eastAsia="zh-CN"/>
        </w:rPr>
        <w:t>65</w:t>
      </w:r>
      <w:r>
        <w:rPr>
          <w:rFonts w:cs="宋体"/>
          <w:sz w:val="21"/>
          <w:lang w:eastAsia="zh-CN"/>
        </w:rPr>
        <w:t>请参见FDA指南文件</w:t>
      </w:r>
      <w:r>
        <w:rPr>
          <w:rFonts w:cs="宋体"/>
          <w:color w:val="0000FF"/>
          <w:sz w:val="21"/>
          <w:u w:val="single"/>
          <w:lang w:eastAsia="zh-CN"/>
        </w:rPr>
        <w:t>《关于利用贴标医疗产品来告知使用者未使用天然乳胶制造产品或产品容器的建议 - 行业和FDA工作人员指南》https://www.fda.gov/regulatory-information/search-fda-guidance-</w:t>
      </w:r>
      <w:r>
        <w:rPr>
          <w:rFonts w:hint="eastAsia" w:cs="宋体"/>
          <w:color w:val="0000FF"/>
          <w:sz w:val="21"/>
          <w:u w:val="single"/>
          <w:lang w:eastAsia="zh-CN"/>
        </w:rPr>
        <w:t xml:space="preserve"> </w:t>
      </w:r>
      <w:r>
        <w:rPr>
          <w:rFonts w:cs="宋体"/>
          <w:color w:val="0000FF"/>
          <w:sz w:val="21"/>
          <w:u w:val="single"/>
          <w:lang w:eastAsia="zh-CN"/>
        </w:rPr>
        <w:t>documents/recommendations-labeling-medical-products-inform-users-product-or-product-container-not-made-natural.</w:t>
      </w:r>
    </w:p>
    <w:p w14:paraId="223EDD7C">
      <w:pPr>
        <w:spacing w:before="120"/>
        <w:rPr>
          <w:lang w:eastAsia="zh-CN"/>
        </w:rPr>
      </w:pPr>
      <w:r>
        <w:rPr>
          <w:rFonts w:cs="宋体"/>
          <w:lang w:eastAsia="zh-CN"/>
        </w:rPr>
        <w:br w:type="page"/>
      </w:r>
    </w:p>
    <w:p w14:paraId="463E11D7">
      <w:pPr>
        <w:spacing w:before="120"/>
        <w:jc w:val="center"/>
        <w:outlineLvl w:val="0"/>
        <w:rPr>
          <w:b/>
          <w:bCs/>
          <w:sz w:val="32"/>
          <w:szCs w:val="32"/>
          <w:lang w:eastAsia="zh-CN"/>
        </w:rPr>
      </w:pPr>
      <w:bookmarkStart w:id="39" w:name="_Toc97827725"/>
      <w:r>
        <w:rPr>
          <w:rFonts w:cs="宋体"/>
          <w:b/>
          <w:sz w:val="32"/>
          <w:lang w:eastAsia="zh-CN"/>
        </w:rPr>
        <w:t>附件A：供考虑的评价终点</w:t>
      </w:r>
      <w:bookmarkEnd w:id="39"/>
    </w:p>
    <w:p w14:paraId="563F2F82">
      <w:pPr>
        <w:spacing w:before="120"/>
        <w:rPr>
          <w:lang w:eastAsia="zh-CN"/>
        </w:rPr>
      </w:pPr>
      <w:r>
        <w:rPr>
          <w:rFonts w:cs="宋体"/>
          <w:lang w:eastAsia="zh-CN"/>
        </w:rPr>
        <w:t>下列内容是一个制定生物相容性评价的框架，而不是试验核查清单。针对特定医疗器械，要求对不同的生物学终点进行评价，包括附加终点或比适用终点更少的终点。如果不清楚器械的类别，本机构建议查阅特定器械指导原则或联系相应中心和审评部门以获取更多信息。</w:t>
      </w:r>
      <w:r>
        <w:rPr>
          <w:rFonts w:cs="宋体"/>
          <w:vertAlign w:val="superscript"/>
          <w:lang w:eastAsia="zh-CN"/>
        </w:rPr>
        <w:t>66</w:t>
      </w:r>
      <w:r>
        <w:rPr>
          <w:rFonts w:cs="宋体"/>
          <w:lang w:eastAsia="zh-CN"/>
        </w:rPr>
        <w:t>例如，FDA认为用于引流的器械（如弗利导管）是外部接入器械而不是与黏膜接触的器械。</w:t>
      </w:r>
    </w:p>
    <w:p w14:paraId="510E763A">
      <w:pPr>
        <w:spacing w:before="120"/>
        <w:jc w:val="center"/>
        <w:rPr>
          <w:b/>
          <w:bCs/>
          <w:lang w:eastAsia="zh-CN"/>
        </w:rPr>
      </w:pPr>
      <w:r>
        <w:rPr>
          <w:rFonts w:cs="宋体"/>
          <w:b/>
          <w:lang w:eastAsia="zh-CN"/>
        </w:rPr>
        <w:t>表A.1：生物相容性评价终点</w:t>
      </w:r>
    </w:p>
    <w:tbl>
      <w:tblPr>
        <w:tblStyle w:val="7"/>
        <w:tblW w:w="0" w:type="auto"/>
        <w:tblInd w:w="0" w:type="dxa"/>
        <w:tblLayout w:type="fixed"/>
        <w:tblCellMar>
          <w:top w:w="0" w:type="dxa"/>
          <w:left w:w="113" w:type="dxa"/>
          <w:bottom w:w="0" w:type="dxa"/>
          <w:right w:w="113" w:type="dxa"/>
        </w:tblCellMar>
      </w:tblPr>
      <w:tblGrid>
        <w:gridCol w:w="680"/>
        <w:gridCol w:w="993"/>
        <w:gridCol w:w="1984"/>
        <w:gridCol w:w="433"/>
        <w:gridCol w:w="434"/>
        <w:gridCol w:w="434"/>
        <w:gridCol w:w="434"/>
        <w:gridCol w:w="433"/>
        <w:gridCol w:w="434"/>
        <w:gridCol w:w="434"/>
        <w:gridCol w:w="434"/>
        <w:gridCol w:w="433"/>
        <w:gridCol w:w="434"/>
        <w:gridCol w:w="434"/>
        <w:gridCol w:w="434"/>
        <w:gridCol w:w="434"/>
      </w:tblGrid>
      <w:tr w14:paraId="2E1CC242">
        <w:tblPrEx>
          <w:tblCellMar>
            <w:top w:w="0" w:type="dxa"/>
            <w:left w:w="113" w:type="dxa"/>
            <w:bottom w:w="0" w:type="dxa"/>
            <w:right w:w="113" w:type="dxa"/>
          </w:tblCellMar>
        </w:tblPrEx>
        <w:tc>
          <w:tcPr>
            <w:tcW w:w="3657" w:type="dxa"/>
            <w:gridSpan w:val="3"/>
            <w:tcBorders>
              <w:top w:val="single" w:color="auto" w:sz="4" w:space="0"/>
              <w:left w:val="single" w:color="auto" w:sz="4" w:space="0"/>
            </w:tcBorders>
            <w:shd w:val="clear" w:color="auto" w:fill="FFFFFF"/>
            <w:vAlign w:val="center"/>
          </w:tcPr>
          <w:p w14:paraId="32DA6D68">
            <w:pPr>
              <w:pStyle w:val="37"/>
              <w:spacing w:before="36"/>
              <w:jc w:val="center"/>
              <w:rPr>
                <w:b/>
                <w:bCs/>
                <w:sz w:val="18"/>
                <w:szCs w:val="18"/>
              </w:rPr>
            </w:pPr>
            <w:r>
              <w:rPr>
                <w:rFonts w:cs="宋体"/>
                <w:b/>
                <w:sz w:val="18"/>
              </w:rPr>
              <w:t>医疗器械分类</w:t>
            </w:r>
          </w:p>
        </w:tc>
        <w:tc>
          <w:tcPr>
            <w:tcW w:w="5639" w:type="dxa"/>
            <w:gridSpan w:val="13"/>
            <w:tcBorders>
              <w:top w:val="single" w:color="auto" w:sz="4" w:space="0"/>
              <w:left w:val="single" w:color="auto" w:sz="4" w:space="0"/>
              <w:right w:val="single" w:color="auto" w:sz="4" w:space="0"/>
            </w:tcBorders>
            <w:shd w:val="clear" w:color="auto" w:fill="FFFFFF"/>
            <w:vAlign w:val="center"/>
          </w:tcPr>
          <w:p w14:paraId="00A3FC90">
            <w:pPr>
              <w:pStyle w:val="37"/>
              <w:spacing w:before="36"/>
              <w:jc w:val="center"/>
              <w:rPr>
                <w:b/>
                <w:bCs/>
                <w:sz w:val="18"/>
                <w:szCs w:val="18"/>
              </w:rPr>
            </w:pPr>
            <w:r>
              <w:rPr>
                <w:rFonts w:cs="宋体"/>
                <w:b/>
                <w:sz w:val="18"/>
              </w:rPr>
              <w:t>生物效应</w:t>
            </w:r>
          </w:p>
        </w:tc>
      </w:tr>
      <w:tr w14:paraId="2D6B7FE1">
        <w:tblPrEx>
          <w:tblCellMar>
            <w:top w:w="0" w:type="dxa"/>
            <w:left w:w="113" w:type="dxa"/>
            <w:bottom w:w="0" w:type="dxa"/>
            <w:right w:w="113" w:type="dxa"/>
          </w:tblCellMar>
        </w:tblPrEx>
        <w:tc>
          <w:tcPr>
            <w:tcW w:w="1673" w:type="dxa"/>
            <w:gridSpan w:val="2"/>
            <w:tcBorders>
              <w:top w:val="single" w:color="auto" w:sz="4" w:space="0"/>
              <w:left w:val="single" w:color="auto" w:sz="4" w:space="0"/>
              <w:right w:val="single" w:color="auto" w:sz="4" w:space="0"/>
            </w:tcBorders>
            <w:shd w:val="clear" w:color="auto" w:fill="FFFFFF"/>
            <w:vAlign w:val="center"/>
          </w:tcPr>
          <w:p w14:paraId="3D871E86">
            <w:pPr>
              <w:pStyle w:val="37"/>
              <w:spacing w:before="36"/>
              <w:jc w:val="center"/>
              <w:rPr>
                <w:b/>
                <w:bCs/>
                <w:sz w:val="18"/>
                <w:szCs w:val="18"/>
              </w:rPr>
            </w:pPr>
            <w:r>
              <w:rPr>
                <w:rFonts w:cs="宋体"/>
                <w:b/>
                <w:sz w:val="18"/>
              </w:rPr>
              <w:t>身体接触性质</w:t>
            </w:r>
          </w:p>
        </w:tc>
        <w:tc>
          <w:tcPr>
            <w:tcW w:w="1984" w:type="dxa"/>
            <w:tcBorders>
              <w:top w:val="single" w:color="auto" w:sz="4" w:space="0"/>
              <w:left w:val="single" w:color="auto" w:sz="4" w:space="0"/>
            </w:tcBorders>
            <w:shd w:val="clear" w:color="auto" w:fill="FFFFFF"/>
            <w:vAlign w:val="center"/>
          </w:tcPr>
          <w:p w14:paraId="4DBDB54B">
            <w:pPr>
              <w:pStyle w:val="37"/>
              <w:spacing w:before="36"/>
              <w:jc w:val="center"/>
              <w:rPr>
                <w:b/>
                <w:bCs/>
                <w:sz w:val="18"/>
                <w:szCs w:val="18"/>
              </w:rPr>
            </w:pPr>
            <w:r>
              <w:rPr>
                <w:rFonts w:cs="宋体"/>
                <w:b/>
                <w:sz w:val="18"/>
              </w:rPr>
              <w:t>接触持续时间</w:t>
            </w:r>
          </w:p>
        </w:tc>
        <w:tc>
          <w:tcPr>
            <w:tcW w:w="433" w:type="dxa"/>
            <w:vMerge w:val="restart"/>
            <w:tcBorders>
              <w:top w:val="single" w:color="auto" w:sz="4" w:space="0"/>
              <w:left w:val="single" w:color="auto" w:sz="4" w:space="0"/>
            </w:tcBorders>
            <w:shd w:val="clear" w:color="auto" w:fill="FFFFFF"/>
            <w:textDirection w:val="btLr"/>
            <w:vAlign w:val="center"/>
          </w:tcPr>
          <w:p w14:paraId="01E0EABF">
            <w:pPr>
              <w:pStyle w:val="37"/>
              <w:spacing w:before="36"/>
              <w:jc w:val="center"/>
              <w:rPr>
                <w:b/>
                <w:bCs/>
                <w:sz w:val="18"/>
                <w:szCs w:val="18"/>
              </w:rPr>
            </w:pPr>
            <w:r>
              <w:rPr>
                <w:rFonts w:cs="宋体"/>
                <w:b/>
                <w:sz w:val="18"/>
              </w:rPr>
              <w:t>细胞毒性</w:t>
            </w:r>
          </w:p>
        </w:tc>
        <w:tc>
          <w:tcPr>
            <w:tcW w:w="434" w:type="dxa"/>
            <w:vMerge w:val="restart"/>
            <w:tcBorders>
              <w:top w:val="single" w:color="auto" w:sz="4" w:space="0"/>
              <w:left w:val="single" w:color="auto" w:sz="4" w:space="0"/>
            </w:tcBorders>
            <w:shd w:val="clear" w:color="auto" w:fill="FFFFFF"/>
            <w:textDirection w:val="btLr"/>
            <w:vAlign w:val="center"/>
          </w:tcPr>
          <w:p w14:paraId="2C9A5577">
            <w:pPr>
              <w:pStyle w:val="37"/>
              <w:spacing w:before="36"/>
              <w:jc w:val="center"/>
              <w:rPr>
                <w:b/>
                <w:bCs/>
                <w:sz w:val="18"/>
                <w:szCs w:val="18"/>
              </w:rPr>
            </w:pPr>
            <w:r>
              <w:rPr>
                <w:rFonts w:cs="宋体"/>
                <w:b/>
                <w:sz w:val="18"/>
              </w:rPr>
              <w:t>致敏性</w:t>
            </w:r>
          </w:p>
        </w:tc>
        <w:tc>
          <w:tcPr>
            <w:tcW w:w="434" w:type="dxa"/>
            <w:vMerge w:val="restart"/>
            <w:tcBorders>
              <w:top w:val="single" w:color="auto" w:sz="4" w:space="0"/>
              <w:left w:val="single" w:color="auto" w:sz="4" w:space="0"/>
            </w:tcBorders>
            <w:shd w:val="clear" w:color="auto" w:fill="FFFFFF"/>
            <w:textDirection w:val="btLr"/>
            <w:vAlign w:val="center"/>
          </w:tcPr>
          <w:p w14:paraId="37CD72ED">
            <w:pPr>
              <w:pStyle w:val="37"/>
              <w:spacing w:before="36"/>
              <w:jc w:val="center"/>
              <w:rPr>
                <w:b/>
                <w:bCs/>
                <w:sz w:val="18"/>
                <w:szCs w:val="18"/>
              </w:rPr>
            </w:pPr>
            <w:r>
              <w:rPr>
                <w:rFonts w:cs="宋体"/>
                <w:b/>
                <w:sz w:val="18"/>
              </w:rPr>
              <w:t>刺激性或皮内反应</w:t>
            </w:r>
          </w:p>
        </w:tc>
        <w:tc>
          <w:tcPr>
            <w:tcW w:w="434" w:type="dxa"/>
            <w:vMerge w:val="restart"/>
            <w:tcBorders>
              <w:top w:val="single" w:color="auto" w:sz="4" w:space="0"/>
              <w:left w:val="single" w:color="auto" w:sz="4" w:space="0"/>
            </w:tcBorders>
            <w:shd w:val="clear" w:color="auto" w:fill="FFFFFF"/>
            <w:textDirection w:val="btLr"/>
            <w:vAlign w:val="center"/>
          </w:tcPr>
          <w:p w14:paraId="5FBEBD85">
            <w:pPr>
              <w:pStyle w:val="37"/>
              <w:spacing w:before="36"/>
              <w:jc w:val="center"/>
              <w:rPr>
                <w:b/>
                <w:bCs/>
                <w:sz w:val="18"/>
                <w:szCs w:val="18"/>
              </w:rPr>
            </w:pPr>
            <w:r>
              <w:rPr>
                <w:rFonts w:cs="宋体"/>
                <w:b/>
                <w:sz w:val="18"/>
              </w:rPr>
              <w:t>急性全身毒性</w:t>
            </w:r>
          </w:p>
        </w:tc>
        <w:tc>
          <w:tcPr>
            <w:tcW w:w="433" w:type="dxa"/>
            <w:vMerge w:val="restart"/>
            <w:tcBorders>
              <w:top w:val="single" w:color="auto" w:sz="4" w:space="0"/>
              <w:left w:val="single" w:color="auto" w:sz="4" w:space="0"/>
            </w:tcBorders>
            <w:shd w:val="clear" w:color="auto" w:fill="FFFFFF"/>
            <w:textDirection w:val="btLr"/>
            <w:vAlign w:val="center"/>
          </w:tcPr>
          <w:p w14:paraId="337985D6">
            <w:pPr>
              <w:pStyle w:val="37"/>
              <w:spacing w:before="36"/>
              <w:jc w:val="center"/>
              <w:rPr>
                <w:b/>
                <w:bCs/>
                <w:sz w:val="18"/>
                <w:szCs w:val="18"/>
              </w:rPr>
            </w:pPr>
            <w:r>
              <w:rPr>
                <w:rFonts w:cs="宋体"/>
                <w:b/>
                <w:sz w:val="18"/>
              </w:rPr>
              <w:t>材料介导的热源性</w:t>
            </w:r>
          </w:p>
        </w:tc>
        <w:tc>
          <w:tcPr>
            <w:tcW w:w="434" w:type="dxa"/>
            <w:vMerge w:val="restart"/>
            <w:tcBorders>
              <w:top w:val="single" w:color="auto" w:sz="4" w:space="0"/>
              <w:left w:val="single" w:color="auto" w:sz="4" w:space="0"/>
            </w:tcBorders>
            <w:shd w:val="clear" w:color="auto" w:fill="FFFFFF"/>
            <w:textDirection w:val="btLr"/>
            <w:vAlign w:val="center"/>
          </w:tcPr>
          <w:p w14:paraId="58103982">
            <w:pPr>
              <w:pStyle w:val="37"/>
              <w:spacing w:before="36"/>
              <w:jc w:val="center"/>
              <w:rPr>
                <w:b/>
                <w:bCs/>
                <w:sz w:val="18"/>
                <w:szCs w:val="18"/>
              </w:rPr>
            </w:pPr>
            <w:r>
              <w:rPr>
                <w:rFonts w:cs="宋体"/>
                <w:b/>
                <w:sz w:val="18"/>
              </w:rPr>
              <w:t>亚急性/亚慢性毒性</w:t>
            </w:r>
          </w:p>
        </w:tc>
        <w:tc>
          <w:tcPr>
            <w:tcW w:w="434" w:type="dxa"/>
            <w:vMerge w:val="restart"/>
            <w:tcBorders>
              <w:top w:val="single" w:color="auto" w:sz="4" w:space="0"/>
              <w:left w:val="single" w:color="auto" w:sz="4" w:space="0"/>
            </w:tcBorders>
            <w:shd w:val="clear" w:color="auto" w:fill="FFFFFF"/>
            <w:textDirection w:val="btLr"/>
            <w:vAlign w:val="center"/>
          </w:tcPr>
          <w:p w14:paraId="017B171B">
            <w:pPr>
              <w:pStyle w:val="37"/>
              <w:spacing w:before="36"/>
              <w:jc w:val="center"/>
              <w:rPr>
                <w:b/>
                <w:bCs/>
                <w:sz w:val="18"/>
                <w:szCs w:val="18"/>
              </w:rPr>
            </w:pPr>
            <w:r>
              <w:rPr>
                <w:rFonts w:cs="宋体"/>
                <w:b/>
                <w:sz w:val="18"/>
              </w:rPr>
              <w:t>遗传毒性</w:t>
            </w:r>
          </w:p>
        </w:tc>
        <w:tc>
          <w:tcPr>
            <w:tcW w:w="434" w:type="dxa"/>
            <w:vMerge w:val="restart"/>
            <w:tcBorders>
              <w:top w:val="single" w:color="auto" w:sz="4" w:space="0"/>
              <w:left w:val="single" w:color="auto" w:sz="4" w:space="0"/>
            </w:tcBorders>
            <w:shd w:val="clear" w:color="auto" w:fill="FFFFFF"/>
            <w:textDirection w:val="btLr"/>
            <w:vAlign w:val="center"/>
          </w:tcPr>
          <w:p w14:paraId="6A322958">
            <w:pPr>
              <w:pStyle w:val="37"/>
              <w:spacing w:before="36"/>
              <w:jc w:val="center"/>
              <w:rPr>
                <w:b/>
                <w:bCs/>
                <w:sz w:val="18"/>
                <w:szCs w:val="18"/>
              </w:rPr>
            </w:pPr>
            <w:r>
              <w:rPr>
                <w:rFonts w:cs="宋体"/>
                <w:b/>
                <w:sz w:val="18"/>
              </w:rPr>
              <w:t>植入</w:t>
            </w:r>
          </w:p>
        </w:tc>
        <w:tc>
          <w:tcPr>
            <w:tcW w:w="433" w:type="dxa"/>
            <w:vMerge w:val="restart"/>
            <w:tcBorders>
              <w:top w:val="single" w:color="auto" w:sz="4" w:space="0"/>
              <w:left w:val="single" w:color="auto" w:sz="4" w:space="0"/>
            </w:tcBorders>
            <w:shd w:val="clear" w:color="auto" w:fill="FFFFFF"/>
            <w:textDirection w:val="btLr"/>
            <w:vAlign w:val="center"/>
          </w:tcPr>
          <w:p w14:paraId="2168FA33">
            <w:pPr>
              <w:pStyle w:val="37"/>
              <w:spacing w:before="36"/>
              <w:jc w:val="center"/>
              <w:rPr>
                <w:b/>
                <w:bCs/>
                <w:sz w:val="18"/>
                <w:szCs w:val="18"/>
              </w:rPr>
            </w:pPr>
            <w:r>
              <w:rPr>
                <w:rFonts w:cs="宋体"/>
                <w:b/>
                <w:sz w:val="18"/>
              </w:rPr>
              <w:t>血液相容性</w:t>
            </w:r>
          </w:p>
        </w:tc>
        <w:tc>
          <w:tcPr>
            <w:tcW w:w="434" w:type="dxa"/>
            <w:vMerge w:val="restart"/>
            <w:tcBorders>
              <w:top w:val="single" w:color="auto" w:sz="4" w:space="0"/>
              <w:left w:val="single" w:color="auto" w:sz="4" w:space="0"/>
            </w:tcBorders>
            <w:shd w:val="clear" w:color="auto" w:fill="FFFFFF"/>
            <w:textDirection w:val="btLr"/>
            <w:vAlign w:val="center"/>
          </w:tcPr>
          <w:p w14:paraId="535344AD">
            <w:pPr>
              <w:pStyle w:val="37"/>
              <w:spacing w:before="36"/>
              <w:jc w:val="center"/>
              <w:rPr>
                <w:b/>
                <w:bCs/>
                <w:sz w:val="18"/>
                <w:szCs w:val="18"/>
              </w:rPr>
            </w:pPr>
            <w:r>
              <w:rPr>
                <w:rFonts w:cs="宋体"/>
                <w:b/>
                <w:sz w:val="18"/>
              </w:rPr>
              <w:t>慢性毒性</w:t>
            </w:r>
          </w:p>
        </w:tc>
        <w:tc>
          <w:tcPr>
            <w:tcW w:w="434" w:type="dxa"/>
            <w:vMerge w:val="restart"/>
            <w:tcBorders>
              <w:top w:val="single" w:color="auto" w:sz="4" w:space="0"/>
              <w:left w:val="single" w:color="auto" w:sz="4" w:space="0"/>
            </w:tcBorders>
            <w:shd w:val="clear" w:color="auto" w:fill="FFFFFF"/>
            <w:textDirection w:val="btLr"/>
            <w:vAlign w:val="center"/>
          </w:tcPr>
          <w:p w14:paraId="3C7E8BFF">
            <w:pPr>
              <w:pStyle w:val="37"/>
              <w:spacing w:before="36"/>
              <w:jc w:val="center"/>
              <w:rPr>
                <w:b/>
                <w:bCs/>
                <w:sz w:val="18"/>
                <w:szCs w:val="18"/>
              </w:rPr>
            </w:pPr>
            <w:r>
              <w:rPr>
                <w:rFonts w:cs="宋体"/>
                <w:b/>
                <w:sz w:val="18"/>
              </w:rPr>
              <w:t>致癌性</w:t>
            </w:r>
          </w:p>
        </w:tc>
        <w:tc>
          <w:tcPr>
            <w:tcW w:w="434" w:type="dxa"/>
            <w:vMerge w:val="restart"/>
            <w:tcBorders>
              <w:top w:val="single" w:color="auto" w:sz="4" w:space="0"/>
              <w:left w:val="single" w:color="auto" w:sz="4" w:space="0"/>
            </w:tcBorders>
            <w:shd w:val="clear" w:color="auto" w:fill="FFFFFF"/>
            <w:textDirection w:val="btLr"/>
            <w:vAlign w:val="center"/>
          </w:tcPr>
          <w:p w14:paraId="5DCD85BC">
            <w:pPr>
              <w:pStyle w:val="37"/>
              <w:spacing w:before="36"/>
              <w:jc w:val="center"/>
              <w:rPr>
                <w:b/>
                <w:bCs/>
                <w:sz w:val="18"/>
                <w:szCs w:val="18"/>
              </w:rPr>
            </w:pPr>
            <w:r>
              <w:rPr>
                <w:rFonts w:cs="宋体"/>
                <w:b/>
                <w:sz w:val="18"/>
              </w:rPr>
              <w:t>生殖/发育毒性#</w:t>
            </w:r>
          </w:p>
        </w:tc>
        <w:tc>
          <w:tcPr>
            <w:tcW w:w="434" w:type="dxa"/>
            <w:vMerge w:val="restart"/>
            <w:tcBorders>
              <w:top w:val="single" w:color="auto" w:sz="4" w:space="0"/>
              <w:left w:val="single" w:color="auto" w:sz="4" w:space="0"/>
              <w:right w:val="single" w:color="auto" w:sz="4" w:space="0"/>
            </w:tcBorders>
            <w:shd w:val="clear" w:color="auto" w:fill="FFFFFF"/>
            <w:textDirection w:val="btLr"/>
            <w:vAlign w:val="center"/>
          </w:tcPr>
          <w:p w14:paraId="30905DCE">
            <w:pPr>
              <w:pStyle w:val="37"/>
              <w:spacing w:before="36"/>
              <w:jc w:val="center"/>
              <w:rPr>
                <w:b/>
                <w:bCs/>
                <w:sz w:val="18"/>
                <w:szCs w:val="18"/>
              </w:rPr>
            </w:pPr>
            <w:r>
              <w:rPr>
                <w:rFonts w:cs="宋体"/>
                <w:b/>
                <w:sz w:val="18"/>
              </w:rPr>
              <w:t>降解@</w:t>
            </w:r>
          </w:p>
        </w:tc>
      </w:tr>
      <w:tr w14:paraId="66623B9D">
        <w:tblPrEx>
          <w:tblCellMar>
            <w:top w:w="0" w:type="dxa"/>
            <w:left w:w="113" w:type="dxa"/>
            <w:bottom w:w="0" w:type="dxa"/>
            <w:right w:w="113" w:type="dxa"/>
          </w:tblCellMar>
        </w:tblPrEx>
        <w:tc>
          <w:tcPr>
            <w:tcW w:w="680" w:type="dxa"/>
            <w:vMerge w:val="restart"/>
            <w:tcBorders>
              <w:left w:val="single" w:color="auto" w:sz="4" w:space="0"/>
              <w:right w:val="single" w:color="auto" w:sz="4" w:space="0"/>
            </w:tcBorders>
            <w:shd w:val="clear" w:color="auto" w:fill="FFFFFF"/>
            <w:vAlign w:val="center"/>
          </w:tcPr>
          <w:p w14:paraId="790E4E04">
            <w:pPr>
              <w:pStyle w:val="37"/>
              <w:spacing w:before="36"/>
              <w:jc w:val="center"/>
              <w:rPr>
                <w:b/>
                <w:bCs/>
                <w:sz w:val="18"/>
                <w:szCs w:val="18"/>
              </w:rPr>
            </w:pPr>
            <w:r>
              <w:rPr>
                <w:rFonts w:cs="宋体"/>
                <w:b/>
                <w:sz w:val="18"/>
              </w:rPr>
              <w:t>类别</w:t>
            </w:r>
          </w:p>
        </w:tc>
        <w:tc>
          <w:tcPr>
            <w:tcW w:w="993" w:type="dxa"/>
            <w:vMerge w:val="restart"/>
            <w:tcBorders>
              <w:left w:val="single" w:color="auto" w:sz="4" w:space="0"/>
              <w:right w:val="single" w:color="auto" w:sz="4" w:space="0"/>
            </w:tcBorders>
            <w:shd w:val="clear" w:color="auto" w:fill="FFFFFF"/>
            <w:vAlign w:val="center"/>
          </w:tcPr>
          <w:p w14:paraId="34D3E145">
            <w:pPr>
              <w:pStyle w:val="37"/>
              <w:spacing w:before="36"/>
              <w:jc w:val="center"/>
              <w:rPr>
                <w:b/>
                <w:bCs/>
                <w:sz w:val="18"/>
                <w:szCs w:val="18"/>
              </w:rPr>
            </w:pPr>
            <w:r>
              <w:rPr>
                <w:rFonts w:cs="宋体"/>
                <w:b/>
                <w:sz w:val="18"/>
              </w:rPr>
              <w:t>接触</w:t>
            </w:r>
          </w:p>
        </w:tc>
        <w:tc>
          <w:tcPr>
            <w:tcW w:w="1984" w:type="dxa"/>
            <w:tcBorders>
              <w:left w:val="single" w:color="auto" w:sz="4" w:space="0"/>
            </w:tcBorders>
            <w:shd w:val="clear" w:color="auto" w:fill="FFFFFF"/>
            <w:vAlign w:val="center"/>
          </w:tcPr>
          <w:p w14:paraId="0DF5C936">
            <w:pPr>
              <w:pStyle w:val="37"/>
              <w:spacing w:before="36"/>
              <w:jc w:val="center"/>
              <w:rPr>
                <w:b/>
                <w:bCs/>
                <w:sz w:val="18"/>
                <w:szCs w:val="18"/>
              </w:rPr>
            </w:pPr>
            <w:r>
              <w:rPr>
                <w:rFonts w:cs="宋体"/>
                <w:b/>
                <w:sz w:val="18"/>
              </w:rPr>
              <w:t>A-短期</w:t>
            </w:r>
          </w:p>
          <w:p w14:paraId="3F75EA9C">
            <w:pPr>
              <w:pStyle w:val="37"/>
              <w:spacing w:before="36"/>
              <w:jc w:val="center"/>
              <w:rPr>
                <w:sz w:val="18"/>
                <w:szCs w:val="18"/>
              </w:rPr>
            </w:pPr>
            <w:r>
              <w:rPr>
                <w:rFonts w:cs="宋体"/>
                <w:sz w:val="18"/>
              </w:rPr>
              <w:t>24小时以内</w:t>
            </w:r>
          </w:p>
        </w:tc>
        <w:tc>
          <w:tcPr>
            <w:tcW w:w="433" w:type="dxa"/>
            <w:vMerge w:val="continue"/>
            <w:tcBorders>
              <w:left w:val="single" w:color="auto" w:sz="4" w:space="0"/>
            </w:tcBorders>
            <w:shd w:val="clear" w:color="auto" w:fill="FFFFFF"/>
            <w:textDirection w:val="btLr"/>
            <w:vAlign w:val="center"/>
          </w:tcPr>
          <w:p w14:paraId="29B634A5">
            <w:pPr>
              <w:pStyle w:val="37"/>
              <w:spacing w:before="36"/>
              <w:rPr>
                <w:sz w:val="18"/>
                <w:szCs w:val="18"/>
              </w:rPr>
            </w:pPr>
          </w:p>
        </w:tc>
        <w:tc>
          <w:tcPr>
            <w:tcW w:w="434" w:type="dxa"/>
            <w:vMerge w:val="continue"/>
            <w:tcBorders>
              <w:left w:val="single" w:color="auto" w:sz="4" w:space="0"/>
            </w:tcBorders>
            <w:shd w:val="clear" w:color="auto" w:fill="FFFFFF"/>
            <w:textDirection w:val="btLr"/>
            <w:vAlign w:val="center"/>
          </w:tcPr>
          <w:p w14:paraId="4E0E6CD7">
            <w:pPr>
              <w:pStyle w:val="37"/>
              <w:spacing w:before="36"/>
              <w:rPr>
                <w:sz w:val="18"/>
                <w:szCs w:val="18"/>
              </w:rPr>
            </w:pPr>
          </w:p>
        </w:tc>
        <w:tc>
          <w:tcPr>
            <w:tcW w:w="434" w:type="dxa"/>
            <w:vMerge w:val="continue"/>
            <w:tcBorders>
              <w:left w:val="single" w:color="auto" w:sz="4" w:space="0"/>
            </w:tcBorders>
            <w:shd w:val="clear" w:color="auto" w:fill="FFFFFF"/>
            <w:textDirection w:val="btLr"/>
            <w:vAlign w:val="center"/>
          </w:tcPr>
          <w:p w14:paraId="1A725836">
            <w:pPr>
              <w:pStyle w:val="37"/>
              <w:spacing w:before="36"/>
              <w:rPr>
                <w:sz w:val="18"/>
                <w:szCs w:val="18"/>
              </w:rPr>
            </w:pPr>
          </w:p>
        </w:tc>
        <w:tc>
          <w:tcPr>
            <w:tcW w:w="434" w:type="dxa"/>
            <w:vMerge w:val="continue"/>
            <w:tcBorders>
              <w:left w:val="single" w:color="auto" w:sz="4" w:space="0"/>
            </w:tcBorders>
            <w:shd w:val="clear" w:color="auto" w:fill="FFFFFF"/>
            <w:textDirection w:val="btLr"/>
            <w:vAlign w:val="center"/>
          </w:tcPr>
          <w:p w14:paraId="2FAEDCDF">
            <w:pPr>
              <w:pStyle w:val="37"/>
              <w:spacing w:before="36"/>
              <w:rPr>
                <w:sz w:val="18"/>
                <w:szCs w:val="18"/>
              </w:rPr>
            </w:pPr>
          </w:p>
        </w:tc>
        <w:tc>
          <w:tcPr>
            <w:tcW w:w="433" w:type="dxa"/>
            <w:vMerge w:val="continue"/>
            <w:tcBorders>
              <w:left w:val="single" w:color="auto" w:sz="4" w:space="0"/>
            </w:tcBorders>
            <w:shd w:val="clear" w:color="auto" w:fill="FFFFFF"/>
            <w:textDirection w:val="btLr"/>
            <w:vAlign w:val="center"/>
          </w:tcPr>
          <w:p w14:paraId="625C14E7">
            <w:pPr>
              <w:pStyle w:val="37"/>
              <w:spacing w:before="36"/>
              <w:rPr>
                <w:sz w:val="18"/>
                <w:szCs w:val="18"/>
              </w:rPr>
            </w:pPr>
          </w:p>
        </w:tc>
        <w:tc>
          <w:tcPr>
            <w:tcW w:w="434" w:type="dxa"/>
            <w:vMerge w:val="continue"/>
            <w:tcBorders>
              <w:left w:val="single" w:color="auto" w:sz="4" w:space="0"/>
            </w:tcBorders>
            <w:shd w:val="clear" w:color="auto" w:fill="FFFFFF"/>
            <w:textDirection w:val="btLr"/>
            <w:vAlign w:val="center"/>
          </w:tcPr>
          <w:p w14:paraId="019ABD1C">
            <w:pPr>
              <w:pStyle w:val="37"/>
              <w:spacing w:before="36"/>
              <w:rPr>
                <w:sz w:val="18"/>
                <w:szCs w:val="18"/>
              </w:rPr>
            </w:pPr>
          </w:p>
        </w:tc>
        <w:tc>
          <w:tcPr>
            <w:tcW w:w="434" w:type="dxa"/>
            <w:vMerge w:val="continue"/>
            <w:tcBorders>
              <w:left w:val="single" w:color="auto" w:sz="4" w:space="0"/>
            </w:tcBorders>
            <w:shd w:val="clear" w:color="auto" w:fill="FFFFFF"/>
            <w:textDirection w:val="btLr"/>
            <w:vAlign w:val="center"/>
          </w:tcPr>
          <w:p w14:paraId="285590D3">
            <w:pPr>
              <w:pStyle w:val="37"/>
              <w:spacing w:before="36"/>
              <w:rPr>
                <w:sz w:val="18"/>
                <w:szCs w:val="18"/>
              </w:rPr>
            </w:pPr>
          </w:p>
        </w:tc>
        <w:tc>
          <w:tcPr>
            <w:tcW w:w="434" w:type="dxa"/>
            <w:vMerge w:val="continue"/>
            <w:tcBorders>
              <w:left w:val="single" w:color="auto" w:sz="4" w:space="0"/>
            </w:tcBorders>
            <w:shd w:val="clear" w:color="auto" w:fill="FFFFFF"/>
            <w:textDirection w:val="btLr"/>
            <w:vAlign w:val="center"/>
          </w:tcPr>
          <w:p w14:paraId="75A1A439">
            <w:pPr>
              <w:pStyle w:val="37"/>
              <w:spacing w:before="36"/>
              <w:rPr>
                <w:sz w:val="18"/>
                <w:szCs w:val="18"/>
              </w:rPr>
            </w:pPr>
          </w:p>
        </w:tc>
        <w:tc>
          <w:tcPr>
            <w:tcW w:w="433" w:type="dxa"/>
            <w:vMerge w:val="continue"/>
            <w:tcBorders>
              <w:left w:val="single" w:color="auto" w:sz="4" w:space="0"/>
            </w:tcBorders>
            <w:shd w:val="clear" w:color="auto" w:fill="FFFFFF"/>
            <w:textDirection w:val="btLr"/>
            <w:vAlign w:val="center"/>
          </w:tcPr>
          <w:p w14:paraId="5526258A">
            <w:pPr>
              <w:pStyle w:val="37"/>
              <w:spacing w:before="36"/>
              <w:rPr>
                <w:sz w:val="18"/>
                <w:szCs w:val="18"/>
              </w:rPr>
            </w:pPr>
          </w:p>
        </w:tc>
        <w:tc>
          <w:tcPr>
            <w:tcW w:w="434" w:type="dxa"/>
            <w:vMerge w:val="continue"/>
            <w:tcBorders>
              <w:left w:val="single" w:color="auto" w:sz="4" w:space="0"/>
            </w:tcBorders>
            <w:shd w:val="clear" w:color="auto" w:fill="FFFFFF"/>
            <w:textDirection w:val="btLr"/>
            <w:vAlign w:val="center"/>
          </w:tcPr>
          <w:p w14:paraId="337B06E9">
            <w:pPr>
              <w:pStyle w:val="37"/>
              <w:spacing w:before="36"/>
              <w:rPr>
                <w:sz w:val="18"/>
                <w:szCs w:val="18"/>
              </w:rPr>
            </w:pPr>
          </w:p>
        </w:tc>
        <w:tc>
          <w:tcPr>
            <w:tcW w:w="434" w:type="dxa"/>
            <w:vMerge w:val="continue"/>
            <w:tcBorders>
              <w:left w:val="single" w:color="auto" w:sz="4" w:space="0"/>
            </w:tcBorders>
            <w:shd w:val="clear" w:color="auto" w:fill="FFFFFF"/>
            <w:textDirection w:val="btLr"/>
            <w:vAlign w:val="center"/>
          </w:tcPr>
          <w:p w14:paraId="11C4E214">
            <w:pPr>
              <w:pStyle w:val="37"/>
              <w:spacing w:before="36"/>
              <w:rPr>
                <w:sz w:val="18"/>
                <w:szCs w:val="18"/>
              </w:rPr>
            </w:pPr>
          </w:p>
        </w:tc>
        <w:tc>
          <w:tcPr>
            <w:tcW w:w="434" w:type="dxa"/>
            <w:vMerge w:val="continue"/>
            <w:tcBorders>
              <w:left w:val="single" w:color="auto" w:sz="4" w:space="0"/>
            </w:tcBorders>
            <w:shd w:val="clear" w:color="auto" w:fill="FFFFFF"/>
            <w:textDirection w:val="btLr"/>
            <w:vAlign w:val="center"/>
          </w:tcPr>
          <w:p w14:paraId="4921CD0A">
            <w:pPr>
              <w:pStyle w:val="37"/>
              <w:spacing w:before="36"/>
              <w:rPr>
                <w:sz w:val="18"/>
                <w:szCs w:val="18"/>
              </w:rPr>
            </w:pPr>
          </w:p>
        </w:tc>
        <w:tc>
          <w:tcPr>
            <w:tcW w:w="434" w:type="dxa"/>
            <w:vMerge w:val="continue"/>
            <w:tcBorders>
              <w:left w:val="single" w:color="auto" w:sz="4" w:space="0"/>
              <w:right w:val="single" w:color="auto" w:sz="4" w:space="0"/>
            </w:tcBorders>
            <w:shd w:val="clear" w:color="auto" w:fill="FFFFFF"/>
            <w:textDirection w:val="btLr"/>
            <w:vAlign w:val="center"/>
          </w:tcPr>
          <w:p w14:paraId="30C3E62E">
            <w:pPr>
              <w:pStyle w:val="37"/>
              <w:spacing w:before="36"/>
              <w:rPr>
                <w:sz w:val="18"/>
                <w:szCs w:val="18"/>
              </w:rPr>
            </w:pPr>
          </w:p>
        </w:tc>
      </w:tr>
      <w:tr w14:paraId="4B87CC18">
        <w:tblPrEx>
          <w:tblCellMar>
            <w:top w:w="0" w:type="dxa"/>
            <w:left w:w="113" w:type="dxa"/>
            <w:bottom w:w="0" w:type="dxa"/>
            <w:right w:w="113" w:type="dxa"/>
          </w:tblCellMar>
        </w:tblPrEx>
        <w:tc>
          <w:tcPr>
            <w:tcW w:w="680" w:type="dxa"/>
            <w:vMerge w:val="continue"/>
            <w:tcBorders>
              <w:left w:val="single" w:color="auto" w:sz="4" w:space="0"/>
              <w:right w:val="single" w:color="auto" w:sz="4" w:space="0"/>
            </w:tcBorders>
            <w:shd w:val="clear" w:color="auto" w:fill="FFFFFF"/>
            <w:vAlign w:val="center"/>
          </w:tcPr>
          <w:p w14:paraId="2C05A656">
            <w:pPr>
              <w:pStyle w:val="37"/>
              <w:spacing w:before="36"/>
              <w:rPr>
                <w:sz w:val="18"/>
                <w:szCs w:val="18"/>
              </w:rPr>
            </w:pPr>
          </w:p>
        </w:tc>
        <w:tc>
          <w:tcPr>
            <w:tcW w:w="993" w:type="dxa"/>
            <w:vMerge w:val="continue"/>
            <w:tcBorders>
              <w:left w:val="single" w:color="auto" w:sz="4" w:space="0"/>
              <w:right w:val="single" w:color="auto" w:sz="4" w:space="0"/>
            </w:tcBorders>
            <w:shd w:val="clear" w:color="auto" w:fill="FFFFFF"/>
            <w:vAlign w:val="center"/>
          </w:tcPr>
          <w:p w14:paraId="6FCB0DA0">
            <w:pPr>
              <w:pStyle w:val="37"/>
              <w:spacing w:before="36"/>
              <w:rPr>
                <w:sz w:val="18"/>
                <w:szCs w:val="18"/>
              </w:rPr>
            </w:pPr>
          </w:p>
        </w:tc>
        <w:tc>
          <w:tcPr>
            <w:tcW w:w="1984" w:type="dxa"/>
            <w:tcBorders>
              <w:left w:val="single" w:color="auto" w:sz="4" w:space="0"/>
            </w:tcBorders>
            <w:shd w:val="clear" w:color="auto" w:fill="FFFFFF"/>
            <w:vAlign w:val="center"/>
          </w:tcPr>
          <w:p w14:paraId="7B151DE4">
            <w:pPr>
              <w:pStyle w:val="37"/>
              <w:spacing w:before="36"/>
              <w:jc w:val="center"/>
              <w:rPr>
                <w:b/>
                <w:bCs/>
                <w:sz w:val="18"/>
                <w:szCs w:val="18"/>
                <w:lang w:eastAsia="zh-CN"/>
              </w:rPr>
            </w:pPr>
            <w:r>
              <w:rPr>
                <w:rFonts w:cs="宋体"/>
                <w:b/>
                <w:sz w:val="18"/>
                <w:lang w:eastAsia="zh-CN"/>
              </w:rPr>
              <w:t>B-长期</w:t>
            </w:r>
          </w:p>
          <w:p w14:paraId="5BD6B1E7">
            <w:pPr>
              <w:pStyle w:val="37"/>
              <w:spacing w:before="36"/>
              <w:jc w:val="center"/>
              <w:rPr>
                <w:sz w:val="18"/>
                <w:szCs w:val="18"/>
                <w:lang w:eastAsia="zh-CN"/>
              </w:rPr>
            </w:pPr>
            <w:r>
              <w:rPr>
                <w:rFonts w:cs="宋体"/>
                <w:sz w:val="18"/>
                <w:lang w:eastAsia="zh-CN"/>
              </w:rPr>
              <w:t>24小时以上30天以内</w:t>
            </w:r>
          </w:p>
        </w:tc>
        <w:tc>
          <w:tcPr>
            <w:tcW w:w="433" w:type="dxa"/>
            <w:vMerge w:val="continue"/>
            <w:tcBorders>
              <w:left w:val="single" w:color="auto" w:sz="4" w:space="0"/>
            </w:tcBorders>
            <w:shd w:val="clear" w:color="auto" w:fill="FFFFFF"/>
            <w:textDirection w:val="btLr"/>
            <w:vAlign w:val="center"/>
          </w:tcPr>
          <w:p w14:paraId="5673D1A5">
            <w:pPr>
              <w:pStyle w:val="37"/>
              <w:spacing w:before="36"/>
              <w:rPr>
                <w:sz w:val="18"/>
                <w:szCs w:val="18"/>
                <w:lang w:eastAsia="zh-CN"/>
              </w:rPr>
            </w:pPr>
          </w:p>
        </w:tc>
        <w:tc>
          <w:tcPr>
            <w:tcW w:w="434" w:type="dxa"/>
            <w:vMerge w:val="continue"/>
            <w:tcBorders>
              <w:left w:val="single" w:color="auto" w:sz="4" w:space="0"/>
            </w:tcBorders>
            <w:shd w:val="clear" w:color="auto" w:fill="FFFFFF"/>
            <w:textDirection w:val="btLr"/>
            <w:vAlign w:val="center"/>
          </w:tcPr>
          <w:p w14:paraId="343E81E8">
            <w:pPr>
              <w:pStyle w:val="37"/>
              <w:spacing w:before="36"/>
              <w:rPr>
                <w:sz w:val="18"/>
                <w:szCs w:val="18"/>
                <w:lang w:eastAsia="zh-CN"/>
              </w:rPr>
            </w:pPr>
          </w:p>
        </w:tc>
        <w:tc>
          <w:tcPr>
            <w:tcW w:w="434" w:type="dxa"/>
            <w:vMerge w:val="continue"/>
            <w:tcBorders>
              <w:left w:val="single" w:color="auto" w:sz="4" w:space="0"/>
            </w:tcBorders>
            <w:shd w:val="clear" w:color="auto" w:fill="FFFFFF"/>
            <w:textDirection w:val="btLr"/>
            <w:vAlign w:val="center"/>
          </w:tcPr>
          <w:p w14:paraId="5D0A6863">
            <w:pPr>
              <w:pStyle w:val="37"/>
              <w:spacing w:before="36"/>
              <w:rPr>
                <w:sz w:val="18"/>
                <w:szCs w:val="18"/>
                <w:lang w:eastAsia="zh-CN"/>
              </w:rPr>
            </w:pPr>
          </w:p>
        </w:tc>
        <w:tc>
          <w:tcPr>
            <w:tcW w:w="434" w:type="dxa"/>
            <w:vMerge w:val="continue"/>
            <w:tcBorders>
              <w:left w:val="single" w:color="auto" w:sz="4" w:space="0"/>
            </w:tcBorders>
            <w:shd w:val="clear" w:color="auto" w:fill="FFFFFF"/>
            <w:textDirection w:val="btLr"/>
            <w:vAlign w:val="center"/>
          </w:tcPr>
          <w:p w14:paraId="73538643">
            <w:pPr>
              <w:pStyle w:val="37"/>
              <w:spacing w:before="36"/>
              <w:rPr>
                <w:sz w:val="18"/>
                <w:szCs w:val="18"/>
                <w:lang w:eastAsia="zh-CN"/>
              </w:rPr>
            </w:pPr>
          </w:p>
        </w:tc>
        <w:tc>
          <w:tcPr>
            <w:tcW w:w="433" w:type="dxa"/>
            <w:vMerge w:val="continue"/>
            <w:tcBorders>
              <w:left w:val="single" w:color="auto" w:sz="4" w:space="0"/>
            </w:tcBorders>
            <w:shd w:val="clear" w:color="auto" w:fill="FFFFFF"/>
            <w:textDirection w:val="btLr"/>
            <w:vAlign w:val="center"/>
          </w:tcPr>
          <w:p w14:paraId="6652B28C">
            <w:pPr>
              <w:pStyle w:val="37"/>
              <w:spacing w:before="36"/>
              <w:rPr>
                <w:sz w:val="18"/>
                <w:szCs w:val="18"/>
                <w:lang w:eastAsia="zh-CN"/>
              </w:rPr>
            </w:pPr>
          </w:p>
        </w:tc>
        <w:tc>
          <w:tcPr>
            <w:tcW w:w="434" w:type="dxa"/>
            <w:vMerge w:val="continue"/>
            <w:tcBorders>
              <w:left w:val="single" w:color="auto" w:sz="4" w:space="0"/>
            </w:tcBorders>
            <w:shd w:val="clear" w:color="auto" w:fill="FFFFFF"/>
            <w:textDirection w:val="btLr"/>
            <w:vAlign w:val="center"/>
          </w:tcPr>
          <w:p w14:paraId="0D988898">
            <w:pPr>
              <w:pStyle w:val="37"/>
              <w:spacing w:before="36"/>
              <w:rPr>
                <w:sz w:val="18"/>
                <w:szCs w:val="18"/>
                <w:lang w:eastAsia="zh-CN"/>
              </w:rPr>
            </w:pPr>
          </w:p>
        </w:tc>
        <w:tc>
          <w:tcPr>
            <w:tcW w:w="434" w:type="dxa"/>
            <w:vMerge w:val="continue"/>
            <w:tcBorders>
              <w:left w:val="single" w:color="auto" w:sz="4" w:space="0"/>
            </w:tcBorders>
            <w:shd w:val="clear" w:color="auto" w:fill="FFFFFF"/>
            <w:textDirection w:val="btLr"/>
            <w:vAlign w:val="center"/>
          </w:tcPr>
          <w:p w14:paraId="2FBCD9A1">
            <w:pPr>
              <w:pStyle w:val="37"/>
              <w:spacing w:before="36"/>
              <w:rPr>
                <w:sz w:val="18"/>
                <w:szCs w:val="18"/>
                <w:lang w:eastAsia="zh-CN"/>
              </w:rPr>
            </w:pPr>
          </w:p>
        </w:tc>
        <w:tc>
          <w:tcPr>
            <w:tcW w:w="434" w:type="dxa"/>
            <w:vMerge w:val="continue"/>
            <w:tcBorders>
              <w:left w:val="single" w:color="auto" w:sz="4" w:space="0"/>
            </w:tcBorders>
            <w:shd w:val="clear" w:color="auto" w:fill="FFFFFF"/>
            <w:textDirection w:val="btLr"/>
            <w:vAlign w:val="center"/>
          </w:tcPr>
          <w:p w14:paraId="7AF5C7FB">
            <w:pPr>
              <w:pStyle w:val="37"/>
              <w:spacing w:before="36"/>
              <w:rPr>
                <w:sz w:val="18"/>
                <w:szCs w:val="18"/>
                <w:lang w:eastAsia="zh-CN"/>
              </w:rPr>
            </w:pPr>
          </w:p>
        </w:tc>
        <w:tc>
          <w:tcPr>
            <w:tcW w:w="433" w:type="dxa"/>
            <w:vMerge w:val="continue"/>
            <w:tcBorders>
              <w:left w:val="single" w:color="auto" w:sz="4" w:space="0"/>
            </w:tcBorders>
            <w:shd w:val="clear" w:color="auto" w:fill="FFFFFF"/>
            <w:textDirection w:val="btLr"/>
            <w:vAlign w:val="center"/>
          </w:tcPr>
          <w:p w14:paraId="4205E7DD">
            <w:pPr>
              <w:pStyle w:val="37"/>
              <w:spacing w:before="36"/>
              <w:rPr>
                <w:sz w:val="18"/>
                <w:szCs w:val="18"/>
                <w:lang w:eastAsia="zh-CN"/>
              </w:rPr>
            </w:pPr>
          </w:p>
        </w:tc>
        <w:tc>
          <w:tcPr>
            <w:tcW w:w="434" w:type="dxa"/>
            <w:vMerge w:val="continue"/>
            <w:tcBorders>
              <w:left w:val="single" w:color="auto" w:sz="4" w:space="0"/>
            </w:tcBorders>
            <w:shd w:val="clear" w:color="auto" w:fill="FFFFFF"/>
            <w:textDirection w:val="btLr"/>
            <w:vAlign w:val="center"/>
          </w:tcPr>
          <w:p w14:paraId="779CD08A">
            <w:pPr>
              <w:pStyle w:val="37"/>
              <w:spacing w:before="36"/>
              <w:rPr>
                <w:sz w:val="18"/>
                <w:szCs w:val="18"/>
                <w:lang w:eastAsia="zh-CN"/>
              </w:rPr>
            </w:pPr>
          </w:p>
        </w:tc>
        <w:tc>
          <w:tcPr>
            <w:tcW w:w="434" w:type="dxa"/>
            <w:vMerge w:val="continue"/>
            <w:tcBorders>
              <w:left w:val="single" w:color="auto" w:sz="4" w:space="0"/>
            </w:tcBorders>
            <w:shd w:val="clear" w:color="auto" w:fill="FFFFFF"/>
            <w:textDirection w:val="btLr"/>
            <w:vAlign w:val="center"/>
          </w:tcPr>
          <w:p w14:paraId="55F9345E">
            <w:pPr>
              <w:pStyle w:val="37"/>
              <w:spacing w:before="36"/>
              <w:rPr>
                <w:sz w:val="18"/>
                <w:szCs w:val="18"/>
                <w:lang w:eastAsia="zh-CN"/>
              </w:rPr>
            </w:pPr>
          </w:p>
        </w:tc>
        <w:tc>
          <w:tcPr>
            <w:tcW w:w="434" w:type="dxa"/>
            <w:vMerge w:val="continue"/>
            <w:tcBorders>
              <w:left w:val="single" w:color="auto" w:sz="4" w:space="0"/>
            </w:tcBorders>
            <w:shd w:val="clear" w:color="auto" w:fill="FFFFFF"/>
            <w:textDirection w:val="btLr"/>
            <w:vAlign w:val="center"/>
          </w:tcPr>
          <w:p w14:paraId="545AEC43">
            <w:pPr>
              <w:pStyle w:val="37"/>
              <w:spacing w:before="36"/>
              <w:rPr>
                <w:sz w:val="18"/>
                <w:szCs w:val="18"/>
                <w:lang w:eastAsia="zh-CN"/>
              </w:rPr>
            </w:pPr>
          </w:p>
        </w:tc>
        <w:tc>
          <w:tcPr>
            <w:tcW w:w="434" w:type="dxa"/>
            <w:vMerge w:val="continue"/>
            <w:tcBorders>
              <w:left w:val="single" w:color="auto" w:sz="4" w:space="0"/>
              <w:right w:val="single" w:color="auto" w:sz="4" w:space="0"/>
            </w:tcBorders>
            <w:shd w:val="clear" w:color="auto" w:fill="FFFFFF"/>
            <w:textDirection w:val="btLr"/>
            <w:vAlign w:val="center"/>
          </w:tcPr>
          <w:p w14:paraId="3F26B8AE">
            <w:pPr>
              <w:pStyle w:val="37"/>
              <w:spacing w:before="36"/>
              <w:rPr>
                <w:sz w:val="18"/>
                <w:szCs w:val="18"/>
                <w:lang w:eastAsia="zh-CN"/>
              </w:rPr>
            </w:pPr>
          </w:p>
        </w:tc>
      </w:tr>
      <w:tr w14:paraId="3C4F73D9">
        <w:tblPrEx>
          <w:tblCellMar>
            <w:top w:w="0" w:type="dxa"/>
            <w:left w:w="113" w:type="dxa"/>
            <w:bottom w:w="0" w:type="dxa"/>
            <w:right w:w="113" w:type="dxa"/>
          </w:tblCellMar>
        </w:tblPrEx>
        <w:tc>
          <w:tcPr>
            <w:tcW w:w="680" w:type="dxa"/>
            <w:vMerge w:val="continue"/>
            <w:tcBorders>
              <w:left w:val="single" w:color="auto" w:sz="4" w:space="0"/>
              <w:right w:val="single" w:color="auto" w:sz="4" w:space="0"/>
            </w:tcBorders>
            <w:shd w:val="clear" w:color="auto" w:fill="FFFFFF"/>
            <w:vAlign w:val="center"/>
          </w:tcPr>
          <w:p w14:paraId="33AD893D">
            <w:pPr>
              <w:pStyle w:val="37"/>
              <w:spacing w:before="36"/>
              <w:rPr>
                <w:sz w:val="18"/>
                <w:szCs w:val="18"/>
                <w:lang w:eastAsia="zh-CN"/>
              </w:rPr>
            </w:pPr>
          </w:p>
        </w:tc>
        <w:tc>
          <w:tcPr>
            <w:tcW w:w="993" w:type="dxa"/>
            <w:vMerge w:val="continue"/>
            <w:tcBorders>
              <w:left w:val="single" w:color="auto" w:sz="4" w:space="0"/>
              <w:right w:val="single" w:color="auto" w:sz="4" w:space="0"/>
            </w:tcBorders>
            <w:shd w:val="clear" w:color="auto" w:fill="FFFFFF"/>
            <w:vAlign w:val="center"/>
          </w:tcPr>
          <w:p w14:paraId="2376BECE">
            <w:pPr>
              <w:pStyle w:val="37"/>
              <w:spacing w:before="36"/>
              <w:rPr>
                <w:sz w:val="18"/>
                <w:szCs w:val="18"/>
                <w:lang w:eastAsia="zh-CN"/>
              </w:rPr>
            </w:pPr>
          </w:p>
        </w:tc>
        <w:tc>
          <w:tcPr>
            <w:tcW w:w="1984" w:type="dxa"/>
            <w:tcBorders>
              <w:left w:val="single" w:color="auto" w:sz="4" w:space="0"/>
            </w:tcBorders>
            <w:shd w:val="clear" w:color="auto" w:fill="FFFFFF"/>
            <w:vAlign w:val="center"/>
          </w:tcPr>
          <w:p w14:paraId="24E8A138">
            <w:pPr>
              <w:pStyle w:val="37"/>
              <w:spacing w:before="36"/>
              <w:jc w:val="center"/>
              <w:rPr>
                <w:b/>
                <w:bCs/>
                <w:sz w:val="18"/>
                <w:szCs w:val="18"/>
              </w:rPr>
            </w:pPr>
            <w:r>
              <w:rPr>
                <w:rFonts w:cs="宋体"/>
                <w:b/>
                <w:sz w:val="18"/>
              </w:rPr>
              <w:t>C-持久</w:t>
            </w:r>
          </w:p>
          <w:p w14:paraId="1D82AFEB">
            <w:pPr>
              <w:pStyle w:val="37"/>
              <w:spacing w:before="36"/>
              <w:jc w:val="center"/>
              <w:rPr>
                <w:sz w:val="18"/>
                <w:szCs w:val="18"/>
              </w:rPr>
            </w:pPr>
            <w:r>
              <w:rPr>
                <w:rFonts w:cs="宋体"/>
                <w:sz w:val="18"/>
              </w:rPr>
              <w:t>30天以上</w:t>
            </w:r>
          </w:p>
        </w:tc>
        <w:tc>
          <w:tcPr>
            <w:tcW w:w="433" w:type="dxa"/>
            <w:vMerge w:val="continue"/>
            <w:tcBorders>
              <w:left w:val="single" w:color="auto" w:sz="4" w:space="0"/>
            </w:tcBorders>
            <w:shd w:val="clear" w:color="auto" w:fill="FFFFFF"/>
            <w:textDirection w:val="btLr"/>
            <w:vAlign w:val="center"/>
          </w:tcPr>
          <w:p w14:paraId="39A37DFF">
            <w:pPr>
              <w:pStyle w:val="37"/>
              <w:spacing w:before="36"/>
              <w:rPr>
                <w:sz w:val="18"/>
                <w:szCs w:val="18"/>
              </w:rPr>
            </w:pPr>
          </w:p>
        </w:tc>
        <w:tc>
          <w:tcPr>
            <w:tcW w:w="434" w:type="dxa"/>
            <w:vMerge w:val="continue"/>
            <w:tcBorders>
              <w:left w:val="single" w:color="auto" w:sz="4" w:space="0"/>
            </w:tcBorders>
            <w:shd w:val="clear" w:color="auto" w:fill="FFFFFF"/>
            <w:textDirection w:val="btLr"/>
            <w:vAlign w:val="center"/>
          </w:tcPr>
          <w:p w14:paraId="50257F3F">
            <w:pPr>
              <w:pStyle w:val="37"/>
              <w:spacing w:before="36"/>
              <w:rPr>
                <w:sz w:val="18"/>
                <w:szCs w:val="18"/>
              </w:rPr>
            </w:pPr>
          </w:p>
        </w:tc>
        <w:tc>
          <w:tcPr>
            <w:tcW w:w="434" w:type="dxa"/>
            <w:vMerge w:val="continue"/>
            <w:tcBorders>
              <w:left w:val="single" w:color="auto" w:sz="4" w:space="0"/>
            </w:tcBorders>
            <w:shd w:val="clear" w:color="auto" w:fill="FFFFFF"/>
            <w:textDirection w:val="btLr"/>
            <w:vAlign w:val="center"/>
          </w:tcPr>
          <w:p w14:paraId="498F6509">
            <w:pPr>
              <w:pStyle w:val="37"/>
              <w:spacing w:before="36"/>
              <w:rPr>
                <w:sz w:val="18"/>
                <w:szCs w:val="18"/>
              </w:rPr>
            </w:pPr>
          </w:p>
        </w:tc>
        <w:tc>
          <w:tcPr>
            <w:tcW w:w="434" w:type="dxa"/>
            <w:vMerge w:val="continue"/>
            <w:tcBorders>
              <w:left w:val="single" w:color="auto" w:sz="4" w:space="0"/>
            </w:tcBorders>
            <w:shd w:val="clear" w:color="auto" w:fill="FFFFFF"/>
            <w:textDirection w:val="btLr"/>
            <w:vAlign w:val="center"/>
          </w:tcPr>
          <w:p w14:paraId="1D23D93F">
            <w:pPr>
              <w:pStyle w:val="37"/>
              <w:spacing w:before="36"/>
              <w:rPr>
                <w:sz w:val="18"/>
                <w:szCs w:val="18"/>
              </w:rPr>
            </w:pPr>
          </w:p>
        </w:tc>
        <w:tc>
          <w:tcPr>
            <w:tcW w:w="433" w:type="dxa"/>
            <w:vMerge w:val="continue"/>
            <w:tcBorders>
              <w:left w:val="single" w:color="auto" w:sz="4" w:space="0"/>
            </w:tcBorders>
            <w:shd w:val="clear" w:color="auto" w:fill="FFFFFF"/>
            <w:textDirection w:val="btLr"/>
            <w:vAlign w:val="center"/>
          </w:tcPr>
          <w:p w14:paraId="03520A9A">
            <w:pPr>
              <w:pStyle w:val="37"/>
              <w:spacing w:before="36"/>
              <w:rPr>
                <w:sz w:val="18"/>
                <w:szCs w:val="18"/>
              </w:rPr>
            </w:pPr>
          </w:p>
        </w:tc>
        <w:tc>
          <w:tcPr>
            <w:tcW w:w="434" w:type="dxa"/>
            <w:vMerge w:val="continue"/>
            <w:tcBorders>
              <w:left w:val="single" w:color="auto" w:sz="4" w:space="0"/>
            </w:tcBorders>
            <w:shd w:val="clear" w:color="auto" w:fill="FFFFFF"/>
            <w:textDirection w:val="btLr"/>
            <w:vAlign w:val="center"/>
          </w:tcPr>
          <w:p w14:paraId="7D6D58B5">
            <w:pPr>
              <w:pStyle w:val="37"/>
              <w:spacing w:before="36"/>
              <w:rPr>
                <w:sz w:val="18"/>
                <w:szCs w:val="18"/>
              </w:rPr>
            </w:pPr>
          </w:p>
        </w:tc>
        <w:tc>
          <w:tcPr>
            <w:tcW w:w="434" w:type="dxa"/>
            <w:vMerge w:val="continue"/>
            <w:tcBorders>
              <w:left w:val="single" w:color="auto" w:sz="4" w:space="0"/>
            </w:tcBorders>
            <w:shd w:val="clear" w:color="auto" w:fill="FFFFFF"/>
            <w:textDirection w:val="btLr"/>
            <w:vAlign w:val="center"/>
          </w:tcPr>
          <w:p w14:paraId="66F122BF">
            <w:pPr>
              <w:pStyle w:val="37"/>
              <w:spacing w:before="36"/>
              <w:rPr>
                <w:sz w:val="18"/>
                <w:szCs w:val="18"/>
              </w:rPr>
            </w:pPr>
          </w:p>
        </w:tc>
        <w:tc>
          <w:tcPr>
            <w:tcW w:w="434" w:type="dxa"/>
            <w:vMerge w:val="continue"/>
            <w:tcBorders>
              <w:left w:val="single" w:color="auto" w:sz="4" w:space="0"/>
            </w:tcBorders>
            <w:shd w:val="clear" w:color="auto" w:fill="FFFFFF"/>
            <w:textDirection w:val="btLr"/>
            <w:vAlign w:val="center"/>
          </w:tcPr>
          <w:p w14:paraId="4BCEE80E">
            <w:pPr>
              <w:pStyle w:val="37"/>
              <w:spacing w:before="36"/>
              <w:rPr>
                <w:sz w:val="18"/>
                <w:szCs w:val="18"/>
              </w:rPr>
            </w:pPr>
          </w:p>
        </w:tc>
        <w:tc>
          <w:tcPr>
            <w:tcW w:w="433" w:type="dxa"/>
            <w:vMerge w:val="continue"/>
            <w:tcBorders>
              <w:left w:val="single" w:color="auto" w:sz="4" w:space="0"/>
            </w:tcBorders>
            <w:shd w:val="clear" w:color="auto" w:fill="FFFFFF"/>
            <w:textDirection w:val="btLr"/>
            <w:vAlign w:val="center"/>
          </w:tcPr>
          <w:p w14:paraId="5BA945CA">
            <w:pPr>
              <w:pStyle w:val="37"/>
              <w:spacing w:before="36"/>
              <w:rPr>
                <w:sz w:val="18"/>
                <w:szCs w:val="18"/>
              </w:rPr>
            </w:pPr>
          </w:p>
        </w:tc>
        <w:tc>
          <w:tcPr>
            <w:tcW w:w="434" w:type="dxa"/>
            <w:vMerge w:val="continue"/>
            <w:tcBorders>
              <w:left w:val="single" w:color="auto" w:sz="4" w:space="0"/>
            </w:tcBorders>
            <w:shd w:val="clear" w:color="auto" w:fill="FFFFFF"/>
            <w:textDirection w:val="btLr"/>
            <w:vAlign w:val="center"/>
          </w:tcPr>
          <w:p w14:paraId="07E73505">
            <w:pPr>
              <w:pStyle w:val="37"/>
              <w:spacing w:before="36"/>
              <w:rPr>
                <w:sz w:val="18"/>
                <w:szCs w:val="18"/>
              </w:rPr>
            </w:pPr>
          </w:p>
        </w:tc>
        <w:tc>
          <w:tcPr>
            <w:tcW w:w="434" w:type="dxa"/>
            <w:vMerge w:val="continue"/>
            <w:tcBorders>
              <w:left w:val="single" w:color="auto" w:sz="4" w:space="0"/>
            </w:tcBorders>
            <w:shd w:val="clear" w:color="auto" w:fill="FFFFFF"/>
            <w:textDirection w:val="btLr"/>
            <w:vAlign w:val="center"/>
          </w:tcPr>
          <w:p w14:paraId="4BE9C41A">
            <w:pPr>
              <w:pStyle w:val="37"/>
              <w:spacing w:before="36"/>
              <w:rPr>
                <w:sz w:val="18"/>
                <w:szCs w:val="18"/>
              </w:rPr>
            </w:pPr>
          </w:p>
        </w:tc>
        <w:tc>
          <w:tcPr>
            <w:tcW w:w="434" w:type="dxa"/>
            <w:vMerge w:val="continue"/>
            <w:tcBorders>
              <w:left w:val="single" w:color="auto" w:sz="4" w:space="0"/>
            </w:tcBorders>
            <w:shd w:val="clear" w:color="auto" w:fill="FFFFFF"/>
            <w:textDirection w:val="btLr"/>
            <w:vAlign w:val="center"/>
          </w:tcPr>
          <w:p w14:paraId="6214F7A1">
            <w:pPr>
              <w:pStyle w:val="37"/>
              <w:spacing w:before="36"/>
              <w:rPr>
                <w:sz w:val="18"/>
                <w:szCs w:val="18"/>
              </w:rPr>
            </w:pPr>
          </w:p>
        </w:tc>
        <w:tc>
          <w:tcPr>
            <w:tcW w:w="434" w:type="dxa"/>
            <w:vMerge w:val="continue"/>
            <w:tcBorders>
              <w:left w:val="single" w:color="auto" w:sz="4" w:space="0"/>
              <w:right w:val="single" w:color="auto" w:sz="4" w:space="0"/>
            </w:tcBorders>
            <w:shd w:val="clear" w:color="auto" w:fill="FFFFFF"/>
            <w:textDirection w:val="btLr"/>
            <w:vAlign w:val="center"/>
          </w:tcPr>
          <w:p w14:paraId="596CC1B0">
            <w:pPr>
              <w:pStyle w:val="37"/>
              <w:spacing w:before="36"/>
              <w:rPr>
                <w:sz w:val="18"/>
                <w:szCs w:val="18"/>
              </w:rPr>
            </w:pPr>
          </w:p>
        </w:tc>
      </w:tr>
      <w:tr w14:paraId="0E9C7E87">
        <w:tblPrEx>
          <w:tblCellMar>
            <w:top w:w="0" w:type="dxa"/>
            <w:left w:w="113" w:type="dxa"/>
            <w:bottom w:w="0" w:type="dxa"/>
            <w:right w:w="113" w:type="dxa"/>
          </w:tblCellMar>
        </w:tblPrEx>
        <w:tc>
          <w:tcPr>
            <w:tcW w:w="680" w:type="dxa"/>
            <w:vMerge w:val="restart"/>
            <w:tcBorders>
              <w:top w:val="single" w:color="auto" w:sz="4" w:space="0"/>
              <w:left w:val="single" w:color="auto" w:sz="4" w:space="0"/>
            </w:tcBorders>
            <w:shd w:val="clear" w:color="auto" w:fill="FFFFFF"/>
            <w:vAlign w:val="center"/>
          </w:tcPr>
          <w:p w14:paraId="10159EA0">
            <w:pPr>
              <w:pStyle w:val="37"/>
              <w:spacing w:before="36"/>
              <w:jc w:val="center"/>
              <w:rPr>
                <w:sz w:val="18"/>
                <w:szCs w:val="18"/>
              </w:rPr>
            </w:pPr>
            <w:r>
              <w:rPr>
                <w:rFonts w:cs="宋体"/>
                <w:sz w:val="18"/>
              </w:rPr>
              <w:t>表面器械</w:t>
            </w:r>
          </w:p>
        </w:tc>
        <w:tc>
          <w:tcPr>
            <w:tcW w:w="993" w:type="dxa"/>
            <w:vMerge w:val="restart"/>
            <w:tcBorders>
              <w:top w:val="single" w:color="auto" w:sz="4" w:space="0"/>
              <w:left w:val="single" w:color="auto" w:sz="4" w:space="0"/>
            </w:tcBorders>
            <w:shd w:val="clear" w:color="auto" w:fill="FFFFFF"/>
            <w:vAlign w:val="center"/>
          </w:tcPr>
          <w:p w14:paraId="28732955">
            <w:pPr>
              <w:pStyle w:val="37"/>
              <w:spacing w:before="36"/>
              <w:jc w:val="center"/>
              <w:rPr>
                <w:sz w:val="18"/>
                <w:szCs w:val="18"/>
              </w:rPr>
            </w:pPr>
            <w:r>
              <w:rPr>
                <w:rFonts w:cs="宋体"/>
                <w:sz w:val="18"/>
              </w:rPr>
              <w:t>完好皮肤</w:t>
            </w:r>
          </w:p>
        </w:tc>
        <w:tc>
          <w:tcPr>
            <w:tcW w:w="1984" w:type="dxa"/>
            <w:tcBorders>
              <w:top w:val="single" w:color="auto" w:sz="4" w:space="0"/>
              <w:left w:val="single" w:color="auto" w:sz="4" w:space="0"/>
            </w:tcBorders>
            <w:shd w:val="clear" w:color="auto" w:fill="FFFFFF"/>
            <w:vAlign w:val="center"/>
          </w:tcPr>
          <w:p w14:paraId="6505671C">
            <w:pPr>
              <w:pStyle w:val="37"/>
              <w:spacing w:before="36"/>
              <w:jc w:val="center"/>
              <w:rPr>
                <w:vanish/>
                <w:sz w:val="18"/>
                <w:szCs w:val="18"/>
              </w:rPr>
            </w:pPr>
            <w:r>
              <w:rPr>
                <w:sz w:val="18"/>
                <w:szCs w:val="18"/>
              </w:rPr>
              <w:t>A</w:t>
            </w:r>
          </w:p>
        </w:tc>
        <w:tc>
          <w:tcPr>
            <w:tcW w:w="433" w:type="dxa"/>
            <w:tcBorders>
              <w:top w:val="single" w:color="auto" w:sz="4" w:space="0"/>
              <w:left w:val="single" w:color="auto" w:sz="4" w:space="0"/>
            </w:tcBorders>
            <w:shd w:val="clear" w:color="auto" w:fill="FFFFFF"/>
            <w:vAlign w:val="center"/>
          </w:tcPr>
          <w:p w14:paraId="1B519715">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241DC86A">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259E3E6F">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42CDFD71">
            <w:pPr>
              <w:pStyle w:val="37"/>
              <w:spacing w:before="36"/>
              <w:jc w:val="center"/>
              <w:rPr>
                <w:vanish/>
                <w:sz w:val="18"/>
                <w:szCs w:val="18"/>
              </w:rPr>
            </w:pPr>
          </w:p>
        </w:tc>
        <w:tc>
          <w:tcPr>
            <w:tcW w:w="433" w:type="dxa"/>
            <w:tcBorders>
              <w:top w:val="single" w:color="auto" w:sz="4" w:space="0"/>
              <w:left w:val="single" w:color="auto" w:sz="4" w:space="0"/>
            </w:tcBorders>
            <w:shd w:val="clear" w:color="auto" w:fill="FFFFFF"/>
            <w:vAlign w:val="center"/>
          </w:tcPr>
          <w:p w14:paraId="7380BF13">
            <w:pPr>
              <w:pStyle w:val="37"/>
              <w:spacing w:before="36"/>
              <w:jc w:val="center"/>
              <w:rPr>
                <w:vanish/>
                <w:sz w:val="18"/>
                <w:szCs w:val="18"/>
              </w:rPr>
            </w:pPr>
          </w:p>
        </w:tc>
        <w:tc>
          <w:tcPr>
            <w:tcW w:w="434" w:type="dxa"/>
            <w:tcBorders>
              <w:top w:val="single" w:color="auto" w:sz="4" w:space="0"/>
              <w:left w:val="single" w:color="auto" w:sz="4" w:space="0"/>
            </w:tcBorders>
            <w:shd w:val="clear" w:color="auto" w:fill="FFFFFF"/>
            <w:vAlign w:val="center"/>
          </w:tcPr>
          <w:p w14:paraId="2D2F32BD">
            <w:pPr>
              <w:pStyle w:val="37"/>
              <w:spacing w:before="36"/>
              <w:jc w:val="center"/>
              <w:rPr>
                <w:vanish/>
                <w:sz w:val="18"/>
                <w:szCs w:val="18"/>
              </w:rPr>
            </w:pPr>
          </w:p>
        </w:tc>
        <w:tc>
          <w:tcPr>
            <w:tcW w:w="434" w:type="dxa"/>
            <w:tcBorders>
              <w:top w:val="single" w:color="auto" w:sz="4" w:space="0"/>
              <w:left w:val="single" w:color="auto" w:sz="4" w:space="0"/>
            </w:tcBorders>
            <w:shd w:val="clear" w:color="auto" w:fill="FFFFFF"/>
            <w:vAlign w:val="center"/>
          </w:tcPr>
          <w:p w14:paraId="06BA59CD">
            <w:pPr>
              <w:pStyle w:val="37"/>
              <w:spacing w:before="36"/>
              <w:jc w:val="center"/>
              <w:rPr>
                <w:vanish/>
                <w:sz w:val="18"/>
                <w:szCs w:val="18"/>
              </w:rPr>
            </w:pPr>
          </w:p>
        </w:tc>
        <w:tc>
          <w:tcPr>
            <w:tcW w:w="434" w:type="dxa"/>
            <w:tcBorders>
              <w:top w:val="single" w:color="auto" w:sz="4" w:space="0"/>
              <w:left w:val="single" w:color="auto" w:sz="4" w:space="0"/>
            </w:tcBorders>
            <w:shd w:val="clear" w:color="auto" w:fill="FFFFFF"/>
            <w:vAlign w:val="center"/>
          </w:tcPr>
          <w:p w14:paraId="3613B87C">
            <w:pPr>
              <w:pStyle w:val="37"/>
              <w:spacing w:before="36"/>
              <w:jc w:val="center"/>
              <w:rPr>
                <w:vanish/>
                <w:sz w:val="18"/>
                <w:szCs w:val="18"/>
              </w:rPr>
            </w:pPr>
          </w:p>
        </w:tc>
        <w:tc>
          <w:tcPr>
            <w:tcW w:w="433" w:type="dxa"/>
            <w:tcBorders>
              <w:top w:val="single" w:color="auto" w:sz="4" w:space="0"/>
              <w:left w:val="single" w:color="auto" w:sz="4" w:space="0"/>
            </w:tcBorders>
            <w:shd w:val="clear" w:color="auto" w:fill="FFFFFF"/>
            <w:vAlign w:val="center"/>
          </w:tcPr>
          <w:p w14:paraId="2D992A91">
            <w:pPr>
              <w:pStyle w:val="37"/>
              <w:spacing w:before="36"/>
              <w:jc w:val="center"/>
              <w:rPr>
                <w:vanish/>
                <w:sz w:val="18"/>
                <w:szCs w:val="18"/>
              </w:rPr>
            </w:pPr>
          </w:p>
        </w:tc>
        <w:tc>
          <w:tcPr>
            <w:tcW w:w="434" w:type="dxa"/>
            <w:tcBorders>
              <w:top w:val="single" w:color="auto" w:sz="4" w:space="0"/>
              <w:left w:val="single" w:color="auto" w:sz="4" w:space="0"/>
            </w:tcBorders>
            <w:shd w:val="clear" w:color="auto" w:fill="FFFFFF"/>
            <w:vAlign w:val="center"/>
          </w:tcPr>
          <w:p w14:paraId="6802B505">
            <w:pPr>
              <w:pStyle w:val="37"/>
              <w:spacing w:before="36"/>
              <w:jc w:val="center"/>
              <w:rPr>
                <w:vanish/>
                <w:sz w:val="18"/>
                <w:szCs w:val="18"/>
              </w:rPr>
            </w:pPr>
          </w:p>
        </w:tc>
        <w:tc>
          <w:tcPr>
            <w:tcW w:w="434" w:type="dxa"/>
            <w:tcBorders>
              <w:top w:val="single" w:color="auto" w:sz="4" w:space="0"/>
              <w:left w:val="single" w:color="auto" w:sz="4" w:space="0"/>
            </w:tcBorders>
            <w:shd w:val="clear" w:color="auto" w:fill="FFFFFF"/>
            <w:vAlign w:val="center"/>
          </w:tcPr>
          <w:p w14:paraId="4AE7716F">
            <w:pPr>
              <w:pStyle w:val="37"/>
              <w:spacing w:before="36"/>
              <w:jc w:val="center"/>
              <w:rPr>
                <w:vanish/>
                <w:sz w:val="18"/>
                <w:szCs w:val="18"/>
              </w:rPr>
            </w:pPr>
          </w:p>
        </w:tc>
        <w:tc>
          <w:tcPr>
            <w:tcW w:w="434" w:type="dxa"/>
            <w:tcBorders>
              <w:top w:val="single" w:color="auto" w:sz="4" w:space="0"/>
              <w:left w:val="single" w:color="auto" w:sz="4" w:space="0"/>
            </w:tcBorders>
            <w:shd w:val="clear" w:color="auto" w:fill="FFFFFF"/>
            <w:vAlign w:val="center"/>
          </w:tcPr>
          <w:p w14:paraId="2BF78964">
            <w:pPr>
              <w:pStyle w:val="37"/>
              <w:spacing w:before="36"/>
              <w:jc w:val="center"/>
              <w:rPr>
                <w:vanish/>
                <w:sz w:val="18"/>
                <w:szCs w:val="18"/>
              </w:rPr>
            </w:pPr>
          </w:p>
        </w:tc>
        <w:tc>
          <w:tcPr>
            <w:tcW w:w="434" w:type="dxa"/>
            <w:tcBorders>
              <w:top w:val="single" w:color="auto" w:sz="4" w:space="0"/>
              <w:left w:val="single" w:color="auto" w:sz="4" w:space="0"/>
              <w:right w:val="single" w:color="auto" w:sz="4" w:space="0"/>
            </w:tcBorders>
            <w:shd w:val="clear" w:color="auto" w:fill="FFFFFF"/>
            <w:vAlign w:val="center"/>
          </w:tcPr>
          <w:p w14:paraId="525E818A">
            <w:pPr>
              <w:pStyle w:val="37"/>
              <w:spacing w:before="36"/>
              <w:jc w:val="center"/>
              <w:rPr>
                <w:sz w:val="18"/>
                <w:szCs w:val="18"/>
              </w:rPr>
            </w:pPr>
          </w:p>
        </w:tc>
      </w:tr>
      <w:tr w14:paraId="0AB7CF46">
        <w:tblPrEx>
          <w:tblCellMar>
            <w:top w:w="0" w:type="dxa"/>
            <w:left w:w="113" w:type="dxa"/>
            <w:bottom w:w="0" w:type="dxa"/>
            <w:right w:w="113" w:type="dxa"/>
          </w:tblCellMar>
        </w:tblPrEx>
        <w:tc>
          <w:tcPr>
            <w:tcW w:w="680" w:type="dxa"/>
            <w:vMerge w:val="continue"/>
            <w:tcBorders>
              <w:left w:val="single" w:color="auto" w:sz="4" w:space="0"/>
            </w:tcBorders>
            <w:shd w:val="clear" w:color="auto" w:fill="FFFFFF"/>
            <w:vAlign w:val="center"/>
          </w:tcPr>
          <w:p w14:paraId="24AEAA08">
            <w:pPr>
              <w:pStyle w:val="37"/>
              <w:spacing w:before="36"/>
              <w:jc w:val="center"/>
              <w:rPr>
                <w:sz w:val="18"/>
                <w:szCs w:val="18"/>
              </w:rPr>
            </w:pPr>
          </w:p>
        </w:tc>
        <w:tc>
          <w:tcPr>
            <w:tcW w:w="993" w:type="dxa"/>
            <w:vMerge w:val="continue"/>
            <w:tcBorders>
              <w:left w:val="single" w:color="auto" w:sz="4" w:space="0"/>
            </w:tcBorders>
            <w:shd w:val="clear" w:color="auto" w:fill="FFFFFF"/>
            <w:vAlign w:val="center"/>
          </w:tcPr>
          <w:p w14:paraId="5BBDB618">
            <w:pPr>
              <w:pStyle w:val="37"/>
              <w:spacing w:before="36"/>
              <w:jc w:val="center"/>
              <w:rPr>
                <w:sz w:val="18"/>
                <w:szCs w:val="18"/>
              </w:rPr>
            </w:pPr>
          </w:p>
        </w:tc>
        <w:tc>
          <w:tcPr>
            <w:tcW w:w="1984" w:type="dxa"/>
            <w:tcBorders>
              <w:top w:val="single" w:color="auto" w:sz="4" w:space="0"/>
              <w:left w:val="single" w:color="auto" w:sz="4" w:space="0"/>
            </w:tcBorders>
            <w:shd w:val="clear" w:color="auto" w:fill="FFFFFF"/>
            <w:vAlign w:val="center"/>
          </w:tcPr>
          <w:p w14:paraId="17FF919C">
            <w:pPr>
              <w:pStyle w:val="37"/>
              <w:spacing w:before="36"/>
              <w:jc w:val="center"/>
              <w:rPr>
                <w:vanish/>
                <w:sz w:val="18"/>
                <w:szCs w:val="18"/>
              </w:rPr>
            </w:pPr>
            <w:r>
              <w:rPr>
                <w:sz w:val="18"/>
                <w:szCs w:val="18"/>
              </w:rPr>
              <w:t>B</w:t>
            </w:r>
          </w:p>
        </w:tc>
        <w:tc>
          <w:tcPr>
            <w:tcW w:w="433" w:type="dxa"/>
            <w:tcBorders>
              <w:top w:val="single" w:color="auto" w:sz="4" w:space="0"/>
              <w:left w:val="single" w:color="auto" w:sz="4" w:space="0"/>
            </w:tcBorders>
            <w:shd w:val="clear" w:color="auto" w:fill="FFFFFF"/>
            <w:vAlign w:val="center"/>
          </w:tcPr>
          <w:p w14:paraId="4281CDD0">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08C16AA0">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7F24293A">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294EA39D">
            <w:pPr>
              <w:pStyle w:val="37"/>
              <w:spacing w:before="36"/>
              <w:jc w:val="center"/>
              <w:rPr>
                <w:vanish/>
                <w:sz w:val="18"/>
                <w:szCs w:val="18"/>
              </w:rPr>
            </w:pPr>
          </w:p>
        </w:tc>
        <w:tc>
          <w:tcPr>
            <w:tcW w:w="433" w:type="dxa"/>
            <w:tcBorders>
              <w:top w:val="single" w:color="auto" w:sz="4" w:space="0"/>
              <w:left w:val="single" w:color="auto" w:sz="4" w:space="0"/>
            </w:tcBorders>
            <w:shd w:val="clear" w:color="auto" w:fill="FFFFFF"/>
            <w:vAlign w:val="center"/>
          </w:tcPr>
          <w:p w14:paraId="48E77628">
            <w:pPr>
              <w:pStyle w:val="37"/>
              <w:spacing w:before="36"/>
              <w:jc w:val="center"/>
              <w:rPr>
                <w:vanish/>
                <w:sz w:val="18"/>
                <w:szCs w:val="18"/>
              </w:rPr>
            </w:pPr>
          </w:p>
        </w:tc>
        <w:tc>
          <w:tcPr>
            <w:tcW w:w="434" w:type="dxa"/>
            <w:tcBorders>
              <w:top w:val="single" w:color="auto" w:sz="4" w:space="0"/>
              <w:left w:val="single" w:color="auto" w:sz="4" w:space="0"/>
            </w:tcBorders>
            <w:shd w:val="clear" w:color="auto" w:fill="FFFFFF"/>
            <w:vAlign w:val="center"/>
          </w:tcPr>
          <w:p w14:paraId="72ACB83E">
            <w:pPr>
              <w:pStyle w:val="37"/>
              <w:spacing w:before="36"/>
              <w:jc w:val="center"/>
              <w:rPr>
                <w:vanish/>
                <w:sz w:val="18"/>
                <w:szCs w:val="18"/>
              </w:rPr>
            </w:pPr>
          </w:p>
        </w:tc>
        <w:tc>
          <w:tcPr>
            <w:tcW w:w="434" w:type="dxa"/>
            <w:tcBorders>
              <w:top w:val="single" w:color="auto" w:sz="4" w:space="0"/>
              <w:left w:val="single" w:color="auto" w:sz="4" w:space="0"/>
            </w:tcBorders>
            <w:shd w:val="clear" w:color="auto" w:fill="FFFFFF"/>
            <w:vAlign w:val="center"/>
          </w:tcPr>
          <w:p w14:paraId="672508F3">
            <w:pPr>
              <w:pStyle w:val="37"/>
              <w:spacing w:before="36"/>
              <w:jc w:val="center"/>
              <w:rPr>
                <w:vanish/>
                <w:sz w:val="18"/>
                <w:szCs w:val="18"/>
              </w:rPr>
            </w:pPr>
          </w:p>
        </w:tc>
        <w:tc>
          <w:tcPr>
            <w:tcW w:w="434" w:type="dxa"/>
            <w:tcBorders>
              <w:top w:val="single" w:color="auto" w:sz="4" w:space="0"/>
              <w:left w:val="single" w:color="auto" w:sz="4" w:space="0"/>
            </w:tcBorders>
            <w:shd w:val="clear" w:color="auto" w:fill="FFFFFF"/>
            <w:vAlign w:val="center"/>
          </w:tcPr>
          <w:p w14:paraId="12D537CF">
            <w:pPr>
              <w:pStyle w:val="37"/>
              <w:spacing w:before="36"/>
              <w:jc w:val="center"/>
              <w:rPr>
                <w:vanish/>
                <w:sz w:val="18"/>
                <w:szCs w:val="18"/>
              </w:rPr>
            </w:pPr>
          </w:p>
        </w:tc>
        <w:tc>
          <w:tcPr>
            <w:tcW w:w="433" w:type="dxa"/>
            <w:tcBorders>
              <w:top w:val="single" w:color="auto" w:sz="4" w:space="0"/>
              <w:left w:val="single" w:color="auto" w:sz="4" w:space="0"/>
            </w:tcBorders>
            <w:shd w:val="clear" w:color="auto" w:fill="FFFFFF"/>
            <w:vAlign w:val="center"/>
          </w:tcPr>
          <w:p w14:paraId="18CAB866">
            <w:pPr>
              <w:pStyle w:val="37"/>
              <w:spacing w:before="36"/>
              <w:jc w:val="center"/>
              <w:rPr>
                <w:vanish/>
                <w:sz w:val="18"/>
                <w:szCs w:val="18"/>
              </w:rPr>
            </w:pPr>
          </w:p>
        </w:tc>
        <w:tc>
          <w:tcPr>
            <w:tcW w:w="434" w:type="dxa"/>
            <w:tcBorders>
              <w:top w:val="single" w:color="auto" w:sz="4" w:space="0"/>
              <w:left w:val="single" w:color="auto" w:sz="4" w:space="0"/>
            </w:tcBorders>
            <w:shd w:val="clear" w:color="auto" w:fill="FFFFFF"/>
            <w:vAlign w:val="center"/>
          </w:tcPr>
          <w:p w14:paraId="3410DD5F">
            <w:pPr>
              <w:pStyle w:val="37"/>
              <w:spacing w:before="36"/>
              <w:jc w:val="center"/>
              <w:rPr>
                <w:vanish/>
                <w:sz w:val="18"/>
                <w:szCs w:val="18"/>
              </w:rPr>
            </w:pPr>
          </w:p>
        </w:tc>
        <w:tc>
          <w:tcPr>
            <w:tcW w:w="434" w:type="dxa"/>
            <w:tcBorders>
              <w:top w:val="single" w:color="auto" w:sz="4" w:space="0"/>
              <w:left w:val="single" w:color="auto" w:sz="4" w:space="0"/>
            </w:tcBorders>
            <w:shd w:val="clear" w:color="auto" w:fill="FFFFFF"/>
            <w:vAlign w:val="center"/>
          </w:tcPr>
          <w:p w14:paraId="060967D2">
            <w:pPr>
              <w:pStyle w:val="37"/>
              <w:spacing w:before="36"/>
              <w:jc w:val="center"/>
              <w:rPr>
                <w:vanish/>
                <w:sz w:val="18"/>
                <w:szCs w:val="18"/>
              </w:rPr>
            </w:pPr>
          </w:p>
        </w:tc>
        <w:tc>
          <w:tcPr>
            <w:tcW w:w="434" w:type="dxa"/>
            <w:tcBorders>
              <w:top w:val="single" w:color="auto" w:sz="4" w:space="0"/>
              <w:left w:val="single" w:color="auto" w:sz="4" w:space="0"/>
            </w:tcBorders>
            <w:shd w:val="clear" w:color="auto" w:fill="FFFFFF"/>
            <w:vAlign w:val="center"/>
          </w:tcPr>
          <w:p w14:paraId="31E0A2C1">
            <w:pPr>
              <w:pStyle w:val="37"/>
              <w:spacing w:before="36"/>
              <w:jc w:val="center"/>
              <w:rPr>
                <w:vanish/>
                <w:sz w:val="18"/>
                <w:szCs w:val="18"/>
              </w:rPr>
            </w:pPr>
          </w:p>
        </w:tc>
        <w:tc>
          <w:tcPr>
            <w:tcW w:w="434" w:type="dxa"/>
            <w:tcBorders>
              <w:top w:val="single" w:color="auto" w:sz="4" w:space="0"/>
              <w:left w:val="single" w:color="auto" w:sz="4" w:space="0"/>
              <w:right w:val="single" w:color="auto" w:sz="4" w:space="0"/>
            </w:tcBorders>
            <w:shd w:val="clear" w:color="auto" w:fill="FFFFFF"/>
            <w:vAlign w:val="center"/>
          </w:tcPr>
          <w:p w14:paraId="11D09A30">
            <w:pPr>
              <w:pStyle w:val="37"/>
              <w:spacing w:before="36"/>
              <w:jc w:val="center"/>
              <w:rPr>
                <w:sz w:val="18"/>
                <w:szCs w:val="18"/>
              </w:rPr>
            </w:pPr>
          </w:p>
        </w:tc>
      </w:tr>
      <w:tr w14:paraId="10C0F582">
        <w:tblPrEx>
          <w:tblCellMar>
            <w:top w:w="0" w:type="dxa"/>
            <w:left w:w="113" w:type="dxa"/>
            <w:bottom w:w="0" w:type="dxa"/>
            <w:right w:w="113" w:type="dxa"/>
          </w:tblCellMar>
        </w:tblPrEx>
        <w:tc>
          <w:tcPr>
            <w:tcW w:w="680" w:type="dxa"/>
            <w:vMerge w:val="continue"/>
            <w:tcBorders>
              <w:left w:val="single" w:color="auto" w:sz="4" w:space="0"/>
            </w:tcBorders>
            <w:shd w:val="clear" w:color="auto" w:fill="FFFFFF"/>
            <w:vAlign w:val="center"/>
          </w:tcPr>
          <w:p w14:paraId="48976DDF">
            <w:pPr>
              <w:pStyle w:val="37"/>
              <w:spacing w:before="36"/>
              <w:jc w:val="center"/>
              <w:rPr>
                <w:sz w:val="18"/>
                <w:szCs w:val="18"/>
              </w:rPr>
            </w:pPr>
          </w:p>
        </w:tc>
        <w:tc>
          <w:tcPr>
            <w:tcW w:w="993" w:type="dxa"/>
            <w:vMerge w:val="continue"/>
            <w:tcBorders>
              <w:left w:val="single" w:color="auto" w:sz="4" w:space="0"/>
            </w:tcBorders>
            <w:shd w:val="clear" w:color="auto" w:fill="FFFFFF"/>
            <w:vAlign w:val="center"/>
          </w:tcPr>
          <w:p w14:paraId="745EDBC0">
            <w:pPr>
              <w:pStyle w:val="37"/>
              <w:spacing w:before="36"/>
              <w:jc w:val="center"/>
              <w:rPr>
                <w:sz w:val="18"/>
                <w:szCs w:val="18"/>
              </w:rPr>
            </w:pPr>
          </w:p>
        </w:tc>
        <w:tc>
          <w:tcPr>
            <w:tcW w:w="1984" w:type="dxa"/>
            <w:tcBorders>
              <w:top w:val="single" w:color="auto" w:sz="4" w:space="0"/>
              <w:left w:val="single" w:color="auto" w:sz="4" w:space="0"/>
            </w:tcBorders>
            <w:shd w:val="clear" w:color="auto" w:fill="FFFFFF"/>
            <w:vAlign w:val="center"/>
          </w:tcPr>
          <w:p w14:paraId="7621497C">
            <w:pPr>
              <w:pStyle w:val="37"/>
              <w:spacing w:before="36"/>
              <w:jc w:val="center"/>
              <w:rPr>
                <w:vanish/>
                <w:sz w:val="18"/>
                <w:szCs w:val="18"/>
              </w:rPr>
            </w:pPr>
            <w:r>
              <w:rPr>
                <w:sz w:val="18"/>
                <w:szCs w:val="18"/>
              </w:rPr>
              <w:t>C</w:t>
            </w:r>
          </w:p>
        </w:tc>
        <w:tc>
          <w:tcPr>
            <w:tcW w:w="433" w:type="dxa"/>
            <w:tcBorders>
              <w:top w:val="single" w:color="auto" w:sz="4" w:space="0"/>
              <w:left w:val="single" w:color="auto" w:sz="4" w:space="0"/>
            </w:tcBorders>
            <w:shd w:val="clear" w:color="auto" w:fill="FFFFFF"/>
            <w:vAlign w:val="center"/>
          </w:tcPr>
          <w:p w14:paraId="760D1A3F">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6FB4DAFF">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08424913">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71FA08AF">
            <w:pPr>
              <w:pStyle w:val="37"/>
              <w:spacing w:before="36"/>
              <w:jc w:val="center"/>
              <w:rPr>
                <w:vanish/>
                <w:sz w:val="18"/>
                <w:szCs w:val="18"/>
              </w:rPr>
            </w:pPr>
          </w:p>
        </w:tc>
        <w:tc>
          <w:tcPr>
            <w:tcW w:w="433" w:type="dxa"/>
            <w:tcBorders>
              <w:top w:val="single" w:color="auto" w:sz="4" w:space="0"/>
              <w:left w:val="single" w:color="auto" w:sz="4" w:space="0"/>
            </w:tcBorders>
            <w:shd w:val="clear" w:color="auto" w:fill="FFFFFF"/>
            <w:vAlign w:val="center"/>
          </w:tcPr>
          <w:p w14:paraId="202C16EA">
            <w:pPr>
              <w:pStyle w:val="37"/>
              <w:spacing w:before="36"/>
              <w:jc w:val="center"/>
              <w:rPr>
                <w:vanish/>
                <w:sz w:val="18"/>
                <w:szCs w:val="18"/>
              </w:rPr>
            </w:pPr>
          </w:p>
        </w:tc>
        <w:tc>
          <w:tcPr>
            <w:tcW w:w="434" w:type="dxa"/>
            <w:tcBorders>
              <w:top w:val="single" w:color="auto" w:sz="4" w:space="0"/>
              <w:left w:val="single" w:color="auto" w:sz="4" w:space="0"/>
            </w:tcBorders>
            <w:shd w:val="clear" w:color="auto" w:fill="FFFFFF"/>
            <w:vAlign w:val="center"/>
          </w:tcPr>
          <w:p w14:paraId="5677D3DE">
            <w:pPr>
              <w:pStyle w:val="37"/>
              <w:spacing w:before="36"/>
              <w:jc w:val="center"/>
              <w:rPr>
                <w:vanish/>
                <w:sz w:val="18"/>
                <w:szCs w:val="18"/>
              </w:rPr>
            </w:pPr>
          </w:p>
        </w:tc>
        <w:tc>
          <w:tcPr>
            <w:tcW w:w="434" w:type="dxa"/>
            <w:tcBorders>
              <w:top w:val="single" w:color="auto" w:sz="4" w:space="0"/>
              <w:left w:val="single" w:color="auto" w:sz="4" w:space="0"/>
            </w:tcBorders>
            <w:shd w:val="clear" w:color="auto" w:fill="FFFFFF"/>
            <w:vAlign w:val="center"/>
          </w:tcPr>
          <w:p w14:paraId="4E07C2B7">
            <w:pPr>
              <w:pStyle w:val="37"/>
              <w:spacing w:before="36"/>
              <w:jc w:val="center"/>
              <w:rPr>
                <w:vanish/>
                <w:sz w:val="18"/>
                <w:szCs w:val="18"/>
              </w:rPr>
            </w:pPr>
          </w:p>
        </w:tc>
        <w:tc>
          <w:tcPr>
            <w:tcW w:w="434" w:type="dxa"/>
            <w:tcBorders>
              <w:top w:val="single" w:color="auto" w:sz="4" w:space="0"/>
              <w:left w:val="single" w:color="auto" w:sz="4" w:space="0"/>
            </w:tcBorders>
            <w:shd w:val="clear" w:color="auto" w:fill="FFFFFF"/>
            <w:vAlign w:val="center"/>
          </w:tcPr>
          <w:p w14:paraId="1AC5C2DF">
            <w:pPr>
              <w:pStyle w:val="37"/>
              <w:spacing w:before="36"/>
              <w:jc w:val="center"/>
              <w:rPr>
                <w:vanish/>
                <w:sz w:val="18"/>
                <w:szCs w:val="18"/>
              </w:rPr>
            </w:pPr>
          </w:p>
        </w:tc>
        <w:tc>
          <w:tcPr>
            <w:tcW w:w="433" w:type="dxa"/>
            <w:tcBorders>
              <w:top w:val="single" w:color="auto" w:sz="4" w:space="0"/>
              <w:left w:val="single" w:color="auto" w:sz="4" w:space="0"/>
            </w:tcBorders>
            <w:shd w:val="clear" w:color="auto" w:fill="FFFFFF"/>
            <w:vAlign w:val="center"/>
          </w:tcPr>
          <w:p w14:paraId="2FD19711">
            <w:pPr>
              <w:pStyle w:val="37"/>
              <w:spacing w:before="36"/>
              <w:jc w:val="center"/>
              <w:rPr>
                <w:vanish/>
                <w:sz w:val="18"/>
                <w:szCs w:val="18"/>
              </w:rPr>
            </w:pPr>
          </w:p>
        </w:tc>
        <w:tc>
          <w:tcPr>
            <w:tcW w:w="434" w:type="dxa"/>
            <w:tcBorders>
              <w:top w:val="single" w:color="auto" w:sz="4" w:space="0"/>
              <w:left w:val="single" w:color="auto" w:sz="4" w:space="0"/>
            </w:tcBorders>
            <w:shd w:val="clear" w:color="auto" w:fill="FFFFFF"/>
            <w:vAlign w:val="center"/>
          </w:tcPr>
          <w:p w14:paraId="169D278B">
            <w:pPr>
              <w:pStyle w:val="37"/>
              <w:spacing w:before="36"/>
              <w:jc w:val="center"/>
              <w:rPr>
                <w:vanish/>
                <w:sz w:val="18"/>
                <w:szCs w:val="18"/>
              </w:rPr>
            </w:pPr>
          </w:p>
        </w:tc>
        <w:tc>
          <w:tcPr>
            <w:tcW w:w="434" w:type="dxa"/>
            <w:tcBorders>
              <w:top w:val="single" w:color="auto" w:sz="4" w:space="0"/>
              <w:left w:val="single" w:color="auto" w:sz="4" w:space="0"/>
            </w:tcBorders>
            <w:shd w:val="clear" w:color="auto" w:fill="FFFFFF"/>
            <w:vAlign w:val="center"/>
          </w:tcPr>
          <w:p w14:paraId="2602B419">
            <w:pPr>
              <w:pStyle w:val="37"/>
              <w:spacing w:before="36"/>
              <w:jc w:val="center"/>
              <w:rPr>
                <w:vanish/>
                <w:sz w:val="18"/>
                <w:szCs w:val="18"/>
              </w:rPr>
            </w:pPr>
          </w:p>
        </w:tc>
        <w:tc>
          <w:tcPr>
            <w:tcW w:w="434" w:type="dxa"/>
            <w:tcBorders>
              <w:top w:val="single" w:color="auto" w:sz="4" w:space="0"/>
              <w:left w:val="single" w:color="auto" w:sz="4" w:space="0"/>
            </w:tcBorders>
            <w:shd w:val="clear" w:color="auto" w:fill="FFFFFF"/>
            <w:vAlign w:val="center"/>
          </w:tcPr>
          <w:p w14:paraId="50C3EA30">
            <w:pPr>
              <w:pStyle w:val="37"/>
              <w:spacing w:before="36"/>
              <w:jc w:val="center"/>
              <w:rPr>
                <w:vanish/>
                <w:sz w:val="18"/>
                <w:szCs w:val="18"/>
              </w:rPr>
            </w:pPr>
          </w:p>
        </w:tc>
        <w:tc>
          <w:tcPr>
            <w:tcW w:w="434" w:type="dxa"/>
            <w:tcBorders>
              <w:top w:val="single" w:color="auto" w:sz="4" w:space="0"/>
              <w:left w:val="single" w:color="auto" w:sz="4" w:space="0"/>
              <w:right w:val="single" w:color="auto" w:sz="4" w:space="0"/>
            </w:tcBorders>
            <w:shd w:val="clear" w:color="auto" w:fill="FFFFFF"/>
            <w:vAlign w:val="center"/>
          </w:tcPr>
          <w:p w14:paraId="06FC1BBE">
            <w:pPr>
              <w:pStyle w:val="37"/>
              <w:spacing w:before="36"/>
              <w:jc w:val="center"/>
              <w:rPr>
                <w:sz w:val="18"/>
                <w:szCs w:val="18"/>
              </w:rPr>
            </w:pPr>
          </w:p>
        </w:tc>
      </w:tr>
      <w:tr w14:paraId="65794A3A">
        <w:tblPrEx>
          <w:tblCellMar>
            <w:top w:w="0" w:type="dxa"/>
            <w:left w:w="113" w:type="dxa"/>
            <w:bottom w:w="0" w:type="dxa"/>
            <w:right w:w="113" w:type="dxa"/>
          </w:tblCellMar>
        </w:tblPrEx>
        <w:tc>
          <w:tcPr>
            <w:tcW w:w="680" w:type="dxa"/>
            <w:vMerge w:val="continue"/>
            <w:tcBorders>
              <w:left w:val="single" w:color="auto" w:sz="4" w:space="0"/>
            </w:tcBorders>
            <w:shd w:val="clear" w:color="auto" w:fill="FFFFFF"/>
            <w:vAlign w:val="center"/>
          </w:tcPr>
          <w:p w14:paraId="55973984">
            <w:pPr>
              <w:pStyle w:val="37"/>
              <w:spacing w:before="36"/>
              <w:jc w:val="center"/>
              <w:rPr>
                <w:sz w:val="18"/>
                <w:szCs w:val="18"/>
              </w:rPr>
            </w:pPr>
          </w:p>
        </w:tc>
        <w:tc>
          <w:tcPr>
            <w:tcW w:w="993" w:type="dxa"/>
            <w:vMerge w:val="restart"/>
            <w:tcBorders>
              <w:top w:val="single" w:color="auto" w:sz="4" w:space="0"/>
              <w:left w:val="single" w:color="auto" w:sz="4" w:space="0"/>
            </w:tcBorders>
            <w:shd w:val="clear" w:color="auto" w:fill="FFFFFF"/>
            <w:vAlign w:val="center"/>
          </w:tcPr>
          <w:p w14:paraId="25866D1F">
            <w:pPr>
              <w:pStyle w:val="37"/>
              <w:spacing w:before="36"/>
              <w:jc w:val="center"/>
              <w:rPr>
                <w:sz w:val="18"/>
                <w:szCs w:val="18"/>
              </w:rPr>
            </w:pPr>
            <w:r>
              <w:rPr>
                <w:rFonts w:cs="宋体"/>
                <w:sz w:val="18"/>
              </w:rPr>
              <w:t>黏膜</w:t>
            </w:r>
          </w:p>
        </w:tc>
        <w:tc>
          <w:tcPr>
            <w:tcW w:w="1984" w:type="dxa"/>
            <w:tcBorders>
              <w:top w:val="single" w:color="auto" w:sz="4" w:space="0"/>
              <w:left w:val="single" w:color="auto" w:sz="4" w:space="0"/>
            </w:tcBorders>
            <w:shd w:val="clear" w:color="auto" w:fill="FFFFFF"/>
            <w:vAlign w:val="center"/>
          </w:tcPr>
          <w:p w14:paraId="311514E1">
            <w:pPr>
              <w:pStyle w:val="37"/>
              <w:spacing w:before="36"/>
              <w:jc w:val="center"/>
              <w:rPr>
                <w:vanish/>
                <w:sz w:val="18"/>
                <w:szCs w:val="18"/>
              </w:rPr>
            </w:pPr>
            <w:r>
              <w:rPr>
                <w:sz w:val="18"/>
                <w:szCs w:val="18"/>
              </w:rPr>
              <w:t>A</w:t>
            </w:r>
          </w:p>
        </w:tc>
        <w:tc>
          <w:tcPr>
            <w:tcW w:w="433" w:type="dxa"/>
            <w:tcBorders>
              <w:top w:val="single" w:color="auto" w:sz="4" w:space="0"/>
              <w:left w:val="single" w:color="auto" w:sz="4" w:space="0"/>
            </w:tcBorders>
            <w:shd w:val="clear" w:color="auto" w:fill="FFFFFF"/>
            <w:vAlign w:val="center"/>
          </w:tcPr>
          <w:p w14:paraId="10CED4AE">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69C1E1FD">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4E078B63">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127B4510">
            <w:pPr>
              <w:pStyle w:val="37"/>
              <w:spacing w:before="36"/>
              <w:jc w:val="center"/>
              <w:rPr>
                <w:vanish/>
                <w:sz w:val="18"/>
                <w:szCs w:val="18"/>
              </w:rPr>
            </w:pPr>
          </w:p>
        </w:tc>
        <w:tc>
          <w:tcPr>
            <w:tcW w:w="433" w:type="dxa"/>
            <w:tcBorders>
              <w:top w:val="single" w:color="auto" w:sz="4" w:space="0"/>
              <w:left w:val="single" w:color="auto" w:sz="4" w:space="0"/>
            </w:tcBorders>
            <w:shd w:val="clear" w:color="auto" w:fill="FFFFFF"/>
            <w:vAlign w:val="center"/>
          </w:tcPr>
          <w:p w14:paraId="1E15201A">
            <w:pPr>
              <w:pStyle w:val="37"/>
              <w:spacing w:before="36"/>
              <w:jc w:val="center"/>
              <w:rPr>
                <w:vanish/>
                <w:sz w:val="18"/>
                <w:szCs w:val="18"/>
              </w:rPr>
            </w:pPr>
          </w:p>
        </w:tc>
        <w:tc>
          <w:tcPr>
            <w:tcW w:w="434" w:type="dxa"/>
            <w:tcBorders>
              <w:top w:val="single" w:color="auto" w:sz="4" w:space="0"/>
              <w:left w:val="single" w:color="auto" w:sz="4" w:space="0"/>
            </w:tcBorders>
            <w:shd w:val="clear" w:color="auto" w:fill="FFFFFF"/>
            <w:vAlign w:val="center"/>
          </w:tcPr>
          <w:p w14:paraId="2B7D3C25">
            <w:pPr>
              <w:pStyle w:val="37"/>
              <w:spacing w:before="36"/>
              <w:jc w:val="center"/>
              <w:rPr>
                <w:vanish/>
                <w:sz w:val="18"/>
                <w:szCs w:val="18"/>
              </w:rPr>
            </w:pPr>
          </w:p>
        </w:tc>
        <w:tc>
          <w:tcPr>
            <w:tcW w:w="434" w:type="dxa"/>
            <w:tcBorders>
              <w:top w:val="single" w:color="auto" w:sz="4" w:space="0"/>
              <w:left w:val="single" w:color="auto" w:sz="4" w:space="0"/>
            </w:tcBorders>
            <w:shd w:val="clear" w:color="auto" w:fill="FFFFFF"/>
            <w:vAlign w:val="center"/>
          </w:tcPr>
          <w:p w14:paraId="7E7921D7">
            <w:pPr>
              <w:pStyle w:val="37"/>
              <w:spacing w:before="36"/>
              <w:jc w:val="center"/>
              <w:rPr>
                <w:vanish/>
                <w:sz w:val="18"/>
                <w:szCs w:val="18"/>
              </w:rPr>
            </w:pPr>
          </w:p>
        </w:tc>
        <w:tc>
          <w:tcPr>
            <w:tcW w:w="434" w:type="dxa"/>
            <w:tcBorders>
              <w:top w:val="single" w:color="auto" w:sz="4" w:space="0"/>
              <w:left w:val="single" w:color="auto" w:sz="4" w:space="0"/>
            </w:tcBorders>
            <w:shd w:val="clear" w:color="auto" w:fill="FFFFFF"/>
            <w:vAlign w:val="center"/>
          </w:tcPr>
          <w:p w14:paraId="08144379">
            <w:pPr>
              <w:pStyle w:val="37"/>
              <w:spacing w:before="36"/>
              <w:jc w:val="center"/>
              <w:rPr>
                <w:vanish/>
                <w:sz w:val="18"/>
                <w:szCs w:val="18"/>
              </w:rPr>
            </w:pPr>
          </w:p>
        </w:tc>
        <w:tc>
          <w:tcPr>
            <w:tcW w:w="433" w:type="dxa"/>
            <w:tcBorders>
              <w:top w:val="single" w:color="auto" w:sz="4" w:space="0"/>
              <w:left w:val="single" w:color="auto" w:sz="4" w:space="0"/>
            </w:tcBorders>
            <w:shd w:val="clear" w:color="auto" w:fill="FFFFFF"/>
            <w:vAlign w:val="center"/>
          </w:tcPr>
          <w:p w14:paraId="0C6D30EF">
            <w:pPr>
              <w:pStyle w:val="37"/>
              <w:spacing w:before="36"/>
              <w:jc w:val="center"/>
              <w:rPr>
                <w:vanish/>
                <w:sz w:val="18"/>
                <w:szCs w:val="18"/>
              </w:rPr>
            </w:pPr>
          </w:p>
        </w:tc>
        <w:tc>
          <w:tcPr>
            <w:tcW w:w="434" w:type="dxa"/>
            <w:tcBorders>
              <w:top w:val="single" w:color="auto" w:sz="4" w:space="0"/>
              <w:left w:val="single" w:color="auto" w:sz="4" w:space="0"/>
            </w:tcBorders>
            <w:shd w:val="clear" w:color="auto" w:fill="FFFFFF"/>
            <w:vAlign w:val="center"/>
          </w:tcPr>
          <w:p w14:paraId="53FAE83C">
            <w:pPr>
              <w:pStyle w:val="37"/>
              <w:spacing w:before="36"/>
              <w:jc w:val="center"/>
              <w:rPr>
                <w:vanish/>
                <w:sz w:val="18"/>
                <w:szCs w:val="18"/>
              </w:rPr>
            </w:pPr>
          </w:p>
        </w:tc>
        <w:tc>
          <w:tcPr>
            <w:tcW w:w="434" w:type="dxa"/>
            <w:tcBorders>
              <w:top w:val="single" w:color="auto" w:sz="4" w:space="0"/>
              <w:left w:val="single" w:color="auto" w:sz="4" w:space="0"/>
            </w:tcBorders>
            <w:shd w:val="clear" w:color="auto" w:fill="FFFFFF"/>
            <w:vAlign w:val="center"/>
          </w:tcPr>
          <w:p w14:paraId="5BAC3477">
            <w:pPr>
              <w:pStyle w:val="37"/>
              <w:spacing w:before="36"/>
              <w:jc w:val="center"/>
              <w:rPr>
                <w:vanish/>
                <w:sz w:val="18"/>
                <w:szCs w:val="18"/>
              </w:rPr>
            </w:pPr>
          </w:p>
        </w:tc>
        <w:tc>
          <w:tcPr>
            <w:tcW w:w="434" w:type="dxa"/>
            <w:tcBorders>
              <w:top w:val="single" w:color="auto" w:sz="4" w:space="0"/>
              <w:left w:val="single" w:color="auto" w:sz="4" w:space="0"/>
            </w:tcBorders>
            <w:shd w:val="clear" w:color="auto" w:fill="FFFFFF"/>
            <w:vAlign w:val="center"/>
          </w:tcPr>
          <w:p w14:paraId="78659DEE">
            <w:pPr>
              <w:pStyle w:val="37"/>
              <w:spacing w:before="36"/>
              <w:jc w:val="center"/>
              <w:rPr>
                <w:vanish/>
                <w:sz w:val="18"/>
                <w:szCs w:val="18"/>
              </w:rPr>
            </w:pPr>
          </w:p>
        </w:tc>
        <w:tc>
          <w:tcPr>
            <w:tcW w:w="434" w:type="dxa"/>
            <w:tcBorders>
              <w:top w:val="single" w:color="auto" w:sz="4" w:space="0"/>
              <w:left w:val="single" w:color="auto" w:sz="4" w:space="0"/>
              <w:right w:val="single" w:color="auto" w:sz="4" w:space="0"/>
            </w:tcBorders>
            <w:shd w:val="clear" w:color="auto" w:fill="FFFFFF"/>
            <w:vAlign w:val="center"/>
          </w:tcPr>
          <w:p w14:paraId="6D68B875">
            <w:pPr>
              <w:pStyle w:val="37"/>
              <w:spacing w:before="36"/>
              <w:jc w:val="center"/>
              <w:rPr>
                <w:sz w:val="18"/>
                <w:szCs w:val="18"/>
              </w:rPr>
            </w:pPr>
          </w:p>
        </w:tc>
      </w:tr>
      <w:tr w14:paraId="545A839B">
        <w:tblPrEx>
          <w:tblCellMar>
            <w:top w:w="0" w:type="dxa"/>
            <w:left w:w="113" w:type="dxa"/>
            <w:bottom w:w="0" w:type="dxa"/>
            <w:right w:w="113" w:type="dxa"/>
          </w:tblCellMar>
        </w:tblPrEx>
        <w:tc>
          <w:tcPr>
            <w:tcW w:w="680" w:type="dxa"/>
            <w:vMerge w:val="continue"/>
            <w:tcBorders>
              <w:left w:val="single" w:color="auto" w:sz="4" w:space="0"/>
            </w:tcBorders>
            <w:shd w:val="clear" w:color="auto" w:fill="FFFFFF"/>
            <w:vAlign w:val="center"/>
          </w:tcPr>
          <w:p w14:paraId="7921784C">
            <w:pPr>
              <w:pStyle w:val="37"/>
              <w:spacing w:before="36"/>
              <w:jc w:val="center"/>
              <w:rPr>
                <w:sz w:val="18"/>
                <w:szCs w:val="18"/>
              </w:rPr>
            </w:pPr>
          </w:p>
        </w:tc>
        <w:tc>
          <w:tcPr>
            <w:tcW w:w="993" w:type="dxa"/>
            <w:vMerge w:val="continue"/>
            <w:tcBorders>
              <w:left w:val="single" w:color="auto" w:sz="4" w:space="0"/>
            </w:tcBorders>
            <w:shd w:val="clear" w:color="auto" w:fill="FFFFFF"/>
            <w:vAlign w:val="center"/>
          </w:tcPr>
          <w:p w14:paraId="1410E4A9">
            <w:pPr>
              <w:pStyle w:val="37"/>
              <w:spacing w:before="36"/>
              <w:jc w:val="center"/>
              <w:rPr>
                <w:sz w:val="18"/>
                <w:szCs w:val="18"/>
              </w:rPr>
            </w:pPr>
          </w:p>
        </w:tc>
        <w:tc>
          <w:tcPr>
            <w:tcW w:w="1984" w:type="dxa"/>
            <w:tcBorders>
              <w:top w:val="single" w:color="auto" w:sz="4" w:space="0"/>
              <w:left w:val="single" w:color="auto" w:sz="4" w:space="0"/>
            </w:tcBorders>
            <w:shd w:val="clear" w:color="auto" w:fill="FFFFFF"/>
            <w:vAlign w:val="center"/>
          </w:tcPr>
          <w:p w14:paraId="6720F458">
            <w:pPr>
              <w:pStyle w:val="37"/>
              <w:spacing w:before="36"/>
              <w:jc w:val="center"/>
              <w:rPr>
                <w:vanish/>
                <w:sz w:val="18"/>
                <w:szCs w:val="18"/>
              </w:rPr>
            </w:pPr>
            <w:r>
              <w:rPr>
                <w:sz w:val="18"/>
                <w:szCs w:val="18"/>
              </w:rPr>
              <w:t>B</w:t>
            </w:r>
          </w:p>
        </w:tc>
        <w:tc>
          <w:tcPr>
            <w:tcW w:w="433" w:type="dxa"/>
            <w:tcBorders>
              <w:top w:val="single" w:color="auto" w:sz="4" w:space="0"/>
              <w:left w:val="single" w:color="auto" w:sz="4" w:space="0"/>
            </w:tcBorders>
            <w:shd w:val="clear" w:color="auto" w:fill="FFFFFF"/>
            <w:vAlign w:val="center"/>
          </w:tcPr>
          <w:p w14:paraId="764AC2B6">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2D1CABCA">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3FF73EF9">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0B37A117">
            <w:pPr>
              <w:pStyle w:val="37"/>
              <w:spacing w:before="36"/>
              <w:jc w:val="center"/>
              <w:rPr>
                <w:vanish/>
                <w:sz w:val="18"/>
                <w:szCs w:val="18"/>
              </w:rPr>
            </w:pPr>
            <w:r>
              <w:rPr>
                <w:sz w:val="18"/>
                <w:szCs w:val="18"/>
              </w:rPr>
              <w:t>O</w:t>
            </w:r>
          </w:p>
        </w:tc>
        <w:tc>
          <w:tcPr>
            <w:tcW w:w="433" w:type="dxa"/>
            <w:tcBorders>
              <w:top w:val="single" w:color="auto" w:sz="4" w:space="0"/>
              <w:left w:val="single" w:color="auto" w:sz="4" w:space="0"/>
            </w:tcBorders>
            <w:shd w:val="clear" w:color="auto" w:fill="FFFFFF"/>
            <w:vAlign w:val="center"/>
          </w:tcPr>
          <w:p w14:paraId="702B9F88">
            <w:pPr>
              <w:pStyle w:val="37"/>
              <w:spacing w:before="36"/>
              <w:jc w:val="center"/>
              <w:rPr>
                <w:vanish/>
                <w:sz w:val="18"/>
                <w:szCs w:val="18"/>
              </w:rPr>
            </w:pPr>
            <w:r>
              <w:rPr>
                <w:sz w:val="18"/>
                <w:szCs w:val="18"/>
              </w:rPr>
              <w:t>O</w:t>
            </w:r>
          </w:p>
        </w:tc>
        <w:tc>
          <w:tcPr>
            <w:tcW w:w="434" w:type="dxa"/>
            <w:tcBorders>
              <w:top w:val="single" w:color="auto" w:sz="4" w:space="0"/>
              <w:left w:val="single" w:color="auto" w:sz="4" w:space="0"/>
            </w:tcBorders>
            <w:shd w:val="clear" w:color="auto" w:fill="FFFFFF"/>
            <w:vAlign w:val="center"/>
          </w:tcPr>
          <w:p w14:paraId="54941CBD">
            <w:pPr>
              <w:pStyle w:val="37"/>
              <w:spacing w:before="36"/>
              <w:jc w:val="center"/>
              <w:rPr>
                <w:vanish/>
                <w:sz w:val="18"/>
                <w:szCs w:val="18"/>
              </w:rPr>
            </w:pPr>
            <w:r>
              <w:rPr>
                <w:sz w:val="18"/>
                <w:szCs w:val="18"/>
              </w:rPr>
              <w:t>O</w:t>
            </w:r>
          </w:p>
        </w:tc>
        <w:tc>
          <w:tcPr>
            <w:tcW w:w="434" w:type="dxa"/>
            <w:tcBorders>
              <w:top w:val="single" w:color="auto" w:sz="4" w:space="0"/>
              <w:left w:val="single" w:color="auto" w:sz="4" w:space="0"/>
            </w:tcBorders>
            <w:shd w:val="clear" w:color="auto" w:fill="FFFFFF"/>
            <w:vAlign w:val="center"/>
          </w:tcPr>
          <w:p w14:paraId="511F7412">
            <w:pPr>
              <w:pStyle w:val="37"/>
              <w:spacing w:before="36"/>
              <w:jc w:val="center"/>
              <w:rPr>
                <w:vanish/>
                <w:sz w:val="18"/>
                <w:szCs w:val="18"/>
              </w:rPr>
            </w:pPr>
          </w:p>
        </w:tc>
        <w:tc>
          <w:tcPr>
            <w:tcW w:w="434" w:type="dxa"/>
            <w:tcBorders>
              <w:top w:val="single" w:color="auto" w:sz="4" w:space="0"/>
              <w:left w:val="single" w:color="auto" w:sz="4" w:space="0"/>
            </w:tcBorders>
            <w:shd w:val="clear" w:color="auto" w:fill="FFFFFF"/>
            <w:vAlign w:val="center"/>
          </w:tcPr>
          <w:p w14:paraId="3EB4C895">
            <w:pPr>
              <w:pStyle w:val="37"/>
              <w:spacing w:before="36"/>
              <w:jc w:val="center"/>
              <w:rPr>
                <w:vanish/>
                <w:sz w:val="18"/>
                <w:szCs w:val="18"/>
              </w:rPr>
            </w:pPr>
            <w:r>
              <w:rPr>
                <w:sz w:val="18"/>
                <w:szCs w:val="18"/>
              </w:rPr>
              <w:t>O</w:t>
            </w:r>
          </w:p>
        </w:tc>
        <w:tc>
          <w:tcPr>
            <w:tcW w:w="433" w:type="dxa"/>
            <w:tcBorders>
              <w:top w:val="single" w:color="auto" w:sz="4" w:space="0"/>
              <w:left w:val="single" w:color="auto" w:sz="4" w:space="0"/>
            </w:tcBorders>
            <w:shd w:val="clear" w:color="auto" w:fill="FFFFFF"/>
            <w:vAlign w:val="center"/>
          </w:tcPr>
          <w:p w14:paraId="387FC123">
            <w:pPr>
              <w:pStyle w:val="37"/>
              <w:spacing w:before="36"/>
              <w:jc w:val="center"/>
              <w:rPr>
                <w:vanish/>
                <w:sz w:val="18"/>
                <w:szCs w:val="18"/>
              </w:rPr>
            </w:pPr>
          </w:p>
        </w:tc>
        <w:tc>
          <w:tcPr>
            <w:tcW w:w="434" w:type="dxa"/>
            <w:tcBorders>
              <w:top w:val="single" w:color="auto" w:sz="4" w:space="0"/>
              <w:left w:val="single" w:color="auto" w:sz="4" w:space="0"/>
            </w:tcBorders>
            <w:shd w:val="clear" w:color="auto" w:fill="FFFFFF"/>
            <w:vAlign w:val="center"/>
          </w:tcPr>
          <w:p w14:paraId="182140B9">
            <w:pPr>
              <w:pStyle w:val="37"/>
              <w:spacing w:before="36"/>
              <w:jc w:val="center"/>
              <w:rPr>
                <w:vanish/>
                <w:sz w:val="18"/>
                <w:szCs w:val="18"/>
              </w:rPr>
            </w:pPr>
          </w:p>
        </w:tc>
        <w:tc>
          <w:tcPr>
            <w:tcW w:w="434" w:type="dxa"/>
            <w:tcBorders>
              <w:top w:val="single" w:color="auto" w:sz="4" w:space="0"/>
              <w:left w:val="single" w:color="auto" w:sz="4" w:space="0"/>
            </w:tcBorders>
            <w:shd w:val="clear" w:color="auto" w:fill="FFFFFF"/>
            <w:vAlign w:val="center"/>
          </w:tcPr>
          <w:p w14:paraId="4EBCA6FD">
            <w:pPr>
              <w:pStyle w:val="37"/>
              <w:spacing w:before="36"/>
              <w:jc w:val="center"/>
              <w:rPr>
                <w:vanish/>
                <w:sz w:val="18"/>
                <w:szCs w:val="18"/>
              </w:rPr>
            </w:pPr>
          </w:p>
        </w:tc>
        <w:tc>
          <w:tcPr>
            <w:tcW w:w="434" w:type="dxa"/>
            <w:tcBorders>
              <w:top w:val="single" w:color="auto" w:sz="4" w:space="0"/>
              <w:left w:val="single" w:color="auto" w:sz="4" w:space="0"/>
            </w:tcBorders>
            <w:shd w:val="clear" w:color="auto" w:fill="FFFFFF"/>
            <w:vAlign w:val="center"/>
          </w:tcPr>
          <w:p w14:paraId="365F1113">
            <w:pPr>
              <w:pStyle w:val="37"/>
              <w:spacing w:before="36"/>
              <w:jc w:val="center"/>
              <w:rPr>
                <w:vanish/>
                <w:sz w:val="18"/>
                <w:szCs w:val="18"/>
              </w:rPr>
            </w:pPr>
          </w:p>
        </w:tc>
        <w:tc>
          <w:tcPr>
            <w:tcW w:w="434" w:type="dxa"/>
            <w:tcBorders>
              <w:top w:val="single" w:color="auto" w:sz="4" w:space="0"/>
              <w:left w:val="single" w:color="auto" w:sz="4" w:space="0"/>
              <w:right w:val="single" w:color="auto" w:sz="4" w:space="0"/>
            </w:tcBorders>
            <w:shd w:val="clear" w:color="auto" w:fill="FFFFFF"/>
            <w:vAlign w:val="center"/>
          </w:tcPr>
          <w:p w14:paraId="781EE595">
            <w:pPr>
              <w:pStyle w:val="37"/>
              <w:spacing w:before="36"/>
              <w:jc w:val="center"/>
              <w:rPr>
                <w:sz w:val="18"/>
                <w:szCs w:val="18"/>
              </w:rPr>
            </w:pPr>
          </w:p>
        </w:tc>
      </w:tr>
      <w:tr w14:paraId="0A3F9C0D">
        <w:tblPrEx>
          <w:tblCellMar>
            <w:top w:w="0" w:type="dxa"/>
            <w:left w:w="113" w:type="dxa"/>
            <w:bottom w:w="0" w:type="dxa"/>
            <w:right w:w="113" w:type="dxa"/>
          </w:tblCellMar>
        </w:tblPrEx>
        <w:tc>
          <w:tcPr>
            <w:tcW w:w="680" w:type="dxa"/>
            <w:vMerge w:val="continue"/>
            <w:tcBorders>
              <w:left w:val="single" w:color="auto" w:sz="4" w:space="0"/>
            </w:tcBorders>
            <w:shd w:val="clear" w:color="auto" w:fill="FFFFFF"/>
            <w:vAlign w:val="center"/>
          </w:tcPr>
          <w:p w14:paraId="2F77C287">
            <w:pPr>
              <w:pStyle w:val="37"/>
              <w:spacing w:before="36"/>
              <w:jc w:val="center"/>
              <w:rPr>
                <w:sz w:val="18"/>
                <w:szCs w:val="18"/>
              </w:rPr>
            </w:pPr>
          </w:p>
        </w:tc>
        <w:tc>
          <w:tcPr>
            <w:tcW w:w="993" w:type="dxa"/>
            <w:vMerge w:val="continue"/>
            <w:tcBorders>
              <w:left w:val="single" w:color="auto" w:sz="4" w:space="0"/>
            </w:tcBorders>
            <w:shd w:val="clear" w:color="auto" w:fill="FFFFFF"/>
            <w:vAlign w:val="center"/>
          </w:tcPr>
          <w:p w14:paraId="206E7A21">
            <w:pPr>
              <w:pStyle w:val="37"/>
              <w:spacing w:before="36"/>
              <w:jc w:val="center"/>
              <w:rPr>
                <w:sz w:val="18"/>
                <w:szCs w:val="18"/>
              </w:rPr>
            </w:pPr>
          </w:p>
        </w:tc>
        <w:tc>
          <w:tcPr>
            <w:tcW w:w="1984" w:type="dxa"/>
            <w:tcBorders>
              <w:top w:val="single" w:color="auto" w:sz="4" w:space="0"/>
              <w:left w:val="single" w:color="auto" w:sz="4" w:space="0"/>
            </w:tcBorders>
            <w:shd w:val="clear" w:color="auto" w:fill="FFFFFF"/>
            <w:vAlign w:val="center"/>
          </w:tcPr>
          <w:p w14:paraId="49500999">
            <w:pPr>
              <w:pStyle w:val="37"/>
              <w:spacing w:before="36"/>
              <w:jc w:val="center"/>
              <w:rPr>
                <w:vanish/>
                <w:sz w:val="18"/>
                <w:szCs w:val="18"/>
              </w:rPr>
            </w:pPr>
            <w:r>
              <w:rPr>
                <w:sz w:val="18"/>
                <w:szCs w:val="18"/>
              </w:rPr>
              <w:t>C</w:t>
            </w:r>
          </w:p>
        </w:tc>
        <w:tc>
          <w:tcPr>
            <w:tcW w:w="433" w:type="dxa"/>
            <w:tcBorders>
              <w:top w:val="single" w:color="auto" w:sz="4" w:space="0"/>
              <w:left w:val="single" w:color="auto" w:sz="4" w:space="0"/>
            </w:tcBorders>
            <w:shd w:val="clear" w:color="auto" w:fill="FFFFFF"/>
            <w:vAlign w:val="center"/>
          </w:tcPr>
          <w:p w14:paraId="1E8D029C">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22A9CDDA">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674AD9FE">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3D99CF26">
            <w:pPr>
              <w:pStyle w:val="37"/>
              <w:spacing w:before="36"/>
              <w:jc w:val="center"/>
              <w:rPr>
                <w:vanish/>
                <w:sz w:val="18"/>
                <w:szCs w:val="18"/>
              </w:rPr>
            </w:pPr>
            <w:r>
              <w:rPr>
                <w:sz w:val="18"/>
                <w:szCs w:val="18"/>
              </w:rPr>
              <w:t>O</w:t>
            </w:r>
          </w:p>
        </w:tc>
        <w:tc>
          <w:tcPr>
            <w:tcW w:w="433" w:type="dxa"/>
            <w:tcBorders>
              <w:top w:val="single" w:color="auto" w:sz="4" w:space="0"/>
              <w:left w:val="single" w:color="auto" w:sz="4" w:space="0"/>
            </w:tcBorders>
            <w:shd w:val="clear" w:color="auto" w:fill="FFFFFF"/>
            <w:vAlign w:val="center"/>
          </w:tcPr>
          <w:p w14:paraId="50ACB188">
            <w:pPr>
              <w:pStyle w:val="37"/>
              <w:spacing w:before="36"/>
              <w:jc w:val="center"/>
              <w:rPr>
                <w:vanish/>
                <w:sz w:val="18"/>
                <w:szCs w:val="18"/>
              </w:rPr>
            </w:pPr>
            <w:r>
              <w:rPr>
                <w:sz w:val="18"/>
                <w:szCs w:val="18"/>
              </w:rPr>
              <w:t>O</w:t>
            </w:r>
          </w:p>
        </w:tc>
        <w:tc>
          <w:tcPr>
            <w:tcW w:w="434" w:type="dxa"/>
            <w:tcBorders>
              <w:top w:val="single" w:color="auto" w:sz="4" w:space="0"/>
              <w:left w:val="single" w:color="auto" w:sz="4" w:space="0"/>
            </w:tcBorders>
            <w:shd w:val="clear" w:color="auto" w:fill="FFFFFF"/>
            <w:vAlign w:val="center"/>
          </w:tcPr>
          <w:p w14:paraId="0C238840">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4A2EAA8F">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7B520956">
            <w:pPr>
              <w:pStyle w:val="37"/>
              <w:spacing w:before="36"/>
              <w:jc w:val="center"/>
              <w:rPr>
                <w:vanish/>
                <w:sz w:val="18"/>
                <w:szCs w:val="18"/>
              </w:rPr>
            </w:pPr>
            <w:r>
              <w:rPr>
                <w:sz w:val="18"/>
                <w:szCs w:val="18"/>
              </w:rPr>
              <w:t>O</w:t>
            </w:r>
          </w:p>
        </w:tc>
        <w:tc>
          <w:tcPr>
            <w:tcW w:w="433" w:type="dxa"/>
            <w:tcBorders>
              <w:top w:val="single" w:color="auto" w:sz="4" w:space="0"/>
              <w:left w:val="single" w:color="auto" w:sz="4" w:space="0"/>
            </w:tcBorders>
            <w:shd w:val="clear" w:color="auto" w:fill="FFFFFF"/>
            <w:vAlign w:val="center"/>
          </w:tcPr>
          <w:p w14:paraId="153D1CD5">
            <w:pPr>
              <w:pStyle w:val="37"/>
              <w:spacing w:before="36"/>
              <w:jc w:val="center"/>
              <w:rPr>
                <w:vanish/>
                <w:sz w:val="18"/>
                <w:szCs w:val="18"/>
              </w:rPr>
            </w:pPr>
          </w:p>
        </w:tc>
        <w:tc>
          <w:tcPr>
            <w:tcW w:w="434" w:type="dxa"/>
            <w:tcBorders>
              <w:top w:val="single" w:color="auto" w:sz="4" w:space="0"/>
              <w:left w:val="single" w:color="auto" w:sz="4" w:space="0"/>
            </w:tcBorders>
            <w:shd w:val="clear" w:color="auto" w:fill="FFFFFF"/>
            <w:vAlign w:val="center"/>
          </w:tcPr>
          <w:p w14:paraId="6487E321">
            <w:pPr>
              <w:pStyle w:val="37"/>
              <w:spacing w:before="36"/>
              <w:jc w:val="center"/>
              <w:rPr>
                <w:vanish/>
                <w:sz w:val="18"/>
                <w:szCs w:val="18"/>
              </w:rPr>
            </w:pPr>
            <w:r>
              <w:rPr>
                <w:sz w:val="18"/>
                <w:szCs w:val="18"/>
              </w:rPr>
              <w:t>O</w:t>
            </w:r>
          </w:p>
        </w:tc>
        <w:tc>
          <w:tcPr>
            <w:tcW w:w="434" w:type="dxa"/>
            <w:tcBorders>
              <w:top w:val="single" w:color="auto" w:sz="4" w:space="0"/>
              <w:left w:val="single" w:color="auto" w:sz="4" w:space="0"/>
            </w:tcBorders>
            <w:shd w:val="clear" w:color="auto" w:fill="FFFFFF"/>
            <w:vAlign w:val="center"/>
          </w:tcPr>
          <w:p w14:paraId="4C215B54">
            <w:pPr>
              <w:pStyle w:val="37"/>
              <w:spacing w:before="36"/>
              <w:jc w:val="center"/>
              <w:rPr>
                <w:vanish/>
                <w:sz w:val="18"/>
                <w:szCs w:val="18"/>
              </w:rPr>
            </w:pPr>
          </w:p>
        </w:tc>
        <w:tc>
          <w:tcPr>
            <w:tcW w:w="434" w:type="dxa"/>
            <w:tcBorders>
              <w:top w:val="single" w:color="auto" w:sz="4" w:space="0"/>
              <w:left w:val="single" w:color="auto" w:sz="4" w:space="0"/>
            </w:tcBorders>
            <w:shd w:val="clear" w:color="auto" w:fill="FFFFFF"/>
            <w:vAlign w:val="center"/>
          </w:tcPr>
          <w:p w14:paraId="36B98666">
            <w:pPr>
              <w:pStyle w:val="37"/>
              <w:spacing w:before="36"/>
              <w:jc w:val="center"/>
              <w:rPr>
                <w:vanish/>
                <w:sz w:val="18"/>
                <w:szCs w:val="18"/>
              </w:rPr>
            </w:pPr>
          </w:p>
        </w:tc>
        <w:tc>
          <w:tcPr>
            <w:tcW w:w="434" w:type="dxa"/>
            <w:tcBorders>
              <w:top w:val="single" w:color="auto" w:sz="4" w:space="0"/>
              <w:left w:val="single" w:color="auto" w:sz="4" w:space="0"/>
              <w:right w:val="single" w:color="auto" w:sz="4" w:space="0"/>
            </w:tcBorders>
            <w:shd w:val="clear" w:color="auto" w:fill="FFFFFF"/>
            <w:vAlign w:val="center"/>
          </w:tcPr>
          <w:p w14:paraId="0665CB94">
            <w:pPr>
              <w:pStyle w:val="37"/>
              <w:spacing w:before="36"/>
              <w:jc w:val="center"/>
              <w:rPr>
                <w:sz w:val="18"/>
                <w:szCs w:val="18"/>
              </w:rPr>
            </w:pPr>
          </w:p>
        </w:tc>
      </w:tr>
      <w:tr w14:paraId="0D9BFBCE">
        <w:tblPrEx>
          <w:tblCellMar>
            <w:top w:w="0" w:type="dxa"/>
            <w:left w:w="113" w:type="dxa"/>
            <w:bottom w:w="0" w:type="dxa"/>
            <w:right w:w="113" w:type="dxa"/>
          </w:tblCellMar>
        </w:tblPrEx>
        <w:tc>
          <w:tcPr>
            <w:tcW w:w="680" w:type="dxa"/>
            <w:vMerge w:val="continue"/>
            <w:tcBorders>
              <w:left w:val="single" w:color="auto" w:sz="4" w:space="0"/>
            </w:tcBorders>
            <w:shd w:val="clear" w:color="auto" w:fill="FFFFFF"/>
            <w:vAlign w:val="center"/>
          </w:tcPr>
          <w:p w14:paraId="45524370">
            <w:pPr>
              <w:pStyle w:val="37"/>
              <w:spacing w:before="36"/>
              <w:jc w:val="center"/>
              <w:rPr>
                <w:sz w:val="18"/>
                <w:szCs w:val="18"/>
              </w:rPr>
            </w:pPr>
          </w:p>
        </w:tc>
        <w:tc>
          <w:tcPr>
            <w:tcW w:w="993" w:type="dxa"/>
            <w:vMerge w:val="restart"/>
            <w:tcBorders>
              <w:top w:val="single" w:color="auto" w:sz="4" w:space="0"/>
              <w:left w:val="single" w:color="auto" w:sz="4" w:space="0"/>
            </w:tcBorders>
            <w:shd w:val="clear" w:color="auto" w:fill="FFFFFF"/>
            <w:vAlign w:val="center"/>
          </w:tcPr>
          <w:p w14:paraId="7FF1F9AC">
            <w:pPr>
              <w:pStyle w:val="37"/>
              <w:spacing w:before="36"/>
              <w:jc w:val="center"/>
              <w:rPr>
                <w:sz w:val="18"/>
                <w:szCs w:val="18"/>
              </w:rPr>
            </w:pPr>
            <w:r>
              <w:rPr>
                <w:rFonts w:cs="宋体"/>
                <w:sz w:val="18"/>
              </w:rPr>
              <w:t>破裂或受损表面</w:t>
            </w:r>
          </w:p>
        </w:tc>
        <w:tc>
          <w:tcPr>
            <w:tcW w:w="1984" w:type="dxa"/>
            <w:tcBorders>
              <w:top w:val="single" w:color="auto" w:sz="4" w:space="0"/>
              <w:left w:val="single" w:color="auto" w:sz="4" w:space="0"/>
            </w:tcBorders>
            <w:shd w:val="clear" w:color="auto" w:fill="FFFFFF"/>
            <w:vAlign w:val="center"/>
          </w:tcPr>
          <w:p w14:paraId="01044176">
            <w:pPr>
              <w:pStyle w:val="37"/>
              <w:spacing w:before="36"/>
              <w:jc w:val="center"/>
              <w:rPr>
                <w:vanish/>
                <w:sz w:val="18"/>
                <w:szCs w:val="18"/>
              </w:rPr>
            </w:pPr>
            <w:r>
              <w:rPr>
                <w:sz w:val="18"/>
                <w:szCs w:val="18"/>
              </w:rPr>
              <w:t>A</w:t>
            </w:r>
          </w:p>
        </w:tc>
        <w:tc>
          <w:tcPr>
            <w:tcW w:w="433" w:type="dxa"/>
            <w:tcBorders>
              <w:top w:val="single" w:color="auto" w:sz="4" w:space="0"/>
              <w:left w:val="single" w:color="auto" w:sz="4" w:space="0"/>
            </w:tcBorders>
            <w:shd w:val="clear" w:color="auto" w:fill="FFFFFF"/>
            <w:vAlign w:val="center"/>
          </w:tcPr>
          <w:p w14:paraId="1B4FF6A7">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65B633A4">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19E81128">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76E6DCFB">
            <w:pPr>
              <w:pStyle w:val="37"/>
              <w:spacing w:before="36"/>
              <w:jc w:val="center"/>
              <w:rPr>
                <w:vanish/>
                <w:sz w:val="18"/>
                <w:szCs w:val="18"/>
              </w:rPr>
            </w:pPr>
            <w:r>
              <w:rPr>
                <w:sz w:val="18"/>
                <w:szCs w:val="18"/>
              </w:rPr>
              <w:t>O</w:t>
            </w:r>
          </w:p>
        </w:tc>
        <w:tc>
          <w:tcPr>
            <w:tcW w:w="433" w:type="dxa"/>
            <w:tcBorders>
              <w:top w:val="single" w:color="auto" w:sz="4" w:space="0"/>
              <w:left w:val="single" w:color="auto" w:sz="4" w:space="0"/>
            </w:tcBorders>
            <w:shd w:val="clear" w:color="auto" w:fill="FFFFFF"/>
            <w:vAlign w:val="center"/>
          </w:tcPr>
          <w:p w14:paraId="11B884E5">
            <w:pPr>
              <w:pStyle w:val="37"/>
              <w:spacing w:before="36"/>
              <w:jc w:val="center"/>
              <w:rPr>
                <w:vanish/>
                <w:sz w:val="18"/>
                <w:szCs w:val="18"/>
              </w:rPr>
            </w:pPr>
            <w:r>
              <w:rPr>
                <w:sz w:val="18"/>
                <w:szCs w:val="18"/>
              </w:rPr>
              <w:t>O</w:t>
            </w:r>
          </w:p>
        </w:tc>
        <w:tc>
          <w:tcPr>
            <w:tcW w:w="434" w:type="dxa"/>
            <w:tcBorders>
              <w:top w:val="single" w:color="auto" w:sz="4" w:space="0"/>
              <w:left w:val="single" w:color="auto" w:sz="4" w:space="0"/>
            </w:tcBorders>
            <w:shd w:val="clear" w:color="auto" w:fill="FFFFFF"/>
            <w:vAlign w:val="center"/>
          </w:tcPr>
          <w:p w14:paraId="6ECEF478">
            <w:pPr>
              <w:pStyle w:val="37"/>
              <w:spacing w:before="36"/>
              <w:jc w:val="center"/>
              <w:rPr>
                <w:vanish/>
                <w:sz w:val="18"/>
                <w:szCs w:val="18"/>
              </w:rPr>
            </w:pPr>
          </w:p>
        </w:tc>
        <w:tc>
          <w:tcPr>
            <w:tcW w:w="434" w:type="dxa"/>
            <w:tcBorders>
              <w:top w:val="single" w:color="auto" w:sz="4" w:space="0"/>
              <w:left w:val="single" w:color="auto" w:sz="4" w:space="0"/>
            </w:tcBorders>
            <w:shd w:val="clear" w:color="auto" w:fill="FFFFFF"/>
            <w:vAlign w:val="center"/>
          </w:tcPr>
          <w:p w14:paraId="1485910A">
            <w:pPr>
              <w:pStyle w:val="37"/>
              <w:spacing w:before="36"/>
              <w:jc w:val="center"/>
              <w:rPr>
                <w:vanish/>
                <w:sz w:val="18"/>
                <w:szCs w:val="18"/>
              </w:rPr>
            </w:pPr>
          </w:p>
        </w:tc>
        <w:tc>
          <w:tcPr>
            <w:tcW w:w="434" w:type="dxa"/>
            <w:tcBorders>
              <w:top w:val="single" w:color="auto" w:sz="4" w:space="0"/>
              <w:left w:val="single" w:color="auto" w:sz="4" w:space="0"/>
            </w:tcBorders>
            <w:shd w:val="clear" w:color="auto" w:fill="FFFFFF"/>
            <w:vAlign w:val="center"/>
          </w:tcPr>
          <w:p w14:paraId="6319E068">
            <w:pPr>
              <w:pStyle w:val="37"/>
              <w:spacing w:before="36"/>
              <w:jc w:val="center"/>
              <w:rPr>
                <w:vanish/>
                <w:sz w:val="18"/>
                <w:szCs w:val="18"/>
              </w:rPr>
            </w:pPr>
          </w:p>
        </w:tc>
        <w:tc>
          <w:tcPr>
            <w:tcW w:w="433" w:type="dxa"/>
            <w:tcBorders>
              <w:top w:val="single" w:color="auto" w:sz="4" w:space="0"/>
              <w:left w:val="single" w:color="auto" w:sz="4" w:space="0"/>
            </w:tcBorders>
            <w:shd w:val="clear" w:color="auto" w:fill="FFFFFF"/>
            <w:vAlign w:val="center"/>
          </w:tcPr>
          <w:p w14:paraId="72C2E353">
            <w:pPr>
              <w:pStyle w:val="37"/>
              <w:spacing w:before="36"/>
              <w:jc w:val="center"/>
              <w:rPr>
                <w:vanish/>
                <w:sz w:val="18"/>
                <w:szCs w:val="18"/>
              </w:rPr>
            </w:pPr>
          </w:p>
        </w:tc>
        <w:tc>
          <w:tcPr>
            <w:tcW w:w="434" w:type="dxa"/>
            <w:tcBorders>
              <w:top w:val="single" w:color="auto" w:sz="4" w:space="0"/>
              <w:left w:val="single" w:color="auto" w:sz="4" w:space="0"/>
            </w:tcBorders>
            <w:shd w:val="clear" w:color="auto" w:fill="FFFFFF"/>
            <w:vAlign w:val="center"/>
          </w:tcPr>
          <w:p w14:paraId="3997D66C">
            <w:pPr>
              <w:pStyle w:val="37"/>
              <w:spacing w:before="36"/>
              <w:jc w:val="center"/>
              <w:rPr>
                <w:vanish/>
                <w:sz w:val="18"/>
                <w:szCs w:val="18"/>
              </w:rPr>
            </w:pPr>
          </w:p>
        </w:tc>
        <w:tc>
          <w:tcPr>
            <w:tcW w:w="434" w:type="dxa"/>
            <w:tcBorders>
              <w:top w:val="single" w:color="auto" w:sz="4" w:space="0"/>
              <w:left w:val="single" w:color="auto" w:sz="4" w:space="0"/>
            </w:tcBorders>
            <w:shd w:val="clear" w:color="auto" w:fill="FFFFFF"/>
            <w:vAlign w:val="center"/>
          </w:tcPr>
          <w:p w14:paraId="1109BD09">
            <w:pPr>
              <w:pStyle w:val="37"/>
              <w:spacing w:before="36"/>
              <w:jc w:val="center"/>
              <w:rPr>
                <w:vanish/>
                <w:sz w:val="18"/>
                <w:szCs w:val="18"/>
              </w:rPr>
            </w:pPr>
          </w:p>
        </w:tc>
        <w:tc>
          <w:tcPr>
            <w:tcW w:w="434" w:type="dxa"/>
            <w:tcBorders>
              <w:top w:val="single" w:color="auto" w:sz="4" w:space="0"/>
              <w:left w:val="single" w:color="auto" w:sz="4" w:space="0"/>
            </w:tcBorders>
            <w:shd w:val="clear" w:color="auto" w:fill="FFFFFF"/>
            <w:vAlign w:val="center"/>
          </w:tcPr>
          <w:p w14:paraId="3DA5C6E8">
            <w:pPr>
              <w:pStyle w:val="37"/>
              <w:spacing w:before="36"/>
              <w:jc w:val="center"/>
              <w:rPr>
                <w:vanish/>
                <w:sz w:val="18"/>
                <w:szCs w:val="18"/>
              </w:rPr>
            </w:pPr>
          </w:p>
        </w:tc>
        <w:tc>
          <w:tcPr>
            <w:tcW w:w="434" w:type="dxa"/>
            <w:tcBorders>
              <w:top w:val="single" w:color="auto" w:sz="4" w:space="0"/>
              <w:left w:val="single" w:color="auto" w:sz="4" w:space="0"/>
              <w:right w:val="single" w:color="auto" w:sz="4" w:space="0"/>
            </w:tcBorders>
            <w:shd w:val="clear" w:color="auto" w:fill="FFFFFF"/>
            <w:vAlign w:val="center"/>
          </w:tcPr>
          <w:p w14:paraId="1BCC7472">
            <w:pPr>
              <w:pStyle w:val="37"/>
              <w:spacing w:before="36"/>
              <w:jc w:val="center"/>
              <w:rPr>
                <w:sz w:val="18"/>
                <w:szCs w:val="18"/>
              </w:rPr>
            </w:pPr>
          </w:p>
        </w:tc>
      </w:tr>
      <w:tr w14:paraId="4CCC875F">
        <w:tblPrEx>
          <w:tblCellMar>
            <w:top w:w="0" w:type="dxa"/>
            <w:left w:w="113" w:type="dxa"/>
            <w:bottom w:w="0" w:type="dxa"/>
            <w:right w:w="113" w:type="dxa"/>
          </w:tblCellMar>
        </w:tblPrEx>
        <w:tc>
          <w:tcPr>
            <w:tcW w:w="680" w:type="dxa"/>
            <w:vMerge w:val="continue"/>
            <w:tcBorders>
              <w:left w:val="single" w:color="auto" w:sz="4" w:space="0"/>
            </w:tcBorders>
            <w:shd w:val="clear" w:color="auto" w:fill="FFFFFF"/>
            <w:vAlign w:val="center"/>
          </w:tcPr>
          <w:p w14:paraId="3417BEC4">
            <w:pPr>
              <w:pStyle w:val="37"/>
              <w:spacing w:before="36"/>
              <w:jc w:val="center"/>
              <w:rPr>
                <w:sz w:val="18"/>
                <w:szCs w:val="18"/>
              </w:rPr>
            </w:pPr>
          </w:p>
        </w:tc>
        <w:tc>
          <w:tcPr>
            <w:tcW w:w="993" w:type="dxa"/>
            <w:vMerge w:val="continue"/>
            <w:tcBorders>
              <w:left w:val="single" w:color="auto" w:sz="4" w:space="0"/>
            </w:tcBorders>
            <w:shd w:val="clear" w:color="auto" w:fill="FFFFFF"/>
            <w:vAlign w:val="center"/>
          </w:tcPr>
          <w:p w14:paraId="0DFE3023">
            <w:pPr>
              <w:pStyle w:val="37"/>
              <w:spacing w:before="36"/>
              <w:jc w:val="center"/>
              <w:rPr>
                <w:sz w:val="18"/>
                <w:szCs w:val="18"/>
              </w:rPr>
            </w:pPr>
          </w:p>
        </w:tc>
        <w:tc>
          <w:tcPr>
            <w:tcW w:w="1984" w:type="dxa"/>
            <w:tcBorders>
              <w:top w:val="single" w:color="auto" w:sz="4" w:space="0"/>
              <w:left w:val="single" w:color="auto" w:sz="4" w:space="0"/>
            </w:tcBorders>
            <w:shd w:val="clear" w:color="auto" w:fill="FFFFFF"/>
            <w:vAlign w:val="center"/>
          </w:tcPr>
          <w:p w14:paraId="6B895467">
            <w:pPr>
              <w:pStyle w:val="37"/>
              <w:spacing w:before="36"/>
              <w:jc w:val="center"/>
              <w:rPr>
                <w:vanish/>
                <w:sz w:val="18"/>
                <w:szCs w:val="18"/>
              </w:rPr>
            </w:pPr>
            <w:r>
              <w:rPr>
                <w:sz w:val="18"/>
                <w:szCs w:val="18"/>
              </w:rPr>
              <w:t>B</w:t>
            </w:r>
          </w:p>
        </w:tc>
        <w:tc>
          <w:tcPr>
            <w:tcW w:w="433" w:type="dxa"/>
            <w:tcBorders>
              <w:top w:val="single" w:color="auto" w:sz="4" w:space="0"/>
              <w:left w:val="single" w:color="auto" w:sz="4" w:space="0"/>
            </w:tcBorders>
            <w:shd w:val="clear" w:color="auto" w:fill="FFFFFF"/>
            <w:vAlign w:val="center"/>
          </w:tcPr>
          <w:p w14:paraId="0E77DB46">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2723B69E">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202188FE">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41913797">
            <w:pPr>
              <w:pStyle w:val="37"/>
              <w:spacing w:before="36"/>
              <w:jc w:val="center"/>
              <w:rPr>
                <w:vanish/>
                <w:sz w:val="18"/>
                <w:szCs w:val="18"/>
              </w:rPr>
            </w:pPr>
            <w:r>
              <w:rPr>
                <w:sz w:val="18"/>
                <w:szCs w:val="18"/>
              </w:rPr>
              <w:t>O</w:t>
            </w:r>
          </w:p>
        </w:tc>
        <w:tc>
          <w:tcPr>
            <w:tcW w:w="433" w:type="dxa"/>
            <w:tcBorders>
              <w:top w:val="single" w:color="auto" w:sz="4" w:space="0"/>
              <w:left w:val="single" w:color="auto" w:sz="4" w:space="0"/>
            </w:tcBorders>
            <w:shd w:val="clear" w:color="auto" w:fill="FFFFFF"/>
            <w:vAlign w:val="center"/>
          </w:tcPr>
          <w:p w14:paraId="7B0E61FC">
            <w:pPr>
              <w:pStyle w:val="37"/>
              <w:spacing w:before="36"/>
              <w:jc w:val="center"/>
              <w:rPr>
                <w:vanish/>
                <w:sz w:val="18"/>
                <w:szCs w:val="18"/>
              </w:rPr>
            </w:pPr>
            <w:r>
              <w:rPr>
                <w:sz w:val="18"/>
                <w:szCs w:val="18"/>
              </w:rPr>
              <w:t>O</w:t>
            </w:r>
          </w:p>
        </w:tc>
        <w:tc>
          <w:tcPr>
            <w:tcW w:w="434" w:type="dxa"/>
            <w:tcBorders>
              <w:top w:val="single" w:color="auto" w:sz="4" w:space="0"/>
              <w:left w:val="single" w:color="auto" w:sz="4" w:space="0"/>
            </w:tcBorders>
            <w:shd w:val="clear" w:color="auto" w:fill="FFFFFF"/>
            <w:vAlign w:val="center"/>
          </w:tcPr>
          <w:p w14:paraId="71D20159">
            <w:pPr>
              <w:pStyle w:val="37"/>
              <w:spacing w:before="36"/>
              <w:jc w:val="center"/>
              <w:rPr>
                <w:vanish/>
                <w:sz w:val="18"/>
                <w:szCs w:val="18"/>
              </w:rPr>
            </w:pPr>
            <w:r>
              <w:rPr>
                <w:sz w:val="18"/>
                <w:szCs w:val="18"/>
              </w:rPr>
              <w:t>O</w:t>
            </w:r>
          </w:p>
        </w:tc>
        <w:tc>
          <w:tcPr>
            <w:tcW w:w="434" w:type="dxa"/>
            <w:tcBorders>
              <w:top w:val="single" w:color="auto" w:sz="4" w:space="0"/>
              <w:left w:val="single" w:color="auto" w:sz="4" w:space="0"/>
            </w:tcBorders>
            <w:shd w:val="clear" w:color="auto" w:fill="FFFFFF"/>
            <w:vAlign w:val="center"/>
          </w:tcPr>
          <w:p w14:paraId="208A9677">
            <w:pPr>
              <w:pStyle w:val="37"/>
              <w:spacing w:before="36"/>
              <w:jc w:val="center"/>
              <w:rPr>
                <w:vanish/>
                <w:sz w:val="18"/>
                <w:szCs w:val="18"/>
              </w:rPr>
            </w:pPr>
          </w:p>
        </w:tc>
        <w:tc>
          <w:tcPr>
            <w:tcW w:w="434" w:type="dxa"/>
            <w:tcBorders>
              <w:top w:val="single" w:color="auto" w:sz="4" w:space="0"/>
              <w:left w:val="single" w:color="auto" w:sz="4" w:space="0"/>
            </w:tcBorders>
            <w:shd w:val="clear" w:color="auto" w:fill="FFFFFF"/>
            <w:vAlign w:val="center"/>
          </w:tcPr>
          <w:p w14:paraId="7FBB12B1">
            <w:pPr>
              <w:pStyle w:val="37"/>
              <w:spacing w:before="36"/>
              <w:jc w:val="center"/>
              <w:rPr>
                <w:vanish/>
                <w:sz w:val="18"/>
                <w:szCs w:val="18"/>
              </w:rPr>
            </w:pPr>
            <w:r>
              <w:rPr>
                <w:sz w:val="18"/>
                <w:szCs w:val="18"/>
              </w:rPr>
              <w:t>O</w:t>
            </w:r>
          </w:p>
        </w:tc>
        <w:tc>
          <w:tcPr>
            <w:tcW w:w="433" w:type="dxa"/>
            <w:tcBorders>
              <w:top w:val="single" w:color="auto" w:sz="4" w:space="0"/>
              <w:left w:val="single" w:color="auto" w:sz="4" w:space="0"/>
            </w:tcBorders>
            <w:shd w:val="clear" w:color="auto" w:fill="FFFFFF"/>
            <w:vAlign w:val="center"/>
          </w:tcPr>
          <w:p w14:paraId="46C90ABC">
            <w:pPr>
              <w:pStyle w:val="37"/>
              <w:spacing w:before="36"/>
              <w:jc w:val="center"/>
              <w:rPr>
                <w:vanish/>
                <w:sz w:val="18"/>
                <w:szCs w:val="18"/>
              </w:rPr>
            </w:pPr>
          </w:p>
        </w:tc>
        <w:tc>
          <w:tcPr>
            <w:tcW w:w="434" w:type="dxa"/>
            <w:tcBorders>
              <w:top w:val="single" w:color="auto" w:sz="4" w:space="0"/>
              <w:left w:val="single" w:color="auto" w:sz="4" w:space="0"/>
            </w:tcBorders>
            <w:shd w:val="clear" w:color="auto" w:fill="FFFFFF"/>
            <w:vAlign w:val="center"/>
          </w:tcPr>
          <w:p w14:paraId="29ADA0A5">
            <w:pPr>
              <w:pStyle w:val="37"/>
              <w:spacing w:before="36"/>
              <w:jc w:val="center"/>
              <w:rPr>
                <w:vanish/>
                <w:sz w:val="18"/>
                <w:szCs w:val="18"/>
              </w:rPr>
            </w:pPr>
          </w:p>
        </w:tc>
        <w:tc>
          <w:tcPr>
            <w:tcW w:w="434" w:type="dxa"/>
            <w:tcBorders>
              <w:top w:val="single" w:color="auto" w:sz="4" w:space="0"/>
              <w:left w:val="single" w:color="auto" w:sz="4" w:space="0"/>
            </w:tcBorders>
            <w:shd w:val="clear" w:color="auto" w:fill="FFFFFF"/>
            <w:vAlign w:val="center"/>
          </w:tcPr>
          <w:p w14:paraId="04F8A553">
            <w:pPr>
              <w:pStyle w:val="37"/>
              <w:spacing w:before="36"/>
              <w:jc w:val="center"/>
              <w:rPr>
                <w:vanish/>
                <w:sz w:val="18"/>
                <w:szCs w:val="18"/>
              </w:rPr>
            </w:pPr>
          </w:p>
        </w:tc>
        <w:tc>
          <w:tcPr>
            <w:tcW w:w="434" w:type="dxa"/>
            <w:tcBorders>
              <w:top w:val="single" w:color="auto" w:sz="4" w:space="0"/>
              <w:left w:val="single" w:color="auto" w:sz="4" w:space="0"/>
            </w:tcBorders>
            <w:shd w:val="clear" w:color="auto" w:fill="FFFFFF"/>
            <w:vAlign w:val="center"/>
          </w:tcPr>
          <w:p w14:paraId="51EB0A4A">
            <w:pPr>
              <w:pStyle w:val="37"/>
              <w:spacing w:before="36"/>
              <w:jc w:val="center"/>
              <w:rPr>
                <w:vanish/>
                <w:sz w:val="18"/>
                <w:szCs w:val="18"/>
              </w:rPr>
            </w:pPr>
          </w:p>
        </w:tc>
        <w:tc>
          <w:tcPr>
            <w:tcW w:w="434" w:type="dxa"/>
            <w:tcBorders>
              <w:top w:val="single" w:color="auto" w:sz="4" w:space="0"/>
              <w:left w:val="single" w:color="auto" w:sz="4" w:space="0"/>
              <w:right w:val="single" w:color="auto" w:sz="4" w:space="0"/>
            </w:tcBorders>
            <w:shd w:val="clear" w:color="auto" w:fill="FFFFFF"/>
            <w:vAlign w:val="center"/>
          </w:tcPr>
          <w:p w14:paraId="40F68802">
            <w:pPr>
              <w:pStyle w:val="37"/>
              <w:spacing w:before="36"/>
              <w:jc w:val="center"/>
              <w:rPr>
                <w:sz w:val="18"/>
                <w:szCs w:val="18"/>
              </w:rPr>
            </w:pPr>
          </w:p>
        </w:tc>
      </w:tr>
      <w:tr w14:paraId="6F15450F">
        <w:tblPrEx>
          <w:tblCellMar>
            <w:top w:w="0" w:type="dxa"/>
            <w:left w:w="113" w:type="dxa"/>
            <w:bottom w:w="0" w:type="dxa"/>
            <w:right w:w="113" w:type="dxa"/>
          </w:tblCellMar>
        </w:tblPrEx>
        <w:tc>
          <w:tcPr>
            <w:tcW w:w="680" w:type="dxa"/>
            <w:vMerge w:val="continue"/>
            <w:tcBorders>
              <w:left w:val="single" w:color="auto" w:sz="4" w:space="0"/>
            </w:tcBorders>
            <w:shd w:val="clear" w:color="auto" w:fill="FFFFFF"/>
            <w:vAlign w:val="center"/>
          </w:tcPr>
          <w:p w14:paraId="5D722EC3">
            <w:pPr>
              <w:pStyle w:val="37"/>
              <w:spacing w:before="36"/>
              <w:jc w:val="center"/>
              <w:rPr>
                <w:sz w:val="18"/>
                <w:szCs w:val="18"/>
              </w:rPr>
            </w:pPr>
          </w:p>
        </w:tc>
        <w:tc>
          <w:tcPr>
            <w:tcW w:w="993" w:type="dxa"/>
            <w:vMerge w:val="continue"/>
            <w:tcBorders>
              <w:left w:val="single" w:color="auto" w:sz="4" w:space="0"/>
            </w:tcBorders>
            <w:shd w:val="clear" w:color="auto" w:fill="FFFFFF"/>
            <w:vAlign w:val="center"/>
          </w:tcPr>
          <w:p w14:paraId="0078D439">
            <w:pPr>
              <w:pStyle w:val="37"/>
              <w:spacing w:before="36"/>
              <w:jc w:val="center"/>
              <w:rPr>
                <w:sz w:val="18"/>
                <w:szCs w:val="18"/>
              </w:rPr>
            </w:pPr>
          </w:p>
        </w:tc>
        <w:tc>
          <w:tcPr>
            <w:tcW w:w="1984" w:type="dxa"/>
            <w:tcBorders>
              <w:top w:val="single" w:color="auto" w:sz="4" w:space="0"/>
              <w:left w:val="single" w:color="auto" w:sz="4" w:space="0"/>
            </w:tcBorders>
            <w:shd w:val="clear" w:color="auto" w:fill="FFFFFF"/>
            <w:vAlign w:val="center"/>
          </w:tcPr>
          <w:p w14:paraId="367238F8">
            <w:pPr>
              <w:pStyle w:val="37"/>
              <w:spacing w:before="36"/>
              <w:jc w:val="center"/>
              <w:rPr>
                <w:vanish/>
                <w:sz w:val="18"/>
                <w:szCs w:val="18"/>
              </w:rPr>
            </w:pPr>
            <w:r>
              <w:rPr>
                <w:sz w:val="18"/>
                <w:szCs w:val="18"/>
              </w:rPr>
              <w:t>C</w:t>
            </w:r>
          </w:p>
        </w:tc>
        <w:tc>
          <w:tcPr>
            <w:tcW w:w="433" w:type="dxa"/>
            <w:tcBorders>
              <w:top w:val="single" w:color="auto" w:sz="4" w:space="0"/>
              <w:left w:val="single" w:color="auto" w:sz="4" w:space="0"/>
            </w:tcBorders>
            <w:shd w:val="clear" w:color="auto" w:fill="FFFFFF"/>
            <w:vAlign w:val="center"/>
          </w:tcPr>
          <w:p w14:paraId="570046A7">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40A361B0">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56E781CA">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0A6B0EF5">
            <w:pPr>
              <w:pStyle w:val="37"/>
              <w:spacing w:before="36"/>
              <w:jc w:val="center"/>
              <w:rPr>
                <w:vanish/>
                <w:sz w:val="18"/>
                <w:szCs w:val="18"/>
              </w:rPr>
            </w:pPr>
            <w:r>
              <w:rPr>
                <w:sz w:val="18"/>
                <w:szCs w:val="18"/>
              </w:rPr>
              <w:t>O</w:t>
            </w:r>
          </w:p>
        </w:tc>
        <w:tc>
          <w:tcPr>
            <w:tcW w:w="433" w:type="dxa"/>
            <w:tcBorders>
              <w:top w:val="single" w:color="auto" w:sz="4" w:space="0"/>
              <w:left w:val="single" w:color="auto" w:sz="4" w:space="0"/>
            </w:tcBorders>
            <w:shd w:val="clear" w:color="auto" w:fill="FFFFFF"/>
            <w:vAlign w:val="center"/>
          </w:tcPr>
          <w:p w14:paraId="4829880C">
            <w:pPr>
              <w:pStyle w:val="37"/>
              <w:spacing w:before="36"/>
              <w:jc w:val="center"/>
              <w:rPr>
                <w:vanish/>
                <w:sz w:val="18"/>
                <w:szCs w:val="18"/>
              </w:rPr>
            </w:pPr>
            <w:r>
              <w:rPr>
                <w:sz w:val="18"/>
                <w:szCs w:val="18"/>
              </w:rPr>
              <w:t>O</w:t>
            </w:r>
          </w:p>
        </w:tc>
        <w:tc>
          <w:tcPr>
            <w:tcW w:w="434" w:type="dxa"/>
            <w:tcBorders>
              <w:top w:val="single" w:color="auto" w:sz="4" w:space="0"/>
              <w:left w:val="single" w:color="auto" w:sz="4" w:space="0"/>
            </w:tcBorders>
            <w:shd w:val="clear" w:color="auto" w:fill="FFFFFF"/>
            <w:vAlign w:val="center"/>
          </w:tcPr>
          <w:p w14:paraId="7C55134A">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66D20367">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21D97AA2">
            <w:pPr>
              <w:pStyle w:val="37"/>
              <w:spacing w:before="36"/>
              <w:jc w:val="center"/>
              <w:rPr>
                <w:vanish/>
                <w:sz w:val="18"/>
                <w:szCs w:val="18"/>
              </w:rPr>
            </w:pPr>
            <w:r>
              <w:rPr>
                <w:sz w:val="18"/>
                <w:szCs w:val="18"/>
              </w:rPr>
              <w:t>O</w:t>
            </w:r>
          </w:p>
        </w:tc>
        <w:tc>
          <w:tcPr>
            <w:tcW w:w="433" w:type="dxa"/>
            <w:tcBorders>
              <w:top w:val="single" w:color="auto" w:sz="4" w:space="0"/>
              <w:left w:val="single" w:color="auto" w:sz="4" w:space="0"/>
            </w:tcBorders>
            <w:shd w:val="clear" w:color="auto" w:fill="FFFFFF"/>
            <w:vAlign w:val="center"/>
          </w:tcPr>
          <w:p w14:paraId="2F426821">
            <w:pPr>
              <w:pStyle w:val="37"/>
              <w:spacing w:before="36"/>
              <w:jc w:val="center"/>
              <w:rPr>
                <w:vanish/>
                <w:sz w:val="18"/>
                <w:szCs w:val="18"/>
              </w:rPr>
            </w:pPr>
          </w:p>
        </w:tc>
        <w:tc>
          <w:tcPr>
            <w:tcW w:w="434" w:type="dxa"/>
            <w:tcBorders>
              <w:top w:val="single" w:color="auto" w:sz="4" w:space="0"/>
              <w:left w:val="single" w:color="auto" w:sz="4" w:space="0"/>
            </w:tcBorders>
            <w:shd w:val="clear" w:color="auto" w:fill="FFFFFF"/>
            <w:vAlign w:val="center"/>
          </w:tcPr>
          <w:p w14:paraId="21A17436">
            <w:pPr>
              <w:pStyle w:val="37"/>
              <w:spacing w:before="36"/>
              <w:jc w:val="center"/>
              <w:rPr>
                <w:vanish/>
                <w:sz w:val="18"/>
                <w:szCs w:val="18"/>
              </w:rPr>
            </w:pPr>
            <w:r>
              <w:rPr>
                <w:sz w:val="18"/>
                <w:szCs w:val="18"/>
              </w:rPr>
              <w:t>O</w:t>
            </w:r>
          </w:p>
        </w:tc>
        <w:tc>
          <w:tcPr>
            <w:tcW w:w="434" w:type="dxa"/>
            <w:tcBorders>
              <w:top w:val="single" w:color="auto" w:sz="4" w:space="0"/>
              <w:left w:val="single" w:color="auto" w:sz="4" w:space="0"/>
            </w:tcBorders>
            <w:shd w:val="clear" w:color="auto" w:fill="FFFFFF"/>
            <w:vAlign w:val="center"/>
          </w:tcPr>
          <w:p w14:paraId="49F3F443">
            <w:pPr>
              <w:pStyle w:val="37"/>
              <w:spacing w:before="36"/>
              <w:jc w:val="center"/>
              <w:rPr>
                <w:vanish/>
                <w:sz w:val="18"/>
                <w:szCs w:val="18"/>
              </w:rPr>
            </w:pPr>
            <w:r>
              <w:rPr>
                <w:sz w:val="18"/>
                <w:szCs w:val="18"/>
              </w:rPr>
              <w:t>O</w:t>
            </w:r>
          </w:p>
        </w:tc>
        <w:tc>
          <w:tcPr>
            <w:tcW w:w="434" w:type="dxa"/>
            <w:tcBorders>
              <w:top w:val="single" w:color="auto" w:sz="4" w:space="0"/>
              <w:left w:val="single" w:color="auto" w:sz="4" w:space="0"/>
            </w:tcBorders>
            <w:shd w:val="clear" w:color="auto" w:fill="FFFFFF"/>
            <w:vAlign w:val="center"/>
          </w:tcPr>
          <w:p w14:paraId="2EEE9478">
            <w:pPr>
              <w:pStyle w:val="37"/>
              <w:spacing w:before="36"/>
              <w:jc w:val="center"/>
              <w:rPr>
                <w:vanish/>
                <w:sz w:val="18"/>
                <w:szCs w:val="18"/>
              </w:rPr>
            </w:pPr>
          </w:p>
        </w:tc>
        <w:tc>
          <w:tcPr>
            <w:tcW w:w="434" w:type="dxa"/>
            <w:tcBorders>
              <w:top w:val="single" w:color="auto" w:sz="4" w:space="0"/>
              <w:left w:val="single" w:color="auto" w:sz="4" w:space="0"/>
              <w:right w:val="single" w:color="auto" w:sz="4" w:space="0"/>
            </w:tcBorders>
            <w:shd w:val="clear" w:color="auto" w:fill="FFFFFF"/>
            <w:vAlign w:val="center"/>
          </w:tcPr>
          <w:p w14:paraId="11C2892D">
            <w:pPr>
              <w:pStyle w:val="37"/>
              <w:spacing w:before="36"/>
              <w:jc w:val="center"/>
              <w:rPr>
                <w:sz w:val="18"/>
                <w:szCs w:val="18"/>
              </w:rPr>
            </w:pPr>
          </w:p>
        </w:tc>
      </w:tr>
      <w:tr w14:paraId="5A18E51A">
        <w:tblPrEx>
          <w:tblCellMar>
            <w:top w:w="0" w:type="dxa"/>
            <w:left w:w="113" w:type="dxa"/>
            <w:bottom w:w="0" w:type="dxa"/>
            <w:right w:w="113" w:type="dxa"/>
          </w:tblCellMar>
        </w:tblPrEx>
        <w:tc>
          <w:tcPr>
            <w:tcW w:w="680" w:type="dxa"/>
            <w:vMerge w:val="restart"/>
            <w:tcBorders>
              <w:top w:val="single" w:color="auto" w:sz="4" w:space="0"/>
              <w:left w:val="single" w:color="auto" w:sz="4" w:space="0"/>
            </w:tcBorders>
            <w:shd w:val="clear" w:color="auto" w:fill="FFFFFF"/>
            <w:vAlign w:val="center"/>
          </w:tcPr>
          <w:p w14:paraId="1E0735C1">
            <w:pPr>
              <w:pStyle w:val="37"/>
              <w:spacing w:before="36"/>
              <w:jc w:val="center"/>
              <w:rPr>
                <w:sz w:val="18"/>
                <w:szCs w:val="18"/>
              </w:rPr>
            </w:pPr>
            <w:r>
              <w:rPr>
                <w:rFonts w:cs="宋体"/>
                <w:sz w:val="18"/>
              </w:rPr>
              <w:t>外部接入器械</w:t>
            </w:r>
          </w:p>
        </w:tc>
        <w:tc>
          <w:tcPr>
            <w:tcW w:w="993" w:type="dxa"/>
            <w:vMerge w:val="restart"/>
            <w:tcBorders>
              <w:top w:val="single" w:color="auto" w:sz="4" w:space="0"/>
              <w:left w:val="single" w:color="auto" w:sz="4" w:space="0"/>
            </w:tcBorders>
            <w:shd w:val="clear" w:color="auto" w:fill="FFFFFF"/>
            <w:vAlign w:val="center"/>
          </w:tcPr>
          <w:p w14:paraId="15A5F6C5">
            <w:pPr>
              <w:pStyle w:val="37"/>
              <w:spacing w:before="36"/>
              <w:jc w:val="center"/>
              <w:rPr>
                <w:sz w:val="18"/>
                <w:szCs w:val="18"/>
              </w:rPr>
            </w:pPr>
            <w:r>
              <w:rPr>
                <w:rFonts w:cs="宋体"/>
                <w:sz w:val="18"/>
              </w:rPr>
              <w:t>血液通路，间接</w:t>
            </w:r>
          </w:p>
        </w:tc>
        <w:tc>
          <w:tcPr>
            <w:tcW w:w="1984" w:type="dxa"/>
            <w:tcBorders>
              <w:top w:val="single" w:color="auto" w:sz="4" w:space="0"/>
              <w:left w:val="single" w:color="auto" w:sz="4" w:space="0"/>
            </w:tcBorders>
            <w:shd w:val="clear" w:color="auto" w:fill="FFFFFF"/>
            <w:vAlign w:val="center"/>
          </w:tcPr>
          <w:p w14:paraId="1AF8AC40">
            <w:pPr>
              <w:pStyle w:val="37"/>
              <w:spacing w:before="36"/>
              <w:jc w:val="center"/>
              <w:rPr>
                <w:vanish/>
                <w:sz w:val="18"/>
                <w:szCs w:val="18"/>
              </w:rPr>
            </w:pPr>
            <w:r>
              <w:rPr>
                <w:sz w:val="18"/>
                <w:szCs w:val="18"/>
              </w:rPr>
              <w:t>A</w:t>
            </w:r>
          </w:p>
        </w:tc>
        <w:tc>
          <w:tcPr>
            <w:tcW w:w="433" w:type="dxa"/>
            <w:tcBorders>
              <w:top w:val="single" w:color="auto" w:sz="4" w:space="0"/>
              <w:left w:val="single" w:color="auto" w:sz="4" w:space="0"/>
            </w:tcBorders>
            <w:shd w:val="clear" w:color="auto" w:fill="FFFFFF"/>
            <w:vAlign w:val="center"/>
          </w:tcPr>
          <w:p w14:paraId="50F4CE11">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5A925291">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3A767033">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6CBB211A">
            <w:pPr>
              <w:pStyle w:val="37"/>
              <w:spacing w:before="36"/>
              <w:jc w:val="center"/>
              <w:rPr>
                <w:vanish/>
                <w:sz w:val="18"/>
                <w:szCs w:val="18"/>
              </w:rPr>
            </w:pPr>
            <w:r>
              <w:rPr>
                <w:sz w:val="18"/>
                <w:szCs w:val="18"/>
              </w:rPr>
              <w:t>X</w:t>
            </w:r>
          </w:p>
        </w:tc>
        <w:tc>
          <w:tcPr>
            <w:tcW w:w="433" w:type="dxa"/>
            <w:tcBorders>
              <w:top w:val="single" w:color="auto" w:sz="4" w:space="0"/>
              <w:left w:val="single" w:color="auto" w:sz="4" w:space="0"/>
            </w:tcBorders>
            <w:shd w:val="clear" w:color="auto" w:fill="FFFFFF"/>
            <w:vAlign w:val="center"/>
          </w:tcPr>
          <w:p w14:paraId="61F1D4B6">
            <w:pPr>
              <w:pStyle w:val="37"/>
              <w:spacing w:before="36"/>
              <w:jc w:val="center"/>
              <w:rPr>
                <w:vanish/>
                <w:sz w:val="18"/>
                <w:szCs w:val="18"/>
              </w:rPr>
            </w:pPr>
            <w:r>
              <w:rPr>
                <w:sz w:val="18"/>
                <w:szCs w:val="18"/>
              </w:rPr>
              <w:t>O</w:t>
            </w:r>
          </w:p>
        </w:tc>
        <w:tc>
          <w:tcPr>
            <w:tcW w:w="434" w:type="dxa"/>
            <w:tcBorders>
              <w:top w:val="single" w:color="auto" w:sz="4" w:space="0"/>
              <w:left w:val="single" w:color="auto" w:sz="4" w:space="0"/>
            </w:tcBorders>
            <w:shd w:val="clear" w:color="auto" w:fill="FFFFFF"/>
            <w:vAlign w:val="center"/>
          </w:tcPr>
          <w:p w14:paraId="157A241C">
            <w:pPr>
              <w:pStyle w:val="37"/>
              <w:spacing w:before="36"/>
              <w:jc w:val="center"/>
              <w:rPr>
                <w:vanish/>
                <w:sz w:val="18"/>
                <w:szCs w:val="18"/>
              </w:rPr>
            </w:pPr>
          </w:p>
        </w:tc>
        <w:tc>
          <w:tcPr>
            <w:tcW w:w="434" w:type="dxa"/>
            <w:tcBorders>
              <w:top w:val="single" w:color="auto" w:sz="4" w:space="0"/>
              <w:left w:val="single" w:color="auto" w:sz="4" w:space="0"/>
            </w:tcBorders>
            <w:shd w:val="clear" w:color="auto" w:fill="FFFFFF"/>
            <w:vAlign w:val="center"/>
          </w:tcPr>
          <w:p w14:paraId="09C7FF6C">
            <w:pPr>
              <w:pStyle w:val="37"/>
              <w:spacing w:before="36"/>
              <w:jc w:val="center"/>
              <w:rPr>
                <w:vanish/>
                <w:sz w:val="18"/>
                <w:szCs w:val="18"/>
              </w:rPr>
            </w:pPr>
          </w:p>
        </w:tc>
        <w:tc>
          <w:tcPr>
            <w:tcW w:w="434" w:type="dxa"/>
            <w:tcBorders>
              <w:top w:val="single" w:color="auto" w:sz="4" w:space="0"/>
              <w:left w:val="single" w:color="auto" w:sz="4" w:space="0"/>
            </w:tcBorders>
            <w:shd w:val="clear" w:color="auto" w:fill="FFFFFF"/>
            <w:vAlign w:val="center"/>
          </w:tcPr>
          <w:p w14:paraId="589E7D04">
            <w:pPr>
              <w:pStyle w:val="37"/>
              <w:spacing w:before="36"/>
              <w:jc w:val="center"/>
              <w:rPr>
                <w:vanish/>
                <w:sz w:val="18"/>
                <w:szCs w:val="18"/>
              </w:rPr>
            </w:pPr>
          </w:p>
        </w:tc>
        <w:tc>
          <w:tcPr>
            <w:tcW w:w="433" w:type="dxa"/>
            <w:tcBorders>
              <w:top w:val="single" w:color="auto" w:sz="4" w:space="0"/>
              <w:left w:val="single" w:color="auto" w:sz="4" w:space="0"/>
            </w:tcBorders>
            <w:shd w:val="clear" w:color="auto" w:fill="FFFFFF"/>
            <w:vAlign w:val="center"/>
          </w:tcPr>
          <w:p w14:paraId="532EF7CA">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4BE4EB74">
            <w:pPr>
              <w:pStyle w:val="37"/>
              <w:spacing w:before="36"/>
              <w:jc w:val="center"/>
              <w:rPr>
                <w:vanish/>
                <w:sz w:val="18"/>
                <w:szCs w:val="18"/>
              </w:rPr>
            </w:pPr>
          </w:p>
        </w:tc>
        <w:tc>
          <w:tcPr>
            <w:tcW w:w="434" w:type="dxa"/>
            <w:tcBorders>
              <w:top w:val="single" w:color="auto" w:sz="4" w:space="0"/>
              <w:left w:val="single" w:color="auto" w:sz="4" w:space="0"/>
            </w:tcBorders>
            <w:shd w:val="clear" w:color="auto" w:fill="FFFFFF"/>
            <w:vAlign w:val="center"/>
          </w:tcPr>
          <w:p w14:paraId="2829B0A3">
            <w:pPr>
              <w:pStyle w:val="37"/>
              <w:spacing w:before="36"/>
              <w:jc w:val="center"/>
              <w:rPr>
                <w:vanish/>
                <w:sz w:val="18"/>
                <w:szCs w:val="18"/>
              </w:rPr>
            </w:pPr>
          </w:p>
        </w:tc>
        <w:tc>
          <w:tcPr>
            <w:tcW w:w="434" w:type="dxa"/>
            <w:tcBorders>
              <w:top w:val="single" w:color="auto" w:sz="4" w:space="0"/>
              <w:left w:val="single" w:color="auto" w:sz="4" w:space="0"/>
            </w:tcBorders>
            <w:shd w:val="clear" w:color="auto" w:fill="FFFFFF"/>
            <w:vAlign w:val="center"/>
          </w:tcPr>
          <w:p w14:paraId="626A1B7A">
            <w:pPr>
              <w:pStyle w:val="37"/>
              <w:spacing w:before="36"/>
              <w:jc w:val="center"/>
              <w:rPr>
                <w:vanish/>
                <w:sz w:val="18"/>
                <w:szCs w:val="18"/>
              </w:rPr>
            </w:pPr>
          </w:p>
        </w:tc>
        <w:tc>
          <w:tcPr>
            <w:tcW w:w="434" w:type="dxa"/>
            <w:tcBorders>
              <w:top w:val="single" w:color="auto" w:sz="4" w:space="0"/>
              <w:left w:val="single" w:color="auto" w:sz="4" w:space="0"/>
              <w:right w:val="single" w:color="auto" w:sz="4" w:space="0"/>
            </w:tcBorders>
            <w:shd w:val="clear" w:color="auto" w:fill="FFFFFF"/>
            <w:vAlign w:val="center"/>
          </w:tcPr>
          <w:p w14:paraId="1BAD155A">
            <w:pPr>
              <w:pStyle w:val="37"/>
              <w:spacing w:before="36"/>
              <w:jc w:val="center"/>
              <w:rPr>
                <w:sz w:val="18"/>
                <w:szCs w:val="18"/>
              </w:rPr>
            </w:pPr>
          </w:p>
        </w:tc>
      </w:tr>
      <w:tr w14:paraId="10641B93">
        <w:tblPrEx>
          <w:tblCellMar>
            <w:top w:w="0" w:type="dxa"/>
            <w:left w:w="113" w:type="dxa"/>
            <w:bottom w:w="0" w:type="dxa"/>
            <w:right w:w="113" w:type="dxa"/>
          </w:tblCellMar>
        </w:tblPrEx>
        <w:tc>
          <w:tcPr>
            <w:tcW w:w="680" w:type="dxa"/>
            <w:vMerge w:val="continue"/>
            <w:tcBorders>
              <w:left w:val="single" w:color="auto" w:sz="4" w:space="0"/>
              <w:bottom w:val="single" w:color="auto" w:sz="4" w:space="0"/>
            </w:tcBorders>
            <w:shd w:val="clear" w:color="auto" w:fill="FFFFFF"/>
            <w:vAlign w:val="center"/>
          </w:tcPr>
          <w:p w14:paraId="0819F442">
            <w:pPr>
              <w:pStyle w:val="37"/>
              <w:spacing w:before="36"/>
              <w:jc w:val="center"/>
              <w:rPr>
                <w:sz w:val="18"/>
                <w:szCs w:val="18"/>
              </w:rPr>
            </w:pPr>
          </w:p>
        </w:tc>
        <w:tc>
          <w:tcPr>
            <w:tcW w:w="993" w:type="dxa"/>
            <w:vMerge w:val="continue"/>
            <w:tcBorders>
              <w:left w:val="single" w:color="auto" w:sz="4" w:space="0"/>
              <w:bottom w:val="single" w:color="auto" w:sz="4" w:space="0"/>
            </w:tcBorders>
            <w:shd w:val="clear" w:color="auto" w:fill="FFFFFF"/>
            <w:vAlign w:val="center"/>
          </w:tcPr>
          <w:p w14:paraId="66BC4B56">
            <w:pPr>
              <w:pStyle w:val="37"/>
              <w:spacing w:before="36"/>
              <w:jc w:val="center"/>
              <w:rPr>
                <w:sz w:val="18"/>
                <w:szCs w:val="18"/>
              </w:rPr>
            </w:pPr>
          </w:p>
        </w:tc>
        <w:tc>
          <w:tcPr>
            <w:tcW w:w="1984" w:type="dxa"/>
            <w:tcBorders>
              <w:top w:val="single" w:color="auto" w:sz="4" w:space="0"/>
              <w:left w:val="single" w:color="auto" w:sz="4" w:space="0"/>
              <w:bottom w:val="single" w:color="auto" w:sz="4" w:space="0"/>
            </w:tcBorders>
            <w:shd w:val="clear" w:color="auto" w:fill="FFFFFF"/>
            <w:vAlign w:val="center"/>
          </w:tcPr>
          <w:p w14:paraId="60A30765">
            <w:pPr>
              <w:pStyle w:val="37"/>
              <w:spacing w:before="36"/>
              <w:jc w:val="center"/>
              <w:rPr>
                <w:vanish/>
                <w:sz w:val="18"/>
                <w:szCs w:val="18"/>
              </w:rPr>
            </w:pPr>
            <w:r>
              <w:rPr>
                <w:sz w:val="18"/>
                <w:szCs w:val="18"/>
              </w:rPr>
              <w:t>B</w:t>
            </w:r>
          </w:p>
        </w:tc>
        <w:tc>
          <w:tcPr>
            <w:tcW w:w="433" w:type="dxa"/>
            <w:tcBorders>
              <w:top w:val="single" w:color="auto" w:sz="4" w:space="0"/>
              <w:left w:val="single" w:color="auto" w:sz="4" w:space="0"/>
              <w:bottom w:val="single" w:color="auto" w:sz="4" w:space="0"/>
            </w:tcBorders>
            <w:shd w:val="clear" w:color="auto" w:fill="FFFFFF"/>
            <w:vAlign w:val="center"/>
          </w:tcPr>
          <w:p w14:paraId="695F8FC5">
            <w:pPr>
              <w:pStyle w:val="37"/>
              <w:spacing w:before="36"/>
              <w:jc w:val="center"/>
              <w:rPr>
                <w:vanish/>
                <w:sz w:val="18"/>
                <w:szCs w:val="18"/>
              </w:rPr>
            </w:pPr>
            <w:r>
              <w:rPr>
                <w:sz w:val="18"/>
                <w:szCs w:val="18"/>
              </w:rPr>
              <w:t>X</w:t>
            </w:r>
          </w:p>
        </w:tc>
        <w:tc>
          <w:tcPr>
            <w:tcW w:w="434" w:type="dxa"/>
            <w:tcBorders>
              <w:top w:val="single" w:color="auto" w:sz="4" w:space="0"/>
              <w:left w:val="single" w:color="auto" w:sz="4" w:space="0"/>
              <w:bottom w:val="single" w:color="auto" w:sz="4" w:space="0"/>
            </w:tcBorders>
            <w:shd w:val="clear" w:color="auto" w:fill="FFFFFF"/>
            <w:vAlign w:val="center"/>
          </w:tcPr>
          <w:p w14:paraId="121B6FDB">
            <w:pPr>
              <w:pStyle w:val="37"/>
              <w:spacing w:before="36"/>
              <w:jc w:val="center"/>
              <w:rPr>
                <w:vanish/>
                <w:sz w:val="18"/>
                <w:szCs w:val="18"/>
              </w:rPr>
            </w:pPr>
            <w:r>
              <w:rPr>
                <w:sz w:val="18"/>
                <w:szCs w:val="18"/>
              </w:rPr>
              <w:t>X</w:t>
            </w:r>
          </w:p>
        </w:tc>
        <w:tc>
          <w:tcPr>
            <w:tcW w:w="434" w:type="dxa"/>
            <w:tcBorders>
              <w:top w:val="single" w:color="auto" w:sz="4" w:space="0"/>
              <w:left w:val="single" w:color="auto" w:sz="4" w:space="0"/>
              <w:bottom w:val="single" w:color="auto" w:sz="4" w:space="0"/>
            </w:tcBorders>
            <w:shd w:val="clear" w:color="auto" w:fill="FFFFFF"/>
            <w:vAlign w:val="center"/>
          </w:tcPr>
          <w:p w14:paraId="419EDEA1">
            <w:pPr>
              <w:pStyle w:val="37"/>
              <w:spacing w:before="36"/>
              <w:jc w:val="center"/>
              <w:rPr>
                <w:vanish/>
                <w:sz w:val="18"/>
                <w:szCs w:val="18"/>
              </w:rPr>
            </w:pPr>
            <w:r>
              <w:rPr>
                <w:sz w:val="18"/>
                <w:szCs w:val="18"/>
              </w:rPr>
              <w:t>X</w:t>
            </w:r>
          </w:p>
        </w:tc>
        <w:tc>
          <w:tcPr>
            <w:tcW w:w="434" w:type="dxa"/>
            <w:tcBorders>
              <w:top w:val="single" w:color="auto" w:sz="4" w:space="0"/>
              <w:left w:val="single" w:color="auto" w:sz="4" w:space="0"/>
              <w:bottom w:val="single" w:color="auto" w:sz="4" w:space="0"/>
            </w:tcBorders>
            <w:shd w:val="clear" w:color="auto" w:fill="FFFFFF"/>
            <w:vAlign w:val="center"/>
          </w:tcPr>
          <w:p w14:paraId="06CF9791">
            <w:pPr>
              <w:pStyle w:val="37"/>
              <w:spacing w:before="36"/>
              <w:jc w:val="center"/>
              <w:rPr>
                <w:vanish/>
                <w:sz w:val="18"/>
                <w:szCs w:val="18"/>
              </w:rPr>
            </w:pPr>
            <w:r>
              <w:rPr>
                <w:sz w:val="18"/>
                <w:szCs w:val="18"/>
              </w:rPr>
              <w:t>X</w:t>
            </w:r>
          </w:p>
        </w:tc>
        <w:tc>
          <w:tcPr>
            <w:tcW w:w="433" w:type="dxa"/>
            <w:tcBorders>
              <w:top w:val="single" w:color="auto" w:sz="4" w:space="0"/>
              <w:left w:val="single" w:color="auto" w:sz="4" w:space="0"/>
              <w:bottom w:val="single" w:color="auto" w:sz="4" w:space="0"/>
            </w:tcBorders>
            <w:shd w:val="clear" w:color="auto" w:fill="FFFFFF"/>
            <w:vAlign w:val="center"/>
          </w:tcPr>
          <w:p w14:paraId="64F63751">
            <w:pPr>
              <w:pStyle w:val="37"/>
              <w:spacing w:before="36"/>
              <w:jc w:val="center"/>
              <w:rPr>
                <w:vanish/>
                <w:sz w:val="18"/>
                <w:szCs w:val="18"/>
              </w:rPr>
            </w:pPr>
            <w:r>
              <w:rPr>
                <w:sz w:val="18"/>
                <w:szCs w:val="18"/>
              </w:rPr>
              <w:t>O</w:t>
            </w:r>
          </w:p>
        </w:tc>
        <w:tc>
          <w:tcPr>
            <w:tcW w:w="434" w:type="dxa"/>
            <w:tcBorders>
              <w:top w:val="single" w:color="auto" w:sz="4" w:space="0"/>
              <w:left w:val="single" w:color="auto" w:sz="4" w:space="0"/>
              <w:bottom w:val="single" w:color="auto" w:sz="4" w:space="0"/>
            </w:tcBorders>
            <w:shd w:val="clear" w:color="auto" w:fill="FFFFFF"/>
            <w:vAlign w:val="center"/>
          </w:tcPr>
          <w:p w14:paraId="54B50D9E">
            <w:pPr>
              <w:pStyle w:val="37"/>
              <w:spacing w:before="36"/>
              <w:jc w:val="center"/>
              <w:rPr>
                <w:vanish/>
                <w:sz w:val="18"/>
                <w:szCs w:val="18"/>
              </w:rPr>
            </w:pPr>
            <w:r>
              <w:rPr>
                <w:sz w:val="18"/>
                <w:szCs w:val="18"/>
              </w:rPr>
              <w:t>O</w:t>
            </w:r>
          </w:p>
        </w:tc>
        <w:tc>
          <w:tcPr>
            <w:tcW w:w="434" w:type="dxa"/>
            <w:tcBorders>
              <w:top w:val="single" w:color="auto" w:sz="4" w:space="0"/>
              <w:left w:val="single" w:color="auto" w:sz="4" w:space="0"/>
              <w:bottom w:val="single" w:color="auto" w:sz="4" w:space="0"/>
            </w:tcBorders>
            <w:shd w:val="clear" w:color="auto" w:fill="FFFFFF"/>
            <w:vAlign w:val="center"/>
          </w:tcPr>
          <w:p w14:paraId="40D85584">
            <w:pPr>
              <w:pStyle w:val="37"/>
              <w:spacing w:before="36"/>
              <w:jc w:val="center"/>
              <w:rPr>
                <w:vanish/>
                <w:sz w:val="18"/>
                <w:szCs w:val="18"/>
              </w:rPr>
            </w:pPr>
          </w:p>
        </w:tc>
        <w:tc>
          <w:tcPr>
            <w:tcW w:w="434" w:type="dxa"/>
            <w:tcBorders>
              <w:top w:val="single" w:color="auto" w:sz="4" w:space="0"/>
              <w:left w:val="single" w:color="auto" w:sz="4" w:space="0"/>
              <w:bottom w:val="single" w:color="auto" w:sz="4" w:space="0"/>
            </w:tcBorders>
            <w:shd w:val="clear" w:color="auto" w:fill="FFFFFF"/>
            <w:vAlign w:val="center"/>
          </w:tcPr>
          <w:p w14:paraId="4655911A">
            <w:pPr>
              <w:pStyle w:val="37"/>
              <w:spacing w:before="36"/>
              <w:jc w:val="center"/>
              <w:rPr>
                <w:vanish/>
                <w:sz w:val="18"/>
                <w:szCs w:val="18"/>
              </w:rPr>
            </w:pPr>
          </w:p>
        </w:tc>
        <w:tc>
          <w:tcPr>
            <w:tcW w:w="433" w:type="dxa"/>
            <w:tcBorders>
              <w:top w:val="single" w:color="auto" w:sz="4" w:space="0"/>
              <w:left w:val="single" w:color="auto" w:sz="4" w:space="0"/>
              <w:bottom w:val="single" w:color="auto" w:sz="4" w:space="0"/>
            </w:tcBorders>
            <w:shd w:val="clear" w:color="auto" w:fill="FFFFFF"/>
            <w:vAlign w:val="center"/>
          </w:tcPr>
          <w:p w14:paraId="5BAC7EB7">
            <w:pPr>
              <w:pStyle w:val="37"/>
              <w:spacing w:before="36"/>
              <w:jc w:val="center"/>
              <w:rPr>
                <w:vanish/>
                <w:sz w:val="18"/>
                <w:szCs w:val="18"/>
              </w:rPr>
            </w:pPr>
            <w:r>
              <w:rPr>
                <w:sz w:val="18"/>
                <w:szCs w:val="18"/>
              </w:rPr>
              <w:t>X</w:t>
            </w:r>
          </w:p>
        </w:tc>
        <w:tc>
          <w:tcPr>
            <w:tcW w:w="434" w:type="dxa"/>
            <w:tcBorders>
              <w:top w:val="single" w:color="auto" w:sz="4" w:space="0"/>
              <w:left w:val="single" w:color="auto" w:sz="4" w:space="0"/>
              <w:bottom w:val="single" w:color="auto" w:sz="4" w:space="0"/>
            </w:tcBorders>
            <w:shd w:val="clear" w:color="auto" w:fill="FFFFFF"/>
            <w:vAlign w:val="center"/>
          </w:tcPr>
          <w:p w14:paraId="03861E62">
            <w:pPr>
              <w:pStyle w:val="37"/>
              <w:spacing w:before="36"/>
              <w:jc w:val="center"/>
              <w:rPr>
                <w:vanish/>
                <w:sz w:val="18"/>
                <w:szCs w:val="18"/>
              </w:rPr>
            </w:pPr>
          </w:p>
        </w:tc>
        <w:tc>
          <w:tcPr>
            <w:tcW w:w="434" w:type="dxa"/>
            <w:tcBorders>
              <w:top w:val="single" w:color="auto" w:sz="4" w:space="0"/>
              <w:left w:val="single" w:color="auto" w:sz="4" w:space="0"/>
              <w:bottom w:val="single" w:color="auto" w:sz="4" w:space="0"/>
            </w:tcBorders>
            <w:shd w:val="clear" w:color="auto" w:fill="FFFFFF"/>
            <w:vAlign w:val="center"/>
          </w:tcPr>
          <w:p w14:paraId="4B48384B">
            <w:pPr>
              <w:pStyle w:val="37"/>
              <w:spacing w:before="36"/>
              <w:jc w:val="center"/>
              <w:rPr>
                <w:vanish/>
                <w:sz w:val="18"/>
                <w:szCs w:val="18"/>
              </w:rPr>
            </w:pPr>
          </w:p>
        </w:tc>
        <w:tc>
          <w:tcPr>
            <w:tcW w:w="434" w:type="dxa"/>
            <w:tcBorders>
              <w:top w:val="single" w:color="auto" w:sz="4" w:space="0"/>
              <w:left w:val="single" w:color="auto" w:sz="4" w:space="0"/>
              <w:bottom w:val="single" w:color="auto" w:sz="4" w:space="0"/>
            </w:tcBorders>
            <w:shd w:val="clear" w:color="auto" w:fill="FFFFFF"/>
            <w:vAlign w:val="center"/>
          </w:tcPr>
          <w:p w14:paraId="2CA472E8">
            <w:pPr>
              <w:pStyle w:val="37"/>
              <w:spacing w:before="36"/>
              <w:jc w:val="center"/>
              <w:rPr>
                <w:vanish/>
                <w:sz w:val="18"/>
                <w:szCs w:val="18"/>
              </w:rPr>
            </w:pPr>
          </w:p>
        </w:tc>
        <w:tc>
          <w:tcPr>
            <w:tcW w:w="434" w:type="dxa"/>
            <w:tcBorders>
              <w:top w:val="single" w:color="auto" w:sz="4" w:space="0"/>
              <w:left w:val="single" w:color="auto" w:sz="4" w:space="0"/>
              <w:bottom w:val="single" w:color="auto" w:sz="4" w:space="0"/>
              <w:right w:val="single" w:color="auto" w:sz="4" w:space="0"/>
            </w:tcBorders>
            <w:shd w:val="clear" w:color="auto" w:fill="FFFFFF"/>
            <w:vAlign w:val="center"/>
          </w:tcPr>
          <w:p w14:paraId="3BD90A12">
            <w:pPr>
              <w:pStyle w:val="37"/>
              <w:spacing w:before="36"/>
              <w:jc w:val="center"/>
              <w:rPr>
                <w:sz w:val="18"/>
                <w:szCs w:val="18"/>
              </w:rPr>
            </w:pPr>
          </w:p>
        </w:tc>
      </w:tr>
    </w:tbl>
    <w:p w14:paraId="1D63A54D">
      <w:pPr>
        <w:spacing w:before="120"/>
        <w:rPr>
          <w:rFonts w:cs="宋体"/>
          <w:lang w:eastAsia="zh-CN"/>
        </w:rPr>
      </w:pPr>
    </w:p>
    <w:p w14:paraId="12C9362B">
      <w:pPr>
        <w:spacing w:before="120"/>
        <w:rPr>
          <w:rFonts w:cs="宋体"/>
          <w:lang w:eastAsia="zh-CN"/>
        </w:rPr>
      </w:pPr>
    </w:p>
    <w:p w14:paraId="4C2FD621">
      <w:pPr>
        <w:spacing w:before="120"/>
        <w:rPr>
          <w:rFonts w:cs="宋体"/>
          <w:lang w:eastAsia="zh-CN"/>
        </w:rPr>
      </w:pPr>
    </w:p>
    <w:p w14:paraId="623686E7">
      <w:pPr>
        <w:spacing w:before="120"/>
        <w:rPr>
          <w:rFonts w:cs="宋体"/>
          <w:lang w:eastAsia="zh-CN"/>
        </w:rPr>
      </w:pPr>
    </w:p>
    <w:p w14:paraId="62DA2697">
      <w:pPr>
        <w:spacing w:before="120"/>
        <w:rPr>
          <w:rFonts w:cs="宋体"/>
          <w:lang w:eastAsia="zh-CN"/>
        </w:rPr>
      </w:pPr>
    </w:p>
    <w:p w14:paraId="660754D5">
      <w:pPr>
        <w:spacing w:before="120"/>
        <w:rPr>
          <w:rFonts w:cs="宋体"/>
          <w:lang w:eastAsia="zh-CN"/>
        </w:rPr>
      </w:pPr>
    </w:p>
    <w:p w14:paraId="0E6577AA">
      <w:pPr>
        <w:spacing w:before="120"/>
        <w:rPr>
          <w:lang w:eastAsia="zh-CN"/>
        </w:rPr>
      </w:pPr>
      <w:r>
        <w:rPr>
          <w:rFonts w:cs="宋体"/>
          <w:lang w:eastAsia="zh-CN"/>
        </w:rPr>
        <w:t>________________________</w:t>
      </w:r>
    </w:p>
    <w:p w14:paraId="622B930E">
      <w:pPr>
        <w:spacing w:before="0" w:beforeLines="0"/>
        <w:rPr>
          <w:sz w:val="21"/>
          <w:szCs w:val="21"/>
          <w:lang w:eastAsia="zh-CN"/>
        </w:rPr>
      </w:pPr>
      <w:r>
        <w:rPr>
          <w:rFonts w:cs="宋体"/>
          <w:sz w:val="21"/>
          <w:vertAlign w:val="superscript"/>
          <w:lang w:eastAsia="zh-CN"/>
        </w:rPr>
        <w:t>66</w:t>
      </w:r>
      <w:r>
        <w:rPr>
          <w:rFonts w:cs="宋体"/>
          <w:sz w:val="21"/>
          <w:lang w:eastAsia="zh-CN"/>
        </w:rPr>
        <w:t>设备分类信息可以通过电子邮件以正式方式获取，或者作为Q提交程序的一部分。请参见FDA的指南文件</w:t>
      </w:r>
      <w:r>
        <w:rPr>
          <w:rFonts w:cs="宋体"/>
          <w:color w:val="0000FF"/>
          <w:sz w:val="21"/>
          <w:u w:val="single"/>
          <w:lang w:eastAsia="zh-CN"/>
        </w:rPr>
        <w:t>《医疗器械申请的反馈和会议请求：Q</w:t>
      </w:r>
      <w:r>
        <w:rPr>
          <w:rFonts w:hint="eastAsia" w:cs="宋体"/>
          <w:color w:val="0000FF"/>
          <w:sz w:val="21"/>
          <w:u w:val="single"/>
          <w:lang w:eastAsia="zh-CN"/>
        </w:rPr>
        <w:t>申请</w:t>
      </w:r>
      <w:r>
        <w:rPr>
          <w:rFonts w:cs="宋体"/>
          <w:color w:val="0000FF"/>
          <w:sz w:val="21"/>
          <w:u w:val="single"/>
          <w:lang w:eastAsia="zh-CN"/>
        </w:rPr>
        <w:t>计划：行业和美国食品药品监督管理局工作人员指南》</w:t>
      </w:r>
      <w:r>
        <w:rPr>
          <w:rFonts w:cs="宋体"/>
          <w:sz w:val="21"/>
          <w:lang w:eastAsia="zh-CN"/>
        </w:rPr>
        <w:t>，可登录以下网址获取</w:t>
      </w:r>
      <w:r>
        <w:rPr>
          <w:rFonts w:cs="宋体"/>
          <w:color w:val="0000FF"/>
          <w:sz w:val="21"/>
          <w:u w:val="single"/>
          <w:lang w:eastAsia="zh-CN"/>
        </w:rPr>
        <w:t>https://www.fda.gov/regulatory-information/search-fda-guidance-</w:t>
      </w:r>
      <w:r>
        <w:rPr>
          <w:rFonts w:hint="eastAsia" w:cs="宋体"/>
          <w:color w:val="0000FF"/>
          <w:sz w:val="21"/>
          <w:u w:val="single"/>
          <w:lang w:eastAsia="zh-CN"/>
        </w:rPr>
        <w:t xml:space="preserve"> </w:t>
      </w:r>
      <w:r>
        <w:rPr>
          <w:rFonts w:cs="宋体"/>
          <w:color w:val="0000FF"/>
          <w:sz w:val="21"/>
          <w:u w:val="single"/>
          <w:lang w:eastAsia="zh-CN"/>
        </w:rPr>
        <w:t>documents/requests-feedback-and-meetings-medical-device-submissions-q-submission-program。</w:t>
      </w:r>
    </w:p>
    <w:p w14:paraId="1FAD86D0">
      <w:pPr>
        <w:snapToGrid/>
        <w:spacing w:before="0" w:beforeLines="0" w:line="240" w:lineRule="auto"/>
        <w:jc w:val="left"/>
        <w:rPr>
          <w:lang w:eastAsia="zh-CN"/>
        </w:rPr>
      </w:pPr>
      <w:r>
        <w:rPr>
          <w:lang w:eastAsia="zh-CN"/>
        </w:rPr>
        <w:br w:type="page"/>
      </w:r>
    </w:p>
    <w:tbl>
      <w:tblPr>
        <w:tblStyle w:val="7"/>
        <w:tblW w:w="0" w:type="auto"/>
        <w:tblInd w:w="0" w:type="dxa"/>
        <w:tblLayout w:type="fixed"/>
        <w:tblCellMar>
          <w:top w:w="0" w:type="dxa"/>
          <w:left w:w="113" w:type="dxa"/>
          <w:bottom w:w="0" w:type="dxa"/>
          <w:right w:w="113" w:type="dxa"/>
        </w:tblCellMar>
      </w:tblPr>
      <w:tblGrid>
        <w:gridCol w:w="680"/>
        <w:gridCol w:w="993"/>
        <w:gridCol w:w="1984"/>
        <w:gridCol w:w="433"/>
        <w:gridCol w:w="434"/>
        <w:gridCol w:w="434"/>
        <w:gridCol w:w="434"/>
        <w:gridCol w:w="433"/>
        <w:gridCol w:w="434"/>
        <w:gridCol w:w="434"/>
        <w:gridCol w:w="434"/>
        <w:gridCol w:w="433"/>
        <w:gridCol w:w="434"/>
        <w:gridCol w:w="434"/>
        <w:gridCol w:w="434"/>
        <w:gridCol w:w="434"/>
      </w:tblGrid>
      <w:tr w14:paraId="30EF6D07">
        <w:tblPrEx>
          <w:tblCellMar>
            <w:top w:w="0" w:type="dxa"/>
            <w:left w:w="113" w:type="dxa"/>
            <w:bottom w:w="0" w:type="dxa"/>
            <w:right w:w="113" w:type="dxa"/>
          </w:tblCellMar>
        </w:tblPrEx>
        <w:tc>
          <w:tcPr>
            <w:tcW w:w="3657" w:type="dxa"/>
            <w:gridSpan w:val="3"/>
            <w:tcBorders>
              <w:top w:val="single" w:color="auto" w:sz="4" w:space="0"/>
              <w:left w:val="single" w:color="auto" w:sz="4" w:space="0"/>
            </w:tcBorders>
            <w:shd w:val="clear" w:color="auto" w:fill="FFFFFF"/>
            <w:vAlign w:val="center"/>
          </w:tcPr>
          <w:p w14:paraId="00DD2E04">
            <w:pPr>
              <w:pStyle w:val="37"/>
              <w:spacing w:before="36"/>
              <w:jc w:val="center"/>
              <w:rPr>
                <w:b/>
                <w:bCs/>
                <w:sz w:val="18"/>
                <w:szCs w:val="18"/>
              </w:rPr>
            </w:pPr>
            <w:r>
              <w:rPr>
                <w:rFonts w:cs="宋体"/>
                <w:b/>
                <w:sz w:val="18"/>
              </w:rPr>
              <w:t>医疗器械分类</w:t>
            </w:r>
          </w:p>
        </w:tc>
        <w:tc>
          <w:tcPr>
            <w:tcW w:w="5639" w:type="dxa"/>
            <w:gridSpan w:val="13"/>
            <w:tcBorders>
              <w:top w:val="single" w:color="auto" w:sz="4" w:space="0"/>
              <w:left w:val="single" w:color="auto" w:sz="4" w:space="0"/>
              <w:right w:val="single" w:color="auto" w:sz="4" w:space="0"/>
            </w:tcBorders>
            <w:shd w:val="clear" w:color="auto" w:fill="FFFFFF"/>
            <w:vAlign w:val="center"/>
          </w:tcPr>
          <w:p w14:paraId="403AF5AB">
            <w:pPr>
              <w:pStyle w:val="37"/>
              <w:spacing w:before="36"/>
              <w:jc w:val="center"/>
              <w:rPr>
                <w:b/>
                <w:bCs/>
                <w:sz w:val="18"/>
                <w:szCs w:val="18"/>
              </w:rPr>
            </w:pPr>
            <w:r>
              <w:rPr>
                <w:rFonts w:cs="宋体"/>
                <w:b/>
                <w:sz w:val="18"/>
              </w:rPr>
              <w:t>生物效应</w:t>
            </w:r>
          </w:p>
        </w:tc>
      </w:tr>
      <w:tr w14:paraId="26F3C9A4">
        <w:tblPrEx>
          <w:tblCellMar>
            <w:top w:w="0" w:type="dxa"/>
            <w:left w:w="113" w:type="dxa"/>
            <w:bottom w:w="0" w:type="dxa"/>
            <w:right w:w="113" w:type="dxa"/>
          </w:tblCellMar>
        </w:tblPrEx>
        <w:tc>
          <w:tcPr>
            <w:tcW w:w="1673" w:type="dxa"/>
            <w:gridSpan w:val="2"/>
            <w:tcBorders>
              <w:top w:val="single" w:color="auto" w:sz="4" w:space="0"/>
              <w:left w:val="single" w:color="auto" w:sz="4" w:space="0"/>
              <w:right w:val="single" w:color="auto" w:sz="4" w:space="0"/>
            </w:tcBorders>
            <w:shd w:val="clear" w:color="auto" w:fill="FFFFFF"/>
            <w:vAlign w:val="center"/>
          </w:tcPr>
          <w:p w14:paraId="6C36648E">
            <w:pPr>
              <w:pStyle w:val="37"/>
              <w:spacing w:before="36"/>
              <w:jc w:val="center"/>
              <w:rPr>
                <w:b/>
                <w:bCs/>
                <w:sz w:val="18"/>
                <w:szCs w:val="18"/>
              </w:rPr>
            </w:pPr>
            <w:r>
              <w:rPr>
                <w:rFonts w:cs="宋体"/>
                <w:b/>
                <w:sz w:val="18"/>
              </w:rPr>
              <w:t>身体接触性质</w:t>
            </w:r>
          </w:p>
        </w:tc>
        <w:tc>
          <w:tcPr>
            <w:tcW w:w="1984" w:type="dxa"/>
            <w:tcBorders>
              <w:top w:val="single" w:color="auto" w:sz="4" w:space="0"/>
              <w:left w:val="single" w:color="auto" w:sz="4" w:space="0"/>
            </w:tcBorders>
            <w:shd w:val="clear" w:color="auto" w:fill="FFFFFF"/>
            <w:vAlign w:val="center"/>
          </w:tcPr>
          <w:p w14:paraId="7DBC9292">
            <w:pPr>
              <w:pStyle w:val="37"/>
              <w:spacing w:before="36"/>
              <w:jc w:val="center"/>
              <w:rPr>
                <w:b/>
                <w:bCs/>
                <w:sz w:val="18"/>
                <w:szCs w:val="18"/>
              </w:rPr>
            </w:pPr>
            <w:r>
              <w:rPr>
                <w:rFonts w:cs="宋体"/>
                <w:b/>
                <w:sz w:val="18"/>
              </w:rPr>
              <w:t>接触持续时间</w:t>
            </w:r>
          </w:p>
        </w:tc>
        <w:tc>
          <w:tcPr>
            <w:tcW w:w="433" w:type="dxa"/>
            <w:vMerge w:val="restart"/>
            <w:tcBorders>
              <w:top w:val="single" w:color="auto" w:sz="4" w:space="0"/>
              <w:left w:val="single" w:color="auto" w:sz="4" w:space="0"/>
            </w:tcBorders>
            <w:shd w:val="clear" w:color="auto" w:fill="FFFFFF"/>
            <w:textDirection w:val="btLr"/>
            <w:vAlign w:val="center"/>
          </w:tcPr>
          <w:p w14:paraId="464FD5F6">
            <w:pPr>
              <w:pStyle w:val="37"/>
              <w:spacing w:before="36"/>
              <w:jc w:val="center"/>
              <w:rPr>
                <w:b/>
                <w:bCs/>
                <w:sz w:val="18"/>
                <w:szCs w:val="18"/>
              </w:rPr>
            </w:pPr>
            <w:r>
              <w:rPr>
                <w:rFonts w:cs="宋体"/>
                <w:b/>
                <w:sz w:val="18"/>
              </w:rPr>
              <w:t>细胞毒性</w:t>
            </w:r>
          </w:p>
        </w:tc>
        <w:tc>
          <w:tcPr>
            <w:tcW w:w="434" w:type="dxa"/>
            <w:vMerge w:val="restart"/>
            <w:tcBorders>
              <w:top w:val="single" w:color="auto" w:sz="4" w:space="0"/>
              <w:left w:val="single" w:color="auto" w:sz="4" w:space="0"/>
            </w:tcBorders>
            <w:shd w:val="clear" w:color="auto" w:fill="FFFFFF"/>
            <w:textDirection w:val="btLr"/>
            <w:vAlign w:val="center"/>
          </w:tcPr>
          <w:p w14:paraId="7FD01FFF">
            <w:pPr>
              <w:pStyle w:val="37"/>
              <w:spacing w:before="36"/>
              <w:jc w:val="center"/>
              <w:rPr>
                <w:b/>
                <w:bCs/>
                <w:sz w:val="18"/>
                <w:szCs w:val="18"/>
              </w:rPr>
            </w:pPr>
            <w:r>
              <w:rPr>
                <w:rFonts w:cs="宋体"/>
                <w:b/>
                <w:sz w:val="18"/>
              </w:rPr>
              <w:t>致敏性</w:t>
            </w:r>
          </w:p>
        </w:tc>
        <w:tc>
          <w:tcPr>
            <w:tcW w:w="434" w:type="dxa"/>
            <w:vMerge w:val="restart"/>
            <w:tcBorders>
              <w:top w:val="single" w:color="auto" w:sz="4" w:space="0"/>
              <w:left w:val="single" w:color="auto" w:sz="4" w:space="0"/>
            </w:tcBorders>
            <w:shd w:val="clear" w:color="auto" w:fill="FFFFFF"/>
            <w:textDirection w:val="btLr"/>
            <w:vAlign w:val="center"/>
          </w:tcPr>
          <w:p w14:paraId="6E686D79">
            <w:pPr>
              <w:pStyle w:val="37"/>
              <w:spacing w:before="36"/>
              <w:jc w:val="center"/>
              <w:rPr>
                <w:b/>
                <w:bCs/>
                <w:sz w:val="18"/>
                <w:szCs w:val="18"/>
              </w:rPr>
            </w:pPr>
            <w:r>
              <w:rPr>
                <w:rFonts w:cs="宋体"/>
                <w:b/>
                <w:sz w:val="18"/>
              </w:rPr>
              <w:t>刺激性或皮内反应</w:t>
            </w:r>
          </w:p>
        </w:tc>
        <w:tc>
          <w:tcPr>
            <w:tcW w:w="434" w:type="dxa"/>
            <w:vMerge w:val="restart"/>
            <w:tcBorders>
              <w:top w:val="single" w:color="auto" w:sz="4" w:space="0"/>
              <w:left w:val="single" w:color="auto" w:sz="4" w:space="0"/>
            </w:tcBorders>
            <w:shd w:val="clear" w:color="auto" w:fill="FFFFFF"/>
            <w:textDirection w:val="btLr"/>
            <w:vAlign w:val="center"/>
          </w:tcPr>
          <w:p w14:paraId="373CB444">
            <w:pPr>
              <w:pStyle w:val="37"/>
              <w:spacing w:before="36"/>
              <w:jc w:val="center"/>
              <w:rPr>
                <w:b/>
                <w:bCs/>
                <w:sz w:val="18"/>
                <w:szCs w:val="18"/>
              </w:rPr>
            </w:pPr>
            <w:r>
              <w:rPr>
                <w:rFonts w:cs="宋体"/>
                <w:b/>
                <w:sz w:val="18"/>
              </w:rPr>
              <w:t>急性全身毒性</w:t>
            </w:r>
          </w:p>
        </w:tc>
        <w:tc>
          <w:tcPr>
            <w:tcW w:w="433" w:type="dxa"/>
            <w:vMerge w:val="restart"/>
            <w:tcBorders>
              <w:top w:val="single" w:color="auto" w:sz="4" w:space="0"/>
              <w:left w:val="single" w:color="auto" w:sz="4" w:space="0"/>
            </w:tcBorders>
            <w:shd w:val="clear" w:color="auto" w:fill="FFFFFF"/>
            <w:textDirection w:val="btLr"/>
            <w:vAlign w:val="center"/>
          </w:tcPr>
          <w:p w14:paraId="2EDC718A">
            <w:pPr>
              <w:pStyle w:val="37"/>
              <w:spacing w:before="36"/>
              <w:jc w:val="center"/>
              <w:rPr>
                <w:b/>
                <w:bCs/>
                <w:sz w:val="18"/>
                <w:szCs w:val="18"/>
              </w:rPr>
            </w:pPr>
            <w:r>
              <w:rPr>
                <w:rFonts w:cs="宋体"/>
                <w:b/>
                <w:sz w:val="18"/>
              </w:rPr>
              <w:t>材料介导的热源性</w:t>
            </w:r>
          </w:p>
        </w:tc>
        <w:tc>
          <w:tcPr>
            <w:tcW w:w="434" w:type="dxa"/>
            <w:vMerge w:val="restart"/>
            <w:tcBorders>
              <w:top w:val="single" w:color="auto" w:sz="4" w:space="0"/>
              <w:left w:val="single" w:color="auto" w:sz="4" w:space="0"/>
            </w:tcBorders>
            <w:shd w:val="clear" w:color="auto" w:fill="FFFFFF"/>
            <w:textDirection w:val="btLr"/>
            <w:vAlign w:val="center"/>
          </w:tcPr>
          <w:p w14:paraId="59FC96FE">
            <w:pPr>
              <w:pStyle w:val="37"/>
              <w:spacing w:before="36"/>
              <w:jc w:val="center"/>
              <w:rPr>
                <w:b/>
                <w:bCs/>
                <w:sz w:val="18"/>
                <w:szCs w:val="18"/>
              </w:rPr>
            </w:pPr>
            <w:r>
              <w:rPr>
                <w:rFonts w:cs="宋体"/>
                <w:b/>
                <w:sz w:val="18"/>
              </w:rPr>
              <w:t>亚急性/亚慢性毒性</w:t>
            </w:r>
          </w:p>
        </w:tc>
        <w:tc>
          <w:tcPr>
            <w:tcW w:w="434" w:type="dxa"/>
            <w:vMerge w:val="restart"/>
            <w:tcBorders>
              <w:top w:val="single" w:color="auto" w:sz="4" w:space="0"/>
              <w:left w:val="single" w:color="auto" w:sz="4" w:space="0"/>
            </w:tcBorders>
            <w:shd w:val="clear" w:color="auto" w:fill="FFFFFF"/>
            <w:textDirection w:val="btLr"/>
            <w:vAlign w:val="center"/>
          </w:tcPr>
          <w:p w14:paraId="4A3982A3">
            <w:pPr>
              <w:pStyle w:val="37"/>
              <w:spacing w:before="36"/>
              <w:jc w:val="center"/>
              <w:rPr>
                <w:b/>
                <w:bCs/>
                <w:sz w:val="18"/>
                <w:szCs w:val="18"/>
              </w:rPr>
            </w:pPr>
            <w:r>
              <w:rPr>
                <w:rFonts w:cs="宋体"/>
                <w:b/>
                <w:sz w:val="18"/>
              </w:rPr>
              <w:t>遗传毒性</w:t>
            </w:r>
          </w:p>
        </w:tc>
        <w:tc>
          <w:tcPr>
            <w:tcW w:w="434" w:type="dxa"/>
            <w:vMerge w:val="restart"/>
            <w:tcBorders>
              <w:top w:val="single" w:color="auto" w:sz="4" w:space="0"/>
              <w:left w:val="single" w:color="auto" w:sz="4" w:space="0"/>
            </w:tcBorders>
            <w:shd w:val="clear" w:color="auto" w:fill="FFFFFF"/>
            <w:textDirection w:val="btLr"/>
            <w:vAlign w:val="center"/>
          </w:tcPr>
          <w:p w14:paraId="1B55846E">
            <w:pPr>
              <w:pStyle w:val="37"/>
              <w:spacing w:before="36"/>
              <w:jc w:val="center"/>
              <w:rPr>
                <w:b/>
                <w:bCs/>
                <w:sz w:val="18"/>
                <w:szCs w:val="18"/>
              </w:rPr>
            </w:pPr>
            <w:r>
              <w:rPr>
                <w:rFonts w:cs="宋体"/>
                <w:b/>
                <w:sz w:val="18"/>
              </w:rPr>
              <w:t>植入</w:t>
            </w:r>
          </w:p>
        </w:tc>
        <w:tc>
          <w:tcPr>
            <w:tcW w:w="433" w:type="dxa"/>
            <w:vMerge w:val="restart"/>
            <w:tcBorders>
              <w:top w:val="single" w:color="auto" w:sz="4" w:space="0"/>
              <w:left w:val="single" w:color="auto" w:sz="4" w:space="0"/>
            </w:tcBorders>
            <w:shd w:val="clear" w:color="auto" w:fill="FFFFFF"/>
            <w:textDirection w:val="btLr"/>
            <w:vAlign w:val="center"/>
          </w:tcPr>
          <w:p w14:paraId="3AC621F0">
            <w:pPr>
              <w:pStyle w:val="37"/>
              <w:spacing w:before="36"/>
              <w:jc w:val="center"/>
              <w:rPr>
                <w:b/>
                <w:bCs/>
                <w:sz w:val="18"/>
                <w:szCs w:val="18"/>
              </w:rPr>
            </w:pPr>
            <w:r>
              <w:rPr>
                <w:rFonts w:cs="宋体"/>
                <w:b/>
                <w:sz w:val="18"/>
              </w:rPr>
              <w:t>血液相容性</w:t>
            </w:r>
          </w:p>
        </w:tc>
        <w:tc>
          <w:tcPr>
            <w:tcW w:w="434" w:type="dxa"/>
            <w:vMerge w:val="restart"/>
            <w:tcBorders>
              <w:top w:val="single" w:color="auto" w:sz="4" w:space="0"/>
              <w:left w:val="single" w:color="auto" w:sz="4" w:space="0"/>
            </w:tcBorders>
            <w:shd w:val="clear" w:color="auto" w:fill="FFFFFF"/>
            <w:textDirection w:val="btLr"/>
            <w:vAlign w:val="center"/>
          </w:tcPr>
          <w:p w14:paraId="5E10D3F2">
            <w:pPr>
              <w:pStyle w:val="37"/>
              <w:spacing w:before="36"/>
              <w:jc w:val="center"/>
              <w:rPr>
                <w:b/>
                <w:bCs/>
                <w:sz w:val="18"/>
                <w:szCs w:val="18"/>
              </w:rPr>
            </w:pPr>
            <w:r>
              <w:rPr>
                <w:rFonts w:cs="宋体"/>
                <w:b/>
                <w:sz w:val="18"/>
              </w:rPr>
              <w:t>慢性毒性</w:t>
            </w:r>
          </w:p>
        </w:tc>
        <w:tc>
          <w:tcPr>
            <w:tcW w:w="434" w:type="dxa"/>
            <w:vMerge w:val="restart"/>
            <w:tcBorders>
              <w:top w:val="single" w:color="auto" w:sz="4" w:space="0"/>
              <w:left w:val="single" w:color="auto" w:sz="4" w:space="0"/>
            </w:tcBorders>
            <w:shd w:val="clear" w:color="auto" w:fill="FFFFFF"/>
            <w:textDirection w:val="btLr"/>
            <w:vAlign w:val="center"/>
          </w:tcPr>
          <w:p w14:paraId="469FC9FF">
            <w:pPr>
              <w:pStyle w:val="37"/>
              <w:spacing w:before="36"/>
              <w:jc w:val="center"/>
              <w:rPr>
                <w:b/>
                <w:bCs/>
                <w:sz w:val="18"/>
                <w:szCs w:val="18"/>
              </w:rPr>
            </w:pPr>
            <w:r>
              <w:rPr>
                <w:rFonts w:cs="宋体"/>
                <w:b/>
                <w:sz w:val="18"/>
              </w:rPr>
              <w:t>致癌性</w:t>
            </w:r>
          </w:p>
        </w:tc>
        <w:tc>
          <w:tcPr>
            <w:tcW w:w="434" w:type="dxa"/>
            <w:vMerge w:val="restart"/>
            <w:tcBorders>
              <w:top w:val="single" w:color="auto" w:sz="4" w:space="0"/>
              <w:left w:val="single" w:color="auto" w:sz="4" w:space="0"/>
            </w:tcBorders>
            <w:shd w:val="clear" w:color="auto" w:fill="FFFFFF"/>
            <w:textDirection w:val="btLr"/>
            <w:vAlign w:val="center"/>
          </w:tcPr>
          <w:p w14:paraId="7B1528BB">
            <w:pPr>
              <w:pStyle w:val="37"/>
              <w:spacing w:before="36"/>
              <w:jc w:val="center"/>
              <w:rPr>
                <w:b/>
                <w:bCs/>
                <w:sz w:val="18"/>
                <w:szCs w:val="18"/>
              </w:rPr>
            </w:pPr>
            <w:r>
              <w:rPr>
                <w:rFonts w:cs="宋体"/>
                <w:b/>
                <w:sz w:val="18"/>
              </w:rPr>
              <w:t>生殖/发育毒性#</w:t>
            </w:r>
          </w:p>
        </w:tc>
        <w:tc>
          <w:tcPr>
            <w:tcW w:w="434" w:type="dxa"/>
            <w:vMerge w:val="restart"/>
            <w:tcBorders>
              <w:top w:val="single" w:color="auto" w:sz="4" w:space="0"/>
              <w:left w:val="single" w:color="auto" w:sz="4" w:space="0"/>
              <w:right w:val="single" w:color="auto" w:sz="4" w:space="0"/>
            </w:tcBorders>
            <w:shd w:val="clear" w:color="auto" w:fill="FFFFFF"/>
            <w:textDirection w:val="btLr"/>
            <w:vAlign w:val="center"/>
          </w:tcPr>
          <w:p w14:paraId="75C879C1">
            <w:pPr>
              <w:pStyle w:val="37"/>
              <w:spacing w:before="36"/>
              <w:jc w:val="center"/>
              <w:rPr>
                <w:b/>
                <w:bCs/>
                <w:sz w:val="18"/>
                <w:szCs w:val="18"/>
              </w:rPr>
            </w:pPr>
            <w:r>
              <w:rPr>
                <w:rFonts w:cs="宋体"/>
                <w:b/>
                <w:sz w:val="18"/>
              </w:rPr>
              <w:t>降解@</w:t>
            </w:r>
          </w:p>
        </w:tc>
      </w:tr>
      <w:tr w14:paraId="33FE7C13">
        <w:tblPrEx>
          <w:tblCellMar>
            <w:top w:w="0" w:type="dxa"/>
            <w:left w:w="113" w:type="dxa"/>
            <w:bottom w:w="0" w:type="dxa"/>
            <w:right w:w="113" w:type="dxa"/>
          </w:tblCellMar>
        </w:tblPrEx>
        <w:tc>
          <w:tcPr>
            <w:tcW w:w="680" w:type="dxa"/>
            <w:vMerge w:val="restart"/>
            <w:tcBorders>
              <w:left w:val="single" w:color="auto" w:sz="4" w:space="0"/>
              <w:right w:val="single" w:color="auto" w:sz="4" w:space="0"/>
            </w:tcBorders>
            <w:shd w:val="clear" w:color="auto" w:fill="FFFFFF"/>
            <w:vAlign w:val="center"/>
          </w:tcPr>
          <w:p w14:paraId="718B5B09">
            <w:pPr>
              <w:pStyle w:val="37"/>
              <w:spacing w:before="36"/>
              <w:jc w:val="center"/>
              <w:rPr>
                <w:b/>
                <w:bCs/>
                <w:sz w:val="18"/>
                <w:szCs w:val="18"/>
              </w:rPr>
            </w:pPr>
            <w:r>
              <w:rPr>
                <w:rFonts w:cs="宋体"/>
                <w:b/>
                <w:sz w:val="18"/>
              </w:rPr>
              <w:t>类别</w:t>
            </w:r>
          </w:p>
        </w:tc>
        <w:tc>
          <w:tcPr>
            <w:tcW w:w="993" w:type="dxa"/>
            <w:vMerge w:val="restart"/>
            <w:tcBorders>
              <w:left w:val="single" w:color="auto" w:sz="4" w:space="0"/>
              <w:right w:val="single" w:color="auto" w:sz="4" w:space="0"/>
            </w:tcBorders>
            <w:shd w:val="clear" w:color="auto" w:fill="FFFFFF"/>
            <w:vAlign w:val="center"/>
          </w:tcPr>
          <w:p w14:paraId="0A306CE5">
            <w:pPr>
              <w:pStyle w:val="37"/>
              <w:spacing w:before="36"/>
              <w:jc w:val="center"/>
              <w:rPr>
                <w:b/>
                <w:bCs/>
                <w:sz w:val="18"/>
                <w:szCs w:val="18"/>
              </w:rPr>
            </w:pPr>
            <w:r>
              <w:rPr>
                <w:rFonts w:cs="宋体"/>
                <w:b/>
                <w:sz w:val="18"/>
              </w:rPr>
              <w:t>接触</w:t>
            </w:r>
          </w:p>
        </w:tc>
        <w:tc>
          <w:tcPr>
            <w:tcW w:w="1984" w:type="dxa"/>
            <w:tcBorders>
              <w:left w:val="single" w:color="auto" w:sz="4" w:space="0"/>
            </w:tcBorders>
            <w:shd w:val="clear" w:color="auto" w:fill="FFFFFF"/>
            <w:vAlign w:val="center"/>
          </w:tcPr>
          <w:p w14:paraId="7ECE5425">
            <w:pPr>
              <w:pStyle w:val="37"/>
              <w:spacing w:before="36"/>
              <w:jc w:val="center"/>
              <w:rPr>
                <w:b/>
                <w:bCs/>
                <w:sz w:val="18"/>
                <w:szCs w:val="18"/>
              </w:rPr>
            </w:pPr>
            <w:r>
              <w:rPr>
                <w:rFonts w:cs="宋体"/>
                <w:b/>
                <w:sz w:val="18"/>
              </w:rPr>
              <w:t>A-短期</w:t>
            </w:r>
          </w:p>
          <w:p w14:paraId="4C7F102B">
            <w:pPr>
              <w:pStyle w:val="37"/>
              <w:spacing w:before="36"/>
              <w:jc w:val="center"/>
              <w:rPr>
                <w:sz w:val="18"/>
                <w:szCs w:val="18"/>
              </w:rPr>
            </w:pPr>
            <w:r>
              <w:rPr>
                <w:rFonts w:cs="宋体"/>
                <w:sz w:val="18"/>
              </w:rPr>
              <w:t>24小时以内</w:t>
            </w:r>
          </w:p>
        </w:tc>
        <w:tc>
          <w:tcPr>
            <w:tcW w:w="433" w:type="dxa"/>
            <w:vMerge w:val="continue"/>
            <w:tcBorders>
              <w:left w:val="single" w:color="auto" w:sz="4" w:space="0"/>
            </w:tcBorders>
            <w:shd w:val="clear" w:color="auto" w:fill="FFFFFF"/>
            <w:textDirection w:val="btLr"/>
            <w:vAlign w:val="center"/>
          </w:tcPr>
          <w:p w14:paraId="419C1DDC">
            <w:pPr>
              <w:pStyle w:val="37"/>
              <w:spacing w:before="36"/>
              <w:rPr>
                <w:sz w:val="18"/>
                <w:szCs w:val="18"/>
              </w:rPr>
            </w:pPr>
          </w:p>
        </w:tc>
        <w:tc>
          <w:tcPr>
            <w:tcW w:w="434" w:type="dxa"/>
            <w:vMerge w:val="continue"/>
            <w:tcBorders>
              <w:left w:val="single" w:color="auto" w:sz="4" w:space="0"/>
            </w:tcBorders>
            <w:shd w:val="clear" w:color="auto" w:fill="FFFFFF"/>
            <w:textDirection w:val="btLr"/>
            <w:vAlign w:val="center"/>
          </w:tcPr>
          <w:p w14:paraId="1D324B67">
            <w:pPr>
              <w:pStyle w:val="37"/>
              <w:spacing w:before="36"/>
              <w:rPr>
                <w:sz w:val="18"/>
                <w:szCs w:val="18"/>
              </w:rPr>
            </w:pPr>
          </w:p>
        </w:tc>
        <w:tc>
          <w:tcPr>
            <w:tcW w:w="434" w:type="dxa"/>
            <w:vMerge w:val="continue"/>
            <w:tcBorders>
              <w:left w:val="single" w:color="auto" w:sz="4" w:space="0"/>
            </w:tcBorders>
            <w:shd w:val="clear" w:color="auto" w:fill="FFFFFF"/>
            <w:textDirection w:val="btLr"/>
            <w:vAlign w:val="center"/>
          </w:tcPr>
          <w:p w14:paraId="2D837706">
            <w:pPr>
              <w:pStyle w:val="37"/>
              <w:spacing w:before="36"/>
              <w:rPr>
                <w:sz w:val="18"/>
                <w:szCs w:val="18"/>
              </w:rPr>
            </w:pPr>
          </w:p>
        </w:tc>
        <w:tc>
          <w:tcPr>
            <w:tcW w:w="434" w:type="dxa"/>
            <w:vMerge w:val="continue"/>
            <w:tcBorders>
              <w:left w:val="single" w:color="auto" w:sz="4" w:space="0"/>
            </w:tcBorders>
            <w:shd w:val="clear" w:color="auto" w:fill="FFFFFF"/>
            <w:textDirection w:val="btLr"/>
            <w:vAlign w:val="center"/>
          </w:tcPr>
          <w:p w14:paraId="2779FB65">
            <w:pPr>
              <w:pStyle w:val="37"/>
              <w:spacing w:before="36"/>
              <w:rPr>
                <w:sz w:val="18"/>
                <w:szCs w:val="18"/>
              </w:rPr>
            </w:pPr>
          </w:p>
        </w:tc>
        <w:tc>
          <w:tcPr>
            <w:tcW w:w="433" w:type="dxa"/>
            <w:vMerge w:val="continue"/>
            <w:tcBorders>
              <w:left w:val="single" w:color="auto" w:sz="4" w:space="0"/>
            </w:tcBorders>
            <w:shd w:val="clear" w:color="auto" w:fill="FFFFFF"/>
            <w:textDirection w:val="btLr"/>
            <w:vAlign w:val="center"/>
          </w:tcPr>
          <w:p w14:paraId="0DAE1FD8">
            <w:pPr>
              <w:pStyle w:val="37"/>
              <w:spacing w:before="36"/>
              <w:rPr>
                <w:sz w:val="18"/>
                <w:szCs w:val="18"/>
              </w:rPr>
            </w:pPr>
          </w:p>
        </w:tc>
        <w:tc>
          <w:tcPr>
            <w:tcW w:w="434" w:type="dxa"/>
            <w:vMerge w:val="continue"/>
            <w:tcBorders>
              <w:left w:val="single" w:color="auto" w:sz="4" w:space="0"/>
            </w:tcBorders>
            <w:shd w:val="clear" w:color="auto" w:fill="FFFFFF"/>
            <w:textDirection w:val="btLr"/>
            <w:vAlign w:val="center"/>
          </w:tcPr>
          <w:p w14:paraId="6C086640">
            <w:pPr>
              <w:pStyle w:val="37"/>
              <w:spacing w:before="36"/>
              <w:rPr>
                <w:sz w:val="18"/>
                <w:szCs w:val="18"/>
              </w:rPr>
            </w:pPr>
          </w:p>
        </w:tc>
        <w:tc>
          <w:tcPr>
            <w:tcW w:w="434" w:type="dxa"/>
            <w:vMerge w:val="continue"/>
            <w:tcBorders>
              <w:left w:val="single" w:color="auto" w:sz="4" w:space="0"/>
            </w:tcBorders>
            <w:shd w:val="clear" w:color="auto" w:fill="FFFFFF"/>
            <w:textDirection w:val="btLr"/>
            <w:vAlign w:val="center"/>
          </w:tcPr>
          <w:p w14:paraId="19479BB7">
            <w:pPr>
              <w:pStyle w:val="37"/>
              <w:spacing w:before="36"/>
              <w:rPr>
                <w:sz w:val="18"/>
                <w:szCs w:val="18"/>
              </w:rPr>
            </w:pPr>
          </w:p>
        </w:tc>
        <w:tc>
          <w:tcPr>
            <w:tcW w:w="434" w:type="dxa"/>
            <w:vMerge w:val="continue"/>
            <w:tcBorders>
              <w:left w:val="single" w:color="auto" w:sz="4" w:space="0"/>
            </w:tcBorders>
            <w:shd w:val="clear" w:color="auto" w:fill="FFFFFF"/>
            <w:textDirection w:val="btLr"/>
            <w:vAlign w:val="center"/>
          </w:tcPr>
          <w:p w14:paraId="6B2D75B3">
            <w:pPr>
              <w:pStyle w:val="37"/>
              <w:spacing w:before="36"/>
              <w:rPr>
                <w:sz w:val="18"/>
                <w:szCs w:val="18"/>
              </w:rPr>
            </w:pPr>
          </w:p>
        </w:tc>
        <w:tc>
          <w:tcPr>
            <w:tcW w:w="433" w:type="dxa"/>
            <w:vMerge w:val="continue"/>
            <w:tcBorders>
              <w:left w:val="single" w:color="auto" w:sz="4" w:space="0"/>
            </w:tcBorders>
            <w:shd w:val="clear" w:color="auto" w:fill="FFFFFF"/>
            <w:textDirection w:val="btLr"/>
            <w:vAlign w:val="center"/>
          </w:tcPr>
          <w:p w14:paraId="4A093309">
            <w:pPr>
              <w:pStyle w:val="37"/>
              <w:spacing w:before="36"/>
              <w:rPr>
                <w:sz w:val="18"/>
                <w:szCs w:val="18"/>
              </w:rPr>
            </w:pPr>
          </w:p>
        </w:tc>
        <w:tc>
          <w:tcPr>
            <w:tcW w:w="434" w:type="dxa"/>
            <w:vMerge w:val="continue"/>
            <w:tcBorders>
              <w:left w:val="single" w:color="auto" w:sz="4" w:space="0"/>
            </w:tcBorders>
            <w:shd w:val="clear" w:color="auto" w:fill="FFFFFF"/>
            <w:textDirection w:val="btLr"/>
            <w:vAlign w:val="center"/>
          </w:tcPr>
          <w:p w14:paraId="5DF7C665">
            <w:pPr>
              <w:pStyle w:val="37"/>
              <w:spacing w:before="36"/>
              <w:rPr>
                <w:sz w:val="18"/>
                <w:szCs w:val="18"/>
              </w:rPr>
            </w:pPr>
          </w:p>
        </w:tc>
        <w:tc>
          <w:tcPr>
            <w:tcW w:w="434" w:type="dxa"/>
            <w:vMerge w:val="continue"/>
            <w:tcBorders>
              <w:left w:val="single" w:color="auto" w:sz="4" w:space="0"/>
            </w:tcBorders>
            <w:shd w:val="clear" w:color="auto" w:fill="FFFFFF"/>
            <w:textDirection w:val="btLr"/>
            <w:vAlign w:val="center"/>
          </w:tcPr>
          <w:p w14:paraId="058300A3">
            <w:pPr>
              <w:pStyle w:val="37"/>
              <w:spacing w:before="36"/>
              <w:rPr>
                <w:sz w:val="18"/>
                <w:szCs w:val="18"/>
              </w:rPr>
            </w:pPr>
          </w:p>
        </w:tc>
        <w:tc>
          <w:tcPr>
            <w:tcW w:w="434" w:type="dxa"/>
            <w:vMerge w:val="continue"/>
            <w:tcBorders>
              <w:left w:val="single" w:color="auto" w:sz="4" w:space="0"/>
            </w:tcBorders>
            <w:shd w:val="clear" w:color="auto" w:fill="FFFFFF"/>
            <w:textDirection w:val="btLr"/>
            <w:vAlign w:val="center"/>
          </w:tcPr>
          <w:p w14:paraId="0DBC2EEE">
            <w:pPr>
              <w:pStyle w:val="37"/>
              <w:spacing w:before="36"/>
              <w:rPr>
                <w:sz w:val="18"/>
                <w:szCs w:val="18"/>
              </w:rPr>
            </w:pPr>
          </w:p>
        </w:tc>
        <w:tc>
          <w:tcPr>
            <w:tcW w:w="434" w:type="dxa"/>
            <w:vMerge w:val="continue"/>
            <w:tcBorders>
              <w:left w:val="single" w:color="auto" w:sz="4" w:space="0"/>
              <w:right w:val="single" w:color="auto" w:sz="4" w:space="0"/>
            </w:tcBorders>
            <w:shd w:val="clear" w:color="auto" w:fill="FFFFFF"/>
            <w:textDirection w:val="btLr"/>
            <w:vAlign w:val="center"/>
          </w:tcPr>
          <w:p w14:paraId="07611F68">
            <w:pPr>
              <w:pStyle w:val="37"/>
              <w:spacing w:before="36"/>
              <w:rPr>
                <w:sz w:val="18"/>
                <w:szCs w:val="18"/>
              </w:rPr>
            </w:pPr>
          </w:p>
        </w:tc>
      </w:tr>
      <w:tr w14:paraId="5D516D23">
        <w:tblPrEx>
          <w:tblCellMar>
            <w:top w:w="0" w:type="dxa"/>
            <w:left w:w="113" w:type="dxa"/>
            <w:bottom w:w="0" w:type="dxa"/>
            <w:right w:w="113" w:type="dxa"/>
          </w:tblCellMar>
        </w:tblPrEx>
        <w:tc>
          <w:tcPr>
            <w:tcW w:w="680" w:type="dxa"/>
            <w:vMerge w:val="continue"/>
            <w:tcBorders>
              <w:left w:val="single" w:color="auto" w:sz="4" w:space="0"/>
              <w:right w:val="single" w:color="auto" w:sz="4" w:space="0"/>
            </w:tcBorders>
            <w:shd w:val="clear" w:color="auto" w:fill="FFFFFF"/>
            <w:vAlign w:val="center"/>
          </w:tcPr>
          <w:p w14:paraId="44EAAD95">
            <w:pPr>
              <w:pStyle w:val="37"/>
              <w:spacing w:before="36"/>
              <w:rPr>
                <w:sz w:val="18"/>
                <w:szCs w:val="18"/>
              </w:rPr>
            </w:pPr>
          </w:p>
        </w:tc>
        <w:tc>
          <w:tcPr>
            <w:tcW w:w="993" w:type="dxa"/>
            <w:vMerge w:val="continue"/>
            <w:tcBorders>
              <w:left w:val="single" w:color="auto" w:sz="4" w:space="0"/>
              <w:right w:val="single" w:color="auto" w:sz="4" w:space="0"/>
            </w:tcBorders>
            <w:shd w:val="clear" w:color="auto" w:fill="FFFFFF"/>
            <w:vAlign w:val="center"/>
          </w:tcPr>
          <w:p w14:paraId="7A120E4F">
            <w:pPr>
              <w:pStyle w:val="37"/>
              <w:spacing w:before="36"/>
              <w:rPr>
                <w:sz w:val="18"/>
                <w:szCs w:val="18"/>
              </w:rPr>
            </w:pPr>
          </w:p>
        </w:tc>
        <w:tc>
          <w:tcPr>
            <w:tcW w:w="1984" w:type="dxa"/>
            <w:tcBorders>
              <w:left w:val="single" w:color="auto" w:sz="4" w:space="0"/>
            </w:tcBorders>
            <w:shd w:val="clear" w:color="auto" w:fill="FFFFFF"/>
            <w:vAlign w:val="center"/>
          </w:tcPr>
          <w:p w14:paraId="21BBDD18">
            <w:pPr>
              <w:pStyle w:val="37"/>
              <w:spacing w:before="36"/>
              <w:jc w:val="center"/>
              <w:rPr>
                <w:b/>
                <w:bCs/>
                <w:sz w:val="18"/>
                <w:szCs w:val="18"/>
                <w:lang w:eastAsia="zh-CN"/>
              </w:rPr>
            </w:pPr>
            <w:r>
              <w:rPr>
                <w:rFonts w:cs="宋体"/>
                <w:b/>
                <w:sz w:val="18"/>
                <w:lang w:eastAsia="zh-CN"/>
              </w:rPr>
              <w:t>B-长期</w:t>
            </w:r>
          </w:p>
          <w:p w14:paraId="3F1DA6E1">
            <w:pPr>
              <w:pStyle w:val="37"/>
              <w:spacing w:before="36"/>
              <w:jc w:val="center"/>
              <w:rPr>
                <w:sz w:val="18"/>
                <w:szCs w:val="18"/>
                <w:lang w:eastAsia="zh-CN"/>
              </w:rPr>
            </w:pPr>
            <w:r>
              <w:rPr>
                <w:rFonts w:cs="宋体"/>
                <w:sz w:val="18"/>
                <w:lang w:eastAsia="zh-CN"/>
              </w:rPr>
              <w:t>24小时以上30天以内</w:t>
            </w:r>
          </w:p>
        </w:tc>
        <w:tc>
          <w:tcPr>
            <w:tcW w:w="433" w:type="dxa"/>
            <w:vMerge w:val="continue"/>
            <w:tcBorders>
              <w:left w:val="single" w:color="auto" w:sz="4" w:space="0"/>
            </w:tcBorders>
            <w:shd w:val="clear" w:color="auto" w:fill="FFFFFF"/>
            <w:textDirection w:val="btLr"/>
            <w:vAlign w:val="center"/>
          </w:tcPr>
          <w:p w14:paraId="6F97D250">
            <w:pPr>
              <w:pStyle w:val="37"/>
              <w:spacing w:before="36"/>
              <w:rPr>
                <w:sz w:val="18"/>
                <w:szCs w:val="18"/>
                <w:lang w:eastAsia="zh-CN"/>
              </w:rPr>
            </w:pPr>
          </w:p>
        </w:tc>
        <w:tc>
          <w:tcPr>
            <w:tcW w:w="434" w:type="dxa"/>
            <w:vMerge w:val="continue"/>
            <w:tcBorders>
              <w:left w:val="single" w:color="auto" w:sz="4" w:space="0"/>
            </w:tcBorders>
            <w:shd w:val="clear" w:color="auto" w:fill="FFFFFF"/>
            <w:textDirection w:val="btLr"/>
            <w:vAlign w:val="center"/>
          </w:tcPr>
          <w:p w14:paraId="2E6C3954">
            <w:pPr>
              <w:pStyle w:val="37"/>
              <w:spacing w:before="36"/>
              <w:rPr>
                <w:sz w:val="18"/>
                <w:szCs w:val="18"/>
                <w:lang w:eastAsia="zh-CN"/>
              </w:rPr>
            </w:pPr>
          </w:p>
        </w:tc>
        <w:tc>
          <w:tcPr>
            <w:tcW w:w="434" w:type="dxa"/>
            <w:vMerge w:val="continue"/>
            <w:tcBorders>
              <w:left w:val="single" w:color="auto" w:sz="4" w:space="0"/>
            </w:tcBorders>
            <w:shd w:val="clear" w:color="auto" w:fill="FFFFFF"/>
            <w:textDirection w:val="btLr"/>
            <w:vAlign w:val="center"/>
          </w:tcPr>
          <w:p w14:paraId="08E02582">
            <w:pPr>
              <w:pStyle w:val="37"/>
              <w:spacing w:before="36"/>
              <w:rPr>
                <w:sz w:val="18"/>
                <w:szCs w:val="18"/>
                <w:lang w:eastAsia="zh-CN"/>
              </w:rPr>
            </w:pPr>
          </w:p>
        </w:tc>
        <w:tc>
          <w:tcPr>
            <w:tcW w:w="434" w:type="dxa"/>
            <w:vMerge w:val="continue"/>
            <w:tcBorders>
              <w:left w:val="single" w:color="auto" w:sz="4" w:space="0"/>
            </w:tcBorders>
            <w:shd w:val="clear" w:color="auto" w:fill="FFFFFF"/>
            <w:textDirection w:val="btLr"/>
            <w:vAlign w:val="center"/>
          </w:tcPr>
          <w:p w14:paraId="1A0BA579">
            <w:pPr>
              <w:pStyle w:val="37"/>
              <w:spacing w:before="36"/>
              <w:rPr>
                <w:sz w:val="18"/>
                <w:szCs w:val="18"/>
                <w:lang w:eastAsia="zh-CN"/>
              </w:rPr>
            </w:pPr>
          </w:p>
        </w:tc>
        <w:tc>
          <w:tcPr>
            <w:tcW w:w="433" w:type="dxa"/>
            <w:vMerge w:val="continue"/>
            <w:tcBorders>
              <w:left w:val="single" w:color="auto" w:sz="4" w:space="0"/>
            </w:tcBorders>
            <w:shd w:val="clear" w:color="auto" w:fill="FFFFFF"/>
            <w:textDirection w:val="btLr"/>
            <w:vAlign w:val="center"/>
          </w:tcPr>
          <w:p w14:paraId="4BD7E41B">
            <w:pPr>
              <w:pStyle w:val="37"/>
              <w:spacing w:before="36"/>
              <w:rPr>
                <w:sz w:val="18"/>
                <w:szCs w:val="18"/>
                <w:lang w:eastAsia="zh-CN"/>
              </w:rPr>
            </w:pPr>
          </w:p>
        </w:tc>
        <w:tc>
          <w:tcPr>
            <w:tcW w:w="434" w:type="dxa"/>
            <w:vMerge w:val="continue"/>
            <w:tcBorders>
              <w:left w:val="single" w:color="auto" w:sz="4" w:space="0"/>
            </w:tcBorders>
            <w:shd w:val="clear" w:color="auto" w:fill="FFFFFF"/>
            <w:textDirection w:val="btLr"/>
            <w:vAlign w:val="center"/>
          </w:tcPr>
          <w:p w14:paraId="3456AEC9">
            <w:pPr>
              <w:pStyle w:val="37"/>
              <w:spacing w:before="36"/>
              <w:rPr>
                <w:sz w:val="18"/>
                <w:szCs w:val="18"/>
                <w:lang w:eastAsia="zh-CN"/>
              </w:rPr>
            </w:pPr>
          </w:p>
        </w:tc>
        <w:tc>
          <w:tcPr>
            <w:tcW w:w="434" w:type="dxa"/>
            <w:vMerge w:val="continue"/>
            <w:tcBorders>
              <w:left w:val="single" w:color="auto" w:sz="4" w:space="0"/>
            </w:tcBorders>
            <w:shd w:val="clear" w:color="auto" w:fill="FFFFFF"/>
            <w:textDirection w:val="btLr"/>
            <w:vAlign w:val="center"/>
          </w:tcPr>
          <w:p w14:paraId="7C7C19BA">
            <w:pPr>
              <w:pStyle w:val="37"/>
              <w:spacing w:before="36"/>
              <w:rPr>
                <w:sz w:val="18"/>
                <w:szCs w:val="18"/>
                <w:lang w:eastAsia="zh-CN"/>
              </w:rPr>
            </w:pPr>
          </w:p>
        </w:tc>
        <w:tc>
          <w:tcPr>
            <w:tcW w:w="434" w:type="dxa"/>
            <w:vMerge w:val="continue"/>
            <w:tcBorders>
              <w:left w:val="single" w:color="auto" w:sz="4" w:space="0"/>
            </w:tcBorders>
            <w:shd w:val="clear" w:color="auto" w:fill="FFFFFF"/>
            <w:textDirection w:val="btLr"/>
            <w:vAlign w:val="center"/>
          </w:tcPr>
          <w:p w14:paraId="3FF3E410">
            <w:pPr>
              <w:pStyle w:val="37"/>
              <w:spacing w:before="36"/>
              <w:rPr>
                <w:sz w:val="18"/>
                <w:szCs w:val="18"/>
                <w:lang w:eastAsia="zh-CN"/>
              </w:rPr>
            </w:pPr>
          </w:p>
        </w:tc>
        <w:tc>
          <w:tcPr>
            <w:tcW w:w="433" w:type="dxa"/>
            <w:vMerge w:val="continue"/>
            <w:tcBorders>
              <w:left w:val="single" w:color="auto" w:sz="4" w:space="0"/>
            </w:tcBorders>
            <w:shd w:val="clear" w:color="auto" w:fill="FFFFFF"/>
            <w:textDirection w:val="btLr"/>
            <w:vAlign w:val="center"/>
          </w:tcPr>
          <w:p w14:paraId="0A811E72">
            <w:pPr>
              <w:pStyle w:val="37"/>
              <w:spacing w:before="36"/>
              <w:rPr>
                <w:sz w:val="18"/>
                <w:szCs w:val="18"/>
                <w:lang w:eastAsia="zh-CN"/>
              </w:rPr>
            </w:pPr>
          </w:p>
        </w:tc>
        <w:tc>
          <w:tcPr>
            <w:tcW w:w="434" w:type="dxa"/>
            <w:vMerge w:val="continue"/>
            <w:tcBorders>
              <w:left w:val="single" w:color="auto" w:sz="4" w:space="0"/>
            </w:tcBorders>
            <w:shd w:val="clear" w:color="auto" w:fill="FFFFFF"/>
            <w:textDirection w:val="btLr"/>
            <w:vAlign w:val="center"/>
          </w:tcPr>
          <w:p w14:paraId="1679ACB8">
            <w:pPr>
              <w:pStyle w:val="37"/>
              <w:spacing w:before="36"/>
              <w:rPr>
                <w:sz w:val="18"/>
                <w:szCs w:val="18"/>
                <w:lang w:eastAsia="zh-CN"/>
              </w:rPr>
            </w:pPr>
          </w:p>
        </w:tc>
        <w:tc>
          <w:tcPr>
            <w:tcW w:w="434" w:type="dxa"/>
            <w:vMerge w:val="continue"/>
            <w:tcBorders>
              <w:left w:val="single" w:color="auto" w:sz="4" w:space="0"/>
            </w:tcBorders>
            <w:shd w:val="clear" w:color="auto" w:fill="FFFFFF"/>
            <w:textDirection w:val="btLr"/>
            <w:vAlign w:val="center"/>
          </w:tcPr>
          <w:p w14:paraId="54E3D640">
            <w:pPr>
              <w:pStyle w:val="37"/>
              <w:spacing w:before="36"/>
              <w:rPr>
                <w:sz w:val="18"/>
                <w:szCs w:val="18"/>
                <w:lang w:eastAsia="zh-CN"/>
              </w:rPr>
            </w:pPr>
          </w:p>
        </w:tc>
        <w:tc>
          <w:tcPr>
            <w:tcW w:w="434" w:type="dxa"/>
            <w:vMerge w:val="continue"/>
            <w:tcBorders>
              <w:left w:val="single" w:color="auto" w:sz="4" w:space="0"/>
            </w:tcBorders>
            <w:shd w:val="clear" w:color="auto" w:fill="FFFFFF"/>
            <w:textDirection w:val="btLr"/>
            <w:vAlign w:val="center"/>
          </w:tcPr>
          <w:p w14:paraId="439F330F">
            <w:pPr>
              <w:pStyle w:val="37"/>
              <w:spacing w:before="36"/>
              <w:rPr>
                <w:sz w:val="18"/>
                <w:szCs w:val="18"/>
                <w:lang w:eastAsia="zh-CN"/>
              </w:rPr>
            </w:pPr>
          </w:p>
        </w:tc>
        <w:tc>
          <w:tcPr>
            <w:tcW w:w="434" w:type="dxa"/>
            <w:vMerge w:val="continue"/>
            <w:tcBorders>
              <w:left w:val="single" w:color="auto" w:sz="4" w:space="0"/>
              <w:right w:val="single" w:color="auto" w:sz="4" w:space="0"/>
            </w:tcBorders>
            <w:shd w:val="clear" w:color="auto" w:fill="FFFFFF"/>
            <w:textDirection w:val="btLr"/>
            <w:vAlign w:val="center"/>
          </w:tcPr>
          <w:p w14:paraId="4D76B02C">
            <w:pPr>
              <w:pStyle w:val="37"/>
              <w:spacing w:before="36"/>
              <w:rPr>
                <w:sz w:val="18"/>
                <w:szCs w:val="18"/>
                <w:lang w:eastAsia="zh-CN"/>
              </w:rPr>
            </w:pPr>
          </w:p>
        </w:tc>
      </w:tr>
      <w:tr w14:paraId="7B265C1B">
        <w:tblPrEx>
          <w:tblCellMar>
            <w:top w:w="0" w:type="dxa"/>
            <w:left w:w="113" w:type="dxa"/>
            <w:bottom w:w="0" w:type="dxa"/>
            <w:right w:w="113" w:type="dxa"/>
          </w:tblCellMar>
        </w:tblPrEx>
        <w:trPr>
          <w:trHeight w:val="1175" w:hRule="atLeast"/>
        </w:trPr>
        <w:tc>
          <w:tcPr>
            <w:tcW w:w="680" w:type="dxa"/>
            <w:vMerge w:val="continue"/>
            <w:tcBorders>
              <w:left w:val="single" w:color="auto" w:sz="4" w:space="0"/>
              <w:right w:val="single" w:color="auto" w:sz="4" w:space="0"/>
            </w:tcBorders>
            <w:shd w:val="clear" w:color="auto" w:fill="FFFFFF"/>
            <w:vAlign w:val="center"/>
          </w:tcPr>
          <w:p w14:paraId="17D4B9CC">
            <w:pPr>
              <w:pStyle w:val="37"/>
              <w:spacing w:before="36"/>
              <w:rPr>
                <w:sz w:val="18"/>
                <w:szCs w:val="18"/>
                <w:lang w:eastAsia="zh-CN"/>
              </w:rPr>
            </w:pPr>
          </w:p>
        </w:tc>
        <w:tc>
          <w:tcPr>
            <w:tcW w:w="993" w:type="dxa"/>
            <w:vMerge w:val="continue"/>
            <w:tcBorders>
              <w:left w:val="single" w:color="auto" w:sz="4" w:space="0"/>
              <w:right w:val="single" w:color="auto" w:sz="4" w:space="0"/>
            </w:tcBorders>
            <w:shd w:val="clear" w:color="auto" w:fill="FFFFFF"/>
            <w:vAlign w:val="center"/>
          </w:tcPr>
          <w:p w14:paraId="56E89808">
            <w:pPr>
              <w:pStyle w:val="37"/>
              <w:spacing w:before="36"/>
              <w:rPr>
                <w:sz w:val="18"/>
                <w:szCs w:val="18"/>
                <w:lang w:eastAsia="zh-CN"/>
              </w:rPr>
            </w:pPr>
          </w:p>
        </w:tc>
        <w:tc>
          <w:tcPr>
            <w:tcW w:w="1984" w:type="dxa"/>
            <w:tcBorders>
              <w:left w:val="single" w:color="auto" w:sz="4" w:space="0"/>
            </w:tcBorders>
            <w:shd w:val="clear" w:color="auto" w:fill="FFFFFF"/>
            <w:vAlign w:val="center"/>
          </w:tcPr>
          <w:p w14:paraId="341D4B57">
            <w:pPr>
              <w:pStyle w:val="37"/>
              <w:spacing w:before="36"/>
              <w:jc w:val="center"/>
              <w:rPr>
                <w:b/>
                <w:bCs/>
                <w:sz w:val="18"/>
                <w:szCs w:val="18"/>
              </w:rPr>
            </w:pPr>
            <w:r>
              <w:rPr>
                <w:rFonts w:cs="宋体"/>
                <w:b/>
                <w:sz w:val="18"/>
              </w:rPr>
              <w:t>C-持久</w:t>
            </w:r>
          </w:p>
          <w:p w14:paraId="62E019AD">
            <w:pPr>
              <w:pStyle w:val="37"/>
              <w:spacing w:before="36"/>
              <w:jc w:val="center"/>
              <w:rPr>
                <w:sz w:val="18"/>
                <w:szCs w:val="18"/>
              </w:rPr>
            </w:pPr>
            <w:r>
              <w:rPr>
                <w:rFonts w:cs="宋体"/>
                <w:sz w:val="18"/>
              </w:rPr>
              <w:t>30天以上</w:t>
            </w:r>
          </w:p>
        </w:tc>
        <w:tc>
          <w:tcPr>
            <w:tcW w:w="433" w:type="dxa"/>
            <w:vMerge w:val="continue"/>
            <w:tcBorders>
              <w:left w:val="single" w:color="auto" w:sz="4" w:space="0"/>
            </w:tcBorders>
            <w:shd w:val="clear" w:color="auto" w:fill="FFFFFF"/>
            <w:textDirection w:val="btLr"/>
            <w:vAlign w:val="center"/>
          </w:tcPr>
          <w:p w14:paraId="4A45F037">
            <w:pPr>
              <w:pStyle w:val="37"/>
              <w:spacing w:before="36"/>
              <w:rPr>
                <w:sz w:val="18"/>
                <w:szCs w:val="18"/>
              </w:rPr>
            </w:pPr>
          </w:p>
        </w:tc>
        <w:tc>
          <w:tcPr>
            <w:tcW w:w="434" w:type="dxa"/>
            <w:vMerge w:val="continue"/>
            <w:tcBorders>
              <w:left w:val="single" w:color="auto" w:sz="4" w:space="0"/>
            </w:tcBorders>
            <w:shd w:val="clear" w:color="auto" w:fill="FFFFFF"/>
            <w:textDirection w:val="btLr"/>
            <w:vAlign w:val="center"/>
          </w:tcPr>
          <w:p w14:paraId="781D5D2C">
            <w:pPr>
              <w:pStyle w:val="37"/>
              <w:spacing w:before="36"/>
              <w:rPr>
                <w:sz w:val="18"/>
                <w:szCs w:val="18"/>
              </w:rPr>
            </w:pPr>
          </w:p>
        </w:tc>
        <w:tc>
          <w:tcPr>
            <w:tcW w:w="434" w:type="dxa"/>
            <w:vMerge w:val="continue"/>
            <w:tcBorders>
              <w:left w:val="single" w:color="auto" w:sz="4" w:space="0"/>
            </w:tcBorders>
            <w:shd w:val="clear" w:color="auto" w:fill="FFFFFF"/>
            <w:textDirection w:val="btLr"/>
            <w:vAlign w:val="center"/>
          </w:tcPr>
          <w:p w14:paraId="198C501B">
            <w:pPr>
              <w:pStyle w:val="37"/>
              <w:spacing w:before="36"/>
              <w:rPr>
                <w:sz w:val="18"/>
                <w:szCs w:val="18"/>
              </w:rPr>
            </w:pPr>
          </w:p>
        </w:tc>
        <w:tc>
          <w:tcPr>
            <w:tcW w:w="434" w:type="dxa"/>
            <w:vMerge w:val="continue"/>
            <w:tcBorders>
              <w:left w:val="single" w:color="auto" w:sz="4" w:space="0"/>
            </w:tcBorders>
            <w:shd w:val="clear" w:color="auto" w:fill="FFFFFF"/>
            <w:textDirection w:val="btLr"/>
            <w:vAlign w:val="center"/>
          </w:tcPr>
          <w:p w14:paraId="36E9DDAC">
            <w:pPr>
              <w:pStyle w:val="37"/>
              <w:spacing w:before="36"/>
              <w:rPr>
                <w:sz w:val="18"/>
                <w:szCs w:val="18"/>
              </w:rPr>
            </w:pPr>
          </w:p>
        </w:tc>
        <w:tc>
          <w:tcPr>
            <w:tcW w:w="433" w:type="dxa"/>
            <w:vMerge w:val="continue"/>
            <w:tcBorders>
              <w:left w:val="single" w:color="auto" w:sz="4" w:space="0"/>
            </w:tcBorders>
            <w:shd w:val="clear" w:color="auto" w:fill="FFFFFF"/>
            <w:textDirection w:val="btLr"/>
            <w:vAlign w:val="center"/>
          </w:tcPr>
          <w:p w14:paraId="44E9DC5C">
            <w:pPr>
              <w:pStyle w:val="37"/>
              <w:spacing w:before="36"/>
              <w:rPr>
                <w:sz w:val="18"/>
                <w:szCs w:val="18"/>
              </w:rPr>
            </w:pPr>
          </w:p>
        </w:tc>
        <w:tc>
          <w:tcPr>
            <w:tcW w:w="434" w:type="dxa"/>
            <w:vMerge w:val="continue"/>
            <w:tcBorders>
              <w:left w:val="single" w:color="auto" w:sz="4" w:space="0"/>
            </w:tcBorders>
            <w:shd w:val="clear" w:color="auto" w:fill="FFFFFF"/>
            <w:textDirection w:val="btLr"/>
            <w:vAlign w:val="center"/>
          </w:tcPr>
          <w:p w14:paraId="5AB79D32">
            <w:pPr>
              <w:pStyle w:val="37"/>
              <w:spacing w:before="36"/>
              <w:rPr>
                <w:sz w:val="18"/>
                <w:szCs w:val="18"/>
              </w:rPr>
            </w:pPr>
          </w:p>
        </w:tc>
        <w:tc>
          <w:tcPr>
            <w:tcW w:w="434" w:type="dxa"/>
            <w:vMerge w:val="continue"/>
            <w:tcBorders>
              <w:left w:val="single" w:color="auto" w:sz="4" w:space="0"/>
            </w:tcBorders>
            <w:shd w:val="clear" w:color="auto" w:fill="FFFFFF"/>
            <w:textDirection w:val="btLr"/>
            <w:vAlign w:val="center"/>
          </w:tcPr>
          <w:p w14:paraId="511676F5">
            <w:pPr>
              <w:pStyle w:val="37"/>
              <w:spacing w:before="36"/>
              <w:rPr>
                <w:sz w:val="18"/>
                <w:szCs w:val="18"/>
              </w:rPr>
            </w:pPr>
          </w:p>
        </w:tc>
        <w:tc>
          <w:tcPr>
            <w:tcW w:w="434" w:type="dxa"/>
            <w:vMerge w:val="continue"/>
            <w:tcBorders>
              <w:left w:val="single" w:color="auto" w:sz="4" w:space="0"/>
            </w:tcBorders>
            <w:shd w:val="clear" w:color="auto" w:fill="FFFFFF"/>
            <w:textDirection w:val="btLr"/>
            <w:vAlign w:val="center"/>
          </w:tcPr>
          <w:p w14:paraId="65DE6F24">
            <w:pPr>
              <w:pStyle w:val="37"/>
              <w:spacing w:before="36"/>
              <w:rPr>
                <w:sz w:val="18"/>
                <w:szCs w:val="18"/>
              </w:rPr>
            </w:pPr>
          </w:p>
        </w:tc>
        <w:tc>
          <w:tcPr>
            <w:tcW w:w="433" w:type="dxa"/>
            <w:vMerge w:val="continue"/>
            <w:tcBorders>
              <w:left w:val="single" w:color="auto" w:sz="4" w:space="0"/>
            </w:tcBorders>
            <w:shd w:val="clear" w:color="auto" w:fill="FFFFFF"/>
            <w:textDirection w:val="btLr"/>
            <w:vAlign w:val="center"/>
          </w:tcPr>
          <w:p w14:paraId="215AA5A0">
            <w:pPr>
              <w:pStyle w:val="37"/>
              <w:spacing w:before="36"/>
              <w:rPr>
                <w:sz w:val="18"/>
                <w:szCs w:val="18"/>
              </w:rPr>
            </w:pPr>
          </w:p>
        </w:tc>
        <w:tc>
          <w:tcPr>
            <w:tcW w:w="434" w:type="dxa"/>
            <w:vMerge w:val="continue"/>
            <w:tcBorders>
              <w:left w:val="single" w:color="auto" w:sz="4" w:space="0"/>
            </w:tcBorders>
            <w:shd w:val="clear" w:color="auto" w:fill="FFFFFF"/>
            <w:textDirection w:val="btLr"/>
            <w:vAlign w:val="center"/>
          </w:tcPr>
          <w:p w14:paraId="2D90B408">
            <w:pPr>
              <w:pStyle w:val="37"/>
              <w:spacing w:before="36"/>
              <w:rPr>
                <w:sz w:val="18"/>
                <w:szCs w:val="18"/>
              </w:rPr>
            </w:pPr>
          </w:p>
        </w:tc>
        <w:tc>
          <w:tcPr>
            <w:tcW w:w="434" w:type="dxa"/>
            <w:vMerge w:val="continue"/>
            <w:tcBorders>
              <w:left w:val="single" w:color="auto" w:sz="4" w:space="0"/>
            </w:tcBorders>
            <w:shd w:val="clear" w:color="auto" w:fill="FFFFFF"/>
            <w:textDirection w:val="btLr"/>
            <w:vAlign w:val="center"/>
          </w:tcPr>
          <w:p w14:paraId="235766A2">
            <w:pPr>
              <w:pStyle w:val="37"/>
              <w:spacing w:before="36"/>
              <w:rPr>
                <w:sz w:val="18"/>
                <w:szCs w:val="18"/>
              </w:rPr>
            </w:pPr>
          </w:p>
        </w:tc>
        <w:tc>
          <w:tcPr>
            <w:tcW w:w="434" w:type="dxa"/>
            <w:vMerge w:val="continue"/>
            <w:tcBorders>
              <w:left w:val="single" w:color="auto" w:sz="4" w:space="0"/>
            </w:tcBorders>
            <w:shd w:val="clear" w:color="auto" w:fill="FFFFFF"/>
            <w:textDirection w:val="btLr"/>
            <w:vAlign w:val="center"/>
          </w:tcPr>
          <w:p w14:paraId="6B091284">
            <w:pPr>
              <w:pStyle w:val="37"/>
              <w:spacing w:before="36"/>
              <w:rPr>
                <w:sz w:val="18"/>
                <w:szCs w:val="18"/>
              </w:rPr>
            </w:pPr>
          </w:p>
        </w:tc>
        <w:tc>
          <w:tcPr>
            <w:tcW w:w="434" w:type="dxa"/>
            <w:vMerge w:val="continue"/>
            <w:tcBorders>
              <w:left w:val="single" w:color="auto" w:sz="4" w:space="0"/>
              <w:right w:val="single" w:color="auto" w:sz="4" w:space="0"/>
            </w:tcBorders>
            <w:shd w:val="clear" w:color="auto" w:fill="FFFFFF"/>
            <w:textDirection w:val="btLr"/>
            <w:vAlign w:val="center"/>
          </w:tcPr>
          <w:p w14:paraId="56183E99">
            <w:pPr>
              <w:pStyle w:val="37"/>
              <w:spacing w:before="36"/>
              <w:rPr>
                <w:sz w:val="18"/>
                <w:szCs w:val="18"/>
              </w:rPr>
            </w:pPr>
          </w:p>
        </w:tc>
      </w:tr>
      <w:tr w14:paraId="26AD6980">
        <w:tblPrEx>
          <w:tblCellMar>
            <w:top w:w="0" w:type="dxa"/>
            <w:left w:w="113" w:type="dxa"/>
            <w:bottom w:w="0" w:type="dxa"/>
            <w:right w:w="113" w:type="dxa"/>
          </w:tblCellMar>
        </w:tblPrEx>
        <w:tc>
          <w:tcPr>
            <w:tcW w:w="680" w:type="dxa"/>
            <w:vMerge w:val="restart"/>
            <w:tcBorders>
              <w:top w:val="single" w:color="auto" w:sz="4" w:space="0"/>
              <w:left w:val="single" w:color="auto" w:sz="4" w:space="0"/>
            </w:tcBorders>
            <w:shd w:val="clear" w:color="auto" w:fill="FFFFFF"/>
          </w:tcPr>
          <w:p w14:paraId="5F5213C7">
            <w:pPr>
              <w:pStyle w:val="37"/>
              <w:spacing w:before="36"/>
              <w:jc w:val="center"/>
              <w:rPr>
                <w:sz w:val="18"/>
                <w:szCs w:val="18"/>
              </w:rPr>
            </w:pPr>
            <w:r>
              <w:rPr>
                <w:rFonts w:cs="宋体"/>
                <w:sz w:val="18"/>
              </w:rPr>
              <w:t>器械</w:t>
            </w:r>
          </w:p>
        </w:tc>
        <w:tc>
          <w:tcPr>
            <w:tcW w:w="993" w:type="dxa"/>
            <w:tcBorders>
              <w:top w:val="single" w:color="auto" w:sz="4" w:space="0"/>
              <w:left w:val="single" w:color="auto" w:sz="4" w:space="0"/>
            </w:tcBorders>
            <w:shd w:val="clear" w:color="auto" w:fill="FFFFFF"/>
            <w:vAlign w:val="center"/>
          </w:tcPr>
          <w:p w14:paraId="6ACDA261">
            <w:pPr>
              <w:pStyle w:val="37"/>
              <w:spacing w:before="36"/>
              <w:jc w:val="center"/>
              <w:rPr>
                <w:sz w:val="18"/>
                <w:szCs w:val="18"/>
              </w:rPr>
            </w:pPr>
          </w:p>
        </w:tc>
        <w:tc>
          <w:tcPr>
            <w:tcW w:w="1984" w:type="dxa"/>
            <w:tcBorders>
              <w:top w:val="single" w:color="auto" w:sz="4" w:space="0"/>
              <w:left w:val="single" w:color="auto" w:sz="4" w:space="0"/>
            </w:tcBorders>
            <w:shd w:val="clear" w:color="auto" w:fill="FFFFFF"/>
            <w:vAlign w:val="center"/>
          </w:tcPr>
          <w:p w14:paraId="6DDB46BE">
            <w:pPr>
              <w:pStyle w:val="37"/>
              <w:spacing w:before="36"/>
              <w:jc w:val="center"/>
              <w:rPr>
                <w:vanish/>
                <w:sz w:val="18"/>
                <w:szCs w:val="18"/>
              </w:rPr>
            </w:pPr>
            <w:r>
              <w:rPr>
                <w:sz w:val="18"/>
                <w:szCs w:val="18"/>
              </w:rPr>
              <w:t>C</w:t>
            </w:r>
          </w:p>
        </w:tc>
        <w:tc>
          <w:tcPr>
            <w:tcW w:w="433" w:type="dxa"/>
            <w:tcBorders>
              <w:top w:val="single" w:color="auto" w:sz="4" w:space="0"/>
              <w:left w:val="single" w:color="auto" w:sz="4" w:space="0"/>
            </w:tcBorders>
            <w:shd w:val="clear" w:color="auto" w:fill="FFFFFF"/>
            <w:vAlign w:val="center"/>
          </w:tcPr>
          <w:p w14:paraId="1035C942">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7A76A18B">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34205705">
            <w:pPr>
              <w:pStyle w:val="37"/>
              <w:spacing w:before="36"/>
              <w:jc w:val="center"/>
              <w:rPr>
                <w:vanish/>
                <w:sz w:val="18"/>
                <w:szCs w:val="18"/>
              </w:rPr>
            </w:pPr>
            <w:r>
              <w:rPr>
                <w:sz w:val="18"/>
                <w:szCs w:val="18"/>
              </w:rPr>
              <w:t>O</w:t>
            </w:r>
          </w:p>
        </w:tc>
        <w:tc>
          <w:tcPr>
            <w:tcW w:w="434" w:type="dxa"/>
            <w:tcBorders>
              <w:top w:val="single" w:color="auto" w:sz="4" w:space="0"/>
              <w:left w:val="single" w:color="auto" w:sz="4" w:space="0"/>
            </w:tcBorders>
            <w:shd w:val="clear" w:color="auto" w:fill="FFFFFF"/>
            <w:vAlign w:val="center"/>
          </w:tcPr>
          <w:p w14:paraId="57B728AA">
            <w:pPr>
              <w:pStyle w:val="37"/>
              <w:spacing w:before="36"/>
              <w:jc w:val="center"/>
              <w:rPr>
                <w:vanish/>
                <w:sz w:val="18"/>
                <w:szCs w:val="18"/>
              </w:rPr>
            </w:pPr>
            <w:r>
              <w:rPr>
                <w:sz w:val="18"/>
                <w:szCs w:val="18"/>
              </w:rPr>
              <w:t>X</w:t>
            </w:r>
          </w:p>
        </w:tc>
        <w:tc>
          <w:tcPr>
            <w:tcW w:w="433" w:type="dxa"/>
            <w:tcBorders>
              <w:top w:val="single" w:color="auto" w:sz="4" w:space="0"/>
              <w:left w:val="single" w:color="auto" w:sz="4" w:space="0"/>
            </w:tcBorders>
            <w:shd w:val="clear" w:color="auto" w:fill="FFFFFF"/>
            <w:vAlign w:val="center"/>
          </w:tcPr>
          <w:p w14:paraId="289FF766">
            <w:pPr>
              <w:pStyle w:val="37"/>
              <w:spacing w:before="36"/>
              <w:jc w:val="center"/>
              <w:rPr>
                <w:vanish/>
                <w:sz w:val="18"/>
                <w:szCs w:val="18"/>
              </w:rPr>
            </w:pPr>
            <w:r>
              <w:rPr>
                <w:sz w:val="18"/>
                <w:szCs w:val="18"/>
              </w:rPr>
              <w:t>O</w:t>
            </w:r>
          </w:p>
        </w:tc>
        <w:tc>
          <w:tcPr>
            <w:tcW w:w="434" w:type="dxa"/>
            <w:tcBorders>
              <w:top w:val="single" w:color="auto" w:sz="4" w:space="0"/>
              <w:left w:val="single" w:color="auto" w:sz="4" w:space="0"/>
            </w:tcBorders>
            <w:shd w:val="clear" w:color="auto" w:fill="FFFFFF"/>
            <w:vAlign w:val="center"/>
          </w:tcPr>
          <w:p w14:paraId="1BE2BE47">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64AA6270">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778F48D0">
            <w:pPr>
              <w:pStyle w:val="37"/>
              <w:spacing w:before="36"/>
              <w:jc w:val="center"/>
              <w:rPr>
                <w:vanish/>
                <w:sz w:val="18"/>
                <w:szCs w:val="18"/>
              </w:rPr>
            </w:pPr>
            <w:r>
              <w:rPr>
                <w:sz w:val="18"/>
                <w:szCs w:val="18"/>
              </w:rPr>
              <w:t>O</w:t>
            </w:r>
          </w:p>
        </w:tc>
        <w:tc>
          <w:tcPr>
            <w:tcW w:w="433" w:type="dxa"/>
            <w:tcBorders>
              <w:top w:val="single" w:color="auto" w:sz="4" w:space="0"/>
              <w:left w:val="single" w:color="auto" w:sz="4" w:space="0"/>
            </w:tcBorders>
            <w:shd w:val="clear" w:color="auto" w:fill="FFFFFF"/>
            <w:vAlign w:val="center"/>
          </w:tcPr>
          <w:p w14:paraId="4EE94381">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65CF9416">
            <w:pPr>
              <w:pStyle w:val="37"/>
              <w:spacing w:before="36"/>
              <w:jc w:val="center"/>
              <w:rPr>
                <w:vanish/>
                <w:sz w:val="18"/>
                <w:szCs w:val="18"/>
              </w:rPr>
            </w:pPr>
            <w:r>
              <w:rPr>
                <w:sz w:val="18"/>
                <w:szCs w:val="18"/>
              </w:rPr>
              <w:t>O</w:t>
            </w:r>
          </w:p>
        </w:tc>
        <w:tc>
          <w:tcPr>
            <w:tcW w:w="434" w:type="dxa"/>
            <w:tcBorders>
              <w:top w:val="single" w:color="auto" w:sz="4" w:space="0"/>
              <w:left w:val="single" w:color="auto" w:sz="4" w:space="0"/>
            </w:tcBorders>
            <w:shd w:val="clear" w:color="auto" w:fill="FFFFFF"/>
            <w:vAlign w:val="center"/>
          </w:tcPr>
          <w:p w14:paraId="6771033B">
            <w:pPr>
              <w:pStyle w:val="37"/>
              <w:spacing w:before="36"/>
              <w:jc w:val="center"/>
              <w:rPr>
                <w:vanish/>
                <w:sz w:val="18"/>
                <w:szCs w:val="18"/>
              </w:rPr>
            </w:pPr>
            <w:r>
              <w:rPr>
                <w:sz w:val="18"/>
                <w:szCs w:val="18"/>
              </w:rPr>
              <w:t>O</w:t>
            </w:r>
          </w:p>
        </w:tc>
        <w:tc>
          <w:tcPr>
            <w:tcW w:w="434" w:type="dxa"/>
            <w:tcBorders>
              <w:top w:val="single" w:color="auto" w:sz="4" w:space="0"/>
              <w:left w:val="single" w:color="auto" w:sz="4" w:space="0"/>
            </w:tcBorders>
            <w:shd w:val="clear" w:color="auto" w:fill="FFFFFF"/>
            <w:vAlign w:val="center"/>
          </w:tcPr>
          <w:p w14:paraId="7595D635">
            <w:pPr>
              <w:pStyle w:val="37"/>
              <w:spacing w:before="36"/>
              <w:jc w:val="center"/>
              <w:rPr>
                <w:vanish/>
                <w:sz w:val="18"/>
                <w:szCs w:val="18"/>
              </w:rPr>
            </w:pPr>
          </w:p>
        </w:tc>
        <w:tc>
          <w:tcPr>
            <w:tcW w:w="434" w:type="dxa"/>
            <w:tcBorders>
              <w:top w:val="single" w:color="auto" w:sz="4" w:space="0"/>
              <w:left w:val="single" w:color="auto" w:sz="4" w:space="0"/>
              <w:right w:val="single" w:color="auto" w:sz="4" w:space="0"/>
            </w:tcBorders>
            <w:shd w:val="clear" w:color="auto" w:fill="FFFFFF"/>
            <w:vAlign w:val="center"/>
          </w:tcPr>
          <w:p w14:paraId="10479F0D">
            <w:pPr>
              <w:pStyle w:val="37"/>
              <w:spacing w:before="36"/>
              <w:jc w:val="center"/>
              <w:rPr>
                <w:sz w:val="18"/>
                <w:szCs w:val="18"/>
              </w:rPr>
            </w:pPr>
          </w:p>
        </w:tc>
      </w:tr>
      <w:tr w14:paraId="03B9411F">
        <w:tblPrEx>
          <w:tblCellMar>
            <w:top w:w="0" w:type="dxa"/>
            <w:left w:w="113" w:type="dxa"/>
            <w:bottom w:w="0" w:type="dxa"/>
            <w:right w:w="113" w:type="dxa"/>
          </w:tblCellMar>
        </w:tblPrEx>
        <w:tc>
          <w:tcPr>
            <w:tcW w:w="680" w:type="dxa"/>
            <w:vMerge w:val="continue"/>
            <w:tcBorders>
              <w:left w:val="single" w:color="auto" w:sz="4" w:space="0"/>
            </w:tcBorders>
            <w:shd w:val="clear" w:color="auto" w:fill="FFFFFF"/>
            <w:vAlign w:val="center"/>
          </w:tcPr>
          <w:p w14:paraId="65B51AAE">
            <w:pPr>
              <w:pStyle w:val="37"/>
              <w:spacing w:before="36"/>
              <w:jc w:val="center"/>
              <w:rPr>
                <w:sz w:val="18"/>
                <w:szCs w:val="18"/>
              </w:rPr>
            </w:pPr>
          </w:p>
        </w:tc>
        <w:tc>
          <w:tcPr>
            <w:tcW w:w="993" w:type="dxa"/>
            <w:vMerge w:val="restart"/>
            <w:tcBorders>
              <w:top w:val="single" w:color="auto" w:sz="4" w:space="0"/>
              <w:left w:val="single" w:color="auto" w:sz="4" w:space="0"/>
            </w:tcBorders>
            <w:shd w:val="clear" w:color="auto" w:fill="FFFFFF"/>
            <w:vAlign w:val="center"/>
          </w:tcPr>
          <w:p w14:paraId="6FCD747A">
            <w:pPr>
              <w:pStyle w:val="37"/>
              <w:spacing w:before="36"/>
              <w:jc w:val="center"/>
              <w:rPr>
                <w:sz w:val="18"/>
                <w:szCs w:val="18"/>
              </w:rPr>
            </w:pPr>
            <w:r>
              <w:rPr>
                <w:rFonts w:cs="宋体"/>
                <w:sz w:val="18"/>
              </w:rPr>
              <w:t>组织</w:t>
            </w:r>
            <w:r>
              <w:rPr>
                <w:rFonts w:cs="宋体"/>
                <w:sz w:val="18"/>
                <w:vertAlign w:val="superscript"/>
              </w:rPr>
              <w:t>+</w:t>
            </w:r>
            <w:r>
              <w:rPr>
                <w:rFonts w:cs="宋体"/>
                <w:sz w:val="18"/>
              </w:rPr>
              <w:t>/骨/牙本质</w:t>
            </w:r>
          </w:p>
        </w:tc>
        <w:tc>
          <w:tcPr>
            <w:tcW w:w="1984" w:type="dxa"/>
            <w:tcBorders>
              <w:top w:val="single" w:color="auto" w:sz="4" w:space="0"/>
              <w:left w:val="single" w:color="auto" w:sz="4" w:space="0"/>
            </w:tcBorders>
            <w:shd w:val="clear" w:color="auto" w:fill="FFFFFF"/>
            <w:vAlign w:val="center"/>
          </w:tcPr>
          <w:p w14:paraId="37FA6268">
            <w:pPr>
              <w:pStyle w:val="37"/>
              <w:spacing w:before="36"/>
              <w:jc w:val="center"/>
              <w:rPr>
                <w:vanish/>
                <w:sz w:val="18"/>
                <w:szCs w:val="18"/>
              </w:rPr>
            </w:pPr>
            <w:r>
              <w:rPr>
                <w:sz w:val="18"/>
                <w:szCs w:val="18"/>
              </w:rPr>
              <w:t>A</w:t>
            </w:r>
          </w:p>
        </w:tc>
        <w:tc>
          <w:tcPr>
            <w:tcW w:w="433" w:type="dxa"/>
            <w:tcBorders>
              <w:top w:val="single" w:color="auto" w:sz="4" w:space="0"/>
              <w:left w:val="single" w:color="auto" w:sz="4" w:space="0"/>
            </w:tcBorders>
            <w:shd w:val="clear" w:color="auto" w:fill="FFFFFF"/>
            <w:vAlign w:val="center"/>
          </w:tcPr>
          <w:p w14:paraId="1B9E13D0">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1A6AD8D9">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100DBED9">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7A5F3F47">
            <w:pPr>
              <w:pStyle w:val="37"/>
              <w:spacing w:before="36"/>
              <w:jc w:val="center"/>
              <w:rPr>
                <w:vanish/>
                <w:sz w:val="18"/>
                <w:szCs w:val="18"/>
              </w:rPr>
            </w:pPr>
            <w:r>
              <w:rPr>
                <w:sz w:val="18"/>
                <w:szCs w:val="18"/>
              </w:rPr>
              <w:t>O</w:t>
            </w:r>
          </w:p>
        </w:tc>
        <w:tc>
          <w:tcPr>
            <w:tcW w:w="433" w:type="dxa"/>
            <w:tcBorders>
              <w:top w:val="single" w:color="auto" w:sz="4" w:space="0"/>
              <w:left w:val="single" w:color="auto" w:sz="4" w:space="0"/>
            </w:tcBorders>
            <w:shd w:val="clear" w:color="auto" w:fill="FFFFFF"/>
            <w:vAlign w:val="center"/>
          </w:tcPr>
          <w:p w14:paraId="330B8CB1">
            <w:pPr>
              <w:pStyle w:val="37"/>
              <w:spacing w:before="36"/>
              <w:jc w:val="center"/>
              <w:rPr>
                <w:vanish/>
                <w:sz w:val="18"/>
                <w:szCs w:val="18"/>
              </w:rPr>
            </w:pPr>
            <w:r>
              <w:rPr>
                <w:sz w:val="18"/>
                <w:szCs w:val="18"/>
              </w:rPr>
              <w:t>O</w:t>
            </w:r>
          </w:p>
        </w:tc>
        <w:tc>
          <w:tcPr>
            <w:tcW w:w="434" w:type="dxa"/>
            <w:tcBorders>
              <w:top w:val="single" w:color="auto" w:sz="4" w:space="0"/>
              <w:left w:val="single" w:color="auto" w:sz="4" w:space="0"/>
            </w:tcBorders>
            <w:shd w:val="clear" w:color="auto" w:fill="FFFFFF"/>
            <w:vAlign w:val="center"/>
          </w:tcPr>
          <w:p w14:paraId="5D212C8E">
            <w:pPr>
              <w:pStyle w:val="37"/>
              <w:spacing w:before="36"/>
              <w:jc w:val="center"/>
              <w:rPr>
                <w:vanish/>
                <w:sz w:val="18"/>
                <w:szCs w:val="18"/>
              </w:rPr>
            </w:pPr>
          </w:p>
        </w:tc>
        <w:tc>
          <w:tcPr>
            <w:tcW w:w="434" w:type="dxa"/>
            <w:tcBorders>
              <w:top w:val="single" w:color="auto" w:sz="4" w:space="0"/>
              <w:left w:val="single" w:color="auto" w:sz="4" w:space="0"/>
            </w:tcBorders>
            <w:shd w:val="clear" w:color="auto" w:fill="FFFFFF"/>
            <w:vAlign w:val="center"/>
          </w:tcPr>
          <w:p w14:paraId="5CB71DA6">
            <w:pPr>
              <w:pStyle w:val="37"/>
              <w:spacing w:before="36"/>
              <w:jc w:val="center"/>
              <w:rPr>
                <w:vanish/>
                <w:sz w:val="18"/>
                <w:szCs w:val="18"/>
              </w:rPr>
            </w:pPr>
          </w:p>
        </w:tc>
        <w:tc>
          <w:tcPr>
            <w:tcW w:w="434" w:type="dxa"/>
            <w:tcBorders>
              <w:top w:val="single" w:color="auto" w:sz="4" w:space="0"/>
              <w:left w:val="single" w:color="auto" w:sz="4" w:space="0"/>
            </w:tcBorders>
            <w:shd w:val="clear" w:color="auto" w:fill="FFFFFF"/>
            <w:vAlign w:val="center"/>
          </w:tcPr>
          <w:p w14:paraId="77F94FE1">
            <w:pPr>
              <w:pStyle w:val="37"/>
              <w:spacing w:before="36"/>
              <w:jc w:val="center"/>
              <w:rPr>
                <w:vanish/>
                <w:sz w:val="18"/>
                <w:szCs w:val="18"/>
              </w:rPr>
            </w:pPr>
          </w:p>
        </w:tc>
        <w:tc>
          <w:tcPr>
            <w:tcW w:w="433" w:type="dxa"/>
            <w:tcBorders>
              <w:top w:val="single" w:color="auto" w:sz="4" w:space="0"/>
              <w:left w:val="single" w:color="auto" w:sz="4" w:space="0"/>
            </w:tcBorders>
            <w:shd w:val="clear" w:color="auto" w:fill="FFFFFF"/>
            <w:vAlign w:val="center"/>
          </w:tcPr>
          <w:p w14:paraId="327A5E21">
            <w:pPr>
              <w:pStyle w:val="37"/>
              <w:spacing w:before="36"/>
              <w:jc w:val="center"/>
              <w:rPr>
                <w:vanish/>
                <w:sz w:val="18"/>
                <w:szCs w:val="18"/>
              </w:rPr>
            </w:pPr>
          </w:p>
        </w:tc>
        <w:tc>
          <w:tcPr>
            <w:tcW w:w="434" w:type="dxa"/>
            <w:tcBorders>
              <w:top w:val="single" w:color="auto" w:sz="4" w:space="0"/>
              <w:left w:val="single" w:color="auto" w:sz="4" w:space="0"/>
            </w:tcBorders>
            <w:shd w:val="clear" w:color="auto" w:fill="FFFFFF"/>
            <w:vAlign w:val="center"/>
          </w:tcPr>
          <w:p w14:paraId="1B79E757">
            <w:pPr>
              <w:pStyle w:val="37"/>
              <w:spacing w:before="36"/>
              <w:jc w:val="center"/>
              <w:rPr>
                <w:vanish/>
                <w:sz w:val="18"/>
                <w:szCs w:val="18"/>
              </w:rPr>
            </w:pPr>
          </w:p>
        </w:tc>
        <w:tc>
          <w:tcPr>
            <w:tcW w:w="434" w:type="dxa"/>
            <w:tcBorders>
              <w:top w:val="single" w:color="auto" w:sz="4" w:space="0"/>
              <w:left w:val="single" w:color="auto" w:sz="4" w:space="0"/>
            </w:tcBorders>
            <w:shd w:val="clear" w:color="auto" w:fill="FFFFFF"/>
            <w:vAlign w:val="center"/>
          </w:tcPr>
          <w:p w14:paraId="2EACB5CB">
            <w:pPr>
              <w:pStyle w:val="37"/>
              <w:spacing w:before="36"/>
              <w:jc w:val="center"/>
              <w:rPr>
                <w:vanish/>
                <w:sz w:val="18"/>
                <w:szCs w:val="18"/>
              </w:rPr>
            </w:pPr>
          </w:p>
        </w:tc>
        <w:tc>
          <w:tcPr>
            <w:tcW w:w="434" w:type="dxa"/>
            <w:tcBorders>
              <w:top w:val="single" w:color="auto" w:sz="4" w:space="0"/>
              <w:left w:val="single" w:color="auto" w:sz="4" w:space="0"/>
            </w:tcBorders>
            <w:shd w:val="clear" w:color="auto" w:fill="FFFFFF"/>
            <w:vAlign w:val="center"/>
          </w:tcPr>
          <w:p w14:paraId="32C707A3">
            <w:pPr>
              <w:pStyle w:val="37"/>
              <w:spacing w:before="36"/>
              <w:jc w:val="center"/>
              <w:rPr>
                <w:vanish/>
                <w:sz w:val="18"/>
                <w:szCs w:val="18"/>
              </w:rPr>
            </w:pPr>
          </w:p>
        </w:tc>
        <w:tc>
          <w:tcPr>
            <w:tcW w:w="434" w:type="dxa"/>
            <w:tcBorders>
              <w:top w:val="single" w:color="auto" w:sz="4" w:space="0"/>
              <w:left w:val="single" w:color="auto" w:sz="4" w:space="0"/>
              <w:right w:val="single" w:color="auto" w:sz="4" w:space="0"/>
            </w:tcBorders>
            <w:shd w:val="clear" w:color="auto" w:fill="FFFFFF"/>
            <w:vAlign w:val="center"/>
          </w:tcPr>
          <w:p w14:paraId="187CB85B">
            <w:pPr>
              <w:pStyle w:val="37"/>
              <w:spacing w:before="36"/>
              <w:jc w:val="center"/>
              <w:rPr>
                <w:sz w:val="18"/>
                <w:szCs w:val="18"/>
              </w:rPr>
            </w:pPr>
          </w:p>
        </w:tc>
      </w:tr>
      <w:tr w14:paraId="5BC272F4">
        <w:tblPrEx>
          <w:tblCellMar>
            <w:top w:w="0" w:type="dxa"/>
            <w:left w:w="113" w:type="dxa"/>
            <w:bottom w:w="0" w:type="dxa"/>
            <w:right w:w="113" w:type="dxa"/>
          </w:tblCellMar>
        </w:tblPrEx>
        <w:tc>
          <w:tcPr>
            <w:tcW w:w="680" w:type="dxa"/>
            <w:vMerge w:val="continue"/>
            <w:tcBorders>
              <w:left w:val="single" w:color="auto" w:sz="4" w:space="0"/>
            </w:tcBorders>
            <w:shd w:val="clear" w:color="auto" w:fill="FFFFFF"/>
            <w:vAlign w:val="center"/>
          </w:tcPr>
          <w:p w14:paraId="7503EF5E">
            <w:pPr>
              <w:pStyle w:val="37"/>
              <w:spacing w:before="36"/>
              <w:jc w:val="center"/>
              <w:rPr>
                <w:sz w:val="18"/>
                <w:szCs w:val="18"/>
              </w:rPr>
            </w:pPr>
          </w:p>
        </w:tc>
        <w:tc>
          <w:tcPr>
            <w:tcW w:w="993" w:type="dxa"/>
            <w:vMerge w:val="continue"/>
            <w:tcBorders>
              <w:left w:val="single" w:color="auto" w:sz="4" w:space="0"/>
            </w:tcBorders>
            <w:shd w:val="clear" w:color="auto" w:fill="FFFFFF"/>
            <w:vAlign w:val="center"/>
          </w:tcPr>
          <w:p w14:paraId="3302D053">
            <w:pPr>
              <w:pStyle w:val="37"/>
              <w:spacing w:before="36"/>
              <w:jc w:val="center"/>
              <w:rPr>
                <w:sz w:val="18"/>
                <w:szCs w:val="18"/>
              </w:rPr>
            </w:pPr>
          </w:p>
        </w:tc>
        <w:tc>
          <w:tcPr>
            <w:tcW w:w="1984" w:type="dxa"/>
            <w:tcBorders>
              <w:top w:val="single" w:color="auto" w:sz="4" w:space="0"/>
              <w:left w:val="single" w:color="auto" w:sz="4" w:space="0"/>
            </w:tcBorders>
            <w:shd w:val="clear" w:color="auto" w:fill="FFFFFF"/>
            <w:vAlign w:val="center"/>
          </w:tcPr>
          <w:p w14:paraId="0DFEDEA4">
            <w:pPr>
              <w:pStyle w:val="37"/>
              <w:spacing w:before="36"/>
              <w:jc w:val="center"/>
              <w:rPr>
                <w:vanish/>
                <w:sz w:val="18"/>
                <w:szCs w:val="18"/>
              </w:rPr>
            </w:pPr>
            <w:r>
              <w:rPr>
                <w:sz w:val="18"/>
                <w:szCs w:val="18"/>
              </w:rPr>
              <w:t>B</w:t>
            </w:r>
          </w:p>
        </w:tc>
        <w:tc>
          <w:tcPr>
            <w:tcW w:w="433" w:type="dxa"/>
            <w:tcBorders>
              <w:top w:val="single" w:color="auto" w:sz="4" w:space="0"/>
              <w:left w:val="single" w:color="auto" w:sz="4" w:space="0"/>
            </w:tcBorders>
            <w:shd w:val="clear" w:color="auto" w:fill="FFFFFF"/>
            <w:vAlign w:val="center"/>
          </w:tcPr>
          <w:p w14:paraId="05AFEEEE">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496DE086">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174B5A23">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40CDA1F1">
            <w:pPr>
              <w:pStyle w:val="37"/>
              <w:spacing w:before="36"/>
              <w:jc w:val="center"/>
              <w:rPr>
                <w:vanish/>
                <w:sz w:val="18"/>
                <w:szCs w:val="18"/>
              </w:rPr>
            </w:pPr>
            <w:r>
              <w:rPr>
                <w:sz w:val="18"/>
                <w:szCs w:val="18"/>
              </w:rPr>
              <w:t>X</w:t>
            </w:r>
          </w:p>
        </w:tc>
        <w:tc>
          <w:tcPr>
            <w:tcW w:w="433" w:type="dxa"/>
            <w:tcBorders>
              <w:top w:val="single" w:color="auto" w:sz="4" w:space="0"/>
              <w:left w:val="single" w:color="auto" w:sz="4" w:space="0"/>
            </w:tcBorders>
            <w:shd w:val="clear" w:color="auto" w:fill="FFFFFF"/>
            <w:vAlign w:val="center"/>
          </w:tcPr>
          <w:p w14:paraId="2BCA815B">
            <w:pPr>
              <w:pStyle w:val="37"/>
              <w:spacing w:before="36"/>
              <w:jc w:val="center"/>
              <w:rPr>
                <w:vanish/>
                <w:sz w:val="18"/>
                <w:szCs w:val="18"/>
              </w:rPr>
            </w:pPr>
            <w:r>
              <w:rPr>
                <w:sz w:val="18"/>
                <w:szCs w:val="18"/>
              </w:rPr>
              <w:t>O</w:t>
            </w:r>
          </w:p>
        </w:tc>
        <w:tc>
          <w:tcPr>
            <w:tcW w:w="434" w:type="dxa"/>
            <w:tcBorders>
              <w:top w:val="single" w:color="auto" w:sz="4" w:space="0"/>
              <w:left w:val="single" w:color="auto" w:sz="4" w:space="0"/>
            </w:tcBorders>
            <w:shd w:val="clear" w:color="auto" w:fill="FFFFFF"/>
            <w:vAlign w:val="center"/>
          </w:tcPr>
          <w:p w14:paraId="12D13BA1">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7FE95278">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350DD4A2">
            <w:pPr>
              <w:pStyle w:val="37"/>
              <w:spacing w:before="36"/>
              <w:jc w:val="center"/>
              <w:rPr>
                <w:vanish/>
                <w:sz w:val="18"/>
                <w:szCs w:val="18"/>
              </w:rPr>
            </w:pPr>
            <w:r>
              <w:rPr>
                <w:sz w:val="18"/>
                <w:szCs w:val="18"/>
              </w:rPr>
              <w:t>X</w:t>
            </w:r>
          </w:p>
        </w:tc>
        <w:tc>
          <w:tcPr>
            <w:tcW w:w="433" w:type="dxa"/>
            <w:tcBorders>
              <w:top w:val="single" w:color="auto" w:sz="4" w:space="0"/>
              <w:left w:val="single" w:color="auto" w:sz="4" w:space="0"/>
            </w:tcBorders>
            <w:shd w:val="clear" w:color="auto" w:fill="FFFFFF"/>
            <w:vAlign w:val="center"/>
          </w:tcPr>
          <w:p w14:paraId="6EA31B3F">
            <w:pPr>
              <w:pStyle w:val="37"/>
              <w:spacing w:before="36"/>
              <w:jc w:val="center"/>
              <w:rPr>
                <w:vanish/>
                <w:sz w:val="18"/>
                <w:szCs w:val="18"/>
              </w:rPr>
            </w:pPr>
          </w:p>
        </w:tc>
        <w:tc>
          <w:tcPr>
            <w:tcW w:w="434" w:type="dxa"/>
            <w:tcBorders>
              <w:top w:val="single" w:color="auto" w:sz="4" w:space="0"/>
              <w:left w:val="single" w:color="auto" w:sz="4" w:space="0"/>
            </w:tcBorders>
            <w:shd w:val="clear" w:color="auto" w:fill="FFFFFF"/>
            <w:vAlign w:val="center"/>
          </w:tcPr>
          <w:p w14:paraId="02593C46">
            <w:pPr>
              <w:pStyle w:val="37"/>
              <w:spacing w:before="36"/>
              <w:jc w:val="center"/>
              <w:rPr>
                <w:vanish/>
                <w:sz w:val="18"/>
                <w:szCs w:val="18"/>
              </w:rPr>
            </w:pPr>
          </w:p>
        </w:tc>
        <w:tc>
          <w:tcPr>
            <w:tcW w:w="434" w:type="dxa"/>
            <w:tcBorders>
              <w:top w:val="single" w:color="auto" w:sz="4" w:space="0"/>
              <w:left w:val="single" w:color="auto" w:sz="4" w:space="0"/>
            </w:tcBorders>
            <w:shd w:val="clear" w:color="auto" w:fill="FFFFFF"/>
            <w:vAlign w:val="center"/>
          </w:tcPr>
          <w:p w14:paraId="3469EAA0">
            <w:pPr>
              <w:pStyle w:val="37"/>
              <w:spacing w:before="36"/>
              <w:jc w:val="center"/>
              <w:rPr>
                <w:vanish/>
                <w:sz w:val="18"/>
                <w:szCs w:val="18"/>
              </w:rPr>
            </w:pPr>
          </w:p>
        </w:tc>
        <w:tc>
          <w:tcPr>
            <w:tcW w:w="434" w:type="dxa"/>
            <w:tcBorders>
              <w:top w:val="single" w:color="auto" w:sz="4" w:space="0"/>
              <w:left w:val="single" w:color="auto" w:sz="4" w:space="0"/>
            </w:tcBorders>
            <w:shd w:val="clear" w:color="auto" w:fill="FFFFFF"/>
            <w:vAlign w:val="center"/>
          </w:tcPr>
          <w:p w14:paraId="5E5AC182">
            <w:pPr>
              <w:pStyle w:val="37"/>
              <w:spacing w:before="36"/>
              <w:jc w:val="center"/>
              <w:rPr>
                <w:vanish/>
                <w:sz w:val="18"/>
                <w:szCs w:val="18"/>
              </w:rPr>
            </w:pPr>
          </w:p>
        </w:tc>
        <w:tc>
          <w:tcPr>
            <w:tcW w:w="434" w:type="dxa"/>
            <w:tcBorders>
              <w:top w:val="single" w:color="auto" w:sz="4" w:space="0"/>
              <w:left w:val="single" w:color="auto" w:sz="4" w:space="0"/>
              <w:right w:val="single" w:color="auto" w:sz="4" w:space="0"/>
            </w:tcBorders>
            <w:shd w:val="clear" w:color="auto" w:fill="FFFFFF"/>
            <w:vAlign w:val="center"/>
          </w:tcPr>
          <w:p w14:paraId="5ABE90B6">
            <w:pPr>
              <w:pStyle w:val="37"/>
              <w:spacing w:before="36"/>
              <w:jc w:val="center"/>
              <w:rPr>
                <w:sz w:val="18"/>
                <w:szCs w:val="18"/>
              </w:rPr>
            </w:pPr>
          </w:p>
        </w:tc>
      </w:tr>
      <w:tr w14:paraId="0B831CC3">
        <w:tblPrEx>
          <w:tblCellMar>
            <w:top w:w="0" w:type="dxa"/>
            <w:left w:w="113" w:type="dxa"/>
            <w:bottom w:w="0" w:type="dxa"/>
            <w:right w:w="113" w:type="dxa"/>
          </w:tblCellMar>
        </w:tblPrEx>
        <w:tc>
          <w:tcPr>
            <w:tcW w:w="680" w:type="dxa"/>
            <w:vMerge w:val="continue"/>
            <w:tcBorders>
              <w:left w:val="single" w:color="auto" w:sz="4" w:space="0"/>
            </w:tcBorders>
            <w:shd w:val="clear" w:color="auto" w:fill="FFFFFF"/>
            <w:vAlign w:val="center"/>
          </w:tcPr>
          <w:p w14:paraId="4DC0D681">
            <w:pPr>
              <w:pStyle w:val="37"/>
              <w:spacing w:before="36"/>
              <w:jc w:val="center"/>
              <w:rPr>
                <w:sz w:val="18"/>
                <w:szCs w:val="18"/>
              </w:rPr>
            </w:pPr>
          </w:p>
        </w:tc>
        <w:tc>
          <w:tcPr>
            <w:tcW w:w="993" w:type="dxa"/>
            <w:vMerge w:val="continue"/>
            <w:tcBorders>
              <w:left w:val="single" w:color="auto" w:sz="4" w:space="0"/>
            </w:tcBorders>
            <w:shd w:val="clear" w:color="auto" w:fill="FFFFFF"/>
            <w:vAlign w:val="center"/>
          </w:tcPr>
          <w:p w14:paraId="79F1E0DC">
            <w:pPr>
              <w:pStyle w:val="37"/>
              <w:spacing w:before="36"/>
              <w:jc w:val="center"/>
              <w:rPr>
                <w:sz w:val="18"/>
                <w:szCs w:val="18"/>
              </w:rPr>
            </w:pPr>
          </w:p>
        </w:tc>
        <w:tc>
          <w:tcPr>
            <w:tcW w:w="1984" w:type="dxa"/>
            <w:tcBorders>
              <w:top w:val="single" w:color="auto" w:sz="4" w:space="0"/>
              <w:left w:val="single" w:color="auto" w:sz="4" w:space="0"/>
            </w:tcBorders>
            <w:shd w:val="clear" w:color="auto" w:fill="FFFFFF"/>
            <w:vAlign w:val="center"/>
          </w:tcPr>
          <w:p w14:paraId="4F4C5B7F">
            <w:pPr>
              <w:pStyle w:val="37"/>
              <w:spacing w:before="36"/>
              <w:jc w:val="center"/>
              <w:rPr>
                <w:vanish/>
                <w:sz w:val="18"/>
                <w:szCs w:val="18"/>
              </w:rPr>
            </w:pPr>
            <w:r>
              <w:rPr>
                <w:sz w:val="18"/>
                <w:szCs w:val="18"/>
              </w:rPr>
              <w:t>C</w:t>
            </w:r>
          </w:p>
        </w:tc>
        <w:tc>
          <w:tcPr>
            <w:tcW w:w="433" w:type="dxa"/>
            <w:tcBorders>
              <w:top w:val="single" w:color="auto" w:sz="4" w:space="0"/>
              <w:left w:val="single" w:color="auto" w:sz="4" w:space="0"/>
            </w:tcBorders>
            <w:shd w:val="clear" w:color="auto" w:fill="FFFFFF"/>
            <w:vAlign w:val="center"/>
          </w:tcPr>
          <w:p w14:paraId="3F5EEF7A">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3815FB14">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3E4E0D5A">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5362FC6D">
            <w:pPr>
              <w:pStyle w:val="37"/>
              <w:spacing w:before="36"/>
              <w:jc w:val="center"/>
              <w:rPr>
                <w:vanish/>
                <w:sz w:val="18"/>
                <w:szCs w:val="18"/>
              </w:rPr>
            </w:pPr>
            <w:r>
              <w:rPr>
                <w:sz w:val="18"/>
                <w:szCs w:val="18"/>
              </w:rPr>
              <w:t>X</w:t>
            </w:r>
          </w:p>
        </w:tc>
        <w:tc>
          <w:tcPr>
            <w:tcW w:w="433" w:type="dxa"/>
            <w:tcBorders>
              <w:top w:val="single" w:color="auto" w:sz="4" w:space="0"/>
              <w:left w:val="single" w:color="auto" w:sz="4" w:space="0"/>
            </w:tcBorders>
            <w:shd w:val="clear" w:color="auto" w:fill="FFFFFF"/>
            <w:vAlign w:val="center"/>
          </w:tcPr>
          <w:p w14:paraId="177ACD6C">
            <w:pPr>
              <w:pStyle w:val="37"/>
              <w:spacing w:before="36"/>
              <w:jc w:val="center"/>
              <w:rPr>
                <w:vanish/>
                <w:sz w:val="18"/>
                <w:szCs w:val="18"/>
              </w:rPr>
            </w:pPr>
            <w:r>
              <w:rPr>
                <w:sz w:val="18"/>
                <w:szCs w:val="18"/>
              </w:rPr>
              <w:t>O</w:t>
            </w:r>
          </w:p>
        </w:tc>
        <w:tc>
          <w:tcPr>
            <w:tcW w:w="434" w:type="dxa"/>
            <w:tcBorders>
              <w:top w:val="single" w:color="auto" w:sz="4" w:space="0"/>
              <w:left w:val="single" w:color="auto" w:sz="4" w:space="0"/>
            </w:tcBorders>
            <w:shd w:val="clear" w:color="auto" w:fill="FFFFFF"/>
            <w:vAlign w:val="center"/>
          </w:tcPr>
          <w:p w14:paraId="5D276A52">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4C26AD92">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02DD9575">
            <w:pPr>
              <w:pStyle w:val="37"/>
              <w:spacing w:before="36"/>
              <w:jc w:val="center"/>
              <w:rPr>
                <w:vanish/>
                <w:sz w:val="18"/>
                <w:szCs w:val="18"/>
              </w:rPr>
            </w:pPr>
            <w:r>
              <w:rPr>
                <w:sz w:val="18"/>
                <w:szCs w:val="18"/>
              </w:rPr>
              <w:t>X</w:t>
            </w:r>
          </w:p>
        </w:tc>
        <w:tc>
          <w:tcPr>
            <w:tcW w:w="433" w:type="dxa"/>
            <w:tcBorders>
              <w:top w:val="single" w:color="auto" w:sz="4" w:space="0"/>
              <w:left w:val="single" w:color="auto" w:sz="4" w:space="0"/>
            </w:tcBorders>
            <w:shd w:val="clear" w:color="auto" w:fill="FFFFFF"/>
            <w:vAlign w:val="center"/>
          </w:tcPr>
          <w:p w14:paraId="09BB4DB3">
            <w:pPr>
              <w:pStyle w:val="37"/>
              <w:spacing w:before="36"/>
              <w:jc w:val="center"/>
              <w:rPr>
                <w:vanish/>
                <w:sz w:val="18"/>
                <w:szCs w:val="18"/>
              </w:rPr>
            </w:pPr>
          </w:p>
        </w:tc>
        <w:tc>
          <w:tcPr>
            <w:tcW w:w="434" w:type="dxa"/>
            <w:tcBorders>
              <w:top w:val="single" w:color="auto" w:sz="4" w:space="0"/>
              <w:left w:val="single" w:color="auto" w:sz="4" w:space="0"/>
            </w:tcBorders>
            <w:shd w:val="clear" w:color="auto" w:fill="FFFFFF"/>
            <w:vAlign w:val="center"/>
          </w:tcPr>
          <w:p w14:paraId="71A0753D">
            <w:pPr>
              <w:pStyle w:val="37"/>
              <w:spacing w:before="36"/>
              <w:jc w:val="center"/>
              <w:rPr>
                <w:vanish/>
                <w:sz w:val="18"/>
                <w:szCs w:val="18"/>
              </w:rPr>
            </w:pPr>
            <w:r>
              <w:rPr>
                <w:sz w:val="18"/>
                <w:szCs w:val="18"/>
              </w:rPr>
              <w:t>O</w:t>
            </w:r>
          </w:p>
        </w:tc>
        <w:tc>
          <w:tcPr>
            <w:tcW w:w="434" w:type="dxa"/>
            <w:tcBorders>
              <w:top w:val="single" w:color="auto" w:sz="4" w:space="0"/>
              <w:left w:val="single" w:color="auto" w:sz="4" w:space="0"/>
            </w:tcBorders>
            <w:shd w:val="clear" w:color="auto" w:fill="FFFFFF"/>
            <w:vAlign w:val="center"/>
          </w:tcPr>
          <w:p w14:paraId="33BE923F">
            <w:pPr>
              <w:pStyle w:val="37"/>
              <w:spacing w:before="36"/>
              <w:jc w:val="center"/>
              <w:rPr>
                <w:vanish/>
                <w:sz w:val="18"/>
                <w:szCs w:val="18"/>
              </w:rPr>
            </w:pPr>
            <w:r>
              <w:rPr>
                <w:sz w:val="18"/>
                <w:szCs w:val="18"/>
              </w:rPr>
              <w:t>O</w:t>
            </w:r>
          </w:p>
        </w:tc>
        <w:tc>
          <w:tcPr>
            <w:tcW w:w="434" w:type="dxa"/>
            <w:tcBorders>
              <w:top w:val="single" w:color="auto" w:sz="4" w:space="0"/>
              <w:left w:val="single" w:color="auto" w:sz="4" w:space="0"/>
            </w:tcBorders>
            <w:shd w:val="clear" w:color="auto" w:fill="FFFFFF"/>
            <w:vAlign w:val="center"/>
          </w:tcPr>
          <w:p w14:paraId="30FD5793">
            <w:pPr>
              <w:pStyle w:val="37"/>
              <w:spacing w:before="36"/>
              <w:jc w:val="center"/>
              <w:rPr>
                <w:vanish/>
                <w:sz w:val="18"/>
                <w:szCs w:val="18"/>
              </w:rPr>
            </w:pPr>
          </w:p>
        </w:tc>
        <w:tc>
          <w:tcPr>
            <w:tcW w:w="434" w:type="dxa"/>
            <w:tcBorders>
              <w:top w:val="single" w:color="auto" w:sz="4" w:space="0"/>
              <w:left w:val="single" w:color="auto" w:sz="4" w:space="0"/>
              <w:right w:val="single" w:color="auto" w:sz="4" w:space="0"/>
            </w:tcBorders>
            <w:shd w:val="clear" w:color="auto" w:fill="FFFFFF"/>
            <w:vAlign w:val="center"/>
          </w:tcPr>
          <w:p w14:paraId="02157055">
            <w:pPr>
              <w:pStyle w:val="37"/>
              <w:spacing w:before="36"/>
              <w:jc w:val="center"/>
              <w:rPr>
                <w:sz w:val="18"/>
                <w:szCs w:val="18"/>
              </w:rPr>
            </w:pPr>
          </w:p>
        </w:tc>
      </w:tr>
      <w:tr w14:paraId="55CAA075">
        <w:tblPrEx>
          <w:tblCellMar>
            <w:top w:w="0" w:type="dxa"/>
            <w:left w:w="113" w:type="dxa"/>
            <w:bottom w:w="0" w:type="dxa"/>
            <w:right w:w="113" w:type="dxa"/>
          </w:tblCellMar>
        </w:tblPrEx>
        <w:tc>
          <w:tcPr>
            <w:tcW w:w="680" w:type="dxa"/>
            <w:vMerge w:val="continue"/>
            <w:tcBorders>
              <w:left w:val="single" w:color="auto" w:sz="4" w:space="0"/>
            </w:tcBorders>
            <w:shd w:val="clear" w:color="auto" w:fill="FFFFFF"/>
            <w:vAlign w:val="center"/>
          </w:tcPr>
          <w:p w14:paraId="3FF31AF1">
            <w:pPr>
              <w:pStyle w:val="37"/>
              <w:spacing w:before="36"/>
              <w:jc w:val="center"/>
              <w:rPr>
                <w:sz w:val="18"/>
                <w:szCs w:val="18"/>
              </w:rPr>
            </w:pPr>
          </w:p>
        </w:tc>
        <w:tc>
          <w:tcPr>
            <w:tcW w:w="993" w:type="dxa"/>
            <w:vMerge w:val="restart"/>
            <w:tcBorders>
              <w:top w:val="single" w:color="auto" w:sz="4" w:space="0"/>
              <w:left w:val="single" w:color="auto" w:sz="4" w:space="0"/>
            </w:tcBorders>
            <w:shd w:val="clear" w:color="auto" w:fill="FFFFFF"/>
            <w:vAlign w:val="center"/>
          </w:tcPr>
          <w:p w14:paraId="6C5D5F90">
            <w:pPr>
              <w:pStyle w:val="37"/>
              <w:spacing w:before="36"/>
              <w:jc w:val="center"/>
              <w:rPr>
                <w:sz w:val="18"/>
                <w:szCs w:val="18"/>
              </w:rPr>
            </w:pPr>
            <w:r>
              <w:rPr>
                <w:rFonts w:cs="宋体"/>
                <w:sz w:val="18"/>
              </w:rPr>
              <w:t>循环血液</w:t>
            </w:r>
          </w:p>
        </w:tc>
        <w:tc>
          <w:tcPr>
            <w:tcW w:w="1984" w:type="dxa"/>
            <w:tcBorders>
              <w:top w:val="single" w:color="auto" w:sz="4" w:space="0"/>
              <w:left w:val="single" w:color="auto" w:sz="4" w:space="0"/>
            </w:tcBorders>
            <w:shd w:val="clear" w:color="auto" w:fill="FFFFFF"/>
            <w:vAlign w:val="center"/>
          </w:tcPr>
          <w:p w14:paraId="552807EE">
            <w:pPr>
              <w:pStyle w:val="37"/>
              <w:spacing w:before="36"/>
              <w:jc w:val="center"/>
              <w:rPr>
                <w:vanish/>
                <w:sz w:val="18"/>
                <w:szCs w:val="18"/>
              </w:rPr>
            </w:pPr>
            <w:r>
              <w:rPr>
                <w:sz w:val="18"/>
                <w:szCs w:val="18"/>
              </w:rPr>
              <w:t>A</w:t>
            </w:r>
          </w:p>
        </w:tc>
        <w:tc>
          <w:tcPr>
            <w:tcW w:w="433" w:type="dxa"/>
            <w:tcBorders>
              <w:top w:val="single" w:color="auto" w:sz="4" w:space="0"/>
              <w:left w:val="single" w:color="auto" w:sz="4" w:space="0"/>
            </w:tcBorders>
            <w:shd w:val="clear" w:color="auto" w:fill="FFFFFF"/>
            <w:vAlign w:val="center"/>
          </w:tcPr>
          <w:p w14:paraId="7BC50F99">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51F44E20">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2466110C">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7AA8B0A7">
            <w:pPr>
              <w:pStyle w:val="37"/>
              <w:spacing w:before="36"/>
              <w:jc w:val="center"/>
              <w:rPr>
                <w:vanish/>
                <w:sz w:val="18"/>
                <w:szCs w:val="18"/>
              </w:rPr>
            </w:pPr>
            <w:r>
              <w:rPr>
                <w:sz w:val="18"/>
                <w:szCs w:val="18"/>
              </w:rPr>
              <w:t>X</w:t>
            </w:r>
          </w:p>
        </w:tc>
        <w:tc>
          <w:tcPr>
            <w:tcW w:w="433" w:type="dxa"/>
            <w:tcBorders>
              <w:top w:val="single" w:color="auto" w:sz="4" w:space="0"/>
              <w:left w:val="single" w:color="auto" w:sz="4" w:space="0"/>
            </w:tcBorders>
            <w:shd w:val="clear" w:color="auto" w:fill="FFFFFF"/>
            <w:vAlign w:val="center"/>
          </w:tcPr>
          <w:p w14:paraId="348DF8D2">
            <w:pPr>
              <w:pStyle w:val="37"/>
              <w:spacing w:before="36"/>
              <w:jc w:val="center"/>
              <w:rPr>
                <w:vanish/>
                <w:sz w:val="18"/>
                <w:szCs w:val="18"/>
              </w:rPr>
            </w:pPr>
            <w:r>
              <w:rPr>
                <w:sz w:val="18"/>
                <w:szCs w:val="18"/>
              </w:rPr>
              <w:t>O</w:t>
            </w:r>
          </w:p>
        </w:tc>
        <w:tc>
          <w:tcPr>
            <w:tcW w:w="434" w:type="dxa"/>
            <w:tcBorders>
              <w:top w:val="single" w:color="auto" w:sz="4" w:space="0"/>
              <w:left w:val="single" w:color="auto" w:sz="4" w:space="0"/>
            </w:tcBorders>
            <w:shd w:val="clear" w:color="auto" w:fill="FFFFFF"/>
            <w:vAlign w:val="center"/>
          </w:tcPr>
          <w:p w14:paraId="458F5765">
            <w:pPr>
              <w:pStyle w:val="37"/>
              <w:spacing w:before="36"/>
              <w:jc w:val="center"/>
              <w:rPr>
                <w:vanish/>
                <w:sz w:val="18"/>
                <w:szCs w:val="18"/>
              </w:rPr>
            </w:pPr>
          </w:p>
        </w:tc>
        <w:tc>
          <w:tcPr>
            <w:tcW w:w="434" w:type="dxa"/>
            <w:tcBorders>
              <w:top w:val="single" w:color="auto" w:sz="4" w:space="0"/>
              <w:left w:val="single" w:color="auto" w:sz="4" w:space="0"/>
            </w:tcBorders>
            <w:shd w:val="clear" w:color="auto" w:fill="FFFFFF"/>
            <w:vAlign w:val="center"/>
          </w:tcPr>
          <w:p w14:paraId="2718A5FE">
            <w:pPr>
              <w:pStyle w:val="37"/>
              <w:spacing w:before="36"/>
              <w:jc w:val="center"/>
              <w:rPr>
                <w:vanish/>
                <w:sz w:val="18"/>
                <w:szCs w:val="18"/>
              </w:rPr>
            </w:pPr>
            <w:r>
              <w:rPr>
                <w:sz w:val="18"/>
                <w:szCs w:val="18"/>
              </w:rPr>
              <w:t>O</w:t>
            </w:r>
            <w:r>
              <w:rPr>
                <w:sz w:val="18"/>
                <w:szCs w:val="18"/>
                <w:vertAlign w:val="superscript"/>
              </w:rPr>
              <w:t>^</w:t>
            </w:r>
          </w:p>
        </w:tc>
        <w:tc>
          <w:tcPr>
            <w:tcW w:w="434" w:type="dxa"/>
            <w:tcBorders>
              <w:top w:val="single" w:color="auto" w:sz="4" w:space="0"/>
              <w:left w:val="single" w:color="auto" w:sz="4" w:space="0"/>
            </w:tcBorders>
            <w:shd w:val="clear" w:color="auto" w:fill="FFFFFF"/>
            <w:vAlign w:val="center"/>
          </w:tcPr>
          <w:p w14:paraId="77A4D51D">
            <w:pPr>
              <w:pStyle w:val="37"/>
              <w:spacing w:before="36"/>
              <w:jc w:val="center"/>
              <w:rPr>
                <w:vanish/>
                <w:sz w:val="18"/>
                <w:szCs w:val="18"/>
              </w:rPr>
            </w:pPr>
          </w:p>
        </w:tc>
        <w:tc>
          <w:tcPr>
            <w:tcW w:w="433" w:type="dxa"/>
            <w:tcBorders>
              <w:top w:val="single" w:color="auto" w:sz="4" w:space="0"/>
              <w:left w:val="single" w:color="auto" w:sz="4" w:space="0"/>
            </w:tcBorders>
            <w:shd w:val="clear" w:color="auto" w:fill="FFFFFF"/>
            <w:vAlign w:val="center"/>
          </w:tcPr>
          <w:p w14:paraId="0990C38F">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11AAE88B">
            <w:pPr>
              <w:pStyle w:val="37"/>
              <w:spacing w:before="36"/>
              <w:jc w:val="center"/>
              <w:rPr>
                <w:vanish/>
                <w:sz w:val="18"/>
                <w:szCs w:val="18"/>
              </w:rPr>
            </w:pPr>
          </w:p>
        </w:tc>
        <w:tc>
          <w:tcPr>
            <w:tcW w:w="434" w:type="dxa"/>
            <w:tcBorders>
              <w:top w:val="single" w:color="auto" w:sz="4" w:space="0"/>
              <w:left w:val="single" w:color="auto" w:sz="4" w:space="0"/>
            </w:tcBorders>
            <w:shd w:val="clear" w:color="auto" w:fill="FFFFFF"/>
            <w:vAlign w:val="center"/>
          </w:tcPr>
          <w:p w14:paraId="64A7DAAF">
            <w:pPr>
              <w:pStyle w:val="37"/>
              <w:spacing w:before="36"/>
              <w:jc w:val="center"/>
              <w:rPr>
                <w:vanish/>
                <w:sz w:val="18"/>
                <w:szCs w:val="18"/>
              </w:rPr>
            </w:pPr>
          </w:p>
        </w:tc>
        <w:tc>
          <w:tcPr>
            <w:tcW w:w="434" w:type="dxa"/>
            <w:tcBorders>
              <w:top w:val="single" w:color="auto" w:sz="4" w:space="0"/>
              <w:left w:val="single" w:color="auto" w:sz="4" w:space="0"/>
            </w:tcBorders>
            <w:shd w:val="clear" w:color="auto" w:fill="FFFFFF"/>
            <w:vAlign w:val="center"/>
          </w:tcPr>
          <w:p w14:paraId="167D62A3">
            <w:pPr>
              <w:pStyle w:val="37"/>
              <w:spacing w:before="36"/>
              <w:jc w:val="center"/>
              <w:rPr>
                <w:vanish/>
                <w:sz w:val="18"/>
                <w:szCs w:val="18"/>
              </w:rPr>
            </w:pPr>
          </w:p>
        </w:tc>
        <w:tc>
          <w:tcPr>
            <w:tcW w:w="434" w:type="dxa"/>
            <w:tcBorders>
              <w:top w:val="single" w:color="auto" w:sz="4" w:space="0"/>
              <w:left w:val="single" w:color="auto" w:sz="4" w:space="0"/>
              <w:right w:val="single" w:color="auto" w:sz="4" w:space="0"/>
            </w:tcBorders>
            <w:shd w:val="clear" w:color="auto" w:fill="FFFFFF"/>
            <w:vAlign w:val="center"/>
          </w:tcPr>
          <w:p w14:paraId="633DD2BE">
            <w:pPr>
              <w:pStyle w:val="37"/>
              <w:spacing w:before="36"/>
              <w:jc w:val="center"/>
              <w:rPr>
                <w:sz w:val="18"/>
                <w:szCs w:val="18"/>
              </w:rPr>
            </w:pPr>
          </w:p>
        </w:tc>
      </w:tr>
      <w:tr w14:paraId="7ABC0DE1">
        <w:tblPrEx>
          <w:tblCellMar>
            <w:top w:w="0" w:type="dxa"/>
            <w:left w:w="113" w:type="dxa"/>
            <w:bottom w:w="0" w:type="dxa"/>
            <w:right w:w="113" w:type="dxa"/>
          </w:tblCellMar>
        </w:tblPrEx>
        <w:tc>
          <w:tcPr>
            <w:tcW w:w="680" w:type="dxa"/>
            <w:vMerge w:val="continue"/>
            <w:tcBorders>
              <w:left w:val="single" w:color="auto" w:sz="4" w:space="0"/>
            </w:tcBorders>
            <w:shd w:val="clear" w:color="auto" w:fill="FFFFFF"/>
            <w:vAlign w:val="center"/>
          </w:tcPr>
          <w:p w14:paraId="597A95C0">
            <w:pPr>
              <w:pStyle w:val="37"/>
              <w:spacing w:before="36"/>
              <w:jc w:val="center"/>
              <w:rPr>
                <w:sz w:val="18"/>
                <w:szCs w:val="18"/>
              </w:rPr>
            </w:pPr>
          </w:p>
        </w:tc>
        <w:tc>
          <w:tcPr>
            <w:tcW w:w="993" w:type="dxa"/>
            <w:vMerge w:val="continue"/>
            <w:tcBorders>
              <w:left w:val="single" w:color="auto" w:sz="4" w:space="0"/>
            </w:tcBorders>
            <w:shd w:val="clear" w:color="auto" w:fill="FFFFFF"/>
            <w:vAlign w:val="center"/>
          </w:tcPr>
          <w:p w14:paraId="4ECFBA25">
            <w:pPr>
              <w:pStyle w:val="37"/>
              <w:spacing w:before="36"/>
              <w:jc w:val="center"/>
              <w:rPr>
                <w:sz w:val="18"/>
                <w:szCs w:val="18"/>
              </w:rPr>
            </w:pPr>
          </w:p>
        </w:tc>
        <w:tc>
          <w:tcPr>
            <w:tcW w:w="1984" w:type="dxa"/>
            <w:tcBorders>
              <w:top w:val="single" w:color="auto" w:sz="4" w:space="0"/>
              <w:left w:val="single" w:color="auto" w:sz="4" w:space="0"/>
            </w:tcBorders>
            <w:shd w:val="clear" w:color="auto" w:fill="FFFFFF"/>
            <w:vAlign w:val="center"/>
          </w:tcPr>
          <w:p w14:paraId="1224FDA7">
            <w:pPr>
              <w:pStyle w:val="37"/>
              <w:spacing w:before="36"/>
              <w:jc w:val="center"/>
              <w:rPr>
                <w:vanish/>
                <w:sz w:val="18"/>
                <w:szCs w:val="18"/>
              </w:rPr>
            </w:pPr>
            <w:r>
              <w:rPr>
                <w:sz w:val="18"/>
                <w:szCs w:val="18"/>
              </w:rPr>
              <w:t>B</w:t>
            </w:r>
          </w:p>
        </w:tc>
        <w:tc>
          <w:tcPr>
            <w:tcW w:w="433" w:type="dxa"/>
            <w:tcBorders>
              <w:top w:val="single" w:color="auto" w:sz="4" w:space="0"/>
              <w:left w:val="single" w:color="auto" w:sz="4" w:space="0"/>
            </w:tcBorders>
            <w:shd w:val="clear" w:color="auto" w:fill="FFFFFF"/>
            <w:vAlign w:val="center"/>
          </w:tcPr>
          <w:p w14:paraId="3023ABD6">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6384051C">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5AC4F13D">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5067AAD8">
            <w:pPr>
              <w:pStyle w:val="37"/>
              <w:spacing w:before="36"/>
              <w:jc w:val="center"/>
              <w:rPr>
                <w:vanish/>
                <w:sz w:val="18"/>
                <w:szCs w:val="18"/>
              </w:rPr>
            </w:pPr>
            <w:r>
              <w:rPr>
                <w:sz w:val="18"/>
                <w:szCs w:val="18"/>
              </w:rPr>
              <w:t>X</w:t>
            </w:r>
          </w:p>
        </w:tc>
        <w:tc>
          <w:tcPr>
            <w:tcW w:w="433" w:type="dxa"/>
            <w:tcBorders>
              <w:top w:val="single" w:color="auto" w:sz="4" w:space="0"/>
              <w:left w:val="single" w:color="auto" w:sz="4" w:space="0"/>
            </w:tcBorders>
            <w:shd w:val="clear" w:color="auto" w:fill="FFFFFF"/>
            <w:vAlign w:val="center"/>
          </w:tcPr>
          <w:p w14:paraId="3411F9B6">
            <w:pPr>
              <w:pStyle w:val="37"/>
              <w:spacing w:before="36"/>
              <w:jc w:val="center"/>
              <w:rPr>
                <w:vanish/>
                <w:sz w:val="18"/>
                <w:szCs w:val="18"/>
              </w:rPr>
            </w:pPr>
            <w:r>
              <w:rPr>
                <w:sz w:val="18"/>
                <w:szCs w:val="18"/>
              </w:rPr>
              <w:t>O</w:t>
            </w:r>
          </w:p>
        </w:tc>
        <w:tc>
          <w:tcPr>
            <w:tcW w:w="434" w:type="dxa"/>
            <w:tcBorders>
              <w:top w:val="single" w:color="auto" w:sz="4" w:space="0"/>
              <w:left w:val="single" w:color="auto" w:sz="4" w:space="0"/>
            </w:tcBorders>
            <w:shd w:val="clear" w:color="auto" w:fill="FFFFFF"/>
            <w:vAlign w:val="center"/>
          </w:tcPr>
          <w:p w14:paraId="30A57B68">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577C18C6">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4ECF5585">
            <w:pPr>
              <w:pStyle w:val="37"/>
              <w:spacing w:before="36"/>
              <w:jc w:val="center"/>
              <w:rPr>
                <w:vanish/>
                <w:sz w:val="18"/>
                <w:szCs w:val="18"/>
              </w:rPr>
            </w:pPr>
            <w:r>
              <w:rPr>
                <w:sz w:val="18"/>
                <w:szCs w:val="18"/>
              </w:rPr>
              <w:t>X</w:t>
            </w:r>
          </w:p>
        </w:tc>
        <w:tc>
          <w:tcPr>
            <w:tcW w:w="433" w:type="dxa"/>
            <w:tcBorders>
              <w:top w:val="single" w:color="auto" w:sz="4" w:space="0"/>
              <w:left w:val="single" w:color="auto" w:sz="4" w:space="0"/>
            </w:tcBorders>
            <w:shd w:val="clear" w:color="auto" w:fill="FFFFFF"/>
            <w:vAlign w:val="center"/>
          </w:tcPr>
          <w:p w14:paraId="0310B73F">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33529CE4">
            <w:pPr>
              <w:pStyle w:val="37"/>
              <w:spacing w:before="36"/>
              <w:jc w:val="center"/>
              <w:rPr>
                <w:vanish/>
                <w:sz w:val="18"/>
                <w:szCs w:val="18"/>
              </w:rPr>
            </w:pPr>
          </w:p>
        </w:tc>
        <w:tc>
          <w:tcPr>
            <w:tcW w:w="434" w:type="dxa"/>
            <w:tcBorders>
              <w:top w:val="single" w:color="auto" w:sz="4" w:space="0"/>
              <w:left w:val="single" w:color="auto" w:sz="4" w:space="0"/>
            </w:tcBorders>
            <w:shd w:val="clear" w:color="auto" w:fill="FFFFFF"/>
            <w:vAlign w:val="center"/>
          </w:tcPr>
          <w:p w14:paraId="0359A8BB">
            <w:pPr>
              <w:pStyle w:val="37"/>
              <w:spacing w:before="36"/>
              <w:jc w:val="center"/>
              <w:rPr>
                <w:vanish/>
                <w:sz w:val="18"/>
                <w:szCs w:val="18"/>
              </w:rPr>
            </w:pPr>
          </w:p>
        </w:tc>
        <w:tc>
          <w:tcPr>
            <w:tcW w:w="434" w:type="dxa"/>
            <w:tcBorders>
              <w:top w:val="single" w:color="auto" w:sz="4" w:space="0"/>
              <w:left w:val="single" w:color="auto" w:sz="4" w:space="0"/>
            </w:tcBorders>
            <w:shd w:val="clear" w:color="auto" w:fill="FFFFFF"/>
            <w:vAlign w:val="center"/>
          </w:tcPr>
          <w:p w14:paraId="21AAC682">
            <w:pPr>
              <w:pStyle w:val="37"/>
              <w:spacing w:before="36"/>
              <w:jc w:val="center"/>
              <w:rPr>
                <w:vanish/>
                <w:sz w:val="18"/>
                <w:szCs w:val="18"/>
              </w:rPr>
            </w:pPr>
          </w:p>
        </w:tc>
        <w:tc>
          <w:tcPr>
            <w:tcW w:w="434" w:type="dxa"/>
            <w:tcBorders>
              <w:top w:val="single" w:color="auto" w:sz="4" w:space="0"/>
              <w:left w:val="single" w:color="auto" w:sz="4" w:space="0"/>
              <w:right w:val="single" w:color="auto" w:sz="4" w:space="0"/>
            </w:tcBorders>
            <w:shd w:val="clear" w:color="auto" w:fill="FFFFFF"/>
            <w:vAlign w:val="center"/>
          </w:tcPr>
          <w:p w14:paraId="2F8E2206">
            <w:pPr>
              <w:pStyle w:val="37"/>
              <w:spacing w:before="36"/>
              <w:jc w:val="center"/>
              <w:rPr>
                <w:sz w:val="18"/>
                <w:szCs w:val="18"/>
              </w:rPr>
            </w:pPr>
          </w:p>
        </w:tc>
      </w:tr>
      <w:tr w14:paraId="4BB35FD2">
        <w:tblPrEx>
          <w:tblCellMar>
            <w:top w:w="0" w:type="dxa"/>
            <w:left w:w="113" w:type="dxa"/>
            <w:bottom w:w="0" w:type="dxa"/>
            <w:right w:w="113" w:type="dxa"/>
          </w:tblCellMar>
        </w:tblPrEx>
        <w:tc>
          <w:tcPr>
            <w:tcW w:w="680" w:type="dxa"/>
            <w:vMerge w:val="continue"/>
            <w:tcBorders>
              <w:left w:val="single" w:color="auto" w:sz="4" w:space="0"/>
            </w:tcBorders>
            <w:shd w:val="clear" w:color="auto" w:fill="FFFFFF"/>
            <w:vAlign w:val="center"/>
          </w:tcPr>
          <w:p w14:paraId="1B6D5871">
            <w:pPr>
              <w:pStyle w:val="37"/>
              <w:spacing w:before="36"/>
              <w:jc w:val="center"/>
              <w:rPr>
                <w:sz w:val="18"/>
                <w:szCs w:val="18"/>
              </w:rPr>
            </w:pPr>
          </w:p>
        </w:tc>
        <w:tc>
          <w:tcPr>
            <w:tcW w:w="993" w:type="dxa"/>
            <w:vMerge w:val="continue"/>
            <w:tcBorders>
              <w:left w:val="single" w:color="auto" w:sz="4" w:space="0"/>
            </w:tcBorders>
            <w:shd w:val="clear" w:color="auto" w:fill="FFFFFF"/>
            <w:vAlign w:val="center"/>
          </w:tcPr>
          <w:p w14:paraId="4CE6A983">
            <w:pPr>
              <w:pStyle w:val="37"/>
              <w:spacing w:before="36"/>
              <w:jc w:val="center"/>
              <w:rPr>
                <w:sz w:val="18"/>
                <w:szCs w:val="18"/>
              </w:rPr>
            </w:pPr>
          </w:p>
        </w:tc>
        <w:tc>
          <w:tcPr>
            <w:tcW w:w="1984" w:type="dxa"/>
            <w:tcBorders>
              <w:top w:val="single" w:color="auto" w:sz="4" w:space="0"/>
              <w:left w:val="single" w:color="auto" w:sz="4" w:space="0"/>
            </w:tcBorders>
            <w:shd w:val="clear" w:color="auto" w:fill="FFFFFF"/>
            <w:vAlign w:val="center"/>
          </w:tcPr>
          <w:p w14:paraId="4801E4D9">
            <w:pPr>
              <w:pStyle w:val="37"/>
              <w:spacing w:before="36"/>
              <w:jc w:val="center"/>
              <w:rPr>
                <w:vanish/>
                <w:sz w:val="18"/>
                <w:szCs w:val="18"/>
              </w:rPr>
            </w:pPr>
            <w:r>
              <w:rPr>
                <w:sz w:val="18"/>
                <w:szCs w:val="18"/>
              </w:rPr>
              <w:t>C</w:t>
            </w:r>
          </w:p>
        </w:tc>
        <w:tc>
          <w:tcPr>
            <w:tcW w:w="433" w:type="dxa"/>
            <w:tcBorders>
              <w:top w:val="single" w:color="auto" w:sz="4" w:space="0"/>
              <w:left w:val="single" w:color="auto" w:sz="4" w:space="0"/>
            </w:tcBorders>
            <w:shd w:val="clear" w:color="auto" w:fill="FFFFFF"/>
            <w:vAlign w:val="center"/>
          </w:tcPr>
          <w:p w14:paraId="0BB54602">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444B60CA">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1ACD09B7">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46FA6D46">
            <w:pPr>
              <w:pStyle w:val="37"/>
              <w:spacing w:before="36"/>
              <w:jc w:val="center"/>
              <w:rPr>
                <w:vanish/>
                <w:sz w:val="18"/>
                <w:szCs w:val="18"/>
              </w:rPr>
            </w:pPr>
            <w:r>
              <w:rPr>
                <w:sz w:val="18"/>
                <w:szCs w:val="18"/>
              </w:rPr>
              <w:t>X</w:t>
            </w:r>
          </w:p>
        </w:tc>
        <w:tc>
          <w:tcPr>
            <w:tcW w:w="433" w:type="dxa"/>
            <w:tcBorders>
              <w:top w:val="single" w:color="auto" w:sz="4" w:space="0"/>
              <w:left w:val="single" w:color="auto" w:sz="4" w:space="0"/>
            </w:tcBorders>
            <w:shd w:val="clear" w:color="auto" w:fill="FFFFFF"/>
            <w:vAlign w:val="center"/>
          </w:tcPr>
          <w:p w14:paraId="103EEE53">
            <w:pPr>
              <w:pStyle w:val="37"/>
              <w:spacing w:before="36"/>
              <w:jc w:val="center"/>
              <w:rPr>
                <w:vanish/>
                <w:sz w:val="18"/>
                <w:szCs w:val="18"/>
              </w:rPr>
            </w:pPr>
            <w:r>
              <w:rPr>
                <w:sz w:val="18"/>
                <w:szCs w:val="18"/>
              </w:rPr>
              <w:t>O</w:t>
            </w:r>
          </w:p>
        </w:tc>
        <w:tc>
          <w:tcPr>
            <w:tcW w:w="434" w:type="dxa"/>
            <w:tcBorders>
              <w:top w:val="single" w:color="auto" w:sz="4" w:space="0"/>
              <w:left w:val="single" w:color="auto" w:sz="4" w:space="0"/>
            </w:tcBorders>
            <w:shd w:val="clear" w:color="auto" w:fill="FFFFFF"/>
            <w:vAlign w:val="center"/>
          </w:tcPr>
          <w:p w14:paraId="59499C19">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77F662E4">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423CAFAD">
            <w:pPr>
              <w:pStyle w:val="37"/>
              <w:spacing w:before="36"/>
              <w:jc w:val="center"/>
              <w:rPr>
                <w:vanish/>
                <w:sz w:val="18"/>
                <w:szCs w:val="18"/>
              </w:rPr>
            </w:pPr>
            <w:r>
              <w:rPr>
                <w:sz w:val="18"/>
                <w:szCs w:val="18"/>
              </w:rPr>
              <w:t>X</w:t>
            </w:r>
          </w:p>
        </w:tc>
        <w:tc>
          <w:tcPr>
            <w:tcW w:w="433" w:type="dxa"/>
            <w:tcBorders>
              <w:top w:val="single" w:color="auto" w:sz="4" w:space="0"/>
              <w:left w:val="single" w:color="auto" w:sz="4" w:space="0"/>
            </w:tcBorders>
            <w:shd w:val="clear" w:color="auto" w:fill="FFFFFF"/>
            <w:vAlign w:val="center"/>
          </w:tcPr>
          <w:p w14:paraId="2D2C5A96">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199C050F">
            <w:pPr>
              <w:pStyle w:val="37"/>
              <w:spacing w:before="36"/>
              <w:jc w:val="center"/>
              <w:rPr>
                <w:vanish/>
                <w:sz w:val="18"/>
                <w:szCs w:val="18"/>
              </w:rPr>
            </w:pPr>
            <w:r>
              <w:rPr>
                <w:sz w:val="18"/>
                <w:szCs w:val="18"/>
              </w:rPr>
              <w:t>O</w:t>
            </w:r>
          </w:p>
        </w:tc>
        <w:tc>
          <w:tcPr>
            <w:tcW w:w="434" w:type="dxa"/>
            <w:tcBorders>
              <w:top w:val="single" w:color="auto" w:sz="4" w:space="0"/>
              <w:left w:val="single" w:color="auto" w:sz="4" w:space="0"/>
            </w:tcBorders>
            <w:shd w:val="clear" w:color="auto" w:fill="FFFFFF"/>
            <w:vAlign w:val="center"/>
          </w:tcPr>
          <w:p w14:paraId="117ADEC1">
            <w:pPr>
              <w:pStyle w:val="37"/>
              <w:spacing w:before="36"/>
              <w:jc w:val="center"/>
              <w:rPr>
                <w:vanish/>
                <w:sz w:val="18"/>
                <w:szCs w:val="18"/>
              </w:rPr>
            </w:pPr>
            <w:r>
              <w:rPr>
                <w:sz w:val="18"/>
                <w:szCs w:val="18"/>
              </w:rPr>
              <w:t>O</w:t>
            </w:r>
          </w:p>
        </w:tc>
        <w:tc>
          <w:tcPr>
            <w:tcW w:w="434" w:type="dxa"/>
            <w:tcBorders>
              <w:top w:val="single" w:color="auto" w:sz="4" w:space="0"/>
              <w:left w:val="single" w:color="auto" w:sz="4" w:space="0"/>
            </w:tcBorders>
            <w:shd w:val="clear" w:color="auto" w:fill="FFFFFF"/>
            <w:vAlign w:val="center"/>
          </w:tcPr>
          <w:p w14:paraId="31C03E79">
            <w:pPr>
              <w:pStyle w:val="37"/>
              <w:spacing w:before="36"/>
              <w:jc w:val="center"/>
              <w:rPr>
                <w:vanish/>
                <w:sz w:val="18"/>
                <w:szCs w:val="18"/>
              </w:rPr>
            </w:pPr>
          </w:p>
        </w:tc>
        <w:tc>
          <w:tcPr>
            <w:tcW w:w="434" w:type="dxa"/>
            <w:tcBorders>
              <w:top w:val="single" w:color="auto" w:sz="4" w:space="0"/>
              <w:left w:val="single" w:color="auto" w:sz="4" w:space="0"/>
              <w:right w:val="single" w:color="auto" w:sz="4" w:space="0"/>
            </w:tcBorders>
            <w:shd w:val="clear" w:color="auto" w:fill="FFFFFF"/>
            <w:vAlign w:val="center"/>
          </w:tcPr>
          <w:p w14:paraId="37296FD0">
            <w:pPr>
              <w:pStyle w:val="37"/>
              <w:spacing w:before="36"/>
              <w:jc w:val="center"/>
              <w:rPr>
                <w:sz w:val="18"/>
                <w:szCs w:val="18"/>
              </w:rPr>
            </w:pPr>
          </w:p>
        </w:tc>
      </w:tr>
      <w:tr w14:paraId="6FFFA19B">
        <w:tblPrEx>
          <w:tblCellMar>
            <w:top w:w="0" w:type="dxa"/>
            <w:left w:w="113" w:type="dxa"/>
            <w:bottom w:w="0" w:type="dxa"/>
            <w:right w:w="113" w:type="dxa"/>
          </w:tblCellMar>
        </w:tblPrEx>
        <w:tc>
          <w:tcPr>
            <w:tcW w:w="680" w:type="dxa"/>
            <w:vMerge w:val="restart"/>
            <w:tcBorders>
              <w:top w:val="single" w:color="auto" w:sz="4" w:space="0"/>
              <w:left w:val="single" w:color="auto" w:sz="4" w:space="0"/>
            </w:tcBorders>
            <w:shd w:val="clear" w:color="auto" w:fill="FFFFFF"/>
            <w:vAlign w:val="center"/>
          </w:tcPr>
          <w:p w14:paraId="3B6FCC4A">
            <w:pPr>
              <w:pStyle w:val="37"/>
              <w:spacing w:before="36"/>
              <w:jc w:val="center"/>
              <w:rPr>
                <w:sz w:val="18"/>
                <w:szCs w:val="18"/>
              </w:rPr>
            </w:pPr>
            <w:r>
              <w:rPr>
                <w:rFonts w:cs="宋体"/>
                <w:sz w:val="18"/>
              </w:rPr>
              <w:t>植入器械</w:t>
            </w:r>
          </w:p>
        </w:tc>
        <w:tc>
          <w:tcPr>
            <w:tcW w:w="993" w:type="dxa"/>
            <w:vMerge w:val="restart"/>
            <w:tcBorders>
              <w:top w:val="single" w:color="auto" w:sz="4" w:space="0"/>
              <w:left w:val="single" w:color="auto" w:sz="4" w:space="0"/>
            </w:tcBorders>
            <w:shd w:val="clear" w:color="auto" w:fill="FFFFFF"/>
            <w:vAlign w:val="center"/>
          </w:tcPr>
          <w:p w14:paraId="4AFCF3EC">
            <w:pPr>
              <w:pStyle w:val="37"/>
              <w:spacing w:before="36"/>
              <w:jc w:val="center"/>
              <w:rPr>
                <w:sz w:val="18"/>
                <w:szCs w:val="18"/>
              </w:rPr>
            </w:pPr>
            <w:r>
              <w:rPr>
                <w:rFonts w:cs="宋体"/>
                <w:sz w:val="18"/>
              </w:rPr>
              <w:t>组织</w:t>
            </w:r>
            <w:r>
              <w:rPr>
                <w:rFonts w:cs="宋体"/>
                <w:sz w:val="18"/>
                <w:vertAlign w:val="superscript"/>
              </w:rPr>
              <w:t>+</w:t>
            </w:r>
            <w:r>
              <w:rPr>
                <w:rFonts w:cs="宋体"/>
                <w:sz w:val="18"/>
              </w:rPr>
              <w:t>/骨</w:t>
            </w:r>
          </w:p>
        </w:tc>
        <w:tc>
          <w:tcPr>
            <w:tcW w:w="1984" w:type="dxa"/>
            <w:tcBorders>
              <w:top w:val="single" w:color="auto" w:sz="4" w:space="0"/>
              <w:left w:val="single" w:color="auto" w:sz="4" w:space="0"/>
            </w:tcBorders>
            <w:shd w:val="clear" w:color="auto" w:fill="FFFFFF"/>
            <w:vAlign w:val="center"/>
          </w:tcPr>
          <w:p w14:paraId="652671AF">
            <w:pPr>
              <w:pStyle w:val="37"/>
              <w:spacing w:before="36"/>
              <w:jc w:val="center"/>
              <w:rPr>
                <w:vanish/>
                <w:sz w:val="18"/>
                <w:szCs w:val="18"/>
              </w:rPr>
            </w:pPr>
            <w:r>
              <w:rPr>
                <w:sz w:val="18"/>
                <w:szCs w:val="18"/>
              </w:rPr>
              <w:t>A</w:t>
            </w:r>
          </w:p>
        </w:tc>
        <w:tc>
          <w:tcPr>
            <w:tcW w:w="433" w:type="dxa"/>
            <w:tcBorders>
              <w:top w:val="single" w:color="auto" w:sz="4" w:space="0"/>
              <w:left w:val="single" w:color="auto" w:sz="4" w:space="0"/>
            </w:tcBorders>
            <w:shd w:val="clear" w:color="auto" w:fill="FFFFFF"/>
            <w:vAlign w:val="center"/>
          </w:tcPr>
          <w:p w14:paraId="0EE43552">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63DE5019">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62B3A998">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217E163F">
            <w:pPr>
              <w:pStyle w:val="37"/>
              <w:spacing w:before="36"/>
              <w:jc w:val="center"/>
              <w:rPr>
                <w:vanish/>
                <w:sz w:val="18"/>
                <w:szCs w:val="18"/>
              </w:rPr>
            </w:pPr>
            <w:r>
              <w:rPr>
                <w:sz w:val="18"/>
                <w:szCs w:val="18"/>
              </w:rPr>
              <w:t>O</w:t>
            </w:r>
          </w:p>
        </w:tc>
        <w:tc>
          <w:tcPr>
            <w:tcW w:w="433" w:type="dxa"/>
            <w:tcBorders>
              <w:top w:val="single" w:color="auto" w:sz="4" w:space="0"/>
              <w:left w:val="single" w:color="auto" w:sz="4" w:space="0"/>
            </w:tcBorders>
            <w:shd w:val="clear" w:color="auto" w:fill="FFFFFF"/>
            <w:vAlign w:val="center"/>
          </w:tcPr>
          <w:p w14:paraId="7D28232F">
            <w:pPr>
              <w:pStyle w:val="37"/>
              <w:spacing w:before="36"/>
              <w:jc w:val="center"/>
              <w:rPr>
                <w:vanish/>
                <w:sz w:val="18"/>
                <w:szCs w:val="18"/>
              </w:rPr>
            </w:pPr>
            <w:r>
              <w:rPr>
                <w:sz w:val="18"/>
                <w:szCs w:val="18"/>
              </w:rPr>
              <w:t>O</w:t>
            </w:r>
          </w:p>
        </w:tc>
        <w:tc>
          <w:tcPr>
            <w:tcW w:w="434" w:type="dxa"/>
            <w:tcBorders>
              <w:top w:val="single" w:color="auto" w:sz="4" w:space="0"/>
              <w:left w:val="single" w:color="auto" w:sz="4" w:space="0"/>
            </w:tcBorders>
            <w:shd w:val="clear" w:color="auto" w:fill="FFFFFF"/>
            <w:vAlign w:val="center"/>
          </w:tcPr>
          <w:p w14:paraId="07DABA0A">
            <w:pPr>
              <w:pStyle w:val="37"/>
              <w:spacing w:before="36"/>
              <w:jc w:val="center"/>
              <w:rPr>
                <w:vanish/>
                <w:sz w:val="18"/>
                <w:szCs w:val="18"/>
              </w:rPr>
            </w:pPr>
          </w:p>
        </w:tc>
        <w:tc>
          <w:tcPr>
            <w:tcW w:w="434" w:type="dxa"/>
            <w:tcBorders>
              <w:top w:val="single" w:color="auto" w:sz="4" w:space="0"/>
              <w:left w:val="single" w:color="auto" w:sz="4" w:space="0"/>
            </w:tcBorders>
            <w:shd w:val="clear" w:color="auto" w:fill="FFFFFF"/>
            <w:vAlign w:val="center"/>
          </w:tcPr>
          <w:p w14:paraId="6D1FBDC3">
            <w:pPr>
              <w:pStyle w:val="37"/>
              <w:spacing w:before="36"/>
              <w:jc w:val="center"/>
              <w:rPr>
                <w:vanish/>
                <w:sz w:val="18"/>
                <w:szCs w:val="18"/>
              </w:rPr>
            </w:pPr>
          </w:p>
        </w:tc>
        <w:tc>
          <w:tcPr>
            <w:tcW w:w="434" w:type="dxa"/>
            <w:tcBorders>
              <w:top w:val="single" w:color="auto" w:sz="4" w:space="0"/>
              <w:left w:val="single" w:color="auto" w:sz="4" w:space="0"/>
            </w:tcBorders>
            <w:shd w:val="clear" w:color="auto" w:fill="FFFFFF"/>
            <w:vAlign w:val="center"/>
          </w:tcPr>
          <w:p w14:paraId="75BFE184">
            <w:pPr>
              <w:pStyle w:val="37"/>
              <w:spacing w:before="36"/>
              <w:jc w:val="center"/>
              <w:rPr>
                <w:vanish/>
                <w:sz w:val="18"/>
                <w:szCs w:val="18"/>
              </w:rPr>
            </w:pPr>
          </w:p>
        </w:tc>
        <w:tc>
          <w:tcPr>
            <w:tcW w:w="433" w:type="dxa"/>
            <w:tcBorders>
              <w:top w:val="single" w:color="auto" w:sz="4" w:space="0"/>
              <w:left w:val="single" w:color="auto" w:sz="4" w:space="0"/>
            </w:tcBorders>
            <w:shd w:val="clear" w:color="auto" w:fill="FFFFFF"/>
            <w:vAlign w:val="center"/>
          </w:tcPr>
          <w:p w14:paraId="5D3B7292">
            <w:pPr>
              <w:pStyle w:val="37"/>
              <w:spacing w:before="36"/>
              <w:jc w:val="center"/>
              <w:rPr>
                <w:vanish/>
                <w:sz w:val="18"/>
                <w:szCs w:val="18"/>
              </w:rPr>
            </w:pPr>
          </w:p>
        </w:tc>
        <w:tc>
          <w:tcPr>
            <w:tcW w:w="434" w:type="dxa"/>
            <w:tcBorders>
              <w:top w:val="single" w:color="auto" w:sz="4" w:space="0"/>
              <w:left w:val="single" w:color="auto" w:sz="4" w:space="0"/>
            </w:tcBorders>
            <w:shd w:val="clear" w:color="auto" w:fill="FFFFFF"/>
            <w:vAlign w:val="center"/>
          </w:tcPr>
          <w:p w14:paraId="4CA7415A">
            <w:pPr>
              <w:pStyle w:val="37"/>
              <w:spacing w:before="36"/>
              <w:jc w:val="center"/>
              <w:rPr>
                <w:vanish/>
                <w:sz w:val="18"/>
                <w:szCs w:val="18"/>
              </w:rPr>
            </w:pPr>
          </w:p>
        </w:tc>
        <w:tc>
          <w:tcPr>
            <w:tcW w:w="434" w:type="dxa"/>
            <w:tcBorders>
              <w:top w:val="single" w:color="auto" w:sz="4" w:space="0"/>
              <w:left w:val="single" w:color="auto" w:sz="4" w:space="0"/>
            </w:tcBorders>
            <w:shd w:val="clear" w:color="auto" w:fill="FFFFFF"/>
            <w:vAlign w:val="center"/>
          </w:tcPr>
          <w:p w14:paraId="4782EC44">
            <w:pPr>
              <w:pStyle w:val="37"/>
              <w:spacing w:before="36"/>
              <w:jc w:val="center"/>
              <w:rPr>
                <w:vanish/>
                <w:sz w:val="18"/>
                <w:szCs w:val="18"/>
              </w:rPr>
            </w:pPr>
          </w:p>
        </w:tc>
        <w:tc>
          <w:tcPr>
            <w:tcW w:w="434" w:type="dxa"/>
            <w:tcBorders>
              <w:top w:val="single" w:color="auto" w:sz="4" w:space="0"/>
              <w:left w:val="single" w:color="auto" w:sz="4" w:space="0"/>
            </w:tcBorders>
            <w:shd w:val="clear" w:color="auto" w:fill="FFFFFF"/>
            <w:vAlign w:val="center"/>
          </w:tcPr>
          <w:p w14:paraId="04AECCFD">
            <w:pPr>
              <w:pStyle w:val="37"/>
              <w:spacing w:before="36"/>
              <w:jc w:val="center"/>
              <w:rPr>
                <w:vanish/>
                <w:sz w:val="18"/>
                <w:szCs w:val="18"/>
              </w:rPr>
            </w:pPr>
          </w:p>
        </w:tc>
        <w:tc>
          <w:tcPr>
            <w:tcW w:w="434" w:type="dxa"/>
            <w:tcBorders>
              <w:top w:val="single" w:color="auto" w:sz="4" w:space="0"/>
              <w:left w:val="single" w:color="auto" w:sz="4" w:space="0"/>
              <w:right w:val="single" w:color="auto" w:sz="4" w:space="0"/>
            </w:tcBorders>
            <w:shd w:val="clear" w:color="auto" w:fill="FFFFFF"/>
            <w:vAlign w:val="center"/>
          </w:tcPr>
          <w:p w14:paraId="40FAC90C">
            <w:pPr>
              <w:pStyle w:val="37"/>
              <w:spacing w:before="36"/>
              <w:jc w:val="center"/>
              <w:rPr>
                <w:sz w:val="18"/>
                <w:szCs w:val="18"/>
              </w:rPr>
            </w:pPr>
          </w:p>
        </w:tc>
      </w:tr>
      <w:tr w14:paraId="52E193D8">
        <w:tblPrEx>
          <w:tblCellMar>
            <w:top w:w="0" w:type="dxa"/>
            <w:left w:w="113" w:type="dxa"/>
            <w:bottom w:w="0" w:type="dxa"/>
            <w:right w:w="113" w:type="dxa"/>
          </w:tblCellMar>
        </w:tblPrEx>
        <w:tc>
          <w:tcPr>
            <w:tcW w:w="680" w:type="dxa"/>
            <w:vMerge w:val="continue"/>
            <w:tcBorders>
              <w:left w:val="single" w:color="auto" w:sz="4" w:space="0"/>
            </w:tcBorders>
            <w:shd w:val="clear" w:color="auto" w:fill="FFFFFF"/>
            <w:vAlign w:val="center"/>
          </w:tcPr>
          <w:p w14:paraId="3CE7A5C1">
            <w:pPr>
              <w:pStyle w:val="37"/>
              <w:spacing w:before="36"/>
              <w:jc w:val="center"/>
              <w:rPr>
                <w:sz w:val="18"/>
                <w:szCs w:val="18"/>
              </w:rPr>
            </w:pPr>
          </w:p>
        </w:tc>
        <w:tc>
          <w:tcPr>
            <w:tcW w:w="993" w:type="dxa"/>
            <w:vMerge w:val="continue"/>
            <w:tcBorders>
              <w:left w:val="single" w:color="auto" w:sz="4" w:space="0"/>
            </w:tcBorders>
            <w:shd w:val="clear" w:color="auto" w:fill="FFFFFF"/>
            <w:vAlign w:val="center"/>
          </w:tcPr>
          <w:p w14:paraId="1DCEAD10">
            <w:pPr>
              <w:pStyle w:val="37"/>
              <w:spacing w:before="36"/>
              <w:jc w:val="center"/>
              <w:rPr>
                <w:sz w:val="18"/>
                <w:szCs w:val="18"/>
              </w:rPr>
            </w:pPr>
          </w:p>
        </w:tc>
        <w:tc>
          <w:tcPr>
            <w:tcW w:w="1984" w:type="dxa"/>
            <w:tcBorders>
              <w:top w:val="single" w:color="auto" w:sz="4" w:space="0"/>
              <w:left w:val="single" w:color="auto" w:sz="4" w:space="0"/>
            </w:tcBorders>
            <w:shd w:val="clear" w:color="auto" w:fill="FFFFFF"/>
            <w:vAlign w:val="center"/>
          </w:tcPr>
          <w:p w14:paraId="1CD21163">
            <w:pPr>
              <w:pStyle w:val="37"/>
              <w:spacing w:before="36"/>
              <w:jc w:val="center"/>
              <w:rPr>
                <w:vanish/>
                <w:sz w:val="18"/>
                <w:szCs w:val="18"/>
              </w:rPr>
            </w:pPr>
            <w:r>
              <w:rPr>
                <w:sz w:val="18"/>
                <w:szCs w:val="18"/>
              </w:rPr>
              <w:t>B</w:t>
            </w:r>
          </w:p>
        </w:tc>
        <w:tc>
          <w:tcPr>
            <w:tcW w:w="433" w:type="dxa"/>
            <w:tcBorders>
              <w:top w:val="single" w:color="auto" w:sz="4" w:space="0"/>
              <w:left w:val="single" w:color="auto" w:sz="4" w:space="0"/>
            </w:tcBorders>
            <w:shd w:val="clear" w:color="auto" w:fill="FFFFFF"/>
            <w:vAlign w:val="center"/>
          </w:tcPr>
          <w:p w14:paraId="41F1BCE2">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71E81399">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6F44CB31">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3D340552">
            <w:pPr>
              <w:pStyle w:val="37"/>
              <w:spacing w:before="36"/>
              <w:jc w:val="center"/>
              <w:rPr>
                <w:vanish/>
                <w:sz w:val="18"/>
                <w:szCs w:val="18"/>
              </w:rPr>
            </w:pPr>
            <w:r>
              <w:rPr>
                <w:sz w:val="18"/>
                <w:szCs w:val="18"/>
              </w:rPr>
              <w:t>X</w:t>
            </w:r>
          </w:p>
        </w:tc>
        <w:tc>
          <w:tcPr>
            <w:tcW w:w="433" w:type="dxa"/>
            <w:tcBorders>
              <w:top w:val="single" w:color="auto" w:sz="4" w:space="0"/>
              <w:left w:val="single" w:color="auto" w:sz="4" w:space="0"/>
            </w:tcBorders>
            <w:shd w:val="clear" w:color="auto" w:fill="FFFFFF"/>
            <w:vAlign w:val="center"/>
          </w:tcPr>
          <w:p w14:paraId="0FBCF1A2">
            <w:pPr>
              <w:pStyle w:val="37"/>
              <w:spacing w:before="36"/>
              <w:jc w:val="center"/>
              <w:rPr>
                <w:vanish/>
                <w:sz w:val="18"/>
                <w:szCs w:val="18"/>
              </w:rPr>
            </w:pPr>
            <w:r>
              <w:rPr>
                <w:sz w:val="18"/>
                <w:szCs w:val="18"/>
              </w:rPr>
              <w:t>O</w:t>
            </w:r>
          </w:p>
        </w:tc>
        <w:tc>
          <w:tcPr>
            <w:tcW w:w="434" w:type="dxa"/>
            <w:tcBorders>
              <w:top w:val="single" w:color="auto" w:sz="4" w:space="0"/>
              <w:left w:val="single" w:color="auto" w:sz="4" w:space="0"/>
            </w:tcBorders>
            <w:shd w:val="clear" w:color="auto" w:fill="FFFFFF"/>
            <w:vAlign w:val="center"/>
          </w:tcPr>
          <w:p w14:paraId="5E8E9B55">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1FE9F0A9">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6CC242A2">
            <w:pPr>
              <w:pStyle w:val="37"/>
              <w:spacing w:before="36"/>
              <w:jc w:val="center"/>
              <w:rPr>
                <w:vanish/>
                <w:sz w:val="18"/>
                <w:szCs w:val="18"/>
              </w:rPr>
            </w:pPr>
            <w:r>
              <w:rPr>
                <w:sz w:val="18"/>
                <w:szCs w:val="18"/>
              </w:rPr>
              <w:t>X</w:t>
            </w:r>
          </w:p>
        </w:tc>
        <w:tc>
          <w:tcPr>
            <w:tcW w:w="433" w:type="dxa"/>
            <w:tcBorders>
              <w:top w:val="single" w:color="auto" w:sz="4" w:space="0"/>
              <w:left w:val="single" w:color="auto" w:sz="4" w:space="0"/>
            </w:tcBorders>
            <w:shd w:val="clear" w:color="auto" w:fill="FFFFFF"/>
            <w:vAlign w:val="center"/>
          </w:tcPr>
          <w:p w14:paraId="73832660">
            <w:pPr>
              <w:pStyle w:val="37"/>
              <w:spacing w:before="36"/>
              <w:jc w:val="center"/>
              <w:rPr>
                <w:vanish/>
                <w:sz w:val="18"/>
                <w:szCs w:val="18"/>
              </w:rPr>
            </w:pPr>
          </w:p>
        </w:tc>
        <w:tc>
          <w:tcPr>
            <w:tcW w:w="434" w:type="dxa"/>
            <w:tcBorders>
              <w:top w:val="single" w:color="auto" w:sz="4" w:space="0"/>
              <w:left w:val="single" w:color="auto" w:sz="4" w:space="0"/>
            </w:tcBorders>
            <w:shd w:val="clear" w:color="auto" w:fill="FFFFFF"/>
            <w:vAlign w:val="center"/>
          </w:tcPr>
          <w:p w14:paraId="096435E0">
            <w:pPr>
              <w:pStyle w:val="37"/>
              <w:spacing w:before="36"/>
              <w:jc w:val="center"/>
              <w:rPr>
                <w:vanish/>
                <w:sz w:val="18"/>
                <w:szCs w:val="18"/>
              </w:rPr>
            </w:pPr>
          </w:p>
        </w:tc>
        <w:tc>
          <w:tcPr>
            <w:tcW w:w="434" w:type="dxa"/>
            <w:tcBorders>
              <w:top w:val="single" w:color="auto" w:sz="4" w:space="0"/>
              <w:left w:val="single" w:color="auto" w:sz="4" w:space="0"/>
            </w:tcBorders>
            <w:shd w:val="clear" w:color="auto" w:fill="FFFFFF"/>
            <w:vAlign w:val="center"/>
          </w:tcPr>
          <w:p w14:paraId="647395BC">
            <w:pPr>
              <w:pStyle w:val="37"/>
              <w:spacing w:before="36"/>
              <w:jc w:val="center"/>
              <w:rPr>
                <w:vanish/>
                <w:sz w:val="18"/>
                <w:szCs w:val="18"/>
              </w:rPr>
            </w:pPr>
          </w:p>
        </w:tc>
        <w:tc>
          <w:tcPr>
            <w:tcW w:w="434" w:type="dxa"/>
            <w:tcBorders>
              <w:top w:val="single" w:color="auto" w:sz="4" w:space="0"/>
              <w:left w:val="single" w:color="auto" w:sz="4" w:space="0"/>
            </w:tcBorders>
            <w:shd w:val="clear" w:color="auto" w:fill="FFFFFF"/>
            <w:vAlign w:val="center"/>
          </w:tcPr>
          <w:p w14:paraId="41443273">
            <w:pPr>
              <w:pStyle w:val="37"/>
              <w:spacing w:before="36"/>
              <w:jc w:val="center"/>
              <w:rPr>
                <w:vanish/>
                <w:sz w:val="18"/>
                <w:szCs w:val="18"/>
              </w:rPr>
            </w:pPr>
          </w:p>
        </w:tc>
        <w:tc>
          <w:tcPr>
            <w:tcW w:w="434" w:type="dxa"/>
            <w:tcBorders>
              <w:top w:val="single" w:color="auto" w:sz="4" w:space="0"/>
              <w:left w:val="single" w:color="auto" w:sz="4" w:space="0"/>
              <w:right w:val="single" w:color="auto" w:sz="4" w:space="0"/>
            </w:tcBorders>
            <w:shd w:val="clear" w:color="auto" w:fill="FFFFFF"/>
            <w:vAlign w:val="center"/>
          </w:tcPr>
          <w:p w14:paraId="705047DB">
            <w:pPr>
              <w:pStyle w:val="37"/>
              <w:spacing w:before="36"/>
              <w:jc w:val="center"/>
              <w:rPr>
                <w:sz w:val="18"/>
                <w:szCs w:val="18"/>
              </w:rPr>
            </w:pPr>
          </w:p>
        </w:tc>
      </w:tr>
      <w:tr w14:paraId="5ED19D04">
        <w:tblPrEx>
          <w:tblCellMar>
            <w:top w:w="0" w:type="dxa"/>
            <w:left w:w="113" w:type="dxa"/>
            <w:bottom w:w="0" w:type="dxa"/>
            <w:right w:w="113" w:type="dxa"/>
          </w:tblCellMar>
        </w:tblPrEx>
        <w:tc>
          <w:tcPr>
            <w:tcW w:w="680" w:type="dxa"/>
            <w:vMerge w:val="continue"/>
            <w:tcBorders>
              <w:left w:val="single" w:color="auto" w:sz="4" w:space="0"/>
            </w:tcBorders>
            <w:shd w:val="clear" w:color="auto" w:fill="FFFFFF"/>
            <w:vAlign w:val="center"/>
          </w:tcPr>
          <w:p w14:paraId="32F1A5E7">
            <w:pPr>
              <w:pStyle w:val="37"/>
              <w:spacing w:before="36"/>
              <w:jc w:val="center"/>
              <w:rPr>
                <w:sz w:val="18"/>
                <w:szCs w:val="18"/>
              </w:rPr>
            </w:pPr>
          </w:p>
        </w:tc>
        <w:tc>
          <w:tcPr>
            <w:tcW w:w="993" w:type="dxa"/>
            <w:vMerge w:val="continue"/>
            <w:tcBorders>
              <w:left w:val="single" w:color="auto" w:sz="4" w:space="0"/>
            </w:tcBorders>
            <w:shd w:val="clear" w:color="auto" w:fill="FFFFFF"/>
            <w:vAlign w:val="center"/>
          </w:tcPr>
          <w:p w14:paraId="7B765FFD">
            <w:pPr>
              <w:pStyle w:val="37"/>
              <w:spacing w:before="36"/>
              <w:jc w:val="center"/>
              <w:rPr>
                <w:sz w:val="18"/>
                <w:szCs w:val="18"/>
              </w:rPr>
            </w:pPr>
          </w:p>
        </w:tc>
        <w:tc>
          <w:tcPr>
            <w:tcW w:w="1984" w:type="dxa"/>
            <w:tcBorders>
              <w:top w:val="single" w:color="auto" w:sz="4" w:space="0"/>
              <w:left w:val="single" w:color="auto" w:sz="4" w:space="0"/>
            </w:tcBorders>
            <w:shd w:val="clear" w:color="auto" w:fill="FFFFFF"/>
            <w:vAlign w:val="center"/>
          </w:tcPr>
          <w:p w14:paraId="074D5B49">
            <w:pPr>
              <w:pStyle w:val="37"/>
              <w:spacing w:before="36"/>
              <w:jc w:val="center"/>
              <w:rPr>
                <w:vanish/>
                <w:sz w:val="18"/>
                <w:szCs w:val="18"/>
              </w:rPr>
            </w:pPr>
            <w:r>
              <w:rPr>
                <w:sz w:val="18"/>
                <w:szCs w:val="18"/>
              </w:rPr>
              <w:t>C</w:t>
            </w:r>
          </w:p>
        </w:tc>
        <w:tc>
          <w:tcPr>
            <w:tcW w:w="433" w:type="dxa"/>
            <w:tcBorders>
              <w:top w:val="single" w:color="auto" w:sz="4" w:space="0"/>
              <w:left w:val="single" w:color="auto" w:sz="4" w:space="0"/>
            </w:tcBorders>
            <w:shd w:val="clear" w:color="auto" w:fill="FFFFFF"/>
            <w:vAlign w:val="center"/>
          </w:tcPr>
          <w:p w14:paraId="3DB3A210">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2F5D0F8A">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2029DECD">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015524C2">
            <w:pPr>
              <w:pStyle w:val="37"/>
              <w:spacing w:before="36"/>
              <w:jc w:val="center"/>
              <w:rPr>
                <w:vanish/>
                <w:sz w:val="18"/>
                <w:szCs w:val="18"/>
              </w:rPr>
            </w:pPr>
            <w:r>
              <w:rPr>
                <w:sz w:val="18"/>
                <w:szCs w:val="18"/>
              </w:rPr>
              <w:t>X</w:t>
            </w:r>
          </w:p>
        </w:tc>
        <w:tc>
          <w:tcPr>
            <w:tcW w:w="433" w:type="dxa"/>
            <w:tcBorders>
              <w:top w:val="single" w:color="auto" w:sz="4" w:space="0"/>
              <w:left w:val="single" w:color="auto" w:sz="4" w:space="0"/>
            </w:tcBorders>
            <w:shd w:val="clear" w:color="auto" w:fill="FFFFFF"/>
            <w:vAlign w:val="center"/>
          </w:tcPr>
          <w:p w14:paraId="3A6FE87D">
            <w:pPr>
              <w:pStyle w:val="37"/>
              <w:spacing w:before="36"/>
              <w:jc w:val="center"/>
              <w:rPr>
                <w:vanish/>
                <w:sz w:val="18"/>
                <w:szCs w:val="18"/>
              </w:rPr>
            </w:pPr>
            <w:r>
              <w:rPr>
                <w:sz w:val="18"/>
                <w:szCs w:val="18"/>
              </w:rPr>
              <w:t>O</w:t>
            </w:r>
          </w:p>
        </w:tc>
        <w:tc>
          <w:tcPr>
            <w:tcW w:w="434" w:type="dxa"/>
            <w:tcBorders>
              <w:top w:val="single" w:color="auto" w:sz="4" w:space="0"/>
              <w:left w:val="single" w:color="auto" w:sz="4" w:space="0"/>
            </w:tcBorders>
            <w:shd w:val="clear" w:color="auto" w:fill="FFFFFF"/>
            <w:vAlign w:val="center"/>
          </w:tcPr>
          <w:p w14:paraId="7236DE39">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3DF81BB5">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724BB0EA">
            <w:pPr>
              <w:pStyle w:val="37"/>
              <w:spacing w:before="36"/>
              <w:jc w:val="center"/>
              <w:rPr>
                <w:vanish/>
                <w:sz w:val="18"/>
                <w:szCs w:val="18"/>
              </w:rPr>
            </w:pPr>
            <w:r>
              <w:rPr>
                <w:sz w:val="18"/>
                <w:szCs w:val="18"/>
              </w:rPr>
              <w:t>X</w:t>
            </w:r>
          </w:p>
        </w:tc>
        <w:tc>
          <w:tcPr>
            <w:tcW w:w="433" w:type="dxa"/>
            <w:tcBorders>
              <w:top w:val="single" w:color="auto" w:sz="4" w:space="0"/>
              <w:left w:val="single" w:color="auto" w:sz="4" w:space="0"/>
            </w:tcBorders>
            <w:shd w:val="clear" w:color="auto" w:fill="FFFFFF"/>
            <w:vAlign w:val="center"/>
          </w:tcPr>
          <w:p w14:paraId="5CCEE9C2">
            <w:pPr>
              <w:pStyle w:val="37"/>
              <w:spacing w:before="36"/>
              <w:jc w:val="center"/>
              <w:rPr>
                <w:vanish/>
                <w:sz w:val="18"/>
                <w:szCs w:val="18"/>
              </w:rPr>
            </w:pPr>
          </w:p>
        </w:tc>
        <w:tc>
          <w:tcPr>
            <w:tcW w:w="434" w:type="dxa"/>
            <w:tcBorders>
              <w:top w:val="single" w:color="auto" w:sz="4" w:space="0"/>
              <w:left w:val="single" w:color="auto" w:sz="4" w:space="0"/>
            </w:tcBorders>
            <w:shd w:val="clear" w:color="auto" w:fill="FFFFFF"/>
            <w:vAlign w:val="center"/>
          </w:tcPr>
          <w:p w14:paraId="08EA8EEC">
            <w:pPr>
              <w:pStyle w:val="37"/>
              <w:spacing w:before="36"/>
              <w:jc w:val="center"/>
              <w:rPr>
                <w:vanish/>
                <w:sz w:val="18"/>
                <w:szCs w:val="18"/>
              </w:rPr>
            </w:pPr>
            <w:r>
              <w:rPr>
                <w:sz w:val="18"/>
                <w:szCs w:val="18"/>
              </w:rPr>
              <w:t>O</w:t>
            </w:r>
          </w:p>
        </w:tc>
        <w:tc>
          <w:tcPr>
            <w:tcW w:w="434" w:type="dxa"/>
            <w:tcBorders>
              <w:top w:val="single" w:color="auto" w:sz="4" w:space="0"/>
              <w:left w:val="single" w:color="auto" w:sz="4" w:space="0"/>
            </w:tcBorders>
            <w:shd w:val="clear" w:color="auto" w:fill="FFFFFF"/>
            <w:vAlign w:val="center"/>
          </w:tcPr>
          <w:p w14:paraId="2979A63D">
            <w:pPr>
              <w:pStyle w:val="37"/>
              <w:spacing w:before="36"/>
              <w:jc w:val="center"/>
              <w:rPr>
                <w:vanish/>
                <w:sz w:val="18"/>
                <w:szCs w:val="18"/>
              </w:rPr>
            </w:pPr>
            <w:r>
              <w:rPr>
                <w:sz w:val="18"/>
                <w:szCs w:val="18"/>
              </w:rPr>
              <w:t>O</w:t>
            </w:r>
          </w:p>
        </w:tc>
        <w:tc>
          <w:tcPr>
            <w:tcW w:w="434" w:type="dxa"/>
            <w:tcBorders>
              <w:top w:val="single" w:color="auto" w:sz="4" w:space="0"/>
              <w:left w:val="single" w:color="auto" w:sz="4" w:space="0"/>
            </w:tcBorders>
            <w:shd w:val="clear" w:color="auto" w:fill="FFFFFF"/>
            <w:vAlign w:val="center"/>
          </w:tcPr>
          <w:p w14:paraId="3AEB35F9">
            <w:pPr>
              <w:pStyle w:val="37"/>
              <w:spacing w:before="36"/>
              <w:jc w:val="center"/>
              <w:rPr>
                <w:vanish/>
                <w:sz w:val="18"/>
                <w:szCs w:val="18"/>
              </w:rPr>
            </w:pPr>
          </w:p>
        </w:tc>
        <w:tc>
          <w:tcPr>
            <w:tcW w:w="434" w:type="dxa"/>
            <w:tcBorders>
              <w:top w:val="single" w:color="auto" w:sz="4" w:space="0"/>
              <w:left w:val="single" w:color="auto" w:sz="4" w:space="0"/>
              <w:right w:val="single" w:color="auto" w:sz="4" w:space="0"/>
            </w:tcBorders>
            <w:shd w:val="clear" w:color="auto" w:fill="FFFFFF"/>
            <w:vAlign w:val="center"/>
          </w:tcPr>
          <w:p w14:paraId="6C8253B1">
            <w:pPr>
              <w:pStyle w:val="37"/>
              <w:spacing w:before="36"/>
              <w:jc w:val="center"/>
              <w:rPr>
                <w:sz w:val="18"/>
                <w:szCs w:val="18"/>
              </w:rPr>
            </w:pPr>
          </w:p>
        </w:tc>
      </w:tr>
      <w:tr w14:paraId="569F0F0B">
        <w:tblPrEx>
          <w:tblCellMar>
            <w:top w:w="0" w:type="dxa"/>
            <w:left w:w="113" w:type="dxa"/>
            <w:bottom w:w="0" w:type="dxa"/>
            <w:right w:w="113" w:type="dxa"/>
          </w:tblCellMar>
        </w:tblPrEx>
        <w:tc>
          <w:tcPr>
            <w:tcW w:w="680" w:type="dxa"/>
            <w:vMerge w:val="continue"/>
            <w:tcBorders>
              <w:left w:val="single" w:color="auto" w:sz="4" w:space="0"/>
            </w:tcBorders>
            <w:shd w:val="clear" w:color="auto" w:fill="FFFFFF"/>
            <w:vAlign w:val="center"/>
          </w:tcPr>
          <w:p w14:paraId="2A819C10">
            <w:pPr>
              <w:pStyle w:val="37"/>
              <w:spacing w:before="36"/>
              <w:jc w:val="center"/>
              <w:rPr>
                <w:sz w:val="18"/>
                <w:szCs w:val="18"/>
              </w:rPr>
            </w:pPr>
          </w:p>
        </w:tc>
        <w:tc>
          <w:tcPr>
            <w:tcW w:w="993" w:type="dxa"/>
            <w:vMerge w:val="restart"/>
            <w:tcBorders>
              <w:top w:val="single" w:color="auto" w:sz="4" w:space="0"/>
              <w:left w:val="single" w:color="auto" w:sz="4" w:space="0"/>
            </w:tcBorders>
            <w:shd w:val="clear" w:color="auto" w:fill="FFFFFF"/>
            <w:vAlign w:val="center"/>
          </w:tcPr>
          <w:p w14:paraId="494CE415">
            <w:pPr>
              <w:pStyle w:val="37"/>
              <w:spacing w:before="36"/>
              <w:jc w:val="center"/>
              <w:rPr>
                <w:sz w:val="18"/>
                <w:szCs w:val="18"/>
              </w:rPr>
            </w:pPr>
            <w:r>
              <w:rPr>
                <w:rFonts w:cs="宋体"/>
                <w:sz w:val="18"/>
              </w:rPr>
              <w:t>血液</w:t>
            </w:r>
          </w:p>
        </w:tc>
        <w:tc>
          <w:tcPr>
            <w:tcW w:w="1984" w:type="dxa"/>
            <w:tcBorders>
              <w:top w:val="single" w:color="auto" w:sz="4" w:space="0"/>
              <w:left w:val="single" w:color="auto" w:sz="4" w:space="0"/>
            </w:tcBorders>
            <w:shd w:val="clear" w:color="auto" w:fill="FFFFFF"/>
            <w:vAlign w:val="center"/>
          </w:tcPr>
          <w:p w14:paraId="25D6E467">
            <w:pPr>
              <w:pStyle w:val="37"/>
              <w:spacing w:before="36"/>
              <w:jc w:val="center"/>
              <w:rPr>
                <w:vanish/>
                <w:sz w:val="18"/>
                <w:szCs w:val="18"/>
              </w:rPr>
            </w:pPr>
            <w:r>
              <w:rPr>
                <w:sz w:val="18"/>
                <w:szCs w:val="18"/>
              </w:rPr>
              <w:t>A</w:t>
            </w:r>
          </w:p>
        </w:tc>
        <w:tc>
          <w:tcPr>
            <w:tcW w:w="433" w:type="dxa"/>
            <w:tcBorders>
              <w:top w:val="single" w:color="auto" w:sz="4" w:space="0"/>
              <w:left w:val="single" w:color="auto" w:sz="4" w:space="0"/>
            </w:tcBorders>
            <w:shd w:val="clear" w:color="auto" w:fill="FFFFFF"/>
            <w:vAlign w:val="center"/>
          </w:tcPr>
          <w:p w14:paraId="4005170A">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1E51A963">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3DDBEAC5">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38CA5D0F">
            <w:pPr>
              <w:pStyle w:val="37"/>
              <w:spacing w:before="36"/>
              <w:jc w:val="center"/>
              <w:rPr>
                <w:vanish/>
                <w:sz w:val="18"/>
                <w:szCs w:val="18"/>
              </w:rPr>
            </w:pPr>
            <w:r>
              <w:rPr>
                <w:sz w:val="18"/>
                <w:szCs w:val="18"/>
              </w:rPr>
              <w:t>X</w:t>
            </w:r>
          </w:p>
        </w:tc>
        <w:tc>
          <w:tcPr>
            <w:tcW w:w="433" w:type="dxa"/>
            <w:tcBorders>
              <w:top w:val="single" w:color="auto" w:sz="4" w:space="0"/>
              <w:left w:val="single" w:color="auto" w:sz="4" w:space="0"/>
            </w:tcBorders>
            <w:shd w:val="clear" w:color="auto" w:fill="FFFFFF"/>
            <w:vAlign w:val="center"/>
          </w:tcPr>
          <w:p w14:paraId="4660EBF4">
            <w:pPr>
              <w:pStyle w:val="37"/>
              <w:spacing w:before="36"/>
              <w:jc w:val="center"/>
              <w:rPr>
                <w:vanish/>
                <w:sz w:val="18"/>
                <w:szCs w:val="18"/>
              </w:rPr>
            </w:pPr>
            <w:r>
              <w:rPr>
                <w:sz w:val="18"/>
                <w:szCs w:val="18"/>
              </w:rPr>
              <w:t>O</w:t>
            </w:r>
          </w:p>
        </w:tc>
        <w:tc>
          <w:tcPr>
            <w:tcW w:w="434" w:type="dxa"/>
            <w:tcBorders>
              <w:top w:val="single" w:color="auto" w:sz="4" w:space="0"/>
              <w:left w:val="single" w:color="auto" w:sz="4" w:space="0"/>
            </w:tcBorders>
            <w:shd w:val="clear" w:color="auto" w:fill="FFFFFF"/>
            <w:vAlign w:val="center"/>
          </w:tcPr>
          <w:p w14:paraId="0F48D1E0">
            <w:pPr>
              <w:pStyle w:val="37"/>
              <w:spacing w:before="36"/>
              <w:jc w:val="center"/>
              <w:rPr>
                <w:vanish/>
                <w:sz w:val="18"/>
                <w:szCs w:val="18"/>
              </w:rPr>
            </w:pPr>
          </w:p>
        </w:tc>
        <w:tc>
          <w:tcPr>
            <w:tcW w:w="434" w:type="dxa"/>
            <w:tcBorders>
              <w:top w:val="single" w:color="auto" w:sz="4" w:space="0"/>
              <w:left w:val="single" w:color="auto" w:sz="4" w:space="0"/>
            </w:tcBorders>
            <w:shd w:val="clear" w:color="auto" w:fill="FFFFFF"/>
            <w:vAlign w:val="center"/>
          </w:tcPr>
          <w:p w14:paraId="77A836DE">
            <w:pPr>
              <w:pStyle w:val="37"/>
              <w:spacing w:before="36"/>
              <w:jc w:val="center"/>
              <w:rPr>
                <w:vanish/>
                <w:sz w:val="18"/>
                <w:szCs w:val="18"/>
              </w:rPr>
            </w:pPr>
            <w:r>
              <w:rPr>
                <w:sz w:val="18"/>
                <w:szCs w:val="18"/>
              </w:rPr>
              <w:t>O</w:t>
            </w:r>
          </w:p>
        </w:tc>
        <w:tc>
          <w:tcPr>
            <w:tcW w:w="434" w:type="dxa"/>
            <w:tcBorders>
              <w:top w:val="single" w:color="auto" w:sz="4" w:space="0"/>
              <w:left w:val="single" w:color="auto" w:sz="4" w:space="0"/>
            </w:tcBorders>
            <w:shd w:val="clear" w:color="auto" w:fill="FFFFFF"/>
            <w:vAlign w:val="center"/>
          </w:tcPr>
          <w:p w14:paraId="0B4DE135">
            <w:pPr>
              <w:pStyle w:val="37"/>
              <w:spacing w:before="36"/>
              <w:jc w:val="center"/>
              <w:rPr>
                <w:vanish/>
                <w:sz w:val="18"/>
                <w:szCs w:val="18"/>
              </w:rPr>
            </w:pPr>
            <w:r>
              <w:rPr>
                <w:sz w:val="18"/>
                <w:szCs w:val="18"/>
              </w:rPr>
              <w:t>X</w:t>
            </w:r>
          </w:p>
        </w:tc>
        <w:tc>
          <w:tcPr>
            <w:tcW w:w="433" w:type="dxa"/>
            <w:tcBorders>
              <w:top w:val="single" w:color="auto" w:sz="4" w:space="0"/>
              <w:left w:val="single" w:color="auto" w:sz="4" w:space="0"/>
            </w:tcBorders>
            <w:shd w:val="clear" w:color="auto" w:fill="FFFFFF"/>
            <w:vAlign w:val="center"/>
          </w:tcPr>
          <w:p w14:paraId="45C559CA">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3F126250">
            <w:pPr>
              <w:pStyle w:val="37"/>
              <w:spacing w:before="36"/>
              <w:jc w:val="center"/>
              <w:rPr>
                <w:vanish/>
                <w:sz w:val="18"/>
                <w:szCs w:val="18"/>
              </w:rPr>
            </w:pPr>
          </w:p>
        </w:tc>
        <w:tc>
          <w:tcPr>
            <w:tcW w:w="434" w:type="dxa"/>
            <w:tcBorders>
              <w:top w:val="single" w:color="auto" w:sz="4" w:space="0"/>
              <w:left w:val="single" w:color="auto" w:sz="4" w:space="0"/>
            </w:tcBorders>
            <w:shd w:val="clear" w:color="auto" w:fill="FFFFFF"/>
            <w:vAlign w:val="center"/>
          </w:tcPr>
          <w:p w14:paraId="3F527F4A">
            <w:pPr>
              <w:pStyle w:val="37"/>
              <w:spacing w:before="36"/>
              <w:jc w:val="center"/>
              <w:rPr>
                <w:vanish/>
                <w:sz w:val="18"/>
                <w:szCs w:val="18"/>
              </w:rPr>
            </w:pPr>
          </w:p>
        </w:tc>
        <w:tc>
          <w:tcPr>
            <w:tcW w:w="434" w:type="dxa"/>
            <w:tcBorders>
              <w:top w:val="single" w:color="auto" w:sz="4" w:space="0"/>
              <w:left w:val="single" w:color="auto" w:sz="4" w:space="0"/>
            </w:tcBorders>
            <w:shd w:val="clear" w:color="auto" w:fill="FFFFFF"/>
            <w:vAlign w:val="center"/>
          </w:tcPr>
          <w:p w14:paraId="5AEA06C2">
            <w:pPr>
              <w:pStyle w:val="37"/>
              <w:spacing w:before="36"/>
              <w:jc w:val="center"/>
              <w:rPr>
                <w:vanish/>
                <w:sz w:val="18"/>
                <w:szCs w:val="18"/>
              </w:rPr>
            </w:pPr>
          </w:p>
        </w:tc>
        <w:tc>
          <w:tcPr>
            <w:tcW w:w="434" w:type="dxa"/>
            <w:tcBorders>
              <w:top w:val="single" w:color="auto" w:sz="4" w:space="0"/>
              <w:left w:val="single" w:color="auto" w:sz="4" w:space="0"/>
              <w:right w:val="single" w:color="auto" w:sz="4" w:space="0"/>
            </w:tcBorders>
            <w:shd w:val="clear" w:color="auto" w:fill="FFFFFF"/>
            <w:vAlign w:val="center"/>
          </w:tcPr>
          <w:p w14:paraId="5F122840">
            <w:pPr>
              <w:pStyle w:val="37"/>
              <w:spacing w:before="36"/>
              <w:jc w:val="center"/>
              <w:rPr>
                <w:sz w:val="18"/>
                <w:szCs w:val="18"/>
              </w:rPr>
            </w:pPr>
          </w:p>
        </w:tc>
      </w:tr>
      <w:tr w14:paraId="7C6F5F76">
        <w:tblPrEx>
          <w:tblCellMar>
            <w:top w:w="0" w:type="dxa"/>
            <w:left w:w="113" w:type="dxa"/>
            <w:bottom w:w="0" w:type="dxa"/>
            <w:right w:w="113" w:type="dxa"/>
          </w:tblCellMar>
        </w:tblPrEx>
        <w:tc>
          <w:tcPr>
            <w:tcW w:w="680" w:type="dxa"/>
            <w:vMerge w:val="continue"/>
            <w:tcBorders>
              <w:left w:val="single" w:color="auto" w:sz="4" w:space="0"/>
            </w:tcBorders>
            <w:shd w:val="clear" w:color="auto" w:fill="FFFFFF"/>
            <w:vAlign w:val="center"/>
          </w:tcPr>
          <w:p w14:paraId="2F10F323">
            <w:pPr>
              <w:pStyle w:val="37"/>
              <w:spacing w:before="36"/>
              <w:rPr>
                <w:sz w:val="18"/>
                <w:szCs w:val="18"/>
              </w:rPr>
            </w:pPr>
          </w:p>
        </w:tc>
        <w:tc>
          <w:tcPr>
            <w:tcW w:w="993" w:type="dxa"/>
            <w:vMerge w:val="continue"/>
            <w:tcBorders>
              <w:left w:val="single" w:color="auto" w:sz="4" w:space="0"/>
            </w:tcBorders>
            <w:shd w:val="clear" w:color="auto" w:fill="FFFFFF"/>
            <w:vAlign w:val="center"/>
          </w:tcPr>
          <w:p w14:paraId="384C4CE6">
            <w:pPr>
              <w:pStyle w:val="37"/>
              <w:spacing w:before="36"/>
              <w:rPr>
                <w:sz w:val="18"/>
                <w:szCs w:val="18"/>
              </w:rPr>
            </w:pPr>
          </w:p>
        </w:tc>
        <w:tc>
          <w:tcPr>
            <w:tcW w:w="1984" w:type="dxa"/>
            <w:tcBorders>
              <w:top w:val="single" w:color="auto" w:sz="4" w:space="0"/>
              <w:left w:val="single" w:color="auto" w:sz="4" w:space="0"/>
            </w:tcBorders>
            <w:shd w:val="clear" w:color="auto" w:fill="FFFFFF"/>
            <w:vAlign w:val="center"/>
          </w:tcPr>
          <w:p w14:paraId="622EDC75">
            <w:pPr>
              <w:pStyle w:val="37"/>
              <w:spacing w:before="36"/>
              <w:jc w:val="center"/>
              <w:rPr>
                <w:vanish/>
                <w:sz w:val="18"/>
                <w:szCs w:val="18"/>
              </w:rPr>
            </w:pPr>
            <w:r>
              <w:rPr>
                <w:sz w:val="18"/>
                <w:szCs w:val="18"/>
              </w:rPr>
              <w:t>B</w:t>
            </w:r>
          </w:p>
        </w:tc>
        <w:tc>
          <w:tcPr>
            <w:tcW w:w="433" w:type="dxa"/>
            <w:tcBorders>
              <w:top w:val="single" w:color="auto" w:sz="4" w:space="0"/>
              <w:left w:val="single" w:color="auto" w:sz="4" w:space="0"/>
            </w:tcBorders>
            <w:shd w:val="clear" w:color="auto" w:fill="FFFFFF"/>
            <w:vAlign w:val="center"/>
          </w:tcPr>
          <w:p w14:paraId="3ACC6A97">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4F2206E2">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676EF8BF">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27499FC3">
            <w:pPr>
              <w:pStyle w:val="37"/>
              <w:spacing w:before="36"/>
              <w:jc w:val="center"/>
              <w:rPr>
                <w:vanish/>
                <w:sz w:val="18"/>
                <w:szCs w:val="18"/>
              </w:rPr>
            </w:pPr>
            <w:r>
              <w:rPr>
                <w:sz w:val="18"/>
                <w:szCs w:val="18"/>
              </w:rPr>
              <w:t>X</w:t>
            </w:r>
          </w:p>
        </w:tc>
        <w:tc>
          <w:tcPr>
            <w:tcW w:w="433" w:type="dxa"/>
            <w:tcBorders>
              <w:top w:val="single" w:color="auto" w:sz="4" w:space="0"/>
              <w:left w:val="single" w:color="auto" w:sz="4" w:space="0"/>
            </w:tcBorders>
            <w:shd w:val="clear" w:color="auto" w:fill="FFFFFF"/>
            <w:vAlign w:val="center"/>
          </w:tcPr>
          <w:p w14:paraId="4E82D6A7">
            <w:pPr>
              <w:pStyle w:val="37"/>
              <w:spacing w:before="36"/>
              <w:jc w:val="center"/>
              <w:rPr>
                <w:vanish/>
                <w:sz w:val="18"/>
                <w:szCs w:val="18"/>
              </w:rPr>
            </w:pPr>
            <w:r>
              <w:rPr>
                <w:sz w:val="18"/>
                <w:szCs w:val="18"/>
              </w:rPr>
              <w:t>O</w:t>
            </w:r>
          </w:p>
        </w:tc>
        <w:tc>
          <w:tcPr>
            <w:tcW w:w="434" w:type="dxa"/>
            <w:tcBorders>
              <w:top w:val="single" w:color="auto" w:sz="4" w:space="0"/>
              <w:left w:val="single" w:color="auto" w:sz="4" w:space="0"/>
            </w:tcBorders>
            <w:shd w:val="clear" w:color="auto" w:fill="FFFFFF"/>
            <w:vAlign w:val="center"/>
          </w:tcPr>
          <w:p w14:paraId="0C71A434">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7EB52911">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06F56AA3">
            <w:pPr>
              <w:pStyle w:val="37"/>
              <w:spacing w:before="36"/>
              <w:jc w:val="center"/>
              <w:rPr>
                <w:vanish/>
                <w:sz w:val="18"/>
                <w:szCs w:val="18"/>
              </w:rPr>
            </w:pPr>
            <w:r>
              <w:rPr>
                <w:sz w:val="18"/>
                <w:szCs w:val="18"/>
              </w:rPr>
              <w:t>X</w:t>
            </w:r>
          </w:p>
        </w:tc>
        <w:tc>
          <w:tcPr>
            <w:tcW w:w="433" w:type="dxa"/>
            <w:tcBorders>
              <w:top w:val="single" w:color="auto" w:sz="4" w:space="0"/>
              <w:left w:val="single" w:color="auto" w:sz="4" w:space="0"/>
            </w:tcBorders>
            <w:shd w:val="clear" w:color="auto" w:fill="FFFFFF"/>
            <w:vAlign w:val="center"/>
          </w:tcPr>
          <w:p w14:paraId="1008B3A1">
            <w:pPr>
              <w:pStyle w:val="37"/>
              <w:spacing w:before="36"/>
              <w:jc w:val="center"/>
              <w:rPr>
                <w:vanish/>
                <w:sz w:val="18"/>
                <w:szCs w:val="18"/>
              </w:rPr>
            </w:pPr>
            <w:r>
              <w:rPr>
                <w:sz w:val="18"/>
                <w:szCs w:val="18"/>
              </w:rPr>
              <w:t>X</w:t>
            </w:r>
          </w:p>
        </w:tc>
        <w:tc>
          <w:tcPr>
            <w:tcW w:w="434" w:type="dxa"/>
            <w:tcBorders>
              <w:top w:val="single" w:color="auto" w:sz="4" w:space="0"/>
              <w:left w:val="single" w:color="auto" w:sz="4" w:space="0"/>
            </w:tcBorders>
            <w:shd w:val="clear" w:color="auto" w:fill="FFFFFF"/>
            <w:vAlign w:val="center"/>
          </w:tcPr>
          <w:p w14:paraId="38DFD4BF">
            <w:pPr>
              <w:pStyle w:val="37"/>
              <w:spacing w:before="36"/>
              <w:jc w:val="center"/>
              <w:rPr>
                <w:vanish/>
                <w:sz w:val="18"/>
                <w:szCs w:val="18"/>
              </w:rPr>
            </w:pPr>
          </w:p>
        </w:tc>
        <w:tc>
          <w:tcPr>
            <w:tcW w:w="434" w:type="dxa"/>
            <w:tcBorders>
              <w:top w:val="single" w:color="auto" w:sz="4" w:space="0"/>
              <w:left w:val="single" w:color="auto" w:sz="4" w:space="0"/>
            </w:tcBorders>
            <w:shd w:val="clear" w:color="auto" w:fill="FFFFFF"/>
            <w:vAlign w:val="center"/>
          </w:tcPr>
          <w:p w14:paraId="7DF17222">
            <w:pPr>
              <w:pStyle w:val="37"/>
              <w:spacing w:before="36"/>
              <w:jc w:val="center"/>
              <w:rPr>
                <w:vanish/>
                <w:sz w:val="18"/>
                <w:szCs w:val="18"/>
              </w:rPr>
            </w:pPr>
          </w:p>
        </w:tc>
        <w:tc>
          <w:tcPr>
            <w:tcW w:w="434" w:type="dxa"/>
            <w:tcBorders>
              <w:top w:val="single" w:color="auto" w:sz="4" w:space="0"/>
              <w:left w:val="single" w:color="auto" w:sz="4" w:space="0"/>
            </w:tcBorders>
            <w:shd w:val="clear" w:color="auto" w:fill="FFFFFF"/>
            <w:vAlign w:val="center"/>
          </w:tcPr>
          <w:p w14:paraId="32B47EE2">
            <w:pPr>
              <w:pStyle w:val="37"/>
              <w:spacing w:before="36"/>
              <w:jc w:val="center"/>
              <w:rPr>
                <w:vanish/>
                <w:sz w:val="18"/>
                <w:szCs w:val="18"/>
              </w:rPr>
            </w:pPr>
          </w:p>
        </w:tc>
        <w:tc>
          <w:tcPr>
            <w:tcW w:w="434" w:type="dxa"/>
            <w:tcBorders>
              <w:top w:val="single" w:color="auto" w:sz="4" w:space="0"/>
              <w:left w:val="single" w:color="auto" w:sz="4" w:space="0"/>
              <w:right w:val="single" w:color="auto" w:sz="4" w:space="0"/>
            </w:tcBorders>
            <w:shd w:val="clear" w:color="auto" w:fill="FFFFFF"/>
            <w:vAlign w:val="center"/>
          </w:tcPr>
          <w:p w14:paraId="517479BE">
            <w:pPr>
              <w:pStyle w:val="37"/>
              <w:spacing w:before="36"/>
              <w:jc w:val="center"/>
              <w:rPr>
                <w:sz w:val="18"/>
                <w:szCs w:val="18"/>
              </w:rPr>
            </w:pPr>
          </w:p>
        </w:tc>
      </w:tr>
      <w:tr w14:paraId="065D1502">
        <w:tblPrEx>
          <w:tblCellMar>
            <w:top w:w="0" w:type="dxa"/>
            <w:left w:w="113" w:type="dxa"/>
            <w:bottom w:w="0" w:type="dxa"/>
            <w:right w:w="113" w:type="dxa"/>
          </w:tblCellMar>
        </w:tblPrEx>
        <w:tc>
          <w:tcPr>
            <w:tcW w:w="680" w:type="dxa"/>
            <w:vMerge w:val="continue"/>
            <w:tcBorders>
              <w:left w:val="single" w:color="auto" w:sz="4" w:space="0"/>
              <w:bottom w:val="single" w:color="auto" w:sz="4" w:space="0"/>
            </w:tcBorders>
            <w:shd w:val="clear" w:color="auto" w:fill="FFFFFF"/>
            <w:vAlign w:val="center"/>
          </w:tcPr>
          <w:p w14:paraId="57AE3238">
            <w:pPr>
              <w:pStyle w:val="37"/>
              <w:spacing w:before="36"/>
              <w:rPr>
                <w:sz w:val="18"/>
                <w:szCs w:val="18"/>
              </w:rPr>
            </w:pPr>
          </w:p>
        </w:tc>
        <w:tc>
          <w:tcPr>
            <w:tcW w:w="993" w:type="dxa"/>
            <w:vMerge w:val="continue"/>
            <w:tcBorders>
              <w:left w:val="single" w:color="auto" w:sz="4" w:space="0"/>
              <w:bottom w:val="single" w:color="auto" w:sz="4" w:space="0"/>
            </w:tcBorders>
            <w:shd w:val="clear" w:color="auto" w:fill="FFFFFF"/>
            <w:vAlign w:val="center"/>
          </w:tcPr>
          <w:p w14:paraId="50C96E07">
            <w:pPr>
              <w:pStyle w:val="37"/>
              <w:spacing w:before="36"/>
              <w:rPr>
                <w:sz w:val="18"/>
                <w:szCs w:val="18"/>
              </w:rPr>
            </w:pPr>
          </w:p>
        </w:tc>
        <w:tc>
          <w:tcPr>
            <w:tcW w:w="1984" w:type="dxa"/>
            <w:tcBorders>
              <w:top w:val="single" w:color="auto" w:sz="4" w:space="0"/>
              <w:left w:val="single" w:color="auto" w:sz="4" w:space="0"/>
              <w:bottom w:val="single" w:color="auto" w:sz="4" w:space="0"/>
            </w:tcBorders>
            <w:shd w:val="clear" w:color="auto" w:fill="FFFFFF"/>
            <w:vAlign w:val="center"/>
          </w:tcPr>
          <w:p w14:paraId="5A8EDAA8">
            <w:pPr>
              <w:pStyle w:val="37"/>
              <w:spacing w:before="36"/>
              <w:jc w:val="center"/>
              <w:rPr>
                <w:vanish/>
                <w:sz w:val="18"/>
                <w:szCs w:val="18"/>
              </w:rPr>
            </w:pPr>
            <w:r>
              <w:rPr>
                <w:sz w:val="18"/>
                <w:szCs w:val="18"/>
              </w:rPr>
              <w:t>C</w:t>
            </w:r>
          </w:p>
        </w:tc>
        <w:tc>
          <w:tcPr>
            <w:tcW w:w="433" w:type="dxa"/>
            <w:tcBorders>
              <w:top w:val="single" w:color="auto" w:sz="4" w:space="0"/>
              <w:left w:val="single" w:color="auto" w:sz="4" w:space="0"/>
              <w:bottom w:val="single" w:color="auto" w:sz="4" w:space="0"/>
            </w:tcBorders>
            <w:shd w:val="clear" w:color="auto" w:fill="FFFFFF"/>
            <w:vAlign w:val="center"/>
          </w:tcPr>
          <w:p w14:paraId="35675040">
            <w:pPr>
              <w:pStyle w:val="37"/>
              <w:spacing w:before="36"/>
              <w:jc w:val="center"/>
              <w:rPr>
                <w:vanish/>
                <w:sz w:val="18"/>
                <w:szCs w:val="18"/>
              </w:rPr>
            </w:pPr>
            <w:r>
              <w:rPr>
                <w:sz w:val="18"/>
                <w:szCs w:val="18"/>
              </w:rPr>
              <w:t>X</w:t>
            </w:r>
          </w:p>
        </w:tc>
        <w:tc>
          <w:tcPr>
            <w:tcW w:w="434" w:type="dxa"/>
            <w:tcBorders>
              <w:top w:val="single" w:color="auto" w:sz="4" w:space="0"/>
              <w:left w:val="single" w:color="auto" w:sz="4" w:space="0"/>
              <w:bottom w:val="single" w:color="auto" w:sz="4" w:space="0"/>
            </w:tcBorders>
            <w:shd w:val="clear" w:color="auto" w:fill="FFFFFF"/>
            <w:vAlign w:val="center"/>
          </w:tcPr>
          <w:p w14:paraId="577E6C55">
            <w:pPr>
              <w:pStyle w:val="37"/>
              <w:spacing w:before="36"/>
              <w:jc w:val="center"/>
              <w:rPr>
                <w:vanish/>
                <w:sz w:val="18"/>
                <w:szCs w:val="18"/>
              </w:rPr>
            </w:pPr>
            <w:r>
              <w:rPr>
                <w:sz w:val="18"/>
                <w:szCs w:val="18"/>
              </w:rPr>
              <w:t>X</w:t>
            </w:r>
          </w:p>
        </w:tc>
        <w:tc>
          <w:tcPr>
            <w:tcW w:w="434" w:type="dxa"/>
            <w:tcBorders>
              <w:top w:val="single" w:color="auto" w:sz="4" w:space="0"/>
              <w:left w:val="single" w:color="auto" w:sz="4" w:space="0"/>
              <w:bottom w:val="single" w:color="auto" w:sz="4" w:space="0"/>
            </w:tcBorders>
            <w:shd w:val="clear" w:color="auto" w:fill="FFFFFF"/>
            <w:vAlign w:val="center"/>
          </w:tcPr>
          <w:p w14:paraId="280EE4DA">
            <w:pPr>
              <w:pStyle w:val="37"/>
              <w:spacing w:before="36"/>
              <w:jc w:val="center"/>
              <w:rPr>
                <w:vanish/>
                <w:sz w:val="18"/>
                <w:szCs w:val="18"/>
              </w:rPr>
            </w:pPr>
            <w:r>
              <w:rPr>
                <w:sz w:val="18"/>
                <w:szCs w:val="18"/>
              </w:rPr>
              <w:t>X</w:t>
            </w:r>
          </w:p>
        </w:tc>
        <w:tc>
          <w:tcPr>
            <w:tcW w:w="434" w:type="dxa"/>
            <w:tcBorders>
              <w:top w:val="single" w:color="auto" w:sz="4" w:space="0"/>
              <w:left w:val="single" w:color="auto" w:sz="4" w:space="0"/>
              <w:bottom w:val="single" w:color="auto" w:sz="4" w:space="0"/>
            </w:tcBorders>
            <w:shd w:val="clear" w:color="auto" w:fill="FFFFFF"/>
            <w:vAlign w:val="center"/>
          </w:tcPr>
          <w:p w14:paraId="5E6E4F38">
            <w:pPr>
              <w:pStyle w:val="37"/>
              <w:spacing w:before="36"/>
              <w:jc w:val="center"/>
              <w:rPr>
                <w:vanish/>
                <w:sz w:val="18"/>
                <w:szCs w:val="18"/>
              </w:rPr>
            </w:pPr>
            <w:r>
              <w:rPr>
                <w:sz w:val="18"/>
                <w:szCs w:val="18"/>
              </w:rPr>
              <w:t>X</w:t>
            </w:r>
          </w:p>
        </w:tc>
        <w:tc>
          <w:tcPr>
            <w:tcW w:w="433" w:type="dxa"/>
            <w:tcBorders>
              <w:top w:val="single" w:color="auto" w:sz="4" w:space="0"/>
              <w:left w:val="single" w:color="auto" w:sz="4" w:space="0"/>
              <w:bottom w:val="single" w:color="auto" w:sz="4" w:space="0"/>
            </w:tcBorders>
            <w:shd w:val="clear" w:color="auto" w:fill="FFFFFF"/>
            <w:vAlign w:val="center"/>
          </w:tcPr>
          <w:p w14:paraId="48E1F0E2">
            <w:pPr>
              <w:pStyle w:val="37"/>
              <w:spacing w:before="36"/>
              <w:jc w:val="center"/>
              <w:rPr>
                <w:vanish/>
                <w:sz w:val="18"/>
                <w:szCs w:val="18"/>
              </w:rPr>
            </w:pPr>
            <w:r>
              <w:rPr>
                <w:sz w:val="18"/>
                <w:szCs w:val="18"/>
              </w:rPr>
              <w:t>O</w:t>
            </w:r>
          </w:p>
        </w:tc>
        <w:tc>
          <w:tcPr>
            <w:tcW w:w="434" w:type="dxa"/>
            <w:tcBorders>
              <w:top w:val="single" w:color="auto" w:sz="4" w:space="0"/>
              <w:left w:val="single" w:color="auto" w:sz="4" w:space="0"/>
              <w:bottom w:val="single" w:color="auto" w:sz="4" w:space="0"/>
            </w:tcBorders>
            <w:shd w:val="clear" w:color="auto" w:fill="FFFFFF"/>
            <w:vAlign w:val="center"/>
          </w:tcPr>
          <w:p w14:paraId="1EE2EA44">
            <w:pPr>
              <w:pStyle w:val="37"/>
              <w:spacing w:before="36"/>
              <w:jc w:val="center"/>
              <w:rPr>
                <w:vanish/>
                <w:sz w:val="18"/>
                <w:szCs w:val="18"/>
              </w:rPr>
            </w:pPr>
            <w:r>
              <w:rPr>
                <w:sz w:val="18"/>
                <w:szCs w:val="18"/>
              </w:rPr>
              <w:t>X</w:t>
            </w:r>
          </w:p>
        </w:tc>
        <w:tc>
          <w:tcPr>
            <w:tcW w:w="434" w:type="dxa"/>
            <w:tcBorders>
              <w:top w:val="single" w:color="auto" w:sz="4" w:space="0"/>
              <w:left w:val="single" w:color="auto" w:sz="4" w:space="0"/>
              <w:bottom w:val="single" w:color="auto" w:sz="4" w:space="0"/>
            </w:tcBorders>
            <w:shd w:val="clear" w:color="auto" w:fill="FFFFFF"/>
            <w:vAlign w:val="center"/>
          </w:tcPr>
          <w:p w14:paraId="0241F638">
            <w:pPr>
              <w:pStyle w:val="37"/>
              <w:spacing w:before="36"/>
              <w:jc w:val="center"/>
              <w:rPr>
                <w:vanish/>
                <w:sz w:val="18"/>
                <w:szCs w:val="18"/>
              </w:rPr>
            </w:pPr>
            <w:r>
              <w:rPr>
                <w:sz w:val="18"/>
                <w:szCs w:val="18"/>
              </w:rPr>
              <w:t>X</w:t>
            </w:r>
          </w:p>
        </w:tc>
        <w:tc>
          <w:tcPr>
            <w:tcW w:w="434" w:type="dxa"/>
            <w:tcBorders>
              <w:top w:val="single" w:color="auto" w:sz="4" w:space="0"/>
              <w:left w:val="single" w:color="auto" w:sz="4" w:space="0"/>
              <w:bottom w:val="single" w:color="auto" w:sz="4" w:space="0"/>
            </w:tcBorders>
            <w:shd w:val="clear" w:color="auto" w:fill="FFFFFF"/>
            <w:vAlign w:val="center"/>
          </w:tcPr>
          <w:p w14:paraId="378F68B5">
            <w:pPr>
              <w:pStyle w:val="37"/>
              <w:spacing w:before="36"/>
              <w:jc w:val="center"/>
              <w:rPr>
                <w:vanish/>
                <w:sz w:val="18"/>
                <w:szCs w:val="18"/>
              </w:rPr>
            </w:pPr>
            <w:r>
              <w:rPr>
                <w:sz w:val="18"/>
                <w:szCs w:val="18"/>
              </w:rPr>
              <w:t>X</w:t>
            </w:r>
          </w:p>
        </w:tc>
        <w:tc>
          <w:tcPr>
            <w:tcW w:w="433" w:type="dxa"/>
            <w:tcBorders>
              <w:top w:val="single" w:color="auto" w:sz="4" w:space="0"/>
              <w:left w:val="single" w:color="auto" w:sz="4" w:space="0"/>
              <w:bottom w:val="single" w:color="auto" w:sz="4" w:space="0"/>
            </w:tcBorders>
            <w:shd w:val="clear" w:color="auto" w:fill="FFFFFF"/>
            <w:vAlign w:val="center"/>
          </w:tcPr>
          <w:p w14:paraId="13B0C199">
            <w:pPr>
              <w:pStyle w:val="37"/>
              <w:spacing w:before="36"/>
              <w:jc w:val="center"/>
              <w:rPr>
                <w:vanish/>
                <w:sz w:val="18"/>
                <w:szCs w:val="18"/>
              </w:rPr>
            </w:pPr>
            <w:r>
              <w:rPr>
                <w:sz w:val="18"/>
                <w:szCs w:val="18"/>
              </w:rPr>
              <w:t>X</w:t>
            </w:r>
          </w:p>
        </w:tc>
        <w:tc>
          <w:tcPr>
            <w:tcW w:w="434" w:type="dxa"/>
            <w:tcBorders>
              <w:top w:val="single" w:color="auto" w:sz="4" w:space="0"/>
              <w:left w:val="single" w:color="auto" w:sz="4" w:space="0"/>
              <w:bottom w:val="single" w:color="auto" w:sz="4" w:space="0"/>
            </w:tcBorders>
            <w:shd w:val="clear" w:color="auto" w:fill="FFFFFF"/>
            <w:vAlign w:val="center"/>
          </w:tcPr>
          <w:p w14:paraId="7EFFCCE4">
            <w:pPr>
              <w:pStyle w:val="37"/>
              <w:spacing w:before="36"/>
              <w:jc w:val="center"/>
              <w:rPr>
                <w:vanish/>
                <w:sz w:val="18"/>
                <w:szCs w:val="18"/>
              </w:rPr>
            </w:pPr>
            <w:r>
              <w:rPr>
                <w:sz w:val="18"/>
                <w:szCs w:val="18"/>
              </w:rPr>
              <w:t>O</w:t>
            </w:r>
          </w:p>
        </w:tc>
        <w:tc>
          <w:tcPr>
            <w:tcW w:w="434" w:type="dxa"/>
            <w:tcBorders>
              <w:top w:val="single" w:color="auto" w:sz="4" w:space="0"/>
              <w:left w:val="single" w:color="auto" w:sz="4" w:space="0"/>
              <w:bottom w:val="single" w:color="auto" w:sz="4" w:space="0"/>
            </w:tcBorders>
            <w:shd w:val="clear" w:color="auto" w:fill="FFFFFF"/>
            <w:vAlign w:val="center"/>
          </w:tcPr>
          <w:p w14:paraId="36643D84">
            <w:pPr>
              <w:pStyle w:val="37"/>
              <w:spacing w:before="36"/>
              <w:jc w:val="center"/>
              <w:rPr>
                <w:vanish/>
                <w:sz w:val="18"/>
                <w:szCs w:val="18"/>
              </w:rPr>
            </w:pPr>
            <w:r>
              <w:rPr>
                <w:sz w:val="18"/>
                <w:szCs w:val="18"/>
              </w:rPr>
              <w:t>O</w:t>
            </w:r>
          </w:p>
        </w:tc>
        <w:tc>
          <w:tcPr>
            <w:tcW w:w="434" w:type="dxa"/>
            <w:tcBorders>
              <w:top w:val="single" w:color="auto" w:sz="4" w:space="0"/>
              <w:left w:val="single" w:color="auto" w:sz="4" w:space="0"/>
              <w:bottom w:val="single" w:color="auto" w:sz="4" w:space="0"/>
            </w:tcBorders>
            <w:shd w:val="clear" w:color="auto" w:fill="FFFFFF"/>
            <w:vAlign w:val="center"/>
          </w:tcPr>
          <w:p w14:paraId="3E98C001">
            <w:pPr>
              <w:pStyle w:val="37"/>
              <w:spacing w:before="36"/>
              <w:jc w:val="center"/>
              <w:rPr>
                <w:vanish/>
                <w:sz w:val="18"/>
                <w:szCs w:val="18"/>
              </w:rPr>
            </w:pPr>
          </w:p>
        </w:tc>
        <w:tc>
          <w:tcPr>
            <w:tcW w:w="434" w:type="dxa"/>
            <w:tcBorders>
              <w:top w:val="single" w:color="auto" w:sz="4" w:space="0"/>
              <w:left w:val="single" w:color="auto" w:sz="4" w:space="0"/>
              <w:bottom w:val="single" w:color="auto" w:sz="4" w:space="0"/>
              <w:right w:val="single" w:color="auto" w:sz="4" w:space="0"/>
            </w:tcBorders>
            <w:shd w:val="clear" w:color="auto" w:fill="FFFFFF"/>
            <w:vAlign w:val="center"/>
          </w:tcPr>
          <w:p w14:paraId="050AB20B">
            <w:pPr>
              <w:pStyle w:val="37"/>
              <w:spacing w:before="36"/>
              <w:jc w:val="center"/>
              <w:rPr>
                <w:sz w:val="18"/>
                <w:szCs w:val="18"/>
              </w:rPr>
            </w:pPr>
          </w:p>
        </w:tc>
      </w:tr>
    </w:tbl>
    <w:p w14:paraId="3BFBAC5E">
      <w:pPr>
        <w:spacing w:before="0" w:beforeLines="0"/>
        <w:rPr>
          <w:sz w:val="18"/>
          <w:szCs w:val="18"/>
          <w:lang w:eastAsia="zh-CN"/>
        </w:rPr>
      </w:pPr>
      <w:r>
        <w:rPr>
          <w:rFonts w:cs="宋体"/>
          <w:sz w:val="18"/>
          <w:szCs w:val="18"/>
          <w:lang w:eastAsia="zh-CN"/>
        </w:rPr>
        <w:t>X = ISO 10993-1:2009推荐的考量终点*</w:t>
      </w:r>
    </w:p>
    <w:p w14:paraId="4110664B">
      <w:pPr>
        <w:spacing w:before="0" w:beforeLines="0"/>
        <w:rPr>
          <w:sz w:val="18"/>
          <w:szCs w:val="18"/>
          <w:lang w:eastAsia="zh-CN"/>
        </w:rPr>
      </w:pPr>
      <w:r>
        <w:rPr>
          <w:rFonts w:cs="宋体"/>
          <w:sz w:val="18"/>
          <w:szCs w:val="18"/>
          <w:lang w:eastAsia="zh-CN"/>
        </w:rPr>
        <w:t>O = FDA推荐的其他考量终点*</w:t>
      </w:r>
    </w:p>
    <w:p w14:paraId="20BF4330">
      <w:pPr>
        <w:spacing w:before="0" w:beforeLines="0"/>
        <w:rPr>
          <w:sz w:val="18"/>
          <w:szCs w:val="18"/>
          <w:lang w:eastAsia="zh-CN"/>
        </w:rPr>
      </w:pPr>
      <w:r>
        <w:rPr>
          <w:rFonts w:cs="宋体"/>
          <w:sz w:val="18"/>
          <w:szCs w:val="18"/>
          <w:lang w:eastAsia="zh-CN"/>
        </w:rPr>
        <w:t>注*应在生物学安全性评价中，利用现有数据、通过其他特定终点试验或针对为何无需对终点进行其他评价的原理来解决所有X和O。</w:t>
      </w:r>
    </w:p>
    <w:p w14:paraId="2D31246A">
      <w:pPr>
        <w:spacing w:before="0" w:beforeLines="0"/>
        <w:rPr>
          <w:sz w:val="18"/>
          <w:szCs w:val="18"/>
          <w:lang w:eastAsia="zh-CN"/>
        </w:rPr>
      </w:pPr>
      <w:r>
        <w:rPr>
          <w:rFonts w:cs="宋体"/>
          <w:sz w:val="18"/>
          <w:szCs w:val="18"/>
          <w:lang w:eastAsia="zh-CN"/>
        </w:rPr>
        <w:t>注</w:t>
      </w:r>
      <w:r>
        <w:rPr>
          <w:rFonts w:cs="宋体"/>
          <w:sz w:val="18"/>
          <w:szCs w:val="18"/>
          <w:vertAlign w:val="superscript"/>
          <w:lang w:eastAsia="zh-CN"/>
        </w:rPr>
        <w:t>+</w:t>
      </w:r>
      <w:r>
        <w:rPr>
          <w:rFonts w:cs="宋体"/>
          <w:sz w:val="18"/>
          <w:szCs w:val="18"/>
          <w:lang w:eastAsia="zh-CN"/>
        </w:rPr>
        <w:t>组织包括组织液体和皮下间隙</w:t>
      </w:r>
    </w:p>
    <w:p w14:paraId="514EAFD4">
      <w:pPr>
        <w:spacing w:before="0" w:beforeLines="0"/>
        <w:rPr>
          <w:sz w:val="18"/>
          <w:szCs w:val="18"/>
          <w:lang w:eastAsia="zh-CN"/>
        </w:rPr>
      </w:pPr>
      <w:r>
        <w:rPr>
          <w:rFonts w:cs="宋体"/>
          <w:sz w:val="18"/>
          <w:szCs w:val="18"/>
          <w:lang w:eastAsia="zh-CN"/>
        </w:rPr>
        <w:t>注</w:t>
      </w:r>
      <w:r>
        <w:rPr>
          <w:rFonts w:cs="宋体"/>
          <w:sz w:val="18"/>
          <w:szCs w:val="18"/>
          <w:vertAlign w:val="superscript"/>
          <w:lang w:eastAsia="zh-CN"/>
        </w:rPr>
        <w:t>^</w:t>
      </w:r>
      <w:r>
        <w:rPr>
          <w:rFonts w:cs="宋体"/>
          <w:sz w:val="18"/>
          <w:szCs w:val="18"/>
          <w:lang w:eastAsia="zh-CN"/>
        </w:rPr>
        <w:t>对于在体外循环中使用的所有器械</w:t>
      </w:r>
    </w:p>
    <w:p w14:paraId="52BC3021">
      <w:pPr>
        <w:spacing w:before="0" w:beforeLines="0"/>
        <w:rPr>
          <w:sz w:val="18"/>
          <w:szCs w:val="18"/>
          <w:lang w:eastAsia="zh-CN"/>
        </w:rPr>
      </w:pPr>
      <w:r>
        <w:rPr>
          <w:rFonts w:cs="宋体"/>
          <w:sz w:val="18"/>
          <w:szCs w:val="18"/>
          <w:lang w:eastAsia="zh-CN"/>
        </w:rPr>
        <w:t>注</w:t>
      </w:r>
      <w:r>
        <w:rPr>
          <w:rFonts w:cs="宋体"/>
          <w:sz w:val="18"/>
          <w:szCs w:val="18"/>
          <w:vertAlign w:val="superscript"/>
          <w:lang w:eastAsia="zh-CN"/>
        </w:rPr>
        <w:t>#</w:t>
      </w:r>
      <w:r>
        <w:rPr>
          <w:rFonts w:cs="宋体"/>
          <w:sz w:val="18"/>
          <w:szCs w:val="18"/>
          <w:lang w:eastAsia="zh-CN"/>
        </w:rPr>
        <w:t>应为新材料、含有已知生殖或发育毒性的材料、适用于相关目标人群的材料（例如，孕妇）、和/或局部材料可能位于生殖器官中的器械的生殖和发育毒性进行评价。</w:t>
      </w:r>
    </w:p>
    <w:p w14:paraId="188F5335">
      <w:pPr>
        <w:spacing w:before="0" w:beforeLines="0"/>
        <w:rPr>
          <w:sz w:val="18"/>
          <w:szCs w:val="18"/>
          <w:lang w:eastAsia="zh-CN"/>
        </w:rPr>
      </w:pPr>
      <w:r>
        <w:rPr>
          <w:rFonts w:cs="宋体"/>
          <w:sz w:val="18"/>
          <w:szCs w:val="18"/>
          <w:lang w:eastAsia="zh-CN"/>
        </w:rPr>
        <w:t>备注@应为任何器械、器械组件或仍存在与旨在降解组织中的材料提供降解信息。</w:t>
      </w:r>
    </w:p>
    <w:p w14:paraId="4D77DD56">
      <w:pPr>
        <w:spacing w:before="120"/>
        <w:rPr>
          <w:lang w:eastAsia="zh-CN"/>
        </w:rPr>
      </w:pPr>
      <w:r>
        <w:rPr>
          <w:rFonts w:cs="宋体"/>
          <w:lang w:eastAsia="zh-CN"/>
        </w:rPr>
        <w:t>如上述表A.1所述，FDA建议在比ISO 10993-1:2009概述的范围之外的更广的器械/组织接触范围中考虑急性全身毒性、亚慢性毒性和植入终点。例如，对于与粘膜接触超过24小时的器械（例如，新生儿饲管），可能存在在短期评价中无法检测出并会引起不良事件的毒性，应在其他生物相容性评价中进行考虑。在这种情况下，如未在风险评定中获取其它信息，FDA建议在临床相关的模型中，利用急性和亚急性终点进行植入试验以解决针对器械表面表征和逐渐形成的化学可沥滤物可能产生的生物学反应问题。</w:t>
      </w:r>
    </w:p>
    <w:p w14:paraId="52361D4C">
      <w:pPr>
        <w:spacing w:before="120"/>
        <w:rPr>
          <w:lang w:eastAsia="zh-CN"/>
        </w:rPr>
      </w:pPr>
      <w:r>
        <w:rPr>
          <w:rFonts w:cs="宋体"/>
          <w:lang w:eastAsia="zh-CN"/>
        </w:rPr>
        <w:br w:type="page"/>
      </w:r>
    </w:p>
    <w:p w14:paraId="0A731838">
      <w:pPr>
        <w:spacing w:before="120"/>
        <w:rPr>
          <w:lang w:eastAsia="zh-CN"/>
        </w:rPr>
      </w:pPr>
      <w:r>
        <w:rPr>
          <w:rFonts w:cs="宋体"/>
          <w:lang w:eastAsia="zh-CN"/>
        </w:rPr>
        <w:t>FDA同样建议应考虑在比ISO 10993-1:2009概述的范围更广的器械/组织接触范围中进行刺激评价。例如，与血液间接接触的器械可能通过器械输注通道引入化学可沥滤物（可能是一种刺激物），因此，生物相容性评价应包括与本刺激终点相关的其他生物相容性信息。</w:t>
      </w:r>
    </w:p>
    <w:p w14:paraId="7C74C600">
      <w:pPr>
        <w:spacing w:before="120"/>
        <w:rPr>
          <w:lang w:eastAsia="zh-CN"/>
        </w:rPr>
      </w:pPr>
      <w:r>
        <w:rPr>
          <w:rFonts w:cs="宋体"/>
          <w:lang w:eastAsia="zh-CN"/>
        </w:rPr>
        <w:t>FDA同样建议应考虑在比ISO 10993-1:2009概述的范围更广的器械/组织接触范围中进行遗传毒性评价。例如，针对所有用于体外循环的器械（即使接触不到24小时），也建议进行遗传毒性评价，其原因是表面积较大，化学沥滤可能性升高，并将任何可沥滤物引入到了全身循环系统中。如果这些系统含有不清楚遗传毒性特征的可沥滤物（即，文献中无毒理学信息），如</w:t>
      </w:r>
      <w:r>
        <w:rPr>
          <w:rFonts w:cs="宋体"/>
          <w:color w:val="0000FF"/>
          <w:u w:val="single"/>
          <w:lang w:eastAsia="zh-CN"/>
        </w:rPr>
        <w:t>第VI.F</w:t>
      </w:r>
      <w:r>
        <w:rPr>
          <w:rFonts w:cs="宋体"/>
          <w:lang w:eastAsia="zh-CN"/>
        </w:rPr>
        <w:t>节中所述，则必须提供其它遗传毒性信息。</w:t>
      </w:r>
    </w:p>
    <w:p w14:paraId="26DCEDE8">
      <w:pPr>
        <w:spacing w:before="120"/>
        <w:rPr>
          <w:rFonts w:cs="宋体"/>
          <w:lang w:eastAsia="zh-CN"/>
        </w:rPr>
      </w:pPr>
      <w:r>
        <w:rPr>
          <w:rFonts w:cs="宋体"/>
          <w:lang w:eastAsia="zh-CN"/>
        </w:rPr>
        <w:t>此外，建议申请人考虑通过单独评价来评价可能存在热原的器械材料化学成分。认为这种经材料介导的热原是ISO 10993-1:2009中急性全身毒性的子集合。但是，如果急性全身毒性或植入研究不包含定期温度测定数据（例如，最初3个小时，每隔30分钟进行一次测定）或未在合理的动物模型中进行该研究（即，家兔），利用该研究数据来替代单独进行的热原评价是不合理的。另见</w:t>
      </w:r>
      <w:r>
        <w:rPr>
          <w:rFonts w:cs="宋体"/>
          <w:color w:val="0000FF"/>
          <w:u w:val="single"/>
          <w:lang w:eastAsia="zh-CN"/>
        </w:rPr>
        <w:t>第VI.D节</w:t>
      </w:r>
      <w:r>
        <w:rPr>
          <w:rFonts w:cs="宋体"/>
          <w:lang w:eastAsia="zh-CN"/>
        </w:rPr>
        <w:t>以获取与热原评价相关的重要信息。</w:t>
      </w:r>
    </w:p>
    <w:p w14:paraId="2F43D241">
      <w:pPr>
        <w:snapToGrid/>
        <w:spacing w:before="0" w:beforeLines="0" w:line="240" w:lineRule="auto"/>
        <w:jc w:val="left"/>
        <w:rPr>
          <w:lang w:eastAsia="zh-CN"/>
        </w:rPr>
      </w:pPr>
      <w:r>
        <w:rPr>
          <w:lang w:eastAsia="zh-CN"/>
        </w:rPr>
        <w:br w:type="page"/>
      </w:r>
    </w:p>
    <w:p w14:paraId="22C21E41">
      <w:pPr>
        <w:spacing w:before="120"/>
        <w:rPr>
          <w:lang w:eastAsia="zh-CN"/>
        </w:rPr>
      </w:pPr>
      <w:r>
        <w:rPr>
          <w:rFonts w:cs="宋体"/>
          <w:lang w:eastAsia="zh-CN"/>
        </w:rPr>
        <w:t>应考虑到历史版本ISO 10993-1中的表格对何时进行慢性毒性和致癌性评价的时间进行的识别。根据ISO 10993-1:2009，从表格中删除了这些终点所在列和用于降解和生殖发育毒性的列，而附件A目前声明称：“除表A.1所设定的框架外，应根据风险评定对下述情况进行考虑，下述各项考虑了接触的特殊本质和时间：慢性毒性、致癌性、降解、毒代动力学、免疫毒性、生殖/发育毒性或其它器官特异性毒性”。对于归类为与粘膜、破损或损伤表面、血管或组织/骨/牙本质持久接触的器械，由于可能发生在短期评价中无法检出的、与长期接触相关的不良生物学反应，因此，FDA建议考虑慢性毒性</w:t>
      </w:r>
      <w:r>
        <w:rPr>
          <w:rFonts w:cs="宋体"/>
          <w:vertAlign w:val="superscript"/>
          <w:lang w:eastAsia="zh-CN"/>
        </w:rPr>
        <w:t>67</w:t>
      </w:r>
      <w:r>
        <w:rPr>
          <w:rFonts w:cs="宋体"/>
          <w:lang w:eastAsia="zh-CN"/>
        </w:rPr>
        <w:t>。此外，FDA建议可为下述各类器械提供致癌性评价（通常通过风险评价进行）：与破损或损伤表面永久接触的表面接触器械和所有与外部永久接入和植入的器械。例如，利用与存在遗传毒性和不存在遗传毒性致癌物相关的文献中的化学信息和数据有助于对</w:t>
      </w:r>
      <w:r>
        <w:rPr>
          <w:rFonts w:cs="宋体"/>
          <w:color w:val="0000FF"/>
          <w:u w:val="single"/>
          <w:lang w:eastAsia="zh-CN"/>
        </w:rPr>
        <w:t>第VI.G节</w:t>
      </w:r>
      <w:r>
        <w:rPr>
          <w:rFonts w:cs="宋体"/>
          <w:lang w:eastAsia="zh-CN"/>
        </w:rPr>
        <w:t>中概述的致癌性进行评价。</w:t>
      </w:r>
    </w:p>
    <w:p w14:paraId="1DF1AF21">
      <w:pPr>
        <w:spacing w:before="120"/>
        <w:rPr>
          <w:rFonts w:cs="宋体"/>
          <w:lang w:eastAsia="zh-CN"/>
        </w:rPr>
      </w:pPr>
    </w:p>
    <w:p w14:paraId="424E5163">
      <w:pPr>
        <w:spacing w:before="120"/>
        <w:rPr>
          <w:rFonts w:cs="宋体"/>
          <w:lang w:eastAsia="zh-CN"/>
        </w:rPr>
      </w:pPr>
    </w:p>
    <w:p w14:paraId="51950CEB">
      <w:pPr>
        <w:spacing w:before="120"/>
        <w:rPr>
          <w:rFonts w:cs="宋体"/>
          <w:lang w:eastAsia="zh-CN"/>
        </w:rPr>
      </w:pPr>
    </w:p>
    <w:p w14:paraId="5E1D77EC">
      <w:pPr>
        <w:spacing w:before="120"/>
        <w:rPr>
          <w:rFonts w:cs="宋体"/>
          <w:lang w:eastAsia="zh-CN"/>
        </w:rPr>
      </w:pPr>
    </w:p>
    <w:p w14:paraId="2B8E8FCC">
      <w:pPr>
        <w:spacing w:before="120"/>
        <w:rPr>
          <w:rFonts w:cs="宋体"/>
          <w:lang w:eastAsia="zh-CN"/>
        </w:rPr>
      </w:pPr>
    </w:p>
    <w:p w14:paraId="172F50A4">
      <w:pPr>
        <w:spacing w:before="120"/>
        <w:rPr>
          <w:rFonts w:cs="宋体"/>
          <w:lang w:eastAsia="zh-CN"/>
        </w:rPr>
      </w:pPr>
    </w:p>
    <w:p w14:paraId="0D355AA7">
      <w:pPr>
        <w:spacing w:before="120"/>
        <w:rPr>
          <w:rFonts w:cs="宋体"/>
          <w:lang w:eastAsia="zh-CN"/>
        </w:rPr>
      </w:pPr>
    </w:p>
    <w:p w14:paraId="52E37F8D">
      <w:pPr>
        <w:spacing w:before="120"/>
        <w:rPr>
          <w:rFonts w:cs="宋体"/>
          <w:lang w:eastAsia="zh-CN"/>
        </w:rPr>
      </w:pPr>
    </w:p>
    <w:p w14:paraId="7CA1179D">
      <w:pPr>
        <w:spacing w:before="120"/>
        <w:rPr>
          <w:rFonts w:cs="宋体"/>
          <w:lang w:eastAsia="zh-CN"/>
        </w:rPr>
      </w:pPr>
    </w:p>
    <w:p w14:paraId="4B13E89B">
      <w:pPr>
        <w:spacing w:before="120"/>
        <w:rPr>
          <w:rFonts w:cs="宋体"/>
          <w:lang w:eastAsia="zh-CN"/>
        </w:rPr>
      </w:pPr>
    </w:p>
    <w:p w14:paraId="55CF64D7">
      <w:pPr>
        <w:spacing w:before="120"/>
        <w:rPr>
          <w:rFonts w:cs="宋体"/>
          <w:lang w:eastAsia="zh-CN"/>
        </w:rPr>
      </w:pPr>
    </w:p>
    <w:p w14:paraId="105C607A">
      <w:pPr>
        <w:spacing w:before="120"/>
        <w:rPr>
          <w:rFonts w:cs="宋体"/>
          <w:lang w:eastAsia="zh-CN"/>
        </w:rPr>
      </w:pPr>
    </w:p>
    <w:p w14:paraId="42EDF007">
      <w:pPr>
        <w:spacing w:before="120"/>
        <w:rPr>
          <w:rFonts w:cs="宋体"/>
          <w:lang w:eastAsia="zh-CN"/>
        </w:rPr>
      </w:pPr>
    </w:p>
    <w:p w14:paraId="3D1E0FDD">
      <w:pPr>
        <w:spacing w:before="120"/>
        <w:rPr>
          <w:rFonts w:cs="宋体"/>
          <w:lang w:eastAsia="zh-CN"/>
        </w:rPr>
      </w:pPr>
    </w:p>
    <w:p w14:paraId="45536A86">
      <w:pPr>
        <w:spacing w:before="120"/>
        <w:rPr>
          <w:rFonts w:cs="宋体"/>
          <w:lang w:eastAsia="zh-CN"/>
        </w:rPr>
      </w:pPr>
    </w:p>
    <w:p w14:paraId="2C2A7D55">
      <w:pPr>
        <w:spacing w:before="120"/>
        <w:rPr>
          <w:rFonts w:cs="宋体"/>
          <w:lang w:eastAsia="zh-CN"/>
        </w:rPr>
      </w:pPr>
    </w:p>
    <w:p w14:paraId="0D7CD19B">
      <w:pPr>
        <w:spacing w:before="120"/>
        <w:rPr>
          <w:rFonts w:cs="宋体"/>
          <w:lang w:eastAsia="zh-CN"/>
        </w:rPr>
      </w:pPr>
    </w:p>
    <w:p w14:paraId="435C013A">
      <w:pPr>
        <w:spacing w:before="120"/>
        <w:rPr>
          <w:lang w:eastAsia="zh-CN"/>
        </w:rPr>
      </w:pPr>
      <w:r>
        <w:rPr>
          <w:rFonts w:cs="宋体"/>
          <w:lang w:eastAsia="zh-CN"/>
        </w:rPr>
        <w:t>________________________</w:t>
      </w:r>
    </w:p>
    <w:p w14:paraId="162BD212">
      <w:pPr>
        <w:spacing w:before="0" w:beforeLines="0"/>
        <w:rPr>
          <w:sz w:val="21"/>
          <w:szCs w:val="21"/>
          <w:lang w:eastAsia="zh-CN"/>
        </w:rPr>
      </w:pPr>
      <w:r>
        <w:rPr>
          <w:rFonts w:cs="宋体"/>
          <w:sz w:val="21"/>
          <w:vertAlign w:val="superscript"/>
          <w:lang w:eastAsia="zh-CN"/>
        </w:rPr>
        <w:t>67</w:t>
      </w:r>
      <w:r>
        <w:rPr>
          <w:rFonts w:cs="宋体"/>
          <w:sz w:val="21"/>
          <w:lang w:eastAsia="zh-CN"/>
        </w:rPr>
        <w:t>参考ISO 10993-6《医疗器械生物学评价-第6部分：植入后局部反应试验》，以获取用于评价相关慢性毒性终点时限的信息。</w:t>
      </w:r>
    </w:p>
    <w:p w14:paraId="3DDBE0AC">
      <w:pPr>
        <w:spacing w:before="120"/>
        <w:rPr>
          <w:lang w:eastAsia="zh-CN"/>
        </w:rPr>
      </w:pPr>
      <w:r>
        <w:rPr>
          <w:rFonts w:cs="宋体"/>
          <w:lang w:eastAsia="zh-CN"/>
        </w:rPr>
        <w:br w:type="page"/>
      </w:r>
    </w:p>
    <w:p w14:paraId="78DD3002">
      <w:pPr>
        <w:spacing w:before="120"/>
        <w:jc w:val="center"/>
        <w:outlineLvl w:val="0"/>
        <w:rPr>
          <w:b/>
          <w:bCs/>
          <w:sz w:val="32"/>
          <w:szCs w:val="32"/>
          <w:lang w:eastAsia="zh-CN"/>
        </w:rPr>
      </w:pPr>
      <w:bookmarkStart w:id="40" w:name="_Toc97827726"/>
      <w:r>
        <w:rPr>
          <w:rFonts w:cs="宋体"/>
          <w:b/>
          <w:sz w:val="32"/>
          <w:lang w:eastAsia="zh-CN"/>
        </w:rPr>
        <w:t>附件B：用于生物相容性评价的器械主文件</w:t>
      </w:r>
      <w:bookmarkEnd w:id="40"/>
    </w:p>
    <w:p w14:paraId="5887ABB2">
      <w:pPr>
        <w:spacing w:before="120"/>
        <w:rPr>
          <w:lang w:eastAsia="zh-CN"/>
        </w:rPr>
      </w:pPr>
      <w:r>
        <w:rPr>
          <w:rFonts w:cs="宋体"/>
          <w:lang w:eastAsia="zh-CN"/>
        </w:rPr>
        <w:t>关于器械主文件（MAF）</w:t>
      </w:r>
      <w:r>
        <w:rPr>
          <w:rFonts w:cs="宋体"/>
          <w:vertAlign w:val="superscript"/>
          <w:lang w:eastAsia="zh-CN"/>
        </w:rPr>
        <w:t>68</w:t>
      </w:r>
      <w:r>
        <w:rPr>
          <w:rFonts w:cs="宋体"/>
          <w:lang w:eastAsia="zh-CN"/>
        </w:rPr>
        <w:t>，无特殊内容要求。但是，应包含下述信息以支持生物相容性评价：</w:t>
      </w:r>
    </w:p>
    <w:p w14:paraId="67D2A5F3">
      <w:pPr>
        <w:pStyle w:val="40"/>
        <w:numPr>
          <w:ilvl w:val="0"/>
          <w:numId w:val="19"/>
        </w:numPr>
        <w:spacing w:before="120"/>
        <w:ind w:left="704" w:firstLineChars="0"/>
      </w:pPr>
      <w:r>
        <w:rPr>
          <w:rFonts w:cs="宋体"/>
        </w:rPr>
        <w:t>材料名称和商标名称。</w:t>
      </w:r>
    </w:p>
    <w:p w14:paraId="173556C3">
      <w:pPr>
        <w:pStyle w:val="40"/>
        <w:numPr>
          <w:ilvl w:val="0"/>
          <w:numId w:val="19"/>
        </w:numPr>
        <w:spacing w:before="120"/>
        <w:ind w:left="704" w:firstLineChars="0"/>
        <w:rPr>
          <w:lang w:eastAsia="zh-CN"/>
        </w:rPr>
      </w:pPr>
      <w:r>
        <w:rPr>
          <w:rFonts w:cs="宋体"/>
          <w:lang w:eastAsia="zh-CN"/>
        </w:rPr>
        <w:t>配方信息（每种材料）应包括：</w:t>
      </w:r>
    </w:p>
    <w:p w14:paraId="744E3780">
      <w:pPr>
        <w:pStyle w:val="40"/>
        <w:numPr>
          <w:ilvl w:val="0"/>
          <w:numId w:val="20"/>
        </w:numPr>
        <w:spacing w:before="120"/>
        <w:ind w:left="1407" w:firstLineChars="0"/>
        <w:rPr>
          <w:lang w:eastAsia="zh-CN"/>
        </w:rPr>
      </w:pPr>
      <w:r>
        <w:rPr>
          <w:rFonts w:cs="宋体"/>
          <w:lang w:eastAsia="zh-CN"/>
        </w:rPr>
        <w:t>化学名称、化学文摘服务（CAS）索引号、供应商和商标名；</w:t>
      </w:r>
    </w:p>
    <w:p w14:paraId="77B42055">
      <w:pPr>
        <w:pStyle w:val="40"/>
        <w:numPr>
          <w:ilvl w:val="0"/>
          <w:numId w:val="20"/>
        </w:numPr>
        <w:spacing w:before="120"/>
        <w:ind w:left="1407" w:firstLineChars="0"/>
        <w:rPr>
          <w:lang w:eastAsia="zh-CN"/>
        </w:rPr>
      </w:pPr>
      <w:r>
        <w:rPr>
          <w:rFonts w:cs="宋体"/>
          <w:lang w:eastAsia="zh-CN"/>
        </w:rPr>
        <w:t>每种化学物质在配方中的重量百分比（% w/w）；</w:t>
      </w:r>
    </w:p>
    <w:p w14:paraId="54496061">
      <w:pPr>
        <w:pStyle w:val="40"/>
        <w:numPr>
          <w:ilvl w:val="0"/>
          <w:numId w:val="20"/>
        </w:numPr>
        <w:spacing w:before="120"/>
        <w:ind w:left="1407" w:firstLineChars="0"/>
        <w:rPr>
          <w:lang w:eastAsia="zh-CN"/>
        </w:rPr>
      </w:pPr>
      <w:r>
        <w:rPr>
          <w:rFonts w:cs="宋体"/>
          <w:lang w:eastAsia="zh-CN"/>
        </w:rPr>
        <w:t>每种化学成分的功能；以及</w:t>
      </w:r>
    </w:p>
    <w:p w14:paraId="1E033AB0">
      <w:pPr>
        <w:pStyle w:val="40"/>
        <w:numPr>
          <w:ilvl w:val="0"/>
          <w:numId w:val="20"/>
        </w:numPr>
        <w:spacing w:before="120"/>
        <w:ind w:left="1407" w:firstLineChars="0"/>
        <w:rPr>
          <w:lang w:eastAsia="zh-CN"/>
        </w:rPr>
      </w:pPr>
      <w:r>
        <w:rPr>
          <w:rFonts w:cs="宋体"/>
          <w:lang w:eastAsia="zh-CN"/>
        </w:rPr>
        <w:t>每种化学物质的结构和简化分子输入线录入系统（SMILES）编号。</w:t>
      </w:r>
    </w:p>
    <w:p w14:paraId="7CEF366B">
      <w:pPr>
        <w:pStyle w:val="40"/>
        <w:numPr>
          <w:ilvl w:val="0"/>
          <w:numId w:val="19"/>
        </w:numPr>
        <w:spacing w:before="120"/>
        <w:ind w:left="704" w:firstLineChars="0"/>
      </w:pPr>
      <w:r>
        <w:rPr>
          <w:rFonts w:cs="宋体"/>
        </w:rPr>
        <w:t>制造信息应包括：</w:t>
      </w:r>
    </w:p>
    <w:p w14:paraId="0007A7D4">
      <w:pPr>
        <w:pStyle w:val="40"/>
        <w:numPr>
          <w:ilvl w:val="0"/>
          <w:numId w:val="21"/>
        </w:numPr>
        <w:spacing w:before="120"/>
        <w:ind w:left="1407" w:firstLineChars="0"/>
        <w:rPr>
          <w:lang w:eastAsia="zh-CN"/>
        </w:rPr>
      </w:pPr>
      <w:r>
        <w:rPr>
          <w:rFonts w:cs="宋体"/>
          <w:lang w:eastAsia="zh-CN"/>
        </w:rPr>
        <w:t>推荐的加工方法（例如，注塑成型、时间和温度条件）；</w:t>
      </w:r>
    </w:p>
    <w:p w14:paraId="40BE145B">
      <w:pPr>
        <w:pStyle w:val="40"/>
        <w:numPr>
          <w:ilvl w:val="0"/>
          <w:numId w:val="21"/>
        </w:numPr>
        <w:spacing w:before="120"/>
        <w:ind w:left="1407" w:firstLineChars="0"/>
        <w:rPr>
          <w:lang w:eastAsia="zh-CN"/>
        </w:rPr>
      </w:pPr>
      <w:r>
        <w:rPr>
          <w:rFonts w:cs="宋体"/>
          <w:lang w:eastAsia="zh-CN"/>
        </w:rPr>
        <w:t>推荐的加工助剂（或应避免的加工助剂）；以及</w:t>
      </w:r>
    </w:p>
    <w:p w14:paraId="571FC492">
      <w:pPr>
        <w:pStyle w:val="40"/>
        <w:numPr>
          <w:ilvl w:val="0"/>
          <w:numId w:val="21"/>
        </w:numPr>
        <w:spacing w:before="120"/>
        <w:ind w:left="1407" w:firstLineChars="0"/>
      </w:pPr>
      <w:r>
        <w:rPr>
          <w:rFonts w:cs="宋体"/>
        </w:rPr>
        <w:t>已知或疑似杂质。</w:t>
      </w:r>
    </w:p>
    <w:p w14:paraId="78C4F086">
      <w:pPr>
        <w:pStyle w:val="40"/>
        <w:numPr>
          <w:ilvl w:val="0"/>
          <w:numId w:val="19"/>
        </w:numPr>
        <w:spacing w:before="120"/>
        <w:ind w:left="704" w:firstLineChars="0"/>
        <w:rPr>
          <w:lang w:eastAsia="zh-CN"/>
        </w:rPr>
      </w:pPr>
      <w:r>
        <w:rPr>
          <w:rFonts w:cs="宋体"/>
          <w:lang w:eastAsia="zh-CN"/>
        </w:rPr>
        <w:t>灭菌相容性（例如，伽马辐照灭菌，蒸汽灭菌、环氧乙烷灭菌）。</w:t>
      </w:r>
    </w:p>
    <w:p w14:paraId="364C3C91">
      <w:pPr>
        <w:pStyle w:val="40"/>
        <w:numPr>
          <w:ilvl w:val="0"/>
          <w:numId w:val="19"/>
        </w:numPr>
        <w:spacing w:before="120"/>
        <w:ind w:left="704" w:firstLineChars="0"/>
        <w:rPr>
          <w:lang w:eastAsia="zh-CN"/>
        </w:rPr>
      </w:pPr>
      <w:r>
        <w:rPr>
          <w:rFonts w:cs="宋体"/>
          <w:lang w:eastAsia="zh-CN"/>
        </w:rPr>
        <w:t>针对该材料建议的化学表征方法包括（根据ISO 10993-18）：</w:t>
      </w:r>
    </w:p>
    <w:p w14:paraId="25BC5221">
      <w:pPr>
        <w:pStyle w:val="40"/>
        <w:numPr>
          <w:ilvl w:val="0"/>
          <w:numId w:val="22"/>
        </w:numPr>
        <w:spacing w:before="120"/>
        <w:ind w:left="1407" w:firstLineChars="0"/>
      </w:pPr>
      <w:r>
        <w:rPr>
          <w:rFonts w:cs="宋体"/>
        </w:rPr>
        <w:t>材料识别；</w:t>
      </w:r>
    </w:p>
    <w:p w14:paraId="44A79275">
      <w:pPr>
        <w:pStyle w:val="40"/>
        <w:numPr>
          <w:ilvl w:val="0"/>
          <w:numId w:val="22"/>
        </w:numPr>
        <w:spacing w:before="120"/>
        <w:ind w:left="1407" w:firstLineChars="0"/>
      </w:pPr>
      <w:r>
        <w:rPr>
          <w:rFonts w:cs="宋体"/>
        </w:rPr>
        <w:t>重金属分析；</w:t>
      </w:r>
    </w:p>
    <w:p w14:paraId="6BAA5D81">
      <w:pPr>
        <w:pStyle w:val="40"/>
        <w:numPr>
          <w:ilvl w:val="0"/>
          <w:numId w:val="22"/>
        </w:numPr>
        <w:spacing w:before="120"/>
        <w:ind w:left="1407" w:firstLineChars="0"/>
        <w:rPr>
          <w:lang w:eastAsia="zh-CN"/>
        </w:rPr>
      </w:pPr>
      <w:r>
        <w:rPr>
          <w:rFonts w:cs="宋体"/>
          <w:lang w:eastAsia="zh-CN"/>
        </w:rPr>
        <w:t>相关的灭菌残留量（例如，环氧乙烷）；</w:t>
      </w:r>
    </w:p>
    <w:p w14:paraId="01D21740">
      <w:pPr>
        <w:pStyle w:val="40"/>
        <w:numPr>
          <w:ilvl w:val="0"/>
          <w:numId w:val="22"/>
        </w:numPr>
        <w:spacing w:before="120"/>
        <w:ind w:left="1407" w:firstLineChars="0"/>
        <w:rPr>
          <w:lang w:eastAsia="zh-CN"/>
        </w:rPr>
      </w:pPr>
      <w:r>
        <w:rPr>
          <w:rFonts w:cs="宋体"/>
          <w:lang w:eastAsia="zh-CN"/>
        </w:rPr>
        <w:t>依据材料化学性质（例如，溶解度、转移温度）所推荐的浸提条件（溶剂、温度）以及这些条件的解释；</w:t>
      </w:r>
    </w:p>
    <w:p w14:paraId="73D2AF9D">
      <w:pPr>
        <w:pStyle w:val="40"/>
        <w:numPr>
          <w:ilvl w:val="0"/>
          <w:numId w:val="22"/>
        </w:numPr>
        <w:spacing w:before="120"/>
        <w:ind w:left="1407" w:firstLineChars="0"/>
        <w:rPr>
          <w:lang w:eastAsia="zh-CN"/>
        </w:rPr>
      </w:pPr>
      <w:r>
        <w:rPr>
          <w:rFonts w:cs="宋体"/>
          <w:lang w:eastAsia="zh-CN"/>
        </w:rPr>
        <w:t>推荐的数据表示（即，允许与原始材料进行比较）；以及</w:t>
      </w:r>
    </w:p>
    <w:p w14:paraId="74A8112C">
      <w:pPr>
        <w:pStyle w:val="40"/>
        <w:numPr>
          <w:ilvl w:val="0"/>
          <w:numId w:val="22"/>
        </w:numPr>
        <w:spacing w:before="120"/>
        <w:ind w:left="1407" w:firstLineChars="0"/>
        <w:rPr>
          <w:lang w:eastAsia="zh-CN"/>
        </w:rPr>
      </w:pPr>
      <w:r>
        <w:rPr>
          <w:rFonts w:cs="宋体"/>
          <w:lang w:eastAsia="zh-CN"/>
        </w:rPr>
        <w:t>用于生物相容性筛查研究的材料供试品的试验结果（下述第7项）。</w:t>
      </w:r>
    </w:p>
    <w:p w14:paraId="0881E8E0">
      <w:pPr>
        <w:spacing w:before="120"/>
        <w:rPr>
          <w:rFonts w:cs="宋体"/>
          <w:lang w:eastAsia="zh-CN"/>
        </w:rPr>
      </w:pPr>
    </w:p>
    <w:p w14:paraId="06FC7D24">
      <w:pPr>
        <w:spacing w:before="120"/>
        <w:rPr>
          <w:rFonts w:cs="宋体"/>
          <w:lang w:eastAsia="zh-CN"/>
        </w:rPr>
      </w:pPr>
    </w:p>
    <w:p w14:paraId="4A59A646">
      <w:pPr>
        <w:spacing w:before="120"/>
        <w:rPr>
          <w:lang w:eastAsia="zh-CN"/>
        </w:rPr>
      </w:pPr>
      <w:r>
        <w:rPr>
          <w:rFonts w:cs="宋体"/>
          <w:lang w:eastAsia="zh-CN"/>
        </w:rPr>
        <w:t>________________________</w:t>
      </w:r>
    </w:p>
    <w:p w14:paraId="3319BC4D">
      <w:pPr>
        <w:spacing w:before="0" w:beforeLines="0"/>
        <w:rPr>
          <w:sz w:val="21"/>
          <w:szCs w:val="21"/>
          <w:lang w:eastAsia="zh-CN"/>
        </w:rPr>
      </w:pPr>
      <w:r>
        <w:rPr>
          <w:rFonts w:cs="宋体"/>
          <w:sz w:val="21"/>
          <w:vertAlign w:val="superscript"/>
          <w:lang w:eastAsia="zh-CN"/>
        </w:rPr>
        <w:t>68</w:t>
      </w:r>
      <w:r>
        <w:rPr>
          <w:rFonts w:cs="宋体"/>
          <w:sz w:val="21"/>
          <w:lang w:eastAsia="zh-CN"/>
        </w:rPr>
        <w:t>有关器械主文件的其他信息，可登录以下网址在线获取：</w:t>
      </w:r>
      <w:r>
        <w:rPr>
          <w:rFonts w:cs="宋体"/>
          <w:color w:val="0000FF"/>
          <w:sz w:val="21"/>
          <w:u w:val="single"/>
          <w:lang w:eastAsia="zh-CN"/>
        </w:rPr>
        <w:t>http://www.fda.gov/MedicalDevices/</w:t>
      </w:r>
      <w:r>
        <w:rPr>
          <w:rFonts w:hint="eastAsia" w:cs="宋体"/>
          <w:color w:val="0000FF"/>
          <w:sz w:val="21"/>
          <w:u w:val="single"/>
          <w:lang w:eastAsia="zh-CN"/>
        </w:rPr>
        <w:t xml:space="preserve"> </w:t>
      </w:r>
      <w:r>
        <w:rPr>
          <w:rFonts w:cs="宋体"/>
          <w:color w:val="0000FF"/>
          <w:sz w:val="21"/>
          <w:u w:val="single"/>
          <w:lang w:eastAsia="zh-CN"/>
        </w:rPr>
        <w:t>DeviceRegulationandGuidance/HowtoMarketYourDevice/PremarketSubmissions/PremarketApprovalPMA/ucm142714.htm.</w:t>
      </w:r>
    </w:p>
    <w:p w14:paraId="62C2EA34">
      <w:pPr>
        <w:spacing w:before="120"/>
        <w:rPr>
          <w:lang w:eastAsia="zh-CN"/>
        </w:rPr>
      </w:pPr>
      <w:r>
        <w:rPr>
          <w:rFonts w:cs="宋体"/>
          <w:lang w:eastAsia="zh-CN"/>
        </w:rPr>
        <w:br w:type="page"/>
      </w:r>
    </w:p>
    <w:p w14:paraId="6EA7AE8E">
      <w:pPr>
        <w:pStyle w:val="40"/>
        <w:numPr>
          <w:ilvl w:val="0"/>
          <w:numId w:val="19"/>
        </w:numPr>
        <w:spacing w:before="120"/>
        <w:ind w:left="704" w:firstLineChars="0"/>
        <w:rPr>
          <w:lang w:eastAsia="zh-CN"/>
        </w:rPr>
      </w:pPr>
      <w:r>
        <w:rPr>
          <w:rFonts w:cs="宋体"/>
          <w:lang w:eastAsia="zh-CN"/>
        </w:rPr>
        <w:t>推荐使用这种材料的表面表征方法（根据ISO TS 10993-19）</w:t>
      </w:r>
      <w:r>
        <w:rPr>
          <w:rFonts w:cs="宋体"/>
          <w:lang w:eastAsia="zh-CN"/>
        </w:rPr>
        <w:br w:type="textWrapping"/>
      </w:r>
      <w:r>
        <w:rPr>
          <w:rFonts w:cs="宋体"/>
          <w:lang w:eastAsia="zh-CN"/>
        </w:rPr>
        <w:t>这可能与植入和/或血液相容性反应有关，包括：</w:t>
      </w:r>
    </w:p>
    <w:p w14:paraId="31E07B3E">
      <w:pPr>
        <w:pStyle w:val="40"/>
        <w:numPr>
          <w:ilvl w:val="0"/>
          <w:numId w:val="23"/>
        </w:numPr>
        <w:spacing w:before="120"/>
        <w:ind w:left="1407" w:firstLineChars="0"/>
      </w:pPr>
      <w:r>
        <w:rPr>
          <w:rFonts w:cs="宋体"/>
        </w:rPr>
        <w:t>推荐的分析技术；</w:t>
      </w:r>
    </w:p>
    <w:p w14:paraId="0BE4C488">
      <w:pPr>
        <w:pStyle w:val="40"/>
        <w:numPr>
          <w:ilvl w:val="0"/>
          <w:numId w:val="23"/>
        </w:numPr>
        <w:spacing w:before="120"/>
        <w:ind w:left="1407" w:firstLineChars="0"/>
        <w:rPr>
          <w:lang w:eastAsia="zh-CN"/>
        </w:rPr>
      </w:pPr>
      <w:r>
        <w:rPr>
          <w:rFonts w:cs="宋体"/>
          <w:lang w:eastAsia="zh-CN"/>
        </w:rPr>
        <w:t>推荐的与特殊分析技术相关的供试品制备条件和对这种条件的解释（依据材料化学性质）；</w:t>
      </w:r>
    </w:p>
    <w:p w14:paraId="62544210">
      <w:pPr>
        <w:pStyle w:val="40"/>
        <w:numPr>
          <w:ilvl w:val="0"/>
          <w:numId w:val="23"/>
        </w:numPr>
        <w:spacing w:before="120"/>
        <w:ind w:left="1407" w:firstLineChars="0"/>
        <w:rPr>
          <w:lang w:eastAsia="zh-CN"/>
        </w:rPr>
      </w:pPr>
      <w:r>
        <w:rPr>
          <w:rFonts w:cs="宋体"/>
          <w:lang w:eastAsia="zh-CN"/>
        </w:rPr>
        <w:t>推荐的数据表示（即，允许与原始材料进行比较）；以及</w:t>
      </w:r>
    </w:p>
    <w:p w14:paraId="5577438B">
      <w:pPr>
        <w:pStyle w:val="40"/>
        <w:numPr>
          <w:ilvl w:val="0"/>
          <w:numId w:val="23"/>
        </w:numPr>
        <w:spacing w:before="120"/>
        <w:ind w:left="1407" w:firstLineChars="0"/>
        <w:rPr>
          <w:lang w:eastAsia="zh-CN"/>
        </w:rPr>
      </w:pPr>
      <w:r>
        <w:rPr>
          <w:rFonts w:cs="宋体"/>
          <w:lang w:eastAsia="zh-CN"/>
        </w:rPr>
        <w:t>用于生物相容性筛查研究的材料供试品的试验结果（下述第7项）。</w:t>
      </w:r>
    </w:p>
    <w:p w14:paraId="5B66FC44">
      <w:pPr>
        <w:pStyle w:val="40"/>
        <w:numPr>
          <w:ilvl w:val="0"/>
          <w:numId w:val="19"/>
        </w:numPr>
        <w:spacing w:before="120"/>
        <w:ind w:left="704" w:firstLineChars="0"/>
        <w:rPr>
          <w:lang w:eastAsia="zh-CN"/>
        </w:rPr>
      </w:pPr>
      <w:r>
        <w:rPr>
          <w:rFonts w:cs="宋体"/>
          <w:lang w:eastAsia="zh-CN"/>
        </w:rPr>
        <w:t>为材料供试品进行的生物相容性筛查研究包括：</w:t>
      </w:r>
    </w:p>
    <w:p w14:paraId="18E8B591">
      <w:pPr>
        <w:pStyle w:val="40"/>
        <w:numPr>
          <w:ilvl w:val="0"/>
          <w:numId w:val="24"/>
        </w:numPr>
        <w:spacing w:before="120"/>
        <w:ind w:left="1407" w:firstLineChars="0"/>
        <w:rPr>
          <w:lang w:eastAsia="zh-CN"/>
        </w:rPr>
      </w:pPr>
      <w:r>
        <w:rPr>
          <w:rFonts w:cs="宋体"/>
          <w:lang w:eastAsia="zh-CN"/>
        </w:rPr>
        <w:t>材料的预期使用和相关ISO接触分类（根据ISO 10993-1）；</w:t>
      </w:r>
    </w:p>
    <w:p w14:paraId="328A2EA1">
      <w:pPr>
        <w:pStyle w:val="40"/>
        <w:numPr>
          <w:ilvl w:val="0"/>
          <w:numId w:val="24"/>
        </w:numPr>
        <w:spacing w:before="120"/>
        <w:ind w:left="1407" w:firstLineChars="0"/>
        <w:rPr>
          <w:lang w:eastAsia="zh-CN"/>
        </w:rPr>
      </w:pPr>
      <w:r>
        <w:rPr>
          <w:rFonts w:cs="宋体"/>
          <w:lang w:eastAsia="zh-CN"/>
        </w:rPr>
        <w:t>供试品描述（例如，大小、制造条件、灭菌循环次数类型）；</w:t>
      </w:r>
    </w:p>
    <w:p w14:paraId="7A2B9DBE">
      <w:pPr>
        <w:pStyle w:val="40"/>
        <w:numPr>
          <w:ilvl w:val="0"/>
          <w:numId w:val="24"/>
        </w:numPr>
        <w:spacing w:before="120"/>
        <w:ind w:left="1407" w:firstLineChars="0"/>
        <w:rPr>
          <w:lang w:eastAsia="zh-CN"/>
        </w:rPr>
      </w:pPr>
      <w:r>
        <w:rPr>
          <w:rFonts w:cs="宋体"/>
          <w:lang w:eastAsia="zh-CN"/>
        </w:rPr>
        <w:t>所进行的试验（例如，细胞毒性、致敏、刺激、全身毒性、血液相容性等）；</w:t>
      </w:r>
    </w:p>
    <w:p w14:paraId="764F7842">
      <w:pPr>
        <w:pStyle w:val="40"/>
        <w:numPr>
          <w:ilvl w:val="0"/>
          <w:numId w:val="24"/>
        </w:numPr>
        <w:spacing w:before="120"/>
        <w:ind w:left="1407" w:firstLineChars="0"/>
        <w:rPr>
          <w:lang w:eastAsia="zh-CN"/>
        </w:rPr>
      </w:pPr>
      <w:r>
        <w:rPr>
          <w:rFonts w:cs="宋体"/>
          <w:lang w:eastAsia="zh-CN"/>
        </w:rPr>
        <w:t>适用的浸提条件和方法（即，时间、温度、供试品的浸提体积比）；</w:t>
      </w:r>
    </w:p>
    <w:p w14:paraId="61C56E17">
      <w:pPr>
        <w:pStyle w:val="40"/>
        <w:numPr>
          <w:ilvl w:val="0"/>
          <w:numId w:val="24"/>
        </w:numPr>
        <w:spacing w:before="120"/>
        <w:ind w:left="1407" w:firstLineChars="0"/>
        <w:rPr>
          <w:lang w:eastAsia="zh-CN"/>
        </w:rPr>
      </w:pPr>
      <w:r>
        <w:rPr>
          <w:rFonts w:cs="宋体"/>
          <w:lang w:eastAsia="zh-CN"/>
        </w:rPr>
        <w:t>适用的与相关标准的合规性和/或偏离（例如，ISO 10993-5，ISO 10993-12等）；以及</w:t>
      </w:r>
    </w:p>
    <w:p w14:paraId="7C91F547">
      <w:pPr>
        <w:pStyle w:val="40"/>
        <w:numPr>
          <w:ilvl w:val="0"/>
          <w:numId w:val="24"/>
        </w:numPr>
        <w:spacing w:before="120"/>
        <w:ind w:left="1407" w:firstLineChars="0"/>
        <w:rPr>
          <w:lang w:eastAsia="zh-CN"/>
        </w:rPr>
      </w:pPr>
      <w:r>
        <w:rPr>
          <w:rFonts w:cs="宋体"/>
          <w:lang w:eastAsia="zh-CN"/>
        </w:rPr>
        <w:t>包含方法、结果和结论的试验报告副本。</w:t>
      </w:r>
    </w:p>
    <w:p w14:paraId="413A30AB">
      <w:pPr>
        <w:spacing w:before="120"/>
        <w:rPr>
          <w:lang w:eastAsia="zh-CN"/>
        </w:rPr>
      </w:pPr>
    </w:p>
    <w:p w14:paraId="6C24A9B8">
      <w:pPr>
        <w:spacing w:before="120"/>
        <w:rPr>
          <w:lang w:eastAsia="zh-CN"/>
        </w:rPr>
        <w:sectPr>
          <w:footerReference r:id="rId11" w:type="default"/>
          <w:pgSz w:w="11906" w:h="16838"/>
          <w:pgMar w:top="1418" w:right="1418" w:bottom="1418" w:left="1418" w:header="720" w:footer="720" w:gutter="0"/>
          <w:cols w:space="720" w:num="1"/>
          <w:docGrid w:linePitch="360" w:charSpace="0"/>
        </w:sectPr>
      </w:pPr>
    </w:p>
    <w:p w14:paraId="77301F6A">
      <w:pPr>
        <w:spacing w:before="120"/>
        <w:outlineLvl w:val="0"/>
        <w:rPr>
          <w:b/>
          <w:bCs/>
          <w:sz w:val="32"/>
          <w:szCs w:val="32"/>
          <w:lang w:eastAsia="zh-CN"/>
        </w:rPr>
      </w:pPr>
      <w:bookmarkStart w:id="41" w:name="_Toc97827727"/>
      <w:r>
        <w:rPr>
          <w:rFonts w:cs="宋体"/>
          <w:b/>
          <w:sz w:val="32"/>
          <w:lang w:eastAsia="zh-CN"/>
        </w:rPr>
        <w:t>附件C：生物相容性文件总结</w:t>
      </w:r>
      <w:bookmarkEnd w:id="41"/>
    </w:p>
    <w:p w14:paraId="0C321C6C">
      <w:pPr>
        <w:spacing w:before="120"/>
        <w:rPr>
          <w:lang w:eastAsia="zh-CN"/>
        </w:rPr>
      </w:pPr>
      <w:r>
        <w:rPr>
          <w:rFonts w:cs="宋体"/>
          <w:lang w:eastAsia="zh-CN"/>
        </w:rPr>
        <w:t>提供示例表（表C.1）对一种可能用于对提交中包含或引用的生物相容性信息极性文件证明的方法进行说明；其它方法是可接受的。鼓励制造商考虑本指南文件中所讨论的注意事项，并采用一种专用方法。注意，这些是普遍用于文件证明的例证而不适用于每项可能存在的注意事项。</w:t>
      </w:r>
    </w:p>
    <w:p w14:paraId="797918E6">
      <w:pPr>
        <w:spacing w:before="120"/>
        <w:jc w:val="center"/>
        <w:rPr>
          <w:b/>
          <w:bCs/>
          <w:lang w:eastAsia="zh-CN"/>
        </w:rPr>
      </w:pPr>
      <w:r>
        <w:rPr>
          <w:rFonts w:cs="宋体"/>
          <w:b/>
          <w:lang w:eastAsia="zh-CN"/>
        </w:rPr>
        <w:t>表C.1-器械申报生物相容性评价信息总结示例表</w:t>
      </w:r>
    </w:p>
    <w:tbl>
      <w:tblPr>
        <w:tblStyle w:val="7"/>
        <w:tblW w:w="5000" w:type="pct"/>
        <w:tblInd w:w="0" w:type="dxa"/>
        <w:tblLayout w:type="autofit"/>
        <w:tblCellMar>
          <w:top w:w="0" w:type="dxa"/>
          <w:left w:w="113" w:type="dxa"/>
          <w:bottom w:w="0" w:type="dxa"/>
          <w:right w:w="113" w:type="dxa"/>
        </w:tblCellMar>
      </w:tblPr>
      <w:tblGrid>
        <w:gridCol w:w="1798"/>
        <w:gridCol w:w="1972"/>
        <w:gridCol w:w="2072"/>
        <w:gridCol w:w="1576"/>
        <w:gridCol w:w="1184"/>
        <w:gridCol w:w="1972"/>
        <w:gridCol w:w="3654"/>
      </w:tblGrid>
      <w:tr w14:paraId="06630993">
        <w:tc>
          <w:tcPr>
            <w:tcW w:w="632" w:type="pct"/>
            <w:tcBorders>
              <w:top w:val="single" w:color="auto" w:sz="4" w:space="0"/>
              <w:left w:val="single" w:color="auto" w:sz="4" w:space="0"/>
            </w:tcBorders>
            <w:shd w:val="clear" w:color="auto" w:fill="FFFFFF"/>
          </w:tcPr>
          <w:p w14:paraId="35BD1C34">
            <w:pPr>
              <w:pStyle w:val="37"/>
              <w:spacing w:before="36"/>
              <w:rPr>
                <w:b/>
                <w:bCs/>
              </w:rPr>
            </w:pPr>
            <w:r>
              <w:rPr>
                <w:rFonts w:cs="宋体"/>
                <w:b/>
              </w:rPr>
              <w:t>生物学终点</w:t>
            </w:r>
          </w:p>
        </w:tc>
        <w:tc>
          <w:tcPr>
            <w:tcW w:w="693" w:type="pct"/>
            <w:tcBorders>
              <w:top w:val="single" w:color="auto" w:sz="4" w:space="0"/>
              <w:left w:val="single" w:color="auto" w:sz="4" w:space="0"/>
            </w:tcBorders>
            <w:shd w:val="clear" w:color="auto" w:fill="FFFFFF"/>
          </w:tcPr>
          <w:p w14:paraId="32EFB90E">
            <w:pPr>
              <w:pStyle w:val="37"/>
              <w:spacing w:before="36"/>
              <w:rPr>
                <w:b/>
                <w:bCs/>
                <w:lang w:eastAsia="zh-CN"/>
              </w:rPr>
            </w:pPr>
            <w:r>
              <w:rPr>
                <w:rFonts w:cs="宋体"/>
                <w:b/>
                <w:lang w:eastAsia="zh-CN"/>
              </w:rPr>
              <w:t>申请中提供的新试验报告的位置</w:t>
            </w:r>
          </w:p>
        </w:tc>
        <w:tc>
          <w:tcPr>
            <w:tcW w:w="728" w:type="pct"/>
            <w:tcBorders>
              <w:top w:val="single" w:color="auto" w:sz="4" w:space="0"/>
              <w:left w:val="single" w:color="auto" w:sz="4" w:space="0"/>
            </w:tcBorders>
            <w:shd w:val="clear" w:color="auto" w:fill="FFFFFF"/>
          </w:tcPr>
          <w:p w14:paraId="319B1079">
            <w:pPr>
              <w:pStyle w:val="37"/>
              <w:spacing w:before="36"/>
              <w:rPr>
                <w:b/>
                <w:bCs/>
                <w:lang w:eastAsia="zh-CN"/>
              </w:rPr>
            </w:pPr>
            <w:r>
              <w:rPr>
                <w:rFonts w:cs="宋体"/>
                <w:b/>
                <w:lang w:eastAsia="zh-CN"/>
              </w:rPr>
              <w:t>源于历次申请中试验报告的位置</w:t>
            </w:r>
          </w:p>
        </w:tc>
        <w:tc>
          <w:tcPr>
            <w:tcW w:w="554" w:type="pct"/>
            <w:tcBorders>
              <w:top w:val="single" w:color="auto" w:sz="4" w:space="0"/>
              <w:left w:val="single" w:color="auto" w:sz="4" w:space="0"/>
            </w:tcBorders>
            <w:shd w:val="clear" w:color="auto" w:fill="FFFFFF"/>
          </w:tcPr>
          <w:p w14:paraId="24D3C940">
            <w:pPr>
              <w:pStyle w:val="37"/>
              <w:spacing w:before="36"/>
              <w:rPr>
                <w:b/>
                <w:bCs/>
              </w:rPr>
            </w:pPr>
            <w:r>
              <w:rPr>
                <w:rFonts w:cs="宋体"/>
                <w:b/>
              </w:rPr>
              <w:t>文献中的支持性数据</w:t>
            </w:r>
          </w:p>
        </w:tc>
        <w:tc>
          <w:tcPr>
            <w:tcW w:w="416" w:type="pct"/>
            <w:tcBorders>
              <w:top w:val="single" w:color="auto" w:sz="4" w:space="0"/>
              <w:left w:val="single" w:color="auto" w:sz="4" w:space="0"/>
            </w:tcBorders>
            <w:shd w:val="clear" w:color="auto" w:fill="FFFFFF"/>
          </w:tcPr>
          <w:p w14:paraId="6BDC672D">
            <w:pPr>
              <w:pStyle w:val="37"/>
              <w:spacing w:before="36"/>
              <w:rPr>
                <w:b/>
                <w:bCs/>
              </w:rPr>
            </w:pPr>
            <w:r>
              <w:rPr>
                <w:rFonts w:cs="宋体"/>
                <w:b/>
              </w:rPr>
              <w:t>引文</w:t>
            </w:r>
          </w:p>
        </w:tc>
        <w:tc>
          <w:tcPr>
            <w:tcW w:w="693" w:type="pct"/>
            <w:tcBorders>
              <w:top w:val="single" w:color="auto" w:sz="4" w:space="0"/>
              <w:left w:val="single" w:color="auto" w:sz="4" w:space="0"/>
            </w:tcBorders>
            <w:shd w:val="clear" w:color="auto" w:fill="FFFFFF"/>
          </w:tcPr>
          <w:p w14:paraId="016F1BC4">
            <w:pPr>
              <w:pStyle w:val="37"/>
              <w:spacing w:before="36"/>
              <w:rPr>
                <w:b/>
                <w:bCs/>
              </w:rPr>
            </w:pPr>
            <w:r>
              <w:rPr>
                <w:rFonts w:cs="宋体"/>
                <w:b/>
              </w:rPr>
              <w:t>供试品</w:t>
            </w:r>
          </w:p>
        </w:tc>
        <w:tc>
          <w:tcPr>
            <w:tcW w:w="1286" w:type="pct"/>
            <w:tcBorders>
              <w:top w:val="single" w:color="auto" w:sz="4" w:space="0"/>
              <w:left w:val="single" w:color="auto" w:sz="4" w:space="0"/>
              <w:right w:val="single" w:color="auto" w:sz="4" w:space="0"/>
            </w:tcBorders>
            <w:shd w:val="clear" w:color="auto" w:fill="FFFFFF"/>
          </w:tcPr>
          <w:p w14:paraId="1E88EFC5">
            <w:pPr>
              <w:pStyle w:val="37"/>
              <w:spacing w:before="36"/>
              <w:rPr>
                <w:b/>
                <w:bCs/>
                <w:lang w:eastAsia="zh-CN"/>
              </w:rPr>
            </w:pPr>
            <w:r>
              <w:rPr>
                <w:rFonts w:cs="宋体"/>
                <w:b/>
                <w:lang w:eastAsia="zh-CN"/>
              </w:rPr>
              <w:t>解释为何无需其他信息的理由</w:t>
            </w:r>
          </w:p>
        </w:tc>
      </w:tr>
      <w:tr w14:paraId="347BC30B">
        <w:tblPrEx>
          <w:tblCellMar>
            <w:top w:w="0" w:type="dxa"/>
            <w:left w:w="113" w:type="dxa"/>
            <w:bottom w:w="0" w:type="dxa"/>
            <w:right w:w="113" w:type="dxa"/>
          </w:tblCellMar>
        </w:tblPrEx>
        <w:tc>
          <w:tcPr>
            <w:tcW w:w="632" w:type="pct"/>
            <w:tcBorders>
              <w:top w:val="single" w:color="auto" w:sz="4" w:space="0"/>
              <w:left w:val="single" w:color="auto" w:sz="4" w:space="0"/>
            </w:tcBorders>
            <w:shd w:val="clear" w:color="auto" w:fill="FFFFFF"/>
          </w:tcPr>
          <w:p w14:paraId="20730370">
            <w:pPr>
              <w:pStyle w:val="37"/>
              <w:spacing w:before="36"/>
            </w:pPr>
            <w:r>
              <w:rPr>
                <w:rFonts w:cs="宋体"/>
              </w:rPr>
              <w:t>细胞毒性</w:t>
            </w:r>
          </w:p>
        </w:tc>
        <w:tc>
          <w:tcPr>
            <w:tcW w:w="693" w:type="pct"/>
            <w:tcBorders>
              <w:top w:val="single" w:color="auto" w:sz="4" w:space="0"/>
              <w:left w:val="single" w:color="auto" w:sz="4" w:space="0"/>
            </w:tcBorders>
            <w:shd w:val="clear" w:color="auto" w:fill="FFFFFF"/>
          </w:tcPr>
          <w:p w14:paraId="7757B644">
            <w:pPr>
              <w:pStyle w:val="37"/>
              <w:spacing w:before="36"/>
            </w:pPr>
            <w:r>
              <w:rPr>
                <w:rFonts w:cs="宋体"/>
              </w:rPr>
              <w:t>植入物：L929试验（V2，App A-1，pdf p.x/200）植入物配件：L929试验（V3，App B-1，pdf p. x/300）</w:t>
            </w:r>
          </w:p>
        </w:tc>
        <w:tc>
          <w:tcPr>
            <w:tcW w:w="728" w:type="pct"/>
            <w:tcBorders>
              <w:top w:val="single" w:color="auto" w:sz="4" w:space="0"/>
              <w:left w:val="single" w:color="auto" w:sz="4" w:space="0"/>
            </w:tcBorders>
            <w:shd w:val="clear" w:color="auto" w:fill="FFFFFF"/>
          </w:tcPr>
          <w:p w14:paraId="7AF83756">
            <w:pPr>
              <w:pStyle w:val="37"/>
              <w:spacing w:before="36"/>
            </w:pPr>
            <w:r>
              <w:rPr>
                <w:rFonts w:cs="宋体"/>
              </w:rPr>
              <w:t>植入物：[器械名称]（K# V2，App X-1，pdf p.x/200）植入物配件：[器械名称]（K# V3，App X-1，pdf p.x/300）</w:t>
            </w:r>
          </w:p>
        </w:tc>
        <w:tc>
          <w:tcPr>
            <w:tcW w:w="554" w:type="pct"/>
            <w:tcBorders>
              <w:top w:val="single" w:color="auto" w:sz="4" w:space="0"/>
              <w:left w:val="single" w:color="auto" w:sz="4" w:space="0"/>
            </w:tcBorders>
            <w:shd w:val="clear" w:color="auto" w:fill="FFFFFF"/>
          </w:tcPr>
          <w:p w14:paraId="1F6FE4BE">
            <w:pPr>
              <w:pStyle w:val="37"/>
              <w:spacing w:before="36"/>
            </w:pPr>
            <w:r>
              <w:rPr>
                <w:rFonts w:cs="宋体"/>
              </w:rPr>
              <w:t>不适用</w:t>
            </w:r>
          </w:p>
        </w:tc>
        <w:tc>
          <w:tcPr>
            <w:tcW w:w="416" w:type="pct"/>
            <w:tcBorders>
              <w:top w:val="single" w:color="auto" w:sz="4" w:space="0"/>
              <w:left w:val="single" w:color="auto" w:sz="4" w:space="0"/>
            </w:tcBorders>
            <w:shd w:val="clear" w:color="auto" w:fill="FFFFFF"/>
          </w:tcPr>
          <w:p w14:paraId="22A7024D">
            <w:pPr>
              <w:pStyle w:val="37"/>
              <w:spacing w:before="36"/>
            </w:pPr>
            <w:r>
              <w:rPr>
                <w:rFonts w:cs="宋体"/>
              </w:rPr>
              <w:t>不适用</w:t>
            </w:r>
          </w:p>
        </w:tc>
        <w:tc>
          <w:tcPr>
            <w:tcW w:w="693" w:type="pct"/>
            <w:tcBorders>
              <w:top w:val="single" w:color="auto" w:sz="4" w:space="0"/>
              <w:left w:val="single" w:color="auto" w:sz="4" w:space="0"/>
            </w:tcBorders>
            <w:shd w:val="clear" w:color="auto" w:fill="FFFFFF"/>
          </w:tcPr>
          <w:p w14:paraId="7C0FFD11">
            <w:pPr>
              <w:pStyle w:val="37"/>
              <w:spacing w:before="36"/>
              <w:rPr>
                <w:lang w:eastAsia="zh-CN"/>
              </w:rPr>
            </w:pPr>
            <w:r>
              <w:rPr>
                <w:rFonts w:cs="宋体"/>
                <w:lang w:eastAsia="zh-CN"/>
              </w:rPr>
              <w:t>相同–参见文件（根据附件F）V1，pdf p.x/100</w:t>
            </w:r>
          </w:p>
        </w:tc>
        <w:tc>
          <w:tcPr>
            <w:tcW w:w="1286" w:type="pct"/>
            <w:tcBorders>
              <w:top w:val="single" w:color="auto" w:sz="4" w:space="0"/>
              <w:left w:val="single" w:color="auto" w:sz="4" w:space="0"/>
              <w:right w:val="single" w:color="auto" w:sz="4" w:space="0"/>
            </w:tcBorders>
            <w:shd w:val="clear" w:color="auto" w:fill="FFFFFF"/>
          </w:tcPr>
          <w:p w14:paraId="0C6C5EC1">
            <w:pPr>
              <w:pStyle w:val="37"/>
              <w:spacing w:before="36"/>
              <w:rPr>
                <w:lang w:eastAsia="zh-CN"/>
              </w:rPr>
            </w:pPr>
            <w:r>
              <w:rPr>
                <w:rFonts w:cs="宋体"/>
                <w:lang w:eastAsia="zh-CN"/>
              </w:rPr>
              <w:t>对最终灭菌器械进行试验（供试的植入物与植入配件分离）</w:t>
            </w:r>
          </w:p>
        </w:tc>
      </w:tr>
      <w:tr w14:paraId="1CC1EB6A">
        <w:tblPrEx>
          <w:tblCellMar>
            <w:top w:w="0" w:type="dxa"/>
            <w:left w:w="113" w:type="dxa"/>
            <w:bottom w:w="0" w:type="dxa"/>
            <w:right w:w="113" w:type="dxa"/>
          </w:tblCellMar>
        </w:tblPrEx>
        <w:tc>
          <w:tcPr>
            <w:tcW w:w="632" w:type="pct"/>
            <w:tcBorders>
              <w:top w:val="single" w:color="auto" w:sz="4" w:space="0"/>
              <w:left w:val="single" w:color="auto" w:sz="4" w:space="0"/>
              <w:bottom w:val="single" w:color="auto" w:sz="4" w:space="0"/>
            </w:tcBorders>
            <w:shd w:val="clear" w:color="auto" w:fill="FFFFFF"/>
          </w:tcPr>
          <w:p w14:paraId="0AF647EE">
            <w:pPr>
              <w:pStyle w:val="37"/>
              <w:spacing w:before="36"/>
            </w:pPr>
            <w:r>
              <w:rPr>
                <w:rFonts w:cs="宋体"/>
              </w:rPr>
              <w:t>遗传毒性</w:t>
            </w:r>
          </w:p>
        </w:tc>
        <w:tc>
          <w:tcPr>
            <w:tcW w:w="693" w:type="pct"/>
            <w:tcBorders>
              <w:top w:val="single" w:color="auto" w:sz="4" w:space="0"/>
              <w:left w:val="single" w:color="auto" w:sz="4" w:space="0"/>
              <w:bottom w:val="single" w:color="auto" w:sz="4" w:space="0"/>
            </w:tcBorders>
            <w:shd w:val="clear" w:color="auto" w:fill="FFFFFF"/>
          </w:tcPr>
          <w:p w14:paraId="25321B27">
            <w:pPr>
              <w:pStyle w:val="37"/>
              <w:spacing w:before="36"/>
            </w:pPr>
            <w:r>
              <w:rPr>
                <w:rFonts w:cs="宋体"/>
              </w:rPr>
              <w:t>植入物：化学表征（V2， App A-2，pdf p. x/200）</w:t>
            </w:r>
          </w:p>
        </w:tc>
        <w:tc>
          <w:tcPr>
            <w:tcW w:w="728" w:type="pct"/>
            <w:tcBorders>
              <w:top w:val="single" w:color="auto" w:sz="4" w:space="0"/>
              <w:left w:val="single" w:color="auto" w:sz="4" w:space="0"/>
              <w:bottom w:val="single" w:color="auto" w:sz="4" w:space="0"/>
            </w:tcBorders>
            <w:shd w:val="clear" w:color="auto" w:fill="FFFFFF"/>
          </w:tcPr>
          <w:p w14:paraId="0E4868A9">
            <w:pPr>
              <w:pStyle w:val="37"/>
              <w:spacing w:before="36"/>
            </w:pPr>
            <w:r>
              <w:rPr>
                <w:rFonts w:cs="宋体"/>
              </w:rPr>
              <w:t>不适用</w:t>
            </w:r>
          </w:p>
        </w:tc>
        <w:tc>
          <w:tcPr>
            <w:tcW w:w="554" w:type="pct"/>
            <w:tcBorders>
              <w:top w:val="single" w:color="auto" w:sz="4" w:space="0"/>
              <w:left w:val="single" w:color="auto" w:sz="4" w:space="0"/>
              <w:bottom w:val="single" w:color="auto" w:sz="4" w:space="0"/>
            </w:tcBorders>
            <w:shd w:val="clear" w:color="auto" w:fill="FFFFFF"/>
          </w:tcPr>
          <w:p w14:paraId="0AE3C56F">
            <w:pPr>
              <w:pStyle w:val="37"/>
              <w:spacing w:before="36"/>
              <w:rPr>
                <w:lang w:eastAsia="zh-CN"/>
              </w:rPr>
            </w:pPr>
            <w:r>
              <w:rPr>
                <w:rFonts w:cs="宋体"/>
                <w:lang w:eastAsia="zh-CN"/>
              </w:rPr>
              <w:t>试验名称（例如，染色体畸变）：产生影响和/或不产生影响的剂量</w:t>
            </w:r>
          </w:p>
        </w:tc>
        <w:tc>
          <w:tcPr>
            <w:tcW w:w="416" w:type="pct"/>
            <w:tcBorders>
              <w:top w:val="single" w:color="auto" w:sz="4" w:space="0"/>
              <w:left w:val="single" w:color="auto" w:sz="4" w:space="0"/>
              <w:bottom w:val="single" w:color="auto" w:sz="4" w:space="0"/>
            </w:tcBorders>
            <w:shd w:val="clear" w:color="auto" w:fill="FFFFFF"/>
          </w:tcPr>
          <w:p w14:paraId="5F19E2FA">
            <w:pPr>
              <w:pStyle w:val="37"/>
              <w:spacing w:before="36"/>
              <w:rPr>
                <w:lang w:eastAsia="zh-CN"/>
              </w:rPr>
            </w:pPr>
            <w:r>
              <w:rPr>
                <w:rFonts w:cs="宋体"/>
                <w:lang w:eastAsia="zh-CN"/>
              </w:rPr>
              <w:t>作者、标题、期刊、日期、卷和页</w:t>
            </w:r>
          </w:p>
        </w:tc>
        <w:tc>
          <w:tcPr>
            <w:tcW w:w="693" w:type="pct"/>
            <w:tcBorders>
              <w:top w:val="single" w:color="auto" w:sz="4" w:space="0"/>
              <w:left w:val="single" w:color="auto" w:sz="4" w:space="0"/>
              <w:bottom w:val="single" w:color="auto" w:sz="4" w:space="0"/>
            </w:tcBorders>
            <w:shd w:val="clear" w:color="auto" w:fill="FFFFFF"/>
          </w:tcPr>
          <w:p w14:paraId="7F257EBD">
            <w:pPr>
              <w:pStyle w:val="37"/>
              <w:spacing w:before="36"/>
              <w:rPr>
                <w:lang w:eastAsia="zh-CN"/>
              </w:rPr>
            </w:pPr>
            <w:r>
              <w:rPr>
                <w:rFonts w:cs="宋体"/>
                <w:lang w:eastAsia="zh-CN"/>
              </w:rPr>
              <w:t>供试品和最终灭菌器械之间略微存在差异-参见比较信息：V1，pdf p.x/100</w:t>
            </w:r>
          </w:p>
        </w:tc>
        <w:tc>
          <w:tcPr>
            <w:tcW w:w="1286" w:type="pct"/>
            <w:tcBorders>
              <w:top w:val="single" w:color="auto" w:sz="4" w:space="0"/>
              <w:left w:val="single" w:color="auto" w:sz="4" w:space="0"/>
              <w:bottom w:val="single" w:color="auto" w:sz="4" w:space="0"/>
              <w:right w:val="single" w:color="auto" w:sz="4" w:space="0"/>
            </w:tcBorders>
            <w:shd w:val="clear" w:color="auto" w:fill="FFFFFF"/>
          </w:tcPr>
          <w:p w14:paraId="5C7C0468">
            <w:pPr>
              <w:pStyle w:val="37"/>
              <w:spacing w:before="36"/>
              <w:rPr>
                <w:lang w:eastAsia="zh-CN"/>
              </w:rPr>
            </w:pPr>
            <w:r>
              <w:rPr>
                <w:rFonts w:cs="宋体"/>
                <w:lang w:eastAsia="zh-CN"/>
              </w:rPr>
              <w:t>遗传毒性试验是危害识别试验。可利用化学表征数据来确认从器械中洗脱除出的化学物质不具有文献中所描述的遗传毒性。</w:t>
            </w:r>
          </w:p>
        </w:tc>
      </w:tr>
    </w:tbl>
    <w:p w14:paraId="2ACB4DD5">
      <w:pPr>
        <w:spacing w:before="120"/>
        <w:rPr>
          <w:lang w:eastAsia="zh-CN"/>
        </w:rPr>
      </w:pPr>
      <w:r>
        <w:rPr>
          <w:rFonts w:cs="宋体"/>
          <w:lang w:eastAsia="zh-CN"/>
        </w:rPr>
        <w:br w:type="page"/>
      </w:r>
    </w:p>
    <w:tbl>
      <w:tblPr>
        <w:tblStyle w:val="7"/>
        <w:tblW w:w="5000" w:type="pct"/>
        <w:tblInd w:w="0" w:type="dxa"/>
        <w:tblLayout w:type="autofit"/>
        <w:tblCellMar>
          <w:top w:w="0" w:type="dxa"/>
          <w:left w:w="113" w:type="dxa"/>
          <w:bottom w:w="0" w:type="dxa"/>
          <w:right w:w="113" w:type="dxa"/>
        </w:tblCellMar>
      </w:tblPr>
      <w:tblGrid>
        <w:gridCol w:w="1798"/>
        <w:gridCol w:w="1972"/>
        <w:gridCol w:w="2072"/>
        <w:gridCol w:w="1576"/>
        <w:gridCol w:w="1184"/>
        <w:gridCol w:w="1972"/>
        <w:gridCol w:w="3654"/>
      </w:tblGrid>
      <w:tr w14:paraId="55EF52E7">
        <w:tblPrEx>
          <w:tblCellMar>
            <w:top w:w="0" w:type="dxa"/>
            <w:left w:w="113" w:type="dxa"/>
            <w:bottom w:w="0" w:type="dxa"/>
            <w:right w:w="113" w:type="dxa"/>
          </w:tblCellMar>
        </w:tblPrEx>
        <w:tc>
          <w:tcPr>
            <w:tcW w:w="632" w:type="pct"/>
            <w:tcBorders>
              <w:top w:val="single" w:color="auto" w:sz="4" w:space="0"/>
              <w:left w:val="single" w:color="auto" w:sz="4" w:space="0"/>
            </w:tcBorders>
            <w:shd w:val="clear" w:color="auto" w:fill="FFFFFF"/>
          </w:tcPr>
          <w:p w14:paraId="4A58AC58">
            <w:pPr>
              <w:pStyle w:val="37"/>
              <w:spacing w:before="36"/>
              <w:rPr>
                <w:b/>
                <w:bCs/>
              </w:rPr>
            </w:pPr>
            <w:r>
              <w:rPr>
                <w:rFonts w:cs="宋体"/>
                <w:b/>
              </w:rPr>
              <w:t>生物学终点</w:t>
            </w:r>
          </w:p>
        </w:tc>
        <w:tc>
          <w:tcPr>
            <w:tcW w:w="693" w:type="pct"/>
            <w:tcBorders>
              <w:top w:val="single" w:color="auto" w:sz="4" w:space="0"/>
              <w:left w:val="single" w:color="auto" w:sz="4" w:space="0"/>
            </w:tcBorders>
            <w:shd w:val="clear" w:color="auto" w:fill="FFFFFF"/>
          </w:tcPr>
          <w:p w14:paraId="46D87ACB">
            <w:pPr>
              <w:pStyle w:val="37"/>
              <w:spacing w:before="36"/>
              <w:rPr>
                <w:b/>
                <w:bCs/>
                <w:lang w:eastAsia="zh-CN"/>
              </w:rPr>
            </w:pPr>
            <w:r>
              <w:rPr>
                <w:rFonts w:cs="宋体"/>
                <w:b/>
                <w:lang w:eastAsia="zh-CN"/>
              </w:rPr>
              <w:t>申请中提供的新试验报告的位置</w:t>
            </w:r>
          </w:p>
        </w:tc>
        <w:tc>
          <w:tcPr>
            <w:tcW w:w="728" w:type="pct"/>
            <w:tcBorders>
              <w:top w:val="single" w:color="auto" w:sz="4" w:space="0"/>
              <w:left w:val="single" w:color="auto" w:sz="4" w:space="0"/>
            </w:tcBorders>
            <w:shd w:val="clear" w:color="auto" w:fill="FFFFFF"/>
          </w:tcPr>
          <w:p w14:paraId="79EB9AE1">
            <w:pPr>
              <w:pStyle w:val="37"/>
              <w:spacing w:before="36"/>
              <w:rPr>
                <w:b/>
                <w:bCs/>
                <w:lang w:eastAsia="zh-CN"/>
              </w:rPr>
            </w:pPr>
            <w:r>
              <w:rPr>
                <w:rFonts w:cs="宋体"/>
                <w:b/>
                <w:lang w:eastAsia="zh-CN"/>
              </w:rPr>
              <w:t>源于历次申请中试验报告的位置</w:t>
            </w:r>
          </w:p>
        </w:tc>
        <w:tc>
          <w:tcPr>
            <w:tcW w:w="554" w:type="pct"/>
            <w:tcBorders>
              <w:top w:val="single" w:color="auto" w:sz="4" w:space="0"/>
              <w:left w:val="single" w:color="auto" w:sz="4" w:space="0"/>
            </w:tcBorders>
            <w:shd w:val="clear" w:color="auto" w:fill="FFFFFF"/>
          </w:tcPr>
          <w:p w14:paraId="5EA1A179">
            <w:pPr>
              <w:pStyle w:val="37"/>
              <w:spacing w:before="36"/>
              <w:rPr>
                <w:b/>
                <w:bCs/>
              </w:rPr>
            </w:pPr>
            <w:r>
              <w:rPr>
                <w:rFonts w:cs="宋体"/>
                <w:b/>
              </w:rPr>
              <w:t>文献中的支持性数据</w:t>
            </w:r>
          </w:p>
        </w:tc>
        <w:tc>
          <w:tcPr>
            <w:tcW w:w="416" w:type="pct"/>
            <w:tcBorders>
              <w:top w:val="single" w:color="auto" w:sz="4" w:space="0"/>
              <w:left w:val="single" w:color="auto" w:sz="4" w:space="0"/>
            </w:tcBorders>
            <w:shd w:val="clear" w:color="auto" w:fill="FFFFFF"/>
          </w:tcPr>
          <w:p w14:paraId="79BC82FC">
            <w:pPr>
              <w:pStyle w:val="37"/>
              <w:spacing w:before="36"/>
              <w:rPr>
                <w:b/>
                <w:bCs/>
              </w:rPr>
            </w:pPr>
            <w:r>
              <w:rPr>
                <w:rFonts w:cs="宋体"/>
                <w:b/>
              </w:rPr>
              <w:t>引文</w:t>
            </w:r>
          </w:p>
        </w:tc>
        <w:tc>
          <w:tcPr>
            <w:tcW w:w="693" w:type="pct"/>
            <w:tcBorders>
              <w:top w:val="single" w:color="auto" w:sz="4" w:space="0"/>
              <w:left w:val="single" w:color="auto" w:sz="4" w:space="0"/>
            </w:tcBorders>
            <w:shd w:val="clear" w:color="auto" w:fill="FFFFFF"/>
          </w:tcPr>
          <w:p w14:paraId="4FF9EA31">
            <w:pPr>
              <w:pStyle w:val="37"/>
              <w:spacing w:before="36"/>
              <w:rPr>
                <w:b/>
                <w:bCs/>
              </w:rPr>
            </w:pPr>
            <w:r>
              <w:rPr>
                <w:rFonts w:cs="宋体"/>
                <w:b/>
              </w:rPr>
              <w:t>供试品</w:t>
            </w:r>
          </w:p>
        </w:tc>
        <w:tc>
          <w:tcPr>
            <w:tcW w:w="1286" w:type="pct"/>
            <w:tcBorders>
              <w:top w:val="single" w:color="auto" w:sz="4" w:space="0"/>
              <w:left w:val="single" w:color="auto" w:sz="4" w:space="0"/>
              <w:right w:val="single" w:color="auto" w:sz="4" w:space="0"/>
            </w:tcBorders>
            <w:shd w:val="clear" w:color="auto" w:fill="FFFFFF"/>
          </w:tcPr>
          <w:p w14:paraId="419A4253">
            <w:pPr>
              <w:pStyle w:val="37"/>
              <w:spacing w:before="36"/>
              <w:rPr>
                <w:b/>
                <w:bCs/>
                <w:lang w:eastAsia="zh-CN"/>
              </w:rPr>
            </w:pPr>
            <w:r>
              <w:rPr>
                <w:rFonts w:cs="宋体"/>
                <w:b/>
                <w:lang w:eastAsia="zh-CN"/>
              </w:rPr>
              <w:t>解释为何无需其他信息的理由</w:t>
            </w:r>
          </w:p>
        </w:tc>
      </w:tr>
      <w:tr w14:paraId="3A7291A3">
        <w:tblPrEx>
          <w:tblCellMar>
            <w:top w:w="0" w:type="dxa"/>
            <w:left w:w="113" w:type="dxa"/>
            <w:bottom w:w="0" w:type="dxa"/>
            <w:right w:w="113" w:type="dxa"/>
          </w:tblCellMar>
        </w:tblPrEx>
        <w:tc>
          <w:tcPr>
            <w:tcW w:w="632" w:type="pct"/>
            <w:tcBorders>
              <w:top w:val="single" w:color="auto" w:sz="4" w:space="0"/>
              <w:left w:val="single" w:color="auto" w:sz="4" w:space="0"/>
            </w:tcBorders>
            <w:shd w:val="clear" w:color="auto" w:fill="FFFFFF"/>
          </w:tcPr>
          <w:p w14:paraId="594C3F35">
            <w:pPr>
              <w:pStyle w:val="37"/>
              <w:spacing w:before="36"/>
            </w:pPr>
            <w:r>
              <w:rPr>
                <w:rFonts w:cs="宋体"/>
              </w:rPr>
              <w:t>致癌性</w:t>
            </w:r>
          </w:p>
        </w:tc>
        <w:tc>
          <w:tcPr>
            <w:tcW w:w="693" w:type="pct"/>
            <w:tcBorders>
              <w:top w:val="single" w:color="auto" w:sz="4" w:space="0"/>
              <w:left w:val="single" w:color="auto" w:sz="4" w:space="0"/>
            </w:tcBorders>
            <w:shd w:val="clear" w:color="auto" w:fill="FFFFFF"/>
          </w:tcPr>
          <w:p w14:paraId="5D21C58B">
            <w:pPr>
              <w:pStyle w:val="37"/>
              <w:spacing w:before="36"/>
            </w:pPr>
            <w:r>
              <w:rPr>
                <w:rFonts w:cs="宋体"/>
              </w:rPr>
              <w:t>不适用</w:t>
            </w:r>
          </w:p>
        </w:tc>
        <w:tc>
          <w:tcPr>
            <w:tcW w:w="728" w:type="pct"/>
            <w:tcBorders>
              <w:top w:val="single" w:color="auto" w:sz="4" w:space="0"/>
              <w:left w:val="single" w:color="auto" w:sz="4" w:space="0"/>
            </w:tcBorders>
            <w:shd w:val="clear" w:color="auto" w:fill="FFFFFF"/>
          </w:tcPr>
          <w:p w14:paraId="73A457E9">
            <w:pPr>
              <w:pStyle w:val="37"/>
              <w:spacing w:before="36"/>
            </w:pPr>
            <w:r>
              <w:rPr>
                <w:rFonts w:cs="宋体"/>
              </w:rPr>
              <w:t>使用材料的理由（K#，V2，App Y-1，p.x/200）</w:t>
            </w:r>
          </w:p>
        </w:tc>
        <w:tc>
          <w:tcPr>
            <w:tcW w:w="554" w:type="pct"/>
            <w:tcBorders>
              <w:top w:val="single" w:color="auto" w:sz="4" w:space="0"/>
              <w:left w:val="single" w:color="auto" w:sz="4" w:space="0"/>
            </w:tcBorders>
            <w:shd w:val="clear" w:color="auto" w:fill="FFFFFF"/>
          </w:tcPr>
          <w:p w14:paraId="02CD6D80">
            <w:pPr>
              <w:pStyle w:val="37"/>
              <w:spacing w:before="36"/>
              <w:rPr>
                <w:lang w:eastAsia="zh-CN"/>
              </w:rPr>
            </w:pPr>
            <w:r>
              <w:rPr>
                <w:rFonts w:cs="宋体"/>
                <w:lang w:eastAsia="zh-CN"/>
              </w:rPr>
              <w:t>可能对人类致癌的物质（组B1）IARC专刊Vx，日期</w:t>
            </w:r>
          </w:p>
        </w:tc>
        <w:tc>
          <w:tcPr>
            <w:tcW w:w="416" w:type="pct"/>
            <w:tcBorders>
              <w:top w:val="single" w:color="auto" w:sz="4" w:space="0"/>
              <w:left w:val="single" w:color="auto" w:sz="4" w:space="0"/>
            </w:tcBorders>
            <w:shd w:val="clear" w:color="auto" w:fill="FFFFFF"/>
          </w:tcPr>
          <w:p w14:paraId="1DEE71B0">
            <w:pPr>
              <w:pStyle w:val="37"/>
              <w:spacing w:before="36"/>
              <w:rPr>
                <w:lang w:eastAsia="zh-CN"/>
              </w:rPr>
            </w:pPr>
            <w:r>
              <w:rPr>
                <w:rFonts w:cs="宋体"/>
                <w:lang w:eastAsia="zh-CN"/>
              </w:rPr>
              <w:t>引用（例如，网站链接）</w:t>
            </w:r>
          </w:p>
        </w:tc>
        <w:tc>
          <w:tcPr>
            <w:tcW w:w="693" w:type="pct"/>
            <w:tcBorders>
              <w:top w:val="single" w:color="auto" w:sz="4" w:space="0"/>
              <w:left w:val="single" w:color="auto" w:sz="4" w:space="0"/>
            </w:tcBorders>
            <w:shd w:val="clear" w:color="auto" w:fill="FFFFFF"/>
          </w:tcPr>
          <w:p w14:paraId="5F8C2A88">
            <w:pPr>
              <w:pStyle w:val="37"/>
              <w:spacing w:before="36"/>
            </w:pPr>
            <w:r>
              <w:rPr>
                <w:rFonts w:cs="宋体"/>
              </w:rPr>
              <w:t>不适用</w:t>
            </w:r>
          </w:p>
        </w:tc>
        <w:tc>
          <w:tcPr>
            <w:tcW w:w="1286" w:type="pct"/>
            <w:tcBorders>
              <w:top w:val="single" w:color="auto" w:sz="4" w:space="0"/>
              <w:left w:val="single" w:color="auto" w:sz="4" w:space="0"/>
              <w:right w:val="single" w:color="auto" w:sz="4" w:space="0"/>
            </w:tcBorders>
            <w:shd w:val="clear" w:color="auto" w:fill="FFFFFF"/>
          </w:tcPr>
          <w:p w14:paraId="1F4879BA">
            <w:pPr>
              <w:pStyle w:val="37"/>
              <w:spacing w:before="36"/>
              <w:rPr>
                <w:lang w:eastAsia="zh-CN"/>
              </w:rPr>
            </w:pPr>
            <w:r>
              <w:rPr>
                <w:rFonts w:cs="宋体"/>
                <w:lang w:eastAsia="zh-CN"/>
              </w:rPr>
              <w:t>材料X是已知的致癌物质，但是将器械用于预期寿命小于6个月的患者，利大于弊。因此，无需进行风险消减或进行其他试验。</w:t>
            </w:r>
          </w:p>
        </w:tc>
      </w:tr>
      <w:tr w14:paraId="417B5A18">
        <w:tblPrEx>
          <w:tblCellMar>
            <w:top w:w="0" w:type="dxa"/>
            <w:left w:w="113" w:type="dxa"/>
            <w:bottom w:w="0" w:type="dxa"/>
            <w:right w:w="113" w:type="dxa"/>
          </w:tblCellMar>
        </w:tblPrEx>
        <w:tc>
          <w:tcPr>
            <w:tcW w:w="632" w:type="pct"/>
            <w:tcBorders>
              <w:top w:val="single" w:color="auto" w:sz="4" w:space="0"/>
              <w:left w:val="single" w:color="auto" w:sz="4" w:space="0"/>
            </w:tcBorders>
            <w:shd w:val="clear" w:color="auto" w:fill="FFFFFF"/>
          </w:tcPr>
          <w:p w14:paraId="5849F57A">
            <w:pPr>
              <w:pStyle w:val="37"/>
              <w:spacing w:before="36"/>
              <w:rPr>
                <w:lang w:eastAsia="zh-CN"/>
              </w:rPr>
            </w:pPr>
            <w:r>
              <w:rPr>
                <w:rFonts w:cs="宋体"/>
                <w:lang w:eastAsia="zh-CN"/>
              </w:rPr>
              <w:t>在附件A中识别出的所有其它终点</w:t>
            </w:r>
          </w:p>
        </w:tc>
        <w:tc>
          <w:tcPr>
            <w:tcW w:w="693" w:type="pct"/>
            <w:tcBorders>
              <w:top w:val="single" w:color="auto" w:sz="4" w:space="0"/>
              <w:left w:val="single" w:color="auto" w:sz="4" w:space="0"/>
            </w:tcBorders>
            <w:shd w:val="clear" w:color="auto" w:fill="FFFFFF"/>
          </w:tcPr>
          <w:p w14:paraId="285B2C4D">
            <w:pPr>
              <w:pStyle w:val="37"/>
              <w:spacing w:before="36"/>
              <w:rPr>
                <w:lang w:eastAsia="zh-CN"/>
              </w:rPr>
            </w:pPr>
          </w:p>
        </w:tc>
        <w:tc>
          <w:tcPr>
            <w:tcW w:w="728" w:type="pct"/>
            <w:tcBorders>
              <w:top w:val="single" w:color="auto" w:sz="4" w:space="0"/>
              <w:left w:val="single" w:color="auto" w:sz="4" w:space="0"/>
            </w:tcBorders>
            <w:shd w:val="clear" w:color="auto" w:fill="FFFFFF"/>
          </w:tcPr>
          <w:p w14:paraId="4CBF5DCA">
            <w:pPr>
              <w:pStyle w:val="37"/>
              <w:spacing w:before="36"/>
              <w:rPr>
                <w:lang w:eastAsia="zh-CN"/>
              </w:rPr>
            </w:pPr>
          </w:p>
        </w:tc>
        <w:tc>
          <w:tcPr>
            <w:tcW w:w="554" w:type="pct"/>
            <w:tcBorders>
              <w:top w:val="single" w:color="auto" w:sz="4" w:space="0"/>
              <w:left w:val="single" w:color="auto" w:sz="4" w:space="0"/>
            </w:tcBorders>
            <w:shd w:val="clear" w:color="auto" w:fill="FFFFFF"/>
          </w:tcPr>
          <w:p w14:paraId="647DE3B9">
            <w:pPr>
              <w:pStyle w:val="37"/>
              <w:spacing w:before="36"/>
              <w:rPr>
                <w:lang w:eastAsia="zh-CN"/>
              </w:rPr>
            </w:pPr>
          </w:p>
        </w:tc>
        <w:tc>
          <w:tcPr>
            <w:tcW w:w="416" w:type="pct"/>
            <w:tcBorders>
              <w:top w:val="single" w:color="auto" w:sz="4" w:space="0"/>
              <w:left w:val="single" w:color="auto" w:sz="4" w:space="0"/>
            </w:tcBorders>
            <w:shd w:val="clear" w:color="auto" w:fill="FFFFFF"/>
          </w:tcPr>
          <w:p w14:paraId="4C962C23">
            <w:pPr>
              <w:pStyle w:val="37"/>
              <w:spacing w:before="36"/>
              <w:rPr>
                <w:lang w:eastAsia="zh-CN"/>
              </w:rPr>
            </w:pPr>
          </w:p>
        </w:tc>
        <w:tc>
          <w:tcPr>
            <w:tcW w:w="693" w:type="pct"/>
            <w:tcBorders>
              <w:top w:val="single" w:color="auto" w:sz="4" w:space="0"/>
              <w:left w:val="single" w:color="auto" w:sz="4" w:space="0"/>
            </w:tcBorders>
            <w:shd w:val="clear" w:color="auto" w:fill="FFFFFF"/>
          </w:tcPr>
          <w:p w14:paraId="38282530">
            <w:pPr>
              <w:pStyle w:val="37"/>
              <w:spacing w:before="36"/>
              <w:rPr>
                <w:lang w:eastAsia="zh-CN"/>
              </w:rPr>
            </w:pPr>
          </w:p>
        </w:tc>
        <w:tc>
          <w:tcPr>
            <w:tcW w:w="1286" w:type="pct"/>
            <w:tcBorders>
              <w:top w:val="single" w:color="auto" w:sz="4" w:space="0"/>
              <w:left w:val="single" w:color="auto" w:sz="4" w:space="0"/>
              <w:right w:val="single" w:color="auto" w:sz="4" w:space="0"/>
            </w:tcBorders>
            <w:shd w:val="clear" w:color="auto" w:fill="FFFFFF"/>
          </w:tcPr>
          <w:p w14:paraId="7727808B">
            <w:pPr>
              <w:pStyle w:val="37"/>
              <w:spacing w:before="36"/>
              <w:rPr>
                <w:lang w:eastAsia="zh-CN"/>
              </w:rPr>
            </w:pPr>
          </w:p>
        </w:tc>
      </w:tr>
      <w:tr w14:paraId="61E86B2D">
        <w:tblPrEx>
          <w:tblCellMar>
            <w:top w:w="0" w:type="dxa"/>
            <w:left w:w="113" w:type="dxa"/>
            <w:bottom w:w="0" w:type="dxa"/>
            <w:right w:w="113" w:type="dxa"/>
          </w:tblCellMar>
        </w:tblPrEx>
        <w:tc>
          <w:tcPr>
            <w:tcW w:w="632" w:type="pct"/>
            <w:tcBorders>
              <w:top w:val="single" w:color="auto" w:sz="4" w:space="0"/>
              <w:left w:val="single" w:color="auto" w:sz="4" w:space="0"/>
              <w:bottom w:val="single" w:color="auto" w:sz="4" w:space="0"/>
            </w:tcBorders>
            <w:shd w:val="clear" w:color="auto" w:fill="FFFFFF"/>
          </w:tcPr>
          <w:p w14:paraId="343C1F77">
            <w:pPr>
              <w:pStyle w:val="37"/>
              <w:spacing w:before="36"/>
              <w:rPr>
                <w:lang w:eastAsia="zh-CN"/>
              </w:rPr>
            </w:pPr>
          </w:p>
        </w:tc>
        <w:tc>
          <w:tcPr>
            <w:tcW w:w="693" w:type="pct"/>
            <w:tcBorders>
              <w:top w:val="single" w:color="auto" w:sz="4" w:space="0"/>
              <w:left w:val="single" w:color="auto" w:sz="4" w:space="0"/>
              <w:bottom w:val="single" w:color="auto" w:sz="4" w:space="0"/>
            </w:tcBorders>
            <w:shd w:val="clear" w:color="auto" w:fill="FFFFFF"/>
          </w:tcPr>
          <w:p w14:paraId="018FDC6B">
            <w:pPr>
              <w:pStyle w:val="37"/>
              <w:spacing w:before="36"/>
              <w:rPr>
                <w:lang w:eastAsia="zh-CN"/>
              </w:rPr>
            </w:pPr>
          </w:p>
        </w:tc>
        <w:tc>
          <w:tcPr>
            <w:tcW w:w="728" w:type="pct"/>
            <w:tcBorders>
              <w:top w:val="single" w:color="auto" w:sz="4" w:space="0"/>
              <w:left w:val="single" w:color="auto" w:sz="4" w:space="0"/>
              <w:bottom w:val="single" w:color="auto" w:sz="4" w:space="0"/>
            </w:tcBorders>
            <w:shd w:val="clear" w:color="auto" w:fill="FFFFFF"/>
          </w:tcPr>
          <w:p w14:paraId="0707B397">
            <w:pPr>
              <w:pStyle w:val="37"/>
              <w:spacing w:before="36"/>
              <w:rPr>
                <w:lang w:eastAsia="zh-CN"/>
              </w:rPr>
            </w:pPr>
          </w:p>
        </w:tc>
        <w:tc>
          <w:tcPr>
            <w:tcW w:w="554" w:type="pct"/>
            <w:tcBorders>
              <w:top w:val="single" w:color="auto" w:sz="4" w:space="0"/>
              <w:left w:val="single" w:color="auto" w:sz="4" w:space="0"/>
              <w:bottom w:val="single" w:color="auto" w:sz="4" w:space="0"/>
            </w:tcBorders>
            <w:shd w:val="clear" w:color="auto" w:fill="FFFFFF"/>
          </w:tcPr>
          <w:p w14:paraId="4D815C9B">
            <w:pPr>
              <w:pStyle w:val="37"/>
              <w:spacing w:before="36"/>
              <w:rPr>
                <w:lang w:eastAsia="zh-CN"/>
              </w:rPr>
            </w:pPr>
          </w:p>
        </w:tc>
        <w:tc>
          <w:tcPr>
            <w:tcW w:w="416" w:type="pct"/>
            <w:tcBorders>
              <w:top w:val="single" w:color="auto" w:sz="4" w:space="0"/>
              <w:left w:val="single" w:color="auto" w:sz="4" w:space="0"/>
              <w:bottom w:val="single" w:color="auto" w:sz="4" w:space="0"/>
            </w:tcBorders>
            <w:shd w:val="clear" w:color="auto" w:fill="FFFFFF"/>
          </w:tcPr>
          <w:p w14:paraId="76CA86DA">
            <w:pPr>
              <w:pStyle w:val="37"/>
              <w:spacing w:before="36"/>
              <w:rPr>
                <w:lang w:eastAsia="zh-CN"/>
              </w:rPr>
            </w:pPr>
          </w:p>
        </w:tc>
        <w:tc>
          <w:tcPr>
            <w:tcW w:w="693" w:type="pct"/>
            <w:tcBorders>
              <w:top w:val="single" w:color="auto" w:sz="4" w:space="0"/>
              <w:left w:val="single" w:color="auto" w:sz="4" w:space="0"/>
              <w:bottom w:val="single" w:color="auto" w:sz="4" w:space="0"/>
            </w:tcBorders>
            <w:shd w:val="clear" w:color="auto" w:fill="FFFFFF"/>
          </w:tcPr>
          <w:p w14:paraId="52A447F0">
            <w:pPr>
              <w:pStyle w:val="37"/>
              <w:spacing w:before="36"/>
              <w:rPr>
                <w:lang w:eastAsia="zh-CN"/>
              </w:rPr>
            </w:pPr>
          </w:p>
        </w:tc>
        <w:tc>
          <w:tcPr>
            <w:tcW w:w="1286" w:type="pct"/>
            <w:tcBorders>
              <w:top w:val="single" w:color="auto" w:sz="4" w:space="0"/>
              <w:left w:val="single" w:color="auto" w:sz="4" w:space="0"/>
              <w:bottom w:val="single" w:color="auto" w:sz="4" w:space="0"/>
              <w:right w:val="single" w:color="auto" w:sz="4" w:space="0"/>
            </w:tcBorders>
            <w:shd w:val="clear" w:color="auto" w:fill="FFFFFF"/>
          </w:tcPr>
          <w:p w14:paraId="0368AE03">
            <w:pPr>
              <w:pStyle w:val="37"/>
              <w:spacing w:before="36"/>
              <w:rPr>
                <w:lang w:eastAsia="zh-CN"/>
              </w:rPr>
            </w:pPr>
          </w:p>
        </w:tc>
      </w:tr>
    </w:tbl>
    <w:p w14:paraId="68638006">
      <w:pPr>
        <w:spacing w:before="120"/>
        <w:rPr>
          <w:lang w:eastAsia="zh-CN"/>
        </w:rPr>
      </w:pPr>
    </w:p>
    <w:p w14:paraId="0F754126">
      <w:pPr>
        <w:spacing w:before="120"/>
        <w:rPr>
          <w:lang w:eastAsia="zh-CN"/>
        </w:rPr>
        <w:sectPr>
          <w:pgSz w:w="16838" w:h="11906" w:orient="landscape"/>
          <w:pgMar w:top="1418" w:right="1418" w:bottom="1418" w:left="1418" w:header="720" w:footer="720" w:gutter="0"/>
          <w:cols w:space="720" w:num="1"/>
          <w:docGrid w:linePitch="360" w:charSpace="0"/>
        </w:sectPr>
      </w:pPr>
    </w:p>
    <w:p w14:paraId="266DF067">
      <w:pPr>
        <w:spacing w:before="120"/>
        <w:jc w:val="center"/>
        <w:outlineLvl w:val="0"/>
        <w:rPr>
          <w:b/>
          <w:bCs/>
          <w:sz w:val="32"/>
          <w:szCs w:val="32"/>
          <w:lang w:eastAsia="zh-CN"/>
        </w:rPr>
      </w:pPr>
      <w:bookmarkStart w:id="42" w:name="_Toc97827728"/>
      <w:r>
        <w:rPr>
          <w:rFonts w:cs="宋体"/>
          <w:b/>
          <w:sz w:val="32"/>
          <w:lang w:eastAsia="zh-CN"/>
        </w:rPr>
        <w:t>附件D：生物相容性评价流程</w:t>
      </w:r>
      <w:bookmarkEnd w:id="42"/>
    </w:p>
    <w:p w14:paraId="62AC69F8">
      <w:pPr>
        <w:spacing w:before="120"/>
        <w:rPr>
          <w:lang w:eastAsia="zh-CN"/>
        </w:rPr>
      </w:pPr>
      <w:r>
        <w:rPr>
          <w:rFonts w:cs="宋体"/>
          <w:lang w:eastAsia="zh-CN"/>
        </w:rPr>
        <w:t>提供下述流程图来阐述如何进行生物相容性评价。</w:t>
      </w:r>
    </w:p>
    <w:p w14:paraId="0B6A4509">
      <w:pPr>
        <w:spacing w:before="120"/>
        <w:jc w:val="center"/>
        <w:rPr>
          <w:b/>
          <w:bCs/>
        </w:rPr>
      </w:pPr>
      <w:r>
        <w:rPr>
          <w:rFonts w:cs="宋体"/>
          <w:b/>
        </w:rPr>
        <w:t>主要流程</w:t>
      </w:r>
    </w:p>
    <w:p w14:paraId="6A36776B">
      <w:pPr>
        <w:spacing w:before="120"/>
      </w:pPr>
      <w:r>
        <w:rPr>
          <w:lang w:eastAsia="zh-CN" w:bidi="ar-SA"/>
        </w:rPr>
        <mc:AlternateContent>
          <mc:Choice Requires="wpg">
            <w:drawing>
              <wp:inline distT="0" distB="0" distL="0" distR="0">
                <wp:extent cx="6004560" cy="5980430"/>
                <wp:effectExtent l="0" t="0" r="0" b="1270"/>
                <wp:docPr id="30" name="组合 30"/>
                <wp:cNvGraphicFramePr/>
                <a:graphic xmlns:a="http://schemas.openxmlformats.org/drawingml/2006/main">
                  <a:graphicData uri="http://schemas.microsoft.com/office/word/2010/wordprocessingGroup">
                    <wpg:wgp>
                      <wpg:cNvGrpSpPr/>
                      <wpg:grpSpPr>
                        <a:xfrm>
                          <a:off x="0" y="0"/>
                          <a:ext cx="6004560" cy="5980430"/>
                          <a:chOff x="0" y="0"/>
                          <a:chExt cx="6004560" cy="5980430"/>
                        </a:xfrm>
                      </wpg:grpSpPr>
                      <pic:pic xmlns:pic="http://schemas.openxmlformats.org/drawingml/2006/picture">
                        <pic:nvPicPr>
                          <pic:cNvPr id="15" name="Picutre 15"/>
                          <pic:cNvPicPr/>
                        </pic:nvPicPr>
                        <pic:blipFill>
                          <a:blip r:embed="rId14">
                            <a:extLst>
                              <a:ext uri="{28A0092B-C50C-407E-A947-70E740481C1C}">
                                <a14:useLocalDpi xmlns:a14="http://schemas.microsoft.com/office/drawing/2010/main" val="0"/>
                              </a:ext>
                            </a:extLst>
                          </a:blip>
                          <a:stretch>
                            <a:fillRect/>
                          </a:stretch>
                        </pic:blipFill>
                        <pic:spPr>
                          <a:xfrm>
                            <a:off x="0" y="0"/>
                            <a:ext cx="6004560" cy="5980430"/>
                          </a:xfrm>
                          <a:prstGeom prst="rect">
                            <a:avLst/>
                          </a:prstGeom>
                        </pic:spPr>
                      </pic:pic>
                      <wps:wsp>
                        <wps:cNvPr id="3" name="文本框 3"/>
                        <wps:cNvSpPr txBox="1"/>
                        <wps:spPr>
                          <a:xfrm>
                            <a:off x="1333500" y="142875"/>
                            <a:ext cx="312420" cy="160020"/>
                          </a:xfrm>
                          <a:prstGeom prst="rect">
                            <a:avLst/>
                          </a:prstGeom>
                          <a:blipFill dpi="0" rotWithShape="1">
                            <a:blip r:embed="rId15">
                              <a:extLst>
                                <a:ext uri="{28A0092B-C50C-407E-A947-70E740481C1C}">
                                  <a14:useLocalDpi xmlns:a14="http://schemas.microsoft.com/office/drawing/2010/main" val="0"/>
                                </a:ext>
                              </a:extLst>
                            </a:blip>
                            <a:srcRect/>
                            <a:stretch>
                              <a:fillRect/>
                            </a:stretch>
                          </a:blipFill>
                          <a:ln w="6350">
                            <a:noFill/>
                          </a:ln>
                        </wps:spPr>
                        <wps:txbx>
                          <w:txbxContent>
                            <w:p w14:paraId="0947B3F5">
                              <w:pPr>
                                <w:spacing w:before="0" w:beforeLines="0" w:line="240" w:lineRule="auto"/>
                                <w:jc w:val="center"/>
                                <w:rPr>
                                  <w:sz w:val="15"/>
                                  <w:szCs w:val="15"/>
                                  <w:lang w:eastAsia="zh-CN"/>
                                </w:rPr>
                              </w:pPr>
                              <w:r>
                                <w:rPr>
                                  <w:rFonts w:cs="宋体"/>
                                  <w:sz w:val="14"/>
                                </w:rPr>
                                <w:t>开始</w:t>
                              </w:r>
                            </w:p>
                          </w:txbxContent>
                        </wps:txbx>
                        <wps:bodyPr rot="0" spcFirstLastPara="0" vertOverflow="overflow" horzOverflow="overflow" vert="horz" wrap="square" lIns="0" tIns="0" rIns="0" bIns="0" numCol="1" spcCol="0" rtlCol="0" fromWordArt="0" anchor="t" anchorCtr="0" forceAA="0" compatLnSpc="1">
                          <a:noAutofit/>
                        </wps:bodyPr>
                      </wps:wsp>
                      <wps:wsp>
                        <wps:cNvPr id="4" name="文本框 4"/>
                        <wps:cNvSpPr txBox="1"/>
                        <wps:spPr>
                          <a:xfrm>
                            <a:off x="857250" y="714375"/>
                            <a:ext cx="1287780" cy="274320"/>
                          </a:xfrm>
                          <a:prstGeom prst="rect">
                            <a:avLst/>
                          </a:prstGeom>
                          <a:blipFill dpi="0" rotWithShape="1">
                            <a:blip r:embed="rId15">
                              <a:extLst>
                                <a:ext uri="{28A0092B-C50C-407E-A947-70E740481C1C}">
                                  <a14:useLocalDpi xmlns:a14="http://schemas.microsoft.com/office/drawing/2010/main" val="0"/>
                                </a:ext>
                              </a:extLst>
                            </a:blip>
                            <a:srcRect/>
                            <a:stretch>
                              <a:fillRect/>
                            </a:stretch>
                          </a:blipFill>
                          <a:ln w="6350">
                            <a:noFill/>
                          </a:ln>
                        </wps:spPr>
                        <wps:txbx>
                          <w:txbxContent>
                            <w:p w14:paraId="5B75EDC4">
                              <w:pPr>
                                <w:spacing w:before="0" w:beforeLines="0" w:line="240" w:lineRule="auto"/>
                                <w:jc w:val="center"/>
                                <w:rPr>
                                  <w:sz w:val="15"/>
                                  <w:szCs w:val="15"/>
                                  <w:lang w:eastAsia="zh-CN"/>
                                </w:rPr>
                              </w:pPr>
                              <w:r>
                                <w:rPr>
                                  <w:rFonts w:cs="宋体"/>
                                  <w:sz w:val="14"/>
                                  <w:lang w:eastAsia="zh-CN"/>
                                </w:rPr>
                                <w:t>器械是否与人体直接</w:t>
                              </w:r>
                              <w:r>
                                <w:rPr>
                                  <w:rFonts w:cs="宋体"/>
                                  <w:sz w:val="14"/>
                                  <w:u w:val="single"/>
                                  <w:lang w:eastAsia="zh-CN"/>
                                </w:rPr>
                                <w:t>或</w:t>
                              </w:r>
                              <w:r>
                                <w:rPr>
                                  <w:rFonts w:cs="宋体"/>
                                  <w:sz w:val="14"/>
                                  <w:lang w:eastAsia="zh-CN"/>
                                </w:rPr>
                                <w:t>间接接触？</w:t>
                              </w:r>
                            </w:p>
                          </w:txbxContent>
                        </wps:txbx>
                        <wps:bodyPr rot="0" spcFirstLastPara="0" vertOverflow="overflow" horzOverflow="overflow" vert="horz" wrap="square" lIns="0" tIns="0" rIns="0" bIns="0" numCol="1" spcCol="0" rtlCol="0" fromWordArt="0" anchor="t" anchorCtr="0" forceAA="0" compatLnSpc="1">
                          <a:noAutofit/>
                        </wps:bodyPr>
                      </wps:wsp>
                      <wps:wsp>
                        <wps:cNvPr id="5" name="文本框 5"/>
                        <wps:cNvSpPr txBox="1"/>
                        <wps:spPr>
                          <a:xfrm>
                            <a:off x="819150" y="1609725"/>
                            <a:ext cx="1287780" cy="274320"/>
                          </a:xfrm>
                          <a:prstGeom prst="rect">
                            <a:avLst/>
                          </a:prstGeom>
                          <a:blipFill dpi="0" rotWithShape="1">
                            <a:blip r:embed="rId15">
                              <a:extLst>
                                <a:ext uri="{28A0092B-C50C-407E-A947-70E740481C1C}">
                                  <a14:useLocalDpi xmlns:a14="http://schemas.microsoft.com/office/drawing/2010/main" val="0"/>
                                </a:ext>
                              </a:extLst>
                            </a:blip>
                            <a:srcRect/>
                            <a:stretch>
                              <a:fillRect/>
                            </a:stretch>
                          </a:blipFill>
                          <a:ln w="6350">
                            <a:noFill/>
                          </a:ln>
                        </wps:spPr>
                        <wps:txbx>
                          <w:txbxContent>
                            <w:p w14:paraId="63E4589B">
                              <w:pPr>
                                <w:spacing w:before="0" w:beforeLines="0" w:line="240" w:lineRule="auto"/>
                                <w:jc w:val="center"/>
                                <w:rPr>
                                  <w:sz w:val="15"/>
                                  <w:szCs w:val="15"/>
                                  <w:lang w:eastAsia="zh-CN"/>
                                </w:rPr>
                              </w:pPr>
                              <w:r>
                                <w:rPr>
                                  <w:rFonts w:cs="宋体"/>
                                  <w:sz w:val="14"/>
                                  <w:lang w:eastAsia="zh-CN"/>
                                </w:rPr>
                                <w:t>制造工艺是否与市售器械相同？</w:t>
                              </w:r>
                            </w:p>
                          </w:txbxContent>
                        </wps:txbx>
                        <wps:bodyPr rot="0" spcFirstLastPara="0" vertOverflow="overflow" horzOverflow="overflow" vert="horz" wrap="square" lIns="0" tIns="0" rIns="0" bIns="0" numCol="1" spcCol="0" rtlCol="0" fromWordArt="0" anchor="ctr" anchorCtr="0" forceAA="0" compatLnSpc="1">
                          <a:noAutofit/>
                        </wps:bodyPr>
                      </wps:wsp>
                      <wps:wsp>
                        <wps:cNvPr id="6" name="文本框 6"/>
                        <wps:cNvSpPr txBox="1"/>
                        <wps:spPr>
                          <a:xfrm>
                            <a:off x="809625" y="2343150"/>
                            <a:ext cx="1287780" cy="266700"/>
                          </a:xfrm>
                          <a:prstGeom prst="rect">
                            <a:avLst/>
                          </a:prstGeom>
                          <a:blipFill dpi="0" rotWithShape="1">
                            <a:blip r:embed="rId15">
                              <a:extLst>
                                <a:ext uri="{28A0092B-C50C-407E-A947-70E740481C1C}">
                                  <a14:useLocalDpi xmlns:a14="http://schemas.microsoft.com/office/drawing/2010/main" val="0"/>
                                </a:ext>
                              </a:extLst>
                            </a:blip>
                            <a:srcRect/>
                            <a:stretch>
                              <a:fillRect/>
                            </a:stretch>
                          </a:blipFill>
                          <a:ln w="6350">
                            <a:noFill/>
                          </a:ln>
                        </wps:spPr>
                        <wps:txbx>
                          <w:txbxContent>
                            <w:p w14:paraId="7AF82627">
                              <w:pPr>
                                <w:spacing w:before="0" w:beforeLines="0" w:line="240" w:lineRule="auto"/>
                                <w:jc w:val="center"/>
                                <w:rPr>
                                  <w:sz w:val="15"/>
                                  <w:szCs w:val="15"/>
                                  <w:lang w:eastAsia="zh-CN"/>
                                </w:rPr>
                              </w:pPr>
                              <w:r>
                                <w:rPr>
                                  <w:rFonts w:cs="宋体"/>
                                  <w:sz w:val="14"/>
                                  <w:lang w:eastAsia="zh-CN"/>
                                </w:rPr>
                                <w:t>制造工艺是否与市售器械相同？</w:t>
                              </w:r>
                            </w:p>
                          </w:txbxContent>
                        </wps:txbx>
                        <wps:bodyPr rot="0" spcFirstLastPara="0" vertOverflow="overflow" horzOverflow="overflow" vert="horz" wrap="square" lIns="0" tIns="0" rIns="0" bIns="0" numCol="1" spcCol="0" rtlCol="0" fromWordArt="0" anchor="ctr" anchorCtr="0" forceAA="0" compatLnSpc="1">
                          <a:noAutofit/>
                        </wps:bodyPr>
                      </wps:wsp>
                      <wps:wsp>
                        <wps:cNvPr id="7" name="文本框 7"/>
                        <wps:cNvSpPr txBox="1"/>
                        <wps:spPr>
                          <a:xfrm>
                            <a:off x="809625" y="2971800"/>
                            <a:ext cx="1295400" cy="365760"/>
                          </a:xfrm>
                          <a:prstGeom prst="rect">
                            <a:avLst/>
                          </a:prstGeom>
                          <a:blipFill dpi="0" rotWithShape="1">
                            <a:blip r:embed="rId15">
                              <a:extLst>
                                <a:ext uri="{28A0092B-C50C-407E-A947-70E740481C1C}">
                                  <a14:useLocalDpi xmlns:a14="http://schemas.microsoft.com/office/drawing/2010/main" val="0"/>
                                </a:ext>
                              </a:extLst>
                            </a:blip>
                            <a:srcRect/>
                            <a:stretch>
                              <a:fillRect/>
                            </a:stretch>
                          </a:blipFill>
                          <a:ln w="6350">
                            <a:noFill/>
                          </a:ln>
                        </wps:spPr>
                        <wps:txbx>
                          <w:txbxContent>
                            <w:p w14:paraId="19521C75">
                              <w:pPr>
                                <w:spacing w:before="0" w:beforeLines="0" w:line="240" w:lineRule="auto"/>
                                <w:jc w:val="center"/>
                                <w:rPr>
                                  <w:sz w:val="15"/>
                                  <w:szCs w:val="15"/>
                                  <w:lang w:eastAsia="zh-CN"/>
                                </w:rPr>
                              </w:pPr>
                              <w:r>
                                <w:rPr>
                                  <w:rFonts w:cs="宋体"/>
                                  <w:sz w:val="14"/>
                                </w:rPr>
                                <w:t>几何构造和理化性能是否与市售器械相同？</w:t>
                              </w:r>
                            </w:p>
                          </w:txbxContent>
                        </wps:txbx>
                        <wps:bodyPr rot="0" spcFirstLastPara="0" vertOverflow="overflow" horzOverflow="overflow" vert="horz" wrap="square" lIns="0" tIns="0" rIns="0" bIns="0" numCol="1" spcCol="0" rtlCol="0" fromWordArt="0" anchor="ctr" anchorCtr="0" forceAA="0" compatLnSpc="1">
                          <a:noAutofit/>
                        </wps:bodyPr>
                      </wps:wsp>
                      <wps:wsp>
                        <wps:cNvPr id="8" name="文本框 8"/>
                        <wps:cNvSpPr txBox="1"/>
                        <wps:spPr>
                          <a:xfrm>
                            <a:off x="809625" y="3743325"/>
                            <a:ext cx="1287780" cy="274320"/>
                          </a:xfrm>
                          <a:prstGeom prst="rect">
                            <a:avLst/>
                          </a:prstGeom>
                          <a:blipFill dpi="0" rotWithShape="1">
                            <a:blip r:embed="rId15">
                              <a:extLst>
                                <a:ext uri="{28A0092B-C50C-407E-A947-70E740481C1C}">
                                  <a14:useLocalDpi xmlns:a14="http://schemas.microsoft.com/office/drawing/2010/main" val="0"/>
                                </a:ext>
                              </a:extLst>
                            </a:blip>
                            <a:srcRect/>
                            <a:stretch>
                              <a:fillRect/>
                            </a:stretch>
                          </a:blipFill>
                          <a:ln w="6350">
                            <a:noFill/>
                          </a:ln>
                        </wps:spPr>
                        <wps:txbx>
                          <w:txbxContent>
                            <w:p w14:paraId="55744333">
                              <w:pPr>
                                <w:spacing w:before="0" w:beforeLines="0" w:line="240" w:lineRule="auto"/>
                                <w:jc w:val="center"/>
                                <w:rPr>
                                  <w:sz w:val="15"/>
                                  <w:szCs w:val="15"/>
                                  <w:lang w:eastAsia="zh-CN"/>
                                </w:rPr>
                              </w:pPr>
                              <w:r>
                                <w:rPr>
                                  <w:rFonts w:cs="宋体"/>
                                  <w:sz w:val="14"/>
                                </w:rPr>
                                <w:t>体液接触是否与市售器械相同？</w:t>
                              </w:r>
                            </w:p>
                          </w:txbxContent>
                        </wps:txbx>
                        <wps:bodyPr rot="0" spcFirstLastPara="0" vertOverflow="overflow" horzOverflow="overflow" vert="horz" wrap="square" lIns="0" tIns="0" rIns="0" bIns="0" numCol="1" spcCol="0" rtlCol="0" fromWordArt="0" anchor="ctr" anchorCtr="0" forceAA="0" compatLnSpc="1">
                          <a:noAutofit/>
                        </wps:bodyPr>
                      </wps:wsp>
                      <wps:wsp>
                        <wps:cNvPr id="9" name="文本框 9"/>
                        <wps:cNvSpPr txBox="1"/>
                        <wps:spPr>
                          <a:xfrm>
                            <a:off x="828675" y="4419600"/>
                            <a:ext cx="1295400" cy="365760"/>
                          </a:xfrm>
                          <a:prstGeom prst="rect">
                            <a:avLst/>
                          </a:prstGeom>
                          <a:blipFill dpi="0" rotWithShape="1">
                            <a:blip r:embed="rId15">
                              <a:extLst>
                                <a:ext uri="{28A0092B-C50C-407E-A947-70E740481C1C}">
                                  <a14:useLocalDpi xmlns:a14="http://schemas.microsoft.com/office/drawing/2010/main" val="0"/>
                                </a:ext>
                              </a:extLst>
                            </a:blip>
                            <a:srcRect/>
                            <a:stretch>
                              <a:fillRect/>
                            </a:stretch>
                          </a:blipFill>
                          <a:ln w="6350">
                            <a:noFill/>
                          </a:ln>
                        </wps:spPr>
                        <wps:txbx>
                          <w:txbxContent>
                            <w:p w14:paraId="33893316">
                              <w:pPr>
                                <w:spacing w:before="0" w:beforeLines="0" w:line="240" w:lineRule="auto"/>
                                <w:jc w:val="center"/>
                                <w:rPr>
                                  <w:sz w:val="15"/>
                                  <w:szCs w:val="15"/>
                                  <w:lang w:eastAsia="zh-CN"/>
                                </w:rPr>
                              </w:pPr>
                              <w:r>
                                <w:rPr>
                                  <w:rFonts w:cs="宋体"/>
                                  <w:sz w:val="14"/>
                                  <w:lang w:eastAsia="zh-CN"/>
                                </w:rPr>
                                <w:t>灭菌工艺/方法/剂量是否与市售器械相同？</w:t>
                              </w:r>
                            </w:p>
                          </w:txbxContent>
                        </wps:txbx>
                        <wps:bodyPr rot="0" spcFirstLastPara="0" vertOverflow="overflow" horzOverflow="overflow" vert="horz" wrap="square" lIns="0" tIns="0" rIns="0" bIns="0" numCol="1" spcCol="0" rtlCol="0" fromWordArt="0" anchor="ctr" anchorCtr="0" forceAA="0" compatLnSpc="1">
                          <a:noAutofit/>
                        </wps:bodyPr>
                      </wps:wsp>
                      <wps:wsp>
                        <wps:cNvPr id="10" name="文本框 10"/>
                        <wps:cNvSpPr txBox="1"/>
                        <wps:spPr>
                          <a:xfrm>
                            <a:off x="3733800" y="2933700"/>
                            <a:ext cx="914400" cy="495300"/>
                          </a:xfrm>
                          <a:prstGeom prst="rect">
                            <a:avLst/>
                          </a:prstGeom>
                          <a:blipFill dpi="0" rotWithShape="1">
                            <a:blip r:embed="rId15">
                              <a:extLst>
                                <a:ext uri="{28A0092B-C50C-407E-A947-70E740481C1C}">
                                  <a14:useLocalDpi xmlns:a14="http://schemas.microsoft.com/office/drawing/2010/main" val="0"/>
                                </a:ext>
                              </a:extLst>
                            </a:blip>
                            <a:srcRect/>
                            <a:stretch>
                              <a:fillRect/>
                            </a:stretch>
                          </a:blipFill>
                          <a:ln w="6350">
                            <a:noFill/>
                          </a:ln>
                        </wps:spPr>
                        <wps:txbx>
                          <w:txbxContent>
                            <w:p w14:paraId="085221AA">
                              <w:pPr>
                                <w:spacing w:before="0" w:beforeLines="0" w:line="240" w:lineRule="auto"/>
                                <w:jc w:val="center"/>
                                <w:rPr>
                                  <w:sz w:val="15"/>
                                  <w:szCs w:val="15"/>
                                  <w:lang w:eastAsia="zh-CN"/>
                                </w:rPr>
                              </w:pPr>
                              <w:r>
                                <w:rPr>
                                  <w:rFonts w:cs="宋体"/>
                                  <w:sz w:val="14"/>
                                  <w:lang w:eastAsia="zh-CN"/>
                                </w:rPr>
                                <w:t>理由是否可接受？</w:t>
                              </w:r>
                            </w:p>
                            <w:p w14:paraId="4782E9AC">
                              <w:pPr>
                                <w:spacing w:before="0" w:beforeLines="0" w:line="240" w:lineRule="auto"/>
                                <w:jc w:val="center"/>
                                <w:rPr>
                                  <w:sz w:val="15"/>
                                  <w:szCs w:val="15"/>
                                  <w:u w:val="single"/>
                                  <w:lang w:eastAsia="zh-CN"/>
                                </w:rPr>
                              </w:pPr>
                              <w:r>
                                <w:rPr>
                                  <w:rFonts w:cs="宋体"/>
                                  <w:sz w:val="14"/>
                                  <w:u w:val="single"/>
                                  <w:lang w:eastAsia="zh-CN"/>
                                </w:rPr>
                                <w:t>或</w:t>
                              </w:r>
                            </w:p>
                            <w:p w14:paraId="36870D0B">
                              <w:pPr>
                                <w:spacing w:before="0" w:beforeLines="0" w:line="240" w:lineRule="auto"/>
                                <w:jc w:val="center"/>
                                <w:rPr>
                                  <w:sz w:val="15"/>
                                  <w:szCs w:val="15"/>
                                  <w:lang w:eastAsia="zh-CN"/>
                                </w:rPr>
                              </w:pPr>
                              <w:r>
                                <w:rPr>
                                  <w:rFonts w:cs="宋体"/>
                                  <w:sz w:val="14"/>
                                  <w:lang w:eastAsia="zh-CN"/>
                                </w:rPr>
                                <w:t>试验数据？</w:t>
                              </w:r>
                            </w:p>
                          </w:txbxContent>
                        </wps:txbx>
                        <wps:bodyPr rot="0" spcFirstLastPara="0" vertOverflow="overflow" horzOverflow="overflow" vert="horz" wrap="square" lIns="0" tIns="0" rIns="0" bIns="0" numCol="1" spcCol="0" rtlCol="0" fromWordArt="0" anchor="ctr" anchorCtr="0" forceAA="0" compatLnSpc="1">
                          <a:noAutofit/>
                        </wps:bodyPr>
                      </wps:wsp>
                      <wps:wsp>
                        <wps:cNvPr id="11" name="文本框 11"/>
                        <wps:cNvSpPr txBox="1"/>
                        <wps:spPr>
                          <a:xfrm>
                            <a:off x="1419225" y="1123950"/>
                            <a:ext cx="160020" cy="114300"/>
                          </a:xfrm>
                          <a:prstGeom prst="rect">
                            <a:avLst/>
                          </a:prstGeom>
                          <a:solidFill>
                            <a:schemeClr val="bg1"/>
                          </a:solidFill>
                          <a:ln w="6350">
                            <a:noFill/>
                          </a:ln>
                        </wps:spPr>
                        <wps:txbx>
                          <w:txbxContent>
                            <w:p w14:paraId="2F7195E4">
                              <w:pPr>
                                <w:spacing w:before="0" w:beforeLines="0" w:line="240" w:lineRule="auto"/>
                                <w:jc w:val="center"/>
                                <w:rPr>
                                  <w:sz w:val="15"/>
                                  <w:szCs w:val="15"/>
                                  <w:lang w:eastAsia="zh-CN"/>
                                </w:rPr>
                              </w:pPr>
                              <w:r>
                                <w:rPr>
                                  <w:rFonts w:cs="宋体"/>
                                  <w:sz w:val="14"/>
                                </w:rPr>
                                <w:t>是</w:t>
                              </w:r>
                            </w:p>
                          </w:txbxContent>
                        </wps:txbx>
                        <wps:bodyPr rot="0" spcFirstLastPara="0" vertOverflow="overflow" horzOverflow="overflow" vert="horz" wrap="square" lIns="0" tIns="0" rIns="0" bIns="0" numCol="1" spcCol="0" rtlCol="0" fromWordArt="0" anchor="t" anchorCtr="0" forceAA="0" compatLnSpc="1">
                          <a:noAutofit/>
                        </wps:bodyPr>
                      </wps:wsp>
                      <wps:wsp>
                        <wps:cNvPr id="12" name="文本框 12"/>
                        <wps:cNvSpPr txBox="1"/>
                        <wps:spPr>
                          <a:xfrm>
                            <a:off x="1381125" y="2028825"/>
                            <a:ext cx="160020" cy="114300"/>
                          </a:xfrm>
                          <a:prstGeom prst="rect">
                            <a:avLst/>
                          </a:prstGeom>
                          <a:solidFill>
                            <a:schemeClr val="bg1"/>
                          </a:solidFill>
                          <a:ln w="6350">
                            <a:noFill/>
                          </a:ln>
                        </wps:spPr>
                        <wps:txbx>
                          <w:txbxContent>
                            <w:p w14:paraId="1BD442D6">
                              <w:pPr>
                                <w:spacing w:before="0" w:beforeLines="0" w:line="240" w:lineRule="auto"/>
                                <w:jc w:val="center"/>
                                <w:rPr>
                                  <w:sz w:val="15"/>
                                  <w:szCs w:val="15"/>
                                  <w:lang w:eastAsia="zh-CN"/>
                                </w:rPr>
                              </w:pPr>
                              <w:r>
                                <w:rPr>
                                  <w:rFonts w:cs="宋体"/>
                                  <w:sz w:val="14"/>
                                </w:rPr>
                                <w:t>是</w:t>
                              </w:r>
                            </w:p>
                          </w:txbxContent>
                        </wps:txbx>
                        <wps:bodyPr rot="0" spcFirstLastPara="0" vertOverflow="overflow" horzOverflow="overflow" vert="horz" wrap="square" lIns="0" tIns="0" rIns="0" bIns="0" numCol="1" spcCol="0" rtlCol="0" fromWordArt="0" anchor="t" anchorCtr="0" forceAA="0" compatLnSpc="1">
                          <a:noAutofit/>
                        </wps:bodyPr>
                      </wps:wsp>
                      <wps:wsp>
                        <wps:cNvPr id="13" name="文本框 13"/>
                        <wps:cNvSpPr txBox="1"/>
                        <wps:spPr>
                          <a:xfrm>
                            <a:off x="1371600" y="2743200"/>
                            <a:ext cx="160020" cy="114300"/>
                          </a:xfrm>
                          <a:prstGeom prst="rect">
                            <a:avLst/>
                          </a:prstGeom>
                          <a:solidFill>
                            <a:schemeClr val="bg1"/>
                          </a:solidFill>
                          <a:ln w="6350">
                            <a:noFill/>
                          </a:ln>
                        </wps:spPr>
                        <wps:txbx>
                          <w:txbxContent>
                            <w:p w14:paraId="0304CE68">
                              <w:pPr>
                                <w:spacing w:before="0" w:beforeLines="0" w:line="240" w:lineRule="auto"/>
                                <w:jc w:val="center"/>
                                <w:rPr>
                                  <w:sz w:val="15"/>
                                  <w:szCs w:val="15"/>
                                  <w:lang w:eastAsia="zh-CN"/>
                                </w:rPr>
                              </w:pPr>
                              <w:r>
                                <w:rPr>
                                  <w:rFonts w:cs="宋体"/>
                                  <w:sz w:val="14"/>
                                </w:rPr>
                                <w:t>是</w:t>
                              </w:r>
                            </w:p>
                          </w:txbxContent>
                        </wps:txbx>
                        <wps:bodyPr rot="0" spcFirstLastPara="0" vertOverflow="overflow" horzOverflow="overflow" vert="horz" wrap="square" lIns="0" tIns="0" rIns="0" bIns="0" numCol="1" spcCol="0" rtlCol="0" fromWordArt="0" anchor="t" anchorCtr="0" forceAA="0" compatLnSpc="1">
                          <a:noAutofit/>
                        </wps:bodyPr>
                      </wps:wsp>
                      <wps:wsp>
                        <wps:cNvPr id="14" name="文本框 14"/>
                        <wps:cNvSpPr txBox="1"/>
                        <wps:spPr>
                          <a:xfrm>
                            <a:off x="57150" y="3095625"/>
                            <a:ext cx="160020" cy="114300"/>
                          </a:xfrm>
                          <a:prstGeom prst="rect">
                            <a:avLst/>
                          </a:prstGeom>
                          <a:solidFill>
                            <a:schemeClr val="bg1"/>
                          </a:solidFill>
                          <a:ln w="6350">
                            <a:noFill/>
                          </a:ln>
                        </wps:spPr>
                        <wps:txbx>
                          <w:txbxContent>
                            <w:p w14:paraId="625CFB45">
                              <w:pPr>
                                <w:spacing w:before="0" w:beforeLines="0" w:line="240" w:lineRule="auto"/>
                                <w:jc w:val="center"/>
                                <w:rPr>
                                  <w:sz w:val="15"/>
                                  <w:szCs w:val="15"/>
                                  <w:lang w:eastAsia="zh-CN"/>
                                </w:rPr>
                              </w:pPr>
                              <w:r>
                                <w:rPr>
                                  <w:rFonts w:cs="宋体"/>
                                  <w:sz w:val="14"/>
                                </w:rPr>
                                <w:t>否</w:t>
                              </w:r>
                            </w:p>
                          </w:txbxContent>
                        </wps:txbx>
                        <wps:bodyPr rot="0" spcFirstLastPara="0" vertOverflow="overflow" horzOverflow="overflow" vert="horz" wrap="square" lIns="0" tIns="0" rIns="0" bIns="0" numCol="1" spcCol="0" rtlCol="0" fromWordArt="0" anchor="t" anchorCtr="0" forceAA="0" compatLnSpc="1">
                          <a:noAutofit/>
                        </wps:bodyPr>
                      </wps:wsp>
                      <wps:wsp>
                        <wps:cNvPr id="17" name="文本框 17"/>
                        <wps:cNvSpPr txBox="1"/>
                        <wps:spPr>
                          <a:xfrm>
                            <a:off x="1371600" y="4181475"/>
                            <a:ext cx="160020" cy="114300"/>
                          </a:xfrm>
                          <a:prstGeom prst="rect">
                            <a:avLst/>
                          </a:prstGeom>
                          <a:solidFill>
                            <a:schemeClr val="bg1"/>
                          </a:solidFill>
                          <a:ln w="6350">
                            <a:noFill/>
                          </a:ln>
                        </wps:spPr>
                        <wps:txbx>
                          <w:txbxContent>
                            <w:p w14:paraId="321A5C97">
                              <w:pPr>
                                <w:spacing w:before="0" w:beforeLines="0" w:line="240" w:lineRule="auto"/>
                                <w:jc w:val="center"/>
                                <w:rPr>
                                  <w:sz w:val="15"/>
                                  <w:szCs w:val="15"/>
                                  <w:lang w:eastAsia="zh-CN"/>
                                </w:rPr>
                              </w:pPr>
                              <w:r>
                                <w:rPr>
                                  <w:rFonts w:cs="宋体"/>
                                  <w:sz w:val="14"/>
                                </w:rPr>
                                <w:t>是</w:t>
                              </w:r>
                            </w:p>
                          </w:txbxContent>
                        </wps:txbx>
                        <wps:bodyPr rot="0" spcFirstLastPara="0" vertOverflow="overflow" horzOverflow="overflow" vert="horz" wrap="square" lIns="0" tIns="0" rIns="0" bIns="0" numCol="1" spcCol="0" rtlCol="0" fromWordArt="0" anchor="t" anchorCtr="0" forceAA="0" compatLnSpc="1">
                          <a:noAutofit/>
                        </wps:bodyPr>
                      </wps:wsp>
                      <wps:wsp>
                        <wps:cNvPr id="18" name="文本框 18"/>
                        <wps:cNvSpPr txBox="1"/>
                        <wps:spPr>
                          <a:xfrm>
                            <a:off x="1371600" y="3467100"/>
                            <a:ext cx="160020" cy="114300"/>
                          </a:xfrm>
                          <a:prstGeom prst="rect">
                            <a:avLst/>
                          </a:prstGeom>
                          <a:solidFill>
                            <a:schemeClr val="bg1"/>
                          </a:solidFill>
                          <a:ln w="6350">
                            <a:noFill/>
                          </a:ln>
                        </wps:spPr>
                        <wps:txbx>
                          <w:txbxContent>
                            <w:p w14:paraId="533285D5">
                              <w:pPr>
                                <w:spacing w:before="0" w:beforeLines="0" w:line="240" w:lineRule="auto"/>
                                <w:jc w:val="center"/>
                                <w:rPr>
                                  <w:sz w:val="15"/>
                                  <w:szCs w:val="15"/>
                                  <w:lang w:eastAsia="zh-CN"/>
                                </w:rPr>
                              </w:pPr>
                              <w:r>
                                <w:rPr>
                                  <w:rFonts w:cs="宋体"/>
                                  <w:sz w:val="14"/>
                                </w:rPr>
                                <w:t>是</w:t>
                              </w:r>
                            </w:p>
                          </w:txbxContent>
                        </wps:txbx>
                        <wps:bodyPr rot="0" spcFirstLastPara="0" vertOverflow="overflow" horzOverflow="overflow" vert="horz" wrap="square" lIns="0" tIns="0" rIns="0" bIns="0" numCol="1" spcCol="0" rtlCol="0" fromWordArt="0" anchor="t" anchorCtr="0" forceAA="0" compatLnSpc="1">
                          <a:noAutofit/>
                        </wps:bodyPr>
                      </wps:wsp>
                      <wps:wsp>
                        <wps:cNvPr id="19" name="文本框 19"/>
                        <wps:cNvSpPr txBox="1"/>
                        <wps:spPr>
                          <a:xfrm>
                            <a:off x="2524125" y="2381250"/>
                            <a:ext cx="132080" cy="114300"/>
                          </a:xfrm>
                          <a:prstGeom prst="rect">
                            <a:avLst/>
                          </a:prstGeom>
                          <a:solidFill>
                            <a:schemeClr val="bg1"/>
                          </a:solidFill>
                          <a:ln w="6350">
                            <a:noFill/>
                          </a:ln>
                        </wps:spPr>
                        <wps:txbx>
                          <w:txbxContent>
                            <w:p w14:paraId="5F995823">
                              <w:pPr>
                                <w:spacing w:before="0" w:beforeLines="0" w:line="240" w:lineRule="auto"/>
                                <w:jc w:val="center"/>
                                <w:rPr>
                                  <w:sz w:val="15"/>
                                  <w:szCs w:val="15"/>
                                  <w:lang w:eastAsia="zh-CN"/>
                                </w:rPr>
                              </w:pPr>
                              <w:r>
                                <w:rPr>
                                  <w:rFonts w:cs="宋体"/>
                                  <w:sz w:val="14"/>
                                </w:rPr>
                                <w:t>否</w:t>
                              </w:r>
                            </w:p>
                          </w:txbxContent>
                        </wps:txbx>
                        <wps:bodyPr rot="0" spcFirstLastPara="0" vertOverflow="overflow" horzOverflow="overflow" vert="horz" wrap="square" lIns="0" tIns="0" rIns="0" bIns="0" numCol="1" spcCol="0" rtlCol="0" fromWordArt="0" anchor="t" anchorCtr="0" forceAA="0" compatLnSpc="1">
                          <a:noAutofit/>
                        </wps:bodyPr>
                      </wps:wsp>
                      <wps:wsp>
                        <wps:cNvPr id="20" name="文本框 20"/>
                        <wps:cNvSpPr txBox="1"/>
                        <wps:spPr>
                          <a:xfrm>
                            <a:off x="2524125" y="3095625"/>
                            <a:ext cx="132080" cy="114300"/>
                          </a:xfrm>
                          <a:prstGeom prst="rect">
                            <a:avLst/>
                          </a:prstGeom>
                          <a:solidFill>
                            <a:schemeClr val="bg1"/>
                          </a:solidFill>
                          <a:ln w="6350">
                            <a:noFill/>
                          </a:ln>
                        </wps:spPr>
                        <wps:txbx>
                          <w:txbxContent>
                            <w:p w14:paraId="1566E92B">
                              <w:pPr>
                                <w:spacing w:before="0" w:beforeLines="0" w:line="240" w:lineRule="auto"/>
                                <w:jc w:val="center"/>
                                <w:rPr>
                                  <w:sz w:val="15"/>
                                  <w:szCs w:val="15"/>
                                  <w:lang w:eastAsia="zh-CN"/>
                                </w:rPr>
                              </w:pPr>
                              <w:r>
                                <w:rPr>
                                  <w:rFonts w:cs="宋体"/>
                                  <w:sz w:val="14"/>
                                </w:rPr>
                                <w:t>否</w:t>
                              </w:r>
                            </w:p>
                          </w:txbxContent>
                        </wps:txbx>
                        <wps:bodyPr rot="0" spcFirstLastPara="0" vertOverflow="overflow" horzOverflow="overflow" vert="horz" wrap="square" lIns="0" tIns="0" rIns="0" bIns="0" numCol="1" spcCol="0" rtlCol="0" fromWordArt="0" anchor="t" anchorCtr="0" forceAA="0" compatLnSpc="1">
                          <a:noAutofit/>
                        </wps:bodyPr>
                      </wps:wsp>
                      <wps:wsp>
                        <wps:cNvPr id="21" name="文本框 21"/>
                        <wps:cNvSpPr txBox="1"/>
                        <wps:spPr>
                          <a:xfrm>
                            <a:off x="2524125" y="3810000"/>
                            <a:ext cx="132080" cy="114300"/>
                          </a:xfrm>
                          <a:prstGeom prst="rect">
                            <a:avLst/>
                          </a:prstGeom>
                          <a:solidFill>
                            <a:schemeClr val="bg1"/>
                          </a:solidFill>
                          <a:ln w="6350">
                            <a:noFill/>
                          </a:ln>
                        </wps:spPr>
                        <wps:txbx>
                          <w:txbxContent>
                            <w:p w14:paraId="79D5C8B7">
                              <w:pPr>
                                <w:spacing w:before="0" w:beforeLines="0" w:line="240" w:lineRule="auto"/>
                                <w:jc w:val="center"/>
                                <w:rPr>
                                  <w:sz w:val="15"/>
                                  <w:szCs w:val="15"/>
                                  <w:lang w:eastAsia="zh-CN"/>
                                </w:rPr>
                              </w:pPr>
                              <w:r>
                                <w:rPr>
                                  <w:rFonts w:cs="宋体"/>
                                  <w:sz w:val="14"/>
                                </w:rPr>
                                <w:t>否</w:t>
                              </w:r>
                            </w:p>
                          </w:txbxContent>
                        </wps:txbx>
                        <wps:bodyPr rot="0" spcFirstLastPara="0" vertOverflow="overflow" horzOverflow="overflow" vert="horz" wrap="square" lIns="0" tIns="0" rIns="0" bIns="0" numCol="1" spcCol="0" rtlCol="0" fromWordArt="0" anchor="t" anchorCtr="0" forceAA="0" compatLnSpc="1">
                          <a:noAutofit/>
                        </wps:bodyPr>
                      </wps:wsp>
                      <wps:wsp>
                        <wps:cNvPr id="22" name="文本框 22"/>
                        <wps:cNvSpPr txBox="1"/>
                        <wps:spPr>
                          <a:xfrm>
                            <a:off x="2524125" y="4533900"/>
                            <a:ext cx="132080" cy="114300"/>
                          </a:xfrm>
                          <a:prstGeom prst="rect">
                            <a:avLst/>
                          </a:prstGeom>
                          <a:solidFill>
                            <a:schemeClr val="bg1"/>
                          </a:solidFill>
                          <a:ln w="6350">
                            <a:noFill/>
                          </a:ln>
                        </wps:spPr>
                        <wps:txbx>
                          <w:txbxContent>
                            <w:p w14:paraId="7D5446E3">
                              <w:pPr>
                                <w:spacing w:before="0" w:beforeLines="0" w:line="240" w:lineRule="auto"/>
                                <w:jc w:val="center"/>
                                <w:rPr>
                                  <w:sz w:val="15"/>
                                  <w:szCs w:val="15"/>
                                  <w:lang w:eastAsia="zh-CN"/>
                                </w:rPr>
                              </w:pPr>
                              <w:r>
                                <w:rPr>
                                  <w:rFonts w:cs="宋体"/>
                                  <w:sz w:val="14"/>
                                </w:rPr>
                                <w:t>否</w:t>
                              </w:r>
                            </w:p>
                          </w:txbxContent>
                        </wps:txbx>
                        <wps:bodyPr rot="0" spcFirstLastPara="0" vertOverflow="overflow" horzOverflow="overflow" vert="horz" wrap="square" lIns="0" tIns="0" rIns="0" bIns="0" numCol="1" spcCol="0" rtlCol="0" fromWordArt="0" anchor="t" anchorCtr="0" forceAA="0" compatLnSpc="1">
                          <a:noAutofit/>
                        </wps:bodyPr>
                      </wps:wsp>
                      <wps:wsp>
                        <wps:cNvPr id="23" name="文本框 23"/>
                        <wps:cNvSpPr txBox="1"/>
                        <wps:spPr>
                          <a:xfrm>
                            <a:off x="2524125" y="1609725"/>
                            <a:ext cx="132080" cy="114300"/>
                          </a:xfrm>
                          <a:prstGeom prst="rect">
                            <a:avLst/>
                          </a:prstGeom>
                          <a:solidFill>
                            <a:schemeClr val="bg1"/>
                          </a:solidFill>
                          <a:ln w="6350">
                            <a:noFill/>
                          </a:ln>
                        </wps:spPr>
                        <wps:txbx>
                          <w:txbxContent>
                            <w:p w14:paraId="7EDB4274">
                              <w:pPr>
                                <w:spacing w:before="0" w:beforeLines="0" w:line="240" w:lineRule="auto"/>
                                <w:jc w:val="center"/>
                                <w:rPr>
                                  <w:sz w:val="15"/>
                                  <w:szCs w:val="15"/>
                                  <w:lang w:eastAsia="zh-CN"/>
                                </w:rPr>
                              </w:pPr>
                              <w:r>
                                <w:rPr>
                                  <w:rFonts w:cs="宋体"/>
                                  <w:sz w:val="14"/>
                                </w:rPr>
                                <w:t>否</w:t>
                              </w:r>
                            </w:p>
                          </w:txbxContent>
                        </wps:txbx>
                        <wps:bodyPr rot="0" spcFirstLastPara="0" vertOverflow="overflow" horzOverflow="overflow" vert="horz" wrap="square" lIns="0" tIns="0" rIns="0" bIns="0" numCol="1" spcCol="0" rtlCol="0" fromWordArt="0" anchor="t" anchorCtr="0" forceAA="0" compatLnSpc="1">
                          <a:noAutofit/>
                        </wps:bodyPr>
                      </wps:wsp>
                      <wps:wsp>
                        <wps:cNvPr id="24" name="文本框 24"/>
                        <wps:cNvSpPr txBox="1"/>
                        <wps:spPr>
                          <a:xfrm>
                            <a:off x="3324225" y="3095625"/>
                            <a:ext cx="160020" cy="114300"/>
                          </a:xfrm>
                          <a:prstGeom prst="rect">
                            <a:avLst/>
                          </a:prstGeom>
                          <a:solidFill>
                            <a:schemeClr val="bg1"/>
                          </a:solidFill>
                          <a:ln w="6350">
                            <a:noFill/>
                          </a:ln>
                        </wps:spPr>
                        <wps:txbx>
                          <w:txbxContent>
                            <w:p w14:paraId="4DF6EFA7">
                              <w:pPr>
                                <w:spacing w:before="0" w:beforeLines="0" w:line="240" w:lineRule="auto"/>
                                <w:jc w:val="center"/>
                                <w:rPr>
                                  <w:sz w:val="15"/>
                                  <w:szCs w:val="15"/>
                                  <w:lang w:eastAsia="zh-CN"/>
                                </w:rPr>
                              </w:pPr>
                              <w:r>
                                <w:rPr>
                                  <w:rFonts w:cs="宋体"/>
                                  <w:sz w:val="14"/>
                                </w:rPr>
                                <w:t>否</w:t>
                              </w:r>
                            </w:p>
                          </w:txbxContent>
                        </wps:txbx>
                        <wps:bodyPr rot="0" spcFirstLastPara="0" vertOverflow="overflow" horzOverflow="overflow" vert="horz" wrap="square" lIns="0" tIns="0" rIns="0" bIns="0" numCol="1" spcCol="0" rtlCol="0" fromWordArt="0" anchor="t" anchorCtr="0" forceAA="0" compatLnSpc="1">
                          <a:noAutofit/>
                        </wps:bodyPr>
                      </wps:wsp>
                      <wps:wsp>
                        <wps:cNvPr id="25" name="文本框 25"/>
                        <wps:cNvSpPr txBox="1"/>
                        <wps:spPr>
                          <a:xfrm>
                            <a:off x="1371600" y="5086350"/>
                            <a:ext cx="160020" cy="114300"/>
                          </a:xfrm>
                          <a:prstGeom prst="rect">
                            <a:avLst/>
                          </a:prstGeom>
                          <a:solidFill>
                            <a:schemeClr val="bg1"/>
                          </a:solidFill>
                          <a:ln w="6350">
                            <a:noFill/>
                          </a:ln>
                        </wps:spPr>
                        <wps:txbx>
                          <w:txbxContent>
                            <w:p w14:paraId="51676B4B">
                              <w:pPr>
                                <w:spacing w:before="0" w:beforeLines="0" w:line="240" w:lineRule="auto"/>
                                <w:jc w:val="center"/>
                                <w:rPr>
                                  <w:sz w:val="15"/>
                                  <w:szCs w:val="15"/>
                                  <w:lang w:eastAsia="zh-CN"/>
                                </w:rPr>
                              </w:pPr>
                              <w:r>
                                <w:rPr>
                                  <w:rFonts w:cs="宋体"/>
                                  <w:sz w:val="14"/>
                                </w:rPr>
                                <w:t>是</w:t>
                              </w:r>
                            </w:p>
                          </w:txbxContent>
                        </wps:txbx>
                        <wps:bodyPr rot="0" spcFirstLastPara="0" vertOverflow="overflow" horzOverflow="overflow" vert="horz" wrap="square" lIns="0" tIns="0" rIns="0" bIns="0" numCol="1" spcCol="0" rtlCol="0" fromWordArt="0" anchor="t" anchorCtr="0" forceAA="0" compatLnSpc="1">
                          <a:noAutofit/>
                        </wps:bodyPr>
                      </wps:wsp>
                      <wps:wsp>
                        <wps:cNvPr id="26" name="文本框 26"/>
                        <wps:cNvSpPr txBox="1"/>
                        <wps:spPr>
                          <a:xfrm>
                            <a:off x="981075" y="5353050"/>
                            <a:ext cx="996950" cy="365760"/>
                          </a:xfrm>
                          <a:prstGeom prst="rect">
                            <a:avLst/>
                          </a:prstGeom>
                          <a:solidFill>
                            <a:srgbClr val="8BCB3F"/>
                          </a:solidFill>
                          <a:ln w="6350">
                            <a:noFill/>
                          </a:ln>
                        </wps:spPr>
                        <wps:txbx>
                          <w:txbxContent>
                            <w:p w14:paraId="47F2466E">
                              <w:pPr>
                                <w:spacing w:before="0" w:beforeLines="0" w:line="240" w:lineRule="auto"/>
                                <w:jc w:val="center"/>
                                <w:rPr>
                                  <w:b/>
                                  <w:bCs/>
                                  <w:sz w:val="15"/>
                                  <w:szCs w:val="15"/>
                                  <w:lang w:eastAsia="zh-CN"/>
                                </w:rPr>
                              </w:pPr>
                              <w:r>
                                <w:rPr>
                                  <w:rFonts w:cs="宋体"/>
                                  <w:b/>
                                  <w:sz w:val="14"/>
                                </w:rPr>
                                <w:t>满足生物相容性要求</w:t>
                              </w:r>
                            </w:p>
                          </w:txbxContent>
                        </wps:txbx>
                        <wps:bodyPr rot="0" spcFirstLastPara="0" vertOverflow="overflow" horzOverflow="overflow" vert="horz" wrap="square" lIns="0" tIns="0" rIns="0" bIns="0" numCol="1" spcCol="0" rtlCol="0" fromWordArt="0" anchor="ctr" anchorCtr="0" forceAA="0" compatLnSpc="1">
                          <a:noAutofit/>
                        </wps:bodyPr>
                      </wps:wsp>
                      <wps:wsp>
                        <wps:cNvPr id="28" name="文本框 28"/>
                        <wps:cNvSpPr txBox="1"/>
                        <wps:spPr>
                          <a:xfrm>
                            <a:off x="4010025" y="5457825"/>
                            <a:ext cx="160020" cy="114300"/>
                          </a:xfrm>
                          <a:prstGeom prst="rect">
                            <a:avLst/>
                          </a:prstGeom>
                          <a:solidFill>
                            <a:schemeClr val="bg1"/>
                          </a:solidFill>
                          <a:ln w="6350">
                            <a:noFill/>
                          </a:ln>
                        </wps:spPr>
                        <wps:txbx>
                          <w:txbxContent>
                            <w:p w14:paraId="11174744">
                              <w:pPr>
                                <w:spacing w:before="0" w:beforeLines="0" w:line="240" w:lineRule="auto"/>
                                <w:jc w:val="center"/>
                                <w:rPr>
                                  <w:sz w:val="15"/>
                                  <w:szCs w:val="15"/>
                                  <w:lang w:eastAsia="zh-CN"/>
                                </w:rPr>
                              </w:pPr>
                              <w:r>
                                <w:rPr>
                                  <w:rFonts w:cs="宋体"/>
                                  <w:sz w:val="14"/>
                                </w:rPr>
                                <w:t>是</w:t>
                              </w:r>
                            </w:p>
                          </w:txbxContent>
                        </wps:txbx>
                        <wps:bodyPr rot="0" spcFirstLastPara="0" vertOverflow="overflow" horzOverflow="overflow" vert="horz" wrap="square" lIns="0" tIns="0" rIns="0" bIns="0" numCol="1" spcCol="0" rtlCol="0" fromWordArt="0" anchor="t" anchorCtr="0" forceAA="0" compatLnSpc="1">
                          <a:noAutofit/>
                        </wps:bodyPr>
                      </wps:wsp>
                      <wps:wsp>
                        <wps:cNvPr id="29" name="文本框 29"/>
                        <wps:cNvSpPr txBox="1"/>
                        <wps:spPr>
                          <a:xfrm>
                            <a:off x="5334000" y="3057525"/>
                            <a:ext cx="396240" cy="243840"/>
                          </a:xfrm>
                          <a:prstGeom prst="rect">
                            <a:avLst/>
                          </a:prstGeom>
                          <a:blipFill dpi="0" rotWithShape="1">
                            <a:blip r:embed="rId16">
                              <a:extLst>
                                <a:ext uri="{28A0092B-C50C-407E-A947-70E740481C1C}">
                                  <a14:useLocalDpi xmlns:a14="http://schemas.microsoft.com/office/drawing/2010/main" val="0"/>
                                </a:ext>
                              </a:extLst>
                            </a:blip>
                            <a:srcRect/>
                            <a:stretch>
                              <a:fillRect/>
                            </a:stretch>
                          </a:blipFill>
                          <a:ln w="6350">
                            <a:noFill/>
                          </a:ln>
                        </wps:spPr>
                        <wps:txbx>
                          <w:txbxContent>
                            <w:p w14:paraId="36C36617">
                              <w:pPr>
                                <w:spacing w:before="0" w:beforeLines="0" w:line="240" w:lineRule="auto"/>
                                <w:jc w:val="center"/>
                                <w:rPr>
                                  <w:b/>
                                  <w:bCs/>
                                  <w:sz w:val="15"/>
                                  <w:szCs w:val="15"/>
                                  <w:lang w:eastAsia="zh-CN"/>
                                </w:rPr>
                              </w:pPr>
                              <w:r>
                                <w:rPr>
                                  <w:rFonts w:cs="宋体"/>
                                  <w:b/>
                                  <w:sz w:val="14"/>
                                </w:rPr>
                                <w:t>转至图表A</w:t>
                              </w:r>
                            </w:p>
                          </w:txbxContent>
                        </wps:txbx>
                        <wps:bodyPr rot="0" spcFirstLastPara="0" vertOverflow="overflow" horzOverflow="overflow" vert="horz" wrap="square" lIns="0" tIns="0" rIns="0" bIns="0" numCol="1" spcCol="0" rtlCol="0" fromWordArt="0" anchor="t" anchorCtr="0" forceAA="0" compatLnSpc="1">
                          <a:noAutofit/>
                        </wps:bodyPr>
                      </wps:wsp>
                    </wpg:wgp>
                  </a:graphicData>
                </a:graphic>
              </wp:inline>
            </w:drawing>
          </mc:Choice>
          <mc:Fallback>
            <w:pict>
              <v:group id="_x0000_s1026" o:spid="_x0000_s1026" o:spt="203" style="height:470.9pt;width:472.8pt;" coordsize="6004560,5980430" o:gfxdata="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">
                <o:lock v:ext="edit" aspectratio="f"/>
                <v:shape id="Picutre 15" o:spid="_x0000_s1026" o:spt="75" type="#_x0000_t75" style="position:absolute;left:0;top:0;height:5980430;width:6004560;" filled="f" o:preferrelative="t" stroked="f" coordsize="21600,21600" o:gfxdata="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59j5ugAAANsA&#10;AAAPAAAAAAAAAAEAIAAAACIAAABkcnMvZG93bnJldi54bWxQSwECFAAUAAAACACHTuJAMy8FnjsA&#10;AAA5AAAAEAAAAAAAAAABACAAAAAJAQAAZHJzL3NoYXBleG1sLnhtbFBLBQYAAAAABgAGAFsBAACz&#10;AwAAAAA=&#10;">
                  <v:fill on="f" focussize="0,0"/>
                  <v:stroke on="f"/>
                  <v:imagedata r:id="rId14" o:title=""/>
                  <o:lock v:ext="edit" aspectratio="f"/>
                </v:shape>
                <v:shape id="_x0000_s1026" o:spid="_x0000_s1026" o:spt="202" type="#_x0000_t202" style="position:absolute;left:1333500;top:142875;height:160020;width:312420;" filled="t" stroked="f" coordsize="21600,21600" o:gfxdata="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df0TbsAAADa&#10;AAAADwAAAAAAAAABACAAAAAiAAAAZHJzL2Rvd25yZXYueG1sUEsBAhQAFAAAAAgAh07iQDMvBZ47&#10;AAAAOQAAABAAAAAAAAAAAQAgAAAACgEAAGRycy9zaGFwZXhtbC54bWxQSwUGAAAAAAYABgBbAQAA&#10;tAMAAAAA&#10;">
                  <v:fill type="frame" on="t" focussize="0,0" recolor="t" rotate="t" r:id="rId15"/>
                  <v:stroke on="f" weight="0.5pt"/>
                  <v:imagedata o:title=""/>
                  <o:lock v:ext="edit" aspectratio="f"/>
                  <v:textbox inset="0mm,0mm,0mm,0mm">
                    <w:txbxContent>
                      <w:p w14:paraId="0947B3F5">
                        <w:pPr>
                          <w:spacing w:before="0" w:beforeLines="0" w:line="240" w:lineRule="auto"/>
                          <w:jc w:val="center"/>
                          <w:rPr>
                            <w:sz w:val="15"/>
                            <w:szCs w:val="15"/>
                            <w:lang w:eastAsia="zh-CN"/>
                          </w:rPr>
                        </w:pPr>
                        <w:r>
                          <w:rPr>
                            <w:rFonts w:cs="宋体"/>
                            <w:sz w:val="14"/>
                          </w:rPr>
                          <w:t>开始</w:t>
                        </w:r>
                      </w:p>
                    </w:txbxContent>
                  </v:textbox>
                </v:shape>
                <v:shape id="_x0000_s1026" o:spid="_x0000_s1026" o:spt="202" type="#_x0000_t202" style="position:absolute;left:857250;top:714375;height:274320;width:1287780;" filled="t" stroked="f" coordsize="21600,21600" o:gfxdata="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j5sObsAAADa&#10;AAAADwAAAAAAAAABACAAAAAiAAAAZHJzL2Rvd25yZXYueG1sUEsBAhQAFAAAAAgAh07iQDMvBZ47&#10;AAAAOQAAABAAAAAAAAAAAQAgAAAACgEAAGRycy9zaGFwZXhtbC54bWxQSwUGAAAAAAYABgBbAQAA&#10;tAMAAAAA&#10;">
                  <v:fill type="frame" on="t" focussize="0,0" recolor="t" rotate="t" r:id="rId15"/>
                  <v:stroke on="f" weight="0.5pt"/>
                  <v:imagedata o:title=""/>
                  <o:lock v:ext="edit" aspectratio="f"/>
                  <v:textbox inset="0mm,0mm,0mm,0mm">
                    <w:txbxContent>
                      <w:p w14:paraId="5B75EDC4">
                        <w:pPr>
                          <w:spacing w:before="0" w:beforeLines="0" w:line="240" w:lineRule="auto"/>
                          <w:jc w:val="center"/>
                          <w:rPr>
                            <w:sz w:val="15"/>
                            <w:szCs w:val="15"/>
                            <w:lang w:eastAsia="zh-CN"/>
                          </w:rPr>
                        </w:pPr>
                        <w:r>
                          <w:rPr>
                            <w:rFonts w:cs="宋体"/>
                            <w:sz w:val="14"/>
                            <w:lang w:eastAsia="zh-CN"/>
                          </w:rPr>
                          <w:t>器械是否与人体直接</w:t>
                        </w:r>
                        <w:r>
                          <w:rPr>
                            <w:rFonts w:cs="宋体"/>
                            <w:sz w:val="14"/>
                            <w:u w:val="single"/>
                            <w:lang w:eastAsia="zh-CN"/>
                          </w:rPr>
                          <w:t>或</w:t>
                        </w:r>
                        <w:r>
                          <w:rPr>
                            <w:rFonts w:cs="宋体"/>
                            <w:sz w:val="14"/>
                            <w:lang w:eastAsia="zh-CN"/>
                          </w:rPr>
                          <w:t>间接接触？</w:t>
                        </w:r>
                      </w:p>
                    </w:txbxContent>
                  </v:textbox>
                </v:shape>
                <v:shape id="_x0000_s1026" o:spid="_x0000_s1026" o:spt="202" type="#_x0000_t202" style="position:absolute;left:819150;top:1609725;height:274320;width:1287780;v-text-anchor:middle;" filled="t" stroked="f" coordsize="21600,21600" o:gfxdata="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0dpUS8AAAA&#10;2gAAAA8AAAAAAAAAAQAgAAAAIgAAAGRycy9kb3ducmV2LnhtbFBLAQIUABQAAAAIAIdO4kAzLwWe&#10;OwAAADkAAAAQAAAAAAAAAAEAIAAAAAsBAABkcnMvc2hhcGV4bWwueG1sUEsFBgAAAAAGAAYAWwEA&#10;ALUDAAAAAA==&#10;">
                  <v:fill type="frame" on="t" focussize="0,0" recolor="t" rotate="t" r:id="rId15"/>
                  <v:stroke on="f" weight="0.5pt"/>
                  <v:imagedata o:title=""/>
                  <o:lock v:ext="edit" aspectratio="f"/>
                  <v:textbox inset="0mm,0mm,0mm,0mm">
                    <w:txbxContent>
                      <w:p w14:paraId="63E4589B">
                        <w:pPr>
                          <w:spacing w:before="0" w:beforeLines="0" w:line="240" w:lineRule="auto"/>
                          <w:jc w:val="center"/>
                          <w:rPr>
                            <w:sz w:val="15"/>
                            <w:szCs w:val="15"/>
                            <w:lang w:eastAsia="zh-CN"/>
                          </w:rPr>
                        </w:pPr>
                        <w:r>
                          <w:rPr>
                            <w:rFonts w:cs="宋体"/>
                            <w:sz w:val="14"/>
                            <w:lang w:eastAsia="zh-CN"/>
                          </w:rPr>
                          <w:t>制造工艺是否与市售器械相同？</w:t>
                        </w:r>
                      </w:p>
                    </w:txbxContent>
                  </v:textbox>
                </v:shape>
                <v:shape id="_x0000_s1026" o:spid="_x0000_s1026" o:spt="202" type="#_x0000_t202" style="position:absolute;left:809625;top:2343150;height:266700;width:1287780;v-text-anchor:middle;" filled="t" stroked="f" coordsize="21600,21600" o:gfxdata="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zzszvQAA&#10;ANoAAAAPAAAAAAAAAAEAIAAAACIAAABkcnMvZG93bnJldi54bWxQSwECFAAUAAAACACHTuJAMy8F&#10;njsAAAA5AAAAEAAAAAAAAAABACAAAAAMAQAAZHJzL3NoYXBleG1sLnhtbFBLBQYAAAAABgAGAFsB&#10;AAC2AwAAAAA=&#10;">
                  <v:fill type="frame" on="t" focussize="0,0" recolor="t" rotate="t" r:id="rId15"/>
                  <v:stroke on="f" weight="0.5pt"/>
                  <v:imagedata o:title=""/>
                  <o:lock v:ext="edit" aspectratio="f"/>
                  <v:textbox inset="0mm,0mm,0mm,0mm">
                    <w:txbxContent>
                      <w:p w14:paraId="7AF82627">
                        <w:pPr>
                          <w:spacing w:before="0" w:beforeLines="0" w:line="240" w:lineRule="auto"/>
                          <w:jc w:val="center"/>
                          <w:rPr>
                            <w:sz w:val="15"/>
                            <w:szCs w:val="15"/>
                            <w:lang w:eastAsia="zh-CN"/>
                          </w:rPr>
                        </w:pPr>
                        <w:r>
                          <w:rPr>
                            <w:rFonts w:cs="宋体"/>
                            <w:sz w:val="14"/>
                            <w:lang w:eastAsia="zh-CN"/>
                          </w:rPr>
                          <w:t>制造工艺是否与市售器械相同？</w:t>
                        </w:r>
                      </w:p>
                    </w:txbxContent>
                  </v:textbox>
                </v:shape>
                <v:shape id="_x0000_s1026" o:spid="_x0000_s1026" o:spt="202" type="#_x0000_t202" style="position:absolute;left:809625;top:2971800;height:365760;width:1295400;v-text-anchor:middle;" filled="t" stroked="f" coordsize="21600,21600" o:gfxdata="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KDnqi8AAAA&#10;2gAAAA8AAAAAAAAAAQAgAAAAIgAAAGRycy9kb3ducmV2LnhtbFBLAQIUABQAAAAIAIdO4kAzLwWe&#10;OwAAADkAAAAQAAAAAAAAAAEAIAAAAAsBAABkcnMvc2hhcGV4bWwueG1sUEsFBgAAAAAGAAYAWwEA&#10;ALUDAAAAAA==&#10;">
                  <v:fill type="frame" on="t" focussize="0,0" recolor="t" rotate="t" r:id="rId15"/>
                  <v:stroke on="f" weight="0.5pt"/>
                  <v:imagedata o:title=""/>
                  <o:lock v:ext="edit" aspectratio="f"/>
                  <v:textbox inset="0mm,0mm,0mm,0mm">
                    <w:txbxContent>
                      <w:p w14:paraId="19521C75">
                        <w:pPr>
                          <w:spacing w:before="0" w:beforeLines="0" w:line="240" w:lineRule="auto"/>
                          <w:jc w:val="center"/>
                          <w:rPr>
                            <w:sz w:val="15"/>
                            <w:szCs w:val="15"/>
                            <w:lang w:eastAsia="zh-CN"/>
                          </w:rPr>
                        </w:pPr>
                        <w:r>
                          <w:rPr>
                            <w:rFonts w:cs="宋体"/>
                            <w:sz w:val="14"/>
                          </w:rPr>
                          <w:t>几何构造和理化性能是否与市售器械相同？</w:t>
                        </w:r>
                      </w:p>
                    </w:txbxContent>
                  </v:textbox>
                </v:shape>
                <v:shape id="_x0000_s1026" o:spid="_x0000_s1026" o:spt="202" type="#_x0000_t202" style="position:absolute;left:809625;top:3743325;height:274320;width:1287780;v-text-anchor:middle;" filled="t" stroked="f" coordsize="21600,21600" o:gfxdata="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THAraugAAANoA&#10;AAAPAAAAAAAAAAEAIAAAACIAAABkcnMvZG93bnJldi54bWxQSwECFAAUAAAACACHTuJAMy8FnjsA&#10;AAA5AAAAEAAAAAAAAAABACAAAAAJAQAAZHJzL3NoYXBleG1sLnhtbFBLBQYAAAAABgAGAFsBAACz&#10;AwAAAAA=&#10;">
                  <v:fill type="frame" on="t" focussize="0,0" recolor="t" rotate="t" r:id="rId15"/>
                  <v:stroke on="f" weight="0.5pt"/>
                  <v:imagedata o:title=""/>
                  <o:lock v:ext="edit" aspectratio="f"/>
                  <v:textbox inset="0mm,0mm,0mm,0mm">
                    <w:txbxContent>
                      <w:p w14:paraId="55744333">
                        <w:pPr>
                          <w:spacing w:before="0" w:beforeLines="0" w:line="240" w:lineRule="auto"/>
                          <w:jc w:val="center"/>
                          <w:rPr>
                            <w:sz w:val="15"/>
                            <w:szCs w:val="15"/>
                            <w:lang w:eastAsia="zh-CN"/>
                          </w:rPr>
                        </w:pPr>
                        <w:r>
                          <w:rPr>
                            <w:rFonts w:cs="宋体"/>
                            <w:sz w:val="14"/>
                          </w:rPr>
                          <w:t>体液接触是否与市售器械相同？</w:t>
                        </w:r>
                      </w:p>
                    </w:txbxContent>
                  </v:textbox>
                </v:shape>
                <v:shape id="_x0000_s1026" o:spid="_x0000_s1026" o:spt="202" type="#_x0000_t202" style="position:absolute;left:828675;top:4419600;height:365760;width:1295400;v-text-anchor:middle;" filled="t" stroked="f" coordsize="21600,21600" o:gfxdata="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xQr0G8AAAA&#10;2gAAAA8AAAAAAAAAAQAgAAAAIgAAAGRycy9kb3ducmV2LnhtbFBLAQIUABQAAAAIAIdO4kAzLwWe&#10;OwAAADkAAAAQAAAAAAAAAAEAIAAAAAsBAABkcnMvc2hhcGV4bWwueG1sUEsFBgAAAAAGAAYAWwEA&#10;ALUDAAAAAA==&#10;">
                  <v:fill type="frame" on="t" focussize="0,0" recolor="t" rotate="t" r:id="rId15"/>
                  <v:stroke on="f" weight="0.5pt"/>
                  <v:imagedata o:title=""/>
                  <o:lock v:ext="edit" aspectratio="f"/>
                  <v:textbox inset="0mm,0mm,0mm,0mm">
                    <w:txbxContent>
                      <w:p w14:paraId="33893316">
                        <w:pPr>
                          <w:spacing w:before="0" w:beforeLines="0" w:line="240" w:lineRule="auto"/>
                          <w:jc w:val="center"/>
                          <w:rPr>
                            <w:sz w:val="15"/>
                            <w:szCs w:val="15"/>
                            <w:lang w:eastAsia="zh-CN"/>
                          </w:rPr>
                        </w:pPr>
                        <w:r>
                          <w:rPr>
                            <w:rFonts w:cs="宋体"/>
                            <w:sz w:val="14"/>
                            <w:lang w:eastAsia="zh-CN"/>
                          </w:rPr>
                          <w:t>灭菌工艺/方法/剂量是否与市售器械相同？</w:t>
                        </w:r>
                      </w:p>
                    </w:txbxContent>
                  </v:textbox>
                </v:shape>
                <v:shape id="_x0000_s1026" o:spid="_x0000_s1026" o:spt="202" type="#_x0000_t202" style="position:absolute;left:3733800;top:2933700;height:495300;width:914400;v-text-anchor:middle;" filled="t" stroked="f" coordsize="21600,21600" o:gfxdata="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mBb3vQAA&#10;ANsAAAAPAAAAAAAAAAEAIAAAACIAAABkcnMvZG93bnJldi54bWxQSwECFAAUAAAACACHTuJAMy8F&#10;njsAAAA5AAAAEAAAAAAAAAABACAAAAAMAQAAZHJzL3NoYXBleG1sLnhtbFBLBQYAAAAABgAGAFsB&#10;AAC2AwAAAAA=&#10;">
                  <v:fill type="frame" on="t" focussize="0,0" recolor="t" rotate="t" r:id="rId15"/>
                  <v:stroke on="f" weight="0.5pt"/>
                  <v:imagedata o:title=""/>
                  <o:lock v:ext="edit" aspectratio="f"/>
                  <v:textbox inset="0mm,0mm,0mm,0mm">
                    <w:txbxContent>
                      <w:p w14:paraId="085221AA">
                        <w:pPr>
                          <w:spacing w:before="0" w:beforeLines="0" w:line="240" w:lineRule="auto"/>
                          <w:jc w:val="center"/>
                          <w:rPr>
                            <w:sz w:val="15"/>
                            <w:szCs w:val="15"/>
                            <w:lang w:eastAsia="zh-CN"/>
                          </w:rPr>
                        </w:pPr>
                        <w:r>
                          <w:rPr>
                            <w:rFonts w:cs="宋体"/>
                            <w:sz w:val="14"/>
                            <w:lang w:eastAsia="zh-CN"/>
                          </w:rPr>
                          <w:t>理由是否可接受？</w:t>
                        </w:r>
                      </w:p>
                      <w:p w14:paraId="4782E9AC">
                        <w:pPr>
                          <w:spacing w:before="0" w:beforeLines="0" w:line="240" w:lineRule="auto"/>
                          <w:jc w:val="center"/>
                          <w:rPr>
                            <w:sz w:val="15"/>
                            <w:szCs w:val="15"/>
                            <w:u w:val="single"/>
                            <w:lang w:eastAsia="zh-CN"/>
                          </w:rPr>
                        </w:pPr>
                        <w:r>
                          <w:rPr>
                            <w:rFonts w:cs="宋体"/>
                            <w:sz w:val="14"/>
                            <w:u w:val="single"/>
                            <w:lang w:eastAsia="zh-CN"/>
                          </w:rPr>
                          <w:t>或</w:t>
                        </w:r>
                      </w:p>
                      <w:p w14:paraId="36870D0B">
                        <w:pPr>
                          <w:spacing w:before="0" w:beforeLines="0" w:line="240" w:lineRule="auto"/>
                          <w:jc w:val="center"/>
                          <w:rPr>
                            <w:sz w:val="15"/>
                            <w:szCs w:val="15"/>
                            <w:lang w:eastAsia="zh-CN"/>
                          </w:rPr>
                        </w:pPr>
                        <w:r>
                          <w:rPr>
                            <w:rFonts w:cs="宋体"/>
                            <w:sz w:val="14"/>
                            <w:lang w:eastAsia="zh-CN"/>
                          </w:rPr>
                          <w:t>试验数据？</w:t>
                        </w:r>
                      </w:p>
                    </w:txbxContent>
                  </v:textbox>
                </v:shape>
                <v:shape id="_x0000_s1026" o:spid="_x0000_s1026" o:spt="202" type="#_x0000_t202" style="position:absolute;left:1419225;top:1123950;height:114300;width:160020;" fillcolor="#FFFFFF [3212]" filled="t" stroked="f" coordsize="21600,21600" o:gfxdata="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GDBIjW2AAAA2wAAAA8A&#10;AAAAAAAAAQAgAAAAIgAAAGRycy9kb3ducmV2LnhtbFBLAQIUABQAAAAIAIdO4kAzLwWeOwAAADkA&#10;AAAQAAAAAAAAAAEAIAAAAAUBAABkcnMvc2hhcGV4bWwueG1sUEsFBgAAAAAGAAYAWwEAAK8DAAAA&#10;AA==&#10;">
                  <v:fill on="t" focussize="0,0"/>
                  <v:stroke on="f" weight="0.5pt"/>
                  <v:imagedata o:title=""/>
                  <o:lock v:ext="edit" aspectratio="f"/>
                  <v:textbox inset="0mm,0mm,0mm,0mm">
                    <w:txbxContent>
                      <w:p w14:paraId="2F7195E4">
                        <w:pPr>
                          <w:spacing w:before="0" w:beforeLines="0" w:line="240" w:lineRule="auto"/>
                          <w:jc w:val="center"/>
                          <w:rPr>
                            <w:sz w:val="15"/>
                            <w:szCs w:val="15"/>
                            <w:lang w:eastAsia="zh-CN"/>
                          </w:rPr>
                        </w:pPr>
                        <w:r>
                          <w:rPr>
                            <w:rFonts w:cs="宋体"/>
                            <w:sz w:val="14"/>
                          </w:rPr>
                          <w:t>是</w:t>
                        </w:r>
                      </w:p>
                    </w:txbxContent>
                  </v:textbox>
                </v:shape>
                <v:shape id="_x0000_s1026" o:spid="_x0000_s1026" o:spt="202" type="#_x0000_t202" style="position:absolute;left:1381125;top:2028825;height:114300;width:160020;" fillcolor="#FFFFFF [3212]" filled="t" stroked="f" coordsize="21600,21600" o:gfxdata="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ATvEK2AAAA2wAAAA8A&#10;AAAAAAAAAQAgAAAAIgAAAGRycy9kb3ducmV2LnhtbFBLAQIUABQAAAAIAIdO4kAzLwWeOwAAADkA&#10;AAAQAAAAAAAAAAEAIAAAAAUBAABkcnMvc2hhcGV4bWwueG1sUEsFBgAAAAAGAAYAWwEAAK8DAAAA&#10;AA==&#10;">
                  <v:fill on="t" focussize="0,0"/>
                  <v:stroke on="f" weight="0.5pt"/>
                  <v:imagedata o:title=""/>
                  <o:lock v:ext="edit" aspectratio="f"/>
                  <v:textbox inset="0mm,0mm,0mm,0mm">
                    <w:txbxContent>
                      <w:p w14:paraId="1BD442D6">
                        <w:pPr>
                          <w:spacing w:before="0" w:beforeLines="0" w:line="240" w:lineRule="auto"/>
                          <w:jc w:val="center"/>
                          <w:rPr>
                            <w:sz w:val="15"/>
                            <w:szCs w:val="15"/>
                            <w:lang w:eastAsia="zh-CN"/>
                          </w:rPr>
                        </w:pPr>
                        <w:r>
                          <w:rPr>
                            <w:rFonts w:cs="宋体"/>
                            <w:sz w:val="14"/>
                          </w:rPr>
                          <w:t>是</w:t>
                        </w:r>
                      </w:p>
                    </w:txbxContent>
                  </v:textbox>
                </v:shape>
                <v:shape id="_x0000_s1026" o:spid="_x0000_s1026" o:spt="202" type="#_x0000_t202" style="position:absolute;left:1371600;top:2743200;height:114300;width:160020;" fillcolor="#FFFFFF [3212]" filled="t" stroked="f" coordsize="21600,21600" o:gfxdata="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P9fGdm2AAAA2wAAAA8A&#10;AAAAAAAAAQAgAAAAIgAAAGRycy9kb3ducmV2LnhtbFBLAQIUABQAAAAIAIdO4kAzLwWeOwAAADkA&#10;AAAQAAAAAAAAAAEAIAAAAAUBAABkcnMvc2hhcGV4bWwueG1sUEsFBgAAAAAGAAYAWwEAAK8DAAAA&#10;AA==&#10;">
                  <v:fill on="t" focussize="0,0"/>
                  <v:stroke on="f" weight="0.5pt"/>
                  <v:imagedata o:title=""/>
                  <o:lock v:ext="edit" aspectratio="f"/>
                  <v:textbox inset="0mm,0mm,0mm,0mm">
                    <w:txbxContent>
                      <w:p w14:paraId="0304CE68">
                        <w:pPr>
                          <w:spacing w:before="0" w:beforeLines="0" w:line="240" w:lineRule="auto"/>
                          <w:jc w:val="center"/>
                          <w:rPr>
                            <w:sz w:val="15"/>
                            <w:szCs w:val="15"/>
                            <w:lang w:eastAsia="zh-CN"/>
                          </w:rPr>
                        </w:pPr>
                        <w:r>
                          <w:rPr>
                            <w:rFonts w:cs="宋体"/>
                            <w:sz w:val="14"/>
                          </w:rPr>
                          <w:t>是</w:t>
                        </w:r>
                      </w:p>
                    </w:txbxContent>
                  </v:textbox>
                </v:shape>
                <v:shape id="_x0000_s1026" o:spid="_x0000_s1026" o:spt="202" type="#_x0000_t202" style="position:absolute;left:57150;top:3095625;height:114300;width:160020;" fillcolor="#FFFFFF [3212]" filled="t" stroked="f" coordsize="21600,21600" o:gfxdata="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C2ga22AAAA2wAAAA8A&#10;AAAAAAAAAQAgAAAAIgAAAGRycy9kb3ducmV2LnhtbFBLAQIUABQAAAAIAIdO4kAzLwWeOwAAADkA&#10;AAAQAAAAAAAAAAEAIAAAAAUBAABkcnMvc2hhcGV4bWwueG1sUEsFBgAAAAAGAAYAWwEAAK8DAAAA&#10;AA==&#10;">
                  <v:fill on="t" focussize="0,0"/>
                  <v:stroke on="f" weight="0.5pt"/>
                  <v:imagedata o:title=""/>
                  <o:lock v:ext="edit" aspectratio="f"/>
                  <v:textbox inset="0mm,0mm,0mm,0mm">
                    <w:txbxContent>
                      <w:p w14:paraId="625CFB45">
                        <w:pPr>
                          <w:spacing w:before="0" w:beforeLines="0" w:line="240" w:lineRule="auto"/>
                          <w:jc w:val="center"/>
                          <w:rPr>
                            <w:sz w:val="15"/>
                            <w:szCs w:val="15"/>
                            <w:lang w:eastAsia="zh-CN"/>
                          </w:rPr>
                        </w:pPr>
                        <w:r>
                          <w:rPr>
                            <w:rFonts w:cs="宋体"/>
                            <w:sz w:val="14"/>
                          </w:rPr>
                          <w:t>否</w:t>
                        </w:r>
                      </w:p>
                    </w:txbxContent>
                  </v:textbox>
                </v:shape>
                <v:shape id="_x0000_s1026" o:spid="_x0000_s1026" o:spt="202" type="#_x0000_t202" style="position:absolute;left:1371600;top:4181475;height:114300;width:160020;" fillcolor="#FFFFFF [3212]" filled="t" stroked="f" coordsize="21600,21600" o:gfxdata="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BkH9q2AAAA2wAAAA8A&#10;AAAAAAAAAQAgAAAAIgAAAGRycy9kb3ducmV2LnhtbFBLAQIUABQAAAAIAIdO4kAzLwWeOwAAADkA&#10;AAAQAAAAAAAAAAEAIAAAAAUBAABkcnMvc2hhcGV4bWwueG1sUEsFBgAAAAAGAAYAWwEAAK8DAAAA&#10;AA==&#10;">
                  <v:fill on="t" focussize="0,0"/>
                  <v:stroke on="f" weight="0.5pt"/>
                  <v:imagedata o:title=""/>
                  <o:lock v:ext="edit" aspectratio="f"/>
                  <v:textbox inset="0mm,0mm,0mm,0mm">
                    <w:txbxContent>
                      <w:p w14:paraId="321A5C97">
                        <w:pPr>
                          <w:spacing w:before="0" w:beforeLines="0" w:line="240" w:lineRule="auto"/>
                          <w:jc w:val="center"/>
                          <w:rPr>
                            <w:sz w:val="15"/>
                            <w:szCs w:val="15"/>
                            <w:lang w:eastAsia="zh-CN"/>
                          </w:rPr>
                        </w:pPr>
                        <w:r>
                          <w:rPr>
                            <w:rFonts w:cs="宋体"/>
                            <w:sz w:val="14"/>
                          </w:rPr>
                          <w:t>是</w:t>
                        </w:r>
                      </w:p>
                    </w:txbxContent>
                  </v:textbox>
                </v:shape>
                <v:shape id="_x0000_s1026" o:spid="_x0000_s1026" o:spt="202" type="#_x0000_t202" style="position:absolute;left:1371600;top:3467100;height:114300;width:160020;" fillcolor="#FFFFFF [3212]" filled="t" stroked="f" coordsize="21600,21600" o:gfxdata="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fuLqLsAAADb&#10;AAAADwAAAAAAAAABACAAAAAiAAAAZHJzL2Rvd25yZXYueG1sUEsBAhQAFAAAAAgAh07iQDMvBZ47&#10;AAAAOQAAABAAAAAAAAAAAQAgAAAACgEAAGRycy9zaGFwZXhtbC54bWxQSwUGAAAAAAYABgBbAQAA&#10;tAMAAAAA&#10;">
                  <v:fill on="t" focussize="0,0"/>
                  <v:stroke on="f" weight="0.5pt"/>
                  <v:imagedata o:title=""/>
                  <o:lock v:ext="edit" aspectratio="f"/>
                  <v:textbox inset="0mm,0mm,0mm,0mm">
                    <w:txbxContent>
                      <w:p w14:paraId="533285D5">
                        <w:pPr>
                          <w:spacing w:before="0" w:beforeLines="0" w:line="240" w:lineRule="auto"/>
                          <w:jc w:val="center"/>
                          <w:rPr>
                            <w:sz w:val="15"/>
                            <w:szCs w:val="15"/>
                            <w:lang w:eastAsia="zh-CN"/>
                          </w:rPr>
                        </w:pPr>
                        <w:r>
                          <w:rPr>
                            <w:rFonts w:cs="宋体"/>
                            <w:sz w:val="14"/>
                          </w:rPr>
                          <w:t>是</w:t>
                        </w:r>
                      </w:p>
                    </w:txbxContent>
                  </v:textbox>
                </v:shape>
                <v:shape id="_x0000_s1026" o:spid="_x0000_s1026" o:spt="202" type="#_x0000_t202" style="position:absolute;left:2524125;top:2381250;height:114300;width:132080;" fillcolor="#FFFFFF [3212]" filled="t" stroked="f" coordsize="21600,21600" o:gfxdata="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63LjO2AAAA2wAAAA8A&#10;AAAAAAAAAQAgAAAAIgAAAGRycy9kb3ducmV2LnhtbFBLAQIUABQAAAAIAIdO4kAzLwWeOwAAADkA&#10;AAAQAAAAAAAAAAEAIAAAAAUBAABkcnMvc2hhcGV4bWwueG1sUEsFBgAAAAAGAAYAWwEAAK8DAAAA&#10;AA==&#10;">
                  <v:fill on="t" focussize="0,0"/>
                  <v:stroke on="f" weight="0.5pt"/>
                  <v:imagedata o:title=""/>
                  <o:lock v:ext="edit" aspectratio="f"/>
                  <v:textbox inset="0mm,0mm,0mm,0mm">
                    <w:txbxContent>
                      <w:p w14:paraId="5F995823">
                        <w:pPr>
                          <w:spacing w:before="0" w:beforeLines="0" w:line="240" w:lineRule="auto"/>
                          <w:jc w:val="center"/>
                          <w:rPr>
                            <w:sz w:val="15"/>
                            <w:szCs w:val="15"/>
                            <w:lang w:eastAsia="zh-CN"/>
                          </w:rPr>
                        </w:pPr>
                        <w:r>
                          <w:rPr>
                            <w:rFonts w:cs="宋体"/>
                            <w:sz w:val="14"/>
                          </w:rPr>
                          <w:t>否</w:t>
                        </w:r>
                      </w:p>
                    </w:txbxContent>
                  </v:textbox>
                </v:shape>
                <v:shape id="_x0000_s1026" o:spid="_x0000_s1026" o:spt="202" type="#_x0000_t202" style="position:absolute;left:2524125;top:3095625;height:114300;width:132080;" fillcolor="#FFFFFF [3212]" filled="t" stroked="f" coordsize="21600,21600" o:gfxdata="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weFNE7UAAADbAAAADwAA&#10;AAAAAAABACAAAAAiAAAAZHJzL2Rvd25yZXYueG1sUEsBAhQAFAAAAAgAh07iQDMvBZ47AAAAOQAA&#10;ABAAAAAAAAAAAQAgAAAABAEAAGRycy9zaGFwZXhtbC54bWxQSwUGAAAAAAYABgBbAQAArgMAAAAA&#10;">
                  <v:fill on="t" focussize="0,0"/>
                  <v:stroke on="f" weight="0.5pt"/>
                  <v:imagedata o:title=""/>
                  <o:lock v:ext="edit" aspectratio="f"/>
                  <v:textbox inset="0mm,0mm,0mm,0mm">
                    <w:txbxContent>
                      <w:p w14:paraId="1566E92B">
                        <w:pPr>
                          <w:spacing w:before="0" w:beforeLines="0" w:line="240" w:lineRule="auto"/>
                          <w:jc w:val="center"/>
                          <w:rPr>
                            <w:sz w:val="15"/>
                            <w:szCs w:val="15"/>
                            <w:lang w:eastAsia="zh-CN"/>
                          </w:rPr>
                        </w:pPr>
                        <w:r>
                          <w:rPr>
                            <w:rFonts w:cs="宋体"/>
                            <w:sz w:val="14"/>
                          </w:rPr>
                          <w:t>否</w:t>
                        </w:r>
                      </w:p>
                    </w:txbxContent>
                  </v:textbox>
                </v:shape>
                <v:shape id="_x0000_s1026" o:spid="_x0000_s1026" o:spt="202" type="#_x0000_t202" style="position:absolute;left:2524125;top:3810000;height:114300;width:132080;" fillcolor="#FFFFFF [3212]" filled="t" stroked="f" coordsize="21600,21600" o:gfxdata="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q3oiLgAAADbAAAA&#10;DwAAAAAAAAABACAAAAAiAAAAZHJzL2Rvd25yZXYueG1sUEsBAhQAFAAAAAgAh07iQDMvBZ47AAAA&#10;OQAAABAAAAAAAAAAAQAgAAAABwEAAGRycy9zaGFwZXhtbC54bWxQSwUGAAAAAAYABgBbAQAAsQMA&#10;AAAA&#10;">
                  <v:fill on="t" focussize="0,0"/>
                  <v:stroke on="f" weight="0.5pt"/>
                  <v:imagedata o:title=""/>
                  <o:lock v:ext="edit" aspectratio="f"/>
                  <v:textbox inset="0mm,0mm,0mm,0mm">
                    <w:txbxContent>
                      <w:p w14:paraId="79D5C8B7">
                        <w:pPr>
                          <w:spacing w:before="0" w:beforeLines="0" w:line="240" w:lineRule="auto"/>
                          <w:jc w:val="center"/>
                          <w:rPr>
                            <w:sz w:val="15"/>
                            <w:szCs w:val="15"/>
                            <w:lang w:eastAsia="zh-CN"/>
                          </w:rPr>
                        </w:pPr>
                        <w:r>
                          <w:rPr>
                            <w:rFonts w:cs="宋体"/>
                            <w:sz w:val="14"/>
                          </w:rPr>
                          <w:t>否</w:t>
                        </w:r>
                      </w:p>
                    </w:txbxContent>
                  </v:textbox>
                </v:shape>
                <v:shape id="_x0000_s1026" o:spid="_x0000_s1026" o:spt="202" type="#_x0000_t202" style="position:absolute;left:2524125;top:4533900;height:114300;width:132080;" fillcolor="#FFFFFF [3212]" filled="t" stroked="f" coordsize="21600,21600" o:gfxdata="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Xn92/7gAAADbAAAA&#10;DwAAAAAAAAABACAAAAAiAAAAZHJzL2Rvd25yZXYueG1sUEsBAhQAFAAAAAgAh07iQDMvBZ47AAAA&#10;OQAAABAAAAAAAAAAAQAgAAAABwEAAGRycy9zaGFwZXhtbC54bWxQSwUGAAAAAAYABgBbAQAAsQMA&#10;AAAA&#10;">
                  <v:fill on="t" focussize="0,0"/>
                  <v:stroke on="f" weight="0.5pt"/>
                  <v:imagedata o:title=""/>
                  <o:lock v:ext="edit" aspectratio="f"/>
                  <v:textbox inset="0mm,0mm,0mm,0mm">
                    <w:txbxContent>
                      <w:p w14:paraId="7D5446E3">
                        <w:pPr>
                          <w:spacing w:before="0" w:beforeLines="0" w:line="240" w:lineRule="auto"/>
                          <w:jc w:val="center"/>
                          <w:rPr>
                            <w:sz w:val="15"/>
                            <w:szCs w:val="15"/>
                            <w:lang w:eastAsia="zh-CN"/>
                          </w:rPr>
                        </w:pPr>
                        <w:r>
                          <w:rPr>
                            <w:rFonts w:cs="宋体"/>
                            <w:sz w:val="14"/>
                          </w:rPr>
                          <w:t>否</w:t>
                        </w:r>
                      </w:p>
                    </w:txbxContent>
                  </v:textbox>
                </v:shape>
                <v:shape id="_x0000_s1026" o:spid="_x0000_s1026" o:spt="202" type="#_x0000_t202" style="position:absolute;left:2524125;top:1609725;height:114300;width:132080;" fillcolor="#FFFFFF [3212]" filled="t" stroked="f" coordsize="21600,21600" o:gfxdata="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MTPTZLgAAADbAAAA&#10;DwAAAAAAAAABACAAAAAiAAAAZHJzL2Rvd25yZXYueG1sUEsBAhQAFAAAAAgAh07iQDMvBZ47AAAA&#10;OQAAABAAAAAAAAAAAQAgAAAABwEAAGRycy9zaGFwZXhtbC54bWxQSwUGAAAAAAYABgBbAQAAsQMA&#10;AAAA&#10;">
                  <v:fill on="t" focussize="0,0"/>
                  <v:stroke on="f" weight="0.5pt"/>
                  <v:imagedata o:title=""/>
                  <o:lock v:ext="edit" aspectratio="f"/>
                  <v:textbox inset="0mm,0mm,0mm,0mm">
                    <w:txbxContent>
                      <w:p w14:paraId="7EDB4274">
                        <w:pPr>
                          <w:spacing w:before="0" w:beforeLines="0" w:line="240" w:lineRule="auto"/>
                          <w:jc w:val="center"/>
                          <w:rPr>
                            <w:sz w:val="15"/>
                            <w:szCs w:val="15"/>
                            <w:lang w:eastAsia="zh-CN"/>
                          </w:rPr>
                        </w:pPr>
                        <w:r>
                          <w:rPr>
                            <w:rFonts w:cs="宋体"/>
                            <w:sz w:val="14"/>
                          </w:rPr>
                          <w:t>否</w:t>
                        </w:r>
                      </w:p>
                    </w:txbxContent>
                  </v:textbox>
                </v:shape>
                <v:shape id="_x0000_s1026" o:spid="_x0000_s1026" o:spt="202" type="#_x0000_t202" style="position:absolute;left:3324225;top:3095625;height:114300;width:160020;" fillcolor="#FFFFFF [3212]" filled="t" stroked="f" coordsize="21600,21600" o:gfxdata="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vtpLELgAAADbAAAA&#10;DwAAAAAAAAABACAAAAAiAAAAZHJzL2Rvd25yZXYueG1sUEsBAhQAFAAAAAgAh07iQDMvBZ47AAAA&#10;OQAAABAAAAAAAAAAAQAgAAAABwEAAGRycy9zaGFwZXhtbC54bWxQSwUGAAAAAAYABgBbAQAAsQMA&#10;AAAA&#10;">
                  <v:fill on="t" focussize="0,0"/>
                  <v:stroke on="f" weight="0.5pt"/>
                  <v:imagedata o:title=""/>
                  <o:lock v:ext="edit" aspectratio="f"/>
                  <v:textbox inset="0mm,0mm,0mm,0mm">
                    <w:txbxContent>
                      <w:p w14:paraId="4DF6EFA7">
                        <w:pPr>
                          <w:spacing w:before="0" w:beforeLines="0" w:line="240" w:lineRule="auto"/>
                          <w:jc w:val="center"/>
                          <w:rPr>
                            <w:sz w:val="15"/>
                            <w:szCs w:val="15"/>
                            <w:lang w:eastAsia="zh-CN"/>
                          </w:rPr>
                        </w:pPr>
                        <w:r>
                          <w:rPr>
                            <w:rFonts w:cs="宋体"/>
                            <w:sz w:val="14"/>
                          </w:rPr>
                          <w:t>否</w:t>
                        </w:r>
                      </w:p>
                    </w:txbxContent>
                  </v:textbox>
                </v:shape>
                <v:shape id="_x0000_s1026" o:spid="_x0000_s1026" o:spt="202" type="#_x0000_t202" style="position:absolute;left:1371600;top:5086350;height:114300;width:160020;" fillcolor="#FFFFFF [3212]" filled="t" stroked="f" coordsize="21600,21600" o:gfxdata="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GW7ou5AAAA2wAA&#10;AA8AAAAAAAAAAQAgAAAAIgAAAGRycy9kb3ducmV2LnhtbFBLAQIUABQAAAAIAIdO4kAzLwWeOwAA&#10;ADkAAAAQAAAAAAAAAAEAIAAAAAgBAABkcnMvc2hhcGV4bWwueG1sUEsFBgAAAAAGAAYAWwEAALID&#10;AAAAAA==&#10;">
                  <v:fill on="t" focussize="0,0"/>
                  <v:stroke on="f" weight="0.5pt"/>
                  <v:imagedata o:title=""/>
                  <o:lock v:ext="edit" aspectratio="f"/>
                  <v:textbox inset="0mm,0mm,0mm,0mm">
                    <w:txbxContent>
                      <w:p w14:paraId="51676B4B">
                        <w:pPr>
                          <w:spacing w:before="0" w:beforeLines="0" w:line="240" w:lineRule="auto"/>
                          <w:jc w:val="center"/>
                          <w:rPr>
                            <w:sz w:val="15"/>
                            <w:szCs w:val="15"/>
                            <w:lang w:eastAsia="zh-CN"/>
                          </w:rPr>
                        </w:pPr>
                        <w:r>
                          <w:rPr>
                            <w:rFonts w:cs="宋体"/>
                            <w:sz w:val="14"/>
                          </w:rPr>
                          <w:t>是</w:t>
                        </w:r>
                      </w:p>
                    </w:txbxContent>
                  </v:textbox>
                </v:shape>
                <v:shape id="_x0000_s1026" o:spid="_x0000_s1026" o:spt="202" type="#_x0000_t202" style="position:absolute;left:981075;top:5353050;height:365760;width:996950;v-text-anchor:middle;" fillcolor="#8BCB3F" filled="t" stroked="f" coordsize="21600,21600" o:gfxdata="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CLCUr4A&#10;AADbAAAADwAAAAAAAAABACAAAAAiAAAAZHJzL2Rvd25yZXYueG1sUEsBAhQAFAAAAAgAh07iQDMv&#10;BZ47AAAAOQAAABAAAAAAAAAAAQAgAAAADQEAAGRycy9zaGFwZXhtbC54bWxQSwUGAAAAAAYABgBb&#10;AQAAtwMAAAAA&#10;">
                  <v:fill on="t" focussize="0,0"/>
                  <v:stroke on="f" weight="0.5pt"/>
                  <v:imagedata o:title=""/>
                  <o:lock v:ext="edit" aspectratio="f"/>
                  <v:textbox inset="0mm,0mm,0mm,0mm">
                    <w:txbxContent>
                      <w:p w14:paraId="47F2466E">
                        <w:pPr>
                          <w:spacing w:before="0" w:beforeLines="0" w:line="240" w:lineRule="auto"/>
                          <w:jc w:val="center"/>
                          <w:rPr>
                            <w:b/>
                            <w:bCs/>
                            <w:sz w:val="15"/>
                            <w:szCs w:val="15"/>
                            <w:lang w:eastAsia="zh-CN"/>
                          </w:rPr>
                        </w:pPr>
                        <w:r>
                          <w:rPr>
                            <w:rFonts w:cs="宋体"/>
                            <w:b/>
                            <w:sz w:val="14"/>
                          </w:rPr>
                          <w:t>满足生物相容性要求</w:t>
                        </w:r>
                      </w:p>
                    </w:txbxContent>
                  </v:textbox>
                </v:shape>
                <v:shape id="_x0000_s1026" o:spid="_x0000_s1026" o:spt="202" type="#_x0000_t202" style="position:absolute;left:4010025;top:5457825;height:114300;width:160020;" fillcolor="#FFFFFF [3212]" filled="t" stroked="f" coordsize="21600,21600" o:gfxdata="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P5dBFbUAAADbAAAADwAA&#10;AAAAAAABACAAAAAiAAAAZHJzL2Rvd25yZXYueG1sUEsBAhQAFAAAAAgAh07iQDMvBZ47AAAAOQAA&#10;ABAAAAAAAAAAAQAgAAAABAEAAGRycy9zaGFwZXhtbC54bWxQSwUGAAAAAAYABgBbAQAArgMAAAAA&#10;">
                  <v:fill on="t" focussize="0,0"/>
                  <v:stroke on="f" weight="0.5pt"/>
                  <v:imagedata o:title=""/>
                  <o:lock v:ext="edit" aspectratio="f"/>
                  <v:textbox inset="0mm,0mm,0mm,0mm">
                    <w:txbxContent>
                      <w:p w14:paraId="11174744">
                        <w:pPr>
                          <w:spacing w:before="0" w:beforeLines="0" w:line="240" w:lineRule="auto"/>
                          <w:jc w:val="center"/>
                          <w:rPr>
                            <w:sz w:val="15"/>
                            <w:szCs w:val="15"/>
                            <w:lang w:eastAsia="zh-CN"/>
                          </w:rPr>
                        </w:pPr>
                        <w:r>
                          <w:rPr>
                            <w:rFonts w:cs="宋体"/>
                            <w:sz w:val="14"/>
                          </w:rPr>
                          <w:t>是</w:t>
                        </w:r>
                      </w:p>
                    </w:txbxContent>
                  </v:textbox>
                </v:shape>
                <v:shape id="_x0000_s1026" o:spid="_x0000_s1026" o:spt="202" type="#_x0000_t202" style="position:absolute;left:5334000;top:3057525;height:243840;width:396240;" filled="t" stroked="f" coordsize="21600,21600" o:gfxdata="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Cix74A&#10;AADbAAAADwAAAAAAAAABACAAAAAiAAAAZHJzL2Rvd25yZXYueG1sUEsBAhQAFAAAAAgAh07iQDMv&#10;BZ47AAAAOQAAABAAAAAAAAAAAQAgAAAADQEAAGRycy9zaGFwZXhtbC54bWxQSwUGAAAAAAYABgBb&#10;AQAAtwMAAAAA&#10;">
                  <v:fill type="frame" on="t" focussize="0,0" recolor="t" rotate="t" r:id="rId16"/>
                  <v:stroke on="f" weight="0.5pt"/>
                  <v:imagedata o:title=""/>
                  <o:lock v:ext="edit" aspectratio="f"/>
                  <v:textbox inset="0mm,0mm,0mm,0mm">
                    <w:txbxContent>
                      <w:p w14:paraId="36C36617">
                        <w:pPr>
                          <w:spacing w:before="0" w:beforeLines="0" w:line="240" w:lineRule="auto"/>
                          <w:jc w:val="center"/>
                          <w:rPr>
                            <w:b/>
                            <w:bCs/>
                            <w:sz w:val="15"/>
                            <w:szCs w:val="15"/>
                            <w:lang w:eastAsia="zh-CN"/>
                          </w:rPr>
                        </w:pPr>
                        <w:r>
                          <w:rPr>
                            <w:rFonts w:cs="宋体"/>
                            <w:b/>
                            <w:sz w:val="14"/>
                          </w:rPr>
                          <w:t>转至图表A</w:t>
                        </w:r>
                      </w:p>
                    </w:txbxContent>
                  </v:textbox>
                </v:shape>
                <w10:wrap type="none"/>
                <w10:anchorlock/>
              </v:group>
            </w:pict>
          </mc:Fallback>
        </mc:AlternateContent>
      </w:r>
    </w:p>
    <w:p w14:paraId="26290EBE">
      <w:pPr>
        <w:spacing w:before="120"/>
      </w:pPr>
      <w:r>
        <w:rPr>
          <w:rFonts w:cs="宋体"/>
        </w:rPr>
        <w:br w:type="page"/>
      </w:r>
    </w:p>
    <w:p w14:paraId="6ADD4086">
      <w:pPr>
        <w:spacing w:before="120"/>
        <w:jc w:val="center"/>
        <w:rPr>
          <w:b/>
          <w:bCs/>
        </w:rPr>
      </w:pPr>
      <w:r>
        <w:rPr>
          <w:rFonts w:cs="宋体"/>
          <w:b/>
        </w:rPr>
        <w:t>图表A</w:t>
      </w:r>
    </w:p>
    <w:p w14:paraId="45013C4E">
      <w:pPr>
        <w:spacing w:before="120"/>
      </w:pPr>
      <w:r>
        <w:rPr>
          <w:lang w:eastAsia="zh-CN" w:bidi="ar-SA"/>
        </w:rPr>
        <mc:AlternateContent>
          <mc:Choice Requires="wpg">
            <w:drawing>
              <wp:inline distT="0" distB="0" distL="0" distR="0">
                <wp:extent cx="5486400" cy="7284720"/>
                <wp:effectExtent l="0" t="0" r="0" b="0"/>
                <wp:docPr id="56" name="组合 56"/>
                <wp:cNvGraphicFramePr/>
                <a:graphic xmlns:a="http://schemas.openxmlformats.org/drawingml/2006/main">
                  <a:graphicData uri="http://schemas.microsoft.com/office/word/2010/wordprocessingGroup">
                    <wpg:wgp>
                      <wpg:cNvGrpSpPr/>
                      <wpg:grpSpPr>
                        <a:xfrm>
                          <a:off x="0" y="0"/>
                          <a:ext cx="5486400" cy="7284720"/>
                          <a:chOff x="0" y="0"/>
                          <a:chExt cx="5486400" cy="7284720"/>
                        </a:xfrm>
                      </wpg:grpSpPr>
                      <pic:pic xmlns:pic="http://schemas.openxmlformats.org/drawingml/2006/picture">
                        <pic:nvPicPr>
                          <pic:cNvPr id="16" name="Picutre 16"/>
                          <pic:cNvPicPr/>
                        </pic:nvPicPr>
                        <pic:blipFill>
                          <a:blip r:embed="rId17">
                            <a:extLst>
                              <a:ext uri="{28A0092B-C50C-407E-A947-70E740481C1C}">
                                <a14:useLocalDpi xmlns:a14="http://schemas.microsoft.com/office/drawing/2010/main" val="0"/>
                              </a:ext>
                            </a:extLst>
                          </a:blip>
                          <a:stretch>
                            <a:fillRect/>
                          </a:stretch>
                        </pic:blipFill>
                        <pic:spPr>
                          <a:xfrm>
                            <a:off x="0" y="0"/>
                            <a:ext cx="5486400" cy="7284720"/>
                          </a:xfrm>
                          <a:prstGeom prst="rect">
                            <a:avLst/>
                          </a:prstGeom>
                        </pic:spPr>
                      </pic:pic>
                      <wps:wsp>
                        <wps:cNvPr id="31" name="文本框 31"/>
                        <wps:cNvSpPr txBox="1"/>
                        <wps:spPr>
                          <a:xfrm>
                            <a:off x="2311400" y="190500"/>
                            <a:ext cx="762000" cy="119743"/>
                          </a:xfrm>
                          <a:prstGeom prst="rect">
                            <a:avLst/>
                          </a:prstGeom>
                          <a:blipFill dpi="0" rotWithShape="1">
                            <a:blip r:embed="rId16">
                              <a:extLst>
                                <a:ext uri="{28A0092B-C50C-407E-A947-70E740481C1C}">
                                  <a14:useLocalDpi xmlns:a14="http://schemas.microsoft.com/office/drawing/2010/main" val="0"/>
                                </a:ext>
                              </a:extLst>
                            </a:blip>
                            <a:srcRect/>
                            <a:stretch>
                              <a:fillRect/>
                            </a:stretch>
                          </a:blipFill>
                          <a:ln w="6350">
                            <a:noFill/>
                          </a:ln>
                        </wps:spPr>
                        <wps:txbx>
                          <w:txbxContent>
                            <w:p w14:paraId="5F898490">
                              <w:pPr>
                                <w:spacing w:before="0" w:beforeLines="0" w:line="240" w:lineRule="auto"/>
                                <w:jc w:val="center"/>
                                <w:rPr>
                                  <w:b/>
                                  <w:bCs/>
                                  <w:sz w:val="15"/>
                                  <w:szCs w:val="15"/>
                                  <w:lang w:eastAsia="zh-CN"/>
                                </w:rPr>
                              </w:pPr>
                              <w:r>
                                <w:rPr>
                                  <w:rFonts w:cs="宋体"/>
                                  <w:b/>
                                  <w:sz w:val="14"/>
                                </w:rPr>
                                <w:t>来自主图表</w:t>
                              </w:r>
                            </w:p>
                          </w:txbxContent>
                        </wps:txbx>
                        <wps:bodyPr rot="0" spcFirstLastPara="0" vertOverflow="overflow" horzOverflow="overflow" vert="horz" wrap="square" lIns="0" tIns="0" rIns="0" bIns="0" numCol="1" spcCol="0" rtlCol="0" fromWordArt="0" anchor="t" anchorCtr="0" forceAA="0" compatLnSpc="1">
                          <a:noAutofit/>
                        </wps:bodyPr>
                      </wps:wsp>
                      <wps:wsp>
                        <wps:cNvPr id="32" name="文本框 32"/>
                        <wps:cNvSpPr txBox="1"/>
                        <wps:spPr>
                          <a:xfrm>
                            <a:off x="2133600" y="6159500"/>
                            <a:ext cx="1094510" cy="242455"/>
                          </a:xfrm>
                          <a:prstGeom prst="rect">
                            <a:avLst/>
                          </a:prstGeom>
                          <a:blipFill dpi="0" rotWithShape="1">
                            <a:blip r:embed="rId16">
                              <a:extLst>
                                <a:ext uri="{28A0092B-C50C-407E-A947-70E740481C1C}">
                                  <a14:useLocalDpi xmlns:a14="http://schemas.microsoft.com/office/drawing/2010/main" val="0"/>
                                </a:ext>
                              </a:extLst>
                            </a:blip>
                            <a:srcRect/>
                            <a:stretch>
                              <a:fillRect/>
                            </a:stretch>
                          </a:blipFill>
                          <a:ln w="6350">
                            <a:noFill/>
                          </a:ln>
                        </wps:spPr>
                        <wps:txbx>
                          <w:txbxContent>
                            <w:p w14:paraId="3C8BCE81">
                              <w:pPr>
                                <w:spacing w:before="0" w:beforeLines="0" w:line="240" w:lineRule="auto"/>
                                <w:jc w:val="center"/>
                                <w:rPr>
                                  <w:b/>
                                  <w:bCs/>
                                  <w:sz w:val="15"/>
                                  <w:szCs w:val="15"/>
                                  <w:lang w:eastAsia="zh-CN"/>
                                </w:rPr>
                              </w:pPr>
                              <w:r>
                                <w:rPr>
                                  <w:rFonts w:cs="宋体"/>
                                  <w:b/>
                                  <w:sz w:val="14"/>
                                </w:rPr>
                                <w:t>要求更多的生物相容性信息</w:t>
                              </w:r>
                            </w:p>
                          </w:txbxContent>
                        </wps:txbx>
                        <wps:bodyPr rot="0" spcFirstLastPara="0" vertOverflow="overflow" horzOverflow="overflow" vert="horz" wrap="square" lIns="0" tIns="0" rIns="0" bIns="0" numCol="1" spcCol="0" rtlCol="0" fromWordArt="0" anchor="ctr" anchorCtr="0" forceAA="0" compatLnSpc="1">
                          <a:noAutofit/>
                        </wps:bodyPr>
                      </wps:wsp>
                      <wps:wsp>
                        <wps:cNvPr id="33" name="文本框 33"/>
                        <wps:cNvSpPr txBox="1"/>
                        <wps:spPr>
                          <a:xfrm>
                            <a:off x="2222500" y="6807200"/>
                            <a:ext cx="996950" cy="365760"/>
                          </a:xfrm>
                          <a:prstGeom prst="rect">
                            <a:avLst/>
                          </a:prstGeom>
                          <a:solidFill>
                            <a:srgbClr val="8BCB3F"/>
                          </a:solidFill>
                          <a:ln w="6350">
                            <a:noFill/>
                          </a:ln>
                        </wps:spPr>
                        <wps:txbx>
                          <w:txbxContent>
                            <w:p w14:paraId="0124E10C">
                              <w:pPr>
                                <w:spacing w:before="0" w:beforeLines="0" w:line="240" w:lineRule="auto"/>
                                <w:jc w:val="center"/>
                                <w:rPr>
                                  <w:b/>
                                  <w:bCs/>
                                  <w:sz w:val="15"/>
                                  <w:szCs w:val="15"/>
                                  <w:lang w:eastAsia="zh-CN"/>
                                </w:rPr>
                              </w:pPr>
                              <w:r>
                                <w:rPr>
                                  <w:rFonts w:cs="宋体"/>
                                  <w:b/>
                                  <w:sz w:val="14"/>
                                </w:rPr>
                                <w:t>满足生物相容性要求</w:t>
                              </w:r>
                            </w:p>
                          </w:txbxContent>
                        </wps:txbx>
                        <wps:bodyPr rot="0" spcFirstLastPara="0" vertOverflow="overflow" horzOverflow="overflow" vert="horz" wrap="square" lIns="0" tIns="0" rIns="0" bIns="0" numCol="1" spcCol="0" rtlCol="0" fromWordArt="0" anchor="ctr" anchorCtr="0" forceAA="0" compatLnSpc="1">
                          <a:noAutofit/>
                        </wps:bodyPr>
                      </wps:wsp>
                      <wps:wsp>
                        <wps:cNvPr id="34" name="文本框 34"/>
                        <wps:cNvSpPr txBox="1"/>
                        <wps:spPr>
                          <a:xfrm>
                            <a:off x="1803400" y="1981200"/>
                            <a:ext cx="132080" cy="114300"/>
                          </a:xfrm>
                          <a:prstGeom prst="rect">
                            <a:avLst/>
                          </a:prstGeom>
                          <a:solidFill>
                            <a:schemeClr val="bg1"/>
                          </a:solidFill>
                          <a:ln w="6350">
                            <a:noFill/>
                          </a:ln>
                        </wps:spPr>
                        <wps:txbx>
                          <w:txbxContent>
                            <w:p w14:paraId="7C22E77A">
                              <w:pPr>
                                <w:spacing w:before="0" w:beforeLines="0" w:line="240" w:lineRule="auto"/>
                                <w:jc w:val="center"/>
                                <w:rPr>
                                  <w:sz w:val="15"/>
                                  <w:szCs w:val="15"/>
                                  <w:lang w:eastAsia="zh-CN"/>
                                </w:rPr>
                              </w:pPr>
                              <w:r>
                                <w:rPr>
                                  <w:rFonts w:cs="宋体"/>
                                  <w:sz w:val="14"/>
                                </w:rPr>
                                <w:t>否</w:t>
                              </w:r>
                            </w:p>
                          </w:txbxContent>
                        </wps:txbx>
                        <wps:bodyPr rot="0" spcFirstLastPara="0" vertOverflow="overflow" horzOverflow="overflow" vert="horz" wrap="square" lIns="0" tIns="0" rIns="0" bIns="0" numCol="1" spcCol="0" rtlCol="0" fromWordArt="0" anchor="t" anchorCtr="0" forceAA="0" compatLnSpc="1">
                          <a:noAutofit/>
                        </wps:bodyPr>
                      </wps:wsp>
                      <wps:wsp>
                        <wps:cNvPr id="35" name="文本框 35"/>
                        <wps:cNvSpPr txBox="1"/>
                        <wps:spPr>
                          <a:xfrm>
                            <a:off x="2260600" y="2641600"/>
                            <a:ext cx="132080" cy="114300"/>
                          </a:xfrm>
                          <a:prstGeom prst="rect">
                            <a:avLst/>
                          </a:prstGeom>
                          <a:solidFill>
                            <a:schemeClr val="bg1"/>
                          </a:solidFill>
                          <a:ln w="6350">
                            <a:noFill/>
                          </a:ln>
                        </wps:spPr>
                        <wps:txbx>
                          <w:txbxContent>
                            <w:p w14:paraId="074E2D8D">
                              <w:pPr>
                                <w:spacing w:before="0" w:beforeLines="0" w:line="240" w:lineRule="auto"/>
                                <w:jc w:val="center"/>
                                <w:rPr>
                                  <w:sz w:val="15"/>
                                  <w:szCs w:val="15"/>
                                  <w:lang w:eastAsia="zh-CN"/>
                                </w:rPr>
                              </w:pPr>
                              <w:r>
                                <w:rPr>
                                  <w:rFonts w:cs="宋体"/>
                                  <w:sz w:val="14"/>
                                </w:rPr>
                                <w:t>否</w:t>
                              </w:r>
                            </w:p>
                          </w:txbxContent>
                        </wps:txbx>
                        <wps:bodyPr rot="0" spcFirstLastPara="0" vertOverflow="overflow" horzOverflow="overflow" vert="horz" wrap="square" lIns="0" tIns="0" rIns="0" bIns="0" numCol="1" spcCol="0" rtlCol="0" fromWordArt="0" anchor="t" anchorCtr="0" forceAA="0" compatLnSpc="1">
                          <a:noAutofit/>
                        </wps:bodyPr>
                      </wps:wsp>
                      <wps:wsp>
                        <wps:cNvPr id="36" name="文本框 36"/>
                        <wps:cNvSpPr txBox="1"/>
                        <wps:spPr>
                          <a:xfrm>
                            <a:off x="4762500" y="2641600"/>
                            <a:ext cx="132080" cy="114300"/>
                          </a:xfrm>
                          <a:prstGeom prst="rect">
                            <a:avLst/>
                          </a:prstGeom>
                          <a:solidFill>
                            <a:schemeClr val="bg1"/>
                          </a:solidFill>
                          <a:ln w="6350">
                            <a:noFill/>
                          </a:ln>
                        </wps:spPr>
                        <wps:txbx>
                          <w:txbxContent>
                            <w:p w14:paraId="34D8B9D1">
                              <w:pPr>
                                <w:spacing w:before="0" w:beforeLines="0" w:line="240" w:lineRule="auto"/>
                                <w:jc w:val="center"/>
                                <w:rPr>
                                  <w:sz w:val="15"/>
                                  <w:szCs w:val="15"/>
                                  <w:lang w:eastAsia="zh-CN"/>
                                </w:rPr>
                              </w:pPr>
                              <w:r>
                                <w:rPr>
                                  <w:rFonts w:cs="宋体"/>
                                  <w:sz w:val="14"/>
                                </w:rPr>
                                <w:t>否</w:t>
                              </w:r>
                            </w:p>
                          </w:txbxContent>
                        </wps:txbx>
                        <wps:bodyPr rot="0" spcFirstLastPara="0" vertOverflow="overflow" horzOverflow="overflow" vert="horz" wrap="square" lIns="0" tIns="0" rIns="0" bIns="0" numCol="1" spcCol="0" rtlCol="0" fromWordArt="0" anchor="t" anchorCtr="0" forceAA="0" compatLnSpc="1">
                          <a:noAutofit/>
                        </wps:bodyPr>
                      </wps:wsp>
                      <wps:wsp>
                        <wps:cNvPr id="37" name="文本框 37"/>
                        <wps:cNvSpPr txBox="1"/>
                        <wps:spPr>
                          <a:xfrm>
                            <a:off x="2603500" y="5791200"/>
                            <a:ext cx="132080" cy="114300"/>
                          </a:xfrm>
                          <a:prstGeom prst="rect">
                            <a:avLst/>
                          </a:prstGeom>
                          <a:solidFill>
                            <a:schemeClr val="bg1"/>
                          </a:solidFill>
                          <a:ln w="6350">
                            <a:noFill/>
                          </a:ln>
                        </wps:spPr>
                        <wps:txbx>
                          <w:txbxContent>
                            <w:p w14:paraId="64CD207D">
                              <w:pPr>
                                <w:spacing w:before="0" w:beforeLines="0" w:line="240" w:lineRule="auto"/>
                                <w:jc w:val="center"/>
                                <w:rPr>
                                  <w:sz w:val="15"/>
                                  <w:szCs w:val="15"/>
                                  <w:lang w:eastAsia="zh-CN"/>
                                </w:rPr>
                              </w:pPr>
                              <w:r>
                                <w:rPr>
                                  <w:rFonts w:cs="宋体"/>
                                  <w:sz w:val="14"/>
                                </w:rPr>
                                <w:t>否</w:t>
                              </w:r>
                            </w:p>
                          </w:txbxContent>
                        </wps:txbx>
                        <wps:bodyPr rot="0" spcFirstLastPara="0" vertOverflow="overflow" horzOverflow="overflow" vert="horz" wrap="square" lIns="0" tIns="0" rIns="0" bIns="0" numCol="1" spcCol="0" rtlCol="0" fromWordArt="0" anchor="t" anchorCtr="0" forceAA="0" compatLnSpc="1">
                          <a:noAutofit/>
                        </wps:bodyPr>
                      </wps:wsp>
                      <wps:wsp>
                        <wps:cNvPr id="38" name="文本框 38"/>
                        <wps:cNvSpPr txBox="1"/>
                        <wps:spPr>
                          <a:xfrm>
                            <a:off x="2603500" y="1041400"/>
                            <a:ext cx="160020" cy="114300"/>
                          </a:xfrm>
                          <a:prstGeom prst="rect">
                            <a:avLst/>
                          </a:prstGeom>
                          <a:solidFill>
                            <a:schemeClr val="bg1"/>
                          </a:solidFill>
                          <a:ln w="6350">
                            <a:noFill/>
                          </a:ln>
                        </wps:spPr>
                        <wps:txbx>
                          <w:txbxContent>
                            <w:p w14:paraId="5DB1822F">
                              <w:pPr>
                                <w:spacing w:before="0" w:beforeLines="0" w:line="240" w:lineRule="auto"/>
                                <w:jc w:val="center"/>
                                <w:rPr>
                                  <w:sz w:val="15"/>
                                  <w:szCs w:val="15"/>
                                  <w:lang w:eastAsia="zh-CN"/>
                                </w:rPr>
                              </w:pPr>
                              <w:r>
                                <w:rPr>
                                  <w:rFonts w:cs="宋体"/>
                                  <w:sz w:val="14"/>
                                </w:rPr>
                                <w:t>是</w:t>
                              </w:r>
                            </w:p>
                          </w:txbxContent>
                        </wps:txbx>
                        <wps:bodyPr rot="0" spcFirstLastPara="0" vertOverflow="overflow" horzOverflow="overflow" vert="horz" wrap="square" lIns="0" tIns="0" rIns="0" bIns="0" numCol="1" spcCol="0" rtlCol="0" fromWordArt="0" anchor="t" anchorCtr="0" forceAA="0" compatLnSpc="1">
                          <a:noAutofit/>
                        </wps:bodyPr>
                      </wps:wsp>
                      <wps:wsp>
                        <wps:cNvPr id="39" name="文本框 39"/>
                        <wps:cNvSpPr txBox="1"/>
                        <wps:spPr>
                          <a:xfrm>
                            <a:off x="3340100" y="1981200"/>
                            <a:ext cx="160020" cy="114300"/>
                          </a:xfrm>
                          <a:prstGeom prst="rect">
                            <a:avLst/>
                          </a:prstGeom>
                          <a:solidFill>
                            <a:schemeClr val="bg1"/>
                          </a:solidFill>
                          <a:ln w="6350">
                            <a:noFill/>
                          </a:ln>
                        </wps:spPr>
                        <wps:txbx>
                          <w:txbxContent>
                            <w:p w14:paraId="5D6C8BD5">
                              <w:pPr>
                                <w:spacing w:before="0" w:beforeLines="0" w:line="240" w:lineRule="auto"/>
                                <w:jc w:val="center"/>
                                <w:rPr>
                                  <w:sz w:val="15"/>
                                  <w:szCs w:val="15"/>
                                  <w:lang w:eastAsia="zh-CN"/>
                                </w:rPr>
                              </w:pPr>
                              <w:r>
                                <w:rPr>
                                  <w:rFonts w:cs="宋体"/>
                                  <w:sz w:val="14"/>
                                </w:rPr>
                                <w:t>是</w:t>
                              </w:r>
                            </w:p>
                          </w:txbxContent>
                        </wps:txbx>
                        <wps:bodyPr rot="0" spcFirstLastPara="0" vertOverflow="overflow" horzOverflow="overflow" vert="horz" wrap="square" lIns="0" tIns="0" rIns="0" bIns="0" numCol="1" spcCol="0" rtlCol="0" fromWordArt="0" anchor="t" anchorCtr="0" forceAA="0" compatLnSpc="1">
                          <a:noAutofit/>
                        </wps:bodyPr>
                      </wps:wsp>
                      <wps:wsp>
                        <wps:cNvPr id="40" name="文本框 40"/>
                        <wps:cNvSpPr txBox="1"/>
                        <wps:spPr>
                          <a:xfrm>
                            <a:off x="2730500" y="2641600"/>
                            <a:ext cx="160020" cy="114300"/>
                          </a:xfrm>
                          <a:prstGeom prst="rect">
                            <a:avLst/>
                          </a:prstGeom>
                          <a:solidFill>
                            <a:schemeClr val="bg1"/>
                          </a:solidFill>
                          <a:ln w="6350">
                            <a:noFill/>
                          </a:ln>
                        </wps:spPr>
                        <wps:txbx>
                          <w:txbxContent>
                            <w:p w14:paraId="44E5CAA3">
                              <w:pPr>
                                <w:spacing w:before="0" w:beforeLines="0" w:line="240" w:lineRule="auto"/>
                                <w:jc w:val="center"/>
                                <w:rPr>
                                  <w:sz w:val="15"/>
                                  <w:szCs w:val="15"/>
                                  <w:lang w:eastAsia="zh-CN"/>
                                </w:rPr>
                              </w:pPr>
                              <w:r>
                                <w:rPr>
                                  <w:rFonts w:cs="宋体"/>
                                  <w:sz w:val="14"/>
                                </w:rPr>
                                <w:t>是</w:t>
                              </w:r>
                            </w:p>
                          </w:txbxContent>
                        </wps:txbx>
                        <wps:bodyPr rot="0" spcFirstLastPara="0" vertOverflow="overflow" horzOverflow="overflow" vert="horz" wrap="square" lIns="0" tIns="0" rIns="0" bIns="0" numCol="1" spcCol="0" rtlCol="0" fromWordArt="0" anchor="t" anchorCtr="0" forceAA="0" compatLnSpc="1">
                          <a:noAutofit/>
                        </wps:bodyPr>
                      </wps:wsp>
                      <wps:wsp>
                        <wps:cNvPr id="41" name="文本框 41"/>
                        <wps:cNvSpPr txBox="1"/>
                        <wps:spPr>
                          <a:xfrm>
                            <a:off x="381000" y="2641600"/>
                            <a:ext cx="160020" cy="114300"/>
                          </a:xfrm>
                          <a:prstGeom prst="rect">
                            <a:avLst/>
                          </a:prstGeom>
                          <a:solidFill>
                            <a:schemeClr val="bg1"/>
                          </a:solidFill>
                          <a:ln w="6350">
                            <a:noFill/>
                          </a:ln>
                        </wps:spPr>
                        <wps:txbx>
                          <w:txbxContent>
                            <w:p w14:paraId="04DDAD5B">
                              <w:pPr>
                                <w:spacing w:before="0" w:beforeLines="0" w:line="240" w:lineRule="auto"/>
                                <w:jc w:val="center"/>
                                <w:rPr>
                                  <w:sz w:val="15"/>
                                  <w:szCs w:val="15"/>
                                  <w:lang w:eastAsia="zh-CN"/>
                                </w:rPr>
                              </w:pPr>
                              <w:r>
                                <w:rPr>
                                  <w:rFonts w:cs="宋体"/>
                                  <w:sz w:val="14"/>
                                </w:rPr>
                                <w:t>是</w:t>
                              </w:r>
                            </w:p>
                          </w:txbxContent>
                        </wps:txbx>
                        <wps:bodyPr rot="0" spcFirstLastPara="0" vertOverflow="overflow" horzOverflow="overflow" vert="horz" wrap="square" lIns="0" tIns="0" rIns="0" bIns="0" numCol="1" spcCol="0" rtlCol="0" fromWordArt="0" anchor="t" anchorCtr="0" forceAA="0" compatLnSpc="1">
                          <a:noAutofit/>
                        </wps:bodyPr>
                      </wps:wsp>
                      <wps:wsp>
                        <wps:cNvPr id="42" name="文本框 42"/>
                        <wps:cNvSpPr txBox="1"/>
                        <wps:spPr>
                          <a:xfrm>
                            <a:off x="3683000" y="5054600"/>
                            <a:ext cx="160020" cy="114300"/>
                          </a:xfrm>
                          <a:prstGeom prst="rect">
                            <a:avLst/>
                          </a:prstGeom>
                          <a:solidFill>
                            <a:schemeClr val="bg1"/>
                          </a:solidFill>
                          <a:ln w="6350">
                            <a:noFill/>
                          </a:ln>
                        </wps:spPr>
                        <wps:txbx>
                          <w:txbxContent>
                            <w:p w14:paraId="2722D744">
                              <w:pPr>
                                <w:spacing w:before="0" w:beforeLines="0" w:line="240" w:lineRule="auto"/>
                                <w:jc w:val="center"/>
                                <w:rPr>
                                  <w:sz w:val="15"/>
                                  <w:szCs w:val="15"/>
                                  <w:lang w:eastAsia="zh-CN"/>
                                </w:rPr>
                              </w:pPr>
                              <w:r>
                                <w:rPr>
                                  <w:rFonts w:cs="宋体"/>
                                  <w:sz w:val="14"/>
                                </w:rPr>
                                <w:t>是</w:t>
                              </w:r>
                            </w:p>
                          </w:txbxContent>
                        </wps:txbx>
                        <wps:bodyPr rot="0" spcFirstLastPara="0" vertOverflow="overflow" horzOverflow="overflow" vert="horz" wrap="square" lIns="0" tIns="0" rIns="0" bIns="0" numCol="1" spcCol="0" rtlCol="0" fromWordArt="0" anchor="t" anchorCtr="0" forceAA="0" compatLnSpc="1">
                          <a:noAutofit/>
                        </wps:bodyPr>
                      </wps:wsp>
                      <wps:wsp>
                        <wps:cNvPr id="43" name="文本框 43"/>
                        <wps:cNvSpPr txBox="1"/>
                        <wps:spPr>
                          <a:xfrm>
                            <a:off x="4521200" y="6692900"/>
                            <a:ext cx="160020" cy="114300"/>
                          </a:xfrm>
                          <a:prstGeom prst="rect">
                            <a:avLst/>
                          </a:prstGeom>
                          <a:solidFill>
                            <a:schemeClr val="bg1"/>
                          </a:solidFill>
                          <a:ln w="6350">
                            <a:noFill/>
                          </a:ln>
                        </wps:spPr>
                        <wps:txbx>
                          <w:txbxContent>
                            <w:p w14:paraId="42E1466B">
                              <w:pPr>
                                <w:spacing w:before="0" w:beforeLines="0" w:line="240" w:lineRule="auto"/>
                                <w:jc w:val="center"/>
                                <w:rPr>
                                  <w:sz w:val="15"/>
                                  <w:szCs w:val="15"/>
                                  <w:lang w:eastAsia="zh-CN"/>
                                </w:rPr>
                              </w:pPr>
                              <w:r>
                                <w:rPr>
                                  <w:rFonts w:cs="宋体"/>
                                  <w:sz w:val="14"/>
                                </w:rPr>
                                <w:t>是</w:t>
                              </w:r>
                            </w:p>
                          </w:txbxContent>
                        </wps:txbx>
                        <wps:bodyPr rot="0" spcFirstLastPara="0" vertOverflow="overflow" horzOverflow="overflow" vert="horz" wrap="square" lIns="0" tIns="0" rIns="0" bIns="0" numCol="1" spcCol="0" rtlCol="0" fromWordArt="0" anchor="t" anchorCtr="0" forceAA="0" compatLnSpc="1">
                          <a:noAutofit/>
                        </wps:bodyPr>
                      </wps:wsp>
                      <wps:wsp>
                        <wps:cNvPr id="44" name="文本框 44"/>
                        <wps:cNvSpPr txBox="1"/>
                        <wps:spPr>
                          <a:xfrm>
                            <a:off x="4864100" y="1168400"/>
                            <a:ext cx="132080" cy="114300"/>
                          </a:xfrm>
                          <a:prstGeom prst="rect">
                            <a:avLst/>
                          </a:prstGeom>
                          <a:solidFill>
                            <a:schemeClr val="bg1"/>
                          </a:solidFill>
                          <a:ln w="6350">
                            <a:noFill/>
                          </a:ln>
                        </wps:spPr>
                        <wps:txbx>
                          <w:txbxContent>
                            <w:p w14:paraId="72D2D460">
                              <w:pPr>
                                <w:spacing w:before="0" w:beforeLines="0" w:line="240" w:lineRule="auto"/>
                                <w:jc w:val="center"/>
                                <w:rPr>
                                  <w:sz w:val="15"/>
                                  <w:szCs w:val="15"/>
                                  <w:lang w:eastAsia="zh-CN"/>
                                </w:rPr>
                              </w:pPr>
                              <w:r>
                                <w:rPr>
                                  <w:rFonts w:cs="宋体"/>
                                  <w:sz w:val="14"/>
                                </w:rPr>
                                <w:t>否</w:t>
                              </w:r>
                            </w:p>
                          </w:txbxContent>
                        </wps:txbx>
                        <wps:bodyPr rot="0" spcFirstLastPara="0" vertOverflow="overflow" horzOverflow="overflow" vert="horz" wrap="square" lIns="0" tIns="0" rIns="0" bIns="0" numCol="1" spcCol="0" rtlCol="0" fromWordArt="0" anchor="t" anchorCtr="0" forceAA="0" compatLnSpc="1">
                          <a:noAutofit/>
                        </wps:bodyPr>
                      </wps:wsp>
                      <wps:wsp>
                        <wps:cNvPr id="46" name="文本框 46"/>
                        <wps:cNvSpPr txBox="1"/>
                        <wps:spPr>
                          <a:xfrm>
                            <a:off x="2070100" y="638175"/>
                            <a:ext cx="1246851" cy="304799"/>
                          </a:xfrm>
                          <a:prstGeom prst="rect">
                            <a:avLst/>
                          </a:prstGeom>
                          <a:blipFill dpi="0" rotWithShape="1">
                            <a:blip r:embed="rId15">
                              <a:extLst>
                                <a:ext uri="{28A0092B-C50C-407E-A947-70E740481C1C}">
                                  <a14:useLocalDpi xmlns:a14="http://schemas.microsoft.com/office/drawing/2010/main" val="0"/>
                                </a:ext>
                              </a:extLst>
                            </a:blip>
                            <a:srcRect/>
                            <a:stretch>
                              <a:fillRect/>
                            </a:stretch>
                          </a:blipFill>
                          <a:ln w="6350">
                            <a:noFill/>
                          </a:ln>
                        </wps:spPr>
                        <wps:txbx>
                          <w:txbxContent>
                            <w:p w14:paraId="2742D843">
                              <w:pPr>
                                <w:spacing w:before="0" w:beforeLines="0" w:line="240" w:lineRule="auto"/>
                                <w:jc w:val="center"/>
                                <w:rPr>
                                  <w:sz w:val="13"/>
                                  <w:szCs w:val="13"/>
                                  <w:lang w:eastAsia="zh-CN"/>
                                </w:rPr>
                              </w:pPr>
                              <w:r>
                                <w:rPr>
                                  <w:rFonts w:cs="宋体"/>
                                  <w:sz w:val="12"/>
                                  <w:lang w:eastAsia="zh-CN"/>
                                </w:rPr>
                                <w:t>器械是否由单一材料组成：</w:t>
                              </w:r>
                            </w:p>
                            <w:p w14:paraId="16BDAE10">
                              <w:pPr>
                                <w:spacing w:before="0" w:beforeLines="0" w:line="240" w:lineRule="auto"/>
                                <w:jc w:val="center"/>
                                <w:rPr>
                                  <w:sz w:val="13"/>
                                  <w:szCs w:val="13"/>
                                  <w:lang w:eastAsia="zh-CN"/>
                                </w:rPr>
                              </w:pPr>
                              <w:r>
                                <w:rPr>
                                  <w:rFonts w:cs="宋体"/>
                                  <w:sz w:val="12"/>
                                  <w:lang w:eastAsia="zh-CN"/>
                                </w:rPr>
                                <w:t>金属</w:t>
                              </w:r>
                              <w:r>
                                <w:rPr>
                                  <w:rFonts w:cs="宋体"/>
                                  <w:sz w:val="12"/>
                                  <w:u w:val="single"/>
                                  <w:lang w:eastAsia="zh-CN"/>
                                </w:rPr>
                                <w:t>或</w:t>
                              </w:r>
                              <w:r>
                                <w:rPr>
                                  <w:rFonts w:cs="宋体"/>
                                  <w:sz w:val="12"/>
                                  <w:lang w:eastAsia="zh-CN"/>
                                </w:rPr>
                                <w:t>金属合金</w:t>
                              </w:r>
                              <w:r>
                                <w:rPr>
                                  <w:rFonts w:cs="宋体"/>
                                  <w:sz w:val="12"/>
                                  <w:u w:val="single"/>
                                  <w:lang w:eastAsia="zh-CN"/>
                                </w:rPr>
                                <w:t>或</w:t>
                              </w:r>
                              <w:r>
                                <w:rPr>
                                  <w:rFonts w:cs="宋体"/>
                                  <w:sz w:val="12"/>
                                  <w:lang w:eastAsia="zh-CN"/>
                                </w:rPr>
                                <w:t>陶瓷？</w:t>
                              </w:r>
                            </w:p>
                          </w:txbxContent>
                        </wps:txbx>
                        <wps:bodyPr rot="0" spcFirstLastPara="0" vertOverflow="overflow" horzOverflow="overflow" vert="horz" wrap="square" lIns="0" tIns="0" rIns="0" bIns="0" numCol="1" spcCol="0" rtlCol="0" fromWordArt="0" anchor="ctr" anchorCtr="0" forceAA="0" compatLnSpc="1">
                          <a:noAutofit/>
                        </wps:bodyPr>
                      </wps:wsp>
                      <wps:wsp>
                        <wps:cNvPr id="47" name="文本框 47"/>
                        <wps:cNvSpPr txBox="1"/>
                        <wps:spPr>
                          <a:xfrm>
                            <a:off x="2070100" y="1270000"/>
                            <a:ext cx="1246505" cy="588818"/>
                          </a:xfrm>
                          <a:prstGeom prst="rect">
                            <a:avLst/>
                          </a:prstGeom>
                          <a:blipFill dpi="0" rotWithShape="1">
                            <a:blip r:embed="rId15">
                              <a:extLst>
                                <a:ext uri="{28A0092B-C50C-407E-A947-70E740481C1C}">
                                  <a14:useLocalDpi xmlns:a14="http://schemas.microsoft.com/office/drawing/2010/main" val="0"/>
                                </a:ext>
                              </a:extLst>
                            </a:blip>
                            <a:srcRect/>
                            <a:stretch>
                              <a:fillRect/>
                            </a:stretch>
                          </a:blipFill>
                          <a:ln w="6350">
                            <a:noFill/>
                          </a:ln>
                        </wps:spPr>
                        <wps:txbx>
                          <w:txbxContent>
                            <w:p w14:paraId="00566FCD">
                              <w:pPr>
                                <w:spacing w:before="0" w:beforeLines="0" w:line="240" w:lineRule="auto"/>
                                <w:jc w:val="center"/>
                                <w:rPr>
                                  <w:sz w:val="13"/>
                                  <w:szCs w:val="13"/>
                                  <w:lang w:eastAsia="zh-CN"/>
                                </w:rPr>
                              </w:pPr>
                              <w:r>
                                <w:rPr>
                                  <w:rFonts w:cs="宋体"/>
                                  <w:sz w:val="12"/>
                                  <w:lang w:eastAsia="zh-CN"/>
                                </w:rPr>
                                <w:t>是否</w:t>
                              </w:r>
                            </w:p>
                            <w:p w14:paraId="4D1864A4">
                              <w:pPr>
                                <w:spacing w:before="0" w:beforeLines="0" w:line="240" w:lineRule="auto"/>
                                <w:jc w:val="center"/>
                                <w:rPr>
                                  <w:sz w:val="13"/>
                                  <w:szCs w:val="13"/>
                                  <w:lang w:eastAsia="zh-CN"/>
                                </w:rPr>
                              </w:pPr>
                              <w:r>
                                <w:rPr>
                                  <w:rFonts w:cs="宋体"/>
                                  <w:sz w:val="12"/>
                                  <w:lang w:eastAsia="zh-CN"/>
                                </w:rPr>
                                <w:t>金属或金属合金或陶瓷</w:t>
                              </w:r>
                            </w:p>
                            <w:p w14:paraId="2CD3A047">
                              <w:pPr>
                                <w:spacing w:before="0" w:beforeLines="0" w:line="240" w:lineRule="auto"/>
                                <w:jc w:val="center"/>
                                <w:rPr>
                                  <w:sz w:val="13"/>
                                  <w:szCs w:val="13"/>
                                  <w:lang w:eastAsia="zh-CN"/>
                                </w:rPr>
                              </w:pPr>
                              <w:r>
                                <w:rPr>
                                  <w:rFonts w:cs="宋体"/>
                                  <w:sz w:val="12"/>
                                  <w:lang w:eastAsia="zh-CN"/>
                                </w:rPr>
                                <w:t>含有潜在有毒物质</w:t>
                              </w:r>
                            </w:p>
                            <w:p w14:paraId="647A062D">
                              <w:pPr>
                                <w:spacing w:before="0" w:beforeLines="0" w:line="240" w:lineRule="auto"/>
                                <w:jc w:val="center"/>
                                <w:rPr>
                                  <w:sz w:val="13"/>
                                  <w:szCs w:val="13"/>
                                  <w:lang w:eastAsia="zh-CN"/>
                                </w:rPr>
                              </w:pPr>
                              <w:r>
                                <w:rPr>
                                  <w:rFonts w:cs="宋体"/>
                                  <w:sz w:val="12"/>
                                  <w:lang w:eastAsia="zh-CN"/>
                                </w:rPr>
                                <w:t>是否达到可疑水平？</w:t>
                              </w:r>
                            </w:p>
                            <w:p w14:paraId="3EF71E3D">
                              <w:pPr>
                                <w:spacing w:before="0" w:beforeLines="0" w:line="240" w:lineRule="auto"/>
                                <w:jc w:val="center"/>
                                <w:rPr>
                                  <w:sz w:val="13"/>
                                  <w:szCs w:val="13"/>
                                  <w:lang w:val="fr-FR" w:eastAsia="zh-CN"/>
                                </w:rPr>
                              </w:pPr>
                              <w:r>
                                <w:rPr>
                                  <w:rFonts w:cs="宋体"/>
                                  <w:sz w:val="12"/>
                                </w:rPr>
                                <w:t>（如铅、镍、铬、锆）</w:t>
                              </w:r>
                            </w:p>
                          </w:txbxContent>
                        </wps:txbx>
                        <wps:bodyPr rot="0" spcFirstLastPara="0" vertOverflow="overflow" horzOverflow="overflow" vert="horz" wrap="square" lIns="0" tIns="0" rIns="0" bIns="0" numCol="1" spcCol="0" rtlCol="0" fromWordArt="0" anchor="ctr" anchorCtr="0" forceAA="0" compatLnSpc="1">
                          <a:noAutofit/>
                        </wps:bodyPr>
                      </wps:wsp>
                      <wps:wsp>
                        <wps:cNvPr id="48" name="文本框 48"/>
                        <wps:cNvSpPr txBox="1"/>
                        <wps:spPr>
                          <a:xfrm>
                            <a:off x="774700" y="2451100"/>
                            <a:ext cx="1246505" cy="408709"/>
                          </a:xfrm>
                          <a:prstGeom prst="rect">
                            <a:avLst/>
                          </a:prstGeom>
                          <a:blipFill dpi="0" rotWithShape="1">
                            <a:blip r:embed="rId15">
                              <a:extLst>
                                <a:ext uri="{28A0092B-C50C-407E-A947-70E740481C1C}">
                                  <a14:useLocalDpi xmlns:a14="http://schemas.microsoft.com/office/drawing/2010/main" val="0"/>
                                </a:ext>
                              </a:extLst>
                            </a:blip>
                            <a:srcRect/>
                            <a:stretch>
                              <a:fillRect/>
                            </a:stretch>
                          </a:blipFill>
                          <a:ln w="6350">
                            <a:noFill/>
                          </a:ln>
                        </wps:spPr>
                        <wps:txbx>
                          <w:txbxContent>
                            <w:p w14:paraId="3A6A5099">
                              <w:pPr>
                                <w:spacing w:before="0" w:beforeLines="0" w:line="240" w:lineRule="auto"/>
                                <w:jc w:val="center"/>
                                <w:rPr>
                                  <w:sz w:val="13"/>
                                  <w:szCs w:val="13"/>
                                  <w:lang w:eastAsia="zh-CN"/>
                                </w:rPr>
                              </w:pPr>
                              <w:r>
                                <w:rPr>
                                  <w:rFonts w:cs="宋体"/>
                                  <w:sz w:val="12"/>
                                  <w:lang w:eastAsia="zh-CN"/>
                                </w:rPr>
                                <w:t>咨询毒理学家/资深人员：</w:t>
                              </w:r>
                            </w:p>
                            <w:p w14:paraId="71AC204F">
                              <w:pPr>
                                <w:spacing w:before="0" w:beforeLines="0" w:line="240" w:lineRule="auto"/>
                                <w:jc w:val="center"/>
                                <w:rPr>
                                  <w:b/>
                                  <w:bCs/>
                                  <w:sz w:val="13"/>
                                  <w:szCs w:val="13"/>
                                  <w:lang w:eastAsia="zh-CN"/>
                                </w:rPr>
                              </w:pPr>
                              <w:r>
                                <w:rPr>
                                  <w:rFonts w:cs="宋体"/>
                                  <w:b/>
                                  <w:sz w:val="12"/>
                                  <w:lang w:eastAsia="zh-CN"/>
                                </w:rPr>
                                <w:t>材料标准证明是否充分？</w:t>
                              </w:r>
                            </w:p>
                          </w:txbxContent>
                        </wps:txbx>
                        <wps:bodyPr rot="0" spcFirstLastPara="0" vertOverflow="overflow" horzOverflow="overflow" vert="horz" wrap="square" lIns="0" tIns="0" rIns="0" bIns="0" numCol="1" spcCol="0" rtlCol="0" fromWordArt="0" anchor="ctr" anchorCtr="0" forceAA="0" compatLnSpc="1">
                          <a:noAutofit/>
                        </wps:bodyPr>
                      </wps:wsp>
                      <wps:wsp>
                        <wps:cNvPr id="49" name="文本框 49"/>
                        <wps:cNvSpPr txBox="1"/>
                        <wps:spPr>
                          <a:xfrm>
                            <a:off x="3111500" y="2501900"/>
                            <a:ext cx="1246505" cy="297873"/>
                          </a:xfrm>
                          <a:prstGeom prst="rect">
                            <a:avLst/>
                          </a:prstGeom>
                          <a:blipFill dpi="0" rotWithShape="1">
                            <a:blip r:embed="rId15">
                              <a:extLst>
                                <a:ext uri="{28A0092B-C50C-407E-A947-70E740481C1C}">
                                  <a14:useLocalDpi xmlns:a14="http://schemas.microsoft.com/office/drawing/2010/main" val="0"/>
                                </a:ext>
                              </a:extLst>
                            </a:blip>
                            <a:srcRect/>
                            <a:stretch>
                              <a:fillRect/>
                            </a:stretch>
                          </a:blipFill>
                          <a:ln w="6350">
                            <a:noFill/>
                          </a:ln>
                        </wps:spPr>
                        <wps:txbx>
                          <w:txbxContent>
                            <w:p w14:paraId="71E64EBC">
                              <w:pPr>
                                <w:spacing w:before="0" w:beforeLines="0" w:line="240" w:lineRule="auto"/>
                                <w:jc w:val="center"/>
                                <w:rPr>
                                  <w:sz w:val="13"/>
                                  <w:szCs w:val="13"/>
                                  <w:lang w:eastAsia="zh-CN"/>
                                </w:rPr>
                              </w:pPr>
                              <w:r>
                                <w:rPr>
                                  <w:rFonts w:cs="宋体"/>
                                  <w:sz w:val="12"/>
                                  <w:lang w:eastAsia="zh-CN"/>
                                </w:rPr>
                                <w:t>咨询毒理学家/资深人员：</w:t>
                              </w:r>
                            </w:p>
                            <w:p w14:paraId="2B676BDF">
                              <w:pPr>
                                <w:spacing w:before="0" w:beforeLines="0" w:line="240" w:lineRule="auto"/>
                                <w:jc w:val="center"/>
                                <w:rPr>
                                  <w:b/>
                                  <w:bCs/>
                                  <w:sz w:val="13"/>
                                  <w:szCs w:val="13"/>
                                  <w:lang w:eastAsia="zh-CN"/>
                                </w:rPr>
                              </w:pPr>
                              <w:r>
                                <w:rPr>
                                  <w:rFonts w:cs="宋体"/>
                                  <w:b/>
                                  <w:sz w:val="12"/>
                                  <w:lang w:eastAsia="zh-CN"/>
                                </w:rPr>
                                <w:t>是否存在与人群相关的风险？</w:t>
                              </w:r>
                            </w:p>
                          </w:txbxContent>
                        </wps:txbx>
                        <wps:bodyPr rot="0" spcFirstLastPara="0" vertOverflow="overflow" horzOverflow="overflow" vert="horz" wrap="square" lIns="0" tIns="0" rIns="0" bIns="0" numCol="1" spcCol="0" rtlCol="0" fromWordArt="0" anchor="ctr" anchorCtr="0" forceAA="0" compatLnSpc="1">
                          <a:noAutofit/>
                        </wps:bodyPr>
                      </wps:wsp>
                      <wps:wsp>
                        <wps:cNvPr id="50" name="文本框 50"/>
                        <wps:cNvSpPr txBox="1"/>
                        <wps:spPr>
                          <a:xfrm>
                            <a:off x="2032000" y="3098800"/>
                            <a:ext cx="1350819" cy="311727"/>
                          </a:xfrm>
                          <a:prstGeom prst="rect">
                            <a:avLst/>
                          </a:prstGeom>
                          <a:blipFill dpi="0" rotWithShape="1">
                            <a:blip r:embed="rId15">
                              <a:extLst>
                                <a:ext uri="{28A0092B-C50C-407E-A947-70E740481C1C}">
                                  <a14:useLocalDpi xmlns:a14="http://schemas.microsoft.com/office/drawing/2010/main" val="0"/>
                                </a:ext>
                              </a:extLst>
                            </a:blip>
                            <a:srcRect/>
                            <a:stretch>
                              <a:fillRect/>
                            </a:stretch>
                          </a:blipFill>
                          <a:ln w="6350">
                            <a:noFill/>
                          </a:ln>
                        </wps:spPr>
                        <wps:txbx>
                          <w:txbxContent>
                            <w:p w14:paraId="14DD9733">
                              <w:pPr>
                                <w:spacing w:before="0" w:beforeLines="0" w:line="240" w:lineRule="auto"/>
                                <w:jc w:val="center"/>
                                <w:rPr>
                                  <w:sz w:val="13"/>
                                  <w:szCs w:val="13"/>
                                  <w:lang w:eastAsia="zh-CN"/>
                                </w:rPr>
                              </w:pPr>
                              <w:r>
                                <w:rPr>
                                  <w:rFonts w:cs="宋体"/>
                                  <w:sz w:val="12"/>
                                  <w:lang w:eastAsia="zh-CN"/>
                                </w:rPr>
                                <w:t>查阅附件A（修改的ISO矩阵）</w:t>
                              </w:r>
                            </w:p>
                            <w:p w14:paraId="3777F76B">
                              <w:pPr>
                                <w:spacing w:before="0" w:beforeLines="0" w:line="240" w:lineRule="auto"/>
                                <w:jc w:val="center"/>
                                <w:rPr>
                                  <w:sz w:val="13"/>
                                  <w:szCs w:val="13"/>
                                  <w:lang w:eastAsia="zh-CN"/>
                                </w:rPr>
                              </w:pPr>
                              <w:r>
                                <w:rPr>
                                  <w:rFonts w:cs="宋体"/>
                                  <w:sz w:val="12"/>
                                </w:rPr>
                                <w:t>对于建议的生物学终点</w:t>
                              </w:r>
                            </w:p>
                          </w:txbxContent>
                        </wps:txbx>
                        <wps:bodyPr rot="0" spcFirstLastPara="0" vertOverflow="overflow" horzOverflow="overflow" vert="horz" wrap="square" lIns="0" tIns="0" rIns="0" bIns="0" numCol="1" spcCol="0" rtlCol="0" fromWordArt="0" anchor="ctr" anchorCtr="0" forceAA="0" compatLnSpc="1">
                          <a:noAutofit/>
                        </wps:bodyPr>
                      </wps:wsp>
                      <wps:wsp>
                        <wps:cNvPr id="51" name="文本框 51"/>
                        <wps:cNvSpPr txBox="1"/>
                        <wps:spPr>
                          <a:xfrm>
                            <a:off x="1854200" y="3867150"/>
                            <a:ext cx="1607127" cy="298450"/>
                          </a:xfrm>
                          <a:prstGeom prst="rect">
                            <a:avLst/>
                          </a:prstGeom>
                          <a:blipFill dpi="0" rotWithShape="1">
                            <a:blip r:embed="rId15">
                              <a:extLst>
                                <a:ext uri="{28A0092B-C50C-407E-A947-70E740481C1C}">
                                  <a14:useLocalDpi xmlns:a14="http://schemas.microsoft.com/office/drawing/2010/main" val="0"/>
                                </a:ext>
                              </a:extLst>
                            </a:blip>
                            <a:srcRect/>
                            <a:stretch>
                              <a:fillRect/>
                            </a:stretch>
                          </a:blipFill>
                          <a:ln w="6350">
                            <a:noFill/>
                          </a:ln>
                        </wps:spPr>
                        <wps:txbx>
                          <w:txbxContent>
                            <w:p w14:paraId="3FBF4234">
                              <w:pPr>
                                <w:spacing w:before="0" w:beforeLines="0" w:line="240" w:lineRule="auto"/>
                                <w:jc w:val="center"/>
                                <w:rPr>
                                  <w:sz w:val="13"/>
                                  <w:szCs w:val="13"/>
                                  <w:lang w:eastAsia="zh-CN"/>
                                </w:rPr>
                              </w:pPr>
                              <w:r>
                                <w:rPr>
                                  <w:rFonts w:cs="宋体"/>
                                  <w:sz w:val="12"/>
                                  <w:lang w:eastAsia="zh-CN"/>
                                </w:rPr>
                                <w:t>咨询毒理学家/资深人员：</w:t>
                              </w:r>
                            </w:p>
                            <w:p w14:paraId="1D7BCC0D">
                              <w:pPr>
                                <w:spacing w:before="0" w:beforeLines="0" w:line="240" w:lineRule="auto"/>
                                <w:jc w:val="center"/>
                                <w:rPr>
                                  <w:b/>
                                  <w:bCs/>
                                  <w:sz w:val="13"/>
                                  <w:szCs w:val="13"/>
                                  <w:lang w:eastAsia="zh-CN"/>
                                </w:rPr>
                              </w:pPr>
                              <w:r>
                                <w:rPr>
                                  <w:rFonts w:cs="宋体"/>
                                  <w:b/>
                                  <w:sz w:val="12"/>
                                  <w:lang w:eastAsia="zh-CN"/>
                                </w:rPr>
                                <w:t>必要时决定需进行的合理试验</w:t>
                              </w:r>
                            </w:p>
                          </w:txbxContent>
                        </wps:txbx>
                        <wps:bodyPr rot="0" spcFirstLastPara="0" vertOverflow="overflow" horzOverflow="overflow" vert="horz" wrap="square" lIns="0" tIns="0" rIns="0" bIns="0" numCol="1" spcCol="0" rtlCol="0" fromWordArt="0" anchor="ctr" anchorCtr="0" forceAA="0" compatLnSpc="1">
                          <a:noAutofit/>
                        </wps:bodyPr>
                      </wps:wsp>
                      <wps:wsp>
                        <wps:cNvPr id="52" name="文本框 52"/>
                        <wps:cNvSpPr txBox="1"/>
                        <wps:spPr>
                          <a:xfrm>
                            <a:off x="4152900" y="4940300"/>
                            <a:ext cx="900546" cy="311727"/>
                          </a:xfrm>
                          <a:prstGeom prst="rect">
                            <a:avLst/>
                          </a:prstGeom>
                          <a:blipFill dpi="0" rotWithShape="1">
                            <a:blip r:embed="rId15">
                              <a:extLst>
                                <a:ext uri="{28A0092B-C50C-407E-A947-70E740481C1C}">
                                  <a14:useLocalDpi xmlns:a14="http://schemas.microsoft.com/office/drawing/2010/main" val="0"/>
                                </a:ext>
                              </a:extLst>
                            </a:blip>
                            <a:srcRect/>
                            <a:stretch>
                              <a:fillRect/>
                            </a:stretch>
                          </a:blipFill>
                          <a:ln w="6350">
                            <a:noFill/>
                          </a:ln>
                        </wps:spPr>
                        <wps:txbx>
                          <w:txbxContent>
                            <w:p w14:paraId="46FB75A3">
                              <w:pPr>
                                <w:spacing w:before="0" w:beforeLines="0" w:line="240" w:lineRule="auto"/>
                                <w:jc w:val="center"/>
                                <w:rPr>
                                  <w:sz w:val="13"/>
                                  <w:szCs w:val="13"/>
                                  <w:lang w:eastAsia="zh-CN"/>
                                </w:rPr>
                              </w:pPr>
                              <w:r>
                                <w:rPr>
                                  <w:rFonts w:cs="宋体"/>
                                  <w:sz w:val="12"/>
                                </w:rPr>
                                <w:t>毒理学家/资深人员</w:t>
                              </w:r>
                            </w:p>
                            <w:p w14:paraId="17D10BFC">
                              <w:pPr>
                                <w:spacing w:before="0" w:beforeLines="0" w:line="240" w:lineRule="auto"/>
                                <w:jc w:val="center"/>
                                <w:rPr>
                                  <w:sz w:val="13"/>
                                  <w:szCs w:val="13"/>
                                  <w:lang w:eastAsia="zh-CN"/>
                                </w:rPr>
                              </w:pPr>
                              <w:r>
                                <w:rPr>
                                  <w:rFonts w:cs="宋体"/>
                                  <w:sz w:val="12"/>
                                </w:rPr>
                                <w:t>批准</w:t>
                              </w:r>
                            </w:p>
                          </w:txbxContent>
                        </wps:txbx>
                        <wps:bodyPr rot="0" spcFirstLastPara="0" vertOverflow="overflow" horzOverflow="overflow" vert="horz" wrap="square" lIns="0" tIns="0" rIns="0" bIns="0" numCol="1" spcCol="0" rtlCol="0" fromWordArt="0" anchor="ctr" anchorCtr="0" forceAA="0" compatLnSpc="1">
                          <a:noAutofit/>
                        </wps:bodyPr>
                      </wps:wsp>
                      <wps:wsp>
                        <wps:cNvPr id="53" name="文本框 53"/>
                        <wps:cNvSpPr txBox="1"/>
                        <wps:spPr>
                          <a:xfrm>
                            <a:off x="1841500" y="4597400"/>
                            <a:ext cx="1690255" cy="415636"/>
                          </a:xfrm>
                          <a:prstGeom prst="rect">
                            <a:avLst/>
                          </a:prstGeom>
                          <a:blipFill dpi="0" rotWithShape="1">
                            <a:blip r:embed="rId15">
                              <a:extLst>
                                <a:ext uri="{28A0092B-C50C-407E-A947-70E740481C1C}">
                                  <a14:useLocalDpi xmlns:a14="http://schemas.microsoft.com/office/drawing/2010/main" val="0"/>
                                </a:ext>
                              </a:extLst>
                            </a:blip>
                            <a:srcRect/>
                            <a:stretch>
                              <a:fillRect/>
                            </a:stretch>
                          </a:blipFill>
                          <a:ln w="6350">
                            <a:noFill/>
                          </a:ln>
                        </wps:spPr>
                        <wps:txbx>
                          <w:txbxContent>
                            <w:p w14:paraId="4B938495">
                              <w:pPr>
                                <w:spacing w:before="0" w:beforeLines="0" w:line="240" w:lineRule="auto"/>
                                <w:jc w:val="center"/>
                                <w:rPr>
                                  <w:sz w:val="13"/>
                                  <w:szCs w:val="13"/>
                                  <w:lang w:eastAsia="zh-CN"/>
                                </w:rPr>
                              </w:pPr>
                              <w:r>
                                <w:rPr>
                                  <w:rFonts w:cs="宋体"/>
                                  <w:sz w:val="12"/>
                                  <w:lang w:eastAsia="zh-CN"/>
                                </w:rPr>
                                <w:t>申报文件中是否含有可接受的生物相容性信息、化学表征数据和/或支持不进行试验的理由或风险评定？</w:t>
                              </w:r>
                            </w:p>
                          </w:txbxContent>
                        </wps:txbx>
                        <wps:bodyPr rot="0" spcFirstLastPara="0" vertOverflow="overflow" horzOverflow="overflow" vert="horz" wrap="square" lIns="0" tIns="0" rIns="0" bIns="0" numCol="1" spcCol="0" rtlCol="0" fromWordArt="0" anchor="ctr" anchorCtr="0" forceAA="0" compatLnSpc="1">
                          <a:noAutofit/>
                        </wps:bodyPr>
                      </wps:wsp>
                      <wps:wsp>
                        <wps:cNvPr id="54" name="文本框 54"/>
                        <wps:cNvSpPr txBox="1"/>
                        <wps:spPr>
                          <a:xfrm>
                            <a:off x="2527300" y="5092700"/>
                            <a:ext cx="235527" cy="96982"/>
                          </a:xfrm>
                          <a:prstGeom prst="rect">
                            <a:avLst/>
                          </a:prstGeom>
                          <a:blipFill dpi="0" rotWithShape="1">
                            <a:blip r:embed="rId15">
                              <a:extLst>
                                <a:ext uri="{28A0092B-C50C-407E-A947-70E740481C1C}">
                                  <a14:useLocalDpi xmlns:a14="http://schemas.microsoft.com/office/drawing/2010/main" val="0"/>
                                </a:ext>
                              </a:extLst>
                            </a:blip>
                            <a:srcRect/>
                            <a:stretch>
                              <a:fillRect/>
                            </a:stretch>
                          </a:blipFill>
                          <a:ln w="6350">
                            <a:noFill/>
                          </a:ln>
                        </wps:spPr>
                        <wps:txbx>
                          <w:txbxContent>
                            <w:p w14:paraId="564DB0B6">
                              <w:pPr>
                                <w:spacing w:before="0" w:beforeLines="0" w:line="240" w:lineRule="auto"/>
                                <w:jc w:val="center"/>
                                <w:rPr>
                                  <w:sz w:val="13"/>
                                  <w:szCs w:val="13"/>
                                  <w:lang w:eastAsia="zh-CN"/>
                                </w:rPr>
                              </w:pPr>
                              <w:r>
                                <w:rPr>
                                  <w:rFonts w:cs="宋体"/>
                                  <w:sz w:val="12"/>
                                </w:rPr>
                                <w:t>或</w:t>
                              </w:r>
                            </w:p>
                          </w:txbxContent>
                        </wps:txbx>
                        <wps:bodyPr rot="0" spcFirstLastPara="0" vertOverflow="overflow" horzOverflow="overflow" vert="horz" wrap="square" lIns="0" tIns="0" rIns="0" bIns="0" numCol="1" spcCol="0" rtlCol="0" fromWordArt="0" anchor="t" anchorCtr="0" forceAA="0" compatLnSpc="1">
                          <a:noAutofit/>
                        </wps:bodyPr>
                      </wps:wsp>
                      <wps:wsp>
                        <wps:cNvPr id="55" name="文本框 55"/>
                        <wps:cNvSpPr txBox="1"/>
                        <wps:spPr>
                          <a:xfrm>
                            <a:off x="1892300" y="5321300"/>
                            <a:ext cx="1606550" cy="290945"/>
                          </a:xfrm>
                          <a:prstGeom prst="rect">
                            <a:avLst/>
                          </a:prstGeom>
                          <a:blipFill dpi="0" rotWithShape="1">
                            <a:blip r:embed="rId15">
                              <a:extLst>
                                <a:ext uri="{28A0092B-C50C-407E-A947-70E740481C1C}">
                                  <a14:useLocalDpi xmlns:a14="http://schemas.microsoft.com/office/drawing/2010/main" val="0"/>
                                </a:ext>
                              </a:extLst>
                            </a:blip>
                            <a:srcRect/>
                            <a:stretch>
                              <a:fillRect/>
                            </a:stretch>
                          </a:blipFill>
                          <a:ln w="6350">
                            <a:noFill/>
                          </a:ln>
                        </wps:spPr>
                        <wps:txbx>
                          <w:txbxContent>
                            <w:p w14:paraId="400DB87C">
                              <w:pPr>
                                <w:spacing w:before="0" w:beforeLines="0" w:line="240" w:lineRule="auto"/>
                                <w:jc w:val="center"/>
                                <w:rPr>
                                  <w:sz w:val="13"/>
                                  <w:szCs w:val="13"/>
                                  <w:lang w:eastAsia="zh-CN"/>
                                </w:rPr>
                              </w:pPr>
                              <w:r>
                                <w:rPr>
                                  <w:rFonts w:cs="宋体"/>
                                  <w:sz w:val="12"/>
                                  <w:lang w:eastAsia="zh-CN"/>
                                </w:rPr>
                                <w:t>如果引用主文件，主文件中是否含有适用于器械的可接受的生物相容性和/或化学信息？</w:t>
                              </w:r>
                            </w:p>
                          </w:txbxContent>
                        </wps:txbx>
                        <wps:bodyPr rot="0" spcFirstLastPara="0" vertOverflow="overflow" horzOverflow="overflow" vert="horz" wrap="square" lIns="0" tIns="0" rIns="0" bIns="0" numCol="1" spcCol="0" rtlCol="0" fromWordArt="0" anchor="ctr" anchorCtr="0" forceAA="0" compatLnSpc="1">
                          <a:noAutofit/>
                        </wps:bodyPr>
                      </wps:wsp>
                    </wpg:wgp>
                  </a:graphicData>
                </a:graphic>
              </wp:inline>
            </w:drawing>
          </mc:Choice>
          <mc:Fallback>
            <w:pict>
              <v:group id="_x0000_s1026" o:spid="_x0000_s1026" o:spt="203" style="height:573.6pt;width:432pt;" coordsize="5486400,7284720" o:gfxdata="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0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">
                <o:lock v:ext="edit" aspectratio="f"/>
                <v:shape id="Picutre 16" o:spid="_x0000_s1026" o:spt="75" type="#_x0000_t75" style="position:absolute;left:0;top:0;height:7284720;width:5486400;" filled="f" o:preferrelative="t" stroked="f" coordsize="21600,21600" o:gfxdata="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y6xrbsAAADb&#10;AAAADwAAAAAAAAABACAAAAAiAAAAZHJzL2Rvd25yZXYueG1sUEsBAhQAFAAAAAgAh07iQDMvBZ47&#10;AAAAOQAAABAAAAAAAAAAAQAgAAAACgEAAGRycy9zaGFwZXhtbC54bWxQSwUGAAAAAAYABgBbAQAA&#10;tAMAAAAA&#10;">
                  <v:fill on="f" focussize="0,0"/>
                  <v:stroke on="f"/>
                  <v:imagedata r:id="rId17" o:title=""/>
                  <o:lock v:ext="edit" aspectratio="f"/>
                </v:shape>
                <v:shape id="_x0000_s1026" o:spid="_x0000_s1026" o:spt="202" type="#_x0000_t202" style="position:absolute;left:2311400;top:190500;height:119743;width:762000;" filled="t" stroked="f" coordsize="21600,21600" o:gfxdata="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E84HL4A&#10;AADbAAAADwAAAAAAAAABACAAAAAiAAAAZHJzL2Rvd25yZXYueG1sUEsBAhQAFAAAAAgAh07iQDMv&#10;BZ47AAAAOQAAABAAAAAAAAAAAQAgAAAADQEAAGRycy9zaGFwZXhtbC54bWxQSwUGAAAAAAYABgBb&#10;AQAAtwMAAAAA&#10;">
                  <v:fill type="frame" on="t" focussize="0,0" recolor="t" rotate="t" r:id="rId16"/>
                  <v:stroke on="f" weight="0.5pt"/>
                  <v:imagedata o:title=""/>
                  <o:lock v:ext="edit" aspectratio="f"/>
                  <v:textbox inset="0mm,0mm,0mm,0mm">
                    <w:txbxContent>
                      <w:p w14:paraId="5F898490">
                        <w:pPr>
                          <w:spacing w:before="0" w:beforeLines="0" w:line="240" w:lineRule="auto"/>
                          <w:jc w:val="center"/>
                          <w:rPr>
                            <w:b/>
                            <w:bCs/>
                            <w:sz w:val="15"/>
                            <w:szCs w:val="15"/>
                            <w:lang w:eastAsia="zh-CN"/>
                          </w:rPr>
                        </w:pPr>
                        <w:r>
                          <w:rPr>
                            <w:rFonts w:cs="宋体"/>
                            <w:b/>
                            <w:sz w:val="14"/>
                          </w:rPr>
                          <w:t>来自主图表</w:t>
                        </w:r>
                      </w:p>
                    </w:txbxContent>
                  </v:textbox>
                </v:shape>
                <v:shape id="_x0000_s1026" o:spid="_x0000_s1026" o:spt="202" type="#_x0000_t202" style="position:absolute;left:2133600;top:6159500;height:242455;width:1094510;v-text-anchor:middle;" filled="t" stroked="f" coordsize="21600,21600" o:gfxdata="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B0yzbsAAADb&#10;AAAADwAAAAAAAAABACAAAAAiAAAAZHJzL2Rvd25yZXYueG1sUEsBAhQAFAAAAAgAh07iQDMvBZ47&#10;AAAAOQAAABAAAAAAAAAAAQAgAAAACgEAAGRycy9zaGFwZXhtbC54bWxQSwUGAAAAAAYABgBbAQAA&#10;tAMAAAAA&#10;">
                  <v:fill type="frame" on="t" focussize="0,0" recolor="t" rotate="t" r:id="rId16"/>
                  <v:stroke on="f" weight="0.5pt"/>
                  <v:imagedata o:title=""/>
                  <o:lock v:ext="edit" aspectratio="f"/>
                  <v:textbox inset="0mm,0mm,0mm,0mm">
                    <w:txbxContent>
                      <w:p w14:paraId="3C8BCE81">
                        <w:pPr>
                          <w:spacing w:before="0" w:beforeLines="0" w:line="240" w:lineRule="auto"/>
                          <w:jc w:val="center"/>
                          <w:rPr>
                            <w:b/>
                            <w:bCs/>
                            <w:sz w:val="15"/>
                            <w:szCs w:val="15"/>
                            <w:lang w:eastAsia="zh-CN"/>
                          </w:rPr>
                        </w:pPr>
                        <w:r>
                          <w:rPr>
                            <w:rFonts w:cs="宋体"/>
                            <w:b/>
                            <w:sz w:val="14"/>
                          </w:rPr>
                          <w:t>要求更多的生物相容性信息</w:t>
                        </w:r>
                      </w:p>
                    </w:txbxContent>
                  </v:textbox>
                </v:shape>
                <v:shape id="_x0000_s1026" o:spid="_x0000_s1026" o:spt="202" type="#_x0000_t202" style="position:absolute;left:2222500;top:6807200;height:365760;width:996950;v-text-anchor:middle;" fillcolor="#8BCB3F" filled="t" stroked="f" coordsize="21600,21600" o:gfxdata="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Yz3F74A&#10;AADbAAAADwAAAAAAAAABACAAAAAiAAAAZHJzL2Rvd25yZXYueG1sUEsBAhQAFAAAAAgAh07iQDMv&#10;BZ47AAAAOQAAABAAAAAAAAAAAQAgAAAADQEAAGRycy9zaGFwZXhtbC54bWxQSwUGAAAAAAYABgBb&#10;AQAAtwMAAAAA&#10;">
                  <v:fill on="t" focussize="0,0"/>
                  <v:stroke on="f" weight="0.5pt"/>
                  <v:imagedata o:title=""/>
                  <o:lock v:ext="edit" aspectratio="f"/>
                  <v:textbox inset="0mm,0mm,0mm,0mm">
                    <w:txbxContent>
                      <w:p w14:paraId="0124E10C">
                        <w:pPr>
                          <w:spacing w:before="0" w:beforeLines="0" w:line="240" w:lineRule="auto"/>
                          <w:jc w:val="center"/>
                          <w:rPr>
                            <w:b/>
                            <w:bCs/>
                            <w:sz w:val="15"/>
                            <w:szCs w:val="15"/>
                            <w:lang w:eastAsia="zh-CN"/>
                          </w:rPr>
                        </w:pPr>
                        <w:r>
                          <w:rPr>
                            <w:rFonts w:cs="宋体"/>
                            <w:b/>
                            <w:sz w:val="14"/>
                          </w:rPr>
                          <w:t>满足生物相容性要求</w:t>
                        </w:r>
                      </w:p>
                    </w:txbxContent>
                  </v:textbox>
                </v:shape>
                <v:shape id="_x0000_s1026" o:spid="_x0000_s1026" o:spt="202" type="#_x0000_t202" style="position:absolute;left:1803400;top:1981200;height:114300;width:132080;" fillcolor="#FFFFFF [3212]" filled="t" stroked="f" coordsize="21600,21600" o:gfxdata="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sD3c25AAAA2wAA&#10;AA8AAAAAAAAAAQAgAAAAIgAAAGRycy9kb3ducmV2LnhtbFBLAQIUABQAAAAIAIdO4kAzLwWeOwAA&#10;ADkAAAAQAAAAAAAAAAEAIAAAAAgBAABkcnMvc2hhcGV4bWwueG1sUEsFBgAAAAAGAAYAWwEAALID&#10;AAAAAA==&#10;">
                  <v:fill on="t" focussize="0,0"/>
                  <v:stroke on="f" weight="0.5pt"/>
                  <v:imagedata o:title=""/>
                  <o:lock v:ext="edit" aspectratio="f"/>
                  <v:textbox inset="0mm,0mm,0mm,0mm">
                    <w:txbxContent>
                      <w:p w14:paraId="7C22E77A">
                        <w:pPr>
                          <w:spacing w:before="0" w:beforeLines="0" w:line="240" w:lineRule="auto"/>
                          <w:jc w:val="center"/>
                          <w:rPr>
                            <w:sz w:val="15"/>
                            <w:szCs w:val="15"/>
                            <w:lang w:eastAsia="zh-CN"/>
                          </w:rPr>
                        </w:pPr>
                        <w:r>
                          <w:rPr>
                            <w:rFonts w:cs="宋体"/>
                            <w:sz w:val="14"/>
                          </w:rPr>
                          <w:t>否</w:t>
                        </w:r>
                      </w:p>
                    </w:txbxContent>
                  </v:textbox>
                </v:shape>
                <v:shape id="_x0000_s1026" o:spid="_x0000_s1026" o:spt="202" type="#_x0000_t202" style="position:absolute;left:2260600;top:2641600;height:114300;width:132080;" fillcolor="#FFFFFF [3212]" filled="t" stroked="f" coordsize="21600,21600" o:gfxdata="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RPeFa5AAAA2wAA&#10;AA8AAAAAAAAAAQAgAAAAIgAAAGRycy9kb3ducmV2LnhtbFBLAQIUABQAAAAIAIdO4kAzLwWeOwAA&#10;ADkAAAAQAAAAAAAAAAEAIAAAAAgBAABkcnMvc2hhcGV4bWwueG1sUEsFBgAAAAAGAAYAWwEAALID&#10;AAAAAA==&#10;">
                  <v:fill on="t" focussize="0,0"/>
                  <v:stroke on="f" weight="0.5pt"/>
                  <v:imagedata o:title=""/>
                  <o:lock v:ext="edit" aspectratio="f"/>
                  <v:textbox inset="0mm,0mm,0mm,0mm">
                    <w:txbxContent>
                      <w:p w14:paraId="074E2D8D">
                        <w:pPr>
                          <w:spacing w:before="0" w:beforeLines="0" w:line="240" w:lineRule="auto"/>
                          <w:jc w:val="center"/>
                          <w:rPr>
                            <w:sz w:val="15"/>
                            <w:szCs w:val="15"/>
                            <w:lang w:eastAsia="zh-CN"/>
                          </w:rPr>
                        </w:pPr>
                        <w:r>
                          <w:rPr>
                            <w:rFonts w:cs="宋体"/>
                            <w:sz w:val="14"/>
                          </w:rPr>
                          <w:t>否</w:t>
                        </w:r>
                      </w:p>
                    </w:txbxContent>
                  </v:textbox>
                </v:shape>
                <v:shape id="_x0000_s1026" o:spid="_x0000_s1026" o:spt="202" type="#_x0000_t202" style="position:absolute;left:4762500;top:2641600;height:114300;width:132080;" fillcolor="#FFFFFF [3212]" filled="t" stroked="f" coordsize="21600,21600" o:gfxdata="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Sd5iG5AAAA2wAA&#10;AA8AAAAAAAAAAQAgAAAAIgAAAGRycy9kb3ducmV2LnhtbFBLAQIUABQAAAAIAIdO4kAzLwWeOwAA&#10;ADkAAAAQAAAAAAAAAAEAIAAAAAgBAABkcnMvc2hhcGV4bWwueG1sUEsFBgAAAAAGAAYAWwEAALID&#10;AAAAAA==&#10;">
                  <v:fill on="t" focussize="0,0"/>
                  <v:stroke on="f" weight="0.5pt"/>
                  <v:imagedata o:title=""/>
                  <o:lock v:ext="edit" aspectratio="f"/>
                  <v:textbox inset="0mm,0mm,0mm,0mm">
                    <w:txbxContent>
                      <w:p w14:paraId="34D8B9D1">
                        <w:pPr>
                          <w:spacing w:before="0" w:beforeLines="0" w:line="240" w:lineRule="auto"/>
                          <w:jc w:val="center"/>
                          <w:rPr>
                            <w:sz w:val="15"/>
                            <w:szCs w:val="15"/>
                            <w:lang w:eastAsia="zh-CN"/>
                          </w:rPr>
                        </w:pPr>
                        <w:r>
                          <w:rPr>
                            <w:rFonts w:cs="宋体"/>
                            <w:sz w:val="14"/>
                          </w:rPr>
                          <w:t>否</w:t>
                        </w:r>
                      </w:p>
                    </w:txbxContent>
                  </v:textbox>
                </v:shape>
                <v:shape id="_x0000_s1026" o:spid="_x0000_s1026" o:spt="202" type="#_x0000_t202" style="position:absolute;left:2603500;top:5791200;height:114300;width:132080;" fillcolor="#FFFFFF [3212]" filled="t" stroked="f" coordsize="21600,21600" o:gfxdata="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vRQ7q5AAAA2wAA&#10;AA8AAAAAAAAAAQAgAAAAIgAAAGRycy9kb3ducmV2LnhtbFBLAQIUABQAAAAIAIdO4kAzLwWeOwAA&#10;ADkAAAAQAAAAAAAAAAEAIAAAAAgBAABkcnMvc2hhcGV4bWwueG1sUEsFBgAAAAAGAAYAWwEAALID&#10;AAAAAA==&#10;">
                  <v:fill on="t" focussize="0,0"/>
                  <v:stroke on="f" weight="0.5pt"/>
                  <v:imagedata o:title=""/>
                  <o:lock v:ext="edit" aspectratio="f"/>
                  <v:textbox inset="0mm,0mm,0mm,0mm">
                    <w:txbxContent>
                      <w:p w14:paraId="64CD207D">
                        <w:pPr>
                          <w:spacing w:before="0" w:beforeLines="0" w:line="240" w:lineRule="auto"/>
                          <w:jc w:val="center"/>
                          <w:rPr>
                            <w:sz w:val="15"/>
                            <w:szCs w:val="15"/>
                            <w:lang w:eastAsia="zh-CN"/>
                          </w:rPr>
                        </w:pPr>
                        <w:r>
                          <w:rPr>
                            <w:rFonts w:cs="宋体"/>
                            <w:sz w:val="14"/>
                          </w:rPr>
                          <w:t>否</w:t>
                        </w:r>
                      </w:p>
                    </w:txbxContent>
                  </v:textbox>
                </v:shape>
                <v:shape id="_x0000_s1026" o:spid="_x0000_s1026" o:spt="202" type="#_x0000_t202" style="position:absolute;left:2603500;top:1041400;height:114300;width:160020;" fillcolor="#FFFFFF [3212]" filled="t" stroked="f" coordsize="21600,21600" o:gfxdata="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LpO18i2AAAA2wAAAA8A&#10;AAAAAAAAAQAgAAAAIgAAAGRycy9kb3ducmV2LnhtbFBLAQIUABQAAAAIAIdO4kAzLwWeOwAAADkA&#10;AAAQAAAAAAAAAAEAIAAAAAUBAABkcnMvc2hhcGV4bWwueG1sUEsFBgAAAAAGAAYAWwEAAK8DAAAA&#10;AA==&#10;">
                  <v:fill on="t" focussize="0,0"/>
                  <v:stroke on="f" weight="0.5pt"/>
                  <v:imagedata o:title=""/>
                  <o:lock v:ext="edit" aspectratio="f"/>
                  <v:textbox inset="0mm,0mm,0mm,0mm">
                    <w:txbxContent>
                      <w:p w14:paraId="5DB1822F">
                        <w:pPr>
                          <w:spacing w:before="0" w:beforeLines="0" w:line="240" w:lineRule="auto"/>
                          <w:jc w:val="center"/>
                          <w:rPr>
                            <w:sz w:val="15"/>
                            <w:szCs w:val="15"/>
                            <w:lang w:eastAsia="zh-CN"/>
                          </w:rPr>
                        </w:pPr>
                        <w:r>
                          <w:rPr>
                            <w:rFonts w:cs="宋体"/>
                            <w:sz w:val="14"/>
                          </w:rPr>
                          <w:t>是</w:t>
                        </w:r>
                      </w:p>
                    </w:txbxContent>
                  </v:textbox>
                </v:shape>
                <v:shape id="_x0000_s1026" o:spid="_x0000_s1026" o:spt="202" type="#_x0000_t202" style="position:absolute;left:3340100;top:1981200;height:114300;width:160020;" fillcolor="#FFFFFF [3212]" filled="t" stroked="f" coordsize="21600,21600" o:gfxdata="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UCclO5AAAA2wAA&#10;AA8AAAAAAAAAAQAgAAAAIgAAAGRycy9kb3ducmV2LnhtbFBLAQIUABQAAAAIAIdO4kAzLwWeOwAA&#10;ADkAAAAQAAAAAAAAAAEAIAAAAAgBAABkcnMvc2hhcGV4bWwueG1sUEsFBgAAAAAGAAYAWwEAALID&#10;AAAAAA==&#10;">
                  <v:fill on="t" focussize="0,0"/>
                  <v:stroke on="f" weight="0.5pt"/>
                  <v:imagedata o:title=""/>
                  <o:lock v:ext="edit" aspectratio="f"/>
                  <v:textbox inset="0mm,0mm,0mm,0mm">
                    <w:txbxContent>
                      <w:p w14:paraId="5D6C8BD5">
                        <w:pPr>
                          <w:spacing w:before="0" w:beforeLines="0" w:line="240" w:lineRule="auto"/>
                          <w:jc w:val="center"/>
                          <w:rPr>
                            <w:sz w:val="15"/>
                            <w:szCs w:val="15"/>
                            <w:lang w:eastAsia="zh-CN"/>
                          </w:rPr>
                        </w:pPr>
                        <w:r>
                          <w:rPr>
                            <w:rFonts w:cs="宋体"/>
                            <w:sz w:val="14"/>
                          </w:rPr>
                          <w:t>是</w:t>
                        </w:r>
                      </w:p>
                    </w:txbxContent>
                  </v:textbox>
                </v:shape>
                <v:shape id="_x0000_s1026" o:spid="_x0000_s1026" o:spt="202" type="#_x0000_t202" style="position:absolute;left:2730500;top:2641600;height:114300;width:160020;" fillcolor="#FFFFFF [3212]" filled="t" stroked="f" coordsize="21600,21600" o:gfxdata="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w+qLO2AAAA2wAAAA8A&#10;AAAAAAAAAQAgAAAAIgAAAGRycy9kb3ducmV2LnhtbFBLAQIUABQAAAAIAIdO4kAzLwWeOwAAADkA&#10;AAAQAAAAAAAAAAEAIAAAAAUBAABkcnMvc2hhcGV4bWwueG1sUEsFBgAAAAAGAAYAWwEAAK8DAAAA&#10;AA==&#10;">
                  <v:fill on="t" focussize="0,0"/>
                  <v:stroke on="f" weight="0.5pt"/>
                  <v:imagedata o:title=""/>
                  <o:lock v:ext="edit" aspectratio="f"/>
                  <v:textbox inset="0mm,0mm,0mm,0mm">
                    <w:txbxContent>
                      <w:p w14:paraId="44E5CAA3">
                        <w:pPr>
                          <w:spacing w:before="0" w:beforeLines="0" w:line="240" w:lineRule="auto"/>
                          <w:jc w:val="center"/>
                          <w:rPr>
                            <w:sz w:val="15"/>
                            <w:szCs w:val="15"/>
                            <w:lang w:eastAsia="zh-CN"/>
                          </w:rPr>
                        </w:pPr>
                        <w:r>
                          <w:rPr>
                            <w:rFonts w:cs="宋体"/>
                            <w:sz w:val="14"/>
                          </w:rPr>
                          <w:t>是</w:t>
                        </w:r>
                      </w:p>
                    </w:txbxContent>
                  </v:textbox>
                </v:shape>
                <v:shape id="_x0000_s1026" o:spid="_x0000_s1026" o:spt="202" type="#_x0000_t202" style="position:absolute;left:381000;top:2641600;height:114300;width:160020;" fillcolor="#FFFFFF [3212]" filled="t" stroked="f" coordsize="21600,21600" o:gfxdata="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3INKLgAAADbAAAA&#10;DwAAAAAAAAABACAAAAAiAAAAZHJzL2Rvd25yZXYueG1sUEsBAhQAFAAAAAgAh07iQDMvBZ47AAAA&#10;OQAAABAAAAAAAAAAAQAgAAAABwEAAGRycy9zaGFwZXhtbC54bWxQSwUGAAAAAAYABgBbAQAAsQMA&#10;AAAA&#10;">
                  <v:fill on="t" focussize="0,0"/>
                  <v:stroke on="f" weight="0.5pt"/>
                  <v:imagedata o:title=""/>
                  <o:lock v:ext="edit" aspectratio="f"/>
                  <v:textbox inset="0mm,0mm,0mm,0mm">
                    <w:txbxContent>
                      <w:p w14:paraId="04DDAD5B">
                        <w:pPr>
                          <w:spacing w:before="0" w:beforeLines="0" w:line="240" w:lineRule="auto"/>
                          <w:jc w:val="center"/>
                          <w:rPr>
                            <w:sz w:val="15"/>
                            <w:szCs w:val="15"/>
                            <w:lang w:eastAsia="zh-CN"/>
                          </w:rPr>
                        </w:pPr>
                        <w:r>
                          <w:rPr>
                            <w:rFonts w:cs="宋体"/>
                            <w:sz w:val="14"/>
                          </w:rPr>
                          <w:t>是</w:t>
                        </w:r>
                      </w:p>
                    </w:txbxContent>
                  </v:textbox>
                </v:shape>
                <v:shape id="_x0000_s1026" o:spid="_x0000_s1026" o:spt="202" type="#_x0000_t202" style="position:absolute;left:3683000;top:5054600;height:114300;width:160020;" fillcolor="#FFFFFF [3212]" filled="t" stroked="f" coordsize="21600,21600" o:gfxdata="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g6CTX7gAAADbAAAA&#10;DwAAAAAAAAABACAAAAAiAAAAZHJzL2Rvd25yZXYueG1sUEsBAhQAFAAAAAgAh07iQDMvBZ47AAAA&#10;OQAAABAAAAAAAAAAAQAgAAAABwEAAGRycy9zaGFwZXhtbC54bWxQSwUGAAAAAAYABgBbAQAAsQMA&#10;AAAA&#10;">
                  <v:fill on="t" focussize="0,0"/>
                  <v:stroke on="f" weight="0.5pt"/>
                  <v:imagedata o:title=""/>
                  <o:lock v:ext="edit" aspectratio="f"/>
                  <v:textbox inset="0mm,0mm,0mm,0mm">
                    <w:txbxContent>
                      <w:p w14:paraId="2722D744">
                        <w:pPr>
                          <w:spacing w:before="0" w:beforeLines="0" w:line="240" w:lineRule="auto"/>
                          <w:jc w:val="center"/>
                          <w:rPr>
                            <w:sz w:val="15"/>
                            <w:szCs w:val="15"/>
                            <w:lang w:eastAsia="zh-CN"/>
                          </w:rPr>
                        </w:pPr>
                        <w:r>
                          <w:rPr>
                            <w:rFonts w:cs="宋体"/>
                            <w:sz w:val="14"/>
                          </w:rPr>
                          <w:t>是</w:t>
                        </w:r>
                      </w:p>
                    </w:txbxContent>
                  </v:textbox>
                </v:shape>
                <v:shape id="_x0000_s1026" o:spid="_x0000_s1026" o:spt="202" type="#_x0000_t202" style="position:absolute;left:4521200;top:6692900;height:114300;width:160020;" fillcolor="#FFFFFF [3212]" filled="t" stroked="f" coordsize="21600,21600" o:gfxdata="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zsNsS5AAAA2wAA&#10;AA8AAAAAAAAAAQAgAAAAIgAAAGRycy9kb3ducmV2LnhtbFBLAQIUABQAAAAIAIdO4kAzLwWeOwAA&#10;ADkAAAAQAAAAAAAAAAEAIAAAAAgBAABkcnMvc2hhcGV4bWwueG1sUEsFBgAAAAAGAAYAWwEAALID&#10;AAAAAA==&#10;">
                  <v:fill on="t" focussize="0,0"/>
                  <v:stroke on="f" weight="0.5pt"/>
                  <v:imagedata o:title=""/>
                  <o:lock v:ext="edit" aspectratio="f"/>
                  <v:textbox inset="0mm,0mm,0mm,0mm">
                    <w:txbxContent>
                      <w:p w14:paraId="42E1466B">
                        <w:pPr>
                          <w:spacing w:before="0" w:beforeLines="0" w:line="240" w:lineRule="auto"/>
                          <w:jc w:val="center"/>
                          <w:rPr>
                            <w:sz w:val="15"/>
                            <w:szCs w:val="15"/>
                            <w:lang w:eastAsia="zh-CN"/>
                          </w:rPr>
                        </w:pPr>
                        <w:r>
                          <w:rPr>
                            <w:rFonts w:cs="宋体"/>
                            <w:sz w:val="14"/>
                          </w:rPr>
                          <w:t>是</w:t>
                        </w:r>
                      </w:p>
                    </w:txbxContent>
                  </v:textbox>
                </v:shape>
                <v:shape id="_x0000_s1026" o:spid="_x0000_s1026" o:spt="202" type="#_x0000_t202" style="position:absolute;left:4864100;top:1168400;height:114300;width:132080;" fillcolor="#FFFFFF [3212]" filled="t" stroked="f" coordsize="21600,21600" o:gfxdata="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MFrrC5AAAA2wAA&#10;AA8AAAAAAAAAAQAgAAAAIgAAAGRycy9kb3ducmV2LnhtbFBLAQIUABQAAAAIAIdO4kAzLwWeOwAA&#10;ADkAAAAQAAAAAAAAAAEAIAAAAAgBAABkcnMvc2hhcGV4bWwueG1sUEsFBgAAAAAGAAYAWwEAALID&#10;AAAAAA==&#10;">
                  <v:fill on="t" focussize="0,0"/>
                  <v:stroke on="f" weight="0.5pt"/>
                  <v:imagedata o:title=""/>
                  <o:lock v:ext="edit" aspectratio="f"/>
                  <v:textbox inset="0mm,0mm,0mm,0mm">
                    <w:txbxContent>
                      <w:p w14:paraId="72D2D460">
                        <w:pPr>
                          <w:spacing w:before="0" w:beforeLines="0" w:line="240" w:lineRule="auto"/>
                          <w:jc w:val="center"/>
                          <w:rPr>
                            <w:sz w:val="15"/>
                            <w:szCs w:val="15"/>
                            <w:lang w:eastAsia="zh-CN"/>
                          </w:rPr>
                        </w:pPr>
                        <w:r>
                          <w:rPr>
                            <w:rFonts w:cs="宋体"/>
                            <w:sz w:val="14"/>
                          </w:rPr>
                          <w:t>否</w:t>
                        </w:r>
                      </w:p>
                    </w:txbxContent>
                  </v:textbox>
                </v:shape>
                <v:shape id="_x0000_s1026" o:spid="_x0000_s1026" o:spt="202" type="#_x0000_t202" style="position:absolute;left:2070100;top:638175;height:304799;width:1246851;v-text-anchor:middle;" filled="t" stroked="f" coordsize="21600,21600" o:gfxdata="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4EBb4A&#10;AADbAAAADwAAAAAAAAABACAAAAAiAAAAZHJzL2Rvd25yZXYueG1sUEsBAhQAFAAAAAgAh07iQDMv&#10;BZ47AAAAOQAAABAAAAAAAAAAAQAgAAAADQEAAGRycy9zaGFwZXhtbC54bWxQSwUGAAAAAAYABgBb&#10;AQAAtwMAAAAA&#10;">
                  <v:fill type="frame" on="t" focussize="0,0" recolor="t" rotate="t" r:id="rId15"/>
                  <v:stroke on="f" weight="0.5pt"/>
                  <v:imagedata o:title=""/>
                  <o:lock v:ext="edit" aspectratio="f"/>
                  <v:textbox inset="0mm,0mm,0mm,0mm">
                    <w:txbxContent>
                      <w:p w14:paraId="2742D843">
                        <w:pPr>
                          <w:spacing w:before="0" w:beforeLines="0" w:line="240" w:lineRule="auto"/>
                          <w:jc w:val="center"/>
                          <w:rPr>
                            <w:sz w:val="13"/>
                            <w:szCs w:val="13"/>
                            <w:lang w:eastAsia="zh-CN"/>
                          </w:rPr>
                        </w:pPr>
                        <w:r>
                          <w:rPr>
                            <w:rFonts w:cs="宋体"/>
                            <w:sz w:val="12"/>
                            <w:lang w:eastAsia="zh-CN"/>
                          </w:rPr>
                          <w:t>器械是否由单一材料组成：</w:t>
                        </w:r>
                      </w:p>
                      <w:p w14:paraId="16BDAE10">
                        <w:pPr>
                          <w:spacing w:before="0" w:beforeLines="0" w:line="240" w:lineRule="auto"/>
                          <w:jc w:val="center"/>
                          <w:rPr>
                            <w:sz w:val="13"/>
                            <w:szCs w:val="13"/>
                            <w:lang w:eastAsia="zh-CN"/>
                          </w:rPr>
                        </w:pPr>
                        <w:r>
                          <w:rPr>
                            <w:rFonts w:cs="宋体"/>
                            <w:sz w:val="12"/>
                            <w:lang w:eastAsia="zh-CN"/>
                          </w:rPr>
                          <w:t>金属</w:t>
                        </w:r>
                        <w:r>
                          <w:rPr>
                            <w:rFonts w:cs="宋体"/>
                            <w:sz w:val="12"/>
                            <w:u w:val="single"/>
                            <w:lang w:eastAsia="zh-CN"/>
                          </w:rPr>
                          <w:t>或</w:t>
                        </w:r>
                        <w:r>
                          <w:rPr>
                            <w:rFonts w:cs="宋体"/>
                            <w:sz w:val="12"/>
                            <w:lang w:eastAsia="zh-CN"/>
                          </w:rPr>
                          <w:t>金属合金</w:t>
                        </w:r>
                        <w:r>
                          <w:rPr>
                            <w:rFonts w:cs="宋体"/>
                            <w:sz w:val="12"/>
                            <w:u w:val="single"/>
                            <w:lang w:eastAsia="zh-CN"/>
                          </w:rPr>
                          <w:t>或</w:t>
                        </w:r>
                        <w:r>
                          <w:rPr>
                            <w:rFonts w:cs="宋体"/>
                            <w:sz w:val="12"/>
                            <w:lang w:eastAsia="zh-CN"/>
                          </w:rPr>
                          <w:t>陶瓷？</w:t>
                        </w:r>
                      </w:p>
                    </w:txbxContent>
                  </v:textbox>
                </v:shape>
                <v:shape id="_x0000_s1026" o:spid="_x0000_s1026" o:spt="202" type="#_x0000_t202" style="position:absolute;left:2070100;top:1270000;height:588818;width:1246505;v-text-anchor:middle;" filled="t" stroked="f" coordsize="21600,21600" o:gfxdata="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wqGevQAA&#10;ANsAAAAPAAAAAAAAAAEAIAAAACIAAABkcnMvZG93bnJldi54bWxQSwECFAAUAAAACACHTuJAMy8F&#10;njsAAAA5AAAAEAAAAAAAAAABACAAAAAMAQAAZHJzL3NoYXBleG1sLnhtbFBLBQYAAAAABgAGAFsB&#10;AAC2AwAAAAA=&#10;">
                  <v:fill type="frame" on="t" focussize="0,0" recolor="t" rotate="t" r:id="rId15"/>
                  <v:stroke on="f" weight="0.5pt"/>
                  <v:imagedata o:title=""/>
                  <o:lock v:ext="edit" aspectratio="f"/>
                  <v:textbox inset="0mm,0mm,0mm,0mm">
                    <w:txbxContent>
                      <w:p w14:paraId="00566FCD">
                        <w:pPr>
                          <w:spacing w:before="0" w:beforeLines="0" w:line="240" w:lineRule="auto"/>
                          <w:jc w:val="center"/>
                          <w:rPr>
                            <w:sz w:val="13"/>
                            <w:szCs w:val="13"/>
                            <w:lang w:eastAsia="zh-CN"/>
                          </w:rPr>
                        </w:pPr>
                        <w:r>
                          <w:rPr>
                            <w:rFonts w:cs="宋体"/>
                            <w:sz w:val="12"/>
                            <w:lang w:eastAsia="zh-CN"/>
                          </w:rPr>
                          <w:t>是否</w:t>
                        </w:r>
                      </w:p>
                      <w:p w14:paraId="4D1864A4">
                        <w:pPr>
                          <w:spacing w:before="0" w:beforeLines="0" w:line="240" w:lineRule="auto"/>
                          <w:jc w:val="center"/>
                          <w:rPr>
                            <w:sz w:val="13"/>
                            <w:szCs w:val="13"/>
                            <w:lang w:eastAsia="zh-CN"/>
                          </w:rPr>
                        </w:pPr>
                        <w:r>
                          <w:rPr>
                            <w:rFonts w:cs="宋体"/>
                            <w:sz w:val="12"/>
                            <w:lang w:eastAsia="zh-CN"/>
                          </w:rPr>
                          <w:t>金属或金属合金或陶瓷</w:t>
                        </w:r>
                      </w:p>
                      <w:p w14:paraId="2CD3A047">
                        <w:pPr>
                          <w:spacing w:before="0" w:beforeLines="0" w:line="240" w:lineRule="auto"/>
                          <w:jc w:val="center"/>
                          <w:rPr>
                            <w:sz w:val="13"/>
                            <w:szCs w:val="13"/>
                            <w:lang w:eastAsia="zh-CN"/>
                          </w:rPr>
                        </w:pPr>
                        <w:r>
                          <w:rPr>
                            <w:rFonts w:cs="宋体"/>
                            <w:sz w:val="12"/>
                            <w:lang w:eastAsia="zh-CN"/>
                          </w:rPr>
                          <w:t>含有潜在有毒物质</w:t>
                        </w:r>
                      </w:p>
                      <w:p w14:paraId="647A062D">
                        <w:pPr>
                          <w:spacing w:before="0" w:beforeLines="0" w:line="240" w:lineRule="auto"/>
                          <w:jc w:val="center"/>
                          <w:rPr>
                            <w:sz w:val="13"/>
                            <w:szCs w:val="13"/>
                            <w:lang w:eastAsia="zh-CN"/>
                          </w:rPr>
                        </w:pPr>
                        <w:r>
                          <w:rPr>
                            <w:rFonts w:cs="宋体"/>
                            <w:sz w:val="12"/>
                            <w:lang w:eastAsia="zh-CN"/>
                          </w:rPr>
                          <w:t>是否达到可疑水平？</w:t>
                        </w:r>
                      </w:p>
                      <w:p w14:paraId="3EF71E3D">
                        <w:pPr>
                          <w:spacing w:before="0" w:beforeLines="0" w:line="240" w:lineRule="auto"/>
                          <w:jc w:val="center"/>
                          <w:rPr>
                            <w:sz w:val="13"/>
                            <w:szCs w:val="13"/>
                            <w:lang w:val="fr-FR" w:eastAsia="zh-CN"/>
                          </w:rPr>
                        </w:pPr>
                        <w:r>
                          <w:rPr>
                            <w:rFonts w:cs="宋体"/>
                            <w:sz w:val="12"/>
                          </w:rPr>
                          <w:t>（如铅、镍、铬、锆）</w:t>
                        </w:r>
                      </w:p>
                    </w:txbxContent>
                  </v:textbox>
                </v:shape>
                <v:shape id="_x0000_s1026" o:spid="_x0000_s1026" o:spt="202" type="#_x0000_t202" style="position:absolute;left:774700;top:2451100;height:408709;width:1246505;v-text-anchor:middle;" filled="t" stroked="f" coordsize="21600,21600" o:gfxdata="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RdNey5AAAA2wAA&#10;AA8AAAAAAAAAAQAgAAAAIgAAAGRycy9kb3ducmV2LnhtbFBLAQIUABQAAAAIAIdO4kAzLwWeOwAA&#10;ADkAAAAQAAAAAAAAAAEAIAAAAAgBAABkcnMvc2hhcGV4bWwueG1sUEsFBgAAAAAGAAYAWwEAALID&#10;AAAAAA==&#10;">
                  <v:fill type="frame" on="t" focussize="0,0" recolor="t" rotate="t" r:id="rId15"/>
                  <v:stroke on="f" weight="0.5pt"/>
                  <v:imagedata o:title=""/>
                  <o:lock v:ext="edit" aspectratio="f"/>
                  <v:textbox inset="0mm,0mm,0mm,0mm">
                    <w:txbxContent>
                      <w:p w14:paraId="3A6A5099">
                        <w:pPr>
                          <w:spacing w:before="0" w:beforeLines="0" w:line="240" w:lineRule="auto"/>
                          <w:jc w:val="center"/>
                          <w:rPr>
                            <w:sz w:val="13"/>
                            <w:szCs w:val="13"/>
                            <w:lang w:eastAsia="zh-CN"/>
                          </w:rPr>
                        </w:pPr>
                        <w:r>
                          <w:rPr>
                            <w:rFonts w:cs="宋体"/>
                            <w:sz w:val="12"/>
                            <w:lang w:eastAsia="zh-CN"/>
                          </w:rPr>
                          <w:t>咨询毒理学家/资深人员：</w:t>
                        </w:r>
                      </w:p>
                      <w:p w14:paraId="71AC204F">
                        <w:pPr>
                          <w:spacing w:before="0" w:beforeLines="0" w:line="240" w:lineRule="auto"/>
                          <w:jc w:val="center"/>
                          <w:rPr>
                            <w:b/>
                            <w:bCs/>
                            <w:sz w:val="13"/>
                            <w:szCs w:val="13"/>
                            <w:lang w:eastAsia="zh-CN"/>
                          </w:rPr>
                        </w:pPr>
                        <w:r>
                          <w:rPr>
                            <w:rFonts w:cs="宋体"/>
                            <w:b/>
                            <w:sz w:val="12"/>
                            <w:lang w:eastAsia="zh-CN"/>
                          </w:rPr>
                          <w:t>材料标准证明是否充分？</w:t>
                        </w:r>
                      </w:p>
                    </w:txbxContent>
                  </v:textbox>
                </v:shape>
                <v:shape id="_x0000_s1026" o:spid="_x0000_s1026" o:spt="202" type="#_x0000_t202" style="position:absolute;left:3111500;top:2501900;height:297873;width:1246505;v-text-anchor:middle;" filled="t" stroked="f" coordsize="21600,21600" o:gfxdata="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EZB3vQAA&#10;ANsAAAAPAAAAAAAAAAEAIAAAACIAAABkcnMvZG93bnJldi54bWxQSwECFAAUAAAACACHTuJAMy8F&#10;njsAAAA5AAAAEAAAAAAAAAABACAAAAAMAQAAZHJzL3NoYXBleG1sLnhtbFBLBQYAAAAABgAGAFsB&#10;AAC2AwAAAAA=&#10;">
                  <v:fill type="frame" on="t" focussize="0,0" recolor="t" rotate="t" r:id="rId15"/>
                  <v:stroke on="f" weight="0.5pt"/>
                  <v:imagedata o:title=""/>
                  <o:lock v:ext="edit" aspectratio="f"/>
                  <v:textbox inset="0mm,0mm,0mm,0mm">
                    <w:txbxContent>
                      <w:p w14:paraId="71E64EBC">
                        <w:pPr>
                          <w:spacing w:before="0" w:beforeLines="0" w:line="240" w:lineRule="auto"/>
                          <w:jc w:val="center"/>
                          <w:rPr>
                            <w:sz w:val="13"/>
                            <w:szCs w:val="13"/>
                            <w:lang w:eastAsia="zh-CN"/>
                          </w:rPr>
                        </w:pPr>
                        <w:r>
                          <w:rPr>
                            <w:rFonts w:cs="宋体"/>
                            <w:sz w:val="12"/>
                            <w:lang w:eastAsia="zh-CN"/>
                          </w:rPr>
                          <w:t>咨询毒理学家/资深人员：</w:t>
                        </w:r>
                      </w:p>
                      <w:p w14:paraId="2B676BDF">
                        <w:pPr>
                          <w:spacing w:before="0" w:beforeLines="0" w:line="240" w:lineRule="auto"/>
                          <w:jc w:val="center"/>
                          <w:rPr>
                            <w:b/>
                            <w:bCs/>
                            <w:sz w:val="13"/>
                            <w:szCs w:val="13"/>
                            <w:lang w:eastAsia="zh-CN"/>
                          </w:rPr>
                        </w:pPr>
                        <w:r>
                          <w:rPr>
                            <w:rFonts w:cs="宋体"/>
                            <w:b/>
                            <w:sz w:val="12"/>
                            <w:lang w:eastAsia="zh-CN"/>
                          </w:rPr>
                          <w:t>是否存在与人群相关的风险？</w:t>
                        </w:r>
                      </w:p>
                    </w:txbxContent>
                  </v:textbox>
                </v:shape>
                <v:shape id="_x0000_s1026" o:spid="_x0000_s1026" o:spt="202" type="#_x0000_t202" style="position:absolute;left:2032000;top:3098800;height:311727;width:1350819;v-text-anchor:middle;" filled="t" stroked="f" coordsize="21600,21600" o:gfxdata="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yrze5AAAA2wAA&#10;AA8AAAAAAAAAAQAgAAAAIgAAAGRycy9kb3ducmV2LnhtbFBLAQIUABQAAAAIAIdO4kAzLwWeOwAA&#10;ADkAAAAQAAAAAAAAAAEAIAAAAAgBAABkcnMvc2hhcGV4bWwueG1sUEsFBgAAAAAGAAYAWwEAALID&#10;AAAAAA==&#10;">
                  <v:fill type="frame" on="t" focussize="0,0" recolor="t" rotate="t" r:id="rId15"/>
                  <v:stroke on="f" weight="0.5pt"/>
                  <v:imagedata o:title=""/>
                  <o:lock v:ext="edit" aspectratio="f"/>
                  <v:textbox inset="0mm,0mm,0mm,0mm">
                    <w:txbxContent>
                      <w:p w14:paraId="14DD9733">
                        <w:pPr>
                          <w:spacing w:before="0" w:beforeLines="0" w:line="240" w:lineRule="auto"/>
                          <w:jc w:val="center"/>
                          <w:rPr>
                            <w:sz w:val="13"/>
                            <w:szCs w:val="13"/>
                            <w:lang w:eastAsia="zh-CN"/>
                          </w:rPr>
                        </w:pPr>
                        <w:r>
                          <w:rPr>
                            <w:rFonts w:cs="宋体"/>
                            <w:sz w:val="12"/>
                            <w:lang w:eastAsia="zh-CN"/>
                          </w:rPr>
                          <w:t>查阅附件A（修改的ISO矩阵）</w:t>
                        </w:r>
                      </w:p>
                      <w:p w14:paraId="3777F76B">
                        <w:pPr>
                          <w:spacing w:before="0" w:beforeLines="0" w:line="240" w:lineRule="auto"/>
                          <w:jc w:val="center"/>
                          <w:rPr>
                            <w:sz w:val="13"/>
                            <w:szCs w:val="13"/>
                            <w:lang w:eastAsia="zh-CN"/>
                          </w:rPr>
                        </w:pPr>
                        <w:r>
                          <w:rPr>
                            <w:rFonts w:cs="宋体"/>
                            <w:sz w:val="12"/>
                          </w:rPr>
                          <w:t>对于建议的生物学终点</w:t>
                        </w:r>
                      </w:p>
                    </w:txbxContent>
                  </v:textbox>
                </v:shape>
                <v:shape id="_x0000_s1026" o:spid="_x0000_s1026" o:spt="202" type="#_x0000_t202" style="position:absolute;left:1854200;top:3867150;height:298450;width:1607127;v-text-anchor:middle;" filled="t" stroked="f" coordsize="21600,21600" o:gfxdata="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vgqsvQAA&#10;ANsAAAAPAAAAAAAAAAEAIAAAACIAAABkcnMvZG93bnJldi54bWxQSwECFAAUAAAACACHTuJAMy8F&#10;njsAAAA5AAAAEAAAAAAAAAABACAAAAAMAQAAZHJzL3NoYXBleG1sLnhtbFBLBQYAAAAABgAGAFsB&#10;AAC2AwAAAAA=&#10;">
                  <v:fill type="frame" on="t" focussize="0,0" recolor="t" rotate="t" r:id="rId15"/>
                  <v:stroke on="f" weight="0.5pt"/>
                  <v:imagedata o:title=""/>
                  <o:lock v:ext="edit" aspectratio="f"/>
                  <v:textbox inset="0mm,0mm,0mm,0mm">
                    <w:txbxContent>
                      <w:p w14:paraId="3FBF4234">
                        <w:pPr>
                          <w:spacing w:before="0" w:beforeLines="0" w:line="240" w:lineRule="auto"/>
                          <w:jc w:val="center"/>
                          <w:rPr>
                            <w:sz w:val="13"/>
                            <w:szCs w:val="13"/>
                            <w:lang w:eastAsia="zh-CN"/>
                          </w:rPr>
                        </w:pPr>
                        <w:r>
                          <w:rPr>
                            <w:rFonts w:cs="宋体"/>
                            <w:sz w:val="12"/>
                            <w:lang w:eastAsia="zh-CN"/>
                          </w:rPr>
                          <w:t>咨询毒理学家/资深人员：</w:t>
                        </w:r>
                      </w:p>
                      <w:p w14:paraId="1D7BCC0D">
                        <w:pPr>
                          <w:spacing w:before="0" w:beforeLines="0" w:line="240" w:lineRule="auto"/>
                          <w:jc w:val="center"/>
                          <w:rPr>
                            <w:b/>
                            <w:bCs/>
                            <w:sz w:val="13"/>
                            <w:szCs w:val="13"/>
                            <w:lang w:eastAsia="zh-CN"/>
                          </w:rPr>
                        </w:pPr>
                        <w:r>
                          <w:rPr>
                            <w:rFonts w:cs="宋体"/>
                            <w:b/>
                            <w:sz w:val="12"/>
                            <w:lang w:eastAsia="zh-CN"/>
                          </w:rPr>
                          <w:t>必要时决定需进行的合理试验</w:t>
                        </w:r>
                      </w:p>
                    </w:txbxContent>
                  </v:textbox>
                </v:shape>
                <v:shape id="_x0000_s1026" o:spid="_x0000_s1026" o:spt="202" type="#_x0000_t202" style="position:absolute;left:4152900;top:4940300;height:311727;width:900546;v-text-anchor:middle;" filled="t" stroked="f" coordsize="21600,21600" o:gfxdata="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bJTbvQAA&#10;ANsAAAAPAAAAAAAAAAEAIAAAACIAAABkcnMvZG93bnJldi54bWxQSwECFAAUAAAACACHTuJAMy8F&#10;njsAAAA5AAAAEAAAAAAAAAABACAAAAAMAQAAZHJzL3NoYXBleG1sLnhtbFBLBQYAAAAABgAGAFsB&#10;AAC2AwAAAAA=&#10;">
                  <v:fill type="frame" on="t" focussize="0,0" recolor="t" rotate="t" r:id="rId15"/>
                  <v:stroke on="f" weight="0.5pt"/>
                  <v:imagedata o:title=""/>
                  <o:lock v:ext="edit" aspectratio="f"/>
                  <v:textbox inset="0mm,0mm,0mm,0mm">
                    <w:txbxContent>
                      <w:p w14:paraId="46FB75A3">
                        <w:pPr>
                          <w:spacing w:before="0" w:beforeLines="0" w:line="240" w:lineRule="auto"/>
                          <w:jc w:val="center"/>
                          <w:rPr>
                            <w:sz w:val="13"/>
                            <w:szCs w:val="13"/>
                            <w:lang w:eastAsia="zh-CN"/>
                          </w:rPr>
                        </w:pPr>
                        <w:r>
                          <w:rPr>
                            <w:rFonts w:cs="宋体"/>
                            <w:sz w:val="12"/>
                          </w:rPr>
                          <w:t>毒理学家/资深人员</w:t>
                        </w:r>
                      </w:p>
                      <w:p w14:paraId="17D10BFC">
                        <w:pPr>
                          <w:spacing w:before="0" w:beforeLines="0" w:line="240" w:lineRule="auto"/>
                          <w:jc w:val="center"/>
                          <w:rPr>
                            <w:sz w:val="13"/>
                            <w:szCs w:val="13"/>
                            <w:lang w:eastAsia="zh-CN"/>
                          </w:rPr>
                        </w:pPr>
                        <w:r>
                          <w:rPr>
                            <w:rFonts w:cs="宋体"/>
                            <w:sz w:val="12"/>
                          </w:rPr>
                          <w:t>批准</w:t>
                        </w:r>
                      </w:p>
                    </w:txbxContent>
                  </v:textbox>
                </v:shape>
                <v:shape id="_x0000_s1026" o:spid="_x0000_s1026" o:spt="202" type="#_x0000_t202" style="position:absolute;left:1841500;top:4597400;height:415636;width:1690255;v-text-anchor:middle;" filled="t" stroked="f" coordsize="21600,21600" o:gfxdata="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IDFAvQAA&#10;ANsAAAAPAAAAAAAAAAEAIAAAACIAAABkcnMvZG93bnJldi54bWxQSwECFAAUAAAACACHTuJAMy8F&#10;njsAAAA5AAAAEAAAAAAAAAABACAAAAAMAQAAZHJzL3NoYXBleG1sLnhtbFBLBQYAAAAABgAGAFsB&#10;AAC2AwAAAAA=&#10;">
                  <v:fill type="frame" on="t" focussize="0,0" recolor="t" rotate="t" r:id="rId15"/>
                  <v:stroke on="f" weight="0.5pt"/>
                  <v:imagedata o:title=""/>
                  <o:lock v:ext="edit" aspectratio="f"/>
                  <v:textbox inset="0mm,0mm,0mm,0mm">
                    <w:txbxContent>
                      <w:p w14:paraId="4B938495">
                        <w:pPr>
                          <w:spacing w:before="0" w:beforeLines="0" w:line="240" w:lineRule="auto"/>
                          <w:jc w:val="center"/>
                          <w:rPr>
                            <w:sz w:val="13"/>
                            <w:szCs w:val="13"/>
                            <w:lang w:eastAsia="zh-CN"/>
                          </w:rPr>
                        </w:pPr>
                        <w:r>
                          <w:rPr>
                            <w:rFonts w:cs="宋体"/>
                            <w:sz w:val="12"/>
                            <w:lang w:eastAsia="zh-CN"/>
                          </w:rPr>
                          <w:t>申报文件中是否含有可接受的生物相容性信息、化学表征数据和/或支持不进行试验的理由或风险评定？</w:t>
                        </w:r>
                      </w:p>
                    </w:txbxContent>
                  </v:textbox>
                </v:shape>
                <v:shape id="_x0000_s1026" o:spid="_x0000_s1026" o:spt="202" type="#_x0000_t202" style="position:absolute;left:2527300;top:5092700;height:96982;width:235527;" filled="t" stroked="f" coordsize="21600,21600" o:gfxdata="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Qrnaa8AAAA&#10;2wAAAA8AAAAAAAAAAQAgAAAAIgAAAGRycy9kb3ducmV2LnhtbFBLAQIUABQAAAAIAIdO4kAzLwWe&#10;OwAAADkAAAAQAAAAAAAAAAEAIAAAAAsBAABkcnMvc2hhcGV4bWwueG1sUEsFBgAAAAAGAAYAWwEA&#10;ALUDAAAAAA==&#10;">
                  <v:fill type="frame" on="t" focussize="0,0" recolor="t" rotate="t" r:id="rId15"/>
                  <v:stroke on="f" weight="0.5pt"/>
                  <v:imagedata o:title=""/>
                  <o:lock v:ext="edit" aspectratio="f"/>
                  <v:textbox inset="0mm,0mm,0mm,0mm">
                    <w:txbxContent>
                      <w:p w14:paraId="564DB0B6">
                        <w:pPr>
                          <w:spacing w:before="0" w:beforeLines="0" w:line="240" w:lineRule="auto"/>
                          <w:jc w:val="center"/>
                          <w:rPr>
                            <w:sz w:val="13"/>
                            <w:szCs w:val="13"/>
                            <w:lang w:eastAsia="zh-CN"/>
                          </w:rPr>
                        </w:pPr>
                        <w:r>
                          <w:rPr>
                            <w:rFonts w:cs="宋体"/>
                            <w:sz w:val="12"/>
                          </w:rPr>
                          <w:t>或</w:t>
                        </w:r>
                      </w:p>
                    </w:txbxContent>
                  </v:textbox>
                </v:shape>
                <v:shape id="_x0000_s1026" o:spid="_x0000_s1026" o:spt="202" type="#_x0000_t202" style="position:absolute;left:1892300;top:5321300;height:290945;width:1606550;v-text-anchor:middle;" filled="t" stroked="f" coordsize="21600,21600" o:gfxdata="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4UMr74A&#10;AADbAAAADwAAAAAAAAABACAAAAAiAAAAZHJzL2Rvd25yZXYueG1sUEsBAhQAFAAAAAgAh07iQDMv&#10;BZ47AAAAOQAAABAAAAAAAAAAAQAgAAAADQEAAGRycy9zaGFwZXhtbC54bWxQSwUGAAAAAAYABgBb&#10;AQAAtwMAAAAA&#10;">
                  <v:fill type="frame" on="t" focussize="0,0" recolor="t" rotate="t" r:id="rId15"/>
                  <v:stroke on="f" weight="0.5pt"/>
                  <v:imagedata o:title=""/>
                  <o:lock v:ext="edit" aspectratio="f"/>
                  <v:textbox inset="0mm,0mm,0mm,0mm">
                    <w:txbxContent>
                      <w:p w14:paraId="400DB87C">
                        <w:pPr>
                          <w:spacing w:before="0" w:beforeLines="0" w:line="240" w:lineRule="auto"/>
                          <w:jc w:val="center"/>
                          <w:rPr>
                            <w:sz w:val="13"/>
                            <w:szCs w:val="13"/>
                            <w:lang w:eastAsia="zh-CN"/>
                          </w:rPr>
                        </w:pPr>
                        <w:r>
                          <w:rPr>
                            <w:rFonts w:cs="宋体"/>
                            <w:sz w:val="12"/>
                            <w:lang w:eastAsia="zh-CN"/>
                          </w:rPr>
                          <w:t>如果引用主文件，主文件中是否含有适用于器械的可接受的生物相容性和/或化学信息？</w:t>
                        </w:r>
                      </w:p>
                    </w:txbxContent>
                  </v:textbox>
                </v:shape>
                <w10:wrap type="none"/>
                <w10:anchorlock/>
              </v:group>
            </w:pict>
          </mc:Fallback>
        </mc:AlternateContent>
      </w:r>
    </w:p>
    <w:p w14:paraId="1F202B11">
      <w:pPr>
        <w:spacing w:before="120"/>
      </w:pPr>
      <w:r>
        <w:rPr>
          <w:rFonts w:cs="宋体"/>
        </w:rPr>
        <w:br w:type="page"/>
      </w:r>
    </w:p>
    <w:p w14:paraId="5B735E44">
      <w:pPr>
        <w:spacing w:before="120"/>
        <w:jc w:val="center"/>
        <w:outlineLvl w:val="0"/>
        <w:rPr>
          <w:b/>
          <w:bCs/>
          <w:sz w:val="32"/>
          <w:szCs w:val="32"/>
          <w:lang w:eastAsia="zh-CN"/>
        </w:rPr>
      </w:pPr>
      <w:bookmarkStart w:id="43" w:name="_Toc97827729"/>
      <w:r>
        <w:rPr>
          <w:rFonts w:cs="宋体"/>
          <w:b/>
          <w:sz w:val="32"/>
          <w:lang w:eastAsia="zh-CN"/>
        </w:rPr>
        <w:t>附件E：试验报告的内容</w:t>
      </w:r>
      <w:bookmarkEnd w:id="43"/>
    </w:p>
    <w:p w14:paraId="73F4400D">
      <w:pPr>
        <w:spacing w:before="120"/>
        <w:rPr>
          <w:lang w:eastAsia="zh-CN"/>
        </w:rPr>
      </w:pPr>
      <w:r>
        <w:rPr>
          <w:rFonts w:cs="宋体"/>
          <w:lang w:eastAsia="zh-CN"/>
        </w:rPr>
        <w:t>当在申报中纳入生物相容性或化学表征试验信息时，除非可提供合理的符合性声明而无需提供补充信息，否则，FDA建议为所有试验提供完整的报告。</w:t>
      </w:r>
      <w:r>
        <w:rPr>
          <w:rFonts w:cs="宋体"/>
          <w:vertAlign w:val="superscript"/>
          <w:lang w:eastAsia="zh-CN"/>
        </w:rPr>
        <w:t>69</w:t>
      </w:r>
      <w:r>
        <w:rPr>
          <w:rFonts w:cs="宋体"/>
          <w:lang w:eastAsia="zh-CN"/>
        </w:rPr>
        <w:t>GLP的试验报告必须解决21 CFR 58的报告要求，并且，所有试验报告（适用于GLP和非GLP研究）也应包含下述讨论的章节。试验报告应解决任何参考标准中所报告的条款以及下述概述的信息。</w:t>
      </w:r>
    </w:p>
    <w:p w14:paraId="7C4A1B65">
      <w:pPr>
        <w:spacing w:before="120"/>
        <w:rPr>
          <w:b/>
          <w:bCs/>
          <w:lang w:eastAsia="zh-CN"/>
        </w:rPr>
      </w:pPr>
      <w:r>
        <w:rPr>
          <w:rFonts w:cs="宋体"/>
          <w:b/>
          <w:lang w:eastAsia="zh-CN"/>
        </w:rPr>
        <w:t>供试品制备</w:t>
      </w:r>
    </w:p>
    <w:p w14:paraId="4209E874">
      <w:pPr>
        <w:spacing w:before="120"/>
        <w:rPr>
          <w:lang w:eastAsia="zh-CN"/>
        </w:rPr>
      </w:pPr>
      <w:r>
        <w:rPr>
          <w:rFonts w:cs="宋体"/>
          <w:lang w:eastAsia="zh-CN"/>
        </w:rPr>
        <w:t>如上述</w:t>
      </w:r>
      <w:r>
        <w:rPr>
          <w:rFonts w:cs="宋体"/>
          <w:color w:val="0000FF"/>
          <w:u w:val="single"/>
          <w:lang w:eastAsia="zh-CN"/>
        </w:rPr>
        <w:t>第V.A.节</w:t>
      </w:r>
      <w:r>
        <w:rPr>
          <w:rFonts w:cs="宋体"/>
          <w:lang w:eastAsia="zh-CN"/>
        </w:rPr>
        <w:t>中所述，试验报告应对供试品进行识别；如果供试品不是医疗器械最终产品，应在试验报告中或向FDA提交的文件中提供供试品的证明信息。如果试验使用了提取物，报告应解释如何制备这些浸提液，并指明浸提液的外观（颜色、浑浊-透明，以及是否存在颗粒）。</w:t>
      </w:r>
    </w:p>
    <w:p w14:paraId="1127803D">
      <w:pPr>
        <w:spacing w:before="120"/>
        <w:rPr>
          <w:b/>
          <w:bCs/>
          <w:lang w:eastAsia="zh-CN"/>
        </w:rPr>
      </w:pPr>
      <w:r>
        <w:rPr>
          <w:rFonts w:cs="宋体"/>
          <w:b/>
          <w:lang w:eastAsia="zh-CN"/>
        </w:rPr>
        <w:t>试验方法</w:t>
      </w:r>
    </w:p>
    <w:p w14:paraId="336F4C53">
      <w:pPr>
        <w:spacing w:before="120"/>
        <w:rPr>
          <w:lang w:eastAsia="zh-CN"/>
        </w:rPr>
      </w:pPr>
      <w:r>
        <w:rPr>
          <w:rFonts w:cs="宋体"/>
          <w:lang w:eastAsia="zh-CN"/>
        </w:rPr>
        <w:t>试验报告应提供所用方法的总结。如果在已公布的指导原则文件或经FDA认可的标准中未提及所使用的方法，应提供方法的完整说明。如果试验方法是已公布指导性文件或经FDA批准标准中方法的改良版，试验报告应包括方法差异的解释及其对试验结果解释的潜在影响。</w:t>
      </w:r>
    </w:p>
    <w:p w14:paraId="4FCFCD6A">
      <w:pPr>
        <w:spacing w:before="120"/>
        <w:rPr>
          <w:lang w:eastAsia="zh-CN"/>
        </w:rPr>
      </w:pPr>
      <w:r>
        <w:rPr>
          <w:rFonts w:cs="宋体"/>
          <w:lang w:eastAsia="zh-CN"/>
        </w:rPr>
        <w:t>试验报告应明确任何方案偏离及其对试验结论的影响。</w:t>
      </w:r>
    </w:p>
    <w:p w14:paraId="72083D5D">
      <w:pPr>
        <w:spacing w:before="120"/>
        <w:rPr>
          <w:b/>
          <w:bCs/>
          <w:lang w:eastAsia="zh-CN"/>
        </w:rPr>
      </w:pPr>
      <w:r>
        <w:rPr>
          <w:rFonts w:cs="宋体"/>
          <w:b/>
          <w:lang w:eastAsia="zh-CN"/>
        </w:rPr>
        <w:t>试验参数和验收标准</w:t>
      </w:r>
    </w:p>
    <w:p w14:paraId="4126FB2B">
      <w:pPr>
        <w:spacing w:before="120"/>
        <w:rPr>
          <w:lang w:eastAsia="zh-CN"/>
        </w:rPr>
      </w:pPr>
      <w:r>
        <w:rPr>
          <w:rFonts w:cs="宋体"/>
          <w:lang w:eastAsia="zh-CN"/>
        </w:rPr>
        <w:t>试验报告应识别出试验参数和所使用的验收标准。如果试验方法不符合纳入明确验收标准的已公布的指导性文件或经FDA批准的标准，应提供验收标准的原理。</w:t>
      </w:r>
    </w:p>
    <w:p w14:paraId="1F596FB9">
      <w:pPr>
        <w:spacing w:before="120"/>
        <w:rPr>
          <w:rFonts w:cs="宋体"/>
          <w:lang w:eastAsia="zh-CN"/>
        </w:rPr>
      </w:pPr>
    </w:p>
    <w:p w14:paraId="451FD50A">
      <w:pPr>
        <w:spacing w:before="120"/>
        <w:rPr>
          <w:rFonts w:cs="宋体"/>
          <w:lang w:eastAsia="zh-CN"/>
        </w:rPr>
      </w:pPr>
    </w:p>
    <w:p w14:paraId="713CA963">
      <w:pPr>
        <w:spacing w:before="120"/>
        <w:rPr>
          <w:rFonts w:cs="宋体"/>
          <w:lang w:eastAsia="zh-CN"/>
        </w:rPr>
      </w:pPr>
    </w:p>
    <w:p w14:paraId="3F3B231E">
      <w:pPr>
        <w:spacing w:before="120"/>
        <w:rPr>
          <w:rFonts w:cs="宋体"/>
          <w:lang w:eastAsia="zh-CN"/>
        </w:rPr>
      </w:pPr>
    </w:p>
    <w:p w14:paraId="5ABEFBCE">
      <w:pPr>
        <w:spacing w:before="120"/>
        <w:rPr>
          <w:rFonts w:cs="宋体"/>
          <w:lang w:eastAsia="zh-CN"/>
        </w:rPr>
      </w:pPr>
    </w:p>
    <w:p w14:paraId="1575C10F">
      <w:pPr>
        <w:spacing w:before="120"/>
        <w:rPr>
          <w:lang w:eastAsia="zh-CN"/>
        </w:rPr>
      </w:pPr>
      <w:r>
        <w:rPr>
          <w:rFonts w:cs="宋体"/>
          <w:lang w:eastAsia="zh-CN"/>
        </w:rPr>
        <w:t>________________________</w:t>
      </w:r>
    </w:p>
    <w:p w14:paraId="7871FAD4">
      <w:pPr>
        <w:spacing w:before="0" w:beforeLines="0"/>
        <w:rPr>
          <w:sz w:val="21"/>
          <w:szCs w:val="21"/>
          <w:lang w:eastAsia="zh-CN"/>
        </w:rPr>
      </w:pPr>
      <w:r>
        <w:rPr>
          <w:rFonts w:cs="宋体"/>
          <w:sz w:val="21"/>
          <w:vertAlign w:val="superscript"/>
          <w:lang w:eastAsia="zh-CN"/>
        </w:rPr>
        <w:t>69</w:t>
      </w:r>
      <w:r>
        <w:rPr>
          <w:rFonts w:hint="eastAsia" w:cs="宋体"/>
          <w:sz w:val="21"/>
          <w:vertAlign w:val="superscript"/>
          <w:lang w:eastAsia="zh-CN"/>
        </w:rPr>
        <w:t xml:space="preserve"> </w:t>
      </w:r>
      <w:r>
        <w:rPr>
          <w:rFonts w:cs="宋体"/>
          <w:sz w:val="21"/>
          <w:lang w:eastAsia="zh-CN"/>
        </w:rPr>
        <w:t>ISO 10993系列标准作为概述和指导原则，未明确规定一种方法或试验结果。同样，这些标准使人们能够选择不同的试验和方法，并且，无需纳入验收标准。因此，为支持符合性声明并且为便于FDA对符合性进行评价，针对根据ISO 10993选择的任何试验，应提供所选试验组合的原理和用于确定可验收的标准。FDA的经验是试验报告通常会解决这一事宜，并且，通常无需提供原始数据。可能存在其它需要向FDA提交符合性声明而无需提供补充信息的试验。</w:t>
      </w:r>
    </w:p>
    <w:p w14:paraId="445B83D5">
      <w:pPr>
        <w:spacing w:before="120"/>
        <w:rPr>
          <w:lang w:eastAsia="zh-CN"/>
        </w:rPr>
      </w:pPr>
      <w:r>
        <w:rPr>
          <w:rFonts w:cs="宋体"/>
          <w:lang w:eastAsia="zh-CN"/>
        </w:rPr>
        <w:br w:type="page"/>
      </w:r>
    </w:p>
    <w:p w14:paraId="0F7E6722">
      <w:pPr>
        <w:spacing w:before="120"/>
        <w:rPr>
          <w:b/>
          <w:bCs/>
          <w:lang w:eastAsia="zh-CN"/>
        </w:rPr>
      </w:pPr>
      <w:r>
        <w:rPr>
          <w:rFonts w:cs="宋体"/>
          <w:b/>
          <w:lang w:eastAsia="zh-CN"/>
        </w:rPr>
        <w:t>结果分析</w:t>
      </w:r>
    </w:p>
    <w:p w14:paraId="7F4733E7">
      <w:pPr>
        <w:spacing w:before="120"/>
        <w:rPr>
          <w:lang w:eastAsia="zh-CN"/>
        </w:rPr>
      </w:pPr>
      <w:r>
        <w:rPr>
          <w:rFonts w:cs="宋体"/>
          <w:lang w:eastAsia="zh-CN"/>
        </w:rPr>
        <w:t>试验报告应提供试验结果的总结信息并包含每个数据点的表格以及合理的统计学分析。例如，根据ASTM F756进行的溶血反应试验的试验报告应包括对供试品、空白对照、阳性对照和阴性上清液条件以及对吸收和溶血百分比数据的描述。</w:t>
      </w:r>
    </w:p>
    <w:p w14:paraId="699F19BB">
      <w:pPr>
        <w:spacing w:before="120"/>
        <w:rPr>
          <w:lang w:eastAsia="zh-CN"/>
        </w:rPr>
      </w:pPr>
      <w:r>
        <w:rPr>
          <w:rFonts w:cs="宋体"/>
          <w:lang w:eastAsia="zh-CN"/>
        </w:rPr>
        <w:t>对于结果指示可能存在毒性的任何试验，报告应包括对任何可能影响结果的试验特异性问题的讨论。</w:t>
      </w:r>
    </w:p>
    <w:p w14:paraId="17AAFBAB">
      <w:pPr>
        <w:spacing w:before="120"/>
        <w:rPr>
          <w:b/>
          <w:bCs/>
          <w:lang w:eastAsia="zh-CN"/>
        </w:rPr>
      </w:pPr>
      <w:r>
        <w:rPr>
          <w:rFonts w:cs="宋体"/>
          <w:b/>
          <w:lang w:eastAsia="zh-CN"/>
        </w:rPr>
        <w:t>结论</w:t>
      </w:r>
    </w:p>
    <w:p w14:paraId="5ED65E15">
      <w:pPr>
        <w:spacing w:before="120"/>
        <w:rPr>
          <w:lang w:eastAsia="zh-CN"/>
        </w:rPr>
      </w:pPr>
      <w:r>
        <w:rPr>
          <w:rFonts w:cs="宋体"/>
          <w:lang w:eastAsia="zh-CN"/>
        </w:rPr>
        <w:t>试验报告应对通过试验结果所获取的结论进行说明。应在试验报告或在向FDA提交的文件中对研究结论的临床相关性进行说明。</w:t>
      </w:r>
    </w:p>
    <w:p w14:paraId="2FF64ACC">
      <w:pPr>
        <w:spacing w:before="120"/>
        <w:rPr>
          <w:lang w:eastAsia="zh-CN"/>
        </w:rPr>
      </w:pPr>
      <w:r>
        <w:rPr>
          <w:rFonts w:cs="宋体"/>
          <w:lang w:eastAsia="zh-CN"/>
        </w:rPr>
        <w:br w:type="page"/>
      </w:r>
    </w:p>
    <w:p w14:paraId="40CCF847">
      <w:pPr>
        <w:spacing w:before="120"/>
        <w:jc w:val="center"/>
        <w:outlineLvl w:val="0"/>
        <w:rPr>
          <w:b/>
          <w:bCs/>
          <w:sz w:val="32"/>
          <w:szCs w:val="32"/>
          <w:lang w:eastAsia="zh-CN"/>
        </w:rPr>
      </w:pPr>
      <w:bookmarkStart w:id="44" w:name="_Toc97827730"/>
      <w:r>
        <w:rPr>
          <w:rFonts w:cs="宋体"/>
          <w:b/>
          <w:sz w:val="32"/>
          <w:lang w:eastAsia="zh-CN"/>
        </w:rPr>
        <w:t>附件F：组件和器械文件示例</w:t>
      </w:r>
      <w:bookmarkEnd w:id="44"/>
    </w:p>
    <w:p w14:paraId="125D8620">
      <w:pPr>
        <w:spacing w:before="120"/>
        <w:rPr>
          <w:lang w:eastAsia="zh-CN"/>
        </w:rPr>
      </w:pPr>
      <w:r>
        <w:rPr>
          <w:rFonts w:cs="宋体"/>
          <w:lang w:eastAsia="zh-CN"/>
        </w:rPr>
        <w:t>提供下述示例来说明利用文件证明供试品如何与申报的器械最终产品进行比较的可能方法；其它方法或许也可接受。鼓励制造商使用一种专用方法，并考虑变更如何影响器械的生物相容性。注意，这些是普遍用于文件证明的例证而不适用于每项可能存在的注意事项。</w:t>
      </w:r>
    </w:p>
    <w:p w14:paraId="28EF344C">
      <w:pPr>
        <w:pStyle w:val="40"/>
        <w:numPr>
          <w:ilvl w:val="0"/>
          <w:numId w:val="25"/>
        </w:numPr>
        <w:spacing w:before="120"/>
        <w:ind w:left="562" w:hanging="562" w:hangingChars="200"/>
        <w:outlineLvl w:val="1"/>
        <w:rPr>
          <w:b/>
          <w:bCs/>
          <w:sz w:val="28"/>
          <w:szCs w:val="28"/>
        </w:rPr>
      </w:pPr>
      <w:bookmarkStart w:id="45" w:name="_Toc97827731"/>
      <w:r>
        <w:rPr>
          <w:rFonts w:cs="宋体"/>
          <w:b/>
          <w:sz w:val="28"/>
        </w:rPr>
        <w:t>组件文件</w:t>
      </w:r>
      <w:bookmarkEnd w:id="45"/>
    </w:p>
    <w:p w14:paraId="7BB603B3">
      <w:pPr>
        <w:spacing w:before="120"/>
        <w:rPr>
          <w:lang w:eastAsia="zh-CN"/>
        </w:rPr>
      </w:pPr>
      <w:r>
        <w:rPr>
          <w:rFonts w:cs="宋体"/>
          <w:lang w:eastAsia="zh-CN"/>
        </w:rPr>
        <w:t>针对每种组件和任何接缝工艺/材料（例如，添加剂、烧结过程），可提供下述任何声明：</w:t>
      </w:r>
    </w:p>
    <w:p w14:paraId="10B8DDCB">
      <w:pPr>
        <w:spacing w:before="120"/>
        <w:ind w:left="284"/>
        <w:rPr>
          <w:lang w:eastAsia="zh-CN"/>
        </w:rPr>
      </w:pPr>
      <w:r>
        <w:rPr>
          <w:rFonts w:cs="宋体"/>
          <w:b/>
          <w:lang w:eastAsia="zh-CN"/>
        </w:rPr>
        <w:t>供试品比较：</w:t>
      </w:r>
      <w:r>
        <w:rPr>
          <w:rFonts w:cs="宋体"/>
          <w:lang w:eastAsia="zh-CN"/>
        </w:rPr>
        <w:t>“供试品的</w:t>
      </w:r>
      <w:r>
        <w:rPr>
          <w:rFonts w:cs="宋体"/>
          <w:b/>
          <w:lang w:eastAsia="zh-CN"/>
        </w:rPr>
        <w:t>[聚合物/金属/陶瓷/化合物名称][组件名称]</w:t>
      </w:r>
      <w:r>
        <w:rPr>
          <w:rFonts w:cs="宋体"/>
          <w:lang w:eastAsia="zh-CN"/>
        </w:rPr>
        <w:t>与医疗器械最终产品的[组件名称]在配方、工艺、灭菌和几何构造方面相同，并且未添加其它化学物质（例如，增塑剂、填料、添加剂、清洁剂、脱模剂）”。</w:t>
      </w:r>
    </w:p>
    <w:p w14:paraId="1F2180A7">
      <w:pPr>
        <w:spacing w:before="120"/>
        <w:ind w:left="284"/>
        <w:rPr>
          <w:lang w:eastAsia="zh-CN"/>
        </w:rPr>
      </w:pPr>
      <w:r>
        <w:rPr>
          <w:rFonts w:cs="宋体"/>
          <w:b/>
          <w:lang w:eastAsia="zh-CN"/>
        </w:rPr>
        <w:t>与之前上市产品的比较：</w:t>
      </w:r>
      <w:r>
        <w:rPr>
          <w:rFonts w:cs="宋体"/>
          <w:lang w:eastAsia="zh-CN"/>
        </w:rPr>
        <w:t>“医疗器械最终产品的</w:t>
      </w:r>
      <w:r>
        <w:rPr>
          <w:rFonts w:cs="宋体"/>
          <w:b/>
          <w:lang w:eastAsia="zh-CN"/>
        </w:rPr>
        <w:t>[聚合物/金属/陶瓷/化合物名称][组件名称]</w:t>
      </w:r>
      <w:r>
        <w:rPr>
          <w:rFonts w:cs="宋体"/>
          <w:lang w:eastAsia="zh-CN"/>
        </w:rPr>
        <w:t>与</w:t>
      </w:r>
      <w:r>
        <w:rPr>
          <w:rFonts w:cs="宋体"/>
          <w:b/>
          <w:lang w:eastAsia="zh-CN"/>
        </w:rPr>
        <w:t>[名称]</w:t>
      </w:r>
      <w:r>
        <w:rPr>
          <w:rFonts w:cs="宋体"/>
          <w:lang w:eastAsia="zh-CN"/>
        </w:rPr>
        <w:t>（在美国合法销售的产品）</w:t>
      </w:r>
      <w:r>
        <w:rPr>
          <w:rFonts w:cs="宋体"/>
          <w:vertAlign w:val="superscript"/>
          <w:lang w:eastAsia="zh-CN"/>
        </w:rPr>
        <w:t>70</w:t>
      </w:r>
      <w:r>
        <w:rPr>
          <w:rFonts w:cs="宋体"/>
          <w:lang w:eastAsia="zh-CN"/>
        </w:rPr>
        <w:t>在配方、工艺、灭菌和几何构造方面相同，并且未添加其它化学物质（例如，增塑剂、填料、添加剂、清洁剂、脱模剂）”。</w:t>
      </w:r>
    </w:p>
    <w:p w14:paraId="63513A38">
      <w:pPr>
        <w:pStyle w:val="40"/>
        <w:numPr>
          <w:ilvl w:val="0"/>
          <w:numId w:val="25"/>
        </w:numPr>
        <w:spacing w:before="120"/>
        <w:ind w:left="562" w:hanging="562" w:hangingChars="200"/>
        <w:outlineLvl w:val="1"/>
        <w:rPr>
          <w:b/>
          <w:bCs/>
          <w:sz w:val="28"/>
          <w:szCs w:val="28"/>
        </w:rPr>
      </w:pPr>
      <w:bookmarkStart w:id="46" w:name="_Toc97827732"/>
      <w:r>
        <w:rPr>
          <w:rFonts w:cs="宋体"/>
          <w:b/>
          <w:sz w:val="28"/>
        </w:rPr>
        <w:t>器械文件</w:t>
      </w:r>
      <w:bookmarkEnd w:id="46"/>
    </w:p>
    <w:p w14:paraId="3E334EFC">
      <w:pPr>
        <w:spacing w:before="120"/>
        <w:rPr>
          <w:lang w:eastAsia="zh-CN"/>
        </w:rPr>
      </w:pPr>
      <w:r>
        <w:rPr>
          <w:rFonts w:cs="宋体"/>
          <w:lang w:eastAsia="zh-CN"/>
        </w:rPr>
        <w:t>如果上述声明适用于所有器械组件材料配方、工艺、和灭菌方法（如适用），可提供下述一般声明：</w:t>
      </w:r>
    </w:p>
    <w:p w14:paraId="5169EED1">
      <w:pPr>
        <w:spacing w:before="120"/>
        <w:ind w:left="284"/>
        <w:rPr>
          <w:lang w:eastAsia="zh-CN"/>
        </w:rPr>
      </w:pPr>
      <w:r>
        <w:rPr>
          <w:rFonts w:cs="宋体"/>
          <w:b/>
          <w:lang w:eastAsia="zh-CN"/>
        </w:rPr>
        <w:t>供试品比较：</w:t>
      </w:r>
      <w:r>
        <w:rPr>
          <w:rFonts w:cs="宋体"/>
          <w:lang w:eastAsia="zh-CN"/>
        </w:rPr>
        <w:t>“供试品与医疗器械最终产品在配方、工艺、灭菌和几何构造方面相同，并且，未添加其它化学物质（例如，增塑剂、填料、添加剂、清洁剂、脱模剂）”。</w:t>
      </w:r>
    </w:p>
    <w:p w14:paraId="67FB9686">
      <w:pPr>
        <w:spacing w:before="120"/>
        <w:ind w:left="284"/>
        <w:rPr>
          <w:lang w:eastAsia="zh-CN"/>
        </w:rPr>
      </w:pPr>
      <w:r>
        <w:rPr>
          <w:rFonts w:cs="宋体"/>
          <w:b/>
          <w:lang w:eastAsia="zh-CN"/>
        </w:rPr>
        <w:t>与之前上市产品的比较：</w:t>
      </w:r>
      <w:r>
        <w:rPr>
          <w:rFonts w:cs="宋体"/>
          <w:lang w:eastAsia="zh-CN"/>
        </w:rPr>
        <w:t>“医疗器械最终产品与</w:t>
      </w:r>
      <w:r>
        <w:rPr>
          <w:rFonts w:cs="宋体"/>
          <w:b/>
          <w:lang w:eastAsia="zh-CN"/>
        </w:rPr>
        <w:t>[名称]</w:t>
      </w:r>
      <w:r>
        <w:rPr>
          <w:rFonts w:cs="宋体"/>
          <w:lang w:eastAsia="zh-CN"/>
        </w:rPr>
        <w:t>（在美国合法销售的产品）在配方、工艺、灭菌和几何构造方面相同，并且，未添加其它化学物质（例如，增塑剂、填料、添加剂、清洁剂、脱模剂）”。</w:t>
      </w:r>
    </w:p>
    <w:p w14:paraId="7E4F6A59">
      <w:pPr>
        <w:spacing w:before="120"/>
        <w:rPr>
          <w:rFonts w:cs="宋体"/>
          <w:lang w:eastAsia="zh-CN"/>
        </w:rPr>
      </w:pPr>
    </w:p>
    <w:p w14:paraId="47AFDC6E">
      <w:pPr>
        <w:spacing w:before="120"/>
        <w:rPr>
          <w:rFonts w:cs="宋体"/>
          <w:lang w:eastAsia="zh-CN"/>
        </w:rPr>
      </w:pPr>
    </w:p>
    <w:p w14:paraId="0FB07658">
      <w:pPr>
        <w:spacing w:before="120"/>
        <w:rPr>
          <w:rFonts w:cs="宋体"/>
          <w:lang w:eastAsia="zh-CN"/>
        </w:rPr>
      </w:pPr>
    </w:p>
    <w:p w14:paraId="40A84ACB">
      <w:pPr>
        <w:spacing w:before="120"/>
        <w:rPr>
          <w:rFonts w:cs="宋体"/>
          <w:lang w:eastAsia="zh-CN"/>
        </w:rPr>
      </w:pPr>
    </w:p>
    <w:p w14:paraId="134A17A1">
      <w:pPr>
        <w:spacing w:before="120"/>
        <w:rPr>
          <w:rFonts w:cs="宋体"/>
          <w:lang w:eastAsia="zh-CN"/>
        </w:rPr>
      </w:pPr>
    </w:p>
    <w:p w14:paraId="1C7932B7">
      <w:pPr>
        <w:spacing w:before="120"/>
        <w:rPr>
          <w:rFonts w:cs="宋体"/>
          <w:lang w:eastAsia="zh-CN"/>
        </w:rPr>
      </w:pPr>
    </w:p>
    <w:p w14:paraId="709B44EF">
      <w:pPr>
        <w:spacing w:before="120"/>
        <w:rPr>
          <w:rFonts w:cs="宋体"/>
          <w:lang w:eastAsia="zh-CN"/>
        </w:rPr>
      </w:pPr>
    </w:p>
    <w:p w14:paraId="1B651B8B">
      <w:pPr>
        <w:spacing w:before="120"/>
        <w:rPr>
          <w:lang w:eastAsia="zh-CN"/>
        </w:rPr>
      </w:pPr>
      <w:r>
        <w:rPr>
          <w:rFonts w:cs="宋体"/>
          <w:lang w:eastAsia="zh-CN"/>
        </w:rPr>
        <w:t>________________________</w:t>
      </w:r>
    </w:p>
    <w:p w14:paraId="6D9EBF53">
      <w:pPr>
        <w:spacing w:before="0" w:beforeLines="0"/>
        <w:rPr>
          <w:sz w:val="21"/>
          <w:szCs w:val="21"/>
          <w:lang w:eastAsia="zh-CN"/>
        </w:rPr>
      </w:pPr>
      <w:r>
        <w:rPr>
          <w:rFonts w:cs="宋体"/>
          <w:sz w:val="21"/>
          <w:vertAlign w:val="superscript"/>
          <w:lang w:eastAsia="zh-CN"/>
        </w:rPr>
        <w:t>70</w:t>
      </w:r>
      <w:r>
        <w:rPr>
          <w:rFonts w:cs="宋体"/>
          <w:sz w:val="21"/>
          <w:lang w:eastAsia="zh-CN"/>
        </w:rPr>
        <w:t>本机构建议您包含申报编号和在美国合法销售器械获取上市许可的日期。</w:t>
      </w:r>
    </w:p>
    <w:p w14:paraId="57F666BD">
      <w:pPr>
        <w:spacing w:before="120"/>
        <w:rPr>
          <w:lang w:eastAsia="zh-CN"/>
        </w:rPr>
      </w:pPr>
      <w:r>
        <w:rPr>
          <w:rFonts w:cs="宋体"/>
          <w:lang w:eastAsia="zh-CN"/>
        </w:rPr>
        <w:br w:type="page"/>
      </w:r>
    </w:p>
    <w:p w14:paraId="39CA8146">
      <w:pPr>
        <w:pStyle w:val="40"/>
        <w:numPr>
          <w:ilvl w:val="0"/>
          <w:numId w:val="25"/>
        </w:numPr>
        <w:spacing w:before="120"/>
        <w:ind w:left="562" w:hanging="562" w:hangingChars="200"/>
        <w:outlineLvl w:val="1"/>
        <w:rPr>
          <w:b/>
          <w:bCs/>
          <w:sz w:val="28"/>
          <w:szCs w:val="28"/>
        </w:rPr>
      </w:pPr>
      <w:bookmarkStart w:id="47" w:name="_Toc97827733"/>
      <w:r>
        <w:rPr>
          <w:rFonts w:cs="宋体"/>
          <w:b/>
          <w:sz w:val="28"/>
        </w:rPr>
        <w:t>新工艺/灭菌变更</w:t>
      </w:r>
      <w:bookmarkEnd w:id="47"/>
    </w:p>
    <w:p w14:paraId="28CE382B">
      <w:pPr>
        <w:spacing w:before="120"/>
        <w:rPr>
          <w:lang w:eastAsia="zh-CN"/>
        </w:rPr>
      </w:pPr>
      <w:r>
        <w:rPr>
          <w:rFonts w:cs="宋体"/>
          <w:lang w:eastAsia="zh-CN"/>
        </w:rPr>
        <w:t>如果出现任何申请人认为不会改变医疗器械最终产品生物相容性的工艺或灭菌变更，申请人应使用组件文档语言并包含下述修饰语：</w:t>
      </w:r>
    </w:p>
    <w:p w14:paraId="0A4D8604">
      <w:pPr>
        <w:spacing w:before="120"/>
        <w:ind w:left="284"/>
        <w:rPr>
          <w:lang w:eastAsia="zh-CN"/>
        </w:rPr>
      </w:pPr>
      <w:r>
        <w:rPr>
          <w:rFonts w:cs="宋体"/>
          <w:b/>
          <w:lang w:eastAsia="zh-CN"/>
        </w:rPr>
        <w:t>供试品比较：</w:t>
      </w:r>
      <w:r>
        <w:rPr>
          <w:rFonts w:cs="宋体"/>
          <w:lang w:eastAsia="zh-CN"/>
        </w:rPr>
        <w:t>……</w:t>
      </w:r>
      <w:r>
        <w:rPr>
          <w:rFonts w:cs="宋体"/>
          <w:b/>
          <w:lang w:eastAsia="zh-CN"/>
        </w:rPr>
        <w:t>[识别变更]</w:t>
      </w:r>
      <w:r>
        <w:rPr>
          <w:rFonts w:cs="宋体"/>
          <w:lang w:eastAsia="zh-CN"/>
        </w:rPr>
        <w:t>除外。FDA申请文件（显示[#]，页[#]，提交</w:t>
      </w:r>
      <w:r>
        <w:rPr>
          <w:rFonts w:cs="宋体"/>
          <w:b/>
          <w:lang w:eastAsia="zh-CN"/>
        </w:rPr>
        <w:t>[日期]</w:t>
      </w:r>
      <w:r>
        <w:rPr>
          <w:rFonts w:cs="宋体"/>
          <w:lang w:eastAsia="zh-CN"/>
        </w:rPr>
        <w:t>）提供科学信息来证明</w:t>
      </w:r>
      <w:r>
        <w:rPr>
          <w:rFonts w:cs="宋体"/>
          <w:b/>
          <w:lang w:eastAsia="zh-CN"/>
        </w:rPr>
        <w:t>[工艺/灭菌]</w:t>
      </w:r>
      <w:r>
        <w:rPr>
          <w:rFonts w:cs="宋体"/>
          <w:lang w:eastAsia="zh-CN"/>
        </w:rPr>
        <w:t>变更不会改变医疗器械最终产品的化学或物理特性，因此，供试品的结果可用于申报的医疗器械最终产品。</w:t>
      </w:r>
    </w:p>
    <w:p w14:paraId="3769737E">
      <w:pPr>
        <w:spacing w:before="120"/>
        <w:ind w:left="284"/>
        <w:rPr>
          <w:lang w:eastAsia="zh-CN"/>
        </w:rPr>
      </w:pPr>
      <w:r>
        <w:rPr>
          <w:rFonts w:cs="宋体"/>
          <w:b/>
          <w:lang w:eastAsia="zh-CN"/>
        </w:rPr>
        <w:t>与之前上市产品的比较：[识别变更]</w:t>
      </w:r>
      <w:r>
        <w:rPr>
          <w:rFonts w:cs="宋体"/>
          <w:lang w:eastAsia="zh-CN"/>
        </w:rPr>
        <w:t>除外。FDA申请文件（显示[#]，页[#]，提交</w:t>
      </w:r>
      <w:r>
        <w:rPr>
          <w:rFonts w:cs="宋体"/>
          <w:b/>
          <w:lang w:eastAsia="zh-CN"/>
        </w:rPr>
        <w:t>[日期]</w:t>
      </w:r>
      <w:r>
        <w:rPr>
          <w:rFonts w:cs="宋体"/>
          <w:lang w:eastAsia="zh-CN"/>
        </w:rPr>
        <w:t>）提供科学信息来证明</w:t>
      </w:r>
      <w:r>
        <w:rPr>
          <w:rFonts w:cs="宋体"/>
          <w:b/>
          <w:lang w:eastAsia="zh-CN"/>
        </w:rPr>
        <w:t>[工艺/灭菌]</w:t>
      </w:r>
      <w:r>
        <w:rPr>
          <w:rFonts w:cs="宋体"/>
          <w:lang w:eastAsia="zh-CN"/>
        </w:rPr>
        <w:t>变更不会改变医疗器械最终产品的化学或物理特性，因此，</w:t>
      </w:r>
      <w:r>
        <w:rPr>
          <w:rFonts w:cs="宋体"/>
          <w:b/>
          <w:lang w:eastAsia="zh-CN"/>
        </w:rPr>
        <w:t>[名称]</w:t>
      </w:r>
      <w:r>
        <w:rPr>
          <w:rFonts w:cs="宋体"/>
          <w:lang w:eastAsia="zh-CN"/>
        </w:rPr>
        <w:t>（在美国合法销售的产品）的结果可用于申报的医疗器械最终产品。</w:t>
      </w:r>
    </w:p>
    <w:p w14:paraId="63807D37">
      <w:pPr>
        <w:spacing w:before="120"/>
        <w:ind w:left="284"/>
        <w:rPr>
          <w:lang w:eastAsia="zh-CN"/>
        </w:rPr>
      </w:pPr>
      <w:r>
        <w:rPr>
          <w:rFonts w:cs="宋体"/>
          <w:lang w:eastAsia="zh-CN"/>
        </w:rPr>
        <w:t>注：应为FDA提供充分详细的、用于支持工艺和灭菌变更将不会影响医疗器械最终产品化学或物理性能的声明信息，以在审核过程中进行单独评价并获取相同结论。</w:t>
      </w:r>
    </w:p>
    <w:p w14:paraId="53509C05">
      <w:pPr>
        <w:spacing w:before="120"/>
        <w:ind w:left="284"/>
        <w:rPr>
          <w:lang w:eastAsia="zh-CN"/>
        </w:rPr>
      </w:pPr>
      <w:r>
        <w:rPr>
          <w:rFonts w:cs="宋体"/>
          <w:lang w:eastAsia="zh-CN"/>
        </w:rPr>
        <w:t>注：原料供应商或原料标准发生变更会引入不同类型或数量的化学物残留，并可能引起毒性反应（即使基础材质在类似应用中具有较长的安全应用史）。</w:t>
      </w:r>
      <w:r>
        <w:rPr>
          <w:rFonts w:cs="宋体"/>
          <w:vertAlign w:val="superscript"/>
          <w:lang w:eastAsia="zh-CN"/>
        </w:rPr>
        <w:t>71</w:t>
      </w:r>
    </w:p>
    <w:p w14:paraId="567E3B04">
      <w:pPr>
        <w:spacing w:before="120"/>
        <w:ind w:left="284"/>
        <w:rPr>
          <w:lang w:eastAsia="zh-CN"/>
        </w:rPr>
      </w:pPr>
      <w:r>
        <w:rPr>
          <w:rFonts w:cs="宋体"/>
          <w:lang w:eastAsia="zh-CN"/>
        </w:rPr>
        <w:t>注：由于加工原因，即使在微米或亚微米水平因表面变化而产生的影响，当极有可能在表面产生几何构造或化学变化并随后引起不良反应时（即使基础材质在类似应用中具有较长的安全应用史），应对这种表面变化的影响进行评价。</w:t>
      </w:r>
    </w:p>
    <w:p w14:paraId="6B5C0178">
      <w:pPr>
        <w:spacing w:before="120"/>
        <w:rPr>
          <w:lang w:eastAsia="zh-CN"/>
        </w:rPr>
      </w:pPr>
      <w:bookmarkStart w:id="48" w:name="bookmark431"/>
      <w:bookmarkEnd w:id="48"/>
    </w:p>
    <w:p w14:paraId="02B17E01">
      <w:pPr>
        <w:spacing w:before="120"/>
        <w:rPr>
          <w:lang w:eastAsia="zh-CN"/>
        </w:rPr>
      </w:pPr>
    </w:p>
    <w:p w14:paraId="7DBB0BF2">
      <w:pPr>
        <w:spacing w:before="120"/>
        <w:rPr>
          <w:lang w:eastAsia="zh-CN"/>
        </w:rPr>
      </w:pPr>
    </w:p>
    <w:p w14:paraId="6EF5F7AB">
      <w:pPr>
        <w:spacing w:before="120"/>
        <w:rPr>
          <w:lang w:eastAsia="zh-CN"/>
        </w:rPr>
      </w:pPr>
    </w:p>
    <w:p w14:paraId="6D2B4EE2">
      <w:pPr>
        <w:spacing w:before="120"/>
        <w:rPr>
          <w:lang w:eastAsia="zh-CN"/>
        </w:rPr>
      </w:pPr>
    </w:p>
    <w:p w14:paraId="317E265E">
      <w:pPr>
        <w:spacing w:before="120"/>
        <w:rPr>
          <w:lang w:eastAsia="zh-CN"/>
        </w:rPr>
      </w:pPr>
    </w:p>
    <w:p w14:paraId="4F92BE23">
      <w:pPr>
        <w:spacing w:before="120"/>
        <w:rPr>
          <w:lang w:eastAsia="zh-CN"/>
        </w:rPr>
      </w:pPr>
    </w:p>
    <w:p w14:paraId="339F554D">
      <w:pPr>
        <w:spacing w:before="120"/>
        <w:rPr>
          <w:lang w:eastAsia="zh-CN"/>
        </w:rPr>
      </w:pPr>
    </w:p>
    <w:p w14:paraId="029839F3">
      <w:pPr>
        <w:spacing w:before="120"/>
        <w:rPr>
          <w:lang w:eastAsia="zh-CN"/>
        </w:rPr>
      </w:pPr>
    </w:p>
    <w:p w14:paraId="24F3E3FD">
      <w:pPr>
        <w:spacing w:before="120"/>
        <w:rPr>
          <w:lang w:eastAsia="zh-CN"/>
        </w:rPr>
      </w:pPr>
    </w:p>
    <w:p w14:paraId="4D074A4E">
      <w:pPr>
        <w:spacing w:before="120"/>
        <w:rPr>
          <w:lang w:eastAsia="zh-CN"/>
        </w:rPr>
      </w:pPr>
      <w:r>
        <w:rPr>
          <w:rFonts w:cs="宋体"/>
          <w:lang w:eastAsia="zh-CN"/>
        </w:rPr>
        <w:t>________________________</w:t>
      </w:r>
    </w:p>
    <w:p w14:paraId="26A0DA9C">
      <w:pPr>
        <w:spacing w:before="0" w:beforeLines="0"/>
        <w:rPr>
          <w:sz w:val="21"/>
          <w:szCs w:val="21"/>
          <w:lang w:eastAsia="zh-CN"/>
        </w:rPr>
      </w:pPr>
      <w:r>
        <w:rPr>
          <w:rFonts w:cs="宋体"/>
          <w:sz w:val="21"/>
          <w:vertAlign w:val="superscript"/>
          <w:lang w:eastAsia="zh-CN"/>
        </w:rPr>
        <w:t>71</w:t>
      </w:r>
      <w:r>
        <w:rPr>
          <w:rFonts w:cs="宋体"/>
          <w:sz w:val="21"/>
          <w:lang w:eastAsia="zh-CN"/>
        </w:rPr>
        <w:t>在某些情况下，原材料水平的化学表征可能足以用于显示生物相似性并消除对器械水平试验的需求。但是，某些树脂变更可能造成医疗器械最终产品的物理性能和/或表面特征发生改变，可能影响生物学反应。</w:t>
      </w:r>
    </w:p>
    <w:p w14:paraId="3FE2D20D">
      <w:pPr>
        <w:spacing w:before="120"/>
        <w:rPr>
          <w:lang w:eastAsia="zh-CN"/>
        </w:rPr>
      </w:pPr>
      <w:r>
        <w:rPr>
          <w:rFonts w:cs="宋体"/>
          <w:lang w:eastAsia="zh-CN"/>
        </w:rPr>
        <w:br w:type="page"/>
      </w:r>
    </w:p>
    <w:p w14:paraId="43AAE211">
      <w:pPr>
        <w:pStyle w:val="40"/>
        <w:numPr>
          <w:ilvl w:val="0"/>
          <w:numId w:val="25"/>
        </w:numPr>
        <w:spacing w:before="120"/>
        <w:ind w:left="562" w:hanging="562" w:hangingChars="200"/>
        <w:outlineLvl w:val="1"/>
        <w:rPr>
          <w:b/>
          <w:bCs/>
          <w:sz w:val="28"/>
          <w:szCs w:val="28"/>
        </w:rPr>
      </w:pPr>
      <w:bookmarkStart w:id="49" w:name="_Toc97827734"/>
      <w:r>
        <w:rPr>
          <w:rFonts w:cs="宋体"/>
          <w:b/>
          <w:sz w:val="28"/>
        </w:rPr>
        <w:t>配方变更</w:t>
      </w:r>
      <w:bookmarkEnd w:id="49"/>
    </w:p>
    <w:p w14:paraId="0DAF894F">
      <w:pPr>
        <w:spacing w:before="120"/>
        <w:rPr>
          <w:lang w:eastAsia="zh-CN"/>
        </w:rPr>
      </w:pPr>
      <w:r>
        <w:rPr>
          <w:rFonts w:cs="宋体"/>
          <w:lang w:eastAsia="zh-CN"/>
        </w:rPr>
        <w:t>如果出现申请人认为不会改变医疗器械最终产品生物相容性的配方变更，申请人应使用组件文档语言并包含下述修饰语：</w:t>
      </w:r>
    </w:p>
    <w:p w14:paraId="22335B17">
      <w:pPr>
        <w:spacing w:before="120"/>
        <w:ind w:left="284"/>
        <w:rPr>
          <w:lang w:eastAsia="zh-CN"/>
        </w:rPr>
      </w:pPr>
      <w:r>
        <w:rPr>
          <w:rFonts w:cs="宋体"/>
          <w:b/>
          <w:lang w:eastAsia="zh-CN"/>
        </w:rPr>
        <w:t>供试品比较：</w:t>
      </w:r>
      <w:r>
        <w:rPr>
          <w:rFonts w:cs="宋体"/>
          <w:lang w:eastAsia="zh-CN"/>
        </w:rPr>
        <w:t>……</w:t>
      </w:r>
      <w:r>
        <w:rPr>
          <w:rFonts w:cs="宋体"/>
          <w:b/>
          <w:lang w:eastAsia="zh-CN"/>
        </w:rPr>
        <w:t>[识别变更]</w:t>
      </w:r>
      <w:r>
        <w:rPr>
          <w:rFonts w:cs="宋体"/>
          <w:lang w:eastAsia="zh-CN"/>
        </w:rPr>
        <w:t>除外。FDA申请文件（显示[#]，页[#]，提交</w:t>
      </w:r>
      <w:r>
        <w:rPr>
          <w:rFonts w:cs="宋体"/>
          <w:b/>
          <w:lang w:eastAsia="zh-CN"/>
        </w:rPr>
        <w:t>[日期]</w:t>
      </w:r>
      <w:r>
        <w:rPr>
          <w:rFonts w:cs="宋体"/>
          <w:lang w:eastAsia="zh-CN"/>
        </w:rPr>
        <w:t>）提供科学信息来证明配方变更不会改变医疗器械最终产品的化学或物理特性，因此，供试品的结果可用于申报的医疗器械最终产品。</w:t>
      </w:r>
    </w:p>
    <w:p w14:paraId="02E0B4D3">
      <w:pPr>
        <w:spacing w:before="120"/>
        <w:ind w:left="284"/>
        <w:rPr>
          <w:lang w:eastAsia="zh-CN"/>
        </w:rPr>
      </w:pPr>
      <w:r>
        <w:rPr>
          <w:rFonts w:cs="宋体"/>
          <w:b/>
          <w:lang w:eastAsia="zh-CN"/>
        </w:rPr>
        <w:t>与之前上市产品的比较：[识别变更]</w:t>
      </w:r>
      <w:r>
        <w:rPr>
          <w:rFonts w:cs="宋体"/>
          <w:lang w:eastAsia="zh-CN"/>
        </w:rPr>
        <w:t>除外。FDA申请文件（显示[#]，页[#]，提交</w:t>
      </w:r>
      <w:r>
        <w:rPr>
          <w:rFonts w:cs="宋体"/>
          <w:b/>
          <w:lang w:eastAsia="zh-CN"/>
        </w:rPr>
        <w:t>[日期]</w:t>
      </w:r>
      <w:r>
        <w:rPr>
          <w:rFonts w:cs="宋体"/>
          <w:lang w:eastAsia="zh-CN"/>
        </w:rPr>
        <w:t>）提供科学信息来证明配方变更不会改变医疗器械最终产品的化学或物理特性，因此，[名称]（在美国合法销售的产品）的结果可用于申报的医疗器械最终产品。</w:t>
      </w:r>
    </w:p>
    <w:p w14:paraId="0185BFB9">
      <w:pPr>
        <w:spacing w:before="120"/>
        <w:ind w:left="284"/>
        <w:rPr>
          <w:lang w:eastAsia="zh-CN"/>
        </w:rPr>
      </w:pPr>
      <w:r>
        <w:rPr>
          <w:rFonts w:cs="宋体"/>
          <w:lang w:eastAsia="zh-CN"/>
        </w:rPr>
        <w:t>例如，如果您在美国合法销售的竞争产品中含有Pebax树脂，而您的申报器械含有另一等级的Pebax，您的文件应包括用于声明未经试验的Pebax等级仅在特定配方成分浓度方面存在差异的修饰语。配方变更如果引入新成分或提高现有成分浓度，如果之前未对每种成分的上限和下限进行评价，可能需要进行新的风险评定或进行新试验。</w:t>
      </w:r>
    </w:p>
    <w:p w14:paraId="0318D11D">
      <w:pPr>
        <w:spacing w:before="120"/>
        <w:ind w:left="284"/>
      </w:pPr>
      <w:r>
        <w:rPr>
          <w:rFonts w:cs="宋体"/>
          <w:lang w:eastAsia="zh-CN"/>
        </w:rPr>
        <w:t>注：应为FDA提供充分详细的、用于支持配方变更将不会影响医疗器械最终产品化学或物理性能的声明信息，以在审核过程中进行单独评价并获取相同结论。</w:t>
      </w:r>
      <w:r>
        <w:rPr>
          <w:rFonts w:cs="宋体"/>
        </w:rPr>
        <w:t>为支持本评价，FDA要求进行下述讨论：</w:t>
      </w:r>
    </w:p>
    <w:p w14:paraId="6A1AF2C9">
      <w:pPr>
        <w:pStyle w:val="40"/>
        <w:numPr>
          <w:ilvl w:val="0"/>
          <w:numId w:val="26"/>
        </w:numPr>
        <w:spacing w:before="0" w:beforeLines="0"/>
        <w:ind w:left="987" w:firstLineChars="0"/>
        <w:rPr>
          <w:lang w:eastAsia="zh-CN"/>
        </w:rPr>
      </w:pPr>
      <w:r>
        <w:rPr>
          <w:rFonts w:cs="宋体"/>
          <w:lang w:eastAsia="zh-CN"/>
        </w:rPr>
        <w:t>供试品的配方和可能存在的杂质或溶出化学物质；</w:t>
      </w:r>
    </w:p>
    <w:p w14:paraId="1DA4948E">
      <w:pPr>
        <w:pStyle w:val="40"/>
        <w:numPr>
          <w:ilvl w:val="0"/>
          <w:numId w:val="26"/>
        </w:numPr>
        <w:spacing w:before="0" w:beforeLines="0"/>
        <w:ind w:left="987" w:firstLineChars="0"/>
        <w:rPr>
          <w:lang w:eastAsia="zh-CN"/>
        </w:rPr>
      </w:pPr>
      <w:r>
        <w:rPr>
          <w:rFonts w:cs="宋体"/>
          <w:lang w:eastAsia="zh-CN"/>
        </w:rPr>
        <w:t>医疗器械最终产品的配方和可能存在的杂质或溶出化学物质；以及</w:t>
      </w:r>
    </w:p>
    <w:p w14:paraId="4DE3C37B">
      <w:pPr>
        <w:pStyle w:val="40"/>
        <w:numPr>
          <w:ilvl w:val="0"/>
          <w:numId w:val="26"/>
        </w:numPr>
        <w:spacing w:before="0" w:beforeLines="0"/>
        <w:ind w:left="987" w:firstLineChars="0"/>
        <w:rPr>
          <w:lang w:eastAsia="zh-CN"/>
        </w:rPr>
      </w:pPr>
      <w:r>
        <w:rPr>
          <w:rFonts w:cs="宋体"/>
          <w:lang w:eastAsia="zh-CN"/>
        </w:rPr>
        <w:t>为何无需就差异进行其他试验的讨论。</w:t>
      </w:r>
    </w:p>
    <w:p w14:paraId="5229C142">
      <w:pPr>
        <w:spacing w:before="120"/>
        <w:rPr>
          <w:lang w:eastAsia="zh-CN"/>
        </w:rPr>
      </w:pPr>
      <w:r>
        <w:rPr>
          <w:rFonts w:cs="宋体"/>
          <w:lang w:eastAsia="zh-CN"/>
        </w:rPr>
        <w:br w:type="page"/>
      </w:r>
    </w:p>
    <w:p w14:paraId="35CF32DB">
      <w:pPr>
        <w:spacing w:before="120"/>
        <w:jc w:val="center"/>
        <w:outlineLvl w:val="0"/>
        <w:rPr>
          <w:b/>
          <w:bCs/>
          <w:sz w:val="32"/>
          <w:szCs w:val="32"/>
          <w:lang w:eastAsia="zh-CN"/>
        </w:rPr>
      </w:pPr>
      <w:bookmarkStart w:id="50" w:name="_Toc97827735"/>
      <w:r>
        <w:rPr>
          <w:rFonts w:cs="宋体"/>
          <w:b/>
          <w:sz w:val="32"/>
          <w:lang w:eastAsia="zh-CN"/>
        </w:rPr>
        <w:t>附件G：术语表</w:t>
      </w:r>
      <w:bookmarkEnd w:id="50"/>
    </w:p>
    <w:p w14:paraId="68DEC7FC">
      <w:pPr>
        <w:spacing w:before="120"/>
        <w:rPr>
          <w:lang w:eastAsia="zh-CN"/>
        </w:rPr>
      </w:pPr>
      <w:r>
        <w:rPr>
          <w:rFonts w:cs="宋体"/>
          <w:lang w:eastAsia="zh-CN"/>
        </w:rPr>
        <w:t>根据本文件，应使用下述定义：</w:t>
      </w:r>
    </w:p>
    <w:p w14:paraId="45AAF2E0">
      <w:pPr>
        <w:spacing w:before="120"/>
        <w:ind w:left="284"/>
        <w:rPr>
          <w:lang w:eastAsia="zh-CN"/>
        </w:rPr>
      </w:pPr>
      <w:r>
        <w:rPr>
          <w:rFonts w:cs="宋体"/>
          <w:b/>
          <w:lang w:eastAsia="zh-CN"/>
        </w:rPr>
        <w:t>聚结/凝聚物</w:t>
      </w:r>
      <w:r>
        <w:rPr>
          <w:rFonts w:cs="宋体"/>
          <w:lang w:eastAsia="zh-CN"/>
        </w:rPr>
        <w:t>-聚集具有微弱束缚性的颗粒或聚合物或两者的混合物，使所形成的外部表面积近似于单独部分的表面积之和</w:t>
      </w:r>
      <w:r>
        <w:rPr>
          <w:rFonts w:cs="宋体"/>
          <w:vertAlign w:val="superscript"/>
          <w:lang w:eastAsia="zh-CN"/>
        </w:rPr>
        <w:t>72</w:t>
      </w:r>
    </w:p>
    <w:p w14:paraId="4A345D88">
      <w:pPr>
        <w:spacing w:before="120"/>
        <w:ind w:left="284"/>
        <w:rPr>
          <w:lang w:eastAsia="zh-CN"/>
        </w:rPr>
      </w:pPr>
      <w:r>
        <w:rPr>
          <w:rFonts w:cs="宋体"/>
          <w:b/>
          <w:lang w:eastAsia="zh-CN"/>
        </w:rPr>
        <w:t>聚集/聚合物</w:t>
      </w:r>
      <w:r>
        <w:rPr>
          <w:rFonts w:cs="宋体"/>
          <w:lang w:eastAsia="zh-CN"/>
        </w:rPr>
        <w:t>-由有力结合或熔化颗粒形成的颗粒，其外表面积可能明显小于单独成分所计算的表面积之和</w:t>
      </w:r>
      <w:r>
        <w:rPr>
          <w:rFonts w:cs="宋体"/>
          <w:vertAlign w:val="superscript"/>
          <w:lang w:eastAsia="zh-CN"/>
        </w:rPr>
        <w:t>73</w:t>
      </w:r>
    </w:p>
    <w:p w14:paraId="55F5024C">
      <w:pPr>
        <w:spacing w:before="120"/>
        <w:ind w:left="284"/>
        <w:rPr>
          <w:lang w:eastAsia="zh-CN"/>
        </w:rPr>
      </w:pPr>
      <w:r>
        <w:rPr>
          <w:rFonts w:cs="宋体"/>
          <w:b/>
          <w:lang w:eastAsia="zh-CN"/>
        </w:rPr>
        <w:t>生物相容性</w:t>
      </w:r>
      <w:r>
        <w:rPr>
          <w:rFonts w:cs="宋体"/>
          <w:lang w:eastAsia="zh-CN"/>
        </w:rPr>
        <w:t>-在特殊情况下，器械材料通过适当的宿主反应来执行功能的能力</w:t>
      </w:r>
      <w:r>
        <w:rPr>
          <w:rFonts w:cs="宋体"/>
          <w:vertAlign w:val="superscript"/>
          <w:lang w:eastAsia="zh-CN"/>
        </w:rPr>
        <w:t>74</w:t>
      </w:r>
    </w:p>
    <w:p w14:paraId="3365F9EC">
      <w:pPr>
        <w:spacing w:before="120"/>
        <w:ind w:left="284"/>
        <w:rPr>
          <w:b/>
          <w:bCs/>
        </w:rPr>
      </w:pPr>
      <w:r>
        <w:rPr>
          <w:rFonts w:cs="宋体"/>
          <w:b/>
        </w:rPr>
        <w:t>接触：</w:t>
      </w:r>
    </w:p>
    <w:p w14:paraId="6A31A42E">
      <w:pPr>
        <w:pStyle w:val="40"/>
        <w:numPr>
          <w:ilvl w:val="0"/>
          <w:numId w:val="27"/>
        </w:numPr>
        <w:spacing w:before="120"/>
        <w:ind w:left="987" w:firstLineChars="0"/>
        <w:rPr>
          <w:lang w:eastAsia="zh-CN"/>
        </w:rPr>
      </w:pPr>
      <w:r>
        <w:rPr>
          <w:rFonts w:cs="宋体"/>
          <w:b/>
          <w:lang w:eastAsia="zh-CN"/>
        </w:rPr>
        <w:t>直接接触</w:t>
      </w:r>
      <w:r>
        <w:rPr>
          <w:rFonts w:cs="宋体"/>
          <w:lang w:eastAsia="zh-CN"/>
        </w:rPr>
        <w:t>-适用于与人体组织进行物理接触的器械或器械组件的术语</w:t>
      </w:r>
    </w:p>
    <w:p w14:paraId="0D746390">
      <w:pPr>
        <w:pStyle w:val="40"/>
        <w:numPr>
          <w:ilvl w:val="0"/>
          <w:numId w:val="27"/>
        </w:numPr>
        <w:spacing w:before="120"/>
        <w:ind w:left="987" w:firstLineChars="0"/>
        <w:rPr>
          <w:lang w:eastAsia="zh-CN"/>
        </w:rPr>
      </w:pPr>
      <w:r>
        <w:rPr>
          <w:rFonts w:cs="宋体"/>
          <w:b/>
          <w:lang w:eastAsia="zh-CN"/>
        </w:rPr>
        <w:t>间接接触</w:t>
      </w:r>
      <w:r>
        <w:rPr>
          <w:rFonts w:cs="宋体"/>
          <w:lang w:eastAsia="zh-CN"/>
        </w:rPr>
        <w:t>-适用于在液体或气体与人体组织进行物理接触之前所流经的器械或器械组件（在这种情况下，器械或器械组件本身不与人体组织发生物理接触）的术语</w:t>
      </w:r>
    </w:p>
    <w:p w14:paraId="451C3F8A">
      <w:pPr>
        <w:pStyle w:val="40"/>
        <w:numPr>
          <w:ilvl w:val="0"/>
          <w:numId w:val="27"/>
        </w:numPr>
        <w:spacing w:before="120"/>
        <w:ind w:left="987" w:firstLineChars="0"/>
        <w:rPr>
          <w:lang w:eastAsia="zh-CN"/>
        </w:rPr>
      </w:pPr>
      <w:r>
        <w:rPr>
          <w:rFonts w:cs="宋体"/>
          <w:b/>
          <w:lang w:eastAsia="zh-CN"/>
        </w:rPr>
        <w:t>不接触</w:t>
      </w:r>
      <w:r>
        <w:rPr>
          <w:rFonts w:cs="宋体"/>
          <w:lang w:eastAsia="zh-CN"/>
        </w:rPr>
        <w:t>-适用于不直接或间接与人体接触（例如，独立软件或数据库）和适用于除确认不与人体接触外无需生物相容性信息的器械或器械组件的术语</w:t>
      </w:r>
    </w:p>
    <w:p w14:paraId="67BE5BC2">
      <w:pPr>
        <w:pStyle w:val="40"/>
        <w:numPr>
          <w:ilvl w:val="0"/>
          <w:numId w:val="27"/>
        </w:numPr>
        <w:spacing w:before="120"/>
        <w:ind w:left="987" w:firstLineChars="0"/>
        <w:rPr>
          <w:lang w:eastAsia="zh-CN"/>
        </w:rPr>
      </w:pPr>
      <w:r>
        <w:rPr>
          <w:rFonts w:cs="宋体"/>
          <w:b/>
          <w:lang w:eastAsia="zh-CN"/>
        </w:rPr>
        <w:t>短暂接触</w:t>
      </w:r>
      <w:r>
        <w:rPr>
          <w:rFonts w:cs="宋体"/>
          <w:lang w:eastAsia="zh-CN"/>
        </w:rPr>
        <w:t>-适用于与人体组织发生极短暂接触的器械或器械组件的术语（例如，使用不超过一分钟的皮下注射针）</w:t>
      </w:r>
    </w:p>
    <w:p w14:paraId="0CD31E63">
      <w:pPr>
        <w:spacing w:before="120"/>
        <w:ind w:left="284"/>
        <w:rPr>
          <w:lang w:eastAsia="zh-CN"/>
        </w:rPr>
      </w:pPr>
      <w:r>
        <w:rPr>
          <w:rFonts w:cs="宋体"/>
          <w:b/>
          <w:lang w:eastAsia="zh-CN"/>
        </w:rPr>
        <w:t>降解</w:t>
      </w:r>
      <w:r>
        <w:rPr>
          <w:rFonts w:cs="宋体"/>
          <w:lang w:eastAsia="zh-CN"/>
        </w:rPr>
        <w:t>-器械分解，可能形成新的化学物质或吸收材料，造成器械（器械功能）的机械特性和/或物理特性随时间丢失</w:t>
      </w:r>
    </w:p>
    <w:p w14:paraId="2AD9D465">
      <w:pPr>
        <w:spacing w:before="120"/>
        <w:rPr>
          <w:lang w:eastAsia="zh-CN"/>
        </w:rPr>
      </w:pPr>
    </w:p>
    <w:p w14:paraId="3B7E2A0B">
      <w:pPr>
        <w:spacing w:before="120"/>
        <w:rPr>
          <w:lang w:eastAsia="zh-CN"/>
        </w:rPr>
      </w:pPr>
    </w:p>
    <w:p w14:paraId="721FBD43">
      <w:pPr>
        <w:spacing w:before="120"/>
        <w:rPr>
          <w:lang w:eastAsia="zh-CN"/>
        </w:rPr>
      </w:pPr>
    </w:p>
    <w:p w14:paraId="46ACA84E">
      <w:pPr>
        <w:spacing w:before="120"/>
        <w:rPr>
          <w:lang w:eastAsia="zh-CN"/>
        </w:rPr>
      </w:pPr>
    </w:p>
    <w:p w14:paraId="68C180A4">
      <w:pPr>
        <w:spacing w:before="120"/>
        <w:rPr>
          <w:lang w:eastAsia="zh-CN"/>
        </w:rPr>
      </w:pPr>
    </w:p>
    <w:p w14:paraId="6270F848">
      <w:pPr>
        <w:spacing w:before="120"/>
        <w:rPr>
          <w:lang w:eastAsia="zh-CN"/>
        </w:rPr>
      </w:pPr>
    </w:p>
    <w:p w14:paraId="2F7DEF08">
      <w:pPr>
        <w:spacing w:before="120"/>
        <w:rPr>
          <w:lang w:eastAsia="zh-CN"/>
        </w:rPr>
      </w:pPr>
    </w:p>
    <w:p w14:paraId="0AC385CC">
      <w:pPr>
        <w:spacing w:before="120"/>
        <w:rPr>
          <w:lang w:eastAsia="zh-CN"/>
        </w:rPr>
      </w:pPr>
      <w:r>
        <w:rPr>
          <w:rFonts w:cs="宋体"/>
        </w:rPr>
        <w:t>________________________</w:t>
      </w:r>
    </w:p>
    <w:p w14:paraId="43C51BE6">
      <w:pPr>
        <w:spacing w:before="0" w:beforeLines="0"/>
        <w:rPr>
          <w:sz w:val="21"/>
          <w:szCs w:val="21"/>
        </w:rPr>
      </w:pPr>
      <w:r>
        <w:rPr>
          <w:rFonts w:cs="宋体"/>
          <w:sz w:val="21"/>
          <w:vertAlign w:val="superscript"/>
        </w:rPr>
        <w:t>72</w:t>
      </w:r>
      <w:r>
        <w:rPr>
          <w:rFonts w:cs="宋体"/>
          <w:sz w:val="21"/>
        </w:rPr>
        <w:t xml:space="preserve"> ISO TS 27687:2008(E)“Nanotechnologies - Terminology and definitions for nano-objects - Nanoparticle, nanofibre and nanoplate.”</w:t>
      </w:r>
    </w:p>
    <w:p w14:paraId="7BCC1F44">
      <w:pPr>
        <w:spacing w:before="0" w:beforeLines="0"/>
        <w:rPr>
          <w:sz w:val="21"/>
          <w:szCs w:val="21"/>
        </w:rPr>
      </w:pPr>
      <w:r>
        <w:rPr>
          <w:rFonts w:cs="宋体"/>
          <w:sz w:val="21"/>
          <w:vertAlign w:val="superscript"/>
        </w:rPr>
        <w:t>73</w:t>
      </w:r>
      <w:r>
        <w:rPr>
          <w:rFonts w:cs="宋体"/>
          <w:sz w:val="21"/>
        </w:rPr>
        <w:t xml:space="preserve"> Ibid.</w:t>
      </w:r>
    </w:p>
    <w:p w14:paraId="7F77D2FB">
      <w:pPr>
        <w:spacing w:before="0" w:beforeLines="0"/>
        <w:rPr>
          <w:sz w:val="21"/>
          <w:szCs w:val="21"/>
        </w:rPr>
      </w:pPr>
      <w:r>
        <w:rPr>
          <w:rFonts w:cs="宋体"/>
          <w:sz w:val="21"/>
          <w:vertAlign w:val="superscript"/>
        </w:rPr>
        <w:t>74</w:t>
      </w:r>
      <w:r>
        <w:rPr>
          <w:rFonts w:cs="宋体"/>
          <w:sz w:val="21"/>
        </w:rPr>
        <w:t xml:space="preserve"> Black, J., “Biological Performance of Materials: Fundamentals of Biocompatibility.”Boca Raton: CRC Press, 2006.</w:t>
      </w:r>
    </w:p>
    <w:p w14:paraId="45B2F52B">
      <w:pPr>
        <w:spacing w:before="120"/>
      </w:pPr>
      <w:r>
        <w:rPr>
          <w:rFonts w:cs="宋体"/>
        </w:rPr>
        <w:br w:type="page"/>
      </w:r>
    </w:p>
    <w:p w14:paraId="1A416793">
      <w:pPr>
        <w:spacing w:before="120"/>
        <w:ind w:left="284"/>
        <w:rPr>
          <w:lang w:eastAsia="zh-CN"/>
        </w:rPr>
      </w:pPr>
      <w:r>
        <w:rPr>
          <w:rFonts w:cs="宋体"/>
          <w:b/>
          <w:lang w:eastAsia="zh-CN"/>
        </w:rPr>
        <w:t>极限浸提</w:t>
      </w:r>
      <w:r>
        <w:rPr>
          <w:rFonts w:cs="宋体"/>
          <w:lang w:eastAsia="zh-CN"/>
        </w:rPr>
        <w:t>-进行浸提，直到通过重量分析发现后续浸提材料的含量低于最初浸提物重量的10%</w:t>
      </w:r>
      <w:r>
        <w:rPr>
          <w:rFonts w:cs="宋体"/>
          <w:vertAlign w:val="superscript"/>
          <w:lang w:eastAsia="zh-CN"/>
        </w:rPr>
        <w:t>75</w:t>
      </w:r>
    </w:p>
    <w:p w14:paraId="5A2F414D">
      <w:pPr>
        <w:spacing w:before="120"/>
        <w:ind w:left="284"/>
        <w:rPr>
          <w:lang w:eastAsia="zh-CN"/>
        </w:rPr>
      </w:pPr>
      <w:r>
        <w:rPr>
          <w:rFonts w:cs="宋体"/>
          <w:b/>
          <w:lang w:eastAsia="zh-CN"/>
        </w:rPr>
        <w:t>浸提物</w:t>
      </w:r>
      <w:r>
        <w:rPr>
          <w:rFonts w:cs="宋体"/>
          <w:lang w:eastAsia="zh-CN"/>
        </w:rPr>
        <w:t>-利用浸提溶剂和/或预期至少与临床使用条件具有相同活性的浸提条件以从医疗器械或材料中释放的物质</w:t>
      </w:r>
      <w:r>
        <w:rPr>
          <w:rFonts w:cs="宋体"/>
          <w:vertAlign w:val="superscript"/>
          <w:lang w:eastAsia="zh-CN"/>
        </w:rPr>
        <w:t>76</w:t>
      </w:r>
    </w:p>
    <w:p w14:paraId="61E90B13">
      <w:pPr>
        <w:spacing w:before="120"/>
        <w:ind w:left="284"/>
        <w:rPr>
          <w:lang w:eastAsia="zh-CN"/>
        </w:rPr>
      </w:pPr>
      <w:r>
        <w:rPr>
          <w:rFonts w:cs="宋体"/>
          <w:b/>
          <w:lang w:eastAsia="zh-CN"/>
        </w:rPr>
        <w:t>最终成品形式</w:t>
      </w:r>
      <w:r>
        <w:rPr>
          <w:rFonts w:cs="宋体"/>
          <w:lang w:eastAsia="zh-CN"/>
        </w:rPr>
        <w:t>-适用于经历所有为“待销售”器械进行的制造工艺的器械或器械组件，包括包装和灭菌（如适用）</w:t>
      </w:r>
    </w:p>
    <w:p w14:paraId="445ACB84">
      <w:pPr>
        <w:spacing w:before="120"/>
        <w:ind w:left="284"/>
        <w:rPr>
          <w:lang w:eastAsia="zh-CN"/>
        </w:rPr>
      </w:pPr>
      <w:r>
        <w:rPr>
          <w:rFonts w:cs="宋体"/>
          <w:b/>
          <w:lang w:eastAsia="zh-CN"/>
        </w:rPr>
        <w:t>体内动物研究</w:t>
      </w:r>
      <w:r>
        <w:rPr>
          <w:rFonts w:cs="宋体"/>
          <w:lang w:eastAsia="zh-CN"/>
        </w:rPr>
        <w:t>-设计旨在为器械安全性、用于生命系统的潜在性能和/或对器械的生物学反应提供初始信息的非临床动物研究</w:t>
      </w:r>
    </w:p>
    <w:p w14:paraId="6A3E6B34">
      <w:pPr>
        <w:spacing w:before="120"/>
        <w:ind w:left="284"/>
        <w:rPr>
          <w:lang w:eastAsia="zh-CN"/>
        </w:rPr>
      </w:pPr>
      <w:r>
        <w:rPr>
          <w:rFonts w:cs="宋体"/>
          <w:b/>
          <w:lang w:eastAsia="zh-CN"/>
        </w:rPr>
        <w:t>可沥滤物</w:t>
      </w:r>
      <w:r>
        <w:rPr>
          <w:rFonts w:cs="宋体"/>
          <w:lang w:eastAsia="zh-CN"/>
        </w:rPr>
        <w:t>-在临床使用过程中从医疗器械或材料中释放的物质</w:t>
      </w:r>
      <w:r>
        <w:rPr>
          <w:rFonts w:cs="宋体"/>
          <w:vertAlign w:val="superscript"/>
          <w:lang w:eastAsia="zh-CN"/>
        </w:rPr>
        <w:t>77</w:t>
      </w:r>
    </w:p>
    <w:p w14:paraId="77A3AB70">
      <w:pPr>
        <w:spacing w:before="120"/>
        <w:ind w:left="284"/>
        <w:rPr>
          <w:lang w:eastAsia="zh-CN"/>
        </w:rPr>
      </w:pPr>
      <w:r>
        <w:rPr>
          <w:rFonts w:cs="宋体"/>
          <w:b/>
          <w:lang w:eastAsia="zh-CN"/>
        </w:rPr>
        <w:t>材料</w:t>
      </w:r>
      <w:r>
        <w:rPr>
          <w:rFonts w:cs="宋体"/>
          <w:lang w:eastAsia="zh-CN"/>
        </w:rPr>
        <w:t>-物质或组成物品的物质</w:t>
      </w:r>
      <w:r>
        <w:rPr>
          <w:rFonts w:cs="宋体"/>
          <w:vertAlign w:val="superscript"/>
          <w:lang w:eastAsia="zh-CN"/>
        </w:rPr>
        <w:t>78</w:t>
      </w:r>
    </w:p>
    <w:p w14:paraId="5CF4EA10">
      <w:pPr>
        <w:spacing w:before="120"/>
        <w:ind w:left="284"/>
        <w:rPr>
          <w:lang w:eastAsia="zh-CN"/>
        </w:rPr>
      </w:pPr>
      <w:r>
        <w:rPr>
          <w:rFonts w:cs="宋体"/>
          <w:b/>
          <w:lang w:eastAsia="zh-CN"/>
        </w:rPr>
        <w:t>新型材料</w:t>
      </w:r>
      <w:r>
        <w:rPr>
          <w:rFonts w:cs="宋体"/>
          <w:lang w:eastAsia="zh-CN"/>
        </w:rPr>
        <w:t>-之前未在美国合法销售的任何医疗器械中使用的材料</w:t>
      </w:r>
    </w:p>
    <w:p w14:paraId="3AC443C0">
      <w:pPr>
        <w:spacing w:before="120"/>
        <w:ind w:left="284"/>
        <w:rPr>
          <w:lang w:eastAsia="zh-CN"/>
        </w:rPr>
      </w:pPr>
      <w:r>
        <w:rPr>
          <w:rFonts w:cs="宋体"/>
          <w:b/>
          <w:lang w:eastAsia="zh-CN"/>
        </w:rPr>
        <w:t>风险评定</w:t>
      </w:r>
      <w:r>
        <w:rPr>
          <w:rFonts w:cs="宋体"/>
          <w:lang w:eastAsia="zh-CN"/>
        </w:rPr>
        <w:t>-包括风险分析（系统利用有用数据来识别危害并消除风险）和风险评定（依据风险分析来确定是否超出可容许的风险的程序）的总体过程</w:t>
      </w:r>
      <w:r>
        <w:rPr>
          <w:rFonts w:cs="宋体"/>
          <w:vertAlign w:val="superscript"/>
          <w:lang w:eastAsia="zh-CN"/>
        </w:rPr>
        <w:t>79</w:t>
      </w:r>
    </w:p>
    <w:p w14:paraId="1667F1B9">
      <w:pPr>
        <w:spacing w:before="120"/>
        <w:ind w:left="284"/>
        <w:rPr>
          <w:lang w:eastAsia="zh-CN"/>
        </w:rPr>
      </w:pPr>
      <w:r>
        <w:rPr>
          <w:rFonts w:cs="宋体"/>
          <w:b/>
          <w:lang w:eastAsia="zh-CN"/>
        </w:rPr>
        <w:t>申请人</w:t>
      </w:r>
      <w:r>
        <w:rPr>
          <w:rFonts w:cs="宋体"/>
          <w:lang w:eastAsia="zh-CN"/>
        </w:rPr>
        <w:t>-制造商、提交者或申请者</w:t>
      </w:r>
    </w:p>
    <w:p w14:paraId="2CB0F8EF">
      <w:pPr>
        <w:spacing w:before="120"/>
        <w:ind w:left="284"/>
        <w:rPr>
          <w:lang w:eastAsia="zh-CN"/>
        </w:rPr>
      </w:pPr>
      <w:r>
        <w:rPr>
          <w:rFonts w:cs="宋体"/>
          <w:b/>
          <w:lang w:eastAsia="zh-CN"/>
        </w:rPr>
        <w:t>中毒</w:t>
      </w:r>
      <w:r>
        <w:rPr>
          <w:rFonts w:cs="宋体"/>
          <w:lang w:eastAsia="zh-CN"/>
        </w:rPr>
        <w:t>-能够造成损伤或死亡（特别是通过化学方法）</w:t>
      </w:r>
      <w:r>
        <w:rPr>
          <w:rFonts w:cs="宋体"/>
          <w:vertAlign w:val="superscript"/>
          <w:lang w:eastAsia="zh-CN"/>
        </w:rPr>
        <w:t>80</w:t>
      </w:r>
    </w:p>
    <w:p w14:paraId="1C4AC18B">
      <w:pPr>
        <w:spacing w:before="120"/>
        <w:ind w:left="284"/>
        <w:rPr>
          <w:lang w:eastAsia="zh-CN"/>
        </w:rPr>
      </w:pPr>
      <w:r>
        <w:rPr>
          <w:rFonts w:cs="宋体"/>
          <w:b/>
          <w:lang w:eastAsia="zh-CN"/>
        </w:rPr>
        <w:t>毒理学危害</w:t>
      </w:r>
      <w:r>
        <w:rPr>
          <w:rFonts w:cs="宋体"/>
          <w:lang w:eastAsia="zh-CN"/>
        </w:rPr>
        <w:t>-化合物或材料引起不良生物学反应的可能性（鉴于反应的性质和引起反应的剂量）</w:t>
      </w:r>
      <w:r>
        <w:rPr>
          <w:rFonts w:cs="宋体"/>
          <w:vertAlign w:val="superscript"/>
          <w:lang w:eastAsia="zh-CN"/>
        </w:rPr>
        <w:t>81</w:t>
      </w:r>
    </w:p>
    <w:p w14:paraId="0EA23B0C">
      <w:pPr>
        <w:spacing w:before="120"/>
        <w:ind w:left="284"/>
        <w:rPr>
          <w:lang w:eastAsia="zh-CN"/>
        </w:rPr>
      </w:pPr>
    </w:p>
    <w:p w14:paraId="3BEC2964">
      <w:pPr>
        <w:spacing w:before="120"/>
        <w:ind w:left="284"/>
        <w:rPr>
          <w:lang w:eastAsia="zh-CN"/>
        </w:rPr>
      </w:pPr>
    </w:p>
    <w:p w14:paraId="0D47E418">
      <w:pPr>
        <w:spacing w:before="120"/>
        <w:ind w:left="284"/>
        <w:rPr>
          <w:lang w:eastAsia="zh-CN"/>
        </w:rPr>
      </w:pPr>
    </w:p>
    <w:p w14:paraId="1A062C8F">
      <w:pPr>
        <w:spacing w:before="120"/>
        <w:ind w:left="284"/>
        <w:rPr>
          <w:lang w:eastAsia="zh-CN"/>
        </w:rPr>
      </w:pPr>
    </w:p>
    <w:p w14:paraId="79E83A7E">
      <w:pPr>
        <w:spacing w:before="120"/>
        <w:ind w:left="284"/>
        <w:rPr>
          <w:lang w:eastAsia="zh-CN"/>
        </w:rPr>
      </w:pPr>
    </w:p>
    <w:p w14:paraId="151241DF">
      <w:pPr>
        <w:spacing w:before="120"/>
        <w:rPr>
          <w:lang w:eastAsia="zh-CN"/>
        </w:rPr>
      </w:pPr>
      <w:r>
        <w:rPr>
          <w:rFonts w:cs="宋体"/>
        </w:rPr>
        <w:t>________________________</w:t>
      </w:r>
    </w:p>
    <w:p w14:paraId="3C239170">
      <w:pPr>
        <w:spacing w:before="0" w:beforeLines="0"/>
        <w:rPr>
          <w:sz w:val="21"/>
          <w:szCs w:val="21"/>
        </w:rPr>
      </w:pPr>
      <w:r>
        <w:rPr>
          <w:rFonts w:cs="宋体"/>
          <w:sz w:val="21"/>
          <w:vertAlign w:val="superscript"/>
        </w:rPr>
        <w:t>75</w:t>
      </w:r>
      <w:r>
        <w:rPr>
          <w:rFonts w:cs="宋体"/>
          <w:sz w:val="21"/>
        </w:rPr>
        <w:t xml:space="preserve"> ISO 10993-12:2012 “Biological evaluation of medical devices – Part 12: Sample preparation and reference materials.”</w:t>
      </w:r>
    </w:p>
    <w:p w14:paraId="3B8F3FCB">
      <w:pPr>
        <w:spacing w:before="0" w:beforeLines="0"/>
        <w:rPr>
          <w:sz w:val="21"/>
          <w:szCs w:val="21"/>
        </w:rPr>
      </w:pPr>
      <w:r>
        <w:rPr>
          <w:rFonts w:cs="宋体"/>
          <w:sz w:val="21"/>
          <w:vertAlign w:val="superscript"/>
        </w:rPr>
        <w:t>76</w:t>
      </w:r>
      <w:r>
        <w:rPr>
          <w:rFonts w:hint="eastAsia" w:cs="宋体"/>
          <w:sz w:val="21"/>
          <w:vertAlign w:val="superscript"/>
          <w:lang w:eastAsia="zh-CN"/>
        </w:rPr>
        <w:t xml:space="preserve"> </w:t>
      </w:r>
      <w:r>
        <w:rPr>
          <w:rFonts w:cs="宋体"/>
          <w:sz w:val="21"/>
        </w:rPr>
        <w:t>Ibid.</w:t>
      </w:r>
    </w:p>
    <w:p w14:paraId="018F1AE1">
      <w:pPr>
        <w:spacing w:before="0" w:beforeLines="0"/>
        <w:rPr>
          <w:sz w:val="21"/>
          <w:szCs w:val="21"/>
        </w:rPr>
      </w:pPr>
      <w:r>
        <w:rPr>
          <w:rFonts w:cs="宋体"/>
          <w:sz w:val="21"/>
          <w:vertAlign w:val="superscript"/>
        </w:rPr>
        <w:t>77</w:t>
      </w:r>
      <w:r>
        <w:rPr>
          <w:rFonts w:cs="宋体"/>
          <w:sz w:val="21"/>
        </w:rPr>
        <w:t xml:space="preserve"> Ibid.</w:t>
      </w:r>
    </w:p>
    <w:p w14:paraId="6A06CBD4">
      <w:pPr>
        <w:spacing w:before="0" w:beforeLines="0"/>
        <w:rPr>
          <w:sz w:val="21"/>
          <w:szCs w:val="21"/>
        </w:rPr>
      </w:pPr>
      <w:r>
        <w:rPr>
          <w:rFonts w:cs="宋体"/>
          <w:sz w:val="21"/>
          <w:vertAlign w:val="superscript"/>
        </w:rPr>
        <w:t>78</w:t>
      </w:r>
      <w:r>
        <w:rPr>
          <w:rFonts w:cs="宋体"/>
          <w:sz w:val="21"/>
        </w:rPr>
        <w:t xml:space="preserve"> Materials, DICTIONARY, http://dictionary.reference.com/browse/materials (last visited May 2, 2016).</w:t>
      </w:r>
    </w:p>
    <w:p w14:paraId="21C676A9">
      <w:pPr>
        <w:spacing w:before="0" w:beforeLines="0"/>
        <w:rPr>
          <w:sz w:val="21"/>
          <w:szCs w:val="21"/>
        </w:rPr>
      </w:pPr>
      <w:r>
        <w:rPr>
          <w:rFonts w:cs="宋体"/>
          <w:sz w:val="21"/>
          <w:vertAlign w:val="superscript"/>
        </w:rPr>
        <w:t>79</w:t>
      </w:r>
      <w:r>
        <w:rPr>
          <w:rFonts w:cs="宋体"/>
          <w:sz w:val="21"/>
        </w:rPr>
        <w:t xml:space="preserve"> ISO/IEC Guide 51:2014(E)“Safety aspects - Guidelines for their inclusion in standards.”</w:t>
      </w:r>
    </w:p>
    <w:p w14:paraId="55C2ECE3">
      <w:pPr>
        <w:spacing w:before="0" w:beforeLines="0"/>
        <w:rPr>
          <w:sz w:val="21"/>
          <w:szCs w:val="21"/>
        </w:rPr>
      </w:pPr>
      <w:r>
        <w:rPr>
          <w:rFonts w:cs="宋体"/>
          <w:sz w:val="21"/>
          <w:vertAlign w:val="superscript"/>
        </w:rPr>
        <w:t>80</w:t>
      </w:r>
      <w:r>
        <w:rPr>
          <w:rFonts w:cs="宋体"/>
          <w:sz w:val="21"/>
        </w:rPr>
        <w:t xml:space="preserve"> </w:t>
      </w:r>
      <w:r>
        <w:rPr>
          <w:rFonts w:cs="宋体"/>
          <w:i/>
          <w:sz w:val="21"/>
        </w:rPr>
        <w:t>Toxic</w:t>
      </w:r>
      <w:r>
        <w:rPr>
          <w:rFonts w:cs="宋体"/>
          <w:sz w:val="21"/>
        </w:rPr>
        <w:t xml:space="preserve">, </w:t>
      </w:r>
      <w:r>
        <w:rPr>
          <w:rFonts w:cs="宋体"/>
          <w:sz w:val="21"/>
          <w:u w:val="single"/>
        </w:rPr>
        <w:t>The American Heritage Medical Dictionary</w:t>
      </w:r>
      <w:r>
        <w:rPr>
          <w:rFonts w:cs="宋体"/>
          <w:sz w:val="21"/>
        </w:rPr>
        <w:t xml:space="preserve"> (2d ed. 2007).</w:t>
      </w:r>
    </w:p>
    <w:p w14:paraId="7BE6223C">
      <w:pPr>
        <w:spacing w:before="0" w:beforeLines="0"/>
        <w:rPr>
          <w:rFonts w:cs="宋体"/>
          <w:sz w:val="21"/>
          <w:lang w:eastAsia="zh-CN"/>
        </w:rPr>
      </w:pPr>
      <w:r>
        <w:rPr>
          <w:rFonts w:cs="宋体"/>
          <w:sz w:val="21"/>
          <w:vertAlign w:val="superscript"/>
        </w:rPr>
        <w:t>81</w:t>
      </w:r>
      <w:r>
        <w:rPr>
          <w:rFonts w:hint="eastAsia" w:cs="宋体"/>
          <w:sz w:val="21"/>
          <w:vertAlign w:val="superscript"/>
          <w:lang w:eastAsia="zh-CN"/>
        </w:rPr>
        <w:t xml:space="preserve"> </w:t>
      </w:r>
      <w:r>
        <w:rPr>
          <w:rFonts w:cs="宋体"/>
          <w:sz w:val="21"/>
        </w:rPr>
        <w:t>ISO TR 15499:2012 “Biological evaluation of medical devices - Guidance on the conduct of biological evaluation within a risk management process.”</w:t>
      </w:r>
    </w:p>
    <w:p w14:paraId="346B065C">
      <w:pPr>
        <w:spacing w:before="0" w:beforeLines="0"/>
        <w:ind w:left="284"/>
      </w:pPr>
      <w:r>
        <w:rPr>
          <w:rFonts w:cs="宋体"/>
          <w:sz w:val="21"/>
        </w:rPr>
        <w:br w:type="page"/>
      </w:r>
    </w:p>
    <w:p w14:paraId="1013E91E">
      <w:pPr>
        <w:spacing w:before="120"/>
        <w:ind w:left="284"/>
        <w:rPr>
          <w:lang w:eastAsia="zh-CN"/>
        </w:rPr>
      </w:pPr>
      <w:r>
        <w:rPr>
          <w:rFonts w:cs="宋体"/>
          <w:b/>
          <w:lang w:eastAsia="zh-CN"/>
        </w:rPr>
        <w:t>毒理学风险</w:t>
      </w:r>
      <w:r>
        <w:rPr>
          <w:rFonts w:cs="宋体"/>
          <w:lang w:eastAsia="zh-CN"/>
        </w:rPr>
        <w:t>-因特定水平的接触引发特定程度不良反应的概率</w:t>
      </w:r>
      <w:r>
        <w:rPr>
          <w:rFonts w:cs="宋体"/>
          <w:vertAlign w:val="superscript"/>
          <w:lang w:eastAsia="zh-CN"/>
        </w:rPr>
        <w:t>82</w:t>
      </w:r>
    </w:p>
    <w:p w14:paraId="56F4B1FD">
      <w:pPr>
        <w:spacing w:before="120"/>
        <w:ind w:left="284"/>
        <w:rPr>
          <w:lang w:eastAsia="zh-CN"/>
        </w:rPr>
      </w:pPr>
      <w:r>
        <w:rPr>
          <w:rFonts w:cs="宋体"/>
          <w:b/>
          <w:lang w:eastAsia="zh-CN"/>
        </w:rPr>
        <w:t>毒性</w:t>
      </w:r>
      <w:r>
        <w:rPr>
          <w:rFonts w:cs="宋体"/>
          <w:lang w:eastAsia="zh-CN"/>
        </w:rPr>
        <w:t>-物质引起中毒的程度</w:t>
      </w:r>
    </w:p>
    <w:p w14:paraId="26F774DA">
      <w:pPr>
        <w:spacing w:before="120"/>
        <w:ind w:left="284"/>
        <w:rPr>
          <w:lang w:eastAsia="zh-CN"/>
        </w:rPr>
      </w:pPr>
    </w:p>
    <w:p w14:paraId="0DC5982A">
      <w:pPr>
        <w:spacing w:before="120"/>
        <w:ind w:left="284"/>
        <w:rPr>
          <w:lang w:eastAsia="zh-CN"/>
        </w:rPr>
      </w:pPr>
    </w:p>
    <w:p w14:paraId="5E6A0196">
      <w:pPr>
        <w:spacing w:before="120"/>
        <w:ind w:left="284"/>
        <w:rPr>
          <w:lang w:eastAsia="zh-CN"/>
        </w:rPr>
      </w:pPr>
    </w:p>
    <w:p w14:paraId="58D1D660">
      <w:pPr>
        <w:spacing w:before="120"/>
        <w:ind w:left="284"/>
        <w:rPr>
          <w:lang w:eastAsia="zh-CN"/>
        </w:rPr>
      </w:pPr>
    </w:p>
    <w:p w14:paraId="54ADA25F">
      <w:pPr>
        <w:spacing w:before="120"/>
        <w:ind w:left="284"/>
        <w:rPr>
          <w:lang w:eastAsia="zh-CN"/>
        </w:rPr>
      </w:pPr>
    </w:p>
    <w:p w14:paraId="03EA00F5">
      <w:pPr>
        <w:spacing w:before="120"/>
        <w:ind w:left="284"/>
        <w:rPr>
          <w:lang w:eastAsia="zh-CN"/>
        </w:rPr>
      </w:pPr>
    </w:p>
    <w:p w14:paraId="2751F94E">
      <w:pPr>
        <w:spacing w:before="120"/>
        <w:ind w:left="284"/>
        <w:rPr>
          <w:lang w:eastAsia="zh-CN"/>
        </w:rPr>
      </w:pPr>
    </w:p>
    <w:p w14:paraId="3F9D5632">
      <w:pPr>
        <w:spacing w:before="120"/>
        <w:ind w:left="284"/>
        <w:rPr>
          <w:lang w:eastAsia="zh-CN"/>
        </w:rPr>
      </w:pPr>
    </w:p>
    <w:p w14:paraId="3CB82854">
      <w:pPr>
        <w:spacing w:before="120"/>
        <w:ind w:left="284"/>
        <w:rPr>
          <w:lang w:eastAsia="zh-CN"/>
        </w:rPr>
      </w:pPr>
    </w:p>
    <w:p w14:paraId="31CD271D">
      <w:pPr>
        <w:spacing w:before="120"/>
        <w:ind w:left="284"/>
        <w:rPr>
          <w:lang w:eastAsia="zh-CN"/>
        </w:rPr>
      </w:pPr>
    </w:p>
    <w:p w14:paraId="261B03C2">
      <w:pPr>
        <w:spacing w:before="120"/>
        <w:ind w:left="284"/>
        <w:rPr>
          <w:lang w:eastAsia="zh-CN"/>
        </w:rPr>
      </w:pPr>
    </w:p>
    <w:p w14:paraId="46DD04BE">
      <w:pPr>
        <w:spacing w:before="120"/>
        <w:ind w:left="284"/>
        <w:rPr>
          <w:lang w:eastAsia="zh-CN"/>
        </w:rPr>
      </w:pPr>
    </w:p>
    <w:p w14:paraId="67125B5E">
      <w:pPr>
        <w:spacing w:before="120"/>
        <w:ind w:left="284"/>
        <w:rPr>
          <w:lang w:eastAsia="zh-CN"/>
        </w:rPr>
      </w:pPr>
    </w:p>
    <w:p w14:paraId="57E209F9">
      <w:pPr>
        <w:spacing w:before="120"/>
        <w:ind w:left="284"/>
        <w:rPr>
          <w:lang w:eastAsia="zh-CN"/>
        </w:rPr>
      </w:pPr>
    </w:p>
    <w:p w14:paraId="058095BC">
      <w:pPr>
        <w:spacing w:before="120"/>
        <w:ind w:left="284"/>
        <w:rPr>
          <w:lang w:eastAsia="zh-CN"/>
        </w:rPr>
      </w:pPr>
    </w:p>
    <w:p w14:paraId="75FF32FE">
      <w:pPr>
        <w:spacing w:before="120"/>
        <w:ind w:left="284"/>
        <w:rPr>
          <w:lang w:eastAsia="zh-CN"/>
        </w:rPr>
      </w:pPr>
    </w:p>
    <w:p w14:paraId="6D5CA02B">
      <w:pPr>
        <w:spacing w:before="120"/>
        <w:ind w:left="284"/>
        <w:rPr>
          <w:lang w:eastAsia="zh-CN"/>
        </w:rPr>
      </w:pPr>
    </w:p>
    <w:p w14:paraId="6FC2ECAD">
      <w:pPr>
        <w:spacing w:before="120"/>
        <w:ind w:left="284"/>
        <w:rPr>
          <w:lang w:eastAsia="zh-CN"/>
        </w:rPr>
      </w:pPr>
    </w:p>
    <w:p w14:paraId="6B338566">
      <w:pPr>
        <w:spacing w:before="120"/>
        <w:ind w:left="284"/>
        <w:rPr>
          <w:lang w:eastAsia="zh-CN"/>
        </w:rPr>
      </w:pPr>
    </w:p>
    <w:p w14:paraId="32919ADC">
      <w:pPr>
        <w:spacing w:before="120"/>
        <w:ind w:left="284"/>
        <w:rPr>
          <w:lang w:eastAsia="zh-CN"/>
        </w:rPr>
      </w:pPr>
    </w:p>
    <w:p w14:paraId="666A0729">
      <w:pPr>
        <w:spacing w:before="120"/>
        <w:ind w:left="284"/>
        <w:rPr>
          <w:lang w:eastAsia="zh-CN"/>
        </w:rPr>
      </w:pPr>
    </w:p>
    <w:p w14:paraId="3007B69C">
      <w:pPr>
        <w:spacing w:before="120"/>
        <w:ind w:left="284"/>
        <w:rPr>
          <w:lang w:eastAsia="zh-CN"/>
        </w:rPr>
      </w:pPr>
    </w:p>
    <w:p w14:paraId="0A2341D3">
      <w:pPr>
        <w:spacing w:before="120"/>
        <w:ind w:left="284"/>
        <w:rPr>
          <w:lang w:eastAsia="zh-CN"/>
        </w:rPr>
      </w:pPr>
    </w:p>
    <w:p w14:paraId="0ADA2CF7">
      <w:pPr>
        <w:spacing w:before="120"/>
        <w:ind w:left="284"/>
        <w:rPr>
          <w:lang w:eastAsia="zh-CN"/>
        </w:rPr>
      </w:pPr>
    </w:p>
    <w:p w14:paraId="48B22E74">
      <w:pPr>
        <w:spacing w:before="120"/>
        <w:ind w:left="284"/>
        <w:rPr>
          <w:lang w:eastAsia="zh-CN"/>
        </w:rPr>
      </w:pPr>
    </w:p>
    <w:p w14:paraId="625C0C68">
      <w:pPr>
        <w:spacing w:before="120"/>
        <w:rPr>
          <w:lang w:eastAsia="zh-CN"/>
        </w:rPr>
      </w:pPr>
      <w:r>
        <w:rPr>
          <w:rFonts w:cs="宋体"/>
        </w:rPr>
        <w:t>________________________</w:t>
      </w:r>
    </w:p>
    <w:p w14:paraId="443D8925">
      <w:pPr>
        <w:spacing w:before="0" w:beforeLines="0"/>
        <w:rPr>
          <w:sz w:val="21"/>
          <w:szCs w:val="21"/>
        </w:rPr>
      </w:pPr>
      <w:r>
        <w:rPr>
          <w:rFonts w:cs="宋体"/>
          <w:sz w:val="21"/>
          <w:vertAlign w:val="superscript"/>
        </w:rPr>
        <w:t>82</w:t>
      </w:r>
      <w:r>
        <w:rPr>
          <w:rFonts w:cs="宋体"/>
          <w:sz w:val="21"/>
        </w:rPr>
        <w:t xml:space="preserve"> ISO TR 15499:2012 “Biological evaluation of medical devices - Guidance on the conduct of biological evaluation within a risk management process.”</w:t>
      </w:r>
    </w:p>
    <w:p w14:paraId="49D8E839">
      <w:pPr>
        <w:pBdr>
          <w:bottom w:val="single" w:color="auto" w:sz="4" w:space="1"/>
        </w:pBdr>
        <w:spacing w:before="120"/>
        <w:jc w:val="center"/>
        <w:rPr>
          <w:rFonts w:hint="eastAsia" w:eastAsia="等线"/>
          <w:lang w:eastAsia="zh-CN"/>
        </w:rPr>
      </w:pPr>
    </w:p>
    <w:p w14:paraId="369C5E83">
      <w:pPr>
        <w:pBdr>
          <w:bottom w:val="single" w:color="auto" w:sz="4" w:space="1"/>
        </w:pBdr>
        <w:spacing w:before="120"/>
        <w:jc w:val="center"/>
        <w:rPr>
          <w:rFonts w:hint="eastAsia" w:eastAsia="等线"/>
          <w:lang w:eastAsia="zh-CN"/>
        </w:rPr>
      </w:pPr>
    </w:p>
    <w:p w14:paraId="11C8FD14">
      <w:pPr>
        <w:pBdr>
          <w:bottom w:val="single" w:color="auto" w:sz="4" w:space="1"/>
        </w:pBdr>
        <w:spacing w:before="120"/>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18"/>
                    <a:stretch>
                      <a:fillRect/>
                    </a:stretch>
                  </pic:blipFill>
                  <pic:spPr>
                    <a:xfrm>
                      <a:off x="0" y="0"/>
                      <a:ext cx="5210175" cy="7343775"/>
                    </a:xfrm>
                    <a:prstGeom prst="rect">
                      <a:avLst/>
                    </a:prstGeom>
                  </pic:spPr>
                </pic:pic>
              </a:graphicData>
            </a:graphic>
          </wp:inline>
        </w:drawing>
      </w:r>
    </w:p>
    <w:sectPr>
      <w:pgSz w:w="11906" w:h="16838"/>
      <w:pgMar w:top="1418" w:right="1418" w:bottom="1418" w:left="1418"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5148C">
    <w:pPr>
      <w:pStyle w:val="37"/>
      <w:spacing w:before="0" w:beforeLines="0" w:line="240" w:lineRule="auto"/>
      <w:jc w:val="cente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7D8E3">
    <w:pPr>
      <w:pStyle w:val="3"/>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9CE26">
    <w:pPr>
      <w:pStyle w:val="3"/>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56E6D">
    <w:pPr>
      <w:pStyle w:val="37"/>
      <w:spacing w:before="0" w:beforeLines="0" w:line="240" w:lineRule="auto"/>
      <w:jc w:val="center"/>
      <w:rPr>
        <w:b/>
        <w:szCs w:val="21"/>
      </w:rPr>
    </w:pPr>
    <w:r>
      <w:rPr>
        <w:b/>
        <w:vanish/>
        <w:szCs w:val="21"/>
      </w:rPr>
      <w:fldChar w:fldCharType="begin"/>
    </w:r>
    <w:r>
      <w:rPr>
        <w:b/>
        <w:vanish/>
        <w:szCs w:val="21"/>
      </w:rPr>
      <w:instrText xml:space="preserve">PAGE   \* MERGEFORMAT</w:instrText>
    </w:r>
    <w:r>
      <w:rPr>
        <w:b/>
        <w:vanish/>
        <w:szCs w:val="21"/>
      </w:rPr>
      <w:fldChar w:fldCharType="separate"/>
    </w:r>
    <w:r>
      <w:rPr>
        <w:b/>
        <w:szCs w:val="21"/>
        <w:lang w:val="zh-CN" w:eastAsia="zh-CN"/>
      </w:rPr>
      <w:t>63</w:t>
    </w:r>
    <w:r>
      <w:rPr>
        <w:b/>
        <w:vanish/>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BACC2">
    <w:pPr>
      <w:pStyle w:val="4"/>
      <w:pBdr>
        <w:bottom w:val="none" w:color="auto" w:sz="0" w:space="0"/>
      </w:pBdr>
      <w:spacing w:before="120"/>
      <w:rPr>
        <w:rFonts w:cs="Times New Roman"/>
        <w:b/>
        <w:i/>
        <w:sz w:val="21"/>
        <w:szCs w:val="21"/>
      </w:rPr>
    </w:pPr>
    <w:r>
      <w:rPr>
        <w:rFonts w:hint="eastAsia" w:cs="宋体"/>
        <w:b/>
        <w:i/>
        <w:sz w:val="21"/>
      </w:rPr>
      <w:t>所含建议不具约束力</w:t>
    </w:r>
  </w:p>
  <w:p w14:paraId="04D9B9F1">
    <w:pPr>
      <w:pStyle w:val="37"/>
      <w:spacing w:before="0" w:beforeLines="0" w:line="240" w:lineRule="auto"/>
      <w:jc w:val="center"/>
      <w:rPr>
        <w:b/>
        <w:bCs/>
        <w:i/>
        <w:i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F6CFC">
    <w:pPr>
      <w:pStyle w:val="4"/>
      <w:spacing w:before="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BC849">
    <w:pPr>
      <w:pStyle w:val="4"/>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68389A"/>
    <w:multiLevelType w:val="multilevel"/>
    <w:tmpl w:val="0068389A"/>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BB2134"/>
    <w:multiLevelType w:val="multilevel"/>
    <w:tmpl w:val="00BB2134"/>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7A33387"/>
    <w:multiLevelType w:val="multilevel"/>
    <w:tmpl w:val="07A33387"/>
    <w:lvl w:ilvl="0" w:tentative="0">
      <w:start w:val="1"/>
      <w:numFmt w:val="upp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8F01FE2"/>
    <w:multiLevelType w:val="multilevel"/>
    <w:tmpl w:val="08F01FE2"/>
    <w:lvl w:ilvl="0" w:tentative="0">
      <w:start w:val="1"/>
      <w:numFmt w:val="bullet"/>
      <w:lvlText w:val="●"/>
      <w:lvlJc w:val="left"/>
      <w:pPr>
        <w:ind w:left="420" w:hanging="420"/>
      </w:pPr>
      <w:rPr>
        <w:rFonts w:hint="default" w:ascii="Times New Roman" w:hAnsi="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09110C45"/>
    <w:multiLevelType w:val="multilevel"/>
    <w:tmpl w:val="09110C45"/>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B9869F5"/>
    <w:multiLevelType w:val="multilevel"/>
    <w:tmpl w:val="0B9869F5"/>
    <w:lvl w:ilvl="0" w:tentative="0">
      <w:start w:val="1"/>
      <w:numFmt w:val="decimal"/>
      <w:lvlText w:val="%1."/>
      <w:lvlJc w:val="left"/>
      <w:pPr>
        <w:ind w:left="1020" w:hanging="420"/>
      </w:p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6">
    <w:nsid w:val="10C7626C"/>
    <w:multiLevelType w:val="multilevel"/>
    <w:tmpl w:val="10C7626C"/>
    <w:lvl w:ilvl="0" w:tentative="0">
      <w:start w:val="1"/>
      <w:numFmt w:val="bullet"/>
      <w:lvlText w:val="●"/>
      <w:lvlJc w:val="left"/>
      <w:pPr>
        <w:ind w:left="420" w:hanging="420"/>
      </w:pPr>
      <w:rPr>
        <w:rFonts w:hint="default" w:ascii="Times New Roman" w:hAnsi="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18EE1D8E"/>
    <w:multiLevelType w:val="multilevel"/>
    <w:tmpl w:val="18EE1D8E"/>
    <w:lvl w:ilvl="0" w:tentative="0">
      <w:start w:val="1"/>
      <w:numFmt w:val="upperRoman"/>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9DA690B"/>
    <w:multiLevelType w:val="multilevel"/>
    <w:tmpl w:val="19DA690B"/>
    <w:lvl w:ilvl="0" w:tentative="0">
      <w:start w:val="1"/>
      <w:numFmt w:val="bullet"/>
      <w:lvlText w:val="●"/>
      <w:lvlJc w:val="left"/>
      <w:pPr>
        <w:ind w:left="420" w:hanging="420"/>
      </w:pPr>
      <w:rPr>
        <w:rFonts w:hint="default" w:ascii="Times New Roman" w:hAnsi="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27825606"/>
    <w:multiLevelType w:val="multilevel"/>
    <w:tmpl w:val="27825606"/>
    <w:lvl w:ilvl="0" w:tentative="0">
      <w:start w:val="1"/>
      <w:numFmt w:val="bullet"/>
      <w:lvlText w:val="○"/>
      <w:lvlJc w:val="left"/>
      <w:pPr>
        <w:ind w:left="420" w:hanging="420"/>
      </w:pPr>
      <w:rPr>
        <w:rFonts w:hint="default" w:ascii="Times New Roman" w:hAnsi="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2CFA29DB"/>
    <w:multiLevelType w:val="multilevel"/>
    <w:tmpl w:val="2CFA29DB"/>
    <w:lvl w:ilvl="0" w:tentative="0">
      <w:start w:val="1"/>
      <w:numFmt w:val="bullet"/>
      <w:lvlText w:val="●"/>
      <w:lvlJc w:val="left"/>
      <w:pPr>
        <w:ind w:left="420" w:hanging="420"/>
      </w:pPr>
      <w:rPr>
        <w:rFonts w:hint="default" w:ascii="Times New Roman" w:hAnsi="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37CE0A08"/>
    <w:multiLevelType w:val="multilevel"/>
    <w:tmpl w:val="37CE0A08"/>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EE2186D"/>
    <w:multiLevelType w:val="multilevel"/>
    <w:tmpl w:val="3EE2186D"/>
    <w:lvl w:ilvl="0" w:tentative="0">
      <w:start w:val="1"/>
      <w:numFmt w:val="bullet"/>
      <w:lvlText w:val="●"/>
      <w:lvlJc w:val="left"/>
      <w:pPr>
        <w:ind w:left="420" w:hanging="420"/>
      </w:pPr>
      <w:rPr>
        <w:rFonts w:hint="default" w:ascii="Times New Roman" w:hAnsi="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4D0E63E8"/>
    <w:multiLevelType w:val="multilevel"/>
    <w:tmpl w:val="4D0E63E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EB95361"/>
    <w:multiLevelType w:val="multilevel"/>
    <w:tmpl w:val="4EB95361"/>
    <w:lvl w:ilvl="0" w:tentative="0">
      <w:start w:val="1"/>
      <w:numFmt w:val="bullet"/>
      <w:lvlText w:val="●"/>
      <w:lvlJc w:val="left"/>
      <w:pPr>
        <w:ind w:left="420" w:hanging="420"/>
      </w:pPr>
      <w:rPr>
        <w:rFonts w:hint="default" w:ascii="Times New Roman" w:hAnsi="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514C13C7"/>
    <w:multiLevelType w:val="multilevel"/>
    <w:tmpl w:val="514C13C7"/>
    <w:lvl w:ilvl="0" w:tentative="0">
      <w:start w:val="1"/>
      <w:numFmt w:val="upp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48D7C05"/>
    <w:multiLevelType w:val="multilevel"/>
    <w:tmpl w:val="548D7C05"/>
    <w:lvl w:ilvl="0" w:tentative="0">
      <w:start w:val="1"/>
      <w:numFmt w:val="lowerLetter"/>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CE92D28"/>
    <w:multiLevelType w:val="multilevel"/>
    <w:tmpl w:val="5CE92D28"/>
    <w:lvl w:ilvl="0" w:tentative="0">
      <w:start w:val="1"/>
      <w:numFmt w:val="bullet"/>
      <w:lvlText w:val="●"/>
      <w:lvlJc w:val="left"/>
      <w:pPr>
        <w:ind w:left="420" w:hanging="420"/>
      </w:pPr>
      <w:rPr>
        <w:rFonts w:hint="default" w:ascii="Times New Roman" w:hAnsi="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646D00FB"/>
    <w:multiLevelType w:val="multilevel"/>
    <w:tmpl w:val="646D00F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5F07AD3"/>
    <w:multiLevelType w:val="multilevel"/>
    <w:tmpl w:val="65F07AD3"/>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665D4105"/>
    <w:multiLevelType w:val="multilevel"/>
    <w:tmpl w:val="665D4105"/>
    <w:lvl w:ilvl="0" w:tentative="0">
      <w:start w:val="1"/>
      <w:numFmt w:val="upp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71A52688"/>
    <w:multiLevelType w:val="multilevel"/>
    <w:tmpl w:val="71A52688"/>
    <w:lvl w:ilvl="0" w:tentative="0">
      <w:start w:val="1"/>
      <w:numFmt w:val="lowerLetter"/>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762D5CEB"/>
    <w:multiLevelType w:val="multilevel"/>
    <w:tmpl w:val="762D5CEB"/>
    <w:lvl w:ilvl="0" w:tentative="0">
      <w:start w:val="1"/>
      <w:numFmt w:val="upp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762E1273"/>
    <w:multiLevelType w:val="multilevel"/>
    <w:tmpl w:val="762E1273"/>
    <w:lvl w:ilvl="0" w:tentative="0">
      <w:start w:val="1"/>
      <w:numFmt w:val="bullet"/>
      <w:lvlText w:val="●"/>
      <w:lvlJc w:val="left"/>
      <w:pPr>
        <w:ind w:left="420" w:hanging="420"/>
      </w:pPr>
      <w:rPr>
        <w:rFonts w:hint="default" w:ascii="Times New Roman" w:hAnsi="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4">
    <w:nsid w:val="7C175793"/>
    <w:multiLevelType w:val="multilevel"/>
    <w:tmpl w:val="7C175793"/>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7CF475E4"/>
    <w:multiLevelType w:val="multilevel"/>
    <w:tmpl w:val="7CF475E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7F652541"/>
    <w:multiLevelType w:val="multilevel"/>
    <w:tmpl w:val="7F652541"/>
    <w:lvl w:ilvl="0" w:tentative="0">
      <w:start w:val="1"/>
      <w:numFmt w:val="upp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12"/>
  </w:num>
  <w:num w:numId="3">
    <w:abstractNumId w:val="22"/>
  </w:num>
  <w:num w:numId="4">
    <w:abstractNumId w:val="5"/>
  </w:num>
  <w:num w:numId="5">
    <w:abstractNumId w:val="23"/>
  </w:num>
  <w:num w:numId="6">
    <w:abstractNumId w:val="20"/>
  </w:num>
  <w:num w:numId="7">
    <w:abstractNumId w:val="25"/>
  </w:num>
  <w:num w:numId="8">
    <w:abstractNumId w:val="2"/>
  </w:num>
  <w:num w:numId="9">
    <w:abstractNumId w:val="14"/>
  </w:num>
  <w:num w:numId="10">
    <w:abstractNumId w:val="15"/>
  </w:num>
  <w:num w:numId="11">
    <w:abstractNumId w:val="3"/>
  </w:num>
  <w:num w:numId="12">
    <w:abstractNumId w:val="10"/>
  </w:num>
  <w:num w:numId="13">
    <w:abstractNumId w:val="6"/>
  </w:num>
  <w:num w:numId="14">
    <w:abstractNumId w:val="21"/>
  </w:num>
  <w:num w:numId="15">
    <w:abstractNumId w:val="16"/>
  </w:num>
  <w:num w:numId="16">
    <w:abstractNumId w:val="9"/>
  </w:num>
  <w:num w:numId="17">
    <w:abstractNumId w:val="8"/>
  </w:num>
  <w:num w:numId="18">
    <w:abstractNumId w:val="18"/>
  </w:num>
  <w:num w:numId="19">
    <w:abstractNumId w:val="13"/>
  </w:num>
  <w:num w:numId="20">
    <w:abstractNumId w:val="11"/>
  </w:num>
  <w:num w:numId="21">
    <w:abstractNumId w:val="1"/>
  </w:num>
  <w:num w:numId="22">
    <w:abstractNumId w:val="4"/>
  </w:num>
  <w:num w:numId="23">
    <w:abstractNumId w:val="19"/>
  </w:num>
  <w:num w:numId="24">
    <w:abstractNumId w:val="0"/>
  </w:num>
  <w:num w:numId="25">
    <w:abstractNumId w:val="26"/>
  </w:num>
  <w:num w:numId="26">
    <w:abstractNumId w:val="24"/>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4D4"/>
    <w:rsid w:val="000017BD"/>
    <w:rsid w:val="00013A6D"/>
    <w:rsid w:val="00042643"/>
    <w:rsid w:val="000B6030"/>
    <w:rsid w:val="000C575E"/>
    <w:rsid w:val="000E756E"/>
    <w:rsid w:val="000F1B40"/>
    <w:rsid w:val="0011143D"/>
    <w:rsid w:val="00114CEC"/>
    <w:rsid w:val="001322A9"/>
    <w:rsid w:val="00151412"/>
    <w:rsid w:val="00177B3C"/>
    <w:rsid w:val="00180C45"/>
    <w:rsid w:val="001A08A7"/>
    <w:rsid w:val="001A6FFB"/>
    <w:rsid w:val="001B323A"/>
    <w:rsid w:val="001E49D0"/>
    <w:rsid w:val="00216FC4"/>
    <w:rsid w:val="00231AB7"/>
    <w:rsid w:val="00291C9B"/>
    <w:rsid w:val="002A3547"/>
    <w:rsid w:val="002B5FB0"/>
    <w:rsid w:val="002F5722"/>
    <w:rsid w:val="003410CC"/>
    <w:rsid w:val="00353C33"/>
    <w:rsid w:val="003903BC"/>
    <w:rsid w:val="00392C30"/>
    <w:rsid w:val="00403CD9"/>
    <w:rsid w:val="004234E4"/>
    <w:rsid w:val="004341E0"/>
    <w:rsid w:val="00436E69"/>
    <w:rsid w:val="00446959"/>
    <w:rsid w:val="004554D4"/>
    <w:rsid w:val="00455846"/>
    <w:rsid w:val="00457D3D"/>
    <w:rsid w:val="00487F07"/>
    <w:rsid w:val="00490267"/>
    <w:rsid w:val="004A24B6"/>
    <w:rsid w:val="004A7E48"/>
    <w:rsid w:val="004B6279"/>
    <w:rsid w:val="004D2217"/>
    <w:rsid w:val="004D45D1"/>
    <w:rsid w:val="004E5B0B"/>
    <w:rsid w:val="004F4327"/>
    <w:rsid w:val="00501DEE"/>
    <w:rsid w:val="00522DCD"/>
    <w:rsid w:val="00543CD8"/>
    <w:rsid w:val="00545771"/>
    <w:rsid w:val="005579E5"/>
    <w:rsid w:val="005608DE"/>
    <w:rsid w:val="00585852"/>
    <w:rsid w:val="005C5A2B"/>
    <w:rsid w:val="005C61D6"/>
    <w:rsid w:val="005E1B1D"/>
    <w:rsid w:val="005F3F96"/>
    <w:rsid w:val="006060B6"/>
    <w:rsid w:val="00635358"/>
    <w:rsid w:val="006401C5"/>
    <w:rsid w:val="006567E8"/>
    <w:rsid w:val="00687F9D"/>
    <w:rsid w:val="006B12A2"/>
    <w:rsid w:val="006D16F6"/>
    <w:rsid w:val="006D74A1"/>
    <w:rsid w:val="006E0365"/>
    <w:rsid w:val="006E16DE"/>
    <w:rsid w:val="006E6616"/>
    <w:rsid w:val="00704B37"/>
    <w:rsid w:val="0073769E"/>
    <w:rsid w:val="0074261D"/>
    <w:rsid w:val="007606C3"/>
    <w:rsid w:val="0077352E"/>
    <w:rsid w:val="007922A7"/>
    <w:rsid w:val="007975B8"/>
    <w:rsid w:val="007976CE"/>
    <w:rsid w:val="007A12A0"/>
    <w:rsid w:val="007A4EE4"/>
    <w:rsid w:val="007B5CBE"/>
    <w:rsid w:val="007C1C9E"/>
    <w:rsid w:val="007F30D2"/>
    <w:rsid w:val="00832E13"/>
    <w:rsid w:val="00836F73"/>
    <w:rsid w:val="008451B7"/>
    <w:rsid w:val="00855E03"/>
    <w:rsid w:val="00855E6D"/>
    <w:rsid w:val="0087636D"/>
    <w:rsid w:val="0087746A"/>
    <w:rsid w:val="00883022"/>
    <w:rsid w:val="00891347"/>
    <w:rsid w:val="00896623"/>
    <w:rsid w:val="008B12BA"/>
    <w:rsid w:val="008D1206"/>
    <w:rsid w:val="008D265C"/>
    <w:rsid w:val="00921782"/>
    <w:rsid w:val="00934D46"/>
    <w:rsid w:val="009416C2"/>
    <w:rsid w:val="009A07F8"/>
    <w:rsid w:val="009A71B1"/>
    <w:rsid w:val="009B3A85"/>
    <w:rsid w:val="009D2190"/>
    <w:rsid w:val="00A03F75"/>
    <w:rsid w:val="00A127ED"/>
    <w:rsid w:val="00A12BAC"/>
    <w:rsid w:val="00A2517D"/>
    <w:rsid w:val="00A35C94"/>
    <w:rsid w:val="00A47B44"/>
    <w:rsid w:val="00A6440F"/>
    <w:rsid w:val="00AA2CFC"/>
    <w:rsid w:val="00AA4FAA"/>
    <w:rsid w:val="00AB768D"/>
    <w:rsid w:val="00AE2536"/>
    <w:rsid w:val="00AE53DC"/>
    <w:rsid w:val="00B15202"/>
    <w:rsid w:val="00B41B0F"/>
    <w:rsid w:val="00B60DF2"/>
    <w:rsid w:val="00B9026D"/>
    <w:rsid w:val="00BC0832"/>
    <w:rsid w:val="00BC083C"/>
    <w:rsid w:val="00C1159F"/>
    <w:rsid w:val="00C16045"/>
    <w:rsid w:val="00C20CA6"/>
    <w:rsid w:val="00C3484B"/>
    <w:rsid w:val="00C851D5"/>
    <w:rsid w:val="00CA13EF"/>
    <w:rsid w:val="00CB1A52"/>
    <w:rsid w:val="00CD0472"/>
    <w:rsid w:val="00CE2D83"/>
    <w:rsid w:val="00CF3A21"/>
    <w:rsid w:val="00D035C8"/>
    <w:rsid w:val="00D305B5"/>
    <w:rsid w:val="00D4391B"/>
    <w:rsid w:val="00D6001F"/>
    <w:rsid w:val="00DA2A33"/>
    <w:rsid w:val="00DB487F"/>
    <w:rsid w:val="00DC1E65"/>
    <w:rsid w:val="00DC2D8A"/>
    <w:rsid w:val="00DD14B1"/>
    <w:rsid w:val="00DD4124"/>
    <w:rsid w:val="00E2329A"/>
    <w:rsid w:val="00E44CC9"/>
    <w:rsid w:val="00E53B74"/>
    <w:rsid w:val="00E62091"/>
    <w:rsid w:val="00E804D0"/>
    <w:rsid w:val="00E90037"/>
    <w:rsid w:val="00EC7458"/>
    <w:rsid w:val="00EE7CB8"/>
    <w:rsid w:val="00EF1571"/>
    <w:rsid w:val="00EF7335"/>
    <w:rsid w:val="00F27C17"/>
    <w:rsid w:val="00F42D7D"/>
    <w:rsid w:val="00F7332A"/>
    <w:rsid w:val="0B7F7FD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ourier New" w:hAnsi="Courier New" w:eastAsiaTheme="minorEastAsia" w:cs="Courier New"/>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before="50" w:beforeLines="50" w:line="300" w:lineRule="auto"/>
      <w:jc w:val="both"/>
    </w:pPr>
    <w:rPr>
      <w:rFonts w:ascii="Times New Roman" w:hAnsi="Times New Roman" w:eastAsia="宋体" w:cs="Courier New"/>
      <w:color w:val="000000"/>
      <w:sz w:val="24"/>
      <w:szCs w:val="24"/>
      <w:lang w:val="en-US" w:eastAsia="en-US" w:bidi="en-US"/>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41"/>
    <w:semiHidden/>
    <w:unhideWhenUsed/>
    <w:qFormat/>
    <w:uiPriority w:val="99"/>
    <w:pPr>
      <w:spacing w:before="0" w:line="240" w:lineRule="auto"/>
    </w:pPr>
    <w:rPr>
      <w:sz w:val="18"/>
      <w:szCs w:val="18"/>
    </w:rPr>
  </w:style>
  <w:style w:type="paragraph" w:styleId="3">
    <w:name w:val="footer"/>
    <w:basedOn w:val="1"/>
    <w:link w:val="39"/>
    <w:unhideWhenUsed/>
    <w:qFormat/>
    <w:uiPriority w:val="99"/>
    <w:pPr>
      <w:tabs>
        <w:tab w:val="center" w:pos="4153"/>
        <w:tab w:val="right" w:pos="8306"/>
      </w:tabs>
      <w:spacing w:line="240" w:lineRule="auto"/>
      <w:jc w:val="left"/>
    </w:pPr>
    <w:rPr>
      <w:sz w:val="18"/>
      <w:szCs w:val="18"/>
    </w:rPr>
  </w:style>
  <w:style w:type="paragraph" w:styleId="4">
    <w:name w:val="header"/>
    <w:basedOn w:val="1"/>
    <w:link w:val="38"/>
    <w:unhideWhenUsed/>
    <w:qFormat/>
    <w:uiPriority w:val="99"/>
    <w:pPr>
      <w:pBdr>
        <w:bottom w:val="single" w:color="auto" w:sz="6" w:space="1"/>
      </w:pBdr>
      <w:tabs>
        <w:tab w:val="center" w:pos="4153"/>
        <w:tab w:val="right" w:pos="8306"/>
      </w:tabs>
      <w:spacing w:line="240" w:lineRule="auto"/>
      <w:jc w:val="center"/>
    </w:pPr>
    <w:rPr>
      <w:sz w:val="18"/>
      <w:szCs w:val="18"/>
    </w:rPr>
  </w:style>
  <w:style w:type="paragraph" w:styleId="5">
    <w:name w:val="toc 1"/>
    <w:basedOn w:val="1"/>
    <w:next w:val="1"/>
    <w:autoRedefine/>
    <w:unhideWhenUsed/>
    <w:qFormat/>
    <w:uiPriority w:val="39"/>
    <w:pPr>
      <w:tabs>
        <w:tab w:val="left" w:pos="567"/>
        <w:tab w:val="right" w:leader="dot" w:pos="9060"/>
      </w:tabs>
      <w:adjustRightInd w:val="0"/>
      <w:spacing w:before="0" w:beforeLines="0" w:line="240" w:lineRule="auto"/>
    </w:pPr>
  </w:style>
  <w:style w:type="paragraph" w:styleId="6">
    <w:name w:val="toc 2"/>
    <w:basedOn w:val="1"/>
    <w:next w:val="1"/>
    <w:autoRedefine/>
    <w:unhideWhenUsed/>
    <w:qFormat/>
    <w:uiPriority w:val="39"/>
    <w:pPr>
      <w:spacing w:before="0" w:beforeLines="0" w:line="240" w:lineRule="auto"/>
      <w:ind w:left="250" w:leftChars="250"/>
    </w:p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customStyle="1" w:styleId="11">
    <w:name w:val="脚注_"/>
    <w:basedOn w:val="9"/>
    <w:link w:val="12"/>
    <w:qFormat/>
    <w:uiPriority w:val="0"/>
    <w:rPr>
      <w:rFonts w:ascii="Times New Roman" w:hAnsi="Times New Roman" w:eastAsia="Times New Roman" w:cs="Times New Roman"/>
      <w:sz w:val="20"/>
      <w:szCs w:val="20"/>
      <w:u w:val="none"/>
      <w:shd w:val="clear" w:color="auto" w:fill="auto"/>
    </w:rPr>
  </w:style>
  <w:style w:type="paragraph" w:customStyle="1" w:styleId="12">
    <w:name w:val="脚注"/>
    <w:basedOn w:val="1"/>
    <w:link w:val="11"/>
    <w:qFormat/>
    <w:uiPriority w:val="0"/>
    <w:rPr>
      <w:rFonts w:eastAsia="Times New Roman" w:cs="Times New Roman"/>
      <w:sz w:val="20"/>
      <w:szCs w:val="20"/>
    </w:rPr>
  </w:style>
  <w:style w:type="character" w:customStyle="1" w:styleId="13">
    <w:name w:val="其他_"/>
    <w:basedOn w:val="9"/>
    <w:link w:val="14"/>
    <w:qFormat/>
    <w:uiPriority w:val="0"/>
    <w:rPr>
      <w:rFonts w:ascii="Times New Roman" w:hAnsi="Times New Roman" w:eastAsia="Times New Roman" w:cs="Times New Roman"/>
      <w:u w:val="none"/>
      <w:shd w:val="clear" w:color="auto" w:fill="auto"/>
    </w:rPr>
  </w:style>
  <w:style w:type="paragraph" w:customStyle="1" w:styleId="14">
    <w:name w:val="其他"/>
    <w:basedOn w:val="1"/>
    <w:link w:val="13"/>
    <w:qFormat/>
    <w:uiPriority w:val="0"/>
    <w:pPr>
      <w:spacing w:after="240"/>
    </w:pPr>
    <w:rPr>
      <w:rFonts w:eastAsia="Times New Roman" w:cs="Times New Roman"/>
    </w:rPr>
  </w:style>
  <w:style w:type="character" w:customStyle="1" w:styleId="15">
    <w:name w:val="正文文本 (2)_"/>
    <w:basedOn w:val="9"/>
    <w:link w:val="16"/>
    <w:qFormat/>
    <w:uiPriority w:val="0"/>
    <w:rPr>
      <w:rFonts w:ascii="Times New Roman" w:hAnsi="Times New Roman" w:eastAsia="Times New Roman" w:cs="Times New Roman"/>
      <w:b/>
      <w:bCs/>
      <w:sz w:val="56"/>
      <w:szCs w:val="56"/>
      <w:u w:val="none"/>
      <w:shd w:val="clear" w:color="auto" w:fill="auto"/>
    </w:rPr>
  </w:style>
  <w:style w:type="paragraph" w:customStyle="1" w:styleId="16">
    <w:name w:val="正文文本 (2)"/>
    <w:basedOn w:val="1"/>
    <w:link w:val="15"/>
    <w:qFormat/>
    <w:uiPriority w:val="0"/>
    <w:pPr>
      <w:spacing w:after="440"/>
      <w:jc w:val="center"/>
    </w:pPr>
    <w:rPr>
      <w:rFonts w:eastAsia="Times New Roman" w:cs="Times New Roman"/>
      <w:b/>
      <w:bCs/>
      <w:sz w:val="56"/>
      <w:szCs w:val="56"/>
    </w:rPr>
  </w:style>
  <w:style w:type="character" w:customStyle="1" w:styleId="17">
    <w:name w:val="页眉或页脚 (2)_"/>
    <w:basedOn w:val="9"/>
    <w:link w:val="18"/>
    <w:qFormat/>
    <w:uiPriority w:val="0"/>
    <w:rPr>
      <w:rFonts w:ascii="Times New Roman" w:hAnsi="Times New Roman" w:eastAsia="Times New Roman" w:cs="Times New Roman"/>
      <w:sz w:val="20"/>
      <w:szCs w:val="20"/>
      <w:u w:val="none"/>
      <w:shd w:val="clear" w:color="auto" w:fill="auto"/>
    </w:rPr>
  </w:style>
  <w:style w:type="paragraph" w:customStyle="1" w:styleId="18">
    <w:name w:val="页眉或页脚 (2)"/>
    <w:basedOn w:val="1"/>
    <w:link w:val="17"/>
    <w:qFormat/>
    <w:uiPriority w:val="0"/>
    <w:rPr>
      <w:rFonts w:eastAsia="Times New Roman" w:cs="Times New Roman"/>
      <w:sz w:val="20"/>
      <w:szCs w:val="20"/>
    </w:rPr>
  </w:style>
  <w:style w:type="character" w:customStyle="1" w:styleId="19">
    <w:name w:val="正文文本 (3)_"/>
    <w:basedOn w:val="9"/>
    <w:link w:val="20"/>
    <w:qFormat/>
    <w:uiPriority w:val="0"/>
    <w:rPr>
      <w:rFonts w:ascii="Times New Roman" w:hAnsi="Times New Roman" w:eastAsia="Times New Roman" w:cs="Times New Roman"/>
      <w:b/>
      <w:bCs/>
      <w:sz w:val="28"/>
      <w:szCs w:val="28"/>
      <w:u w:val="none"/>
      <w:shd w:val="clear" w:color="auto" w:fill="auto"/>
    </w:rPr>
  </w:style>
  <w:style w:type="paragraph" w:customStyle="1" w:styleId="20">
    <w:name w:val="正文文本 (3)"/>
    <w:basedOn w:val="1"/>
    <w:link w:val="19"/>
    <w:qFormat/>
    <w:uiPriority w:val="0"/>
    <w:pPr>
      <w:spacing w:after="280"/>
      <w:jc w:val="center"/>
    </w:pPr>
    <w:rPr>
      <w:rFonts w:eastAsia="Times New Roman" w:cs="Times New Roman"/>
      <w:b/>
      <w:bCs/>
      <w:sz w:val="28"/>
      <w:szCs w:val="28"/>
    </w:rPr>
  </w:style>
  <w:style w:type="character" w:customStyle="1" w:styleId="21">
    <w:name w:val="正文文本_"/>
    <w:basedOn w:val="9"/>
    <w:link w:val="22"/>
    <w:qFormat/>
    <w:uiPriority w:val="0"/>
    <w:rPr>
      <w:rFonts w:ascii="Times New Roman" w:hAnsi="Times New Roman" w:eastAsia="Times New Roman" w:cs="Times New Roman"/>
      <w:u w:val="none"/>
      <w:shd w:val="clear" w:color="auto" w:fill="auto"/>
    </w:rPr>
  </w:style>
  <w:style w:type="paragraph" w:customStyle="1" w:styleId="22">
    <w:name w:val="正文文本1"/>
    <w:basedOn w:val="1"/>
    <w:link w:val="21"/>
    <w:qFormat/>
    <w:uiPriority w:val="0"/>
    <w:pPr>
      <w:spacing w:after="240"/>
    </w:pPr>
    <w:rPr>
      <w:rFonts w:eastAsia="Times New Roman" w:cs="Times New Roman"/>
    </w:rPr>
  </w:style>
  <w:style w:type="character" w:customStyle="1" w:styleId="23">
    <w:name w:val="正文文本 (4)_"/>
    <w:basedOn w:val="9"/>
    <w:link w:val="24"/>
    <w:qFormat/>
    <w:uiPriority w:val="0"/>
    <w:rPr>
      <w:rFonts w:ascii="Times New Roman" w:hAnsi="Times New Roman" w:eastAsia="Times New Roman" w:cs="Times New Roman"/>
      <w:b/>
      <w:bCs/>
      <w:sz w:val="36"/>
      <w:szCs w:val="36"/>
      <w:u w:val="none"/>
      <w:shd w:val="clear" w:color="auto" w:fill="auto"/>
    </w:rPr>
  </w:style>
  <w:style w:type="paragraph" w:customStyle="1" w:styleId="24">
    <w:name w:val="正文文本 (4)"/>
    <w:basedOn w:val="1"/>
    <w:link w:val="23"/>
    <w:qFormat/>
    <w:uiPriority w:val="0"/>
    <w:pPr>
      <w:spacing w:after="220"/>
    </w:pPr>
    <w:rPr>
      <w:rFonts w:eastAsia="Times New Roman" w:cs="Times New Roman"/>
      <w:b/>
      <w:bCs/>
      <w:sz w:val="36"/>
      <w:szCs w:val="36"/>
    </w:rPr>
  </w:style>
  <w:style w:type="character" w:customStyle="1" w:styleId="25">
    <w:name w:val="目录_"/>
    <w:basedOn w:val="9"/>
    <w:link w:val="26"/>
    <w:qFormat/>
    <w:uiPriority w:val="0"/>
    <w:rPr>
      <w:rFonts w:ascii="Times New Roman" w:hAnsi="Times New Roman" w:eastAsia="Times New Roman" w:cs="Times New Roman"/>
      <w:sz w:val="22"/>
      <w:szCs w:val="22"/>
      <w:u w:val="none"/>
      <w:shd w:val="clear" w:color="auto" w:fill="auto"/>
    </w:rPr>
  </w:style>
  <w:style w:type="paragraph" w:customStyle="1" w:styleId="26">
    <w:name w:val="目录"/>
    <w:basedOn w:val="1"/>
    <w:link w:val="25"/>
    <w:qFormat/>
    <w:uiPriority w:val="0"/>
    <w:pPr>
      <w:ind w:firstLine="740"/>
    </w:pPr>
    <w:rPr>
      <w:rFonts w:eastAsia="Times New Roman" w:cs="Times New Roman"/>
      <w:sz w:val="22"/>
      <w:szCs w:val="22"/>
    </w:rPr>
  </w:style>
  <w:style w:type="character" w:customStyle="1" w:styleId="27">
    <w:name w:val="标题 #1_"/>
    <w:basedOn w:val="9"/>
    <w:link w:val="28"/>
    <w:qFormat/>
    <w:uiPriority w:val="0"/>
    <w:rPr>
      <w:rFonts w:ascii="Times New Roman" w:hAnsi="Times New Roman" w:eastAsia="Times New Roman" w:cs="Times New Roman"/>
      <w:b/>
      <w:bCs/>
      <w:sz w:val="36"/>
      <w:szCs w:val="36"/>
      <w:u w:val="none"/>
      <w:shd w:val="clear" w:color="auto" w:fill="auto"/>
    </w:rPr>
  </w:style>
  <w:style w:type="paragraph" w:customStyle="1" w:styleId="28">
    <w:name w:val="标题 #1"/>
    <w:basedOn w:val="1"/>
    <w:link w:val="27"/>
    <w:qFormat/>
    <w:uiPriority w:val="0"/>
    <w:pPr>
      <w:spacing w:after="80"/>
      <w:outlineLvl w:val="0"/>
    </w:pPr>
    <w:rPr>
      <w:rFonts w:eastAsia="Times New Roman" w:cs="Times New Roman"/>
      <w:b/>
      <w:bCs/>
      <w:sz w:val="36"/>
      <w:szCs w:val="36"/>
    </w:rPr>
  </w:style>
  <w:style w:type="character" w:customStyle="1" w:styleId="29">
    <w:name w:val="标题 #2_"/>
    <w:basedOn w:val="9"/>
    <w:link w:val="30"/>
    <w:qFormat/>
    <w:uiPriority w:val="0"/>
    <w:rPr>
      <w:rFonts w:ascii="Times New Roman" w:hAnsi="Times New Roman" w:eastAsia="Times New Roman" w:cs="Times New Roman"/>
      <w:b/>
      <w:bCs/>
      <w:sz w:val="32"/>
      <w:szCs w:val="32"/>
      <w:u w:val="none"/>
      <w:shd w:val="clear" w:color="auto" w:fill="auto"/>
    </w:rPr>
  </w:style>
  <w:style w:type="paragraph" w:customStyle="1" w:styleId="30">
    <w:name w:val="标题 #2"/>
    <w:basedOn w:val="1"/>
    <w:link w:val="29"/>
    <w:qFormat/>
    <w:uiPriority w:val="0"/>
    <w:pPr>
      <w:spacing w:after="80"/>
      <w:ind w:left="550" w:firstLine="720"/>
      <w:outlineLvl w:val="1"/>
    </w:pPr>
    <w:rPr>
      <w:rFonts w:eastAsia="Times New Roman" w:cs="Times New Roman"/>
      <w:b/>
      <w:bCs/>
      <w:sz w:val="32"/>
      <w:szCs w:val="32"/>
    </w:rPr>
  </w:style>
  <w:style w:type="character" w:customStyle="1" w:styleId="31">
    <w:name w:val="正文文本 (7)_"/>
    <w:basedOn w:val="9"/>
    <w:link w:val="32"/>
    <w:qFormat/>
    <w:uiPriority w:val="0"/>
    <w:rPr>
      <w:rFonts w:ascii="Times New Roman" w:hAnsi="Times New Roman" w:eastAsia="Times New Roman" w:cs="Times New Roman"/>
      <w:sz w:val="20"/>
      <w:szCs w:val="20"/>
      <w:u w:val="none"/>
      <w:shd w:val="clear" w:color="auto" w:fill="auto"/>
    </w:rPr>
  </w:style>
  <w:style w:type="paragraph" w:customStyle="1" w:styleId="32">
    <w:name w:val="正文文本 (7)"/>
    <w:basedOn w:val="1"/>
    <w:link w:val="31"/>
    <w:qFormat/>
    <w:uiPriority w:val="0"/>
    <w:pPr>
      <w:ind w:left="540"/>
    </w:pPr>
    <w:rPr>
      <w:rFonts w:eastAsia="Times New Roman" w:cs="Times New Roman"/>
      <w:sz w:val="20"/>
      <w:szCs w:val="20"/>
    </w:rPr>
  </w:style>
  <w:style w:type="character" w:customStyle="1" w:styleId="33">
    <w:name w:val="页眉或页脚_"/>
    <w:basedOn w:val="9"/>
    <w:link w:val="34"/>
    <w:qFormat/>
    <w:uiPriority w:val="0"/>
    <w:rPr>
      <w:rFonts w:ascii="Times New Roman" w:hAnsi="Times New Roman" w:eastAsia="Times New Roman" w:cs="Times New Roman"/>
      <w:b/>
      <w:bCs/>
      <w:i/>
      <w:iCs/>
      <w:u w:val="none"/>
      <w:shd w:val="clear" w:color="auto" w:fill="auto"/>
    </w:rPr>
  </w:style>
  <w:style w:type="paragraph" w:customStyle="1" w:styleId="34">
    <w:name w:val="页眉或页脚"/>
    <w:basedOn w:val="1"/>
    <w:link w:val="33"/>
    <w:qFormat/>
    <w:uiPriority w:val="0"/>
    <w:rPr>
      <w:rFonts w:eastAsia="Times New Roman" w:cs="Times New Roman"/>
      <w:b/>
      <w:bCs/>
      <w:i/>
      <w:iCs/>
    </w:rPr>
  </w:style>
  <w:style w:type="character" w:customStyle="1" w:styleId="35">
    <w:name w:val="图片标题_"/>
    <w:basedOn w:val="9"/>
    <w:link w:val="36"/>
    <w:qFormat/>
    <w:uiPriority w:val="0"/>
    <w:rPr>
      <w:rFonts w:ascii="Times New Roman" w:hAnsi="Times New Roman" w:eastAsia="Times New Roman" w:cs="Times New Roman"/>
      <w:b/>
      <w:bCs/>
      <w:u w:val="none"/>
      <w:shd w:val="clear" w:color="auto" w:fill="auto"/>
    </w:rPr>
  </w:style>
  <w:style w:type="paragraph" w:customStyle="1" w:styleId="36">
    <w:name w:val="图片标题"/>
    <w:basedOn w:val="1"/>
    <w:link w:val="35"/>
    <w:qFormat/>
    <w:uiPriority w:val="0"/>
    <w:rPr>
      <w:rFonts w:eastAsia="Times New Roman" w:cs="Times New Roman"/>
      <w:b/>
      <w:bCs/>
    </w:rPr>
  </w:style>
  <w:style w:type="paragraph" w:styleId="37">
    <w:name w:val="No Spacing"/>
    <w:qFormat/>
    <w:uiPriority w:val="1"/>
    <w:pPr>
      <w:widowControl w:val="0"/>
      <w:snapToGrid w:val="0"/>
      <w:spacing w:before="15" w:beforeLines="15" w:line="276" w:lineRule="auto"/>
      <w:jc w:val="both"/>
    </w:pPr>
    <w:rPr>
      <w:rFonts w:ascii="Times New Roman" w:hAnsi="Times New Roman" w:eastAsia="宋体" w:cs="Courier New"/>
      <w:color w:val="000000"/>
      <w:sz w:val="21"/>
      <w:szCs w:val="24"/>
      <w:lang w:val="en-US" w:eastAsia="en-US" w:bidi="en-US"/>
    </w:rPr>
  </w:style>
  <w:style w:type="character" w:customStyle="1" w:styleId="38">
    <w:name w:val="页眉 Char"/>
    <w:basedOn w:val="9"/>
    <w:link w:val="4"/>
    <w:qFormat/>
    <w:uiPriority w:val="99"/>
    <w:rPr>
      <w:rFonts w:ascii="Times New Roman" w:hAnsi="Times New Roman" w:eastAsia="宋体"/>
      <w:color w:val="000000"/>
      <w:sz w:val="18"/>
      <w:szCs w:val="18"/>
    </w:rPr>
  </w:style>
  <w:style w:type="character" w:customStyle="1" w:styleId="39">
    <w:name w:val="页脚 Char"/>
    <w:basedOn w:val="9"/>
    <w:link w:val="3"/>
    <w:qFormat/>
    <w:uiPriority w:val="99"/>
    <w:rPr>
      <w:rFonts w:ascii="Times New Roman" w:hAnsi="Times New Roman" w:eastAsia="宋体"/>
      <w:color w:val="000000"/>
      <w:sz w:val="18"/>
      <w:szCs w:val="18"/>
    </w:rPr>
  </w:style>
  <w:style w:type="paragraph" w:styleId="40">
    <w:name w:val="List Paragraph"/>
    <w:basedOn w:val="1"/>
    <w:qFormat/>
    <w:uiPriority w:val="34"/>
    <w:pPr>
      <w:ind w:firstLine="420" w:firstLineChars="200"/>
    </w:pPr>
  </w:style>
  <w:style w:type="character" w:customStyle="1" w:styleId="41">
    <w:name w:val="批注框文本 Char"/>
    <w:basedOn w:val="9"/>
    <w:link w:val="2"/>
    <w:semiHidden/>
    <w:qFormat/>
    <w:uiPriority w:val="99"/>
    <w:rPr>
      <w:rFonts w:ascii="Times New Roman" w:hAnsi="Times New Roman" w:eastAsia="宋体"/>
      <w:color w:val="000000"/>
      <w:sz w:val="18"/>
      <w:szCs w:val="18"/>
    </w:rPr>
  </w:style>
  <w:style w:type="character" w:customStyle="1" w:styleId="42">
    <w:name w:val="Unresolved Mention"/>
    <w:basedOn w:val="9"/>
    <w:semiHidden/>
    <w:unhideWhenUsed/>
    <w:qFormat/>
    <w:uiPriority w:val="99"/>
    <w:rPr>
      <w:color w:val="605E5C"/>
      <w:shd w:val="clear" w:color="auto" w:fill="E1DFDD"/>
    </w:rPr>
  </w:style>
  <w:style w:type="paragraph" w:customStyle="1" w:styleId="43">
    <w:name w:val="Revision"/>
    <w:hidden/>
    <w:semiHidden/>
    <w:qFormat/>
    <w:uiPriority w:val="99"/>
    <w:pPr>
      <w:widowControl/>
    </w:pPr>
    <w:rPr>
      <w:rFonts w:ascii="Times New Roman" w:hAnsi="Times New Roman" w:eastAsia="宋体" w:cs="Courier New"/>
      <w:color w:val="000000"/>
      <w:sz w:val="24"/>
      <w:szCs w:val="24"/>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6.png"/><Relationship Id="rId17" Type="http://schemas.openxmlformats.org/officeDocument/2006/relationships/image" Target="media/image5.jpe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jpe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6E5D77-08C1-4E29-A6EC-33066B028B09}">
  <ds:schemaRefs/>
</ds:datastoreItem>
</file>

<file path=docProps/app.xml><?xml version="1.0" encoding="utf-8"?>
<Properties xmlns="http://schemas.openxmlformats.org/officeDocument/2006/extended-properties" xmlns:vt="http://schemas.openxmlformats.org/officeDocument/2006/docPropsVTypes">
  <Template>Normal</Template>
  <Pages>69</Pages>
  <Words>34953</Words>
  <Characters>41945</Characters>
  <Lines>397</Lines>
  <Paragraphs>111</Paragraphs>
  <TotalTime>28</TotalTime>
  <ScaleCrop>false</ScaleCrop>
  <LinksUpToDate>false</LinksUpToDate>
  <CharactersWithSpaces>42394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2022-02-11T08:21:00Z</dcterms:created>
  <dc:creator>CDRH CBER</dc:creator>
  <cp:lastModifiedBy>太极箫客</cp:lastModifiedBy>
  <dcterms:modified xsi:type="dcterms:W3CDTF">2025-08-14T06:33:04Z</dcterms:modified>
  <dc:title>Use of International Standard ISO 10993-1, "Biological evaluation of medical devices - Part 1: Evaluation and testing within a risk management process" - Guidance for Industry and Food and Drug Administration Staff</dc:title>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BD3F9C4CAABE47ECAAE9D72C83F9F93C_12</vt:lpwstr>
  </property>
</Properties>
</file>