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22C27">
      <w:pPr>
        <w:pStyle w:val="10"/>
        <w:shd w:val="clear" w:color="auto" w:fill="auto"/>
        <w:snapToGrid w:val="0"/>
        <w:spacing w:after="785" w:line="300" w:lineRule="auto"/>
        <w:rPr>
          <w:rFonts w:ascii="Arial" w:hAnsi="Arial" w:eastAsia="宋体" w:cs="Arial"/>
          <w:lang w:eastAsia="zh-CN"/>
        </w:rPr>
      </w:pPr>
      <w:bookmarkStart w:id="1" w:name="_GoBack"/>
      <w:bookmarkEnd w:id="1"/>
      <w:r>
        <w:rPr>
          <w:rFonts w:ascii="Arial" w:hAnsi="Arial" w:eastAsia="宋体" w:cs="Arial"/>
          <w:lang w:eastAsia="zh-CN"/>
        </w:rPr>
        <w:t>行业和FDA审查员/工作人员指南</w:t>
      </w:r>
    </w:p>
    <w:p w14:paraId="13EE0245">
      <w:pPr>
        <w:pStyle w:val="12"/>
        <w:keepNext/>
        <w:keepLines/>
        <w:shd w:val="clear" w:color="auto" w:fill="auto"/>
        <w:snapToGrid w:val="0"/>
        <w:spacing w:before="0" w:after="0" w:line="300" w:lineRule="auto"/>
        <w:rPr>
          <w:rFonts w:ascii="Arial" w:hAnsi="Arial" w:eastAsia="宋体" w:cs="Arial"/>
          <w:sz w:val="48"/>
          <w:szCs w:val="48"/>
          <w:lang w:eastAsia="zh-CN"/>
        </w:rPr>
      </w:pPr>
      <w:r>
        <w:rPr>
          <w:rFonts w:ascii="Arial" w:hAnsi="Arial" w:eastAsia="宋体" w:cs="Arial"/>
          <w:sz w:val="48"/>
          <w:szCs w:val="48"/>
          <w:lang w:eastAsia="zh-CN"/>
        </w:rPr>
        <w:t>体外诊断的纤维蛋白单体副凝试验</w:t>
      </w:r>
    </w:p>
    <w:p w14:paraId="17467FB7">
      <w:pPr>
        <w:pStyle w:val="12"/>
        <w:keepNext/>
        <w:keepLines/>
        <w:shd w:val="clear" w:color="auto" w:fill="auto"/>
        <w:snapToGrid w:val="0"/>
        <w:spacing w:before="0" w:after="0" w:line="300" w:lineRule="auto"/>
        <w:rPr>
          <w:rFonts w:ascii="Arial" w:hAnsi="Arial" w:eastAsia="宋体" w:cs="Arial"/>
          <w:sz w:val="48"/>
          <w:szCs w:val="48"/>
          <w:lang w:eastAsia="zh-CN"/>
        </w:rPr>
      </w:pPr>
    </w:p>
    <w:p w14:paraId="7819271A">
      <w:pPr>
        <w:pStyle w:val="12"/>
        <w:keepNext/>
        <w:keepLines/>
        <w:shd w:val="clear" w:color="auto" w:fill="auto"/>
        <w:snapToGrid w:val="0"/>
        <w:spacing w:before="0" w:after="0" w:line="300" w:lineRule="auto"/>
        <w:rPr>
          <w:rFonts w:ascii="Arial" w:hAnsi="Arial" w:eastAsia="宋体" w:cs="Arial"/>
          <w:sz w:val="48"/>
          <w:szCs w:val="48"/>
          <w:lang w:eastAsia="zh-CN"/>
        </w:rPr>
      </w:pPr>
    </w:p>
    <w:p w14:paraId="288D12C2">
      <w:pPr>
        <w:pStyle w:val="12"/>
        <w:keepNext/>
        <w:keepLines/>
        <w:shd w:val="clear" w:color="auto" w:fill="auto"/>
        <w:snapToGrid w:val="0"/>
        <w:spacing w:before="0" w:after="0" w:line="300" w:lineRule="auto"/>
        <w:rPr>
          <w:rFonts w:ascii="Arial" w:hAnsi="Arial" w:eastAsia="宋体" w:cs="Arial"/>
          <w:sz w:val="30"/>
          <w:szCs w:val="30"/>
          <w:lang w:eastAsia="zh-CN"/>
        </w:rPr>
      </w:pPr>
      <w:r>
        <w:rPr>
          <w:rFonts w:ascii="Arial" w:hAnsi="Arial" w:eastAsia="宋体" w:cs="Arial"/>
          <w:sz w:val="30"/>
          <w:szCs w:val="30"/>
          <w:lang w:eastAsia="zh-CN"/>
        </w:rPr>
        <w:t>发布日期：1999年4月27日</w:t>
      </w:r>
    </w:p>
    <w:p w14:paraId="5D9D70C2">
      <w:pPr>
        <w:pStyle w:val="14"/>
        <w:shd w:val="clear" w:color="auto" w:fill="auto"/>
        <w:snapToGrid w:val="0"/>
        <w:spacing w:before="0" w:after="0" w:line="300" w:lineRule="auto"/>
        <w:jc w:val="left"/>
        <w:rPr>
          <w:rFonts w:ascii="Arial" w:hAnsi="Arial" w:eastAsia="宋体" w:cs="Arial"/>
          <w:lang w:eastAsia="zh-CN"/>
        </w:rPr>
      </w:pPr>
    </w:p>
    <w:p w14:paraId="39F4CBAE">
      <w:pPr>
        <w:pStyle w:val="14"/>
        <w:shd w:val="clear" w:color="auto" w:fill="auto"/>
        <w:snapToGrid w:val="0"/>
        <w:spacing w:before="0" w:after="0" w:line="300" w:lineRule="auto"/>
        <w:jc w:val="left"/>
        <w:rPr>
          <w:rFonts w:ascii="Arial" w:hAnsi="Arial" w:eastAsia="宋体" w:cs="Arial"/>
          <w:lang w:eastAsia="zh-CN"/>
        </w:rPr>
      </w:pPr>
    </w:p>
    <w:p w14:paraId="0E1D84E9">
      <w:pPr>
        <w:pStyle w:val="16"/>
        <w:shd w:val="clear" w:color="auto" w:fill="auto"/>
        <w:snapToGrid w:val="0"/>
        <w:spacing w:before="0" w:line="300" w:lineRule="auto"/>
        <w:rPr>
          <w:rFonts w:ascii="Arial" w:hAnsi="Arial" w:eastAsia="宋体" w:cs="Arial"/>
          <w:lang w:eastAsia="zh-CN"/>
        </w:rPr>
      </w:pPr>
    </w:p>
    <w:p w14:paraId="7BD4DB01">
      <w:pPr>
        <w:pStyle w:val="16"/>
        <w:shd w:val="clear" w:color="auto" w:fill="auto"/>
        <w:snapToGrid w:val="0"/>
        <w:spacing w:before="0" w:line="300" w:lineRule="auto"/>
        <w:rPr>
          <w:rFonts w:ascii="Arial" w:hAnsi="Arial" w:eastAsia="宋体" w:cs="Arial"/>
          <w:lang w:eastAsia="zh-CN"/>
        </w:rPr>
      </w:pPr>
    </w:p>
    <w:p w14:paraId="17B2EED9">
      <w:pPr>
        <w:pStyle w:val="16"/>
        <w:shd w:val="clear" w:color="auto" w:fill="auto"/>
        <w:snapToGrid w:val="0"/>
        <w:spacing w:before="0" w:line="300" w:lineRule="auto"/>
        <w:rPr>
          <w:rFonts w:ascii="Arial" w:hAnsi="Arial" w:eastAsia="宋体" w:cs="Arial"/>
          <w:lang w:eastAsia="zh-CN"/>
        </w:rPr>
      </w:pPr>
    </w:p>
    <w:p w14:paraId="2CFC9F13">
      <w:pPr>
        <w:pStyle w:val="16"/>
        <w:shd w:val="clear" w:color="auto" w:fill="auto"/>
        <w:snapToGrid w:val="0"/>
        <w:spacing w:before="0" w:line="300" w:lineRule="auto"/>
        <w:rPr>
          <w:rFonts w:ascii="Arial" w:hAnsi="Arial" w:eastAsia="宋体" w:cs="Arial"/>
          <w:lang w:eastAsia="zh-CN"/>
        </w:rPr>
      </w:pPr>
    </w:p>
    <w:p w14:paraId="7090C440">
      <w:pPr>
        <w:pStyle w:val="16"/>
        <w:shd w:val="clear" w:color="auto" w:fill="auto"/>
        <w:snapToGrid w:val="0"/>
        <w:spacing w:before="0" w:line="300" w:lineRule="auto"/>
        <w:rPr>
          <w:rFonts w:ascii="Arial" w:hAnsi="Arial" w:eastAsia="宋体" w:cs="Arial"/>
          <w:lang w:eastAsia="zh-CN"/>
        </w:rPr>
      </w:pPr>
    </w:p>
    <w:p w14:paraId="2899D095">
      <w:pPr>
        <w:pStyle w:val="16"/>
        <w:shd w:val="clear" w:color="auto" w:fill="auto"/>
        <w:snapToGrid w:val="0"/>
        <w:spacing w:before="0" w:after="0" w:line="300" w:lineRule="auto"/>
        <w:rPr>
          <w:rFonts w:ascii="Arial" w:hAnsi="Arial" w:eastAsia="宋体" w:cs="Arial"/>
          <w:spacing w:val="-1"/>
          <w:lang w:eastAsia="zh-CN"/>
        </w:rPr>
      </w:pPr>
      <w:r>
        <w:rPr>
          <w:rFonts w:ascii="Arial" w:hAnsi="Arial" w:eastAsia="宋体" w:cs="Arial"/>
          <w:lang w:eastAsia="zh-CN" w:bidi="ar-SA"/>
        </w:rPr>
        <w:drawing>
          <wp:anchor distT="0" distB="315595" distL="63500" distR="1271270" simplePos="0" relativeHeight="251659264" behindDoc="1" locked="0" layoutInCell="1" allowOverlap="1">
            <wp:simplePos x="0" y="0"/>
            <wp:positionH relativeFrom="margin">
              <wp:posOffset>-12065</wp:posOffset>
            </wp:positionH>
            <wp:positionV relativeFrom="paragraph">
              <wp:posOffset>-210185</wp:posOffset>
            </wp:positionV>
            <wp:extent cx="883920" cy="987425"/>
            <wp:effectExtent l="0" t="0" r="0" b="3175"/>
            <wp:wrapSquare wrapText="right"/>
            <wp:docPr id="2"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883920" cy="987425"/>
                    </a:xfrm>
                    <a:prstGeom prst="rect">
                      <a:avLst/>
                    </a:prstGeom>
                    <a:noFill/>
                  </pic:spPr>
                </pic:pic>
              </a:graphicData>
            </a:graphic>
          </wp:anchor>
        </w:drawing>
      </w:r>
      <w:r>
        <w:rPr>
          <w:rFonts w:ascii="Arial" w:hAnsi="Arial" w:eastAsia="宋体" w:cs="Arial"/>
          <w:spacing w:val="-1"/>
          <w:lang w:eastAsia="zh-CN"/>
        </w:rPr>
        <w:t>美国卫生与公共服务部</w:t>
      </w:r>
    </w:p>
    <w:p w14:paraId="1CCCEA56">
      <w:pPr>
        <w:pStyle w:val="16"/>
        <w:shd w:val="clear" w:color="auto" w:fill="auto"/>
        <w:snapToGrid w:val="0"/>
        <w:spacing w:before="0" w:after="0" w:line="300" w:lineRule="auto"/>
        <w:rPr>
          <w:rFonts w:ascii="Arial" w:hAnsi="Arial" w:eastAsia="宋体" w:cs="Arial"/>
          <w:spacing w:val="-1"/>
          <w:lang w:eastAsia="zh-CN"/>
        </w:rPr>
      </w:pPr>
      <w:r>
        <w:rPr>
          <w:rFonts w:ascii="Arial" w:hAnsi="Arial" w:eastAsia="宋体" w:cs="Arial"/>
          <w:spacing w:val="-1"/>
          <w:lang w:eastAsia="zh-CN"/>
        </w:rPr>
        <w:t>食品药品监督管理局</w:t>
      </w:r>
    </w:p>
    <w:p w14:paraId="1423E948">
      <w:pPr>
        <w:snapToGrid w:val="0"/>
        <w:spacing w:before="7" w:line="300" w:lineRule="auto"/>
        <w:jc w:val="right"/>
        <w:rPr>
          <w:rFonts w:ascii="Arial" w:hAnsi="Arial" w:eastAsia="宋体" w:cs="Arial"/>
          <w:lang w:eastAsia="zh-CN"/>
        </w:rPr>
      </w:pPr>
      <w:r>
        <w:rPr>
          <w:rFonts w:ascii="Arial" w:hAnsi="Arial" w:eastAsia="宋体" w:cs="Arial"/>
          <w:lang w:eastAsia="zh-CN"/>
        </w:rPr>
        <w:t xml:space="preserve"> </w:t>
      </w:r>
      <w:r>
        <w:rPr>
          <w:rFonts w:ascii="Arial" w:hAnsi="Arial" w:eastAsia="宋体" w:cs="Arial"/>
          <w:b/>
          <w:spacing w:val="-1"/>
          <w:lang w:eastAsia="zh-CN"/>
        </w:rPr>
        <w:t>器械与放射健康中心</w:t>
      </w:r>
    </w:p>
    <w:p w14:paraId="58B30E5E">
      <w:pPr>
        <w:snapToGrid w:val="0"/>
        <w:spacing w:line="300" w:lineRule="auto"/>
        <w:jc w:val="right"/>
        <w:rPr>
          <w:rFonts w:ascii="Arial" w:hAnsi="Arial" w:eastAsia="宋体" w:cs="Arial"/>
          <w:b/>
          <w:spacing w:val="-1"/>
          <w:lang w:eastAsia="zh-CN"/>
        </w:rPr>
      </w:pPr>
      <w:r>
        <w:rPr>
          <w:rFonts w:ascii="Arial" w:hAnsi="Arial" w:eastAsia="宋体" w:cs="Arial"/>
          <w:b/>
          <w:spacing w:val="-1"/>
          <w:lang w:eastAsia="zh-CN"/>
        </w:rPr>
        <w:t>化学、毒理学与血液学科</w:t>
      </w:r>
    </w:p>
    <w:p w14:paraId="1FDCDFBC">
      <w:pPr>
        <w:snapToGrid w:val="0"/>
        <w:spacing w:line="300" w:lineRule="auto"/>
        <w:jc w:val="right"/>
        <w:rPr>
          <w:rFonts w:ascii="Arial" w:hAnsi="Arial" w:eastAsia="宋体" w:cs="Arial"/>
          <w:lang w:eastAsia="zh-CN"/>
        </w:rPr>
      </w:pPr>
      <w:r>
        <w:rPr>
          <w:rFonts w:ascii="Arial" w:hAnsi="Arial" w:eastAsia="宋体" w:cs="Arial"/>
          <w:b/>
          <w:spacing w:val="-1"/>
          <w:lang w:eastAsia="zh-CN"/>
        </w:rPr>
        <w:t>器械评估办公室</w:t>
      </w:r>
    </w:p>
    <w:p w14:paraId="11CA4529">
      <w:pPr>
        <w:rPr>
          <w:rFonts w:ascii="Arial" w:hAnsi="Arial" w:eastAsia="宋体" w:cs="Arial"/>
          <w:b/>
          <w:bCs/>
          <w:sz w:val="48"/>
          <w:szCs w:val="48"/>
          <w:lang w:eastAsia="zh-CN"/>
        </w:rPr>
      </w:pPr>
      <w:r>
        <w:rPr>
          <w:rFonts w:ascii="Arial" w:hAnsi="Arial" w:eastAsia="宋体" w:cs="Arial"/>
          <w:lang w:eastAsia="zh-CN"/>
        </w:rPr>
        <w:br w:type="page"/>
      </w:r>
    </w:p>
    <w:p w14:paraId="1C825402">
      <w:pPr>
        <w:pStyle w:val="18"/>
        <w:keepNext/>
        <w:keepLines/>
        <w:shd w:val="clear" w:color="auto" w:fill="auto"/>
        <w:snapToGrid w:val="0"/>
        <w:spacing w:after="586" w:line="300" w:lineRule="auto"/>
        <w:jc w:val="center"/>
        <w:rPr>
          <w:rFonts w:ascii="Arial" w:hAnsi="Arial" w:eastAsia="宋体" w:cs="Arial"/>
          <w:lang w:eastAsia="zh-CN"/>
        </w:rPr>
      </w:pPr>
      <w:r>
        <w:rPr>
          <w:rFonts w:ascii="Arial" w:hAnsi="Arial" w:eastAsia="宋体" w:cs="Arial"/>
          <w:lang w:eastAsia="zh-CN"/>
        </w:rPr>
        <w:t>前言</w:t>
      </w:r>
    </w:p>
    <w:p w14:paraId="33C29B09">
      <w:pPr>
        <w:snapToGrid w:val="0"/>
        <w:spacing w:line="300" w:lineRule="auto"/>
        <w:rPr>
          <w:rFonts w:ascii="Arial" w:hAnsi="Arial" w:eastAsia="宋体" w:cs="Arial"/>
          <w:b/>
          <w:sz w:val="32"/>
          <w:szCs w:val="32"/>
          <w:lang w:eastAsia="zh-CN"/>
        </w:rPr>
      </w:pPr>
      <w:r>
        <w:rPr>
          <w:rFonts w:ascii="Arial" w:hAnsi="Arial" w:eastAsia="宋体" w:cs="Arial"/>
          <w:b/>
          <w:sz w:val="32"/>
          <w:szCs w:val="32"/>
          <w:lang w:eastAsia="zh-CN"/>
        </w:rPr>
        <w:t>公众评论</w:t>
      </w:r>
    </w:p>
    <w:p w14:paraId="082DEA54">
      <w:pPr>
        <w:snapToGrid w:val="0"/>
        <w:spacing w:line="300" w:lineRule="auto"/>
        <w:rPr>
          <w:rFonts w:ascii="Arial" w:hAnsi="Arial" w:eastAsia="宋体" w:cs="Arial"/>
          <w:b/>
          <w:sz w:val="32"/>
          <w:szCs w:val="32"/>
          <w:lang w:eastAsia="zh-CN"/>
        </w:rPr>
      </w:pPr>
    </w:p>
    <w:p w14:paraId="5AC98F3B">
      <w:pPr>
        <w:snapToGrid w:val="0"/>
        <w:spacing w:line="300" w:lineRule="auto"/>
        <w:rPr>
          <w:rFonts w:ascii="Arial" w:hAnsi="Arial" w:eastAsia="宋体" w:cs="Arial"/>
          <w:spacing w:val="-3"/>
          <w:lang w:eastAsia="zh-CN"/>
        </w:rPr>
      </w:pPr>
      <w:r>
        <w:rPr>
          <w:rFonts w:ascii="Arial" w:hAnsi="Arial" w:eastAsia="宋体" w:cs="Arial"/>
          <w:spacing w:val="-3"/>
          <w:lang w:eastAsia="zh-CN" w:bidi="zh-CN"/>
        </w:rPr>
        <w:t>可随时向器械与放射健康中心，临床实验室器械部门提交评论和建议，</w:t>
      </w:r>
      <w:r>
        <w:rPr>
          <w:rFonts w:ascii="Arial" w:hAnsi="Arial" w:eastAsia="宋体" w:cs="Arial"/>
          <w:spacing w:val="-3"/>
          <w:lang w:eastAsia="zh-CN"/>
        </w:rPr>
        <w:t>HFZ-440，9200 Corporate Blvd， Rockville， 邮编20850，供部门审议</w:t>
      </w:r>
      <w:r>
        <w:rPr>
          <w:rFonts w:ascii="Arial" w:hAnsi="Arial" w:eastAsia="宋体" w:cs="Arial"/>
          <w:spacing w:val="-3"/>
          <w:lang w:eastAsia="zh-CN" w:bidi="zh-CN"/>
        </w:rPr>
        <w:t>。可能直到文件下次修订或更新时，评论才会被机构受理。有关本指南的使用或解释的问题，请联系 Joseph L. Hackett 博士，电话：（301）594-3084，电子邮件：</w:t>
      </w:r>
      <w:r>
        <w:rPr>
          <w:rStyle w:val="8"/>
          <w:rFonts w:ascii="Arial" w:hAnsi="Arial" w:eastAsia="宋体" w:cs="Arial"/>
          <w:lang w:eastAsia="zh-CN"/>
        </w:rPr>
        <w:t>JLH@cdrh.fda.gov.</w:t>
      </w:r>
    </w:p>
    <w:p w14:paraId="2D8E7942">
      <w:pPr>
        <w:snapToGrid w:val="0"/>
        <w:spacing w:line="300" w:lineRule="auto"/>
        <w:rPr>
          <w:rFonts w:ascii="Arial" w:hAnsi="Arial" w:eastAsia="宋体" w:cs="Arial"/>
          <w:b/>
          <w:sz w:val="32"/>
          <w:szCs w:val="32"/>
          <w:lang w:eastAsia="zh-CN"/>
        </w:rPr>
      </w:pPr>
    </w:p>
    <w:p w14:paraId="0579CB1C">
      <w:pPr>
        <w:snapToGrid w:val="0"/>
        <w:spacing w:line="300" w:lineRule="auto"/>
        <w:rPr>
          <w:rFonts w:ascii="Arial" w:hAnsi="Arial" w:eastAsia="宋体" w:cs="Arial"/>
          <w:b/>
          <w:sz w:val="32"/>
          <w:szCs w:val="32"/>
        </w:rPr>
      </w:pPr>
      <w:r>
        <w:rPr>
          <w:rFonts w:ascii="Arial" w:hAnsi="Arial" w:eastAsia="宋体" w:cs="Arial"/>
          <w:b/>
          <w:sz w:val="32"/>
          <w:szCs w:val="32"/>
        </w:rPr>
        <w:t>其他副本</w:t>
      </w:r>
    </w:p>
    <w:p w14:paraId="7D9AC54E">
      <w:pPr>
        <w:snapToGrid w:val="0"/>
        <w:spacing w:line="300" w:lineRule="auto"/>
        <w:rPr>
          <w:rFonts w:ascii="Arial" w:hAnsi="Arial" w:eastAsia="宋体" w:cs="Arial"/>
          <w:b/>
          <w:sz w:val="32"/>
          <w:szCs w:val="32"/>
        </w:rPr>
      </w:pPr>
    </w:p>
    <w:p w14:paraId="223EB6BC">
      <w:pPr>
        <w:snapToGrid w:val="0"/>
        <w:spacing w:line="300" w:lineRule="auto"/>
        <w:rPr>
          <w:rFonts w:ascii="Arial" w:hAnsi="Arial" w:eastAsia="宋体" w:cs="Arial"/>
          <w:lang w:eastAsia="zh-CN"/>
        </w:rPr>
      </w:pPr>
      <w:r>
        <w:rPr>
          <w:rFonts w:ascii="Arial" w:hAnsi="Arial" w:eastAsia="宋体" w:cs="Arial"/>
          <w:lang w:eastAsia="zh-CN"/>
        </w:rPr>
        <w:t>互联网CDRH页面：</w:t>
      </w:r>
      <w:r>
        <w:fldChar w:fldCharType="begin"/>
      </w:r>
      <w:r>
        <w:rPr>
          <w:rFonts w:ascii="Arial" w:hAnsi="Arial" w:eastAsia="宋体" w:cs="Arial"/>
          <w:lang w:eastAsia="zh-CN"/>
        </w:rPr>
        <w:instrText xml:space="preserve"> HYPERLINK "http://www.fda.gov/cdrh/ode/2242.pdf" </w:instrText>
      </w:r>
      <w:r>
        <w:fldChar w:fldCharType="separate"/>
      </w:r>
      <w:r>
        <w:rPr>
          <w:rStyle w:val="8"/>
          <w:rFonts w:ascii="Arial" w:hAnsi="Arial" w:eastAsia="宋体" w:cs="Arial"/>
          <w:lang w:eastAsia="zh-CN"/>
        </w:rPr>
        <w:t>http：//www.fda.gov/cdrh/ode/2242.pdf</w:t>
      </w:r>
      <w:r>
        <w:rPr>
          <w:rStyle w:val="8"/>
          <w:rFonts w:ascii="Arial" w:hAnsi="Arial" w:eastAsia="宋体" w:cs="Arial"/>
        </w:rPr>
        <w:fldChar w:fldCharType="end"/>
      </w:r>
      <w:r>
        <w:rPr>
          <w:rFonts w:ascii="Arial" w:hAnsi="Arial" w:eastAsia="宋体" w:cs="Arial"/>
          <w:lang w:eastAsia="zh-CN"/>
        </w:rPr>
        <w:t>或</w:t>
      </w:r>
      <w:r>
        <w:rPr>
          <w:rFonts w:hint="eastAsia" w:ascii="Arial" w:hAnsi="Arial" w:eastAsia="宋体" w:cs="Arial"/>
          <w:lang w:eastAsia="zh-CN"/>
        </w:rPr>
        <w:t>资源索取自动回传系统，</w:t>
      </w:r>
      <w:r>
        <w:rPr>
          <w:rFonts w:ascii="Arial" w:hAnsi="Arial" w:eastAsia="宋体" w:cs="Arial"/>
          <w:lang w:eastAsia="zh-CN"/>
        </w:rPr>
        <w:t>电话：1-800-899-0381或301-827-0111，在提示输入文档索取号时输入指定数字为2242。</w:t>
      </w:r>
    </w:p>
    <w:p w14:paraId="3E793606">
      <w:pPr>
        <w:snapToGrid w:val="0"/>
        <w:spacing w:line="300" w:lineRule="auto"/>
        <w:rPr>
          <w:rFonts w:ascii="Arial" w:hAnsi="Arial" w:eastAsia="宋体" w:cs="Arial"/>
          <w:lang w:eastAsia="zh-CN"/>
        </w:rPr>
      </w:pPr>
    </w:p>
    <w:p w14:paraId="29F56FC6">
      <w:pPr>
        <w:pStyle w:val="22"/>
        <w:shd w:val="clear" w:color="auto" w:fill="auto"/>
        <w:snapToGrid w:val="0"/>
        <w:spacing w:before="0" w:after="0" w:line="300" w:lineRule="auto"/>
        <w:ind w:firstLine="0"/>
        <w:rPr>
          <w:rFonts w:ascii="Arial" w:hAnsi="Arial" w:eastAsia="宋体" w:cs="Arial"/>
          <w:lang w:eastAsia="zh-CN"/>
        </w:rPr>
      </w:pPr>
    </w:p>
    <w:p w14:paraId="57AE61FF">
      <w:pPr>
        <w:pStyle w:val="22"/>
        <w:shd w:val="clear" w:color="auto" w:fill="auto"/>
        <w:snapToGrid w:val="0"/>
        <w:spacing w:before="0" w:after="0" w:line="300" w:lineRule="auto"/>
        <w:ind w:firstLine="0"/>
        <w:rPr>
          <w:rFonts w:ascii="Arial" w:hAnsi="Arial" w:eastAsia="宋体" w:cs="Arial"/>
          <w:lang w:eastAsia="zh-CN"/>
        </w:rPr>
        <w:sectPr>
          <w:pgSz w:w="12240" w:h="15840"/>
          <w:pgMar w:top="1134" w:right="1134" w:bottom="1134" w:left="1134" w:header="0" w:footer="3" w:gutter="0"/>
          <w:cols w:space="720" w:num="1"/>
          <w:docGrid w:linePitch="360" w:charSpace="0"/>
        </w:sectPr>
      </w:pPr>
    </w:p>
    <w:p w14:paraId="4FA842B6">
      <w:pPr>
        <w:pStyle w:val="25"/>
        <w:keepNext/>
        <w:keepLines/>
        <w:shd w:val="clear" w:color="auto" w:fill="auto"/>
        <w:snapToGrid w:val="0"/>
        <w:spacing w:after="0" w:line="300" w:lineRule="auto"/>
        <w:ind w:left="1359" w:hanging="1359" w:hangingChars="564"/>
        <w:jc w:val="center"/>
        <w:rPr>
          <w:rFonts w:ascii="Arial" w:hAnsi="Arial" w:eastAsia="宋体" w:cs="Arial"/>
          <w:lang w:eastAsia="zh-CN"/>
        </w:rPr>
      </w:pPr>
      <w:r>
        <w:rPr>
          <w:rFonts w:ascii="Arial" w:hAnsi="Arial" w:eastAsia="宋体" w:cs="Arial"/>
          <w:lang w:eastAsia="zh-CN"/>
        </w:rPr>
        <w:t>体外诊断纤维蛋白单体副凝试验</w:t>
      </w:r>
    </w:p>
    <w:p w14:paraId="0F9B2389">
      <w:pPr>
        <w:pStyle w:val="22"/>
        <w:shd w:val="clear" w:color="auto" w:fill="auto"/>
        <w:snapToGrid w:val="0"/>
        <w:spacing w:before="0" w:after="244" w:line="300" w:lineRule="auto"/>
        <w:ind w:left="723" w:hanging="723" w:hangingChars="300"/>
        <w:rPr>
          <w:rStyle w:val="26"/>
          <w:rFonts w:ascii="Arial" w:hAnsi="Arial" w:eastAsia="宋体" w:cs="Arial"/>
          <w:lang w:eastAsia="zh-CN"/>
        </w:rPr>
      </w:pPr>
    </w:p>
    <w:p w14:paraId="27214A07">
      <w:pPr>
        <w:adjustRightInd w:val="0"/>
        <w:snapToGrid w:val="0"/>
        <w:spacing w:line="300" w:lineRule="auto"/>
        <w:rPr>
          <w:rFonts w:ascii="Arial" w:hAnsi="Arial" w:eastAsia="宋体" w:cs="Arial"/>
          <w:lang w:eastAsia="zh-CN"/>
        </w:rPr>
      </w:pPr>
      <w:r>
        <w:rPr>
          <w:rFonts w:ascii="Arial" w:hAnsi="Arial" w:eastAsia="宋体" w:cs="Arial"/>
          <w:b/>
          <w:lang w:eastAsia="zh-CN"/>
        </w:rPr>
        <w:t>注：</w:t>
      </w:r>
      <w:r>
        <w:rPr>
          <w:rFonts w:ascii="Arial" w:hAnsi="Arial" w:eastAsia="宋体" w:cs="Arial"/>
          <w:lang w:eastAsia="zh-CN"/>
        </w:rPr>
        <w:t>如最终规章中所述，纤维蛋白单体副凝试验从体外诊断器械的III类重新分类为II类，本指导性文件是对该器械的特殊控制。</w:t>
      </w:r>
    </w:p>
    <w:p w14:paraId="3B315327">
      <w:pPr>
        <w:adjustRightInd w:val="0"/>
        <w:snapToGrid w:val="0"/>
        <w:spacing w:line="300" w:lineRule="auto"/>
        <w:rPr>
          <w:rFonts w:ascii="Arial" w:hAnsi="Arial" w:eastAsia="宋体" w:cs="Arial"/>
          <w:lang w:eastAsia="zh-CN"/>
        </w:rPr>
      </w:pPr>
    </w:p>
    <w:p w14:paraId="2266C244">
      <w:pPr>
        <w:adjustRightInd w:val="0"/>
        <w:snapToGrid w:val="0"/>
        <w:spacing w:line="300" w:lineRule="auto"/>
        <w:rPr>
          <w:rFonts w:ascii="Arial" w:hAnsi="Arial" w:eastAsia="宋体" w:cs="Arial"/>
          <w:lang w:eastAsia="zh-CN"/>
        </w:rPr>
      </w:pPr>
      <w:r>
        <w:rPr>
          <w:rFonts w:ascii="Arial" w:hAnsi="Arial" w:eastAsia="宋体" w:cs="Arial"/>
          <w:lang w:eastAsia="zh-CN"/>
        </w:rPr>
        <w:t>本指导性文件草案描述一种方法，通过该方法可以使纤维蛋白单体副凝试验符合对II类体外诊断器械的特殊控制的要求。指定该指导性文件作为特殊控制，是指尝试确定制造商（其器械与比较器械实质等同）应证明拟定器械符合本指南的具体建议或某些提供安全性和有效性等同保证的替代控制。</w:t>
      </w:r>
    </w:p>
    <w:p w14:paraId="319D69C8">
      <w:pPr>
        <w:adjustRightInd w:val="0"/>
        <w:snapToGrid w:val="0"/>
        <w:spacing w:line="300" w:lineRule="auto"/>
        <w:rPr>
          <w:rFonts w:ascii="Arial" w:hAnsi="Arial" w:eastAsia="宋体" w:cs="Arial"/>
          <w:lang w:eastAsia="zh-CN"/>
        </w:rPr>
      </w:pPr>
    </w:p>
    <w:p w14:paraId="7DD93238">
      <w:pPr>
        <w:adjustRightInd w:val="0"/>
        <w:snapToGrid w:val="0"/>
        <w:spacing w:line="300" w:lineRule="auto"/>
        <w:rPr>
          <w:rFonts w:ascii="Arial" w:hAnsi="Arial" w:eastAsia="宋体" w:cs="Arial"/>
          <w:lang w:eastAsia="zh-CN"/>
        </w:rPr>
      </w:pPr>
      <w:r>
        <w:rPr>
          <w:rFonts w:ascii="Arial" w:hAnsi="Arial" w:eastAsia="宋体" w:cs="Arial"/>
          <w:lang w:eastAsia="zh-CN"/>
        </w:rPr>
        <w:t>本指导性文件代表该监管机构目前对纤维蛋白单体副凝试验的见解。</w:t>
      </w:r>
      <w:r>
        <w:rPr>
          <w:rFonts w:hint="eastAsia" w:ascii="Arial" w:hAnsi="Arial" w:eastAsia="宋体" w:cs="Arial"/>
          <w:lang w:eastAsia="zh-CN"/>
        </w:rPr>
        <w:t>其不会为任何人创造或赋予任何权利，也不对</w:t>
      </w:r>
      <w:r>
        <w:rPr>
          <w:rFonts w:ascii="Arial" w:hAnsi="Arial" w:eastAsia="宋体" w:cs="Arial"/>
          <w:lang w:eastAsia="zh-CN"/>
        </w:rPr>
        <w:t>FDA</w:t>
      </w:r>
      <w:r>
        <w:rPr>
          <w:rFonts w:hint="eastAsia" w:ascii="Arial" w:hAnsi="Arial" w:eastAsia="宋体" w:cs="Arial"/>
          <w:lang w:eastAsia="zh-CN"/>
        </w:rPr>
        <w:t>或公众具有约束力。如果替代方法满足适用的法律、法规或其两者的要求，可以使用替代方法。</w:t>
      </w:r>
    </w:p>
    <w:p w14:paraId="02EF477B">
      <w:pPr>
        <w:adjustRightInd w:val="0"/>
        <w:snapToGrid w:val="0"/>
        <w:spacing w:line="300" w:lineRule="auto"/>
        <w:rPr>
          <w:rFonts w:ascii="Arial" w:hAnsi="Arial" w:eastAsia="宋体" w:cs="Arial"/>
          <w:lang w:eastAsia="zh-CN"/>
        </w:rPr>
      </w:pPr>
    </w:p>
    <w:p w14:paraId="58AB259B">
      <w:pPr>
        <w:pStyle w:val="33"/>
        <w:numPr>
          <w:ilvl w:val="0"/>
          <w:numId w:val="1"/>
        </w:numPr>
        <w:adjustRightInd w:val="0"/>
        <w:snapToGrid w:val="0"/>
        <w:spacing w:line="300" w:lineRule="auto"/>
        <w:ind w:firstLineChars="0"/>
        <w:rPr>
          <w:rFonts w:ascii="Arial" w:hAnsi="Arial" w:eastAsia="宋体" w:cs="Arial"/>
          <w:b/>
          <w:lang w:eastAsia="zh-CN"/>
        </w:rPr>
      </w:pPr>
      <w:r>
        <w:rPr>
          <w:rFonts w:ascii="Arial" w:hAnsi="Arial" w:eastAsia="宋体" w:cs="Arial"/>
          <w:b/>
          <w:lang w:eastAsia="zh-CN"/>
        </w:rPr>
        <w:t>器械描述</w:t>
      </w:r>
    </w:p>
    <w:p w14:paraId="2CF0EF9C">
      <w:pPr>
        <w:adjustRightInd w:val="0"/>
        <w:snapToGrid w:val="0"/>
        <w:spacing w:line="300" w:lineRule="auto"/>
        <w:ind w:firstLine="713" w:firstLineChars="296"/>
        <w:rPr>
          <w:rFonts w:ascii="Arial" w:hAnsi="Arial" w:eastAsia="宋体" w:cs="Arial"/>
          <w:lang w:eastAsia="zh-CN"/>
        </w:rPr>
      </w:pPr>
      <w:r>
        <w:rPr>
          <w:rFonts w:ascii="Arial" w:hAnsi="Arial" w:eastAsia="宋体" w:cs="Arial"/>
          <w:b/>
          <w:lang w:eastAsia="zh-CN"/>
        </w:rPr>
        <w:t>通用名：</w:t>
      </w:r>
      <w:r>
        <w:rPr>
          <w:rFonts w:ascii="Arial" w:hAnsi="Arial" w:eastAsia="宋体" w:cs="Arial"/>
          <w:lang w:eastAsia="zh-CN"/>
        </w:rPr>
        <w:t xml:space="preserve">纤维蛋白单体副凝试验 </w:t>
      </w:r>
    </w:p>
    <w:p w14:paraId="3116FD9F">
      <w:pPr>
        <w:adjustRightInd w:val="0"/>
        <w:snapToGrid w:val="0"/>
        <w:spacing w:line="300" w:lineRule="auto"/>
        <w:ind w:firstLine="713" w:firstLineChars="296"/>
        <w:rPr>
          <w:rFonts w:ascii="Arial" w:hAnsi="Arial" w:eastAsia="宋体" w:cs="Arial"/>
          <w:lang w:eastAsia="zh-CN"/>
        </w:rPr>
      </w:pPr>
      <w:r>
        <w:rPr>
          <w:rFonts w:ascii="Arial" w:hAnsi="Arial" w:eastAsia="宋体" w:cs="Arial"/>
          <w:b/>
          <w:lang w:eastAsia="zh-CN"/>
        </w:rPr>
        <w:t>类别：</w:t>
      </w:r>
      <w:r>
        <w:rPr>
          <w:rFonts w:ascii="Arial" w:hAnsi="Arial" w:eastAsia="宋体" w:cs="Arial"/>
          <w:lang w:eastAsia="zh-CN"/>
        </w:rPr>
        <w:t>II</w:t>
      </w:r>
    </w:p>
    <w:p w14:paraId="7F74F42E">
      <w:pPr>
        <w:adjustRightInd w:val="0"/>
        <w:snapToGrid w:val="0"/>
        <w:spacing w:line="300" w:lineRule="auto"/>
        <w:ind w:firstLine="713" w:firstLineChars="296"/>
        <w:rPr>
          <w:rFonts w:ascii="Arial" w:hAnsi="Arial" w:eastAsia="宋体" w:cs="Arial"/>
          <w:lang w:eastAsia="zh-CN"/>
        </w:rPr>
      </w:pPr>
      <w:r>
        <w:rPr>
          <w:rFonts w:ascii="Arial" w:hAnsi="Arial" w:eastAsia="宋体" w:cs="Arial"/>
          <w:b/>
          <w:lang w:eastAsia="zh-CN"/>
        </w:rPr>
        <w:t>分类面板</w:t>
      </w:r>
      <w:r>
        <w:rPr>
          <w:rFonts w:ascii="Arial" w:hAnsi="Arial" w:eastAsia="宋体" w:cs="Arial"/>
          <w:lang w:eastAsia="zh-CN"/>
        </w:rPr>
        <w:t>：血液学（81）</w:t>
      </w:r>
    </w:p>
    <w:p w14:paraId="6923A4BB">
      <w:pPr>
        <w:adjustRightInd w:val="0"/>
        <w:snapToGrid w:val="0"/>
        <w:spacing w:line="300" w:lineRule="auto"/>
        <w:ind w:firstLine="713" w:firstLineChars="296"/>
        <w:rPr>
          <w:rFonts w:ascii="Arial" w:hAnsi="Arial" w:eastAsia="宋体" w:cs="Arial"/>
          <w:lang w:eastAsia="zh-CN"/>
        </w:rPr>
      </w:pPr>
      <w:r>
        <w:rPr>
          <w:rFonts w:ascii="Arial" w:hAnsi="Arial" w:eastAsia="宋体" w:cs="Arial"/>
          <w:b/>
          <w:lang w:eastAsia="zh-CN"/>
        </w:rPr>
        <w:t>产品代码：</w:t>
      </w:r>
      <w:r>
        <w:rPr>
          <w:rFonts w:ascii="Arial" w:hAnsi="Arial" w:eastAsia="宋体" w:cs="Arial"/>
          <w:lang w:eastAsia="zh-CN"/>
        </w:rPr>
        <w:t>无</w:t>
      </w:r>
    </w:p>
    <w:p w14:paraId="7EBB3F4C">
      <w:pPr>
        <w:adjustRightInd w:val="0"/>
        <w:snapToGrid w:val="0"/>
        <w:spacing w:line="300" w:lineRule="auto"/>
        <w:ind w:firstLine="713" w:firstLineChars="296"/>
        <w:rPr>
          <w:rFonts w:ascii="Arial" w:hAnsi="Arial" w:eastAsia="宋体" w:cs="Arial"/>
          <w:lang w:eastAsia="zh-CN"/>
        </w:rPr>
      </w:pPr>
      <w:r>
        <w:rPr>
          <w:rFonts w:ascii="Arial" w:hAnsi="Arial" w:eastAsia="宋体" w:cs="Arial"/>
          <w:b/>
          <w:lang w:eastAsia="zh-CN"/>
        </w:rPr>
        <w:t>法规编号：</w:t>
      </w:r>
      <w:r>
        <w:rPr>
          <w:rFonts w:ascii="Arial" w:hAnsi="Arial" w:eastAsia="宋体" w:cs="Arial"/>
          <w:lang w:eastAsia="zh-CN"/>
        </w:rPr>
        <w:t>21 CFR 864.7300</w:t>
      </w:r>
    </w:p>
    <w:p w14:paraId="6B821EC8">
      <w:pPr>
        <w:adjustRightInd w:val="0"/>
        <w:snapToGrid w:val="0"/>
        <w:spacing w:line="300" w:lineRule="auto"/>
        <w:ind w:firstLine="710" w:firstLineChars="296"/>
        <w:rPr>
          <w:rFonts w:ascii="Arial" w:hAnsi="Arial" w:eastAsia="宋体" w:cs="Arial"/>
          <w:lang w:eastAsia="zh-CN"/>
        </w:rPr>
      </w:pPr>
    </w:p>
    <w:p w14:paraId="05BF53E5">
      <w:pPr>
        <w:adjustRightInd w:val="0"/>
        <w:snapToGrid w:val="0"/>
        <w:spacing w:line="300" w:lineRule="auto"/>
        <w:rPr>
          <w:rFonts w:ascii="Arial" w:hAnsi="Arial" w:eastAsia="宋体" w:cs="Arial"/>
          <w:lang w:eastAsia="zh-CN"/>
        </w:rPr>
      </w:pPr>
      <w:r>
        <w:rPr>
          <w:rFonts w:ascii="Arial" w:hAnsi="Arial" w:eastAsia="宋体" w:cs="Arial"/>
          <w:lang w:eastAsia="zh-CN"/>
        </w:rPr>
        <w:t>纤维蛋白单体副凝试验是一种检测纤维蛋白单体的器械，用于诊断弥散性血管内凝血（血管内的非定位凝血），或在弥散性血管内凝血（DIC）和原发性纤维蛋白溶解（血块中的纤维蛋白溶解）之间进行鉴别诊断。</w:t>
      </w:r>
    </w:p>
    <w:p w14:paraId="55097469">
      <w:pPr>
        <w:adjustRightInd w:val="0"/>
        <w:snapToGrid w:val="0"/>
        <w:spacing w:line="300" w:lineRule="auto"/>
        <w:rPr>
          <w:rFonts w:ascii="Arial" w:hAnsi="Arial" w:eastAsia="宋体" w:cs="Arial"/>
          <w:lang w:eastAsia="zh-CN"/>
        </w:rPr>
      </w:pPr>
    </w:p>
    <w:p w14:paraId="5FF6308B">
      <w:pPr>
        <w:adjustRightInd w:val="0"/>
        <w:snapToGrid w:val="0"/>
        <w:spacing w:line="300" w:lineRule="auto"/>
        <w:rPr>
          <w:rFonts w:ascii="Arial" w:hAnsi="Arial" w:eastAsia="宋体" w:cs="Arial"/>
          <w:b/>
          <w:lang w:eastAsia="zh-CN"/>
        </w:rPr>
      </w:pPr>
      <w:r>
        <w:rPr>
          <w:rFonts w:ascii="Arial" w:hAnsi="Arial" w:eastAsia="宋体" w:cs="Arial"/>
          <w:b/>
          <w:lang w:eastAsia="zh-CN"/>
        </w:rPr>
        <w:t>II . 适应症</w:t>
      </w:r>
    </w:p>
    <w:p w14:paraId="5CBAD47B">
      <w:pPr>
        <w:adjustRightInd w:val="0"/>
        <w:snapToGrid w:val="0"/>
        <w:spacing w:line="300" w:lineRule="auto"/>
        <w:rPr>
          <w:rFonts w:ascii="Arial" w:hAnsi="Arial" w:eastAsia="宋体" w:cs="Arial"/>
          <w:lang w:eastAsia="zh-CN"/>
        </w:rPr>
      </w:pPr>
      <w:r>
        <w:rPr>
          <w:rFonts w:ascii="Arial" w:hAnsi="Arial" w:eastAsia="宋体" w:cs="Arial"/>
          <w:lang w:eastAsia="zh-CN"/>
        </w:rPr>
        <w:t>纤维蛋白单体试验是用于监测凝血酶对纤维蛋白原的酶切，对其所产生的可溶性纤维蛋白单体进行测定。纤维蛋白单体测定为凝血酶对纤维蛋白原的活性提供直接证据， 有助于诊断和/或排除血栓前和血栓形成事件，例如前DIC，DIC或静脉血栓形成。另外，可溶性纤维蛋白单体可作为辅助手段用于监测对DIC的治疗应答。</w:t>
      </w:r>
    </w:p>
    <w:p w14:paraId="07AFBF63">
      <w:pPr>
        <w:adjustRightInd w:val="0"/>
        <w:snapToGrid w:val="0"/>
        <w:spacing w:line="300" w:lineRule="auto"/>
        <w:rPr>
          <w:rFonts w:ascii="Arial" w:hAnsi="Arial" w:eastAsia="宋体" w:cs="Arial"/>
          <w:lang w:eastAsia="zh-CN" w:bidi="zh-CN"/>
        </w:rPr>
      </w:pPr>
      <w:r>
        <w:rPr>
          <w:rFonts w:ascii="Arial" w:hAnsi="Arial" w:eastAsia="宋体" w:cs="Arial"/>
          <w:lang w:eastAsia="zh-CN"/>
        </w:rPr>
        <w:t>该器械得到的测量值用于弥散性血管内凝血的诊断。</w:t>
      </w:r>
      <w:r>
        <w:rPr>
          <w:rFonts w:ascii="Arial" w:hAnsi="Arial" w:eastAsia="宋体" w:cs="Arial"/>
          <w:lang w:eastAsia="zh-CN" w:bidi="zh-CN"/>
        </w:rPr>
        <w:t>预期的患者群体可以是成人、儿童和新生儿，而使用环境可以是医院（例如：呼吸护理或实验室部门）、急救情况（例如：重症监护室、手术、急诊部）或病人床边/附近的护理情况。</w:t>
      </w:r>
    </w:p>
    <w:p w14:paraId="7C9E0DFA">
      <w:pPr>
        <w:rPr>
          <w:rFonts w:ascii="Arial" w:hAnsi="Arial" w:eastAsia="宋体" w:cs="Arial"/>
          <w:lang w:eastAsia="zh-CN"/>
        </w:rPr>
      </w:pPr>
      <w:r>
        <w:rPr>
          <w:rFonts w:ascii="Arial" w:hAnsi="Arial" w:eastAsia="宋体" w:cs="Arial"/>
          <w:lang w:eastAsia="zh-CN"/>
        </w:rPr>
        <w:br w:type="page"/>
      </w:r>
    </w:p>
    <w:p w14:paraId="21959C70">
      <w:pPr>
        <w:adjustRightInd w:val="0"/>
        <w:snapToGrid w:val="0"/>
        <w:spacing w:line="300" w:lineRule="auto"/>
        <w:rPr>
          <w:rFonts w:ascii="Arial" w:hAnsi="Arial" w:eastAsia="宋体" w:cs="Arial"/>
          <w:b/>
          <w:lang w:eastAsia="zh-CN"/>
        </w:rPr>
      </w:pPr>
      <w:bookmarkStart w:id="0" w:name="bookmark7"/>
      <w:r>
        <w:rPr>
          <w:rFonts w:ascii="Arial" w:hAnsi="Arial" w:eastAsia="宋体" w:cs="Arial"/>
          <w:b/>
          <w:lang w:eastAsia="zh-CN"/>
        </w:rPr>
        <w:t>III.</w:t>
      </w:r>
      <w:bookmarkEnd w:id="0"/>
      <w:r>
        <w:rPr>
          <w:rFonts w:ascii="Arial" w:hAnsi="Arial" w:eastAsia="宋体" w:cs="Arial"/>
          <w:b/>
          <w:lang w:eastAsia="zh-CN"/>
        </w:rPr>
        <w:t xml:space="preserve"> </w:t>
      </w:r>
      <w:r>
        <w:rPr>
          <w:rFonts w:ascii="Arial" w:hAnsi="Arial" w:eastAsia="宋体" w:cs="Arial"/>
          <w:b/>
        </w:rPr>
        <w:t>具体性能特</w:t>
      </w:r>
      <w:r>
        <w:rPr>
          <w:rFonts w:ascii="Arial" w:hAnsi="Arial" w:eastAsia="宋体" w:cs="Arial"/>
          <w:b/>
          <w:lang w:eastAsia="zh-CN"/>
        </w:rPr>
        <w:t>征</w:t>
      </w:r>
    </w:p>
    <w:p w14:paraId="6C9BFF60">
      <w:pPr>
        <w:pStyle w:val="33"/>
        <w:numPr>
          <w:ilvl w:val="0"/>
          <w:numId w:val="2"/>
        </w:numPr>
        <w:adjustRightInd w:val="0"/>
        <w:snapToGrid w:val="0"/>
        <w:spacing w:line="300" w:lineRule="auto"/>
        <w:ind w:left="0" w:firstLine="0" w:firstLineChars="0"/>
        <w:rPr>
          <w:rFonts w:ascii="Arial" w:hAnsi="Arial" w:eastAsia="宋体" w:cs="Arial"/>
          <w:b/>
        </w:rPr>
      </w:pPr>
      <w:r>
        <w:rPr>
          <w:rFonts w:ascii="Arial" w:hAnsi="Arial" w:eastAsia="宋体" w:cs="Arial"/>
          <w:b/>
        </w:rPr>
        <w:t>分析研究</w:t>
      </w:r>
    </w:p>
    <w:p w14:paraId="3C9600A2">
      <w:pPr>
        <w:adjustRightInd w:val="0"/>
        <w:snapToGrid w:val="0"/>
        <w:spacing w:line="300" w:lineRule="auto"/>
        <w:rPr>
          <w:rFonts w:ascii="Arial" w:hAnsi="Arial" w:eastAsia="宋体" w:cs="Arial"/>
          <w:lang w:eastAsia="zh-CN"/>
        </w:rPr>
      </w:pPr>
      <w:r>
        <w:rPr>
          <w:rFonts w:ascii="Arial" w:hAnsi="Arial" w:eastAsia="宋体" w:cs="Arial"/>
          <w:lang w:eastAsia="zh-CN"/>
        </w:rPr>
        <w:t>提交资料应包括以下性能特征。应提供该器械在预期群体中使用的支持性数据：</w:t>
      </w:r>
    </w:p>
    <w:p w14:paraId="7B4873AD">
      <w:pPr>
        <w:adjustRightInd w:val="0"/>
        <w:snapToGrid w:val="0"/>
        <w:spacing w:line="300" w:lineRule="auto"/>
        <w:rPr>
          <w:rFonts w:ascii="Arial" w:hAnsi="Arial" w:eastAsia="宋体" w:cs="Arial"/>
          <w:b/>
          <w:lang w:eastAsia="zh-CN"/>
        </w:rPr>
      </w:pPr>
      <w:r>
        <w:rPr>
          <w:rFonts w:ascii="Arial" w:hAnsi="Arial" w:eastAsia="宋体" w:cs="Arial"/>
          <w:b/>
          <w:lang w:eastAsia="zh-CN"/>
        </w:rPr>
        <w:t>1. 精确度</w:t>
      </w:r>
    </w:p>
    <w:p w14:paraId="4E21F79A">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运行内（测定，和</w:t>
      </w:r>
    </w:p>
    <w:p w14:paraId="7E47502A">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运行间（测定），或</w:t>
      </w:r>
    </w:p>
    <w:p w14:paraId="3255FAC5">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总值</w:t>
      </w:r>
    </w:p>
    <w:p w14:paraId="0988A87F">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在医学决策水平和涵盖整个值域范围内的平均值、标准偏差和变异系数</w:t>
      </w:r>
    </w:p>
    <w:p w14:paraId="64B71A82">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在所选决策点的总测定误差</w:t>
      </w:r>
    </w:p>
    <w:p w14:paraId="75036C74">
      <w:pPr>
        <w:adjustRightInd w:val="0"/>
        <w:snapToGrid w:val="0"/>
        <w:spacing w:line="300" w:lineRule="auto"/>
        <w:rPr>
          <w:rFonts w:ascii="Arial" w:hAnsi="Arial" w:eastAsia="宋体" w:cs="Arial"/>
          <w:b/>
          <w:lang w:eastAsia="zh-CN"/>
        </w:rPr>
      </w:pPr>
      <w:r>
        <w:rPr>
          <w:rFonts w:ascii="Arial" w:hAnsi="Arial" w:eastAsia="宋体" w:cs="Arial"/>
          <w:b/>
          <w:lang w:eastAsia="zh-CN"/>
        </w:rPr>
        <w:t>2. 线性</w:t>
      </w:r>
    </w:p>
    <w:p w14:paraId="40408C51">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回收或稀释</w:t>
      </w:r>
    </w:p>
    <w:p w14:paraId="76236054">
      <w:pPr>
        <w:adjustRightInd w:val="0"/>
        <w:snapToGrid w:val="0"/>
        <w:spacing w:line="300" w:lineRule="auto"/>
        <w:rPr>
          <w:rFonts w:ascii="Arial" w:hAnsi="Arial" w:eastAsia="宋体" w:cs="Arial"/>
          <w:b/>
          <w:lang w:eastAsia="zh-CN"/>
        </w:rPr>
      </w:pPr>
      <w:r>
        <w:rPr>
          <w:rFonts w:ascii="Arial" w:hAnsi="Arial" w:eastAsia="宋体" w:cs="Arial"/>
          <w:b/>
          <w:lang w:eastAsia="zh-CN"/>
        </w:rPr>
        <w:t>3. 灵敏度</w:t>
      </w:r>
    </w:p>
    <w:p w14:paraId="1BBEB9B9">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最小检测限，或</w:t>
      </w:r>
    </w:p>
    <w:p w14:paraId="46EA35DE">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分析灵敏度</w:t>
      </w:r>
    </w:p>
    <w:p w14:paraId="77B55AEC">
      <w:pPr>
        <w:adjustRightInd w:val="0"/>
        <w:snapToGrid w:val="0"/>
        <w:spacing w:line="300" w:lineRule="auto"/>
        <w:rPr>
          <w:rFonts w:ascii="Arial" w:hAnsi="Arial" w:eastAsia="宋体" w:cs="Arial"/>
          <w:b/>
          <w:lang w:eastAsia="zh-CN"/>
        </w:rPr>
      </w:pPr>
      <w:r>
        <w:rPr>
          <w:rFonts w:ascii="Arial" w:hAnsi="Arial" w:eastAsia="宋体" w:cs="Arial"/>
          <w:b/>
          <w:lang w:eastAsia="zh-CN"/>
        </w:rPr>
        <w:t>4. 干扰</w:t>
      </w:r>
    </w:p>
    <w:p w14:paraId="08D97D7A">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内源性，如胆红素，血红蛋白，脂肪等</w:t>
      </w:r>
    </w:p>
    <w:p w14:paraId="3BE97CD6">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外源性，如药物，抗凝剂等</w:t>
      </w:r>
    </w:p>
    <w:p w14:paraId="6D79DF56">
      <w:pPr>
        <w:adjustRightInd w:val="0"/>
        <w:snapToGrid w:val="0"/>
        <w:spacing w:line="300" w:lineRule="auto"/>
        <w:rPr>
          <w:rFonts w:ascii="Arial" w:hAnsi="Arial" w:eastAsia="宋体" w:cs="Arial"/>
          <w:b/>
          <w:lang w:eastAsia="zh-CN"/>
        </w:rPr>
      </w:pPr>
      <w:r>
        <w:rPr>
          <w:rFonts w:ascii="Arial" w:hAnsi="Arial" w:eastAsia="宋体" w:cs="Arial"/>
          <w:b/>
          <w:lang w:eastAsia="zh-CN"/>
        </w:rPr>
        <w:t>5. 稳定性总结</w:t>
      </w:r>
    </w:p>
    <w:p w14:paraId="6609610E">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校准区间</w:t>
      </w:r>
    </w:p>
    <w:p w14:paraId="49F3C6D6">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质检间隔</w:t>
      </w:r>
    </w:p>
    <w:p w14:paraId="6D916CDC">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质检材料</w:t>
      </w:r>
    </w:p>
    <w:p w14:paraId="32DC0862">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校准材料</w:t>
      </w:r>
    </w:p>
    <w:p w14:paraId="078CBF1C">
      <w:pPr>
        <w:adjustRightInd w:val="0"/>
        <w:snapToGrid w:val="0"/>
        <w:spacing w:line="300" w:lineRule="auto"/>
        <w:rPr>
          <w:rFonts w:ascii="Arial" w:hAnsi="Arial" w:eastAsia="宋体" w:cs="Arial"/>
          <w:b/>
          <w:lang w:eastAsia="zh-CN"/>
        </w:rPr>
      </w:pPr>
      <w:r>
        <w:rPr>
          <w:rFonts w:ascii="Arial" w:hAnsi="Arial" w:eastAsia="宋体" w:cs="Arial"/>
          <w:b/>
          <w:lang w:eastAsia="zh-CN"/>
        </w:rPr>
        <w:t>6.  软件</w:t>
      </w:r>
    </w:p>
    <w:p w14:paraId="294E9F8E">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确认信息</w:t>
      </w:r>
    </w:p>
    <w:p w14:paraId="2C266586">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认证信息</w:t>
      </w:r>
    </w:p>
    <w:p w14:paraId="45373718">
      <w:pPr>
        <w:adjustRightInd w:val="0"/>
        <w:snapToGrid w:val="0"/>
        <w:spacing w:line="300" w:lineRule="auto"/>
        <w:rPr>
          <w:rFonts w:ascii="Arial" w:hAnsi="Arial" w:eastAsia="宋体" w:cs="Arial"/>
          <w:b/>
          <w:lang w:eastAsia="zh-CN"/>
        </w:rPr>
      </w:pPr>
      <w:r>
        <w:rPr>
          <w:rFonts w:ascii="Arial" w:hAnsi="Arial" w:eastAsia="宋体" w:cs="Arial"/>
          <w:b/>
          <w:lang w:eastAsia="zh-CN"/>
        </w:rPr>
        <w:t>7. 预期值</w:t>
      </w:r>
    </w:p>
    <w:p w14:paraId="6384149E">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人口研究，参考区间，</w:t>
      </w:r>
    </w:p>
    <w:p w14:paraId="7C7B859F">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医学决策点和/或</w:t>
      </w:r>
    </w:p>
    <w:p w14:paraId="1588ADFB">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关键决策点</w:t>
      </w:r>
    </w:p>
    <w:p w14:paraId="0CCD8D6E">
      <w:pPr>
        <w:adjustRightInd w:val="0"/>
        <w:snapToGrid w:val="0"/>
        <w:spacing w:line="300" w:lineRule="auto"/>
        <w:rPr>
          <w:rFonts w:ascii="Arial" w:hAnsi="Arial" w:eastAsia="宋体" w:cs="Arial"/>
          <w:b/>
          <w:lang w:eastAsia="zh-CN"/>
        </w:rPr>
      </w:pPr>
      <w:r>
        <w:rPr>
          <w:rFonts w:ascii="Arial" w:hAnsi="Arial" w:eastAsia="宋体" w:cs="Arial"/>
          <w:b/>
          <w:lang w:eastAsia="zh-CN"/>
        </w:rPr>
        <w:t>8. 确定区分正常样品和异常样品的界值</w:t>
      </w:r>
    </w:p>
    <w:p w14:paraId="20EF880A">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描述确定该界值的方法</w:t>
      </w:r>
    </w:p>
    <w:p w14:paraId="66D09DC4">
      <w:pPr>
        <w:adjustRightInd w:val="0"/>
        <w:snapToGrid w:val="0"/>
        <w:spacing w:line="300" w:lineRule="auto"/>
        <w:rPr>
          <w:rFonts w:ascii="Arial" w:hAnsi="Arial" w:eastAsia="宋体" w:cs="Arial"/>
          <w:b/>
          <w:lang w:eastAsia="zh-CN"/>
        </w:rPr>
      </w:pPr>
      <w:r>
        <w:rPr>
          <w:rFonts w:ascii="Arial" w:hAnsi="Arial" w:eastAsia="宋体" w:cs="Arial"/>
          <w:b/>
          <w:lang w:eastAsia="zh-CN"/>
        </w:rPr>
        <w:t>9. 校准品</w:t>
      </w:r>
    </w:p>
    <w:p w14:paraId="65E77487">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展示按照公认标准进行校准的数据</w:t>
      </w:r>
    </w:p>
    <w:p w14:paraId="1C6E0135">
      <w:pPr>
        <w:adjustRightInd w:val="0"/>
        <w:snapToGrid w:val="0"/>
        <w:spacing w:line="300" w:lineRule="auto"/>
        <w:rPr>
          <w:rFonts w:ascii="Arial" w:hAnsi="Arial" w:eastAsia="宋体" w:cs="Arial"/>
          <w:b/>
          <w:lang w:eastAsia="zh-CN"/>
        </w:rPr>
      </w:pPr>
      <w:r>
        <w:rPr>
          <w:rFonts w:ascii="Arial" w:hAnsi="Arial" w:eastAsia="宋体" w:cs="Arial"/>
          <w:b/>
          <w:lang w:eastAsia="zh-CN"/>
        </w:rPr>
        <w:t>10. 分析特异性</w:t>
      </w:r>
    </w:p>
    <w:p w14:paraId="4CC2EE41">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交叉反应</w:t>
      </w:r>
    </w:p>
    <w:p w14:paraId="6BFCCF0A">
      <w:pPr>
        <w:adjustRightInd w:val="0"/>
        <w:snapToGrid w:val="0"/>
        <w:spacing w:line="300" w:lineRule="auto"/>
        <w:rPr>
          <w:rFonts w:ascii="Arial" w:hAnsi="Arial" w:eastAsia="宋体" w:cs="Arial"/>
          <w:b/>
          <w:lang w:eastAsia="zh-CN"/>
        </w:rPr>
      </w:pPr>
      <w:r>
        <w:rPr>
          <w:rFonts w:ascii="Arial" w:hAnsi="Arial" w:eastAsia="宋体" w:cs="Arial"/>
          <w:b/>
          <w:lang w:eastAsia="zh-CN"/>
        </w:rPr>
        <w:t>B. 临床研究</w:t>
      </w:r>
    </w:p>
    <w:p w14:paraId="733F4DD9">
      <w:pPr>
        <w:adjustRightInd w:val="0"/>
        <w:snapToGrid w:val="0"/>
        <w:spacing w:line="300" w:lineRule="auto"/>
        <w:rPr>
          <w:rFonts w:ascii="Arial" w:hAnsi="Arial" w:eastAsia="宋体" w:cs="Arial"/>
          <w:b/>
          <w:lang w:eastAsia="zh-CN"/>
        </w:rPr>
      </w:pPr>
    </w:p>
    <w:p w14:paraId="6DD47013">
      <w:pPr>
        <w:adjustRightInd w:val="0"/>
        <w:snapToGrid w:val="0"/>
        <w:spacing w:line="300" w:lineRule="auto"/>
        <w:rPr>
          <w:rFonts w:ascii="Arial" w:hAnsi="Arial" w:eastAsia="宋体" w:cs="Arial"/>
          <w:lang w:eastAsia="zh-CN"/>
        </w:rPr>
      </w:pPr>
      <w:r>
        <w:rPr>
          <w:rFonts w:ascii="Arial" w:hAnsi="Arial" w:eastAsia="宋体" w:cs="Arial"/>
          <w:lang w:eastAsia="zh-CN"/>
        </w:rPr>
        <w:t>应进行方法比较研究，比较拟定器械和比较器械的性能。实施适当的参考方法，证明实质等同性。</w:t>
      </w:r>
      <w:r>
        <w:rPr>
          <w:rFonts w:hint="eastAsia" w:ascii="Arial" w:hAnsi="Arial" w:eastAsia="宋体" w:cs="Arial"/>
          <w:lang w:eastAsia="zh-CN"/>
        </w:rPr>
        <w:t>研究应包括一例来自代表拟定预期用途群体的患者标本。</w:t>
      </w:r>
    </w:p>
    <w:p w14:paraId="7A386A76">
      <w:pPr>
        <w:adjustRightInd w:val="0"/>
        <w:snapToGrid w:val="0"/>
        <w:spacing w:line="300" w:lineRule="auto"/>
        <w:rPr>
          <w:rFonts w:ascii="Arial" w:hAnsi="Arial" w:eastAsia="宋体" w:cs="Arial"/>
          <w:lang w:eastAsia="zh-CN"/>
        </w:rPr>
      </w:pPr>
    </w:p>
    <w:p w14:paraId="552D4AF3">
      <w:pPr>
        <w:pStyle w:val="33"/>
        <w:numPr>
          <w:ilvl w:val="0"/>
          <w:numId w:val="3"/>
        </w:numPr>
        <w:snapToGrid w:val="0"/>
        <w:spacing w:line="300" w:lineRule="auto"/>
        <w:ind w:left="0" w:firstLine="0" w:firstLineChars="0"/>
        <w:rPr>
          <w:rFonts w:ascii="Arial" w:hAnsi="Arial" w:eastAsia="宋体" w:cs="Arial"/>
        </w:rPr>
      </w:pPr>
      <w:r>
        <w:rPr>
          <w:rFonts w:ascii="Arial" w:hAnsi="Arial" w:eastAsia="宋体" w:cs="Arial"/>
          <w:b/>
        </w:rPr>
        <w:t>方法比较</w:t>
      </w:r>
    </w:p>
    <w:p w14:paraId="7537900F">
      <w:pPr>
        <w:adjustRightInd w:val="0"/>
        <w:snapToGrid w:val="0"/>
        <w:spacing w:line="300" w:lineRule="auto"/>
        <w:rPr>
          <w:rFonts w:ascii="Arial" w:hAnsi="Arial" w:eastAsia="宋体" w:cs="Arial"/>
        </w:rPr>
      </w:pPr>
      <w:r>
        <w:rPr>
          <w:rFonts w:ascii="Arial" w:hAnsi="Arial" w:eastAsia="宋体" w:cs="Arial"/>
          <w:lang w:eastAsia="zh-CN"/>
        </w:rPr>
        <w:t xml:space="preserve">a. </w:t>
      </w:r>
      <w:r>
        <w:rPr>
          <w:rFonts w:ascii="Arial" w:hAnsi="Arial" w:eastAsia="宋体" w:cs="Arial"/>
        </w:rPr>
        <w:t>连续数据</w:t>
      </w:r>
    </w:p>
    <w:p w14:paraId="36E52E84">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斜率和截距可以通过线性回归进行分析</w:t>
      </w:r>
    </w:p>
    <w:p w14:paraId="4224DD96">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相关系数，包括置信区间（如适用）</w:t>
      </w:r>
    </w:p>
    <w:p w14:paraId="5B1A7EBE">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供试品的数量和范围</w:t>
      </w:r>
    </w:p>
    <w:p w14:paraId="77D4200B">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估计的标准误差</w:t>
      </w:r>
    </w:p>
    <w:p w14:paraId="7AB7FE49">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偏倚和偏倚图</w:t>
      </w:r>
    </w:p>
    <w:p w14:paraId="7C8BCDD7">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数据的图形表示</w:t>
      </w:r>
    </w:p>
    <w:p w14:paraId="168C0546">
      <w:pPr>
        <w:adjustRightInd w:val="0"/>
        <w:snapToGrid w:val="0"/>
        <w:spacing w:line="300" w:lineRule="auto"/>
        <w:rPr>
          <w:rFonts w:ascii="Arial" w:hAnsi="Arial" w:eastAsia="宋体" w:cs="Arial"/>
          <w:lang w:eastAsia="zh-CN"/>
        </w:rPr>
      </w:pPr>
      <w:r>
        <w:rPr>
          <w:rFonts w:ascii="Arial" w:hAnsi="Arial" w:eastAsia="宋体" w:cs="Arial"/>
          <w:lang w:eastAsia="zh-CN"/>
        </w:rPr>
        <w:t>b.可在2×2表中列出二分类数据进行两种方法的比较。</w:t>
      </w:r>
    </w:p>
    <w:p w14:paraId="01BAFAA0">
      <w:pPr>
        <w:adjustRightInd w:val="0"/>
        <w:snapToGrid w:val="0"/>
        <w:spacing w:line="300" w:lineRule="auto"/>
        <w:ind w:firstLine="559" w:firstLineChars="233"/>
        <w:rPr>
          <w:rFonts w:ascii="Arial" w:hAnsi="Arial" w:eastAsia="宋体" w:cs="Arial"/>
          <w:lang w:eastAsia="zh-CN"/>
        </w:rPr>
      </w:pPr>
      <w:r>
        <w:rPr>
          <w:rFonts w:ascii="Arial" w:hAnsi="Arial" w:eastAsia="宋体" w:cs="Arial"/>
          <w:lang w:eastAsia="zh-CN"/>
        </w:rPr>
        <w:t>- 应包括对灵敏度和特异性置信区间的评估</w:t>
      </w:r>
    </w:p>
    <w:p w14:paraId="1DEF2A0E">
      <w:pPr>
        <w:adjustRightInd w:val="0"/>
        <w:snapToGrid w:val="0"/>
        <w:spacing w:line="300" w:lineRule="auto"/>
        <w:rPr>
          <w:rFonts w:ascii="Arial" w:hAnsi="Arial" w:eastAsia="宋体" w:cs="Arial"/>
          <w:lang w:eastAsia="zh-CN"/>
        </w:rPr>
      </w:pPr>
    </w:p>
    <w:p w14:paraId="549F9241">
      <w:pPr>
        <w:adjustRightInd w:val="0"/>
        <w:snapToGrid w:val="0"/>
        <w:spacing w:line="300" w:lineRule="auto"/>
        <w:rPr>
          <w:rFonts w:ascii="Arial" w:hAnsi="Arial" w:eastAsia="宋体" w:cs="Arial"/>
          <w:b/>
          <w:lang w:eastAsia="zh-CN"/>
        </w:rPr>
      </w:pPr>
      <w:r>
        <w:rPr>
          <w:rFonts w:ascii="Arial" w:hAnsi="Arial" w:eastAsia="宋体" w:cs="Arial"/>
          <w:b/>
          <w:lang w:eastAsia="zh-CN"/>
        </w:rPr>
        <w:t>IV．标签的注意事项：</w:t>
      </w:r>
    </w:p>
    <w:p w14:paraId="32BCB9CD">
      <w:pPr>
        <w:adjustRightInd w:val="0"/>
        <w:snapToGrid w:val="0"/>
        <w:spacing w:line="300" w:lineRule="auto"/>
        <w:rPr>
          <w:rFonts w:ascii="Arial" w:hAnsi="Arial" w:eastAsia="宋体" w:cs="Arial"/>
          <w:lang w:eastAsia="zh-CN"/>
        </w:rPr>
      </w:pPr>
    </w:p>
    <w:p w14:paraId="19FB6774">
      <w:pPr>
        <w:adjustRightInd w:val="0"/>
        <w:snapToGrid w:val="0"/>
        <w:spacing w:line="300" w:lineRule="auto"/>
        <w:rPr>
          <w:rFonts w:ascii="Arial" w:hAnsi="Arial" w:eastAsia="宋体" w:cs="Arial"/>
          <w:lang w:eastAsia="zh-CN"/>
        </w:rPr>
      </w:pPr>
      <w:r>
        <w:rPr>
          <w:rFonts w:ascii="Arial" w:hAnsi="Arial" w:eastAsia="宋体" w:cs="Arial"/>
          <w:lang w:eastAsia="zh-CN"/>
        </w:rPr>
        <w:t>参见21 CFR 809.10。</w:t>
      </w:r>
    </w:p>
    <w:p w14:paraId="2C774CE9">
      <w:pPr>
        <w:adjustRightInd w:val="0"/>
        <w:snapToGrid w:val="0"/>
        <w:spacing w:line="300" w:lineRule="auto"/>
        <w:rPr>
          <w:rFonts w:ascii="Arial" w:hAnsi="Arial" w:eastAsia="宋体" w:cs="Arial"/>
          <w:lang w:eastAsia="zh-CN"/>
        </w:rPr>
      </w:pPr>
    </w:p>
    <w:p w14:paraId="2BDDF118">
      <w:pPr>
        <w:adjustRightInd w:val="0"/>
        <w:snapToGrid w:val="0"/>
        <w:spacing w:line="300" w:lineRule="auto"/>
        <w:rPr>
          <w:rFonts w:ascii="Arial" w:hAnsi="Arial" w:eastAsia="宋体" w:cs="Arial"/>
          <w:lang w:eastAsia="zh-CN"/>
        </w:rPr>
      </w:pPr>
      <w:r>
        <w:rPr>
          <w:rFonts w:ascii="Arial" w:hAnsi="Arial" w:eastAsia="宋体" w:cs="Arial"/>
          <w:lang w:eastAsia="zh-CN"/>
        </w:rPr>
        <w:t>清单</w:t>
      </w:r>
    </w:p>
    <w:p w14:paraId="30EBDE9E">
      <w:pPr>
        <w:adjustRightInd w:val="0"/>
        <w:snapToGrid w:val="0"/>
        <w:spacing w:line="300" w:lineRule="auto"/>
        <w:rPr>
          <w:rFonts w:ascii="Arial" w:hAnsi="Arial" w:eastAsia="宋体" w:cs="Arial"/>
          <w:lang w:eastAsia="zh-CN"/>
        </w:rPr>
      </w:pPr>
    </w:p>
    <w:p w14:paraId="41E672DB">
      <w:pPr>
        <w:adjustRightInd w:val="0"/>
        <w:snapToGrid w:val="0"/>
        <w:spacing w:line="300" w:lineRule="auto"/>
        <w:rPr>
          <w:rFonts w:ascii="Arial" w:hAnsi="Arial" w:eastAsia="宋体" w:cs="Arial"/>
          <w:lang w:eastAsia="zh-CN"/>
        </w:rPr>
      </w:pPr>
      <w:r>
        <w:rPr>
          <w:rFonts w:ascii="Arial" w:hAnsi="Arial" w:eastAsia="宋体" w:cs="Arial"/>
          <w:lang w:eastAsia="zh-CN"/>
        </w:rPr>
        <w:t>说明：贵公司准备提交纤维蛋白单体副凝试验上市前通告时，使用此清单作为指南。</w:t>
      </w:r>
    </w:p>
    <w:p w14:paraId="2185F7AC">
      <w:pPr>
        <w:adjustRightInd w:val="0"/>
        <w:snapToGrid w:val="0"/>
        <w:spacing w:line="300" w:lineRule="auto"/>
        <w:rPr>
          <w:rFonts w:ascii="Arial" w:hAnsi="Arial" w:eastAsia="宋体" w:cs="Arial"/>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6"/>
        <w:gridCol w:w="1488"/>
      </w:tblGrid>
      <w:tr w14:paraId="65B0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11D1D6E7">
            <w:pPr>
              <w:adjustRightInd w:val="0"/>
              <w:snapToGrid w:val="0"/>
              <w:spacing w:line="280" w:lineRule="exact"/>
              <w:rPr>
                <w:rFonts w:ascii="Arial" w:hAnsi="Arial" w:eastAsia="宋体" w:cs="Arial"/>
                <w:lang w:eastAsia="zh-CN"/>
              </w:rPr>
            </w:pPr>
            <w:r>
              <w:rPr>
                <w:rFonts w:ascii="Arial" w:hAnsi="Arial" w:eastAsia="宋体" w:cs="Arial"/>
                <w:lang w:eastAsia="zh-CN"/>
              </w:rPr>
              <w:t>根据21 CFR 807.87（j）逐字记录的真实性和准确性声明。</w:t>
            </w:r>
          </w:p>
        </w:tc>
        <w:tc>
          <w:tcPr>
            <w:tcW w:w="1488" w:type="dxa"/>
          </w:tcPr>
          <w:p w14:paraId="2D08FC75">
            <w:pPr>
              <w:adjustRightInd w:val="0"/>
              <w:snapToGrid w:val="0"/>
              <w:spacing w:line="280" w:lineRule="exact"/>
              <w:rPr>
                <w:rFonts w:ascii="Arial" w:hAnsi="Arial" w:eastAsia="宋体" w:cs="Arial"/>
                <w:lang w:eastAsia="zh-CN"/>
              </w:rPr>
            </w:pPr>
          </w:p>
        </w:tc>
      </w:tr>
      <w:tr w14:paraId="692F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486DF9CB">
            <w:pPr>
              <w:adjustRightInd w:val="0"/>
              <w:snapToGrid w:val="0"/>
              <w:spacing w:line="280" w:lineRule="exact"/>
              <w:rPr>
                <w:rFonts w:ascii="Arial" w:hAnsi="Arial" w:eastAsia="宋体" w:cs="Arial"/>
                <w:lang w:eastAsia="zh-CN"/>
              </w:rPr>
            </w:pPr>
            <w:r>
              <w:rPr>
                <w:rFonts w:ascii="Arial" w:hAnsi="Arial" w:eastAsia="宋体" w:cs="Arial"/>
                <w:lang w:eastAsia="zh-CN"/>
              </w:rPr>
              <w:t>分别根据21 CFR 807.92或21 CFR 807.93的510（k）总结或声明。</w:t>
            </w:r>
          </w:p>
        </w:tc>
        <w:tc>
          <w:tcPr>
            <w:tcW w:w="1488" w:type="dxa"/>
          </w:tcPr>
          <w:p w14:paraId="415EAA58">
            <w:pPr>
              <w:adjustRightInd w:val="0"/>
              <w:snapToGrid w:val="0"/>
              <w:spacing w:line="280" w:lineRule="exact"/>
              <w:rPr>
                <w:rFonts w:ascii="Arial" w:hAnsi="Arial" w:eastAsia="宋体" w:cs="Arial"/>
                <w:lang w:eastAsia="zh-CN"/>
              </w:rPr>
            </w:pPr>
          </w:p>
        </w:tc>
      </w:tr>
      <w:tr w14:paraId="3B41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45681FD2">
            <w:pPr>
              <w:adjustRightInd w:val="0"/>
              <w:snapToGrid w:val="0"/>
              <w:spacing w:line="280" w:lineRule="exact"/>
              <w:rPr>
                <w:rFonts w:ascii="Arial" w:hAnsi="Arial" w:eastAsia="宋体" w:cs="Arial"/>
                <w:lang w:eastAsia="zh-CN"/>
              </w:rPr>
            </w:pPr>
            <w:r>
              <w:rPr>
                <w:rFonts w:ascii="Arial" w:hAnsi="Arial" w:eastAsia="宋体" w:cs="Arial"/>
                <w:lang w:eastAsia="zh-CN"/>
              </w:rPr>
              <w:t>适应症在单独页面上。</w:t>
            </w:r>
          </w:p>
        </w:tc>
        <w:tc>
          <w:tcPr>
            <w:tcW w:w="1488" w:type="dxa"/>
          </w:tcPr>
          <w:p w14:paraId="4B88221C">
            <w:pPr>
              <w:adjustRightInd w:val="0"/>
              <w:snapToGrid w:val="0"/>
              <w:spacing w:line="280" w:lineRule="exact"/>
              <w:rPr>
                <w:rFonts w:ascii="Arial" w:hAnsi="Arial" w:eastAsia="宋体" w:cs="Arial"/>
                <w:lang w:eastAsia="zh-CN"/>
              </w:rPr>
            </w:pPr>
          </w:p>
        </w:tc>
      </w:tr>
      <w:tr w14:paraId="6295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1AA6D146">
            <w:pPr>
              <w:adjustRightInd w:val="0"/>
              <w:snapToGrid w:val="0"/>
              <w:spacing w:line="280" w:lineRule="exact"/>
              <w:rPr>
                <w:rFonts w:ascii="Arial" w:hAnsi="Arial" w:eastAsia="宋体" w:cs="Arial"/>
                <w:lang w:eastAsia="zh-CN"/>
              </w:rPr>
            </w:pPr>
            <w:r>
              <w:rPr>
                <w:rFonts w:ascii="Arial" w:hAnsi="Arial" w:eastAsia="宋体" w:cs="Arial"/>
                <w:lang w:eastAsia="zh-CN"/>
              </w:rPr>
              <w:t>体外诊断产品标签（21 CFR 809.10 （b）</w:t>
            </w:r>
          </w:p>
        </w:tc>
        <w:tc>
          <w:tcPr>
            <w:tcW w:w="1488" w:type="dxa"/>
          </w:tcPr>
          <w:p w14:paraId="2EBFFADD">
            <w:pPr>
              <w:adjustRightInd w:val="0"/>
              <w:snapToGrid w:val="0"/>
              <w:spacing w:line="280" w:lineRule="exact"/>
              <w:rPr>
                <w:rFonts w:ascii="Arial" w:hAnsi="Arial" w:eastAsia="宋体" w:cs="Arial"/>
                <w:lang w:eastAsia="zh-CN"/>
              </w:rPr>
            </w:pPr>
          </w:p>
        </w:tc>
      </w:tr>
      <w:tr w14:paraId="2968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70B736F9">
            <w:pPr>
              <w:adjustRightInd w:val="0"/>
              <w:snapToGrid w:val="0"/>
              <w:spacing w:line="280" w:lineRule="exact"/>
              <w:rPr>
                <w:rFonts w:ascii="Arial" w:hAnsi="Arial" w:eastAsia="宋体" w:cs="Arial"/>
                <w:lang w:eastAsia="zh-CN"/>
              </w:rPr>
            </w:pPr>
            <w:r>
              <w:rPr>
                <w:rFonts w:ascii="Arial" w:hAnsi="Arial" w:eastAsia="宋体" w:cs="Arial"/>
                <w:lang w:eastAsia="zh-CN"/>
              </w:rPr>
              <w:t>临床前数据：</w:t>
            </w:r>
          </w:p>
        </w:tc>
        <w:tc>
          <w:tcPr>
            <w:tcW w:w="1488" w:type="dxa"/>
          </w:tcPr>
          <w:p w14:paraId="5999AE8E">
            <w:pPr>
              <w:adjustRightInd w:val="0"/>
              <w:snapToGrid w:val="0"/>
              <w:spacing w:line="280" w:lineRule="exact"/>
              <w:rPr>
                <w:rFonts w:ascii="Arial" w:hAnsi="Arial" w:eastAsia="宋体" w:cs="Arial"/>
                <w:lang w:eastAsia="zh-CN"/>
              </w:rPr>
            </w:pPr>
          </w:p>
        </w:tc>
      </w:tr>
      <w:tr w14:paraId="319E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5FA3D7B7">
            <w:pPr>
              <w:adjustRightInd w:val="0"/>
              <w:snapToGrid w:val="0"/>
              <w:spacing w:line="280" w:lineRule="exact"/>
              <w:ind w:firstLine="278" w:firstLineChars="116"/>
              <w:rPr>
                <w:rFonts w:ascii="Arial" w:hAnsi="Arial" w:eastAsia="宋体" w:cs="Arial"/>
                <w:lang w:eastAsia="zh-CN"/>
              </w:rPr>
            </w:pPr>
            <w:r>
              <w:rPr>
                <w:rFonts w:ascii="Arial" w:hAnsi="Arial" w:eastAsia="宋体" w:cs="Arial"/>
                <w:lang w:eastAsia="zh-CN"/>
              </w:rPr>
              <w:t>干扰研究</w:t>
            </w:r>
          </w:p>
        </w:tc>
        <w:tc>
          <w:tcPr>
            <w:tcW w:w="1488" w:type="dxa"/>
          </w:tcPr>
          <w:p w14:paraId="5546A807">
            <w:pPr>
              <w:adjustRightInd w:val="0"/>
              <w:snapToGrid w:val="0"/>
              <w:spacing w:line="280" w:lineRule="exact"/>
              <w:rPr>
                <w:rFonts w:ascii="Arial" w:hAnsi="Arial" w:eastAsia="宋体" w:cs="Arial"/>
                <w:lang w:eastAsia="zh-CN"/>
              </w:rPr>
            </w:pPr>
          </w:p>
        </w:tc>
      </w:tr>
      <w:tr w14:paraId="1608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7D48D90C">
            <w:pPr>
              <w:adjustRightInd w:val="0"/>
              <w:snapToGrid w:val="0"/>
              <w:spacing w:line="280" w:lineRule="exact"/>
              <w:ind w:firstLine="278" w:firstLineChars="116"/>
              <w:rPr>
                <w:rFonts w:ascii="Arial" w:hAnsi="Arial" w:eastAsia="宋体" w:cs="Arial"/>
                <w:lang w:eastAsia="zh-CN"/>
              </w:rPr>
            </w:pPr>
            <w:r>
              <w:rPr>
                <w:rFonts w:ascii="Arial" w:hAnsi="Arial" w:eastAsia="宋体" w:cs="Arial"/>
                <w:lang w:eastAsia="zh-CN"/>
              </w:rPr>
              <w:t>线性研究</w:t>
            </w:r>
          </w:p>
        </w:tc>
        <w:tc>
          <w:tcPr>
            <w:tcW w:w="1488" w:type="dxa"/>
          </w:tcPr>
          <w:p w14:paraId="1243FB15">
            <w:pPr>
              <w:adjustRightInd w:val="0"/>
              <w:snapToGrid w:val="0"/>
              <w:spacing w:line="280" w:lineRule="exact"/>
              <w:rPr>
                <w:rFonts w:ascii="Arial" w:hAnsi="Arial" w:eastAsia="宋体" w:cs="Arial"/>
                <w:lang w:eastAsia="zh-CN"/>
              </w:rPr>
            </w:pPr>
          </w:p>
        </w:tc>
      </w:tr>
      <w:tr w14:paraId="10ED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5E11FB2E">
            <w:pPr>
              <w:adjustRightInd w:val="0"/>
              <w:snapToGrid w:val="0"/>
              <w:spacing w:line="280" w:lineRule="exact"/>
              <w:ind w:firstLine="278" w:firstLineChars="116"/>
              <w:rPr>
                <w:rFonts w:ascii="Arial" w:hAnsi="Arial" w:eastAsia="宋体" w:cs="Arial"/>
                <w:lang w:eastAsia="zh-CN"/>
              </w:rPr>
            </w:pPr>
            <w:r>
              <w:rPr>
                <w:rFonts w:ascii="Arial" w:hAnsi="Arial" w:eastAsia="宋体" w:cs="Arial"/>
                <w:lang w:eastAsia="zh-CN"/>
              </w:rPr>
              <w:t>医学决策层的</w:t>
            </w:r>
            <w:r>
              <w:rPr>
                <w:rFonts w:hint="eastAsia" w:ascii="Arial" w:hAnsi="Arial" w:eastAsia="宋体" w:cs="Arial"/>
                <w:lang w:eastAsia="zh-CN"/>
              </w:rPr>
              <w:t>精密度</w:t>
            </w:r>
            <w:r>
              <w:rPr>
                <w:rFonts w:ascii="Arial" w:hAnsi="Arial" w:eastAsia="宋体" w:cs="Arial"/>
                <w:lang w:eastAsia="zh-CN"/>
              </w:rPr>
              <w:t>研究</w:t>
            </w:r>
          </w:p>
        </w:tc>
        <w:tc>
          <w:tcPr>
            <w:tcW w:w="1488" w:type="dxa"/>
          </w:tcPr>
          <w:p w14:paraId="2A493FBC">
            <w:pPr>
              <w:adjustRightInd w:val="0"/>
              <w:snapToGrid w:val="0"/>
              <w:spacing w:line="280" w:lineRule="exact"/>
              <w:rPr>
                <w:rFonts w:ascii="Arial" w:hAnsi="Arial" w:eastAsia="宋体" w:cs="Arial"/>
                <w:lang w:eastAsia="zh-CN"/>
              </w:rPr>
            </w:pPr>
          </w:p>
        </w:tc>
      </w:tr>
      <w:tr w14:paraId="0963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050F4784">
            <w:pPr>
              <w:adjustRightInd w:val="0"/>
              <w:snapToGrid w:val="0"/>
              <w:spacing w:line="280" w:lineRule="exact"/>
              <w:rPr>
                <w:rFonts w:ascii="Arial" w:hAnsi="Arial" w:eastAsia="宋体" w:cs="Arial"/>
                <w:lang w:eastAsia="zh-CN"/>
              </w:rPr>
            </w:pPr>
            <w:r>
              <w:rPr>
                <w:rFonts w:ascii="Arial" w:hAnsi="Arial" w:eastAsia="宋体" w:cs="Arial"/>
                <w:lang w:eastAsia="zh-CN"/>
              </w:rPr>
              <w:t>临床数据（方法比较）</w:t>
            </w:r>
          </w:p>
        </w:tc>
        <w:tc>
          <w:tcPr>
            <w:tcW w:w="1488" w:type="dxa"/>
          </w:tcPr>
          <w:p w14:paraId="50D0EF58">
            <w:pPr>
              <w:adjustRightInd w:val="0"/>
              <w:snapToGrid w:val="0"/>
              <w:spacing w:line="280" w:lineRule="exact"/>
              <w:rPr>
                <w:rFonts w:ascii="Arial" w:hAnsi="Arial" w:eastAsia="宋体" w:cs="Arial"/>
                <w:lang w:eastAsia="zh-CN"/>
              </w:rPr>
            </w:pPr>
          </w:p>
        </w:tc>
      </w:tr>
    </w:tbl>
    <w:p w14:paraId="29817046">
      <w:pPr>
        <w:adjustRightInd w:val="0"/>
        <w:snapToGrid w:val="0"/>
        <w:spacing w:line="300" w:lineRule="auto"/>
        <w:rPr>
          <w:rFonts w:ascii="Arial" w:hAnsi="Arial" w:eastAsia="宋体" w:cs="Arial"/>
          <w:lang w:eastAsia="zh-CN"/>
        </w:rPr>
      </w:pPr>
    </w:p>
    <w:p w14:paraId="02BABB7E">
      <w:pPr>
        <w:adjustRightInd w:val="0"/>
        <w:snapToGrid w:val="0"/>
        <w:spacing w:line="300" w:lineRule="auto"/>
        <w:rPr>
          <w:rFonts w:ascii="Arial" w:hAnsi="Arial" w:eastAsia="宋体" w:cs="Arial"/>
          <w:b/>
          <w:lang w:eastAsia="zh-CN"/>
        </w:rPr>
      </w:pPr>
    </w:p>
    <w:p w14:paraId="27F7F91A">
      <w:pPr>
        <w:adjustRightInd w:val="0"/>
        <w:snapToGrid w:val="0"/>
        <w:spacing w:line="300" w:lineRule="auto"/>
        <w:rPr>
          <w:rFonts w:ascii="Arial" w:hAnsi="Arial" w:eastAsia="宋体" w:cs="Arial"/>
          <w:b/>
          <w:lang w:eastAsia="zh-CN"/>
        </w:rPr>
      </w:pPr>
      <w:r>
        <w:rPr>
          <w:rFonts w:ascii="Arial" w:hAnsi="Arial" w:eastAsia="宋体" w:cs="Arial"/>
          <w:b/>
          <w:lang w:eastAsia="zh-CN"/>
        </w:rPr>
        <w:t>参考文件：</w:t>
      </w:r>
    </w:p>
    <w:p w14:paraId="57005B4D">
      <w:pPr>
        <w:adjustRightInd w:val="0"/>
        <w:snapToGrid w:val="0"/>
        <w:spacing w:line="300" w:lineRule="auto"/>
        <w:rPr>
          <w:rFonts w:ascii="Arial" w:hAnsi="Arial" w:eastAsia="宋体" w:cs="Arial"/>
          <w:lang w:eastAsia="zh-CN"/>
        </w:rPr>
      </w:pPr>
      <w:r>
        <w:rPr>
          <w:rFonts w:ascii="Arial" w:hAnsi="Arial" w:eastAsia="宋体" w:cs="Arial"/>
          <w:lang w:eastAsia="zh-CN"/>
        </w:rPr>
        <w:t>协助申办</w:t>
      </w:r>
      <w:r>
        <w:rPr>
          <w:rFonts w:hint="eastAsia" w:ascii="Arial" w:hAnsi="Arial" w:eastAsia="宋体" w:cs="Arial"/>
          <w:lang w:eastAsia="zh-CN"/>
        </w:rPr>
        <w:t>方</w:t>
      </w:r>
      <w:r>
        <w:rPr>
          <w:rFonts w:ascii="Arial" w:hAnsi="Arial" w:eastAsia="宋体" w:cs="Arial"/>
          <w:lang w:eastAsia="zh-CN"/>
        </w:rPr>
        <w:t>确定本文件第三部分所述具体性能特征的方法可使用 NCCLS 文件获得</w:t>
      </w:r>
    </w:p>
    <w:p w14:paraId="2E11C027">
      <w:pPr>
        <w:adjustRightInd w:val="0"/>
        <w:snapToGrid w:val="0"/>
        <w:spacing w:line="300" w:lineRule="auto"/>
        <w:rPr>
          <w:rFonts w:ascii="Arial" w:hAnsi="Arial" w:eastAsia="宋体" w:cs="Arial"/>
          <w:lang w:eastAsia="zh-CN"/>
        </w:rPr>
      </w:pPr>
    </w:p>
    <w:p w14:paraId="3D5D608B">
      <w:pPr>
        <w:pStyle w:val="10"/>
        <w:shd w:val="clear" w:color="auto" w:fill="auto"/>
        <w:snapToGrid w:val="0"/>
        <w:spacing w:after="785" w:line="300" w:lineRule="auto"/>
        <w:rPr>
          <w:rFonts w:hint="eastAsia" w:eastAsia="宋体"/>
          <w:lang w:eastAsia="zh-CN"/>
        </w:rPr>
      </w:pPr>
    </w:p>
    <w:p w14:paraId="63BDE67F">
      <w:pPr>
        <w:pStyle w:val="10"/>
        <w:shd w:val="clear" w:color="auto" w:fill="auto"/>
        <w:snapToGrid w:val="0"/>
        <w:spacing w:after="785" w:line="300" w:lineRule="auto"/>
        <w:jc w:val="center"/>
        <w:rPr>
          <w:rFonts w:hint="eastAsia" w:eastAsia="宋体"/>
          <w:lang w:eastAsia="zh-CN"/>
        </w:rPr>
      </w:pPr>
    </w:p>
    <w:p w14:paraId="303AC744">
      <w:pPr>
        <w:pStyle w:val="10"/>
        <w:shd w:val="clear" w:color="auto" w:fill="auto"/>
        <w:snapToGrid w:val="0"/>
        <w:spacing w:after="785"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B4C38"/>
    <w:multiLevelType w:val="multilevel"/>
    <w:tmpl w:val="4AFB4C38"/>
    <w:lvl w:ilvl="0" w:tentative="0">
      <w:start w:val="1"/>
      <w:numFmt w:val="decimal"/>
      <w:lvlText w:val="%1."/>
      <w:lvlJc w:val="left"/>
      <w:pPr>
        <w:ind w:left="360" w:hanging="360"/>
      </w:pPr>
      <w:rPr>
        <w:rFonts w:hint="default" w:hAnsiTheme="maj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CD6BB0"/>
    <w:multiLevelType w:val="multilevel"/>
    <w:tmpl w:val="63CD6BB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163C71"/>
    <w:multiLevelType w:val="multilevel"/>
    <w:tmpl w:val="78163C71"/>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F9"/>
    <w:rsid w:val="000241BE"/>
    <w:rsid w:val="00054457"/>
    <w:rsid w:val="000756F1"/>
    <w:rsid w:val="0008448F"/>
    <w:rsid w:val="00095545"/>
    <w:rsid w:val="000C0193"/>
    <w:rsid w:val="000C303F"/>
    <w:rsid w:val="000C3174"/>
    <w:rsid w:val="000D44D6"/>
    <w:rsid w:val="001101CB"/>
    <w:rsid w:val="001144E5"/>
    <w:rsid w:val="00131B83"/>
    <w:rsid w:val="0013253C"/>
    <w:rsid w:val="00132ABB"/>
    <w:rsid w:val="0013322F"/>
    <w:rsid w:val="0013783F"/>
    <w:rsid w:val="00164F82"/>
    <w:rsid w:val="001676C0"/>
    <w:rsid w:val="00182192"/>
    <w:rsid w:val="001C26B7"/>
    <w:rsid w:val="00205891"/>
    <w:rsid w:val="00223B41"/>
    <w:rsid w:val="002574E8"/>
    <w:rsid w:val="00263578"/>
    <w:rsid w:val="00287F86"/>
    <w:rsid w:val="002D41D4"/>
    <w:rsid w:val="002E2A66"/>
    <w:rsid w:val="002F680E"/>
    <w:rsid w:val="0031498E"/>
    <w:rsid w:val="003467C8"/>
    <w:rsid w:val="003908F6"/>
    <w:rsid w:val="003A6417"/>
    <w:rsid w:val="003B46F0"/>
    <w:rsid w:val="004012E8"/>
    <w:rsid w:val="004413D6"/>
    <w:rsid w:val="004D16E8"/>
    <w:rsid w:val="00580B4D"/>
    <w:rsid w:val="005972DC"/>
    <w:rsid w:val="005A5351"/>
    <w:rsid w:val="005B20AB"/>
    <w:rsid w:val="005B4857"/>
    <w:rsid w:val="005D773B"/>
    <w:rsid w:val="005E07FC"/>
    <w:rsid w:val="005E2C53"/>
    <w:rsid w:val="00646CD6"/>
    <w:rsid w:val="0067619F"/>
    <w:rsid w:val="006859DC"/>
    <w:rsid w:val="006863F6"/>
    <w:rsid w:val="006A4932"/>
    <w:rsid w:val="006B2030"/>
    <w:rsid w:val="006E56F9"/>
    <w:rsid w:val="006E7CF3"/>
    <w:rsid w:val="006F1487"/>
    <w:rsid w:val="00702A04"/>
    <w:rsid w:val="00751599"/>
    <w:rsid w:val="00770721"/>
    <w:rsid w:val="007768EB"/>
    <w:rsid w:val="00783B82"/>
    <w:rsid w:val="007B4096"/>
    <w:rsid w:val="007C5436"/>
    <w:rsid w:val="007D03C9"/>
    <w:rsid w:val="007E35A8"/>
    <w:rsid w:val="007F3131"/>
    <w:rsid w:val="007F63AC"/>
    <w:rsid w:val="00801BF4"/>
    <w:rsid w:val="00802140"/>
    <w:rsid w:val="00805309"/>
    <w:rsid w:val="00810298"/>
    <w:rsid w:val="00894AC0"/>
    <w:rsid w:val="008A6F5D"/>
    <w:rsid w:val="008B4FF8"/>
    <w:rsid w:val="008B6EDB"/>
    <w:rsid w:val="009205F6"/>
    <w:rsid w:val="0094617B"/>
    <w:rsid w:val="00955C4E"/>
    <w:rsid w:val="00971F22"/>
    <w:rsid w:val="00983077"/>
    <w:rsid w:val="009873F2"/>
    <w:rsid w:val="00A21FA0"/>
    <w:rsid w:val="00A351D1"/>
    <w:rsid w:val="00A54567"/>
    <w:rsid w:val="00A570BB"/>
    <w:rsid w:val="00AA2301"/>
    <w:rsid w:val="00AC1C09"/>
    <w:rsid w:val="00AE1D21"/>
    <w:rsid w:val="00AF5643"/>
    <w:rsid w:val="00AF61BD"/>
    <w:rsid w:val="00B15CB3"/>
    <w:rsid w:val="00B7608E"/>
    <w:rsid w:val="00B80E60"/>
    <w:rsid w:val="00B840B2"/>
    <w:rsid w:val="00BA580C"/>
    <w:rsid w:val="00BB3A4F"/>
    <w:rsid w:val="00C37B74"/>
    <w:rsid w:val="00C56DDD"/>
    <w:rsid w:val="00CA1A96"/>
    <w:rsid w:val="00CD53F3"/>
    <w:rsid w:val="00CE0EF5"/>
    <w:rsid w:val="00CE5314"/>
    <w:rsid w:val="00D112D6"/>
    <w:rsid w:val="00D3207E"/>
    <w:rsid w:val="00D73514"/>
    <w:rsid w:val="00D92FBA"/>
    <w:rsid w:val="00D96B6B"/>
    <w:rsid w:val="00DA7EBE"/>
    <w:rsid w:val="00DE7C2F"/>
    <w:rsid w:val="00DF6758"/>
    <w:rsid w:val="00E24A65"/>
    <w:rsid w:val="00E32D8D"/>
    <w:rsid w:val="00E66450"/>
    <w:rsid w:val="00E92176"/>
    <w:rsid w:val="00EA6FAA"/>
    <w:rsid w:val="00F01BD6"/>
    <w:rsid w:val="00F33A3B"/>
    <w:rsid w:val="00F806DB"/>
    <w:rsid w:val="00FA2781"/>
    <w:rsid w:val="3EDC0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32"/>
    <w:semiHidden/>
    <w:unhideWhenUsed/>
    <w:qFormat/>
    <w:uiPriority w:val="99"/>
    <w:rPr>
      <w:sz w:val="18"/>
      <w:szCs w:val="18"/>
    </w:rPr>
  </w:style>
  <w:style w:type="paragraph" w:styleId="3">
    <w:name w:val="footer"/>
    <w:basedOn w:val="1"/>
    <w:link w:val="31"/>
    <w:semiHidden/>
    <w:unhideWhenUsed/>
    <w:qFormat/>
    <w:uiPriority w:val="99"/>
    <w:pPr>
      <w:tabs>
        <w:tab w:val="center" w:pos="4153"/>
        <w:tab w:val="right" w:pos="8306"/>
      </w:tabs>
      <w:snapToGrid w:val="0"/>
    </w:pPr>
    <w:rPr>
      <w:sz w:val="18"/>
      <w:szCs w:val="18"/>
    </w:rPr>
  </w:style>
  <w:style w:type="paragraph" w:styleId="4">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66CC"/>
      <w:u w:val="single"/>
    </w:rPr>
  </w:style>
  <w:style w:type="character" w:customStyle="1" w:styleId="9">
    <w:name w:val="正文文本 (3)_"/>
    <w:basedOn w:val="7"/>
    <w:link w:val="10"/>
    <w:uiPriority w:val="0"/>
    <w:rPr>
      <w:rFonts w:ascii="Times New Roman" w:hAnsi="Times New Roman" w:eastAsia="Times New Roman" w:cs="Times New Roman"/>
      <w:sz w:val="48"/>
      <w:szCs w:val="48"/>
      <w:u w:val="none"/>
    </w:rPr>
  </w:style>
  <w:style w:type="paragraph" w:customStyle="1" w:styleId="10">
    <w:name w:val="正文文本 (3)"/>
    <w:basedOn w:val="1"/>
    <w:link w:val="9"/>
    <w:uiPriority w:val="0"/>
    <w:pPr>
      <w:shd w:val="clear" w:color="auto" w:fill="FFFFFF"/>
      <w:spacing w:after="900" w:line="552" w:lineRule="exact"/>
      <w:jc w:val="center"/>
    </w:pPr>
    <w:rPr>
      <w:rFonts w:ascii="Times New Roman" w:hAnsi="Times New Roman" w:eastAsia="Times New Roman" w:cs="Times New Roman"/>
      <w:sz w:val="48"/>
      <w:szCs w:val="48"/>
    </w:rPr>
  </w:style>
  <w:style w:type="character" w:customStyle="1" w:styleId="11">
    <w:name w:val="标题 #1_"/>
    <w:basedOn w:val="7"/>
    <w:link w:val="12"/>
    <w:uiPriority w:val="0"/>
    <w:rPr>
      <w:rFonts w:ascii="Times New Roman" w:hAnsi="Times New Roman" w:eastAsia="Times New Roman" w:cs="Times New Roman"/>
      <w:b/>
      <w:bCs/>
      <w:sz w:val="60"/>
      <w:szCs w:val="60"/>
      <w:u w:val="none"/>
    </w:rPr>
  </w:style>
  <w:style w:type="paragraph" w:customStyle="1" w:styleId="12">
    <w:name w:val="标题 #1"/>
    <w:basedOn w:val="1"/>
    <w:link w:val="11"/>
    <w:qFormat/>
    <w:uiPriority w:val="0"/>
    <w:pPr>
      <w:shd w:val="clear" w:color="auto" w:fill="FFFFFF"/>
      <w:spacing w:before="900" w:after="1020" w:line="696" w:lineRule="exact"/>
      <w:jc w:val="center"/>
      <w:outlineLvl w:val="0"/>
    </w:pPr>
    <w:rPr>
      <w:rFonts w:ascii="Times New Roman" w:hAnsi="Times New Roman" w:eastAsia="Times New Roman" w:cs="Times New Roman"/>
      <w:b/>
      <w:bCs/>
      <w:sz w:val="60"/>
      <w:szCs w:val="60"/>
    </w:rPr>
  </w:style>
  <w:style w:type="character" w:customStyle="1" w:styleId="13">
    <w:name w:val="正文文本 (4)_"/>
    <w:basedOn w:val="7"/>
    <w:link w:val="14"/>
    <w:uiPriority w:val="0"/>
    <w:rPr>
      <w:rFonts w:ascii="Times New Roman" w:hAnsi="Times New Roman" w:eastAsia="Times New Roman" w:cs="Times New Roman"/>
      <w:b/>
      <w:bCs/>
      <w:sz w:val="28"/>
      <w:szCs w:val="28"/>
      <w:u w:val="none"/>
    </w:rPr>
  </w:style>
  <w:style w:type="paragraph" w:customStyle="1" w:styleId="14">
    <w:name w:val="正文文本 (4)"/>
    <w:basedOn w:val="1"/>
    <w:link w:val="13"/>
    <w:qFormat/>
    <w:uiPriority w:val="0"/>
    <w:pPr>
      <w:shd w:val="clear" w:color="auto" w:fill="FFFFFF"/>
      <w:spacing w:before="1020" w:after="4740" w:line="0" w:lineRule="atLeast"/>
      <w:jc w:val="center"/>
    </w:pPr>
    <w:rPr>
      <w:rFonts w:ascii="Times New Roman" w:hAnsi="Times New Roman" w:eastAsia="Times New Roman" w:cs="Times New Roman"/>
      <w:b/>
      <w:bCs/>
      <w:sz w:val="28"/>
      <w:szCs w:val="28"/>
    </w:rPr>
  </w:style>
  <w:style w:type="character" w:customStyle="1" w:styleId="15">
    <w:name w:val="正文文本 (5)_"/>
    <w:basedOn w:val="7"/>
    <w:link w:val="16"/>
    <w:uiPriority w:val="0"/>
    <w:rPr>
      <w:rFonts w:ascii="Times New Roman" w:hAnsi="Times New Roman" w:eastAsia="Times New Roman" w:cs="Times New Roman"/>
      <w:b/>
      <w:bCs/>
      <w:u w:val="none"/>
    </w:rPr>
  </w:style>
  <w:style w:type="paragraph" w:customStyle="1" w:styleId="16">
    <w:name w:val="正文文本 (5)"/>
    <w:basedOn w:val="1"/>
    <w:link w:val="15"/>
    <w:qFormat/>
    <w:uiPriority w:val="0"/>
    <w:pPr>
      <w:shd w:val="clear" w:color="auto" w:fill="FFFFFF"/>
      <w:spacing w:before="4740" w:after="240" w:line="274" w:lineRule="exact"/>
      <w:jc w:val="right"/>
    </w:pPr>
    <w:rPr>
      <w:rFonts w:ascii="Times New Roman" w:hAnsi="Times New Roman" w:eastAsia="Times New Roman" w:cs="Times New Roman"/>
      <w:b/>
      <w:bCs/>
    </w:rPr>
  </w:style>
  <w:style w:type="character" w:customStyle="1" w:styleId="17">
    <w:name w:val="标题 #2_"/>
    <w:basedOn w:val="7"/>
    <w:link w:val="18"/>
    <w:uiPriority w:val="0"/>
    <w:rPr>
      <w:rFonts w:ascii="Times New Roman" w:hAnsi="Times New Roman" w:eastAsia="Times New Roman" w:cs="Times New Roman"/>
      <w:b/>
      <w:bCs/>
      <w:sz w:val="48"/>
      <w:szCs w:val="48"/>
      <w:u w:val="none"/>
    </w:rPr>
  </w:style>
  <w:style w:type="paragraph" w:customStyle="1" w:styleId="18">
    <w:name w:val="标题 #2"/>
    <w:basedOn w:val="1"/>
    <w:link w:val="17"/>
    <w:qFormat/>
    <w:uiPriority w:val="0"/>
    <w:pPr>
      <w:shd w:val="clear" w:color="auto" w:fill="FFFFFF"/>
      <w:spacing w:after="720" w:line="0" w:lineRule="atLeast"/>
      <w:outlineLvl w:val="1"/>
    </w:pPr>
    <w:rPr>
      <w:rFonts w:ascii="Times New Roman" w:hAnsi="Times New Roman" w:eastAsia="Times New Roman" w:cs="Times New Roman"/>
      <w:b/>
      <w:bCs/>
      <w:sz w:val="48"/>
      <w:szCs w:val="48"/>
    </w:rPr>
  </w:style>
  <w:style w:type="character" w:customStyle="1" w:styleId="19">
    <w:name w:val="标题 #3_"/>
    <w:basedOn w:val="7"/>
    <w:link w:val="20"/>
    <w:uiPriority w:val="0"/>
    <w:rPr>
      <w:rFonts w:ascii="Times New Roman" w:hAnsi="Times New Roman" w:eastAsia="Times New Roman" w:cs="Times New Roman"/>
      <w:b/>
      <w:bCs/>
      <w:sz w:val="36"/>
      <w:szCs w:val="36"/>
      <w:u w:val="none"/>
    </w:rPr>
  </w:style>
  <w:style w:type="paragraph" w:customStyle="1" w:styleId="20">
    <w:name w:val="标题 #3"/>
    <w:basedOn w:val="1"/>
    <w:link w:val="19"/>
    <w:qFormat/>
    <w:uiPriority w:val="0"/>
    <w:pPr>
      <w:shd w:val="clear" w:color="auto" w:fill="FFFFFF"/>
      <w:spacing w:before="720" w:after="480" w:line="0" w:lineRule="atLeast"/>
      <w:outlineLvl w:val="2"/>
    </w:pPr>
    <w:rPr>
      <w:rFonts w:ascii="Times New Roman" w:hAnsi="Times New Roman" w:eastAsia="Times New Roman" w:cs="Times New Roman"/>
      <w:b/>
      <w:bCs/>
      <w:sz w:val="36"/>
      <w:szCs w:val="36"/>
    </w:rPr>
  </w:style>
  <w:style w:type="character" w:customStyle="1" w:styleId="21">
    <w:name w:val="正文文本 (2)_"/>
    <w:basedOn w:val="7"/>
    <w:link w:val="22"/>
    <w:uiPriority w:val="0"/>
    <w:rPr>
      <w:rFonts w:ascii="Times New Roman" w:hAnsi="Times New Roman" w:eastAsia="Times New Roman" w:cs="Times New Roman"/>
      <w:u w:val="none"/>
    </w:rPr>
  </w:style>
  <w:style w:type="paragraph" w:customStyle="1" w:styleId="22">
    <w:name w:val="正文文本 (2)2"/>
    <w:basedOn w:val="1"/>
    <w:link w:val="21"/>
    <w:qFormat/>
    <w:uiPriority w:val="0"/>
    <w:pPr>
      <w:shd w:val="clear" w:color="auto" w:fill="FFFFFF"/>
      <w:spacing w:before="480" w:after="360" w:line="274" w:lineRule="exact"/>
      <w:ind w:hanging="760"/>
    </w:pPr>
    <w:rPr>
      <w:rFonts w:ascii="Times New Roman" w:hAnsi="Times New Roman" w:eastAsia="Times New Roman" w:cs="Times New Roman"/>
    </w:rPr>
  </w:style>
  <w:style w:type="character" w:customStyle="1" w:styleId="23">
    <w:name w:val="正文文本 (2)"/>
    <w:basedOn w:val="21"/>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24">
    <w:name w:val="标题 #4_"/>
    <w:basedOn w:val="7"/>
    <w:link w:val="25"/>
    <w:uiPriority w:val="0"/>
    <w:rPr>
      <w:rFonts w:ascii="Times New Roman" w:hAnsi="Times New Roman" w:eastAsia="Times New Roman" w:cs="Times New Roman"/>
      <w:b/>
      <w:bCs/>
      <w:u w:val="none"/>
    </w:rPr>
  </w:style>
  <w:style w:type="paragraph" w:customStyle="1" w:styleId="25">
    <w:name w:val="标题 #4"/>
    <w:basedOn w:val="1"/>
    <w:link w:val="24"/>
    <w:qFormat/>
    <w:uiPriority w:val="0"/>
    <w:pPr>
      <w:shd w:val="clear" w:color="auto" w:fill="FFFFFF"/>
      <w:spacing w:after="600" w:line="0" w:lineRule="atLeast"/>
      <w:outlineLvl w:val="3"/>
    </w:pPr>
    <w:rPr>
      <w:rFonts w:ascii="Times New Roman" w:hAnsi="Times New Roman" w:eastAsia="Times New Roman" w:cs="Times New Roman"/>
      <w:b/>
      <w:bCs/>
    </w:rPr>
  </w:style>
  <w:style w:type="character" w:customStyle="1" w:styleId="26">
    <w:name w:val="正文文本 (2) + 粗体"/>
    <w:basedOn w:val="21"/>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27">
    <w:name w:val="正文文本 (2) + 斜体"/>
    <w:basedOn w:val="21"/>
    <w:uiPriority w:val="0"/>
    <w:rPr>
      <w:rFonts w:ascii="Times New Roman" w:hAnsi="Times New Roman" w:eastAsia="Times New Roman" w:cs="Times New Roman"/>
      <w:i/>
      <w:iCs/>
      <w:color w:val="000000"/>
      <w:spacing w:val="0"/>
      <w:w w:val="100"/>
      <w:position w:val="0"/>
      <w:sz w:val="24"/>
      <w:szCs w:val="24"/>
      <w:u w:val="none"/>
      <w:lang w:val="en-US" w:eastAsia="en-US" w:bidi="en-US"/>
    </w:rPr>
  </w:style>
  <w:style w:type="character" w:customStyle="1" w:styleId="28">
    <w:name w:val="正文文本 (5) + 非粗体"/>
    <w:basedOn w:val="15"/>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29">
    <w:name w:val="正文文本 (2)1"/>
    <w:basedOn w:val="21"/>
    <w:uiPriority w:val="0"/>
    <w:rPr>
      <w:rFonts w:ascii="Times New Roman" w:hAnsi="Times New Roman" w:eastAsia="Times New Roman" w:cs="Times New Roman"/>
      <w:color w:val="000000"/>
      <w:spacing w:val="0"/>
      <w:w w:val="100"/>
      <w:position w:val="0"/>
      <w:sz w:val="24"/>
      <w:szCs w:val="24"/>
      <w:u w:val="none"/>
      <w:lang w:val="en-US" w:eastAsia="en-US" w:bidi="en-US"/>
    </w:rPr>
  </w:style>
  <w:style w:type="character" w:customStyle="1" w:styleId="30">
    <w:name w:val="页眉 Char"/>
    <w:basedOn w:val="7"/>
    <w:link w:val="4"/>
    <w:semiHidden/>
    <w:qFormat/>
    <w:uiPriority w:val="99"/>
    <w:rPr>
      <w:rFonts w:eastAsia="Microsoft JhengHei Light"/>
      <w:color w:val="000000"/>
      <w:sz w:val="18"/>
      <w:szCs w:val="18"/>
    </w:rPr>
  </w:style>
  <w:style w:type="character" w:customStyle="1" w:styleId="31">
    <w:name w:val="页脚 Char"/>
    <w:basedOn w:val="7"/>
    <w:link w:val="3"/>
    <w:semiHidden/>
    <w:qFormat/>
    <w:uiPriority w:val="99"/>
    <w:rPr>
      <w:rFonts w:eastAsia="Microsoft JhengHei Light"/>
      <w:color w:val="000000"/>
      <w:sz w:val="18"/>
      <w:szCs w:val="18"/>
    </w:rPr>
  </w:style>
  <w:style w:type="character" w:customStyle="1" w:styleId="32">
    <w:name w:val="批注框文本 Char"/>
    <w:basedOn w:val="7"/>
    <w:link w:val="2"/>
    <w:semiHidden/>
    <w:qFormat/>
    <w:uiPriority w:val="99"/>
    <w:rPr>
      <w:rFonts w:eastAsia="Microsoft JhengHei Light"/>
      <w:color w:val="000000"/>
      <w:sz w:val="18"/>
      <w:szCs w:val="1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5D1DF-9BAA-419F-A74D-B207291950F8}">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5</Pages>
  <Words>1635</Words>
  <Characters>1872</Characters>
  <Lines>15</Lines>
  <Paragraphs>4</Paragraphs>
  <TotalTime>0</TotalTime>
  <ScaleCrop>false</ScaleCrop>
  <LinksUpToDate>false</LinksUpToDate>
  <CharactersWithSpaces>1951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2017-04-10T13:03:00Z</dcterms:created>
  <dc:creator>y li</dc:creator>
  <cp:keywords>Posted: 06-15-1999, IVD</cp:keywords>
  <cp:lastModifiedBy>太极箫客</cp:lastModifiedBy>
  <dcterms:modified xsi:type="dcterms:W3CDTF">2025-08-14T06:32:06Z</dcterms:modified>
  <dc:subject>Issued: 06-15-1999</dc:subject>
  <dc:title>In Vitro Diagnostic Fibrin Monomer Paracoagulation Test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062D11EC951246659FAC064F051DDA15_12</vt:lpwstr>
  </property>
</Properties>
</file>