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FC1BC">
      <w:pPr>
        <w:snapToGrid w:val="0"/>
        <w:spacing w:line="300" w:lineRule="auto"/>
        <w:rPr>
          <w:rFonts w:ascii="Arial" w:hAnsi="Arial" w:eastAsia="宋体" w:cs="Arial"/>
          <w:sz w:val="20"/>
          <w:szCs w:val="20"/>
        </w:rPr>
      </w:pPr>
      <w:bookmarkStart w:id="2" w:name="_GoBack"/>
      <w:bookmarkEnd w:id="2"/>
    </w:p>
    <w:p w14:paraId="0D661376">
      <w:pPr>
        <w:snapToGrid w:val="0"/>
        <w:spacing w:before="18" w:line="300" w:lineRule="auto"/>
        <w:rPr>
          <w:rFonts w:ascii="Arial" w:hAnsi="Arial" w:eastAsia="宋体" w:cs="Arial"/>
        </w:rPr>
      </w:pPr>
    </w:p>
    <w:p w14:paraId="0B34A6A1">
      <w:pPr>
        <w:snapToGrid w:val="0"/>
        <w:spacing w:before="38" w:line="300" w:lineRule="auto"/>
        <w:jc w:val="center"/>
        <w:rPr>
          <w:rFonts w:ascii="Arial" w:hAnsi="Arial" w:eastAsia="宋体" w:cs="Arial"/>
          <w:sz w:val="48"/>
          <w:szCs w:val="48"/>
        </w:rPr>
      </w:pPr>
      <w:r>
        <w:rPr>
          <w:rFonts w:ascii="Arial" w:hAnsi="Arial" w:eastAsia="宋体" w:cs="Arial"/>
          <w:sz w:val="48"/>
        </w:rPr>
        <w:t>行业指南</w:t>
      </w:r>
    </w:p>
    <w:p w14:paraId="45F496BB">
      <w:pPr>
        <w:snapToGrid w:val="0"/>
        <w:spacing w:before="286" w:line="300" w:lineRule="auto"/>
        <w:jc w:val="center"/>
        <w:rPr>
          <w:rFonts w:ascii="Arial" w:hAnsi="Arial" w:eastAsia="宋体" w:cs="Arial"/>
          <w:sz w:val="60"/>
          <w:szCs w:val="60"/>
        </w:rPr>
      </w:pPr>
      <w:bookmarkStart w:id="0" w:name="OLE_LINK26"/>
      <w:bookmarkStart w:id="1" w:name="OLE_LINK27"/>
      <w:r>
        <w:rPr>
          <w:rFonts w:ascii="Arial" w:hAnsi="Arial" w:eastAsia="宋体" w:cs="Arial"/>
          <w:b/>
          <w:sz w:val="60"/>
        </w:rPr>
        <w:t>体外诊断校准品</w:t>
      </w:r>
      <w:bookmarkEnd w:id="0"/>
      <w:bookmarkEnd w:id="1"/>
      <w:r>
        <w:rPr>
          <w:rFonts w:ascii="Arial" w:hAnsi="Arial" w:eastAsia="宋体" w:cs="Arial"/>
          <w:b/>
          <w:sz w:val="60"/>
        </w:rPr>
        <w:t>的</w:t>
      </w:r>
      <w:r>
        <w:rPr>
          <w:rFonts w:ascii="Arial" w:hAnsi="Arial" w:eastAsia="宋体" w:cs="Arial"/>
          <w:b/>
          <w:sz w:val="60"/>
        </w:rPr>
        <w:br w:type="textWrapping"/>
      </w:r>
      <w:r>
        <w:rPr>
          <w:rFonts w:ascii="Arial" w:hAnsi="Arial" w:eastAsia="宋体" w:cs="Arial"/>
          <w:b/>
          <w:sz w:val="60"/>
        </w:rPr>
        <w:t>简化510（k）提交资料</w:t>
      </w:r>
    </w:p>
    <w:p w14:paraId="3D17D817">
      <w:pPr>
        <w:snapToGrid w:val="0"/>
        <w:spacing w:line="300" w:lineRule="auto"/>
        <w:rPr>
          <w:rFonts w:ascii="Arial" w:hAnsi="Arial" w:eastAsia="宋体" w:cs="Arial"/>
          <w:sz w:val="60"/>
          <w:szCs w:val="60"/>
        </w:rPr>
      </w:pPr>
    </w:p>
    <w:p w14:paraId="317E62C8">
      <w:pPr>
        <w:snapToGrid w:val="0"/>
        <w:spacing w:line="300" w:lineRule="auto"/>
        <w:jc w:val="center"/>
        <w:rPr>
          <w:rFonts w:ascii="Arial" w:hAnsi="Arial" w:eastAsia="宋体" w:cs="Arial"/>
          <w:b/>
          <w:sz w:val="28"/>
        </w:rPr>
      </w:pPr>
      <w:r>
        <w:rPr>
          <w:rFonts w:ascii="Arial" w:hAnsi="Arial" w:eastAsia="宋体" w:cs="Arial"/>
          <w:b/>
          <w:sz w:val="28"/>
        </w:rPr>
        <w:t>发布日期: 1999年2月22日</w:t>
      </w:r>
    </w:p>
    <w:p w14:paraId="2353F983">
      <w:pPr>
        <w:snapToGrid w:val="0"/>
        <w:spacing w:line="300" w:lineRule="auto"/>
        <w:jc w:val="center"/>
        <w:rPr>
          <w:rFonts w:ascii="Arial" w:hAnsi="Arial" w:eastAsia="宋体" w:cs="Arial"/>
          <w:sz w:val="28"/>
          <w:szCs w:val="28"/>
        </w:rPr>
      </w:pPr>
    </w:p>
    <w:p w14:paraId="4A7F2275">
      <w:pPr>
        <w:pStyle w:val="2"/>
        <w:snapToGrid w:val="0"/>
        <w:spacing w:line="300" w:lineRule="auto"/>
        <w:ind w:left="0"/>
        <w:jc w:val="center"/>
        <w:rPr>
          <w:rFonts w:ascii="Arial" w:hAnsi="Arial" w:cs="Arial"/>
        </w:rPr>
      </w:pPr>
      <w:r>
        <w:rPr>
          <w:rFonts w:ascii="Arial" w:hAnsi="Arial" w:cs="Arial"/>
        </w:rPr>
        <w:t>本文件替代体外诊断校准品，1998年7月20日</w:t>
      </w:r>
    </w:p>
    <w:p w14:paraId="3884E2AD">
      <w:pPr>
        <w:snapToGrid w:val="0"/>
        <w:spacing w:before="3" w:line="300" w:lineRule="auto"/>
        <w:rPr>
          <w:rFonts w:ascii="Arial" w:hAnsi="Arial" w:eastAsia="宋体" w:cs="Arial"/>
          <w:sz w:val="23"/>
          <w:szCs w:val="23"/>
        </w:rPr>
      </w:pPr>
    </w:p>
    <w:p w14:paraId="0B273A5A">
      <w:pPr>
        <w:snapToGrid w:val="0"/>
        <w:spacing w:line="300" w:lineRule="auto"/>
        <w:rPr>
          <w:rFonts w:ascii="Arial" w:hAnsi="Arial" w:eastAsia="宋体" w:cs="Arial"/>
          <w:sz w:val="24"/>
          <w:szCs w:val="24"/>
        </w:rPr>
      </w:pPr>
    </w:p>
    <w:p w14:paraId="6226AEB3">
      <w:pPr>
        <w:snapToGrid w:val="0"/>
        <w:spacing w:line="300" w:lineRule="auto"/>
        <w:rPr>
          <w:rFonts w:ascii="Arial" w:hAnsi="Arial" w:eastAsia="宋体" w:cs="Arial"/>
          <w:sz w:val="24"/>
          <w:szCs w:val="24"/>
        </w:rPr>
      </w:pPr>
    </w:p>
    <w:p w14:paraId="78AAE4BF">
      <w:pPr>
        <w:snapToGrid w:val="0"/>
        <w:spacing w:line="300" w:lineRule="auto"/>
        <w:rPr>
          <w:rFonts w:ascii="Arial" w:hAnsi="Arial" w:eastAsia="宋体" w:cs="Arial"/>
          <w:sz w:val="24"/>
          <w:szCs w:val="24"/>
        </w:rPr>
      </w:pPr>
    </w:p>
    <w:p w14:paraId="45496EA1">
      <w:pPr>
        <w:snapToGrid w:val="0"/>
        <w:spacing w:line="300" w:lineRule="auto"/>
        <w:rPr>
          <w:rFonts w:ascii="Arial" w:hAnsi="Arial" w:eastAsia="宋体" w:cs="Arial"/>
          <w:sz w:val="24"/>
          <w:szCs w:val="24"/>
        </w:rPr>
      </w:pPr>
    </w:p>
    <w:p w14:paraId="6D897244">
      <w:pPr>
        <w:snapToGrid w:val="0"/>
        <w:spacing w:line="300" w:lineRule="auto"/>
        <w:rPr>
          <w:rFonts w:ascii="Arial" w:hAnsi="Arial" w:eastAsia="宋体" w:cs="Arial"/>
          <w:sz w:val="24"/>
          <w:szCs w:val="24"/>
        </w:rPr>
      </w:pPr>
    </w:p>
    <w:p w14:paraId="45A9918D">
      <w:pPr>
        <w:snapToGrid w:val="0"/>
        <w:spacing w:line="300" w:lineRule="auto"/>
        <w:rPr>
          <w:rFonts w:ascii="Arial" w:hAnsi="Arial" w:eastAsia="宋体" w:cs="Arial"/>
          <w:sz w:val="24"/>
          <w:szCs w:val="24"/>
        </w:rPr>
      </w:pPr>
    </w:p>
    <w:p w14:paraId="113EBBFC">
      <w:pPr>
        <w:snapToGrid w:val="0"/>
        <w:spacing w:line="300" w:lineRule="auto"/>
        <w:rPr>
          <w:rFonts w:ascii="Arial" w:hAnsi="Arial" w:eastAsia="宋体" w:cs="Arial"/>
          <w:sz w:val="24"/>
          <w:szCs w:val="24"/>
        </w:rPr>
      </w:pPr>
    </w:p>
    <w:p w14:paraId="4624B48A">
      <w:pPr>
        <w:snapToGrid w:val="0"/>
        <w:spacing w:line="300" w:lineRule="auto"/>
        <w:rPr>
          <w:rFonts w:ascii="Arial" w:hAnsi="Arial" w:eastAsia="宋体" w:cs="Arial"/>
          <w:sz w:val="24"/>
          <w:szCs w:val="24"/>
        </w:rPr>
      </w:pPr>
    </w:p>
    <w:p w14:paraId="2AD7F505">
      <w:pPr>
        <w:snapToGrid w:val="0"/>
        <w:spacing w:line="300" w:lineRule="auto"/>
        <w:rPr>
          <w:rFonts w:ascii="Arial" w:hAnsi="Arial" w:eastAsia="宋体" w:cs="Arial"/>
          <w:sz w:val="24"/>
          <w:szCs w:val="24"/>
        </w:rPr>
      </w:pPr>
    </w:p>
    <w:p w14:paraId="4611A9DA">
      <w:pPr>
        <w:snapToGrid w:val="0"/>
        <w:spacing w:line="300" w:lineRule="auto"/>
        <w:rPr>
          <w:rFonts w:ascii="Arial" w:hAnsi="Arial" w:eastAsia="宋体" w:cs="Arial"/>
          <w:sz w:val="24"/>
          <w:szCs w:val="24"/>
        </w:rPr>
      </w:pPr>
      <w:r>
        <w:rPr>
          <w:rFonts w:ascii="Arial" w:hAnsi="Arial" w:eastAsia="宋体" w:cs="Arial"/>
          <w:sz w:val="24"/>
          <w:szCs w:val="24"/>
        </w:rPr>
        <w:drawing>
          <wp:anchor distT="0" distB="0" distL="114300" distR="114300" simplePos="0" relativeHeight="251659264" behindDoc="1" locked="0" layoutInCell="1" allowOverlap="1">
            <wp:simplePos x="0" y="0"/>
            <wp:positionH relativeFrom="page">
              <wp:posOffset>1028700</wp:posOffset>
            </wp:positionH>
            <wp:positionV relativeFrom="paragraph">
              <wp:posOffset>0</wp:posOffset>
            </wp:positionV>
            <wp:extent cx="1037590" cy="1141095"/>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srcRect/>
                    <a:stretch>
                      <a:fillRect/>
                    </a:stretch>
                  </pic:blipFill>
                  <pic:spPr>
                    <a:xfrm>
                      <a:off x="0" y="0"/>
                      <a:ext cx="1037590" cy="1141095"/>
                    </a:xfrm>
                    <a:prstGeom prst="rect">
                      <a:avLst/>
                    </a:prstGeom>
                    <a:noFill/>
                    <a:ln w="9525">
                      <a:noFill/>
                      <a:miter lim="800000"/>
                      <a:headEnd/>
                      <a:tailEnd/>
                    </a:ln>
                  </pic:spPr>
                </pic:pic>
              </a:graphicData>
            </a:graphic>
          </wp:anchor>
        </w:drawing>
      </w:r>
    </w:p>
    <w:p w14:paraId="3EAF8006">
      <w:pPr>
        <w:pStyle w:val="10"/>
        <w:snapToGrid w:val="0"/>
        <w:spacing w:line="300" w:lineRule="auto"/>
        <w:jc w:val="right"/>
        <w:rPr>
          <w:rFonts w:ascii="Arial" w:hAnsi="Arial" w:cs="Arial"/>
        </w:rPr>
      </w:pPr>
      <w:r>
        <w:rPr>
          <w:rFonts w:ascii="Arial" w:hAnsi="Arial" w:cs="Arial"/>
        </w:rPr>
        <w:t>美国</w:t>
      </w:r>
      <w:r>
        <w:rPr>
          <w:rFonts w:hint="eastAsia" w:ascii="Arial" w:hAnsi="Arial" w:cs="Arial"/>
        </w:rPr>
        <w:t>卫生与公众服务部</w:t>
      </w:r>
    </w:p>
    <w:p w14:paraId="5DA22C3C">
      <w:pPr>
        <w:pStyle w:val="10"/>
        <w:snapToGrid w:val="0"/>
        <w:spacing w:line="300" w:lineRule="auto"/>
        <w:jc w:val="right"/>
        <w:rPr>
          <w:rFonts w:ascii="Arial" w:hAnsi="Arial" w:cs="Arial"/>
          <w:b w:val="0"/>
          <w:bCs w:val="0"/>
        </w:rPr>
      </w:pPr>
      <w:r>
        <w:rPr>
          <w:rFonts w:ascii="Arial" w:hAnsi="Arial" w:cs="Arial"/>
        </w:rPr>
        <w:t>食品药品监督管理局</w:t>
      </w:r>
    </w:p>
    <w:p w14:paraId="221A801B">
      <w:pPr>
        <w:snapToGrid w:val="0"/>
        <w:spacing w:before="17" w:line="300" w:lineRule="auto"/>
        <w:jc w:val="right"/>
        <w:rPr>
          <w:rFonts w:ascii="Arial" w:hAnsi="Arial" w:eastAsia="宋体" w:cs="Arial"/>
          <w:b/>
          <w:sz w:val="24"/>
        </w:rPr>
      </w:pPr>
      <w:r>
        <w:rPr>
          <w:rFonts w:hint="eastAsia" w:ascii="Arial" w:hAnsi="Arial" w:eastAsia="宋体" w:cs="Arial"/>
          <w:b/>
          <w:sz w:val="24"/>
        </w:rPr>
        <w:t>器械与放射健康中心</w:t>
      </w:r>
    </w:p>
    <w:p w14:paraId="21E133BC">
      <w:pPr>
        <w:snapToGrid w:val="0"/>
        <w:spacing w:before="17" w:line="300" w:lineRule="auto"/>
        <w:jc w:val="right"/>
        <w:rPr>
          <w:rFonts w:ascii="Arial" w:hAnsi="Arial" w:eastAsia="宋体" w:cs="Arial"/>
          <w:sz w:val="26"/>
          <w:szCs w:val="26"/>
        </w:rPr>
      </w:pPr>
    </w:p>
    <w:p w14:paraId="14961C72">
      <w:pPr>
        <w:snapToGrid w:val="0"/>
        <w:spacing w:line="300" w:lineRule="auto"/>
        <w:jc w:val="right"/>
        <w:rPr>
          <w:rFonts w:ascii="Arial" w:hAnsi="Arial" w:eastAsia="宋体" w:cs="Arial"/>
          <w:b/>
          <w:sz w:val="24"/>
        </w:rPr>
      </w:pPr>
      <w:r>
        <w:rPr>
          <w:rFonts w:ascii="Arial" w:hAnsi="Arial" w:eastAsia="宋体" w:cs="Arial"/>
          <w:b/>
          <w:sz w:val="24"/>
        </w:rPr>
        <w:t>化学、毒理学和血液学分部</w:t>
      </w:r>
    </w:p>
    <w:p w14:paraId="10F7CEE8">
      <w:pPr>
        <w:snapToGrid w:val="0"/>
        <w:spacing w:line="300" w:lineRule="auto"/>
        <w:jc w:val="right"/>
        <w:rPr>
          <w:rFonts w:ascii="Arial" w:hAnsi="Arial" w:eastAsia="宋体" w:cs="Arial"/>
          <w:sz w:val="24"/>
          <w:szCs w:val="24"/>
        </w:rPr>
      </w:pPr>
      <w:r>
        <w:rPr>
          <w:rFonts w:ascii="Arial" w:hAnsi="Arial" w:eastAsia="宋体" w:cs="Arial"/>
          <w:b/>
          <w:sz w:val="24"/>
        </w:rPr>
        <w:t>临床实验室器械部</w:t>
      </w:r>
    </w:p>
    <w:p w14:paraId="399F41E2">
      <w:pPr>
        <w:snapToGrid w:val="0"/>
        <w:spacing w:line="300" w:lineRule="auto"/>
        <w:jc w:val="right"/>
        <w:rPr>
          <w:rFonts w:ascii="Arial" w:hAnsi="Arial" w:eastAsia="宋体" w:cs="Arial"/>
          <w:sz w:val="24"/>
          <w:szCs w:val="24"/>
        </w:rPr>
      </w:pPr>
      <w:r>
        <w:rPr>
          <w:rFonts w:ascii="Arial" w:hAnsi="Arial" w:eastAsia="宋体" w:cs="Arial"/>
          <w:b/>
          <w:sz w:val="24"/>
        </w:rPr>
        <w:t>器械评估办公室</w:t>
      </w:r>
    </w:p>
    <w:p w14:paraId="000F48B1">
      <w:pPr>
        <w:snapToGrid w:val="0"/>
        <w:spacing w:line="300" w:lineRule="auto"/>
        <w:jc w:val="right"/>
        <w:rPr>
          <w:rFonts w:ascii="Arial" w:hAnsi="Arial" w:eastAsia="宋体" w:cs="Arial"/>
          <w:sz w:val="24"/>
          <w:szCs w:val="24"/>
        </w:rPr>
        <w:sectPr>
          <w:type w:val="continuous"/>
          <w:pgSz w:w="12240" w:h="15840"/>
          <w:pgMar w:top="1500" w:right="1680" w:bottom="280" w:left="1620" w:header="720" w:footer="720" w:gutter="0"/>
          <w:cols w:space="720" w:num="1"/>
        </w:sectPr>
      </w:pPr>
    </w:p>
    <w:p w14:paraId="41728061">
      <w:pPr>
        <w:snapToGrid w:val="0"/>
        <w:spacing w:before="13" w:line="300" w:lineRule="auto"/>
        <w:jc w:val="center"/>
        <w:rPr>
          <w:rFonts w:ascii="Arial" w:hAnsi="Arial" w:eastAsia="宋体" w:cs="Arial"/>
          <w:sz w:val="48"/>
          <w:szCs w:val="48"/>
        </w:rPr>
      </w:pPr>
      <w:r>
        <w:rPr>
          <w:rFonts w:ascii="Arial" w:hAnsi="Arial" w:eastAsia="宋体" w:cs="Arial"/>
          <w:b/>
          <w:sz w:val="48"/>
        </w:rPr>
        <w:t>前言</w:t>
      </w:r>
    </w:p>
    <w:p w14:paraId="20E9E551">
      <w:pPr>
        <w:snapToGrid w:val="0"/>
        <w:spacing w:before="5" w:line="300" w:lineRule="auto"/>
        <w:rPr>
          <w:rFonts w:ascii="Arial" w:hAnsi="Arial" w:eastAsia="宋体" w:cs="Arial"/>
          <w:sz w:val="10"/>
          <w:szCs w:val="10"/>
        </w:rPr>
      </w:pPr>
    </w:p>
    <w:p w14:paraId="5481643E">
      <w:pPr>
        <w:snapToGrid w:val="0"/>
        <w:spacing w:line="300" w:lineRule="auto"/>
        <w:rPr>
          <w:rFonts w:ascii="Arial" w:hAnsi="Arial" w:eastAsia="宋体" w:cs="Arial"/>
          <w:sz w:val="20"/>
          <w:szCs w:val="20"/>
        </w:rPr>
      </w:pPr>
    </w:p>
    <w:p w14:paraId="675B63B0">
      <w:pPr>
        <w:snapToGrid w:val="0"/>
        <w:spacing w:line="300" w:lineRule="auto"/>
        <w:rPr>
          <w:rFonts w:ascii="Arial" w:hAnsi="Arial" w:eastAsia="宋体" w:cs="Arial"/>
          <w:sz w:val="20"/>
          <w:szCs w:val="20"/>
        </w:rPr>
      </w:pPr>
    </w:p>
    <w:p w14:paraId="49C66817">
      <w:pPr>
        <w:pStyle w:val="9"/>
        <w:snapToGrid w:val="0"/>
        <w:spacing w:line="300" w:lineRule="auto"/>
        <w:ind w:left="0"/>
        <w:rPr>
          <w:rFonts w:ascii="Arial" w:hAnsi="Arial" w:cs="Arial"/>
          <w:b w:val="0"/>
          <w:bCs w:val="0"/>
        </w:rPr>
      </w:pPr>
      <w:r>
        <w:rPr>
          <w:rFonts w:ascii="Arial" w:hAnsi="Arial" w:cs="Arial"/>
        </w:rPr>
        <w:t>公众评论</w:t>
      </w:r>
    </w:p>
    <w:p w14:paraId="4CA8BB74">
      <w:pPr>
        <w:pStyle w:val="2"/>
        <w:snapToGrid w:val="0"/>
        <w:spacing w:before="269" w:line="300" w:lineRule="auto"/>
        <w:ind w:left="0"/>
        <w:jc w:val="both"/>
        <w:rPr>
          <w:rFonts w:ascii="Arial" w:hAnsi="Arial" w:cs="Arial"/>
        </w:rPr>
      </w:pPr>
      <w:r>
        <w:rPr>
          <w:rFonts w:ascii="Arial" w:hAnsi="Arial" w:cs="Arial"/>
        </w:rPr>
        <w:t>可随时向临床实验室器械部，HFZ-440，器械评估办公室，9200 Corporate Blvd.，Rockville，MD，20850提交评论和建议</w:t>
      </w:r>
      <w:r>
        <w:rPr>
          <w:rFonts w:hint="eastAsia" w:ascii="Arial" w:hAnsi="Arial" w:cs="Arial"/>
        </w:rPr>
        <w:t>，供部门审议</w:t>
      </w:r>
      <w:r>
        <w:rPr>
          <w:rFonts w:ascii="Arial" w:hAnsi="Arial" w:cs="Arial"/>
        </w:rPr>
        <w:t>。</w:t>
      </w:r>
      <w:r>
        <w:rPr>
          <w:rFonts w:hint="eastAsia" w:ascii="Arial" w:hAnsi="Arial" w:cs="Arial"/>
        </w:rPr>
        <w:t>可能直到文件下次修订或更新时，评论才会被机构受理。</w:t>
      </w:r>
      <w:r>
        <w:rPr>
          <w:rFonts w:ascii="Arial" w:hAnsi="Arial" w:cs="Arial"/>
        </w:rPr>
        <w:t>有关本指南的使用或解释问题，请联系Joseph Hackett博士（电话：301-594-3084），或发送电子邮件至</w:t>
      </w:r>
      <w:r>
        <w:rPr>
          <w:rFonts w:ascii="Arial" w:hAnsi="Arial" w:cs="Arial"/>
          <w:color w:val="0000FF"/>
          <w:u w:val="single"/>
        </w:rPr>
        <w:t>JLH@cdrh.fda.go</w:t>
      </w:r>
      <w:r>
        <w:rPr>
          <w:rFonts w:ascii="Arial" w:hAnsi="Arial" w:cs="Arial"/>
        </w:rPr>
        <w:t>。</w:t>
      </w:r>
    </w:p>
    <w:p w14:paraId="75FF8F8D">
      <w:pPr>
        <w:snapToGrid w:val="0"/>
        <w:spacing w:before="3" w:line="300" w:lineRule="auto"/>
        <w:jc w:val="both"/>
        <w:rPr>
          <w:rFonts w:ascii="Arial" w:hAnsi="Arial" w:eastAsia="宋体" w:cs="Arial"/>
          <w:sz w:val="10"/>
          <w:szCs w:val="10"/>
        </w:rPr>
      </w:pPr>
    </w:p>
    <w:p w14:paraId="0C626D09">
      <w:pPr>
        <w:snapToGrid w:val="0"/>
        <w:spacing w:line="300" w:lineRule="auto"/>
        <w:jc w:val="both"/>
        <w:rPr>
          <w:rFonts w:ascii="Arial" w:hAnsi="Arial" w:eastAsia="宋体" w:cs="Arial"/>
          <w:sz w:val="20"/>
          <w:szCs w:val="20"/>
        </w:rPr>
      </w:pPr>
    </w:p>
    <w:p w14:paraId="01E0BC23">
      <w:pPr>
        <w:snapToGrid w:val="0"/>
        <w:spacing w:line="300" w:lineRule="auto"/>
        <w:jc w:val="both"/>
        <w:rPr>
          <w:rFonts w:ascii="Arial" w:hAnsi="Arial" w:eastAsia="宋体" w:cs="Arial"/>
          <w:sz w:val="20"/>
          <w:szCs w:val="20"/>
        </w:rPr>
      </w:pPr>
    </w:p>
    <w:p w14:paraId="4D588B6A">
      <w:pPr>
        <w:pStyle w:val="9"/>
        <w:snapToGrid w:val="0"/>
        <w:spacing w:line="300" w:lineRule="auto"/>
        <w:ind w:left="0"/>
        <w:jc w:val="both"/>
        <w:rPr>
          <w:rFonts w:ascii="Arial" w:hAnsi="Arial" w:cs="Arial"/>
          <w:b w:val="0"/>
          <w:bCs w:val="0"/>
        </w:rPr>
      </w:pPr>
      <w:r>
        <w:rPr>
          <w:rFonts w:ascii="Arial" w:hAnsi="Arial" w:cs="Arial"/>
        </w:rPr>
        <w:t>其他副本</w:t>
      </w:r>
    </w:p>
    <w:p w14:paraId="71240EE3">
      <w:pPr>
        <w:pStyle w:val="2"/>
        <w:snapToGrid w:val="0"/>
        <w:spacing w:before="269" w:line="300" w:lineRule="auto"/>
        <w:ind w:left="0"/>
        <w:jc w:val="both"/>
        <w:rPr>
          <w:rFonts w:ascii="Arial" w:hAnsi="Arial" w:cs="Arial"/>
        </w:rPr>
      </w:pPr>
      <w:r>
        <w:rPr>
          <w:rFonts w:ascii="Arial" w:hAnsi="Arial" w:cs="Arial"/>
        </w:rPr>
        <w:t>万维网/CDRH 主页：</w:t>
      </w:r>
      <w:r>
        <w:fldChar w:fldCharType="begin"/>
      </w:r>
      <w:r>
        <w:instrText xml:space="preserve"> HYPERLINK "http://www.fda.gov/cdrh" \h </w:instrText>
      </w:r>
      <w:r>
        <w:fldChar w:fldCharType="separate"/>
      </w:r>
      <w:r>
        <w:rPr>
          <w:rFonts w:ascii="Arial" w:hAnsi="Arial" w:cs="Arial"/>
        </w:rPr>
        <w:t>http://www.fda.gov/cdrh</w:t>
      </w:r>
      <w:r>
        <w:rPr>
          <w:rFonts w:ascii="Arial" w:hAnsi="Arial" w:cs="Arial"/>
        </w:rPr>
        <w:fldChar w:fldCharType="end"/>
      </w:r>
      <w:r>
        <w:rPr>
          <w:rFonts w:ascii="Arial" w:hAnsi="Arial" w:cs="Arial"/>
        </w:rPr>
        <w:t>，或CDRH 资源索取自动回传系统，拨打1-800-899-0381或1-301-827-0111，当提示输入文件索取号时，输入指定号码1247。</w:t>
      </w:r>
    </w:p>
    <w:p w14:paraId="66FA8709">
      <w:pPr>
        <w:snapToGrid w:val="0"/>
        <w:spacing w:line="300" w:lineRule="auto"/>
        <w:jc w:val="both"/>
        <w:rPr>
          <w:rFonts w:ascii="Arial" w:hAnsi="Arial" w:eastAsia="宋体" w:cs="Arial"/>
        </w:rPr>
        <w:sectPr>
          <w:pgSz w:w="12240" w:h="15840"/>
          <w:pgMar w:top="1420" w:right="1720" w:bottom="280" w:left="1700" w:header="720" w:footer="720" w:gutter="0"/>
          <w:cols w:space="720" w:num="1"/>
        </w:sectPr>
      </w:pPr>
    </w:p>
    <w:p w14:paraId="61CC423D">
      <w:pPr>
        <w:pStyle w:val="10"/>
        <w:snapToGrid w:val="0"/>
        <w:spacing w:before="56" w:line="300" w:lineRule="auto"/>
        <w:jc w:val="center"/>
        <w:rPr>
          <w:rFonts w:ascii="Arial" w:hAnsi="Arial" w:cs="Arial"/>
          <w:b w:val="0"/>
          <w:bCs w:val="0"/>
        </w:rPr>
      </w:pPr>
      <w:r>
        <w:rPr>
          <w:rFonts w:ascii="Arial" w:hAnsi="Arial" w:cs="Arial"/>
        </w:rPr>
        <w:t>体外诊断校准品简化510（k）提交资料的使用</w:t>
      </w:r>
    </w:p>
    <w:p w14:paraId="7A314A0F">
      <w:pPr>
        <w:snapToGrid w:val="0"/>
        <w:spacing w:before="11" w:line="300" w:lineRule="auto"/>
        <w:jc w:val="both"/>
        <w:rPr>
          <w:rFonts w:ascii="Arial" w:hAnsi="Arial" w:eastAsia="宋体" w:cs="Arial"/>
          <w:sz w:val="26"/>
          <w:szCs w:val="26"/>
        </w:rPr>
      </w:pPr>
    </w:p>
    <w:p w14:paraId="74222E29">
      <w:pPr>
        <w:pStyle w:val="2"/>
        <w:snapToGrid w:val="0"/>
        <w:spacing w:line="300" w:lineRule="auto"/>
        <w:ind w:left="0"/>
        <w:jc w:val="both"/>
        <w:rPr>
          <w:rFonts w:ascii="Arial" w:hAnsi="Arial" w:cs="Arial"/>
        </w:rPr>
      </w:pPr>
      <w:r>
        <w:rPr>
          <w:rFonts w:ascii="Arial" w:hAnsi="Arial" w:cs="Arial"/>
        </w:rPr>
        <w:t>在1998年3月20日由器械与放射健康中心编写的指南中，确定了建议的简化510（k）提交资料的内容，题为“新510（k）范例；在上市前通告中证明实质等同性的替代方法。”可通过万维网/CDRH主页：</w:t>
      </w:r>
      <w:r>
        <w:fldChar w:fldCharType="begin"/>
      </w:r>
      <w:r>
        <w:instrText xml:space="preserve"> HYPERLINK "http://www.fda.gov/cdrh" \h </w:instrText>
      </w:r>
      <w:r>
        <w:fldChar w:fldCharType="separate"/>
      </w:r>
      <w:r>
        <w:rPr>
          <w:rFonts w:ascii="Arial" w:hAnsi="Arial" w:cs="Arial"/>
        </w:rPr>
        <w:t>http://www.fda.gov/cdrh，</w:t>
      </w:r>
      <w:r>
        <w:rPr>
          <w:rFonts w:ascii="Arial" w:hAnsi="Arial" w:cs="Arial"/>
        </w:rPr>
        <w:fldChar w:fldCharType="end"/>
      </w:r>
      <w:r>
        <w:rPr>
          <w:rFonts w:ascii="Arial" w:hAnsi="Arial" w:cs="Arial"/>
        </w:rPr>
        <w:t>或CDRH 资源索取自动回传系统，拨打1-800-899-0381或1-301-827-0111获取该指南文件。</w:t>
      </w:r>
    </w:p>
    <w:p w14:paraId="14BBDAE2">
      <w:pPr>
        <w:snapToGrid w:val="0"/>
        <w:spacing w:line="300" w:lineRule="auto"/>
        <w:jc w:val="both"/>
        <w:rPr>
          <w:rFonts w:ascii="Arial" w:hAnsi="Arial" w:eastAsia="宋体" w:cs="Arial"/>
          <w:sz w:val="28"/>
          <w:szCs w:val="28"/>
        </w:rPr>
      </w:pPr>
    </w:p>
    <w:p w14:paraId="0BB9E043">
      <w:pPr>
        <w:pStyle w:val="2"/>
        <w:snapToGrid w:val="0"/>
        <w:spacing w:line="300" w:lineRule="auto"/>
        <w:ind w:left="0"/>
        <w:jc w:val="both"/>
        <w:rPr>
          <w:rFonts w:ascii="Arial" w:hAnsi="Arial" w:cs="Arial"/>
        </w:rPr>
      </w:pPr>
      <w:r>
        <w:rPr>
          <w:rFonts w:ascii="Arial" w:hAnsi="Arial" w:cs="Arial"/>
        </w:rPr>
        <w:t>体外诊断校准品的简化510（k）提交资料应包括以下内容：</w:t>
      </w:r>
    </w:p>
    <w:p w14:paraId="0F9B8CE2">
      <w:pPr>
        <w:snapToGrid w:val="0"/>
        <w:spacing w:before="14" w:line="300" w:lineRule="auto"/>
        <w:jc w:val="both"/>
        <w:rPr>
          <w:rFonts w:ascii="Arial" w:hAnsi="Arial" w:eastAsia="宋体" w:cs="Arial"/>
          <w:sz w:val="30"/>
          <w:szCs w:val="30"/>
        </w:rPr>
      </w:pPr>
    </w:p>
    <w:p w14:paraId="25316422">
      <w:pPr>
        <w:pStyle w:val="2"/>
        <w:numPr>
          <w:ilvl w:val="0"/>
          <w:numId w:val="1"/>
        </w:numPr>
        <w:snapToGrid w:val="0"/>
        <w:spacing w:line="300" w:lineRule="auto"/>
        <w:ind w:left="755" w:leftChars="196" w:hanging="324" w:hangingChars="135"/>
        <w:jc w:val="both"/>
        <w:rPr>
          <w:rFonts w:ascii="Arial" w:hAnsi="Arial" w:cs="Arial"/>
        </w:rPr>
      </w:pPr>
      <w:r>
        <w:rPr>
          <w:rFonts w:ascii="Arial" w:hAnsi="Arial" w:cs="Arial"/>
        </w:rPr>
        <w:t>封面清楚地标识该申请为“简化510（k）”；</w:t>
      </w:r>
    </w:p>
    <w:p w14:paraId="32DB47C5">
      <w:pPr>
        <w:pStyle w:val="2"/>
        <w:numPr>
          <w:ilvl w:val="0"/>
          <w:numId w:val="1"/>
        </w:numPr>
        <w:snapToGrid w:val="0"/>
        <w:spacing w:line="300" w:lineRule="auto"/>
        <w:ind w:left="755" w:leftChars="196" w:hanging="324" w:hangingChars="135"/>
        <w:jc w:val="both"/>
        <w:rPr>
          <w:rFonts w:ascii="Arial" w:hAnsi="Arial" w:cs="Arial"/>
        </w:rPr>
      </w:pPr>
      <w:r>
        <w:rPr>
          <w:rFonts w:ascii="Arial" w:hAnsi="Arial" w:cs="Arial"/>
        </w:rPr>
        <w:t>21 CFR 807.87要求的项目，包括器械的描述、器械的预期用途和器械的拟用标签；</w:t>
      </w:r>
    </w:p>
    <w:p w14:paraId="2D457B89">
      <w:pPr>
        <w:pStyle w:val="2"/>
        <w:numPr>
          <w:ilvl w:val="0"/>
          <w:numId w:val="1"/>
        </w:numPr>
        <w:snapToGrid w:val="0"/>
        <w:spacing w:line="300" w:lineRule="auto"/>
        <w:ind w:left="755" w:leftChars="196" w:hanging="324" w:hangingChars="135"/>
        <w:jc w:val="both"/>
        <w:rPr>
          <w:rFonts w:ascii="Arial" w:hAnsi="Arial" w:cs="Arial"/>
        </w:rPr>
      </w:pPr>
      <w:r>
        <w:rPr>
          <w:rFonts w:ascii="Arial" w:hAnsi="Arial" w:cs="Arial"/>
        </w:rPr>
        <w:t>对于依赖于指导性文件（如IVD校准品）和/或特殊控制的申请，应提供一份总结报告（见下文第III项），描述如何使用指导和/或特殊控制来解决与特定器械类型相关的风险；</w:t>
      </w:r>
    </w:p>
    <w:p w14:paraId="23FC8911">
      <w:pPr>
        <w:pStyle w:val="2"/>
        <w:numPr>
          <w:ilvl w:val="0"/>
          <w:numId w:val="1"/>
        </w:numPr>
        <w:snapToGrid w:val="0"/>
        <w:spacing w:line="300" w:lineRule="auto"/>
        <w:ind w:left="755" w:leftChars="196" w:hanging="324" w:hangingChars="135"/>
        <w:jc w:val="both"/>
        <w:rPr>
          <w:rFonts w:ascii="Arial" w:hAnsi="Arial" w:cs="Arial"/>
        </w:rPr>
      </w:pPr>
      <w:r>
        <w:rPr>
          <w:rFonts w:ascii="Arial" w:hAnsi="Arial" w:cs="Arial"/>
        </w:rPr>
        <w:t>适应症附件。</w:t>
      </w:r>
    </w:p>
    <w:p w14:paraId="45459610">
      <w:pPr>
        <w:snapToGrid w:val="0"/>
        <w:spacing w:line="300" w:lineRule="auto"/>
        <w:jc w:val="both"/>
        <w:rPr>
          <w:rFonts w:ascii="Arial" w:hAnsi="Arial" w:eastAsia="宋体" w:cs="Arial"/>
        </w:rPr>
        <w:sectPr>
          <w:pgSz w:w="12240" w:h="15840"/>
          <w:pgMar w:top="1380" w:right="1720" w:bottom="280" w:left="1700" w:header="720" w:footer="720" w:gutter="0"/>
          <w:cols w:space="720" w:num="1"/>
        </w:sectPr>
      </w:pPr>
    </w:p>
    <w:p w14:paraId="357861D5">
      <w:pPr>
        <w:pStyle w:val="10"/>
        <w:snapToGrid w:val="0"/>
        <w:spacing w:before="56" w:line="300" w:lineRule="auto"/>
        <w:jc w:val="center"/>
        <w:rPr>
          <w:rFonts w:ascii="Arial" w:hAnsi="Arial" w:cs="Arial"/>
          <w:b w:val="0"/>
          <w:bCs w:val="0"/>
        </w:rPr>
      </w:pPr>
      <w:r>
        <w:rPr>
          <w:rFonts w:ascii="Arial" w:hAnsi="Arial" w:cs="Arial"/>
        </w:rPr>
        <w:t>体外诊断校准品简化510（k）提交资料的指导性文件</w:t>
      </w:r>
    </w:p>
    <w:p w14:paraId="3B5ECA54">
      <w:pPr>
        <w:snapToGrid w:val="0"/>
        <w:spacing w:line="300" w:lineRule="auto"/>
        <w:jc w:val="both"/>
        <w:rPr>
          <w:rFonts w:ascii="Arial" w:hAnsi="Arial" w:eastAsia="宋体" w:cs="Arial"/>
          <w:sz w:val="24"/>
          <w:szCs w:val="24"/>
        </w:rPr>
      </w:pPr>
    </w:p>
    <w:p w14:paraId="28E23A95">
      <w:pPr>
        <w:snapToGrid w:val="0"/>
        <w:spacing w:line="300" w:lineRule="auto"/>
        <w:jc w:val="both"/>
        <w:rPr>
          <w:rFonts w:ascii="Arial" w:hAnsi="Arial" w:eastAsia="宋体" w:cs="Arial"/>
          <w:sz w:val="24"/>
          <w:szCs w:val="24"/>
        </w:rPr>
      </w:pPr>
      <w:r>
        <w:rPr>
          <w:rFonts w:ascii="Arial" w:hAnsi="Arial" w:eastAsia="宋体" w:cs="Arial"/>
          <w:b/>
          <w:sz w:val="24"/>
        </w:rPr>
        <w:t>器械：体外诊断校准品</w:t>
      </w:r>
    </w:p>
    <w:p w14:paraId="708CCEA2">
      <w:pPr>
        <w:snapToGrid w:val="0"/>
        <w:spacing w:line="300" w:lineRule="auto"/>
        <w:jc w:val="both"/>
        <w:rPr>
          <w:rFonts w:ascii="Arial" w:hAnsi="Arial" w:eastAsia="宋体" w:cs="Arial"/>
          <w:sz w:val="24"/>
          <w:szCs w:val="24"/>
        </w:rPr>
      </w:pPr>
    </w:p>
    <w:p w14:paraId="4253D192">
      <w:pPr>
        <w:numPr>
          <w:ilvl w:val="0"/>
          <w:numId w:val="2"/>
        </w:numPr>
        <w:tabs>
          <w:tab w:val="left" w:pos="377"/>
        </w:tabs>
        <w:snapToGrid w:val="0"/>
        <w:spacing w:line="300" w:lineRule="auto"/>
        <w:ind w:left="0" w:firstLine="0"/>
        <w:jc w:val="both"/>
        <w:rPr>
          <w:rFonts w:ascii="Arial" w:hAnsi="Arial" w:eastAsia="宋体" w:cs="Arial"/>
          <w:sz w:val="24"/>
          <w:szCs w:val="24"/>
        </w:rPr>
      </w:pPr>
      <w:r>
        <w:rPr>
          <w:rFonts w:ascii="Arial" w:hAnsi="Arial" w:eastAsia="宋体" w:cs="Arial"/>
          <w:b/>
          <w:sz w:val="24"/>
        </w:rPr>
        <w:t>器械描述</w:t>
      </w:r>
    </w:p>
    <w:p w14:paraId="7A1BFD1F">
      <w:pPr>
        <w:snapToGrid w:val="0"/>
        <w:spacing w:before="16" w:line="300" w:lineRule="auto"/>
        <w:jc w:val="both"/>
        <w:rPr>
          <w:rFonts w:ascii="Arial" w:hAnsi="Arial" w:eastAsia="宋体" w:cs="Arial"/>
          <w:sz w:val="26"/>
          <w:szCs w:val="26"/>
        </w:rPr>
      </w:pPr>
    </w:p>
    <w:p w14:paraId="1406631A">
      <w:pPr>
        <w:pStyle w:val="2"/>
        <w:snapToGrid w:val="0"/>
        <w:spacing w:line="300" w:lineRule="auto"/>
        <w:ind w:left="0"/>
        <w:jc w:val="both"/>
        <w:rPr>
          <w:rFonts w:ascii="Arial" w:hAnsi="Arial" w:cs="Arial"/>
        </w:rPr>
      </w:pPr>
      <w:r>
        <w:rPr>
          <w:rFonts w:ascii="Arial" w:hAnsi="Arial" w:cs="Arial"/>
        </w:rPr>
        <w:t>通用名：校准品</w:t>
      </w:r>
    </w:p>
    <w:p w14:paraId="4F4A0BC2">
      <w:pPr>
        <w:pStyle w:val="2"/>
        <w:snapToGrid w:val="0"/>
        <w:spacing w:line="300" w:lineRule="auto"/>
        <w:ind w:left="0"/>
        <w:jc w:val="both"/>
        <w:rPr>
          <w:rFonts w:ascii="Arial" w:hAnsi="Arial" w:cs="Arial"/>
        </w:rPr>
      </w:pPr>
      <w:r>
        <w:rPr>
          <w:rFonts w:ascii="Arial" w:hAnsi="Arial" w:cs="Arial"/>
        </w:rPr>
        <w:t>类别：II</w:t>
      </w:r>
    </w:p>
    <w:p w14:paraId="377BC929">
      <w:pPr>
        <w:pStyle w:val="2"/>
        <w:snapToGrid w:val="0"/>
        <w:spacing w:line="300" w:lineRule="auto"/>
        <w:ind w:left="0"/>
        <w:jc w:val="both"/>
        <w:rPr>
          <w:rFonts w:ascii="Arial" w:hAnsi="Arial" w:cs="Arial"/>
        </w:rPr>
      </w:pPr>
      <w:r>
        <w:rPr>
          <w:rFonts w:hint="eastAsia" w:ascii="Arial" w:hAnsi="Arial" w:cs="Arial"/>
        </w:rPr>
        <w:t>小</w:t>
      </w:r>
      <w:r>
        <w:rPr>
          <w:rFonts w:ascii="Arial" w:hAnsi="Arial" w:cs="Arial"/>
        </w:rPr>
        <w:t>组：临床化学（75）、血液学（81）、</w:t>
      </w:r>
    </w:p>
    <w:p w14:paraId="79C3A586">
      <w:pPr>
        <w:pStyle w:val="2"/>
        <w:snapToGrid w:val="0"/>
        <w:spacing w:line="300" w:lineRule="auto"/>
        <w:ind w:left="0" w:firstLine="950" w:firstLineChars="396"/>
        <w:jc w:val="both"/>
        <w:rPr>
          <w:rFonts w:ascii="Arial" w:hAnsi="Arial" w:cs="Arial"/>
        </w:rPr>
      </w:pPr>
      <w:r>
        <w:rPr>
          <w:rFonts w:ascii="Arial" w:hAnsi="Arial" w:cs="Arial"/>
        </w:rPr>
        <w:t>免疫学（82）、微生物学（83）或毒理学（91）</w:t>
      </w:r>
    </w:p>
    <w:p w14:paraId="1B7B48E2">
      <w:pPr>
        <w:pStyle w:val="2"/>
        <w:snapToGrid w:val="0"/>
        <w:spacing w:line="300" w:lineRule="auto"/>
        <w:ind w:left="0"/>
        <w:jc w:val="both"/>
        <w:rPr>
          <w:rFonts w:ascii="Arial" w:hAnsi="Arial" w:cs="Arial"/>
        </w:rPr>
      </w:pPr>
      <w:r>
        <w:rPr>
          <w:rFonts w:ascii="Arial" w:hAnsi="Arial" w:cs="Arial"/>
        </w:rPr>
        <w:t>产品代码：</w:t>
      </w:r>
      <w:r>
        <w:rPr>
          <w:rFonts w:ascii="Arial" w:hAnsi="Arial" w:cs="Arial"/>
        </w:rPr>
        <w:tab/>
      </w:r>
      <w:r>
        <w:rPr>
          <w:rFonts w:ascii="Arial" w:hAnsi="Arial" w:cs="Arial"/>
        </w:rPr>
        <w:t>JIX，校准品，多分析物混合物</w:t>
      </w:r>
    </w:p>
    <w:p w14:paraId="6768EF61">
      <w:pPr>
        <w:pStyle w:val="2"/>
        <w:tabs>
          <w:tab w:val="left" w:pos="2979"/>
        </w:tabs>
        <w:snapToGrid w:val="0"/>
        <w:spacing w:before="2" w:line="300" w:lineRule="auto"/>
        <w:ind w:left="0" w:firstLine="1428" w:firstLineChars="595"/>
        <w:jc w:val="both"/>
        <w:rPr>
          <w:rFonts w:ascii="Arial" w:hAnsi="Arial" w:cs="Arial"/>
        </w:rPr>
      </w:pPr>
      <w:r>
        <w:rPr>
          <w:rFonts w:ascii="Arial" w:hAnsi="Arial" w:cs="Arial"/>
        </w:rPr>
        <w:t>JIS，校准品，主要</w:t>
      </w:r>
    </w:p>
    <w:p w14:paraId="7CF4B375">
      <w:pPr>
        <w:pStyle w:val="2"/>
        <w:tabs>
          <w:tab w:val="left" w:pos="2979"/>
        </w:tabs>
        <w:snapToGrid w:val="0"/>
        <w:spacing w:before="2" w:line="300" w:lineRule="auto"/>
        <w:ind w:left="0" w:firstLine="1428" w:firstLineChars="595"/>
        <w:jc w:val="both"/>
        <w:rPr>
          <w:rFonts w:ascii="Arial" w:hAnsi="Arial" w:cs="Arial"/>
        </w:rPr>
      </w:pPr>
      <w:r>
        <w:rPr>
          <w:rFonts w:ascii="Arial" w:hAnsi="Arial" w:cs="Arial"/>
        </w:rPr>
        <w:t>JIT，校准品，次要</w:t>
      </w:r>
    </w:p>
    <w:p w14:paraId="285BCA99">
      <w:pPr>
        <w:pStyle w:val="2"/>
        <w:tabs>
          <w:tab w:val="left" w:pos="2979"/>
        </w:tabs>
        <w:snapToGrid w:val="0"/>
        <w:spacing w:before="2" w:line="300" w:lineRule="auto"/>
        <w:ind w:left="0" w:firstLine="1428" w:firstLineChars="595"/>
        <w:jc w:val="both"/>
        <w:rPr>
          <w:rFonts w:ascii="Arial" w:hAnsi="Arial" w:cs="Arial"/>
        </w:rPr>
      </w:pPr>
      <w:r>
        <w:rPr>
          <w:rFonts w:ascii="Arial" w:hAnsi="Arial" w:cs="Arial"/>
        </w:rPr>
        <w:t>JTW，校准品，替代品</w:t>
      </w:r>
    </w:p>
    <w:p w14:paraId="50584536">
      <w:pPr>
        <w:pStyle w:val="2"/>
        <w:snapToGrid w:val="0"/>
        <w:spacing w:line="300" w:lineRule="auto"/>
        <w:ind w:left="0" w:firstLine="1428" w:firstLineChars="595"/>
        <w:jc w:val="both"/>
        <w:rPr>
          <w:rFonts w:ascii="Arial" w:hAnsi="Arial" w:cs="Arial"/>
        </w:rPr>
      </w:pPr>
      <w:r>
        <w:rPr>
          <w:rFonts w:ascii="Arial" w:hAnsi="Arial" w:cs="Arial"/>
        </w:rPr>
        <w:t>DKB，校准品，药物混合物</w:t>
      </w:r>
    </w:p>
    <w:p w14:paraId="0E133413">
      <w:pPr>
        <w:pStyle w:val="2"/>
        <w:snapToGrid w:val="0"/>
        <w:spacing w:before="2" w:line="300" w:lineRule="auto"/>
        <w:ind w:left="0" w:firstLine="1428" w:firstLineChars="595"/>
        <w:jc w:val="both"/>
        <w:rPr>
          <w:rFonts w:ascii="Arial" w:hAnsi="Arial" w:cs="Arial"/>
        </w:rPr>
      </w:pPr>
      <w:r>
        <w:rPr>
          <w:rFonts w:ascii="Arial" w:hAnsi="Arial" w:cs="Arial"/>
        </w:rPr>
        <w:t>DLJ，校准品，</w:t>
      </w:r>
      <w:r>
        <w:rPr>
          <w:rFonts w:hint="eastAsia" w:ascii="Arial" w:hAnsi="Arial" w:cs="Arial"/>
        </w:rPr>
        <w:t>特效药</w:t>
      </w:r>
    </w:p>
    <w:p w14:paraId="66FC0589">
      <w:pPr>
        <w:pStyle w:val="2"/>
        <w:snapToGrid w:val="0"/>
        <w:spacing w:before="2" w:line="300" w:lineRule="auto"/>
        <w:ind w:left="0" w:firstLine="1428" w:firstLineChars="595"/>
        <w:jc w:val="both"/>
        <w:rPr>
          <w:rFonts w:ascii="Arial" w:hAnsi="Arial" w:cs="Arial"/>
        </w:rPr>
      </w:pPr>
      <w:r>
        <w:rPr>
          <w:rFonts w:ascii="Arial" w:hAnsi="Arial" w:cs="Arial"/>
        </w:rPr>
        <w:t>DNN，校准品，乙醇</w:t>
      </w:r>
    </w:p>
    <w:p w14:paraId="1C260851">
      <w:pPr>
        <w:pStyle w:val="2"/>
        <w:snapToGrid w:val="0"/>
        <w:spacing w:before="2" w:line="300" w:lineRule="auto"/>
        <w:ind w:left="0" w:firstLine="1428" w:firstLineChars="595"/>
        <w:jc w:val="both"/>
        <w:rPr>
          <w:rFonts w:ascii="Arial" w:hAnsi="Arial" w:cs="Arial"/>
        </w:rPr>
      </w:pPr>
      <w:r>
        <w:rPr>
          <w:rFonts w:ascii="Arial" w:hAnsi="Arial" w:cs="Arial"/>
        </w:rPr>
        <w:t xml:space="preserve">KRX，细胞指数校准品 </w:t>
      </w:r>
    </w:p>
    <w:p w14:paraId="4A4C59E6">
      <w:pPr>
        <w:pStyle w:val="2"/>
        <w:snapToGrid w:val="0"/>
        <w:spacing w:line="300" w:lineRule="auto"/>
        <w:ind w:left="0" w:firstLine="1428" w:firstLineChars="595"/>
        <w:jc w:val="both"/>
        <w:rPr>
          <w:rFonts w:ascii="Arial" w:hAnsi="Arial" w:cs="Arial"/>
        </w:rPr>
      </w:pPr>
      <w:r>
        <w:rPr>
          <w:rFonts w:ascii="Arial" w:hAnsi="Arial" w:cs="Arial"/>
        </w:rPr>
        <w:t>KRZ，血红蛋白和血细胞压积测定校准品</w:t>
      </w:r>
    </w:p>
    <w:p w14:paraId="07803AD2">
      <w:pPr>
        <w:pStyle w:val="2"/>
        <w:snapToGrid w:val="0"/>
        <w:spacing w:before="2" w:line="300" w:lineRule="auto"/>
        <w:ind w:left="0" w:firstLine="1428" w:firstLineChars="595"/>
        <w:jc w:val="both"/>
        <w:rPr>
          <w:rFonts w:ascii="Arial" w:hAnsi="Arial" w:cs="Arial"/>
        </w:rPr>
      </w:pPr>
      <w:r>
        <w:rPr>
          <w:rFonts w:ascii="Arial" w:hAnsi="Arial" w:cs="Arial"/>
        </w:rPr>
        <w:t>KRY，血小板计数校准品</w:t>
      </w:r>
    </w:p>
    <w:p w14:paraId="24200FA8">
      <w:pPr>
        <w:pStyle w:val="2"/>
        <w:tabs>
          <w:tab w:val="left" w:pos="2979"/>
        </w:tabs>
        <w:snapToGrid w:val="0"/>
        <w:spacing w:line="300" w:lineRule="auto"/>
        <w:ind w:left="0" w:firstLine="1428" w:firstLineChars="595"/>
        <w:jc w:val="both"/>
        <w:rPr>
          <w:rFonts w:ascii="Arial" w:hAnsi="Arial" w:cs="Arial"/>
        </w:rPr>
      </w:pPr>
      <w:r>
        <w:rPr>
          <w:rFonts w:ascii="Arial" w:hAnsi="Arial" w:cs="Arial"/>
        </w:rPr>
        <w:t xml:space="preserve">KSA，红细胞和白细胞计数校准品 </w:t>
      </w:r>
    </w:p>
    <w:p w14:paraId="3BB12880">
      <w:pPr>
        <w:pStyle w:val="2"/>
        <w:tabs>
          <w:tab w:val="left" w:pos="2979"/>
        </w:tabs>
        <w:snapToGrid w:val="0"/>
        <w:spacing w:line="300" w:lineRule="auto"/>
        <w:ind w:left="0" w:firstLine="1428" w:firstLineChars="595"/>
        <w:jc w:val="both"/>
        <w:rPr>
          <w:rFonts w:ascii="Arial" w:hAnsi="Arial" w:cs="Arial"/>
        </w:rPr>
      </w:pPr>
      <w:r>
        <w:rPr>
          <w:rFonts w:ascii="Arial" w:hAnsi="Arial" w:cs="Arial"/>
        </w:rPr>
        <w:t>GJZ，氰化高铁血红蛋白试剂和标准溶液</w:t>
      </w:r>
    </w:p>
    <w:p w14:paraId="35B0737B">
      <w:pPr>
        <w:pStyle w:val="2"/>
        <w:snapToGrid w:val="0"/>
        <w:spacing w:line="300" w:lineRule="auto"/>
        <w:ind w:left="0" w:firstLine="1428" w:firstLineChars="595"/>
        <w:jc w:val="both"/>
        <w:rPr>
          <w:rFonts w:ascii="Arial" w:hAnsi="Arial" w:cs="Arial"/>
          <w:sz w:val="26"/>
          <w:szCs w:val="26"/>
        </w:rPr>
      </w:pPr>
      <w:r>
        <w:rPr>
          <w:rFonts w:ascii="Arial" w:hAnsi="Arial" w:cs="Arial"/>
        </w:rPr>
        <w:t>GFX，纤维蛋白原标准品</w:t>
      </w:r>
    </w:p>
    <w:p w14:paraId="1914EAEC">
      <w:pPr>
        <w:pStyle w:val="2"/>
        <w:snapToGrid w:val="0"/>
        <w:spacing w:line="300" w:lineRule="auto"/>
        <w:ind w:left="0"/>
        <w:jc w:val="both"/>
        <w:rPr>
          <w:rFonts w:ascii="Arial" w:hAnsi="Arial" w:cs="Arial"/>
        </w:rPr>
      </w:pPr>
      <w:r>
        <w:rPr>
          <w:rFonts w:hint="eastAsia" w:ascii="Arial" w:hAnsi="Arial" w:cs="Arial"/>
        </w:rPr>
        <w:t>法规</w:t>
      </w:r>
      <w:r>
        <w:rPr>
          <w:rFonts w:ascii="Arial" w:hAnsi="Arial" w:cs="Arial"/>
        </w:rPr>
        <w:t>编号︰</w:t>
      </w:r>
      <w:r>
        <w:rPr>
          <w:rFonts w:ascii="Arial" w:hAnsi="Arial" w:cs="Arial"/>
        </w:rPr>
        <w:tab/>
      </w:r>
      <w:r>
        <w:rPr>
          <w:rFonts w:ascii="Arial" w:hAnsi="Arial" w:cs="Arial"/>
        </w:rPr>
        <w:t>21 CFR 862.1150、 21 CFR 862.3200、 21 CFR 864.8150、</w:t>
      </w:r>
    </w:p>
    <w:p w14:paraId="75CE024E">
      <w:pPr>
        <w:pStyle w:val="2"/>
        <w:snapToGrid w:val="0"/>
        <w:spacing w:before="2" w:line="300" w:lineRule="auto"/>
        <w:ind w:left="0" w:firstLine="1413" w:firstLineChars="589"/>
        <w:jc w:val="both"/>
        <w:rPr>
          <w:rFonts w:ascii="Arial" w:hAnsi="Arial" w:cs="Arial"/>
        </w:rPr>
      </w:pPr>
      <w:r>
        <w:rPr>
          <w:rFonts w:ascii="Arial" w:hAnsi="Arial" w:cs="Arial"/>
        </w:rPr>
        <w:t>21 CFR 864.8165、 21 CFR 864.7340、 21 CFR 864.7500、</w:t>
      </w:r>
    </w:p>
    <w:p w14:paraId="28BDE88D">
      <w:pPr>
        <w:pStyle w:val="2"/>
        <w:snapToGrid w:val="0"/>
        <w:spacing w:line="300" w:lineRule="auto"/>
        <w:ind w:left="0" w:firstLine="1413" w:firstLineChars="589"/>
        <w:jc w:val="both"/>
        <w:rPr>
          <w:rFonts w:ascii="Arial" w:hAnsi="Arial" w:cs="Arial"/>
        </w:rPr>
      </w:pPr>
      <w:r>
        <w:rPr>
          <w:rFonts w:ascii="Arial" w:hAnsi="Arial" w:cs="Arial"/>
        </w:rPr>
        <w:t>21 CFR 864.8175、21 CFR 864.8185</w:t>
      </w:r>
    </w:p>
    <w:p w14:paraId="3EA77065">
      <w:pPr>
        <w:snapToGrid w:val="0"/>
        <w:spacing w:before="1" w:line="300" w:lineRule="auto"/>
        <w:jc w:val="both"/>
        <w:rPr>
          <w:rFonts w:ascii="Arial" w:hAnsi="Arial" w:eastAsia="宋体" w:cs="Arial"/>
          <w:sz w:val="28"/>
          <w:szCs w:val="28"/>
        </w:rPr>
      </w:pPr>
    </w:p>
    <w:p w14:paraId="30A7A793">
      <w:pPr>
        <w:pStyle w:val="10"/>
        <w:numPr>
          <w:ilvl w:val="0"/>
          <w:numId w:val="2"/>
        </w:numPr>
        <w:tabs>
          <w:tab w:val="left" w:pos="469"/>
        </w:tabs>
        <w:snapToGrid w:val="0"/>
        <w:spacing w:line="300" w:lineRule="auto"/>
        <w:ind w:left="0" w:firstLine="0"/>
        <w:jc w:val="both"/>
        <w:rPr>
          <w:rFonts w:ascii="Arial" w:hAnsi="Arial" w:cs="Arial"/>
          <w:b w:val="0"/>
          <w:bCs w:val="0"/>
        </w:rPr>
      </w:pPr>
      <w:r>
        <w:rPr>
          <w:rFonts w:ascii="Arial" w:hAnsi="Arial" w:cs="Arial"/>
        </w:rPr>
        <w:t>适应症</w:t>
      </w:r>
    </w:p>
    <w:p w14:paraId="4B4E759B">
      <w:pPr>
        <w:snapToGrid w:val="0"/>
        <w:spacing w:before="11" w:line="300" w:lineRule="auto"/>
        <w:jc w:val="both"/>
        <w:rPr>
          <w:rFonts w:ascii="Arial" w:hAnsi="Arial" w:eastAsia="宋体" w:cs="Arial"/>
          <w:sz w:val="26"/>
          <w:szCs w:val="26"/>
        </w:rPr>
      </w:pPr>
    </w:p>
    <w:p w14:paraId="048EE471">
      <w:pPr>
        <w:pStyle w:val="2"/>
        <w:snapToGrid w:val="0"/>
        <w:spacing w:line="300" w:lineRule="auto"/>
        <w:ind w:left="0"/>
        <w:jc w:val="both"/>
        <w:rPr>
          <w:rFonts w:ascii="Arial" w:hAnsi="Arial" w:cs="Arial"/>
        </w:rPr>
      </w:pPr>
      <w:r>
        <w:rPr>
          <w:rFonts w:ascii="Arial" w:hAnsi="Arial" w:cs="Arial"/>
        </w:rPr>
        <w:t>IVD校准品是常专用于含量测定的标准曲线或临界点的校准品（参照物）。</w:t>
      </w:r>
    </w:p>
    <w:p w14:paraId="7ED8B766">
      <w:pPr>
        <w:snapToGrid w:val="0"/>
        <w:spacing w:before="16" w:line="300" w:lineRule="auto"/>
        <w:jc w:val="both"/>
        <w:rPr>
          <w:rFonts w:ascii="Arial" w:hAnsi="Arial" w:eastAsia="宋体" w:cs="Arial"/>
          <w:sz w:val="26"/>
          <w:szCs w:val="26"/>
        </w:rPr>
      </w:pPr>
    </w:p>
    <w:p w14:paraId="7150D425">
      <w:pPr>
        <w:pStyle w:val="2"/>
        <w:snapToGrid w:val="0"/>
        <w:spacing w:line="300" w:lineRule="auto"/>
        <w:ind w:left="0"/>
        <w:jc w:val="both"/>
        <w:rPr>
          <w:rFonts w:ascii="Arial" w:hAnsi="Arial" w:cs="Arial"/>
        </w:rPr>
      </w:pPr>
      <w:r>
        <w:rPr>
          <w:rFonts w:ascii="Arial" w:hAnsi="Arial" w:cs="Arial"/>
        </w:rPr>
        <w:t>校准品具有由制造商按标准方法建立的分配值。校准品存在于多种基质中，例如模拟水、血清、血浆或其他类型的样品。</w:t>
      </w:r>
    </w:p>
    <w:p w14:paraId="72C84562">
      <w:pPr>
        <w:snapToGrid w:val="0"/>
        <w:spacing w:before="16" w:line="300" w:lineRule="auto"/>
        <w:jc w:val="both"/>
        <w:rPr>
          <w:rFonts w:ascii="Arial" w:hAnsi="Arial" w:eastAsia="宋体" w:cs="Arial"/>
          <w:sz w:val="26"/>
          <w:szCs w:val="26"/>
        </w:rPr>
      </w:pPr>
    </w:p>
    <w:p w14:paraId="799740F7">
      <w:pPr>
        <w:pStyle w:val="2"/>
        <w:snapToGrid w:val="0"/>
        <w:spacing w:line="300" w:lineRule="auto"/>
        <w:ind w:left="0"/>
        <w:jc w:val="both"/>
        <w:rPr>
          <w:rFonts w:ascii="Arial" w:hAnsi="Arial" w:cs="Arial"/>
        </w:rPr>
      </w:pPr>
      <w:r>
        <w:rPr>
          <w:rFonts w:ascii="Arial" w:hAnsi="Arial" w:cs="Arial"/>
        </w:rPr>
        <w:t>主要参照校准品是高度纯化的化学品，其可以直接称重或测量，以制成已知浓度的溶液。或者，它们可以是使用参照（标准）方法已获得分配值的更复杂的生物材料。对每个批次均提供检验报告（例如，来自美国国家标准与技术研究所（NIST）的标准物质（SRM））。</w:t>
      </w:r>
    </w:p>
    <w:p w14:paraId="5292B52B">
      <w:pPr>
        <w:snapToGrid w:val="0"/>
        <w:spacing w:before="14" w:line="300" w:lineRule="auto"/>
        <w:jc w:val="both"/>
        <w:rPr>
          <w:rFonts w:ascii="Arial" w:hAnsi="Arial" w:eastAsia="宋体" w:cs="Arial"/>
          <w:sz w:val="26"/>
          <w:szCs w:val="26"/>
        </w:rPr>
      </w:pPr>
    </w:p>
    <w:p w14:paraId="47A87309">
      <w:pPr>
        <w:pStyle w:val="2"/>
        <w:snapToGrid w:val="0"/>
        <w:spacing w:line="300" w:lineRule="auto"/>
        <w:ind w:left="0"/>
        <w:jc w:val="both"/>
        <w:rPr>
          <w:rFonts w:ascii="Arial" w:hAnsi="Arial" w:cs="Arial"/>
        </w:rPr>
      </w:pPr>
      <w:r>
        <w:rPr>
          <w:rFonts w:ascii="Arial" w:hAnsi="Arial" w:cs="Arial"/>
        </w:rPr>
        <w:t>次要参照物是与测试样品进行比较以确定分析物或其他物质的浓度的那些物质或溶液。次要参照物的值通常由制造商通过与主要参照物对比而进行的次要参照物的交叉研究来确定。本指南涉及在IVD器械技术方法的性能特性、特别是准确度、稳定性、重现性和线性方面起关键作用的次要校准品。</w:t>
      </w:r>
    </w:p>
    <w:p w14:paraId="0121CB0B">
      <w:pPr>
        <w:snapToGrid w:val="0"/>
        <w:spacing w:before="16" w:line="300" w:lineRule="auto"/>
        <w:jc w:val="both"/>
        <w:rPr>
          <w:rFonts w:ascii="Arial" w:hAnsi="Arial" w:eastAsia="宋体" w:cs="Arial"/>
          <w:sz w:val="26"/>
          <w:szCs w:val="26"/>
        </w:rPr>
      </w:pPr>
    </w:p>
    <w:p w14:paraId="4AEFBEB2">
      <w:pPr>
        <w:pStyle w:val="2"/>
        <w:snapToGrid w:val="0"/>
        <w:spacing w:line="300" w:lineRule="auto"/>
        <w:ind w:left="0"/>
        <w:jc w:val="both"/>
        <w:rPr>
          <w:rFonts w:ascii="Arial" w:hAnsi="Arial" w:cs="Arial"/>
        </w:rPr>
      </w:pPr>
      <w:r>
        <w:rPr>
          <w:rFonts w:ascii="Arial" w:hAnsi="Arial" w:cs="Arial"/>
        </w:rPr>
        <w:t>建议的适应症声明</w:t>
      </w:r>
    </w:p>
    <w:p w14:paraId="75BBA38F">
      <w:pPr>
        <w:snapToGrid w:val="0"/>
        <w:spacing w:before="18" w:line="300" w:lineRule="auto"/>
        <w:jc w:val="both"/>
        <w:rPr>
          <w:rFonts w:ascii="Arial" w:hAnsi="Arial" w:eastAsia="宋体" w:cs="Arial"/>
          <w:sz w:val="26"/>
          <w:szCs w:val="26"/>
        </w:rPr>
      </w:pPr>
    </w:p>
    <w:p w14:paraId="2C9C6C93">
      <w:pPr>
        <w:pStyle w:val="2"/>
        <w:numPr>
          <w:ilvl w:val="1"/>
          <w:numId w:val="2"/>
        </w:numPr>
        <w:snapToGrid w:val="0"/>
        <w:spacing w:line="300" w:lineRule="auto"/>
        <w:ind w:left="811" w:leftChars="203" w:hanging="364" w:hangingChars="152"/>
        <w:jc w:val="both"/>
        <w:rPr>
          <w:rFonts w:ascii="Arial" w:hAnsi="Arial" w:cs="Arial"/>
        </w:rPr>
      </w:pPr>
      <w:r>
        <w:rPr>
          <w:rFonts w:ascii="Arial" w:hAnsi="Arial" w:cs="Arial"/>
        </w:rPr>
        <w:t>临床化学（75）或毒理学（91）或免疫学（82）或微生物学（83） - （商品名）校准品是一种在（指定检测系统）中用于医疗目的的器械，以建立用于确定在（指定</w:t>
      </w:r>
      <w:r>
        <w:rPr>
          <w:rFonts w:hint="eastAsia" w:ascii="Arial" w:hAnsi="Arial" w:cs="Arial"/>
        </w:rPr>
        <w:t>基质</w:t>
      </w:r>
      <w:r>
        <w:rPr>
          <w:rFonts w:ascii="Arial" w:hAnsi="Arial" w:cs="Arial"/>
        </w:rPr>
        <w:t>）中（指定分析物）或药物的测量值的参考点。</w:t>
      </w:r>
    </w:p>
    <w:p w14:paraId="06CBBB85">
      <w:pPr>
        <w:snapToGrid w:val="0"/>
        <w:spacing w:before="13" w:line="300" w:lineRule="auto"/>
        <w:ind w:left="842" w:leftChars="203" w:hanging="395" w:hangingChars="152"/>
        <w:jc w:val="both"/>
        <w:rPr>
          <w:rFonts w:ascii="Arial" w:hAnsi="Arial" w:eastAsia="宋体" w:cs="Arial"/>
          <w:sz w:val="26"/>
          <w:szCs w:val="26"/>
        </w:rPr>
      </w:pPr>
    </w:p>
    <w:p w14:paraId="6E985E7E">
      <w:pPr>
        <w:pStyle w:val="2"/>
        <w:numPr>
          <w:ilvl w:val="1"/>
          <w:numId w:val="2"/>
        </w:numPr>
        <w:tabs>
          <w:tab w:val="left" w:pos="1180"/>
        </w:tabs>
        <w:snapToGrid w:val="0"/>
        <w:spacing w:line="300" w:lineRule="auto"/>
        <w:ind w:left="811" w:leftChars="203" w:hanging="364" w:hangingChars="152"/>
        <w:jc w:val="both"/>
        <w:rPr>
          <w:rFonts w:ascii="Arial" w:hAnsi="Arial" w:cs="Arial"/>
        </w:rPr>
      </w:pPr>
      <w:r>
        <w:rPr>
          <w:rFonts w:ascii="Arial" w:hAnsi="Arial" w:cs="Arial"/>
        </w:rPr>
        <w:t>血液学（81） - 红细胞或白细胞或血小板计数的（商品名）校准品是一种类似于（红细胞、白细胞或血小板）的器械，用于设置拟用于（红细胞或白细胞、或两者、或血小板）计数的（指定仪器）。它是一种颗粒物或细胞的悬浮液，其尺寸、形状、浓度和其他特性已被精确且准确地确定。</w:t>
      </w:r>
    </w:p>
    <w:p w14:paraId="3392D8A1">
      <w:pPr>
        <w:snapToGrid w:val="0"/>
        <w:spacing w:before="14" w:line="300" w:lineRule="auto"/>
        <w:jc w:val="both"/>
        <w:rPr>
          <w:rFonts w:ascii="Arial" w:hAnsi="Arial" w:eastAsia="宋体" w:cs="Arial"/>
          <w:sz w:val="30"/>
          <w:szCs w:val="30"/>
        </w:rPr>
      </w:pPr>
    </w:p>
    <w:p w14:paraId="640AACC2">
      <w:pPr>
        <w:pStyle w:val="10"/>
        <w:numPr>
          <w:ilvl w:val="0"/>
          <w:numId w:val="2"/>
        </w:numPr>
        <w:tabs>
          <w:tab w:val="left" w:pos="562"/>
        </w:tabs>
        <w:snapToGrid w:val="0"/>
        <w:spacing w:line="300" w:lineRule="auto"/>
        <w:ind w:left="0" w:firstLine="0"/>
        <w:jc w:val="both"/>
        <w:rPr>
          <w:rFonts w:ascii="Arial" w:hAnsi="Arial" w:cs="Arial"/>
          <w:b w:val="0"/>
          <w:bCs w:val="0"/>
        </w:rPr>
      </w:pPr>
      <w:r>
        <w:rPr>
          <w:rFonts w:ascii="Arial" w:hAnsi="Arial" w:cs="Arial"/>
        </w:rPr>
        <w:t>标签</w:t>
      </w:r>
    </w:p>
    <w:p w14:paraId="6BEF9CE4">
      <w:pPr>
        <w:snapToGrid w:val="0"/>
        <w:spacing w:before="11" w:line="300" w:lineRule="auto"/>
        <w:jc w:val="both"/>
        <w:rPr>
          <w:rFonts w:ascii="Arial" w:hAnsi="Arial" w:eastAsia="宋体" w:cs="Arial"/>
          <w:sz w:val="26"/>
          <w:szCs w:val="26"/>
        </w:rPr>
      </w:pPr>
    </w:p>
    <w:p w14:paraId="0B0AC38A">
      <w:pPr>
        <w:pStyle w:val="2"/>
        <w:snapToGrid w:val="0"/>
        <w:spacing w:line="300" w:lineRule="auto"/>
        <w:ind w:left="0"/>
        <w:jc w:val="both"/>
        <w:rPr>
          <w:rFonts w:ascii="Arial" w:hAnsi="Arial" w:cs="Arial"/>
        </w:rPr>
      </w:pPr>
      <w:r>
        <w:rPr>
          <w:rFonts w:ascii="Arial" w:hAnsi="Arial" w:cs="Arial"/>
        </w:rPr>
        <w:t>包括符合21 CFR 809.10的拟用标签，并反映“总结报告”中描述的性能数据。</w:t>
      </w:r>
    </w:p>
    <w:p w14:paraId="74FA3A06">
      <w:pPr>
        <w:snapToGrid w:val="0"/>
        <w:spacing w:before="18" w:line="300" w:lineRule="auto"/>
        <w:jc w:val="both"/>
        <w:rPr>
          <w:rFonts w:ascii="Arial" w:hAnsi="Arial" w:eastAsia="宋体" w:cs="Arial"/>
          <w:sz w:val="26"/>
          <w:szCs w:val="26"/>
        </w:rPr>
      </w:pPr>
    </w:p>
    <w:p w14:paraId="3C18EFED">
      <w:pPr>
        <w:pStyle w:val="2"/>
        <w:snapToGrid w:val="0"/>
        <w:spacing w:line="300" w:lineRule="auto"/>
        <w:ind w:left="0"/>
        <w:jc w:val="both"/>
        <w:rPr>
          <w:rFonts w:ascii="Arial" w:hAnsi="Arial" w:cs="Arial"/>
        </w:rPr>
      </w:pPr>
      <w:r>
        <w:rPr>
          <w:rFonts w:ascii="Arial" w:hAnsi="Arial" w:cs="Arial"/>
        </w:rPr>
        <w:t>其他：对于用于诊断目的的多用途仪器，请参见21 CFR 809.10（b）（1）、（2）、（6）、（14）和（15）。</w:t>
      </w:r>
    </w:p>
    <w:p w14:paraId="3A2416C3">
      <w:pPr>
        <w:snapToGrid w:val="0"/>
        <w:spacing w:before="14" w:line="300" w:lineRule="auto"/>
        <w:jc w:val="both"/>
        <w:rPr>
          <w:rFonts w:ascii="Arial" w:hAnsi="Arial" w:eastAsia="宋体" w:cs="Arial"/>
          <w:sz w:val="26"/>
          <w:szCs w:val="26"/>
        </w:rPr>
      </w:pPr>
    </w:p>
    <w:p w14:paraId="644F8A21">
      <w:pPr>
        <w:pStyle w:val="2"/>
        <w:snapToGrid w:val="0"/>
        <w:spacing w:line="300" w:lineRule="auto"/>
        <w:ind w:left="0"/>
        <w:jc w:val="both"/>
        <w:rPr>
          <w:rFonts w:ascii="Arial" w:hAnsi="Arial" w:cs="Arial"/>
        </w:rPr>
      </w:pPr>
      <w:r>
        <w:rPr>
          <w:rFonts w:ascii="Arial" w:hAnsi="Arial" w:cs="Arial"/>
        </w:rPr>
        <w:t>标签必须符合21 CFR 809.10的要求。推荐体外诊断产品的标签（包装说明书）包括预期用途和程序类型（定性或定量）；检测的摘要和解释（包括参考文献、特殊优点、局限性、与原始方法的偏差及其对结果的影响）；和检测原理（化学、生物、微生物或免疫反应和技术）。</w:t>
      </w:r>
      <w:r>
        <w:rPr>
          <w:rFonts w:ascii="Arial" w:hAnsi="Arial" w:cs="Arial"/>
        </w:rPr>
        <w:cr/>
      </w:r>
    </w:p>
    <w:p w14:paraId="403189D2">
      <w:pPr>
        <w:snapToGrid w:val="0"/>
        <w:spacing w:before="1" w:line="300" w:lineRule="auto"/>
        <w:jc w:val="both"/>
        <w:rPr>
          <w:rFonts w:ascii="Arial" w:hAnsi="Arial" w:eastAsia="宋体" w:cs="Arial"/>
          <w:sz w:val="28"/>
          <w:szCs w:val="28"/>
        </w:rPr>
      </w:pPr>
    </w:p>
    <w:p w14:paraId="309E20F1">
      <w:pPr>
        <w:pStyle w:val="10"/>
        <w:numPr>
          <w:ilvl w:val="0"/>
          <w:numId w:val="2"/>
        </w:numPr>
        <w:tabs>
          <w:tab w:val="left" w:pos="549"/>
        </w:tabs>
        <w:snapToGrid w:val="0"/>
        <w:spacing w:line="300" w:lineRule="auto"/>
        <w:ind w:left="0" w:firstLine="0"/>
        <w:jc w:val="both"/>
        <w:rPr>
          <w:rFonts w:ascii="Arial" w:hAnsi="Arial" w:cs="Arial"/>
          <w:b w:val="0"/>
          <w:bCs w:val="0"/>
        </w:rPr>
      </w:pPr>
      <w:r>
        <w:rPr>
          <w:rFonts w:ascii="Arial" w:hAnsi="Arial" w:cs="Arial"/>
        </w:rPr>
        <w:t>总结报告</w:t>
      </w:r>
    </w:p>
    <w:p w14:paraId="6C4AFAD4">
      <w:pPr>
        <w:snapToGrid w:val="0"/>
        <w:spacing w:before="11" w:line="300" w:lineRule="auto"/>
        <w:jc w:val="both"/>
        <w:rPr>
          <w:rFonts w:ascii="Arial" w:hAnsi="Arial" w:eastAsia="宋体" w:cs="Arial"/>
          <w:sz w:val="26"/>
          <w:szCs w:val="26"/>
        </w:rPr>
      </w:pPr>
    </w:p>
    <w:p w14:paraId="6E8EB200">
      <w:pPr>
        <w:pStyle w:val="2"/>
        <w:numPr>
          <w:ilvl w:val="0"/>
          <w:numId w:val="3"/>
        </w:numPr>
        <w:tabs>
          <w:tab w:val="left" w:pos="882"/>
        </w:tabs>
        <w:snapToGrid w:val="0"/>
        <w:spacing w:line="300" w:lineRule="auto"/>
        <w:ind w:left="0" w:firstLine="588" w:firstLineChars="245"/>
        <w:jc w:val="both"/>
        <w:rPr>
          <w:rFonts w:ascii="Arial" w:hAnsi="Arial" w:cs="Arial"/>
        </w:rPr>
      </w:pPr>
      <w:r>
        <w:rPr>
          <w:rFonts w:ascii="Arial" w:hAnsi="Arial" w:cs="Arial"/>
        </w:rPr>
        <w:t>描述实时和加速稳定性研究的方案。</w:t>
      </w:r>
    </w:p>
    <w:p w14:paraId="769A69A6">
      <w:pPr>
        <w:snapToGrid w:val="0"/>
        <w:spacing w:line="300" w:lineRule="auto"/>
        <w:jc w:val="both"/>
        <w:rPr>
          <w:rFonts w:ascii="Arial" w:hAnsi="Arial" w:eastAsia="宋体" w:cs="Arial"/>
        </w:rPr>
        <w:sectPr>
          <w:pgSz w:w="12240" w:h="15840"/>
          <w:pgMar w:top="1380" w:right="1720" w:bottom="280" w:left="1700" w:header="720" w:footer="720" w:gutter="0"/>
          <w:cols w:space="720" w:num="1"/>
        </w:sectPr>
      </w:pPr>
    </w:p>
    <w:p w14:paraId="16A63780">
      <w:pPr>
        <w:pStyle w:val="2"/>
        <w:numPr>
          <w:ilvl w:val="0"/>
          <w:numId w:val="3"/>
        </w:numPr>
        <w:tabs>
          <w:tab w:val="left" w:pos="882"/>
        </w:tabs>
        <w:snapToGrid w:val="0"/>
        <w:spacing w:line="300" w:lineRule="auto"/>
        <w:ind w:left="0" w:firstLine="588" w:firstLineChars="245"/>
        <w:jc w:val="both"/>
        <w:rPr>
          <w:rFonts w:ascii="Arial" w:hAnsi="Arial" w:cs="Arial"/>
        </w:rPr>
      </w:pPr>
      <w:r>
        <w:rPr>
          <w:rFonts w:ascii="Arial" w:hAnsi="Arial" w:cs="Arial"/>
        </w:rPr>
        <w:t>包括对分配值和确认的过程的描述。</w:t>
      </w:r>
    </w:p>
    <w:p w14:paraId="35948084">
      <w:pPr>
        <w:pStyle w:val="2"/>
        <w:numPr>
          <w:ilvl w:val="0"/>
          <w:numId w:val="3"/>
        </w:numPr>
        <w:tabs>
          <w:tab w:val="left" w:pos="882"/>
        </w:tabs>
        <w:snapToGrid w:val="0"/>
        <w:spacing w:line="300" w:lineRule="auto"/>
        <w:ind w:left="894" w:leftChars="267" w:hanging="307" w:hangingChars="128"/>
        <w:jc w:val="both"/>
        <w:rPr>
          <w:rFonts w:ascii="Arial" w:hAnsi="Arial" w:cs="Arial"/>
        </w:rPr>
      </w:pPr>
      <w:r>
        <w:rPr>
          <w:rFonts w:ascii="Arial" w:hAnsi="Arial" w:cs="Arial"/>
        </w:rPr>
        <w:t>包括用于确认研究的任何具体仪器应用的描述，研究包括运行的数量和使用的仪器，以及建立测定值和范围的统计分析。</w:t>
      </w:r>
    </w:p>
    <w:p w14:paraId="3BFB17E6">
      <w:pPr>
        <w:pStyle w:val="2"/>
        <w:numPr>
          <w:ilvl w:val="0"/>
          <w:numId w:val="3"/>
        </w:numPr>
        <w:tabs>
          <w:tab w:val="left" w:pos="882"/>
        </w:tabs>
        <w:snapToGrid w:val="0"/>
        <w:spacing w:line="300" w:lineRule="auto"/>
        <w:ind w:left="894" w:leftChars="267" w:hanging="307" w:hangingChars="128"/>
        <w:jc w:val="both"/>
        <w:rPr>
          <w:rFonts w:ascii="Arial" w:hAnsi="Arial" w:cs="Arial"/>
        </w:rPr>
      </w:pPr>
      <w:r>
        <w:rPr>
          <w:rFonts w:ascii="Arial" w:hAnsi="Arial" w:cs="Arial"/>
        </w:rPr>
        <w:t>在适用的情况下，识别或定义可溯源性或与国内或国际标准参照物和/或方法的关系。</w:t>
      </w:r>
    </w:p>
    <w:p w14:paraId="51267356">
      <w:pPr>
        <w:pStyle w:val="2"/>
        <w:numPr>
          <w:ilvl w:val="0"/>
          <w:numId w:val="3"/>
        </w:numPr>
        <w:tabs>
          <w:tab w:val="left" w:pos="882"/>
        </w:tabs>
        <w:snapToGrid w:val="0"/>
        <w:spacing w:line="300" w:lineRule="auto"/>
        <w:ind w:left="894" w:leftChars="267" w:hanging="307" w:hangingChars="128"/>
        <w:jc w:val="both"/>
        <w:rPr>
          <w:rFonts w:ascii="Arial" w:hAnsi="Arial" w:cs="Arial"/>
        </w:rPr>
      </w:pPr>
      <w:r>
        <w:rPr>
          <w:rFonts w:ascii="Arial" w:hAnsi="Arial" w:cs="Arial"/>
        </w:rPr>
        <w:t>描述用于将主要校准品的性能转移到次要校准品的方法。结果的摘要应以表格或模板形式呈现，以显示所检测的校准品评价了总检测系统的所有预分析的和分析的组分。</w:t>
      </w:r>
    </w:p>
    <w:p w14:paraId="7E3BA3A0">
      <w:pPr>
        <w:snapToGrid w:val="0"/>
        <w:spacing w:before="16" w:line="300" w:lineRule="auto"/>
        <w:jc w:val="both"/>
        <w:rPr>
          <w:rFonts w:ascii="Arial" w:hAnsi="Arial" w:eastAsia="宋体" w:cs="Arial"/>
          <w:sz w:val="26"/>
          <w:szCs w:val="26"/>
        </w:rPr>
      </w:pPr>
    </w:p>
    <w:p w14:paraId="7DD32992">
      <w:pPr>
        <w:pStyle w:val="2"/>
        <w:snapToGrid w:val="0"/>
        <w:spacing w:line="300" w:lineRule="auto"/>
        <w:ind w:left="587" w:leftChars="266" w:hanging="2" w:hangingChars="1"/>
        <w:jc w:val="both"/>
        <w:rPr>
          <w:rFonts w:ascii="Arial" w:hAnsi="Arial" w:cs="Arial"/>
        </w:rPr>
      </w:pPr>
      <w:r>
        <w:rPr>
          <w:rFonts w:ascii="Arial" w:hAnsi="Arial" w:cs="Arial"/>
        </w:rPr>
        <w:t>注：分配值应是临床上相关的，并应设置在或接近分析物的医疗决策水平内。对于定性检测，建议仔细确定正临界值和负临界值，并将校准品设计为接近这些临界值。</w:t>
      </w:r>
    </w:p>
    <w:p w14:paraId="74F4A98A">
      <w:pPr>
        <w:snapToGrid w:val="0"/>
        <w:spacing w:line="300" w:lineRule="auto"/>
        <w:jc w:val="both"/>
        <w:rPr>
          <w:rFonts w:ascii="Arial" w:hAnsi="Arial" w:eastAsia="宋体" w:cs="Arial"/>
          <w:sz w:val="28"/>
          <w:szCs w:val="28"/>
        </w:rPr>
      </w:pPr>
    </w:p>
    <w:p w14:paraId="7095C745">
      <w:pPr>
        <w:pStyle w:val="10"/>
        <w:snapToGrid w:val="0"/>
        <w:spacing w:line="300" w:lineRule="auto"/>
        <w:jc w:val="both"/>
        <w:rPr>
          <w:rFonts w:ascii="Arial" w:hAnsi="Arial" w:cs="Arial"/>
          <w:b w:val="0"/>
          <w:bCs w:val="0"/>
        </w:rPr>
      </w:pPr>
      <w:r>
        <w:rPr>
          <w:rFonts w:ascii="Arial" w:hAnsi="Arial" w:cs="Arial"/>
        </w:rPr>
        <w:t>510（k）中的清单和参考页：</w:t>
      </w:r>
    </w:p>
    <w:p w14:paraId="34163FEF">
      <w:pPr>
        <w:snapToGrid w:val="0"/>
        <w:spacing w:before="11" w:line="300" w:lineRule="auto"/>
        <w:jc w:val="both"/>
        <w:rPr>
          <w:rFonts w:ascii="Arial" w:hAnsi="Arial" w:eastAsia="宋体" w:cs="Arial"/>
          <w:sz w:val="26"/>
          <w:szCs w:val="26"/>
        </w:rPr>
      </w:pPr>
    </w:p>
    <w:p w14:paraId="06E80A58">
      <w:pPr>
        <w:pStyle w:val="2"/>
        <w:numPr>
          <w:ilvl w:val="0"/>
          <w:numId w:val="4"/>
        </w:numPr>
        <w:tabs>
          <w:tab w:val="left" w:pos="460"/>
        </w:tabs>
        <w:snapToGrid w:val="0"/>
        <w:spacing w:before="1" w:line="300" w:lineRule="auto"/>
        <w:ind w:left="0" w:firstLine="0"/>
        <w:jc w:val="both"/>
        <w:rPr>
          <w:rFonts w:ascii="Arial" w:hAnsi="Arial" w:cs="Arial"/>
          <w:sz w:val="28"/>
          <w:szCs w:val="28"/>
        </w:rPr>
      </w:pPr>
      <w:r>
        <w:rPr>
          <w:rFonts w:ascii="Arial" w:hAnsi="Arial" w:cs="Arial"/>
        </w:rPr>
        <w:t>专有和已确定的名称。</w:t>
      </w:r>
    </w:p>
    <w:p w14:paraId="56EDB559">
      <w:pPr>
        <w:pStyle w:val="2"/>
        <w:numPr>
          <w:ilvl w:val="0"/>
          <w:numId w:val="4"/>
        </w:numPr>
        <w:tabs>
          <w:tab w:val="left" w:pos="460"/>
        </w:tabs>
        <w:snapToGrid w:val="0"/>
        <w:spacing w:before="13" w:line="300" w:lineRule="auto"/>
        <w:ind w:left="0" w:firstLine="0"/>
        <w:jc w:val="both"/>
        <w:rPr>
          <w:rFonts w:ascii="Arial" w:hAnsi="Arial" w:cs="Arial"/>
          <w:sz w:val="26"/>
          <w:szCs w:val="26"/>
        </w:rPr>
      </w:pPr>
      <w:r>
        <w:rPr>
          <w:rFonts w:ascii="Arial" w:hAnsi="Arial" w:cs="Arial"/>
        </w:rPr>
        <w:t>预期用途（包括：具体预期仪器；定量或定性方法；以及拟用的标本</w:t>
      </w:r>
      <w:r>
        <w:rPr>
          <w:rFonts w:hint="eastAsia" w:ascii="Arial" w:hAnsi="Arial" w:cs="Arial"/>
        </w:rPr>
        <w:t>基质</w:t>
      </w:r>
      <w:r>
        <w:rPr>
          <w:rFonts w:ascii="Arial" w:hAnsi="Arial" w:cs="Arial"/>
        </w:rPr>
        <w:t>）。</w:t>
      </w:r>
    </w:p>
    <w:p w14:paraId="26291008">
      <w:pPr>
        <w:pStyle w:val="2"/>
        <w:numPr>
          <w:ilvl w:val="0"/>
          <w:numId w:val="4"/>
        </w:numPr>
        <w:tabs>
          <w:tab w:val="left" w:pos="460"/>
        </w:tabs>
        <w:snapToGrid w:val="0"/>
        <w:spacing w:before="16" w:line="300" w:lineRule="auto"/>
        <w:ind w:left="0" w:firstLine="0"/>
        <w:jc w:val="both"/>
        <w:rPr>
          <w:rFonts w:ascii="Arial" w:hAnsi="Arial" w:cs="Arial"/>
          <w:sz w:val="26"/>
          <w:szCs w:val="26"/>
        </w:rPr>
      </w:pPr>
      <w:r>
        <w:rPr>
          <w:rFonts w:ascii="Arial" w:hAnsi="Arial" w:cs="Arial"/>
        </w:rPr>
        <w:t>总结和解释，包括特殊优点、局限性。</w:t>
      </w:r>
    </w:p>
    <w:p w14:paraId="3F06CEDF">
      <w:pPr>
        <w:pStyle w:val="2"/>
        <w:numPr>
          <w:ilvl w:val="0"/>
          <w:numId w:val="4"/>
        </w:numPr>
        <w:tabs>
          <w:tab w:val="left" w:pos="460"/>
        </w:tabs>
        <w:snapToGrid w:val="0"/>
        <w:spacing w:before="16" w:line="300" w:lineRule="auto"/>
        <w:ind w:left="0" w:firstLine="0"/>
        <w:jc w:val="both"/>
        <w:rPr>
          <w:rFonts w:ascii="Arial" w:hAnsi="Arial" w:cs="Arial"/>
          <w:sz w:val="26"/>
          <w:szCs w:val="26"/>
        </w:rPr>
      </w:pPr>
      <w:r>
        <w:rPr>
          <w:rFonts w:ascii="Arial" w:hAnsi="Arial" w:cs="Arial"/>
        </w:rPr>
        <w:t>检测原理。</w:t>
      </w:r>
    </w:p>
    <w:p w14:paraId="3AC083CD">
      <w:pPr>
        <w:pStyle w:val="2"/>
        <w:numPr>
          <w:ilvl w:val="0"/>
          <w:numId w:val="4"/>
        </w:numPr>
        <w:tabs>
          <w:tab w:val="left" w:pos="460"/>
        </w:tabs>
        <w:snapToGrid w:val="0"/>
        <w:spacing w:before="18" w:line="300" w:lineRule="auto"/>
        <w:ind w:left="0" w:firstLine="0"/>
        <w:jc w:val="both"/>
        <w:rPr>
          <w:rFonts w:ascii="Arial" w:hAnsi="Arial" w:cs="Arial"/>
          <w:sz w:val="26"/>
          <w:szCs w:val="26"/>
        </w:rPr>
      </w:pPr>
      <w:r>
        <w:rPr>
          <w:rFonts w:ascii="Arial" w:hAnsi="Arial" w:cs="Arial"/>
        </w:rPr>
        <w:t>校准品材料的描述。</w:t>
      </w:r>
    </w:p>
    <w:p w14:paraId="49CF82E0">
      <w:pPr>
        <w:pStyle w:val="2"/>
        <w:numPr>
          <w:ilvl w:val="1"/>
          <w:numId w:val="4"/>
        </w:numPr>
        <w:tabs>
          <w:tab w:val="left" w:pos="820"/>
        </w:tabs>
        <w:snapToGrid w:val="0"/>
        <w:spacing w:before="12" w:line="300" w:lineRule="auto"/>
        <w:ind w:left="0" w:firstLine="489" w:firstLineChars="204"/>
        <w:jc w:val="both"/>
        <w:rPr>
          <w:rFonts w:ascii="Arial" w:hAnsi="Arial" w:cs="Arial"/>
          <w:sz w:val="26"/>
          <w:szCs w:val="26"/>
        </w:rPr>
      </w:pPr>
      <w:r>
        <w:rPr>
          <w:rFonts w:hint="eastAsia" w:ascii="Arial" w:hAnsi="Arial" w:cs="Arial"/>
        </w:rPr>
        <w:t>基质</w:t>
      </w:r>
    </w:p>
    <w:p w14:paraId="75DD2B15">
      <w:pPr>
        <w:pStyle w:val="2"/>
        <w:numPr>
          <w:ilvl w:val="1"/>
          <w:numId w:val="4"/>
        </w:numPr>
        <w:tabs>
          <w:tab w:val="left" w:pos="820"/>
        </w:tabs>
        <w:snapToGrid w:val="0"/>
        <w:spacing w:before="17" w:line="300" w:lineRule="auto"/>
        <w:ind w:left="0" w:firstLine="489" w:firstLineChars="204"/>
        <w:jc w:val="both"/>
        <w:rPr>
          <w:rFonts w:ascii="Arial" w:hAnsi="Arial" w:cs="Arial"/>
          <w:sz w:val="26"/>
          <w:szCs w:val="26"/>
        </w:rPr>
      </w:pPr>
      <w:r>
        <w:rPr>
          <w:rFonts w:ascii="Arial" w:hAnsi="Arial" w:cs="Arial"/>
        </w:rPr>
        <w:t>成分</w:t>
      </w:r>
    </w:p>
    <w:p w14:paraId="0FC262E7">
      <w:pPr>
        <w:pStyle w:val="2"/>
        <w:numPr>
          <w:ilvl w:val="1"/>
          <w:numId w:val="4"/>
        </w:numPr>
        <w:tabs>
          <w:tab w:val="left" w:pos="820"/>
        </w:tabs>
        <w:snapToGrid w:val="0"/>
        <w:spacing w:before="17" w:line="300" w:lineRule="auto"/>
        <w:ind w:left="0" w:firstLine="489" w:firstLineChars="204"/>
        <w:jc w:val="both"/>
        <w:rPr>
          <w:rFonts w:ascii="Arial" w:hAnsi="Arial" w:cs="Arial"/>
          <w:sz w:val="26"/>
          <w:szCs w:val="26"/>
        </w:rPr>
      </w:pPr>
      <w:r>
        <w:rPr>
          <w:rFonts w:ascii="Arial" w:hAnsi="Arial" w:cs="Arial"/>
        </w:rPr>
        <w:t>适当的标准化/关系/可追溯性</w:t>
      </w:r>
    </w:p>
    <w:p w14:paraId="57A15836">
      <w:pPr>
        <w:pStyle w:val="2"/>
        <w:numPr>
          <w:ilvl w:val="1"/>
          <w:numId w:val="4"/>
        </w:numPr>
        <w:tabs>
          <w:tab w:val="left" w:pos="820"/>
        </w:tabs>
        <w:snapToGrid w:val="0"/>
        <w:spacing w:before="12" w:line="300" w:lineRule="auto"/>
        <w:ind w:left="0" w:firstLine="489" w:firstLineChars="204"/>
        <w:jc w:val="both"/>
        <w:rPr>
          <w:rFonts w:ascii="Arial" w:hAnsi="Arial" w:cs="Arial"/>
          <w:sz w:val="26"/>
          <w:szCs w:val="26"/>
        </w:rPr>
      </w:pPr>
      <w:r>
        <w:rPr>
          <w:rFonts w:ascii="Arial" w:hAnsi="Arial" w:cs="Arial"/>
        </w:rPr>
        <w:t>警告和注意事项</w:t>
      </w:r>
    </w:p>
    <w:p w14:paraId="019FE145">
      <w:pPr>
        <w:pStyle w:val="2"/>
        <w:numPr>
          <w:ilvl w:val="1"/>
          <w:numId w:val="4"/>
        </w:numPr>
        <w:tabs>
          <w:tab w:val="left" w:pos="820"/>
        </w:tabs>
        <w:snapToGrid w:val="0"/>
        <w:spacing w:before="17" w:line="300" w:lineRule="auto"/>
        <w:ind w:left="0" w:firstLine="489" w:firstLineChars="204"/>
        <w:jc w:val="both"/>
        <w:rPr>
          <w:rFonts w:ascii="Arial" w:hAnsi="Arial" w:cs="Arial"/>
          <w:sz w:val="26"/>
          <w:szCs w:val="26"/>
        </w:rPr>
      </w:pPr>
      <w:r>
        <w:rPr>
          <w:rFonts w:ascii="Arial" w:hAnsi="Arial" w:cs="Arial"/>
        </w:rPr>
        <w:t>对人源性材料的适当检测（例如HBV、HIV警告）</w:t>
      </w:r>
    </w:p>
    <w:p w14:paraId="00608710">
      <w:pPr>
        <w:pStyle w:val="2"/>
        <w:numPr>
          <w:ilvl w:val="1"/>
          <w:numId w:val="4"/>
        </w:numPr>
        <w:tabs>
          <w:tab w:val="left" w:pos="820"/>
        </w:tabs>
        <w:snapToGrid w:val="0"/>
        <w:spacing w:line="300" w:lineRule="auto"/>
        <w:ind w:left="0" w:firstLine="489" w:firstLineChars="204"/>
        <w:jc w:val="both"/>
        <w:rPr>
          <w:rFonts w:ascii="Arial" w:hAnsi="Arial" w:cs="Arial"/>
        </w:rPr>
      </w:pPr>
      <w:r>
        <w:rPr>
          <w:rFonts w:ascii="Arial" w:hAnsi="Arial" w:cs="Arial"/>
        </w:rPr>
        <w:t>“用于体外诊断使用”的声明</w:t>
      </w:r>
    </w:p>
    <w:p w14:paraId="43935759">
      <w:pPr>
        <w:snapToGrid w:val="0"/>
        <w:spacing w:line="300" w:lineRule="auto"/>
        <w:jc w:val="both"/>
        <w:rPr>
          <w:rFonts w:ascii="Arial" w:hAnsi="Arial" w:eastAsia="宋体" w:cs="Arial"/>
        </w:rPr>
        <w:sectPr>
          <w:pgSz w:w="12240" w:h="15840"/>
          <w:pgMar w:top="1380" w:right="1720" w:bottom="280" w:left="1700" w:header="720" w:footer="720" w:gutter="0"/>
          <w:cols w:space="720" w:num="1"/>
        </w:sectPr>
      </w:pPr>
    </w:p>
    <w:p w14:paraId="7C63EE23">
      <w:pPr>
        <w:pStyle w:val="2"/>
        <w:numPr>
          <w:ilvl w:val="0"/>
          <w:numId w:val="4"/>
        </w:numPr>
        <w:tabs>
          <w:tab w:val="left" w:pos="460"/>
        </w:tabs>
        <w:snapToGrid w:val="0"/>
        <w:spacing w:before="16" w:line="300" w:lineRule="auto"/>
        <w:ind w:left="0" w:firstLine="0"/>
        <w:jc w:val="both"/>
        <w:rPr>
          <w:rFonts w:ascii="Arial" w:hAnsi="Arial" w:cs="Arial"/>
          <w:sz w:val="26"/>
          <w:szCs w:val="26"/>
        </w:rPr>
      </w:pPr>
      <w:r>
        <w:rPr>
          <w:rFonts w:ascii="Arial" w:hAnsi="Arial" w:cs="Arial"/>
        </w:rPr>
        <w:t>分配值和值分配过程。</w:t>
      </w:r>
    </w:p>
    <w:p w14:paraId="62D08A46">
      <w:pPr>
        <w:pStyle w:val="2"/>
        <w:numPr>
          <w:ilvl w:val="0"/>
          <w:numId w:val="4"/>
        </w:numPr>
        <w:tabs>
          <w:tab w:val="left" w:pos="460"/>
        </w:tabs>
        <w:snapToGrid w:val="0"/>
        <w:spacing w:before="14" w:line="300" w:lineRule="auto"/>
        <w:ind w:left="0" w:firstLine="0"/>
        <w:jc w:val="both"/>
        <w:rPr>
          <w:rFonts w:ascii="Arial" w:hAnsi="Arial" w:cs="Arial"/>
          <w:sz w:val="26"/>
          <w:szCs w:val="26"/>
        </w:rPr>
      </w:pPr>
      <w:r>
        <w:rPr>
          <w:rFonts w:ascii="Arial" w:hAnsi="Arial" w:cs="Arial"/>
        </w:rPr>
        <w:t>储存说明/稳定性 - 开放/封闭保质期（包括物理、化学或生物指标或变质）。</w:t>
      </w:r>
    </w:p>
    <w:p w14:paraId="01E2F65D">
      <w:pPr>
        <w:pStyle w:val="2"/>
        <w:numPr>
          <w:ilvl w:val="0"/>
          <w:numId w:val="4"/>
        </w:numPr>
        <w:tabs>
          <w:tab w:val="left" w:pos="460"/>
        </w:tabs>
        <w:snapToGrid w:val="0"/>
        <w:spacing w:before="16" w:line="300" w:lineRule="auto"/>
        <w:ind w:left="0" w:firstLine="0"/>
        <w:jc w:val="both"/>
        <w:rPr>
          <w:rFonts w:ascii="Arial" w:hAnsi="Arial" w:cs="Arial"/>
          <w:sz w:val="26"/>
          <w:szCs w:val="26"/>
        </w:rPr>
      </w:pPr>
      <w:r>
        <w:rPr>
          <w:rFonts w:ascii="Arial" w:hAnsi="Arial" w:cs="Arial"/>
        </w:rPr>
        <w:t>使用说明，包括重溶/制备。</w:t>
      </w:r>
    </w:p>
    <w:p w14:paraId="472C0F70">
      <w:pPr>
        <w:pStyle w:val="2"/>
        <w:numPr>
          <w:ilvl w:val="0"/>
          <w:numId w:val="4"/>
        </w:numPr>
        <w:tabs>
          <w:tab w:val="left" w:pos="460"/>
        </w:tabs>
        <w:snapToGrid w:val="0"/>
        <w:spacing w:line="300" w:lineRule="auto"/>
        <w:ind w:left="0" w:firstLine="0"/>
        <w:jc w:val="both"/>
        <w:rPr>
          <w:rFonts w:ascii="Arial" w:hAnsi="Arial" w:cs="Arial"/>
        </w:rPr>
      </w:pPr>
      <w:r>
        <w:rPr>
          <w:rFonts w:ascii="Arial" w:hAnsi="Arial" w:cs="Arial"/>
        </w:rPr>
        <w:t>局限性。</w:t>
      </w:r>
    </w:p>
    <w:p w14:paraId="69EF3695">
      <w:pPr>
        <w:pStyle w:val="2"/>
        <w:numPr>
          <w:ilvl w:val="0"/>
          <w:numId w:val="4"/>
        </w:numPr>
        <w:tabs>
          <w:tab w:val="left" w:pos="460"/>
        </w:tabs>
        <w:snapToGrid w:val="0"/>
        <w:spacing w:before="16" w:line="300" w:lineRule="auto"/>
        <w:ind w:left="0" w:firstLine="0"/>
        <w:jc w:val="both"/>
        <w:rPr>
          <w:rFonts w:ascii="Arial" w:hAnsi="Arial" w:cs="Arial"/>
          <w:sz w:val="26"/>
          <w:szCs w:val="26"/>
        </w:rPr>
      </w:pPr>
      <w:r>
        <w:rPr>
          <w:rFonts w:ascii="Arial" w:hAnsi="Arial" w:cs="Arial"/>
        </w:rPr>
        <w:t>参考书目/参考文件。</w:t>
      </w:r>
    </w:p>
    <w:p w14:paraId="5EDA666F">
      <w:pPr>
        <w:pStyle w:val="2"/>
        <w:numPr>
          <w:ilvl w:val="0"/>
          <w:numId w:val="4"/>
        </w:numPr>
        <w:tabs>
          <w:tab w:val="left" w:pos="460"/>
        </w:tabs>
        <w:snapToGrid w:val="0"/>
        <w:spacing w:before="16" w:line="300" w:lineRule="auto"/>
        <w:ind w:left="0" w:firstLine="0"/>
        <w:jc w:val="both"/>
        <w:rPr>
          <w:rFonts w:ascii="Arial" w:hAnsi="Arial" w:cs="Arial"/>
          <w:sz w:val="26"/>
          <w:szCs w:val="26"/>
        </w:rPr>
      </w:pPr>
      <w:r>
        <w:rPr>
          <w:rFonts w:ascii="Arial" w:hAnsi="Arial" w:cs="Arial"/>
        </w:rPr>
        <w:t>制造商、包装商或经销商的名称和地址。</w:t>
      </w:r>
    </w:p>
    <w:p w14:paraId="504F1F2E">
      <w:pPr>
        <w:pStyle w:val="2"/>
        <w:numPr>
          <w:ilvl w:val="0"/>
          <w:numId w:val="4"/>
        </w:numPr>
        <w:tabs>
          <w:tab w:val="left" w:pos="460"/>
        </w:tabs>
        <w:snapToGrid w:val="0"/>
        <w:spacing w:line="300" w:lineRule="auto"/>
        <w:ind w:left="0" w:firstLine="0"/>
        <w:jc w:val="both"/>
        <w:rPr>
          <w:rFonts w:ascii="Arial" w:hAnsi="Arial" w:cs="Arial"/>
        </w:rPr>
      </w:pPr>
      <w:r>
        <w:rPr>
          <w:rFonts w:ascii="Arial" w:hAnsi="Arial" w:cs="Arial"/>
        </w:rPr>
        <w:t>标签修订日期。</w:t>
      </w:r>
    </w:p>
    <w:p w14:paraId="4EA03F8A">
      <w:pPr>
        <w:snapToGrid w:val="0"/>
        <w:spacing w:line="300" w:lineRule="auto"/>
        <w:rPr>
          <w:rFonts w:hint="eastAsia" w:eastAsia="宋体"/>
          <w:lang w:eastAsia="zh-CN"/>
        </w:rPr>
      </w:pPr>
    </w:p>
    <w:p w14:paraId="5C03B4FB">
      <w:pPr>
        <w:snapToGrid w:val="0"/>
        <w:spacing w:line="300" w:lineRule="auto"/>
        <w:jc w:val="center"/>
        <w:rPr>
          <w:rFonts w:hint="eastAsia" w:eastAsia="宋体"/>
          <w:lang w:eastAsia="zh-CN"/>
        </w:rPr>
      </w:pPr>
    </w:p>
    <w:p w14:paraId="7503C51D">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2240" w:h="15840"/>
      <w:pgMar w:top="1380" w:right="1720" w:bottom="28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43356"/>
    <w:multiLevelType w:val="multilevel"/>
    <w:tmpl w:val="2FC43356"/>
    <w:lvl w:ilvl="0" w:tentative="0">
      <w:start w:val="1"/>
      <w:numFmt w:val="upperRoman"/>
      <w:lvlText w:val="%1."/>
      <w:lvlJc w:val="left"/>
      <w:pPr>
        <w:ind w:left="377" w:hanging="278"/>
      </w:pPr>
      <w:rPr>
        <w:rFonts w:hint="default" w:ascii="Times New Roman" w:hAnsi="Times New Roman" w:eastAsia="Times New Roman"/>
        <w:b/>
        <w:bCs/>
        <w:spacing w:val="-1"/>
        <w:sz w:val="24"/>
        <w:szCs w:val="24"/>
      </w:rPr>
    </w:lvl>
    <w:lvl w:ilvl="1" w:tentative="0">
      <w:start w:val="1"/>
      <w:numFmt w:val="bullet"/>
      <w:lvlText w:val=""/>
      <w:lvlJc w:val="left"/>
      <w:pPr>
        <w:ind w:left="1180" w:hanging="360"/>
      </w:pPr>
      <w:rPr>
        <w:rFonts w:hint="default" w:ascii="Symbol" w:hAnsi="Symbol" w:eastAsia="Symbol"/>
        <w:w w:val="76"/>
        <w:sz w:val="24"/>
        <w:szCs w:val="24"/>
      </w:rPr>
    </w:lvl>
    <w:lvl w:ilvl="2" w:tentative="0">
      <w:start w:val="1"/>
      <w:numFmt w:val="bullet"/>
      <w:lvlText w:val="•"/>
      <w:lvlJc w:val="left"/>
      <w:pPr>
        <w:ind w:left="2028" w:hanging="360"/>
      </w:pPr>
      <w:rPr>
        <w:rFonts w:hint="default"/>
      </w:rPr>
    </w:lvl>
    <w:lvl w:ilvl="3" w:tentative="0">
      <w:start w:val="1"/>
      <w:numFmt w:val="bullet"/>
      <w:lvlText w:val="•"/>
      <w:lvlJc w:val="left"/>
      <w:pPr>
        <w:ind w:left="2877" w:hanging="360"/>
      </w:pPr>
      <w:rPr>
        <w:rFonts w:hint="default"/>
      </w:rPr>
    </w:lvl>
    <w:lvl w:ilvl="4" w:tentative="0">
      <w:start w:val="1"/>
      <w:numFmt w:val="bullet"/>
      <w:lvlText w:val="•"/>
      <w:lvlJc w:val="left"/>
      <w:pPr>
        <w:ind w:left="3726" w:hanging="360"/>
      </w:pPr>
      <w:rPr>
        <w:rFonts w:hint="default"/>
      </w:rPr>
    </w:lvl>
    <w:lvl w:ilvl="5" w:tentative="0">
      <w:start w:val="1"/>
      <w:numFmt w:val="bullet"/>
      <w:lvlText w:val="•"/>
      <w:lvlJc w:val="left"/>
      <w:pPr>
        <w:ind w:left="4575" w:hanging="360"/>
      </w:pPr>
      <w:rPr>
        <w:rFonts w:hint="default"/>
      </w:rPr>
    </w:lvl>
    <w:lvl w:ilvl="6" w:tentative="0">
      <w:start w:val="1"/>
      <w:numFmt w:val="bullet"/>
      <w:lvlText w:val="•"/>
      <w:lvlJc w:val="left"/>
      <w:pPr>
        <w:ind w:left="5424" w:hanging="360"/>
      </w:pPr>
      <w:rPr>
        <w:rFonts w:hint="default"/>
      </w:rPr>
    </w:lvl>
    <w:lvl w:ilvl="7" w:tentative="0">
      <w:start w:val="1"/>
      <w:numFmt w:val="bullet"/>
      <w:lvlText w:val="•"/>
      <w:lvlJc w:val="left"/>
      <w:pPr>
        <w:ind w:left="6273" w:hanging="360"/>
      </w:pPr>
      <w:rPr>
        <w:rFonts w:hint="default"/>
      </w:rPr>
    </w:lvl>
    <w:lvl w:ilvl="8" w:tentative="0">
      <w:start w:val="1"/>
      <w:numFmt w:val="bullet"/>
      <w:lvlText w:val="•"/>
      <w:lvlJc w:val="left"/>
      <w:pPr>
        <w:ind w:left="7122" w:hanging="360"/>
      </w:pPr>
      <w:rPr>
        <w:rFonts w:hint="default"/>
      </w:rPr>
    </w:lvl>
  </w:abstractNum>
  <w:abstractNum w:abstractNumId="1">
    <w:nsid w:val="398026E0"/>
    <w:multiLevelType w:val="multilevel"/>
    <w:tmpl w:val="398026E0"/>
    <w:lvl w:ilvl="0" w:tentative="0">
      <w:start w:val="1"/>
      <w:numFmt w:val="decimal"/>
      <w:lvlText w:val="%1."/>
      <w:lvlJc w:val="left"/>
      <w:pPr>
        <w:ind w:left="460" w:hanging="360"/>
      </w:pPr>
      <w:rPr>
        <w:rFonts w:hint="default" w:ascii="Times New Roman" w:hAnsi="Times New Roman" w:eastAsia="Times New Roman"/>
        <w:spacing w:val="1"/>
        <w:sz w:val="24"/>
        <w:szCs w:val="24"/>
      </w:rPr>
    </w:lvl>
    <w:lvl w:ilvl="1" w:tentative="0">
      <w:start w:val="1"/>
      <w:numFmt w:val="bullet"/>
      <w:lvlText w:val=""/>
      <w:lvlJc w:val="left"/>
      <w:pPr>
        <w:ind w:left="820" w:hanging="360"/>
      </w:pPr>
      <w:rPr>
        <w:rFonts w:hint="default" w:ascii="Symbol" w:hAnsi="Symbol" w:eastAsia="Symbol"/>
        <w:w w:val="76"/>
        <w:sz w:val="24"/>
        <w:szCs w:val="24"/>
      </w:rPr>
    </w:lvl>
    <w:lvl w:ilvl="2" w:tentative="0">
      <w:start w:val="1"/>
      <w:numFmt w:val="bullet"/>
      <w:lvlText w:val="•"/>
      <w:lvlJc w:val="left"/>
      <w:pPr>
        <w:ind w:left="1708" w:hanging="360"/>
      </w:pPr>
      <w:rPr>
        <w:rFonts w:hint="default"/>
      </w:rPr>
    </w:lvl>
    <w:lvl w:ilvl="3" w:tentative="0">
      <w:start w:val="1"/>
      <w:numFmt w:val="bullet"/>
      <w:lvlText w:val="•"/>
      <w:lvlJc w:val="left"/>
      <w:pPr>
        <w:ind w:left="2597" w:hanging="360"/>
      </w:pPr>
      <w:rPr>
        <w:rFonts w:hint="default"/>
      </w:rPr>
    </w:lvl>
    <w:lvl w:ilvl="4" w:tentative="0">
      <w:start w:val="1"/>
      <w:numFmt w:val="bullet"/>
      <w:lvlText w:val="•"/>
      <w:lvlJc w:val="left"/>
      <w:pPr>
        <w:ind w:left="3486" w:hanging="360"/>
      </w:pPr>
      <w:rPr>
        <w:rFonts w:hint="default"/>
      </w:rPr>
    </w:lvl>
    <w:lvl w:ilvl="5" w:tentative="0">
      <w:start w:val="1"/>
      <w:numFmt w:val="bullet"/>
      <w:lvlText w:val="•"/>
      <w:lvlJc w:val="left"/>
      <w:pPr>
        <w:ind w:left="4375" w:hanging="360"/>
      </w:pPr>
      <w:rPr>
        <w:rFonts w:hint="default"/>
      </w:rPr>
    </w:lvl>
    <w:lvl w:ilvl="6" w:tentative="0">
      <w:start w:val="1"/>
      <w:numFmt w:val="bullet"/>
      <w:lvlText w:val="•"/>
      <w:lvlJc w:val="left"/>
      <w:pPr>
        <w:ind w:left="5264" w:hanging="360"/>
      </w:pPr>
      <w:rPr>
        <w:rFonts w:hint="default"/>
      </w:rPr>
    </w:lvl>
    <w:lvl w:ilvl="7" w:tentative="0">
      <w:start w:val="1"/>
      <w:numFmt w:val="bullet"/>
      <w:lvlText w:val="•"/>
      <w:lvlJc w:val="left"/>
      <w:pPr>
        <w:ind w:left="6153" w:hanging="360"/>
      </w:pPr>
      <w:rPr>
        <w:rFonts w:hint="default"/>
      </w:rPr>
    </w:lvl>
    <w:lvl w:ilvl="8" w:tentative="0">
      <w:start w:val="1"/>
      <w:numFmt w:val="bullet"/>
      <w:lvlText w:val="•"/>
      <w:lvlJc w:val="left"/>
      <w:pPr>
        <w:ind w:left="7042" w:hanging="360"/>
      </w:pPr>
      <w:rPr>
        <w:rFonts w:hint="default"/>
      </w:rPr>
    </w:lvl>
  </w:abstractNum>
  <w:abstractNum w:abstractNumId="2">
    <w:nsid w:val="74D0178D"/>
    <w:multiLevelType w:val="multilevel"/>
    <w:tmpl w:val="74D0178D"/>
    <w:lvl w:ilvl="0" w:tentative="0">
      <w:start w:val="1"/>
      <w:numFmt w:val="lowerLetter"/>
      <w:lvlText w:val="%1."/>
      <w:lvlJc w:val="left"/>
      <w:pPr>
        <w:ind w:left="1540" w:hanging="720"/>
      </w:pPr>
      <w:rPr>
        <w:rFonts w:hint="default" w:ascii="Times New Roman" w:hAnsi="Times New Roman" w:eastAsia="Times New Roman"/>
        <w:sz w:val="24"/>
        <w:szCs w:val="24"/>
      </w:rPr>
    </w:lvl>
    <w:lvl w:ilvl="1" w:tentative="0">
      <w:start w:val="1"/>
      <w:numFmt w:val="bullet"/>
      <w:lvlText w:val="•"/>
      <w:lvlJc w:val="left"/>
      <w:pPr>
        <w:ind w:left="2268" w:hanging="720"/>
      </w:pPr>
      <w:rPr>
        <w:rFonts w:hint="default"/>
      </w:rPr>
    </w:lvl>
    <w:lvl w:ilvl="2" w:tentative="0">
      <w:start w:val="1"/>
      <w:numFmt w:val="bullet"/>
      <w:lvlText w:val="•"/>
      <w:lvlJc w:val="left"/>
      <w:pPr>
        <w:ind w:left="2996" w:hanging="720"/>
      </w:pPr>
      <w:rPr>
        <w:rFonts w:hint="default"/>
      </w:rPr>
    </w:lvl>
    <w:lvl w:ilvl="3" w:tentative="0">
      <w:start w:val="1"/>
      <w:numFmt w:val="bullet"/>
      <w:lvlText w:val="•"/>
      <w:lvlJc w:val="left"/>
      <w:pPr>
        <w:ind w:left="3724" w:hanging="720"/>
      </w:pPr>
      <w:rPr>
        <w:rFonts w:hint="default"/>
      </w:rPr>
    </w:lvl>
    <w:lvl w:ilvl="4" w:tentative="0">
      <w:start w:val="1"/>
      <w:numFmt w:val="bullet"/>
      <w:lvlText w:val="•"/>
      <w:lvlJc w:val="left"/>
      <w:pPr>
        <w:ind w:left="4452" w:hanging="720"/>
      </w:pPr>
      <w:rPr>
        <w:rFonts w:hint="default"/>
      </w:rPr>
    </w:lvl>
    <w:lvl w:ilvl="5" w:tentative="0">
      <w:start w:val="1"/>
      <w:numFmt w:val="bullet"/>
      <w:lvlText w:val="•"/>
      <w:lvlJc w:val="left"/>
      <w:pPr>
        <w:ind w:left="5180" w:hanging="720"/>
      </w:pPr>
      <w:rPr>
        <w:rFonts w:hint="default"/>
      </w:rPr>
    </w:lvl>
    <w:lvl w:ilvl="6" w:tentative="0">
      <w:start w:val="1"/>
      <w:numFmt w:val="bullet"/>
      <w:lvlText w:val="•"/>
      <w:lvlJc w:val="left"/>
      <w:pPr>
        <w:ind w:left="5908" w:hanging="720"/>
      </w:pPr>
      <w:rPr>
        <w:rFonts w:hint="default"/>
      </w:rPr>
    </w:lvl>
    <w:lvl w:ilvl="7" w:tentative="0">
      <w:start w:val="1"/>
      <w:numFmt w:val="bullet"/>
      <w:lvlText w:val="•"/>
      <w:lvlJc w:val="left"/>
      <w:pPr>
        <w:ind w:left="6636" w:hanging="720"/>
      </w:pPr>
      <w:rPr>
        <w:rFonts w:hint="default"/>
      </w:rPr>
    </w:lvl>
    <w:lvl w:ilvl="8" w:tentative="0">
      <w:start w:val="1"/>
      <w:numFmt w:val="bullet"/>
      <w:lvlText w:val="•"/>
      <w:lvlJc w:val="left"/>
      <w:pPr>
        <w:ind w:left="7364" w:hanging="720"/>
      </w:pPr>
      <w:rPr>
        <w:rFonts w:hint="default"/>
      </w:rPr>
    </w:lvl>
  </w:abstractNum>
  <w:abstractNum w:abstractNumId="3">
    <w:nsid w:val="7DB96D78"/>
    <w:multiLevelType w:val="multilevel"/>
    <w:tmpl w:val="7DB96D78"/>
    <w:lvl w:ilvl="0" w:tentative="0">
      <w:start w:val="1"/>
      <w:numFmt w:val="bullet"/>
      <w:lvlText w:val=""/>
      <w:lvlJc w:val="left"/>
      <w:pPr>
        <w:ind w:left="820" w:hanging="360"/>
      </w:pPr>
      <w:rPr>
        <w:rFonts w:hint="default" w:ascii="Symbol" w:hAnsi="Symbol" w:eastAsia="Symbol"/>
        <w:w w:val="76"/>
        <w:sz w:val="24"/>
        <w:szCs w:val="24"/>
      </w:rPr>
    </w:lvl>
    <w:lvl w:ilvl="1" w:tentative="0">
      <w:start w:val="1"/>
      <w:numFmt w:val="bullet"/>
      <w:lvlText w:val="•"/>
      <w:lvlJc w:val="left"/>
      <w:pPr>
        <w:ind w:left="1620" w:hanging="360"/>
      </w:pPr>
      <w:rPr>
        <w:rFonts w:hint="default"/>
      </w:rPr>
    </w:lvl>
    <w:lvl w:ilvl="2" w:tentative="0">
      <w:start w:val="1"/>
      <w:numFmt w:val="bullet"/>
      <w:lvlText w:val="•"/>
      <w:lvlJc w:val="left"/>
      <w:pPr>
        <w:ind w:left="2420" w:hanging="360"/>
      </w:pPr>
      <w:rPr>
        <w:rFonts w:hint="default"/>
      </w:rPr>
    </w:lvl>
    <w:lvl w:ilvl="3" w:tentative="0">
      <w:start w:val="1"/>
      <w:numFmt w:val="bullet"/>
      <w:lvlText w:val="•"/>
      <w:lvlJc w:val="left"/>
      <w:pPr>
        <w:ind w:left="3220" w:hanging="360"/>
      </w:pPr>
      <w:rPr>
        <w:rFonts w:hint="default"/>
      </w:rPr>
    </w:lvl>
    <w:lvl w:ilvl="4" w:tentative="0">
      <w:start w:val="1"/>
      <w:numFmt w:val="bullet"/>
      <w:lvlText w:val="•"/>
      <w:lvlJc w:val="left"/>
      <w:pPr>
        <w:ind w:left="4020" w:hanging="360"/>
      </w:pPr>
      <w:rPr>
        <w:rFonts w:hint="default"/>
      </w:rPr>
    </w:lvl>
    <w:lvl w:ilvl="5" w:tentative="0">
      <w:start w:val="1"/>
      <w:numFmt w:val="bullet"/>
      <w:lvlText w:val="•"/>
      <w:lvlJc w:val="left"/>
      <w:pPr>
        <w:ind w:left="4820" w:hanging="360"/>
      </w:pPr>
      <w:rPr>
        <w:rFonts w:hint="default"/>
      </w:rPr>
    </w:lvl>
    <w:lvl w:ilvl="6" w:tentative="0">
      <w:start w:val="1"/>
      <w:numFmt w:val="bullet"/>
      <w:lvlText w:val="•"/>
      <w:lvlJc w:val="left"/>
      <w:pPr>
        <w:ind w:left="5620" w:hanging="360"/>
      </w:pPr>
      <w:rPr>
        <w:rFonts w:hint="default"/>
      </w:rPr>
    </w:lvl>
    <w:lvl w:ilvl="7" w:tentative="0">
      <w:start w:val="1"/>
      <w:numFmt w:val="bullet"/>
      <w:lvlText w:val="•"/>
      <w:lvlJc w:val="left"/>
      <w:pPr>
        <w:ind w:left="6420" w:hanging="360"/>
      </w:pPr>
      <w:rPr>
        <w:rFonts w:hint="default"/>
      </w:rPr>
    </w:lvl>
    <w:lvl w:ilvl="8" w:tentative="0">
      <w:start w:val="1"/>
      <w:numFmt w:val="bullet"/>
      <w:lvlText w:val="•"/>
      <w:lvlJc w:val="left"/>
      <w:pPr>
        <w:ind w:left="722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EF"/>
    <w:rsid w:val="0002353B"/>
    <w:rsid w:val="00025A3B"/>
    <w:rsid w:val="00040E2D"/>
    <w:rsid w:val="000D2FFA"/>
    <w:rsid w:val="000D6E0B"/>
    <w:rsid w:val="00135C29"/>
    <w:rsid w:val="001E6E58"/>
    <w:rsid w:val="00224755"/>
    <w:rsid w:val="0026484F"/>
    <w:rsid w:val="00291528"/>
    <w:rsid w:val="002B1484"/>
    <w:rsid w:val="002C17B5"/>
    <w:rsid w:val="002D1EC6"/>
    <w:rsid w:val="00357159"/>
    <w:rsid w:val="00366491"/>
    <w:rsid w:val="00451C89"/>
    <w:rsid w:val="00487DB5"/>
    <w:rsid w:val="005436A5"/>
    <w:rsid w:val="005617EF"/>
    <w:rsid w:val="00587260"/>
    <w:rsid w:val="005E58F0"/>
    <w:rsid w:val="0076597F"/>
    <w:rsid w:val="007F3E19"/>
    <w:rsid w:val="00817788"/>
    <w:rsid w:val="00873BEC"/>
    <w:rsid w:val="008A46C0"/>
    <w:rsid w:val="008C5E70"/>
    <w:rsid w:val="009D6232"/>
    <w:rsid w:val="009F18CA"/>
    <w:rsid w:val="00A41A57"/>
    <w:rsid w:val="00AA30A0"/>
    <w:rsid w:val="00AC6C29"/>
    <w:rsid w:val="00B02E2D"/>
    <w:rsid w:val="00BE1C90"/>
    <w:rsid w:val="00CF1303"/>
    <w:rsid w:val="00CF64CC"/>
    <w:rsid w:val="00D96EDE"/>
    <w:rsid w:val="00DC07CC"/>
    <w:rsid w:val="00DC6677"/>
    <w:rsid w:val="00E51DBA"/>
    <w:rsid w:val="00EA07F6"/>
    <w:rsid w:val="00EF23A9"/>
    <w:rsid w:val="00F22621"/>
    <w:rsid w:val="00F93F88"/>
    <w:rsid w:val="2095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460"/>
    </w:pPr>
    <w:rPr>
      <w:rFonts w:ascii="Times New Roman" w:hAnsi="Times New Roman" w:eastAsia="宋体"/>
      <w:sz w:val="24"/>
      <w:szCs w:val="24"/>
    </w:rPr>
  </w:style>
  <w:style w:type="paragraph" w:styleId="3">
    <w:name w:val="Balloon Text"/>
    <w:basedOn w:val="1"/>
    <w:link w:val="15"/>
    <w:semiHidden/>
    <w:unhideWhenUsed/>
    <w:uiPriority w:val="99"/>
    <w:rPr>
      <w:sz w:val="18"/>
      <w:szCs w:val="18"/>
    </w:rPr>
  </w:style>
  <w:style w:type="paragraph" w:styleId="4">
    <w:name w:val="footer"/>
    <w:basedOn w:val="1"/>
    <w:link w:val="14"/>
    <w:semiHidden/>
    <w:unhideWhenUsed/>
    <w:uiPriority w:val="99"/>
    <w:pPr>
      <w:tabs>
        <w:tab w:val="center" w:pos="4153"/>
        <w:tab w:val="right" w:pos="8306"/>
      </w:tabs>
      <w:snapToGrid w:val="0"/>
    </w:pPr>
    <w:rPr>
      <w:sz w:val="18"/>
      <w:szCs w:val="18"/>
    </w:rPr>
  </w:style>
  <w:style w:type="paragraph" w:styleId="5">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customStyle="1" w:styleId="9">
    <w:name w:val="标题 11"/>
    <w:basedOn w:val="1"/>
    <w:qFormat/>
    <w:uiPriority w:val="1"/>
    <w:pPr>
      <w:spacing w:before="53"/>
      <w:ind w:left="100"/>
      <w:outlineLvl w:val="1"/>
    </w:pPr>
    <w:rPr>
      <w:rFonts w:ascii="Times New Roman" w:hAnsi="Times New Roman" w:eastAsia="宋体"/>
      <w:b/>
      <w:bCs/>
      <w:sz w:val="36"/>
      <w:szCs w:val="36"/>
    </w:rPr>
  </w:style>
  <w:style w:type="paragraph" w:customStyle="1" w:styleId="10">
    <w:name w:val="标题 21"/>
    <w:basedOn w:val="1"/>
    <w:qFormat/>
    <w:uiPriority w:val="1"/>
    <w:pPr>
      <w:outlineLvl w:val="2"/>
    </w:pPr>
    <w:rPr>
      <w:rFonts w:ascii="Times New Roman" w:hAnsi="Times New Roman" w:eastAsia="宋体"/>
      <w:b/>
      <w:bCs/>
      <w:sz w:val="24"/>
      <w:szCs w:val="24"/>
    </w:r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7"/>
    <w:link w:val="5"/>
    <w:semiHidden/>
    <w:uiPriority w:val="99"/>
    <w:rPr>
      <w:sz w:val="18"/>
      <w:szCs w:val="18"/>
    </w:rPr>
  </w:style>
  <w:style w:type="character" w:customStyle="1" w:styleId="14">
    <w:name w:val="页脚 Char"/>
    <w:basedOn w:val="7"/>
    <w:link w:val="4"/>
    <w:semiHidden/>
    <w:uiPriority w:val="99"/>
    <w:rPr>
      <w:sz w:val="18"/>
      <w:szCs w:val="18"/>
    </w:rPr>
  </w:style>
  <w:style w:type="character" w:customStyle="1" w:styleId="15">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7</Pages>
  <Words>2119</Words>
  <Characters>2559</Characters>
  <Lines>19</Lines>
  <Paragraphs>5</Paragraphs>
  <TotalTime>0</TotalTime>
  <ScaleCrop>false</ScaleCrop>
  <LinksUpToDate>false</LinksUpToDate>
  <CharactersWithSpaces>2604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2017-04-09T09:13:00Z</dcterms:created>
  <dc:creator>Author: Joe Hackett. Poster: DID</dc:creator>
  <cp:keywords>Posted 04-06-1999, Calibrators</cp:keywords>
  <cp:lastModifiedBy>太极箫客</cp:lastModifiedBy>
  <dcterms:modified xsi:type="dcterms:W3CDTF">2025-08-14T06:32:03Z</dcterms:modified>
  <dc:subject>Issued: 02-22-1999</dc:subject>
  <dc:title>Abbreviated 510 (k) Submissions for In Vitro Diagnostic Calibr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LastSaved">
    <vt:filetime>2017-02-15T00:00:00Z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88E4F19A3E32445883E04BA0528232A4_12</vt:lpwstr>
  </property>
</Properties>
</file>