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4530B">
      <w:pPr>
        <w:snapToGrid w:val="0"/>
        <w:spacing w:line="300" w:lineRule="auto"/>
        <w:rPr>
          <w:rFonts w:ascii="Arial" w:hAnsi="Arial" w:eastAsia="宋体" w:cs="Arial"/>
          <w:color w:val="000000" w:themeColor="text1"/>
          <w:szCs w:val="21"/>
        </w:rPr>
      </w:pPr>
      <w:bookmarkStart w:id="15" w:name="_GoBack"/>
      <w:bookmarkEnd w:id="15"/>
    </w:p>
    <w:p w14:paraId="08FDE0E0">
      <w:pPr>
        <w:snapToGrid w:val="0"/>
        <w:spacing w:line="300" w:lineRule="auto"/>
        <w:rPr>
          <w:rFonts w:ascii="Arial" w:hAnsi="Arial" w:eastAsia="宋体" w:cs="Arial"/>
          <w:color w:val="000000" w:themeColor="text1"/>
          <w:szCs w:val="21"/>
        </w:rPr>
      </w:pPr>
    </w:p>
    <w:p w14:paraId="62335E4B">
      <w:pPr>
        <w:snapToGrid w:val="0"/>
        <w:spacing w:line="300" w:lineRule="auto"/>
        <w:rPr>
          <w:rFonts w:ascii="Arial" w:hAnsi="Arial" w:eastAsia="宋体" w:cs="Arial"/>
          <w:color w:val="000000" w:themeColor="text1"/>
          <w:szCs w:val="21"/>
        </w:rPr>
      </w:pPr>
    </w:p>
    <w:p w14:paraId="418D8EE8">
      <w:pPr>
        <w:snapToGrid w:val="0"/>
        <w:spacing w:line="300" w:lineRule="auto"/>
        <w:rPr>
          <w:rFonts w:ascii="Arial" w:hAnsi="Arial" w:eastAsia="宋体" w:cs="Arial"/>
          <w:color w:val="000000" w:themeColor="text1"/>
          <w:szCs w:val="21"/>
        </w:rPr>
      </w:pPr>
    </w:p>
    <w:p w14:paraId="1E90C8B4">
      <w:pPr>
        <w:snapToGrid w:val="0"/>
        <w:spacing w:line="300" w:lineRule="auto"/>
        <w:rPr>
          <w:rFonts w:ascii="Arial" w:hAnsi="Arial" w:eastAsia="宋体" w:cs="Arial"/>
          <w:color w:val="000000" w:themeColor="text1"/>
          <w:szCs w:val="21"/>
        </w:rPr>
      </w:pPr>
    </w:p>
    <w:p w14:paraId="55E7DC0C">
      <w:pPr>
        <w:snapToGrid w:val="0"/>
        <w:spacing w:line="300" w:lineRule="auto"/>
        <w:rPr>
          <w:rFonts w:ascii="Arial" w:hAnsi="Arial" w:eastAsia="宋体" w:cs="Arial"/>
          <w:color w:val="000000" w:themeColor="text1"/>
          <w:szCs w:val="21"/>
        </w:rPr>
      </w:pPr>
    </w:p>
    <w:p w14:paraId="03EAB9D0">
      <w:pPr>
        <w:snapToGrid w:val="0"/>
        <w:spacing w:line="300" w:lineRule="auto"/>
        <w:rPr>
          <w:rFonts w:ascii="Arial" w:hAnsi="Arial" w:eastAsia="宋体" w:cs="Arial"/>
          <w:color w:val="000000" w:themeColor="text1"/>
          <w:szCs w:val="21"/>
        </w:rPr>
      </w:pPr>
    </w:p>
    <w:p w14:paraId="707F91AA">
      <w:pPr>
        <w:snapToGrid w:val="0"/>
        <w:spacing w:line="300" w:lineRule="auto"/>
        <w:rPr>
          <w:rFonts w:ascii="Arial" w:hAnsi="Arial" w:eastAsia="宋体" w:cs="Arial"/>
          <w:color w:val="000000" w:themeColor="text1"/>
          <w:szCs w:val="21"/>
        </w:rPr>
      </w:pPr>
    </w:p>
    <w:p w14:paraId="2EA59840">
      <w:pPr>
        <w:snapToGrid w:val="0"/>
        <w:spacing w:line="300" w:lineRule="auto"/>
        <w:rPr>
          <w:rFonts w:ascii="Arial" w:hAnsi="Arial" w:eastAsia="宋体" w:cs="Arial"/>
          <w:color w:val="000000" w:themeColor="text1"/>
          <w:szCs w:val="21"/>
        </w:rPr>
      </w:pPr>
    </w:p>
    <w:p w14:paraId="15A61B78">
      <w:pPr>
        <w:snapToGrid w:val="0"/>
        <w:spacing w:line="300" w:lineRule="auto"/>
        <w:rPr>
          <w:rFonts w:ascii="Arial" w:hAnsi="Arial" w:eastAsia="宋体" w:cs="Arial"/>
          <w:color w:val="000000" w:themeColor="text1"/>
          <w:szCs w:val="21"/>
        </w:rPr>
      </w:pPr>
    </w:p>
    <w:p w14:paraId="5F62A6B4">
      <w:pPr>
        <w:snapToGrid w:val="0"/>
        <w:spacing w:line="300" w:lineRule="auto"/>
        <w:rPr>
          <w:rFonts w:ascii="Arial" w:hAnsi="Arial" w:eastAsia="宋体" w:cs="Arial"/>
          <w:color w:val="000000" w:themeColor="text1"/>
          <w:szCs w:val="21"/>
        </w:rPr>
      </w:pPr>
    </w:p>
    <w:p w14:paraId="40F21DA8">
      <w:pPr>
        <w:snapToGrid w:val="0"/>
        <w:spacing w:line="300" w:lineRule="auto"/>
        <w:rPr>
          <w:rFonts w:ascii="Arial" w:hAnsi="Arial" w:eastAsia="宋体" w:cs="Arial"/>
          <w:color w:val="000000" w:themeColor="text1"/>
          <w:szCs w:val="21"/>
        </w:rPr>
      </w:pPr>
    </w:p>
    <w:p w14:paraId="0B822CA0">
      <w:pPr>
        <w:snapToGrid w:val="0"/>
        <w:spacing w:line="300" w:lineRule="auto"/>
        <w:rPr>
          <w:rFonts w:ascii="Arial" w:hAnsi="Arial" w:eastAsia="宋体" w:cs="Arial"/>
          <w:color w:val="000000" w:themeColor="text1"/>
          <w:szCs w:val="21"/>
        </w:rPr>
      </w:pPr>
    </w:p>
    <w:p w14:paraId="18FF95D0">
      <w:pPr>
        <w:snapToGrid w:val="0"/>
        <w:spacing w:line="300" w:lineRule="auto"/>
        <w:rPr>
          <w:rFonts w:ascii="Arial" w:hAnsi="Arial" w:eastAsia="宋体" w:cs="Arial"/>
          <w:color w:val="000000" w:themeColor="text1"/>
          <w:szCs w:val="21"/>
        </w:rPr>
      </w:pPr>
    </w:p>
    <w:p w14:paraId="6C513B04">
      <w:pPr>
        <w:snapToGrid w:val="0"/>
        <w:spacing w:line="300" w:lineRule="auto"/>
        <w:rPr>
          <w:rFonts w:ascii="Arial" w:hAnsi="Arial" w:eastAsia="宋体" w:cs="Arial"/>
          <w:color w:val="000000" w:themeColor="text1"/>
          <w:szCs w:val="21"/>
        </w:rPr>
      </w:pPr>
    </w:p>
    <w:p w14:paraId="131D288A">
      <w:pPr>
        <w:snapToGrid w:val="0"/>
        <w:spacing w:line="300" w:lineRule="auto"/>
        <w:rPr>
          <w:rFonts w:ascii="Arial" w:hAnsi="Arial" w:eastAsia="宋体" w:cs="Arial"/>
          <w:color w:val="000000" w:themeColor="text1"/>
          <w:szCs w:val="21"/>
        </w:rPr>
      </w:pPr>
    </w:p>
    <w:p w14:paraId="60A9FC9A">
      <w:pPr>
        <w:snapToGrid w:val="0"/>
        <w:spacing w:line="300" w:lineRule="auto"/>
        <w:rPr>
          <w:rFonts w:ascii="Arial" w:hAnsi="Arial" w:eastAsia="宋体" w:cs="Arial"/>
          <w:color w:val="000000" w:themeColor="text1"/>
          <w:szCs w:val="21"/>
        </w:rPr>
      </w:pPr>
    </w:p>
    <w:p w14:paraId="404CB577">
      <w:pPr>
        <w:snapToGrid w:val="0"/>
        <w:spacing w:before="62" w:beforeLines="20" w:after="62" w:afterLines="20" w:line="312" w:lineRule="auto"/>
        <w:rPr>
          <w:rFonts w:ascii="Arial" w:hAnsi="Arial" w:eastAsia="宋体" w:cs="Arial"/>
          <w:color w:val="000000" w:themeColor="text1"/>
          <w:szCs w:val="21"/>
          <w:shd w:val="clear" w:color="auto" w:fill="FFFFFF"/>
        </w:rPr>
      </w:pPr>
    </w:p>
    <w:p w14:paraId="1CD96447">
      <w:pPr>
        <w:snapToGrid w:val="0"/>
        <w:spacing w:before="62" w:beforeLines="20" w:after="62" w:afterLines="20" w:line="312" w:lineRule="auto"/>
        <w:jc w:val="center"/>
        <w:rPr>
          <w:rFonts w:ascii="Arial" w:hAnsi="Arial" w:eastAsia="宋体" w:cs="Arial"/>
          <w:color w:val="000000" w:themeColor="text1"/>
          <w:szCs w:val="21"/>
          <w:shd w:val="clear" w:color="auto" w:fill="FFFFFF"/>
        </w:rPr>
      </w:pPr>
      <w:r>
        <w:rPr>
          <w:rFonts w:hint="eastAsia" w:ascii="Arial" w:hAnsi="Arial" w:eastAsia="宋体" w:cs="Arial"/>
          <w:color w:val="000000" w:themeColor="text1"/>
          <w:szCs w:val="21"/>
          <w:shd w:val="clear" w:color="auto" w:fill="FFFFFF"/>
        </w:rPr>
        <w:t>本指南编写于</w:t>
      </w:r>
      <w:r>
        <w:rPr>
          <w:rFonts w:ascii="Arial" w:hAnsi="Arial" w:eastAsia="宋体" w:cs="Arial"/>
          <w:color w:val="000000" w:themeColor="text1"/>
          <w:szCs w:val="21"/>
          <w:shd w:val="clear" w:color="auto" w:fill="FFFFFF"/>
        </w:rPr>
        <w:t>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65E8DF56">
      <w:pPr>
        <w:pBdr>
          <w:bottom w:val="single" w:color="auto" w:sz="6" w:space="1"/>
        </w:pBdr>
        <w:snapToGrid w:val="0"/>
        <w:spacing w:before="62" w:beforeLines="20" w:after="62" w:afterLines="20" w:line="312" w:lineRule="auto"/>
        <w:rPr>
          <w:rFonts w:ascii="Arial" w:hAnsi="Arial" w:eastAsia="宋体" w:cs="Arial"/>
          <w:color w:val="000000" w:themeColor="text1"/>
          <w:szCs w:val="21"/>
          <w:shd w:val="clear" w:color="auto" w:fill="FFFFFF"/>
        </w:rPr>
      </w:pPr>
      <w:r>
        <w:rPr>
          <w:rFonts w:ascii="Arial" w:hAnsi="Arial" w:eastAsia="宋体" w:cs="Arial"/>
          <w:color w:val="000000" w:themeColor="text1"/>
          <w:szCs w:val="21"/>
          <w:shd w:val="clear" w:color="auto" w:fill="FFFFFF"/>
        </w:rPr>
        <w:br w:type="page"/>
      </w:r>
    </w:p>
    <w:p w14:paraId="57CBEAC3">
      <w:pPr>
        <w:snapToGrid w:val="0"/>
        <w:spacing w:before="62" w:beforeLines="20" w:after="62" w:afterLines="20" w:line="312" w:lineRule="auto"/>
        <w:rPr>
          <w:rFonts w:ascii="Arial" w:hAnsi="Arial" w:eastAsia="宋体" w:cs="Arial"/>
          <w:color w:val="000000" w:themeColor="text1"/>
          <w:szCs w:val="21"/>
        </w:rPr>
      </w:pPr>
    </w:p>
    <w:p w14:paraId="5307101F">
      <w:pPr>
        <w:snapToGrid w:val="0"/>
        <w:spacing w:before="62" w:beforeLines="20" w:after="62" w:afterLines="20" w:line="312" w:lineRule="auto"/>
        <w:rPr>
          <w:rFonts w:ascii="Arial" w:hAnsi="Arial" w:eastAsia="宋体" w:cs="Arial"/>
          <w:color w:val="000000" w:themeColor="text1"/>
          <w:szCs w:val="21"/>
        </w:rPr>
      </w:pPr>
      <w:r>
        <w:rPr>
          <w:rFonts w:hint="eastAsia" w:ascii="Arial" w:hAnsi="Arial" w:eastAsia="宋体" w:cs="Arial"/>
          <w:color w:val="000000" w:themeColor="text1"/>
          <w:szCs w:val="21"/>
        </w:rPr>
        <w:t xml:space="preserve">                                                                         备忘录</w:t>
      </w:r>
    </w:p>
    <w:p w14:paraId="390BCFC1">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日期：1992年9月</w:t>
      </w:r>
    </w:p>
    <w:p w14:paraId="6DC4ADDD">
      <w:pPr>
        <w:snapToGrid w:val="0"/>
        <w:spacing w:before="62" w:beforeLines="20" w:after="62" w:afterLines="20" w:line="312" w:lineRule="auto"/>
        <w:ind w:firstLine="630" w:firstLineChars="300"/>
        <w:rPr>
          <w:rFonts w:ascii="Arial" w:hAnsi="Arial" w:eastAsia="宋体" w:cs="Arial"/>
          <w:color w:val="000000" w:themeColor="text1"/>
          <w:szCs w:val="21"/>
          <w:shd w:val="clear" w:color="auto" w:fill="FFFFFF"/>
        </w:rPr>
      </w:pPr>
      <w:r>
        <w:rPr>
          <w:rFonts w:hint="eastAsia" w:ascii="Arial" w:hAnsi="Arial" w:eastAsia="宋体" w:cs="Arial"/>
          <w:color w:val="000000" w:themeColor="text1"/>
          <w:szCs w:val="21"/>
          <w:shd w:val="clear" w:color="auto" w:fill="FFFFFF"/>
        </w:rPr>
        <w:t>器械与放射健康中心</w:t>
      </w:r>
      <w:r>
        <w:rPr>
          <w:rFonts w:ascii="Arial" w:hAnsi="Arial" w:eastAsia="宋体" w:cs="Arial"/>
          <w:color w:val="000000" w:themeColor="text1"/>
          <w:szCs w:val="21"/>
          <w:shd w:val="clear" w:color="auto" w:fill="FFFFFF"/>
        </w:rPr>
        <w:t>，器械评估办公室，诊断实验室器械分部，免疫分支部门</w:t>
      </w:r>
      <w:r>
        <w:rPr>
          <w:rFonts w:hint="eastAsia" w:ascii="Arial" w:hAnsi="Arial" w:eastAsia="宋体" w:cs="Arial"/>
          <w:color w:val="000000" w:themeColor="text1"/>
          <w:szCs w:val="21"/>
          <w:shd w:val="clear" w:color="auto" w:fill="FFFFFF"/>
        </w:rPr>
        <w:t>主任</w:t>
      </w:r>
    </w:p>
    <w:p w14:paraId="41F0EAF8">
      <w:pPr>
        <w:snapToGrid w:val="0"/>
        <w:spacing w:before="62" w:beforeLines="20" w:after="62" w:afterLines="20" w:line="312" w:lineRule="auto"/>
        <w:rPr>
          <w:rFonts w:ascii="Arial" w:hAnsi="Arial" w:eastAsia="宋体" w:cs="Arial"/>
          <w:color w:val="000000" w:themeColor="text1"/>
          <w:szCs w:val="21"/>
        </w:rPr>
      </w:pPr>
      <w:r>
        <w:rPr>
          <w:rFonts w:hint="eastAsia" w:ascii="Arial" w:hAnsi="Arial" w:eastAsia="宋体" w:cs="Arial"/>
          <w:color w:val="000000" w:themeColor="text1"/>
          <w:szCs w:val="21"/>
        </w:rPr>
        <w:t>发件人</w:t>
      </w:r>
      <w:r>
        <w:rPr>
          <w:rFonts w:ascii="Arial" w:hAnsi="Arial" w:eastAsia="宋体" w:cs="Arial"/>
          <w:color w:val="000000" w:themeColor="text1"/>
          <w:szCs w:val="21"/>
        </w:rPr>
        <w:t xml:space="preserve">：   </w:t>
      </w:r>
    </w:p>
    <w:p w14:paraId="2D47F740">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 xml:space="preserve">标题： </w:t>
      </w:r>
      <w:r>
        <w:rPr>
          <w:rFonts w:ascii="Arial" w:hAnsi="Arial" w:eastAsia="宋体" w:cs="Arial"/>
          <w:color w:val="000000" w:themeColor="text1"/>
          <w:szCs w:val="21"/>
          <w:shd w:val="clear" w:color="auto" w:fill="FFFFFF"/>
        </w:rPr>
        <w:t>体外诊断器械</w:t>
      </w:r>
      <w:r>
        <w:rPr>
          <w:rFonts w:ascii="Arial" w:hAnsi="Arial" w:eastAsia="宋体" w:cs="Arial"/>
          <w:color w:val="000000" w:themeColor="text1"/>
          <w:szCs w:val="21"/>
        </w:rPr>
        <w:t>免疫</w:t>
      </w:r>
      <w:r>
        <w:rPr>
          <w:rFonts w:ascii="Arial" w:hAnsi="Arial" w:eastAsia="宋体" w:cs="Arial"/>
          <w:color w:val="000000" w:themeColor="text1"/>
          <w:szCs w:val="21"/>
          <w:shd w:val="clear" w:color="auto" w:fill="FFFFFF"/>
        </w:rPr>
        <w:t>球蛋白A、G、M、D和E免疫球蛋白系统 510（k）</w:t>
      </w:r>
      <w:r>
        <w:rPr>
          <w:rFonts w:hint="eastAsia" w:ascii="Arial" w:hAnsi="Arial" w:eastAsia="宋体" w:cs="Arial"/>
          <w:color w:val="000000" w:themeColor="text1"/>
          <w:szCs w:val="21"/>
          <w:shd w:val="clear" w:color="auto" w:fill="FFFFFF"/>
        </w:rPr>
        <w:t>提交资料的</w:t>
      </w:r>
      <w:r>
        <w:rPr>
          <w:rFonts w:ascii="Arial" w:hAnsi="Arial" w:eastAsia="宋体" w:cs="Arial"/>
          <w:color w:val="000000" w:themeColor="text1"/>
          <w:szCs w:val="21"/>
          <w:shd w:val="clear" w:color="auto" w:fill="FFFFFF"/>
        </w:rPr>
        <w:t>指导性文件</w:t>
      </w:r>
      <w:r>
        <w:rPr>
          <w:rFonts w:hint="eastAsia" w:ascii="Arial" w:hAnsi="Arial" w:eastAsia="宋体" w:cs="Arial"/>
          <w:color w:val="000000" w:themeColor="text1"/>
          <w:szCs w:val="21"/>
        </w:rPr>
        <w:t>草案</w:t>
      </w:r>
    </w:p>
    <w:p w14:paraId="0D94EE5A">
      <w:pPr>
        <w:snapToGrid w:val="0"/>
        <w:spacing w:before="62" w:beforeLines="20" w:after="62" w:afterLines="20" w:line="312" w:lineRule="auto"/>
        <w:rPr>
          <w:rFonts w:ascii="Arial" w:hAnsi="Arial" w:eastAsia="宋体" w:cs="Arial"/>
          <w:color w:val="000000" w:themeColor="text1"/>
          <w:szCs w:val="21"/>
        </w:rPr>
      </w:pPr>
      <w:r>
        <w:rPr>
          <w:rFonts w:hint="eastAsia" w:ascii="Arial" w:hAnsi="Arial" w:eastAsia="宋体" w:cs="Arial"/>
          <w:color w:val="000000" w:themeColor="text1"/>
          <w:szCs w:val="21"/>
        </w:rPr>
        <w:t>收件人</w:t>
      </w:r>
      <w:r>
        <w:rPr>
          <w:rFonts w:ascii="Arial" w:hAnsi="Arial" w:eastAsia="宋体" w:cs="Arial"/>
          <w:color w:val="000000" w:themeColor="text1"/>
          <w:szCs w:val="21"/>
        </w:rPr>
        <w:t>： 感兴趣的各方</w:t>
      </w:r>
    </w:p>
    <w:p w14:paraId="3097FA19">
      <w:pPr>
        <w:snapToGrid w:val="0"/>
        <w:spacing w:before="62" w:beforeLines="20" w:after="62" w:afterLines="20" w:line="312" w:lineRule="auto"/>
        <w:rPr>
          <w:rFonts w:ascii="Arial" w:hAnsi="Arial" w:eastAsia="宋体" w:cs="Arial"/>
          <w:color w:val="000000" w:themeColor="text1"/>
          <w:szCs w:val="21"/>
        </w:rPr>
      </w:pPr>
    </w:p>
    <w:p w14:paraId="7C643017">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我们已经撰写了一份文件草案，题目为：《评估体外诊断器械免疫球蛋白A、G、M和D免疫球蛋白系统</w:t>
      </w:r>
      <w:r>
        <w:rPr>
          <w:rFonts w:hint="eastAsia" w:ascii="Arial" w:hAnsi="Arial" w:eastAsia="宋体" w:cs="Arial"/>
          <w:color w:val="000000" w:themeColor="text1"/>
          <w:szCs w:val="21"/>
        </w:rPr>
        <w:t>的</w:t>
      </w:r>
      <w:r>
        <w:rPr>
          <w:rFonts w:ascii="Arial" w:hAnsi="Arial" w:eastAsia="宋体" w:cs="Arial"/>
          <w:color w:val="000000" w:themeColor="text1"/>
          <w:szCs w:val="21"/>
        </w:rPr>
        <w:t>审查标准》，包括一份通用模型包装说明书。</w:t>
      </w:r>
      <w:r>
        <w:rPr>
          <w:rFonts w:hint="eastAsia" w:ascii="Arial" w:hAnsi="Arial" w:eastAsia="宋体" w:cs="Arial"/>
          <w:color w:val="000000" w:themeColor="text1"/>
          <w:szCs w:val="21"/>
        </w:rPr>
        <w:t>其</w:t>
      </w:r>
      <w:r>
        <w:rPr>
          <w:rFonts w:ascii="Arial" w:hAnsi="Arial" w:eastAsia="宋体" w:cs="Arial"/>
          <w:color w:val="000000" w:themeColor="text1"/>
          <w:szCs w:val="21"/>
        </w:rPr>
        <w:t>目的是协助制造商为即将检验的这些类型的器械的上市做准备。</w:t>
      </w:r>
    </w:p>
    <w:p w14:paraId="79095B9E">
      <w:pPr>
        <w:snapToGrid w:val="0"/>
        <w:spacing w:before="62" w:beforeLines="20" w:after="62" w:afterLines="20" w:line="312" w:lineRule="auto"/>
        <w:rPr>
          <w:rFonts w:ascii="Arial" w:hAnsi="Arial" w:eastAsia="宋体" w:cs="Arial"/>
          <w:color w:val="000000" w:themeColor="text1"/>
          <w:szCs w:val="21"/>
        </w:rPr>
      </w:pPr>
    </w:p>
    <w:p w14:paraId="05B59DE6">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我们需要贵公司对所附的指导性文件意见、建议及评论。我们会很感激贵公司的评论，这样我们就可以在修订版本中进行改进。该文件的多余份数可以通过小</w:t>
      </w:r>
      <w:r>
        <w:rPr>
          <w:rFonts w:hint="eastAsia" w:ascii="Arial" w:hAnsi="Arial" w:eastAsia="宋体" w:cs="Arial"/>
          <w:color w:val="000000" w:themeColor="text1"/>
          <w:szCs w:val="21"/>
        </w:rPr>
        <w:t>型制造商</w:t>
      </w:r>
      <w:r>
        <w:rPr>
          <w:rFonts w:ascii="Arial" w:hAnsi="Arial" w:eastAsia="宋体" w:cs="Arial"/>
          <w:color w:val="000000" w:themeColor="text1"/>
          <w:szCs w:val="21"/>
        </w:rPr>
        <w:t>协助办公室从Geoffrey Clark获得，他的电话为：（301）443-6597。</w:t>
      </w:r>
    </w:p>
    <w:p w14:paraId="5B4F4457">
      <w:pPr>
        <w:snapToGrid w:val="0"/>
        <w:spacing w:before="62" w:beforeLines="20" w:after="62" w:afterLines="20" w:line="312" w:lineRule="auto"/>
        <w:rPr>
          <w:rFonts w:ascii="Arial" w:hAnsi="Arial" w:eastAsia="宋体" w:cs="Arial"/>
          <w:color w:val="000000" w:themeColor="text1"/>
          <w:szCs w:val="21"/>
        </w:rPr>
      </w:pPr>
    </w:p>
    <w:p w14:paraId="476359BF">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请将贵公司的评论发送至：</w:t>
      </w:r>
    </w:p>
    <w:p w14:paraId="51082B63">
      <w:pPr>
        <w:snapToGrid w:val="0"/>
        <w:spacing w:before="62" w:beforeLines="20" w:after="62" w:afterLines="20" w:line="312" w:lineRule="auto"/>
        <w:rPr>
          <w:rFonts w:ascii="Arial" w:hAnsi="Arial" w:eastAsia="宋体" w:cs="Arial"/>
          <w:color w:val="000000" w:themeColor="text1"/>
          <w:szCs w:val="21"/>
        </w:rPr>
      </w:pPr>
    </w:p>
    <w:p w14:paraId="22DDE8D2">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Peter E. Maxim博士</w:t>
      </w:r>
    </w:p>
    <w:p w14:paraId="360B76E3">
      <w:pPr>
        <w:snapToGrid w:val="0"/>
        <w:spacing w:before="62" w:beforeLines="20" w:after="62" w:afterLines="20" w:line="312" w:lineRule="auto"/>
        <w:rPr>
          <w:rFonts w:ascii="Arial" w:hAnsi="Arial" w:eastAsia="宋体" w:cs="Arial"/>
          <w:color w:val="000000" w:themeColor="text1"/>
          <w:szCs w:val="21"/>
        </w:rPr>
      </w:pPr>
      <w:r>
        <w:rPr>
          <w:rFonts w:hint="eastAsia" w:ascii="Arial" w:hAnsi="Arial" w:eastAsia="宋体" w:cs="Arial"/>
          <w:color w:val="000000" w:themeColor="text1"/>
          <w:szCs w:val="21"/>
        </w:rPr>
        <w:t>主任，</w:t>
      </w:r>
      <w:r>
        <w:rPr>
          <w:rFonts w:ascii="Arial" w:hAnsi="Arial" w:eastAsia="宋体" w:cs="Arial"/>
          <w:color w:val="000000" w:themeColor="text1"/>
          <w:szCs w:val="21"/>
        </w:rPr>
        <w:t>免疫</w:t>
      </w:r>
      <w:r>
        <w:rPr>
          <w:rFonts w:hint="eastAsia" w:ascii="Arial" w:hAnsi="Arial" w:eastAsia="宋体" w:cs="Arial"/>
          <w:color w:val="000000" w:themeColor="text1"/>
          <w:szCs w:val="21"/>
        </w:rPr>
        <w:t>学分部</w:t>
      </w:r>
    </w:p>
    <w:p w14:paraId="71E3FEAF">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临床实验室器械部</w:t>
      </w:r>
    </w:p>
    <w:p w14:paraId="02EB45CF">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器械</w:t>
      </w:r>
      <w:r>
        <w:rPr>
          <w:rFonts w:hint="eastAsia" w:ascii="Arial" w:hAnsi="Arial" w:eastAsia="宋体" w:cs="Arial"/>
          <w:color w:val="000000" w:themeColor="text1"/>
          <w:szCs w:val="21"/>
        </w:rPr>
        <w:t>评估</w:t>
      </w:r>
      <w:r>
        <w:rPr>
          <w:rFonts w:ascii="Arial" w:hAnsi="Arial" w:eastAsia="宋体" w:cs="Arial"/>
          <w:color w:val="000000" w:themeColor="text1"/>
          <w:szCs w:val="21"/>
        </w:rPr>
        <w:t>办公室</w:t>
      </w:r>
    </w:p>
    <w:p w14:paraId="4AC25A4D">
      <w:pPr>
        <w:autoSpaceDE w:val="0"/>
        <w:autoSpaceDN w:val="0"/>
        <w:adjustRightInd w:val="0"/>
        <w:jc w:val="left"/>
        <w:rPr>
          <w:rFonts w:ascii="Arial" w:hAnsi="Arial" w:eastAsia="宋体" w:cs="Arial"/>
          <w:color w:val="000000" w:themeColor="text1"/>
          <w:szCs w:val="21"/>
        </w:rPr>
      </w:pPr>
      <w:r>
        <w:rPr>
          <w:rFonts w:hint="eastAsia" w:ascii="Arial" w:hAnsi="Arial" w:eastAsia="宋体" w:cs="Arial"/>
          <w:color w:val="000000" w:themeColor="text1"/>
          <w:szCs w:val="21"/>
        </w:rPr>
        <w:t>器械与放射健康中心</w:t>
      </w:r>
    </w:p>
    <w:p w14:paraId="2BC41D5D">
      <w:pPr>
        <w:autoSpaceDE w:val="0"/>
        <w:autoSpaceDN w:val="0"/>
        <w:adjustRightInd w:val="0"/>
        <w:jc w:val="left"/>
        <w:rPr>
          <w:rFonts w:ascii="Arial" w:hAnsi="Arial" w:eastAsia="宋体" w:cs="Arial"/>
          <w:color w:val="000000" w:themeColor="text1"/>
          <w:szCs w:val="21"/>
        </w:rPr>
      </w:pPr>
      <w:r>
        <w:rPr>
          <w:rFonts w:hint="eastAsia" w:ascii="Arial" w:hAnsi="Arial" w:eastAsia="宋体" w:cs="Arial"/>
          <w:color w:val="000000" w:themeColor="text1"/>
          <w:szCs w:val="21"/>
        </w:rPr>
        <w:t>食品药品监督管理局</w:t>
      </w:r>
    </w:p>
    <w:p w14:paraId="1F03FB40">
      <w:pPr>
        <w:autoSpaceDE w:val="0"/>
        <w:autoSpaceDN w:val="0"/>
        <w:adjustRightInd w:val="0"/>
        <w:jc w:val="left"/>
        <w:rPr>
          <w:rFonts w:ascii="Arial" w:hAnsi="Arial" w:eastAsia="宋体" w:cs="Arial"/>
          <w:color w:val="000000" w:themeColor="text1"/>
          <w:szCs w:val="21"/>
        </w:rPr>
      </w:pPr>
      <w:r>
        <w:rPr>
          <w:rFonts w:ascii="Arial" w:hAnsi="Arial" w:eastAsia="宋体" w:cs="Arial"/>
          <w:color w:val="000000" w:themeColor="text1"/>
          <w:szCs w:val="21"/>
        </w:rPr>
        <w:t>1390 Piccard Drive</w:t>
      </w:r>
    </w:p>
    <w:p w14:paraId="70851B2F">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Rockville, MD 20850</w:t>
      </w:r>
    </w:p>
    <w:p w14:paraId="076632C2">
      <w:pPr>
        <w:snapToGrid w:val="0"/>
        <w:spacing w:before="62" w:beforeLines="20" w:after="62" w:afterLines="20" w:line="312" w:lineRule="auto"/>
        <w:ind w:firstLine="3360" w:firstLineChars="1600"/>
        <w:rPr>
          <w:rFonts w:ascii="Arial" w:hAnsi="Arial" w:eastAsia="宋体" w:cs="Arial"/>
          <w:color w:val="000000" w:themeColor="text1"/>
          <w:szCs w:val="21"/>
        </w:rPr>
      </w:pPr>
      <w:r>
        <w:rPr>
          <w:rFonts w:ascii="Arial" w:hAnsi="Arial" w:eastAsia="宋体" w:cs="Arial"/>
          <w:color w:val="000000" w:themeColor="text1"/>
          <w:szCs w:val="21"/>
        </w:rPr>
        <w:t>Peter E. Maxim博士</w:t>
      </w:r>
    </w:p>
    <w:p w14:paraId="1D1538A3">
      <w:pPr>
        <w:snapToGrid w:val="0"/>
        <w:spacing w:before="62" w:beforeLines="20" w:after="62" w:afterLines="20" w:line="312" w:lineRule="auto"/>
        <w:rPr>
          <w:rFonts w:ascii="Arial" w:hAnsi="Arial" w:eastAsia="宋体" w:cs="Arial"/>
          <w:color w:val="000000" w:themeColor="text1"/>
          <w:szCs w:val="21"/>
        </w:rPr>
      </w:pPr>
    </w:p>
    <w:p w14:paraId="347FC35C">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附件</w:t>
      </w:r>
    </w:p>
    <w:p w14:paraId="379414FC">
      <w:pPr>
        <w:snapToGrid w:val="0"/>
        <w:spacing w:before="62" w:beforeLines="20" w:after="62" w:afterLines="20" w:line="312" w:lineRule="auto"/>
        <w:rPr>
          <w:rFonts w:ascii="Arial" w:hAnsi="Arial" w:eastAsia="宋体" w:cs="Arial"/>
          <w:color w:val="000000" w:themeColor="text1"/>
          <w:szCs w:val="21"/>
        </w:rPr>
      </w:pPr>
    </w:p>
    <w:p w14:paraId="61380540">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p>
    <w:p w14:paraId="25EAE55B">
      <w:pPr>
        <w:pStyle w:val="9"/>
        <w:shd w:val="clear" w:color="auto" w:fill="FFFFFF"/>
        <w:snapToGrid w:val="0"/>
        <w:spacing w:before="62" w:beforeLines="20" w:beforeAutospacing="0" w:after="62" w:afterLines="20" w:afterAutospacing="0" w:line="312" w:lineRule="auto"/>
        <w:jc w:val="both"/>
        <w:rPr>
          <w:rFonts w:ascii="Arial" w:hAnsi="Arial" w:cs="Arial"/>
          <w:b/>
          <w:color w:val="000000" w:themeColor="text1"/>
          <w:sz w:val="21"/>
          <w:szCs w:val="21"/>
          <w:u w:val="single"/>
        </w:rPr>
        <w:sectPr>
          <w:headerReference r:id="rId3" w:type="default"/>
          <w:footerReference r:id="rId4" w:type="default"/>
          <w:pgSz w:w="11906" w:h="16838"/>
          <w:pgMar w:top="1134" w:right="1134" w:bottom="1134" w:left="1134" w:header="851" w:footer="992" w:gutter="0"/>
          <w:cols w:space="425" w:num="1"/>
          <w:titlePg/>
          <w:docGrid w:type="lines" w:linePitch="312" w:charSpace="0"/>
        </w:sectPr>
      </w:pPr>
      <w:bookmarkStart w:id="0" w:name="OLE_LINK3"/>
      <w:bookmarkStart w:id="1" w:name="OLE_LINK17"/>
      <w:bookmarkStart w:id="2" w:name="OLE_LINK1"/>
    </w:p>
    <w:p w14:paraId="3BC0C68F">
      <w:pPr>
        <w:pStyle w:val="9"/>
        <w:shd w:val="clear" w:color="auto" w:fill="FFFFFF"/>
        <w:snapToGrid w:val="0"/>
        <w:spacing w:before="62" w:beforeLines="20" w:beforeAutospacing="0" w:after="62" w:afterLines="20" w:afterAutospacing="0" w:line="312" w:lineRule="auto"/>
        <w:jc w:val="right"/>
        <w:rPr>
          <w:rFonts w:ascii="Arial" w:hAnsi="Arial" w:cs="Arial"/>
          <w:b/>
          <w:color w:val="000000" w:themeColor="text1"/>
          <w:sz w:val="21"/>
          <w:szCs w:val="21"/>
          <w:u w:val="single"/>
        </w:rPr>
      </w:pPr>
      <w:r>
        <w:rPr>
          <w:rFonts w:hint="eastAsia" w:ascii="Arial" w:hAnsi="Arial" w:cs="Arial"/>
          <w:sz w:val="25"/>
          <w:szCs w:val="25"/>
        </w:rPr>
        <w:t>原版：</w:t>
      </w:r>
      <w:r>
        <w:rPr>
          <w:rFonts w:ascii="Arial" w:hAnsi="Arial" w:cs="Arial"/>
          <w:sz w:val="25"/>
          <w:szCs w:val="25"/>
        </w:rPr>
        <w:t xml:space="preserve"> </w:t>
      </w:r>
      <w:r>
        <w:rPr>
          <w:rFonts w:ascii="Arial" w:hAnsi="Arial" w:cs="Arial"/>
          <w:sz w:val="21"/>
          <w:szCs w:val="21"/>
        </w:rPr>
        <w:t>1992年8月</w:t>
      </w:r>
    </w:p>
    <w:p w14:paraId="62D37728">
      <w:pPr>
        <w:pStyle w:val="9"/>
        <w:shd w:val="clear" w:color="auto" w:fill="FFFFFF"/>
        <w:snapToGrid w:val="0"/>
        <w:spacing w:before="62" w:beforeLines="20" w:beforeAutospacing="0" w:after="62" w:afterLines="20" w:afterAutospacing="0" w:line="312" w:lineRule="auto"/>
        <w:jc w:val="both"/>
        <w:rPr>
          <w:rFonts w:ascii="Arial" w:hAnsi="Arial" w:cs="Arial"/>
          <w:b/>
          <w:color w:val="000000" w:themeColor="text1"/>
          <w:sz w:val="21"/>
          <w:szCs w:val="21"/>
          <w:u w:val="single"/>
        </w:rPr>
      </w:pPr>
    </w:p>
    <w:p w14:paraId="0C104920">
      <w:pPr>
        <w:pStyle w:val="9"/>
        <w:shd w:val="clear" w:color="auto" w:fill="FFFFFF"/>
        <w:snapToGrid w:val="0"/>
        <w:spacing w:before="62" w:beforeLines="20" w:beforeAutospacing="0" w:after="62" w:afterLines="20" w:afterAutospacing="0" w:line="312" w:lineRule="auto"/>
        <w:jc w:val="center"/>
        <w:rPr>
          <w:rFonts w:ascii="Arial" w:hAnsi="Arial" w:cs="Arial"/>
          <w:b/>
          <w:color w:val="000000" w:themeColor="text1"/>
          <w:sz w:val="21"/>
          <w:szCs w:val="21"/>
          <w:u w:val="single"/>
        </w:rPr>
      </w:pPr>
      <w:r>
        <w:rPr>
          <w:rFonts w:ascii="Arial" w:hAnsi="Arial" w:cs="Arial"/>
          <w:b/>
          <w:color w:val="000000" w:themeColor="text1"/>
          <w:sz w:val="21"/>
          <w:szCs w:val="21"/>
          <w:u w:val="single"/>
        </w:rPr>
        <w:t>评估体外诊断器械免疫球蛋白</w:t>
      </w:r>
      <w:bookmarkStart w:id="3" w:name="OLE_LINK4"/>
      <w:r>
        <w:rPr>
          <w:rFonts w:ascii="Arial" w:hAnsi="Arial" w:cs="Arial"/>
          <w:b/>
          <w:color w:val="000000" w:themeColor="text1"/>
          <w:sz w:val="21"/>
          <w:szCs w:val="21"/>
          <w:u w:val="single"/>
        </w:rPr>
        <w:t>A、G、M和D</w:t>
      </w:r>
      <w:bookmarkEnd w:id="3"/>
      <w:r>
        <w:rPr>
          <w:rFonts w:ascii="Arial" w:hAnsi="Arial" w:cs="Arial"/>
          <w:b/>
          <w:color w:val="000000" w:themeColor="text1"/>
          <w:sz w:val="21"/>
          <w:szCs w:val="21"/>
          <w:u w:val="single"/>
        </w:rPr>
        <w:t>免疫球蛋白</w:t>
      </w:r>
      <w:bookmarkEnd w:id="0"/>
      <w:r>
        <w:rPr>
          <w:rFonts w:ascii="Arial" w:hAnsi="Arial" w:cs="Arial"/>
          <w:b/>
          <w:color w:val="000000" w:themeColor="text1"/>
          <w:sz w:val="21"/>
          <w:szCs w:val="21"/>
          <w:u w:val="single"/>
        </w:rPr>
        <w:t>系统</w:t>
      </w:r>
      <w:r>
        <w:rPr>
          <w:rFonts w:hint="eastAsia" w:ascii="Arial" w:hAnsi="Arial" w:cs="Arial"/>
          <w:b/>
          <w:color w:val="000000" w:themeColor="text1"/>
          <w:sz w:val="21"/>
          <w:szCs w:val="21"/>
          <w:u w:val="single"/>
        </w:rPr>
        <w:t>的</w:t>
      </w:r>
      <w:r>
        <w:rPr>
          <w:rFonts w:ascii="Arial" w:hAnsi="Arial" w:cs="Arial"/>
          <w:b/>
          <w:color w:val="000000" w:themeColor="text1"/>
          <w:sz w:val="21"/>
          <w:szCs w:val="21"/>
          <w:u w:val="single"/>
        </w:rPr>
        <w:t>审查标准</w:t>
      </w:r>
    </w:p>
    <w:bookmarkEnd w:id="1"/>
    <w:p w14:paraId="12249602">
      <w:pPr>
        <w:pStyle w:val="9"/>
        <w:shd w:val="clear" w:color="auto" w:fill="FFFFFF"/>
        <w:snapToGrid w:val="0"/>
        <w:spacing w:before="62" w:beforeLines="20" w:beforeAutospacing="0" w:after="62" w:afterLines="20" w:afterAutospacing="0" w:line="312" w:lineRule="auto"/>
        <w:jc w:val="both"/>
        <w:rPr>
          <w:rFonts w:ascii="Arial" w:hAnsi="Arial" w:cs="Arial"/>
          <w:b/>
          <w:color w:val="000000" w:themeColor="text1"/>
          <w:sz w:val="21"/>
          <w:szCs w:val="21"/>
          <w:u w:val="single"/>
        </w:rPr>
      </w:pPr>
    </w:p>
    <w:bookmarkEnd w:id="2"/>
    <w:p w14:paraId="79D209C9">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这是一个灵活文件</w:t>
      </w:r>
      <w:r>
        <w:rPr>
          <w:rFonts w:hint="eastAsia" w:ascii="Arial" w:hAnsi="Arial" w:cs="Arial"/>
          <w:color w:val="000000" w:themeColor="text1"/>
          <w:sz w:val="21"/>
          <w:szCs w:val="21"/>
        </w:rPr>
        <w:t>，</w:t>
      </w:r>
      <w:r>
        <w:rPr>
          <w:rFonts w:ascii="Arial" w:hAnsi="Arial" w:cs="Arial"/>
          <w:color w:val="000000" w:themeColor="text1"/>
          <w:sz w:val="21"/>
          <w:szCs w:val="21"/>
        </w:rPr>
        <w:t>代表对当前体外诊断器械中</w:t>
      </w:r>
      <w:bookmarkStart w:id="4" w:name="OLE_LINK5"/>
      <w:r>
        <w:rPr>
          <w:rFonts w:ascii="Arial" w:hAnsi="Arial" w:cs="Arial"/>
          <w:color w:val="000000" w:themeColor="text1"/>
          <w:sz w:val="21"/>
          <w:szCs w:val="21"/>
        </w:rPr>
        <w:t>免疫球蛋白</w:t>
      </w:r>
      <w:r>
        <w:rPr>
          <w:rFonts w:ascii="Arial" w:hAnsi="Arial" w:cs="Arial"/>
          <w:bCs/>
          <w:color w:val="000000" w:themeColor="text1"/>
          <w:sz w:val="21"/>
          <w:szCs w:val="21"/>
        </w:rPr>
        <w:t>A、G、M和D</w:t>
      </w:r>
      <w:bookmarkEnd w:id="4"/>
      <w:r>
        <w:rPr>
          <w:rFonts w:ascii="Arial" w:hAnsi="Arial" w:cs="Arial"/>
          <w:color w:val="000000" w:themeColor="text1"/>
          <w:sz w:val="21"/>
          <w:szCs w:val="21"/>
        </w:rPr>
        <w:t>免疫球蛋白的</w:t>
      </w:r>
      <w:r>
        <w:rPr>
          <w:rFonts w:hint="eastAsia" w:ascii="Arial" w:hAnsi="Arial" w:cs="Arial"/>
          <w:color w:val="000000" w:themeColor="text1"/>
          <w:sz w:val="21"/>
          <w:szCs w:val="21"/>
        </w:rPr>
        <w:t>主要关注问题</w:t>
      </w:r>
      <w:r>
        <w:rPr>
          <w:rFonts w:ascii="Arial" w:hAnsi="Arial" w:cs="Arial"/>
          <w:color w:val="000000" w:themeColor="text1"/>
          <w:sz w:val="21"/>
          <w:szCs w:val="21"/>
        </w:rPr>
        <w:t>和建议。本文件基于以下内容：1）当前基础科学；2）临床经验；3）1990年安全医疗器械法案（SMDA）和在美国联邦法规（CFR）中的FDA法规。随着科学和医学的不断进步，这些审查标准将</w:t>
      </w:r>
      <w:r>
        <w:rPr>
          <w:rFonts w:hint="eastAsia" w:ascii="Arial" w:hAnsi="Arial" w:cs="Arial"/>
          <w:color w:val="000000" w:themeColor="text1"/>
          <w:sz w:val="21"/>
          <w:szCs w:val="21"/>
        </w:rPr>
        <w:t>进行</w:t>
      </w:r>
      <w:r>
        <w:rPr>
          <w:rFonts w:ascii="Arial" w:hAnsi="Arial" w:cs="Arial"/>
          <w:color w:val="000000" w:themeColor="text1"/>
          <w:sz w:val="21"/>
          <w:szCs w:val="21"/>
        </w:rPr>
        <w:t>重新评估，并在必要时进行修订以适应新的认识。</w:t>
      </w:r>
    </w:p>
    <w:p w14:paraId="12BE3F68">
      <w:pPr>
        <w:pStyle w:val="9"/>
        <w:shd w:val="clear" w:color="auto" w:fill="FFFFFF"/>
        <w:snapToGrid w:val="0"/>
        <w:spacing w:before="62" w:beforeLines="20" w:beforeAutospacing="0" w:after="62" w:afterLines="20" w:afterAutospacing="0" w:line="312" w:lineRule="auto"/>
        <w:jc w:val="both"/>
        <w:rPr>
          <w:rFonts w:ascii="Arial" w:hAnsi="Arial" w:cs="Arial"/>
          <w:b/>
          <w:bCs/>
          <w:color w:val="000000" w:themeColor="text1"/>
          <w:sz w:val="21"/>
          <w:szCs w:val="21"/>
          <w:u w:val="single"/>
        </w:rPr>
      </w:pPr>
      <w:r>
        <w:rPr>
          <w:rFonts w:ascii="Arial" w:hAnsi="Arial" w:cs="Arial"/>
          <w:b/>
          <w:bCs/>
          <w:color w:val="000000" w:themeColor="text1"/>
          <w:sz w:val="21"/>
          <w:szCs w:val="21"/>
          <w:u w:val="single"/>
        </w:rPr>
        <w:t>目的</w:t>
      </w:r>
    </w:p>
    <w:p w14:paraId="38CCF5B5">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u w:val="single"/>
        </w:rPr>
      </w:pPr>
      <w:r>
        <w:rPr>
          <w:rFonts w:ascii="Arial" w:hAnsi="Arial" w:cs="Arial"/>
          <w:color w:val="000000" w:themeColor="text1"/>
          <w:sz w:val="21"/>
          <w:szCs w:val="21"/>
        </w:rPr>
        <w:t>本文件的目的是为能够对临床样本中</w:t>
      </w:r>
      <w:bookmarkStart w:id="5" w:name="OLE_LINK7"/>
      <w:r>
        <w:rPr>
          <w:rFonts w:ascii="Arial" w:hAnsi="Arial" w:cs="Arial"/>
          <w:color w:val="000000" w:themeColor="text1"/>
          <w:sz w:val="21"/>
          <w:szCs w:val="21"/>
        </w:rPr>
        <w:t>免疫球蛋白A、G、M和D</w:t>
      </w:r>
      <w:bookmarkEnd w:id="5"/>
      <w:r>
        <w:rPr>
          <w:rFonts w:ascii="Arial" w:hAnsi="Arial" w:cs="Arial"/>
          <w:color w:val="000000" w:themeColor="text1"/>
          <w:sz w:val="21"/>
          <w:szCs w:val="21"/>
        </w:rPr>
        <w:t>进行检测和定量的器械销售批准之前，为所需提交给食品药品监督管理局（FDA）的资料提供</w:t>
      </w:r>
      <w:r>
        <w:rPr>
          <w:rFonts w:hint="eastAsia" w:ascii="Arial" w:hAnsi="Arial" w:cs="Arial"/>
          <w:color w:val="000000" w:themeColor="text1"/>
          <w:sz w:val="21"/>
          <w:szCs w:val="21"/>
        </w:rPr>
        <w:t>指南</w:t>
      </w:r>
      <w:r>
        <w:rPr>
          <w:rFonts w:ascii="Arial" w:hAnsi="Arial" w:cs="Arial"/>
          <w:color w:val="000000" w:themeColor="text1"/>
          <w:sz w:val="21"/>
          <w:szCs w:val="21"/>
        </w:rPr>
        <w:t>。</w:t>
      </w:r>
    </w:p>
    <w:p w14:paraId="0D117E6A">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上市前通告[510（k）]提交</w:t>
      </w:r>
      <w:r>
        <w:rPr>
          <w:rFonts w:hint="eastAsia" w:ascii="Arial" w:hAnsi="Arial" w:cs="Arial"/>
          <w:color w:val="000000" w:themeColor="text1"/>
          <w:sz w:val="21"/>
          <w:szCs w:val="21"/>
        </w:rPr>
        <w:t>资料</w:t>
      </w:r>
      <w:r>
        <w:rPr>
          <w:rFonts w:ascii="Arial" w:hAnsi="Arial" w:cs="Arial"/>
          <w:color w:val="000000" w:themeColor="text1"/>
          <w:sz w:val="21"/>
          <w:szCs w:val="21"/>
        </w:rPr>
        <w:t>必须证明器械的精确、安全、有效，并证明与美国已批准上市器械具有实质等同性。</w:t>
      </w:r>
    </w:p>
    <w:p w14:paraId="6C95DBB6">
      <w:pPr>
        <w:pStyle w:val="9"/>
        <w:shd w:val="clear" w:color="auto" w:fill="FFFFFF"/>
        <w:snapToGrid w:val="0"/>
        <w:spacing w:before="62" w:beforeLines="20" w:beforeAutospacing="0" w:after="62" w:afterLines="20" w:afterAutospacing="0" w:line="312" w:lineRule="auto"/>
        <w:jc w:val="both"/>
        <w:rPr>
          <w:rFonts w:ascii="Arial" w:hAnsi="Arial" w:cs="Arial"/>
          <w:b/>
          <w:bCs/>
          <w:color w:val="000000" w:themeColor="text1"/>
          <w:sz w:val="21"/>
          <w:szCs w:val="21"/>
          <w:u w:val="single"/>
        </w:rPr>
      </w:pPr>
      <w:r>
        <w:rPr>
          <w:rFonts w:ascii="Arial" w:hAnsi="Arial" w:cs="Arial"/>
          <w:b/>
          <w:bCs/>
          <w:color w:val="000000" w:themeColor="text1"/>
          <w:sz w:val="21"/>
          <w:szCs w:val="21"/>
          <w:u w:val="single"/>
        </w:rPr>
        <w:t>定义</w:t>
      </w:r>
    </w:p>
    <w:p w14:paraId="7BFE90A6">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该器械的一般类型是为临床实验室和内科医生办公室的应用而设计的，作为在应用免疫化学和其他不同的方法学的对体外诊断器械中对免疫球蛋白体系A、G、M、D和E的半定量和定量测量的体外诊断测试。</w:t>
      </w:r>
    </w:p>
    <w:p w14:paraId="7FFE8868">
      <w:pPr>
        <w:pStyle w:val="9"/>
        <w:shd w:val="clear" w:color="auto" w:fill="FFFFFF"/>
        <w:snapToGrid w:val="0"/>
        <w:spacing w:before="62" w:beforeLines="20" w:beforeAutospacing="0" w:after="62" w:afterLines="20" w:afterAutospacing="0" w:line="312" w:lineRule="auto"/>
        <w:ind w:firstLine="420" w:firstLineChars="200"/>
        <w:jc w:val="both"/>
        <w:rPr>
          <w:rFonts w:ascii="Arial" w:hAnsi="Arial" w:cs="Arial"/>
          <w:color w:val="000000" w:themeColor="text1"/>
          <w:sz w:val="21"/>
          <w:szCs w:val="21"/>
        </w:rPr>
      </w:pPr>
      <w:r>
        <w:rPr>
          <w:rFonts w:ascii="Arial" w:hAnsi="Arial" w:cs="Arial"/>
          <w:color w:val="000000" w:themeColor="text1"/>
          <w:sz w:val="21"/>
          <w:szCs w:val="21"/>
        </w:rPr>
        <w:t>如有提交其他数据以证明这些器械具有相同的性能，则这些器械可</w:t>
      </w:r>
      <w:r>
        <w:rPr>
          <w:rFonts w:hint="eastAsia" w:ascii="Arial" w:hAnsi="Arial" w:cs="Arial"/>
          <w:color w:val="000000" w:themeColor="text1"/>
          <w:sz w:val="21"/>
          <w:szCs w:val="21"/>
        </w:rPr>
        <w:t>许可</w:t>
      </w:r>
      <w:r>
        <w:rPr>
          <w:rFonts w:ascii="Arial" w:hAnsi="Arial" w:cs="Arial"/>
          <w:color w:val="000000" w:themeColor="text1"/>
          <w:sz w:val="21"/>
          <w:szCs w:val="21"/>
        </w:rPr>
        <w:t>在医师办公室中使用。</w:t>
      </w:r>
    </w:p>
    <w:p w14:paraId="4DBCBAD2">
      <w:pPr>
        <w:widowControl/>
        <w:spacing w:before="62" w:beforeLines="20" w:after="62" w:afterLines="20" w:line="312" w:lineRule="auto"/>
        <w:jc w:val="left"/>
        <w:rPr>
          <w:rFonts w:ascii="Arial" w:hAnsi="Arial" w:eastAsia="宋体" w:cs="Arial"/>
          <w:color w:val="000000" w:themeColor="text1"/>
          <w:kern w:val="0"/>
          <w:szCs w:val="21"/>
          <w:u w:val="single"/>
        </w:rPr>
      </w:pPr>
      <w:r>
        <w:rPr>
          <w:rFonts w:ascii="Arial" w:hAnsi="Arial" w:cs="Arial"/>
          <w:color w:val="000000" w:themeColor="text1"/>
          <w:szCs w:val="21"/>
          <w:u w:val="single"/>
        </w:rPr>
        <w:br w:type="page"/>
      </w:r>
    </w:p>
    <w:p w14:paraId="1EEB831F">
      <w:pPr>
        <w:pStyle w:val="9"/>
        <w:shd w:val="clear" w:color="auto" w:fill="FFFFFF"/>
        <w:snapToGrid w:val="0"/>
        <w:spacing w:before="62" w:beforeLines="20" w:beforeAutospacing="0" w:after="62" w:afterLines="20" w:afterAutospacing="0" w:line="312" w:lineRule="auto"/>
        <w:jc w:val="both"/>
        <w:rPr>
          <w:rFonts w:ascii="Arial" w:hAnsi="Arial" w:cs="Arial"/>
          <w:b/>
          <w:color w:val="000000" w:themeColor="text1"/>
          <w:sz w:val="21"/>
          <w:szCs w:val="21"/>
        </w:rPr>
      </w:pPr>
      <w:r>
        <w:rPr>
          <w:rFonts w:ascii="Arial" w:hAnsi="Arial" w:cs="Arial"/>
          <w:b/>
          <w:color w:val="000000" w:themeColor="text1"/>
          <w:sz w:val="21"/>
          <w:szCs w:val="21"/>
          <w:u w:val="single"/>
        </w:rPr>
        <w:t>产品代码</w:t>
      </w:r>
      <w:r>
        <w:rPr>
          <w:rFonts w:ascii="Arial" w:hAnsi="Arial" w:cs="Arial"/>
          <w:b/>
          <w:color w:val="000000" w:themeColor="text1"/>
          <w:sz w:val="21"/>
          <w:szCs w:val="21"/>
        </w:rPr>
        <w:t>：</w:t>
      </w:r>
    </w:p>
    <w:p w14:paraId="2F0B4EF2">
      <w:pPr>
        <w:pStyle w:val="9"/>
        <w:shd w:val="clear" w:color="auto" w:fill="FFFFFF"/>
        <w:snapToGrid w:val="0"/>
        <w:spacing w:before="62" w:beforeLines="20" w:beforeAutospacing="0" w:after="62" w:afterLines="20" w:afterAutospacing="0" w:line="312" w:lineRule="auto"/>
        <w:jc w:val="both"/>
        <w:rPr>
          <w:rFonts w:ascii="Arial" w:hAnsi="Arial" w:cs="Arial"/>
          <w:b/>
          <w:color w:val="000000" w:themeColor="text1"/>
          <w:sz w:val="21"/>
          <w:szCs w:val="21"/>
        </w:rPr>
      </w:pPr>
    </w:p>
    <w:p w14:paraId="1D7CA899">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 xml:space="preserve">IgA                  </w:t>
      </w:r>
      <w:r>
        <w:rPr>
          <w:rFonts w:hint="eastAsia" w:ascii="Arial" w:hAnsi="Arial" w:cs="Arial"/>
          <w:color w:val="000000" w:themeColor="text1"/>
          <w:sz w:val="21"/>
          <w:szCs w:val="21"/>
        </w:rPr>
        <w:t xml:space="preserve"> </w:t>
      </w:r>
      <w:r>
        <w:rPr>
          <w:rFonts w:ascii="Arial" w:hAnsi="Arial" w:cs="Arial"/>
          <w:color w:val="000000" w:themeColor="text1"/>
          <w:sz w:val="21"/>
          <w:szCs w:val="21"/>
        </w:rPr>
        <w:t xml:space="preserve"> 82-CZP</w:t>
      </w:r>
    </w:p>
    <w:p w14:paraId="26A133CD">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 xml:space="preserve">IgG                  </w:t>
      </w:r>
      <w:r>
        <w:rPr>
          <w:rFonts w:hint="eastAsia" w:ascii="Arial" w:hAnsi="Arial" w:cs="Arial"/>
          <w:color w:val="000000" w:themeColor="text1"/>
          <w:sz w:val="21"/>
          <w:szCs w:val="21"/>
        </w:rPr>
        <w:t xml:space="preserve"> </w:t>
      </w:r>
      <w:r>
        <w:rPr>
          <w:rFonts w:ascii="Arial" w:hAnsi="Arial" w:cs="Arial"/>
          <w:color w:val="000000" w:themeColor="text1"/>
          <w:sz w:val="21"/>
          <w:szCs w:val="21"/>
        </w:rPr>
        <w:t xml:space="preserve"> 82-DEW</w:t>
      </w:r>
    </w:p>
    <w:p w14:paraId="7ACDA418">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IgG（Fab）             82-DFK</w:t>
      </w:r>
    </w:p>
    <w:p w14:paraId="610C039B">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IgG（FC）              82-DAS</w:t>
      </w:r>
    </w:p>
    <w:p w14:paraId="6533BB9F">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IgG（FD）              82-DAQ</w:t>
      </w:r>
    </w:p>
    <w:p w14:paraId="2C5ED0D4">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IgG（gamma）          82-DFZ</w:t>
      </w:r>
    </w:p>
    <w:p w14:paraId="4D85E09C">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 xml:space="preserve">IgD                   </w:t>
      </w:r>
      <w:r>
        <w:rPr>
          <w:rFonts w:hint="eastAsia" w:ascii="Arial" w:hAnsi="Arial" w:cs="Arial"/>
          <w:color w:val="000000" w:themeColor="text1"/>
          <w:sz w:val="21"/>
          <w:szCs w:val="21"/>
        </w:rPr>
        <w:t xml:space="preserve">  </w:t>
      </w:r>
      <w:r>
        <w:rPr>
          <w:rFonts w:ascii="Arial" w:hAnsi="Arial" w:cs="Arial"/>
          <w:color w:val="000000" w:themeColor="text1"/>
          <w:sz w:val="21"/>
          <w:szCs w:val="21"/>
        </w:rPr>
        <w:t>82-CZJ</w:t>
      </w:r>
    </w:p>
    <w:p w14:paraId="265B316F">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 xml:space="preserve">IgE                   </w:t>
      </w:r>
      <w:r>
        <w:rPr>
          <w:rFonts w:hint="eastAsia" w:ascii="Arial" w:hAnsi="Arial" w:cs="Arial"/>
          <w:color w:val="000000" w:themeColor="text1"/>
          <w:sz w:val="21"/>
          <w:szCs w:val="21"/>
        </w:rPr>
        <w:t xml:space="preserve">  </w:t>
      </w:r>
      <w:r>
        <w:rPr>
          <w:rFonts w:ascii="Arial" w:hAnsi="Arial" w:cs="Arial"/>
          <w:color w:val="000000" w:themeColor="text1"/>
          <w:sz w:val="21"/>
          <w:szCs w:val="21"/>
        </w:rPr>
        <w:t>82-DGC</w:t>
      </w:r>
    </w:p>
    <w:p w14:paraId="21ABDD8D">
      <w:pPr>
        <w:pStyle w:val="9"/>
        <w:shd w:val="clear" w:color="auto" w:fill="FFFFFF"/>
        <w:tabs>
          <w:tab w:val="left" w:pos="2535"/>
        </w:tabs>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IgM（mu)</w:t>
      </w:r>
      <w:r>
        <w:rPr>
          <w:rFonts w:ascii="Arial" w:hAnsi="Arial" w:cs="Arial"/>
          <w:color w:val="000000" w:themeColor="text1"/>
          <w:sz w:val="21"/>
          <w:szCs w:val="21"/>
        </w:rPr>
        <w:tab/>
      </w:r>
      <w:r>
        <w:rPr>
          <w:rFonts w:ascii="Arial" w:hAnsi="Arial" w:cs="Arial"/>
          <w:color w:val="000000" w:themeColor="text1"/>
          <w:sz w:val="21"/>
          <w:szCs w:val="21"/>
        </w:rPr>
        <w:t>82-DA0</w:t>
      </w:r>
    </w:p>
    <w:p w14:paraId="65A7D701">
      <w:pPr>
        <w:pStyle w:val="9"/>
        <w:shd w:val="clear" w:color="auto" w:fill="FFFFFF"/>
        <w:snapToGrid w:val="0"/>
        <w:spacing w:before="62" w:beforeLines="20" w:beforeAutospacing="0" w:after="62" w:afterLines="20" w:afterAutospacing="0" w:line="312" w:lineRule="auto"/>
        <w:ind w:left="2310" w:hanging="2310" w:hangingChars="1100"/>
        <w:jc w:val="both"/>
        <w:rPr>
          <w:rFonts w:ascii="Arial" w:hAnsi="Arial" w:cs="Arial"/>
          <w:color w:val="000000" w:themeColor="text1"/>
          <w:sz w:val="21"/>
          <w:szCs w:val="21"/>
        </w:rPr>
      </w:pPr>
      <w:r>
        <w:rPr>
          <w:rFonts w:ascii="Arial" w:hAnsi="Arial" w:cs="Arial"/>
          <w:color w:val="000000" w:themeColor="text1"/>
          <w:sz w:val="21"/>
          <w:szCs w:val="21"/>
        </w:rPr>
        <w:t>IgM</w:t>
      </w:r>
      <w:r>
        <w:rPr>
          <w:rFonts w:ascii="Arial" w:hAnsi="Arial" w:cs="Arial"/>
          <w:color w:val="000000" w:themeColor="text1"/>
          <w:sz w:val="21"/>
          <w:szCs w:val="21"/>
        </w:rPr>
        <w:tab/>
      </w:r>
      <w:r>
        <w:rPr>
          <w:rFonts w:hint="eastAsia" w:ascii="Arial" w:hAnsi="Arial" w:cs="Arial"/>
          <w:color w:val="000000" w:themeColor="text1"/>
          <w:sz w:val="21"/>
          <w:szCs w:val="21"/>
        </w:rPr>
        <w:t xml:space="preserve">  </w:t>
      </w:r>
      <w:r>
        <w:rPr>
          <w:rFonts w:ascii="Arial" w:hAnsi="Arial" w:cs="Arial"/>
          <w:color w:val="000000" w:themeColor="text1"/>
          <w:sz w:val="21"/>
          <w:szCs w:val="21"/>
        </w:rPr>
        <w:t>82-DFT</w:t>
      </w:r>
    </w:p>
    <w:p w14:paraId="59D86C0E">
      <w:pPr>
        <w:pStyle w:val="9"/>
        <w:shd w:val="clear" w:color="auto" w:fill="FFFFFF"/>
        <w:snapToGrid w:val="0"/>
        <w:spacing w:before="62" w:beforeLines="20" w:beforeAutospacing="0" w:after="62" w:afterLines="20" w:afterAutospacing="0" w:line="312" w:lineRule="auto"/>
        <w:jc w:val="both"/>
        <w:rPr>
          <w:rFonts w:ascii="Arial" w:hAnsi="Arial" w:cs="Arial"/>
          <w:b/>
          <w:color w:val="000000" w:themeColor="text1"/>
          <w:sz w:val="21"/>
          <w:szCs w:val="21"/>
          <w:u w:val="single"/>
        </w:rPr>
      </w:pPr>
    </w:p>
    <w:p w14:paraId="40652B27">
      <w:pPr>
        <w:pStyle w:val="9"/>
        <w:shd w:val="clear" w:color="auto" w:fill="FFFFFF"/>
        <w:snapToGrid w:val="0"/>
        <w:spacing w:before="62" w:beforeLines="20" w:beforeAutospacing="0" w:after="62" w:afterLines="20" w:afterAutospacing="0" w:line="312" w:lineRule="auto"/>
        <w:jc w:val="both"/>
        <w:rPr>
          <w:rFonts w:ascii="Arial" w:hAnsi="Arial" w:cs="Arial"/>
          <w:b/>
          <w:color w:val="000000" w:themeColor="text1"/>
          <w:sz w:val="21"/>
          <w:szCs w:val="21"/>
        </w:rPr>
      </w:pPr>
      <w:r>
        <w:rPr>
          <w:rFonts w:ascii="Arial" w:hAnsi="Arial" w:cs="Arial"/>
          <w:b/>
          <w:color w:val="000000" w:themeColor="text1"/>
          <w:sz w:val="21"/>
          <w:szCs w:val="21"/>
          <w:u w:val="single"/>
        </w:rPr>
        <w:t>法规序号</w:t>
      </w:r>
      <w:r>
        <w:rPr>
          <w:rFonts w:ascii="Arial" w:hAnsi="Arial" w:cs="Arial"/>
          <w:b/>
          <w:color w:val="000000" w:themeColor="text1"/>
          <w:sz w:val="21"/>
          <w:szCs w:val="21"/>
        </w:rPr>
        <w:t>：</w:t>
      </w:r>
    </w:p>
    <w:p w14:paraId="0CD2B08C">
      <w:pPr>
        <w:pStyle w:val="9"/>
        <w:shd w:val="clear" w:color="auto" w:fill="FFFFFF"/>
        <w:snapToGrid w:val="0"/>
        <w:spacing w:before="62" w:beforeLines="20" w:beforeAutospacing="0" w:after="62" w:afterLines="20" w:afterAutospacing="0" w:line="312" w:lineRule="auto"/>
        <w:jc w:val="both"/>
        <w:rPr>
          <w:rFonts w:ascii="Arial" w:hAnsi="Arial" w:cs="Arial"/>
          <w:color w:val="000000" w:themeColor="text1"/>
          <w:sz w:val="21"/>
          <w:szCs w:val="21"/>
        </w:rPr>
      </w:pPr>
      <w:r>
        <w:rPr>
          <w:rFonts w:ascii="Arial" w:hAnsi="Arial" w:cs="Arial"/>
          <w:color w:val="000000" w:themeColor="text1"/>
          <w:sz w:val="21"/>
          <w:szCs w:val="21"/>
        </w:rPr>
        <w:t>21 CFR 866.5510，866.5520， 866.5530， 866.5540，以及866.5550</w:t>
      </w:r>
    </w:p>
    <w:p w14:paraId="5CFB7BF3">
      <w:pPr>
        <w:pStyle w:val="9"/>
        <w:numPr>
          <w:ilvl w:val="0"/>
          <w:numId w:val="1"/>
        </w:numPr>
        <w:shd w:val="clear" w:color="auto" w:fill="FFFFFF"/>
        <w:snapToGrid w:val="0"/>
        <w:spacing w:before="62" w:beforeLines="20" w:beforeAutospacing="0" w:after="62" w:afterLines="20" w:afterAutospacing="0" w:line="312" w:lineRule="auto"/>
        <w:ind w:left="0" w:firstLine="0"/>
        <w:jc w:val="both"/>
        <w:rPr>
          <w:rFonts w:ascii="Arial" w:hAnsi="Arial" w:cs="Arial"/>
          <w:color w:val="000000" w:themeColor="text1"/>
          <w:sz w:val="21"/>
          <w:szCs w:val="21"/>
        </w:rPr>
      </w:pPr>
      <w:r>
        <w:rPr>
          <w:rFonts w:ascii="Arial" w:hAnsi="Arial" w:cs="Arial"/>
          <w:color w:val="000000" w:themeColor="text1"/>
          <w:sz w:val="21"/>
          <w:szCs w:val="21"/>
          <w:u w:val="single"/>
        </w:rPr>
        <w:t>鉴别</w:t>
      </w:r>
      <w:r>
        <w:rPr>
          <w:rFonts w:ascii="Arial" w:hAnsi="Arial" w:cs="Arial"/>
          <w:color w:val="000000" w:themeColor="text1"/>
          <w:sz w:val="21"/>
          <w:szCs w:val="21"/>
        </w:rPr>
        <w:t>。</w:t>
      </w:r>
      <w:bookmarkStart w:id="6" w:name="OLE_LINK6"/>
      <w:r>
        <w:rPr>
          <w:rFonts w:ascii="Arial" w:hAnsi="Arial" w:cs="Arial"/>
          <w:color w:val="000000" w:themeColor="text1"/>
          <w:sz w:val="21"/>
          <w:szCs w:val="21"/>
        </w:rPr>
        <w:t>免疫球蛋白A、G、M、D和E</w:t>
      </w:r>
      <w:bookmarkEnd w:id="6"/>
      <w:r>
        <w:rPr>
          <w:rFonts w:ascii="Arial" w:hAnsi="Arial" w:cs="Arial"/>
          <w:color w:val="000000" w:themeColor="text1"/>
          <w:sz w:val="21"/>
          <w:szCs w:val="21"/>
        </w:rPr>
        <w:t>免疫测试系统器械包含采用免疫化学技术测量血清中免</w:t>
      </w:r>
    </w:p>
    <w:p w14:paraId="7CB88BB1">
      <w:pPr>
        <w:pStyle w:val="9"/>
        <w:shd w:val="clear" w:color="auto" w:fill="FFFFFF"/>
        <w:snapToGrid w:val="0"/>
        <w:spacing w:before="62" w:beforeLines="20" w:beforeAutospacing="0" w:after="62" w:afterLines="20" w:afterAutospacing="0" w:line="312" w:lineRule="auto"/>
        <w:ind w:left="556" w:leftChars="259" w:hanging="12" w:hangingChars="6"/>
        <w:jc w:val="both"/>
        <w:rPr>
          <w:rFonts w:ascii="Arial" w:hAnsi="Arial" w:cs="Arial"/>
          <w:color w:val="000000" w:themeColor="text1"/>
          <w:sz w:val="21"/>
          <w:szCs w:val="21"/>
        </w:rPr>
      </w:pPr>
      <w:r>
        <w:rPr>
          <w:rFonts w:ascii="Arial" w:hAnsi="Arial" w:cs="Arial"/>
          <w:color w:val="000000" w:themeColor="text1"/>
          <w:sz w:val="21"/>
          <w:szCs w:val="21"/>
        </w:rPr>
        <w:t>疫球蛋白A，G，M，D和E（抗体）的试剂。测量这些免疫球蛋白有助于诊断异常的蛋白质代谢，分析身体抵抗感染性病原体的能力。</w:t>
      </w:r>
    </w:p>
    <w:p w14:paraId="70446F2E">
      <w:pPr>
        <w:pStyle w:val="9"/>
        <w:shd w:val="clear" w:color="auto" w:fill="FFFFFF"/>
        <w:snapToGrid w:val="0"/>
        <w:spacing w:before="62" w:beforeLines="20" w:beforeAutospacing="0" w:after="62" w:afterLines="20" w:afterAutospacing="0" w:line="312" w:lineRule="auto"/>
        <w:ind w:left="556" w:leftChars="259" w:hanging="12" w:hangingChars="6"/>
        <w:jc w:val="both"/>
        <w:rPr>
          <w:rFonts w:ascii="Arial" w:hAnsi="Arial" w:cs="Arial"/>
          <w:color w:val="000000" w:themeColor="text1"/>
          <w:sz w:val="21"/>
          <w:szCs w:val="21"/>
        </w:rPr>
      </w:pPr>
      <w:r>
        <w:rPr>
          <w:rFonts w:ascii="Arial" w:hAnsi="Arial" w:cs="Arial"/>
          <w:color w:val="000000" w:themeColor="text1"/>
          <w:sz w:val="21"/>
          <w:szCs w:val="21"/>
        </w:rPr>
        <w:t>免疫球蛋白G（特异性Fab片段）免疫球蛋白测试系统器械包括采用免疫组织化学技术测定免疫球蛋白抗体分解的Fab抗原结合片段的试剂。测试免疫球蛋白Fab片段有助于诊断淋巴增生性疾病和waldenstrom巨球蛋白血症。</w:t>
      </w:r>
    </w:p>
    <w:p w14:paraId="39C00C77">
      <w:pPr>
        <w:pStyle w:val="9"/>
        <w:shd w:val="clear" w:color="auto" w:fill="FFFFFF"/>
        <w:snapToGrid w:val="0"/>
        <w:spacing w:before="62" w:beforeLines="20" w:beforeAutospacing="0" w:after="62" w:afterLines="20" w:afterAutospacing="0" w:line="312" w:lineRule="auto"/>
        <w:ind w:left="556" w:leftChars="259" w:hanging="12" w:hangingChars="6"/>
        <w:jc w:val="both"/>
        <w:rPr>
          <w:rFonts w:ascii="Arial" w:hAnsi="Arial" w:cs="Arial"/>
          <w:color w:val="000000" w:themeColor="text1"/>
          <w:sz w:val="21"/>
          <w:szCs w:val="21"/>
        </w:rPr>
      </w:pPr>
      <w:r>
        <w:rPr>
          <w:rFonts w:ascii="Arial" w:hAnsi="Arial" w:cs="Arial"/>
          <w:color w:val="000000" w:themeColor="text1"/>
          <w:sz w:val="21"/>
          <w:szCs w:val="21"/>
        </w:rPr>
        <w:t>免疫球蛋白G（特异性Fc片段）免疫球蛋白测试系统器械包括采用免疫组织化学技术测定免疫球蛋白抗体的Fc片段的试剂。测试免疫球蛋白Fc片段有助于诊断血浆细胞抗体形成异常。</w:t>
      </w:r>
    </w:p>
    <w:p w14:paraId="4FC221BB">
      <w:pPr>
        <w:widowControl/>
        <w:spacing w:before="62" w:beforeLines="20" w:after="62" w:afterLines="20" w:line="312" w:lineRule="auto"/>
        <w:jc w:val="left"/>
        <w:rPr>
          <w:rFonts w:ascii="Arial" w:hAnsi="Arial" w:eastAsia="宋体" w:cs="Arial"/>
          <w:color w:val="000000" w:themeColor="text1"/>
          <w:kern w:val="0"/>
          <w:szCs w:val="21"/>
          <w:u w:val="single"/>
        </w:rPr>
      </w:pPr>
      <w:r>
        <w:rPr>
          <w:rFonts w:ascii="Arial" w:hAnsi="Arial" w:cs="Arial"/>
          <w:color w:val="000000" w:themeColor="text1"/>
          <w:szCs w:val="21"/>
          <w:u w:val="single"/>
        </w:rPr>
        <w:br w:type="page"/>
      </w:r>
    </w:p>
    <w:p w14:paraId="19F06646">
      <w:pPr>
        <w:pStyle w:val="5"/>
        <w:numPr>
          <w:ilvl w:val="0"/>
          <w:numId w:val="1"/>
        </w:numPr>
        <w:shd w:val="clear" w:color="auto" w:fill="FFFFFF"/>
        <w:snapToGrid w:val="0"/>
        <w:spacing w:before="62" w:beforeLines="20" w:after="62" w:afterLines="20" w:line="312" w:lineRule="auto"/>
        <w:ind w:left="0" w:firstLine="0"/>
        <w:jc w:val="both"/>
        <w:rPr>
          <w:rFonts w:ascii="Arial" w:hAnsi="Arial" w:cs="Arial"/>
          <w:color w:val="000000" w:themeColor="text1"/>
          <w:sz w:val="21"/>
          <w:szCs w:val="21"/>
        </w:rPr>
      </w:pPr>
      <w:r>
        <w:rPr>
          <w:rFonts w:ascii="Arial" w:hAnsi="Arial" w:cs="Arial"/>
          <w:color w:val="000000" w:themeColor="text1"/>
          <w:sz w:val="21"/>
          <w:szCs w:val="21"/>
          <w:u w:val="single"/>
        </w:rPr>
        <w:t>分类</w:t>
      </w:r>
      <w:r>
        <w:rPr>
          <w:rFonts w:ascii="Arial" w:hAnsi="Arial" w:cs="Arial"/>
          <w:color w:val="000000" w:themeColor="text1"/>
          <w:sz w:val="21"/>
          <w:szCs w:val="21"/>
        </w:rPr>
        <w:t>：二级（性能标准）</w:t>
      </w:r>
    </w:p>
    <w:p w14:paraId="061DB4B8">
      <w:pPr>
        <w:pStyle w:val="5"/>
        <w:numPr>
          <w:ilvl w:val="0"/>
          <w:numId w:val="1"/>
        </w:numPr>
        <w:shd w:val="clear" w:color="auto" w:fill="FFFFFF"/>
        <w:snapToGrid w:val="0"/>
        <w:spacing w:before="62" w:beforeLines="20" w:after="62" w:afterLines="20" w:line="312" w:lineRule="auto"/>
        <w:ind w:left="0" w:firstLine="0"/>
        <w:jc w:val="both"/>
        <w:rPr>
          <w:rFonts w:ascii="Arial" w:hAnsi="Arial" w:cs="Arial"/>
          <w:color w:val="000000" w:themeColor="text1"/>
          <w:sz w:val="21"/>
          <w:szCs w:val="21"/>
        </w:rPr>
      </w:pPr>
      <w:r>
        <w:rPr>
          <w:rFonts w:ascii="Arial" w:hAnsi="Arial" w:cs="Arial"/>
          <w:color w:val="000000" w:themeColor="text1"/>
          <w:sz w:val="21"/>
          <w:szCs w:val="21"/>
          <w:u w:val="single"/>
        </w:rPr>
        <w:t>小组</w:t>
      </w:r>
      <w:r>
        <w:rPr>
          <w:rFonts w:ascii="Arial" w:hAnsi="Arial" w:cs="Arial"/>
          <w:color w:val="000000" w:themeColor="text1"/>
          <w:sz w:val="21"/>
          <w:szCs w:val="21"/>
        </w:rPr>
        <w:t>：免疫学</w:t>
      </w:r>
    </w:p>
    <w:p w14:paraId="0337AB9C">
      <w:pPr>
        <w:pStyle w:val="5"/>
        <w:shd w:val="clear" w:color="auto" w:fill="FFFFFF"/>
        <w:snapToGrid w:val="0"/>
        <w:spacing w:before="62" w:beforeLines="20" w:after="62" w:afterLines="20" w:line="312" w:lineRule="auto"/>
        <w:jc w:val="both"/>
        <w:rPr>
          <w:rFonts w:ascii="Arial" w:hAnsi="Arial" w:cs="Arial"/>
          <w:color w:val="000000" w:themeColor="text1"/>
          <w:sz w:val="21"/>
          <w:szCs w:val="21"/>
        </w:rPr>
      </w:pPr>
      <w:r>
        <w:rPr>
          <w:rFonts w:ascii="Arial" w:hAnsi="Arial" w:cs="Arial"/>
          <w:color w:val="000000" w:themeColor="text1"/>
          <w:sz w:val="21"/>
          <w:szCs w:val="21"/>
        </w:rPr>
        <w:t>审查要求：</w:t>
      </w:r>
    </w:p>
    <w:p w14:paraId="2670CE56">
      <w:pPr>
        <w:pStyle w:val="5"/>
        <w:shd w:val="clear" w:color="auto" w:fill="FFFFFF"/>
        <w:snapToGrid w:val="0"/>
        <w:spacing w:before="62" w:beforeLines="20" w:after="62" w:afterLines="20" w:line="312" w:lineRule="auto"/>
        <w:jc w:val="both"/>
        <w:rPr>
          <w:rFonts w:ascii="Arial" w:hAnsi="Arial" w:cs="Arial"/>
          <w:b/>
          <w:bCs/>
          <w:color w:val="000000" w:themeColor="text1"/>
          <w:sz w:val="21"/>
          <w:szCs w:val="21"/>
        </w:rPr>
      </w:pPr>
      <w:r>
        <w:rPr>
          <w:rFonts w:hint="eastAsia"/>
          <w:b/>
          <w:bCs/>
          <w:color w:val="000000" w:themeColor="text1"/>
          <w:sz w:val="21"/>
          <w:szCs w:val="21"/>
        </w:rPr>
        <w:t>Ⅰ</w:t>
      </w:r>
      <w:r>
        <w:rPr>
          <w:rFonts w:ascii="Arial" w:hAnsi="Arial" w:cs="Arial"/>
          <w:b/>
          <w:bCs/>
          <w:color w:val="000000" w:themeColor="text1"/>
          <w:sz w:val="21"/>
          <w:szCs w:val="21"/>
        </w:rPr>
        <w:t>、免疫球蛋白A、G、M和D免疫分析测试器械的临床适应症/</w:t>
      </w:r>
      <w:r>
        <w:rPr>
          <w:rFonts w:hint="eastAsia" w:ascii="Arial" w:hAnsi="Arial" w:cs="Arial"/>
          <w:b/>
          <w:bCs/>
          <w:color w:val="000000" w:themeColor="text1"/>
          <w:sz w:val="21"/>
          <w:szCs w:val="21"/>
        </w:rPr>
        <w:t>显著性</w:t>
      </w:r>
      <w:r>
        <w:rPr>
          <w:rFonts w:ascii="Arial" w:hAnsi="Arial" w:cs="Arial"/>
          <w:b/>
          <w:bCs/>
          <w:color w:val="000000" w:themeColor="text1"/>
          <w:sz w:val="21"/>
          <w:szCs w:val="21"/>
        </w:rPr>
        <w:t>/预期用途</w:t>
      </w:r>
    </w:p>
    <w:p w14:paraId="24038C2B">
      <w:pPr>
        <w:snapToGrid w:val="0"/>
        <w:spacing w:before="62" w:beforeLines="20" w:after="62" w:afterLines="20" w:line="312" w:lineRule="auto"/>
        <w:rPr>
          <w:rFonts w:ascii="Arial" w:hAnsi="Arial" w:eastAsia="宋体" w:cs="Arial"/>
          <w:color w:val="000000" w:themeColor="text1"/>
        </w:rPr>
      </w:pPr>
      <w:r>
        <w:rPr>
          <w:rFonts w:ascii="Arial" w:hAnsi="Arial" w:eastAsia="宋体" w:cs="Arial"/>
          <w:color w:val="000000" w:themeColor="text1"/>
        </w:rPr>
        <w:t>免疫球蛋白是一组具备某些基本结构特征的球状蛋白，具备抗体的功能。免疫球蛋白存在于在血液循环、各种分泌物、血液外体液和固定的细胞表面上。人们已经描述了五种主要的结构类型和分类：IgG、IgA、IgM、IgD和IgE。免疫球蛋白多样性受免疫球蛋白基因控制。各种免疫球蛋白类的基本分子亚基由四个氨基酸的多肽链、两重链和两轻链组成（1,2）。轻、重链通过链间二硫键（S-S）形成共价键。k和λ轻链由5类组成。单个免疫球蛋白分子将包含两个k或两个λ轻链。</w:t>
      </w:r>
      <w:bookmarkStart w:id="7" w:name="OLE_LINK9"/>
      <w:r>
        <w:rPr>
          <w:rFonts w:ascii="Arial" w:hAnsi="Arial" w:eastAsia="宋体" w:cs="Arial"/>
          <w:color w:val="000000" w:themeColor="text1"/>
        </w:rPr>
        <w:t>五类免疫球蛋白</w:t>
      </w:r>
      <w:bookmarkEnd w:id="7"/>
      <w:r>
        <w:rPr>
          <w:rFonts w:ascii="Arial" w:hAnsi="Arial" w:eastAsia="宋体" w:cs="Arial"/>
          <w:color w:val="000000" w:themeColor="text1"/>
        </w:rPr>
        <w:t>分化的分子基础存在于重链型的常数区。IgG、IgA、IgM、IgD和IgE重肽链分别用γ、α、μ、δ和ε表示。多发性骨髓瘤蛋白的免疫化学和生化研究可用于IgG、IgA和IgM亚类的鉴别。IgG的四个亚型分别为IgG1、IgG2、IgG3和IgG4（7，8)，IgA和IgM的两个亚型分别为IgA1、IgA2和IgM1、IgM2。该亚型的划分基于各自的重肽链某些区域的氨基酸序列变异。生物学相关的知识可以确认IgG实际上包含四个亚型。有兴趣的是可以认为不同的抗体对应不同的亚型。免疫球蛋白G亚型缺陷越来越多地被认识到，特别是与感染相关（4，5）的亚型缺失。</w:t>
      </w:r>
    </w:p>
    <w:p w14:paraId="47EA6F79">
      <w:pPr>
        <w:widowControl/>
        <w:spacing w:before="62" w:beforeLines="20" w:after="62" w:afterLines="20" w:line="312" w:lineRule="auto"/>
        <w:jc w:val="left"/>
        <w:rPr>
          <w:rFonts w:ascii="Arial" w:hAnsi="Arial" w:eastAsia="宋体" w:cs="Arial"/>
          <w:color w:val="000000" w:themeColor="text1"/>
        </w:rPr>
      </w:pPr>
      <w:r>
        <w:rPr>
          <w:rFonts w:ascii="Arial" w:hAnsi="Arial" w:eastAsia="宋体" w:cs="Arial"/>
          <w:color w:val="000000" w:themeColor="text1"/>
        </w:rPr>
        <w:br w:type="page"/>
      </w:r>
    </w:p>
    <w:p w14:paraId="7E7C6B93">
      <w:pPr>
        <w:snapToGrid w:val="0"/>
        <w:spacing w:before="62" w:beforeLines="20" w:after="62" w:afterLines="20" w:line="312" w:lineRule="auto"/>
        <w:rPr>
          <w:rFonts w:ascii="Arial" w:hAnsi="Arial" w:eastAsia="宋体" w:cs="Arial"/>
          <w:color w:val="000000" w:themeColor="text1"/>
        </w:rPr>
      </w:pPr>
      <w:r>
        <w:rPr>
          <w:rFonts w:ascii="Arial" w:hAnsi="Arial" w:eastAsia="宋体" w:cs="Arial"/>
          <w:color w:val="000000" w:themeColor="text1"/>
        </w:rPr>
        <w:t>三类免疫球蛋白干扰已经确定：1）特定级别的（单克隆的）免疫球蛋白的增加（单克隆的丙种球蛋白病）；2）免疫球蛋白的减少或者缺失（高免疫球蛋白血症），以及3）免疫球蛋白中非特定分类的（多克隆的）的增加（</w:t>
      </w:r>
      <w:bookmarkStart w:id="8" w:name="OLE_LINK11"/>
      <w:r>
        <w:rPr>
          <w:rFonts w:ascii="Arial" w:hAnsi="Arial" w:eastAsia="宋体" w:cs="Arial"/>
          <w:color w:val="000000" w:themeColor="text1"/>
        </w:rPr>
        <w:t>高免疫球蛋白血症</w:t>
      </w:r>
      <w:bookmarkEnd w:id="8"/>
      <w:r>
        <w:rPr>
          <w:rFonts w:ascii="Arial" w:hAnsi="Arial" w:eastAsia="宋体" w:cs="Arial"/>
          <w:color w:val="000000" w:themeColor="text1"/>
        </w:rPr>
        <w:t>）。</w:t>
      </w:r>
    </w:p>
    <w:p w14:paraId="3F6AFB5F">
      <w:pPr>
        <w:snapToGrid w:val="0"/>
        <w:spacing w:before="62" w:beforeLines="20" w:after="62" w:afterLines="20" w:line="312" w:lineRule="auto"/>
        <w:rPr>
          <w:rFonts w:ascii="Arial" w:hAnsi="Arial" w:eastAsia="宋体" w:cs="Arial"/>
          <w:color w:val="000000" w:themeColor="text1"/>
        </w:rPr>
      </w:pPr>
    </w:p>
    <w:p w14:paraId="7E4564DB">
      <w:pPr>
        <w:snapToGrid w:val="0"/>
        <w:spacing w:before="62" w:beforeLines="20" w:after="62" w:afterLines="20" w:line="312" w:lineRule="auto"/>
        <w:rPr>
          <w:rFonts w:ascii="Arial" w:hAnsi="Arial" w:eastAsia="宋体" w:cs="Arial"/>
          <w:color w:val="000000" w:themeColor="text1"/>
        </w:rPr>
      </w:pPr>
      <w:r>
        <w:rPr>
          <w:rFonts w:ascii="Arial" w:hAnsi="Arial" w:eastAsia="宋体" w:cs="Arial"/>
          <w:color w:val="000000" w:themeColor="text1"/>
        </w:rPr>
        <w:t>单克隆丙种球蛋白病与某些疾病的关系具有重要的诊断价值，可提供了疾病活动的相关信息。单克隆成分为血浆细胞单一或克隆产生的大量的均一蛋白（完整的免疫球蛋白，重链或轻链）组成。单克隆的成份主要与血浆细胞或淋巴系统疾病有关，如多发性骨髓瘤、巨球蛋白血症。构成要素代表一大笔同类的蛋白（完整的免疫球蛋白，</w:t>
      </w:r>
      <w:bookmarkStart w:id="9" w:name="OLE_LINK10"/>
      <w:r>
        <w:rPr>
          <w:rFonts w:ascii="Arial" w:hAnsi="Arial" w:eastAsia="宋体" w:cs="Arial"/>
          <w:color w:val="000000" w:themeColor="text1"/>
        </w:rPr>
        <w:t>重链或轻链</w:t>
      </w:r>
      <w:bookmarkEnd w:id="9"/>
      <w:r>
        <w:rPr>
          <w:rFonts w:ascii="Arial" w:hAnsi="Arial" w:eastAsia="宋体" w:cs="Arial"/>
          <w:color w:val="000000" w:themeColor="text1"/>
        </w:rPr>
        <w:t>）由一个单线或者血浆细胞克隆创建。单克隆的构成要素已经首先与血浆细胞的疾病或者淋巴组织细胞增生性系统相关联，例如，多发性骨髓瘤以及waldenstrom巨球蛋白血症。单克隆的IgG、碳水化合物片段（Fc）以及免疫球蛋白分子的重肽链组的氨基末端的（抗原-结合）终端已经应用到器械中合成复杂的固态抗体试剂。样品中待测的分析物可与此固定抗体进行反应。</w:t>
      </w:r>
    </w:p>
    <w:p w14:paraId="35B110C0">
      <w:pPr>
        <w:snapToGrid w:val="0"/>
        <w:spacing w:before="62" w:beforeLines="20" w:after="62" w:afterLines="20" w:line="312" w:lineRule="auto"/>
        <w:rPr>
          <w:rFonts w:ascii="Arial" w:hAnsi="Arial" w:eastAsia="宋体" w:cs="Arial"/>
          <w:color w:val="000000" w:themeColor="text1"/>
        </w:rPr>
      </w:pPr>
    </w:p>
    <w:p w14:paraId="43A3620D">
      <w:pPr>
        <w:snapToGrid w:val="0"/>
        <w:spacing w:before="62" w:beforeLines="20" w:after="62" w:afterLines="20" w:line="312" w:lineRule="auto"/>
        <w:rPr>
          <w:rFonts w:ascii="Arial" w:hAnsi="Arial" w:eastAsia="宋体" w:cs="Arial"/>
          <w:color w:val="000000" w:themeColor="text1"/>
        </w:rPr>
      </w:pPr>
      <w:r>
        <w:rPr>
          <w:rFonts w:ascii="Arial" w:hAnsi="Arial" w:eastAsia="宋体" w:cs="Arial"/>
          <w:color w:val="000000" w:themeColor="text1"/>
        </w:rPr>
        <w:t>然后，可以使用酶指示剂系统的合适底物来确定样品中存在的免疫球蛋白分析物的量。</w:t>
      </w:r>
    </w:p>
    <w:p w14:paraId="6BF26FD6">
      <w:pPr>
        <w:snapToGrid w:val="0"/>
        <w:spacing w:before="62" w:beforeLines="20" w:after="62" w:afterLines="20" w:line="312" w:lineRule="auto"/>
        <w:rPr>
          <w:rFonts w:ascii="Arial" w:hAnsi="Arial" w:eastAsia="宋体" w:cs="Arial"/>
          <w:color w:val="000000" w:themeColor="text1"/>
        </w:rPr>
      </w:pPr>
    </w:p>
    <w:p w14:paraId="36154611">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rPr>
        <w:t>免疫缺陷病（高免疫球蛋白血症）的诊断需要免疫球蛋白辅助定量。对于一个以上的免疫球蛋白类和多次的细胞介导免疫产生的联合免疫缺陷，具有血清IgG、IgM、以及IgA缺失的特点。选择性免疫球蛋白缺乏症的特点是只有有一个或两个而非所有的免疫球蛋白类都缺乏。免疫球蛋白缺乏症常产生危及生命的感染。在原发性免疫缺陷的原型，Bruton综合症（l0）中所有的免疫球蛋白类型完全欠缺，并且对携带荚膜细菌而产生的致热感染具有惊人的敏感性。迟发性免疫缺失常常伴随感染，尤其是反复发作的复发性肺炎和鼻窦炎。对于免疫球蛋白的数量进行测量，应在患有慢性的渐进性支气管扩张的病人身上进行。在很多情况下，免疫球蛋白的生产是不稳定的，而且不同的病人或同一病人的不同时段，浓度都可能会不一样。由于临床表现和对感染的易感性并不总是相关的，诊断通常比较困难</w:t>
      </w:r>
      <w:r>
        <w:rPr>
          <w:rFonts w:ascii="Arial" w:hAnsi="Arial" w:eastAsia="宋体" w:cs="Arial"/>
          <w:color w:val="000000" w:themeColor="text1"/>
          <w:szCs w:val="21"/>
        </w:rPr>
        <w:t>。因此，不时对免疫球蛋白进行反复定量测定</w:t>
      </w:r>
      <w:r>
        <w:rPr>
          <w:rFonts w:hint="eastAsia" w:ascii="Arial" w:hAnsi="Arial" w:eastAsia="宋体" w:cs="Arial"/>
          <w:color w:val="000000" w:themeColor="text1"/>
          <w:szCs w:val="21"/>
        </w:rPr>
        <w:t>通常</w:t>
      </w:r>
      <w:r>
        <w:rPr>
          <w:rFonts w:ascii="Arial" w:hAnsi="Arial" w:eastAsia="宋体" w:cs="Arial"/>
          <w:color w:val="000000" w:themeColor="text1"/>
          <w:szCs w:val="21"/>
        </w:rPr>
        <w:t>是必要的。</w:t>
      </w:r>
    </w:p>
    <w:p w14:paraId="52760A95">
      <w:pPr>
        <w:snapToGrid w:val="0"/>
        <w:spacing w:before="62" w:beforeLines="20" w:after="62" w:afterLines="20" w:line="312" w:lineRule="auto"/>
        <w:rPr>
          <w:rFonts w:ascii="Arial" w:hAnsi="Arial" w:eastAsia="宋体" w:cs="Arial"/>
          <w:color w:val="000000" w:themeColor="text1"/>
          <w:szCs w:val="21"/>
        </w:rPr>
      </w:pPr>
    </w:p>
    <w:p w14:paraId="365AB51C">
      <w:pPr>
        <w:widowControl/>
        <w:spacing w:before="62" w:beforeLines="20" w:after="62" w:afterLines="20" w:line="312" w:lineRule="auto"/>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1DBC97FA">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具有选择性</w:t>
      </w:r>
      <w:bookmarkStart w:id="10" w:name="OLE_LINK12"/>
      <w:r>
        <w:rPr>
          <w:rFonts w:ascii="Arial" w:hAnsi="Arial" w:eastAsia="宋体" w:cs="Arial"/>
          <w:color w:val="000000" w:themeColor="text1"/>
          <w:szCs w:val="21"/>
        </w:rPr>
        <w:t>IgA缺失的患者</w:t>
      </w:r>
      <w:bookmarkEnd w:id="10"/>
      <w:r>
        <w:rPr>
          <w:rFonts w:ascii="Arial" w:hAnsi="Arial" w:eastAsia="宋体" w:cs="Arial"/>
          <w:color w:val="000000" w:themeColor="text1"/>
          <w:szCs w:val="21"/>
        </w:rPr>
        <w:t>易复发sinupulmonary感染，但这些感染与联合IgA缺失的患者相比较温和，且很少在肺功能异常换这种出现。某些免疫球蛋白缺乏患者容易出现自身免疫性疾病。类风湿性关节炎和腱鞘炎的发病率比一般人群大30余倍。特别是IgA缺陷的患者易产生自身免疫性疾病的倾向和常见的类风湿关节炎、系统性红斑狼疮、恶性贫血、甲状腺炎</w:t>
      </w:r>
      <w:r>
        <w:rPr>
          <w:rFonts w:hint="eastAsia" w:ascii="Arial" w:hAnsi="Arial" w:eastAsia="宋体" w:cs="Arial"/>
          <w:color w:val="000000" w:themeColor="text1"/>
          <w:szCs w:val="21"/>
        </w:rPr>
        <w:t>（格雷夫斯病）</w:t>
      </w:r>
      <w:r>
        <w:rPr>
          <w:rFonts w:ascii="Arial" w:hAnsi="Arial" w:eastAsia="宋体" w:cs="Arial"/>
          <w:color w:val="000000" w:themeColor="text1"/>
          <w:szCs w:val="21"/>
        </w:rPr>
        <w:t>。</w:t>
      </w:r>
    </w:p>
    <w:p w14:paraId="173B1634">
      <w:pPr>
        <w:snapToGrid w:val="0"/>
        <w:spacing w:before="62" w:beforeLines="20" w:after="62" w:afterLines="20" w:line="312" w:lineRule="auto"/>
        <w:rPr>
          <w:rFonts w:ascii="Arial" w:hAnsi="Arial" w:eastAsia="宋体" w:cs="Arial"/>
          <w:color w:val="000000" w:themeColor="text1"/>
          <w:szCs w:val="21"/>
        </w:rPr>
      </w:pPr>
    </w:p>
    <w:p w14:paraId="4B22CB2E">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特应性和非特应性个体研究显示血清中IgA、IgG和IgM的浓度无显著性差异。关于血清IgD水平，存在相互矛盾的数据。在变异性疾病中进行的多项研究证明皮肤致敏抗体与IgE有关。各种食品、毒液、吸入剂、寄生虫过敏原可诱导IgE特异性抗体。应该指出的是除特应性状态外有多种因素影响血清IgE定量。入队循环IgE抗体的测定时脱离肥大细胞或嗜碱性粒细胞，可能无法提供所需的灵敏度以满足医生进行初始免疫治疗（脱敏）。确定特异性反应疾病的过敏原可接受的方式是在别人的背部进行皮内注射（皮试）。皮试反应（发红、肿胀）可表明患者特异性反应情况。过敏性哮喘、变应性鼻炎和过敏性鼻炎患者血清IgE水平升高。虽然大多数研究发现有广泛重叠的IgE值，但过敏性疾病发病趋势明显向更高水平发展。</w:t>
      </w:r>
    </w:p>
    <w:p w14:paraId="7463F1CC">
      <w:pPr>
        <w:snapToGrid w:val="0"/>
        <w:spacing w:before="62" w:beforeLines="20" w:after="62" w:afterLines="20" w:line="312" w:lineRule="auto"/>
        <w:rPr>
          <w:rFonts w:ascii="Arial" w:hAnsi="Arial" w:eastAsia="宋体" w:cs="Arial"/>
          <w:color w:val="000000" w:themeColor="text1"/>
          <w:szCs w:val="21"/>
        </w:rPr>
      </w:pPr>
    </w:p>
    <w:p w14:paraId="2AA07328">
      <w:pPr>
        <w:snapToGrid w:val="0"/>
        <w:spacing w:before="62" w:beforeLines="20" w:after="62" w:afterLines="20" w:line="312" w:lineRule="auto"/>
        <w:rPr>
          <w:rFonts w:ascii="Arial" w:hAnsi="Arial" w:eastAsia="宋体" w:cs="Arial"/>
          <w:color w:val="000000" w:themeColor="text1"/>
          <w:szCs w:val="21"/>
        </w:rPr>
      </w:pPr>
      <w:r>
        <w:rPr>
          <w:rFonts w:ascii="Arial" w:hAnsi="Arial" w:eastAsia="宋体" w:cs="Arial"/>
          <w:color w:val="000000" w:themeColor="text1"/>
          <w:szCs w:val="21"/>
        </w:rPr>
        <w:t>采用工具测定琼脂扩散、浊度、比浊度、电泳、化学发光、辐射和</w:t>
      </w:r>
      <w:bookmarkStart w:id="11" w:name="OLE_LINK13"/>
      <w:r>
        <w:rPr>
          <w:rFonts w:ascii="Arial" w:hAnsi="Arial" w:eastAsia="宋体" w:cs="Arial"/>
          <w:color w:val="000000" w:themeColor="text1"/>
          <w:szCs w:val="21"/>
        </w:rPr>
        <w:t>生物荧光测量免疫球蛋白</w:t>
      </w:r>
      <w:bookmarkEnd w:id="11"/>
      <w:r>
        <w:rPr>
          <w:rFonts w:ascii="Arial" w:hAnsi="Arial" w:eastAsia="宋体" w:cs="Arial"/>
          <w:color w:val="000000" w:themeColor="text1"/>
          <w:szCs w:val="21"/>
        </w:rPr>
        <w:t>等技术的发展使实验室技术更加成熟。表1列出了免疫球蛋白测量的器械清单以说明这一技术的发展。</w:t>
      </w:r>
    </w:p>
    <w:p w14:paraId="703344BB">
      <w:pPr>
        <w:widowControl/>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3823ED1B">
      <w:pPr>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表1琼脂扩散、浊度、比浊度，电泳，化学发光，辐射和生物荧光测量免疫球蛋白举例</w:t>
      </w:r>
    </w:p>
    <w:p w14:paraId="57CDFACA">
      <w:pPr>
        <w:snapToGrid w:val="0"/>
        <w:spacing w:line="300" w:lineRule="auto"/>
        <w:rPr>
          <w:rFonts w:ascii="Arial" w:hAnsi="Arial" w:eastAsia="宋体" w:cs="Arial"/>
          <w:color w:val="000000" w:themeColor="text1"/>
          <w:szCs w:val="21"/>
        </w:rPr>
      </w:pPr>
    </w:p>
    <w:p w14:paraId="415EA428">
      <w:pPr>
        <w:snapToGrid w:val="0"/>
        <w:spacing w:line="300" w:lineRule="auto"/>
        <w:ind w:left="6852" w:hanging="6852" w:hangingChars="3250"/>
        <w:rPr>
          <w:rFonts w:ascii="Arial" w:hAnsi="Arial" w:eastAsia="宋体" w:cs="Arial"/>
          <w:b/>
          <w:bCs/>
          <w:color w:val="000000" w:themeColor="text1"/>
          <w:szCs w:val="21"/>
          <w:u w:val="single"/>
        </w:rPr>
      </w:pPr>
      <w:r>
        <w:rPr>
          <w:rFonts w:ascii="Arial" w:hAnsi="Arial" w:eastAsia="宋体" w:cs="Arial"/>
          <w:b/>
          <w:bCs/>
          <w:color w:val="000000" w:themeColor="text1"/>
          <w:szCs w:val="21"/>
          <w:u w:val="single"/>
        </w:rPr>
        <w:t>浊度法</w:t>
      </w:r>
      <w:r>
        <w:rPr>
          <w:rFonts w:ascii="Arial" w:hAnsi="Arial" w:eastAsia="宋体" w:cs="Arial"/>
          <w:b/>
          <w:bCs/>
          <w:color w:val="000000" w:themeColor="text1"/>
          <w:szCs w:val="21"/>
        </w:rPr>
        <w:tab/>
      </w:r>
      <w:r>
        <w:rPr>
          <w:rFonts w:ascii="Arial" w:hAnsi="Arial" w:eastAsia="宋体" w:cs="Arial"/>
          <w:b/>
          <w:bCs/>
          <w:color w:val="000000" w:themeColor="text1"/>
          <w:szCs w:val="21"/>
          <w:u w:val="single"/>
        </w:rPr>
        <w:t>510（K）号</w:t>
      </w:r>
    </w:p>
    <w:p w14:paraId="7A07CE13">
      <w:pPr>
        <w:tabs>
          <w:tab w:val="left" w:pos="6957"/>
        </w:tabs>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雅培实验室-双色分析仪</w:t>
      </w:r>
      <w:r>
        <w:rPr>
          <w:rFonts w:ascii="Arial" w:hAnsi="Arial" w:eastAsia="宋体" w:cs="Arial"/>
          <w:color w:val="000000" w:themeColor="text1"/>
          <w:szCs w:val="21"/>
        </w:rPr>
        <w:tab/>
      </w:r>
      <w:r>
        <w:rPr>
          <w:rFonts w:ascii="Arial" w:hAnsi="Arial" w:eastAsia="宋体" w:cs="Arial"/>
          <w:color w:val="000000" w:themeColor="text1"/>
          <w:szCs w:val="21"/>
        </w:rPr>
        <w:t>K771345</w:t>
      </w:r>
    </w:p>
    <w:p w14:paraId="7A213CB5">
      <w:pPr>
        <w:tabs>
          <w:tab w:val="left" w:pos="6957"/>
        </w:tabs>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德灵诊断公司-激光比浊计</w:t>
      </w:r>
      <w:r>
        <w:rPr>
          <w:rFonts w:ascii="Arial" w:hAnsi="Arial" w:eastAsia="宋体" w:cs="Arial"/>
          <w:color w:val="000000" w:themeColor="text1"/>
          <w:szCs w:val="21"/>
        </w:rPr>
        <w:tab/>
      </w:r>
      <w:r>
        <w:rPr>
          <w:rFonts w:ascii="Arial" w:hAnsi="Arial" w:eastAsia="宋体" w:cs="Arial"/>
          <w:color w:val="000000" w:themeColor="text1"/>
          <w:szCs w:val="21"/>
        </w:rPr>
        <w:t>K771603</w:t>
      </w:r>
    </w:p>
    <w:p w14:paraId="397052A2">
      <w:pPr>
        <w:tabs>
          <w:tab w:val="left" w:pos="6957"/>
        </w:tabs>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泰克尼康工具公司-荧光比浊计</w:t>
      </w:r>
      <w:r>
        <w:rPr>
          <w:rFonts w:hint="eastAsia" w:ascii="Arial" w:hAnsi="Arial" w:eastAsia="宋体" w:cs="Arial"/>
          <w:color w:val="000000" w:themeColor="text1"/>
          <w:szCs w:val="21"/>
        </w:rPr>
        <w:t>Ⅲ</w:t>
      </w:r>
      <w:r>
        <w:rPr>
          <w:rFonts w:ascii="Arial" w:hAnsi="Arial" w:eastAsia="宋体" w:cs="Arial"/>
          <w:color w:val="000000" w:themeColor="text1"/>
          <w:szCs w:val="21"/>
        </w:rPr>
        <w:tab/>
      </w:r>
      <w:r>
        <w:rPr>
          <w:rFonts w:ascii="Arial" w:hAnsi="Arial" w:eastAsia="宋体" w:cs="Arial"/>
          <w:color w:val="000000" w:themeColor="text1"/>
          <w:szCs w:val="21"/>
        </w:rPr>
        <w:t>K822341</w:t>
      </w:r>
    </w:p>
    <w:p w14:paraId="103C382B">
      <w:pPr>
        <w:tabs>
          <w:tab w:val="left" w:pos="6957"/>
        </w:tabs>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海兰德实验室-“PDQ”激光比浊计</w:t>
      </w:r>
      <w:r>
        <w:rPr>
          <w:rFonts w:ascii="Arial" w:hAnsi="Arial" w:eastAsia="宋体" w:cs="Arial"/>
          <w:color w:val="000000" w:themeColor="text1"/>
          <w:szCs w:val="21"/>
        </w:rPr>
        <w:tab/>
      </w:r>
      <w:r>
        <w:rPr>
          <w:rFonts w:ascii="Arial" w:hAnsi="Arial" w:eastAsia="宋体" w:cs="Arial"/>
          <w:color w:val="000000" w:themeColor="text1"/>
          <w:szCs w:val="21"/>
        </w:rPr>
        <w:t>K770548</w:t>
      </w:r>
    </w:p>
    <w:p w14:paraId="164891C4">
      <w:pPr>
        <w:snapToGrid w:val="0"/>
        <w:spacing w:line="300" w:lineRule="auto"/>
        <w:rPr>
          <w:rFonts w:ascii="Arial" w:hAnsi="Arial" w:eastAsia="宋体" w:cs="Arial"/>
          <w:color w:val="000000" w:themeColor="text1"/>
          <w:szCs w:val="21"/>
        </w:rPr>
      </w:pPr>
      <w:r>
        <w:rPr>
          <w:rFonts w:ascii="Arial" w:hAnsi="Arial" w:eastAsia="宋体" w:cs="Arial"/>
          <w:b/>
          <w:bCs/>
          <w:color w:val="000000" w:themeColor="text1"/>
          <w:szCs w:val="21"/>
          <w:u w:val="single"/>
        </w:rPr>
        <w:t>电泳</w:t>
      </w:r>
    </w:p>
    <w:p w14:paraId="0C546C83">
      <w:pPr>
        <w:tabs>
          <w:tab w:val="left" w:pos="6957"/>
        </w:tabs>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海伦娜实验室</w:t>
      </w:r>
      <w:r>
        <w:rPr>
          <w:rFonts w:ascii="Arial" w:hAnsi="Arial" w:eastAsia="宋体" w:cs="Arial"/>
          <w:color w:val="000000" w:themeColor="text1"/>
          <w:szCs w:val="21"/>
        </w:rPr>
        <w:tab/>
      </w:r>
      <w:r>
        <w:rPr>
          <w:rFonts w:ascii="Arial" w:hAnsi="Arial" w:eastAsia="宋体" w:cs="Arial"/>
          <w:color w:val="000000" w:themeColor="text1"/>
          <w:szCs w:val="21"/>
        </w:rPr>
        <w:t>K860645</w:t>
      </w:r>
    </w:p>
    <w:p w14:paraId="76A4FED7">
      <w:pPr>
        <w:snapToGrid w:val="0"/>
        <w:spacing w:line="300" w:lineRule="auto"/>
        <w:rPr>
          <w:rFonts w:ascii="Arial" w:hAnsi="Arial" w:eastAsia="宋体" w:cs="Arial"/>
          <w:color w:val="000000" w:themeColor="text1"/>
          <w:szCs w:val="21"/>
        </w:rPr>
      </w:pPr>
      <w:r>
        <w:rPr>
          <w:rFonts w:ascii="Arial" w:hAnsi="Arial" w:eastAsia="宋体" w:cs="Arial"/>
          <w:b/>
          <w:bCs/>
          <w:color w:val="000000" w:themeColor="text1"/>
          <w:szCs w:val="21"/>
          <w:u w:val="single"/>
        </w:rPr>
        <w:t>放射免疫分析</w:t>
      </w:r>
    </w:p>
    <w:p w14:paraId="6465BF03">
      <w:pPr>
        <w:tabs>
          <w:tab w:val="left" w:pos="6957"/>
        </w:tabs>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Hybritech公司 （Eli Lilly and Cos.)</w:t>
      </w:r>
      <w:r>
        <w:rPr>
          <w:rFonts w:ascii="Arial" w:hAnsi="Arial" w:eastAsia="宋体" w:cs="Arial"/>
          <w:color w:val="000000" w:themeColor="text1"/>
          <w:szCs w:val="21"/>
        </w:rPr>
        <w:tab/>
      </w:r>
      <w:r>
        <w:rPr>
          <w:rFonts w:ascii="Arial" w:hAnsi="Arial" w:eastAsia="宋体" w:cs="Arial"/>
          <w:color w:val="000000" w:themeColor="text1"/>
          <w:szCs w:val="21"/>
        </w:rPr>
        <w:t>K802913</w:t>
      </w:r>
    </w:p>
    <w:p w14:paraId="771EE8AB">
      <w:pPr>
        <w:snapToGrid w:val="0"/>
        <w:spacing w:line="300" w:lineRule="auto"/>
        <w:rPr>
          <w:rFonts w:ascii="Arial" w:hAnsi="Arial" w:eastAsia="宋体" w:cs="Arial"/>
          <w:b/>
          <w:bCs/>
          <w:color w:val="000000" w:themeColor="text1"/>
          <w:szCs w:val="21"/>
          <w:u w:val="single"/>
        </w:rPr>
      </w:pPr>
      <w:r>
        <w:rPr>
          <w:rFonts w:ascii="Arial" w:hAnsi="Arial" w:eastAsia="宋体" w:cs="Arial"/>
          <w:b/>
          <w:bCs/>
          <w:color w:val="000000" w:themeColor="text1"/>
          <w:szCs w:val="21"/>
          <w:u w:val="single"/>
        </w:rPr>
        <w:t>化学发光法</w:t>
      </w:r>
    </w:p>
    <w:p w14:paraId="28CA7609">
      <w:pPr>
        <w:tabs>
          <w:tab w:val="left" w:pos="6957"/>
        </w:tabs>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Gen探针</w:t>
      </w:r>
      <w:r>
        <w:rPr>
          <w:rFonts w:ascii="Arial" w:hAnsi="Arial" w:eastAsia="宋体" w:cs="Arial"/>
          <w:color w:val="000000" w:themeColor="text1"/>
          <w:szCs w:val="21"/>
        </w:rPr>
        <w:tab/>
      </w:r>
      <w:r>
        <w:rPr>
          <w:rFonts w:ascii="Arial" w:hAnsi="Arial" w:eastAsia="宋体" w:cs="Arial"/>
          <w:color w:val="000000" w:themeColor="text1"/>
          <w:szCs w:val="21"/>
        </w:rPr>
        <w:t>K892216</w:t>
      </w:r>
    </w:p>
    <w:p w14:paraId="7ACEB8AE">
      <w:pPr>
        <w:tabs>
          <w:tab w:val="left" w:pos="6957"/>
        </w:tabs>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伦敦诊断-Lumtag</w:t>
      </w:r>
      <w:r>
        <w:rPr>
          <w:rFonts w:ascii="Arial" w:hAnsi="Arial" w:eastAsia="宋体" w:cs="Arial"/>
          <w:color w:val="000000" w:themeColor="text1"/>
          <w:szCs w:val="21"/>
        </w:rPr>
        <w:tab/>
      </w:r>
      <w:r>
        <w:rPr>
          <w:rFonts w:ascii="Arial" w:hAnsi="Arial" w:eastAsia="宋体" w:cs="Arial"/>
          <w:color w:val="000000" w:themeColor="text1"/>
          <w:szCs w:val="21"/>
        </w:rPr>
        <w:t>K901075</w:t>
      </w:r>
    </w:p>
    <w:p w14:paraId="2700F208">
      <w:pPr>
        <w:snapToGrid w:val="0"/>
        <w:spacing w:line="300" w:lineRule="auto"/>
        <w:rPr>
          <w:rFonts w:ascii="Arial" w:hAnsi="Arial" w:eastAsia="宋体" w:cs="Arial"/>
          <w:color w:val="000000" w:themeColor="text1"/>
          <w:szCs w:val="21"/>
        </w:rPr>
      </w:pPr>
      <w:r>
        <w:rPr>
          <w:rFonts w:ascii="Arial" w:hAnsi="Arial" w:eastAsia="宋体" w:cs="Arial"/>
          <w:b/>
          <w:bCs/>
          <w:color w:val="000000" w:themeColor="text1"/>
          <w:szCs w:val="21"/>
          <w:u w:val="single"/>
        </w:rPr>
        <w:t>生物发光</w:t>
      </w:r>
    </w:p>
    <w:p w14:paraId="5480B6A6">
      <w:pPr>
        <w:tabs>
          <w:tab w:val="left" w:pos="6957"/>
        </w:tabs>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Vitek 系统</w:t>
      </w:r>
      <w:r>
        <w:rPr>
          <w:rFonts w:ascii="Arial" w:hAnsi="Arial" w:eastAsia="宋体" w:cs="Arial"/>
          <w:color w:val="000000" w:themeColor="text1"/>
          <w:szCs w:val="21"/>
        </w:rPr>
        <w:tab/>
      </w:r>
      <w:r>
        <w:rPr>
          <w:rFonts w:ascii="Arial" w:hAnsi="Arial" w:eastAsia="宋体" w:cs="Arial"/>
          <w:color w:val="000000" w:themeColor="text1"/>
          <w:szCs w:val="21"/>
        </w:rPr>
        <w:t>K881925</w:t>
      </w:r>
    </w:p>
    <w:p w14:paraId="426DAC0A">
      <w:pPr>
        <w:snapToGrid w:val="0"/>
        <w:spacing w:line="300" w:lineRule="auto"/>
        <w:rPr>
          <w:rFonts w:ascii="Arial" w:hAnsi="Arial" w:eastAsia="宋体" w:cs="Arial"/>
          <w:b/>
          <w:bCs/>
          <w:color w:val="000000" w:themeColor="text1"/>
          <w:szCs w:val="21"/>
          <w:u w:val="single"/>
        </w:rPr>
      </w:pPr>
      <w:r>
        <w:rPr>
          <w:rFonts w:ascii="Arial" w:hAnsi="Arial" w:eastAsia="宋体" w:cs="Arial"/>
          <w:b/>
          <w:bCs/>
          <w:color w:val="000000" w:themeColor="text1"/>
          <w:szCs w:val="21"/>
          <w:u w:val="single"/>
        </w:rPr>
        <w:t>琼脂凝胶扩散</w:t>
      </w:r>
    </w:p>
    <w:p w14:paraId="13CB9DBC">
      <w:pPr>
        <w:tabs>
          <w:tab w:val="left" w:pos="6957"/>
        </w:tabs>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强生生化</w:t>
      </w:r>
      <w:r>
        <w:rPr>
          <w:rFonts w:ascii="Arial" w:hAnsi="Arial" w:eastAsia="宋体" w:cs="Arial"/>
          <w:color w:val="000000" w:themeColor="text1"/>
          <w:szCs w:val="21"/>
        </w:rPr>
        <w:tab/>
      </w:r>
      <w:r>
        <w:rPr>
          <w:rFonts w:ascii="Arial" w:hAnsi="Arial" w:eastAsia="宋体" w:cs="Arial"/>
          <w:color w:val="000000" w:themeColor="text1"/>
          <w:szCs w:val="21"/>
        </w:rPr>
        <w:t>K915650</w:t>
      </w:r>
    </w:p>
    <w:p w14:paraId="665A874C">
      <w:pPr>
        <w:widowControl/>
        <w:jc w:val="left"/>
        <w:rPr>
          <w:rFonts w:ascii="宋体" w:hAnsi="宋体" w:eastAsia="宋体" w:cs="宋体"/>
          <w:b/>
          <w:bCs/>
          <w:color w:val="000000" w:themeColor="text1"/>
          <w:szCs w:val="21"/>
        </w:rPr>
      </w:pPr>
      <w:r>
        <w:rPr>
          <w:rFonts w:ascii="宋体" w:hAnsi="宋体" w:eastAsia="宋体" w:cs="宋体"/>
          <w:b/>
          <w:bCs/>
          <w:color w:val="000000" w:themeColor="text1"/>
          <w:szCs w:val="21"/>
        </w:rPr>
        <w:br w:type="page"/>
      </w:r>
    </w:p>
    <w:p w14:paraId="323F9AC2">
      <w:pPr>
        <w:snapToGrid w:val="0"/>
        <w:spacing w:line="300" w:lineRule="auto"/>
        <w:rPr>
          <w:rFonts w:ascii="Arial" w:hAnsi="Arial" w:eastAsia="宋体" w:cs="Arial"/>
          <w:b/>
          <w:bCs/>
          <w:color w:val="000000" w:themeColor="text1"/>
          <w:szCs w:val="21"/>
          <w:u w:val="single"/>
        </w:rPr>
      </w:pPr>
      <w:r>
        <w:rPr>
          <w:rFonts w:hint="eastAsia" w:ascii="宋体" w:hAnsi="宋体" w:eastAsia="宋体" w:cs="宋体"/>
          <w:b/>
          <w:bCs/>
          <w:color w:val="000000" w:themeColor="text1"/>
          <w:szCs w:val="21"/>
        </w:rPr>
        <w:t>Ⅲ</w:t>
      </w:r>
      <w:r>
        <w:rPr>
          <w:rFonts w:ascii="Arial" w:hAnsi="Arial" w:eastAsia="宋体" w:cs="Arial"/>
          <w:b/>
          <w:bCs/>
          <w:color w:val="000000" w:themeColor="text1"/>
          <w:szCs w:val="21"/>
        </w:rPr>
        <w:t>、</w:t>
      </w:r>
      <w:r>
        <w:rPr>
          <w:rFonts w:ascii="Arial" w:hAnsi="Arial" w:eastAsia="宋体" w:cs="Arial"/>
          <w:b/>
          <w:bCs/>
          <w:color w:val="000000" w:themeColor="text1"/>
          <w:szCs w:val="21"/>
          <w:u w:val="single"/>
        </w:rPr>
        <w:t>特定的性能特点</w:t>
      </w:r>
    </w:p>
    <w:p w14:paraId="302A6ABE">
      <w:pPr>
        <w:snapToGrid w:val="0"/>
        <w:spacing w:line="300" w:lineRule="auto"/>
        <w:rPr>
          <w:rFonts w:ascii="Arial" w:hAnsi="Arial" w:eastAsia="宋体" w:cs="Arial"/>
          <w:b/>
          <w:bCs/>
          <w:color w:val="000000" w:themeColor="text1"/>
          <w:szCs w:val="21"/>
          <w:u w:val="single"/>
        </w:rPr>
      </w:pPr>
    </w:p>
    <w:p w14:paraId="7588F5A8">
      <w:pPr>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FDA要求提供不同类型和数量的数据和统计分析来支持体外诊断器械上市。</w:t>
      </w:r>
      <w:bookmarkStart w:id="12" w:name="OLE_LINK14"/>
      <w:r>
        <w:rPr>
          <w:rFonts w:ascii="Arial" w:hAnsi="Arial" w:eastAsia="宋体" w:cs="Arial"/>
          <w:color w:val="000000" w:themeColor="text1"/>
          <w:szCs w:val="21"/>
        </w:rPr>
        <w:t>要求数据的数量和类型取决于新器械的预期用途和技术特性</w:t>
      </w:r>
      <w:bookmarkEnd w:id="12"/>
      <w:r>
        <w:rPr>
          <w:rFonts w:ascii="Arial" w:hAnsi="Arial" w:eastAsia="宋体" w:cs="Arial"/>
          <w:color w:val="000000" w:themeColor="text1"/>
          <w:szCs w:val="21"/>
        </w:rPr>
        <w:t>。数据和统计评估应足以确定器械符合上市销售条件，对所有声称的样本类型具有安全性和有效性。额外的数据可能是必要的以证实与患者临床状况相关的分析物水平和器械预期用途之间的关系。对于所有测量免疫球蛋白的免疫测试系统，每个制造商必须对新技术的使用进行验证。</w:t>
      </w:r>
    </w:p>
    <w:p w14:paraId="2B6197C2">
      <w:pPr>
        <w:snapToGrid w:val="0"/>
        <w:spacing w:line="300" w:lineRule="auto"/>
        <w:rPr>
          <w:rFonts w:ascii="Arial" w:hAnsi="Arial" w:eastAsia="宋体" w:cs="Arial"/>
          <w:color w:val="000000" w:themeColor="text1"/>
          <w:szCs w:val="21"/>
        </w:rPr>
      </w:pPr>
    </w:p>
    <w:p w14:paraId="31CF1502">
      <w:pPr>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需要确定某些特性的体外免疫球蛋白试验系统的原因有两个方面；评价特定的免疫球蛋白（抗原特异性和总的血浆水平）浓度失衡的患病率的影响，该评估应根据患病患者临床实验室器械的风险和临床检验的程序可能出现的低患病率条件下的体外检测器械的低检测能力。这些评估包括临床灵敏度（CSE）和临床特异性（CSP）。所有的体外检测器械的测试方案和临床患者接受标准应在医生的办公室确定，在研究人群纳入临床患者选择的验收标准；受试者应有兴趣参与研究并签订知情同意书。临床研究的持续时间应该被告知。要求数据的数量和类型取决于新器械的预期用途和技术特性。临床研究的结果应进行总结，包括提供意想外结果的解释、额外测试以及任何其他实验室数据或信息，该信息关系到最终报告的形成。适当时，实验室和临床数据的图形应该以“ROC曲线”形式提供，提供散点图、直方图、频数分布表便于直观判断。提供的数据（临床数据和实验数据）应该是真实的。</w:t>
      </w:r>
    </w:p>
    <w:p w14:paraId="755996AB">
      <w:pPr>
        <w:snapToGrid w:val="0"/>
        <w:spacing w:line="300" w:lineRule="auto"/>
        <w:rPr>
          <w:rFonts w:ascii="Arial" w:hAnsi="Arial" w:eastAsia="宋体" w:cs="Arial"/>
          <w:color w:val="000000" w:themeColor="text1"/>
          <w:szCs w:val="21"/>
        </w:rPr>
      </w:pPr>
    </w:p>
    <w:p w14:paraId="316238D2">
      <w:pPr>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提供下列数据以便FDA确定实质等同</w:t>
      </w:r>
      <w:r>
        <w:rPr>
          <w:rFonts w:hint="eastAsia" w:ascii="Arial" w:hAnsi="Arial" w:eastAsia="宋体" w:cs="Arial"/>
          <w:color w:val="000000" w:themeColor="text1"/>
          <w:szCs w:val="21"/>
        </w:rPr>
        <w:t>性</w:t>
      </w:r>
      <w:r>
        <w:rPr>
          <w:rFonts w:ascii="Arial" w:hAnsi="Arial" w:eastAsia="宋体" w:cs="Arial"/>
          <w:color w:val="000000" w:themeColor="text1"/>
          <w:szCs w:val="21"/>
        </w:rPr>
        <w:t>。</w:t>
      </w:r>
    </w:p>
    <w:p w14:paraId="18774FCB">
      <w:pPr>
        <w:snapToGrid w:val="0"/>
        <w:spacing w:line="300" w:lineRule="auto"/>
        <w:rPr>
          <w:rFonts w:ascii="Arial" w:hAnsi="Arial" w:eastAsia="宋体" w:cs="Arial"/>
          <w:color w:val="000000" w:themeColor="text1"/>
          <w:szCs w:val="21"/>
        </w:rPr>
      </w:pPr>
    </w:p>
    <w:p w14:paraId="1EE461D3">
      <w:pPr>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简要的讨论可能会影响审查程序或公共政策可能发展的医学界突出关注，包括相关的医疗/社会问题。讨论测试方法的原理。包括对空白试剂测试系统测量误差的总和。与采用微处理器控制方案的新器械测试时可能存在的影响。软件元件和微处理器控制的器械往往是集成系统处理样品，计算检测结果并对患者类型进行解释。适当关注“</w:t>
      </w:r>
      <w:r>
        <w:rPr>
          <w:rFonts w:ascii="Arial" w:hAnsi="Arial" w:eastAsia="宋体" w:cs="Arial"/>
          <w:b/>
          <w:color w:val="000000" w:themeColor="text1"/>
          <w:szCs w:val="21"/>
          <w:u w:val="single"/>
        </w:rPr>
        <w:t>计算机控制医疗器械审查指南510（K）</w:t>
      </w:r>
      <w:r>
        <w:rPr>
          <w:rFonts w:ascii="Arial" w:hAnsi="Arial" w:eastAsia="宋体" w:cs="Arial"/>
          <w:color w:val="000000" w:themeColor="text1"/>
          <w:szCs w:val="21"/>
        </w:rPr>
        <w:t>”的要求（来源于小型企业协会，电话1-800-638-2041）。方法方差分析可分为两类。为了更加明确，本指导文件将一类命名为“分析性能特性”，后者将被称为“临床性能特征”。对于新技术，免疫球蛋白的检测的申请必须有支持文献参考和其他有效的科学调查报告。</w:t>
      </w:r>
    </w:p>
    <w:p w14:paraId="4132279A">
      <w:pPr>
        <w:widowControl/>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6698D724">
      <w:pPr>
        <w:numPr>
          <w:ilvl w:val="0"/>
          <w:numId w:val="2"/>
        </w:numPr>
        <w:snapToGrid w:val="0"/>
        <w:spacing w:line="300" w:lineRule="auto"/>
        <w:rPr>
          <w:rFonts w:ascii="Arial" w:hAnsi="Arial" w:eastAsia="宋体" w:cs="Arial"/>
          <w:b/>
          <w:color w:val="000000" w:themeColor="text1"/>
          <w:szCs w:val="21"/>
          <w:u w:val="single"/>
        </w:rPr>
      </w:pPr>
      <w:r>
        <w:rPr>
          <w:rFonts w:ascii="Arial" w:hAnsi="Arial" w:eastAsia="宋体" w:cs="Arial"/>
          <w:b/>
          <w:color w:val="000000" w:themeColor="text1"/>
          <w:szCs w:val="21"/>
          <w:u w:val="single"/>
        </w:rPr>
        <w:t>分析实验室研究</w:t>
      </w:r>
    </w:p>
    <w:p w14:paraId="58E23C4B">
      <w:pPr>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t>对于新技术，应提供用于检测分析物的先验方法的简短总结，直接中应提供性器械使用的重要参数及测试前在外部实验室采用新器械测试得数据。评价测试应在制造商企业或在指定的测试开发阶段的实验室进行。</w:t>
      </w:r>
    </w:p>
    <w:p w14:paraId="31D75BD6">
      <w:pPr>
        <w:pStyle w:val="16"/>
        <w:numPr>
          <w:ilvl w:val="0"/>
          <w:numId w:val="3"/>
        </w:numPr>
        <w:snapToGrid w:val="0"/>
        <w:spacing w:line="300" w:lineRule="auto"/>
        <w:ind w:firstLineChars="0"/>
        <w:rPr>
          <w:rFonts w:ascii="Arial" w:hAnsi="Arial" w:eastAsia="宋体" w:cs="Arial"/>
          <w:color w:val="000000" w:themeColor="text1"/>
          <w:szCs w:val="21"/>
        </w:rPr>
      </w:pPr>
      <w:r>
        <w:rPr>
          <w:rFonts w:ascii="Arial" w:hAnsi="Arial" w:eastAsia="宋体" w:cs="Arial"/>
          <w:color w:val="000000" w:themeColor="text1"/>
          <w:szCs w:val="21"/>
        </w:rPr>
        <w:t>“临界点”的</w:t>
      </w:r>
      <w:r>
        <w:rPr>
          <w:rFonts w:hint="eastAsia" w:ascii="Arial" w:hAnsi="Arial" w:eastAsia="宋体" w:cs="Arial"/>
          <w:color w:val="000000" w:themeColor="text1"/>
          <w:szCs w:val="21"/>
        </w:rPr>
        <w:t>确认</w:t>
      </w:r>
    </w:p>
    <w:p w14:paraId="3E7C3624">
      <w:pPr>
        <w:snapToGrid w:val="0"/>
        <w:spacing w:line="300" w:lineRule="auto"/>
        <w:ind w:left="433" w:leftChars="206" w:firstLine="10" w:firstLineChars="5"/>
        <w:rPr>
          <w:rFonts w:ascii="Arial" w:hAnsi="Arial" w:eastAsia="宋体" w:cs="Arial"/>
          <w:color w:val="000000" w:themeColor="text1"/>
          <w:szCs w:val="21"/>
        </w:rPr>
      </w:pPr>
      <w:r>
        <w:rPr>
          <w:rFonts w:ascii="Arial" w:hAnsi="Arial" w:eastAsia="宋体" w:cs="Arial"/>
          <w:color w:val="000000" w:themeColor="text1"/>
          <w:szCs w:val="21"/>
        </w:rPr>
        <w:t>该器械的预期值来自从使用该器械的临床研究中积累的规范性数据。对于新技术，数据应该表明通过以下测试选择的临界点或操作阈值：</w:t>
      </w:r>
    </w:p>
    <w:p w14:paraId="475B1B1F">
      <w:pPr>
        <w:numPr>
          <w:ilvl w:val="0"/>
          <w:numId w:val="4"/>
        </w:numPr>
        <w:snapToGrid w:val="0"/>
        <w:spacing w:line="300" w:lineRule="auto"/>
        <w:ind w:left="601" w:leftChars="206" w:right="210" w:rightChars="100" w:hanging="168" w:hangingChars="80"/>
        <w:rPr>
          <w:rFonts w:ascii="Arial" w:hAnsi="Arial" w:eastAsia="宋体" w:cs="Arial"/>
          <w:color w:val="000000" w:themeColor="text1"/>
          <w:szCs w:val="21"/>
        </w:rPr>
      </w:pPr>
      <w:r>
        <w:rPr>
          <w:rFonts w:ascii="Arial" w:hAnsi="Arial" w:eastAsia="宋体" w:cs="Arial"/>
          <w:color w:val="000000" w:themeColor="text1"/>
          <w:szCs w:val="21"/>
        </w:rPr>
        <w:t>如果该器械用于筛选目的，应采用最低100正常健康的人（制造商必须提供对此类人群的说明）。</w:t>
      </w:r>
    </w:p>
    <w:p w14:paraId="479D87D2">
      <w:pPr>
        <w:numPr>
          <w:ilvl w:val="0"/>
          <w:numId w:val="4"/>
        </w:numPr>
        <w:snapToGrid w:val="0"/>
        <w:spacing w:line="300" w:lineRule="auto"/>
        <w:ind w:left="601" w:leftChars="206" w:right="210" w:rightChars="100" w:hanging="168" w:hangingChars="80"/>
        <w:rPr>
          <w:rFonts w:ascii="Arial" w:hAnsi="Arial" w:eastAsia="宋体" w:cs="Arial"/>
          <w:color w:val="000000" w:themeColor="text1"/>
          <w:szCs w:val="21"/>
        </w:rPr>
      </w:pPr>
      <w:r>
        <w:rPr>
          <w:rFonts w:ascii="Arial" w:hAnsi="Arial" w:eastAsia="宋体" w:cs="Arial"/>
          <w:color w:val="000000" w:themeColor="text1"/>
          <w:szCs w:val="21"/>
        </w:rPr>
        <w:t>对至少100个患者样本进行适当说明，其中必须有免疫球蛋白水平高于或低于预期正常范围的患者，应以类似的方式。该100个患者样本允许假定测试：某个体特定水平的免疫球蛋与疾病或临床条件的关系应确定并对比分析；根据个体患者的年龄、性别和种族背景，对分析物水平的其他因素或临床条件进行评估。</w:t>
      </w:r>
    </w:p>
    <w:p w14:paraId="6A9EB20C">
      <w:pPr>
        <w:widowControl/>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4157095C">
      <w:pPr>
        <w:pStyle w:val="16"/>
        <w:numPr>
          <w:ilvl w:val="0"/>
          <w:numId w:val="3"/>
        </w:numPr>
        <w:snapToGrid w:val="0"/>
        <w:spacing w:line="300" w:lineRule="auto"/>
        <w:ind w:firstLineChars="0"/>
        <w:rPr>
          <w:rFonts w:ascii="Arial" w:hAnsi="Arial" w:eastAsia="宋体" w:cs="Arial"/>
          <w:b/>
          <w:color w:val="000000" w:themeColor="text1"/>
          <w:szCs w:val="21"/>
          <w:u w:val="single"/>
        </w:rPr>
      </w:pPr>
      <w:r>
        <w:rPr>
          <w:rFonts w:ascii="Arial" w:hAnsi="Arial" w:eastAsia="宋体" w:cs="Arial"/>
          <w:b/>
          <w:color w:val="000000" w:themeColor="text1"/>
          <w:szCs w:val="21"/>
          <w:u w:val="single"/>
        </w:rPr>
        <w:t>抗血清特性</w:t>
      </w:r>
    </w:p>
    <w:p w14:paraId="45B9B5A3">
      <w:pPr>
        <w:snapToGrid w:val="0"/>
        <w:spacing w:line="300" w:lineRule="auto"/>
        <w:ind w:left="739" w:leftChars="352" w:firstLine="2" w:firstLineChars="1"/>
        <w:rPr>
          <w:rFonts w:ascii="Arial" w:hAnsi="Arial" w:eastAsia="宋体" w:cs="Arial"/>
          <w:color w:val="000000" w:themeColor="text1"/>
          <w:szCs w:val="21"/>
        </w:rPr>
      </w:pPr>
      <w:r>
        <w:rPr>
          <w:rFonts w:ascii="Arial" w:hAnsi="Arial" w:eastAsia="宋体" w:cs="Arial"/>
          <w:color w:val="000000" w:themeColor="text1"/>
          <w:szCs w:val="21"/>
        </w:rPr>
        <w:t>抗血清的特异性、来源（多克隆或杂交瘤衍生）、充分的抗血清稀释、过滤和每个免疫球蛋白血清测定的标准曲线，经需向FDA提供进行审查。对可能会造成交叉反应的血浆成分，应使用检测系统进行研究。测试方案应该描述用于测定其他血浆蛋白、抗凝剂，其他药物或化学品或差异测定干扰的量，包括检测温度，测定潜伏时间，反应物清洗，分析物测定运行时间、停止分析程序时添加溶剂时间。器械准备标准曲线的推荐数量应说明。应讨论的参数包括整个试剂设置，稀释液的使用，以及最后用于检测的免疫球蛋白浓度的血清稀释样本。对有活性和非反应性成分（载体）应进行说明。此外，应确定每个免疫球蛋白的参考制剂（校准器）。</w:t>
      </w:r>
    </w:p>
    <w:p w14:paraId="17FEB463">
      <w:pPr>
        <w:snapToGrid w:val="0"/>
        <w:spacing w:line="300" w:lineRule="auto"/>
        <w:ind w:left="739" w:leftChars="352" w:firstLine="2" w:firstLineChars="1"/>
        <w:rPr>
          <w:rFonts w:ascii="Arial" w:hAnsi="Arial" w:eastAsia="宋体" w:cs="Arial"/>
          <w:color w:val="000000" w:themeColor="text1"/>
          <w:szCs w:val="21"/>
        </w:rPr>
      </w:pPr>
    </w:p>
    <w:p w14:paraId="46113290">
      <w:pPr>
        <w:pStyle w:val="16"/>
        <w:numPr>
          <w:ilvl w:val="0"/>
          <w:numId w:val="3"/>
        </w:numPr>
        <w:snapToGrid w:val="0"/>
        <w:spacing w:line="300" w:lineRule="auto"/>
        <w:ind w:firstLineChars="0"/>
        <w:rPr>
          <w:rFonts w:ascii="Arial" w:hAnsi="Arial" w:eastAsia="宋体" w:cs="Arial"/>
          <w:b/>
          <w:color w:val="000000" w:themeColor="text1"/>
          <w:szCs w:val="21"/>
          <w:u w:val="single"/>
        </w:rPr>
      </w:pPr>
      <w:r>
        <w:rPr>
          <w:rFonts w:ascii="Arial" w:hAnsi="Arial" w:eastAsia="宋体" w:cs="Arial"/>
          <w:b/>
          <w:color w:val="000000" w:themeColor="text1"/>
          <w:szCs w:val="21"/>
          <w:u w:val="single"/>
        </w:rPr>
        <w:t>检测限</w:t>
      </w:r>
    </w:p>
    <w:p w14:paraId="6D895615">
      <w:pPr>
        <w:snapToGrid w:val="0"/>
        <w:spacing w:line="300" w:lineRule="auto"/>
        <w:ind w:left="739" w:leftChars="352" w:firstLine="2" w:firstLineChars="1"/>
        <w:rPr>
          <w:rFonts w:ascii="Arial" w:hAnsi="Arial" w:eastAsia="宋体" w:cs="Arial"/>
          <w:color w:val="000000" w:themeColor="text1"/>
          <w:szCs w:val="21"/>
        </w:rPr>
      </w:pPr>
      <w:r>
        <w:rPr>
          <w:rFonts w:ascii="Arial" w:hAnsi="Arial" w:eastAsia="宋体" w:cs="Arial"/>
          <w:color w:val="000000" w:themeColor="text1"/>
          <w:szCs w:val="21"/>
        </w:rPr>
        <w:t>分析灵敏度（检测限）的检测表明大于分析物检测量时测试系统的背景和“空白”/阈值测量的两个标准偏差。应提供曲线拟合的结果和方法。</w:t>
      </w:r>
    </w:p>
    <w:p w14:paraId="2422E0E6">
      <w:pPr>
        <w:snapToGrid w:val="0"/>
        <w:spacing w:line="300" w:lineRule="auto"/>
        <w:ind w:left="739" w:leftChars="352" w:firstLine="2" w:firstLineChars="1"/>
        <w:rPr>
          <w:rFonts w:ascii="Arial" w:hAnsi="Arial" w:eastAsia="宋体" w:cs="Arial"/>
          <w:color w:val="000000" w:themeColor="text1"/>
          <w:szCs w:val="21"/>
        </w:rPr>
      </w:pPr>
    </w:p>
    <w:p w14:paraId="6705DC20">
      <w:pPr>
        <w:pStyle w:val="16"/>
        <w:numPr>
          <w:ilvl w:val="0"/>
          <w:numId w:val="3"/>
        </w:numPr>
        <w:snapToGrid w:val="0"/>
        <w:spacing w:line="300" w:lineRule="auto"/>
        <w:ind w:firstLineChars="0"/>
        <w:rPr>
          <w:rFonts w:ascii="Arial" w:hAnsi="Arial" w:eastAsia="宋体" w:cs="Arial"/>
          <w:b/>
          <w:color w:val="000000" w:themeColor="text1"/>
          <w:szCs w:val="21"/>
          <w:u w:val="single"/>
        </w:rPr>
      </w:pPr>
      <w:r>
        <w:rPr>
          <w:rFonts w:ascii="Arial" w:hAnsi="Arial" w:eastAsia="宋体" w:cs="Arial"/>
          <w:b/>
          <w:color w:val="000000" w:themeColor="text1"/>
          <w:szCs w:val="21"/>
          <w:u w:val="single"/>
        </w:rPr>
        <w:t>干扰研究</w:t>
      </w:r>
    </w:p>
    <w:p w14:paraId="7312E96C">
      <w:pPr>
        <w:snapToGrid w:val="0"/>
        <w:spacing w:line="300" w:lineRule="auto"/>
        <w:ind w:left="739" w:leftChars="352" w:firstLine="2" w:firstLineChars="1"/>
        <w:rPr>
          <w:rFonts w:ascii="Arial" w:hAnsi="Arial" w:eastAsia="宋体" w:cs="Arial"/>
          <w:color w:val="000000" w:themeColor="text1"/>
          <w:szCs w:val="21"/>
        </w:rPr>
      </w:pPr>
      <w:r>
        <w:rPr>
          <w:rFonts w:ascii="Arial" w:hAnsi="Arial" w:eastAsia="宋体" w:cs="Arial"/>
          <w:color w:val="000000" w:themeColor="text1"/>
          <w:szCs w:val="21"/>
        </w:rPr>
        <w:t>可能遇到的特定疾病患者任何潜在的交叉反应或干扰物质应使用检测系统进行测试，例如药物和/或它们的代谢产物，口服避孕药及通常被患者用于测试特定的免疫球蛋白类型的物质。或者，说明书中的局限性部分应加入说明，表明该测试还没有进行交叉反应或干扰研究。</w:t>
      </w:r>
    </w:p>
    <w:p w14:paraId="747662E3">
      <w:pPr>
        <w:snapToGrid w:val="0"/>
        <w:spacing w:line="300" w:lineRule="auto"/>
        <w:ind w:left="739" w:leftChars="352" w:firstLine="2" w:firstLineChars="1"/>
        <w:rPr>
          <w:rFonts w:ascii="Arial" w:hAnsi="Arial" w:eastAsia="宋体" w:cs="Arial"/>
          <w:color w:val="000000" w:themeColor="text1"/>
          <w:szCs w:val="21"/>
        </w:rPr>
      </w:pPr>
      <w:r>
        <w:rPr>
          <w:rFonts w:ascii="Arial" w:hAnsi="Arial" w:eastAsia="宋体" w:cs="Arial"/>
          <w:color w:val="000000" w:themeColor="text1"/>
          <w:szCs w:val="21"/>
        </w:rPr>
        <w:t>验证推荐的存储条件是否与分析相适应。表明试样优化的贮存条件是来源于稳定性研究。</w:t>
      </w:r>
    </w:p>
    <w:p w14:paraId="6BA54368">
      <w:pPr>
        <w:widowControl/>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4BCFB56D">
      <w:pPr>
        <w:pStyle w:val="16"/>
        <w:numPr>
          <w:ilvl w:val="0"/>
          <w:numId w:val="3"/>
        </w:numPr>
        <w:snapToGrid w:val="0"/>
        <w:spacing w:line="300" w:lineRule="auto"/>
        <w:ind w:firstLineChars="0"/>
        <w:rPr>
          <w:rFonts w:ascii="Arial" w:hAnsi="Arial" w:eastAsia="宋体" w:cs="Arial"/>
          <w:b/>
          <w:color w:val="000000" w:themeColor="text1"/>
          <w:szCs w:val="21"/>
          <w:u w:val="single"/>
        </w:rPr>
      </w:pPr>
      <w:r>
        <w:rPr>
          <w:rFonts w:ascii="Arial" w:hAnsi="Arial" w:eastAsia="宋体" w:cs="Arial"/>
          <w:b/>
          <w:color w:val="000000" w:themeColor="text1"/>
          <w:szCs w:val="21"/>
          <w:u w:val="single"/>
        </w:rPr>
        <w:t>复现性和重复性研究</w:t>
      </w:r>
    </w:p>
    <w:p w14:paraId="4B3B3488">
      <w:pPr>
        <w:pStyle w:val="16"/>
        <w:snapToGrid w:val="0"/>
        <w:spacing w:line="300" w:lineRule="auto"/>
        <w:ind w:left="420" w:firstLine="0" w:firstLineChars="0"/>
        <w:rPr>
          <w:rFonts w:ascii="Arial" w:hAnsi="Arial" w:eastAsia="宋体" w:cs="Arial"/>
          <w:b/>
          <w:color w:val="000000" w:themeColor="text1"/>
          <w:szCs w:val="21"/>
          <w:u w:val="single"/>
        </w:rPr>
      </w:pPr>
    </w:p>
    <w:p w14:paraId="4A25B532">
      <w:pPr>
        <w:snapToGrid w:val="0"/>
        <w:spacing w:line="300" w:lineRule="auto"/>
        <w:ind w:left="739" w:leftChars="352" w:firstLine="2" w:firstLineChars="1"/>
        <w:rPr>
          <w:rFonts w:ascii="Arial" w:hAnsi="Arial" w:eastAsia="宋体" w:cs="Arial"/>
          <w:color w:val="000000" w:themeColor="text1"/>
          <w:szCs w:val="21"/>
        </w:rPr>
      </w:pPr>
      <w:r>
        <w:rPr>
          <w:rFonts w:ascii="Arial" w:hAnsi="Arial" w:eastAsia="宋体" w:cs="Arial"/>
          <w:color w:val="000000" w:themeColor="text1"/>
          <w:szCs w:val="21"/>
        </w:rPr>
        <w:t>美国国家临床实验室标准</w:t>
      </w:r>
      <w:bookmarkStart w:id="13" w:name="OLE_LINK15"/>
      <w:r>
        <w:rPr>
          <w:rFonts w:ascii="Arial" w:hAnsi="Arial" w:eastAsia="宋体" w:cs="Arial"/>
          <w:color w:val="000000" w:themeColor="text1"/>
          <w:szCs w:val="21"/>
        </w:rPr>
        <w:t>委员会</w:t>
      </w:r>
      <w:bookmarkEnd w:id="13"/>
      <w:r>
        <w:rPr>
          <w:rFonts w:ascii="Arial" w:hAnsi="Arial" w:eastAsia="宋体" w:cs="Arial"/>
          <w:color w:val="000000" w:themeColor="text1"/>
          <w:szCs w:val="21"/>
        </w:rPr>
        <w:t>（NCCLS）推荐的方差分析统计，允许估计的范围内运行的总标准差（SD）（14、15、16、17）。参考EP-T2（NCCLS指南）推荐的数据采集格式和计算公式，对运行和总精度测试的每个测试样本分别计算。</w:t>
      </w:r>
    </w:p>
    <w:p w14:paraId="6B4578E7">
      <w:pPr>
        <w:snapToGrid w:val="0"/>
        <w:spacing w:line="300" w:lineRule="auto"/>
        <w:ind w:left="739" w:leftChars="352" w:firstLine="2" w:firstLineChars="1"/>
        <w:rPr>
          <w:rFonts w:ascii="Arial" w:hAnsi="Arial" w:eastAsia="宋体" w:cs="Arial"/>
          <w:color w:val="000000" w:themeColor="text1"/>
          <w:szCs w:val="21"/>
        </w:rPr>
      </w:pPr>
    </w:p>
    <w:p w14:paraId="6956FE29">
      <w:pPr>
        <w:snapToGrid w:val="0"/>
        <w:spacing w:line="300" w:lineRule="auto"/>
        <w:ind w:left="739" w:leftChars="352" w:firstLine="2" w:firstLineChars="1"/>
        <w:rPr>
          <w:rFonts w:ascii="Arial" w:hAnsi="Arial" w:eastAsia="宋体" w:cs="Arial"/>
          <w:color w:val="000000" w:themeColor="text1"/>
          <w:szCs w:val="21"/>
        </w:rPr>
      </w:pPr>
      <w:r>
        <w:rPr>
          <w:rFonts w:ascii="Arial" w:hAnsi="Arial" w:eastAsia="宋体" w:cs="Arial"/>
          <w:color w:val="000000" w:themeColor="text1"/>
          <w:szCs w:val="21"/>
        </w:rPr>
        <w:t>对于所有的测试格式，至少两阴性，两个低阳性（含有低于正常水平的免疫球蛋白物）和两个中等（免疫球蛋白水平升高）的血清标本，除了检测套件中对照品，每个样本应该在三个不同的日子里各运行两次并每次运行时测试3次。血清样本可加入含有纯的免疫球蛋白分析物的运输介质或样本稀释液。</w:t>
      </w:r>
    </w:p>
    <w:p w14:paraId="119FFA9A">
      <w:pPr>
        <w:snapToGrid w:val="0"/>
        <w:spacing w:line="300" w:lineRule="auto"/>
        <w:ind w:left="739" w:leftChars="352" w:firstLine="2" w:firstLineChars="1"/>
        <w:rPr>
          <w:rFonts w:ascii="Arial" w:hAnsi="Arial" w:eastAsia="宋体" w:cs="Arial"/>
          <w:color w:val="000000" w:themeColor="text1"/>
          <w:szCs w:val="21"/>
        </w:rPr>
      </w:pPr>
    </w:p>
    <w:p w14:paraId="4389BE1A">
      <w:pPr>
        <w:snapToGrid w:val="0"/>
        <w:spacing w:line="300" w:lineRule="auto"/>
        <w:ind w:left="739" w:leftChars="352" w:firstLine="2" w:firstLineChars="1"/>
        <w:rPr>
          <w:rFonts w:ascii="Arial" w:hAnsi="Arial" w:eastAsia="宋体" w:cs="Arial"/>
          <w:color w:val="000000" w:themeColor="text1"/>
          <w:szCs w:val="21"/>
        </w:rPr>
      </w:pPr>
      <w:r>
        <w:rPr>
          <w:rFonts w:ascii="Arial" w:hAnsi="Arial" w:eastAsia="宋体" w:cs="Arial"/>
          <w:color w:val="000000" w:themeColor="text1"/>
          <w:szCs w:val="21"/>
        </w:rPr>
        <w:t>重复性研究应</w:t>
      </w:r>
      <w:r>
        <w:rPr>
          <w:rFonts w:hint="eastAsia" w:ascii="Arial" w:hAnsi="Arial" w:eastAsia="宋体" w:cs="Arial"/>
          <w:color w:val="000000" w:themeColor="text1"/>
          <w:szCs w:val="21"/>
        </w:rPr>
        <w:t>在</w:t>
      </w:r>
      <w:r>
        <w:rPr>
          <w:rFonts w:ascii="Arial" w:hAnsi="Arial" w:eastAsia="宋体" w:cs="Arial"/>
          <w:color w:val="000000" w:themeColor="text1"/>
          <w:szCs w:val="21"/>
        </w:rPr>
        <w:t>相同的样本进行，并在除制造商的实验室外的两个外部实验室进行比较研究。测试套件中所提供的对照品也应包括在内。</w:t>
      </w:r>
    </w:p>
    <w:p w14:paraId="25FD7DE2">
      <w:pPr>
        <w:snapToGrid w:val="0"/>
        <w:spacing w:line="300" w:lineRule="auto"/>
        <w:ind w:left="739" w:leftChars="352" w:firstLine="2" w:firstLineChars="1"/>
        <w:rPr>
          <w:rFonts w:ascii="Arial" w:hAnsi="Arial" w:eastAsia="宋体" w:cs="Arial"/>
          <w:color w:val="000000" w:themeColor="text1"/>
          <w:szCs w:val="21"/>
        </w:rPr>
      </w:pPr>
    </w:p>
    <w:p w14:paraId="38CF6D26">
      <w:pPr>
        <w:snapToGrid w:val="0"/>
        <w:spacing w:line="300" w:lineRule="auto"/>
        <w:ind w:left="739" w:leftChars="352" w:firstLine="2" w:firstLineChars="1"/>
        <w:rPr>
          <w:rFonts w:ascii="Arial" w:hAnsi="Arial" w:eastAsia="宋体" w:cs="Arial"/>
          <w:color w:val="000000" w:themeColor="text1"/>
          <w:szCs w:val="21"/>
        </w:rPr>
      </w:pPr>
      <w:r>
        <w:rPr>
          <w:rFonts w:ascii="Arial" w:hAnsi="Arial" w:eastAsia="宋体" w:cs="Arial"/>
          <w:color w:val="000000" w:themeColor="text1"/>
          <w:szCs w:val="21"/>
        </w:rPr>
        <w:t>对于单终点分析，提供每个测试中心阴性、边界/可疑或阳性结果百分比。</w:t>
      </w:r>
    </w:p>
    <w:p w14:paraId="135461E5">
      <w:pPr>
        <w:snapToGrid w:val="0"/>
        <w:spacing w:line="300" w:lineRule="auto"/>
        <w:ind w:left="739" w:leftChars="352" w:firstLine="2" w:firstLineChars="1"/>
        <w:rPr>
          <w:rFonts w:ascii="Arial" w:hAnsi="Arial" w:eastAsia="宋体" w:cs="Arial"/>
          <w:color w:val="000000" w:themeColor="text1"/>
          <w:szCs w:val="21"/>
        </w:rPr>
      </w:pPr>
    </w:p>
    <w:p w14:paraId="3E633806">
      <w:pPr>
        <w:snapToGrid w:val="0"/>
        <w:spacing w:line="300" w:lineRule="auto"/>
        <w:ind w:left="739" w:leftChars="352" w:firstLine="2" w:firstLineChars="1"/>
        <w:rPr>
          <w:rFonts w:ascii="Arial" w:hAnsi="Arial" w:eastAsia="宋体" w:cs="Arial"/>
          <w:color w:val="000000" w:themeColor="text1"/>
          <w:szCs w:val="21"/>
        </w:rPr>
      </w:pPr>
      <w:r>
        <w:rPr>
          <w:rFonts w:ascii="Arial" w:hAnsi="Arial" w:eastAsia="宋体" w:cs="Arial"/>
          <w:color w:val="000000" w:themeColor="text1"/>
          <w:szCs w:val="21"/>
        </w:rPr>
        <w:t>用于上市的设计要在医生办公室实验室进行，至少有30个不同的样本代表阴性，弱阳性，高阳性标本应能被整除、编码、盲法控制，并在3个不同的医生办公室的位置进行测试。测试应由办公室人员执行，这些测试将在这些设置中进行，并与临床实验室设置的结果进行比较。可能需要额外的数据。</w:t>
      </w:r>
    </w:p>
    <w:p w14:paraId="156EFC54">
      <w:pPr>
        <w:tabs>
          <w:tab w:val="left" w:pos="5955"/>
        </w:tabs>
        <w:snapToGrid w:val="0"/>
        <w:spacing w:line="300" w:lineRule="auto"/>
        <w:ind w:left="739" w:leftChars="352" w:firstLine="2" w:firstLineChars="1"/>
        <w:rPr>
          <w:rFonts w:ascii="Arial" w:hAnsi="Arial" w:eastAsia="宋体" w:cs="Arial"/>
          <w:color w:val="000000" w:themeColor="text1"/>
          <w:szCs w:val="21"/>
        </w:rPr>
      </w:pPr>
      <w:r>
        <w:rPr>
          <w:rFonts w:ascii="Arial" w:hAnsi="Arial" w:eastAsia="宋体" w:cs="Arial"/>
          <w:color w:val="000000" w:themeColor="text1"/>
          <w:szCs w:val="21"/>
        </w:rPr>
        <w:tab/>
      </w:r>
    </w:p>
    <w:p w14:paraId="34959A11">
      <w:pPr>
        <w:widowControl/>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214BC507">
      <w:pPr>
        <w:snapToGrid w:val="0"/>
        <w:spacing w:line="300" w:lineRule="auto"/>
        <w:ind w:left="739" w:leftChars="352" w:firstLine="2" w:firstLineChars="1"/>
        <w:rPr>
          <w:rFonts w:ascii="Arial" w:hAnsi="Arial" w:eastAsia="宋体" w:cs="Arial"/>
          <w:color w:val="000000" w:themeColor="text1"/>
          <w:szCs w:val="21"/>
        </w:rPr>
      </w:pPr>
      <w:r>
        <w:rPr>
          <w:rFonts w:ascii="Arial" w:hAnsi="Arial" w:eastAsia="宋体" w:cs="Arial"/>
          <w:color w:val="000000" w:themeColor="text1"/>
          <w:szCs w:val="21"/>
        </w:rPr>
        <w:t>方差分析的方法，确定方差的测定过程中使用的工具；比较数据减少的结果算法和使用者选择的“曲线拟合”的程序应提交。</w:t>
      </w:r>
    </w:p>
    <w:p w14:paraId="246B3212">
      <w:pPr>
        <w:snapToGrid w:val="0"/>
        <w:spacing w:line="300" w:lineRule="auto"/>
        <w:ind w:left="739" w:leftChars="352" w:firstLine="2" w:firstLineChars="1"/>
        <w:rPr>
          <w:rFonts w:ascii="Arial" w:hAnsi="Arial" w:eastAsia="宋体" w:cs="Arial"/>
          <w:color w:val="000000" w:themeColor="text1"/>
          <w:szCs w:val="21"/>
        </w:rPr>
      </w:pPr>
    </w:p>
    <w:p w14:paraId="74C603AB">
      <w:pPr>
        <w:snapToGrid w:val="0"/>
        <w:spacing w:line="300" w:lineRule="auto"/>
        <w:ind w:left="739" w:leftChars="352" w:firstLine="2" w:firstLineChars="1"/>
        <w:rPr>
          <w:rFonts w:ascii="Arial" w:hAnsi="Arial" w:eastAsia="宋体" w:cs="Arial"/>
          <w:color w:val="000000" w:themeColor="text1"/>
          <w:szCs w:val="21"/>
        </w:rPr>
      </w:pPr>
      <w:r>
        <w:rPr>
          <w:rFonts w:ascii="Arial" w:hAnsi="Arial" w:eastAsia="宋体" w:cs="Arial"/>
          <w:color w:val="000000" w:themeColor="text1"/>
          <w:szCs w:val="21"/>
        </w:rPr>
        <w:t>如果有专用工具用于标本处理，或阅读和解释结果，应在在每个中心使用不同的工具。如果非专用（个别）工具使用，应提供在每个中心使用的工具的说明书。</w:t>
      </w:r>
    </w:p>
    <w:p w14:paraId="5FE9A0F8">
      <w:pPr>
        <w:snapToGrid w:val="0"/>
        <w:spacing w:line="300" w:lineRule="auto"/>
        <w:ind w:left="739" w:leftChars="352" w:firstLine="2" w:firstLineChars="1"/>
        <w:rPr>
          <w:rFonts w:ascii="Arial" w:hAnsi="Arial" w:eastAsia="宋体" w:cs="Arial"/>
          <w:color w:val="000000" w:themeColor="text1"/>
          <w:szCs w:val="21"/>
        </w:rPr>
      </w:pPr>
    </w:p>
    <w:p w14:paraId="2DDF374D">
      <w:pPr>
        <w:snapToGrid w:val="0"/>
        <w:spacing w:line="300" w:lineRule="auto"/>
        <w:rPr>
          <w:rFonts w:ascii="Arial" w:hAnsi="Arial" w:eastAsia="宋体" w:cs="Arial"/>
          <w:b/>
          <w:color w:val="000000" w:themeColor="text1"/>
          <w:szCs w:val="21"/>
          <w:u w:val="single"/>
        </w:rPr>
      </w:pPr>
      <w:r>
        <w:rPr>
          <w:rFonts w:ascii="Arial" w:hAnsi="Arial" w:eastAsia="宋体" w:cs="Arial"/>
          <w:b/>
          <w:color w:val="000000" w:themeColor="text1"/>
          <w:szCs w:val="21"/>
          <w:u w:val="single"/>
        </w:rPr>
        <w:t>B、临床对比研究</w:t>
      </w:r>
    </w:p>
    <w:p w14:paraId="25442DED">
      <w:pPr>
        <w:snapToGrid w:val="0"/>
        <w:spacing w:line="300" w:lineRule="auto"/>
        <w:rPr>
          <w:rFonts w:ascii="Arial" w:hAnsi="Arial" w:eastAsia="宋体" w:cs="Arial"/>
          <w:b/>
          <w:color w:val="000000" w:themeColor="text1"/>
          <w:szCs w:val="21"/>
          <w:u w:val="single"/>
        </w:rPr>
      </w:pPr>
    </w:p>
    <w:p w14:paraId="0EC3B033">
      <w:pPr>
        <w:snapToGrid w:val="0"/>
        <w:spacing w:line="300" w:lineRule="auto"/>
        <w:ind w:left="433" w:leftChars="206" w:firstLine="10" w:firstLineChars="5"/>
        <w:rPr>
          <w:rFonts w:ascii="Arial" w:hAnsi="Arial" w:eastAsia="宋体" w:cs="Arial"/>
          <w:color w:val="000000" w:themeColor="text1"/>
          <w:szCs w:val="21"/>
        </w:rPr>
      </w:pPr>
      <w:r>
        <w:rPr>
          <w:rFonts w:ascii="Arial" w:hAnsi="Arial" w:eastAsia="宋体" w:cs="Arial"/>
          <w:color w:val="000000" w:themeColor="text1"/>
          <w:szCs w:val="21"/>
        </w:rPr>
        <w:t>器械性能应与另一个已经合法上市的器械进行比较以证明实质等同。两个不同的人群（种族，性别，年龄的多样性）应在两个不同的和独立的临床中心进行测试。提交资料中应包括测试方法的描述、相关的参考资料和试验方案程序。使用的比较方法应清楚地描述，包括标本收集方法、抗凝血剂的类型、收集和检测之间的过境时间及存储条件。任何其他相关建议也应说明。对构成部件进行说明。试剂的描述应包括放射性材料的处理说明，销售形式（溶液中、冻干、吸收或浸渍于各种固体上）和功能（主要反应物，校准器，对照品，稀释剂，反应促进剂，增强剂和“信号”发生器）。</w:t>
      </w:r>
    </w:p>
    <w:p w14:paraId="613D8687">
      <w:pPr>
        <w:snapToGrid w:val="0"/>
        <w:spacing w:line="300" w:lineRule="auto"/>
        <w:ind w:left="433" w:leftChars="206" w:firstLine="10" w:firstLineChars="5"/>
        <w:rPr>
          <w:rFonts w:ascii="Arial" w:hAnsi="Arial" w:eastAsia="宋体" w:cs="Arial"/>
          <w:color w:val="000000" w:themeColor="text1"/>
          <w:szCs w:val="21"/>
        </w:rPr>
      </w:pPr>
    </w:p>
    <w:p w14:paraId="07B9D9E4">
      <w:pPr>
        <w:snapToGrid w:val="0"/>
        <w:spacing w:line="300" w:lineRule="auto"/>
        <w:ind w:left="433" w:leftChars="206" w:firstLine="10" w:firstLineChars="5"/>
        <w:rPr>
          <w:rFonts w:ascii="Arial" w:hAnsi="Arial" w:eastAsia="宋体" w:cs="Arial"/>
          <w:color w:val="000000" w:themeColor="text1"/>
          <w:szCs w:val="21"/>
        </w:rPr>
      </w:pPr>
      <w:r>
        <w:rPr>
          <w:rFonts w:ascii="Arial" w:hAnsi="Arial" w:eastAsia="宋体" w:cs="Arial"/>
          <w:color w:val="000000" w:themeColor="text1"/>
          <w:szCs w:val="21"/>
        </w:rPr>
        <w:t>新器械的评估应进行类似说明，并应该符合产品说明书中规定的程序和建议。</w:t>
      </w:r>
    </w:p>
    <w:p w14:paraId="04760EB1">
      <w:pPr>
        <w:snapToGrid w:val="0"/>
        <w:spacing w:line="300" w:lineRule="auto"/>
        <w:ind w:left="433" w:leftChars="206" w:firstLine="10" w:firstLineChars="5"/>
        <w:rPr>
          <w:rFonts w:ascii="Arial" w:hAnsi="Arial" w:eastAsia="宋体" w:cs="Arial"/>
          <w:color w:val="000000" w:themeColor="text1"/>
          <w:szCs w:val="21"/>
        </w:rPr>
      </w:pPr>
    </w:p>
    <w:p w14:paraId="5A88F112">
      <w:pPr>
        <w:snapToGrid w:val="0"/>
        <w:spacing w:line="300" w:lineRule="auto"/>
        <w:ind w:left="433" w:leftChars="206" w:firstLine="10" w:firstLineChars="5"/>
        <w:rPr>
          <w:rFonts w:ascii="Arial" w:hAnsi="Arial" w:eastAsia="宋体" w:cs="Arial"/>
          <w:color w:val="000000" w:themeColor="text1"/>
          <w:szCs w:val="21"/>
        </w:rPr>
      </w:pPr>
      <w:r>
        <w:rPr>
          <w:rFonts w:ascii="Arial" w:hAnsi="Arial" w:eastAsia="宋体" w:cs="Arial"/>
          <w:color w:val="000000" w:themeColor="text1"/>
          <w:szCs w:val="21"/>
        </w:rPr>
        <w:t>为并行测试或用于解决测试结果差异的任何市售的测试提供说明书。提供主要研究人员的姓名、测试地点及电话号码。对比测试应有足够数量的阳性和阴性临床标本（根据说明书中的采集、储存和测试说明书）和说明书性能特性部分确定的灵敏度和特异性（17）。以下是不同样本类型比较试验的最低推荐样本量：</w:t>
      </w:r>
    </w:p>
    <w:p w14:paraId="7E56446F">
      <w:pPr>
        <w:snapToGrid w:val="0"/>
        <w:spacing w:line="300" w:lineRule="auto"/>
        <w:ind w:left="433" w:leftChars="206" w:firstLine="10" w:firstLineChars="5"/>
        <w:rPr>
          <w:rFonts w:ascii="Arial" w:hAnsi="Arial" w:eastAsia="宋体" w:cs="Arial"/>
          <w:color w:val="000000" w:themeColor="text1"/>
          <w:szCs w:val="21"/>
        </w:rPr>
      </w:pPr>
    </w:p>
    <w:p w14:paraId="01A9B201">
      <w:pPr>
        <w:widowControl/>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47B61604">
      <w:pPr>
        <w:numPr>
          <w:ilvl w:val="0"/>
          <w:numId w:val="5"/>
        </w:numPr>
        <w:snapToGrid w:val="0"/>
        <w:spacing w:line="300" w:lineRule="auto"/>
        <w:ind w:firstLine="420" w:firstLineChars="200"/>
        <w:rPr>
          <w:rFonts w:ascii="Arial" w:hAnsi="Arial" w:eastAsia="宋体" w:cs="Arial"/>
          <w:color w:val="000000" w:themeColor="text1"/>
          <w:szCs w:val="21"/>
        </w:rPr>
      </w:pPr>
      <w:r>
        <w:rPr>
          <w:rFonts w:ascii="Arial" w:hAnsi="Arial" w:eastAsia="宋体" w:cs="Arial"/>
          <w:color w:val="000000" w:themeColor="text1"/>
          <w:szCs w:val="21"/>
        </w:rPr>
        <w:t>提供器械测定数据和统计分析以支持器械操作的性能参数的具体和重要性，如</w:t>
      </w:r>
      <w:r>
        <w:rPr>
          <w:rFonts w:hint="eastAsia" w:ascii="Arial" w:hAnsi="Arial" w:eastAsia="宋体" w:cs="Arial"/>
          <w:color w:val="000000" w:themeColor="text1"/>
          <w:szCs w:val="21"/>
        </w:rPr>
        <w:t>复现性</w:t>
      </w:r>
      <w:r>
        <w:rPr>
          <w:rFonts w:ascii="Arial" w:hAnsi="Arial" w:eastAsia="宋体" w:cs="Arial"/>
          <w:color w:val="000000" w:themeColor="text1"/>
          <w:szCs w:val="21"/>
        </w:rPr>
        <w:t>。</w:t>
      </w:r>
    </w:p>
    <w:p w14:paraId="6251C03B">
      <w:pPr>
        <w:snapToGrid w:val="0"/>
        <w:spacing w:line="300" w:lineRule="auto"/>
        <w:ind w:firstLine="756" w:firstLineChars="360"/>
        <w:rPr>
          <w:rFonts w:ascii="Arial" w:hAnsi="Arial" w:eastAsia="宋体" w:cs="Arial"/>
          <w:color w:val="000000" w:themeColor="text1"/>
          <w:szCs w:val="21"/>
        </w:rPr>
      </w:pPr>
    </w:p>
    <w:p w14:paraId="1996AFCF">
      <w:pPr>
        <w:snapToGrid w:val="0"/>
        <w:spacing w:line="300" w:lineRule="auto"/>
        <w:ind w:firstLine="756" w:firstLineChars="360"/>
        <w:rPr>
          <w:rFonts w:ascii="Arial" w:hAnsi="Arial" w:eastAsia="宋体" w:cs="Arial"/>
          <w:color w:val="000000" w:themeColor="text1"/>
          <w:szCs w:val="21"/>
        </w:rPr>
      </w:pPr>
      <w:r>
        <w:rPr>
          <w:rFonts w:ascii="Arial" w:hAnsi="Arial" w:eastAsia="宋体" w:cs="Arial"/>
          <w:color w:val="000000" w:themeColor="text1"/>
          <w:szCs w:val="21"/>
        </w:rPr>
        <w:t>a. 统计方法的依据</w:t>
      </w:r>
    </w:p>
    <w:p w14:paraId="7479401B">
      <w:pPr>
        <w:snapToGrid w:val="0"/>
        <w:spacing w:line="300" w:lineRule="auto"/>
        <w:ind w:left="1245" w:leftChars="593" w:firstLine="10" w:firstLineChars="5"/>
        <w:rPr>
          <w:rFonts w:ascii="Arial" w:hAnsi="Arial" w:eastAsia="宋体" w:cs="Arial"/>
          <w:color w:val="000000" w:themeColor="text1"/>
          <w:szCs w:val="21"/>
        </w:rPr>
      </w:pPr>
      <w:r>
        <w:rPr>
          <w:rFonts w:ascii="Arial" w:hAnsi="Arial" w:eastAsia="宋体" w:cs="Arial"/>
          <w:color w:val="000000" w:themeColor="text1"/>
          <w:szCs w:val="21"/>
        </w:rPr>
        <w:t>避免只依赖</w:t>
      </w:r>
      <w:bookmarkStart w:id="14" w:name="OLE_LINK16"/>
      <w:r>
        <w:rPr>
          <w:rFonts w:ascii="Arial" w:hAnsi="Arial" w:eastAsia="宋体" w:cs="Arial"/>
          <w:color w:val="000000" w:themeColor="text1"/>
          <w:szCs w:val="21"/>
        </w:rPr>
        <w:t>假设检验</w:t>
      </w:r>
      <w:bookmarkEnd w:id="14"/>
      <w:r>
        <w:rPr>
          <w:rFonts w:ascii="Arial" w:hAnsi="Arial" w:eastAsia="宋体" w:cs="Arial"/>
          <w:color w:val="000000" w:themeColor="text1"/>
          <w:szCs w:val="21"/>
        </w:rPr>
        <w:t>（如P值的使用），假设检验不能给出重要的定量信息。提供证实合理假设的试验数据和统计方法、检验统计结果和相应的值。使用特定的统计方法必须完全合理（如参数vs非参数）。</w:t>
      </w:r>
    </w:p>
    <w:p w14:paraId="1E8E2541">
      <w:pPr>
        <w:numPr>
          <w:ilvl w:val="0"/>
          <w:numId w:val="5"/>
        </w:numPr>
        <w:snapToGrid w:val="0"/>
        <w:spacing w:line="300" w:lineRule="auto"/>
        <w:ind w:firstLine="420" w:firstLineChars="200"/>
        <w:rPr>
          <w:rFonts w:ascii="Arial" w:hAnsi="Arial" w:eastAsia="宋体" w:cs="Arial"/>
          <w:color w:val="000000" w:themeColor="text1"/>
          <w:szCs w:val="21"/>
        </w:rPr>
      </w:pPr>
      <w:r>
        <w:rPr>
          <w:rFonts w:ascii="Arial" w:hAnsi="Arial" w:eastAsia="宋体" w:cs="Arial"/>
          <w:color w:val="000000" w:themeColor="text1"/>
          <w:szCs w:val="21"/>
        </w:rPr>
        <w:t>抗体灵敏度研究（仅杂交瘤单克隆抗体测试）（3，9，10，12)。</w:t>
      </w:r>
    </w:p>
    <w:p w14:paraId="32101FB0">
      <w:pPr>
        <w:snapToGrid w:val="0"/>
        <w:spacing w:line="300" w:lineRule="auto"/>
        <w:rPr>
          <w:rFonts w:ascii="Arial" w:hAnsi="Arial" w:eastAsia="宋体" w:cs="Arial"/>
          <w:color w:val="000000" w:themeColor="text1"/>
          <w:szCs w:val="21"/>
        </w:rPr>
      </w:pPr>
    </w:p>
    <w:p w14:paraId="0CDD2ACF">
      <w:pPr>
        <w:snapToGrid w:val="0"/>
        <w:spacing w:line="300" w:lineRule="auto"/>
        <w:ind w:left="1062" w:leftChars="360" w:hanging="306" w:hangingChars="146"/>
        <w:rPr>
          <w:rFonts w:ascii="Arial" w:hAnsi="Arial" w:eastAsia="宋体" w:cs="Arial"/>
          <w:color w:val="000000" w:themeColor="text1"/>
          <w:szCs w:val="21"/>
        </w:rPr>
      </w:pPr>
      <w:r>
        <w:rPr>
          <w:rFonts w:ascii="Arial" w:hAnsi="Arial" w:eastAsia="宋体" w:cs="Arial"/>
          <w:color w:val="000000" w:themeColor="text1"/>
          <w:szCs w:val="21"/>
        </w:rPr>
        <w:t>a.</w:t>
      </w:r>
      <w:r>
        <w:rPr>
          <w:rFonts w:ascii="Arial" w:hAnsi="Arial" w:eastAsia="宋体" w:cs="Arial"/>
          <w:color w:val="000000" w:themeColor="text1"/>
          <w:szCs w:val="21"/>
        </w:rPr>
        <w:tab/>
      </w:r>
      <w:r>
        <w:rPr>
          <w:rFonts w:ascii="Arial" w:hAnsi="Arial" w:eastAsia="宋体" w:cs="Arial"/>
          <w:color w:val="000000" w:themeColor="text1"/>
          <w:szCs w:val="21"/>
        </w:rPr>
        <w:t>应当证明以免疫球蛋白为基础的检测与常见人遗传免疫球蛋白类型的血液样本呈阳性。对任何未检出的免疫球蛋白病，应在说明书的局限部分说明。</w:t>
      </w:r>
    </w:p>
    <w:p w14:paraId="6FDEFEEE">
      <w:pPr>
        <w:snapToGrid w:val="0"/>
        <w:spacing w:line="300" w:lineRule="auto"/>
        <w:ind w:left="1062" w:leftChars="360" w:hanging="306" w:hangingChars="146"/>
        <w:rPr>
          <w:rFonts w:ascii="Arial" w:hAnsi="Arial" w:eastAsia="宋体" w:cs="Arial"/>
          <w:color w:val="000000" w:themeColor="text1"/>
          <w:szCs w:val="21"/>
        </w:rPr>
      </w:pPr>
      <w:r>
        <w:rPr>
          <w:rFonts w:ascii="Arial" w:hAnsi="Arial" w:eastAsia="宋体" w:cs="Arial"/>
          <w:color w:val="000000" w:themeColor="text1"/>
          <w:szCs w:val="21"/>
        </w:rPr>
        <w:t>b.</w:t>
      </w:r>
      <w:r>
        <w:rPr>
          <w:rFonts w:ascii="Arial" w:hAnsi="Arial" w:eastAsia="宋体" w:cs="Arial"/>
          <w:color w:val="000000" w:themeColor="text1"/>
          <w:szCs w:val="21"/>
        </w:rPr>
        <w:tab/>
      </w:r>
      <w:r>
        <w:rPr>
          <w:rFonts w:ascii="Arial" w:hAnsi="Arial" w:eastAsia="宋体" w:cs="Arial"/>
          <w:color w:val="000000" w:themeColor="text1"/>
          <w:szCs w:val="21"/>
        </w:rPr>
        <w:t>在化疗或肿瘤可视化时使用小鼠源性单克隆抗体的体液抗体可能会阻止分析物的准确测量并导致分析物水平的不准确（12）。</w:t>
      </w:r>
    </w:p>
    <w:p w14:paraId="36FA9C1C">
      <w:pPr>
        <w:widowControl/>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2B986DE8">
      <w:pPr>
        <w:snapToGrid w:val="0"/>
        <w:spacing w:line="300" w:lineRule="auto"/>
        <w:ind w:left="1062" w:leftChars="360" w:hanging="306" w:hangingChars="146"/>
        <w:rPr>
          <w:rFonts w:ascii="Arial" w:hAnsi="Arial" w:eastAsia="宋体" w:cs="Arial"/>
          <w:color w:val="000000" w:themeColor="text1"/>
          <w:szCs w:val="21"/>
        </w:rPr>
      </w:pPr>
      <w:r>
        <w:rPr>
          <w:rFonts w:ascii="Arial" w:hAnsi="Arial" w:eastAsia="宋体" w:cs="Arial"/>
          <w:color w:val="000000" w:themeColor="text1"/>
          <w:szCs w:val="21"/>
        </w:rPr>
        <w:t>c.</w:t>
      </w:r>
      <w:r>
        <w:rPr>
          <w:rFonts w:ascii="Arial" w:hAnsi="Arial" w:eastAsia="宋体" w:cs="Arial"/>
          <w:color w:val="000000" w:themeColor="text1"/>
          <w:szCs w:val="21"/>
        </w:rPr>
        <w:tab/>
      </w:r>
      <w:r>
        <w:rPr>
          <w:rFonts w:ascii="Arial" w:hAnsi="Arial" w:eastAsia="宋体" w:cs="Arial"/>
          <w:color w:val="000000" w:themeColor="text1"/>
          <w:szCs w:val="21"/>
        </w:rPr>
        <w:t>免疫相关蛋白</w:t>
      </w:r>
    </w:p>
    <w:p w14:paraId="509C1D04">
      <w:pPr>
        <w:snapToGrid w:val="0"/>
        <w:spacing w:line="300" w:lineRule="auto"/>
        <w:ind w:left="1062" w:leftChars="360" w:hanging="306" w:hangingChars="146"/>
        <w:rPr>
          <w:rFonts w:ascii="Arial" w:hAnsi="Arial" w:eastAsia="宋体" w:cs="Arial"/>
          <w:color w:val="000000" w:themeColor="text1"/>
          <w:szCs w:val="21"/>
        </w:rPr>
      </w:pPr>
    </w:p>
    <w:p w14:paraId="3BF0A2D5">
      <w:pPr>
        <w:snapToGrid w:val="0"/>
        <w:spacing w:line="300" w:lineRule="auto"/>
        <w:ind w:firstLine="1077" w:firstLineChars="513"/>
        <w:rPr>
          <w:rFonts w:ascii="Arial" w:hAnsi="Arial" w:eastAsia="宋体" w:cs="Arial"/>
          <w:color w:val="000000" w:themeColor="text1"/>
          <w:szCs w:val="21"/>
        </w:rPr>
      </w:pPr>
      <w:r>
        <w:rPr>
          <w:rFonts w:ascii="Arial" w:hAnsi="Arial" w:eastAsia="宋体" w:cs="Arial"/>
          <w:color w:val="000000" w:themeColor="text1"/>
          <w:szCs w:val="21"/>
        </w:rPr>
        <w:t>应证明以下免疫活性/有关物质不干扰测试。</w:t>
      </w:r>
    </w:p>
    <w:p w14:paraId="1617AAEE">
      <w:pPr>
        <w:numPr>
          <w:ilvl w:val="0"/>
          <w:numId w:val="6"/>
        </w:numPr>
        <w:snapToGrid w:val="0"/>
        <w:spacing w:before="312" w:beforeLines="100" w:after="312" w:afterLines="100" w:line="300" w:lineRule="auto"/>
        <w:ind w:left="0" w:firstLine="1077" w:firstLineChars="513"/>
        <w:rPr>
          <w:rFonts w:ascii="Arial" w:hAnsi="Arial" w:eastAsia="宋体" w:cs="Arial"/>
          <w:color w:val="000000" w:themeColor="text1"/>
          <w:szCs w:val="21"/>
        </w:rPr>
      </w:pPr>
      <w:r>
        <w:rPr>
          <w:rFonts w:ascii="Arial" w:hAnsi="Arial" w:eastAsia="宋体" w:cs="Arial"/>
          <w:color w:val="000000" w:themeColor="text1"/>
          <w:szCs w:val="21"/>
        </w:rPr>
        <w:t>血型特殊物质</w:t>
      </w:r>
    </w:p>
    <w:p w14:paraId="1440F0AD">
      <w:pPr>
        <w:numPr>
          <w:ilvl w:val="0"/>
          <w:numId w:val="6"/>
        </w:numPr>
        <w:snapToGrid w:val="0"/>
        <w:spacing w:before="312" w:beforeLines="100" w:after="312" w:afterLines="100" w:line="300" w:lineRule="auto"/>
        <w:ind w:firstLine="672" w:firstLineChars="320"/>
        <w:rPr>
          <w:rFonts w:ascii="Arial" w:hAnsi="Arial" w:eastAsia="宋体" w:cs="Arial"/>
          <w:color w:val="000000" w:themeColor="text1"/>
          <w:szCs w:val="21"/>
        </w:rPr>
      </w:pPr>
      <w:r>
        <w:rPr>
          <w:rFonts w:ascii="Arial" w:hAnsi="Arial" w:eastAsia="宋体" w:cs="Arial"/>
          <w:color w:val="000000" w:themeColor="text1"/>
          <w:szCs w:val="21"/>
        </w:rPr>
        <w:t>免疫球蛋白碎片（轻链：k、λ）免疫球蛋白碎片（Fab/c，Fd衍生物）</w:t>
      </w:r>
    </w:p>
    <w:p w14:paraId="2F6AE376">
      <w:pPr>
        <w:snapToGrid w:val="0"/>
        <w:spacing w:before="312" w:beforeLines="100" w:after="312" w:afterLines="100" w:line="300" w:lineRule="auto"/>
        <w:ind w:left="349" w:hanging="348" w:hangingChars="166"/>
        <w:rPr>
          <w:rFonts w:ascii="Arial" w:hAnsi="Arial" w:eastAsia="宋体" w:cs="Arial"/>
          <w:color w:val="000000" w:themeColor="text1"/>
          <w:szCs w:val="21"/>
        </w:rPr>
      </w:pPr>
      <w:r>
        <w:rPr>
          <w:rFonts w:ascii="Arial" w:hAnsi="Arial" w:eastAsia="宋体" w:cs="Arial"/>
          <w:color w:val="000000" w:themeColor="text1"/>
          <w:szCs w:val="21"/>
        </w:rPr>
        <w:t>3、记录有症状和无症状的患者以及是否疾病形成与传染病药物、植物或动物有关血浆免疫球蛋白的过敏原或遗传特征有关。</w:t>
      </w:r>
    </w:p>
    <w:p w14:paraId="3FD1AE9E">
      <w:pPr>
        <w:snapToGrid w:val="0"/>
        <w:spacing w:before="312" w:beforeLines="100" w:after="312" w:afterLines="100" w:line="300" w:lineRule="auto"/>
        <w:ind w:left="349" w:leftChars="166" w:firstLine="14" w:firstLineChars="7"/>
        <w:rPr>
          <w:rFonts w:ascii="Arial" w:hAnsi="Arial" w:eastAsia="宋体" w:cs="Arial"/>
          <w:color w:val="000000" w:themeColor="text1"/>
          <w:szCs w:val="21"/>
        </w:rPr>
      </w:pPr>
      <w:r>
        <w:rPr>
          <w:rFonts w:ascii="Arial" w:hAnsi="Arial" w:eastAsia="宋体" w:cs="Arial"/>
          <w:color w:val="000000" w:themeColor="text1"/>
          <w:szCs w:val="21"/>
        </w:rPr>
        <w:t>要计算的附加参数是在临床效用范围内的诊断有效性。证明所声称的使用该器械具有实质等同性，并提供具体参数。</w:t>
      </w:r>
    </w:p>
    <w:p w14:paraId="183D14F3">
      <w:pPr>
        <w:snapToGrid w:val="0"/>
        <w:spacing w:before="312" w:beforeLines="100" w:after="312" w:afterLines="100" w:line="300" w:lineRule="auto"/>
        <w:ind w:left="349" w:leftChars="166" w:firstLine="14" w:firstLineChars="7"/>
        <w:rPr>
          <w:rFonts w:ascii="Arial" w:hAnsi="Arial" w:eastAsia="宋体" w:cs="Arial"/>
          <w:color w:val="000000" w:themeColor="text1"/>
          <w:szCs w:val="21"/>
        </w:rPr>
      </w:pPr>
      <w:r>
        <w:rPr>
          <w:rFonts w:ascii="Arial" w:hAnsi="Arial" w:eastAsia="宋体" w:cs="Arial"/>
          <w:color w:val="000000" w:themeColor="text1"/>
          <w:szCs w:val="21"/>
        </w:rPr>
        <w:t>如果临床上重要的样本将难以获得，例如罕见的疾病、少数非暴露的人，因为该疾病患者的发病率主要暴露在疾病（慢性病），应提供解释。用于计算免疫球蛋白亚型的比例水平或免疫球蛋白比例的免疫球蛋白风险评估因子的测试系统，在选择患者人群时选择标准和排除标准应进行讨论。数学公式、统计程序及其适用性和对疾病或条件的解决能力、区分受影响和不受影响的能力应提供必要的解释。</w:t>
      </w:r>
    </w:p>
    <w:p w14:paraId="703AEC27">
      <w:pPr>
        <w:widowControl/>
        <w:jc w:val="left"/>
        <w:rPr>
          <w:rFonts w:ascii="宋体" w:hAnsi="宋体" w:eastAsia="宋体" w:cs="宋体"/>
          <w:b/>
          <w:bCs/>
          <w:color w:val="000000" w:themeColor="text1"/>
          <w:szCs w:val="21"/>
        </w:rPr>
      </w:pPr>
      <w:r>
        <w:rPr>
          <w:rFonts w:ascii="宋体" w:hAnsi="宋体" w:eastAsia="宋体" w:cs="宋体"/>
          <w:b/>
          <w:bCs/>
          <w:color w:val="000000" w:themeColor="text1"/>
          <w:szCs w:val="21"/>
        </w:rPr>
        <w:br w:type="page"/>
      </w:r>
    </w:p>
    <w:p w14:paraId="3F5E4DCD">
      <w:pPr>
        <w:snapToGrid w:val="0"/>
        <w:spacing w:before="312" w:beforeLines="100" w:after="312" w:afterLines="100" w:line="300" w:lineRule="auto"/>
        <w:rPr>
          <w:rFonts w:ascii="Arial" w:hAnsi="Arial" w:eastAsia="宋体" w:cs="Arial"/>
          <w:b/>
          <w:bCs/>
          <w:color w:val="000000" w:themeColor="text1"/>
          <w:szCs w:val="21"/>
        </w:rPr>
      </w:pPr>
      <w:r>
        <w:rPr>
          <w:rFonts w:hint="eastAsia" w:ascii="宋体" w:hAnsi="宋体" w:eastAsia="宋体" w:cs="宋体"/>
          <w:b/>
          <w:bCs/>
          <w:color w:val="000000" w:themeColor="text1"/>
          <w:szCs w:val="21"/>
        </w:rPr>
        <w:t>Ⅳ</w:t>
      </w:r>
      <w:r>
        <w:rPr>
          <w:rFonts w:ascii="Arial" w:hAnsi="Arial" w:eastAsia="宋体" w:cs="Arial"/>
          <w:b/>
          <w:bCs/>
          <w:color w:val="000000" w:themeColor="text1"/>
          <w:szCs w:val="21"/>
        </w:rPr>
        <w:t>、</w:t>
      </w:r>
      <w:r>
        <w:rPr>
          <w:rFonts w:ascii="Arial" w:hAnsi="Arial" w:eastAsia="宋体" w:cs="Arial"/>
          <w:b/>
          <w:bCs/>
          <w:color w:val="000000" w:themeColor="text1"/>
          <w:szCs w:val="21"/>
          <w:u w:val="single"/>
        </w:rPr>
        <w:t>标签注意事项</w:t>
      </w:r>
    </w:p>
    <w:p w14:paraId="1A6C648B">
      <w:pPr>
        <w:snapToGrid w:val="0"/>
        <w:spacing w:before="312" w:beforeLines="100" w:after="312" w:afterLines="100" w:line="300" w:lineRule="auto"/>
        <w:rPr>
          <w:rFonts w:ascii="Arial" w:hAnsi="Arial" w:eastAsia="宋体" w:cs="Arial"/>
          <w:color w:val="000000" w:themeColor="text1"/>
          <w:szCs w:val="21"/>
        </w:rPr>
      </w:pPr>
      <w:r>
        <w:rPr>
          <w:rFonts w:ascii="Arial" w:hAnsi="Arial" w:eastAsia="宋体" w:cs="Arial"/>
          <w:color w:val="000000" w:themeColor="text1"/>
          <w:szCs w:val="21"/>
        </w:rPr>
        <w:t>如下为</w:t>
      </w:r>
      <w:r>
        <w:rPr>
          <w:rFonts w:hint="eastAsia" w:ascii="Arial" w:hAnsi="Arial" w:eastAsia="宋体" w:cs="Arial"/>
          <w:color w:val="000000" w:themeColor="text1"/>
          <w:szCs w:val="21"/>
        </w:rPr>
        <w:t>法令</w:t>
      </w:r>
      <w:r>
        <w:rPr>
          <w:rFonts w:ascii="Arial" w:hAnsi="Arial" w:eastAsia="宋体" w:cs="Arial"/>
          <w:color w:val="000000" w:themeColor="text1"/>
          <w:szCs w:val="21"/>
        </w:rPr>
        <w:t xml:space="preserve"> [502（f)（l)]和法规[21 CFR§809.10（b)]一些要点的附加说明。</w:t>
      </w:r>
    </w:p>
    <w:p w14:paraId="5B179356">
      <w:pPr>
        <w:snapToGrid w:val="0"/>
        <w:spacing w:before="312" w:beforeLines="100" w:after="312" w:afterLines="100" w:line="300" w:lineRule="auto"/>
        <w:rPr>
          <w:rFonts w:ascii="Arial" w:hAnsi="Arial" w:eastAsia="宋体" w:cs="Arial"/>
          <w:b/>
          <w:bCs/>
          <w:color w:val="000000" w:themeColor="text1"/>
          <w:szCs w:val="21"/>
          <w:u w:val="single"/>
        </w:rPr>
      </w:pPr>
      <w:r>
        <w:rPr>
          <w:rFonts w:hint="eastAsia" w:ascii="Arial" w:hAnsi="Arial" w:eastAsia="宋体" w:cs="Arial"/>
          <w:b/>
          <w:bCs/>
          <w:color w:val="000000" w:themeColor="text1"/>
          <w:szCs w:val="21"/>
          <w:u w:val="single"/>
        </w:rPr>
        <w:t>包装</w:t>
      </w:r>
      <w:r>
        <w:rPr>
          <w:rFonts w:ascii="Arial" w:hAnsi="Arial" w:eastAsia="宋体" w:cs="Arial"/>
          <w:b/>
          <w:bCs/>
          <w:color w:val="000000" w:themeColor="text1"/>
          <w:szCs w:val="21"/>
          <w:u w:val="single"/>
        </w:rPr>
        <w:t>说明书</w:t>
      </w:r>
    </w:p>
    <w:p w14:paraId="675E9255">
      <w:pPr>
        <w:snapToGrid w:val="0"/>
        <w:spacing w:before="312" w:beforeLines="100" w:after="312" w:afterLines="100" w:line="300" w:lineRule="auto"/>
        <w:rPr>
          <w:rFonts w:ascii="Arial" w:hAnsi="Arial" w:eastAsia="宋体" w:cs="Arial"/>
          <w:color w:val="000000" w:themeColor="text1"/>
          <w:szCs w:val="21"/>
        </w:rPr>
      </w:pPr>
      <w:r>
        <w:rPr>
          <w:rFonts w:ascii="Arial" w:hAnsi="Arial" w:eastAsia="宋体" w:cs="Arial"/>
          <w:b/>
          <w:bCs/>
          <w:color w:val="000000" w:themeColor="text1"/>
          <w:szCs w:val="21"/>
        </w:rPr>
        <w:t>A、</w:t>
      </w:r>
      <w:r>
        <w:rPr>
          <w:rFonts w:ascii="Arial" w:hAnsi="Arial" w:eastAsia="宋体" w:cs="Arial"/>
          <w:b/>
          <w:bCs/>
          <w:color w:val="000000" w:themeColor="text1"/>
          <w:szCs w:val="21"/>
          <w:u w:val="single"/>
        </w:rPr>
        <w:t>预期用途</w:t>
      </w:r>
    </w:p>
    <w:p w14:paraId="6BB8FF17">
      <w:pPr>
        <w:snapToGrid w:val="0"/>
        <w:spacing w:before="312" w:beforeLines="100" w:after="312" w:afterLines="100" w:line="300" w:lineRule="auto"/>
        <w:ind w:firstLine="783" w:firstLineChars="373"/>
        <w:rPr>
          <w:rFonts w:ascii="Arial" w:hAnsi="Arial" w:eastAsia="宋体" w:cs="Arial"/>
          <w:color w:val="000000" w:themeColor="text1"/>
          <w:szCs w:val="21"/>
        </w:rPr>
      </w:pPr>
      <w:r>
        <w:rPr>
          <w:rFonts w:ascii="Arial" w:hAnsi="Arial" w:eastAsia="宋体" w:cs="Arial"/>
          <w:color w:val="000000" w:themeColor="text1"/>
          <w:szCs w:val="21"/>
        </w:rPr>
        <w:t>基于使用技术/方法描述器械的预期用途，应解决以下问题：</w:t>
      </w:r>
    </w:p>
    <w:p w14:paraId="07A5B93F">
      <w:pPr>
        <w:pStyle w:val="16"/>
        <w:numPr>
          <w:ilvl w:val="3"/>
          <w:numId w:val="1"/>
        </w:numPr>
        <w:snapToGrid w:val="0"/>
        <w:spacing w:before="312" w:beforeLines="100" w:after="312" w:afterLines="100" w:line="300" w:lineRule="auto"/>
        <w:ind w:firstLineChars="0"/>
        <w:rPr>
          <w:rFonts w:ascii="Arial" w:hAnsi="Arial" w:eastAsia="宋体" w:cs="Arial"/>
          <w:color w:val="000000" w:themeColor="text1"/>
          <w:szCs w:val="21"/>
        </w:rPr>
      </w:pPr>
      <w:r>
        <w:rPr>
          <w:rFonts w:ascii="Arial" w:hAnsi="Arial" w:eastAsia="宋体" w:cs="Arial"/>
          <w:color w:val="000000" w:themeColor="text1"/>
          <w:szCs w:val="21"/>
        </w:rPr>
        <w:t>什么样的患者应进行测试？</w:t>
      </w:r>
    </w:p>
    <w:p w14:paraId="3BA2A7A6">
      <w:pPr>
        <w:pStyle w:val="16"/>
        <w:numPr>
          <w:ilvl w:val="3"/>
          <w:numId w:val="1"/>
        </w:numPr>
        <w:snapToGrid w:val="0"/>
        <w:spacing w:before="312" w:beforeLines="100" w:after="312" w:afterLines="100" w:line="300" w:lineRule="auto"/>
        <w:ind w:firstLineChars="0"/>
        <w:rPr>
          <w:rFonts w:ascii="Arial" w:hAnsi="Arial" w:eastAsia="宋体" w:cs="Arial"/>
          <w:color w:val="000000" w:themeColor="text1"/>
          <w:szCs w:val="21"/>
        </w:rPr>
      </w:pPr>
      <w:r>
        <w:rPr>
          <w:rFonts w:ascii="Arial" w:hAnsi="Arial" w:eastAsia="宋体" w:cs="Arial"/>
          <w:color w:val="000000" w:themeColor="text1"/>
          <w:szCs w:val="21"/>
        </w:rPr>
        <w:t>用于检测特异性免疫球蛋白恶液质时，检测器械应具有什么样的条件和局限性？</w:t>
      </w:r>
    </w:p>
    <w:p w14:paraId="0FBA2A6D">
      <w:pPr>
        <w:pStyle w:val="16"/>
        <w:numPr>
          <w:ilvl w:val="3"/>
          <w:numId w:val="1"/>
        </w:numPr>
        <w:snapToGrid w:val="0"/>
        <w:spacing w:before="312" w:beforeLines="100" w:after="312" w:afterLines="100" w:line="300" w:lineRule="auto"/>
        <w:ind w:firstLineChars="0"/>
        <w:rPr>
          <w:rFonts w:ascii="Arial" w:hAnsi="Arial" w:eastAsia="宋体" w:cs="Arial"/>
          <w:color w:val="000000" w:themeColor="text1"/>
          <w:szCs w:val="21"/>
        </w:rPr>
      </w:pPr>
      <w:r>
        <w:rPr>
          <w:rFonts w:ascii="Arial" w:hAnsi="Arial" w:eastAsia="宋体" w:cs="Arial"/>
          <w:color w:val="000000" w:themeColor="text1"/>
          <w:szCs w:val="21"/>
        </w:rPr>
        <w:t>测试是否能区分免疫球蛋白亚型？</w:t>
      </w:r>
    </w:p>
    <w:p w14:paraId="7975FF43">
      <w:pPr>
        <w:pStyle w:val="16"/>
        <w:numPr>
          <w:ilvl w:val="3"/>
          <w:numId w:val="1"/>
        </w:numPr>
        <w:snapToGrid w:val="0"/>
        <w:spacing w:before="312" w:beforeLines="100" w:after="312" w:afterLines="100" w:line="300" w:lineRule="auto"/>
        <w:ind w:firstLineChars="0"/>
        <w:rPr>
          <w:rFonts w:ascii="Arial" w:hAnsi="Arial" w:eastAsia="宋体" w:cs="Arial"/>
          <w:color w:val="000000" w:themeColor="text1"/>
          <w:szCs w:val="21"/>
        </w:rPr>
      </w:pPr>
      <w:r>
        <w:rPr>
          <w:rFonts w:ascii="Arial" w:hAnsi="Arial" w:eastAsia="宋体" w:cs="Arial"/>
          <w:color w:val="000000" w:themeColor="text1"/>
          <w:szCs w:val="21"/>
        </w:rPr>
        <w:t>是否分析应使用特殊工具？</w:t>
      </w:r>
    </w:p>
    <w:p w14:paraId="7FAE792E">
      <w:pPr>
        <w:snapToGrid w:val="0"/>
        <w:spacing w:before="312" w:beforeLines="100" w:after="312" w:afterLines="100" w:line="300" w:lineRule="auto"/>
        <w:ind w:left="1706" w:leftChars="812" w:hanging="1"/>
        <w:rPr>
          <w:rFonts w:ascii="Arial" w:hAnsi="Arial" w:eastAsia="宋体" w:cs="Arial"/>
          <w:color w:val="000000" w:themeColor="text1"/>
          <w:szCs w:val="21"/>
        </w:rPr>
      </w:pPr>
      <w:r>
        <w:rPr>
          <w:rFonts w:ascii="Arial" w:hAnsi="Arial" w:eastAsia="宋体" w:cs="Arial"/>
          <w:color w:val="000000" w:themeColor="text1"/>
          <w:szCs w:val="21"/>
        </w:rPr>
        <w:t>典型的预期用途可描述为：XXX检测系统是一种使用血清蛋白ABC自动系统，采用免疫化学技术检测检测血浆中免疫球蛋白A、G、M、D和 E，且包含试剂的器械器械。</w:t>
      </w:r>
    </w:p>
    <w:p w14:paraId="1DC4E7BD">
      <w:pPr>
        <w:snapToGrid w:val="0"/>
        <w:spacing w:before="312" w:beforeLines="100" w:after="312" w:afterLines="100" w:line="300" w:lineRule="auto"/>
        <w:rPr>
          <w:rFonts w:ascii="Arial" w:hAnsi="Arial" w:eastAsia="宋体" w:cs="Arial"/>
          <w:b/>
          <w:bCs/>
          <w:color w:val="000000" w:themeColor="text1"/>
          <w:szCs w:val="21"/>
          <w:u w:val="single"/>
        </w:rPr>
      </w:pPr>
      <w:r>
        <w:rPr>
          <w:rFonts w:ascii="Arial" w:hAnsi="Arial" w:eastAsia="宋体" w:cs="Arial"/>
          <w:b/>
          <w:bCs/>
          <w:color w:val="000000" w:themeColor="text1"/>
          <w:szCs w:val="21"/>
        </w:rPr>
        <w:t>B、</w:t>
      </w:r>
      <w:r>
        <w:rPr>
          <w:rFonts w:ascii="Arial" w:hAnsi="Arial" w:eastAsia="宋体" w:cs="Arial"/>
          <w:b/>
          <w:bCs/>
          <w:color w:val="000000" w:themeColor="text1"/>
          <w:szCs w:val="21"/>
          <w:u w:val="single"/>
        </w:rPr>
        <w:t>测试方法的详细原理</w:t>
      </w:r>
    </w:p>
    <w:p w14:paraId="12A2D6DC">
      <w:pPr>
        <w:snapToGrid w:val="0"/>
        <w:spacing w:before="312" w:beforeLines="100" w:after="312" w:afterLines="100" w:line="300" w:lineRule="auto"/>
        <w:ind w:firstLine="378" w:firstLineChars="180"/>
        <w:rPr>
          <w:rFonts w:ascii="Arial" w:hAnsi="Arial" w:eastAsia="宋体" w:cs="Arial"/>
          <w:color w:val="000000" w:themeColor="text1"/>
          <w:szCs w:val="21"/>
        </w:rPr>
      </w:pPr>
      <w:r>
        <w:rPr>
          <w:rFonts w:ascii="Arial" w:hAnsi="Arial" w:eastAsia="宋体" w:cs="Arial"/>
          <w:color w:val="000000" w:themeColor="text1"/>
          <w:szCs w:val="21"/>
        </w:rPr>
        <w:t>根据以下部分进行完整介绍。</w:t>
      </w:r>
    </w:p>
    <w:p w14:paraId="359FD7A8">
      <w:pPr>
        <w:pStyle w:val="16"/>
        <w:numPr>
          <w:ilvl w:val="6"/>
          <w:numId w:val="1"/>
        </w:numPr>
        <w:snapToGrid w:val="0"/>
        <w:spacing w:before="312" w:beforeLines="100" w:after="312" w:afterLines="100" w:line="300" w:lineRule="auto"/>
        <w:ind w:left="784" w:hanging="518" w:firstLineChars="0"/>
        <w:rPr>
          <w:rFonts w:ascii="Arial" w:hAnsi="Arial" w:eastAsia="宋体" w:cs="Arial"/>
          <w:color w:val="000000" w:themeColor="text1"/>
          <w:szCs w:val="21"/>
        </w:rPr>
      </w:pPr>
      <w:r>
        <w:rPr>
          <w:rFonts w:ascii="Arial" w:hAnsi="Arial" w:eastAsia="宋体" w:cs="Arial"/>
          <w:color w:val="000000" w:themeColor="text1"/>
          <w:szCs w:val="21"/>
        </w:rPr>
        <w:t>抗原表位检测和/或定量的说明。</w:t>
      </w:r>
    </w:p>
    <w:p w14:paraId="764D54F1">
      <w:pPr>
        <w:widowControl/>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1C2D503B">
      <w:pPr>
        <w:pStyle w:val="16"/>
        <w:numPr>
          <w:ilvl w:val="6"/>
          <w:numId w:val="1"/>
        </w:numPr>
        <w:snapToGrid w:val="0"/>
        <w:spacing w:before="312" w:beforeLines="100" w:after="312" w:afterLines="100" w:line="300" w:lineRule="auto"/>
        <w:ind w:left="784" w:hanging="518" w:firstLineChars="0"/>
        <w:rPr>
          <w:rFonts w:ascii="Arial" w:hAnsi="Arial" w:eastAsia="宋体" w:cs="Arial"/>
          <w:color w:val="000000" w:themeColor="text1"/>
          <w:szCs w:val="21"/>
        </w:rPr>
      </w:pPr>
      <w:r>
        <w:rPr>
          <w:rFonts w:ascii="Arial" w:hAnsi="Arial" w:eastAsia="宋体" w:cs="Arial"/>
          <w:color w:val="000000" w:themeColor="text1"/>
          <w:szCs w:val="21"/>
        </w:rPr>
        <w:t>包括共轭的固定相物质中非特异性结合酶耦合物和由此产生的高度变异性的影响应进行讨论。这些特征组合会对少假阳性信号受试者信噪比的最大化造成一定的困难。</w:t>
      </w:r>
    </w:p>
    <w:p w14:paraId="2FE401A2">
      <w:pPr>
        <w:pStyle w:val="16"/>
        <w:numPr>
          <w:ilvl w:val="6"/>
          <w:numId w:val="1"/>
        </w:numPr>
        <w:snapToGrid w:val="0"/>
        <w:spacing w:before="312" w:beforeLines="100" w:after="312" w:afterLines="100" w:line="300" w:lineRule="auto"/>
        <w:ind w:left="784" w:hanging="518" w:firstLineChars="0"/>
        <w:rPr>
          <w:rFonts w:ascii="Arial" w:hAnsi="Arial" w:eastAsia="宋体" w:cs="Arial"/>
          <w:color w:val="000000" w:themeColor="text1"/>
          <w:szCs w:val="21"/>
        </w:rPr>
      </w:pPr>
      <w:r>
        <w:rPr>
          <w:rFonts w:ascii="Arial" w:hAnsi="Arial" w:eastAsia="宋体" w:cs="Arial"/>
          <w:color w:val="000000" w:themeColor="text1"/>
          <w:szCs w:val="21"/>
        </w:rPr>
        <w:t>分析物的最终结果或浓度应以每毫升微克（ug/ml）或国际单位/毫升表示。通常，测定份IgE值应以IU/mL报告，而其他免疫球蛋白则以ug/ml报告。</w:t>
      </w:r>
    </w:p>
    <w:p w14:paraId="57ABE58F">
      <w:pPr>
        <w:snapToGrid w:val="0"/>
        <w:spacing w:before="312" w:beforeLines="100" w:after="312" w:afterLines="100" w:line="300" w:lineRule="auto"/>
        <w:rPr>
          <w:rFonts w:ascii="Arial" w:hAnsi="Arial" w:eastAsia="宋体" w:cs="Arial"/>
          <w:b/>
          <w:bCs/>
          <w:color w:val="000000" w:themeColor="text1"/>
          <w:szCs w:val="21"/>
          <w:u w:val="single"/>
        </w:rPr>
      </w:pPr>
      <w:r>
        <w:rPr>
          <w:rFonts w:ascii="Arial" w:hAnsi="Arial" w:eastAsia="宋体" w:cs="Arial"/>
          <w:b/>
          <w:bCs/>
          <w:color w:val="000000" w:themeColor="text1"/>
          <w:szCs w:val="21"/>
        </w:rPr>
        <w:t>C、</w:t>
      </w:r>
      <w:r>
        <w:rPr>
          <w:rFonts w:ascii="Arial" w:hAnsi="Arial" w:eastAsia="宋体" w:cs="Arial"/>
          <w:b/>
          <w:bCs/>
          <w:color w:val="000000" w:themeColor="text1"/>
          <w:szCs w:val="21"/>
          <w:u w:val="single"/>
        </w:rPr>
        <w:t>样本类型</w:t>
      </w:r>
    </w:p>
    <w:p w14:paraId="04B59650">
      <w:pPr>
        <w:snapToGrid w:val="0"/>
        <w:spacing w:before="312" w:beforeLines="100" w:after="312" w:afterLines="100" w:line="300" w:lineRule="auto"/>
        <w:ind w:left="349" w:leftChars="166" w:firstLine="10" w:firstLineChars="5"/>
        <w:rPr>
          <w:rFonts w:ascii="Arial" w:hAnsi="Arial" w:eastAsia="宋体" w:cs="Arial"/>
          <w:color w:val="000000" w:themeColor="text1"/>
          <w:szCs w:val="21"/>
        </w:rPr>
      </w:pPr>
      <w:r>
        <w:rPr>
          <w:rFonts w:ascii="Arial" w:hAnsi="Arial" w:eastAsia="宋体" w:cs="Arial"/>
          <w:color w:val="000000" w:themeColor="text1"/>
          <w:szCs w:val="21"/>
        </w:rPr>
        <w:t>应列出样本类型、血清或血浆、体液、脑脊髓液（CSF）及任何关于样本采集的特殊考虑。每种类型样本的“预期值”表应表明。</w:t>
      </w:r>
    </w:p>
    <w:p w14:paraId="7C3A8CF4">
      <w:pPr>
        <w:snapToGrid w:val="0"/>
        <w:spacing w:before="312" w:beforeLines="100" w:after="312" w:afterLines="100" w:line="300" w:lineRule="auto"/>
        <w:rPr>
          <w:rFonts w:ascii="Arial" w:hAnsi="Arial" w:eastAsia="宋体" w:cs="Arial"/>
          <w:b/>
          <w:bCs/>
          <w:color w:val="000000" w:themeColor="text1"/>
          <w:szCs w:val="21"/>
        </w:rPr>
      </w:pPr>
      <w:r>
        <w:rPr>
          <w:rFonts w:ascii="Arial" w:hAnsi="Arial" w:eastAsia="宋体" w:cs="Arial"/>
          <w:b/>
          <w:bCs/>
          <w:color w:val="000000" w:themeColor="text1"/>
          <w:szCs w:val="21"/>
        </w:rPr>
        <w:t>D、</w:t>
      </w:r>
      <w:r>
        <w:rPr>
          <w:rFonts w:ascii="Arial" w:hAnsi="Arial" w:eastAsia="宋体" w:cs="Arial"/>
          <w:b/>
          <w:bCs/>
          <w:color w:val="000000" w:themeColor="text1"/>
          <w:szCs w:val="21"/>
          <w:u w:val="single"/>
        </w:rPr>
        <w:t>使用条件</w:t>
      </w:r>
    </w:p>
    <w:p w14:paraId="38BD36E5">
      <w:pPr>
        <w:snapToGrid w:val="0"/>
        <w:spacing w:before="312" w:beforeLines="100" w:after="312" w:afterLines="100" w:line="300" w:lineRule="auto"/>
        <w:ind w:left="349" w:leftChars="166" w:firstLine="10" w:firstLineChars="5"/>
        <w:rPr>
          <w:rFonts w:ascii="Arial" w:hAnsi="Arial" w:eastAsia="宋体" w:cs="Arial"/>
          <w:color w:val="000000" w:themeColor="text1"/>
          <w:szCs w:val="21"/>
        </w:rPr>
      </w:pPr>
      <w:r>
        <w:rPr>
          <w:rFonts w:ascii="Arial" w:hAnsi="Arial" w:eastAsia="宋体" w:cs="Arial"/>
          <w:color w:val="000000" w:themeColor="text1"/>
          <w:szCs w:val="21"/>
        </w:rPr>
        <w:t>使用该器械的条件应描述任何该器械的具体应用、特定的禁忌症或预期使用声明中没有表明的应用，例如，脑脊液样本只为婴儿诊断传染病或脊髓/脑损伤的辅助工具。不推荐免疫球蛋白试验系统用于关节液、胸腔积液或腹腔冲洗液。</w:t>
      </w:r>
    </w:p>
    <w:p w14:paraId="542D5042">
      <w:pPr>
        <w:snapToGrid w:val="0"/>
        <w:spacing w:before="312" w:beforeLines="100" w:after="312" w:afterLines="100" w:line="300" w:lineRule="auto"/>
        <w:rPr>
          <w:rFonts w:ascii="Arial" w:hAnsi="Arial" w:eastAsia="宋体" w:cs="Arial"/>
          <w:b/>
          <w:bCs/>
          <w:color w:val="000000" w:themeColor="text1"/>
          <w:szCs w:val="21"/>
          <w:u w:val="single"/>
        </w:rPr>
      </w:pPr>
      <w:r>
        <w:rPr>
          <w:rFonts w:ascii="Arial" w:hAnsi="Arial" w:eastAsia="宋体" w:cs="Arial"/>
          <w:b/>
          <w:bCs/>
          <w:color w:val="000000" w:themeColor="text1"/>
          <w:szCs w:val="21"/>
        </w:rPr>
        <w:t>E、</w:t>
      </w:r>
      <w:r>
        <w:rPr>
          <w:rFonts w:ascii="Arial" w:hAnsi="Arial" w:eastAsia="宋体" w:cs="Arial"/>
          <w:b/>
          <w:bCs/>
          <w:color w:val="000000" w:themeColor="text1"/>
          <w:szCs w:val="21"/>
          <w:u w:val="single"/>
        </w:rPr>
        <w:t>期望结果</w:t>
      </w:r>
    </w:p>
    <w:p w14:paraId="3573A188">
      <w:pPr>
        <w:snapToGrid w:val="0"/>
        <w:spacing w:before="312" w:beforeLines="100" w:after="312" w:afterLines="100" w:line="300" w:lineRule="auto"/>
        <w:rPr>
          <w:rFonts w:ascii="Arial" w:hAnsi="Arial" w:eastAsia="宋体" w:cs="Arial"/>
          <w:color w:val="000000" w:themeColor="text1"/>
          <w:szCs w:val="21"/>
        </w:rPr>
      </w:pPr>
      <w:r>
        <w:rPr>
          <w:rFonts w:ascii="Arial" w:hAnsi="Arial" w:eastAsia="宋体" w:cs="Arial"/>
          <w:color w:val="000000" w:themeColor="text1"/>
          <w:szCs w:val="21"/>
        </w:rPr>
        <w:t xml:space="preserve">    1、参考文献应提供评估免疫球蛋白病的患病率；不同人群中适当样本部位的异常发生率。</w:t>
      </w:r>
    </w:p>
    <w:p w14:paraId="36C96958">
      <w:pPr>
        <w:widowControl/>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7F797809">
      <w:pPr>
        <w:snapToGrid w:val="0"/>
        <w:spacing w:before="312" w:beforeLines="100" w:after="312" w:afterLines="100" w:line="300" w:lineRule="auto"/>
        <w:ind w:left="405" w:hanging="405" w:hangingChars="193"/>
        <w:rPr>
          <w:rFonts w:ascii="Arial" w:hAnsi="Arial" w:eastAsia="宋体" w:cs="Arial"/>
          <w:color w:val="000000" w:themeColor="text1"/>
          <w:szCs w:val="21"/>
        </w:rPr>
      </w:pPr>
      <w:r>
        <w:rPr>
          <w:rFonts w:ascii="Arial" w:hAnsi="Arial" w:eastAsia="宋体" w:cs="Arial"/>
          <w:color w:val="000000" w:themeColor="text1"/>
          <w:szCs w:val="21"/>
        </w:rPr>
        <w:t xml:space="preserve">    2、表明患病率可能会应地理位置、年龄、性别、测试系统类型、标本采集和存储、个别患者的临床和流行病学史和种族背景而有所不同。</w:t>
      </w:r>
    </w:p>
    <w:p w14:paraId="76A4DFF0">
      <w:pPr>
        <w:snapToGrid w:val="0"/>
        <w:spacing w:before="312" w:beforeLines="100" w:after="312" w:afterLines="100" w:line="300" w:lineRule="auto"/>
        <w:rPr>
          <w:rFonts w:ascii="Arial" w:hAnsi="Arial" w:eastAsia="宋体" w:cs="Arial"/>
          <w:b/>
          <w:bCs/>
          <w:color w:val="000000" w:themeColor="text1"/>
          <w:szCs w:val="21"/>
        </w:rPr>
      </w:pPr>
      <w:r>
        <w:rPr>
          <w:rFonts w:ascii="Arial" w:hAnsi="Arial" w:eastAsia="宋体" w:cs="Arial"/>
          <w:b/>
          <w:bCs/>
          <w:color w:val="000000" w:themeColor="text1"/>
          <w:szCs w:val="21"/>
        </w:rPr>
        <w:t>F、</w:t>
      </w:r>
      <w:r>
        <w:rPr>
          <w:rFonts w:ascii="Arial" w:hAnsi="Arial" w:eastAsia="宋体" w:cs="Arial"/>
          <w:b/>
          <w:bCs/>
          <w:color w:val="000000" w:themeColor="text1"/>
          <w:szCs w:val="21"/>
          <w:u w:val="single"/>
        </w:rPr>
        <w:t>测试的局限性</w:t>
      </w:r>
    </w:p>
    <w:p w14:paraId="7E85D6BD">
      <w:pPr>
        <w:snapToGrid w:val="0"/>
        <w:spacing w:before="312" w:beforeLines="100" w:after="312" w:afterLines="100" w:line="300" w:lineRule="auto"/>
        <w:ind w:left="349" w:leftChars="166" w:firstLine="10" w:firstLineChars="5"/>
        <w:rPr>
          <w:rFonts w:ascii="Arial" w:hAnsi="Arial" w:eastAsia="宋体" w:cs="Arial"/>
          <w:color w:val="000000" w:themeColor="text1"/>
          <w:szCs w:val="21"/>
        </w:rPr>
      </w:pPr>
      <w:r>
        <w:rPr>
          <w:rFonts w:ascii="Arial" w:hAnsi="Arial" w:eastAsia="宋体" w:cs="Arial"/>
          <w:color w:val="000000" w:themeColor="text1"/>
          <w:szCs w:val="21"/>
        </w:rPr>
        <w:t>列出重要的测试局限性和所有已知的禁忌症及引用的参考文献等。酶为基础的双抗体测试系统用于检测个体免疫球蛋白（重链特异性），必须对分析物包括以下的局限性部分（免疫球蛋白IgG分子的一个抗原结合域被描述为抗体结合的抗原表位）。此外，还包括重组脱氧核糖核酸（DNA）技术允许对测试系统的设计进行创新、在特定的细菌细胞（11）产生的免疫球蛋白片段和具有所需的性能特性的纯化的Fab片段。</w:t>
      </w:r>
    </w:p>
    <w:p w14:paraId="678A524F">
      <w:pPr>
        <w:snapToGrid w:val="0"/>
        <w:spacing w:before="312" w:beforeLines="100" w:after="312" w:afterLines="100" w:line="300" w:lineRule="auto"/>
        <w:ind w:left="349" w:leftChars="166" w:firstLine="10" w:firstLineChars="5"/>
        <w:rPr>
          <w:rFonts w:ascii="Arial" w:hAnsi="Arial" w:eastAsia="宋体" w:cs="Arial"/>
          <w:color w:val="000000" w:themeColor="text1"/>
          <w:szCs w:val="21"/>
        </w:rPr>
      </w:pPr>
      <w:r>
        <w:rPr>
          <w:rFonts w:ascii="Arial" w:hAnsi="Arial" w:eastAsia="宋体" w:cs="Arial"/>
          <w:color w:val="000000" w:themeColor="text1"/>
          <w:szCs w:val="21"/>
        </w:rPr>
        <w:t>灵敏度、特异性、诊断有效性和患病率（19）有助于我们评估体外器械的检测正确结果的概率。</w:t>
      </w:r>
    </w:p>
    <w:p w14:paraId="6DB65CA2">
      <w:pPr>
        <w:snapToGrid w:val="0"/>
        <w:spacing w:before="312" w:beforeLines="100" w:after="312" w:afterLines="100" w:line="300" w:lineRule="auto"/>
        <w:ind w:left="349" w:leftChars="166" w:firstLine="10" w:firstLineChars="5"/>
        <w:rPr>
          <w:rFonts w:ascii="Arial" w:hAnsi="Arial" w:eastAsia="宋体" w:cs="Arial"/>
          <w:color w:val="000000" w:themeColor="text1"/>
          <w:szCs w:val="21"/>
        </w:rPr>
      </w:pPr>
      <w:r>
        <w:rPr>
          <w:rFonts w:ascii="Arial" w:hAnsi="Arial" w:eastAsia="宋体" w:cs="Arial"/>
          <w:color w:val="000000" w:themeColor="text1"/>
          <w:szCs w:val="21"/>
        </w:rPr>
        <w:t>特殊免疫球蛋白和免疫球蛋白的同性体的一个阳性“异常”预测值和特殊免疫球蛋白的阴性的“水平”预测值是CSE，CSP流行的二次性能特点，并应基于疾病条件和恶液质（根据年龄、性别、生活方式、地理位置、民族、传染性病原体以及其他因素等）计算理想的免疫球蛋白范围。疾病或疾病的患病率可来自计算或医学文献或出版物的已知数据。如果疾病或疾病的患病率是未知的，由于地理区域和疾病的定义或标准的不同，患病率很难确定。</w:t>
      </w:r>
    </w:p>
    <w:p w14:paraId="68A2A2FD">
      <w:pPr>
        <w:widowControl/>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46B58A8B">
      <w:pPr>
        <w:pStyle w:val="16"/>
        <w:numPr>
          <w:ilvl w:val="0"/>
          <w:numId w:val="7"/>
        </w:numPr>
        <w:snapToGrid w:val="0"/>
        <w:spacing w:before="312" w:beforeLines="100" w:after="312" w:afterLines="100" w:line="300" w:lineRule="auto"/>
        <w:ind w:firstLineChars="0"/>
        <w:rPr>
          <w:rFonts w:ascii="Arial" w:hAnsi="Arial" w:eastAsia="宋体" w:cs="Arial"/>
          <w:color w:val="000000" w:themeColor="text1"/>
          <w:szCs w:val="21"/>
        </w:rPr>
      </w:pPr>
      <w:r>
        <w:rPr>
          <w:rFonts w:ascii="Arial" w:hAnsi="Arial" w:eastAsia="宋体" w:cs="Arial"/>
          <w:color w:val="000000" w:themeColor="text1"/>
          <w:szCs w:val="21"/>
        </w:rPr>
        <w:t>除了从临床考虑，临床体外器械的解释应基于一个确定的正常免疫球蛋白浓度范围内，该器械的测试结果的概率。</w:t>
      </w:r>
    </w:p>
    <w:p w14:paraId="25CFC7AA">
      <w:pPr>
        <w:pStyle w:val="16"/>
        <w:numPr>
          <w:ilvl w:val="0"/>
          <w:numId w:val="7"/>
        </w:numPr>
        <w:snapToGrid w:val="0"/>
        <w:spacing w:before="312" w:beforeLines="100" w:after="312" w:afterLines="100" w:line="300" w:lineRule="auto"/>
        <w:ind w:firstLineChars="0"/>
        <w:rPr>
          <w:rFonts w:ascii="Arial" w:hAnsi="Arial" w:eastAsia="宋体" w:cs="Arial"/>
          <w:color w:val="000000" w:themeColor="text1"/>
          <w:szCs w:val="21"/>
        </w:rPr>
      </w:pPr>
      <w:r>
        <w:rPr>
          <w:rFonts w:ascii="Arial" w:hAnsi="Arial" w:eastAsia="宋体" w:cs="Arial"/>
          <w:color w:val="000000" w:themeColor="text1"/>
          <w:szCs w:val="21"/>
        </w:rPr>
        <w:t>可靠的结果依赖于足够的标本采集。标本充足只能通过表型/基因家族成员史来评价。</w:t>
      </w:r>
    </w:p>
    <w:p w14:paraId="2A826C4E">
      <w:pPr>
        <w:pStyle w:val="16"/>
        <w:numPr>
          <w:ilvl w:val="0"/>
          <w:numId w:val="7"/>
        </w:numPr>
        <w:snapToGrid w:val="0"/>
        <w:spacing w:before="312" w:beforeLines="100" w:after="312" w:afterLines="100" w:line="300" w:lineRule="auto"/>
        <w:ind w:firstLineChars="0"/>
        <w:rPr>
          <w:rFonts w:ascii="Arial" w:hAnsi="Arial" w:eastAsia="宋体" w:cs="Arial"/>
          <w:color w:val="000000" w:themeColor="text1"/>
          <w:szCs w:val="21"/>
        </w:rPr>
      </w:pPr>
      <w:r>
        <w:rPr>
          <w:rFonts w:ascii="Arial" w:hAnsi="Arial" w:eastAsia="宋体" w:cs="Arial"/>
          <w:color w:val="000000" w:themeColor="text1"/>
          <w:szCs w:val="21"/>
        </w:rPr>
        <w:t>对于那些使用特定技术的分析，应表明该测定将不专门区分不同的免疫球蛋白的亚类。</w:t>
      </w:r>
    </w:p>
    <w:p w14:paraId="452DE576">
      <w:pPr>
        <w:snapToGrid w:val="0"/>
        <w:spacing w:before="312" w:beforeLines="100" w:after="312" w:afterLines="100" w:line="300" w:lineRule="auto"/>
        <w:rPr>
          <w:rFonts w:ascii="Arial" w:hAnsi="Arial" w:eastAsia="宋体" w:cs="Arial"/>
          <w:b/>
          <w:bCs/>
          <w:color w:val="000000" w:themeColor="text1"/>
          <w:szCs w:val="21"/>
          <w:u w:val="single"/>
        </w:rPr>
      </w:pPr>
      <w:r>
        <w:rPr>
          <w:rFonts w:hint="eastAsia" w:ascii="宋体" w:hAnsi="宋体" w:eastAsia="宋体" w:cs="宋体"/>
          <w:b/>
          <w:bCs/>
          <w:color w:val="000000" w:themeColor="text1"/>
          <w:szCs w:val="21"/>
        </w:rPr>
        <w:t>Ⅰ</w:t>
      </w:r>
      <w:r>
        <w:rPr>
          <w:rFonts w:ascii="Arial" w:hAnsi="Arial" w:eastAsia="宋体" w:cs="Arial"/>
          <w:b/>
          <w:bCs/>
          <w:color w:val="000000" w:themeColor="text1"/>
          <w:szCs w:val="21"/>
        </w:rPr>
        <w:t>、</w:t>
      </w:r>
      <w:r>
        <w:rPr>
          <w:rFonts w:ascii="Arial" w:hAnsi="Arial" w:eastAsia="宋体" w:cs="Arial"/>
          <w:b/>
          <w:bCs/>
          <w:color w:val="000000" w:themeColor="text1"/>
          <w:szCs w:val="21"/>
          <w:u w:val="single"/>
        </w:rPr>
        <w:t>性能特点</w:t>
      </w:r>
    </w:p>
    <w:p w14:paraId="6F1A9994">
      <w:pPr>
        <w:snapToGrid w:val="0"/>
        <w:spacing w:before="312" w:beforeLines="100" w:after="312" w:afterLines="100" w:line="300" w:lineRule="auto"/>
        <w:ind w:firstLine="405" w:firstLineChars="193"/>
        <w:rPr>
          <w:rFonts w:ascii="Arial" w:hAnsi="Arial" w:eastAsia="宋体" w:cs="Arial"/>
          <w:color w:val="000000" w:themeColor="text1"/>
          <w:szCs w:val="21"/>
        </w:rPr>
      </w:pPr>
      <w:r>
        <w:rPr>
          <w:rFonts w:ascii="Arial" w:hAnsi="Arial" w:eastAsia="宋体" w:cs="Arial"/>
          <w:color w:val="000000" w:themeColor="text1"/>
          <w:szCs w:val="21"/>
        </w:rPr>
        <w:t>总结基于性能特性的数据。如与合法销售的器械进行过比较，也应提交。</w:t>
      </w:r>
    </w:p>
    <w:p w14:paraId="32CB637C">
      <w:pPr>
        <w:pStyle w:val="16"/>
        <w:numPr>
          <w:ilvl w:val="0"/>
          <w:numId w:val="8"/>
        </w:numPr>
        <w:snapToGrid w:val="0"/>
        <w:spacing w:before="312" w:beforeLines="100" w:after="312" w:afterLines="100" w:line="300" w:lineRule="auto"/>
        <w:ind w:left="798" w:hanging="406" w:firstLineChars="0"/>
        <w:rPr>
          <w:rFonts w:ascii="Arial" w:hAnsi="Arial" w:eastAsia="宋体" w:cs="Arial"/>
          <w:color w:val="000000" w:themeColor="text1"/>
          <w:szCs w:val="21"/>
        </w:rPr>
      </w:pPr>
      <w:r>
        <w:rPr>
          <w:rFonts w:ascii="Arial" w:hAnsi="Arial" w:eastAsia="宋体" w:cs="Arial"/>
          <w:color w:val="000000" w:themeColor="text1"/>
          <w:szCs w:val="21"/>
        </w:rPr>
        <w:t>阳性和阴性预测值应基于特定人群的每个样本类型（血清、血浆、脑脊液）。表明在每个测试点的患病率。</w:t>
      </w:r>
    </w:p>
    <w:p w14:paraId="6109830E">
      <w:pPr>
        <w:pStyle w:val="16"/>
        <w:numPr>
          <w:ilvl w:val="0"/>
          <w:numId w:val="8"/>
        </w:numPr>
        <w:snapToGrid w:val="0"/>
        <w:spacing w:before="312" w:beforeLines="100" w:after="312" w:afterLines="100" w:line="300" w:lineRule="auto"/>
        <w:ind w:left="798" w:hanging="406" w:firstLineChars="0"/>
        <w:rPr>
          <w:rFonts w:ascii="Arial" w:hAnsi="Arial" w:eastAsia="宋体" w:cs="Arial"/>
          <w:color w:val="000000" w:themeColor="text1"/>
          <w:szCs w:val="21"/>
        </w:rPr>
      </w:pPr>
      <w:r>
        <w:rPr>
          <w:rFonts w:ascii="Arial" w:hAnsi="Arial" w:eastAsia="宋体" w:cs="Arial"/>
          <w:color w:val="000000" w:themeColor="text1"/>
          <w:szCs w:val="21"/>
        </w:rPr>
        <w:t>以表格形式提交交叉反应性研究，指明每个免疫球蛋白类或免疫球蛋白片段的阴性、阳性、边界/可疑/不确定的结果。如下示例。</w:t>
      </w:r>
    </w:p>
    <w:p w14:paraId="46DCC356">
      <w:r>
        <w:br w:type="page"/>
      </w:r>
    </w:p>
    <w:tbl>
      <w:tblPr>
        <w:tblStyle w:val="6"/>
        <w:tblW w:w="9776" w:type="dxa"/>
        <w:jc w:val="center"/>
        <w:tblLayout w:type="fixed"/>
        <w:tblCellMar>
          <w:top w:w="15" w:type="dxa"/>
          <w:left w:w="15" w:type="dxa"/>
          <w:bottom w:w="15" w:type="dxa"/>
          <w:right w:w="15" w:type="dxa"/>
        </w:tblCellMar>
      </w:tblPr>
      <w:tblGrid>
        <w:gridCol w:w="2736"/>
        <w:gridCol w:w="7040"/>
      </w:tblGrid>
      <w:tr w14:paraId="11D0511F">
        <w:tblPrEx>
          <w:tblCellMar>
            <w:top w:w="15" w:type="dxa"/>
            <w:left w:w="15" w:type="dxa"/>
            <w:bottom w:w="15" w:type="dxa"/>
            <w:right w:w="15" w:type="dxa"/>
          </w:tblCellMar>
        </w:tblPrEx>
        <w:trPr>
          <w:trHeight w:val="286" w:hRule="atLeast"/>
          <w:jc w:val="center"/>
        </w:trPr>
        <w:tc>
          <w:tcPr>
            <w:tcW w:w="2736" w:type="dxa"/>
            <w:vMerge w:val="restart"/>
            <w:shd w:val="clear" w:color="auto" w:fill="auto"/>
            <w:vAlign w:val="center"/>
          </w:tcPr>
          <w:p w14:paraId="07BA9610">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pict>
                <v:shape id="_x0000_s2050" o:spid="_x0000_s2050" o:spt="32" type="#_x0000_t32" style="position:absolute;left:0pt;margin-left:128.8pt;margin-top:7.35pt;height:0pt;width:119.25pt;z-index:251659264;mso-width-relative:page;mso-height-relative:page;" o:connectortype="straight" filled="f" coordsize="21600,21600">
                  <v:path arrowok="t"/>
                  <v:fill on="f" focussize="0,0"/>
                  <v:stroke/>
                  <v:imagedata o:title=""/>
                  <o:lock v:ext="edit"/>
                </v:shape>
              </w:pict>
            </w:r>
            <w:r>
              <w:rPr>
                <w:rFonts w:ascii="Arial" w:hAnsi="Arial" w:eastAsia="宋体" w:cs="Arial"/>
                <w:color w:val="000000" w:themeColor="text1"/>
                <w:kern w:val="0"/>
                <w:sz w:val="22"/>
              </w:rPr>
              <w:t>灵敏度</w:t>
            </w:r>
          </w:p>
        </w:tc>
        <w:tc>
          <w:tcPr>
            <w:tcW w:w="7040" w:type="dxa"/>
            <w:shd w:val="clear" w:color="auto" w:fill="auto"/>
            <w:vAlign w:val="center"/>
          </w:tcPr>
          <w:p w14:paraId="13951DA5">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真阳性</w:t>
            </w:r>
          </w:p>
        </w:tc>
      </w:tr>
      <w:tr w14:paraId="7AE2CCBF">
        <w:tblPrEx>
          <w:tblCellMar>
            <w:top w:w="15" w:type="dxa"/>
            <w:left w:w="15" w:type="dxa"/>
            <w:bottom w:w="15" w:type="dxa"/>
            <w:right w:w="15" w:type="dxa"/>
          </w:tblCellMar>
        </w:tblPrEx>
        <w:trPr>
          <w:trHeight w:val="286" w:hRule="atLeast"/>
          <w:jc w:val="center"/>
        </w:trPr>
        <w:tc>
          <w:tcPr>
            <w:tcW w:w="2736" w:type="dxa"/>
            <w:vMerge w:val="continue"/>
            <w:shd w:val="clear" w:color="auto" w:fill="auto"/>
            <w:vAlign w:val="center"/>
          </w:tcPr>
          <w:p w14:paraId="0C5CA4C3">
            <w:pPr>
              <w:snapToGrid w:val="0"/>
              <w:spacing w:line="300" w:lineRule="auto"/>
              <w:rPr>
                <w:rFonts w:ascii="Arial" w:hAnsi="Arial" w:eastAsia="宋体" w:cs="Arial"/>
                <w:color w:val="000000" w:themeColor="text1"/>
                <w:sz w:val="22"/>
              </w:rPr>
            </w:pPr>
          </w:p>
        </w:tc>
        <w:tc>
          <w:tcPr>
            <w:tcW w:w="7040" w:type="dxa"/>
            <w:shd w:val="clear" w:color="auto" w:fill="auto"/>
            <w:vAlign w:val="center"/>
          </w:tcPr>
          <w:p w14:paraId="77881AEB">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真阳性+假阴性+可疑</w:t>
            </w:r>
          </w:p>
        </w:tc>
      </w:tr>
      <w:tr w14:paraId="77BC16FC">
        <w:tblPrEx>
          <w:tblCellMar>
            <w:top w:w="15" w:type="dxa"/>
            <w:left w:w="15" w:type="dxa"/>
            <w:bottom w:w="15" w:type="dxa"/>
            <w:right w:w="15" w:type="dxa"/>
          </w:tblCellMar>
        </w:tblPrEx>
        <w:trPr>
          <w:trHeight w:val="285" w:hRule="atLeast"/>
          <w:jc w:val="center"/>
        </w:trPr>
        <w:tc>
          <w:tcPr>
            <w:tcW w:w="2736" w:type="dxa"/>
            <w:vMerge w:val="restart"/>
            <w:shd w:val="clear" w:color="auto" w:fill="auto"/>
            <w:vAlign w:val="center"/>
          </w:tcPr>
          <w:p w14:paraId="1027F5E6">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pict>
                <v:shape id="_x0000_s2051" o:spid="_x0000_s2051" o:spt="32" type="#_x0000_t32" style="position:absolute;left:0pt;margin-left:131.7pt;margin-top:8.05pt;height:0pt;width:114.4pt;z-index:251660288;mso-width-relative:page;mso-height-relative:page;" o:connectortype="straight" filled="f" coordsize="21600,21600">
                  <v:path arrowok="t"/>
                  <v:fill on="f" focussize="0,0"/>
                  <v:stroke/>
                  <v:imagedata o:title=""/>
                  <o:lock v:ext="edit"/>
                </v:shape>
              </w:pict>
            </w:r>
            <w:r>
              <w:rPr>
                <w:rFonts w:ascii="Arial" w:hAnsi="Arial" w:eastAsia="宋体" w:cs="Arial"/>
                <w:color w:val="000000" w:themeColor="text1"/>
                <w:kern w:val="0"/>
                <w:sz w:val="22"/>
              </w:rPr>
              <w:t>特异性</w:t>
            </w:r>
          </w:p>
        </w:tc>
        <w:tc>
          <w:tcPr>
            <w:tcW w:w="7040" w:type="dxa"/>
            <w:shd w:val="clear" w:color="auto" w:fill="auto"/>
            <w:vAlign w:val="center"/>
          </w:tcPr>
          <w:p w14:paraId="22AC1CCC">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真阴性</w:t>
            </w:r>
          </w:p>
        </w:tc>
      </w:tr>
      <w:tr w14:paraId="5455E05A">
        <w:tblPrEx>
          <w:tblCellMar>
            <w:top w:w="15" w:type="dxa"/>
            <w:left w:w="15" w:type="dxa"/>
            <w:bottom w:w="15" w:type="dxa"/>
            <w:right w:w="15" w:type="dxa"/>
          </w:tblCellMar>
        </w:tblPrEx>
        <w:trPr>
          <w:trHeight w:val="285" w:hRule="atLeast"/>
          <w:jc w:val="center"/>
        </w:trPr>
        <w:tc>
          <w:tcPr>
            <w:tcW w:w="2736" w:type="dxa"/>
            <w:vMerge w:val="continue"/>
            <w:shd w:val="clear" w:color="auto" w:fill="auto"/>
            <w:vAlign w:val="center"/>
          </w:tcPr>
          <w:p w14:paraId="4BCEAB48">
            <w:pPr>
              <w:snapToGrid w:val="0"/>
              <w:spacing w:line="300" w:lineRule="auto"/>
              <w:rPr>
                <w:rFonts w:ascii="Arial" w:hAnsi="Arial" w:eastAsia="宋体" w:cs="Arial"/>
                <w:color w:val="000000" w:themeColor="text1"/>
                <w:sz w:val="22"/>
              </w:rPr>
            </w:pPr>
          </w:p>
        </w:tc>
        <w:tc>
          <w:tcPr>
            <w:tcW w:w="7040" w:type="dxa"/>
            <w:shd w:val="clear" w:color="auto" w:fill="auto"/>
            <w:vAlign w:val="center"/>
          </w:tcPr>
          <w:p w14:paraId="57505046">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真阴性+假阳性+可疑</w:t>
            </w:r>
          </w:p>
        </w:tc>
      </w:tr>
    </w:tbl>
    <w:p w14:paraId="08FF8CAE">
      <w:pPr>
        <w:tabs>
          <w:tab w:val="left" w:pos="1418"/>
        </w:tabs>
        <w:snapToGrid w:val="0"/>
        <w:spacing w:line="300" w:lineRule="auto"/>
        <w:jc w:val="center"/>
        <w:rPr>
          <w:rFonts w:ascii="Arial" w:hAnsi="Arial" w:eastAsia="宋体" w:cs="Arial"/>
          <w:color w:val="000000" w:themeColor="text1"/>
          <w:szCs w:val="21"/>
        </w:rPr>
      </w:pPr>
      <w:r>
        <w:rPr>
          <w:rFonts w:ascii="Arial" w:hAnsi="Arial" w:eastAsia="宋体" w:cs="Arial"/>
          <w:color w:val="000000" w:themeColor="text1"/>
          <w:szCs w:val="21"/>
        </w:rPr>
        <w:t>数据表举例</w:t>
      </w:r>
    </w:p>
    <w:p w14:paraId="641DDD7E">
      <w:pPr>
        <w:snapToGrid w:val="0"/>
        <w:spacing w:line="300" w:lineRule="auto"/>
        <w:jc w:val="center"/>
        <w:rPr>
          <w:rFonts w:ascii="Arial" w:hAnsi="Arial" w:eastAsia="宋体" w:cs="Arial"/>
          <w:color w:val="000000" w:themeColor="text1"/>
          <w:szCs w:val="21"/>
        </w:rPr>
      </w:pPr>
      <w:r>
        <w:rPr>
          <w:rFonts w:ascii="Arial" w:hAnsi="Arial" w:eastAsia="宋体" w:cs="Arial"/>
          <w:color w:val="000000" w:themeColor="text1"/>
          <w:szCs w:val="21"/>
        </w:rPr>
        <w:pict>
          <v:shape id="_x0000_s2055" o:spid="_x0000_s2055" o:spt="32" type="#_x0000_t32" style="position:absolute;left:0pt;margin-left:99.5pt;margin-top:15.55pt;height:76.5pt;width:0pt;z-index:251664384;mso-width-relative:page;mso-height-relative:page;" o:connectortype="straight" filled="f" coordsize="21600,21600">
            <v:path arrowok="t"/>
            <v:fill on="f" focussize="0,0"/>
            <v:stroke/>
            <v:imagedata o:title=""/>
            <o:lock v:ext="edit"/>
          </v:shape>
        </w:pict>
      </w:r>
      <w:r>
        <w:rPr>
          <w:rFonts w:ascii="Arial" w:hAnsi="Arial" w:eastAsia="宋体" w:cs="Arial"/>
          <w:color w:val="000000" w:themeColor="text1"/>
          <w:szCs w:val="21"/>
        </w:rPr>
        <w:pict>
          <v:shape id="_x0000_s2053" o:spid="_x0000_s2053" o:spt="32" type="#_x0000_t32" style="position:absolute;left:0pt;margin-left:384.05pt;margin-top:15.55pt;height:76.5pt;width:0pt;z-index:251662336;mso-width-relative:page;mso-height-relative:page;" o:connectortype="straight" filled="f" coordsize="21600,21600">
            <v:path arrowok="t"/>
            <v:fill on="f" focussize="0,0"/>
            <v:stroke/>
            <v:imagedata o:title=""/>
            <o:lock v:ext="edit"/>
          </v:shape>
        </w:pict>
      </w:r>
      <w:r>
        <w:rPr>
          <w:rFonts w:ascii="Arial" w:hAnsi="Arial" w:eastAsia="宋体" w:cs="Arial"/>
          <w:color w:val="000000" w:themeColor="text1"/>
          <w:szCs w:val="21"/>
        </w:rPr>
        <w:pict>
          <v:shape id="_x0000_s2054" o:spid="_x0000_s2054" o:spt="32" type="#_x0000_t32" style="position:absolute;left:0pt;flip:x;margin-left:-4.35pt;margin-top:92.05pt;height:0pt;width:388.4pt;z-index:251663360;mso-width-relative:page;mso-height-relative:page;" o:connectortype="straight" filled="f" coordsize="21600,21600">
            <v:path arrowok="t"/>
            <v:fill on="f" focussize="0,0"/>
            <v:stroke/>
            <v:imagedata o:title=""/>
            <o:lock v:ext="edit"/>
          </v:shape>
        </w:pict>
      </w:r>
      <w:r>
        <w:rPr>
          <w:rFonts w:ascii="Arial" w:hAnsi="Arial" w:eastAsia="宋体" w:cs="Arial"/>
          <w:color w:val="000000" w:themeColor="text1"/>
          <w:szCs w:val="21"/>
        </w:rPr>
        <w:pict>
          <v:shape id="_x0000_s2052" o:spid="_x0000_s2052" o:spt="32" type="#_x0000_t32" style="position:absolute;left:0pt;margin-left:1.5pt;margin-top:15.55pt;height:0pt;width:382.55pt;z-index:251661312;mso-width-relative:page;mso-height-relative:page;" o:connectortype="straight" filled="f" coordsize="21600,21600">
            <v:path arrowok="t"/>
            <v:fill on="f" focussize="0,0"/>
            <v:stroke/>
            <v:imagedata o:title=""/>
            <o:lock v:ext="edit"/>
          </v:shape>
        </w:pict>
      </w:r>
      <w:r>
        <w:rPr>
          <w:rFonts w:ascii="Arial" w:hAnsi="Arial" w:eastAsia="宋体" w:cs="Arial"/>
          <w:color w:val="000000" w:themeColor="text1"/>
          <w:szCs w:val="21"/>
        </w:rPr>
        <w:t>测试结果（可接受的方法）</w:t>
      </w:r>
    </w:p>
    <w:tbl>
      <w:tblPr>
        <w:tblStyle w:val="6"/>
        <w:tblW w:w="9776" w:type="dxa"/>
        <w:tblInd w:w="0" w:type="dxa"/>
        <w:tblLayout w:type="fixed"/>
        <w:tblCellMar>
          <w:top w:w="15" w:type="dxa"/>
          <w:left w:w="15" w:type="dxa"/>
          <w:bottom w:w="15" w:type="dxa"/>
          <w:right w:w="15" w:type="dxa"/>
        </w:tblCellMar>
      </w:tblPr>
      <w:tblGrid>
        <w:gridCol w:w="1075"/>
        <w:gridCol w:w="1074"/>
        <w:gridCol w:w="2179"/>
        <w:gridCol w:w="2120"/>
        <w:gridCol w:w="2253"/>
        <w:gridCol w:w="1075"/>
      </w:tblGrid>
      <w:tr w14:paraId="05BE7C86">
        <w:tblPrEx>
          <w:tblCellMar>
            <w:top w:w="15" w:type="dxa"/>
            <w:left w:w="15" w:type="dxa"/>
            <w:bottom w:w="15" w:type="dxa"/>
            <w:right w:w="15" w:type="dxa"/>
          </w:tblCellMar>
        </w:tblPrEx>
        <w:trPr>
          <w:trHeight w:val="286" w:hRule="atLeast"/>
        </w:trPr>
        <w:tc>
          <w:tcPr>
            <w:tcW w:w="1075" w:type="dxa"/>
            <w:vMerge w:val="restart"/>
            <w:shd w:val="clear" w:color="auto" w:fill="auto"/>
            <w:vAlign w:val="center"/>
          </w:tcPr>
          <w:p w14:paraId="7D5B2A22">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测试</w:t>
            </w:r>
          </w:p>
        </w:tc>
        <w:tc>
          <w:tcPr>
            <w:tcW w:w="1074" w:type="dxa"/>
            <w:shd w:val="clear" w:color="auto" w:fill="auto"/>
            <w:vAlign w:val="center"/>
          </w:tcPr>
          <w:p w14:paraId="29371DCF">
            <w:pPr>
              <w:snapToGrid w:val="0"/>
              <w:spacing w:line="300" w:lineRule="auto"/>
              <w:rPr>
                <w:rFonts w:ascii="Arial" w:hAnsi="Arial" w:eastAsia="宋体" w:cs="Arial"/>
                <w:color w:val="000000" w:themeColor="text1"/>
                <w:sz w:val="22"/>
              </w:rPr>
            </w:pPr>
          </w:p>
        </w:tc>
        <w:tc>
          <w:tcPr>
            <w:tcW w:w="2179" w:type="dxa"/>
            <w:shd w:val="clear" w:color="auto" w:fill="auto"/>
            <w:vAlign w:val="center"/>
          </w:tcPr>
          <w:p w14:paraId="0B44786C">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阳性</w:t>
            </w:r>
          </w:p>
        </w:tc>
        <w:tc>
          <w:tcPr>
            <w:tcW w:w="2120" w:type="dxa"/>
            <w:shd w:val="clear" w:color="auto" w:fill="auto"/>
            <w:vAlign w:val="center"/>
          </w:tcPr>
          <w:p w14:paraId="17A207CE">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阴性</w:t>
            </w:r>
          </w:p>
        </w:tc>
        <w:tc>
          <w:tcPr>
            <w:tcW w:w="2253" w:type="dxa"/>
            <w:shd w:val="clear" w:color="auto" w:fill="auto"/>
            <w:vAlign w:val="center"/>
          </w:tcPr>
          <w:p w14:paraId="0A09DCC4">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可疑</w:t>
            </w:r>
          </w:p>
        </w:tc>
        <w:tc>
          <w:tcPr>
            <w:tcW w:w="1075" w:type="dxa"/>
            <w:shd w:val="clear" w:color="auto" w:fill="auto"/>
            <w:vAlign w:val="center"/>
          </w:tcPr>
          <w:p w14:paraId="122A84FB">
            <w:pPr>
              <w:snapToGrid w:val="0"/>
              <w:spacing w:line="300" w:lineRule="auto"/>
              <w:rPr>
                <w:rFonts w:ascii="Arial" w:hAnsi="Arial" w:eastAsia="宋体" w:cs="Arial"/>
                <w:color w:val="000000" w:themeColor="text1"/>
                <w:sz w:val="22"/>
              </w:rPr>
            </w:pPr>
            <w:r>
              <w:rPr>
                <w:rFonts w:ascii="Arial" w:hAnsi="Arial" w:eastAsia="宋体" w:cs="Arial"/>
                <w:color w:val="000000" w:themeColor="text1"/>
                <w:kern w:val="0"/>
                <w:sz w:val="22"/>
              </w:rPr>
              <w:t>140</w:t>
            </w:r>
          </w:p>
        </w:tc>
      </w:tr>
      <w:tr w14:paraId="280C2D16">
        <w:tblPrEx>
          <w:tblCellMar>
            <w:top w:w="15" w:type="dxa"/>
            <w:left w:w="15" w:type="dxa"/>
            <w:bottom w:w="15" w:type="dxa"/>
            <w:right w:w="15" w:type="dxa"/>
          </w:tblCellMar>
        </w:tblPrEx>
        <w:trPr>
          <w:trHeight w:val="285" w:hRule="atLeast"/>
        </w:trPr>
        <w:tc>
          <w:tcPr>
            <w:tcW w:w="1075" w:type="dxa"/>
            <w:vMerge w:val="continue"/>
            <w:shd w:val="clear" w:color="auto" w:fill="auto"/>
            <w:vAlign w:val="center"/>
          </w:tcPr>
          <w:p w14:paraId="1330063A">
            <w:pPr>
              <w:snapToGrid w:val="0"/>
              <w:spacing w:line="300" w:lineRule="auto"/>
              <w:rPr>
                <w:rFonts w:ascii="Arial" w:hAnsi="Arial" w:eastAsia="宋体" w:cs="Arial"/>
                <w:color w:val="000000" w:themeColor="text1"/>
                <w:sz w:val="22"/>
              </w:rPr>
            </w:pPr>
          </w:p>
        </w:tc>
        <w:tc>
          <w:tcPr>
            <w:tcW w:w="1074" w:type="dxa"/>
            <w:shd w:val="clear" w:color="auto" w:fill="auto"/>
            <w:vAlign w:val="center"/>
          </w:tcPr>
          <w:p w14:paraId="41FC56B0">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pict>
                <v:shape id="_x0000_s2056" o:spid="_x0000_s2056" o:spt="32" type="#_x0000_t32" style="position:absolute;left:0pt;margin-left:46.5pt;margin-top:16.4pt;height:0pt;width:284.55pt;z-index:251665408;mso-width-relative:page;mso-height-relative:page;" o:connectortype="straight" filled="f" coordsize="21600,21600">
                  <v:path arrowok="t"/>
                  <v:fill on="f" focussize="0,0"/>
                  <v:stroke/>
                  <v:imagedata o:title=""/>
                  <o:lock v:ext="edit"/>
                </v:shape>
              </w:pict>
            </w:r>
            <w:r>
              <w:rPr>
                <w:rFonts w:ascii="Arial" w:hAnsi="Arial" w:eastAsia="宋体" w:cs="Arial"/>
                <w:color w:val="000000" w:themeColor="text1"/>
                <w:kern w:val="0"/>
                <w:sz w:val="22"/>
              </w:rPr>
              <w:t>（阳性）</w:t>
            </w:r>
          </w:p>
        </w:tc>
        <w:tc>
          <w:tcPr>
            <w:tcW w:w="2179" w:type="dxa"/>
            <w:shd w:val="clear" w:color="auto" w:fill="auto"/>
            <w:vAlign w:val="center"/>
          </w:tcPr>
          <w:p w14:paraId="7E7975E3">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45（真阳性）</w:t>
            </w:r>
          </w:p>
        </w:tc>
        <w:tc>
          <w:tcPr>
            <w:tcW w:w="2120" w:type="dxa"/>
            <w:shd w:val="clear" w:color="auto" w:fill="auto"/>
            <w:vAlign w:val="center"/>
          </w:tcPr>
          <w:p w14:paraId="0A024BA5">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95（假阳性）</w:t>
            </w:r>
          </w:p>
        </w:tc>
        <w:tc>
          <w:tcPr>
            <w:tcW w:w="2253" w:type="dxa"/>
            <w:shd w:val="clear" w:color="auto" w:fill="auto"/>
            <w:vAlign w:val="center"/>
          </w:tcPr>
          <w:p w14:paraId="02728799">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0</w:t>
            </w:r>
          </w:p>
        </w:tc>
        <w:tc>
          <w:tcPr>
            <w:tcW w:w="1075" w:type="dxa"/>
            <w:shd w:val="clear" w:color="auto" w:fill="auto"/>
            <w:vAlign w:val="center"/>
          </w:tcPr>
          <w:p w14:paraId="727B740E">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860</w:t>
            </w:r>
          </w:p>
        </w:tc>
      </w:tr>
      <w:tr w14:paraId="342E9E7C">
        <w:tblPrEx>
          <w:tblCellMar>
            <w:top w:w="15" w:type="dxa"/>
            <w:left w:w="15" w:type="dxa"/>
            <w:bottom w:w="15" w:type="dxa"/>
            <w:right w:w="15" w:type="dxa"/>
          </w:tblCellMar>
        </w:tblPrEx>
        <w:trPr>
          <w:trHeight w:val="285" w:hRule="atLeast"/>
        </w:trPr>
        <w:tc>
          <w:tcPr>
            <w:tcW w:w="1075" w:type="dxa"/>
            <w:vMerge w:val="continue"/>
            <w:shd w:val="clear" w:color="auto" w:fill="auto"/>
            <w:vAlign w:val="center"/>
          </w:tcPr>
          <w:p w14:paraId="50AF6FC3">
            <w:pPr>
              <w:snapToGrid w:val="0"/>
              <w:spacing w:line="300" w:lineRule="auto"/>
              <w:rPr>
                <w:rFonts w:ascii="Arial" w:hAnsi="Arial" w:eastAsia="宋体" w:cs="Arial"/>
                <w:color w:val="000000" w:themeColor="text1"/>
                <w:sz w:val="22"/>
              </w:rPr>
            </w:pPr>
          </w:p>
        </w:tc>
        <w:tc>
          <w:tcPr>
            <w:tcW w:w="1074" w:type="dxa"/>
            <w:shd w:val="clear" w:color="auto" w:fill="auto"/>
            <w:vAlign w:val="center"/>
          </w:tcPr>
          <w:p w14:paraId="58FBBC19">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（阴性）</w:t>
            </w:r>
          </w:p>
        </w:tc>
        <w:tc>
          <w:tcPr>
            <w:tcW w:w="2179" w:type="dxa"/>
            <w:shd w:val="clear" w:color="auto" w:fill="auto"/>
            <w:vAlign w:val="center"/>
          </w:tcPr>
          <w:p w14:paraId="335F8EDC">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5（假阴性）</w:t>
            </w:r>
          </w:p>
        </w:tc>
        <w:tc>
          <w:tcPr>
            <w:tcW w:w="2120" w:type="dxa"/>
            <w:shd w:val="clear" w:color="auto" w:fill="auto"/>
            <w:vAlign w:val="center"/>
          </w:tcPr>
          <w:p w14:paraId="3A94C7A1">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855（真阴性）</w:t>
            </w:r>
          </w:p>
        </w:tc>
        <w:tc>
          <w:tcPr>
            <w:tcW w:w="2253" w:type="dxa"/>
            <w:shd w:val="clear" w:color="auto" w:fill="auto"/>
            <w:vAlign w:val="center"/>
          </w:tcPr>
          <w:p w14:paraId="5563CDD1">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0</w:t>
            </w:r>
          </w:p>
        </w:tc>
        <w:tc>
          <w:tcPr>
            <w:tcW w:w="1075" w:type="dxa"/>
            <w:shd w:val="clear" w:color="auto" w:fill="auto"/>
            <w:vAlign w:val="center"/>
          </w:tcPr>
          <w:p w14:paraId="452BE13C">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6</w:t>
            </w:r>
          </w:p>
        </w:tc>
      </w:tr>
      <w:tr w14:paraId="5987584B">
        <w:tblPrEx>
          <w:tblCellMar>
            <w:top w:w="15" w:type="dxa"/>
            <w:left w:w="15" w:type="dxa"/>
            <w:bottom w:w="15" w:type="dxa"/>
            <w:right w:w="15" w:type="dxa"/>
          </w:tblCellMar>
        </w:tblPrEx>
        <w:trPr>
          <w:trHeight w:val="285" w:hRule="atLeast"/>
        </w:trPr>
        <w:tc>
          <w:tcPr>
            <w:tcW w:w="1075" w:type="dxa"/>
            <w:vMerge w:val="continue"/>
            <w:shd w:val="clear" w:color="auto" w:fill="auto"/>
            <w:vAlign w:val="center"/>
          </w:tcPr>
          <w:p w14:paraId="6558406E">
            <w:pPr>
              <w:snapToGrid w:val="0"/>
              <w:spacing w:line="300" w:lineRule="auto"/>
              <w:rPr>
                <w:rFonts w:ascii="Arial" w:hAnsi="Arial" w:eastAsia="宋体" w:cs="Arial"/>
                <w:color w:val="000000" w:themeColor="text1"/>
                <w:sz w:val="22"/>
              </w:rPr>
            </w:pPr>
          </w:p>
        </w:tc>
        <w:tc>
          <w:tcPr>
            <w:tcW w:w="1074" w:type="dxa"/>
            <w:shd w:val="clear" w:color="auto" w:fill="auto"/>
            <w:vAlign w:val="center"/>
          </w:tcPr>
          <w:p w14:paraId="5398E0E7">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（可疑）</w:t>
            </w:r>
          </w:p>
        </w:tc>
        <w:tc>
          <w:tcPr>
            <w:tcW w:w="2179" w:type="dxa"/>
            <w:shd w:val="clear" w:color="auto" w:fill="auto"/>
            <w:vAlign w:val="center"/>
          </w:tcPr>
          <w:p w14:paraId="77512D84">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3</w:t>
            </w:r>
          </w:p>
        </w:tc>
        <w:tc>
          <w:tcPr>
            <w:tcW w:w="2120" w:type="dxa"/>
            <w:shd w:val="clear" w:color="auto" w:fill="auto"/>
            <w:vAlign w:val="center"/>
          </w:tcPr>
          <w:p w14:paraId="76E5F8CD">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3</w:t>
            </w:r>
          </w:p>
        </w:tc>
        <w:tc>
          <w:tcPr>
            <w:tcW w:w="2253" w:type="dxa"/>
            <w:shd w:val="clear" w:color="auto" w:fill="auto"/>
            <w:vAlign w:val="center"/>
          </w:tcPr>
          <w:p w14:paraId="65487613">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0</w:t>
            </w:r>
          </w:p>
        </w:tc>
        <w:tc>
          <w:tcPr>
            <w:tcW w:w="1075" w:type="dxa"/>
            <w:shd w:val="clear" w:color="auto" w:fill="auto"/>
            <w:vAlign w:val="center"/>
          </w:tcPr>
          <w:p w14:paraId="2FAF2D80">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1006</w:t>
            </w:r>
          </w:p>
        </w:tc>
      </w:tr>
      <w:tr w14:paraId="66DDAA95">
        <w:tblPrEx>
          <w:tblCellMar>
            <w:top w:w="15" w:type="dxa"/>
            <w:left w:w="15" w:type="dxa"/>
            <w:bottom w:w="15" w:type="dxa"/>
            <w:right w:w="15" w:type="dxa"/>
          </w:tblCellMar>
        </w:tblPrEx>
        <w:trPr>
          <w:trHeight w:val="285" w:hRule="atLeast"/>
        </w:trPr>
        <w:tc>
          <w:tcPr>
            <w:tcW w:w="1075" w:type="dxa"/>
            <w:vMerge w:val="continue"/>
            <w:shd w:val="clear" w:color="auto" w:fill="auto"/>
            <w:vAlign w:val="center"/>
          </w:tcPr>
          <w:p w14:paraId="36ACF928">
            <w:pPr>
              <w:snapToGrid w:val="0"/>
              <w:spacing w:line="300" w:lineRule="auto"/>
              <w:rPr>
                <w:rFonts w:ascii="Arial" w:hAnsi="Arial" w:eastAsia="宋体" w:cs="Arial"/>
                <w:color w:val="000000" w:themeColor="text1"/>
                <w:sz w:val="22"/>
              </w:rPr>
            </w:pPr>
          </w:p>
        </w:tc>
        <w:tc>
          <w:tcPr>
            <w:tcW w:w="1074" w:type="dxa"/>
            <w:shd w:val="clear" w:color="auto" w:fill="auto"/>
            <w:vAlign w:val="center"/>
          </w:tcPr>
          <w:p w14:paraId="2DAC8C7F">
            <w:pPr>
              <w:snapToGrid w:val="0"/>
              <w:spacing w:line="300" w:lineRule="auto"/>
              <w:rPr>
                <w:rFonts w:ascii="Arial" w:hAnsi="Arial" w:eastAsia="宋体" w:cs="Arial"/>
                <w:color w:val="000000" w:themeColor="text1"/>
                <w:sz w:val="22"/>
              </w:rPr>
            </w:pPr>
          </w:p>
        </w:tc>
        <w:tc>
          <w:tcPr>
            <w:tcW w:w="2179" w:type="dxa"/>
            <w:shd w:val="clear" w:color="auto" w:fill="auto"/>
            <w:vAlign w:val="center"/>
          </w:tcPr>
          <w:p w14:paraId="0A763127">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53</w:t>
            </w:r>
          </w:p>
        </w:tc>
        <w:tc>
          <w:tcPr>
            <w:tcW w:w="2120" w:type="dxa"/>
            <w:shd w:val="clear" w:color="auto" w:fill="auto"/>
            <w:vAlign w:val="center"/>
          </w:tcPr>
          <w:p w14:paraId="17E56CC0">
            <w:pPr>
              <w:widowControl/>
              <w:snapToGrid w:val="0"/>
              <w:spacing w:line="300" w:lineRule="auto"/>
              <w:textAlignment w:val="center"/>
              <w:rPr>
                <w:rFonts w:ascii="Arial" w:hAnsi="Arial" w:eastAsia="宋体" w:cs="Arial"/>
                <w:color w:val="000000" w:themeColor="text1"/>
                <w:sz w:val="22"/>
              </w:rPr>
            </w:pPr>
            <w:r>
              <w:rPr>
                <w:rFonts w:ascii="Arial" w:hAnsi="Arial" w:eastAsia="宋体" w:cs="Arial"/>
                <w:color w:val="000000" w:themeColor="text1"/>
                <w:kern w:val="0"/>
                <w:sz w:val="22"/>
              </w:rPr>
              <w:t>953</w:t>
            </w:r>
          </w:p>
        </w:tc>
        <w:tc>
          <w:tcPr>
            <w:tcW w:w="2253" w:type="dxa"/>
            <w:shd w:val="clear" w:color="auto" w:fill="auto"/>
            <w:vAlign w:val="center"/>
          </w:tcPr>
          <w:p w14:paraId="10B16A6C">
            <w:pPr>
              <w:snapToGrid w:val="0"/>
              <w:spacing w:line="300" w:lineRule="auto"/>
              <w:rPr>
                <w:rFonts w:ascii="Arial" w:hAnsi="Arial" w:eastAsia="宋体" w:cs="Arial"/>
                <w:color w:val="000000" w:themeColor="text1"/>
                <w:sz w:val="22"/>
              </w:rPr>
            </w:pPr>
          </w:p>
        </w:tc>
        <w:tc>
          <w:tcPr>
            <w:tcW w:w="1075" w:type="dxa"/>
            <w:shd w:val="clear" w:color="auto" w:fill="auto"/>
            <w:vAlign w:val="center"/>
          </w:tcPr>
          <w:p w14:paraId="68DB1E88">
            <w:pPr>
              <w:widowControl/>
              <w:snapToGrid w:val="0"/>
              <w:spacing w:line="300" w:lineRule="auto"/>
              <w:textAlignment w:val="center"/>
              <w:rPr>
                <w:rFonts w:ascii="Arial" w:hAnsi="Arial" w:eastAsia="宋体" w:cs="Arial"/>
                <w:color w:val="000000" w:themeColor="text1"/>
                <w:sz w:val="22"/>
              </w:rPr>
            </w:pPr>
          </w:p>
        </w:tc>
      </w:tr>
    </w:tbl>
    <w:p w14:paraId="7C9B00F4">
      <w:pPr>
        <w:snapToGrid w:val="0"/>
        <w:spacing w:line="300" w:lineRule="auto"/>
        <w:rPr>
          <w:rFonts w:ascii="Arial" w:hAnsi="Arial" w:eastAsia="宋体" w:cs="Arial"/>
          <w:color w:val="000000" w:themeColor="text1"/>
          <w:szCs w:val="21"/>
        </w:rPr>
      </w:pPr>
    </w:p>
    <w:p w14:paraId="07C61BCE">
      <w:pPr>
        <w:widowControl/>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6704EEBB">
      <w:pPr>
        <w:pStyle w:val="16"/>
        <w:numPr>
          <w:ilvl w:val="0"/>
          <w:numId w:val="8"/>
        </w:numPr>
        <w:snapToGrid w:val="0"/>
        <w:spacing w:before="312" w:beforeLines="100" w:after="312" w:afterLines="100" w:line="300" w:lineRule="auto"/>
        <w:ind w:left="1196" w:hanging="357" w:firstLineChars="0"/>
        <w:rPr>
          <w:rFonts w:ascii="Arial" w:hAnsi="Arial" w:eastAsia="宋体" w:cs="Arial"/>
          <w:color w:val="000000" w:themeColor="text1"/>
          <w:szCs w:val="21"/>
        </w:rPr>
      </w:pPr>
      <w:r>
        <w:rPr>
          <w:rFonts w:ascii="Arial" w:hAnsi="Arial" w:eastAsia="宋体" w:cs="Arial"/>
          <w:color w:val="000000" w:themeColor="text1"/>
          <w:szCs w:val="21"/>
        </w:rPr>
        <w:t>所有免疫球蛋白类和子类，免疫球蛋白或重链或轻链标记片段的测量单位和检测限。</w:t>
      </w:r>
    </w:p>
    <w:p w14:paraId="01F88E94">
      <w:pPr>
        <w:pStyle w:val="16"/>
        <w:numPr>
          <w:ilvl w:val="0"/>
          <w:numId w:val="8"/>
        </w:numPr>
        <w:snapToGrid w:val="0"/>
        <w:spacing w:before="312" w:beforeLines="100" w:after="312" w:afterLines="100" w:line="300" w:lineRule="auto"/>
        <w:ind w:left="1196" w:hanging="357" w:firstLineChars="0"/>
        <w:rPr>
          <w:rFonts w:ascii="Arial" w:hAnsi="Arial" w:eastAsia="宋体" w:cs="Arial"/>
          <w:color w:val="000000" w:themeColor="text1"/>
          <w:szCs w:val="21"/>
        </w:rPr>
      </w:pPr>
      <w:r>
        <w:rPr>
          <w:rFonts w:ascii="Arial" w:hAnsi="Arial" w:eastAsia="宋体" w:cs="Arial"/>
          <w:color w:val="000000" w:themeColor="text1"/>
          <w:szCs w:val="21"/>
        </w:rPr>
        <w:t>总结重复性特点，包括（如精密度、准确度、线性度、分析灵敏度）的参数，测试试剂盒性能的可接受水平。</w:t>
      </w:r>
    </w:p>
    <w:p w14:paraId="5C4330D0">
      <w:pPr>
        <w:pStyle w:val="16"/>
        <w:numPr>
          <w:ilvl w:val="0"/>
          <w:numId w:val="8"/>
        </w:numPr>
        <w:snapToGrid w:val="0"/>
        <w:spacing w:before="312" w:beforeLines="100" w:after="312" w:afterLines="100" w:line="300" w:lineRule="auto"/>
        <w:ind w:left="1196" w:hanging="357" w:firstLineChars="0"/>
        <w:rPr>
          <w:rFonts w:ascii="Arial" w:hAnsi="Arial" w:eastAsia="宋体" w:cs="Arial"/>
          <w:color w:val="000000" w:themeColor="text1"/>
          <w:szCs w:val="21"/>
        </w:rPr>
      </w:pPr>
      <w:r>
        <w:rPr>
          <w:rFonts w:ascii="Arial" w:hAnsi="Arial" w:eastAsia="宋体" w:cs="Arial"/>
          <w:color w:val="000000" w:themeColor="text1"/>
          <w:szCs w:val="21"/>
        </w:rPr>
        <w:t>提供比较研究数据，使用不同类别的不同免疫球蛋白类（18）。所有边界的/可疑的/不确定的结果均应清楚表明。解决测试器械和参考方法之间的差异，并以脚注或在单独的表中呈现。对于需进一步分类的样本（如按过敏严重程度分组的）应说明。</w:t>
      </w:r>
    </w:p>
    <w:p w14:paraId="5408ED82">
      <w:pPr>
        <w:widowControl/>
        <w:jc w:val="left"/>
        <w:rPr>
          <w:rFonts w:ascii="Arial" w:hAnsi="Arial" w:eastAsia="宋体" w:cs="Arial"/>
          <w:color w:val="000000" w:themeColor="text1"/>
          <w:szCs w:val="21"/>
        </w:rPr>
      </w:pPr>
      <w:r>
        <w:rPr>
          <w:rFonts w:ascii="Arial" w:hAnsi="Arial" w:eastAsia="宋体" w:cs="Arial"/>
          <w:color w:val="000000" w:themeColor="text1"/>
          <w:szCs w:val="21"/>
        </w:rPr>
        <w:br w:type="page"/>
      </w:r>
    </w:p>
    <w:p w14:paraId="662DDD0E">
      <w:pPr>
        <w:snapToGrid w:val="0"/>
        <w:spacing w:line="300" w:lineRule="auto"/>
        <w:rPr>
          <w:rFonts w:ascii="Arial" w:hAnsi="Arial" w:eastAsia="宋体" w:cs="Arial"/>
          <w:color w:val="000000" w:themeColor="text1"/>
          <w:szCs w:val="21"/>
        </w:rPr>
      </w:pPr>
      <w:r>
        <w:rPr>
          <w:rFonts w:ascii="Arial" w:hAnsi="Arial" w:eastAsia="宋体" w:cs="Arial"/>
          <w:color w:val="000000" w:themeColor="text1"/>
          <w:szCs w:val="21"/>
        </w:rPr>
        <w:drawing>
          <wp:inline distT="0" distB="0" distL="0" distR="0">
            <wp:extent cx="6162675" cy="68580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6162675" cy="6858000"/>
                    </a:xfrm>
                    <a:prstGeom prst="rect">
                      <a:avLst/>
                    </a:prstGeom>
                    <a:noFill/>
                    <a:ln w="9525">
                      <a:noFill/>
                      <a:miter lim="800000"/>
                      <a:headEnd/>
                      <a:tailEnd/>
                    </a:ln>
                  </pic:spPr>
                </pic:pic>
              </a:graphicData>
            </a:graphic>
          </wp:inline>
        </w:drawing>
      </w:r>
    </w:p>
    <w:p w14:paraId="55D4245A">
      <w:pPr>
        <w:snapToGrid w:val="0"/>
        <w:spacing w:line="300" w:lineRule="auto"/>
        <w:rPr>
          <w:rFonts w:ascii="Arial" w:hAnsi="Arial" w:eastAsia="宋体" w:cs="Arial"/>
          <w:color w:val="000000" w:themeColor="text1"/>
          <w:szCs w:val="21"/>
        </w:rPr>
      </w:pPr>
    </w:p>
    <w:p w14:paraId="164D5F01">
      <w:pPr>
        <w:snapToGrid w:val="0"/>
        <w:spacing w:line="300" w:lineRule="auto"/>
        <w:rPr>
          <w:ins w:id="0" w:author="太极箫客" w:date="2025-08-14T14:31:58Z"/>
          <w:rFonts w:hint="eastAsia" w:eastAsia="宋体"/>
          <w:lang w:eastAsia="zh-CN"/>
        </w:rPr>
      </w:pPr>
    </w:p>
    <w:p w14:paraId="26B12003">
      <w:pPr>
        <w:snapToGrid w:val="0"/>
        <w:spacing w:line="300" w:lineRule="auto"/>
        <w:jc w:val="center"/>
        <w:rPr>
          <w:ins w:id="2" w:author="太极箫客" w:date="2025-08-14T14:31:58Z"/>
          <w:rFonts w:hint="eastAsia" w:eastAsia="宋体"/>
          <w:lang w:eastAsia="zh-CN"/>
        </w:rPr>
        <w:pPrChange w:id="1" w:author="太极箫客" w:date="2025-08-14T14:31:58Z">
          <w:pPr>
            <w:snapToGrid w:val="0"/>
            <w:spacing w:line="300" w:lineRule="auto"/>
          </w:pPr>
        </w:pPrChange>
      </w:pPr>
    </w:p>
    <w:p w14:paraId="699C8D12">
      <w:pPr>
        <w:snapToGrid w:val="0"/>
        <w:spacing w:line="300" w:lineRule="auto"/>
        <w:jc w:val="center"/>
        <w:rPr>
          <w:ins w:id="4" w:author="太极箫客" w:date="2025-08-14T14:31:58Z"/>
          <w:rFonts w:hint="eastAsia" w:eastAsia="宋体"/>
          <w:lang w:eastAsia="zh-CN"/>
        </w:rPr>
        <w:pPrChange w:id="3" w:author="太极箫客" w:date="2025-08-14T14:31:58Z">
          <w:pPr>
            <w:snapToGrid w:val="0"/>
            <w:spacing w:line="300" w:lineRule="auto"/>
          </w:pPr>
        </w:pPrChange>
      </w:pPr>
      <w:ins w:id="5" w:author="太极箫客" w:date="2025-08-14T14:31:58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44DC8">
    <w:pPr>
      <w:pStyle w:val="3"/>
      <w:jc w:val="center"/>
    </w:pPr>
  </w:p>
  <w:p w14:paraId="2448FE6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740304166"/>
      <w:docPartObj>
        <w:docPartGallery w:val="AutoText"/>
      </w:docPartObj>
    </w:sdtPr>
    <w:sdtEndPr>
      <w:rPr>
        <w:rFonts w:ascii="Arial" w:hAnsi="Arial" w:cs="Arial"/>
        <w:sz w:val="21"/>
        <w:szCs w:val="21"/>
      </w:rPr>
    </w:sdtEndPr>
    <w:sdtContent>
      <w:p w14:paraId="6E986FA1">
        <w:pPr>
          <w:pStyle w:val="3"/>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20</w:t>
        </w:r>
        <w:r>
          <w:rPr>
            <w:rFonts w:ascii="Arial" w:hAnsi="Arial" w:cs="Arial"/>
            <w:sz w:val="21"/>
            <w:szCs w:val="21"/>
          </w:rPr>
          <w:fldChar w:fldCharType="end"/>
        </w:r>
      </w:p>
    </w:sdtContent>
  </w:sdt>
  <w:p w14:paraId="5BCCDA37">
    <w:pPr>
      <w:pStyle w:val="3"/>
      <w:rPr>
        <w:rFonts w:ascii="Arial" w:hAnsi="Arial" w:cs="Arial"/>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CCD3">
    <w:pPr>
      <w:pStyle w:val="4"/>
      <w:pBdr>
        <w:bottom w:val="none" w:color="auto" w:sz="0" w:space="0"/>
      </w:pBdr>
      <w:tabs>
        <w:tab w:val="center" w:pos="3544"/>
        <w:tab w:val="clear" w:pos="4153"/>
      </w:tabs>
      <w:ind w:right="800" w:firstLine="502" w:firstLineChars="250"/>
      <w:jc w:val="both"/>
      <w:rPr>
        <w:rFonts w:ascii="Arial" w:hAnsi="Arial" w:cs="Arial"/>
      </w:rPr>
    </w:pPr>
    <w:r>
      <w:rPr>
        <w:rFonts w:ascii="Arial" w:hAnsi="Arial" w:eastAsia="宋体" w:cs="Arial"/>
        <w:b/>
        <w:bCs/>
        <w:kern w:val="0"/>
        <w:sz w:val="20"/>
        <w:szCs w:val="20"/>
        <w:highlight w:val="yellow"/>
      </w:rPr>
      <w:pict>
        <v:shape id="_x0000_s1026" o:spid="_x0000_s1026" o:spt="32" type="#_x0000_t32" style="position:absolute;left:0pt;margin-left:16.45pt;margin-top:14.25pt;height:0.05pt;width:464.05pt;z-index:251660288;mso-width-relative:page;mso-height-relative:page;" o:connectortype="straight" filled="f" coordsize="21600,21600">
          <v:path arrowok="t"/>
          <v:fill on="f" focussize="0,0"/>
          <v:stroke/>
          <v:imagedata o:title=""/>
          <o:lock v:ext="edit"/>
        </v:shape>
      </w:pict>
    </w:r>
    <w:r>
      <w:rPr>
        <w:rFonts w:ascii="Arial" w:hAnsi="Arial" w:eastAsia="宋体" w:cs="Arial"/>
        <w:b/>
        <w:bCs/>
        <w:kern w:val="0"/>
        <w:sz w:val="20"/>
        <w:szCs w:val="20"/>
        <w:highlight w:val="yellow"/>
      </w:rPr>
      <w:pict>
        <v:shape id="_x0000_s1025" o:spid="_x0000_s1025" o:spt="202" type="#_x0000_t202" style="position:absolute;left:0pt;margin-left:-31.4pt;margin-top:-21.5pt;height:48.35pt;width:87.95pt;z-index:251659264;mso-width-relative:page;mso-height-relative:page;" filled="f" stroked="f" coordsize="21600,21600">
          <v:path/>
          <v:fill on="f" focussize="0,0"/>
          <v:stroke on="f" joinstyle="miter"/>
          <v:imagedata o:title=""/>
          <o:lock v:ext="edit"/>
          <v:textbox>
            <w:txbxContent>
              <w:p w14:paraId="77A21814">
                <w:r>
                  <w:drawing>
                    <wp:inline distT="0" distB="0" distL="0" distR="0">
                      <wp:extent cx="484505" cy="454025"/>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484505" cy="454025"/>
                              </a:xfrm>
                              <a:prstGeom prst="rect">
                                <a:avLst/>
                              </a:prstGeom>
                            </pic:spPr>
                          </pic:pic>
                        </a:graphicData>
                      </a:graphic>
                    </wp:inline>
                  </w:drawing>
                </w:r>
              </w:p>
            </w:txbxContent>
          </v:textbox>
        </v:shape>
      </w:pict>
    </w:r>
    <w:r>
      <w:rPr>
        <w:rFonts w:hint="eastAsia" w:ascii="Arial" w:hAnsi="Arial" w:eastAsia="宋体" w:cs="Arial"/>
        <w:b/>
        <w:bCs/>
        <w:kern w:val="0"/>
        <w:sz w:val="20"/>
        <w:szCs w:val="20"/>
      </w:rPr>
      <w:t>美国卫生与公众服务部</w:t>
    </w:r>
    <w:r>
      <w:rPr>
        <w:rFonts w:ascii="Arial" w:hAnsi="Arial" w:eastAsia="宋体" w:cs="Arial"/>
        <w:b/>
        <w:bCs/>
        <w:kern w:val="0"/>
        <w:sz w:val="20"/>
        <w:szCs w:val="20"/>
      </w:rPr>
      <w:tab/>
    </w:r>
    <w:r>
      <w:rPr>
        <w:rFonts w:hint="eastAsia" w:ascii="Arial" w:hAnsi="Arial" w:eastAsia="宋体" w:cs="Arial"/>
        <w:b/>
        <w:bCs/>
        <w:kern w:val="0"/>
        <w:sz w:val="20"/>
        <w:szCs w:val="20"/>
      </w:rPr>
      <w:t xml:space="preserve">                                                     </w:t>
    </w:r>
    <w:r>
      <w:rPr>
        <w:rFonts w:hint="eastAsia" w:ascii="Arial" w:hAnsi="Arial" w:eastAsia="宋体" w:cs="Arial"/>
        <w:b/>
        <w:bCs/>
        <w:kern w:val="0"/>
        <w:sz w:val="17"/>
        <w:szCs w:val="17"/>
      </w:rPr>
      <w:t>公共卫生署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306AA">
    <w:pPr>
      <w:pStyle w:val="4"/>
      <w:pBdr>
        <w:bottom w:val="none" w:color="auto" w:sz="0" w:space="0"/>
      </w:pBdr>
      <w:jc w:val="left"/>
      <w:rPr>
        <w:rFonts w:ascii="Arial" w:hAnsi="Arial" w:eastAsia="宋体" w:cs="Arial"/>
        <w:sz w:val="21"/>
        <w:szCs w:val="21"/>
      </w:rPr>
    </w:pPr>
    <w:r>
      <w:rPr>
        <w:rFonts w:ascii="Arial" w:hAnsi="Arial" w:eastAsia="宋体" w:cs="Arial"/>
        <w:sz w:val="21"/>
        <w:szCs w:val="21"/>
      </w:rPr>
      <w:t>免疫球蛋白指南：1992年8月</w:t>
    </w:r>
  </w:p>
  <w:p w14:paraId="56F20031">
    <w:pPr>
      <w:pStyle w:val="4"/>
      <w:pBdr>
        <w:bottom w:val="none" w:color="auto" w:sz="0" w:space="0"/>
      </w:pBdr>
      <w:jc w:val="left"/>
      <w:rPr>
        <w:rFonts w:ascii="Arial" w:hAnsi="Arial" w:eastAsia="宋体" w:cs="Arial"/>
      </w:rPr>
    </w:pPr>
  </w:p>
  <w:p w14:paraId="66E47375">
    <w:pPr>
      <w:pStyle w:val="4"/>
      <w:pBdr>
        <w:bottom w:val="none" w:color="auto" w:sz="0" w:space="0"/>
      </w:pBdr>
      <w:jc w:val="left"/>
      <w:rPr>
        <w:rFonts w:ascii="Arial" w:hAnsi="Arial" w:eastAsia="宋体" w:cs="Arial"/>
      </w:rPr>
    </w:pPr>
  </w:p>
  <w:p w14:paraId="4416AE1F">
    <w:pPr>
      <w:pStyle w:val="4"/>
      <w:pBdr>
        <w:bottom w:val="none" w:color="auto" w:sz="0" w:space="0"/>
      </w:pBdr>
      <w:jc w:val="left"/>
      <w:rPr>
        <w:rFonts w:ascii="Arial" w:hAnsi="Arial" w:eastAsia="宋体"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70FCA"/>
    <w:multiLevelType w:val="multilevel"/>
    <w:tmpl w:val="0B270FC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4D76378"/>
    <w:multiLevelType w:val="multilevel"/>
    <w:tmpl w:val="34D76378"/>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50616858"/>
    <w:multiLevelType w:val="multilevel"/>
    <w:tmpl w:val="50616858"/>
    <w:lvl w:ilvl="0" w:tentative="0">
      <w:start w:val="1"/>
      <w:numFmt w:val="lowerLetter"/>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E4F5A2"/>
    <w:multiLevelType w:val="singleLevel"/>
    <w:tmpl w:val="58E4F5A2"/>
    <w:lvl w:ilvl="0" w:tentative="0">
      <w:start w:val="1"/>
      <w:numFmt w:val="upperLetter"/>
      <w:suff w:val="space"/>
      <w:lvlText w:val="%1."/>
      <w:lvlJc w:val="left"/>
    </w:lvl>
  </w:abstractNum>
  <w:abstractNum w:abstractNumId="4">
    <w:nsid w:val="58E4F738"/>
    <w:multiLevelType w:val="singleLevel"/>
    <w:tmpl w:val="58E4F738"/>
    <w:lvl w:ilvl="0" w:tentative="0">
      <w:start w:val="1"/>
      <w:numFmt w:val="decimal"/>
      <w:suff w:val="nothing"/>
      <w:lvlText w:val="%1、"/>
      <w:lvlJc w:val="left"/>
    </w:lvl>
  </w:abstractNum>
  <w:abstractNum w:abstractNumId="5">
    <w:nsid w:val="58E4F8E5"/>
    <w:multiLevelType w:val="singleLevel"/>
    <w:tmpl w:val="58E4F8E5"/>
    <w:lvl w:ilvl="0" w:tentative="0">
      <w:start w:val="1"/>
      <w:numFmt w:val="lowerLetter"/>
      <w:suff w:val="nothing"/>
      <w:lvlText w:val="%1."/>
      <w:lvlJc w:val="left"/>
    </w:lvl>
  </w:abstractNum>
  <w:abstractNum w:abstractNumId="6">
    <w:nsid w:val="58E51243"/>
    <w:multiLevelType w:val="singleLevel"/>
    <w:tmpl w:val="58E51243"/>
    <w:lvl w:ilvl="0" w:tentative="0">
      <w:start w:val="1"/>
      <w:numFmt w:val="decimal"/>
      <w:suff w:val="nothing"/>
      <w:lvlText w:val="%1、"/>
      <w:lvlJc w:val="left"/>
    </w:lvl>
  </w:abstractNum>
  <w:abstractNum w:abstractNumId="7">
    <w:nsid w:val="58E5164D"/>
    <w:multiLevelType w:val="singleLevel"/>
    <w:tmpl w:val="58E5164D"/>
    <w:lvl w:ilvl="0" w:tentative="0">
      <w:start w:val="1"/>
      <w:numFmt w:val="lowerRoman"/>
      <w:lvlText w:val="%1."/>
      <w:lvlJc w:val="right"/>
      <w:pPr>
        <w:ind w:left="420" w:hanging="42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0"/>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rules v:ext="edit">
        <o:r id="V:Rule1" type="connector" idref="#_x0000_s1026"/>
      </o:rules>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66377"/>
    <w:rsid w:val="00001DCA"/>
    <w:rsid w:val="000347D6"/>
    <w:rsid w:val="00041A35"/>
    <w:rsid w:val="000425D4"/>
    <w:rsid w:val="00043807"/>
    <w:rsid w:val="00046E9E"/>
    <w:rsid w:val="0005543F"/>
    <w:rsid w:val="00084AE8"/>
    <w:rsid w:val="000A2C0D"/>
    <w:rsid w:val="000A4D95"/>
    <w:rsid w:val="000B78CB"/>
    <w:rsid w:val="000C534B"/>
    <w:rsid w:val="000D7506"/>
    <w:rsid w:val="00117D60"/>
    <w:rsid w:val="0012738C"/>
    <w:rsid w:val="0016406E"/>
    <w:rsid w:val="001666F2"/>
    <w:rsid w:val="00170A3F"/>
    <w:rsid w:val="00176176"/>
    <w:rsid w:val="00177A20"/>
    <w:rsid w:val="001B3F78"/>
    <w:rsid w:val="001B658B"/>
    <w:rsid w:val="001B75CA"/>
    <w:rsid w:val="001C14D5"/>
    <w:rsid w:val="001C3726"/>
    <w:rsid w:val="001C74C4"/>
    <w:rsid w:val="001D70FE"/>
    <w:rsid w:val="001F3ADF"/>
    <w:rsid w:val="002022ED"/>
    <w:rsid w:val="00240B02"/>
    <w:rsid w:val="00261DF3"/>
    <w:rsid w:val="00266377"/>
    <w:rsid w:val="002802AC"/>
    <w:rsid w:val="00295A63"/>
    <w:rsid w:val="002B1F8D"/>
    <w:rsid w:val="002B4765"/>
    <w:rsid w:val="002C15F0"/>
    <w:rsid w:val="002C51C9"/>
    <w:rsid w:val="002C59D3"/>
    <w:rsid w:val="002C75DF"/>
    <w:rsid w:val="002D43B4"/>
    <w:rsid w:val="002E6E0A"/>
    <w:rsid w:val="002F3D36"/>
    <w:rsid w:val="00301016"/>
    <w:rsid w:val="00324947"/>
    <w:rsid w:val="003316E9"/>
    <w:rsid w:val="00336C34"/>
    <w:rsid w:val="00343A44"/>
    <w:rsid w:val="00364CF7"/>
    <w:rsid w:val="00372A10"/>
    <w:rsid w:val="00373399"/>
    <w:rsid w:val="00395E52"/>
    <w:rsid w:val="003A714F"/>
    <w:rsid w:val="003A7B01"/>
    <w:rsid w:val="003B50E6"/>
    <w:rsid w:val="003C022E"/>
    <w:rsid w:val="003C7204"/>
    <w:rsid w:val="003E33AA"/>
    <w:rsid w:val="003E3A73"/>
    <w:rsid w:val="003E7AC1"/>
    <w:rsid w:val="004001F7"/>
    <w:rsid w:val="00402639"/>
    <w:rsid w:val="0040287B"/>
    <w:rsid w:val="00405581"/>
    <w:rsid w:val="00430161"/>
    <w:rsid w:val="00436D41"/>
    <w:rsid w:val="00446948"/>
    <w:rsid w:val="004631A4"/>
    <w:rsid w:val="004632B4"/>
    <w:rsid w:val="0046603E"/>
    <w:rsid w:val="00473871"/>
    <w:rsid w:val="00495D8C"/>
    <w:rsid w:val="00495FCA"/>
    <w:rsid w:val="004C1B46"/>
    <w:rsid w:val="004C573A"/>
    <w:rsid w:val="004E1FC6"/>
    <w:rsid w:val="004F293C"/>
    <w:rsid w:val="00511184"/>
    <w:rsid w:val="005500E4"/>
    <w:rsid w:val="00554004"/>
    <w:rsid w:val="00584587"/>
    <w:rsid w:val="00595CE9"/>
    <w:rsid w:val="005A40C2"/>
    <w:rsid w:val="005B2760"/>
    <w:rsid w:val="005B2C94"/>
    <w:rsid w:val="005B5099"/>
    <w:rsid w:val="005B5965"/>
    <w:rsid w:val="005B63C9"/>
    <w:rsid w:val="005E0198"/>
    <w:rsid w:val="005E2954"/>
    <w:rsid w:val="0060120E"/>
    <w:rsid w:val="00613FD3"/>
    <w:rsid w:val="0063077B"/>
    <w:rsid w:val="006340BA"/>
    <w:rsid w:val="00644E3C"/>
    <w:rsid w:val="00656236"/>
    <w:rsid w:val="00663A57"/>
    <w:rsid w:val="00676129"/>
    <w:rsid w:val="00677A4B"/>
    <w:rsid w:val="00691847"/>
    <w:rsid w:val="006937F1"/>
    <w:rsid w:val="006A0DA3"/>
    <w:rsid w:val="006A458B"/>
    <w:rsid w:val="006B48E8"/>
    <w:rsid w:val="006C2C28"/>
    <w:rsid w:val="006E33E9"/>
    <w:rsid w:val="006F1E97"/>
    <w:rsid w:val="00712469"/>
    <w:rsid w:val="0071650D"/>
    <w:rsid w:val="00724616"/>
    <w:rsid w:val="00724E86"/>
    <w:rsid w:val="00734469"/>
    <w:rsid w:val="0074444F"/>
    <w:rsid w:val="00761073"/>
    <w:rsid w:val="0076697F"/>
    <w:rsid w:val="00766A83"/>
    <w:rsid w:val="00774358"/>
    <w:rsid w:val="00777267"/>
    <w:rsid w:val="007932C4"/>
    <w:rsid w:val="007A6DA1"/>
    <w:rsid w:val="007B0ADD"/>
    <w:rsid w:val="007C08C4"/>
    <w:rsid w:val="007C2174"/>
    <w:rsid w:val="007D6B7E"/>
    <w:rsid w:val="007E3796"/>
    <w:rsid w:val="007F2DC5"/>
    <w:rsid w:val="00810BEF"/>
    <w:rsid w:val="00840F84"/>
    <w:rsid w:val="00847507"/>
    <w:rsid w:val="008666A4"/>
    <w:rsid w:val="00895D5D"/>
    <w:rsid w:val="00895EAC"/>
    <w:rsid w:val="008A5937"/>
    <w:rsid w:val="008C79B6"/>
    <w:rsid w:val="008F70CF"/>
    <w:rsid w:val="008F7CD8"/>
    <w:rsid w:val="0090387E"/>
    <w:rsid w:val="00903CC1"/>
    <w:rsid w:val="009128F7"/>
    <w:rsid w:val="00925F46"/>
    <w:rsid w:val="00944D4F"/>
    <w:rsid w:val="00980500"/>
    <w:rsid w:val="00981C5F"/>
    <w:rsid w:val="00984F4A"/>
    <w:rsid w:val="009927FC"/>
    <w:rsid w:val="009B1FF4"/>
    <w:rsid w:val="009F00E2"/>
    <w:rsid w:val="009F36CD"/>
    <w:rsid w:val="00A013A5"/>
    <w:rsid w:val="00A02B28"/>
    <w:rsid w:val="00A04A99"/>
    <w:rsid w:val="00A165FA"/>
    <w:rsid w:val="00A33B65"/>
    <w:rsid w:val="00A740C3"/>
    <w:rsid w:val="00A9440E"/>
    <w:rsid w:val="00AA01BE"/>
    <w:rsid w:val="00AB2FA5"/>
    <w:rsid w:val="00AB66B9"/>
    <w:rsid w:val="00AC2E33"/>
    <w:rsid w:val="00AC3239"/>
    <w:rsid w:val="00B067E3"/>
    <w:rsid w:val="00B0718A"/>
    <w:rsid w:val="00B34716"/>
    <w:rsid w:val="00B5616A"/>
    <w:rsid w:val="00B6238A"/>
    <w:rsid w:val="00B639D8"/>
    <w:rsid w:val="00B8343B"/>
    <w:rsid w:val="00B87537"/>
    <w:rsid w:val="00B941AE"/>
    <w:rsid w:val="00B9691B"/>
    <w:rsid w:val="00BB1F17"/>
    <w:rsid w:val="00BB3ABA"/>
    <w:rsid w:val="00BC67A7"/>
    <w:rsid w:val="00BC72B3"/>
    <w:rsid w:val="00BD3F16"/>
    <w:rsid w:val="00BD6607"/>
    <w:rsid w:val="00BE75C0"/>
    <w:rsid w:val="00BF2989"/>
    <w:rsid w:val="00BF3175"/>
    <w:rsid w:val="00C0046C"/>
    <w:rsid w:val="00C30BE0"/>
    <w:rsid w:val="00C33BB4"/>
    <w:rsid w:val="00C4186D"/>
    <w:rsid w:val="00C821DD"/>
    <w:rsid w:val="00C871F3"/>
    <w:rsid w:val="00C925CC"/>
    <w:rsid w:val="00CA7ED0"/>
    <w:rsid w:val="00CE1D3D"/>
    <w:rsid w:val="00D024DD"/>
    <w:rsid w:val="00D03C8F"/>
    <w:rsid w:val="00D06FFE"/>
    <w:rsid w:val="00D15A6E"/>
    <w:rsid w:val="00D23B7D"/>
    <w:rsid w:val="00D44FD4"/>
    <w:rsid w:val="00D5332B"/>
    <w:rsid w:val="00D70DE4"/>
    <w:rsid w:val="00D72483"/>
    <w:rsid w:val="00D8052D"/>
    <w:rsid w:val="00D83BB9"/>
    <w:rsid w:val="00D97252"/>
    <w:rsid w:val="00DB0D80"/>
    <w:rsid w:val="00DB4D42"/>
    <w:rsid w:val="00E02DBE"/>
    <w:rsid w:val="00E10F35"/>
    <w:rsid w:val="00E21BDC"/>
    <w:rsid w:val="00E22DC6"/>
    <w:rsid w:val="00E32ED8"/>
    <w:rsid w:val="00E373BF"/>
    <w:rsid w:val="00E37FCA"/>
    <w:rsid w:val="00E4725D"/>
    <w:rsid w:val="00E50A02"/>
    <w:rsid w:val="00E50C24"/>
    <w:rsid w:val="00E514D8"/>
    <w:rsid w:val="00E56270"/>
    <w:rsid w:val="00E76A72"/>
    <w:rsid w:val="00E925FE"/>
    <w:rsid w:val="00EA1EE8"/>
    <w:rsid w:val="00EA3204"/>
    <w:rsid w:val="00EB077F"/>
    <w:rsid w:val="00EB3A35"/>
    <w:rsid w:val="00EB759D"/>
    <w:rsid w:val="00EC17BB"/>
    <w:rsid w:val="00ED1E65"/>
    <w:rsid w:val="00ED2BF3"/>
    <w:rsid w:val="00F20679"/>
    <w:rsid w:val="00F213A2"/>
    <w:rsid w:val="00F330AA"/>
    <w:rsid w:val="00F35816"/>
    <w:rsid w:val="00F37C88"/>
    <w:rsid w:val="00F47127"/>
    <w:rsid w:val="00F67565"/>
    <w:rsid w:val="00F944A4"/>
    <w:rsid w:val="00FA260B"/>
    <w:rsid w:val="00FB4498"/>
    <w:rsid w:val="00FC21DF"/>
    <w:rsid w:val="00FD1C43"/>
    <w:rsid w:val="00FE4FE1"/>
    <w:rsid w:val="00FE7EE8"/>
    <w:rsid w:val="00FF0CBD"/>
    <w:rsid w:val="00FF5937"/>
    <w:rsid w:val="00FF757C"/>
    <w:rsid w:val="03041AAC"/>
    <w:rsid w:val="03CC2342"/>
    <w:rsid w:val="055C46B5"/>
    <w:rsid w:val="0BE46405"/>
    <w:rsid w:val="0CA7611C"/>
    <w:rsid w:val="0F7E0956"/>
    <w:rsid w:val="0FBF4A46"/>
    <w:rsid w:val="11170ADD"/>
    <w:rsid w:val="15586BCC"/>
    <w:rsid w:val="15AB308C"/>
    <w:rsid w:val="181B753F"/>
    <w:rsid w:val="1D924015"/>
    <w:rsid w:val="1F686972"/>
    <w:rsid w:val="22CE44EA"/>
    <w:rsid w:val="24005279"/>
    <w:rsid w:val="278E0B0D"/>
    <w:rsid w:val="27B51913"/>
    <w:rsid w:val="2F40055F"/>
    <w:rsid w:val="367E6052"/>
    <w:rsid w:val="3C2B4E35"/>
    <w:rsid w:val="4A571CF9"/>
    <w:rsid w:val="4AEA2F2B"/>
    <w:rsid w:val="5B9B0696"/>
    <w:rsid w:val="5FD31CA6"/>
    <w:rsid w:val="606A374D"/>
    <w:rsid w:val="624961D6"/>
    <w:rsid w:val="65946367"/>
    <w:rsid w:val="6B002D5C"/>
    <w:rsid w:val="6FE67580"/>
    <w:rsid w:val="71541B02"/>
    <w:rsid w:val="71822FA5"/>
    <w:rsid w:val="7DFE7FBB"/>
    <w:rsid w:val="7EDD1AD6"/>
    <w:rsid w:val="7F890E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2" type="connector" idref="#_x0000_s2050"/>
        <o:r id="V:Rule3" type="connector" idref="#_x0000_s2051"/>
        <o:r id="V:Rule4" type="connector" idref="#_x0000_s2052"/>
        <o:r id="V:Rule5" type="connector" idref="#_x0000_s2053"/>
        <o:r id="V:Rule6" type="connector" idref="#_x0000_s2054"/>
        <o:r id="V:Rule7" type="connector" idref="#_x0000_s2055"/>
        <o:r id="V:Rule8" type="connector" idref="#_x0000_s205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8">
    <w:name w:val="Emphasis"/>
    <w:basedOn w:val="7"/>
    <w:qFormat/>
    <w:uiPriority w:val="20"/>
    <w:rPr>
      <w:i/>
      <w:iCs/>
    </w:rPr>
  </w:style>
  <w:style w:type="paragraph" w:customStyle="1" w:styleId="9">
    <w:name w:val="op_sp_fanyi_line_two"/>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HTML 预设格式 Char"/>
    <w:basedOn w:val="7"/>
    <w:link w:val="5"/>
    <w:qFormat/>
    <w:uiPriority w:val="99"/>
    <w:rPr>
      <w:rFonts w:ascii="宋体" w:hAnsi="宋体" w:eastAsia="宋体" w:cs="宋体"/>
      <w:kern w:val="0"/>
      <w:sz w:val="24"/>
      <w:szCs w:val="24"/>
    </w:rPr>
  </w:style>
  <w:style w:type="character" w:customStyle="1" w:styleId="11">
    <w:name w:val="apple-converted-space"/>
    <w:basedOn w:val="7"/>
    <w:qFormat/>
    <w:uiPriority w:val="0"/>
  </w:style>
  <w:style w:type="character" w:customStyle="1" w:styleId="12">
    <w:name w:val="op_dict_text2"/>
    <w:basedOn w:val="7"/>
    <w:qFormat/>
    <w:uiPriority w:val="0"/>
  </w:style>
  <w:style w:type="character" w:customStyle="1" w:styleId="13">
    <w:name w:val="页眉 Char"/>
    <w:basedOn w:val="7"/>
    <w:link w:val="4"/>
    <w:qFormat/>
    <w:uiPriority w:val="99"/>
    <w:rPr>
      <w:sz w:val="18"/>
      <w:szCs w:val="18"/>
    </w:rPr>
  </w:style>
  <w:style w:type="character" w:customStyle="1" w:styleId="14">
    <w:name w:val="页脚 Char"/>
    <w:basedOn w:val="7"/>
    <w:link w:val="3"/>
    <w:uiPriority w:val="99"/>
    <w:rPr>
      <w:sz w:val="18"/>
      <w:szCs w:val="18"/>
    </w:rPr>
  </w:style>
  <w:style w:type="character" w:customStyle="1" w:styleId="15">
    <w:name w:val="批注框文本 Char"/>
    <w:basedOn w:val="7"/>
    <w:link w:val="2"/>
    <w:semiHidden/>
    <w:uiPriority w:val="99"/>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Info spid="_x0000_s2050"/>
    <customShpInfo spid="_x0000_s2051"/>
    <customShpInfo spid="_x0000_s2055"/>
    <customShpInfo spid="_x0000_s2053"/>
    <customShpInfo spid="_x0000_s2054"/>
    <customShpInfo spid="_x0000_s2052"/>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22</Pages>
  <Words>8369</Words>
  <Characters>9030</Characters>
  <Lines>67</Lines>
  <Paragraphs>19</Paragraphs>
  <TotalTime>96</TotalTime>
  <ScaleCrop>false</ScaleCrop>
  <LinksUpToDate>false</LinksUpToDate>
  <CharactersWithSpaces>9292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2017-04-03T16:02:00Z</dcterms:created>
  <dc:creator>User</dc:creator>
  <cp:lastModifiedBy>太极箫客</cp:lastModifiedBy>
  <dcterms:modified xsi:type="dcterms:W3CDTF">2025-08-14T06:31:58Z</dcterms:modified>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E252FF5A39E64ADC95A59B92F688A2B8_12</vt:lpwstr>
  </property>
</Properties>
</file>