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BBF5F">
      <w:pPr>
        <w:pStyle w:val="19"/>
        <w:pBdr>
          <w:bottom w:val="single" w:color="auto" w:sz="4" w:space="1"/>
        </w:pBdr>
        <w:jc w:val="center"/>
        <w:rPr>
          <w:rFonts w:eastAsia="宋体"/>
          <w:sz w:val="56"/>
          <w:szCs w:val="56"/>
        </w:rPr>
      </w:pPr>
      <w:bookmarkStart w:id="61" w:name="_GoBack"/>
      <w:bookmarkEnd w:id="61"/>
      <w:r>
        <w:rPr>
          <w:rFonts w:eastAsia="宋体"/>
          <w:b/>
          <w:bCs/>
          <w:sz w:val="56"/>
          <w:szCs w:val="56"/>
        </w:rPr>
        <w:t>传统和简化510（k）格式</w:t>
      </w:r>
    </w:p>
    <w:p w14:paraId="2769A436">
      <w:pPr>
        <w:pStyle w:val="19"/>
        <w:jc w:val="center"/>
        <w:rPr>
          <w:rFonts w:eastAsia="宋体"/>
          <w:sz w:val="56"/>
          <w:szCs w:val="56"/>
        </w:rPr>
      </w:pPr>
      <w:r>
        <w:rPr>
          <w:rFonts w:eastAsia="宋体"/>
          <w:b/>
          <w:bCs/>
          <w:sz w:val="56"/>
          <w:szCs w:val="56"/>
        </w:rPr>
        <w:t>行业和美国食品药品监督管理局工作人员指南</w:t>
      </w:r>
    </w:p>
    <w:p w14:paraId="1ACD7978">
      <w:pPr>
        <w:pStyle w:val="19"/>
        <w:jc w:val="center"/>
        <w:rPr>
          <w:rFonts w:eastAsia="宋体"/>
          <w:b/>
          <w:bCs/>
          <w:sz w:val="28"/>
          <w:szCs w:val="28"/>
        </w:rPr>
      </w:pPr>
    </w:p>
    <w:p w14:paraId="57B9BFDE">
      <w:pPr>
        <w:pStyle w:val="19"/>
        <w:jc w:val="center"/>
        <w:rPr>
          <w:rFonts w:eastAsia="宋体"/>
          <w:b/>
          <w:bCs/>
          <w:sz w:val="28"/>
          <w:szCs w:val="28"/>
        </w:rPr>
      </w:pPr>
      <w:r>
        <w:rPr>
          <w:rFonts w:eastAsia="宋体"/>
          <w:b/>
          <w:bCs/>
          <w:sz w:val="28"/>
          <w:szCs w:val="28"/>
        </w:rPr>
        <w:t>文件发布日期：2019年9月13日。</w:t>
      </w:r>
    </w:p>
    <w:p w14:paraId="0C02883C">
      <w:pPr>
        <w:pStyle w:val="19"/>
        <w:jc w:val="center"/>
        <w:rPr>
          <w:rFonts w:eastAsia="宋体"/>
          <w:sz w:val="28"/>
          <w:szCs w:val="28"/>
        </w:rPr>
      </w:pPr>
    </w:p>
    <w:p w14:paraId="58311E71">
      <w:pPr>
        <w:pStyle w:val="19"/>
        <w:jc w:val="center"/>
        <w:rPr>
          <w:rFonts w:eastAsia="宋体"/>
          <w:b/>
          <w:bCs/>
          <w:sz w:val="28"/>
          <w:szCs w:val="28"/>
        </w:rPr>
      </w:pPr>
      <w:r>
        <w:rPr>
          <w:rFonts w:eastAsia="宋体"/>
          <w:b/>
          <w:bCs/>
          <w:sz w:val="28"/>
          <w:szCs w:val="28"/>
        </w:rPr>
        <w:t>文件最初发布日期：2005年8月12日。</w:t>
      </w:r>
    </w:p>
    <w:p w14:paraId="6F69BB2D">
      <w:pPr>
        <w:pStyle w:val="19"/>
        <w:jc w:val="center"/>
        <w:rPr>
          <w:rFonts w:eastAsia="宋体"/>
          <w:sz w:val="28"/>
          <w:szCs w:val="28"/>
        </w:rPr>
      </w:pPr>
    </w:p>
    <w:p w14:paraId="463E9D4A">
      <w:pPr>
        <w:shd w:val="clear" w:color="auto" w:fill="FFFFFF"/>
        <w:snapToGrid w:val="0"/>
        <w:jc w:val="center"/>
        <w:rPr>
          <w:rFonts w:eastAsia="宋体"/>
          <w:b/>
          <w:bCs/>
          <w:sz w:val="28"/>
          <w:szCs w:val="28"/>
        </w:rPr>
      </w:pPr>
      <w:r>
        <w:rPr>
          <w:rFonts w:eastAsia="宋体"/>
          <w:b/>
          <w:bCs/>
          <w:sz w:val="28"/>
          <w:szCs w:val="28"/>
        </w:rPr>
        <w:t>本文件取代2005年11月17日发布的</w:t>
      </w:r>
      <w:r>
        <w:rPr>
          <w:rFonts w:ascii="宋体" w:hAnsi="宋体" w:eastAsia="宋体"/>
          <w:b/>
          <w:bCs/>
          <w:sz w:val="28"/>
          <w:szCs w:val="28"/>
        </w:rPr>
        <w:t>“</w:t>
      </w:r>
      <w:r>
        <w:rPr>
          <w:rFonts w:eastAsia="宋体"/>
          <w:b/>
          <w:bCs/>
          <w:sz w:val="28"/>
          <w:szCs w:val="28"/>
        </w:rPr>
        <w:t>传统和简化510（k）格式-行业和FDA工作人员指南</w:t>
      </w:r>
      <w:r>
        <w:rPr>
          <w:rFonts w:ascii="宋体" w:hAnsi="宋体" w:eastAsia="宋体"/>
          <w:b/>
          <w:bCs/>
          <w:sz w:val="28"/>
          <w:szCs w:val="28"/>
        </w:rPr>
        <w:t>”</w:t>
      </w:r>
      <w:r>
        <w:rPr>
          <w:rFonts w:eastAsia="宋体"/>
          <w:b/>
          <w:bCs/>
          <w:sz w:val="28"/>
          <w:szCs w:val="28"/>
        </w:rPr>
        <w:t>。</w:t>
      </w:r>
    </w:p>
    <w:p w14:paraId="6B25081B">
      <w:pPr>
        <w:shd w:val="clear" w:color="auto" w:fill="FFFFFF"/>
        <w:snapToGrid w:val="0"/>
        <w:jc w:val="both"/>
        <w:rPr>
          <w:rFonts w:eastAsia="宋体"/>
          <w:color w:val="000000"/>
          <w:sz w:val="24"/>
          <w:szCs w:val="24"/>
        </w:rPr>
      </w:pPr>
    </w:p>
    <w:p w14:paraId="06B4E70D">
      <w:pPr>
        <w:shd w:val="clear" w:color="auto" w:fill="FFFFFF"/>
        <w:snapToGrid w:val="0"/>
        <w:jc w:val="both"/>
        <w:rPr>
          <w:rFonts w:eastAsia="宋体"/>
          <w:color w:val="000000"/>
          <w:sz w:val="24"/>
          <w:szCs w:val="24"/>
        </w:rPr>
      </w:pPr>
      <w:r>
        <w:rPr>
          <w:rFonts w:eastAsia="宋体"/>
          <w:color w:val="000000"/>
          <w:sz w:val="24"/>
          <w:szCs w:val="24"/>
        </w:rPr>
        <w:t>如对本文件有任何疑问，请联系ORP：监管计划办公室，DRP1：申请支持部、上市前通知和分类小组，邮箱：</w:t>
      </w:r>
      <w:r>
        <w:rPr>
          <w:rFonts w:eastAsia="宋体"/>
          <w:color w:val="0000FF"/>
          <w:sz w:val="24"/>
          <w:szCs w:val="24"/>
          <w:u w:val="single"/>
        </w:rPr>
        <w:t xml:space="preserve">510K_Program@fda.hhs.gov </w:t>
      </w:r>
      <w:r>
        <w:rPr>
          <w:rFonts w:eastAsia="宋体"/>
          <w:color w:val="000000"/>
          <w:sz w:val="24"/>
          <w:szCs w:val="24"/>
        </w:rPr>
        <w:t>或电话：301-796-5640。</w:t>
      </w:r>
    </w:p>
    <w:p w14:paraId="65109F48">
      <w:pPr>
        <w:shd w:val="clear" w:color="auto" w:fill="FFFFFF"/>
        <w:snapToGrid w:val="0"/>
        <w:jc w:val="both"/>
        <w:rPr>
          <w:rFonts w:eastAsia="宋体"/>
          <w:sz w:val="24"/>
          <w:szCs w:val="24"/>
        </w:rPr>
      </w:pPr>
    </w:p>
    <w:p w14:paraId="49BB8AE3">
      <w:pPr>
        <w:shd w:val="clear" w:color="auto" w:fill="FFFFFF"/>
        <w:snapToGrid w:val="0"/>
        <w:jc w:val="both"/>
        <w:rPr>
          <w:rFonts w:eastAsia="宋体"/>
          <w:sz w:val="24"/>
          <w:szCs w:val="24"/>
        </w:rPr>
      </w:pPr>
      <w:r>
        <w:rPr>
          <w:rFonts w:eastAsia="宋体"/>
          <w:color w:val="000000"/>
          <w:sz w:val="24"/>
          <w:szCs w:val="24"/>
        </w:rPr>
        <w:t>如对本文件中关于CBER监管器械的内容有疑问，请联系交流、外联和发展办公室（OCOD），电话：800-835-4709或240-402-8010，或邮箱：</w:t>
      </w:r>
      <w:r>
        <w:rPr>
          <w:rFonts w:eastAsia="宋体"/>
          <w:color w:val="0000FF"/>
          <w:sz w:val="24"/>
          <w:szCs w:val="24"/>
          <w:u w:val="single"/>
        </w:rPr>
        <w:t xml:space="preserve"> ocod@fda.hhs.gov.</w:t>
      </w:r>
    </w:p>
    <w:p w14:paraId="3ACBF85D">
      <w:pPr>
        <w:snapToGrid w:val="0"/>
        <w:jc w:val="both"/>
        <w:rPr>
          <w:rFonts w:eastAsia="宋体"/>
          <w:sz w:val="24"/>
          <w:szCs w:val="24"/>
        </w:rPr>
      </w:pPr>
    </w:p>
    <w:p w14:paraId="3E03CFB7">
      <w:pPr>
        <w:snapToGrid w:val="0"/>
        <w:jc w:val="both"/>
        <w:rPr>
          <w:rFonts w:eastAsia="宋体"/>
          <w:sz w:val="24"/>
          <w:szCs w:val="24"/>
        </w:rPr>
      </w:pPr>
    </w:p>
    <w:p w14:paraId="334487B5">
      <w:pPr>
        <w:snapToGrid w:val="0"/>
        <w:jc w:val="both"/>
        <w:rPr>
          <w:rFonts w:eastAsia="宋体"/>
          <w:sz w:val="24"/>
          <w:szCs w:val="24"/>
        </w:rPr>
      </w:pPr>
    </w:p>
    <w:p w14:paraId="6716F7A1">
      <w:pPr>
        <w:snapToGrid w:val="0"/>
        <w:jc w:val="both"/>
        <w:rPr>
          <w:rFonts w:eastAsia="宋体"/>
          <w:sz w:val="24"/>
          <w:szCs w:val="24"/>
        </w:rPr>
      </w:pPr>
    </w:p>
    <w:p w14:paraId="7726C343">
      <w:pPr>
        <w:snapToGrid w:val="0"/>
        <w:jc w:val="both"/>
        <w:rPr>
          <w:rFonts w:eastAsia="宋体"/>
          <w:sz w:val="24"/>
          <w:szCs w:val="24"/>
        </w:rPr>
      </w:pPr>
    </w:p>
    <w:p w14:paraId="251DD123">
      <w:pPr>
        <w:snapToGrid w:val="0"/>
        <w:jc w:val="both"/>
        <w:rPr>
          <w:rFonts w:eastAsia="宋体"/>
          <w:sz w:val="24"/>
          <w:szCs w:val="24"/>
        </w:rPr>
      </w:pPr>
    </w:p>
    <w:p w14:paraId="03ECDF7F">
      <w:pPr>
        <w:snapToGrid w:val="0"/>
        <w:jc w:val="both"/>
        <w:rPr>
          <w:rFonts w:eastAsia="宋体"/>
          <w:sz w:val="24"/>
          <w:szCs w:val="24"/>
        </w:rPr>
      </w:pPr>
    </w:p>
    <w:p w14:paraId="3146ABF5">
      <w:pPr>
        <w:snapToGrid w:val="0"/>
        <w:jc w:val="both"/>
        <w:rPr>
          <w:rFonts w:eastAsia="宋体"/>
          <w:sz w:val="24"/>
          <w:szCs w:val="24"/>
        </w:rPr>
      </w:pPr>
    </w:p>
    <w:p w14:paraId="7F3F9EE8">
      <w:pPr>
        <w:snapToGrid w:val="0"/>
        <w:jc w:val="both"/>
        <w:rPr>
          <w:rFonts w:eastAsia="宋体"/>
          <w:sz w:val="24"/>
          <w:szCs w:val="24"/>
        </w:rPr>
      </w:pPr>
    </w:p>
    <w:p w14:paraId="46C0205E">
      <w:pPr>
        <w:snapToGrid w:val="0"/>
        <w:jc w:val="both"/>
        <w:rPr>
          <w:rFonts w:eastAsia="宋体"/>
          <w:sz w:val="24"/>
          <w:szCs w:val="24"/>
        </w:rPr>
      </w:pPr>
    </w:p>
    <w:p w14:paraId="53A69A2D">
      <w:pPr>
        <w:snapToGrid w:val="0"/>
        <w:jc w:val="both"/>
        <w:rPr>
          <w:rFonts w:eastAsia="宋体"/>
          <w:sz w:val="24"/>
          <w:szCs w:val="24"/>
        </w:rPr>
      </w:pPr>
    </w:p>
    <w:p w14:paraId="39759CFF">
      <w:pPr>
        <w:snapToGrid w:val="0"/>
        <w:jc w:val="both"/>
        <w:rPr>
          <w:rFonts w:eastAsia="宋体"/>
          <w:sz w:val="24"/>
          <w:szCs w:val="24"/>
        </w:rPr>
      </w:pPr>
    </w:p>
    <w:p w14:paraId="7014A4A5">
      <w:pPr>
        <w:snapToGrid w:val="0"/>
        <w:jc w:val="both"/>
        <w:rPr>
          <w:rFonts w:eastAsia="宋体"/>
          <w:sz w:val="24"/>
          <w:szCs w:val="24"/>
        </w:rPr>
      </w:pPr>
    </w:p>
    <w:p w14:paraId="62FD4F1E">
      <w:pPr>
        <w:snapToGrid w:val="0"/>
        <w:jc w:val="both"/>
        <w:rPr>
          <w:rFonts w:eastAsia="宋体"/>
          <w:sz w:val="24"/>
          <w:szCs w:val="24"/>
        </w:rPr>
      </w:pPr>
    </w:p>
    <w:p w14:paraId="2AD1116F">
      <w:pPr>
        <w:snapToGrid w:val="0"/>
        <w:jc w:val="both"/>
        <w:rPr>
          <w:rFonts w:eastAsia="宋体"/>
          <w:sz w:val="24"/>
          <w:szCs w:val="24"/>
        </w:rPr>
      </w:pPr>
    </w:p>
    <w:p w14:paraId="31969981">
      <w:pPr>
        <w:snapToGrid w:val="0"/>
        <w:jc w:val="both"/>
        <w:rPr>
          <w:rFonts w:eastAsia="宋体"/>
          <w:sz w:val="24"/>
          <w:szCs w:val="24"/>
        </w:rPr>
      </w:pPr>
    </w:p>
    <w:p w14:paraId="798BBCF5">
      <w:pPr>
        <w:snapToGrid w:val="0"/>
        <w:jc w:val="both"/>
        <w:rPr>
          <w:rFonts w:eastAsia="宋体"/>
          <w:sz w:val="24"/>
          <w:szCs w:val="24"/>
        </w:rPr>
      </w:pPr>
    </w:p>
    <w:p w14:paraId="00DCEDB5">
      <w:pPr>
        <w:snapToGrid w:val="0"/>
        <w:jc w:val="both"/>
        <w:rPr>
          <w:rFonts w:eastAsia="宋体"/>
          <w:sz w:val="24"/>
          <w:szCs w:val="24"/>
        </w:rPr>
      </w:pPr>
    </w:p>
    <w:p w14:paraId="3697DF0B">
      <w:pPr>
        <w:snapToGrid w:val="0"/>
        <w:jc w:val="both"/>
        <w:rPr>
          <w:rFonts w:eastAsia="宋体"/>
          <w:sz w:val="24"/>
          <w:szCs w:val="24"/>
        </w:rPr>
      </w:pPr>
    </w:p>
    <w:p w14:paraId="7B547BDD">
      <w:pPr>
        <w:snapToGrid w:val="0"/>
        <w:jc w:val="both"/>
        <w:rPr>
          <w:rFonts w:eastAsia="宋体"/>
          <w:sz w:val="24"/>
          <w:szCs w:val="24"/>
        </w:rPr>
      </w:pPr>
    </w:p>
    <w:tbl>
      <w:tblPr>
        <w:tblStyle w:val="12"/>
        <w:tblW w:w="5000" w:type="pct"/>
        <w:tblInd w:w="40" w:type="dxa"/>
        <w:tblLayout w:type="fixed"/>
        <w:tblCellMar>
          <w:top w:w="0" w:type="dxa"/>
          <w:left w:w="40" w:type="dxa"/>
          <w:bottom w:w="0" w:type="dxa"/>
          <w:right w:w="40" w:type="dxa"/>
        </w:tblCellMar>
      </w:tblPr>
      <w:tblGrid>
        <w:gridCol w:w="4105"/>
        <w:gridCol w:w="5081"/>
      </w:tblGrid>
      <w:tr w14:paraId="01B1DC69">
        <w:tblPrEx>
          <w:tblCellMar>
            <w:top w:w="0" w:type="dxa"/>
            <w:left w:w="40" w:type="dxa"/>
            <w:bottom w:w="0" w:type="dxa"/>
            <w:right w:w="40" w:type="dxa"/>
          </w:tblCellMar>
        </w:tblPrEx>
        <w:tc>
          <w:tcPr>
            <w:tcW w:w="4272" w:type="dxa"/>
            <w:tcBorders>
              <w:top w:val="nil"/>
              <w:left w:val="nil"/>
              <w:bottom w:val="nil"/>
              <w:right w:val="nil"/>
            </w:tcBorders>
            <w:shd w:val="clear" w:color="auto" w:fill="FFFFFF"/>
            <w:tcMar>
              <w:left w:w="57" w:type="dxa"/>
              <w:right w:w="57" w:type="dxa"/>
            </w:tcMar>
            <w:vAlign w:val="center"/>
          </w:tcPr>
          <w:p w14:paraId="7320D4E7">
            <w:pPr>
              <w:shd w:val="clear" w:color="auto" w:fill="FFFFFF"/>
              <w:snapToGrid w:val="0"/>
              <w:rPr>
                <w:rFonts w:eastAsia="宋体"/>
                <w:sz w:val="24"/>
                <w:szCs w:val="24"/>
              </w:rPr>
            </w:pPr>
            <w:r>
              <w:rPr>
                <w:rFonts w:eastAsia="宋体"/>
              </w:rPr>
              <w:drawing>
                <wp:inline distT="0" distB="0" distL="0" distR="0">
                  <wp:extent cx="2324100" cy="5257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324301" cy="525826"/>
                          </a:xfrm>
                          <a:prstGeom prst="rect">
                            <a:avLst/>
                          </a:prstGeom>
                        </pic:spPr>
                      </pic:pic>
                    </a:graphicData>
                  </a:graphic>
                </wp:inline>
              </w:drawing>
            </w:r>
          </w:p>
        </w:tc>
        <w:tc>
          <w:tcPr>
            <w:tcW w:w="5290" w:type="dxa"/>
            <w:tcBorders>
              <w:top w:val="nil"/>
              <w:left w:val="nil"/>
              <w:bottom w:val="nil"/>
              <w:right w:val="nil"/>
            </w:tcBorders>
            <w:shd w:val="clear" w:color="auto" w:fill="FFFFFF"/>
            <w:tcMar>
              <w:left w:w="57" w:type="dxa"/>
              <w:right w:w="57" w:type="dxa"/>
            </w:tcMar>
          </w:tcPr>
          <w:p w14:paraId="4D94996E">
            <w:pPr>
              <w:shd w:val="clear" w:color="auto" w:fill="FFFFFF"/>
              <w:snapToGrid w:val="0"/>
              <w:jc w:val="right"/>
              <w:rPr>
                <w:rFonts w:eastAsia="宋体"/>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58CEE002">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13749EC5">
            <w:pPr>
              <w:shd w:val="clear" w:color="auto" w:fill="FFFFFF"/>
              <w:snapToGrid w:val="0"/>
              <w:jc w:val="right"/>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7BFBB092">
            <w:pPr>
              <w:shd w:val="clear" w:color="auto" w:fill="FFFFFF"/>
              <w:snapToGrid w:val="0"/>
              <w:jc w:val="right"/>
              <w:rPr>
                <w:rFonts w:eastAsia="宋体"/>
                <w:sz w:val="24"/>
                <w:szCs w:val="24"/>
              </w:rPr>
            </w:pPr>
            <w:r>
              <w:rPr>
                <w:rFonts w:eastAsia="宋体"/>
                <w:b/>
                <w:bCs/>
                <w:color w:val="000000"/>
                <w:sz w:val="24"/>
                <w:szCs w:val="24"/>
              </w:rPr>
              <w:t>生物制品评价和研究中心</w:t>
            </w:r>
          </w:p>
        </w:tc>
      </w:tr>
    </w:tbl>
    <w:p w14:paraId="1F6155EE">
      <w:pPr>
        <w:snapToGrid w:val="0"/>
        <w:jc w:val="both"/>
        <w:rPr>
          <w:rFonts w:eastAsia="宋体"/>
          <w:sz w:val="21"/>
          <w:szCs w:val="21"/>
        </w:rPr>
      </w:pPr>
    </w:p>
    <w:p w14:paraId="742A3E43">
      <w:pPr>
        <w:snapToGrid w:val="0"/>
        <w:jc w:val="both"/>
        <w:rPr>
          <w:rFonts w:eastAsia="宋体"/>
          <w:sz w:val="21"/>
          <w:szCs w:val="21"/>
        </w:rPr>
        <w:sectPr>
          <w:headerReference r:id="rId4" w:type="default"/>
          <w:footerReference r:id="rId5" w:type="default"/>
          <w:type w:val="continuous"/>
          <w:pgSz w:w="11906" w:h="16838"/>
          <w:pgMar w:top="1134" w:right="1417" w:bottom="1134" w:left="1417" w:header="850" w:footer="720" w:gutter="0"/>
          <w:cols w:space="60" w:num="1"/>
          <w:docGrid w:linePitch="272" w:charSpace="0"/>
        </w:sectPr>
      </w:pPr>
    </w:p>
    <w:p w14:paraId="13A38707">
      <w:pPr>
        <w:pStyle w:val="19"/>
        <w:jc w:val="center"/>
        <w:rPr>
          <w:rFonts w:eastAsia="宋体"/>
          <w:b/>
          <w:bCs/>
          <w:sz w:val="48"/>
          <w:szCs w:val="48"/>
        </w:rPr>
      </w:pPr>
      <w:r>
        <w:rPr>
          <w:rFonts w:eastAsia="宋体"/>
          <w:b/>
          <w:bCs/>
          <w:sz w:val="48"/>
          <w:szCs w:val="48"/>
        </w:rPr>
        <w:t>前言</w:t>
      </w:r>
    </w:p>
    <w:p w14:paraId="037FE699">
      <w:pPr>
        <w:pStyle w:val="19"/>
        <w:jc w:val="center"/>
        <w:rPr>
          <w:rFonts w:eastAsia="宋体"/>
          <w:sz w:val="48"/>
          <w:szCs w:val="48"/>
        </w:rPr>
      </w:pPr>
    </w:p>
    <w:p w14:paraId="5CBE20E5">
      <w:pPr>
        <w:shd w:val="clear" w:color="auto" w:fill="FFFFFF"/>
        <w:snapToGrid w:val="0"/>
        <w:jc w:val="both"/>
        <w:rPr>
          <w:rFonts w:eastAsia="宋体"/>
          <w:b/>
          <w:bCs/>
          <w:sz w:val="36"/>
          <w:szCs w:val="36"/>
        </w:rPr>
      </w:pPr>
      <w:r>
        <w:rPr>
          <w:rFonts w:eastAsia="宋体"/>
          <w:b/>
          <w:bCs/>
          <w:sz w:val="36"/>
          <w:szCs w:val="36"/>
        </w:rPr>
        <w:t>公众意见</w:t>
      </w:r>
    </w:p>
    <w:p w14:paraId="0500DC91">
      <w:pPr>
        <w:shd w:val="clear" w:color="auto" w:fill="FFFFFF"/>
        <w:snapToGrid w:val="0"/>
        <w:jc w:val="both"/>
        <w:rPr>
          <w:rFonts w:eastAsia="宋体"/>
          <w:b/>
          <w:bCs/>
          <w:sz w:val="24"/>
          <w:szCs w:val="24"/>
        </w:rPr>
      </w:pPr>
    </w:p>
    <w:p w14:paraId="0D1A6552">
      <w:pPr>
        <w:shd w:val="clear" w:color="auto" w:fill="FFFFFF"/>
        <w:snapToGrid w:val="0"/>
        <w:jc w:val="both"/>
        <w:rPr>
          <w:rFonts w:eastAsia="宋体"/>
          <w:color w:val="000000"/>
          <w:sz w:val="24"/>
          <w:szCs w:val="24"/>
        </w:rPr>
      </w:pPr>
      <w:r>
        <w:rPr>
          <w:rFonts w:eastAsia="宋体"/>
          <w:color w:val="000000"/>
          <w:sz w:val="24"/>
          <w:szCs w:val="24"/>
        </w:rPr>
        <w:t>您可随时提交电子意见和建议至</w:t>
      </w:r>
      <w:r>
        <w:rPr>
          <w:rFonts w:eastAsia="宋体"/>
          <w:color w:val="0000FF"/>
          <w:sz w:val="24"/>
          <w:szCs w:val="24"/>
          <w:u w:val="single"/>
        </w:rPr>
        <w:t>https://www.regulations.gov</w:t>
      </w:r>
      <w:r>
        <w:rPr>
          <w:rFonts w:eastAsia="宋体"/>
          <w:color w:val="000000"/>
          <w:sz w:val="24"/>
          <w:szCs w:val="24"/>
        </w:rPr>
        <w:t>，供</w:t>
      </w:r>
      <w:r>
        <w:rPr>
          <w:rFonts w:hint="eastAsia" w:eastAsia="宋体"/>
          <w:color w:val="000000"/>
          <w:sz w:val="24"/>
          <w:szCs w:val="24"/>
        </w:rPr>
        <w:t>FDA审议</w:t>
      </w:r>
      <w:r>
        <w:rPr>
          <w:rFonts w:eastAsia="宋体"/>
          <w:color w:val="000000"/>
          <w:sz w:val="24"/>
          <w:szCs w:val="24"/>
        </w:rPr>
        <w:t>。请提交书面意见至美国食品药品监督管理局档案管理工作人员（5630 Fishers Lane, Room 1061, （HFA-305）, Rockville, MD 20852）。</w:t>
      </w:r>
    </w:p>
    <w:p w14:paraId="48ADA892">
      <w:pPr>
        <w:shd w:val="clear" w:color="auto" w:fill="FFFFFF"/>
        <w:snapToGrid w:val="0"/>
        <w:jc w:val="both"/>
        <w:rPr>
          <w:rFonts w:eastAsia="宋体"/>
          <w:sz w:val="24"/>
          <w:szCs w:val="24"/>
        </w:rPr>
      </w:pPr>
    </w:p>
    <w:p w14:paraId="4928C234">
      <w:pPr>
        <w:shd w:val="clear" w:color="auto" w:fill="FFFFFF"/>
        <w:snapToGrid w:val="0"/>
        <w:jc w:val="both"/>
        <w:rPr>
          <w:rFonts w:eastAsia="宋体"/>
          <w:sz w:val="24"/>
          <w:szCs w:val="24"/>
        </w:rPr>
      </w:pPr>
      <w:r>
        <w:rPr>
          <w:rFonts w:eastAsia="宋体"/>
          <w:color w:val="000000"/>
          <w:sz w:val="24"/>
          <w:szCs w:val="24"/>
        </w:rPr>
        <w:t>所有意见均应注明档案编号：FDA-2019-D-4014。下次修订或更新文件前，FDA可能不会对评论意见采取行动。</w:t>
      </w:r>
    </w:p>
    <w:p w14:paraId="3BAF2493">
      <w:pPr>
        <w:shd w:val="clear" w:color="auto" w:fill="FFFFFF"/>
        <w:snapToGrid w:val="0"/>
        <w:jc w:val="both"/>
        <w:rPr>
          <w:rFonts w:eastAsia="宋体"/>
          <w:b/>
          <w:bCs/>
          <w:sz w:val="36"/>
          <w:szCs w:val="36"/>
        </w:rPr>
      </w:pPr>
    </w:p>
    <w:p w14:paraId="491AF385">
      <w:pPr>
        <w:shd w:val="clear" w:color="auto" w:fill="FFFFFF"/>
        <w:snapToGrid w:val="0"/>
        <w:jc w:val="both"/>
        <w:rPr>
          <w:rFonts w:eastAsia="宋体"/>
          <w:b/>
          <w:bCs/>
          <w:sz w:val="36"/>
          <w:szCs w:val="36"/>
        </w:rPr>
      </w:pPr>
      <w:r>
        <w:rPr>
          <w:rFonts w:hint="eastAsia" w:eastAsia="宋体"/>
          <w:b/>
          <w:bCs/>
          <w:sz w:val="36"/>
          <w:szCs w:val="36"/>
        </w:rPr>
        <w:t>更多</w:t>
      </w:r>
      <w:r>
        <w:rPr>
          <w:rFonts w:eastAsia="宋体"/>
          <w:b/>
          <w:bCs/>
          <w:sz w:val="36"/>
          <w:szCs w:val="36"/>
        </w:rPr>
        <w:t>副本</w:t>
      </w:r>
    </w:p>
    <w:p w14:paraId="29FD002C">
      <w:pPr>
        <w:shd w:val="clear" w:color="auto" w:fill="FFFFFF"/>
        <w:snapToGrid w:val="0"/>
        <w:jc w:val="both"/>
        <w:rPr>
          <w:rFonts w:eastAsia="宋体"/>
          <w:sz w:val="21"/>
          <w:szCs w:val="21"/>
        </w:rPr>
      </w:pPr>
    </w:p>
    <w:p w14:paraId="69FC5D11">
      <w:pPr>
        <w:shd w:val="clear" w:color="auto" w:fill="FFFFFF"/>
        <w:snapToGrid w:val="0"/>
        <w:jc w:val="both"/>
        <w:rPr>
          <w:rFonts w:eastAsia="宋体"/>
          <w:sz w:val="28"/>
          <w:szCs w:val="28"/>
        </w:rPr>
      </w:pPr>
      <w:r>
        <w:rPr>
          <w:rFonts w:eastAsia="宋体"/>
          <w:b/>
          <w:bCs/>
          <w:color w:val="000000"/>
          <w:sz w:val="28"/>
          <w:szCs w:val="28"/>
        </w:rPr>
        <w:t>医疗器械和放射健康中心（CDRH）</w:t>
      </w:r>
    </w:p>
    <w:p w14:paraId="118B4127">
      <w:pPr>
        <w:shd w:val="clear" w:color="auto" w:fill="FFFFFF"/>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sz w:val="24"/>
          <w:szCs w:val="24"/>
        </w:rPr>
        <w:t>接收指南副本。请在申请中提供文件编号1567和完整的指南标题。</w:t>
      </w:r>
    </w:p>
    <w:p w14:paraId="264F1ED4">
      <w:pPr>
        <w:shd w:val="clear" w:color="auto" w:fill="FFFFFF"/>
        <w:snapToGrid w:val="0"/>
        <w:jc w:val="both"/>
        <w:rPr>
          <w:rFonts w:eastAsia="宋体"/>
          <w:b/>
          <w:bCs/>
          <w:color w:val="000000"/>
          <w:sz w:val="24"/>
          <w:szCs w:val="24"/>
        </w:rPr>
      </w:pPr>
    </w:p>
    <w:p w14:paraId="445E848E">
      <w:pPr>
        <w:shd w:val="clear" w:color="auto" w:fill="FFFFFF"/>
        <w:snapToGrid w:val="0"/>
        <w:jc w:val="both"/>
        <w:rPr>
          <w:rFonts w:eastAsia="宋体"/>
          <w:b/>
          <w:bCs/>
          <w:color w:val="000000"/>
          <w:sz w:val="28"/>
          <w:szCs w:val="28"/>
        </w:rPr>
      </w:pPr>
      <w:r>
        <w:rPr>
          <w:rFonts w:eastAsia="宋体"/>
          <w:b/>
          <w:bCs/>
          <w:color w:val="000000"/>
          <w:sz w:val="28"/>
          <w:szCs w:val="28"/>
        </w:rPr>
        <w:t>生物制品评价与研究中心（CBER）</w:t>
      </w:r>
    </w:p>
    <w:p w14:paraId="791017BF">
      <w:pPr>
        <w:shd w:val="clear" w:color="auto" w:fill="FFFFFF"/>
        <w:snapToGrid w:val="0"/>
        <w:jc w:val="both"/>
        <w:rPr>
          <w:rFonts w:eastAsia="宋体"/>
          <w:sz w:val="24"/>
          <w:szCs w:val="24"/>
        </w:rPr>
      </w:pPr>
      <w:r>
        <w:rPr>
          <w:rFonts w:eastAsia="宋体"/>
          <w:color w:val="000000"/>
          <w:sz w:val="24"/>
          <w:szCs w:val="24"/>
        </w:rPr>
        <w:t>其他副本可从生物制品评价和研究中心（CBER）、交流、外联和发展办公室（OCOD）索取，地址：10903 New Hampshire Ave.，WO71，Room 3128，Silver Spring，MD 20903，或电话：800-835-4709或240-402-8010，或邮箱：</w:t>
      </w:r>
      <w:r>
        <w:rPr>
          <w:rFonts w:eastAsia="宋体"/>
          <w:color w:val="0000FF"/>
          <w:sz w:val="24"/>
          <w:szCs w:val="24"/>
          <w:u w:val="single"/>
        </w:rPr>
        <w:t>ocod@fda.hhs.gov</w:t>
      </w:r>
      <w:r>
        <w:rPr>
          <w:rFonts w:eastAsia="宋体"/>
          <w:color w:val="000000"/>
          <w:sz w:val="24"/>
          <w:szCs w:val="24"/>
        </w:rPr>
        <w:t>，或通过以下网址：</w:t>
      </w:r>
    </w:p>
    <w:p w14:paraId="796BE442">
      <w:pPr>
        <w:shd w:val="clear" w:color="auto" w:fill="FFFFFF"/>
        <w:snapToGrid w:val="0"/>
        <w:jc w:val="both"/>
        <w:rPr>
          <w:rFonts w:eastAsia="宋体"/>
          <w:sz w:val="24"/>
          <w:szCs w:val="24"/>
        </w:rPr>
      </w:pPr>
      <w:r>
        <w:rPr>
          <w:rFonts w:eastAsia="宋体"/>
          <w:color w:val="0000FF"/>
          <w:sz w:val="24"/>
          <w:szCs w:val="24"/>
          <w:u w:val="single"/>
        </w:rPr>
        <w:t>https://www.fda.gov/vaccines-blood-biologics/guidance-compliance-regulatory-information-biologics/biologics-guidances.</w:t>
      </w:r>
    </w:p>
    <w:p w14:paraId="3B20AB24">
      <w:pPr>
        <w:shd w:val="clear" w:color="auto" w:fill="FFFFFF"/>
        <w:snapToGrid w:val="0"/>
        <w:jc w:val="both"/>
        <w:rPr>
          <w:rFonts w:eastAsia="宋体"/>
          <w:sz w:val="21"/>
          <w:szCs w:val="21"/>
        </w:rPr>
      </w:pPr>
    </w:p>
    <w:p w14:paraId="6F5264F5">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6F805E3">
      <w:pPr>
        <w:snapToGrid w:val="0"/>
        <w:jc w:val="center"/>
        <w:rPr>
          <w:rFonts w:eastAsia="宋体"/>
          <w:b/>
          <w:bCs/>
          <w:sz w:val="36"/>
          <w:szCs w:val="36"/>
        </w:rPr>
      </w:pPr>
      <w:r>
        <w:rPr>
          <w:rFonts w:eastAsia="宋体"/>
          <w:b/>
          <w:bCs/>
          <w:sz w:val="36"/>
          <w:szCs w:val="36"/>
        </w:rPr>
        <w:t>目录</w:t>
      </w:r>
    </w:p>
    <w:p w14:paraId="3406AB1C">
      <w:pPr>
        <w:snapToGrid w:val="0"/>
        <w:jc w:val="both"/>
        <w:rPr>
          <w:rFonts w:eastAsia="宋体"/>
          <w:sz w:val="21"/>
          <w:szCs w:val="21"/>
        </w:rPr>
      </w:pPr>
    </w:p>
    <w:p w14:paraId="7EDF1C3F">
      <w:pPr>
        <w:pStyle w:val="9"/>
        <w:rPr>
          <w:rFonts w:asciiTheme="minorHAnsi" w:hAnsiTheme="minorHAnsi" w:eastAsiaTheme="minorEastAsia" w:cstheme="minorBidi"/>
          <w:kern w:val="2"/>
          <w:sz w:val="21"/>
          <w:szCs w:val="22"/>
        </w:rPr>
      </w:pPr>
      <w:r>
        <w:rPr>
          <w:b/>
          <w:bCs/>
          <w:sz w:val="21"/>
          <w:szCs w:val="21"/>
        </w:rPr>
        <w:fldChar w:fldCharType="begin"/>
      </w:r>
      <w:r>
        <w:rPr>
          <w:sz w:val="21"/>
          <w:szCs w:val="21"/>
        </w:rPr>
        <w:instrText xml:space="preserve"> TOC \o "1-3" \h \z \u </w:instrText>
      </w:r>
      <w:r>
        <w:rPr>
          <w:b/>
          <w:sz w:val="21"/>
          <w:szCs w:val="21"/>
        </w:rPr>
        <w:fldChar w:fldCharType="separate"/>
      </w:r>
      <w:r>
        <w:fldChar w:fldCharType="begin"/>
      </w:r>
      <w:r>
        <w:instrText xml:space="preserve"> HYPERLINK \l "_Toc97492899" </w:instrText>
      </w:r>
      <w:r>
        <w:fldChar w:fldCharType="separate"/>
      </w:r>
      <w:r>
        <w:rPr>
          <w:rStyle w:val="14"/>
        </w:rPr>
        <w:t>I.</w:t>
      </w:r>
      <w:r>
        <w:rPr>
          <w:rFonts w:asciiTheme="minorHAnsi" w:hAnsiTheme="minorHAnsi" w:eastAsiaTheme="minorEastAsia" w:cstheme="minorBidi"/>
          <w:kern w:val="2"/>
          <w:sz w:val="21"/>
          <w:szCs w:val="22"/>
        </w:rPr>
        <w:tab/>
      </w:r>
      <w:r>
        <w:rPr>
          <w:rStyle w:val="14"/>
          <w:rFonts w:hint="eastAsia"/>
        </w:rPr>
        <w:t>前言</w:t>
      </w:r>
      <w:r>
        <w:tab/>
      </w:r>
      <w:r>
        <w:fldChar w:fldCharType="begin"/>
      </w:r>
      <w:r>
        <w:instrText xml:space="preserve"> PAGEREF _Toc97492899 \h </w:instrText>
      </w:r>
      <w:r>
        <w:fldChar w:fldCharType="separate"/>
      </w:r>
      <w:r>
        <w:t>4</w:t>
      </w:r>
      <w:r>
        <w:fldChar w:fldCharType="end"/>
      </w:r>
      <w:r>
        <w:fldChar w:fldCharType="end"/>
      </w:r>
    </w:p>
    <w:p w14:paraId="504B9D3D">
      <w:pPr>
        <w:pStyle w:val="9"/>
        <w:rPr>
          <w:rFonts w:asciiTheme="minorHAnsi" w:hAnsiTheme="minorHAnsi" w:eastAsiaTheme="minorEastAsia" w:cstheme="minorBidi"/>
          <w:kern w:val="2"/>
          <w:sz w:val="21"/>
          <w:szCs w:val="22"/>
        </w:rPr>
      </w:pPr>
      <w:r>
        <w:fldChar w:fldCharType="begin"/>
      </w:r>
      <w:r>
        <w:instrText xml:space="preserve"> HYPERLINK \l "_Toc97492900" </w:instrText>
      </w:r>
      <w:r>
        <w:fldChar w:fldCharType="separate"/>
      </w:r>
      <w:r>
        <w:rPr>
          <w:rStyle w:val="14"/>
        </w:rPr>
        <w:t>II.</w:t>
      </w:r>
      <w:r>
        <w:rPr>
          <w:rFonts w:asciiTheme="minorHAnsi" w:hAnsiTheme="minorHAnsi" w:eastAsiaTheme="minorEastAsia" w:cstheme="minorBidi"/>
          <w:kern w:val="2"/>
          <w:sz w:val="21"/>
          <w:szCs w:val="22"/>
        </w:rPr>
        <w:tab/>
      </w:r>
      <w:r>
        <w:rPr>
          <w:rStyle w:val="14"/>
          <w:rFonts w:hint="eastAsia"/>
        </w:rPr>
        <w:t>背景</w:t>
      </w:r>
      <w:r>
        <w:tab/>
      </w:r>
      <w:r>
        <w:fldChar w:fldCharType="begin"/>
      </w:r>
      <w:r>
        <w:instrText xml:space="preserve"> PAGEREF _Toc97492900 \h </w:instrText>
      </w:r>
      <w:r>
        <w:fldChar w:fldCharType="separate"/>
      </w:r>
      <w:r>
        <w:t>5</w:t>
      </w:r>
      <w:r>
        <w:fldChar w:fldCharType="end"/>
      </w:r>
      <w:r>
        <w:fldChar w:fldCharType="end"/>
      </w:r>
    </w:p>
    <w:p w14:paraId="7FDC0CD7">
      <w:pPr>
        <w:pStyle w:val="9"/>
        <w:rPr>
          <w:rFonts w:asciiTheme="minorHAnsi" w:hAnsiTheme="minorHAnsi" w:eastAsiaTheme="minorEastAsia" w:cstheme="minorBidi"/>
          <w:kern w:val="2"/>
          <w:sz w:val="21"/>
          <w:szCs w:val="22"/>
        </w:rPr>
      </w:pPr>
      <w:r>
        <w:fldChar w:fldCharType="begin"/>
      </w:r>
      <w:r>
        <w:instrText xml:space="preserve"> HYPERLINK \l "_Toc97492901" </w:instrText>
      </w:r>
      <w:r>
        <w:fldChar w:fldCharType="separate"/>
      </w:r>
      <w:r>
        <w:rPr>
          <w:rStyle w:val="14"/>
        </w:rPr>
        <w:t>III.</w:t>
      </w:r>
      <w:r>
        <w:rPr>
          <w:rFonts w:asciiTheme="minorHAnsi" w:hAnsiTheme="minorHAnsi" w:eastAsiaTheme="minorEastAsia" w:cstheme="minorBidi"/>
          <w:kern w:val="2"/>
          <w:sz w:val="21"/>
          <w:szCs w:val="22"/>
        </w:rPr>
        <w:tab/>
      </w:r>
      <w:r>
        <w:rPr>
          <w:rStyle w:val="14"/>
          <w:rFonts w:hint="eastAsia"/>
        </w:rPr>
        <w:t>定义</w:t>
      </w:r>
      <w:r>
        <w:tab/>
      </w:r>
      <w:r>
        <w:fldChar w:fldCharType="begin"/>
      </w:r>
      <w:r>
        <w:instrText xml:space="preserve"> PAGEREF _Toc97492901 \h </w:instrText>
      </w:r>
      <w:r>
        <w:fldChar w:fldCharType="separate"/>
      </w:r>
      <w:r>
        <w:t>5</w:t>
      </w:r>
      <w:r>
        <w:fldChar w:fldCharType="end"/>
      </w:r>
      <w:r>
        <w:fldChar w:fldCharType="end"/>
      </w:r>
    </w:p>
    <w:p w14:paraId="37E59296">
      <w:pPr>
        <w:pStyle w:val="9"/>
        <w:rPr>
          <w:rFonts w:asciiTheme="minorHAnsi" w:hAnsiTheme="minorHAnsi" w:eastAsiaTheme="minorEastAsia" w:cstheme="minorBidi"/>
          <w:kern w:val="2"/>
          <w:sz w:val="21"/>
          <w:szCs w:val="22"/>
        </w:rPr>
      </w:pPr>
      <w:r>
        <w:fldChar w:fldCharType="begin"/>
      </w:r>
      <w:r>
        <w:instrText xml:space="preserve"> HYPERLINK \l "_Toc97492902" </w:instrText>
      </w:r>
      <w:r>
        <w:fldChar w:fldCharType="separate"/>
      </w:r>
      <w:r>
        <w:rPr>
          <w:rStyle w:val="14"/>
        </w:rPr>
        <w:t>IV.</w:t>
      </w:r>
      <w:r>
        <w:rPr>
          <w:rFonts w:asciiTheme="minorHAnsi" w:hAnsiTheme="minorHAnsi" w:eastAsiaTheme="minorEastAsia" w:cstheme="minorBidi"/>
          <w:kern w:val="2"/>
          <w:sz w:val="21"/>
          <w:szCs w:val="22"/>
        </w:rPr>
        <w:tab/>
      </w:r>
      <w:r>
        <w:rPr>
          <w:rStyle w:val="14"/>
          <w:rFonts w:hint="eastAsia"/>
        </w:rPr>
        <w:t>传统或简化</w:t>
      </w:r>
      <w:r>
        <w:rPr>
          <w:rStyle w:val="14"/>
        </w:rPr>
        <w:t>510</w:t>
      </w:r>
      <w:r>
        <w:rPr>
          <w:rStyle w:val="14"/>
          <w:rFonts w:hint="eastAsia"/>
        </w:rPr>
        <w:t>（</w:t>
      </w:r>
      <w:r>
        <w:rPr>
          <w:rStyle w:val="14"/>
        </w:rPr>
        <w:t>k</w:t>
      </w:r>
      <w:r>
        <w:rPr>
          <w:rStyle w:val="14"/>
          <w:rFonts w:hint="eastAsia"/>
        </w:rPr>
        <w:t>）中的章节</w:t>
      </w:r>
      <w:r>
        <w:tab/>
      </w:r>
      <w:r>
        <w:fldChar w:fldCharType="begin"/>
      </w:r>
      <w:r>
        <w:instrText xml:space="preserve"> PAGEREF _Toc97492902 \h </w:instrText>
      </w:r>
      <w:r>
        <w:fldChar w:fldCharType="separate"/>
      </w:r>
      <w:r>
        <w:t>6</w:t>
      </w:r>
      <w:r>
        <w:fldChar w:fldCharType="end"/>
      </w:r>
      <w:r>
        <w:fldChar w:fldCharType="end"/>
      </w:r>
    </w:p>
    <w:p w14:paraId="7D354F58">
      <w:pPr>
        <w:pStyle w:val="9"/>
        <w:rPr>
          <w:rFonts w:asciiTheme="minorHAnsi" w:hAnsiTheme="minorHAnsi" w:eastAsiaTheme="minorEastAsia" w:cstheme="minorBidi"/>
          <w:kern w:val="2"/>
          <w:sz w:val="21"/>
          <w:szCs w:val="22"/>
        </w:rPr>
      </w:pPr>
      <w:r>
        <w:fldChar w:fldCharType="begin"/>
      </w:r>
      <w:r>
        <w:instrText xml:space="preserve"> HYPERLINK \l "_Toc97492903" </w:instrText>
      </w:r>
      <w:r>
        <w:fldChar w:fldCharType="separate"/>
      </w:r>
      <w:r>
        <w:rPr>
          <w:rStyle w:val="14"/>
        </w:rPr>
        <w:t>V.</w:t>
      </w:r>
      <w:r>
        <w:rPr>
          <w:rFonts w:asciiTheme="minorHAnsi" w:hAnsiTheme="minorHAnsi" w:eastAsiaTheme="minorEastAsia" w:cstheme="minorBidi"/>
          <w:kern w:val="2"/>
          <w:sz w:val="21"/>
          <w:szCs w:val="22"/>
        </w:rPr>
        <w:tab/>
      </w:r>
      <w:r>
        <w:rPr>
          <w:rStyle w:val="14"/>
          <w:rFonts w:hint="eastAsia"/>
        </w:rPr>
        <w:t>传统或简化</w:t>
      </w:r>
      <w:r>
        <w:rPr>
          <w:rStyle w:val="14"/>
        </w:rPr>
        <w:t>510</w:t>
      </w:r>
      <w:r>
        <w:rPr>
          <w:rStyle w:val="14"/>
          <w:rFonts w:hint="eastAsia"/>
        </w:rPr>
        <w:t>（</w:t>
      </w:r>
      <w:r>
        <w:rPr>
          <w:rStyle w:val="14"/>
        </w:rPr>
        <w:t>k</w:t>
      </w:r>
      <w:r>
        <w:rPr>
          <w:rStyle w:val="14"/>
          <w:rFonts w:hint="eastAsia"/>
        </w:rPr>
        <w:t>）的各章节描述</w:t>
      </w:r>
      <w:r>
        <w:tab/>
      </w:r>
      <w:r>
        <w:fldChar w:fldCharType="begin"/>
      </w:r>
      <w:r>
        <w:instrText xml:space="preserve"> PAGEREF _Toc97492903 \h </w:instrText>
      </w:r>
      <w:r>
        <w:fldChar w:fldCharType="separate"/>
      </w:r>
      <w:r>
        <w:t>7</w:t>
      </w:r>
      <w:r>
        <w:fldChar w:fldCharType="end"/>
      </w:r>
      <w:r>
        <w:fldChar w:fldCharType="end"/>
      </w:r>
    </w:p>
    <w:p w14:paraId="0131CE6C">
      <w:pPr>
        <w:pStyle w:val="11"/>
        <w:rPr>
          <w:rFonts w:asciiTheme="minorHAnsi" w:hAnsiTheme="minorHAnsi" w:eastAsiaTheme="minorEastAsia" w:cstheme="minorBidi"/>
          <w:kern w:val="2"/>
          <w:szCs w:val="22"/>
        </w:rPr>
      </w:pPr>
      <w:r>
        <w:fldChar w:fldCharType="begin"/>
      </w:r>
      <w:r>
        <w:instrText xml:space="preserve"> HYPERLINK \l "_Toc97492904" </w:instrText>
      </w:r>
      <w:r>
        <w:fldChar w:fldCharType="separate"/>
      </w:r>
      <w:r>
        <w:rPr>
          <w:rStyle w:val="14"/>
        </w:rPr>
        <w:t>(1)</w:t>
      </w:r>
      <w:r>
        <w:rPr>
          <w:rFonts w:asciiTheme="minorHAnsi" w:hAnsiTheme="minorHAnsi" w:eastAsiaTheme="minorEastAsia" w:cstheme="minorBidi"/>
          <w:kern w:val="2"/>
          <w:szCs w:val="22"/>
        </w:rPr>
        <w:tab/>
      </w:r>
      <w:r>
        <w:rPr>
          <w:rStyle w:val="14"/>
          <w:rFonts w:hint="eastAsia"/>
        </w:rPr>
        <w:t>医疗器械用户付费封页（</w:t>
      </w:r>
      <w:r>
        <w:rPr>
          <w:rStyle w:val="14"/>
        </w:rPr>
        <w:t>FDA 3601</w:t>
      </w:r>
      <w:r>
        <w:rPr>
          <w:rStyle w:val="14"/>
          <w:rFonts w:hint="eastAsia"/>
        </w:rPr>
        <w:t>表格）</w:t>
      </w:r>
      <w:r>
        <w:tab/>
      </w:r>
      <w:r>
        <w:fldChar w:fldCharType="begin"/>
      </w:r>
      <w:r>
        <w:instrText xml:space="preserve"> PAGEREF _Toc97492904 \h </w:instrText>
      </w:r>
      <w:r>
        <w:fldChar w:fldCharType="separate"/>
      </w:r>
      <w:r>
        <w:t>7</w:t>
      </w:r>
      <w:r>
        <w:fldChar w:fldCharType="end"/>
      </w:r>
      <w:r>
        <w:fldChar w:fldCharType="end"/>
      </w:r>
    </w:p>
    <w:p w14:paraId="6EC8A4A0">
      <w:pPr>
        <w:pStyle w:val="11"/>
        <w:rPr>
          <w:rFonts w:asciiTheme="minorHAnsi" w:hAnsiTheme="minorHAnsi" w:eastAsiaTheme="minorEastAsia" w:cstheme="minorBidi"/>
          <w:kern w:val="2"/>
          <w:szCs w:val="22"/>
        </w:rPr>
      </w:pPr>
      <w:r>
        <w:fldChar w:fldCharType="begin"/>
      </w:r>
      <w:r>
        <w:instrText xml:space="preserve"> HYPERLINK \l "_Toc97492905" </w:instrText>
      </w:r>
      <w:r>
        <w:fldChar w:fldCharType="separate"/>
      </w:r>
      <w:r>
        <w:rPr>
          <w:rStyle w:val="14"/>
        </w:rPr>
        <w:t>(2)</w:t>
      </w:r>
      <w:r>
        <w:rPr>
          <w:rFonts w:asciiTheme="minorHAnsi" w:hAnsiTheme="minorHAnsi" w:eastAsiaTheme="minorEastAsia" w:cstheme="minorBidi"/>
          <w:kern w:val="2"/>
          <w:szCs w:val="22"/>
        </w:rPr>
        <w:tab/>
      </w:r>
      <w:r>
        <w:rPr>
          <w:rStyle w:val="14"/>
        </w:rPr>
        <w:t>CDRH</w:t>
      </w:r>
      <w:r>
        <w:rPr>
          <w:rStyle w:val="14"/>
          <w:rFonts w:hint="eastAsia"/>
        </w:rPr>
        <w:t>上市前审查申请封页（</w:t>
      </w:r>
      <w:r>
        <w:rPr>
          <w:rStyle w:val="14"/>
        </w:rPr>
        <w:t>FDA 3514</w:t>
      </w:r>
      <w:r>
        <w:rPr>
          <w:rStyle w:val="14"/>
          <w:rFonts w:hint="eastAsia"/>
        </w:rPr>
        <w:t>表格）</w:t>
      </w:r>
      <w:r>
        <w:tab/>
      </w:r>
      <w:r>
        <w:fldChar w:fldCharType="begin"/>
      </w:r>
      <w:r>
        <w:instrText xml:space="preserve"> PAGEREF _Toc97492905 \h </w:instrText>
      </w:r>
      <w:r>
        <w:fldChar w:fldCharType="separate"/>
      </w:r>
      <w:r>
        <w:t>7</w:t>
      </w:r>
      <w:r>
        <w:fldChar w:fldCharType="end"/>
      </w:r>
      <w:r>
        <w:fldChar w:fldCharType="end"/>
      </w:r>
    </w:p>
    <w:p w14:paraId="22609274">
      <w:pPr>
        <w:pStyle w:val="11"/>
        <w:rPr>
          <w:rFonts w:asciiTheme="minorHAnsi" w:hAnsiTheme="minorHAnsi" w:eastAsiaTheme="minorEastAsia" w:cstheme="minorBidi"/>
          <w:kern w:val="2"/>
          <w:szCs w:val="22"/>
        </w:rPr>
      </w:pPr>
      <w:r>
        <w:fldChar w:fldCharType="begin"/>
      </w:r>
      <w:r>
        <w:instrText xml:space="preserve"> HYPERLINK \l "_Toc97492906" </w:instrText>
      </w:r>
      <w:r>
        <w:fldChar w:fldCharType="separate"/>
      </w:r>
      <w:r>
        <w:rPr>
          <w:rStyle w:val="14"/>
        </w:rPr>
        <w:t>(3)</w:t>
      </w:r>
      <w:r>
        <w:rPr>
          <w:rFonts w:asciiTheme="minorHAnsi" w:hAnsiTheme="minorHAnsi" w:eastAsiaTheme="minorEastAsia" w:cstheme="minorBidi"/>
          <w:kern w:val="2"/>
          <w:szCs w:val="22"/>
        </w:rPr>
        <w:tab/>
      </w:r>
      <w:r>
        <w:rPr>
          <w:rStyle w:val="14"/>
        </w:rPr>
        <w:t>510</w:t>
      </w:r>
      <w:r>
        <w:rPr>
          <w:rStyle w:val="14"/>
          <w:rFonts w:hint="eastAsia"/>
        </w:rPr>
        <w:t>（</w:t>
      </w:r>
      <w:r>
        <w:rPr>
          <w:rStyle w:val="14"/>
        </w:rPr>
        <w:t>k</w:t>
      </w:r>
      <w:r>
        <w:rPr>
          <w:rStyle w:val="14"/>
          <w:rFonts w:hint="eastAsia"/>
        </w:rPr>
        <w:t>）附函</w:t>
      </w:r>
      <w:r>
        <w:tab/>
      </w:r>
      <w:r>
        <w:fldChar w:fldCharType="begin"/>
      </w:r>
      <w:r>
        <w:instrText xml:space="preserve"> PAGEREF _Toc97492906 \h </w:instrText>
      </w:r>
      <w:r>
        <w:fldChar w:fldCharType="separate"/>
      </w:r>
      <w:r>
        <w:t>8</w:t>
      </w:r>
      <w:r>
        <w:fldChar w:fldCharType="end"/>
      </w:r>
      <w:r>
        <w:fldChar w:fldCharType="end"/>
      </w:r>
    </w:p>
    <w:p w14:paraId="6DDF229C">
      <w:pPr>
        <w:pStyle w:val="11"/>
        <w:rPr>
          <w:rFonts w:asciiTheme="minorHAnsi" w:hAnsiTheme="minorHAnsi" w:eastAsiaTheme="minorEastAsia" w:cstheme="minorBidi"/>
          <w:kern w:val="2"/>
          <w:szCs w:val="22"/>
        </w:rPr>
      </w:pPr>
      <w:r>
        <w:fldChar w:fldCharType="begin"/>
      </w:r>
      <w:r>
        <w:instrText xml:space="preserve"> HYPERLINK \l "_Toc97492907" </w:instrText>
      </w:r>
      <w:r>
        <w:fldChar w:fldCharType="separate"/>
      </w:r>
      <w:r>
        <w:rPr>
          <w:rStyle w:val="14"/>
        </w:rPr>
        <w:t>(4)</w:t>
      </w:r>
      <w:r>
        <w:rPr>
          <w:rFonts w:asciiTheme="minorHAnsi" w:hAnsiTheme="minorHAnsi" w:eastAsiaTheme="minorEastAsia" w:cstheme="minorBidi"/>
          <w:kern w:val="2"/>
          <w:szCs w:val="22"/>
        </w:rPr>
        <w:tab/>
      </w:r>
      <w:r>
        <w:rPr>
          <w:rStyle w:val="14"/>
          <w:rFonts w:hint="eastAsia"/>
        </w:rPr>
        <w:t>使用说明（</w:t>
      </w:r>
      <w:r>
        <w:rPr>
          <w:rStyle w:val="14"/>
        </w:rPr>
        <w:t>FDA 3881</w:t>
      </w:r>
      <w:r>
        <w:rPr>
          <w:rStyle w:val="14"/>
          <w:rFonts w:hint="eastAsia"/>
        </w:rPr>
        <w:t>表格）</w:t>
      </w:r>
      <w:r>
        <w:tab/>
      </w:r>
      <w:r>
        <w:fldChar w:fldCharType="begin"/>
      </w:r>
      <w:r>
        <w:instrText xml:space="preserve"> PAGEREF _Toc97492907 \h </w:instrText>
      </w:r>
      <w:r>
        <w:fldChar w:fldCharType="separate"/>
      </w:r>
      <w:r>
        <w:t>8</w:t>
      </w:r>
      <w:r>
        <w:fldChar w:fldCharType="end"/>
      </w:r>
      <w:r>
        <w:fldChar w:fldCharType="end"/>
      </w:r>
    </w:p>
    <w:p w14:paraId="243FBCE6">
      <w:pPr>
        <w:pStyle w:val="11"/>
        <w:rPr>
          <w:rFonts w:asciiTheme="minorHAnsi" w:hAnsiTheme="minorHAnsi" w:eastAsiaTheme="minorEastAsia" w:cstheme="minorBidi"/>
          <w:kern w:val="2"/>
          <w:szCs w:val="22"/>
        </w:rPr>
      </w:pPr>
      <w:r>
        <w:fldChar w:fldCharType="begin"/>
      </w:r>
      <w:r>
        <w:instrText xml:space="preserve"> HYPERLINK \l "_Toc97492908" </w:instrText>
      </w:r>
      <w:r>
        <w:fldChar w:fldCharType="separate"/>
      </w:r>
      <w:r>
        <w:rPr>
          <w:rStyle w:val="14"/>
        </w:rPr>
        <w:t>(5)</w:t>
      </w:r>
      <w:r>
        <w:rPr>
          <w:rFonts w:asciiTheme="minorHAnsi" w:hAnsiTheme="minorHAnsi" w:eastAsiaTheme="minorEastAsia" w:cstheme="minorBidi"/>
          <w:kern w:val="2"/>
          <w:szCs w:val="22"/>
        </w:rPr>
        <w:tab/>
      </w:r>
      <w:r>
        <w:rPr>
          <w:rStyle w:val="14"/>
        </w:rPr>
        <w:t>510</w:t>
      </w:r>
      <w:r>
        <w:rPr>
          <w:rStyle w:val="14"/>
          <w:rFonts w:hint="eastAsia"/>
        </w:rPr>
        <w:t>（</w:t>
      </w:r>
      <w:r>
        <w:rPr>
          <w:rStyle w:val="14"/>
        </w:rPr>
        <w:t>k</w:t>
      </w:r>
      <w:r>
        <w:rPr>
          <w:rStyle w:val="14"/>
          <w:rFonts w:hint="eastAsia"/>
        </w:rPr>
        <w:t>）摘要或</w:t>
      </w:r>
      <w:r>
        <w:rPr>
          <w:rStyle w:val="14"/>
        </w:rPr>
        <w:t>510</w:t>
      </w:r>
      <w:r>
        <w:rPr>
          <w:rStyle w:val="14"/>
          <w:rFonts w:hint="eastAsia"/>
        </w:rPr>
        <w:t>（</w:t>
      </w:r>
      <w:r>
        <w:rPr>
          <w:rStyle w:val="14"/>
        </w:rPr>
        <w:t>k</w:t>
      </w:r>
      <w:r>
        <w:rPr>
          <w:rStyle w:val="14"/>
          <w:rFonts w:hint="eastAsia"/>
        </w:rPr>
        <w:t>）声明</w:t>
      </w:r>
      <w:r>
        <w:tab/>
      </w:r>
      <w:r>
        <w:fldChar w:fldCharType="begin"/>
      </w:r>
      <w:r>
        <w:instrText xml:space="preserve"> PAGEREF _Toc97492908 \h </w:instrText>
      </w:r>
      <w:r>
        <w:fldChar w:fldCharType="separate"/>
      </w:r>
      <w:r>
        <w:t>8</w:t>
      </w:r>
      <w:r>
        <w:fldChar w:fldCharType="end"/>
      </w:r>
      <w:r>
        <w:fldChar w:fldCharType="end"/>
      </w:r>
    </w:p>
    <w:p w14:paraId="3C3E91B5">
      <w:pPr>
        <w:pStyle w:val="11"/>
        <w:rPr>
          <w:rFonts w:asciiTheme="minorHAnsi" w:hAnsiTheme="minorHAnsi" w:eastAsiaTheme="minorEastAsia" w:cstheme="minorBidi"/>
          <w:kern w:val="2"/>
          <w:szCs w:val="22"/>
        </w:rPr>
      </w:pPr>
      <w:r>
        <w:fldChar w:fldCharType="begin"/>
      </w:r>
      <w:r>
        <w:instrText xml:space="preserve"> HYPERLINK \l "_Toc97492909" </w:instrText>
      </w:r>
      <w:r>
        <w:fldChar w:fldCharType="separate"/>
      </w:r>
      <w:r>
        <w:rPr>
          <w:rStyle w:val="14"/>
        </w:rPr>
        <w:t>(6)</w:t>
      </w:r>
      <w:r>
        <w:rPr>
          <w:rFonts w:asciiTheme="minorHAnsi" w:hAnsiTheme="minorHAnsi" w:eastAsiaTheme="minorEastAsia" w:cstheme="minorBidi"/>
          <w:kern w:val="2"/>
          <w:szCs w:val="22"/>
        </w:rPr>
        <w:tab/>
      </w:r>
      <w:r>
        <w:rPr>
          <w:rStyle w:val="14"/>
          <w:rFonts w:hint="eastAsia"/>
        </w:rPr>
        <w:t>真实有效性声明</w:t>
      </w:r>
      <w:r>
        <w:tab/>
      </w:r>
      <w:r>
        <w:fldChar w:fldCharType="begin"/>
      </w:r>
      <w:r>
        <w:instrText xml:space="preserve"> PAGEREF _Toc97492909 \h </w:instrText>
      </w:r>
      <w:r>
        <w:fldChar w:fldCharType="separate"/>
      </w:r>
      <w:r>
        <w:t>8</w:t>
      </w:r>
      <w:r>
        <w:fldChar w:fldCharType="end"/>
      </w:r>
      <w:r>
        <w:fldChar w:fldCharType="end"/>
      </w:r>
    </w:p>
    <w:p w14:paraId="4768918A">
      <w:pPr>
        <w:pStyle w:val="11"/>
        <w:rPr>
          <w:rFonts w:asciiTheme="minorHAnsi" w:hAnsiTheme="minorHAnsi" w:eastAsiaTheme="minorEastAsia" w:cstheme="minorBidi"/>
          <w:kern w:val="2"/>
          <w:szCs w:val="22"/>
        </w:rPr>
      </w:pPr>
      <w:r>
        <w:fldChar w:fldCharType="begin"/>
      </w:r>
      <w:r>
        <w:instrText xml:space="preserve"> HYPERLINK \l "_Toc97492910" </w:instrText>
      </w:r>
      <w:r>
        <w:fldChar w:fldCharType="separate"/>
      </w:r>
      <w:r>
        <w:rPr>
          <w:rStyle w:val="14"/>
        </w:rPr>
        <w:t>(7)</w:t>
      </w:r>
      <w:r>
        <w:rPr>
          <w:rFonts w:asciiTheme="minorHAnsi" w:hAnsiTheme="minorHAnsi" w:eastAsiaTheme="minorEastAsia" w:cstheme="minorBidi"/>
          <w:kern w:val="2"/>
          <w:szCs w:val="22"/>
        </w:rPr>
        <w:tab/>
      </w:r>
      <w:r>
        <w:rPr>
          <w:rStyle w:val="14"/>
        </w:rPr>
        <w:t>III</w:t>
      </w:r>
      <w:r>
        <w:rPr>
          <w:rStyle w:val="14"/>
          <w:rFonts w:hint="eastAsia"/>
        </w:rPr>
        <w:t>类器械总结和认证</w:t>
      </w:r>
      <w:r>
        <w:tab/>
      </w:r>
      <w:r>
        <w:fldChar w:fldCharType="begin"/>
      </w:r>
      <w:r>
        <w:instrText xml:space="preserve"> PAGEREF _Toc97492910 \h </w:instrText>
      </w:r>
      <w:r>
        <w:fldChar w:fldCharType="separate"/>
      </w:r>
      <w:r>
        <w:t>9</w:t>
      </w:r>
      <w:r>
        <w:fldChar w:fldCharType="end"/>
      </w:r>
      <w:r>
        <w:fldChar w:fldCharType="end"/>
      </w:r>
    </w:p>
    <w:p w14:paraId="11A42B3C">
      <w:pPr>
        <w:pStyle w:val="11"/>
        <w:rPr>
          <w:rFonts w:asciiTheme="minorHAnsi" w:hAnsiTheme="minorHAnsi" w:eastAsiaTheme="minorEastAsia" w:cstheme="minorBidi"/>
          <w:kern w:val="2"/>
          <w:szCs w:val="22"/>
        </w:rPr>
      </w:pPr>
      <w:r>
        <w:fldChar w:fldCharType="begin"/>
      </w:r>
      <w:r>
        <w:instrText xml:space="preserve"> HYPERLINK \l "_Toc97492911" </w:instrText>
      </w:r>
      <w:r>
        <w:fldChar w:fldCharType="separate"/>
      </w:r>
      <w:r>
        <w:rPr>
          <w:rStyle w:val="14"/>
        </w:rPr>
        <w:t>(8)</w:t>
      </w:r>
      <w:r>
        <w:rPr>
          <w:rFonts w:asciiTheme="minorHAnsi" w:hAnsiTheme="minorHAnsi" w:eastAsiaTheme="minorEastAsia" w:cstheme="minorBidi"/>
          <w:kern w:val="2"/>
          <w:szCs w:val="22"/>
        </w:rPr>
        <w:tab/>
      </w:r>
      <w:r>
        <w:rPr>
          <w:rStyle w:val="14"/>
          <w:rFonts w:hint="eastAsia"/>
        </w:rPr>
        <w:t>财务证明或披露声明</w:t>
      </w:r>
      <w:r>
        <w:tab/>
      </w:r>
      <w:r>
        <w:fldChar w:fldCharType="begin"/>
      </w:r>
      <w:r>
        <w:instrText xml:space="preserve"> PAGEREF _Toc97492911 \h </w:instrText>
      </w:r>
      <w:r>
        <w:fldChar w:fldCharType="separate"/>
      </w:r>
      <w:r>
        <w:t>9</w:t>
      </w:r>
      <w:r>
        <w:fldChar w:fldCharType="end"/>
      </w:r>
      <w:r>
        <w:fldChar w:fldCharType="end"/>
      </w:r>
    </w:p>
    <w:p w14:paraId="621B56F1">
      <w:pPr>
        <w:pStyle w:val="11"/>
        <w:rPr>
          <w:rFonts w:asciiTheme="minorHAnsi" w:hAnsiTheme="minorHAnsi" w:eastAsiaTheme="minorEastAsia" w:cstheme="minorBidi"/>
          <w:kern w:val="2"/>
          <w:szCs w:val="22"/>
        </w:rPr>
      </w:pPr>
      <w:r>
        <w:fldChar w:fldCharType="begin"/>
      </w:r>
      <w:r>
        <w:instrText xml:space="preserve"> HYPERLINK \l "_Toc97492912" </w:instrText>
      </w:r>
      <w:r>
        <w:fldChar w:fldCharType="separate"/>
      </w:r>
      <w:r>
        <w:rPr>
          <w:rStyle w:val="14"/>
        </w:rPr>
        <w:t>(9)</w:t>
      </w:r>
      <w:r>
        <w:rPr>
          <w:rFonts w:asciiTheme="minorHAnsi" w:hAnsiTheme="minorHAnsi" w:eastAsiaTheme="minorEastAsia" w:cstheme="minorBidi"/>
          <w:kern w:val="2"/>
          <w:szCs w:val="22"/>
        </w:rPr>
        <w:tab/>
      </w:r>
      <w:r>
        <w:rPr>
          <w:rStyle w:val="14"/>
          <w:rFonts w:hint="eastAsia"/>
        </w:rPr>
        <w:t>符合性声明和总结报告</w:t>
      </w:r>
      <w:r>
        <w:tab/>
      </w:r>
      <w:r>
        <w:fldChar w:fldCharType="begin"/>
      </w:r>
      <w:r>
        <w:instrText xml:space="preserve"> PAGEREF _Toc97492912 \h </w:instrText>
      </w:r>
      <w:r>
        <w:fldChar w:fldCharType="separate"/>
      </w:r>
      <w:r>
        <w:t>9</w:t>
      </w:r>
      <w:r>
        <w:fldChar w:fldCharType="end"/>
      </w:r>
      <w:r>
        <w:fldChar w:fldCharType="end"/>
      </w:r>
    </w:p>
    <w:p w14:paraId="4DE33397">
      <w:pPr>
        <w:pStyle w:val="11"/>
        <w:rPr>
          <w:rFonts w:asciiTheme="minorHAnsi" w:hAnsiTheme="minorHAnsi" w:eastAsiaTheme="minorEastAsia" w:cstheme="minorBidi"/>
          <w:kern w:val="2"/>
          <w:szCs w:val="22"/>
        </w:rPr>
      </w:pPr>
      <w:r>
        <w:fldChar w:fldCharType="begin"/>
      </w:r>
      <w:r>
        <w:instrText xml:space="preserve"> HYPERLINK \l "_Toc97492913" </w:instrText>
      </w:r>
      <w:r>
        <w:fldChar w:fldCharType="separate"/>
      </w:r>
      <w:r>
        <w:rPr>
          <w:rStyle w:val="14"/>
        </w:rPr>
        <w:t>(10)</w:t>
      </w:r>
      <w:r>
        <w:rPr>
          <w:rFonts w:asciiTheme="minorHAnsi" w:hAnsiTheme="minorHAnsi" w:eastAsiaTheme="minorEastAsia" w:cstheme="minorBidi"/>
          <w:kern w:val="2"/>
          <w:szCs w:val="22"/>
        </w:rPr>
        <w:tab/>
      </w:r>
      <w:r>
        <w:rPr>
          <w:rStyle w:val="14"/>
          <w:rFonts w:hint="eastAsia"/>
        </w:rPr>
        <w:t>器械描述</w:t>
      </w:r>
      <w:r>
        <w:tab/>
      </w:r>
      <w:r>
        <w:fldChar w:fldCharType="begin"/>
      </w:r>
      <w:r>
        <w:instrText xml:space="preserve"> PAGEREF _Toc97492913 \h </w:instrText>
      </w:r>
      <w:r>
        <w:fldChar w:fldCharType="separate"/>
      </w:r>
      <w:r>
        <w:t>10</w:t>
      </w:r>
      <w:r>
        <w:fldChar w:fldCharType="end"/>
      </w:r>
      <w:r>
        <w:fldChar w:fldCharType="end"/>
      </w:r>
    </w:p>
    <w:p w14:paraId="203F121B">
      <w:pPr>
        <w:pStyle w:val="11"/>
        <w:rPr>
          <w:rFonts w:asciiTheme="minorHAnsi" w:hAnsiTheme="minorHAnsi" w:eastAsiaTheme="minorEastAsia" w:cstheme="minorBidi"/>
          <w:kern w:val="2"/>
          <w:szCs w:val="22"/>
        </w:rPr>
      </w:pPr>
      <w:r>
        <w:fldChar w:fldCharType="begin"/>
      </w:r>
      <w:r>
        <w:instrText xml:space="preserve"> HYPERLINK \l "_Toc97492914" </w:instrText>
      </w:r>
      <w:r>
        <w:fldChar w:fldCharType="separate"/>
      </w:r>
      <w:r>
        <w:rPr>
          <w:rStyle w:val="14"/>
        </w:rPr>
        <w:t>(11)</w:t>
      </w:r>
      <w:r>
        <w:rPr>
          <w:rFonts w:asciiTheme="minorHAnsi" w:hAnsiTheme="minorHAnsi" w:eastAsiaTheme="minorEastAsia" w:cstheme="minorBidi"/>
          <w:kern w:val="2"/>
          <w:szCs w:val="22"/>
        </w:rPr>
        <w:tab/>
      </w:r>
      <w:r>
        <w:rPr>
          <w:rStyle w:val="14"/>
          <w:rFonts w:hint="eastAsia"/>
        </w:rPr>
        <w:t>执行摘要</w:t>
      </w:r>
      <w:r>
        <w:rPr>
          <w:rStyle w:val="14"/>
        </w:rPr>
        <w:t>/</w:t>
      </w:r>
      <w:r>
        <w:rPr>
          <w:rStyle w:val="14"/>
          <w:rFonts w:hint="eastAsia"/>
        </w:rPr>
        <w:t>实质等同比较</w:t>
      </w:r>
      <w:r>
        <w:tab/>
      </w:r>
      <w:r>
        <w:fldChar w:fldCharType="begin"/>
      </w:r>
      <w:r>
        <w:instrText xml:space="preserve"> PAGEREF _Toc97492914 \h </w:instrText>
      </w:r>
      <w:r>
        <w:fldChar w:fldCharType="separate"/>
      </w:r>
      <w:r>
        <w:t>10</w:t>
      </w:r>
      <w:r>
        <w:fldChar w:fldCharType="end"/>
      </w:r>
      <w:r>
        <w:fldChar w:fldCharType="end"/>
      </w:r>
    </w:p>
    <w:p w14:paraId="2EA65F04">
      <w:pPr>
        <w:pStyle w:val="11"/>
        <w:rPr>
          <w:rFonts w:asciiTheme="minorHAnsi" w:hAnsiTheme="minorHAnsi" w:eastAsiaTheme="minorEastAsia" w:cstheme="minorBidi"/>
          <w:kern w:val="2"/>
          <w:szCs w:val="22"/>
        </w:rPr>
      </w:pPr>
      <w:r>
        <w:fldChar w:fldCharType="begin"/>
      </w:r>
      <w:r>
        <w:instrText xml:space="preserve"> HYPERLINK \l "_Toc97492915" </w:instrText>
      </w:r>
      <w:r>
        <w:fldChar w:fldCharType="separate"/>
      </w:r>
      <w:r>
        <w:rPr>
          <w:rStyle w:val="14"/>
        </w:rPr>
        <w:t>(12)</w:t>
      </w:r>
      <w:r>
        <w:rPr>
          <w:rFonts w:asciiTheme="minorHAnsi" w:hAnsiTheme="minorHAnsi" w:eastAsiaTheme="minorEastAsia" w:cstheme="minorBidi"/>
          <w:kern w:val="2"/>
          <w:szCs w:val="22"/>
        </w:rPr>
        <w:tab/>
      </w:r>
      <w:r>
        <w:rPr>
          <w:rStyle w:val="14"/>
          <w:rFonts w:hint="eastAsia"/>
        </w:rPr>
        <w:t>实质等同性讨论</w:t>
      </w:r>
      <w:r>
        <w:tab/>
      </w:r>
      <w:r>
        <w:fldChar w:fldCharType="begin"/>
      </w:r>
      <w:r>
        <w:instrText xml:space="preserve"> PAGEREF _Toc97492915 \h </w:instrText>
      </w:r>
      <w:r>
        <w:fldChar w:fldCharType="separate"/>
      </w:r>
      <w:r>
        <w:t>11</w:t>
      </w:r>
      <w:r>
        <w:fldChar w:fldCharType="end"/>
      </w:r>
      <w:r>
        <w:fldChar w:fldCharType="end"/>
      </w:r>
    </w:p>
    <w:p w14:paraId="3F97E1B0">
      <w:pPr>
        <w:pStyle w:val="11"/>
        <w:rPr>
          <w:rFonts w:asciiTheme="minorHAnsi" w:hAnsiTheme="minorHAnsi" w:eastAsiaTheme="minorEastAsia" w:cstheme="minorBidi"/>
          <w:kern w:val="2"/>
          <w:szCs w:val="22"/>
        </w:rPr>
      </w:pPr>
      <w:r>
        <w:fldChar w:fldCharType="begin"/>
      </w:r>
      <w:r>
        <w:instrText xml:space="preserve"> HYPERLINK \l "_Toc97492916" </w:instrText>
      </w:r>
      <w:r>
        <w:fldChar w:fldCharType="separate"/>
      </w:r>
      <w:r>
        <w:rPr>
          <w:rStyle w:val="14"/>
        </w:rPr>
        <w:t>(13)</w:t>
      </w:r>
      <w:r>
        <w:rPr>
          <w:rFonts w:asciiTheme="minorHAnsi" w:hAnsiTheme="minorHAnsi" w:eastAsiaTheme="minorEastAsia" w:cstheme="minorBidi"/>
          <w:kern w:val="2"/>
          <w:szCs w:val="22"/>
        </w:rPr>
        <w:tab/>
      </w:r>
      <w:r>
        <w:rPr>
          <w:rStyle w:val="14"/>
          <w:rFonts w:hint="eastAsia"/>
        </w:rPr>
        <w:t>建议标签</w:t>
      </w:r>
      <w:r>
        <w:tab/>
      </w:r>
      <w:r>
        <w:fldChar w:fldCharType="begin"/>
      </w:r>
      <w:r>
        <w:instrText xml:space="preserve"> PAGEREF _Toc97492916 \h </w:instrText>
      </w:r>
      <w:r>
        <w:fldChar w:fldCharType="separate"/>
      </w:r>
      <w:r>
        <w:t>12</w:t>
      </w:r>
      <w:r>
        <w:fldChar w:fldCharType="end"/>
      </w:r>
      <w:r>
        <w:fldChar w:fldCharType="end"/>
      </w:r>
    </w:p>
    <w:p w14:paraId="40B9F07C">
      <w:pPr>
        <w:pStyle w:val="11"/>
        <w:rPr>
          <w:rFonts w:asciiTheme="minorHAnsi" w:hAnsiTheme="minorHAnsi" w:eastAsiaTheme="minorEastAsia" w:cstheme="minorBidi"/>
          <w:kern w:val="2"/>
          <w:szCs w:val="22"/>
        </w:rPr>
      </w:pPr>
      <w:r>
        <w:fldChar w:fldCharType="begin"/>
      </w:r>
      <w:r>
        <w:instrText xml:space="preserve"> HYPERLINK \l "_Toc97492917" </w:instrText>
      </w:r>
      <w:r>
        <w:fldChar w:fldCharType="separate"/>
      </w:r>
      <w:r>
        <w:rPr>
          <w:rStyle w:val="14"/>
        </w:rPr>
        <w:t>(14)</w:t>
      </w:r>
      <w:r>
        <w:rPr>
          <w:rFonts w:asciiTheme="minorHAnsi" w:hAnsiTheme="minorHAnsi" w:eastAsiaTheme="minorEastAsia" w:cstheme="minorBidi"/>
          <w:kern w:val="2"/>
          <w:szCs w:val="22"/>
        </w:rPr>
        <w:tab/>
      </w:r>
      <w:r>
        <w:rPr>
          <w:rStyle w:val="14"/>
          <w:rFonts w:hint="eastAsia"/>
        </w:rPr>
        <w:t>灭菌和货架有效期</w:t>
      </w:r>
      <w:r>
        <w:tab/>
      </w:r>
      <w:r>
        <w:fldChar w:fldCharType="begin"/>
      </w:r>
      <w:r>
        <w:instrText xml:space="preserve"> PAGEREF _Toc97492917 \h </w:instrText>
      </w:r>
      <w:r>
        <w:fldChar w:fldCharType="separate"/>
      </w:r>
      <w:r>
        <w:t>12</w:t>
      </w:r>
      <w:r>
        <w:fldChar w:fldCharType="end"/>
      </w:r>
      <w:r>
        <w:fldChar w:fldCharType="end"/>
      </w:r>
    </w:p>
    <w:p w14:paraId="384B8CD4">
      <w:pPr>
        <w:pStyle w:val="11"/>
        <w:rPr>
          <w:rFonts w:asciiTheme="minorHAnsi" w:hAnsiTheme="minorHAnsi" w:eastAsiaTheme="minorEastAsia" w:cstheme="minorBidi"/>
          <w:kern w:val="2"/>
          <w:szCs w:val="22"/>
        </w:rPr>
      </w:pPr>
      <w:r>
        <w:fldChar w:fldCharType="begin"/>
      </w:r>
      <w:r>
        <w:instrText xml:space="preserve"> HYPERLINK \l "_Toc97492918" </w:instrText>
      </w:r>
      <w:r>
        <w:fldChar w:fldCharType="separate"/>
      </w:r>
      <w:r>
        <w:rPr>
          <w:rStyle w:val="14"/>
        </w:rPr>
        <w:t>(15)</w:t>
      </w:r>
      <w:r>
        <w:rPr>
          <w:rFonts w:asciiTheme="minorHAnsi" w:hAnsiTheme="minorHAnsi" w:eastAsiaTheme="minorEastAsia" w:cstheme="minorBidi"/>
          <w:kern w:val="2"/>
          <w:szCs w:val="22"/>
        </w:rPr>
        <w:tab/>
      </w:r>
      <w:r>
        <w:rPr>
          <w:rStyle w:val="14"/>
          <w:rFonts w:hint="eastAsia"/>
        </w:rPr>
        <w:t>生物相容性</w:t>
      </w:r>
      <w:r>
        <w:tab/>
      </w:r>
      <w:r>
        <w:fldChar w:fldCharType="begin"/>
      </w:r>
      <w:r>
        <w:instrText xml:space="preserve"> PAGEREF _Toc97492918 \h </w:instrText>
      </w:r>
      <w:r>
        <w:fldChar w:fldCharType="separate"/>
      </w:r>
      <w:r>
        <w:t>12</w:t>
      </w:r>
      <w:r>
        <w:fldChar w:fldCharType="end"/>
      </w:r>
      <w:r>
        <w:fldChar w:fldCharType="end"/>
      </w:r>
    </w:p>
    <w:p w14:paraId="45667B4E">
      <w:pPr>
        <w:pStyle w:val="11"/>
        <w:rPr>
          <w:rFonts w:asciiTheme="minorHAnsi" w:hAnsiTheme="minorHAnsi" w:eastAsiaTheme="minorEastAsia" w:cstheme="minorBidi"/>
          <w:kern w:val="2"/>
          <w:szCs w:val="22"/>
        </w:rPr>
      </w:pPr>
      <w:r>
        <w:fldChar w:fldCharType="begin"/>
      </w:r>
      <w:r>
        <w:instrText xml:space="preserve"> HYPERLINK \l "_Toc97492919" </w:instrText>
      </w:r>
      <w:r>
        <w:fldChar w:fldCharType="separate"/>
      </w:r>
      <w:r>
        <w:rPr>
          <w:rStyle w:val="14"/>
        </w:rPr>
        <w:t>(16)</w:t>
      </w:r>
      <w:r>
        <w:rPr>
          <w:rFonts w:asciiTheme="minorHAnsi" w:hAnsiTheme="minorHAnsi" w:eastAsiaTheme="minorEastAsia" w:cstheme="minorBidi"/>
          <w:kern w:val="2"/>
          <w:szCs w:val="22"/>
        </w:rPr>
        <w:tab/>
      </w:r>
      <w:r>
        <w:rPr>
          <w:rStyle w:val="14"/>
          <w:rFonts w:hint="eastAsia"/>
        </w:rPr>
        <w:t>软件</w:t>
      </w:r>
      <w:r>
        <w:tab/>
      </w:r>
      <w:r>
        <w:fldChar w:fldCharType="begin"/>
      </w:r>
      <w:r>
        <w:instrText xml:space="preserve"> PAGEREF _Toc97492919 \h </w:instrText>
      </w:r>
      <w:r>
        <w:fldChar w:fldCharType="separate"/>
      </w:r>
      <w:r>
        <w:t>12</w:t>
      </w:r>
      <w:r>
        <w:fldChar w:fldCharType="end"/>
      </w:r>
      <w:r>
        <w:fldChar w:fldCharType="end"/>
      </w:r>
    </w:p>
    <w:p w14:paraId="07953475">
      <w:pPr>
        <w:pStyle w:val="11"/>
        <w:rPr>
          <w:rFonts w:asciiTheme="minorHAnsi" w:hAnsiTheme="minorHAnsi" w:eastAsiaTheme="minorEastAsia" w:cstheme="minorBidi"/>
          <w:kern w:val="2"/>
          <w:szCs w:val="22"/>
        </w:rPr>
      </w:pPr>
      <w:r>
        <w:fldChar w:fldCharType="begin"/>
      </w:r>
      <w:r>
        <w:instrText xml:space="preserve"> HYPERLINK \l "_Toc97492920" </w:instrText>
      </w:r>
      <w:r>
        <w:fldChar w:fldCharType="separate"/>
      </w:r>
      <w:r>
        <w:rPr>
          <w:rStyle w:val="14"/>
        </w:rPr>
        <w:t>(17)</w:t>
      </w:r>
      <w:r>
        <w:rPr>
          <w:rFonts w:asciiTheme="minorHAnsi" w:hAnsiTheme="minorHAnsi" w:eastAsiaTheme="minorEastAsia" w:cstheme="minorBidi"/>
          <w:kern w:val="2"/>
          <w:szCs w:val="22"/>
        </w:rPr>
        <w:tab/>
      </w:r>
      <w:r>
        <w:rPr>
          <w:rStyle w:val="14"/>
          <w:rFonts w:hint="eastAsia"/>
        </w:rPr>
        <w:t>电磁兼容性和电气安全</w:t>
      </w:r>
      <w:r>
        <w:tab/>
      </w:r>
      <w:r>
        <w:fldChar w:fldCharType="begin"/>
      </w:r>
      <w:r>
        <w:instrText xml:space="preserve"> PAGEREF _Toc97492920 \h </w:instrText>
      </w:r>
      <w:r>
        <w:fldChar w:fldCharType="separate"/>
      </w:r>
      <w:r>
        <w:t>13</w:t>
      </w:r>
      <w:r>
        <w:fldChar w:fldCharType="end"/>
      </w:r>
      <w:r>
        <w:fldChar w:fldCharType="end"/>
      </w:r>
    </w:p>
    <w:p w14:paraId="020A2D2C">
      <w:pPr>
        <w:pStyle w:val="11"/>
        <w:rPr>
          <w:rFonts w:asciiTheme="minorHAnsi" w:hAnsiTheme="minorHAnsi" w:eastAsiaTheme="minorEastAsia" w:cstheme="minorBidi"/>
          <w:kern w:val="2"/>
          <w:szCs w:val="22"/>
        </w:rPr>
      </w:pPr>
      <w:r>
        <w:fldChar w:fldCharType="begin"/>
      </w:r>
      <w:r>
        <w:instrText xml:space="preserve"> HYPERLINK \l "_Toc97492921" </w:instrText>
      </w:r>
      <w:r>
        <w:fldChar w:fldCharType="separate"/>
      </w:r>
      <w:r>
        <w:rPr>
          <w:rStyle w:val="14"/>
        </w:rPr>
        <w:t>(18)</w:t>
      </w:r>
      <w:r>
        <w:rPr>
          <w:rFonts w:asciiTheme="minorHAnsi" w:hAnsiTheme="minorHAnsi" w:eastAsiaTheme="minorEastAsia" w:cstheme="minorBidi"/>
          <w:kern w:val="2"/>
          <w:szCs w:val="22"/>
        </w:rPr>
        <w:tab/>
      </w:r>
      <w:r>
        <w:rPr>
          <w:rStyle w:val="14"/>
          <w:rFonts w:hint="eastAsia"/>
        </w:rPr>
        <w:t>性能测试</w:t>
      </w:r>
      <w:r>
        <w:rPr>
          <w:rStyle w:val="14"/>
        </w:rPr>
        <w:t>-</w:t>
      </w:r>
      <w:r>
        <w:rPr>
          <w:rStyle w:val="14"/>
          <w:rFonts w:hint="eastAsia"/>
        </w:rPr>
        <w:t>实验室</w:t>
      </w:r>
      <w:r>
        <w:tab/>
      </w:r>
      <w:r>
        <w:fldChar w:fldCharType="begin"/>
      </w:r>
      <w:r>
        <w:instrText xml:space="preserve"> PAGEREF _Toc97492921 \h </w:instrText>
      </w:r>
      <w:r>
        <w:fldChar w:fldCharType="separate"/>
      </w:r>
      <w:r>
        <w:t>13</w:t>
      </w:r>
      <w:r>
        <w:fldChar w:fldCharType="end"/>
      </w:r>
      <w:r>
        <w:fldChar w:fldCharType="end"/>
      </w:r>
    </w:p>
    <w:p w14:paraId="5B739B18">
      <w:pPr>
        <w:pStyle w:val="11"/>
        <w:rPr>
          <w:rFonts w:asciiTheme="minorHAnsi" w:hAnsiTheme="minorHAnsi" w:eastAsiaTheme="minorEastAsia" w:cstheme="minorBidi"/>
          <w:kern w:val="2"/>
          <w:szCs w:val="22"/>
        </w:rPr>
      </w:pPr>
      <w:r>
        <w:fldChar w:fldCharType="begin"/>
      </w:r>
      <w:r>
        <w:instrText xml:space="preserve"> HYPERLINK \l "_Toc97492922" </w:instrText>
      </w:r>
      <w:r>
        <w:fldChar w:fldCharType="separate"/>
      </w:r>
      <w:r>
        <w:rPr>
          <w:rStyle w:val="14"/>
        </w:rPr>
        <w:t>(19)</w:t>
      </w:r>
      <w:r>
        <w:rPr>
          <w:rFonts w:asciiTheme="minorHAnsi" w:hAnsiTheme="minorHAnsi" w:eastAsiaTheme="minorEastAsia" w:cstheme="minorBidi"/>
          <w:kern w:val="2"/>
          <w:szCs w:val="22"/>
        </w:rPr>
        <w:tab/>
      </w:r>
      <w:r>
        <w:rPr>
          <w:rStyle w:val="14"/>
          <w:rFonts w:hint="eastAsia"/>
        </w:rPr>
        <w:t>性能测试</w:t>
      </w:r>
      <w:r>
        <w:rPr>
          <w:rStyle w:val="14"/>
        </w:rPr>
        <w:t>-</w:t>
      </w:r>
      <w:r>
        <w:rPr>
          <w:rStyle w:val="14"/>
          <w:rFonts w:hint="eastAsia"/>
        </w:rPr>
        <w:t>动物</w:t>
      </w:r>
      <w:r>
        <w:tab/>
      </w:r>
      <w:r>
        <w:fldChar w:fldCharType="begin"/>
      </w:r>
      <w:r>
        <w:instrText xml:space="preserve"> PAGEREF _Toc97492922 \h </w:instrText>
      </w:r>
      <w:r>
        <w:fldChar w:fldCharType="separate"/>
      </w:r>
      <w:r>
        <w:t>14</w:t>
      </w:r>
      <w:r>
        <w:fldChar w:fldCharType="end"/>
      </w:r>
      <w:r>
        <w:fldChar w:fldCharType="end"/>
      </w:r>
    </w:p>
    <w:p w14:paraId="7D11C4B4">
      <w:pPr>
        <w:pStyle w:val="11"/>
        <w:rPr>
          <w:rFonts w:asciiTheme="minorHAnsi" w:hAnsiTheme="minorHAnsi" w:eastAsiaTheme="minorEastAsia" w:cstheme="minorBidi"/>
          <w:kern w:val="2"/>
          <w:szCs w:val="22"/>
        </w:rPr>
      </w:pPr>
      <w:r>
        <w:fldChar w:fldCharType="begin"/>
      </w:r>
      <w:r>
        <w:instrText xml:space="preserve"> HYPERLINK \l "_Toc97492923" </w:instrText>
      </w:r>
      <w:r>
        <w:fldChar w:fldCharType="separate"/>
      </w:r>
      <w:r>
        <w:rPr>
          <w:rStyle w:val="14"/>
        </w:rPr>
        <w:t>(20)</w:t>
      </w:r>
      <w:r>
        <w:rPr>
          <w:rFonts w:asciiTheme="minorHAnsi" w:hAnsiTheme="minorHAnsi" w:eastAsiaTheme="minorEastAsia" w:cstheme="minorBidi"/>
          <w:kern w:val="2"/>
          <w:szCs w:val="22"/>
        </w:rPr>
        <w:tab/>
      </w:r>
      <w:r>
        <w:rPr>
          <w:rStyle w:val="14"/>
          <w:rFonts w:hint="eastAsia"/>
        </w:rPr>
        <w:t>性能测试</w:t>
      </w:r>
      <w:r>
        <w:rPr>
          <w:rStyle w:val="14"/>
        </w:rPr>
        <w:t>-</w:t>
      </w:r>
      <w:r>
        <w:rPr>
          <w:rStyle w:val="14"/>
          <w:rFonts w:hint="eastAsia"/>
        </w:rPr>
        <w:t>临床</w:t>
      </w:r>
      <w:r>
        <w:tab/>
      </w:r>
      <w:r>
        <w:fldChar w:fldCharType="begin"/>
      </w:r>
      <w:r>
        <w:instrText xml:space="preserve"> PAGEREF _Toc97492923 \h </w:instrText>
      </w:r>
      <w:r>
        <w:fldChar w:fldCharType="separate"/>
      </w:r>
      <w:r>
        <w:t>14</w:t>
      </w:r>
      <w:r>
        <w:fldChar w:fldCharType="end"/>
      </w:r>
      <w:r>
        <w:fldChar w:fldCharType="end"/>
      </w:r>
    </w:p>
    <w:p w14:paraId="2DB42E32">
      <w:pPr>
        <w:pStyle w:val="9"/>
        <w:rPr>
          <w:rFonts w:asciiTheme="minorHAnsi" w:hAnsiTheme="minorHAnsi" w:eastAsiaTheme="minorEastAsia" w:cstheme="minorBidi"/>
          <w:kern w:val="2"/>
          <w:sz w:val="21"/>
          <w:szCs w:val="22"/>
        </w:rPr>
      </w:pPr>
      <w:r>
        <w:fldChar w:fldCharType="begin"/>
      </w:r>
      <w:r>
        <w:instrText xml:space="preserve"> HYPERLINK \l "_Toc97492924" </w:instrText>
      </w:r>
      <w:r>
        <w:fldChar w:fldCharType="separate"/>
      </w:r>
      <w:r>
        <w:rPr>
          <w:rStyle w:val="14"/>
        </w:rPr>
        <w:t>VI.</w:t>
      </w:r>
      <w:r>
        <w:rPr>
          <w:rFonts w:asciiTheme="minorHAnsi" w:hAnsiTheme="minorHAnsi" w:eastAsiaTheme="minorEastAsia" w:cstheme="minorBidi"/>
          <w:kern w:val="2"/>
          <w:sz w:val="21"/>
          <w:szCs w:val="22"/>
        </w:rPr>
        <w:tab/>
      </w:r>
      <w:r>
        <w:rPr>
          <w:rStyle w:val="14"/>
          <w:rFonts w:hint="eastAsia"/>
        </w:rPr>
        <w:t>摘要：传统或简化</w:t>
      </w:r>
      <w:r>
        <w:rPr>
          <w:rStyle w:val="14"/>
        </w:rPr>
        <w:t>510</w:t>
      </w:r>
      <w:r>
        <w:rPr>
          <w:rStyle w:val="14"/>
          <w:rFonts w:hint="eastAsia"/>
        </w:rPr>
        <w:t>（</w:t>
      </w:r>
      <w:r>
        <w:rPr>
          <w:rStyle w:val="14"/>
        </w:rPr>
        <w:t>k</w:t>
      </w:r>
      <w:r>
        <w:rPr>
          <w:rStyle w:val="14"/>
          <w:rFonts w:hint="eastAsia"/>
        </w:rPr>
        <w:t>）中的建议章节及相关信息</w:t>
      </w:r>
      <w:r>
        <w:tab/>
      </w:r>
      <w:r>
        <w:fldChar w:fldCharType="begin"/>
      </w:r>
      <w:r>
        <w:instrText xml:space="preserve"> PAGEREF _Toc97492924 \h </w:instrText>
      </w:r>
      <w:r>
        <w:fldChar w:fldCharType="separate"/>
      </w:r>
      <w:r>
        <w:t>16</w:t>
      </w:r>
      <w:r>
        <w:fldChar w:fldCharType="end"/>
      </w:r>
      <w:r>
        <w:fldChar w:fldCharType="end"/>
      </w:r>
    </w:p>
    <w:p w14:paraId="745CF0EE">
      <w:pPr>
        <w:pStyle w:val="9"/>
        <w:rPr>
          <w:rFonts w:asciiTheme="minorHAnsi" w:hAnsiTheme="minorHAnsi" w:eastAsiaTheme="minorEastAsia" w:cstheme="minorBidi"/>
          <w:kern w:val="2"/>
          <w:sz w:val="21"/>
          <w:szCs w:val="22"/>
        </w:rPr>
      </w:pPr>
      <w:r>
        <w:fldChar w:fldCharType="begin"/>
      </w:r>
      <w:r>
        <w:instrText xml:space="preserve"> HYPERLINK \l "_Toc97492925" </w:instrText>
      </w:r>
      <w:r>
        <w:fldChar w:fldCharType="separate"/>
      </w:r>
      <w:r>
        <w:rPr>
          <w:rStyle w:val="14"/>
          <w:rFonts w:hint="eastAsia"/>
        </w:rPr>
        <w:t>附录</w:t>
      </w:r>
      <w:r>
        <w:rPr>
          <w:rStyle w:val="14"/>
        </w:rPr>
        <w:t>A.510</w:t>
      </w:r>
      <w:r>
        <w:rPr>
          <w:rStyle w:val="14"/>
          <w:rFonts w:hint="eastAsia"/>
        </w:rPr>
        <w:t>（</w:t>
      </w:r>
      <w:r>
        <w:rPr>
          <w:rStyle w:val="14"/>
        </w:rPr>
        <w:t>k</w:t>
      </w:r>
      <w:r>
        <w:rPr>
          <w:rStyle w:val="14"/>
          <w:rFonts w:hint="eastAsia"/>
        </w:rPr>
        <w:t>）附函</w:t>
      </w:r>
      <w:r>
        <w:tab/>
      </w:r>
      <w:r>
        <w:fldChar w:fldCharType="begin"/>
      </w:r>
      <w:r>
        <w:instrText xml:space="preserve"> PAGEREF _Toc97492925 \h </w:instrText>
      </w:r>
      <w:r>
        <w:fldChar w:fldCharType="separate"/>
      </w:r>
      <w:r>
        <w:t>19</w:t>
      </w:r>
      <w:r>
        <w:fldChar w:fldCharType="end"/>
      </w:r>
      <w:r>
        <w:fldChar w:fldCharType="end"/>
      </w:r>
    </w:p>
    <w:p w14:paraId="2C93C037">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r>
        <w:rPr>
          <w:rFonts w:eastAsia="宋体"/>
          <w:sz w:val="21"/>
          <w:szCs w:val="21"/>
        </w:rPr>
        <w:fldChar w:fldCharType="end"/>
      </w:r>
    </w:p>
    <w:p w14:paraId="3B41CB3B">
      <w:pPr>
        <w:pStyle w:val="19"/>
        <w:pBdr>
          <w:bottom w:val="single" w:color="auto" w:sz="4" w:space="1"/>
        </w:pBdr>
        <w:jc w:val="center"/>
        <w:rPr>
          <w:rFonts w:eastAsia="宋体"/>
          <w:sz w:val="56"/>
          <w:szCs w:val="56"/>
        </w:rPr>
      </w:pPr>
      <w:r>
        <w:rPr>
          <w:rFonts w:eastAsia="宋体"/>
          <w:b/>
          <w:bCs/>
          <w:sz w:val="56"/>
          <w:szCs w:val="56"/>
        </w:rPr>
        <w:t>传统和简化510（k）格式</w:t>
      </w:r>
    </w:p>
    <w:p w14:paraId="661E7AB0">
      <w:pPr>
        <w:pStyle w:val="19"/>
        <w:jc w:val="center"/>
        <w:rPr>
          <w:rFonts w:eastAsia="宋体"/>
          <w:sz w:val="56"/>
          <w:szCs w:val="56"/>
        </w:rPr>
      </w:pPr>
      <w:r>
        <w:rPr>
          <w:rFonts w:eastAsia="宋体"/>
          <w:b/>
          <w:bCs/>
          <w:sz w:val="56"/>
          <w:szCs w:val="56"/>
        </w:rPr>
        <w:t>行业</w:t>
      </w:r>
      <w:r>
        <w:rPr>
          <w:rFonts w:hint="eastAsia" w:eastAsia="宋体"/>
          <w:b/>
          <w:bCs/>
          <w:sz w:val="56"/>
          <w:szCs w:val="56"/>
        </w:rPr>
        <w:t>和</w:t>
      </w:r>
      <w:r>
        <w:rPr>
          <w:rFonts w:eastAsia="宋体"/>
          <w:b/>
          <w:bCs/>
          <w:sz w:val="56"/>
          <w:szCs w:val="56"/>
        </w:rPr>
        <w:t>美国食品药品监督管理局工作人员指南</w:t>
      </w:r>
    </w:p>
    <w:p w14:paraId="3A558D20">
      <w:pPr>
        <w:shd w:val="clear" w:color="auto" w:fill="FFFFFF"/>
        <w:snapToGrid w:val="0"/>
        <w:jc w:val="both"/>
        <w:rPr>
          <w:rFonts w:eastAsia="宋体"/>
          <w:b/>
          <w:bCs/>
          <w:i/>
          <w:iCs/>
          <w:color w:val="000000"/>
          <w:sz w:val="21"/>
          <w:szCs w:val="21"/>
        </w:rPr>
      </w:pPr>
    </w:p>
    <w:p w14:paraId="389DA927">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rPr>
      </w:pPr>
      <w:r>
        <w:rPr>
          <w:rFonts w:hint="eastAsia" w:eastAsia="宋体"/>
          <w:b/>
          <w:bCs/>
          <w:i/>
          <w:iCs/>
          <w:color w:val="000000"/>
          <w:sz w:val="21"/>
          <w:szCs w:val="21"/>
        </w:rPr>
        <w:t>本指南代表美国食品药品监督管理局（FDA）对该主题的当前看法。本文件不赋予任何人任何权利，对FDA或公众不具有约束力。如果替代方法满足适用的情形和法规的要求，则贵司可使用替代方法。如需讨论替代方法，请联系标题页所列负责指南的FDA工作人员或办公室。</w:t>
      </w:r>
    </w:p>
    <w:p w14:paraId="136F1237">
      <w:pPr>
        <w:shd w:val="clear" w:color="auto" w:fill="FFFFFF"/>
        <w:snapToGrid w:val="0"/>
        <w:jc w:val="both"/>
        <w:rPr>
          <w:rFonts w:eastAsia="宋体"/>
          <w:color w:val="000000"/>
          <w:sz w:val="24"/>
          <w:szCs w:val="24"/>
        </w:rPr>
      </w:pPr>
      <w:r>
        <w:rPr>
          <w:rFonts w:eastAsia="宋体"/>
          <w:b/>
          <w:bCs/>
          <w:sz w:val="36"/>
          <w:szCs w:val="36"/>
        </w:rPr>
        <w:t>I.</w:t>
      </w:r>
      <w:r>
        <w:rPr>
          <w:rFonts w:eastAsia="宋体"/>
          <w:b/>
          <w:bCs/>
          <w:sz w:val="36"/>
          <w:szCs w:val="36"/>
        </w:rPr>
        <w:tab/>
      </w:r>
      <w:r>
        <w:rPr>
          <w:rFonts w:hint="eastAsia" w:eastAsia="宋体"/>
          <w:b/>
          <w:bCs/>
          <w:sz w:val="36"/>
          <w:szCs w:val="36"/>
        </w:rPr>
        <w:t>前言</w:t>
      </w:r>
    </w:p>
    <w:p w14:paraId="271A81AD">
      <w:pPr>
        <w:shd w:val="clear" w:color="auto" w:fill="FFFFFF"/>
        <w:snapToGrid w:val="0"/>
        <w:jc w:val="both"/>
        <w:rPr>
          <w:rFonts w:eastAsia="宋体"/>
          <w:color w:val="000000"/>
          <w:sz w:val="24"/>
          <w:szCs w:val="24"/>
        </w:rPr>
      </w:pPr>
      <w:r>
        <w:rPr>
          <w:rFonts w:eastAsia="宋体"/>
          <w:color w:val="000000"/>
          <w:sz w:val="24"/>
          <w:szCs w:val="24"/>
        </w:rPr>
        <w:t>本文件的主要</w:t>
      </w:r>
      <w:r>
        <w:rPr>
          <w:rFonts w:hint="eastAsia" w:eastAsia="宋体"/>
          <w:color w:val="000000"/>
          <w:sz w:val="24"/>
          <w:szCs w:val="24"/>
        </w:rPr>
        <w:t>关注</w:t>
      </w:r>
      <w:r>
        <w:rPr>
          <w:rFonts w:eastAsia="宋体"/>
          <w:color w:val="000000"/>
          <w:sz w:val="24"/>
          <w:szCs w:val="24"/>
        </w:rPr>
        <w:t>点是就如何为传统或简化上市前通知（510（k））申报资料的</w:t>
      </w:r>
      <w:r>
        <w:rPr>
          <w:rFonts w:hint="eastAsia" w:eastAsia="宋体"/>
          <w:color w:val="000000"/>
          <w:sz w:val="24"/>
          <w:szCs w:val="24"/>
        </w:rPr>
        <w:t>首次</w:t>
      </w:r>
      <w:r>
        <w:rPr>
          <w:rFonts w:eastAsia="宋体"/>
          <w:color w:val="000000"/>
          <w:sz w:val="24"/>
          <w:szCs w:val="24"/>
        </w:rPr>
        <w:t>申报资料的格式提供指南。本指南文件仅提供传统或简化510（k）格式和内容的一般框架。其未描述我们对任何特定器械类型、</w:t>
      </w:r>
      <w:r>
        <w:rPr>
          <w:rFonts w:eastAsia="宋体"/>
          <w:color w:val="0000FF"/>
          <w:sz w:val="24"/>
          <w:szCs w:val="24"/>
        </w:rPr>
        <w:t>特殊510（k）、</w:t>
      </w:r>
      <w:r>
        <w:rPr>
          <w:rStyle w:val="16"/>
          <w:rFonts w:eastAsia="宋体"/>
          <w:color w:val="000000" w:themeColor="text1"/>
          <w:sz w:val="24"/>
          <w:szCs w:val="24"/>
        </w:rPr>
        <w:footnoteReference w:id="0"/>
      </w:r>
      <w:r>
        <w:rPr>
          <w:rFonts w:eastAsia="宋体"/>
          <w:color w:val="000000"/>
          <w:sz w:val="24"/>
          <w:szCs w:val="24"/>
        </w:rPr>
        <w:t>或其他上市前申请类型的建议，如上市前批准申请（PMA）、人道主义器械豁免（HDE）申请、重新分类</w:t>
      </w:r>
      <w:r>
        <w:rPr>
          <w:rFonts w:hint="eastAsia" w:eastAsia="宋体"/>
          <w:color w:val="000000"/>
          <w:sz w:val="24"/>
          <w:szCs w:val="24"/>
        </w:rPr>
        <w:t>（De</w:t>
      </w:r>
      <w:r>
        <w:rPr>
          <w:rFonts w:eastAsia="宋体"/>
          <w:color w:val="000000"/>
          <w:sz w:val="24"/>
          <w:szCs w:val="24"/>
        </w:rPr>
        <w:t xml:space="preserve"> Novo</w:t>
      </w:r>
      <w:r>
        <w:rPr>
          <w:rFonts w:hint="eastAsia" w:eastAsia="宋体"/>
          <w:color w:val="000000"/>
          <w:sz w:val="24"/>
          <w:szCs w:val="24"/>
        </w:rPr>
        <w:t>）</w:t>
      </w:r>
      <w:r>
        <w:rPr>
          <w:rFonts w:eastAsia="宋体"/>
          <w:color w:val="000000"/>
          <w:sz w:val="24"/>
          <w:szCs w:val="24"/>
        </w:rPr>
        <w:t>申请或临床试验用器械豁免豁免（IDE）申请。</w:t>
      </w:r>
    </w:p>
    <w:p w14:paraId="3EED9E71">
      <w:pPr>
        <w:shd w:val="clear" w:color="auto" w:fill="FFFFFF"/>
        <w:snapToGrid w:val="0"/>
        <w:jc w:val="both"/>
        <w:rPr>
          <w:rFonts w:eastAsia="宋体"/>
          <w:sz w:val="24"/>
          <w:szCs w:val="24"/>
        </w:rPr>
      </w:pPr>
    </w:p>
    <w:p w14:paraId="3CE431AA">
      <w:pPr>
        <w:shd w:val="clear" w:color="auto" w:fill="FFFFFF"/>
        <w:snapToGrid w:val="0"/>
        <w:jc w:val="both"/>
        <w:rPr>
          <w:rFonts w:eastAsia="宋体"/>
          <w:color w:val="000000"/>
          <w:sz w:val="24"/>
          <w:szCs w:val="24"/>
        </w:rPr>
      </w:pPr>
      <w:r>
        <w:rPr>
          <w:rFonts w:eastAsia="宋体"/>
          <w:color w:val="000000"/>
          <w:sz w:val="24"/>
          <w:szCs w:val="24"/>
        </w:rPr>
        <w:t>FDA认为，本指南文件中关于传统或简化510（k）的建议将节约FDA和行业资源，便于及时审查。本指南文件仅对510（k）项目和特定器械类型的其他FDA指南进行补充。其并非这些文件的替代品。</w:t>
      </w:r>
    </w:p>
    <w:p w14:paraId="19520DB8">
      <w:pPr>
        <w:shd w:val="clear" w:color="auto" w:fill="FFFFFF"/>
        <w:snapToGrid w:val="0"/>
        <w:jc w:val="both"/>
        <w:rPr>
          <w:rFonts w:eastAsia="宋体"/>
          <w:sz w:val="24"/>
          <w:szCs w:val="24"/>
        </w:rPr>
      </w:pPr>
    </w:p>
    <w:p w14:paraId="7BE4FFD7">
      <w:pPr>
        <w:shd w:val="clear" w:color="auto" w:fill="FFFFFF"/>
        <w:snapToGrid w:val="0"/>
        <w:jc w:val="both"/>
        <w:rPr>
          <w:rFonts w:eastAsia="宋体"/>
          <w:sz w:val="24"/>
          <w:szCs w:val="24"/>
        </w:rPr>
      </w:pPr>
      <w:bookmarkStart w:id="0" w:name="bookmark1"/>
      <w:bookmarkEnd w:id="0"/>
      <w:r>
        <w:rPr>
          <w:rFonts w:hint="eastAsia" w:eastAsia="宋体"/>
          <w:color w:val="000000"/>
          <w:sz w:val="24"/>
          <w:szCs w:val="24"/>
        </w:rPr>
        <w:t>对于</w:t>
      </w:r>
      <w:r>
        <w:rPr>
          <w:rFonts w:eastAsia="宋体"/>
          <w:color w:val="000000"/>
          <w:sz w:val="24"/>
          <w:szCs w:val="24"/>
        </w:rPr>
        <w:t>本文件中引用的FDA认可标准的当前版本，请参见</w:t>
      </w:r>
      <w:r>
        <w:rPr>
          <w:rFonts w:eastAsia="宋体"/>
          <w:color w:val="0000FF"/>
          <w:sz w:val="24"/>
          <w:szCs w:val="24"/>
          <w:u w:val="single"/>
        </w:rPr>
        <w:t xml:space="preserve"> FDA 认可共识标准数据库.</w:t>
      </w:r>
      <w:r>
        <w:rPr>
          <w:rStyle w:val="16"/>
          <w:rFonts w:eastAsia="宋体"/>
          <w:color w:val="000000" w:themeColor="text1"/>
          <w:sz w:val="24"/>
          <w:szCs w:val="24"/>
        </w:rPr>
        <w:t xml:space="preserve"> </w:t>
      </w:r>
      <w:r>
        <w:rPr>
          <w:rStyle w:val="16"/>
          <w:rFonts w:eastAsia="宋体"/>
          <w:color w:val="000000" w:themeColor="text1"/>
          <w:sz w:val="24"/>
          <w:szCs w:val="24"/>
        </w:rPr>
        <w:footnoteReference w:id="1"/>
      </w:r>
      <w:r>
        <w:rPr>
          <w:rFonts w:eastAsia="宋体"/>
          <w:color w:val="000000"/>
          <w:sz w:val="24"/>
          <w:szCs w:val="24"/>
        </w:rPr>
        <w:t>有关在监管申报资料中使用共识标准的更多信息，请参阅FDA指南，标题为</w:t>
      </w:r>
      <w:r>
        <w:rPr>
          <w:rFonts w:ascii="宋体" w:hAnsi="宋体" w:eastAsia="宋体"/>
          <w:color w:val="000000"/>
          <w:sz w:val="24"/>
          <w:szCs w:val="24"/>
        </w:rPr>
        <w:t>“</w:t>
      </w:r>
      <w:r>
        <w:rPr>
          <w:rFonts w:eastAsia="宋体"/>
          <w:color w:val="0000FF"/>
          <w:sz w:val="24"/>
          <w:szCs w:val="24"/>
        </w:rPr>
        <w:t>关于在医疗器械上市前申请文件中适当使用自愿共识标准的指南</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
      </w:r>
      <w:r>
        <w:rPr>
          <w:rFonts w:eastAsia="宋体"/>
          <w:color w:val="000000"/>
          <w:sz w:val="24"/>
          <w:szCs w:val="24"/>
        </w:rPr>
        <w:t>和</w:t>
      </w:r>
      <w:r>
        <w:rPr>
          <w:rFonts w:ascii="宋体" w:hAnsi="宋体" w:eastAsia="宋体"/>
          <w:color w:val="000000"/>
          <w:sz w:val="24"/>
          <w:szCs w:val="24"/>
        </w:rPr>
        <w:t>“</w:t>
      </w:r>
      <w:r>
        <w:rPr>
          <w:rFonts w:ascii="宋体" w:hAnsi="宋体" w:eastAsia="宋体"/>
          <w:color w:val="0000FF"/>
          <w:sz w:val="24"/>
          <w:szCs w:val="24"/>
        </w:rPr>
        <w:t>”</w:t>
      </w:r>
      <w:r>
        <w:rPr>
          <w:rFonts w:eastAsia="宋体"/>
          <w:color w:val="0000FF"/>
          <w:sz w:val="24"/>
          <w:szCs w:val="24"/>
        </w:rPr>
        <w:t>关于CBER中受审查监管申请中标准制定和标准使用的指南。</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3"/>
      </w:r>
    </w:p>
    <w:p w14:paraId="1B37DD8F">
      <w:pPr>
        <w:shd w:val="clear" w:color="auto" w:fill="FFFFFF"/>
        <w:tabs>
          <w:tab w:val="left" w:pos="115"/>
        </w:tabs>
        <w:snapToGrid w:val="0"/>
        <w:jc w:val="both"/>
        <w:rPr>
          <w:rFonts w:eastAsia="宋体"/>
          <w:color w:val="000000"/>
          <w:sz w:val="24"/>
          <w:szCs w:val="24"/>
          <w:vertAlign w:val="superscript"/>
        </w:rPr>
      </w:pPr>
    </w:p>
    <w:p w14:paraId="493B7391">
      <w:pPr>
        <w:shd w:val="clear" w:color="auto" w:fill="FFFFFF"/>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8CD597F">
      <w:pPr>
        <w:shd w:val="clear" w:color="auto" w:fill="FFFFFF"/>
        <w:snapToGrid w:val="0"/>
        <w:jc w:val="both"/>
        <w:rPr>
          <w:rFonts w:ascii="宋体" w:hAnsi="宋体" w:eastAsia="宋体"/>
          <w:sz w:val="24"/>
          <w:szCs w:val="24"/>
        </w:rPr>
      </w:pPr>
      <w:r>
        <w:rPr>
          <w:rFonts w:ascii="宋体" w:hAnsi="宋体" w:eastAsia="宋体"/>
          <w:sz w:val="24"/>
        </w:rPr>
        <w:t>FDA</w:t>
      </w:r>
      <w:r>
        <w:rPr>
          <w:rFonts w:hint="eastAsia" w:ascii="宋体" w:hAnsi="宋体" w:eastAsia="宋体"/>
          <w:sz w:val="24"/>
        </w:rPr>
        <w:t>指南文件，包括本指南，并未规定具有法律强制力的责任。相反，指南描述了</w:t>
      </w:r>
      <w:r>
        <w:rPr>
          <w:rFonts w:ascii="宋体" w:hAnsi="宋体" w:eastAsia="宋体"/>
          <w:sz w:val="24"/>
        </w:rPr>
        <w:t>FDA</w:t>
      </w:r>
      <w:r>
        <w:rPr>
          <w:rFonts w:hint="eastAsia" w:ascii="宋体" w:hAnsi="宋体" w:eastAsia="宋体"/>
          <w:sz w:val="24"/>
        </w:rPr>
        <w:t>对该主题的当前看法，除非引用了具体监管或法定要求，否则应仅视为建议。</w:t>
      </w:r>
      <w:r>
        <w:rPr>
          <w:rFonts w:ascii="宋体" w:hAnsi="宋体" w:eastAsia="宋体"/>
          <w:sz w:val="24"/>
        </w:rPr>
        <w:t>FDA</w:t>
      </w:r>
      <w:r>
        <w:rPr>
          <w:rFonts w:hint="eastAsia" w:ascii="宋体" w:hAnsi="宋体" w:eastAsia="宋体"/>
          <w:sz w:val="24"/>
        </w:rPr>
        <w:t>指南中使用的“应该（</w:t>
      </w:r>
      <w:r>
        <w:rPr>
          <w:rFonts w:ascii="宋体" w:hAnsi="宋体" w:eastAsia="宋体"/>
          <w:sz w:val="24"/>
        </w:rPr>
        <w:t>should</w:t>
      </w:r>
      <w:r>
        <w:rPr>
          <w:rFonts w:hint="eastAsia" w:ascii="宋体" w:hAnsi="宋体" w:eastAsia="宋体"/>
          <w:sz w:val="24"/>
        </w:rPr>
        <w:t>）”一词指建议或推荐进行某一事项，并非强制要求</w:t>
      </w:r>
      <w:r>
        <w:rPr>
          <w:rFonts w:hint="eastAsia" w:ascii="宋体" w:hAnsi="宋体" w:eastAsia="宋体"/>
          <w:color w:val="000000"/>
          <w:sz w:val="24"/>
          <w:szCs w:val="24"/>
        </w:rPr>
        <w:t>。</w:t>
      </w:r>
    </w:p>
    <w:p w14:paraId="48EF0C1E">
      <w:pPr>
        <w:pStyle w:val="2"/>
        <w:spacing w:before="240" w:after="240"/>
        <w:rPr>
          <w:rFonts w:eastAsia="宋体"/>
        </w:rPr>
      </w:pPr>
      <w:bookmarkStart w:id="1" w:name="bookmark5"/>
      <w:bookmarkStart w:id="2" w:name="_Toc97492900"/>
      <w:r>
        <w:rPr>
          <w:rFonts w:eastAsia="宋体"/>
        </w:rPr>
        <w:t>I</w:t>
      </w:r>
      <w:bookmarkEnd w:id="1"/>
      <w:r>
        <w:rPr>
          <w:rFonts w:eastAsia="宋体"/>
        </w:rPr>
        <w:t>I.</w:t>
      </w:r>
      <w:r>
        <w:rPr>
          <w:rFonts w:eastAsia="宋体"/>
        </w:rPr>
        <w:tab/>
      </w:r>
      <w:r>
        <w:rPr>
          <w:rFonts w:eastAsia="宋体"/>
        </w:rPr>
        <w:t>背景</w:t>
      </w:r>
      <w:bookmarkEnd w:id="2"/>
    </w:p>
    <w:p w14:paraId="15B0B078">
      <w:pPr>
        <w:shd w:val="clear" w:color="auto" w:fill="FFFFFF"/>
        <w:snapToGrid w:val="0"/>
        <w:jc w:val="both"/>
        <w:rPr>
          <w:rFonts w:eastAsia="宋体"/>
          <w:sz w:val="24"/>
          <w:szCs w:val="24"/>
        </w:rPr>
      </w:pPr>
      <w:bookmarkStart w:id="3" w:name="bookmark6"/>
      <w:bookmarkEnd w:id="3"/>
      <w:r>
        <w:rPr>
          <w:rFonts w:eastAsia="宋体"/>
          <w:color w:val="000000"/>
          <w:sz w:val="24"/>
          <w:szCs w:val="24"/>
        </w:rPr>
        <w:t>本文件补充了FDA关于510（k）申报资料内容的其他指南文件。 例如，我们建议您将510（k）申报资料的内容与FDA在</w:t>
      </w:r>
      <w:r>
        <w:rPr>
          <w:rFonts w:ascii="宋体" w:hAnsi="宋体" w:eastAsia="宋体"/>
          <w:color w:val="000000"/>
          <w:sz w:val="24"/>
          <w:szCs w:val="24"/>
        </w:rPr>
        <w:t>“</w:t>
      </w:r>
      <w:r>
        <w:rPr>
          <w:rFonts w:eastAsia="宋体"/>
          <w:color w:val="0000FF"/>
          <w:sz w:val="24"/>
          <w:szCs w:val="24"/>
        </w:rPr>
        <w:t>510（k）</w:t>
      </w:r>
      <w:r>
        <w:rPr>
          <w:rFonts w:eastAsia="宋体"/>
          <w:color w:val="0000FF"/>
          <w:sz w:val="24"/>
          <w:szCs w:val="24"/>
          <w:u w:val="single"/>
        </w:rPr>
        <w:t>拒绝接受政策</w:t>
      </w:r>
      <w:r>
        <w:rPr>
          <w:rFonts w:ascii="宋体" w:hAnsi="宋体" w:eastAsia="宋体"/>
          <w:color w:val="0000FF"/>
          <w:sz w:val="24"/>
          <w:szCs w:val="24"/>
        </w:rPr>
        <w:t>”</w:t>
      </w:r>
      <w:r>
        <w:rPr>
          <w:rFonts w:eastAsia="宋体"/>
          <w:color w:val="0000FF"/>
          <w:sz w:val="24"/>
          <w:szCs w:val="24"/>
        </w:rPr>
        <w:t>中的验收清单进行比较</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4"/>
      </w:r>
      <w:r>
        <w:rPr>
          <w:rFonts w:eastAsia="宋体"/>
          <w:color w:val="000000"/>
          <w:sz w:val="24"/>
          <w:szCs w:val="24"/>
        </w:rPr>
        <w:t>您还应该参考21 CFR 807 E子部分和我们网站上</w:t>
      </w:r>
      <w:r>
        <w:rPr>
          <w:rFonts w:ascii="宋体" w:hAnsi="宋体" w:eastAsia="宋体"/>
          <w:color w:val="000000"/>
          <w:sz w:val="24"/>
          <w:szCs w:val="24"/>
        </w:rPr>
        <w:t>“</w:t>
      </w:r>
      <w:r>
        <w:rPr>
          <w:rFonts w:eastAsia="宋体"/>
          <w:color w:val="0000FF"/>
          <w:sz w:val="24"/>
          <w:szCs w:val="24"/>
        </w:rPr>
        <w:t xml:space="preserve"> </w:t>
      </w:r>
      <w:r>
        <w:rPr>
          <w:rFonts w:eastAsia="宋体"/>
          <w:color w:val="00166F"/>
          <w:sz w:val="24"/>
          <w:szCs w:val="24"/>
        </w:rPr>
        <w:t>如何准备510（k）提交</w:t>
      </w:r>
      <w:r>
        <w:rPr>
          <w:rFonts w:ascii="宋体" w:hAnsi="宋体" w:eastAsia="宋体"/>
          <w:sz w:val="24"/>
          <w:szCs w:val="24"/>
        </w:rPr>
        <w:t>”</w:t>
      </w:r>
      <w:r>
        <w:rPr>
          <w:rFonts w:eastAsia="宋体"/>
          <w:sz w:val="24"/>
          <w:szCs w:val="24"/>
        </w:rPr>
        <w:t>的部分.</w:t>
      </w:r>
      <w:r>
        <w:rPr>
          <w:rStyle w:val="16"/>
          <w:rFonts w:eastAsia="宋体"/>
          <w:color w:val="000000" w:themeColor="text1"/>
          <w:sz w:val="24"/>
          <w:szCs w:val="24"/>
        </w:rPr>
        <w:t xml:space="preserve"> </w:t>
      </w:r>
      <w:r>
        <w:rPr>
          <w:rStyle w:val="16"/>
          <w:rFonts w:eastAsia="宋体"/>
          <w:color w:val="000000" w:themeColor="text1"/>
          <w:sz w:val="24"/>
          <w:szCs w:val="24"/>
        </w:rPr>
        <w:footnoteReference w:id="5"/>
      </w:r>
    </w:p>
    <w:p w14:paraId="366EAFB4">
      <w:pPr>
        <w:pStyle w:val="2"/>
        <w:spacing w:before="240" w:after="240"/>
        <w:rPr>
          <w:rFonts w:eastAsia="宋体"/>
        </w:rPr>
      </w:pPr>
      <w:bookmarkStart w:id="4" w:name="bookmark7"/>
      <w:bookmarkStart w:id="5" w:name="_Toc97492901"/>
      <w:r>
        <w:rPr>
          <w:rFonts w:eastAsia="宋体"/>
        </w:rPr>
        <w:t>I</w:t>
      </w:r>
      <w:bookmarkEnd w:id="4"/>
      <w:r>
        <w:rPr>
          <w:rFonts w:eastAsia="宋体"/>
        </w:rPr>
        <w:t>II.</w:t>
      </w:r>
      <w:r>
        <w:rPr>
          <w:rFonts w:eastAsia="宋体"/>
        </w:rPr>
        <w:tab/>
      </w:r>
      <w:r>
        <w:rPr>
          <w:rFonts w:eastAsia="宋体"/>
        </w:rPr>
        <w:t>定义</w:t>
      </w:r>
      <w:bookmarkEnd w:id="5"/>
    </w:p>
    <w:p w14:paraId="4F576A80">
      <w:pPr>
        <w:shd w:val="clear" w:color="auto" w:fill="FFFFFF"/>
        <w:snapToGrid w:val="0"/>
        <w:jc w:val="both"/>
        <w:rPr>
          <w:rFonts w:eastAsia="宋体"/>
          <w:color w:val="000000"/>
          <w:sz w:val="24"/>
          <w:szCs w:val="24"/>
        </w:rPr>
      </w:pPr>
      <w:r>
        <w:rPr>
          <w:rFonts w:eastAsia="宋体"/>
          <w:color w:val="000000"/>
          <w:sz w:val="24"/>
          <w:szCs w:val="24"/>
        </w:rPr>
        <w:t>对于不需要PMA的人用器械，提议开始引入或交付器械以引入州际贸易进行商业分销的每个人必须在上市前至少90天向FDA提交510（k），除非该器械受到《联邦食品、药品和化妆品法案》（《FD&amp;C法案》）下510（k）要求的豁免，且不超过器械分类规则xxx.9（例如862.9、864.9）中的豁免限制。没有具体的510（k）表格。21 CFR 807.87描述了510（k）申报资料中要求的信息。本指南推荐了一种格式，可帮助您遵守这些要求。</w:t>
      </w:r>
    </w:p>
    <w:p w14:paraId="679D8FBB">
      <w:pPr>
        <w:shd w:val="clear" w:color="auto" w:fill="FFFFFF"/>
        <w:snapToGrid w:val="0"/>
        <w:jc w:val="both"/>
        <w:rPr>
          <w:rFonts w:eastAsia="宋体"/>
          <w:sz w:val="24"/>
          <w:szCs w:val="24"/>
        </w:rPr>
      </w:pPr>
    </w:p>
    <w:p w14:paraId="229FF3F8">
      <w:pPr>
        <w:shd w:val="clear" w:color="auto" w:fill="FFFFFF"/>
        <w:snapToGrid w:val="0"/>
        <w:jc w:val="both"/>
        <w:rPr>
          <w:rFonts w:eastAsia="宋体"/>
          <w:color w:val="000000"/>
          <w:sz w:val="24"/>
          <w:szCs w:val="24"/>
        </w:rPr>
      </w:pPr>
      <w:r>
        <w:rPr>
          <w:rFonts w:eastAsia="宋体"/>
          <w:b/>
          <w:bCs/>
          <w:color w:val="000000"/>
          <w:sz w:val="24"/>
          <w:szCs w:val="24"/>
        </w:rPr>
        <w:t>上市前通知（510（k））</w:t>
      </w:r>
      <w:r>
        <w:rPr>
          <w:rFonts w:eastAsia="宋体"/>
          <w:color w:val="000000"/>
          <w:sz w:val="24"/>
          <w:szCs w:val="24"/>
        </w:rPr>
        <w:t xml:space="preserve">是一种上市前申请，旨在证明待上市器械至少与不需要PMA的合法上市器械（21 CFR 807.92（A）（3））一样安全有效。为了确定器械是否具有实质等同性（SE），FDA将考虑预期用途、设计、使用或传输的能量、材料、化学成分、制造工艺、性能、安全性、有效性、标签、生物相容性、标准和其他特征（如适用）。 </w:t>
      </w:r>
    </w:p>
    <w:p w14:paraId="6D5F2E4F">
      <w:pPr>
        <w:shd w:val="clear" w:color="auto" w:fill="FFFFFF"/>
        <w:snapToGrid w:val="0"/>
        <w:jc w:val="both"/>
        <w:rPr>
          <w:rFonts w:eastAsia="宋体"/>
          <w:sz w:val="24"/>
          <w:szCs w:val="24"/>
        </w:rPr>
      </w:pPr>
    </w:p>
    <w:p w14:paraId="778075E5">
      <w:pPr>
        <w:shd w:val="clear" w:color="auto" w:fill="FFFFFF"/>
        <w:snapToGrid w:val="0"/>
        <w:jc w:val="both"/>
        <w:rPr>
          <w:rFonts w:eastAsia="宋体"/>
          <w:color w:val="000000"/>
          <w:sz w:val="24"/>
          <w:szCs w:val="24"/>
        </w:rPr>
      </w:pPr>
      <w:r>
        <w:rPr>
          <w:rFonts w:eastAsia="宋体"/>
          <w:b/>
          <w:bCs/>
          <w:color w:val="000000"/>
          <w:sz w:val="24"/>
          <w:szCs w:val="24"/>
        </w:rPr>
        <w:t>510（k）提交人/持有人</w:t>
      </w:r>
      <w:r>
        <w:rPr>
          <w:rFonts w:eastAsia="宋体"/>
          <w:color w:val="000000"/>
          <w:sz w:val="24"/>
          <w:szCs w:val="24"/>
        </w:rPr>
        <w:t>是510（k）的所有者。尽管顾问或</w:t>
      </w:r>
      <w:r>
        <w:rPr>
          <w:rFonts w:hint="eastAsia" w:eastAsia="宋体"/>
          <w:color w:val="000000"/>
          <w:sz w:val="24"/>
          <w:szCs w:val="24"/>
        </w:rPr>
        <w:t>联系人</w:t>
      </w:r>
      <w:r>
        <w:rPr>
          <w:rFonts w:eastAsia="宋体"/>
          <w:color w:val="000000"/>
          <w:sz w:val="24"/>
          <w:szCs w:val="24"/>
        </w:rPr>
        <w:t>可代表510（k）业主提交510（k），但该顾问或</w:t>
      </w:r>
      <w:r>
        <w:rPr>
          <w:rFonts w:hint="eastAsia" w:eastAsia="宋体"/>
          <w:color w:val="000000"/>
          <w:sz w:val="24"/>
          <w:szCs w:val="24"/>
        </w:rPr>
        <w:t>联系人</w:t>
      </w:r>
      <w:r>
        <w:rPr>
          <w:rFonts w:eastAsia="宋体"/>
          <w:color w:val="000000"/>
          <w:sz w:val="24"/>
          <w:szCs w:val="24"/>
        </w:rPr>
        <w:t>并非510（k）提交人/持有人。</w:t>
      </w:r>
    </w:p>
    <w:p w14:paraId="1637D34C">
      <w:pPr>
        <w:shd w:val="clear" w:color="auto" w:fill="FFFFFF"/>
        <w:snapToGrid w:val="0"/>
        <w:jc w:val="both"/>
        <w:rPr>
          <w:rFonts w:eastAsia="宋体"/>
          <w:sz w:val="24"/>
          <w:szCs w:val="24"/>
        </w:rPr>
      </w:pPr>
    </w:p>
    <w:p w14:paraId="76B1BCE2">
      <w:pPr>
        <w:shd w:val="clear" w:color="auto" w:fill="FFFFFF"/>
        <w:snapToGrid w:val="0"/>
        <w:jc w:val="both"/>
        <w:rPr>
          <w:rFonts w:eastAsia="宋体"/>
          <w:sz w:val="24"/>
          <w:szCs w:val="24"/>
        </w:rPr>
      </w:pPr>
      <w:r>
        <w:rPr>
          <w:rFonts w:eastAsia="宋体"/>
          <w:b/>
          <w:bCs/>
          <w:color w:val="000000"/>
          <w:sz w:val="24"/>
          <w:szCs w:val="24"/>
        </w:rPr>
        <w:t>合法销售器械</w:t>
      </w:r>
      <w:r>
        <w:rPr>
          <w:rStyle w:val="16"/>
          <w:rFonts w:eastAsia="宋体"/>
          <w:color w:val="000000" w:themeColor="text1"/>
          <w:sz w:val="24"/>
          <w:szCs w:val="24"/>
        </w:rPr>
        <w:footnoteReference w:id="6"/>
      </w:r>
      <w:r>
        <w:rPr>
          <w:rFonts w:eastAsia="宋体"/>
          <w:color w:val="000000"/>
          <w:sz w:val="24"/>
          <w:szCs w:val="24"/>
        </w:rPr>
        <w:t>指1976年5月28日（即修正案生效前）之前合法销售的器械，从III类重新分类为II类或I类，通过510（k）认证发现基本等同，或通过从头分类过程授予上市授权。提交人声称等同于合法销售的器械通常称为</w:t>
      </w:r>
      <w:r>
        <w:rPr>
          <w:rFonts w:ascii="宋体" w:hAnsi="宋体" w:eastAsia="宋体"/>
          <w:color w:val="000000"/>
          <w:sz w:val="24"/>
          <w:szCs w:val="24"/>
        </w:rPr>
        <w:t>“</w:t>
      </w:r>
      <w:r>
        <w:rPr>
          <w:rFonts w:eastAsia="宋体"/>
          <w:color w:val="000000"/>
          <w:sz w:val="24"/>
          <w:szCs w:val="24"/>
        </w:rPr>
        <w:t>实质等同</w:t>
      </w:r>
      <w:r>
        <w:rPr>
          <w:rFonts w:ascii="宋体" w:hAnsi="宋体" w:eastAsia="宋体"/>
          <w:color w:val="000000"/>
          <w:sz w:val="24"/>
          <w:szCs w:val="24"/>
        </w:rPr>
        <w:t>”</w:t>
      </w:r>
    </w:p>
    <w:p w14:paraId="1BA825BC">
      <w:pPr>
        <w:shd w:val="clear" w:color="auto" w:fill="FFFFFF"/>
        <w:tabs>
          <w:tab w:val="left" w:pos="115"/>
        </w:tabs>
        <w:snapToGrid w:val="0"/>
        <w:jc w:val="both"/>
        <w:rPr>
          <w:rFonts w:eastAsia="宋体"/>
          <w:color w:val="000000"/>
          <w:sz w:val="21"/>
          <w:szCs w:val="21"/>
          <w:vertAlign w:val="superscript"/>
        </w:rPr>
      </w:pPr>
    </w:p>
    <w:p w14:paraId="1CBC6C0D">
      <w:pPr>
        <w:shd w:val="clear" w:color="auto" w:fill="FFFFFF"/>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389DE88">
      <w:pPr>
        <w:shd w:val="clear" w:color="auto" w:fill="FFFFFF"/>
        <w:snapToGrid w:val="0"/>
        <w:jc w:val="both"/>
        <w:rPr>
          <w:rFonts w:eastAsia="宋体"/>
          <w:color w:val="000000"/>
          <w:sz w:val="24"/>
          <w:szCs w:val="24"/>
        </w:rPr>
      </w:pPr>
      <w:r>
        <w:rPr>
          <w:rFonts w:eastAsia="宋体"/>
          <w:b/>
          <w:bCs/>
          <w:color w:val="000000"/>
          <w:sz w:val="24"/>
          <w:szCs w:val="24"/>
        </w:rPr>
        <w:t>传统510（k）</w:t>
      </w:r>
      <w:r>
        <w:rPr>
          <w:rFonts w:eastAsia="宋体"/>
          <w:color w:val="000000"/>
          <w:sz w:val="24"/>
          <w:szCs w:val="24"/>
        </w:rPr>
        <w:t>是最常见的510（k）类型。在</w:t>
      </w:r>
      <w:r>
        <w:rPr>
          <w:rFonts w:eastAsia="宋体"/>
          <w:b/>
          <w:bCs/>
          <w:color w:val="000000"/>
          <w:sz w:val="24"/>
          <w:szCs w:val="24"/>
        </w:rPr>
        <w:t>传统510（k）</w:t>
      </w:r>
      <w:r>
        <w:rPr>
          <w:rFonts w:eastAsia="宋体"/>
          <w:color w:val="000000"/>
          <w:sz w:val="24"/>
          <w:szCs w:val="24"/>
        </w:rPr>
        <w:t>中，提交人提供有关适应证、技术和性能测试结果的描述性信息，以证明实质等同性。</w:t>
      </w:r>
    </w:p>
    <w:p w14:paraId="5B2AB689">
      <w:pPr>
        <w:shd w:val="clear" w:color="auto" w:fill="FFFFFF"/>
        <w:snapToGrid w:val="0"/>
        <w:jc w:val="both"/>
        <w:rPr>
          <w:rFonts w:eastAsia="宋体"/>
          <w:sz w:val="24"/>
          <w:szCs w:val="24"/>
        </w:rPr>
      </w:pPr>
    </w:p>
    <w:p w14:paraId="10A98947">
      <w:pPr>
        <w:shd w:val="clear" w:color="auto" w:fill="FFFFFF"/>
        <w:snapToGrid w:val="0"/>
        <w:jc w:val="both"/>
        <w:rPr>
          <w:rFonts w:eastAsia="宋体"/>
          <w:sz w:val="24"/>
          <w:szCs w:val="24"/>
        </w:rPr>
      </w:pPr>
      <w:r>
        <w:rPr>
          <w:rFonts w:eastAsia="宋体"/>
          <w:b/>
          <w:bCs/>
          <w:color w:val="000000"/>
          <w:sz w:val="24"/>
          <w:szCs w:val="24"/>
        </w:rPr>
        <w:t>简化510（k）</w:t>
      </w:r>
      <w:r>
        <w:rPr>
          <w:rFonts w:eastAsia="宋体"/>
          <w:color w:val="000000"/>
          <w:sz w:val="24"/>
          <w:szCs w:val="24"/>
        </w:rPr>
        <w:t>提供了一种有效的方法，通过依赖一个或多个：</w:t>
      </w:r>
    </w:p>
    <w:p w14:paraId="530424A9">
      <w:pPr>
        <w:shd w:val="clear" w:color="auto" w:fill="FFFFFF"/>
        <w:tabs>
          <w:tab w:val="left" w:pos="1080"/>
        </w:tabs>
        <w:autoSpaceDE/>
        <w:autoSpaceDN/>
        <w:snapToGrid w:val="0"/>
        <w:ind w:left="314" w:leftChars="157"/>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FDA指南文件；</w:t>
      </w:r>
    </w:p>
    <w:p w14:paraId="60FF4641">
      <w:pPr>
        <w:shd w:val="clear" w:color="auto" w:fill="FFFFFF"/>
        <w:tabs>
          <w:tab w:val="left" w:pos="1080"/>
        </w:tabs>
        <w:autoSpaceDE/>
        <w:autoSpaceDN/>
        <w:snapToGrid w:val="0"/>
        <w:ind w:left="314" w:leftChars="157"/>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特殊控制；或</w:t>
      </w:r>
    </w:p>
    <w:p w14:paraId="3C3703CE">
      <w:pPr>
        <w:shd w:val="clear" w:color="auto" w:fill="FFFFFF"/>
        <w:tabs>
          <w:tab w:val="left" w:pos="1080"/>
        </w:tabs>
        <w:autoSpaceDE/>
        <w:autoSpaceDN/>
        <w:snapToGrid w:val="0"/>
        <w:ind w:left="314" w:leftChars="157"/>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自愿共识标准。</w:t>
      </w:r>
    </w:p>
    <w:p w14:paraId="2599C7A9">
      <w:pPr>
        <w:shd w:val="clear" w:color="auto" w:fill="FFFFFF"/>
        <w:snapToGrid w:val="0"/>
        <w:jc w:val="both"/>
        <w:rPr>
          <w:rFonts w:eastAsia="宋体"/>
          <w:color w:val="000000"/>
          <w:sz w:val="24"/>
          <w:szCs w:val="24"/>
        </w:rPr>
      </w:pPr>
    </w:p>
    <w:p w14:paraId="178D5F5C">
      <w:pPr>
        <w:shd w:val="clear" w:color="auto" w:fill="FFFFFF"/>
        <w:snapToGrid w:val="0"/>
        <w:jc w:val="both"/>
        <w:rPr>
          <w:rFonts w:eastAsia="宋体"/>
          <w:sz w:val="24"/>
          <w:szCs w:val="24"/>
        </w:rPr>
      </w:pPr>
      <w:r>
        <w:rPr>
          <w:rFonts w:eastAsia="宋体"/>
          <w:color w:val="000000"/>
          <w:sz w:val="24"/>
          <w:szCs w:val="24"/>
        </w:rPr>
        <w:t>通常，简化510（k）包括一个或多个符合FDA认可共识标准的声明（见本指南第（10）节），或引用标准的一般用法。有关简化510（k）s的更多信息，请参阅FDA指南文件</w:t>
      </w:r>
      <w:r>
        <w:rPr>
          <w:rFonts w:ascii="宋体" w:hAnsi="宋体" w:eastAsia="宋体"/>
          <w:color w:val="2F2F2F"/>
          <w:sz w:val="24"/>
          <w:szCs w:val="24"/>
        </w:rPr>
        <w:t>“</w:t>
      </w:r>
      <w:r>
        <w:rPr>
          <w:rFonts w:eastAsia="宋体"/>
          <w:color w:val="0000FF"/>
          <w:sz w:val="24"/>
          <w:szCs w:val="24"/>
        </w:rPr>
        <w:t>简化510（k）项目</w:t>
      </w:r>
      <w:r>
        <w:rPr>
          <w:rFonts w:ascii="宋体" w:hAnsi="宋体" w:eastAsia="宋体"/>
          <w:color w:val="2F2F2F"/>
          <w:sz w:val="24"/>
          <w:szCs w:val="24"/>
        </w:rPr>
        <w:t>”</w:t>
      </w:r>
      <w:r>
        <w:rPr>
          <w:rFonts w:eastAsia="宋体"/>
          <w:color w:val="2F2F2F"/>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7"/>
      </w:r>
    </w:p>
    <w:p w14:paraId="25901268">
      <w:pPr>
        <w:pStyle w:val="2"/>
        <w:spacing w:before="240" w:after="240"/>
        <w:rPr>
          <w:rFonts w:eastAsia="宋体"/>
        </w:rPr>
      </w:pPr>
      <w:bookmarkStart w:id="6" w:name="bookmark10"/>
      <w:bookmarkStart w:id="7" w:name="_Toc97492902"/>
      <w:r>
        <w:rPr>
          <w:rFonts w:eastAsia="宋体"/>
        </w:rPr>
        <w:t>I</w:t>
      </w:r>
      <w:bookmarkEnd w:id="6"/>
      <w:r>
        <w:rPr>
          <w:rFonts w:eastAsia="宋体"/>
        </w:rPr>
        <w:t>V.</w:t>
      </w:r>
      <w:r>
        <w:rPr>
          <w:rFonts w:eastAsia="宋体"/>
        </w:rPr>
        <w:tab/>
      </w:r>
      <w:r>
        <w:rPr>
          <w:rFonts w:eastAsia="宋体"/>
        </w:rPr>
        <w:t>传统或简化510（k）中的章节</w:t>
      </w:r>
      <w:bookmarkEnd w:id="7"/>
    </w:p>
    <w:p w14:paraId="231EEC49">
      <w:pPr>
        <w:shd w:val="clear" w:color="auto" w:fill="FFFFFF"/>
        <w:snapToGrid w:val="0"/>
        <w:jc w:val="both"/>
        <w:rPr>
          <w:rFonts w:eastAsia="宋体"/>
          <w:color w:val="000000"/>
          <w:sz w:val="24"/>
          <w:szCs w:val="24"/>
        </w:rPr>
      </w:pPr>
      <w:r>
        <w:rPr>
          <w:rFonts w:eastAsia="宋体"/>
          <w:color w:val="000000"/>
          <w:sz w:val="24"/>
          <w:szCs w:val="24"/>
        </w:rPr>
        <w:t>在传统或简化510（k）中，我们建议您包括以下顺序中列出的章节标题。在某些情况下，特定部分中的信息可能不适用于您的器械。为了便于我们的审查，我们建议您按照列出的顺序保留章节标题。如果您认为某节不适用，我们建议您将该节包括在内，并在该标题下注明</w:t>
      </w:r>
      <w:r>
        <w:rPr>
          <w:rFonts w:ascii="宋体" w:hAnsi="宋体" w:eastAsia="宋体"/>
          <w:color w:val="000000"/>
          <w:sz w:val="24"/>
          <w:szCs w:val="24"/>
        </w:rPr>
        <w:t>“</w:t>
      </w:r>
      <w:r>
        <w:rPr>
          <w:rFonts w:eastAsia="宋体"/>
          <w:color w:val="000000"/>
          <w:sz w:val="24"/>
          <w:szCs w:val="24"/>
        </w:rPr>
        <w:t>本节不适用</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N/A</w:t>
      </w:r>
      <w:r>
        <w:rPr>
          <w:rFonts w:ascii="宋体" w:hAnsi="宋体" w:eastAsia="宋体"/>
          <w:color w:val="000000"/>
          <w:sz w:val="24"/>
          <w:szCs w:val="24"/>
        </w:rPr>
        <w:t>”</w:t>
      </w:r>
      <w:r>
        <w:rPr>
          <w:rFonts w:eastAsia="宋体"/>
          <w:color w:val="000000"/>
          <w:sz w:val="24"/>
          <w:szCs w:val="24"/>
        </w:rPr>
        <w:t>。例如，如果您的器械不包含任何软件，我们建议您在标题为</w:t>
      </w:r>
      <w:r>
        <w:rPr>
          <w:rFonts w:ascii="宋体" w:hAnsi="宋体" w:eastAsia="宋体"/>
          <w:color w:val="000000"/>
          <w:sz w:val="24"/>
          <w:szCs w:val="24"/>
        </w:rPr>
        <w:t>“</w:t>
      </w:r>
      <w:r>
        <w:rPr>
          <w:rFonts w:eastAsia="宋体"/>
          <w:color w:val="000000"/>
          <w:sz w:val="24"/>
          <w:szCs w:val="24"/>
        </w:rPr>
        <w:t>软件</w:t>
      </w:r>
      <w:r>
        <w:rPr>
          <w:rFonts w:ascii="宋体" w:hAnsi="宋体" w:eastAsia="宋体"/>
          <w:color w:val="000000"/>
          <w:sz w:val="24"/>
          <w:szCs w:val="24"/>
        </w:rPr>
        <w:t>”</w:t>
      </w:r>
      <w:r>
        <w:rPr>
          <w:rFonts w:eastAsia="宋体"/>
          <w:color w:val="000000"/>
          <w:sz w:val="24"/>
          <w:szCs w:val="24"/>
        </w:rPr>
        <w:t>的第16节中说明</w:t>
      </w:r>
    </w:p>
    <w:p w14:paraId="745B7173">
      <w:pPr>
        <w:shd w:val="clear" w:color="auto" w:fill="FFFFFF"/>
        <w:snapToGrid w:val="0"/>
        <w:jc w:val="both"/>
        <w:rPr>
          <w:rFonts w:eastAsia="宋体"/>
          <w:sz w:val="24"/>
          <w:szCs w:val="24"/>
        </w:rPr>
      </w:pPr>
    </w:p>
    <w:p w14:paraId="731C4D2C">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w:t>
      </w:r>
      <w:r>
        <w:rPr>
          <w:rFonts w:eastAsia="宋体"/>
          <w:b/>
          <w:bCs/>
          <w:color w:val="000000"/>
          <w:sz w:val="24"/>
          <w:szCs w:val="24"/>
        </w:rPr>
        <w:t>1</w:t>
      </w:r>
      <w:r>
        <w:rPr>
          <w:rFonts w:hint="eastAsia" w:eastAsia="宋体"/>
          <w:b/>
          <w:bCs/>
          <w:color w:val="000000"/>
          <w:sz w:val="24"/>
          <w:szCs w:val="24"/>
        </w:rPr>
        <w:t>)</w:t>
      </w:r>
      <w:r>
        <w:rPr>
          <w:rFonts w:eastAsia="宋体"/>
          <w:color w:val="000000"/>
          <w:sz w:val="24"/>
          <w:szCs w:val="24"/>
        </w:rPr>
        <w:tab/>
      </w:r>
      <w:r>
        <w:rPr>
          <w:rFonts w:eastAsia="宋体"/>
          <w:color w:val="000000"/>
          <w:sz w:val="24"/>
          <w:szCs w:val="24"/>
        </w:rPr>
        <w:t>医疗器械用户付费封页（FDA 3601表格）</w:t>
      </w:r>
    </w:p>
    <w:p w14:paraId="1FC98FB1">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(2)</w:t>
      </w:r>
      <w:r>
        <w:rPr>
          <w:rFonts w:eastAsia="宋体"/>
          <w:color w:val="000000"/>
          <w:sz w:val="24"/>
          <w:szCs w:val="24"/>
        </w:rPr>
        <w:tab/>
      </w:r>
      <w:r>
        <w:rPr>
          <w:rFonts w:eastAsia="宋体"/>
          <w:color w:val="000000"/>
          <w:sz w:val="24"/>
          <w:szCs w:val="24"/>
        </w:rPr>
        <w:t>器械和辐射健康中心（CDRH）上市前审查申报资料封页（FDA 3514表格）</w:t>
      </w:r>
    </w:p>
    <w:p w14:paraId="129A32C6">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(3)</w:t>
      </w:r>
      <w:r>
        <w:rPr>
          <w:rFonts w:eastAsia="宋体"/>
          <w:color w:val="000000"/>
          <w:sz w:val="24"/>
          <w:szCs w:val="24"/>
        </w:rPr>
        <w:tab/>
      </w:r>
      <w:r>
        <w:rPr>
          <w:rFonts w:eastAsia="宋体"/>
          <w:color w:val="000000"/>
          <w:sz w:val="24"/>
          <w:szCs w:val="24"/>
        </w:rPr>
        <w:t>510（k）附函</w:t>
      </w:r>
    </w:p>
    <w:p w14:paraId="409A959E">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(4)</w:t>
      </w:r>
      <w:r>
        <w:rPr>
          <w:rFonts w:eastAsia="宋体"/>
          <w:color w:val="000000"/>
          <w:sz w:val="24"/>
          <w:szCs w:val="24"/>
        </w:rPr>
        <w:tab/>
      </w:r>
      <w:r>
        <w:rPr>
          <w:rFonts w:eastAsia="宋体"/>
          <w:color w:val="000000"/>
          <w:sz w:val="24"/>
          <w:szCs w:val="24"/>
        </w:rPr>
        <w:t>使用说明（表FDA 3881）</w:t>
      </w:r>
    </w:p>
    <w:p w14:paraId="056AB760">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(5)</w:t>
      </w:r>
      <w:r>
        <w:rPr>
          <w:rFonts w:eastAsia="宋体"/>
          <w:color w:val="000000"/>
          <w:sz w:val="24"/>
          <w:szCs w:val="24"/>
        </w:rPr>
        <w:tab/>
      </w:r>
      <w:r>
        <w:rPr>
          <w:rFonts w:eastAsia="宋体"/>
          <w:color w:val="000000"/>
          <w:sz w:val="24"/>
          <w:szCs w:val="24"/>
        </w:rPr>
        <w:t>510（k）摘要或510（k）声明</w:t>
      </w:r>
    </w:p>
    <w:p w14:paraId="6A09A3B5">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(6)</w:t>
      </w:r>
      <w:r>
        <w:rPr>
          <w:rFonts w:eastAsia="宋体"/>
          <w:color w:val="000000"/>
          <w:sz w:val="24"/>
          <w:szCs w:val="24"/>
        </w:rPr>
        <w:tab/>
      </w:r>
      <w:r>
        <w:rPr>
          <w:rFonts w:hint="eastAsia" w:eastAsia="宋体"/>
          <w:color w:val="000000"/>
          <w:sz w:val="24"/>
          <w:szCs w:val="24"/>
        </w:rPr>
        <w:t>真实有效性</w:t>
      </w:r>
      <w:r>
        <w:rPr>
          <w:rFonts w:eastAsia="宋体"/>
          <w:color w:val="000000"/>
          <w:sz w:val="24"/>
          <w:szCs w:val="24"/>
        </w:rPr>
        <w:t>声明</w:t>
      </w:r>
    </w:p>
    <w:p w14:paraId="0EDA3BB0">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(7)</w:t>
      </w:r>
      <w:r>
        <w:rPr>
          <w:rFonts w:eastAsia="宋体"/>
          <w:color w:val="000000"/>
          <w:sz w:val="24"/>
          <w:szCs w:val="24"/>
        </w:rPr>
        <w:tab/>
      </w:r>
      <w:r>
        <w:rPr>
          <w:rFonts w:eastAsia="宋体"/>
          <w:color w:val="000000"/>
          <w:sz w:val="24"/>
          <w:szCs w:val="24"/>
        </w:rPr>
        <w:t>III类器械总结和认证</w:t>
      </w:r>
    </w:p>
    <w:p w14:paraId="653075C0">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(8)</w:t>
      </w:r>
      <w:r>
        <w:rPr>
          <w:rFonts w:eastAsia="宋体"/>
          <w:color w:val="000000"/>
          <w:sz w:val="24"/>
          <w:szCs w:val="24"/>
        </w:rPr>
        <w:tab/>
      </w:r>
      <w:r>
        <w:rPr>
          <w:rFonts w:eastAsia="宋体"/>
          <w:color w:val="000000"/>
          <w:sz w:val="24"/>
          <w:szCs w:val="24"/>
        </w:rPr>
        <w:t>财务证明或披露声明</w:t>
      </w:r>
    </w:p>
    <w:p w14:paraId="0F22240A">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(9)</w:t>
      </w:r>
      <w:r>
        <w:rPr>
          <w:rFonts w:eastAsia="宋体"/>
          <w:color w:val="000000"/>
          <w:sz w:val="24"/>
          <w:szCs w:val="24"/>
        </w:rPr>
        <w:tab/>
      </w:r>
      <w:r>
        <w:rPr>
          <w:rFonts w:eastAsia="宋体"/>
          <w:color w:val="000000"/>
          <w:sz w:val="24"/>
          <w:szCs w:val="24"/>
        </w:rPr>
        <w:t>符合性声明和总结报告</w:t>
      </w:r>
    </w:p>
    <w:p w14:paraId="2BCD4C94">
      <w:pPr>
        <w:shd w:val="clear" w:color="auto" w:fill="FFFFFF"/>
        <w:snapToGrid w:val="0"/>
        <w:ind w:left="2228" w:leftChars="709" w:hanging="810" w:hangingChars="336"/>
        <w:jc w:val="both"/>
        <w:rPr>
          <w:rFonts w:eastAsia="宋体"/>
          <w:bCs/>
          <w:color w:val="000000"/>
          <w:sz w:val="24"/>
          <w:szCs w:val="24"/>
        </w:rPr>
      </w:pPr>
      <w:r>
        <w:rPr>
          <w:rFonts w:eastAsia="宋体"/>
          <w:b/>
          <w:bCs/>
          <w:color w:val="000000"/>
          <w:sz w:val="24"/>
          <w:szCs w:val="24"/>
        </w:rPr>
        <w:t>(10)</w:t>
      </w:r>
      <w:r>
        <w:rPr>
          <w:rFonts w:eastAsia="宋体"/>
          <w:bCs/>
          <w:color w:val="000000"/>
          <w:sz w:val="24"/>
          <w:szCs w:val="24"/>
        </w:rPr>
        <w:tab/>
      </w:r>
      <w:r>
        <w:rPr>
          <w:rFonts w:eastAsia="宋体"/>
          <w:bCs/>
          <w:color w:val="000000"/>
          <w:sz w:val="24"/>
          <w:szCs w:val="24"/>
        </w:rPr>
        <w:t>器械描述</w:t>
      </w:r>
    </w:p>
    <w:p w14:paraId="7DFFA566">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(11)</w:t>
      </w:r>
      <w:r>
        <w:rPr>
          <w:rFonts w:eastAsia="宋体"/>
          <w:color w:val="000000"/>
          <w:sz w:val="24"/>
          <w:szCs w:val="24"/>
        </w:rPr>
        <w:tab/>
      </w:r>
      <w:r>
        <w:rPr>
          <w:rFonts w:eastAsia="宋体"/>
          <w:color w:val="000000"/>
          <w:sz w:val="24"/>
          <w:szCs w:val="24"/>
        </w:rPr>
        <w:t>执行摘要/实质等同比较</w:t>
      </w:r>
    </w:p>
    <w:p w14:paraId="53793FE0">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(12)</w:t>
      </w:r>
      <w:r>
        <w:rPr>
          <w:rFonts w:eastAsia="宋体"/>
          <w:color w:val="000000"/>
          <w:sz w:val="24"/>
          <w:szCs w:val="24"/>
        </w:rPr>
        <w:tab/>
      </w:r>
      <w:r>
        <w:rPr>
          <w:rFonts w:eastAsia="宋体"/>
          <w:color w:val="000000"/>
          <w:sz w:val="24"/>
          <w:szCs w:val="24"/>
        </w:rPr>
        <w:t>实质等同讨论</w:t>
      </w:r>
    </w:p>
    <w:p w14:paraId="6D945E19">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(13)</w:t>
      </w:r>
      <w:r>
        <w:rPr>
          <w:rFonts w:eastAsia="宋体"/>
          <w:color w:val="000000"/>
          <w:sz w:val="24"/>
          <w:szCs w:val="24"/>
        </w:rPr>
        <w:tab/>
      </w:r>
      <w:r>
        <w:rPr>
          <w:rFonts w:eastAsia="宋体"/>
          <w:color w:val="000000"/>
          <w:sz w:val="24"/>
          <w:szCs w:val="24"/>
        </w:rPr>
        <w:t>标签</w:t>
      </w:r>
    </w:p>
    <w:p w14:paraId="6FEACA3C">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(14)</w:t>
      </w:r>
      <w:r>
        <w:rPr>
          <w:rFonts w:eastAsia="宋体"/>
          <w:color w:val="000000"/>
          <w:sz w:val="24"/>
          <w:szCs w:val="24"/>
        </w:rPr>
        <w:tab/>
      </w:r>
      <w:r>
        <w:rPr>
          <w:rFonts w:eastAsia="宋体"/>
          <w:color w:val="000000"/>
          <w:sz w:val="24"/>
          <w:szCs w:val="24"/>
        </w:rPr>
        <w:t>灭菌和</w:t>
      </w:r>
      <w:r>
        <w:rPr>
          <w:rFonts w:hint="eastAsia" w:eastAsia="宋体"/>
          <w:color w:val="000000"/>
          <w:sz w:val="24"/>
          <w:szCs w:val="24"/>
        </w:rPr>
        <w:t>效期</w:t>
      </w:r>
    </w:p>
    <w:p w14:paraId="1D5D4208">
      <w:pPr>
        <w:shd w:val="clear" w:color="auto" w:fill="FFFFFF"/>
        <w:snapToGrid w:val="0"/>
        <w:ind w:left="2228" w:leftChars="709" w:hanging="810" w:hangingChars="336"/>
        <w:jc w:val="both"/>
        <w:rPr>
          <w:rFonts w:eastAsia="宋体"/>
          <w:b/>
          <w:bCs/>
          <w:color w:val="000000"/>
          <w:sz w:val="24"/>
          <w:szCs w:val="24"/>
        </w:rPr>
      </w:pPr>
      <w:r>
        <w:rPr>
          <w:rFonts w:eastAsia="宋体"/>
          <w:b/>
          <w:bCs/>
          <w:color w:val="000000"/>
          <w:sz w:val="24"/>
          <w:szCs w:val="24"/>
        </w:rPr>
        <w:t>(15)</w:t>
      </w:r>
      <w:r>
        <w:rPr>
          <w:rFonts w:eastAsia="宋体"/>
          <w:b/>
          <w:bCs/>
          <w:color w:val="000000"/>
          <w:sz w:val="24"/>
          <w:szCs w:val="24"/>
        </w:rPr>
        <w:tab/>
      </w:r>
      <w:r>
        <w:rPr>
          <w:rFonts w:eastAsia="宋体"/>
          <w:bCs/>
          <w:color w:val="000000"/>
          <w:sz w:val="24"/>
          <w:szCs w:val="24"/>
        </w:rPr>
        <w:t>生物相容性</w:t>
      </w:r>
    </w:p>
    <w:p w14:paraId="1DBAE57B">
      <w:pPr>
        <w:shd w:val="clear" w:color="auto" w:fill="FFFFFF"/>
        <w:snapToGrid w:val="0"/>
        <w:ind w:left="2228" w:leftChars="709" w:hanging="810" w:hangingChars="336"/>
        <w:jc w:val="both"/>
        <w:rPr>
          <w:rFonts w:eastAsia="宋体"/>
          <w:b/>
          <w:bCs/>
          <w:color w:val="000000"/>
          <w:sz w:val="24"/>
          <w:szCs w:val="24"/>
        </w:rPr>
      </w:pPr>
      <w:r>
        <w:rPr>
          <w:rFonts w:eastAsia="宋体"/>
          <w:b/>
          <w:bCs/>
          <w:color w:val="000000"/>
          <w:sz w:val="24"/>
          <w:szCs w:val="24"/>
        </w:rPr>
        <w:t>(16)</w:t>
      </w:r>
      <w:r>
        <w:rPr>
          <w:rFonts w:eastAsia="宋体"/>
          <w:b/>
          <w:bCs/>
          <w:color w:val="000000"/>
          <w:sz w:val="24"/>
          <w:szCs w:val="24"/>
        </w:rPr>
        <w:tab/>
      </w:r>
      <w:r>
        <w:rPr>
          <w:rFonts w:eastAsia="宋体"/>
          <w:bCs/>
          <w:color w:val="000000"/>
          <w:sz w:val="24"/>
          <w:szCs w:val="24"/>
        </w:rPr>
        <w:t>软件</w:t>
      </w:r>
    </w:p>
    <w:p w14:paraId="2602587B">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(17)</w:t>
      </w:r>
      <w:r>
        <w:rPr>
          <w:rFonts w:eastAsia="宋体"/>
          <w:color w:val="000000"/>
          <w:sz w:val="24"/>
          <w:szCs w:val="24"/>
        </w:rPr>
        <w:tab/>
      </w:r>
      <w:r>
        <w:rPr>
          <w:rFonts w:eastAsia="宋体"/>
          <w:color w:val="000000"/>
          <w:sz w:val="24"/>
          <w:szCs w:val="24"/>
        </w:rPr>
        <w:t>电磁兼容性和电气安全</w:t>
      </w:r>
    </w:p>
    <w:p w14:paraId="43093462">
      <w:pPr>
        <w:shd w:val="clear" w:color="auto" w:fill="FFFFFF"/>
        <w:snapToGrid w:val="0"/>
        <w:jc w:val="both"/>
        <w:rPr>
          <w:rFonts w:eastAsia="宋体"/>
          <w:sz w:val="21"/>
          <w:szCs w:val="21"/>
        </w:rPr>
      </w:pPr>
    </w:p>
    <w:p w14:paraId="532B7B4D">
      <w:pPr>
        <w:shd w:val="clear" w:color="auto" w:fill="FFFFFF"/>
        <w:snapToGrid w:val="0"/>
        <w:jc w:val="both"/>
        <w:rPr>
          <w:rFonts w:eastAsia="宋体"/>
          <w:sz w:val="21"/>
          <w:szCs w:val="21"/>
        </w:rPr>
      </w:pPr>
    </w:p>
    <w:p w14:paraId="462621CC">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FEB6D5F">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w:t>
      </w:r>
      <w:r>
        <w:rPr>
          <w:rFonts w:eastAsia="宋体"/>
          <w:b/>
          <w:bCs/>
          <w:color w:val="000000"/>
          <w:sz w:val="24"/>
          <w:szCs w:val="24"/>
        </w:rPr>
        <w:t>18</w:t>
      </w:r>
      <w:r>
        <w:rPr>
          <w:rFonts w:hint="eastAsia" w:eastAsia="宋体"/>
          <w:b/>
          <w:bCs/>
          <w:color w:val="000000"/>
          <w:sz w:val="24"/>
          <w:szCs w:val="24"/>
        </w:rPr>
        <w:t>)</w:t>
      </w:r>
      <w:r>
        <w:rPr>
          <w:rFonts w:eastAsia="宋体"/>
          <w:color w:val="000000"/>
          <w:sz w:val="24"/>
          <w:szCs w:val="24"/>
        </w:rPr>
        <w:tab/>
      </w:r>
      <w:r>
        <w:rPr>
          <w:rFonts w:eastAsia="宋体"/>
          <w:color w:val="000000"/>
          <w:sz w:val="24"/>
          <w:szCs w:val="24"/>
        </w:rPr>
        <w:t>性能试验-</w:t>
      </w:r>
      <w:r>
        <w:rPr>
          <w:rFonts w:hint="eastAsia" w:eastAsia="宋体"/>
          <w:color w:val="000000"/>
          <w:sz w:val="24"/>
          <w:szCs w:val="24"/>
        </w:rPr>
        <w:t>台架</w:t>
      </w:r>
    </w:p>
    <w:p w14:paraId="45CF9C52">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(19)</w:t>
      </w:r>
      <w:r>
        <w:rPr>
          <w:rFonts w:eastAsia="宋体"/>
          <w:color w:val="000000"/>
          <w:sz w:val="24"/>
          <w:szCs w:val="24"/>
        </w:rPr>
        <w:tab/>
      </w:r>
      <w:r>
        <w:rPr>
          <w:rFonts w:eastAsia="宋体"/>
          <w:color w:val="000000"/>
          <w:sz w:val="24"/>
          <w:szCs w:val="24"/>
        </w:rPr>
        <w:t>性能试验-动物</w:t>
      </w:r>
    </w:p>
    <w:p w14:paraId="48ACC237">
      <w:pPr>
        <w:shd w:val="clear" w:color="auto" w:fill="FFFFFF"/>
        <w:snapToGrid w:val="0"/>
        <w:ind w:left="2228" w:leftChars="709" w:hanging="810" w:hangingChars="336"/>
        <w:jc w:val="both"/>
        <w:rPr>
          <w:rFonts w:eastAsia="宋体"/>
          <w:b/>
          <w:bCs/>
          <w:color w:val="000000"/>
          <w:sz w:val="24"/>
          <w:szCs w:val="24"/>
        </w:rPr>
      </w:pPr>
      <w:r>
        <w:rPr>
          <w:rFonts w:hint="eastAsia" w:eastAsia="宋体"/>
          <w:b/>
          <w:bCs/>
          <w:color w:val="000000"/>
          <w:sz w:val="24"/>
          <w:szCs w:val="24"/>
        </w:rPr>
        <w:t>(20)</w:t>
      </w:r>
      <w:r>
        <w:rPr>
          <w:rFonts w:eastAsia="宋体"/>
          <w:color w:val="000000"/>
          <w:sz w:val="24"/>
          <w:szCs w:val="24"/>
        </w:rPr>
        <w:tab/>
      </w:r>
      <w:r>
        <w:rPr>
          <w:rFonts w:eastAsia="宋体"/>
          <w:color w:val="000000"/>
          <w:sz w:val="24"/>
          <w:szCs w:val="24"/>
        </w:rPr>
        <w:t>性能试验-临床</w:t>
      </w:r>
    </w:p>
    <w:p w14:paraId="26A39C50">
      <w:pPr>
        <w:shd w:val="clear" w:color="auto" w:fill="FFFFFF"/>
        <w:snapToGrid w:val="0"/>
        <w:jc w:val="both"/>
        <w:rPr>
          <w:rFonts w:eastAsia="宋体"/>
          <w:color w:val="000000"/>
          <w:sz w:val="24"/>
          <w:szCs w:val="24"/>
        </w:rPr>
      </w:pPr>
    </w:p>
    <w:p w14:paraId="6DB064DA">
      <w:pPr>
        <w:shd w:val="clear" w:color="auto" w:fill="FFFFFF"/>
        <w:snapToGrid w:val="0"/>
        <w:jc w:val="both"/>
        <w:rPr>
          <w:rFonts w:eastAsia="宋体"/>
          <w:sz w:val="24"/>
          <w:szCs w:val="24"/>
        </w:rPr>
      </w:pPr>
      <w:r>
        <w:rPr>
          <w:rFonts w:eastAsia="宋体"/>
          <w:color w:val="000000"/>
          <w:sz w:val="24"/>
          <w:szCs w:val="24"/>
        </w:rPr>
        <w:t>在以下各节中，本指南文件描述了我们建议的每一章节的格式，并提供了在准备各章节时有用的资源，如法规、指南文件和互联网链接。</w:t>
      </w:r>
    </w:p>
    <w:p w14:paraId="2319FD74">
      <w:pPr>
        <w:pStyle w:val="2"/>
        <w:spacing w:before="240" w:after="240"/>
        <w:rPr>
          <w:rFonts w:eastAsia="宋体"/>
        </w:rPr>
      </w:pPr>
      <w:bookmarkStart w:id="8" w:name="bookmark12"/>
      <w:bookmarkStart w:id="9" w:name="_Toc97492903"/>
      <w:r>
        <w:rPr>
          <w:rFonts w:eastAsia="宋体"/>
        </w:rPr>
        <w:t>V</w:t>
      </w:r>
      <w:bookmarkEnd w:id="8"/>
      <w:r>
        <w:rPr>
          <w:rFonts w:eastAsia="宋体"/>
        </w:rPr>
        <w:t>.</w:t>
      </w:r>
      <w:r>
        <w:rPr>
          <w:rFonts w:eastAsia="宋体"/>
        </w:rPr>
        <w:tab/>
      </w:r>
      <w:r>
        <w:rPr>
          <w:rFonts w:eastAsia="宋体"/>
        </w:rPr>
        <w:t>传统或简化510（k）的各章节描述</w:t>
      </w:r>
      <w:bookmarkEnd w:id="9"/>
      <w:r>
        <w:rPr>
          <w:rFonts w:eastAsia="宋体"/>
        </w:rPr>
        <w:t xml:space="preserve"> </w:t>
      </w:r>
    </w:p>
    <w:p w14:paraId="371D012A">
      <w:pPr>
        <w:shd w:val="clear" w:color="auto" w:fill="FFFFFF"/>
        <w:snapToGrid w:val="0"/>
        <w:jc w:val="both"/>
        <w:rPr>
          <w:rFonts w:eastAsia="宋体"/>
          <w:sz w:val="24"/>
          <w:szCs w:val="24"/>
        </w:rPr>
      </w:pPr>
      <w:bookmarkStart w:id="10" w:name="bookmark13"/>
      <w:bookmarkEnd w:id="10"/>
      <w:r>
        <w:rPr>
          <w:rFonts w:eastAsia="宋体"/>
          <w:color w:val="000000"/>
          <w:sz w:val="24"/>
          <w:szCs w:val="24"/>
        </w:rPr>
        <w:t>在本节中，我们将解释传统或简化510（k）的每一章节，并包括一些参考资料。</w:t>
      </w:r>
    </w:p>
    <w:p w14:paraId="6EC280AC">
      <w:pPr>
        <w:pStyle w:val="3"/>
        <w:spacing w:before="240" w:after="120"/>
      </w:pPr>
      <w:bookmarkStart w:id="11" w:name="_Toc97492904"/>
      <w:r>
        <w:t>(1)</w:t>
      </w:r>
      <w:r>
        <w:rPr>
          <w:b w:val="0"/>
          <w:bCs w:val="0"/>
        </w:rPr>
        <w:tab/>
      </w:r>
      <w:r>
        <w:t>医疗器械用户付费封页（FDA 3601表格）</w:t>
      </w:r>
      <w:bookmarkEnd w:id="11"/>
    </w:p>
    <w:p w14:paraId="36CF2D36">
      <w:pPr>
        <w:shd w:val="clear" w:color="auto" w:fill="FFFFFF"/>
        <w:snapToGrid w:val="0"/>
        <w:jc w:val="both"/>
        <w:rPr>
          <w:rFonts w:eastAsia="宋体"/>
          <w:color w:val="000000"/>
          <w:sz w:val="24"/>
          <w:szCs w:val="24"/>
        </w:rPr>
      </w:pPr>
      <w:r>
        <w:rPr>
          <w:rFonts w:eastAsia="宋体"/>
          <w:color w:val="000000"/>
          <w:sz w:val="24"/>
          <w:szCs w:val="24"/>
        </w:rPr>
        <w:t>医疗器械用户付费封页、用户付费付款收据和有效电子副本（eCopy），是FDA开始处理您的提交的凭据；因此，除非您的提交是第三方审查申报资料，否则您应在提交510（k）时提供医疗器械用户付费封页。第三方审查提交可豁免用户付费。</w:t>
      </w:r>
    </w:p>
    <w:p w14:paraId="45064BA8">
      <w:pPr>
        <w:shd w:val="clear" w:color="auto" w:fill="FFFFFF"/>
        <w:snapToGrid w:val="0"/>
        <w:jc w:val="both"/>
        <w:rPr>
          <w:rFonts w:eastAsia="宋体"/>
          <w:sz w:val="24"/>
          <w:szCs w:val="24"/>
        </w:rPr>
      </w:pPr>
    </w:p>
    <w:p w14:paraId="1D913A1C">
      <w:pPr>
        <w:shd w:val="clear" w:color="auto" w:fill="FFFFFF"/>
        <w:snapToGrid w:val="0"/>
        <w:jc w:val="both"/>
        <w:rPr>
          <w:rFonts w:eastAsia="宋体"/>
          <w:sz w:val="24"/>
          <w:szCs w:val="24"/>
        </w:rPr>
      </w:pPr>
      <w:bookmarkStart w:id="12" w:name="bookmark14"/>
      <w:bookmarkEnd w:id="12"/>
      <w:r>
        <w:rPr>
          <w:rFonts w:eastAsia="宋体"/>
          <w:color w:val="000000"/>
          <w:sz w:val="24"/>
          <w:szCs w:val="24"/>
        </w:rPr>
        <w:t>尽管根据《FD&amp;C法案》第738（A）（2）（B）节，下列510（k）份申报资料也不包括在用户付费中，我们建议您包括一份</w:t>
      </w:r>
      <w:r>
        <w:rPr>
          <w:rFonts w:eastAsia="宋体"/>
          <w:color w:val="0000FF"/>
          <w:sz w:val="24"/>
          <w:szCs w:val="24"/>
          <w:u w:val="single"/>
        </w:rPr>
        <w:t>医疗器械用户付费封页</w:t>
      </w:r>
      <w:r>
        <w:rPr>
          <w:rFonts w:eastAsia="宋体"/>
          <w:color w:val="0000FF"/>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8"/>
      </w:r>
      <w:r>
        <w:rPr>
          <w:rFonts w:eastAsia="宋体"/>
          <w:color w:val="000000"/>
          <w:sz w:val="24"/>
          <w:szCs w:val="24"/>
        </w:rPr>
        <w:t xml:space="preserve"> 并用它来说明适用于510（k）提交的豁免情况：</w:t>
      </w:r>
    </w:p>
    <w:p w14:paraId="676F01FC">
      <w:pPr>
        <w:shd w:val="clear" w:color="auto" w:fill="FFFFFF"/>
        <w:tabs>
          <w:tab w:val="left" w:pos="1080"/>
        </w:tabs>
        <w:autoSpaceDE/>
        <w:autoSpaceDN/>
        <w:snapToGrid w:val="0"/>
        <w:ind w:left="314" w:leftChars="157"/>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仅用于</w:t>
      </w:r>
      <w:r>
        <w:rPr>
          <w:rFonts w:hint="eastAsia" w:eastAsia="宋体"/>
          <w:color w:val="000000"/>
          <w:sz w:val="24"/>
          <w:szCs w:val="24"/>
        </w:rPr>
        <w:t>儿童</w:t>
      </w:r>
      <w:r>
        <w:rPr>
          <w:rFonts w:eastAsia="宋体"/>
          <w:color w:val="000000"/>
          <w:sz w:val="24"/>
          <w:szCs w:val="24"/>
        </w:rPr>
        <w:t>；或</w:t>
      </w:r>
    </w:p>
    <w:p w14:paraId="28AC1B22">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由州或联邦政府实体提交（FDA用户付费的豁免情况，除非该器械将进行商业分销）。</w:t>
      </w:r>
    </w:p>
    <w:p w14:paraId="6D99A11E">
      <w:pPr>
        <w:shd w:val="clear" w:color="auto" w:fill="FFFFFF"/>
        <w:snapToGrid w:val="0"/>
        <w:jc w:val="both"/>
        <w:rPr>
          <w:rFonts w:eastAsia="宋体"/>
          <w:color w:val="000000"/>
          <w:sz w:val="24"/>
          <w:szCs w:val="24"/>
        </w:rPr>
      </w:pPr>
      <w:bookmarkStart w:id="13" w:name="bookmark15"/>
    </w:p>
    <w:bookmarkEnd w:id="13"/>
    <w:p w14:paraId="39C6FDD3">
      <w:pPr>
        <w:shd w:val="clear" w:color="auto" w:fill="FFFFFF"/>
        <w:snapToGrid w:val="0"/>
        <w:jc w:val="both"/>
        <w:rPr>
          <w:rFonts w:eastAsia="宋体"/>
          <w:sz w:val="24"/>
          <w:szCs w:val="24"/>
        </w:rPr>
      </w:pPr>
      <w:r>
        <w:rPr>
          <w:rFonts w:eastAsia="宋体"/>
          <w:color w:val="000000"/>
          <w:sz w:val="24"/>
          <w:szCs w:val="24"/>
        </w:rPr>
        <w:t>参见FDA指南</w:t>
      </w:r>
      <w:r>
        <w:rPr>
          <w:rFonts w:ascii="宋体" w:hAnsi="宋体" w:eastAsia="宋体"/>
          <w:color w:val="000000"/>
          <w:sz w:val="24"/>
          <w:szCs w:val="24"/>
        </w:rPr>
        <w:t>“</w:t>
      </w:r>
      <w:r>
        <w:rPr>
          <w:rFonts w:eastAsia="宋体"/>
          <w:color w:val="0000FF"/>
          <w:sz w:val="24"/>
          <w:szCs w:val="24"/>
          <w:u w:val="single"/>
        </w:rPr>
        <w:t>上市前通知（510（k）S）申请用户付费和退款</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9"/>
      </w:r>
    </w:p>
    <w:p w14:paraId="2204604B">
      <w:pPr>
        <w:pStyle w:val="3"/>
        <w:spacing w:before="240" w:after="120"/>
      </w:pPr>
      <w:bookmarkStart w:id="14" w:name="_Toc97492905"/>
      <w:r>
        <w:t>(2)</w:t>
      </w:r>
      <w:r>
        <w:rPr>
          <w:b w:val="0"/>
          <w:bCs w:val="0"/>
        </w:rPr>
        <w:tab/>
      </w:r>
      <w:r>
        <w:t>CDRH上市前审查申请封页（FDA 3514表格）</w:t>
      </w:r>
      <w:bookmarkEnd w:id="14"/>
    </w:p>
    <w:p w14:paraId="1CEEF284">
      <w:pPr>
        <w:shd w:val="clear" w:color="auto" w:fill="FFFFFF"/>
        <w:snapToGrid w:val="0"/>
        <w:jc w:val="both"/>
        <w:rPr>
          <w:rFonts w:eastAsia="宋体"/>
          <w:sz w:val="24"/>
          <w:szCs w:val="24"/>
        </w:rPr>
      </w:pPr>
      <w:bookmarkStart w:id="15" w:name="bookmark16"/>
      <w:bookmarkEnd w:id="15"/>
      <w:r>
        <w:rPr>
          <w:rFonts w:eastAsia="宋体"/>
          <w:color w:val="0000FF"/>
          <w:sz w:val="24"/>
          <w:szCs w:val="24"/>
          <w:u w:val="single"/>
        </w:rPr>
        <w:t>CDRH上市前审查申请封页</w:t>
      </w:r>
      <w:r>
        <w:rPr>
          <w:rStyle w:val="16"/>
          <w:rFonts w:eastAsia="宋体"/>
          <w:color w:val="000000" w:themeColor="text1"/>
          <w:sz w:val="24"/>
          <w:szCs w:val="24"/>
        </w:rPr>
        <w:footnoteReference w:id="10"/>
      </w:r>
      <w:r>
        <w:rPr>
          <w:rFonts w:eastAsia="宋体"/>
          <w:color w:val="000000"/>
          <w:sz w:val="24"/>
          <w:szCs w:val="24"/>
        </w:rPr>
        <w:t>是一种自愿形式，用于帮助提供所有类型上市前通知申报资料的基本管理信息。</w:t>
      </w:r>
    </w:p>
    <w:p w14:paraId="15DA808E">
      <w:pPr>
        <w:shd w:val="clear" w:color="auto" w:fill="FFFFFF"/>
        <w:tabs>
          <w:tab w:val="left" w:pos="187"/>
        </w:tabs>
        <w:snapToGrid w:val="0"/>
        <w:jc w:val="both"/>
        <w:rPr>
          <w:rFonts w:eastAsia="宋体"/>
          <w:color w:val="000000"/>
          <w:sz w:val="24"/>
          <w:szCs w:val="24"/>
          <w:vertAlign w:val="superscript"/>
        </w:rPr>
      </w:pPr>
    </w:p>
    <w:p w14:paraId="7A828FD0">
      <w:pPr>
        <w:shd w:val="clear" w:color="auto" w:fill="FFFFFF"/>
        <w:tabs>
          <w:tab w:val="left" w:pos="187"/>
        </w:tabs>
        <w:snapToGrid w:val="0"/>
        <w:jc w:val="both"/>
        <w:rPr>
          <w:rFonts w:eastAsia="宋体"/>
          <w:sz w:val="24"/>
          <w:szCs w:val="24"/>
        </w:rPr>
      </w:pPr>
    </w:p>
    <w:p w14:paraId="7DD422A8">
      <w:pPr>
        <w:shd w:val="clear" w:color="auto" w:fill="FFFFFF"/>
        <w:tabs>
          <w:tab w:val="left" w:pos="187"/>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E429039">
      <w:pPr>
        <w:pStyle w:val="3"/>
        <w:spacing w:before="240" w:after="120"/>
      </w:pPr>
      <w:bookmarkStart w:id="16" w:name="_Toc97492906"/>
      <w:r>
        <w:t>(3)</w:t>
      </w:r>
      <w:r>
        <w:rPr>
          <w:b w:val="0"/>
          <w:bCs w:val="0"/>
        </w:rPr>
        <w:tab/>
      </w:r>
      <w:r>
        <w:t>510（k）附函</w:t>
      </w:r>
      <w:bookmarkEnd w:id="16"/>
    </w:p>
    <w:p w14:paraId="6AA3CB06">
      <w:pPr>
        <w:shd w:val="clear" w:color="auto" w:fill="FFFFFF"/>
        <w:snapToGrid w:val="0"/>
        <w:jc w:val="both"/>
        <w:rPr>
          <w:rFonts w:eastAsia="宋体"/>
          <w:sz w:val="24"/>
          <w:szCs w:val="24"/>
        </w:rPr>
      </w:pPr>
      <w:bookmarkStart w:id="17" w:name="bookmark19"/>
      <w:bookmarkEnd w:id="17"/>
      <w:r>
        <w:rPr>
          <w:rFonts w:eastAsia="宋体"/>
          <w:color w:val="000000"/>
          <w:sz w:val="24"/>
          <w:szCs w:val="24"/>
        </w:rPr>
        <w:t>我们建议您在提交材料时附上510（k）附函。有关510（k）附函建议内容的更多信息，请参见附录A。附录A描述了可能有助于FDA初步处理和审查510（k）申请申报资料的关键信息。与第（2）节中的</w:t>
      </w:r>
      <w:r>
        <w:rPr>
          <w:rFonts w:ascii="宋体" w:hAnsi="宋体" w:eastAsia="宋体"/>
          <w:color w:val="000000"/>
          <w:sz w:val="24"/>
          <w:szCs w:val="24"/>
        </w:rPr>
        <w:t>“</w:t>
      </w:r>
      <w:r>
        <w:rPr>
          <w:rFonts w:eastAsia="宋体"/>
          <w:color w:val="000000"/>
          <w:sz w:val="24"/>
          <w:szCs w:val="24"/>
        </w:rPr>
        <w:t>CDRH上市前审查申请封页</w:t>
      </w:r>
      <w:r>
        <w:rPr>
          <w:rFonts w:ascii="宋体" w:hAnsi="宋体" w:eastAsia="宋体"/>
          <w:color w:val="000000"/>
          <w:sz w:val="24"/>
          <w:szCs w:val="24"/>
        </w:rPr>
        <w:t>”</w:t>
      </w:r>
      <w:r>
        <w:rPr>
          <w:rFonts w:eastAsia="宋体"/>
          <w:color w:val="000000"/>
          <w:sz w:val="24"/>
          <w:szCs w:val="24"/>
        </w:rPr>
        <w:t>相比，510（k）封页旨在更详细地描述510（k）提交书。</w:t>
      </w:r>
    </w:p>
    <w:p w14:paraId="28B089BC">
      <w:pPr>
        <w:pStyle w:val="3"/>
        <w:spacing w:before="240" w:after="120"/>
      </w:pPr>
      <w:bookmarkStart w:id="18" w:name="_Toc97492907"/>
      <w:r>
        <w:t>(4)</w:t>
      </w:r>
      <w:r>
        <w:tab/>
      </w:r>
      <w:r>
        <w:t>使用说明（FDA 3881表格）</w:t>
      </w:r>
      <w:bookmarkEnd w:id="18"/>
    </w:p>
    <w:p w14:paraId="17A0C1FF">
      <w:pPr>
        <w:shd w:val="clear" w:color="auto" w:fill="FFFFFF"/>
        <w:snapToGrid w:val="0"/>
        <w:jc w:val="both"/>
        <w:rPr>
          <w:rFonts w:eastAsia="宋体"/>
          <w:color w:val="000000"/>
          <w:sz w:val="24"/>
          <w:szCs w:val="24"/>
        </w:rPr>
      </w:pPr>
      <w:r>
        <w:rPr>
          <w:rFonts w:eastAsia="宋体"/>
          <w:color w:val="000000"/>
          <w:sz w:val="24"/>
          <w:szCs w:val="24"/>
        </w:rPr>
        <w:t>我们建议您使用本节提供使用说明。FDA 3881 表格是一份文件，在该文件中，您应识别并描述510（k）申请申报资料中所含器械的使用说明。</w:t>
      </w:r>
    </w:p>
    <w:p w14:paraId="0D3F1F2B">
      <w:pPr>
        <w:shd w:val="clear" w:color="auto" w:fill="FFFFFF"/>
        <w:snapToGrid w:val="0"/>
        <w:jc w:val="both"/>
        <w:rPr>
          <w:rFonts w:eastAsia="宋体"/>
          <w:sz w:val="24"/>
          <w:szCs w:val="24"/>
        </w:rPr>
      </w:pPr>
    </w:p>
    <w:p w14:paraId="499B6BB1">
      <w:pPr>
        <w:shd w:val="clear" w:color="auto" w:fill="FFFFFF"/>
        <w:snapToGrid w:val="0"/>
        <w:jc w:val="both"/>
        <w:rPr>
          <w:rFonts w:eastAsia="宋体"/>
          <w:sz w:val="24"/>
          <w:szCs w:val="24"/>
        </w:rPr>
      </w:pPr>
      <w:bookmarkStart w:id="19" w:name="bookmark20"/>
      <w:bookmarkEnd w:id="19"/>
      <w:r>
        <w:rPr>
          <w:rFonts w:eastAsia="宋体"/>
          <w:color w:val="000000"/>
          <w:sz w:val="24"/>
          <w:szCs w:val="24"/>
        </w:rPr>
        <w:t>我们的使用说明应与您提交的510（k）份材料其余部分中列出的使用说明完全相同，包括器械标签中的使用说明。我们建议您使用</w:t>
      </w:r>
      <w:r>
        <w:rPr>
          <w:rFonts w:eastAsia="宋体"/>
          <w:color w:val="0000FF"/>
          <w:sz w:val="24"/>
          <w:szCs w:val="24"/>
          <w:u w:val="single"/>
        </w:rPr>
        <w:t>FDA 3881 表格</w:t>
      </w:r>
      <w:r>
        <w:rPr>
          <w:rFonts w:eastAsia="宋体"/>
          <w:color w:val="0000FF"/>
          <w:sz w:val="24"/>
          <w:szCs w:val="24"/>
        </w:rPr>
        <w:t>中的使用说明格式。</w:t>
      </w:r>
      <w:r>
        <w:rPr>
          <w:rStyle w:val="16"/>
          <w:rFonts w:eastAsia="宋体"/>
          <w:color w:val="000000" w:themeColor="text1"/>
          <w:sz w:val="24"/>
          <w:szCs w:val="24"/>
        </w:rPr>
        <w:t xml:space="preserve"> </w:t>
      </w:r>
      <w:r>
        <w:rPr>
          <w:rStyle w:val="16"/>
          <w:rFonts w:eastAsia="宋体"/>
          <w:color w:val="000000" w:themeColor="text1"/>
          <w:sz w:val="24"/>
          <w:szCs w:val="24"/>
        </w:rPr>
        <w:footnoteReference w:id="11"/>
      </w:r>
      <w:r>
        <w:rPr>
          <w:rFonts w:eastAsia="宋体"/>
          <w:color w:val="000000"/>
          <w:sz w:val="24"/>
          <w:szCs w:val="24"/>
        </w:rPr>
        <w:t>我们认为，为了让FDA充分审查您提交的材料，您应该确定该器械是否用于处方和/或非处方用途。</w:t>
      </w:r>
    </w:p>
    <w:p w14:paraId="6A7F528B">
      <w:pPr>
        <w:pStyle w:val="3"/>
        <w:spacing w:before="240" w:after="120"/>
      </w:pPr>
      <w:bookmarkStart w:id="20" w:name="_Toc97492908"/>
      <w:r>
        <w:t>(5)</w:t>
      </w:r>
      <w:r>
        <w:tab/>
      </w:r>
      <w:r>
        <w:t>510（k）摘要或510（k）声明</w:t>
      </w:r>
      <w:bookmarkEnd w:id="20"/>
    </w:p>
    <w:p w14:paraId="318E9841">
      <w:pPr>
        <w:shd w:val="clear" w:color="auto" w:fill="FFFFFF"/>
        <w:snapToGrid w:val="0"/>
        <w:jc w:val="both"/>
        <w:rPr>
          <w:rFonts w:eastAsia="宋体"/>
          <w:color w:val="000000"/>
          <w:sz w:val="24"/>
          <w:szCs w:val="24"/>
        </w:rPr>
      </w:pPr>
      <w:r>
        <w:rPr>
          <w:rFonts w:eastAsia="宋体"/>
          <w:color w:val="000000"/>
          <w:sz w:val="24"/>
          <w:szCs w:val="24"/>
        </w:rPr>
        <w:t>根据21 CFR 807.87（h），每份510（k）申报资料</w:t>
      </w:r>
      <w:r>
        <w:rPr>
          <w:rFonts w:hint="eastAsia" w:eastAsia="宋体"/>
          <w:color w:val="000000"/>
          <w:sz w:val="24"/>
          <w:szCs w:val="24"/>
        </w:rPr>
        <w:t>都</w:t>
      </w:r>
      <w:r>
        <w:rPr>
          <w:rFonts w:eastAsia="宋体"/>
          <w:color w:val="000000"/>
          <w:sz w:val="24"/>
          <w:szCs w:val="24"/>
        </w:rPr>
        <w:t>必须包括510（k）摘要（21 CFR 807.92）或510（k）声明（21 CFR 807.93）。我们建议您使用本节提供510（k）摘要或510（k）声明。</w:t>
      </w:r>
    </w:p>
    <w:p w14:paraId="4673D5D2">
      <w:pPr>
        <w:shd w:val="clear" w:color="auto" w:fill="FFFFFF"/>
        <w:snapToGrid w:val="0"/>
        <w:jc w:val="both"/>
        <w:rPr>
          <w:rFonts w:eastAsia="宋体"/>
          <w:sz w:val="24"/>
          <w:szCs w:val="24"/>
        </w:rPr>
      </w:pPr>
    </w:p>
    <w:p w14:paraId="64DEBBD1">
      <w:pPr>
        <w:shd w:val="clear" w:color="auto" w:fill="FFFFFF"/>
        <w:snapToGrid w:val="0"/>
        <w:jc w:val="both"/>
        <w:rPr>
          <w:rFonts w:eastAsia="宋体"/>
          <w:sz w:val="24"/>
          <w:szCs w:val="24"/>
        </w:rPr>
      </w:pPr>
      <w:bookmarkStart w:id="21" w:name="bookmark21"/>
      <w:bookmarkEnd w:id="21"/>
      <w:r>
        <w:rPr>
          <w:rFonts w:eastAsia="宋体"/>
          <w:color w:val="000000"/>
          <w:sz w:val="24"/>
          <w:szCs w:val="24"/>
        </w:rPr>
        <w:t>510（k）摘要提供了包含在510（k）中的器械的简要摘要和支持信息。510（k）声明是一种证明，证明510（k）持有人将在收到书面请求后的30天内向任何人提供510（k）申报资料的副本（某些内容除外）。关于</w:t>
      </w:r>
      <w:r>
        <w:rPr>
          <w:rFonts w:eastAsia="宋体"/>
          <w:color w:val="0000FF"/>
          <w:sz w:val="24"/>
          <w:szCs w:val="24"/>
          <w:u w:val="single"/>
        </w:rPr>
        <w:t>510（k）摘要或510（k）声明</w:t>
      </w:r>
      <w:r>
        <w:rPr>
          <w:rFonts w:eastAsia="宋体"/>
          <w:color w:val="0000FF"/>
          <w:sz w:val="24"/>
          <w:szCs w:val="24"/>
        </w:rPr>
        <w:t>的内容，可在FDA网站上找到进一步的信息</w:t>
      </w:r>
      <w:r>
        <w:rPr>
          <w:rStyle w:val="16"/>
          <w:rFonts w:eastAsia="宋体"/>
          <w:color w:val="000000" w:themeColor="text1"/>
          <w:sz w:val="24"/>
          <w:szCs w:val="24"/>
        </w:rPr>
        <w:t xml:space="preserve"> </w:t>
      </w:r>
      <w:r>
        <w:rPr>
          <w:rStyle w:val="16"/>
          <w:rFonts w:eastAsia="宋体"/>
          <w:color w:val="000000" w:themeColor="text1"/>
          <w:sz w:val="24"/>
          <w:szCs w:val="24"/>
        </w:rPr>
        <w:footnoteReference w:id="12"/>
      </w:r>
    </w:p>
    <w:p w14:paraId="4FD83BA8">
      <w:pPr>
        <w:pStyle w:val="3"/>
        <w:spacing w:before="240" w:after="120"/>
      </w:pPr>
      <w:bookmarkStart w:id="22" w:name="_Toc97492909"/>
      <w:r>
        <w:t>(6)</w:t>
      </w:r>
      <w:r>
        <w:tab/>
      </w:r>
      <w:r>
        <w:rPr>
          <w:rFonts w:hint="eastAsia"/>
        </w:rPr>
        <w:t>真实有效性</w:t>
      </w:r>
      <w:r>
        <w:t>声明</w:t>
      </w:r>
      <w:bookmarkEnd w:id="22"/>
    </w:p>
    <w:p w14:paraId="35758A1A">
      <w:pPr>
        <w:shd w:val="clear" w:color="auto" w:fill="FFFFFF"/>
        <w:snapToGrid w:val="0"/>
        <w:jc w:val="both"/>
        <w:rPr>
          <w:rFonts w:eastAsia="宋体"/>
          <w:sz w:val="24"/>
          <w:szCs w:val="24"/>
        </w:rPr>
      </w:pPr>
      <w:r>
        <w:rPr>
          <w:rFonts w:eastAsia="宋体"/>
          <w:color w:val="000000"/>
          <w:sz w:val="24"/>
          <w:szCs w:val="24"/>
        </w:rPr>
        <w:t>根据21 CFR 807.87（l），所有510（k）必须包括一份声明，证明510（k）中提交的所有信息真实准确，并且没有遗漏任何重要事实。真实有效性声明的建议格式可在</w:t>
      </w:r>
      <w:r>
        <w:rPr>
          <w:rFonts w:eastAsia="宋体"/>
          <w:color w:val="0000FF"/>
          <w:sz w:val="24"/>
          <w:szCs w:val="24"/>
          <w:u w:val="single"/>
        </w:rPr>
        <w:t>上市前通知真实有效性</w:t>
      </w:r>
      <w:r>
        <w:rPr>
          <w:rFonts w:hint="eastAsia" w:eastAsia="宋体"/>
          <w:color w:val="0000FF"/>
          <w:sz w:val="24"/>
          <w:szCs w:val="24"/>
          <w:u w:val="single"/>
        </w:rPr>
        <w:t>声明</w:t>
      </w:r>
      <w:r>
        <w:rPr>
          <w:rFonts w:eastAsia="宋体"/>
          <w:color w:val="000000"/>
          <w:sz w:val="24"/>
          <w:szCs w:val="24"/>
        </w:rPr>
        <w:t>网页在线获取。</w:t>
      </w:r>
      <w:r>
        <w:rPr>
          <w:rStyle w:val="16"/>
          <w:rFonts w:eastAsia="宋体"/>
          <w:color w:val="000000" w:themeColor="text1"/>
          <w:sz w:val="24"/>
          <w:szCs w:val="24"/>
        </w:rPr>
        <w:t xml:space="preserve"> </w:t>
      </w:r>
      <w:r>
        <w:rPr>
          <w:rStyle w:val="16"/>
          <w:rFonts w:eastAsia="宋体"/>
          <w:color w:val="000000" w:themeColor="text1"/>
          <w:sz w:val="24"/>
          <w:szCs w:val="24"/>
        </w:rPr>
        <w:footnoteReference w:id="13"/>
      </w:r>
      <w:r>
        <w:rPr>
          <w:rFonts w:eastAsia="宋体"/>
          <w:color w:val="000000"/>
          <w:sz w:val="24"/>
          <w:szCs w:val="24"/>
        </w:rPr>
        <w:t xml:space="preserve"> 510（k）持有人（而不是为持有人工作的顾问或</w:t>
      </w:r>
      <w:r>
        <w:rPr>
          <w:rFonts w:hint="eastAsia" w:eastAsia="宋体"/>
          <w:color w:val="000000"/>
          <w:sz w:val="24"/>
          <w:szCs w:val="24"/>
        </w:rPr>
        <w:t>联系人</w:t>
      </w:r>
      <w:r>
        <w:rPr>
          <w:rFonts w:eastAsia="宋体"/>
          <w:color w:val="000000"/>
          <w:sz w:val="24"/>
          <w:szCs w:val="24"/>
        </w:rPr>
        <w:t>）应在《</w:t>
      </w:r>
      <w:r>
        <w:rPr>
          <w:rFonts w:hint="eastAsia" w:eastAsia="宋体"/>
          <w:color w:val="000000"/>
          <w:sz w:val="24"/>
          <w:szCs w:val="24"/>
        </w:rPr>
        <w:t>真实有效性</w:t>
      </w:r>
      <w:r>
        <w:rPr>
          <w:rFonts w:eastAsia="宋体"/>
          <w:color w:val="000000"/>
          <w:sz w:val="24"/>
          <w:szCs w:val="24"/>
        </w:rPr>
        <w:t>声明》上签名并注明日期。</w:t>
      </w:r>
    </w:p>
    <w:p w14:paraId="793FDAC3">
      <w:pPr>
        <w:shd w:val="clear" w:color="auto" w:fill="FFFFFF"/>
        <w:tabs>
          <w:tab w:val="left" w:pos="182"/>
        </w:tabs>
        <w:snapToGrid w:val="0"/>
        <w:jc w:val="both"/>
        <w:rPr>
          <w:rFonts w:eastAsia="宋体"/>
          <w:color w:val="000000"/>
          <w:sz w:val="21"/>
          <w:szCs w:val="21"/>
          <w:vertAlign w:val="superscript"/>
        </w:rPr>
      </w:pPr>
    </w:p>
    <w:p w14:paraId="21B86A72">
      <w:pPr>
        <w:shd w:val="clear" w:color="auto" w:fill="FFFFFF"/>
        <w:tabs>
          <w:tab w:val="left" w:pos="182"/>
        </w:tabs>
        <w:snapToGrid w:val="0"/>
        <w:jc w:val="both"/>
        <w:rPr>
          <w:rFonts w:eastAsia="宋体"/>
          <w:sz w:val="21"/>
          <w:szCs w:val="21"/>
        </w:rPr>
      </w:pPr>
    </w:p>
    <w:p w14:paraId="3AD857C7">
      <w:pPr>
        <w:shd w:val="clear" w:color="auto" w:fill="FFFFFF"/>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8AC4842">
      <w:pPr>
        <w:pStyle w:val="3"/>
        <w:spacing w:before="240" w:after="120"/>
      </w:pPr>
      <w:bookmarkStart w:id="23" w:name="_Toc97492910"/>
      <w:r>
        <w:t>(7)</w:t>
      </w:r>
      <w:r>
        <w:tab/>
      </w:r>
      <w:r>
        <w:t>III类器械总结和认证</w:t>
      </w:r>
      <w:bookmarkEnd w:id="23"/>
    </w:p>
    <w:p w14:paraId="245CD316">
      <w:pPr>
        <w:shd w:val="clear" w:color="auto" w:fill="FFFFFF"/>
        <w:snapToGrid w:val="0"/>
        <w:jc w:val="both"/>
        <w:rPr>
          <w:rFonts w:eastAsia="宋体"/>
          <w:sz w:val="24"/>
          <w:szCs w:val="24"/>
        </w:rPr>
      </w:pPr>
      <w:bookmarkStart w:id="24" w:name="bookmark24"/>
      <w:bookmarkEnd w:id="24"/>
      <w:r>
        <w:rPr>
          <w:rFonts w:eastAsia="宋体"/>
          <w:color w:val="000000"/>
          <w:sz w:val="24"/>
          <w:szCs w:val="24"/>
        </w:rPr>
        <w:t>如果您的510（k）是针对我们没有要求使用</w:t>
      </w:r>
      <w:r>
        <w:rPr>
          <w:rFonts w:hint="eastAsia" w:eastAsia="宋体"/>
          <w:color w:val="000000"/>
          <w:sz w:val="24"/>
          <w:szCs w:val="24"/>
        </w:rPr>
        <w:t>P</w:t>
      </w:r>
      <w:r>
        <w:rPr>
          <w:rFonts w:eastAsia="宋体"/>
          <w:color w:val="000000"/>
          <w:sz w:val="24"/>
          <w:szCs w:val="24"/>
        </w:rPr>
        <w:t>MA的III类器械类型，则必须包含符合21 CFR 807.87（k）和807.94的III类器械总结和认证。 III类器械总结是与所比较器械类型相关的安全性和有效性问题类型的总结，是对总结所依据信息的引用。III类认证确保对III类器械和其他类似合法销售器械的所有已知或可用信息</w:t>
      </w:r>
      <w:r>
        <w:rPr>
          <w:rFonts w:hint="eastAsia" w:eastAsia="宋体"/>
          <w:color w:val="000000"/>
          <w:sz w:val="24"/>
          <w:szCs w:val="24"/>
        </w:rPr>
        <w:t>已</w:t>
      </w:r>
      <w:r>
        <w:rPr>
          <w:rFonts w:eastAsia="宋体"/>
          <w:color w:val="000000"/>
          <w:sz w:val="24"/>
          <w:szCs w:val="24"/>
        </w:rPr>
        <w:t>进行了合理搜索。 我们建议您使用此</w:t>
      </w:r>
      <w:r>
        <w:rPr>
          <w:rFonts w:eastAsia="宋体"/>
          <w:color w:val="0000FF"/>
          <w:sz w:val="24"/>
          <w:szCs w:val="24"/>
          <w:u w:val="single"/>
        </w:rPr>
        <w:t>III类器械总结和认证格式</w:t>
      </w:r>
      <w:r>
        <w:rPr>
          <w:rFonts w:eastAsia="宋体"/>
          <w:color w:val="0000FF"/>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14"/>
      </w:r>
    </w:p>
    <w:p w14:paraId="181AB4EF">
      <w:pPr>
        <w:pStyle w:val="3"/>
        <w:spacing w:before="240" w:after="120"/>
      </w:pPr>
      <w:bookmarkStart w:id="25" w:name="_Toc97492911"/>
      <w:r>
        <w:t>(8)</w:t>
      </w:r>
      <w:r>
        <w:tab/>
      </w:r>
      <w:r>
        <w:t>财务证明或披露声明</w:t>
      </w:r>
      <w:bookmarkEnd w:id="25"/>
    </w:p>
    <w:p w14:paraId="539BE24E">
      <w:pPr>
        <w:shd w:val="clear" w:color="auto" w:fill="FFFFFF"/>
        <w:snapToGrid w:val="0"/>
        <w:jc w:val="both"/>
        <w:rPr>
          <w:rFonts w:eastAsia="宋体"/>
          <w:sz w:val="24"/>
          <w:szCs w:val="24"/>
        </w:rPr>
      </w:pPr>
      <w:r>
        <w:rPr>
          <w:rFonts w:eastAsia="宋体"/>
          <w:color w:val="000000"/>
          <w:sz w:val="24"/>
          <w:szCs w:val="24"/>
        </w:rPr>
        <w:t>根据21 CFR 807.87（i），如果您提交了来自临床研究的信息，您必须为参与您研究的每位临床研究者提交财务证明和/或披露声明。以下表格可在我们的网站上获得：</w:t>
      </w:r>
    </w:p>
    <w:p w14:paraId="1E45ADFE">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FF"/>
          <w:sz w:val="24"/>
          <w:szCs w:val="24"/>
          <w:u w:val="single"/>
        </w:rPr>
        <w:t>认证</w:t>
      </w:r>
      <w:r>
        <w:rPr>
          <w:rFonts w:eastAsia="宋体"/>
          <w:color w:val="0000FF"/>
          <w:sz w:val="24"/>
          <w:szCs w:val="24"/>
        </w:rPr>
        <w:t>：</w:t>
      </w:r>
      <w:r>
        <w:rPr>
          <w:rFonts w:eastAsia="宋体"/>
          <w:color w:val="0000FF"/>
          <w:sz w:val="24"/>
          <w:szCs w:val="24"/>
          <w:u w:val="single"/>
        </w:rPr>
        <w:t>临床研究者的财务利益和安排（FDA 3454表格）</w:t>
      </w:r>
      <w:r>
        <w:rPr>
          <w:rFonts w:eastAsia="宋体"/>
          <w:color w:val="0000FF"/>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15"/>
      </w:r>
      <w:r>
        <w:rPr>
          <w:rFonts w:eastAsia="宋体"/>
          <w:color w:val="000000"/>
          <w:sz w:val="24"/>
          <w:szCs w:val="24"/>
        </w:rPr>
        <w:t>及</w:t>
      </w:r>
    </w:p>
    <w:p w14:paraId="7230B313">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FF"/>
          <w:sz w:val="24"/>
          <w:szCs w:val="24"/>
        </w:rPr>
        <w:t>披露：</w:t>
      </w:r>
      <w:r>
        <w:rPr>
          <w:rFonts w:eastAsia="宋体"/>
          <w:color w:val="0000FF"/>
          <w:sz w:val="24"/>
          <w:szCs w:val="24"/>
          <w:u w:val="single"/>
        </w:rPr>
        <w:t>临床研究者的财务利益和安排（FDA 3455表格）</w:t>
      </w:r>
      <w:r>
        <w:rPr>
          <w:rFonts w:eastAsia="宋体"/>
          <w:color w:val="0000FF"/>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16"/>
      </w:r>
    </w:p>
    <w:p w14:paraId="5152DCE2">
      <w:pPr>
        <w:shd w:val="clear" w:color="auto" w:fill="FFFFFF"/>
        <w:snapToGrid w:val="0"/>
        <w:jc w:val="both"/>
        <w:rPr>
          <w:rFonts w:eastAsia="宋体"/>
          <w:color w:val="000000"/>
          <w:sz w:val="24"/>
          <w:szCs w:val="24"/>
        </w:rPr>
      </w:pPr>
      <w:bookmarkStart w:id="26" w:name="bookmark27"/>
    </w:p>
    <w:bookmarkEnd w:id="26"/>
    <w:p w14:paraId="72F0A30A">
      <w:pPr>
        <w:shd w:val="clear" w:color="auto" w:fill="FFFFFF"/>
        <w:snapToGrid w:val="0"/>
        <w:jc w:val="both"/>
        <w:rPr>
          <w:rFonts w:eastAsia="宋体"/>
          <w:sz w:val="24"/>
          <w:szCs w:val="24"/>
        </w:rPr>
      </w:pPr>
      <w:r>
        <w:rPr>
          <w:rFonts w:eastAsia="宋体"/>
          <w:color w:val="000000"/>
          <w:sz w:val="24"/>
          <w:szCs w:val="24"/>
        </w:rPr>
        <w:t>参见21 CFR第54部分和标题为</w:t>
      </w:r>
      <w:r>
        <w:rPr>
          <w:rFonts w:ascii="宋体" w:hAnsi="宋体" w:eastAsia="宋体"/>
          <w:color w:val="000000"/>
          <w:sz w:val="24"/>
          <w:szCs w:val="24"/>
        </w:rPr>
        <w:t>“</w:t>
      </w:r>
      <w:r>
        <w:rPr>
          <w:rFonts w:eastAsia="宋体"/>
          <w:color w:val="0000FF"/>
          <w:sz w:val="24"/>
          <w:szCs w:val="24"/>
          <w:u w:val="single"/>
        </w:rPr>
        <w:t>临床研究者财务披露</w:t>
      </w:r>
      <w:r>
        <w:rPr>
          <w:rFonts w:ascii="宋体" w:hAnsi="宋体" w:eastAsia="宋体"/>
          <w:color w:val="000000"/>
          <w:sz w:val="24"/>
          <w:szCs w:val="24"/>
        </w:rPr>
        <w:t>”</w:t>
      </w:r>
      <w:r>
        <w:rPr>
          <w:rFonts w:eastAsia="宋体"/>
          <w:color w:val="000000"/>
          <w:sz w:val="24"/>
          <w:szCs w:val="24"/>
        </w:rPr>
        <w:t>的指南。</w:t>
      </w:r>
      <w:r>
        <w:rPr>
          <w:rStyle w:val="16"/>
          <w:rFonts w:eastAsia="宋体"/>
          <w:color w:val="000000" w:themeColor="text1"/>
          <w:sz w:val="24"/>
          <w:szCs w:val="24"/>
        </w:rPr>
        <w:t xml:space="preserve"> </w:t>
      </w:r>
      <w:r>
        <w:rPr>
          <w:rStyle w:val="16"/>
          <w:rFonts w:eastAsia="宋体"/>
          <w:color w:val="000000" w:themeColor="text1"/>
          <w:sz w:val="24"/>
          <w:szCs w:val="24"/>
        </w:rPr>
        <w:footnoteReference w:id="17"/>
      </w:r>
    </w:p>
    <w:p w14:paraId="14ABA7C7">
      <w:pPr>
        <w:pStyle w:val="3"/>
        <w:spacing w:before="240" w:after="120"/>
      </w:pPr>
      <w:bookmarkStart w:id="27" w:name="_Toc97492912"/>
      <w:r>
        <w:t>(9)</w:t>
      </w:r>
      <w:r>
        <w:rPr>
          <w:b w:val="0"/>
          <w:bCs w:val="0"/>
        </w:rPr>
        <w:tab/>
      </w:r>
      <w:r>
        <w:t>符合性声明和总结报告</w:t>
      </w:r>
      <w:bookmarkEnd w:id="27"/>
    </w:p>
    <w:p w14:paraId="18503B90">
      <w:pPr>
        <w:shd w:val="clear" w:color="auto" w:fill="FFFFFF"/>
        <w:snapToGrid w:val="0"/>
        <w:jc w:val="both"/>
        <w:rPr>
          <w:rFonts w:eastAsia="宋体"/>
          <w:color w:val="000000"/>
          <w:sz w:val="24"/>
          <w:szCs w:val="24"/>
        </w:rPr>
      </w:pPr>
      <w:r>
        <w:rPr>
          <w:rFonts w:eastAsia="宋体"/>
          <w:color w:val="000000"/>
          <w:sz w:val="24"/>
          <w:szCs w:val="24"/>
        </w:rPr>
        <w:t>如果您的510（k）是一份传统510（k）申报资料，我们建议您使用本节提供与您使用自愿共识标准有关的信息，包括任何符合性声明或此类标准的一般使用依据。</w:t>
      </w:r>
    </w:p>
    <w:p w14:paraId="5909B49D">
      <w:pPr>
        <w:shd w:val="clear" w:color="auto" w:fill="FFFFFF"/>
        <w:snapToGrid w:val="0"/>
        <w:jc w:val="both"/>
        <w:rPr>
          <w:rFonts w:eastAsia="宋体"/>
          <w:sz w:val="24"/>
          <w:szCs w:val="24"/>
        </w:rPr>
      </w:pPr>
    </w:p>
    <w:p w14:paraId="6462D8CE">
      <w:pPr>
        <w:shd w:val="clear" w:color="auto" w:fill="FFFFFF"/>
        <w:snapToGrid w:val="0"/>
        <w:jc w:val="both"/>
        <w:rPr>
          <w:rFonts w:eastAsia="宋体"/>
          <w:sz w:val="24"/>
          <w:szCs w:val="24"/>
        </w:rPr>
      </w:pPr>
      <w:r>
        <w:rPr>
          <w:rFonts w:eastAsia="宋体"/>
          <w:color w:val="000000"/>
          <w:sz w:val="24"/>
          <w:szCs w:val="24"/>
        </w:rPr>
        <w:t>如果您的510（k）是一份简化510（k）申报资料，我们建议您使用本节提供有关标准使用的信息，或提供一份摘要报告，说明器械如何符合与特定器械类型相关的特殊控制或任何相关器械特定指南中建议的特殊控制。如本指南定义部分所述，简化510（k）是510（k）的一种类型，您可以选择依赖共识标准、指南和/或特殊控制。另见标题为</w:t>
      </w:r>
      <w:r>
        <w:rPr>
          <w:rFonts w:ascii="宋体" w:hAnsi="宋体" w:eastAsia="宋体"/>
          <w:color w:val="000000"/>
          <w:sz w:val="24"/>
          <w:szCs w:val="24"/>
        </w:rPr>
        <w:t>“</w:t>
      </w:r>
      <w:r>
        <w:rPr>
          <w:rFonts w:eastAsia="宋体"/>
          <w:color w:val="0000FF"/>
          <w:sz w:val="24"/>
          <w:szCs w:val="24"/>
          <w:u w:val="single"/>
        </w:rPr>
        <w:t>简化510（k）项目</w:t>
      </w:r>
      <w:r>
        <w:rPr>
          <w:rFonts w:ascii="宋体" w:hAnsi="宋体" w:eastAsia="宋体"/>
          <w:color w:val="000000"/>
          <w:sz w:val="24"/>
          <w:szCs w:val="24"/>
        </w:rPr>
        <w:t>”</w:t>
      </w:r>
      <w:r>
        <w:rPr>
          <w:rFonts w:eastAsia="宋体"/>
          <w:color w:val="000000"/>
          <w:sz w:val="24"/>
          <w:szCs w:val="24"/>
        </w:rPr>
        <w:t>指南</w:t>
      </w:r>
      <w:r>
        <w:rPr>
          <w:rStyle w:val="16"/>
          <w:rFonts w:eastAsia="宋体"/>
          <w:color w:val="000000" w:themeColor="text1"/>
          <w:sz w:val="24"/>
          <w:szCs w:val="24"/>
        </w:rPr>
        <w:t xml:space="preserve"> </w:t>
      </w:r>
      <w:r>
        <w:rPr>
          <w:rStyle w:val="16"/>
          <w:rFonts w:eastAsia="宋体"/>
          <w:color w:val="000000" w:themeColor="text1"/>
          <w:sz w:val="24"/>
          <w:szCs w:val="24"/>
        </w:rPr>
        <w:footnoteReference w:id="18"/>
      </w:r>
    </w:p>
    <w:p w14:paraId="3F2434A6">
      <w:pPr>
        <w:shd w:val="clear" w:color="auto" w:fill="FFFFFF"/>
        <w:tabs>
          <w:tab w:val="left" w:pos="187"/>
        </w:tabs>
        <w:snapToGrid w:val="0"/>
        <w:jc w:val="both"/>
        <w:rPr>
          <w:rFonts w:eastAsia="宋体"/>
          <w:color w:val="000000"/>
          <w:sz w:val="24"/>
          <w:szCs w:val="24"/>
          <w:vertAlign w:val="superscript"/>
        </w:rPr>
      </w:pPr>
    </w:p>
    <w:p w14:paraId="6B0487AA">
      <w:pPr>
        <w:shd w:val="clear" w:color="auto" w:fill="FFFFFF"/>
        <w:tabs>
          <w:tab w:val="left" w:pos="187"/>
        </w:tabs>
        <w:snapToGrid w:val="0"/>
        <w:jc w:val="both"/>
        <w:rPr>
          <w:rFonts w:eastAsia="宋体"/>
          <w:sz w:val="21"/>
          <w:szCs w:val="21"/>
        </w:rPr>
      </w:pPr>
    </w:p>
    <w:p w14:paraId="27D569EA">
      <w:pPr>
        <w:shd w:val="clear" w:color="auto" w:fill="FFFFFF"/>
        <w:tabs>
          <w:tab w:val="left" w:pos="187"/>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14CF1E0">
      <w:pPr>
        <w:shd w:val="clear" w:color="auto" w:fill="FFFFFF"/>
        <w:snapToGrid w:val="0"/>
        <w:jc w:val="both"/>
        <w:rPr>
          <w:rFonts w:eastAsia="宋体"/>
          <w:color w:val="000000" w:themeColor="text1"/>
          <w:sz w:val="24"/>
          <w:szCs w:val="24"/>
        </w:rPr>
      </w:pPr>
      <w:r>
        <w:rPr>
          <w:rFonts w:eastAsia="宋体"/>
          <w:color w:val="000000"/>
          <w:sz w:val="24"/>
          <w:szCs w:val="24"/>
        </w:rPr>
        <w:t>有关FDA标准计划的更多信息，包括FDA认可标准的最新列表，可在</w:t>
      </w:r>
      <w:r>
        <w:rPr>
          <w:rFonts w:eastAsia="宋体"/>
          <w:color w:val="0000FF"/>
          <w:sz w:val="24"/>
          <w:szCs w:val="24"/>
          <w:u w:val="single"/>
        </w:rPr>
        <w:t xml:space="preserve"> </w:t>
      </w:r>
      <w:r>
        <w:rPr>
          <w:rFonts w:eastAsia="宋体"/>
          <w:color w:val="0000FF"/>
          <w:sz w:val="24"/>
          <w:szCs w:val="24"/>
        </w:rPr>
        <w:t>标准和合格评定计划研究中心</w:t>
      </w:r>
      <w:r>
        <w:rPr>
          <w:rStyle w:val="16"/>
          <w:rFonts w:eastAsia="宋体"/>
          <w:color w:val="000000" w:themeColor="text1"/>
          <w:sz w:val="24"/>
          <w:szCs w:val="24"/>
        </w:rPr>
        <w:footnoteReference w:id="19"/>
      </w:r>
      <w:r>
        <w:rPr>
          <w:rFonts w:eastAsia="宋体"/>
          <w:color w:val="000000"/>
          <w:sz w:val="24"/>
          <w:szCs w:val="24"/>
        </w:rPr>
        <w:t>以及标题为</w:t>
      </w:r>
      <w:r>
        <w:rPr>
          <w:rFonts w:ascii="宋体" w:hAnsi="宋体" w:eastAsia="宋体"/>
          <w:color w:val="000000"/>
          <w:sz w:val="24"/>
          <w:szCs w:val="24"/>
        </w:rPr>
        <w:t>“</w:t>
      </w:r>
      <w:r>
        <w:rPr>
          <w:rFonts w:eastAsia="宋体"/>
          <w:color w:val="0000FF"/>
          <w:sz w:val="24"/>
          <w:szCs w:val="24"/>
        </w:rPr>
        <w:t>在医疗器械上市前申请中适当使用自愿共识标准</w:t>
      </w:r>
      <w:r>
        <w:rPr>
          <w:rFonts w:ascii="宋体" w:hAnsi="宋体" w:eastAsia="宋体"/>
          <w:color w:val="0000FF"/>
          <w:sz w:val="24"/>
          <w:szCs w:val="24"/>
        </w:rPr>
        <w:t>”</w:t>
      </w:r>
      <w:r>
        <w:rPr>
          <w:rFonts w:eastAsia="宋体"/>
          <w:color w:val="0000FF"/>
          <w:sz w:val="24"/>
          <w:szCs w:val="24"/>
        </w:rPr>
        <w:t>的指南中获得。</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0"/>
      </w:r>
    </w:p>
    <w:p w14:paraId="3FE7FD3C">
      <w:pPr>
        <w:shd w:val="clear" w:color="auto" w:fill="FFFFFF"/>
        <w:snapToGrid w:val="0"/>
        <w:jc w:val="both"/>
        <w:rPr>
          <w:rFonts w:eastAsia="宋体"/>
          <w:sz w:val="24"/>
          <w:szCs w:val="24"/>
        </w:rPr>
      </w:pPr>
    </w:p>
    <w:p w14:paraId="41EABEFD">
      <w:pPr>
        <w:shd w:val="clear" w:color="auto" w:fill="FFFFFF"/>
        <w:snapToGrid w:val="0"/>
        <w:jc w:val="both"/>
        <w:rPr>
          <w:rFonts w:eastAsia="宋体"/>
          <w:sz w:val="24"/>
          <w:szCs w:val="24"/>
        </w:rPr>
      </w:pPr>
      <w:r>
        <w:rPr>
          <w:rFonts w:eastAsia="宋体"/>
          <w:color w:val="000000"/>
          <w:sz w:val="24"/>
          <w:szCs w:val="24"/>
        </w:rPr>
        <w:t>如果您选择依赖FDA认可的标准或指南进行器械设计或测试的任何部分，您应包括：</w:t>
      </w:r>
    </w:p>
    <w:p w14:paraId="65ADC1BB">
      <w:pPr>
        <w:shd w:val="clear" w:color="auto" w:fill="FFFFFF"/>
        <w:tabs>
          <w:tab w:val="left" w:pos="1080"/>
        </w:tabs>
        <w:autoSpaceDE/>
        <w:autoSpaceDN/>
        <w:snapToGrid w:val="0"/>
        <w:ind w:left="1185" w:leftChars="157" w:hanging="871" w:hangingChars="363"/>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符合任何相关器械特定指南中建议的标准或总结报告</w:t>
      </w:r>
      <w:r>
        <w:rPr>
          <w:rStyle w:val="16"/>
          <w:rFonts w:eastAsia="宋体"/>
          <w:color w:val="000000" w:themeColor="text1"/>
          <w:sz w:val="24"/>
          <w:szCs w:val="24"/>
        </w:rPr>
        <w:footnoteReference w:id="21"/>
      </w:r>
      <w:r>
        <w:rPr>
          <w:rFonts w:eastAsia="宋体"/>
          <w:color w:val="000000"/>
          <w:sz w:val="24"/>
          <w:szCs w:val="24"/>
        </w:rPr>
        <w:t xml:space="preserve"> 的声明；或</w:t>
      </w:r>
    </w:p>
    <w:p w14:paraId="55EE0A42">
      <w:pPr>
        <w:shd w:val="clear" w:color="auto" w:fill="FFFFFF"/>
        <w:tabs>
          <w:tab w:val="left" w:pos="1080"/>
        </w:tabs>
        <w:autoSpaceDE/>
        <w:autoSpaceDN/>
        <w:snapToGrid w:val="0"/>
        <w:ind w:left="1185" w:leftChars="157" w:hanging="871" w:hangingChars="363"/>
        <w:jc w:val="both"/>
        <w:rPr>
          <w:rFonts w:eastAsia="宋体"/>
          <w:sz w:val="24"/>
          <w:szCs w:val="24"/>
        </w:rPr>
      </w:pPr>
      <w:r>
        <w:rPr>
          <w:rFonts w:eastAsia="宋体"/>
          <w:color w:val="000000"/>
          <w:sz w:val="24"/>
          <w:szCs w:val="24"/>
        </w:rPr>
        <w:t xml:space="preserve">• </w:t>
      </w:r>
      <w:r>
        <w:rPr>
          <w:rFonts w:eastAsia="宋体"/>
          <w:color w:val="000000"/>
          <w:sz w:val="24"/>
          <w:szCs w:val="24"/>
        </w:rPr>
        <w:tab/>
      </w:r>
      <w:r>
        <w:rPr>
          <w:rFonts w:eastAsia="宋体"/>
          <w:color w:val="000000"/>
          <w:sz w:val="24"/>
          <w:szCs w:val="24"/>
        </w:rPr>
        <w:t>标准的一般使用依据以及支持标准使用方式的基本信息或数据。</w:t>
      </w:r>
    </w:p>
    <w:p w14:paraId="280C7253">
      <w:pPr>
        <w:shd w:val="clear" w:color="auto" w:fill="FFFFFF"/>
        <w:snapToGrid w:val="0"/>
        <w:jc w:val="both"/>
        <w:rPr>
          <w:rFonts w:eastAsia="宋体"/>
          <w:color w:val="000000"/>
          <w:sz w:val="24"/>
          <w:szCs w:val="24"/>
        </w:rPr>
      </w:pPr>
      <w:bookmarkStart w:id="28" w:name="bookmark31"/>
    </w:p>
    <w:bookmarkEnd w:id="28"/>
    <w:p w14:paraId="008AA6A9">
      <w:pPr>
        <w:shd w:val="clear" w:color="auto" w:fill="FFFFFF"/>
        <w:snapToGrid w:val="0"/>
        <w:jc w:val="both"/>
        <w:rPr>
          <w:rFonts w:eastAsia="宋体"/>
          <w:sz w:val="24"/>
          <w:szCs w:val="24"/>
        </w:rPr>
      </w:pPr>
      <w:r>
        <w:rPr>
          <w:rFonts w:eastAsia="宋体"/>
          <w:color w:val="000000"/>
          <w:sz w:val="24"/>
          <w:szCs w:val="24"/>
        </w:rPr>
        <w:t>如果您针对器械设计或测试的任何部分选择依赖FDA未认可共识标准，您应包括标准的一般使用依据以及支持标准使用方式的基本信息或数据。有关符合性声明的使用和标准的一般使用的更多信息，请参见FDA指南</w:t>
      </w:r>
      <w:r>
        <w:rPr>
          <w:rFonts w:ascii="宋体" w:hAnsi="宋体" w:eastAsia="宋体"/>
          <w:color w:val="000000"/>
          <w:sz w:val="24"/>
          <w:szCs w:val="24"/>
        </w:rPr>
        <w:t>“</w:t>
      </w:r>
      <w:r>
        <w:rPr>
          <w:rFonts w:eastAsia="宋体"/>
          <w:color w:val="0000FF"/>
          <w:sz w:val="24"/>
          <w:szCs w:val="24"/>
          <w:u w:val="single"/>
        </w:rPr>
        <w:t>在医疗器械上市前申请的材料中适当使用自愿共识标准</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2"/>
      </w:r>
    </w:p>
    <w:p w14:paraId="62283FF7">
      <w:pPr>
        <w:pStyle w:val="3"/>
        <w:spacing w:before="240" w:after="120"/>
      </w:pPr>
      <w:bookmarkStart w:id="29" w:name="_Toc97492913"/>
      <w:r>
        <w:t>(10)</w:t>
      </w:r>
      <w:r>
        <w:tab/>
      </w:r>
      <w:r>
        <w:t>器械描述</w:t>
      </w:r>
      <w:bookmarkEnd w:id="29"/>
    </w:p>
    <w:p w14:paraId="3D2AC4C4">
      <w:pPr>
        <w:shd w:val="clear" w:color="auto" w:fill="FFFFFF"/>
        <w:snapToGrid w:val="0"/>
        <w:jc w:val="both"/>
        <w:rPr>
          <w:rFonts w:eastAsia="宋体"/>
          <w:color w:val="000000"/>
          <w:sz w:val="24"/>
          <w:szCs w:val="24"/>
        </w:rPr>
      </w:pPr>
      <w:r>
        <w:rPr>
          <w:rFonts w:eastAsia="宋体"/>
          <w:color w:val="000000"/>
          <w:sz w:val="24"/>
          <w:szCs w:val="24"/>
        </w:rPr>
        <w:t>我们建议您描述性能规范，并在本节中简要说明器械设计要求。我们还建议您确定申报资料中包含的所有型号以及所有附件。</w:t>
      </w:r>
    </w:p>
    <w:p w14:paraId="2CCB76EF">
      <w:pPr>
        <w:shd w:val="clear" w:color="auto" w:fill="FFFFFF"/>
        <w:snapToGrid w:val="0"/>
        <w:jc w:val="both"/>
        <w:rPr>
          <w:rFonts w:eastAsia="宋体"/>
          <w:sz w:val="24"/>
          <w:szCs w:val="24"/>
        </w:rPr>
      </w:pPr>
    </w:p>
    <w:p w14:paraId="149E7F9A">
      <w:pPr>
        <w:shd w:val="clear" w:color="auto" w:fill="FFFFFF"/>
        <w:snapToGrid w:val="0"/>
        <w:jc w:val="both"/>
        <w:rPr>
          <w:rFonts w:eastAsia="宋体"/>
          <w:sz w:val="24"/>
          <w:szCs w:val="24"/>
        </w:rPr>
      </w:pPr>
      <w:bookmarkStart w:id="30" w:name="bookmark32"/>
      <w:bookmarkEnd w:id="30"/>
      <w:r>
        <w:rPr>
          <w:rFonts w:eastAsia="宋体"/>
          <w:color w:val="000000"/>
          <w:sz w:val="24"/>
          <w:szCs w:val="24"/>
        </w:rPr>
        <w:t>如果图表、尺寸、公差和/或示意图有助于全面描述和表征器械，我们建议您将其包括在510（k）申报资料中的每个器械和附件中。 我们还建议您提供所有与组织接触的成分及其各自材料的列表。</w:t>
      </w:r>
    </w:p>
    <w:p w14:paraId="1F91E315">
      <w:pPr>
        <w:pStyle w:val="3"/>
        <w:spacing w:before="240" w:after="120"/>
        <w:ind w:left="2228" w:hanging="810"/>
        <w:rPr>
          <w:sz w:val="24"/>
          <w:szCs w:val="24"/>
        </w:rPr>
      </w:pPr>
      <w:bookmarkStart w:id="31" w:name="_Toc97492914"/>
      <w:r>
        <w:rPr>
          <w:sz w:val="24"/>
          <w:szCs w:val="24"/>
        </w:rPr>
        <w:t>(11)</w:t>
      </w:r>
      <w:r>
        <w:rPr>
          <w:sz w:val="24"/>
          <w:szCs w:val="24"/>
        </w:rPr>
        <w:tab/>
      </w:r>
      <w:r>
        <w:rPr>
          <w:sz w:val="24"/>
          <w:szCs w:val="24"/>
        </w:rPr>
        <w:t>执行摘要/实质等同比较</w:t>
      </w:r>
      <w:bookmarkEnd w:id="31"/>
    </w:p>
    <w:p w14:paraId="3AC14F95">
      <w:pPr>
        <w:shd w:val="clear" w:color="auto" w:fill="FFFFFF"/>
        <w:snapToGrid w:val="0"/>
        <w:jc w:val="both"/>
        <w:rPr>
          <w:rFonts w:eastAsia="宋体"/>
          <w:sz w:val="24"/>
          <w:szCs w:val="24"/>
        </w:rPr>
      </w:pPr>
      <w:r>
        <w:rPr>
          <w:rFonts w:eastAsia="宋体"/>
          <w:color w:val="000000"/>
          <w:sz w:val="24"/>
          <w:szCs w:val="24"/>
        </w:rPr>
        <w:t>在510（k）的本节中，我们建议您提供510（k）的执行摘要，其中应包括：</w:t>
      </w:r>
    </w:p>
    <w:p w14:paraId="2516CE63">
      <w:pPr>
        <w:shd w:val="clear" w:color="auto" w:fill="FFFFFF"/>
        <w:tabs>
          <w:tab w:val="left" w:pos="1080"/>
        </w:tabs>
        <w:autoSpaceDE/>
        <w:autoSpaceDN/>
        <w:snapToGrid w:val="0"/>
        <w:ind w:left="1185" w:leftChars="157" w:hanging="871" w:hangingChars="363"/>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器械的简要说明，包括使用说明和技术说明；</w:t>
      </w:r>
    </w:p>
    <w:p w14:paraId="76F87BD6">
      <w:pPr>
        <w:shd w:val="clear" w:color="auto" w:fill="FFFFFF"/>
        <w:tabs>
          <w:tab w:val="left" w:pos="1080"/>
        </w:tabs>
        <w:autoSpaceDE/>
        <w:autoSpaceDN/>
        <w:snapToGrid w:val="0"/>
        <w:ind w:left="1185" w:leftChars="157" w:hanging="871" w:hangingChars="363"/>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器械对比表；和</w:t>
      </w:r>
    </w:p>
    <w:p w14:paraId="35B3B2B6">
      <w:pPr>
        <w:shd w:val="clear" w:color="auto" w:fill="FFFFFF"/>
        <w:tabs>
          <w:tab w:val="left" w:pos="187"/>
        </w:tabs>
        <w:snapToGrid w:val="0"/>
        <w:jc w:val="both"/>
        <w:rPr>
          <w:rFonts w:eastAsia="宋体"/>
          <w:color w:val="000000"/>
          <w:sz w:val="24"/>
          <w:szCs w:val="24"/>
          <w:vertAlign w:val="superscript"/>
        </w:rPr>
      </w:pPr>
    </w:p>
    <w:p w14:paraId="49DBAE3C">
      <w:pPr>
        <w:shd w:val="clear" w:color="auto" w:fill="FFFFFF"/>
        <w:tabs>
          <w:tab w:val="left" w:pos="187"/>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BB7FD88">
      <w:pPr>
        <w:shd w:val="clear" w:color="auto" w:fill="FFFFFF"/>
        <w:tabs>
          <w:tab w:val="left" w:pos="1090"/>
        </w:tabs>
        <w:autoSpaceDE/>
        <w:autoSpaceDN/>
        <w:snapToGrid w:val="0"/>
        <w:ind w:left="1185" w:leftChars="157" w:hanging="871" w:hangingChars="363"/>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申报资料中任何性能测试的简明摘要。</w:t>
      </w:r>
    </w:p>
    <w:p w14:paraId="2C85F3B1">
      <w:pPr>
        <w:shd w:val="clear" w:color="auto" w:fill="FFFFFF"/>
        <w:snapToGrid w:val="0"/>
        <w:jc w:val="both"/>
        <w:rPr>
          <w:rFonts w:eastAsia="宋体"/>
          <w:color w:val="000000"/>
          <w:sz w:val="24"/>
          <w:szCs w:val="24"/>
        </w:rPr>
      </w:pPr>
    </w:p>
    <w:p w14:paraId="29E2AA5D">
      <w:pPr>
        <w:shd w:val="clear" w:color="auto" w:fill="FFFFFF"/>
        <w:snapToGrid w:val="0"/>
        <w:jc w:val="both"/>
        <w:rPr>
          <w:rFonts w:eastAsia="宋体"/>
          <w:color w:val="000000"/>
          <w:sz w:val="24"/>
          <w:szCs w:val="24"/>
        </w:rPr>
      </w:pPr>
      <w:r>
        <w:rPr>
          <w:rFonts w:eastAsia="宋体"/>
          <w:color w:val="000000"/>
          <w:sz w:val="24"/>
          <w:szCs w:val="24"/>
        </w:rPr>
        <w:t>描述虽然可以简洁，但应足以确保对器械的全面了解。器械比较表应概述器械和实质等同器械之间的差异和相似性。表1是实质等同比较表的一个示例。表1仅供说明之用，并不代表FDA确定实质等同性所必须的信息。我们建议您也讨论一下这种比较如何支持实质等同性。每个性能测试部分（即第（18）、（19）和（20）节）的总结应足以提供对所执行测试类型、所用方法和结果结论的广泛理解。</w:t>
      </w:r>
    </w:p>
    <w:p w14:paraId="77AE7C30">
      <w:pPr>
        <w:shd w:val="clear" w:color="auto" w:fill="FFFFFF"/>
        <w:snapToGrid w:val="0"/>
        <w:jc w:val="both"/>
        <w:rPr>
          <w:rFonts w:eastAsia="宋体"/>
          <w:sz w:val="21"/>
          <w:szCs w:val="21"/>
        </w:rPr>
      </w:pPr>
    </w:p>
    <w:p w14:paraId="7BDF256F">
      <w:pPr>
        <w:shd w:val="clear" w:color="auto" w:fill="FFFFFF"/>
        <w:snapToGrid w:val="0"/>
        <w:jc w:val="both"/>
        <w:rPr>
          <w:rFonts w:eastAsia="宋体"/>
          <w:sz w:val="21"/>
          <w:szCs w:val="21"/>
        </w:rPr>
      </w:pPr>
      <w:bookmarkStart w:id="32" w:name="bookmark36"/>
      <w:bookmarkEnd w:id="32"/>
      <w:r>
        <w:rPr>
          <w:rFonts w:eastAsia="宋体"/>
          <w:b/>
          <w:bCs/>
          <w:color w:val="000000"/>
          <w:sz w:val="21"/>
          <w:szCs w:val="21"/>
        </w:rPr>
        <w:t>表1：实质等同比较示例表概述了申报器械和实质等同器械之间的差异和相似性</w:t>
      </w:r>
    </w:p>
    <w:p w14:paraId="3AAC1806">
      <w:pPr>
        <w:snapToGrid w:val="0"/>
        <w:jc w:val="both"/>
        <w:rPr>
          <w:rFonts w:eastAsia="宋体"/>
          <w:sz w:val="21"/>
          <w:szCs w:val="21"/>
        </w:rPr>
      </w:pPr>
    </w:p>
    <w:tbl>
      <w:tblPr>
        <w:tblStyle w:val="12"/>
        <w:tblW w:w="0" w:type="auto"/>
        <w:tblInd w:w="40" w:type="dxa"/>
        <w:tblLayout w:type="fixed"/>
        <w:tblCellMar>
          <w:top w:w="0" w:type="dxa"/>
          <w:left w:w="40" w:type="dxa"/>
          <w:bottom w:w="0" w:type="dxa"/>
          <w:right w:w="40" w:type="dxa"/>
        </w:tblCellMar>
      </w:tblPr>
      <w:tblGrid>
        <w:gridCol w:w="2923"/>
        <w:gridCol w:w="2746"/>
        <w:gridCol w:w="3226"/>
      </w:tblGrid>
      <w:tr w14:paraId="30101B13">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226C07">
            <w:pPr>
              <w:shd w:val="clear" w:color="auto" w:fill="FFFFFF"/>
              <w:snapToGrid w:val="0"/>
              <w:rPr>
                <w:rFonts w:eastAsia="宋体"/>
                <w:sz w:val="21"/>
                <w:szCs w:val="21"/>
              </w:rPr>
            </w:pPr>
            <w:r>
              <w:rPr>
                <w:rFonts w:eastAsia="宋体"/>
                <w:b/>
                <w:bCs/>
                <w:color w:val="000000"/>
                <w:sz w:val="21"/>
                <w:szCs w:val="21"/>
              </w:rPr>
              <w:t>描述</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973E2D">
            <w:pPr>
              <w:shd w:val="clear" w:color="auto" w:fill="FFFFFF"/>
              <w:snapToGrid w:val="0"/>
              <w:rPr>
                <w:rFonts w:eastAsia="宋体"/>
                <w:sz w:val="21"/>
                <w:szCs w:val="21"/>
              </w:rPr>
            </w:pPr>
            <w:r>
              <w:rPr>
                <w:rFonts w:eastAsia="宋体"/>
                <w:b/>
                <w:bCs/>
                <w:color w:val="000000"/>
                <w:sz w:val="21"/>
                <w:szCs w:val="21"/>
              </w:rPr>
              <w:t>申报器械</w:t>
            </w: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394B72">
            <w:pPr>
              <w:shd w:val="clear" w:color="auto" w:fill="FFFFFF"/>
              <w:snapToGrid w:val="0"/>
              <w:rPr>
                <w:rFonts w:eastAsia="宋体"/>
                <w:sz w:val="21"/>
                <w:szCs w:val="21"/>
              </w:rPr>
            </w:pPr>
            <w:r>
              <w:rPr>
                <w:rFonts w:eastAsia="宋体"/>
                <w:b/>
                <w:bCs/>
                <w:color w:val="000000"/>
                <w:sz w:val="21"/>
                <w:szCs w:val="21"/>
              </w:rPr>
              <w:t>实质等同器械（Kxxxxxx）</w:t>
            </w:r>
          </w:p>
        </w:tc>
      </w:tr>
      <w:tr w14:paraId="3FF1BA2C">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EB6664">
            <w:pPr>
              <w:shd w:val="clear" w:color="auto" w:fill="FFFFFF"/>
              <w:snapToGrid w:val="0"/>
              <w:rPr>
                <w:rFonts w:eastAsia="宋体"/>
                <w:sz w:val="21"/>
                <w:szCs w:val="21"/>
              </w:rPr>
            </w:pPr>
            <w:r>
              <w:rPr>
                <w:rFonts w:eastAsia="宋体"/>
                <w:color w:val="000000"/>
                <w:sz w:val="21"/>
                <w:szCs w:val="21"/>
              </w:rPr>
              <w:t>使用适应证</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C3F6E7">
            <w:pPr>
              <w:shd w:val="clear" w:color="auto" w:fill="FFFFFF"/>
              <w:snapToGrid w:val="0"/>
              <w:rPr>
                <w:rFonts w:eastAsia="宋体"/>
                <w:sz w:val="21"/>
                <w:szCs w:val="21"/>
              </w:rPr>
            </w:pP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E3B709">
            <w:pPr>
              <w:shd w:val="clear" w:color="auto" w:fill="FFFFFF"/>
              <w:snapToGrid w:val="0"/>
              <w:rPr>
                <w:rFonts w:eastAsia="宋体"/>
                <w:sz w:val="21"/>
                <w:szCs w:val="21"/>
              </w:rPr>
            </w:pPr>
          </w:p>
        </w:tc>
      </w:tr>
      <w:tr w14:paraId="2E5829F8">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800506">
            <w:pPr>
              <w:shd w:val="clear" w:color="auto" w:fill="FFFFFF"/>
              <w:snapToGrid w:val="0"/>
              <w:rPr>
                <w:rFonts w:eastAsia="宋体"/>
                <w:sz w:val="21"/>
                <w:szCs w:val="21"/>
              </w:rPr>
            </w:pPr>
            <w:r>
              <w:rPr>
                <w:rFonts w:eastAsia="宋体"/>
                <w:color w:val="000000"/>
                <w:sz w:val="21"/>
                <w:szCs w:val="21"/>
              </w:rPr>
              <w:t>处方/非处方使用</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4D8541">
            <w:pPr>
              <w:shd w:val="clear" w:color="auto" w:fill="FFFFFF"/>
              <w:snapToGrid w:val="0"/>
              <w:rPr>
                <w:rFonts w:eastAsia="宋体"/>
                <w:sz w:val="21"/>
                <w:szCs w:val="21"/>
              </w:rPr>
            </w:pP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FDF2CB">
            <w:pPr>
              <w:shd w:val="clear" w:color="auto" w:fill="FFFFFF"/>
              <w:snapToGrid w:val="0"/>
              <w:rPr>
                <w:rFonts w:eastAsia="宋体"/>
                <w:sz w:val="21"/>
                <w:szCs w:val="21"/>
              </w:rPr>
            </w:pPr>
          </w:p>
        </w:tc>
      </w:tr>
      <w:tr w14:paraId="4E19698F">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4EC8DE">
            <w:pPr>
              <w:shd w:val="clear" w:color="auto" w:fill="FFFFFF"/>
              <w:snapToGrid w:val="0"/>
              <w:rPr>
                <w:rFonts w:eastAsia="宋体"/>
                <w:sz w:val="21"/>
                <w:szCs w:val="21"/>
              </w:rPr>
            </w:pPr>
            <w:r>
              <w:rPr>
                <w:rFonts w:eastAsia="宋体"/>
                <w:color w:val="000000"/>
                <w:sz w:val="21"/>
                <w:szCs w:val="21"/>
              </w:rPr>
              <w:t>尺寸</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7CA1D8">
            <w:pPr>
              <w:shd w:val="clear" w:color="auto" w:fill="FFFFFF"/>
              <w:snapToGrid w:val="0"/>
              <w:rPr>
                <w:rFonts w:eastAsia="宋体"/>
                <w:sz w:val="21"/>
                <w:szCs w:val="21"/>
              </w:rPr>
            </w:pP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59DA52">
            <w:pPr>
              <w:shd w:val="clear" w:color="auto" w:fill="FFFFFF"/>
              <w:snapToGrid w:val="0"/>
              <w:rPr>
                <w:rFonts w:eastAsia="宋体"/>
                <w:sz w:val="21"/>
                <w:szCs w:val="21"/>
              </w:rPr>
            </w:pPr>
          </w:p>
        </w:tc>
      </w:tr>
      <w:tr w14:paraId="17831693">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F370D6">
            <w:pPr>
              <w:shd w:val="clear" w:color="auto" w:fill="FFFFFF"/>
              <w:snapToGrid w:val="0"/>
              <w:rPr>
                <w:rFonts w:eastAsia="宋体"/>
                <w:sz w:val="21"/>
                <w:szCs w:val="21"/>
              </w:rPr>
            </w:pPr>
            <w:r>
              <w:rPr>
                <w:rFonts w:eastAsia="宋体"/>
                <w:color w:val="000000"/>
                <w:sz w:val="21"/>
                <w:szCs w:val="21"/>
              </w:rPr>
              <w:t>电池或电源供电</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3C8C11">
            <w:pPr>
              <w:shd w:val="clear" w:color="auto" w:fill="FFFFFF"/>
              <w:snapToGrid w:val="0"/>
              <w:rPr>
                <w:rFonts w:eastAsia="宋体"/>
                <w:sz w:val="21"/>
                <w:szCs w:val="21"/>
              </w:rPr>
            </w:pP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D66F93">
            <w:pPr>
              <w:shd w:val="clear" w:color="auto" w:fill="FFFFFF"/>
              <w:snapToGrid w:val="0"/>
              <w:rPr>
                <w:rFonts w:eastAsia="宋体"/>
                <w:sz w:val="21"/>
                <w:szCs w:val="21"/>
              </w:rPr>
            </w:pPr>
          </w:p>
        </w:tc>
      </w:tr>
      <w:tr w14:paraId="5269C131">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05B369">
            <w:pPr>
              <w:shd w:val="clear" w:color="auto" w:fill="FFFFFF"/>
              <w:snapToGrid w:val="0"/>
              <w:rPr>
                <w:rFonts w:eastAsia="宋体"/>
                <w:sz w:val="21"/>
                <w:szCs w:val="21"/>
              </w:rPr>
            </w:pPr>
            <w:r>
              <w:rPr>
                <w:rFonts w:eastAsia="宋体"/>
                <w:color w:val="000000"/>
                <w:sz w:val="21"/>
                <w:szCs w:val="21"/>
              </w:rPr>
              <w:t>[</w:t>
            </w:r>
            <w:r>
              <w:rPr>
                <w:rFonts w:eastAsia="宋体"/>
                <w:i/>
                <w:iCs/>
                <w:color w:val="000000"/>
                <w:sz w:val="21"/>
                <w:szCs w:val="21"/>
              </w:rPr>
              <w:t>比较x</w:t>
            </w:r>
            <w:r>
              <w:rPr>
                <w:rFonts w:eastAsia="宋体"/>
                <w:color w:val="000000"/>
                <w:sz w:val="21"/>
                <w:szCs w:val="21"/>
              </w:rPr>
              <w:t>]</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C08ADA">
            <w:pPr>
              <w:shd w:val="clear" w:color="auto" w:fill="FFFFFF"/>
              <w:snapToGrid w:val="0"/>
              <w:rPr>
                <w:rFonts w:eastAsia="宋体"/>
                <w:sz w:val="21"/>
                <w:szCs w:val="21"/>
              </w:rPr>
            </w:pP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9BA084">
            <w:pPr>
              <w:shd w:val="clear" w:color="auto" w:fill="FFFFFF"/>
              <w:snapToGrid w:val="0"/>
              <w:rPr>
                <w:rFonts w:eastAsia="宋体"/>
                <w:sz w:val="21"/>
                <w:szCs w:val="21"/>
              </w:rPr>
            </w:pPr>
          </w:p>
        </w:tc>
      </w:tr>
      <w:tr w14:paraId="677D7779">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255B74">
            <w:pPr>
              <w:shd w:val="clear" w:color="auto" w:fill="FFFFFF"/>
              <w:snapToGrid w:val="0"/>
              <w:rPr>
                <w:rFonts w:eastAsia="宋体"/>
                <w:sz w:val="21"/>
                <w:szCs w:val="21"/>
              </w:rPr>
            </w:pPr>
            <w:r>
              <w:rPr>
                <w:rFonts w:eastAsia="宋体"/>
                <w:color w:val="000000"/>
                <w:sz w:val="21"/>
                <w:szCs w:val="21"/>
              </w:rPr>
              <w:t>[</w:t>
            </w:r>
            <w:r>
              <w:rPr>
                <w:rFonts w:eastAsia="宋体"/>
                <w:i/>
                <w:iCs/>
                <w:color w:val="000000"/>
                <w:sz w:val="21"/>
                <w:szCs w:val="21"/>
              </w:rPr>
              <w:t>比较y</w:t>
            </w:r>
            <w:r>
              <w:rPr>
                <w:rFonts w:eastAsia="宋体"/>
                <w:color w:val="000000"/>
                <w:sz w:val="21"/>
                <w:szCs w:val="21"/>
              </w:rPr>
              <w:t>]</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324523">
            <w:pPr>
              <w:shd w:val="clear" w:color="auto" w:fill="FFFFFF"/>
              <w:snapToGrid w:val="0"/>
              <w:rPr>
                <w:rFonts w:eastAsia="宋体"/>
                <w:sz w:val="21"/>
                <w:szCs w:val="21"/>
              </w:rPr>
            </w:pP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931AF2">
            <w:pPr>
              <w:shd w:val="clear" w:color="auto" w:fill="FFFFFF"/>
              <w:snapToGrid w:val="0"/>
              <w:rPr>
                <w:rFonts w:eastAsia="宋体"/>
                <w:sz w:val="21"/>
                <w:szCs w:val="21"/>
              </w:rPr>
            </w:pPr>
          </w:p>
        </w:tc>
      </w:tr>
      <w:tr w14:paraId="2FBCBEB6">
        <w:tblPrEx>
          <w:tblCellMar>
            <w:top w:w="0" w:type="dxa"/>
            <w:left w:w="40" w:type="dxa"/>
            <w:bottom w:w="0" w:type="dxa"/>
            <w:right w:w="40" w:type="dxa"/>
          </w:tblCellMar>
        </w:tblPrEx>
        <w:tc>
          <w:tcPr>
            <w:tcW w:w="29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5D5AB0">
            <w:pPr>
              <w:shd w:val="clear" w:color="auto" w:fill="FFFFFF"/>
              <w:snapToGrid w:val="0"/>
              <w:rPr>
                <w:rFonts w:eastAsia="宋体"/>
                <w:sz w:val="21"/>
                <w:szCs w:val="21"/>
              </w:rPr>
            </w:pPr>
            <w:bookmarkStart w:id="33" w:name="bookmark37"/>
            <w:r>
              <w:rPr>
                <w:rFonts w:eastAsia="宋体"/>
                <w:color w:val="000000"/>
                <w:sz w:val="21"/>
                <w:szCs w:val="21"/>
              </w:rPr>
              <w:t>[</w:t>
            </w:r>
            <w:bookmarkEnd w:id="33"/>
            <w:r>
              <w:rPr>
                <w:rFonts w:eastAsia="宋体"/>
                <w:i/>
                <w:iCs/>
                <w:color w:val="000000"/>
                <w:sz w:val="21"/>
                <w:szCs w:val="21"/>
              </w:rPr>
              <w:t>比较z</w:t>
            </w:r>
            <w:r>
              <w:rPr>
                <w:rFonts w:eastAsia="宋体"/>
                <w:color w:val="000000"/>
                <w:sz w:val="21"/>
                <w:szCs w:val="21"/>
              </w:rPr>
              <w:t>]</w:t>
            </w:r>
          </w:p>
        </w:tc>
        <w:tc>
          <w:tcPr>
            <w:tcW w:w="27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6CE3D6">
            <w:pPr>
              <w:shd w:val="clear" w:color="auto" w:fill="FFFFFF"/>
              <w:snapToGrid w:val="0"/>
              <w:rPr>
                <w:rFonts w:eastAsia="宋体"/>
                <w:sz w:val="21"/>
                <w:szCs w:val="21"/>
              </w:rPr>
            </w:pPr>
          </w:p>
        </w:tc>
        <w:tc>
          <w:tcPr>
            <w:tcW w:w="32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6D50AC">
            <w:pPr>
              <w:shd w:val="clear" w:color="auto" w:fill="FFFFFF"/>
              <w:snapToGrid w:val="0"/>
              <w:rPr>
                <w:rFonts w:eastAsia="宋体"/>
                <w:sz w:val="21"/>
                <w:szCs w:val="21"/>
              </w:rPr>
            </w:pPr>
          </w:p>
        </w:tc>
      </w:tr>
    </w:tbl>
    <w:p w14:paraId="76ED18FE">
      <w:pPr>
        <w:pStyle w:val="3"/>
        <w:spacing w:before="240" w:after="120"/>
      </w:pPr>
      <w:bookmarkStart w:id="34" w:name="_Toc97492915"/>
      <w:r>
        <w:t>(12)</w:t>
      </w:r>
      <w:r>
        <w:rPr>
          <w:b w:val="0"/>
          <w:bCs w:val="0"/>
        </w:rPr>
        <w:tab/>
      </w:r>
      <w:r>
        <w:t>实质等同性讨论</w:t>
      </w:r>
      <w:bookmarkEnd w:id="34"/>
    </w:p>
    <w:p w14:paraId="00E4B00E">
      <w:pPr>
        <w:shd w:val="clear" w:color="auto" w:fill="FFFFFF"/>
        <w:snapToGrid w:val="0"/>
        <w:jc w:val="both"/>
        <w:rPr>
          <w:rFonts w:eastAsia="宋体"/>
          <w:sz w:val="24"/>
          <w:szCs w:val="24"/>
        </w:rPr>
      </w:pPr>
      <w:r>
        <w:rPr>
          <w:rFonts w:eastAsia="宋体"/>
          <w:color w:val="000000"/>
          <w:sz w:val="24"/>
          <w:szCs w:val="24"/>
        </w:rPr>
        <w:t>在本节中，我们建议您标识实质等同器械，并标识其商品名、型号、510（k）提交人/持有人和510（k）编号（如果可用）。我们建议您提供器械与实质等同器械之间的详细比较，比较应足以证明器械在以下方面的实质等同性（如适用）：</w:t>
      </w:r>
    </w:p>
    <w:p w14:paraId="6042AC3A">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使用说明；</w:t>
      </w:r>
    </w:p>
    <w:p w14:paraId="78D60E2D">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技术；和</w:t>
      </w:r>
    </w:p>
    <w:p w14:paraId="46EAC93C">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性能规范，包括任何测试。</w:t>
      </w:r>
    </w:p>
    <w:p w14:paraId="3836EA6C">
      <w:pPr>
        <w:shd w:val="clear" w:color="auto" w:fill="FFFFFF"/>
        <w:snapToGrid w:val="0"/>
        <w:jc w:val="both"/>
        <w:rPr>
          <w:rFonts w:eastAsia="宋体"/>
          <w:color w:val="000000"/>
          <w:sz w:val="24"/>
          <w:szCs w:val="24"/>
        </w:rPr>
      </w:pPr>
      <w:bookmarkStart w:id="35" w:name="bookmark38"/>
    </w:p>
    <w:bookmarkEnd w:id="35"/>
    <w:p w14:paraId="2DCC1318">
      <w:pPr>
        <w:shd w:val="clear" w:color="auto" w:fill="FFFFFF"/>
        <w:snapToGrid w:val="0"/>
        <w:jc w:val="both"/>
        <w:rPr>
          <w:rFonts w:eastAsia="宋体"/>
          <w:sz w:val="24"/>
          <w:szCs w:val="24"/>
        </w:rPr>
      </w:pPr>
      <w:r>
        <w:rPr>
          <w:rFonts w:eastAsia="宋体"/>
          <w:color w:val="000000"/>
          <w:sz w:val="24"/>
          <w:szCs w:val="24"/>
        </w:rPr>
        <w:t>有关FDA如何确定实质等同性的其他信息，我们建议您参考FDA指南</w:t>
      </w:r>
      <w:r>
        <w:rPr>
          <w:rFonts w:ascii="宋体" w:hAnsi="宋体" w:eastAsia="宋体"/>
          <w:color w:val="000000"/>
          <w:sz w:val="24"/>
          <w:szCs w:val="24"/>
        </w:rPr>
        <w:t>“</w:t>
      </w:r>
      <w:r>
        <w:rPr>
          <w:rFonts w:eastAsia="宋体"/>
          <w:color w:val="0000FF"/>
          <w:sz w:val="24"/>
          <w:szCs w:val="24"/>
          <w:u w:val="single"/>
        </w:rPr>
        <w:t>510（k）项目：</w:t>
      </w:r>
      <w:r>
        <w:rPr>
          <w:rFonts w:eastAsia="宋体"/>
          <w:color w:val="0000FF"/>
          <w:sz w:val="24"/>
          <w:szCs w:val="24"/>
        </w:rPr>
        <w:t>评价上市前通知[510（k）中的实质等同性]。</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3"/>
      </w:r>
    </w:p>
    <w:p w14:paraId="09053BBD">
      <w:pPr>
        <w:shd w:val="clear" w:color="auto" w:fill="FFFFFF"/>
        <w:snapToGrid w:val="0"/>
        <w:jc w:val="both"/>
        <w:rPr>
          <w:rFonts w:eastAsia="宋体"/>
          <w:color w:val="000000"/>
          <w:sz w:val="21"/>
          <w:szCs w:val="21"/>
          <w:vertAlign w:val="superscript"/>
        </w:rPr>
      </w:pPr>
    </w:p>
    <w:p w14:paraId="28D18818">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95ED0AC">
      <w:pPr>
        <w:pStyle w:val="3"/>
        <w:spacing w:before="240" w:after="120"/>
      </w:pPr>
      <w:bookmarkStart w:id="36" w:name="_Toc97492916"/>
      <w:r>
        <w:t>(13)</w:t>
      </w:r>
      <w:r>
        <w:tab/>
      </w:r>
      <w:r>
        <w:t>标签</w:t>
      </w:r>
      <w:bookmarkEnd w:id="36"/>
    </w:p>
    <w:p w14:paraId="157802B2">
      <w:pPr>
        <w:shd w:val="clear" w:color="auto" w:fill="FFFFFF"/>
        <w:snapToGrid w:val="0"/>
        <w:jc w:val="both"/>
        <w:rPr>
          <w:rFonts w:eastAsia="宋体"/>
          <w:sz w:val="24"/>
          <w:szCs w:val="24"/>
        </w:rPr>
      </w:pPr>
      <w:bookmarkStart w:id="37" w:name="bookmark40"/>
      <w:bookmarkEnd w:id="37"/>
      <w:r>
        <w:rPr>
          <w:rFonts w:eastAsia="宋体"/>
          <w:color w:val="000000"/>
          <w:sz w:val="24"/>
          <w:szCs w:val="24"/>
        </w:rPr>
        <w:t>510（k）必须包含足够详细的建议标签，以满足21 CFR 807.87（e）的要求。如果器械是体外诊断器械，则标签必须满足21 CFR 809.10的要求。通常，术语</w:t>
      </w:r>
      <w:r>
        <w:rPr>
          <w:rFonts w:ascii="宋体" w:hAnsi="宋体" w:eastAsia="宋体"/>
          <w:color w:val="000000"/>
          <w:sz w:val="24"/>
          <w:szCs w:val="24"/>
        </w:rPr>
        <w:t>“</w:t>
      </w:r>
      <w:r>
        <w:rPr>
          <w:rFonts w:eastAsia="宋体"/>
          <w:color w:val="000000"/>
          <w:sz w:val="24"/>
          <w:szCs w:val="24"/>
        </w:rPr>
        <w:t>标签</w:t>
      </w:r>
      <w:r>
        <w:rPr>
          <w:rFonts w:ascii="宋体" w:hAnsi="宋体" w:eastAsia="宋体"/>
          <w:color w:val="000000"/>
          <w:sz w:val="24"/>
          <w:szCs w:val="24"/>
        </w:rPr>
        <w:t>”</w:t>
      </w:r>
      <w:r>
        <w:rPr>
          <w:rFonts w:eastAsia="宋体"/>
          <w:color w:val="000000"/>
          <w:sz w:val="24"/>
          <w:szCs w:val="24"/>
        </w:rPr>
        <w:t>包括器械标签、使用说明和任何患者标签。请参阅FDA指南</w:t>
      </w:r>
      <w:r>
        <w:rPr>
          <w:rFonts w:ascii="宋体" w:hAnsi="宋体" w:eastAsia="宋体"/>
          <w:color w:val="000000"/>
          <w:sz w:val="24"/>
          <w:szCs w:val="24"/>
        </w:rPr>
        <w:t>“</w:t>
      </w:r>
      <w:r>
        <w:rPr>
          <w:rFonts w:eastAsia="宋体"/>
          <w:color w:val="0000FF"/>
          <w:sz w:val="24"/>
          <w:szCs w:val="24"/>
          <w:u w:val="single"/>
        </w:rPr>
        <w:t>器械标签指南#G91-1</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4"/>
      </w:r>
      <w:r>
        <w:rPr>
          <w:rFonts w:eastAsia="宋体"/>
          <w:color w:val="000000"/>
          <w:sz w:val="24"/>
          <w:szCs w:val="24"/>
        </w:rPr>
        <w:t xml:space="preserve"> </w:t>
      </w:r>
      <w:r>
        <w:rPr>
          <w:rFonts w:ascii="宋体" w:hAnsi="宋体" w:eastAsia="宋体"/>
          <w:color w:val="000000"/>
          <w:sz w:val="24"/>
          <w:szCs w:val="24"/>
        </w:rPr>
        <w:t>“</w:t>
      </w:r>
      <w:r>
        <w:rPr>
          <w:rFonts w:eastAsia="宋体"/>
          <w:color w:val="0000FF"/>
          <w:sz w:val="24"/>
          <w:szCs w:val="24"/>
          <w:u w:val="single"/>
        </w:rPr>
        <w:t>标签-医疗器械的监管要求</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5"/>
      </w:r>
      <w:r>
        <w:rPr>
          <w:rFonts w:ascii="宋体" w:hAnsi="宋体" w:eastAsia="宋体"/>
          <w:color w:val="000000"/>
          <w:sz w:val="24"/>
          <w:szCs w:val="24"/>
        </w:rPr>
        <w:t>“</w:t>
      </w:r>
      <w:r>
        <w:rPr>
          <w:rFonts w:eastAsia="宋体"/>
          <w:color w:val="0000FF"/>
          <w:sz w:val="24"/>
          <w:szCs w:val="24"/>
          <w:u w:val="single"/>
        </w:rPr>
        <w:t>医疗器械患者标签指南</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footnoteReference w:id="26"/>
      </w:r>
      <w:r>
        <w:rPr>
          <w:rFonts w:eastAsia="宋体"/>
          <w:color w:val="000000"/>
          <w:sz w:val="24"/>
          <w:szCs w:val="24"/>
        </w:rPr>
        <w:t>和特定器械指南（如有），以了解更多关于给您的器械贴标签的信息。</w:t>
      </w:r>
    </w:p>
    <w:p w14:paraId="380C2096">
      <w:pPr>
        <w:pStyle w:val="3"/>
        <w:spacing w:before="240" w:after="120"/>
      </w:pPr>
      <w:bookmarkStart w:id="38" w:name="_Toc97492917"/>
      <w:r>
        <w:t>(14)</w:t>
      </w:r>
      <w:r>
        <w:tab/>
      </w:r>
      <w:r>
        <w:t>灭菌和</w:t>
      </w:r>
      <w:bookmarkEnd w:id="38"/>
      <w:r>
        <w:rPr>
          <w:rFonts w:hint="eastAsia"/>
        </w:rPr>
        <w:t>货架有效期</w:t>
      </w:r>
    </w:p>
    <w:p w14:paraId="444ADDA1">
      <w:pPr>
        <w:shd w:val="clear" w:color="auto" w:fill="FFFFFF"/>
        <w:snapToGrid w:val="0"/>
        <w:jc w:val="both"/>
        <w:rPr>
          <w:rFonts w:eastAsia="宋体"/>
          <w:sz w:val="24"/>
          <w:szCs w:val="24"/>
        </w:rPr>
      </w:pPr>
      <w:bookmarkStart w:id="39" w:name="bookmark41"/>
      <w:bookmarkEnd w:id="39"/>
      <w:r>
        <w:rPr>
          <w:rFonts w:eastAsia="宋体"/>
          <w:color w:val="000000"/>
          <w:sz w:val="24"/>
          <w:szCs w:val="24"/>
        </w:rPr>
        <w:t>对于以无菌方式出售的器械，我们建议您考虑</w:t>
      </w:r>
      <w:r>
        <w:rPr>
          <w:rFonts w:ascii="宋体" w:hAnsi="宋体" w:eastAsia="宋体"/>
          <w:color w:val="000000"/>
          <w:sz w:val="24"/>
          <w:szCs w:val="24"/>
        </w:rPr>
        <w:t>“</w:t>
      </w:r>
      <w:r>
        <w:rPr>
          <w:rFonts w:eastAsia="宋体"/>
          <w:color w:val="0000FF"/>
          <w:sz w:val="24"/>
          <w:szCs w:val="24"/>
          <w:u w:val="single"/>
        </w:rPr>
        <w:t>器械上市前通知（510）（K）提交资料中无菌信息的提交和审查</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7"/>
      </w:r>
      <w:r>
        <w:rPr>
          <w:rFonts w:eastAsia="宋体"/>
          <w:sz w:val="24"/>
          <w:szCs w:val="24"/>
        </w:rPr>
        <w:t>。</w:t>
      </w:r>
    </w:p>
    <w:p w14:paraId="072539BE">
      <w:pPr>
        <w:shd w:val="clear" w:color="auto" w:fill="FFFFFF"/>
        <w:snapToGrid w:val="0"/>
        <w:jc w:val="both"/>
        <w:rPr>
          <w:rFonts w:eastAsia="宋体"/>
          <w:color w:val="000000"/>
          <w:sz w:val="24"/>
          <w:szCs w:val="24"/>
        </w:rPr>
      </w:pPr>
      <w:bookmarkStart w:id="40" w:name="bookmark42"/>
    </w:p>
    <w:bookmarkEnd w:id="40"/>
    <w:p w14:paraId="3A24CFBE">
      <w:pPr>
        <w:shd w:val="clear" w:color="auto" w:fill="FFFFFF"/>
        <w:snapToGrid w:val="0"/>
        <w:jc w:val="both"/>
        <w:rPr>
          <w:rFonts w:eastAsia="宋体"/>
          <w:sz w:val="24"/>
          <w:szCs w:val="24"/>
        </w:rPr>
      </w:pPr>
      <w:r>
        <w:rPr>
          <w:rFonts w:eastAsia="宋体"/>
          <w:color w:val="000000"/>
          <w:sz w:val="24"/>
          <w:szCs w:val="24"/>
        </w:rPr>
        <w:t>对于再加工一次性使用器械，请参考FDA指南</w:t>
      </w:r>
      <w:r>
        <w:rPr>
          <w:rFonts w:ascii="宋体" w:hAnsi="宋体" w:eastAsia="宋体"/>
          <w:color w:val="000000"/>
          <w:sz w:val="24"/>
          <w:szCs w:val="24"/>
        </w:rPr>
        <w:t>“</w:t>
      </w:r>
      <w:r>
        <w:rPr>
          <w:rFonts w:eastAsia="宋体"/>
          <w:color w:val="0000FF"/>
          <w:sz w:val="24"/>
          <w:szCs w:val="24"/>
          <w:u w:val="single"/>
        </w:rPr>
        <w:t>再加工一次性使用医疗器械上市前通知（510（k））提交资料中的验证数据-2002年医疗器械用户付费和现代化法案</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8"/>
      </w:r>
    </w:p>
    <w:p w14:paraId="31427BD3">
      <w:pPr>
        <w:shd w:val="clear" w:color="auto" w:fill="FFFFFF"/>
        <w:snapToGrid w:val="0"/>
        <w:jc w:val="both"/>
        <w:rPr>
          <w:rFonts w:eastAsia="宋体"/>
          <w:color w:val="000000"/>
          <w:sz w:val="24"/>
          <w:szCs w:val="24"/>
        </w:rPr>
      </w:pPr>
      <w:bookmarkStart w:id="41" w:name="bookmark43"/>
    </w:p>
    <w:bookmarkEnd w:id="41"/>
    <w:p w14:paraId="5E951249">
      <w:pPr>
        <w:shd w:val="clear" w:color="auto" w:fill="FFFFFF"/>
        <w:snapToGrid w:val="0"/>
        <w:jc w:val="both"/>
        <w:rPr>
          <w:rFonts w:eastAsia="宋体"/>
          <w:sz w:val="24"/>
          <w:szCs w:val="24"/>
        </w:rPr>
      </w:pPr>
      <w:r>
        <w:rPr>
          <w:rFonts w:eastAsia="宋体"/>
          <w:color w:val="000000"/>
          <w:sz w:val="24"/>
          <w:szCs w:val="24"/>
        </w:rPr>
        <w:t>对于确定器械</w:t>
      </w:r>
      <w:r>
        <w:rPr>
          <w:rFonts w:hint="eastAsia" w:eastAsia="宋体"/>
          <w:color w:val="000000"/>
          <w:sz w:val="24"/>
          <w:szCs w:val="24"/>
        </w:rPr>
        <w:t>有效期</w:t>
      </w:r>
      <w:r>
        <w:rPr>
          <w:rFonts w:eastAsia="宋体"/>
          <w:color w:val="000000"/>
          <w:sz w:val="24"/>
          <w:szCs w:val="24"/>
        </w:rPr>
        <w:t>的申报资料，您的</w:t>
      </w:r>
      <w:r>
        <w:rPr>
          <w:rFonts w:hint="eastAsia" w:eastAsia="宋体"/>
          <w:color w:val="000000"/>
          <w:sz w:val="24"/>
          <w:szCs w:val="24"/>
        </w:rPr>
        <w:t>有效期</w:t>
      </w:r>
      <w:r>
        <w:rPr>
          <w:rFonts w:eastAsia="宋体"/>
          <w:color w:val="000000"/>
          <w:sz w:val="24"/>
          <w:szCs w:val="24"/>
        </w:rPr>
        <w:t>应得到适当的实验室试验和/或灭菌（包装）验证的支持。</w:t>
      </w:r>
    </w:p>
    <w:p w14:paraId="17EB630C">
      <w:pPr>
        <w:pStyle w:val="3"/>
        <w:spacing w:before="240" w:after="120"/>
      </w:pPr>
      <w:bookmarkStart w:id="42" w:name="_Toc97492918"/>
      <w:r>
        <w:t>(15)</w:t>
      </w:r>
      <w:r>
        <w:tab/>
      </w:r>
      <w:r>
        <w:t>生物相容性</w:t>
      </w:r>
      <w:bookmarkEnd w:id="42"/>
    </w:p>
    <w:p w14:paraId="3C4385BF">
      <w:pPr>
        <w:shd w:val="clear" w:color="auto" w:fill="FFFFFF"/>
        <w:snapToGrid w:val="0"/>
        <w:jc w:val="both"/>
        <w:rPr>
          <w:rFonts w:eastAsia="宋体"/>
          <w:sz w:val="24"/>
          <w:szCs w:val="24"/>
        </w:rPr>
      </w:pPr>
      <w:bookmarkStart w:id="43" w:name="bookmark44"/>
      <w:bookmarkEnd w:id="43"/>
      <w:r>
        <w:rPr>
          <w:rFonts w:eastAsia="宋体"/>
          <w:color w:val="000000"/>
          <w:sz w:val="24"/>
          <w:szCs w:val="24"/>
        </w:rPr>
        <w:t>如果您的器械包含与组织直接或间接接触的组件，您应该评价与组织接触的材料的生物相容性。参考FDA指南文件</w:t>
      </w:r>
      <w:r>
        <w:rPr>
          <w:rFonts w:ascii="宋体" w:hAnsi="宋体" w:eastAsia="宋体"/>
          <w:color w:val="000000"/>
          <w:sz w:val="24"/>
          <w:szCs w:val="24"/>
        </w:rPr>
        <w:t>“</w:t>
      </w:r>
      <w:r>
        <w:rPr>
          <w:rFonts w:eastAsia="宋体"/>
          <w:color w:val="0000FF"/>
          <w:sz w:val="24"/>
          <w:szCs w:val="24"/>
          <w:u w:val="single"/>
        </w:rPr>
        <w:t>使用国际标准ISO 10993-1，</w:t>
      </w:r>
      <w:r>
        <w:rPr>
          <w:rFonts w:hint="eastAsia" w:ascii="宋体" w:hAnsi="宋体" w:eastAsia="宋体"/>
          <w:color w:val="0000FF"/>
          <w:sz w:val="24"/>
          <w:szCs w:val="24"/>
          <w:u w:val="single"/>
        </w:rPr>
        <w:t>‘</w:t>
      </w:r>
      <w:r>
        <w:rPr>
          <w:rFonts w:eastAsia="宋体"/>
          <w:color w:val="0000FF"/>
          <w:sz w:val="24"/>
          <w:szCs w:val="24"/>
          <w:u w:val="single"/>
        </w:rPr>
        <w:t>医疗器械的生物评价-第1部分</w:t>
      </w:r>
      <w:r>
        <w:rPr>
          <w:rFonts w:eastAsia="宋体"/>
          <w:color w:val="0000FF"/>
          <w:sz w:val="24"/>
          <w:szCs w:val="24"/>
        </w:rPr>
        <w:t>：</w:t>
      </w:r>
      <w:r>
        <w:rPr>
          <w:rFonts w:eastAsia="宋体"/>
          <w:color w:val="0000FF"/>
          <w:sz w:val="24"/>
          <w:szCs w:val="24"/>
          <w:u w:val="single"/>
        </w:rPr>
        <w:t>风险管理过程内的评价和测试。’</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29"/>
      </w:r>
    </w:p>
    <w:p w14:paraId="056EC7AF">
      <w:pPr>
        <w:pStyle w:val="3"/>
        <w:spacing w:before="240" w:after="120"/>
      </w:pPr>
      <w:bookmarkStart w:id="44" w:name="_Toc97492919"/>
      <w:r>
        <w:t>(16)</w:t>
      </w:r>
      <w:r>
        <w:tab/>
      </w:r>
      <w:r>
        <w:t>软件</w:t>
      </w:r>
      <w:bookmarkEnd w:id="44"/>
    </w:p>
    <w:p w14:paraId="05EF2925">
      <w:pPr>
        <w:shd w:val="clear" w:color="auto" w:fill="FFFFFF"/>
        <w:snapToGrid w:val="0"/>
        <w:jc w:val="both"/>
        <w:rPr>
          <w:rFonts w:eastAsia="宋体"/>
          <w:sz w:val="24"/>
          <w:szCs w:val="24"/>
        </w:rPr>
      </w:pPr>
      <w:r>
        <w:rPr>
          <w:rFonts w:eastAsia="宋体"/>
          <w:color w:val="000000"/>
          <w:sz w:val="24"/>
          <w:szCs w:val="24"/>
        </w:rPr>
        <w:t>本节应包括标题为</w:t>
      </w:r>
      <w:r>
        <w:rPr>
          <w:rFonts w:ascii="宋体" w:hAnsi="宋体" w:eastAsia="宋体"/>
          <w:color w:val="000000"/>
          <w:sz w:val="24"/>
          <w:szCs w:val="24"/>
        </w:rPr>
        <w:t>“</w:t>
      </w:r>
      <w:r>
        <w:rPr>
          <w:rFonts w:eastAsia="宋体"/>
          <w:color w:val="0000FF"/>
          <w:sz w:val="24"/>
          <w:szCs w:val="24"/>
          <w:u w:val="single"/>
        </w:rPr>
        <w:t>关于医疗器械</w:t>
      </w:r>
      <w:bookmarkStart w:id="45" w:name="bookmark50"/>
      <w:bookmarkEnd w:id="45"/>
      <w:r>
        <w:rPr>
          <w:rFonts w:eastAsia="宋体"/>
          <w:color w:val="0000FF"/>
          <w:sz w:val="24"/>
          <w:szCs w:val="24"/>
          <w:u w:val="single"/>
        </w:rPr>
        <w:t>中所含软件上市前申请内容的指南</w:t>
      </w:r>
      <w:r>
        <w:rPr>
          <w:rFonts w:ascii="宋体" w:hAnsi="宋体" w:eastAsia="宋体"/>
          <w:color w:val="000000"/>
          <w:sz w:val="24"/>
          <w:szCs w:val="24"/>
        </w:rPr>
        <w:t>”</w:t>
      </w:r>
      <w:r>
        <w:rPr>
          <w:rFonts w:eastAsia="宋体"/>
          <w:color w:val="000000"/>
          <w:sz w:val="24"/>
          <w:szCs w:val="24"/>
        </w:rPr>
        <w:t>指南中所述的适当软件文档。</w:t>
      </w:r>
      <w:r>
        <w:rPr>
          <w:rStyle w:val="16"/>
          <w:rFonts w:eastAsia="宋体"/>
          <w:color w:val="000000" w:themeColor="text1"/>
          <w:sz w:val="24"/>
          <w:szCs w:val="24"/>
        </w:rPr>
        <w:t xml:space="preserve"> </w:t>
      </w:r>
      <w:r>
        <w:rPr>
          <w:rStyle w:val="16"/>
          <w:rFonts w:eastAsia="宋体"/>
          <w:color w:val="000000" w:themeColor="text1"/>
          <w:sz w:val="24"/>
          <w:szCs w:val="24"/>
        </w:rPr>
        <w:footnoteReference w:id="30"/>
      </w:r>
      <w:r>
        <w:rPr>
          <w:rFonts w:eastAsia="宋体"/>
          <w:color w:val="000000"/>
          <w:sz w:val="24"/>
          <w:szCs w:val="24"/>
        </w:rPr>
        <w:t>如指南中所述，我们建议您确定与您的器械相关的</w:t>
      </w:r>
      <w:r>
        <w:rPr>
          <w:rFonts w:ascii="宋体" w:hAnsi="宋体" w:eastAsia="宋体"/>
          <w:color w:val="000000"/>
          <w:sz w:val="24"/>
          <w:szCs w:val="24"/>
        </w:rPr>
        <w:t>“</w:t>
      </w:r>
      <w:r>
        <w:rPr>
          <w:rFonts w:eastAsia="宋体"/>
          <w:color w:val="000000"/>
          <w:sz w:val="24"/>
          <w:szCs w:val="24"/>
        </w:rPr>
        <w:t>关注级别</w:t>
      </w:r>
      <w:r>
        <w:rPr>
          <w:rFonts w:ascii="宋体" w:hAnsi="宋体" w:eastAsia="宋体"/>
          <w:color w:val="000000"/>
          <w:sz w:val="24"/>
          <w:szCs w:val="24"/>
        </w:rPr>
        <w:t>”</w:t>
      </w:r>
      <w:r>
        <w:rPr>
          <w:rFonts w:eastAsia="宋体"/>
          <w:color w:val="000000"/>
          <w:sz w:val="24"/>
          <w:szCs w:val="24"/>
        </w:rPr>
        <w:t>（次要、中度或主要），并提供与该级别一致的文档。</w:t>
      </w:r>
    </w:p>
    <w:p w14:paraId="430A1621">
      <w:pPr>
        <w:shd w:val="clear" w:color="auto" w:fill="FFFFFF"/>
        <w:snapToGrid w:val="0"/>
        <w:jc w:val="both"/>
        <w:rPr>
          <w:rFonts w:eastAsia="宋体"/>
          <w:sz w:val="24"/>
          <w:szCs w:val="24"/>
        </w:rPr>
      </w:pPr>
    </w:p>
    <w:p w14:paraId="74FFD7D6">
      <w:pPr>
        <w:shd w:val="clear" w:color="auto" w:fill="FFFFFF"/>
        <w:tabs>
          <w:tab w:val="left" w:pos="182"/>
        </w:tabs>
        <w:snapToGrid w:val="0"/>
        <w:jc w:val="both"/>
        <w:rPr>
          <w:rFonts w:eastAsia="宋体"/>
          <w:color w:val="000000"/>
          <w:sz w:val="24"/>
          <w:szCs w:val="24"/>
          <w:vertAlign w:val="superscript"/>
        </w:rPr>
      </w:pPr>
    </w:p>
    <w:p w14:paraId="16082382">
      <w:pPr>
        <w:shd w:val="clear" w:color="auto" w:fill="FFFFFF"/>
        <w:tabs>
          <w:tab w:val="left" w:pos="182"/>
        </w:tabs>
        <w:snapToGrid w:val="0"/>
        <w:jc w:val="both"/>
        <w:rPr>
          <w:rFonts w:eastAsia="宋体"/>
          <w:sz w:val="21"/>
          <w:szCs w:val="21"/>
        </w:rPr>
      </w:pPr>
    </w:p>
    <w:p w14:paraId="5146E1F5">
      <w:pPr>
        <w:shd w:val="clear" w:color="auto" w:fill="FFFFFF"/>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7574288">
      <w:pPr>
        <w:shd w:val="clear" w:color="auto" w:fill="FFFFFF"/>
        <w:snapToGrid w:val="0"/>
        <w:jc w:val="both"/>
        <w:rPr>
          <w:rFonts w:eastAsia="宋体"/>
          <w:sz w:val="24"/>
          <w:szCs w:val="24"/>
        </w:rPr>
      </w:pPr>
      <w:bookmarkStart w:id="46" w:name="bookmark51"/>
      <w:bookmarkEnd w:id="46"/>
      <w:r>
        <w:rPr>
          <w:rFonts w:eastAsia="宋体"/>
          <w:color w:val="000000"/>
          <w:sz w:val="24"/>
          <w:szCs w:val="24"/>
        </w:rPr>
        <w:t>我们建议本节还包括FDA指南文件</w:t>
      </w:r>
      <w:r>
        <w:rPr>
          <w:rFonts w:ascii="宋体" w:hAnsi="宋体" w:eastAsia="宋体"/>
          <w:color w:val="000000"/>
          <w:sz w:val="24"/>
          <w:szCs w:val="24"/>
        </w:rPr>
        <w:t>“</w:t>
      </w:r>
      <w:r>
        <w:rPr>
          <w:rFonts w:eastAsia="宋体"/>
          <w:color w:val="0000FF"/>
          <w:sz w:val="24"/>
          <w:szCs w:val="24"/>
          <w:u w:val="single"/>
        </w:rPr>
        <w:t>医疗器械网络安全管理上市前申请内容中所述的适当网络安全信息</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31"/>
      </w:r>
    </w:p>
    <w:p w14:paraId="59A01CAB">
      <w:pPr>
        <w:pStyle w:val="3"/>
        <w:spacing w:before="240" w:after="120"/>
      </w:pPr>
      <w:bookmarkStart w:id="47" w:name="_Toc97492920"/>
      <w:r>
        <w:t>(17)</w:t>
      </w:r>
      <w:r>
        <w:tab/>
      </w:r>
      <w:r>
        <w:t>电磁兼容性和电气安全</w:t>
      </w:r>
      <w:bookmarkEnd w:id="47"/>
    </w:p>
    <w:p w14:paraId="6E78ADFA">
      <w:pPr>
        <w:shd w:val="clear" w:color="auto" w:fill="FFFFFF"/>
        <w:snapToGrid w:val="0"/>
        <w:jc w:val="both"/>
        <w:rPr>
          <w:rFonts w:eastAsia="宋体"/>
          <w:sz w:val="24"/>
          <w:szCs w:val="24"/>
        </w:rPr>
      </w:pPr>
      <w:bookmarkStart w:id="48" w:name="bookmark52"/>
      <w:bookmarkEnd w:id="48"/>
      <w:r>
        <w:rPr>
          <w:rFonts w:eastAsia="宋体"/>
          <w:color w:val="000000"/>
          <w:sz w:val="24"/>
          <w:szCs w:val="24"/>
        </w:rPr>
        <w:t>如果您的器械是电动器械，我们建议您评价其电磁兼容性（EMC）。EMC包括发射（对电子产品的干扰）和抗扰性（其他电子产品的发射对器械性能的干扰）。您应该参考FDA指南</w:t>
      </w:r>
      <w:r>
        <w:rPr>
          <w:rFonts w:ascii="宋体" w:hAnsi="宋体" w:eastAsia="宋体"/>
          <w:color w:val="000000"/>
          <w:sz w:val="24"/>
          <w:szCs w:val="24"/>
        </w:rPr>
        <w:t>“</w:t>
      </w:r>
      <w:r>
        <w:rPr>
          <w:rFonts w:eastAsia="宋体"/>
          <w:color w:val="0000FF"/>
          <w:sz w:val="24"/>
          <w:szCs w:val="24"/>
          <w:u w:val="single"/>
        </w:rPr>
        <w:t>支持电动医疗器械电磁兼容性（EMC）声明的信息</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32"/>
      </w:r>
      <w:r>
        <w:rPr>
          <w:rFonts w:eastAsia="宋体"/>
          <w:color w:val="000000"/>
          <w:sz w:val="24"/>
          <w:szCs w:val="24"/>
        </w:rPr>
        <w:t>FDA还建议您使用美国国家标准协会（ANSI）/医疗器械促进协会（AAMI）电气安全（ES）60601-1的当前FDA认可版本：</w:t>
      </w:r>
      <w:r>
        <w:rPr>
          <w:rFonts w:eastAsia="宋体"/>
          <w:i/>
          <w:iCs/>
          <w:color w:val="000000"/>
          <w:sz w:val="24"/>
          <w:szCs w:val="24"/>
        </w:rPr>
        <w:t>医用电气设备 - 第1部分：基本安全和基本性能的一般要求</w:t>
      </w:r>
      <w:r>
        <w:rPr>
          <w:rFonts w:ascii="宋体" w:hAnsi="宋体" w:eastAsia="宋体"/>
          <w:color w:val="000000"/>
          <w:sz w:val="24"/>
          <w:szCs w:val="24"/>
        </w:rPr>
        <w:t>”</w:t>
      </w:r>
      <w:r>
        <w:rPr>
          <w:rFonts w:eastAsia="宋体"/>
          <w:color w:val="000000"/>
          <w:sz w:val="24"/>
          <w:szCs w:val="24"/>
        </w:rPr>
        <w:t>或等同方法。</w:t>
      </w:r>
    </w:p>
    <w:p w14:paraId="26B73234">
      <w:pPr>
        <w:pStyle w:val="3"/>
        <w:spacing w:before="240" w:after="120"/>
      </w:pPr>
      <w:bookmarkStart w:id="49" w:name="_Toc97492921"/>
      <w:r>
        <w:t>(18)</w:t>
      </w:r>
      <w:r>
        <w:rPr>
          <w:b w:val="0"/>
          <w:bCs w:val="0"/>
        </w:rPr>
        <w:tab/>
      </w:r>
      <w:r>
        <w:t>性能测试-实验室</w:t>
      </w:r>
      <w:bookmarkEnd w:id="49"/>
    </w:p>
    <w:p w14:paraId="5D0DBB66">
      <w:pPr>
        <w:shd w:val="clear" w:color="auto" w:fill="FFFFFF"/>
        <w:snapToGrid w:val="0"/>
        <w:jc w:val="both"/>
        <w:rPr>
          <w:rFonts w:eastAsia="宋体"/>
          <w:sz w:val="24"/>
          <w:szCs w:val="24"/>
        </w:rPr>
      </w:pPr>
      <w:bookmarkStart w:id="50" w:name="bookmark53"/>
      <w:bookmarkEnd w:id="50"/>
      <w:r>
        <w:rPr>
          <w:rFonts w:eastAsia="宋体"/>
          <w:color w:val="000000"/>
          <w:sz w:val="24"/>
          <w:szCs w:val="24"/>
        </w:rPr>
        <w:t>如果您提交实验室试验结果以支持实质等同性，我们建议您在本节中包括以下信息。如果该器械是体外诊断器械（IVD），请参考FDA指南的适用章节</w:t>
      </w:r>
      <w:r>
        <w:rPr>
          <w:rFonts w:ascii="宋体" w:hAnsi="宋体" w:eastAsia="宋体"/>
          <w:color w:val="000000"/>
          <w:sz w:val="24"/>
          <w:szCs w:val="24"/>
        </w:rPr>
        <w:t>“</w:t>
      </w:r>
      <w:r>
        <w:rPr>
          <w:rFonts w:eastAsia="宋体"/>
          <w:color w:val="0000FF"/>
          <w:sz w:val="24"/>
          <w:szCs w:val="24"/>
          <w:u w:val="single"/>
        </w:rPr>
        <w:t>510（k）拒绝接受政策</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33"/>
      </w:r>
      <w:r>
        <w:rPr>
          <w:rFonts w:eastAsia="宋体"/>
          <w:color w:val="000000"/>
          <w:sz w:val="24"/>
          <w:szCs w:val="24"/>
        </w:rPr>
        <w:t>以及可在</w:t>
      </w:r>
      <w:r>
        <w:rPr>
          <w:rFonts w:eastAsia="宋体"/>
          <w:color w:val="0000FF"/>
          <w:sz w:val="24"/>
          <w:szCs w:val="24"/>
        </w:rPr>
        <w:t>FDA指南网站上找到的特定IVD器械指南。</w:t>
      </w:r>
      <w:r>
        <w:rPr>
          <w:rStyle w:val="16"/>
          <w:rFonts w:eastAsia="宋体"/>
          <w:color w:val="000000" w:themeColor="text1"/>
          <w:sz w:val="24"/>
          <w:szCs w:val="24"/>
        </w:rPr>
        <w:t xml:space="preserve"> </w:t>
      </w:r>
      <w:r>
        <w:rPr>
          <w:rStyle w:val="16"/>
          <w:rFonts w:eastAsia="宋体"/>
          <w:color w:val="000000" w:themeColor="text1"/>
          <w:sz w:val="24"/>
          <w:szCs w:val="24"/>
        </w:rPr>
        <w:footnoteReference w:id="34"/>
      </w:r>
    </w:p>
    <w:p w14:paraId="72DB0EF8">
      <w:pPr>
        <w:shd w:val="clear" w:color="auto" w:fill="FFFFFF"/>
        <w:snapToGrid w:val="0"/>
        <w:jc w:val="both"/>
        <w:rPr>
          <w:rFonts w:eastAsia="宋体"/>
          <w:color w:val="000000"/>
          <w:sz w:val="24"/>
          <w:szCs w:val="24"/>
        </w:rPr>
      </w:pPr>
    </w:p>
    <w:p w14:paraId="58DA34E8">
      <w:pPr>
        <w:shd w:val="clear" w:color="auto" w:fill="FFFFFF"/>
        <w:snapToGrid w:val="0"/>
        <w:jc w:val="both"/>
        <w:rPr>
          <w:rFonts w:eastAsia="宋体"/>
          <w:sz w:val="24"/>
          <w:szCs w:val="24"/>
        </w:rPr>
      </w:pPr>
      <w:r>
        <w:rPr>
          <w:rFonts w:eastAsia="宋体"/>
          <w:color w:val="000000"/>
          <w:sz w:val="24"/>
          <w:szCs w:val="24"/>
        </w:rPr>
        <w:t>FDA建议，您的非临床实验室性能测试应包括FDA指南文件</w:t>
      </w:r>
      <w:r>
        <w:rPr>
          <w:rFonts w:ascii="宋体" w:hAnsi="宋体" w:eastAsia="宋体"/>
          <w:color w:val="000000"/>
          <w:sz w:val="24"/>
          <w:szCs w:val="24"/>
        </w:rPr>
        <w:t>“</w:t>
      </w:r>
      <w:r>
        <w:rPr>
          <w:rFonts w:eastAsia="宋体"/>
          <w:color w:val="0000FF"/>
          <w:sz w:val="24"/>
          <w:szCs w:val="24"/>
          <w:u w:val="single"/>
        </w:rPr>
        <w:t>上市前申请中非临床实验室性能测试信息的建议内容和格式</w:t>
      </w:r>
      <w:r>
        <w:rPr>
          <w:rFonts w:ascii="宋体" w:hAnsi="宋体" w:eastAsia="宋体"/>
          <w:color w:val="000000"/>
          <w:sz w:val="24"/>
          <w:szCs w:val="24"/>
        </w:rPr>
        <w:t>”</w:t>
      </w:r>
      <w:r>
        <w:rPr>
          <w:rFonts w:eastAsia="宋体"/>
          <w:color w:val="000000"/>
          <w:sz w:val="24"/>
          <w:szCs w:val="24"/>
        </w:rPr>
        <w:t>中描述的相关信息</w:t>
      </w:r>
      <w:r>
        <w:rPr>
          <w:rStyle w:val="16"/>
          <w:rFonts w:eastAsia="宋体"/>
          <w:color w:val="000000" w:themeColor="text1"/>
          <w:sz w:val="24"/>
          <w:szCs w:val="24"/>
        </w:rPr>
        <w:t xml:space="preserve"> </w:t>
      </w:r>
      <w:r>
        <w:rPr>
          <w:rStyle w:val="16"/>
          <w:rFonts w:eastAsia="宋体"/>
          <w:color w:val="000000" w:themeColor="text1"/>
          <w:sz w:val="24"/>
          <w:szCs w:val="24"/>
        </w:rPr>
        <w:footnoteReference w:id="35"/>
      </w:r>
    </w:p>
    <w:p w14:paraId="462C8903">
      <w:pPr>
        <w:shd w:val="clear" w:color="auto" w:fill="FFFFFF"/>
        <w:tabs>
          <w:tab w:val="left" w:pos="187"/>
        </w:tabs>
        <w:snapToGrid w:val="0"/>
        <w:jc w:val="both"/>
        <w:rPr>
          <w:rFonts w:eastAsia="宋体"/>
          <w:color w:val="000000"/>
          <w:sz w:val="24"/>
          <w:szCs w:val="24"/>
          <w:vertAlign w:val="superscript"/>
        </w:rPr>
      </w:pPr>
    </w:p>
    <w:p w14:paraId="35912509">
      <w:pPr>
        <w:shd w:val="clear" w:color="auto" w:fill="FFFFFF"/>
        <w:tabs>
          <w:tab w:val="left" w:pos="187"/>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C46A828">
      <w:pPr>
        <w:pStyle w:val="3"/>
        <w:spacing w:before="240" w:after="120"/>
      </w:pPr>
      <w:bookmarkStart w:id="51" w:name="_Toc97492922"/>
      <w:r>
        <w:t>(19)</w:t>
      </w:r>
      <w:r>
        <w:rPr>
          <w:b w:val="0"/>
          <w:bCs w:val="0"/>
        </w:rPr>
        <w:tab/>
      </w:r>
      <w:r>
        <w:t xml:space="preserve"> 性能测试-动物</w:t>
      </w:r>
      <w:bookmarkEnd w:id="51"/>
    </w:p>
    <w:p w14:paraId="5DADD0DC">
      <w:pPr>
        <w:shd w:val="clear" w:color="auto" w:fill="FFFFFF"/>
        <w:snapToGrid w:val="0"/>
        <w:jc w:val="both"/>
        <w:rPr>
          <w:rFonts w:eastAsia="宋体"/>
          <w:sz w:val="24"/>
          <w:szCs w:val="24"/>
        </w:rPr>
      </w:pPr>
      <w:bookmarkStart w:id="52" w:name="bookmark59"/>
      <w:bookmarkEnd w:id="52"/>
      <w:r>
        <w:rPr>
          <w:rFonts w:eastAsia="宋体"/>
          <w:color w:val="000000"/>
          <w:sz w:val="24"/>
          <w:szCs w:val="24"/>
        </w:rPr>
        <w:t>如果您提交动物试验结果以支持实质等同性，</w:t>
      </w:r>
      <w:r>
        <w:rPr>
          <w:rStyle w:val="16"/>
          <w:rFonts w:eastAsia="宋体"/>
          <w:color w:val="000000" w:themeColor="text1"/>
          <w:sz w:val="24"/>
          <w:szCs w:val="24"/>
        </w:rPr>
        <w:t xml:space="preserve"> </w:t>
      </w:r>
      <w:r>
        <w:rPr>
          <w:rStyle w:val="16"/>
          <w:rFonts w:eastAsia="宋体"/>
          <w:color w:val="000000" w:themeColor="text1"/>
          <w:sz w:val="24"/>
          <w:szCs w:val="24"/>
        </w:rPr>
        <w:footnoteReference w:id="36"/>
      </w:r>
      <w:r>
        <w:rPr>
          <w:rFonts w:eastAsia="宋体"/>
          <w:color w:val="000000"/>
          <w:sz w:val="24"/>
          <w:szCs w:val="24"/>
        </w:rPr>
        <w:t>我们建议您在本节中包括以下信息。如果该器械是体外诊断器械（IVD），请参考FDA指南的适用章节</w:t>
      </w:r>
      <w:r>
        <w:rPr>
          <w:rFonts w:ascii="宋体" w:hAnsi="宋体" w:eastAsia="宋体"/>
          <w:color w:val="000000"/>
          <w:sz w:val="24"/>
          <w:szCs w:val="24"/>
        </w:rPr>
        <w:t>“</w:t>
      </w:r>
      <w:r>
        <w:rPr>
          <w:rFonts w:eastAsia="宋体"/>
          <w:color w:val="0000FF"/>
          <w:sz w:val="24"/>
          <w:szCs w:val="24"/>
        </w:rPr>
        <w:t>拒绝接受510（k）</w:t>
      </w:r>
      <w:r>
        <w:rPr>
          <w:rFonts w:ascii="宋体" w:hAnsi="宋体" w:eastAsia="宋体"/>
          <w:color w:val="000000"/>
          <w:sz w:val="24"/>
          <w:szCs w:val="24"/>
        </w:rPr>
        <w:t>”</w:t>
      </w:r>
      <w:r>
        <w:rPr>
          <w:rFonts w:eastAsia="宋体"/>
          <w:color w:val="000000"/>
          <w:sz w:val="24"/>
          <w:szCs w:val="24"/>
          <w:vertAlign w:val="superscript"/>
        </w:rPr>
        <w:t>5</w:t>
      </w:r>
      <w:r>
        <w:rPr>
          <w:rFonts w:eastAsia="宋体"/>
          <w:color w:val="000000"/>
          <w:sz w:val="24"/>
          <w:szCs w:val="24"/>
        </w:rPr>
        <w:t>以及可在FDA指南网站上找到的特定IVD器械指南。</w:t>
      </w:r>
      <w:r>
        <w:rPr>
          <w:rFonts w:eastAsia="宋体"/>
          <w:color w:val="000000"/>
          <w:sz w:val="24"/>
          <w:szCs w:val="24"/>
          <w:vertAlign w:val="superscript"/>
        </w:rPr>
        <w:t>35</w:t>
      </w:r>
    </w:p>
    <w:p w14:paraId="703268F4">
      <w:pPr>
        <w:shd w:val="clear" w:color="auto" w:fill="FFFFFF"/>
        <w:snapToGrid w:val="0"/>
        <w:jc w:val="both"/>
        <w:rPr>
          <w:rFonts w:eastAsia="宋体"/>
          <w:color w:val="000000"/>
          <w:sz w:val="24"/>
          <w:szCs w:val="24"/>
        </w:rPr>
      </w:pPr>
    </w:p>
    <w:p w14:paraId="58F13B18">
      <w:pPr>
        <w:shd w:val="clear" w:color="auto" w:fill="FFFFFF"/>
        <w:snapToGrid w:val="0"/>
        <w:jc w:val="both"/>
        <w:rPr>
          <w:rFonts w:eastAsia="宋体"/>
          <w:color w:val="000000"/>
          <w:sz w:val="24"/>
          <w:szCs w:val="24"/>
        </w:rPr>
      </w:pPr>
      <w:r>
        <w:rPr>
          <w:rFonts w:eastAsia="宋体"/>
          <w:color w:val="000000"/>
          <w:sz w:val="24"/>
          <w:szCs w:val="24"/>
        </w:rPr>
        <w:t>如果您进行了动物试验，我们建议您描述试验并提供支持器械性能特征的结果。通常，描述动物试验的申报资料</w:t>
      </w:r>
      <w:r>
        <w:rPr>
          <w:rFonts w:hint="eastAsia" w:eastAsia="宋体"/>
          <w:color w:val="000000"/>
          <w:sz w:val="24"/>
          <w:szCs w:val="24"/>
        </w:rPr>
        <w:t>都</w:t>
      </w:r>
      <w:r>
        <w:rPr>
          <w:rFonts w:eastAsia="宋体"/>
          <w:color w:val="000000"/>
          <w:sz w:val="24"/>
          <w:szCs w:val="24"/>
        </w:rPr>
        <w:t>应包括以下信息；但是，如果有相关的器械特定指南，则应遵循该指南文档中的建议。负责审查您器械的部门也可以帮助您解决有关动物试验的任何问题。</w:t>
      </w:r>
    </w:p>
    <w:p w14:paraId="3974FBA2">
      <w:pPr>
        <w:shd w:val="clear" w:color="auto" w:fill="FFFFFF"/>
        <w:snapToGrid w:val="0"/>
        <w:jc w:val="both"/>
        <w:rPr>
          <w:rFonts w:eastAsia="宋体"/>
          <w:sz w:val="24"/>
          <w:szCs w:val="24"/>
        </w:rPr>
      </w:pPr>
    </w:p>
    <w:p w14:paraId="57E64F9D">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列出进行的具体动物试验；</w:t>
      </w:r>
    </w:p>
    <w:p w14:paraId="39892B1A">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描述每个试验方案</w:t>
      </w:r>
    </w:p>
    <w:p w14:paraId="5E4761F4">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总结结果；</w:t>
      </w:r>
    </w:p>
    <w:p w14:paraId="7385C1DA">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描述您的分析；和</w:t>
      </w:r>
    </w:p>
    <w:p w14:paraId="6D6ABDD5">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讨论你的结论。</w:t>
      </w:r>
    </w:p>
    <w:p w14:paraId="3301751D">
      <w:pPr>
        <w:shd w:val="clear" w:color="auto" w:fill="FFFFFF"/>
        <w:snapToGrid w:val="0"/>
        <w:jc w:val="both"/>
        <w:rPr>
          <w:rFonts w:eastAsia="宋体"/>
          <w:color w:val="000000"/>
          <w:sz w:val="24"/>
          <w:szCs w:val="24"/>
        </w:rPr>
      </w:pPr>
    </w:p>
    <w:p w14:paraId="59F6A031">
      <w:pPr>
        <w:shd w:val="clear" w:color="auto" w:fill="FFFFFF"/>
        <w:snapToGrid w:val="0"/>
        <w:jc w:val="both"/>
        <w:rPr>
          <w:rFonts w:eastAsia="宋体"/>
          <w:color w:val="000000"/>
          <w:sz w:val="24"/>
          <w:szCs w:val="24"/>
        </w:rPr>
      </w:pPr>
      <w:r>
        <w:rPr>
          <w:rFonts w:hint="eastAsia" w:eastAsia="宋体"/>
          <w:color w:val="000000"/>
          <w:sz w:val="24"/>
          <w:szCs w:val="24"/>
        </w:rPr>
        <w:t>试验</w:t>
      </w:r>
      <w:r>
        <w:rPr>
          <w:rFonts w:eastAsia="宋体"/>
          <w:color w:val="000000"/>
          <w:sz w:val="24"/>
          <w:szCs w:val="24"/>
        </w:rPr>
        <w:t>方案的描述应确定：</w:t>
      </w:r>
    </w:p>
    <w:p w14:paraId="656C5CA7">
      <w:pPr>
        <w:shd w:val="clear" w:color="auto" w:fill="FFFFFF"/>
        <w:snapToGrid w:val="0"/>
        <w:jc w:val="both"/>
        <w:rPr>
          <w:rFonts w:eastAsia="宋体"/>
          <w:sz w:val="24"/>
          <w:szCs w:val="24"/>
        </w:rPr>
      </w:pPr>
    </w:p>
    <w:p w14:paraId="092B5F3E">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试验目标；</w:t>
      </w:r>
    </w:p>
    <w:p w14:paraId="5FF18891">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试验中使用的供试品；</w:t>
      </w:r>
    </w:p>
    <w:p w14:paraId="5011019C">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试验方法和程序（包括任何特定试验条件）；</w:t>
      </w:r>
    </w:p>
    <w:p w14:paraId="37779CD5">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研究终点，即测量的特定参数；和</w:t>
      </w:r>
    </w:p>
    <w:p w14:paraId="02C86515">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预定义的可接受或通过/不通过标准。</w:t>
      </w:r>
    </w:p>
    <w:p w14:paraId="5CDA97F7">
      <w:pPr>
        <w:shd w:val="clear" w:color="auto" w:fill="FFFFFF"/>
        <w:snapToGrid w:val="0"/>
        <w:jc w:val="both"/>
        <w:rPr>
          <w:rFonts w:eastAsia="宋体"/>
          <w:color w:val="000000"/>
          <w:sz w:val="24"/>
          <w:szCs w:val="24"/>
        </w:rPr>
      </w:pPr>
    </w:p>
    <w:p w14:paraId="4904C78F">
      <w:pPr>
        <w:shd w:val="clear" w:color="auto" w:fill="FFFFFF"/>
        <w:snapToGrid w:val="0"/>
        <w:jc w:val="both"/>
        <w:rPr>
          <w:rFonts w:eastAsia="宋体"/>
          <w:color w:val="000000"/>
          <w:sz w:val="24"/>
          <w:szCs w:val="24"/>
        </w:rPr>
      </w:pPr>
      <w:r>
        <w:rPr>
          <w:rFonts w:eastAsia="宋体"/>
          <w:color w:val="000000"/>
          <w:sz w:val="24"/>
          <w:szCs w:val="24"/>
        </w:rPr>
        <w:t>在您的结果和分析摘要中，我们建议您以清晰简洁的形式（如表格）简要介绍从测试中获得的数据。</w:t>
      </w:r>
    </w:p>
    <w:p w14:paraId="576887D9">
      <w:pPr>
        <w:shd w:val="clear" w:color="auto" w:fill="FFFFFF"/>
        <w:snapToGrid w:val="0"/>
        <w:jc w:val="both"/>
        <w:rPr>
          <w:rFonts w:eastAsia="宋体"/>
          <w:sz w:val="24"/>
          <w:szCs w:val="24"/>
        </w:rPr>
      </w:pPr>
    </w:p>
    <w:p w14:paraId="603073EF">
      <w:pPr>
        <w:shd w:val="clear" w:color="auto" w:fill="FFFFFF"/>
        <w:snapToGrid w:val="0"/>
        <w:jc w:val="both"/>
        <w:rPr>
          <w:rFonts w:eastAsia="宋体"/>
          <w:sz w:val="24"/>
          <w:szCs w:val="24"/>
        </w:rPr>
      </w:pPr>
      <w:bookmarkStart w:id="53" w:name="bookmark60"/>
      <w:bookmarkEnd w:id="53"/>
      <w:r>
        <w:rPr>
          <w:rFonts w:eastAsia="宋体"/>
          <w:color w:val="000000"/>
          <w:sz w:val="24"/>
          <w:szCs w:val="24"/>
        </w:rPr>
        <w:t>我们还建议您的结论描述与实质等同器械在实质等同性方面的任何比较测试。</w:t>
      </w:r>
    </w:p>
    <w:p w14:paraId="3DDC8B70">
      <w:pPr>
        <w:pStyle w:val="3"/>
        <w:spacing w:before="240" w:after="120"/>
      </w:pPr>
      <w:bookmarkStart w:id="54" w:name="_Toc97492923"/>
      <w:r>
        <w:t>(20)</w:t>
      </w:r>
      <w:r>
        <w:tab/>
      </w:r>
      <w:r>
        <w:t>性能测试-临床</w:t>
      </w:r>
      <w:bookmarkEnd w:id="54"/>
    </w:p>
    <w:p w14:paraId="50DE2BF1">
      <w:pPr>
        <w:shd w:val="clear" w:color="auto" w:fill="FFFFFF"/>
        <w:snapToGrid w:val="0"/>
        <w:jc w:val="both"/>
        <w:rPr>
          <w:rFonts w:eastAsia="宋体"/>
          <w:sz w:val="24"/>
          <w:szCs w:val="24"/>
        </w:rPr>
      </w:pPr>
      <w:r>
        <w:rPr>
          <w:rFonts w:eastAsia="宋体"/>
          <w:color w:val="000000"/>
          <w:sz w:val="24"/>
          <w:szCs w:val="24"/>
        </w:rPr>
        <w:t>如果您提交临床研究结果以证明实质等同性，我们建议您在本节中包括以下信息。如果该器械是体外诊断器械（IVD），请参考FDA指南的适用章节</w:t>
      </w:r>
      <w:r>
        <w:rPr>
          <w:rFonts w:ascii="宋体" w:hAnsi="宋体" w:eastAsia="宋体"/>
          <w:color w:val="000000"/>
          <w:sz w:val="24"/>
          <w:szCs w:val="24"/>
        </w:rPr>
        <w:t>“</w:t>
      </w:r>
      <w:r>
        <w:rPr>
          <w:rFonts w:eastAsia="宋体"/>
          <w:color w:val="0000FF"/>
          <w:sz w:val="24"/>
          <w:szCs w:val="24"/>
        </w:rPr>
        <w:t>拒绝接受510（k）</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37"/>
      </w:r>
      <w:r>
        <w:rPr>
          <w:rFonts w:eastAsia="宋体"/>
          <w:color w:val="000000"/>
          <w:sz w:val="24"/>
          <w:szCs w:val="24"/>
        </w:rPr>
        <w:t xml:space="preserve"> 和可在</w:t>
      </w:r>
      <w:r>
        <w:rPr>
          <w:rFonts w:eastAsia="宋体"/>
          <w:color w:val="0000FF"/>
          <w:sz w:val="24"/>
          <w:szCs w:val="24"/>
          <w:u w:val="single"/>
        </w:rPr>
        <w:t>FDA指南网站</w:t>
      </w:r>
      <w:r>
        <w:rPr>
          <w:rFonts w:eastAsia="宋体"/>
          <w:color w:val="000000"/>
          <w:sz w:val="24"/>
          <w:szCs w:val="24"/>
        </w:rPr>
        <w:t>上找到的IVD器械特定指南。</w:t>
      </w:r>
      <w:r>
        <w:rPr>
          <w:rFonts w:eastAsia="宋体"/>
          <w:color w:val="000000"/>
          <w:sz w:val="24"/>
          <w:szCs w:val="24"/>
          <w:vertAlign w:val="superscript"/>
        </w:rPr>
        <w:t>35</w:t>
      </w:r>
    </w:p>
    <w:p w14:paraId="764897BC">
      <w:pPr>
        <w:shd w:val="clear" w:color="auto" w:fill="FFFFFF"/>
        <w:snapToGrid w:val="0"/>
        <w:jc w:val="both"/>
        <w:rPr>
          <w:rFonts w:eastAsia="宋体"/>
          <w:sz w:val="24"/>
          <w:szCs w:val="24"/>
        </w:rPr>
      </w:pPr>
    </w:p>
    <w:p w14:paraId="59F209AC">
      <w:pPr>
        <w:shd w:val="clear" w:color="auto" w:fill="FFFFFF"/>
        <w:snapToGrid w:val="0"/>
        <w:jc w:val="both"/>
        <w:rPr>
          <w:rFonts w:eastAsia="宋体"/>
          <w:sz w:val="21"/>
          <w:szCs w:val="21"/>
        </w:rPr>
      </w:pPr>
    </w:p>
    <w:p w14:paraId="3569E76C">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ADFEF34">
      <w:pPr>
        <w:shd w:val="clear" w:color="auto" w:fill="FFFFFF"/>
        <w:snapToGrid w:val="0"/>
        <w:jc w:val="both"/>
        <w:rPr>
          <w:rFonts w:eastAsia="宋体"/>
          <w:color w:val="000000"/>
          <w:sz w:val="24"/>
          <w:szCs w:val="24"/>
        </w:rPr>
      </w:pPr>
      <w:r>
        <w:rPr>
          <w:rFonts w:eastAsia="宋体"/>
          <w:color w:val="000000"/>
          <w:sz w:val="24"/>
          <w:szCs w:val="24"/>
        </w:rPr>
        <w:t>所提出的替代方案得到充分的科学理由支持时，FDA将考虑临床研究的替代方案。我们对临床试验的建议通常取决于许多因素，包括器械类型、预期用途、设计、安全性和临床经验。</w:t>
      </w:r>
    </w:p>
    <w:p w14:paraId="3BE876FB">
      <w:pPr>
        <w:shd w:val="clear" w:color="auto" w:fill="FFFFFF"/>
        <w:snapToGrid w:val="0"/>
        <w:jc w:val="both"/>
        <w:rPr>
          <w:rFonts w:eastAsia="宋体"/>
          <w:sz w:val="24"/>
          <w:szCs w:val="24"/>
        </w:rPr>
      </w:pPr>
    </w:p>
    <w:p w14:paraId="602953E6">
      <w:pPr>
        <w:shd w:val="clear" w:color="auto" w:fill="FFFFFF"/>
        <w:snapToGrid w:val="0"/>
        <w:jc w:val="both"/>
        <w:rPr>
          <w:rFonts w:eastAsia="宋体"/>
          <w:color w:val="000000"/>
          <w:sz w:val="24"/>
          <w:szCs w:val="24"/>
        </w:rPr>
      </w:pPr>
      <w:r>
        <w:rPr>
          <w:rFonts w:eastAsia="宋体"/>
          <w:color w:val="000000"/>
          <w:sz w:val="24"/>
          <w:szCs w:val="24"/>
        </w:rPr>
        <w:t>一般而言，所有描述临床研究的提交资料应包括以下信息；但是，如果有相关的器械</w:t>
      </w:r>
      <w:r>
        <w:rPr>
          <w:rFonts w:hint="eastAsia" w:eastAsia="宋体"/>
          <w:color w:val="000000"/>
          <w:sz w:val="24"/>
          <w:szCs w:val="24"/>
        </w:rPr>
        <w:t>特定</w:t>
      </w:r>
      <w:r>
        <w:rPr>
          <w:rFonts w:eastAsia="宋体"/>
          <w:color w:val="000000"/>
          <w:sz w:val="24"/>
          <w:szCs w:val="24"/>
        </w:rPr>
        <w:t>指南，则应遵循该指南文档中的建议。负责审查您的器械的部门也可以帮助您解决有关研究的任何问题。</w:t>
      </w:r>
    </w:p>
    <w:p w14:paraId="2C847ACB">
      <w:pPr>
        <w:shd w:val="clear" w:color="auto" w:fill="FFFFFF"/>
        <w:snapToGrid w:val="0"/>
        <w:jc w:val="both"/>
        <w:rPr>
          <w:rFonts w:eastAsia="宋体"/>
          <w:sz w:val="24"/>
          <w:szCs w:val="24"/>
        </w:rPr>
      </w:pPr>
    </w:p>
    <w:p w14:paraId="71678839">
      <w:pPr>
        <w:shd w:val="clear" w:color="auto" w:fill="FFFFFF"/>
        <w:snapToGrid w:val="0"/>
        <w:jc w:val="both"/>
        <w:rPr>
          <w:rFonts w:eastAsia="宋体"/>
          <w:color w:val="000000"/>
          <w:sz w:val="24"/>
          <w:szCs w:val="24"/>
        </w:rPr>
      </w:pPr>
      <w:r>
        <w:rPr>
          <w:rFonts w:eastAsia="宋体"/>
          <w:color w:val="000000"/>
          <w:sz w:val="24"/>
          <w:szCs w:val="24"/>
        </w:rPr>
        <w:t>如果您提交的文件描述了临床研究，我们建议您提供临床方案，以确定：</w:t>
      </w:r>
    </w:p>
    <w:p w14:paraId="2BE1E1AD">
      <w:pPr>
        <w:shd w:val="clear" w:color="auto" w:fill="FFFFFF"/>
        <w:snapToGrid w:val="0"/>
        <w:jc w:val="both"/>
        <w:rPr>
          <w:rFonts w:eastAsia="宋体"/>
          <w:sz w:val="24"/>
          <w:szCs w:val="24"/>
        </w:rPr>
      </w:pPr>
    </w:p>
    <w:p w14:paraId="139B8424">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试验目标；</w:t>
      </w:r>
    </w:p>
    <w:p w14:paraId="502907D5">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试验方法和程序（包括任何特定试验条件）；</w:t>
      </w:r>
    </w:p>
    <w:p w14:paraId="511E5D68">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研究终点（通常包括安全性和有效性）；和</w:t>
      </w:r>
    </w:p>
    <w:p w14:paraId="14F22F42">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使用的统计方法。</w:t>
      </w:r>
    </w:p>
    <w:p w14:paraId="2A0BAD9A">
      <w:pPr>
        <w:shd w:val="clear" w:color="auto" w:fill="FFFFFF"/>
        <w:snapToGrid w:val="0"/>
        <w:jc w:val="both"/>
        <w:rPr>
          <w:rFonts w:eastAsia="宋体"/>
          <w:color w:val="000000"/>
          <w:sz w:val="24"/>
          <w:szCs w:val="24"/>
        </w:rPr>
      </w:pPr>
    </w:p>
    <w:p w14:paraId="1D0FB062">
      <w:pPr>
        <w:shd w:val="clear" w:color="auto" w:fill="FFFFFF"/>
        <w:snapToGrid w:val="0"/>
        <w:jc w:val="both"/>
        <w:rPr>
          <w:rFonts w:eastAsia="宋体"/>
          <w:color w:val="000000"/>
          <w:sz w:val="24"/>
          <w:szCs w:val="24"/>
        </w:rPr>
      </w:pPr>
      <w:r>
        <w:rPr>
          <w:rFonts w:eastAsia="宋体"/>
          <w:color w:val="000000"/>
          <w:sz w:val="24"/>
          <w:szCs w:val="24"/>
        </w:rPr>
        <w:t>此外，我们建议您讨论研究结果、进行的分析（包括统计学分析，视情况而定）和结论。我们还建议您的结论讨论与实质等同器械在实质等同方面的任何比较测试。</w:t>
      </w:r>
    </w:p>
    <w:p w14:paraId="7DEE655B">
      <w:pPr>
        <w:shd w:val="clear" w:color="auto" w:fill="FFFFFF"/>
        <w:snapToGrid w:val="0"/>
        <w:jc w:val="both"/>
        <w:rPr>
          <w:rFonts w:eastAsia="宋体"/>
          <w:sz w:val="24"/>
          <w:szCs w:val="24"/>
        </w:rPr>
      </w:pPr>
    </w:p>
    <w:p w14:paraId="3DB35862">
      <w:pPr>
        <w:shd w:val="clear" w:color="auto" w:fill="FFFFFF"/>
        <w:snapToGrid w:val="0"/>
        <w:jc w:val="both"/>
        <w:rPr>
          <w:rFonts w:eastAsia="宋体"/>
          <w:color w:val="000000"/>
          <w:sz w:val="24"/>
          <w:szCs w:val="24"/>
        </w:rPr>
      </w:pPr>
      <w:r>
        <w:rPr>
          <w:rFonts w:eastAsia="宋体"/>
          <w:color w:val="000000"/>
          <w:sz w:val="24"/>
          <w:szCs w:val="24"/>
        </w:rPr>
        <w:t>对于申报资料中包含的每个适用器械临床试验，您必须包括符合临床试验要求的认证。政府数据库</w:t>
      </w:r>
      <w:r>
        <w:rPr>
          <w:rFonts w:eastAsia="宋体"/>
          <w:color w:val="0000FF"/>
          <w:sz w:val="24"/>
          <w:szCs w:val="24"/>
        </w:rPr>
        <w:t>（</w:t>
      </w:r>
      <w:r>
        <w:rPr>
          <w:rFonts w:eastAsia="宋体"/>
          <w:color w:val="0000FF"/>
          <w:sz w:val="24"/>
          <w:szCs w:val="24"/>
          <w:u w:val="single"/>
        </w:rPr>
        <w:t>FDA 3674表格</w:t>
      </w:r>
      <w:r>
        <w:rPr>
          <w:rStyle w:val="16"/>
          <w:rFonts w:eastAsia="宋体"/>
          <w:color w:val="000000" w:themeColor="text1"/>
          <w:sz w:val="24"/>
          <w:szCs w:val="24"/>
        </w:rPr>
        <w:footnoteReference w:id="38"/>
      </w:r>
      <w:r>
        <w:rPr>
          <w:rFonts w:eastAsia="宋体"/>
          <w:color w:val="000000"/>
          <w:sz w:val="24"/>
          <w:szCs w:val="24"/>
        </w:rPr>
        <w:t>）（42 U.S.C.282（j）（5）（B））。</w:t>
      </w:r>
    </w:p>
    <w:p w14:paraId="2452790D">
      <w:pPr>
        <w:shd w:val="clear" w:color="auto" w:fill="FFFFFF"/>
        <w:snapToGrid w:val="0"/>
        <w:jc w:val="both"/>
        <w:rPr>
          <w:rFonts w:eastAsia="宋体"/>
          <w:sz w:val="24"/>
          <w:szCs w:val="24"/>
        </w:rPr>
      </w:pPr>
    </w:p>
    <w:p w14:paraId="0AFAAC36">
      <w:pPr>
        <w:shd w:val="clear" w:color="auto" w:fill="FFFFFF"/>
        <w:snapToGrid w:val="0"/>
        <w:jc w:val="both"/>
        <w:rPr>
          <w:rFonts w:eastAsia="宋体"/>
          <w:color w:val="000000"/>
          <w:sz w:val="24"/>
          <w:szCs w:val="24"/>
        </w:rPr>
      </w:pPr>
      <w:r>
        <w:rPr>
          <w:rFonts w:eastAsia="宋体"/>
          <w:color w:val="000000"/>
          <w:sz w:val="24"/>
          <w:szCs w:val="24"/>
        </w:rPr>
        <w:t>如果您的研究被认为存在重大风险，</w:t>
      </w:r>
      <w:r>
        <w:rPr>
          <w:rStyle w:val="16"/>
          <w:rFonts w:eastAsia="宋体"/>
          <w:color w:val="000000" w:themeColor="text1"/>
          <w:sz w:val="24"/>
          <w:szCs w:val="24"/>
        </w:rPr>
        <w:t xml:space="preserve"> </w:t>
      </w:r>
      <w:r>
        <w:rPr>
          <w:rStyle w:val="16"/>
          <w:rFonts w:eastAsia="宋体"/>
          <w:color w:val="000000" w:themeColor="text1"/>
          <w:sz w:val="24"/>
          <w:szCs w:val="24"/>
        </w:rPr>
        <w:footnoteReference w:id="39"/>
      </w:r>
      <w:r>
        <w:rPr>
          <w:rFonts w:eastAsia="宋体"/>
          <w:color w:val="000000"/>
          <w:sz w:val="24"/>
          <w:szCs w:val="24"/>
        </w:rPr>
        <w:t xml:space="preserve">该研究必须根据21 CFR第812部分的IDE法规进行。但是，如果您的研究被认为无重大风险，则该研究应符合21 CFR第812.2（b）部分的简要要求。 </w:t>
      </w:r>
    </w:p>
    <w:p w14:paraId="4DAD47D7">
      <w:pPr>
        <w:shd w:val="clear" w:color="auto" w:fill="FFFFFF"/>
        <w:snapToGrid w:val="0"/>
        <w:jc w:val="both"/>
        <w:rPr>
          <w:rFonts w:eastAsia="宋体"/>
          <w:sz w:val="24"/>
          <w:szCs w:val="24"/>
        </w:rPr>
      </w:pPr>
    </w:p>
    <w:p w14:paraId="0BA9F41A">
      <w:pPr>
        <w:shd w:val="clear" w:color="auto" w:fill="FFFFFF"/>
        <w:snapToGrid w:val="0"/>
        <w:jc w:val="both"/>
        <w:rPr>
          <w:rFonts w:eastAsia="宋体"/>
          <w:color w:val="000000"/>
          <w:sz w:val="24"/>
          <w:szCs w:val="24"/>
        </w:rPr>
      </w:pPr>
      <w:r>
        <w:rPr>
          <w:rFonts w:eastAsia="宋体"/>
          <w:color w:val="000000"/>
          <w:sz w:val="24"/>
          <w:szCs w:val="24"/>
        </w:rPr>
        <w:t>在所有情况下，临床试验的申办者必须遵守机构审查委员会（21 CFR第56部分）和知情同意（21 CFR第50部分）的规定。</w:t>
      </w:r>
    </w:p>
    <w:p w14:paraId="120639A1">
      <w:pPr>
        <w:shd w:val="clear" w:color="auto" w:fill="FFFFFF"/>
        <w:snapToGrid w:val="0"/>
        <w:jc w:val="both"/>
        <w:rPr>
          <w:rFonts w:eastAsia="宋体"/>
          <w:sz w:val="24"/>
          <w:szCs w:val="24"/>
        </w:rPr>
      </w:pPr>
    </w:p>
    <w:p w14:paraId="13DD8119">
      <w:pPr>
        <w:shd w:val="clear" w:color="auto" w:fill="FFFFFF"/>
        <w:snapToGrid w:val="0"/>
        <w:jc w:val="both"/>
        <w:rPr>
          <w:rFonts w:eastAsia="宋体"/>
          <w:sz w:val="24"/>
          <w:szCs w:val="24"/>
        </w:rPr>
      </w:pPr>
      <w:r>
        <w:rPr>
          <w:rFonts w:eastAsia="宋体"/>
          <w:color w:val="000000"/>
          <w:sz w:val="24"/>
          <w:szCs w:val="24"/>
        </w:rPr>
        <w:t>当提交在美国境外进行的临床研究的数据给FDA时，21 CFR 812.28的要求可能适用。21 CFR 812.28概述了FDA接受美国境外研究的临床数据以支持上市前申请的条件。有关更多信息，请参见FDA指南</w:t>
      </w:r>
      <w:r>
        <w:rPr>
          <w:rFonts w:ascii="宋体" w:hAnsi="宋体" w:eastAsia="宋体"/>
          <w:color w:val="000000"/>
          <w:sz w:val="24"/>
          <w:szCs w:val="24"/>
        </w:rPr>
        <w:t>“</w:t>
      </w:r>
      <w:r>
        <w:rPr>
          <w:rFonts w:eastAsia="宋体"/>
          <w:color w:val="0000FF"/>
          <w:sz w:val="24"/>
          <w:szCs w:val="24"/>
          <w:u w:val="single"/>
        </w:rPr>
        <w:t>接受临床数据以支持医疗器械申请和提交：常见问题</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40"/>
      </w:r>
    </w:p>
    <w:p w14:paraId="33AE6AFC">
      <w:pPr>
        <w:shd w:val="clear" w:color="auto" w:fill="FFFFFF"/>
        <w:snapToGrid w:val="0"/>
        <w:jc w:val="both"/>
        <w:rPr>
          <w:rFonts w:eastAsia="宋体"/>
          <w:sz w:val="24"/>
          <w:szCs w:val="24"/>
        </w:rPr>
      </w:pPr>
    </w:p>
    <w:p w14:paraId="454B034A">
      <w:pPr>
        <w:shd w:val="clear" w:color="auto" w:fill="FFFFFF"/>
        <w:tabs>
          <w:tab w:val="left" w:pos="182"/>
        </w:tabs>
        <w:snapToGrid w:val="0"/>
        <w:jc w:val="both"/>
        <w:rPr>
          <w:rFonts w:eastAsia="宋体"/>
          <w:color w:val="000000"/>
          <w:sz w:val="21"/>
          <w:szCs w:val="21"/>
          <w:vertAlign w:val="superscript"/>
        </w:rPr>
      </w:pPr>
    </w:p>
    <w:p w14:paraId="69C9FB22">
      <w:pPr>
        <w:shd w:val="clear" w:color="auto" w:fill="FFFFFF"/>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4B42B9C">
      <w:pPr>
        <w:pStyle w:val="2"/>
        <w:spacing w:before="240" w:after="240"/>
        <w:rPr>
          <w:rFonts w:eastAsia="宋体"/>
        </w:rPr>
      </w:pPr>
      <w:bookmarkStart w:id="55" w:name="bookmark64"/>
      <w:bookmarkStart w:id="56" w:name="_Toc97492924"/>
      <w:r>
        <w:rPr>
          <w:rFonts w:eastAsia="宋体"/>
        </w:rPr>
        <w:t>V</w:t>
      </w:r>
      <w:bookmarkEnd w:id="55"/>
      <w:r>
        <w:rPr>
          <w:rFonts w:eastAsia="宋体"/>
        </w:rPr>
        <w:t>I.</w:t>
      </w:r>
      <w:r>
        <w:rPr>
          <w:rFonts w:eastAsia="宋体"/>
        </w:rPr>
        <w:tab/>
      </w:r>
      <w:r>
        <w:rPr>
          <w:rFonts w:eastAsia="宋体"/>
        </w:rPr>
        <w:t>摘要：传统或简化510（k）中的建议章节及相关信息</w:t>
      </w:r>
      <w:bookmarkEnd w:id="56"/>
    </w:p>
    <w:p w14:paraId="0EF9B480">
      <w:pPr>
        <w:snapToGrid w:val="0"/>
        <w:jc w:val="both"/>
        <w:rPr>
          <w:rFonts w:eastAsia="宋体"/>
          <w:sz w:val="24"/>
          <w:szCs w:val="24"/>
        </w:rPr>
      </w:pPr>
      <w:r>
        <w:rPr>
          <w:rFonts w:eastAsia="宋体"/>
          <w:color w:val="000000"/>
          <w:sz w:val="24"/>
          <w:szCs w:val="24"/>
        </w:rPr>
        <w:t>下表列出了我们建议采用传统或简化510（k）申报资料的章节。该表还包括该章节的相关信息和额外资源（例如，指南文件链接）。</w:t>
      </w:r>
    </w:p>
    <w:p w14:paraId="1C8E4827">
      <w:pPr>
        <w:snapToGrid w:val="0"/>
        <w:jc w:val="both"/>
        <w:rPr>
          <w:rFonts w:eastAsia="宋体"/>
          <w:sz w:val="24"/>
          <w:szCs w:val="24"/>
        </w:rPr>
      </w:pPr>
    </w:p>
    <w:tbl>
      <w:tblPr>
        <w:tblStyle w:val="12"/>
        <w:tblW w:w="5000" w:type="pct"/>
        <w:tblInd w:w="40" w:type="dxa"/>
        <w:tblLayout w:type="fixed"/>
        <w:tblCellMar>
          <w:top w:w="0" w:type="dxa"/>
          <w:left w:w="40" w:type="dxa"/>
          <w:bottom w:w="0" w:type="dxa"/>
          <w:right w:w="40" w:type="dxa"/>
        </w:tblCellMar>
      </w:tblPr>
      <w:tblGrid>
        <w:gridCol w:w="972"/>
        <w:gridCol w:w="3231"/>
        <w:gridCol w:w="4983"/>
      </w:tblGrid>
      <w:tr w14:paraId="1B1B6B81">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1972B5BF">
            <w:pPr>
              <w:snapToGrid w:val="0"/>
              <w:rPr>
                <w:rFonts w:eastAsia="宋体"/>
                <w:sz w:val="21"/>
                <w:szCs w:val="21"/>
              </w:rPr>
            </w:pPr>
            <w:r>
              <w:rPr>
                <w:rFonts w:eastAsia="宋体"/>
                <w:b/>
                <w:bCs/>
                <w:color w:val="000000"/>
                <w:sz w:val="21"/>
                <w:szCs w:val="21"/>
              </w:rPr>
              <w:t>章节</w:t>
            </w:r>
          </w:p>
        </w:tc>
        <w:tc>
          <w:tcPr>
            <w:tcW w:w="3259"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60B30EFE">
            <w:pPr>
              <w:snapToGrid w:val="0"/>
              <w:rPr>
                <w:rFonts w:eastAsia="宋体"/>
                <w:sz w:val="21"/>
                <w:szCs w:val="21"/>
              </w:rPr>
            </w:pPr>
            <w:r>
              <w:rPr>
                <w:rFonts w:eastAsia="宋体"/>
                <w:b/>
                <w:bCs/>
                <w:color w:val="000000"/>
                <w:sz w:val="21"/>
                <w:szCs w:val="21"/>
              </w:rPr>
              <w:t>标题</w:t>
            </w:r>
          </w:p>
        </w:tc>
        <w:tc>
          <w:tcPr>
            <w:tcW w:w="5026"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5052FF5D">
            <w:pPr>
              <w:snapToGrid w:val="0"/>
              <w:rPr>
                <w:rFonts w:eastAsia="宋体"/>
                <w:sz w:val="21"/>
                <w:szCs w:val="21"/>
              </w:rPr>
            </w:pPr>
            <w:r>
              <w:rPr>
                <w:rFonts w:eastAsia="宋体"/>
                <w:b/>
                <w:bCs/>
                <w:color w:val="000000"/>
                <w:sz w:val="21"/>
                <w:szCs w:val="21"/>
              </w:rPr>
              <w:t>相关信息</w:t>
            </w:r>
          </w:p>
        </w:tc>
      </w:tr>
      <w:tr w14:paraId="4AFFBECA">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F7E9BE">
            <w:pPr>
              <w:snapToGrid w:val="0"/>
              <w:rPr>
                <w:rFonts w:eastAsia="宋体"/>
                <w:sz w:val="21"/>
                <w:szCs w:val="21"/>
              </w:rPr>
            </w:pPr>
            <w:r>
              <w:rPr>
                <w:rFonts w:eastAsia="宋体"/>
                <w:color w:val="000000"/>
                <w:sz w:val="21"/>
                <w:szCs w:val="21"/>
              </w:rPr>
              <w:t>1</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CEC224">
            <w:pPr>
              <w:snapToGrid w:val="0"/>
              <w:rPr>
                <w:rFonts w:eastAsia="宋体"/>
                <w:sz w:val="21"/>
                <w:szCs w:val="21"/>
              </w:rPr>
            </w:pPr>
            <w:r>
              <w:rPr>
                <w:rFonts w:eastAsia="宋体"/>
                <w:color w:val="000000"/>
                <w:sz w:val="21"/>
                <w:szCs w:val="21"/>
              </w:rPr>
              <w:t>医疗器械用户付费修正案（MDUFA）封页</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FAA7B0">
            <w:pPr>
              <w:snapToGrid w:val="0"/>
              <w:rPr>
                <w:rFonts w:eastAsia="宋体"/>
                <w:sz w:val="21"/>
                <w:szCs w:val="21"/>
              </w:rPr>
            </w:pPr>
            <w:r>
              <w:rPr>
                <w:rFonts w:eastAsia="宋体"/>
                <w:color w:val="0000FF"/>
                <w:sz w:val="21"/>
                <w:szCs w:val="21"/>
                <w:u w:val="single"/>
              </w:rPr>
              <w:t>医疗器械用户付费封页</w:t>
            </w:r>
            <w:r>
              <w:rPr>
                <w:rFonts w:eastAsia="宋体"/>
                <w:color w:val="000000"/>
                <w:sz w:val="21"/>
                <w:szCs w:val="21"/>
                <w:vertAlign w:val="superscript"/>
              </w:rPr>
              <w:t>9</w:t>
            </w:r>
          </w:p>
        </w:tc>
      </w:tr>
      <w:tr w14:paraId="541F9E15">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471988">
            <w:pPr>
              <w:snapToGrid w:val="0"/>
              <w:rPr>
                <w:rFonts w:eastAsia="宋体"/>
                <w:sz w:val="21"/>
                <w:szCs w:val="21"/>
              </w:rPr>
            </w:pPr>
            <w:r>
              <w:rPr>
                <w:rFonts w:eastAsia="宋体"/>
                <w:color w:val="000000"/>
                <w:sz w:val="21"/>
                <w:szCs w:val="21"/>
              </w:rPr>
              <w:t>2</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AB618E">
            <w:pPr>
              <w:snapToGrid w:val="0"/>
              <w:rPr>
                <w:rFonts w:eastAsia="宋体"/>
                <w:sz w:val="21"/>
                <w:szCs w:val="21"/>
              </w:rPr>
            </w:pPr>
            <w:r>
              <w:rPr>
                <w:rFonts w:eastAsia="宋体"/>
                <w:color w:val="000000"/>
                <w:sz w:val="21"/>
                <w:szCs w:val="21"/>
              </w:rPr>
              <w:t>CDRH上市前审查申请封页</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CA54B0">
            <w:pPr>
              <w:snapToGrid w:val="0"/>
              <w:rPr>
                <w:rFonts w:eastAsia="宋体"/>
                <w:sz w:val="21"/>
                <w:szCs w:val="21"/>
              </w:rPr>
            </w:pPr>
            <w:r>
              <w:rPr>
                <w:rFonts w:eastAsia="宋体"/>
                <w:color w:val="0000FF"/>
                <w:sz w:val="21"/>
                <w:szCs w:val="21"/>
                <w:u w:val="single"/>
              </w:rPr>
              <w:t>CDRH上市前审查申请封页</w:t>
            </w:r>
            <w:r>
              <w:rPr>
                <w:rFonts w:eastAsia="宋体"/>
                <w:color w:val="000000"/>
                <w:sz w:val="21"/>
                <w:szCs w:val="21"/>
                <w:vertAlign w:val="superscript"/>
              </w:rPr>
              <w:t>11</w:t>
            </w:r>
          </w:p>
        </w:tc>
      </w:tr>
      <w:tr w14:paraId="64357213">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0063AB">
            <w:pPr>
              <w:snapToGrid w:val="0"/>
              <w:rPr>
                <w:rFonts w:eastAsia="宋体"/>
                <w:sz w:val="21"/>
                <w:szCs w:val="21"/>
              </w:rPr>
            </w:pPr>
            <w:r>
              <w:rPr>
                <w:rFonts w:eastAsia="宋体"/>
                <w:color w:val="000000"/>
                <w:sz w:val="21"/>
                <w:szCs w:val="21"/>
              </w:rPr>
              <w:t>3</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FC815F">
            <w:pPr>
              <w:snapToGrid w:val="0"/>
              <w:rPr>
                <w:rFonts w:eastAsia="宋体"/>
                <w:sz w:val="21"/>
                <w:szCs w:val="21"/>
              </w:rPr>
            </w:pPr>
            <w:r>
              <w:rPr>
                <w:rFonts w:eastAsia="宋体"/>
                <w:color w:val="000000"/>
                <w:sz w:val="21"/>
                <w:szCs w:val="21"/>
              </w:rPr>
              <w:t>510（k）附函</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FBE2B8">
            <w:pPr>
              <w:snapToGrid w:val="0"/>
              <w:rPr>
                <w:rFonts w:eastAsia="宋体"/>
                <w:sz w:val="21"/>
                <w:szCs w:val="21"/>
              </w:rPr>
            </w:pPr>
            <w:r>
              <w:rPr>
                <w:rFonts w:eastAsia="宋体"/>
                <w:color w:val="000000"/>
                <w:sz w:val="21"/>
                <w:szCs w:val="21"/>
              </w:rPr>
              <w:t>本指南附录A</w:t>
            </w:r>
          </w:p>
        </w:tc>
      </w:tr>
      <w:tr w14:paraId="6FD611E9">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663CCF">
            <w:pPr>
              <w:snapToGrid w:val="0"/>
              <w:rPr>
                <w:rFonts w:eastAsia="宋体"/>
                <w:sz w:val="21"/>
                <w:szCs w:val="21"/>
              </w:rPr>
            </w:pPr>
            <w:r>
              <w:rPr>
                <w:rFonts w:eastAsia="宋体"/>
                <w:color w:val="000000"/>
                <w:sz w:val="21"/>
                <w:szCs w:val="21"/>
              </w:rPr>
              <w:t>4</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37BF57">
            <w:pPr>
              <w:snapToGrid w:val="0"/>
              <w:rPr>
                <w:rFonts w:eastAsia="宋体"/>
                <w:sz w:val="21"/>
                <w:szCs w:val="21"/>
              </w:rPr>
            </w:pPr>
            <w:r>
              <w:rPr>
                <w:rFonts w:eastAsia="宋体"/>
                <w:color w:val="000000"/>
                <w:sz w:val="21"/>
                <w:szCs w:val="21"/>
              </w:rPr>
              <w:t>使用适应证声明</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B46D68">
            <w:pPr>
              <w:snapToGrid w:val="0"/>
              <w:rPr>
                <w:rFonts w:eastAsia="宋体"/>
                <w:sz w:val="21"/>
                <w:szCs w:val="21"/>
              </w:rPr>
            </w:pPr>
            <w:r>
              <w:rPr>
                <w:rFonts w:eastAsia="宋体"/>
                <w:color w:val="0000FF"/>
                <w:sz w:val="21"/>
                <w:szCs w:val="21"/>
                <w:u w:val="single"/>
              </w:rPr>
              <w:t>使用说明（FDA 3881 表格）</w:t>
            </w:r>
            <w:r>
              <w:rPr>
                <w:rFonts w:eastAsia="宋体"/>
                <w:color w:val="000000"/>
                <w:sz w:val="21"/>
                <w:szCs w:val="21"/>
                <w:vertAlign w:val="superscript"/>
              </w:rPr>
              <w:t>12</w:t>
            </w:r>
          </w:p>
        </w:tc>
      </w:tr>
      <w:tr w14:paraId="695E8E0B">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79FD67">
            <w:pPr>
              <w:snapToGrid w:val="0"/>
              <w:rPr>
                <w:rFonts w:eastAsia="宋体"/>
                <w:sz w:val="21"/>
                <w:szCs w:val="21"/>
              </w:rPr>
            </w:pPr>
            <w:r>
              <w:rPr>
                <w:rFonts w:eastAsia="宋体"/>
                <w:color w:val="000000"/>
                <w:sz w:val="21"/>
                <w:szCs w:val="21"/>
              </w:rPr>
              <w:t>5</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FAFF4F">
            <w:pPr>
              <w:snapToGrid w:val="0"/>
              <w:rPr>
                <w:rFonts w:eastAsia="宋体"/>
                <w:sz w:val="21"/>
                <w:szCs w:val="21"/>
              </w:rPr>
            </w:pPr>
            <w:r>
              <w:rPr>
                <w:rFonts w:eastAsia="宋体"/>
                <w:color w:val="000000"/>
                <w:sz w:val="21"/>
                <w:szCs w:val="21"/>
              </w:rPr>
              <w:t>510（k）摘要或510（k）声明</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213797">
            <w:pPr>
              <w:snapToGrid w:val="0"/>
              <w:rPr>
                <w:rFonts w:eastAsia="宋体"/>
                <w:sz w:val="21"/>
                <w:szCs w:val="21"/>
              </w:rPr>
            </w:pPr>
            <w:r>
              <w:rPr>
                <w:rFonts w:eastAsia="宋体"/>
                <w:color w:val="0000FF"/>
                <w:sz w:val="21"/>
                <w:szCs w:val="21"/>
              </w:rPr>
              <w:t>器械建议</w:t>
            </w:r>
            <w:r>
              <w:rPr>
                <w:rFonts w:ascii="宋体" w:hAnsi="宋体" w:eastAsia="宋体"/>
                <w:color w:val="0000FF"/>
                <w:sz w:val="21"/>
                <w:szCs w:val="21"/>
              </w:rPr>
              <w:t>“</w:t>
            </w:r>
            <w:r>
              <w:rPr>
                <w:rFonts w:eastAsia="宋体"/>
                <w:color w:val="0000FF"/>
                <w:sz w:val="21"/>
                <w:szCs w:val="21"/>
                <w:u w:val="single"/>
              </w:rPr>
              <w:t>510（k）的内容</w:t>
            </w:r>
            <w:r>
              <w:rPr>
                <w:rFonts w:ascii="宋体" w:hAnsi="宋体" w:eastAsia="宋体"/>
                <w:color w:val="0000FF"/>
                <w:sz w:val="21"/>
                <w:szCs w:val="21"/>
              </w:rPr>
              <w:t>”</w:t>
            </w:r>
            <w:r>
              <w:rPr>
                <w:rFonts w:eastAsia="宋体"/>
                <w:color w:val="0000FF"/>
                <w:sz w:val="21"/>
                <w:szCs w:val="21"/>
              </w:rPr>
              <w:t>第E节</w:t>
            </w:r>
            <w:r>
              <w:rPr>
                <w:rStyle w:val="16"/>
                <w:rFonts w:eastAsia="宋体"/>
                <w:color w:val="000000" w:themeColor="text1"/>
                <w:sz w:val="21"/>
                <w:szCs w:val="21"/>
              </w:rPr>
              <w:footnoteReference w:id="41"/>
            </w:r>
          </w:p>
        </w:tc>
      </w:tr>
      <w:tr w14:paraId="51442DAF">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7C354D">
            <w:pPr>
              <w:snapToGrid w:val="0"/>
              <w:rPr>
                <w:rFonts w:eastAsia="宋体"/>
                <w:sz w:val="21"/>
                <w:szCs w:val="21"/>
              </w:rPr>
            </w:pPr>
            <w:r>
              <w:rPr>
                <w:rFonts w:eastAsia="宋体"/>
                <w:color w:val="000000"/>
                <w:sz w:val="21"/>
                <w:szCs w:val="21"/>
              </w:rPr>
              <w:t>6</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15CE1A">
            <w:pPr>
              <w:snapToGrid w:val="0"/>
              <w:rPr>
                <w:rFonts w:eastAsia="宋体"/>
                <w:sz w:val="21"/>
                <w:szCs w:val="21"/>
              </w:rPr>
            </w:pPr>
            <w:r>
              <w:rPr>
                <w:rFonts w:hint="eastAsia" w:eastAsia="宋体"/>
                <w:color w:val="000000"/>
                <w:sz w:val="21"/>
                <w:szCs w:val="21"/>
              </w:rPr>
              <w:t>真实有效性</w:t>
            </w:r>
            <w:r>
              <w:rPr>
                <w:rFonts w:eastAsia="宋体"/>
                <w:color w:val="000000"/>
                <w:sz w:val="21"/>
                <w:szCs w:val="21"/>
              </w:rPr>
              <w:t>声明</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906A20">
            <w:pPr>
              <w:snapToGrid w:val="0"/>
              <w:rPr>
                <w:rFonts w:eastAsia="宋体"/>
                <w:sz w:val="21"/>
                <w:szCs w:val="21"/>
              </w:rPr>
            </w:pPr>
            <w:r>
              <w:rPr>
                <w:rFonts w:eastAsia="宋体"/>
                <w:color w:val="0000FF"/>
                <w:sz w:val="21"/>
                <w:szCs w:val="21"/>
                <w:u w:val="single"/>
              </w:rPr>
              <w:t>器械建议</w:t>
            </w:r>
            <w:r>
              <w:rPr>
                <w:rFonts w:ascii="宋体" w:hAnsi="宋体" w:eastAsia="宋体"/>
                <w:color w:val="0000FF"/>
                <w:sz w:val="21"/>
                <w:szCs w:val="21"/>
                <w:u w:val="single"/>
              </w:rPr>
              <w:t>“</w:t>
            </w:r>
            <w:r>
              <w:rPr>
                <w:rFonts w:eastAsia="宋体"/>
                <w:color w:val="0000FF"/>
                <w:sz w:val="21"/>
                <w:szCs w:val="21"/>
                <w:u w:val="single"/>
              </w:rPr>
              <w:t>510（k）的内容</w:t>
            </w:r>
            <w:r>
              <w:rPr>
                <w:rFonts w:ascii="宋体" w:hAnsi="宋体" w:eastAsia="宋体"/>
                <w:color w:val="0000FF"/>
                <w:sz w:val="21"/>
                <w:szCs w:val="21"/>
              </w:rPr>
              <w:t>”</w:t>
            </w:r>
            <w:r>
              <w:rPr>
                <w:rFonts w:eastAsia="宋体"/>
                <w:color w:val="0000FF"/>
                <w:sz w:val="21"/>
                <w:szCs w:val="21"/>
              </w:rPr>
              <w:t>第G节</w:t>
            </w:r>
            <w:r>
              <w:rPr>
                <w:rStyle w:val="16"/>
                <w:rFonts w:eastAsia="宋体"/>
                <w:color w:val="000000" w:themeColor="text1"/>
                <w:sz w:val="21"/>
                <w:szCs w:val="21"/>
              </w:rPr>
              <w:footnoteReference w:id="42"/>
            </w:r>
          </w:p>
        </w:tc>
      </w:tr>
      <w:tr w14:paraId="5D5F3B8D">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99672B">
            <w:pPr>
              <w:snapToGrid w:val="0"/>
              <w:rPr>
                <w:rFonts w:eastAsia="宋体"/>
                <w:sz w:val="21"/>
                <w:szCs w:val="21"/>
              </w:rPr>
            </w:pPr>
            <w:r>
              <w:rPr>
                <w:rFonts w:eastAsia="宋体"/>
                <w:color w:val="000000"/>
                <w:sz w:val="21"/>
                <w:szCs w:val="21"/>
              </w:rPr>
              <w:t>7</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17B93B">
            <w:pPr>
              <w:snapToGrid w:val="0"/>
              <w:rPr>
                <w:rFonts w:eastAsia="宋体"/>
                <w:sz w:val="21"/>
                <w:szCs w:val="21"/>
              </w:rPr>
            </w:pPr>
            <w:r>
              <w:rPr>
                <w:rFonts w:eastAsia="宋体"/>
                <w:color w:val="000000"/>
                <w:sz w:val="21"/>
                <w:szCs w:val="21"/>
              </w:rPr>
              <w:t>III类器械总结和认证</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29F9C1">
            <w:pPr>
              <w:snapToGrid w:val="0"/>
              <w:rPr>
                <w:rFonts w:eastAsia="宋体"/>
                <w:sz w:val="21"/>
                <w:szCs w:val="21"/>
              </w:rPr>
            </w:pPr>
            <w:r>
              <w:rPr>
                <w:rFonts w:eastAsia="宋体"/>
                <w:color w:val="0000FF"/>
                <w:sz w:val="21"/>
                <w:szCs w:val="21"/>
                <w:u w:val="single"/>
              </w:rPr>
              <w:t>III类器械总结和认证格式</w:t>
            </w:r>
            <w:r>
              <w:rPr>
                <w:rStyle w:val="16"/>
                <w:rFonts w:eastAsia="宋体"/>
                <w:color w:val="000000" w:themeColor="text1"/>
                <w:sz w:val="21"/>
                <w:szCs w:val="21"/>
              </w:rPr>
              <w:footnoteReference w:id="43"/>
            </w:r>
          </w:p>
        </w:tc>
      </w:tr>
      <w:tr w14:paraId="13700B50">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7C7348">
            <w:pPr>
              <w:snapToGrid w:val="0"/>
              <w:rPr>
                <w:rFonts w:eastAsia="宋体"/>
                <w:sz w:val="21"/>
                <w:szCs w:val="21"/>
              </w:rPr>
            </w:pPr>
            <w:r>
              <w:rPr>
                <w:rFonts w:eastAsia="宋体"/>
                <w:color w:val="000000"/>
                <w:sz w:val="21"/>
                <w:szCs w:val="21"/>
              </w:rPr>
              <w:t>8</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5F4994">
            <w:pPr>
              <w:snapToGrid w:val="0"/>
              <w:rPr>
                <w:rFonts w:eastAsia="宋体"/>
                <w:sz w:val="21"/>
                <w:szCs w:val="21"/>
              </w:rPr>
            </w:pPr>
            <w:r>
              <w:rPr>
                <w:rFonts w:eastAsia="宋体"/>
                <w:color w:val="000000"/>
                <w:sz w:val="21"/>
                <w:szCs w:val="21"/>
              </w:rPr>
              <w:t>财务证明或披露声明</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9683FD">
            <w:pPr>
              <w:snapToGrid w:val="0"/>
              <w:ind w:left="1180" w:leftChars="167" w:hanging="846" w:hangingChars="403"/>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FF"/>
                <w:sz w:val="21"/>
                <w:szCs w:val="21"/>
                <w:u w:val="single"/>
              </w:rPr>
              <w:t>认证</w:t>
            </w:r>
            <w:r>
              <w:rPr>
                <w:rFonts w:eastAsia="宋体"/>
                <w:color w:val="0000FF"/>
                <w:sz w:val="21"/>
                <w:szCs w:val="21"/>
              </w:rPr>
              <w:t>：</w:t>
            </w:r>
            <w:r>
              <w:rPr>
                <w:rFonts w:eastAsia="宋体"/>
                <w:color w:val="0000FF"/>
                <w:sz w:val="21"/>
                <w:szCs w:val="21"/>
                <w:u w:val="single"/>
              </w:rPr>
              <w:t>临床研究者的财务利益和安排</w:t>
            </w:r>
            <w:r>
              <w:rPr>
                <w:rFonts w:eastAsia="宋体"/>
                <w:color w:val="0000FF"/>
                <w:sz w:val="21"/>
                <w:szCs w:val="21"/>
              </w:rPr>
              <w:t>（FDA 3454表格）</w:t>
            </w:r>
            <w:r>
              <w:rPr>
                <w:rFonts w:eastAsia="宋体"/>
                <w:color w:val="000000"/>
                <w:sz w:val="21"/>
                <w:szCs w:val="21"/>
                <w:vertAlign w:val="superscript"/>
              </w:rPr>
              <w:t>16</w:t>
            </w:r>
          </w:p>
          <w:p w14:paraId="195256DB">
            <w:pPr>
              <w:snapToGrid w:val="0"/>
              <w:ind w:left="1180" w:leftChars="167" w:hanging="846" w:hangingChars="403"/>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FF"/>
                <w:sz w:val="21"/>
                <w:szCs w:val="21"/>
                <w:u w:val="single"/>
              </w:rPr>
              <w:t>披露</w:t>
            </w:r>
            <w:r>
              <w:rPr>
                <w:rFonts w:eastAsia="宋体"/>
                <w:color w:val="0000FF"/>
                <w:sz w:val="21"/>
                <w:szCs w:val="21"/>
              </w:rPr>
              <w:t>：</w:t>
            </w:r>
            <w:r>
              <w:rPr>
                <w:rFonts w:eastAsia="宋体"/>
                <w:color w:val="0000FF"/>
                <w:sz w:val="21"/>
                <w:szCs w:val="21"/>
                <w:u w:val="single"/>
              </w:rPr>
              <w:t>临床研究者的财务利益和安排</w:t>
            </w:r>
            <w:r>
              <w:rPr>
                <w:rFonts w:eastAsia="宋体"/>
                <w:color w:val="0000FF"/>
                <w:sz w:val="21"/>
                <w:szCs w:val="21"/>
              </w:rPr>
              <w:t>（FDA 3455表格）</w:t>
            </w:r>
            <w:r>
              <w:rPr>
                <w:rFonts w:eastAsia="宋体"/>
                <w:color w:val="000000"/>
                <w:sz w:val="21"/>
                <w:szCs w:val="21"/>
                <w:vertAlign w:val="superscript"/>
              </w:rPr>
              <w:t>17</w:t>
            </w:r>
          </w:p>
          <w:p w14:paraId="06DAD027">
            <w:pPr>
              <w:snapToGrid w:val="0"/>
              <w:ind w:left="1184" w:leftChars="167" w:hanging="850" w:hangingChars="403"/>
              <w:rPr>
                <w:rFonts w:eastAsia="宋体"/>
                <w:sz w:val="21"/>
                <w:szCs w:val="21"/>
              </w:rPr>
            </w:pPr>
            <w:r>
              <w:rPr>
                <w:rFonts w:eastAsia="宋体"/>
                <w:b/>
                <w:bCs/>
                <w:color w:val="000000"/>
                <w:sz w:val="21"/>
                <w:szCs w:val="21"/>
              </w:rPr>
              <w:t>•</w:t>
            </w:r>
            <w:r>
              <w:rPr>
                <w:rFonts w:eastAsia="宋体"/>
                <w:color w:val="000000"/>
                <w:sz w:val="21"/>
                <w:szCs w:val="21"/>
              </w:rPr>
              <w:tab/>
            </w:r>
            <w:r>
              <w:rPr>
                <w:rFonts w:ascii="宋体" w:hAnsi="宋体" w:eastAsia="宋体"/>
                <w:color w:val="000000"/>
                <w:sz w:val="21"/>
                <w:szCs w:val="21"/>
              </w:rPr>
              <w:t>“</w:t>
            </w:r>
            <w:r>
              <w:rPr>
                <w:rFonts w:eastAsia="宋体"/>
                <w:color w:val="0000FF"/>
                <w:sz w:val="21"/>
                <w:szCs w:val="21"/>
                <w:u w:val="single"/>
              </w:rPr>
              <w:t>临床研究者的财务披露</w:t>
            </w:r>
            <w:r>
              <w:rPr>
                <w:rFonts w:ascii="宋体" w:hAnsi="宋体" w:eastAsia="宋体"/>
                <w:color w:val="000000"/>
                <w:sz w:val="21"/>
                <w:szCs w:val="21"/>
              </w:rPr>
              <w:t>”</w:t>
            </w:r>
            <w:r>
              <w:rPr>
                <w:rFonts w:eastAsia="宋体"/>
                <w:color w:val="000000"/>
                <w:sz w:val="21"/>
                <w:szCs w:val="21"/>
                <w:vertAlign w:val="superscript"/>
              </w:rPr>
              <w:t>18</w:t>
            </w:r>
          </w:p>
        </w:tc>
      </w:tr>
    </w:tbl>
    <w:p w14:paraId="4C6EB6CE">
      <w:pPr>
        <w:tabs>
          <w:tab w:val="left" w:pos="187"/>
        </w:tabs>
        <w:snapToGrid w:val="0"/>
        <w:jc w:val="both"/>
        <w:rPr>
          <w:rFonts w:eastAsia="宋体"/>
          <w:color w:val="000000"/>
          <w:sz w:val="21"/>
          <w:szCs w:val="21"/>
          <w:vertAlign w:val="superscript"/>
        </w:rPr>
      </w:pPr>
    </w:p>
    <w:p w14:paraId="4E67E642">
      <w:pPr>
        <w:tabs>
          <w:tab w:val="left" w:pos="187"/>
        </w:tabs>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2"/>
        <w:tblW w:w="5000" w:type="pct"/>
        <w:tblInd w:w="40" w:type="dxa"/>
        <w:tblLayout w:type="fixed"/>
        <w:tblCellMar>
          <w:top w:w="0" w:type="dxa"/>
          <w:left w:w="40" w:type="dxa"/>
          <w:bottom w:w="0" w:type="dxa"/>
          <w:right w:w="40" w:type="dxa"/>
        </w:tblCellMar>
      </w:tblPr>
      <w:tblGrid>
        <w:gridCol w:w="959"/>
        <w:gridCol w:w="3236"/>
        <w:gridCol w:w="4991"/>
      </w:tblGrid>
      <w:tr w14:paraId="314940B1">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02F961A0">
            <w:pPr>
              <w:snapToGrid w:val="0"/>
              <w:rPr>
                <w:rFonts w:eastAsia="宋体"/>
                <w:sz w:val="21"/>
                <w:szCs w:val="21"/>
              </w:rPr>
            </w:pPr>
            <w:r>
              <w:rPr>
                <w:rFonts w:eastAsia="宋体"/>
                <w:b/>
                <w:bCs/>
                <w:color w:val="000000"/>
                <w:sz w:val="21"/>
                <w:szCs w:val="21"/>
              </w:rPr>
              <w:t>章节</w:t>
            </w:r>
          </w:p>
        </w:tc>
        <w:tc>
          <w:tcPr>
            <w:tcW w:w="3259"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3422DCF7">
            <w:pPr>
              <w:snapToGrid w:val="0"/>
              <w:rPr>
                <w:rFonts w:eastAsia="宋体"/>
                <w:sz w:val="21"/>
                <w:szCs w:val="21"/>
              </w:rPr>
            </w:pPr>
            <w:r>
              <w:rPr>
                <w:rFonts w:eastAsia="宋体"/>
                <w:b/>
                <w:bCs/>
                <w:color w:val="000000"/>
                <w:sz w:val="21"/>
                <w:szCs w:val="21"/>
              </w:rPr>
              <w:t>标题</w:t>
            </w:r>
          </w:p>
        </w:tc>
        <w:tc>
          <w:tcPr>
            <w:tcW w:w="5026"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3883BF28">
            <w:pPr>
              <w:snapToGrid w:val="0"/>
              <w:rPr>
                <w:rFonts w:eastAsia="宋体"/>
                <w:sz w:val="21"/>
                <w:szCs w:val="21"/>
              </w:rPr>
            </w:pPr>
            <w:r>
              <w:rPr>
                <w:rFonts w:eastAsia="宋体"/>
                <w:b/>
                <w:bCs/>
                <w:color w:val="000000"/>
                <w:sz w:val="21"/>
                <w:szCs w:val="21"/>
              </w:rPr>
              <w:t>相关信息</w:t>
            </w:r>
          </w:p>
        </w:tc>
      </w:tr>
      <w:tr w14:paraId="53B03E4F">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439400">
            <w:pPr>
              <w:snapToGrid w:val="0"/>
              <w:rPr>
                <w:rFonts w:eastAsia="宋体"/>
                <w:sz w:val="21"/>
                <w:szCs w:val="21"/>
              </w:rPr>
            </w:pPr>
            <w:r>
              <w:rPr>
                <w:rFonts w:eastAsia="宋体"/>
                <w:color w:val="000000"/>
                <w:sz w:val="21"/>
                <w:szCs w:val="21"/>
              </w:rPr>
              <w:t>9</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91ABB3">
            <w:pPr>
              <w:snapToGrid w:val="0"/>
              <w:rPr>
                <w:rFonts w:eastAsia="宋体"/>
                <w:sz w:val="21"/>
                <w:szCs w:val="21"/>
              </w:rPr>
            </w:pPr>
            <w:r>
              <w:rPr>
                <w:rFonts w:eastAsia="宋体"/>
                <w:color w:val="000000"/>
                <w:sz w:val="21"/>
                <w:szCs w:val="21"/>
              </w:rPr>
              <w:t>符合性声明和简要报告</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74DADA">
            <w:pPr>
              <w:snapToGrid w:val="0"/>
              <w:ind w:left="1180" w:leftChars="167" w:hanging="846" w:hangingChars="403"/>
              <w:rPr>
                <w:rFonts w:eastAsia="宋体"/>
                <w:sz w:val="21"/>
                <w:szCs w:val="21"/>
              </w:rPr>
            </w:pPr>
            <w:r>
              <w:rPr>
                <w:rFonts w:eastAsia="宋体"/>
                <w:color w:val="000000"/>
                <w:sz w:val="21"/>
                <w:szCs w:val="21"/>
              </w:rPr>
              <w:t>•</w:t>
            </w:r>
            <w:r>
              <w:rPr>
                <w:rFonts w:eastAsia="宋体"/>
                <w:color w:val="000000"/>
                <w:sz w:val="21"/>
                <w:szCs w:val="21"/>
              </w:rPr>
              <w:tab/>
            </w:r>
            <w:r>
              <w:rPr>
                <w:rFonts w:ascii="宋体" w:hAnsi="宋体" w:eastAsia="宋体"/>
                <w:color w:val="000000"/>
                <w:sz w:val="21"/>
                <w:szCs w:val="21"/>
              </w:rPr>
              <w:t>“</w:t>
            </w:r>
            <w:r>
              <w:rPr>
                <w:rFonts w:eastAsia="宋体"/>
                <w:color w:val="0000FF"/>
                <w:sz w:val="21"/>
                <w:szCs w:val="21"/>
                <w:u w:val="single"/>
              </w:rPr>
              <w:t>在医疗器械上市前申请材料时适当使用自愿共识标准</w:t>
            </w:r>
            <w:r>
              <w:rPr>
                <w:rFonts w:ascii="宋体" w:hAnsi="宋体" w:eastAsia="宋体"/>
                <w:color w:val="000000"/>
                <w:sz w:val="21"/>
                <w:szCs w:val="21"/>
              </w:rPr>
              <w:t>”</w:t>
            </w:r>
            <w:r>
              <w:rPr>
                <w:rFonts w:eastAsia="宋体"/>
                <w:color w:val="000000"/>
                <w:sz w:val="21"/>
                <w:szCs w:val="21"/>
                <w:vertAlign w:val="superscript"/>
              </w:rPr>
              <w:t>3</w:t>
            </w:r>
          </w:p>
          <w:p w14:paraId="2DFCBB75">
            <w:pPr>
              <w:snapToGrid w:val="0"/>
              <w:ind w:left="1180" w:leftChars="167" w:hanging="846" w:hangingChars="403"/>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FF"/>
                <w:sz w:val="21"/>
                <w:szCs w:val="21"/>
                <w:u w:val="single"/>
              </w:rPr>
              <w:t>标准和合格评定计划网站</w:t>
            </w:r>
            <w:r>
              <w:rPr>
                <w:rStyle w:val="16"/>
                <w:rFonts w:eastAsia="宋体"/>
                <w:color w:val="000000" w:themeColor="text1"/>
                <w:sz w:val="21"/>
                <w:szCs w:val="21"/>
              </w:rPr>
              <w:footnoteReference w:id="44"/>
            </w:r>
          </w:p>
        </w:tc>
      </w:tr>
      <w:tr w14:paraId="676B6FD1">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534F7E">
            <w:pPr>
              <w:snapToGrid w:val="0"/>
              <w:rPr>
                <w:rFonts w:eastAsia="宋体"/>
                <w:sz w:val="21"/>
                <w:szCs w:val="21"/>
              </w:rPr>
            </w:pPr>
            <w:r>
              <w:rPr>
                <w:rFonts w:eastAsia="宋体"/>
                <w:color w:val="000000"/>
                <w:sz w:val="21"/>
                <w:szCs w:val="21"/>
              </w:rPr>
              <w:t>10</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1D52BD">
            <w:pPr>
              <w:snapToGrid w:val="0"/>
              <w:rPr>
                <w:rFonts w:eastAsia="宋体"/>
                <w:sz w:val="21"/>
                <w:szCs w:val="21"/>
              </w:rPr>
            </w:pPr>
            <w:r>
              <w:rPr>
                <w:rFonts w:eastAsia="宋体"/>
                <w:color w:val="000000"/>
                <w:sz w:val="21"/>
                <w:szCs w:val="21"/>
              </w:rPr>
              <w:t>器械描述</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FBFED2">
            <w:pPr>
              <w:snapToGrid w:val="0"/>
              <w:rPr>
                <w:rFonts w:eastAsia="宋体"/>
                <w:sz w:val="21"/>
                <w:szCs w:val="21"/>
              </w:rPr>
            </w:pPr>
            <w:r>
              <w:rPr>
                <w:rFonts w:eastAsia="宋体"/>
                <w:color w:val="000000"/>
                <w:sz w:val="21"/>
                <w:szCs w:val="21"/>
              </w:rPr>
              <w:t>见本指南第（10）节</w:t>
            </w:r>
          </w:p>
        </w:tc>
      </w:tr>
      <w:tr w14:paraId="17FC2C1F">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AD813D">
            <w:pPr>
              <w:snapToGrid w:val="0"/>
              <w:rPr>
                <w:rFonts w:eastAsia="宋体"/>
                <w:sz w:val="21"/>
                <w:szCs w:val="21"/>
              </w:rPr>
            </w:pPr>
            <w:r>
              <w:rPr>
                <w:rFonts w:eastAsia="宋体"/>
                <w:color w:val="000000"/>
                <w:sz w:val="21"/>
                <w:szCs w:val="21"/>
              </w:rPr>
              <w:t>11</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43D29B">
            <w:pPr>
              <w:snapToGrid w:val="0"/>
              <w:rPr>
                <w:rFonts w:eastAsia="宋体"/>
                <w:sz w:val="21"/>
                <w:szCs w:val="21"/>
              </w:rPr>
            </w:pPr>
            <w:r>
              <w:rPr>
                <w:rFonts w:eastAsia="宋体"/>
                <w:color w:val="000000"/>
                <w:sz w:val="21"/>
                <w:szCs w:val="21"/>
              </w:rPr>
              <w:t>执行摘要/实质等同比较</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F36F27">
            <w:pPr>
              <w:snapToGrid w:val="0"/>
              <w:rPr>
                <w:rFonts w:eastAsia="宋体"/>
                <w:sz w:val="21"/>
                <w:szCs w:val="21"/>
              </w:rPr>
            </w:pPr>
            <w:r>
              <w:rPr>
                <w:rFonts w:eastAsia="宋体"/>
                <w:color w:val="000000"/>
                <w:sz w:val="21"/>
                <w:szCs w:val="21"/>
              </w:rPr>
              <w:t>见本指南第（11）节</w:t>
            </w:r>
          </w:p>
        </w:tc>
      </w:tr>
      <w:tr w14:paraId="739BAA25">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356BF7">
            <w:pPr>
              <w:snapToGrid w:val="0"/>
              <w:rPr>
                <w:rFonts w:eastAsia="宋体"/>
                <w:sz w:val="21"/>
                <w:szCs w:val="21"/>
              </w:rPr>
            </w:pPr>
            <w:r>
              <w:rPr>
                <w:rFonts w:eastAsia="宋体"/>
                <w:color w:val="000000"/>
                <w:sz w:val="21"/>
                <w:szCs w:val="21"/>
              </w:rPr>
              <w:t>12</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7BC03D">
            <w:pPr>
              <w:snapToGrid w:val="0"/>
              <w:rPr>
                <w:rFonts w:eastAsia="宋体"/>
                <w:sz w:val="21"/>
                <w:szCs w:val="21"/>
              </w:rPr>
            </w:pPr>
            <w:r>
              <w:rPr>
                <w:rFonts w:eastAsia="宋体"/>
                <w:color w:val="000000"/>
                <w:sz w:val="21"/>
                <w:szCs w:val="21"/>
              </w:rPr>
              <w:t>实质等同性讨论</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8AD861">
            <w:pPr>
              <w:snapToGrid w:val="0"/>
              <w:rPr>
                <w:rFonts w:eastAsia="宋体"/>
                <w:sz w:val="21"/>
                <w:szCs w:val="21"/>
              </w:rPr>
            </w:pPr>
            <w:r>
              <w:rPr>
                <w:rFonts w:ascii="宋体" w:hAnsi="宋体" w:eastAsia="宋体"/>
                <w:color w:val="000000"/>
                <w:sz w:val="21"/>
                <w:szCs w:val="21"/>
              </w:rPr>
              <w:t>“</w:t>
            </w:r>
            <w:r>
              <w:rPr>
                <w:rFonts w:eastAsia="宋体"/>
                <w:color w:val="0000FF"/>
                <w:sz w:val="21"/>
                <w:szCs w:val="21"/>
                <w:u w:val="single"/>
              </w:rPr>
              <w:t>510（k）项目</w:t>
            </w:r>
            <w:r>
              <w:rPr>
                <w:rFonts w:eastAsia="宋体"/>
                <w:color w:val="0000FF"/>
                <w:sz w:val="21"/>
                <w:szCs w:val="21"/>
              </w:rPr>
              <w:t>：</w:t>
            </w:r>
            <w:r>
              <w:rPr>
                <w:rFonts w:eastAsia="宋体"/>
                <w:color w:val="0000FF"/>
                <w:sz w:val="21"/>
                <w:szCs w:val="21"/>
                <w:u w:val="single"/>
              </w:rPr>
              <w:t>评价上市前通知[510（k）]中的实质等同</w:t>
            </w:r>
            <w:r>
              <w:rPr>
                <w:rFonts w:hint="eastAsia" w:ascii="宋体" w:hAnsi="宋体" w:eastAsia="宋体"/>
                <w:color w:val="000000"/>
                <w:sz w:val="21"/>
                <w:szCs w:val="21"/>
              </w:rPr>
              <w:t>”</w:t>
            </w:r>
            <w:r>
              <w:rPr>
                <w:rFonts w:eastAsia="宋体"/>
                <w:color w:val="000000"/>
                <w:sz w:val="21"/>
                <w:szCs w:val="21"/>
                <w:vertAlign w:val="superscript"/>
              </w:rPr>
              <w:t>24</w:t>
            </w:r>
          </w:p>
        </w:tc>
      </w:tr>
      <w:tr w14:paraId="0A3843F7">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DB5463">
            <w:pPr>
              <w:snapToGrid w:val="0"/>
              <w:rPr>
                <w:rFonts w:eastAsia="宋体"/>
                <w:sz w:val="21"/>
                <w:szCs w:val="21"/>
              </w:rPr>
            </w:pPr>
            <w:r>
              <w:rPr>
                <w:rFonts w:eastAsia="宋体"/>
                <w:color w:val="000000"/>
                <w:sz w:val="21"/>
                <w:szCs w:val="21"/>
              </w:rPr>
              <w:t>13</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41390D">
            <w:pPr>
              <w:snapToGrid w:val="0"/>
              <w:rPr>
                <w:rFonts w:eastAsia="宋体"/>
                <w:sz w:val="21"/>
                <w:szCs w:val="21"/>
              </w:rPr>
            </w:pPr>
            <w:r>
              <w:rPr>
                <w:rFonts w:eastAsia="宋体"/>
                <w:color w:val="000000"/>
                <w:sz w:val="21"/>
                <w:szCs w:val="21"/>
              </w:rPr>
              <w:t>建议标签</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366E74">
            <w:pPr>
              <w:snapToGrid w:val="0"/>
              <w:rPr>
                <w:rFonts w:eastAsia="宋体"/>
                <w:sz w:val="21"/>
                <w:szCs w:val="21"/>
              </w:rPr>
            </w:pPr>
            <w:r>
              <w:rPr>
                <w:rFonts w:eastAsia="宋体"/>
                <w:color w:val="0000FF"/>
                <w:sz w:val="21"/>
                <w:szCs w:val="21"/>
                <w:u w:val="single"/>
              </w:rPr>
              <w:t>器械建议</w:t>
            </w:r>
            <w:r>
              <w:rPr>
                <w:rFonts w:ascii="宋体" w:hAnsi="宋体" w:eastAsia="宋体"/>
                <w:color w:val="0000FF"/>
                <w:sz w:val="21"/>
                <w:szCs w:val="21"/>
                <w:u w:val="single"/>
              </w:rPr>
              <w:t>“</w:t>
            </w:r>
            <w:r>
              <w:rPr>
                <w:rFonts w:eastAsia="宋体"/>
                <w:color w:val="0000FF"/>
                <w:sz w:val="21"/>
                <w:szCs w:val="21"/>
                <w:u w:val="single"/>
              </w:rPr>
              <w:t>a 510（k）的内容</w:t>
            </w:r>
            <w:r>
              <w:rPr>
                <w:rFonts w:ascii="宋体" w:hAnsi="宋体" w:eastAsia="宋体"/>
                <w:color w:val="0000FF"/>
                <w:sz w:val="21"/>
                <w:szCs w:val="21"/>
                <w:u w:val="single"/>
              </w:rPr>
              <w:t>”</w:t>
            </w:r>
            <w:r>
              <w:rPr>
                <w:rFonts w:eastAsia="宋体"/>
                <w:color w:val="0000FF"/>
                <w:sz w:val="21"/>
                <w:szCs w:val="21"/>
                <w:u w:val="single"/>
              </w:rPr>
              <w:t>第H节</w:t>
            </w:r>
            <w:r>
              <w:rPr>
                <w:rStyle w:val="16"/>
                <w:rFonts w:eastAsia="宋体"/>
                <w:color w:val="000000" w:themeColor="text1"/>
                <w:sz w:val="21"/>
                <w:szCs w:val="21"/>
              </w:rPr>
              <w:footnoteReference w:id="45"/>
            </w:r>
            <w:r>
              <w:rPr>
                <w:rFonts w:eastAsia="宋体"/>
                <w:u w:val="single"/>
              </w:rPr>
              <w:t xml:space="preserve"> </w:t>
            </w:r>
          </w:p>
        </w:tc>
      </w:tr>
      <w:tr w14:paraId="69768B7E">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941CE5">
            <w:pPr>
              <w:snapToGrid w:val="0"/>
              <w:rPr>
                <w:rFonts w:eastAsia="宋体"/>
                <w:sz w:val="21"/>
                <w:szCs w:val="21"/>
              </w:rPr>
            </w:pPr>
            <w:r>
              <w:rPr>
                <w:rFonts w:eastAsia="宋体"/>
                <w:color w:val="000000"/>
                <w:sz w:val="21"/>
                <w:szCs w:val="21"/>
              </w:rPr>
              <w:t>14</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253F93">
            <w:pPr>
              <w:snapToGrid w:val="0"/>
              <w:rPr>
                <w:rFonts w:eastAsia="宋体"/>
                <w:sz w:val="21"/>
                <w:szCs w:val="21"/>
              </w:rPr>
            </w:pPr>
            <w:r>
              <w:rPr>
                <w:rFonts w:eastAsia="宋体"/>
                <w:color w:val="000000"/>
                <w:sz w:val="21"/>
                <w:szCs w:val="21"/>
              </w:rPr>
              <w:t>灭菌和货架</w:t>
            </w:r>
            <w:r>
              <w:rPr>
                <w:rFonts w:hint="eastAsia" w:eastAsia="宋体"/>
                <w:color w:val="000000"/>
                <w:sz w:val="21"/>
                <w:szCs w:val="21"/>
              </w:rPr>
              <w:t>有效期</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04E80E">
            <w:pPr>
              <w:snapToGrid w:val="0"/>
              <w:rPr>
                <w:rFonts w:eastAsia="宋体"/>
                <w:color w:val="000000"/>
                <w:sz w:val="21"/>
                <w:szCs w:val="21"/>
                <w:vertAlign w:val="superscript"/>
              </w:rPr>
            </w:pPr>
            <w:r>
              <w:rPr>
                <w:rFonts w:ascii="宋体" w:hAnsi="宋体" w:eastAsia="宋体"/>
                <w:color w:val="000000"/>
                <w:sz w:val="21"/>
                <w:szCs w:val="21"/>
              </w:rPr>
              <w:t>“</w:t>
            </w:r>
            <w:r>
              <w:rPr>
                <w:rFonts w:eastAsia="宋体"/>
                <w:color w:val="0000FF"/>
                <w:sz w:val="21"/>
                <w:szCs w:val="21"/>
                <w:u w:val="single"/>
              </w:rPr>
              <w:t>提交和审查标记为无菌器械的上市前通知（510（k））中的无菌信息</w:t>
            </w:r>
            <w:r>
              <w:rPr>
                <w:rFonts w:ascii="宋体" w:hAnsi="宋体" w:eastAsia="宋体"/>
                <w:color w:val="000000"/>
                <w:sz w:val="21"/>
                <w:szCs w:val="21"/>
              </w:rPr>
              <w:t>”</w:t>
            </w:r>
            <w:r>
              <w:rPr>
                <w:rFonts w:eastAsia="宋体"/>
                <w:color w:val="000000"/>
                <w:sz w:val="21"/>
                <w:szCs w:val="21"/>
                <w:vertAlign w:val="superscript"/>
              </w:rPr>
              <w:t>28</w:t>
            </w:r>
          </w:p>
          <w:p w14:paraId="13475275">
            <w:pPr>
              <w:snapToGrid w:val="0"/>
              <w:rPr>
                <w:rFonts w:eastAsia="宋体"/>
                <w:sz w:val="21"/>
                <w:szCs w:val="21"/>
              </w:rPr>
            </w:pPr>
          </w:p>
          <w:p w14:paraId="3232FF3D">
            <w:pPr>
              <w:snapToGrid w:val="0"/>
              <w:rPr>
                <w:rFonts w:eastAsia="宋体"/>
                <w:sz w:val="21"/>
                <w:szCs w:val="21"/>
              </w:rPr>
            </w:pPr>
            <w:r>
              <w:rPr>
                <w:rFonts w:eastAsia="宋体"/>
                <w:color w:val="000000"/>
                <w:sz w:val="21"/>
                <w:szCs w:val="21"/>
              </w:rPr>
              <w:t>关于一次性医疗器械的再利用，请参见</w:t>
            </w:r>
            <w:r>
              <w:rPr>
                <w:rFonts w:ascii="宋体" w:hAnsi="宋体" w:eastAsia="宋体"/>
                <w:color w:val="000000"/>
                <w:sz w:val="21"/>
                <w:szCs w:val="21"/>
              </w:rPr>
              <w:t>“</w:t>
            </w:r>
            <w:r>
              <w:rPr>
                <w:rFonts w:eastAsia="宋体"/>
                <w:color w:val="0000FF"/>
                <w:sz w:val="21"/>
                <w:szCs w:val="21"/>
                <w:u w:val="single"/>
              </w:rPr>
              <w:t>再加工一次性使用医疗器械上市前通知（510（k））提交资料中的验证数据-2002年医疗器械用户付费和现代化法案</w:t>
            </w:r>
            <w:r>
              <w:rPr>
                <w:rFonts w:ascii="宋体" w:hAnsi="宋体" w:eastAsia="宋体"/>
                <w:color w:val="000000"/>
                <w:sz w:val="21"/>
                <w:szCs w:val="21"/>
              </w:rPr>
              <w:t>”</w:t>
            </w:r>
            <w:r>
              <w:rPr>
                <w:rFonts w:eastAsia="宋体"/>
                <w:color w:val="000000"/>
                <w:sz w:val="21"/>
                <w:szCs w:val="21"/>
                <w:vertAlign w:val="superscript"/>
              </w:rPr>
              <w:t>29</w:t>
            </w:r>
          </w:p>
        </w:tc>
      </w:tr>
      <w:tr w14:paraId="26A34CCC">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D253CB">
            <w:pPr>
              <w:snapToGrid w:val="0"/>
              <w:rPr>
                <w:rFonts w:eastAsia="宋体"/>
                <w:sz w:val="21"/>
                <w:szCs w:val="21"/>
              </w:rPr>
            </w:pPr>
            <w:r>
              <w:rPr>
                <w:rFonts w:eastAsia="宋体"/>
                <w:color w:val="000000"/>
                <w:sz w:val="21"/>
                <w:szCs w:val="21"/>
              </w:rPr>
              <w:t>15</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E53F41">
            <w:pPr>
              <w:snapToGrid w:val="0"/>
              <w:rPr>
                <w:rFonts w:eastAsia="宋体"/>
                <w:sz w:val="21"/>
                <w:szCs w:val="21"/>
              </w:rPr>
            </w:pPr>
            <w:r>
              <w:rPr>
                <w:rFonts w:eastAsia="宋体"/>
                <w:color w:val="000000"/>
                <w:sz w:val="21"/>
                <w:szCs w:val="21"/>
              </w:rPr>
              <w:t>生物相容性</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B87669">
            <w:pPr>
              <w:snapToGrid w:val="0"/>
              <w:rPr>
                <w:rFonts w:eastAsia="宋体"/>
                <w:sz w:val="21"/>
                <w:szCs w:val="21"/>
              </w:rPr>
            </w:pPr>
            <w:r>
              <w:rPr>
                <w:rFonts w:ascii="宋体" w:hAnsi="宋体" w:eastAsia="宋体"/>
                <w:color w:val="000000"/>
                <w:sz w:val="21"/>
                <w:szCs w:val="21"/>
              </w:rPr>
              <w:t>“</w:t>
            </w:r>
            <w:r>
              <w:rPr>
                <w:rFonts w:eastAsia="宋体"/>
                <w:color w:val="0000FF"/>
                <w:sz w:val="21"/>
                <w:szCs w:val="21"/>
                <w:u w:val="single"/>
              </w:rPr>
              <w:t>使用国际标准ISO 10993-1，</w:t>
            </w:r>
            <w:r>
              <w:rPr>
                <w:rFonts w:ascii="宋体" w:hAnsi="宋体" w:eastAsia="宋体"/>
                <w:color w:val="0000FF"/>
                <w:sz w:val="21"/>
                <w:szCs w:val="21"/>
                <w:u w:val="single"/>
              </w:rPr>
              <w:t>“</w:t>
            </w:r>
            <w:r>
              <w:rPr>
                <w:rFonts w:eastAsia="宋体"/>
                <w:color w:val="0000FF"/>
                <w:sz w:val="21"/>
                <w:szCs w:val="21"/>
                <w:u w:val="single"/>
              </w:rPr>
              <w:t>医疗器械的生物学评价 - 第1部分：风险管理过程内的评价和测试</w:t>
            </w:r>
            <w:r>
              <w:rPr>
                <w:rFonts w:ascii="宋体" w:hAnsi="宋体" w:eastAsia="宋体"/>
                <w:color w:val="000000"/>
                <w:sz w:val="21"/>
                <w:szCs w:val="21"/>
              </w:rPr>
              <w:t>”</w:t>
            </w:r>
            <w:r>
              <w:rPr>
                <w:rFonts w:eastAsia="宋体"/>
                <w:color w:val="000000"/>
                <w:sz w:val="21"/>
                <w:szCs w:val="21"/>
                <w:vertAlign w:val="superscript"/>
              </w:rPr>
              <w:t>30</w:t>
            </w:r>
          </w:p>
        </w:tc>
      </w:tr>
      <w:tr w14:paraId="02586574">
        <w:tblPrEx>
          <w:tblCellMar>
            <w:top w:w="0" w:type="dxa"/>
            <w:left w:w="40" w:type="dxa"/>
            <w:bottom w:w="0" w:type="dxa"/>
            <w:right w:w="40" w:type="dxa"/>
          </w:tblCellMar>
        </w:tblPrEx>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C5FFDB">
            <w:pPr>
              <w:snapToGrid w:val="0"/>
              <w:rPr>
                <w:rFonts w:eastAsia="宋体"/>
                <w:sz w:val="21"/>
                <w:szCs w:val="21"/>
              </w:rPr>
            </w:pPr>
            <w:r>
              <w:rPr>
                <w:rFonts w:eastAsia="宋体"/>
                <w:color w:val="000000"/>
                <w:sz w:val="21"/>
                <w:szCs w:val="21"/>
              </w:rPr>
              <w:t>16</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F554EC">
            <w:pPr>
              <w:snapToGrid w:val="0"/>
              <w:rPr>
                <w:rFonts w:eastAsia="宋体"/>
                <w:sz w:val="21"/>
                <w:szCs w:val="21"/>
              </w:rPr>
            </w:pPr>
            <w:r>
              <w:rPr>
                <w:rFonts w:eastAsia="宋体"/>
                <w:color w:val="000000"/>
                <w:sz w:val="21"/>
                <w:szCs w:val="21"/>
              </w:rPr>
              <w:t>软件</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C78579">
            <w:pPr>
              <w:snapToGrid w:val="0"/>
              <w:rPr>
                <w:rFonts w:eastAsia="宋体"/>
                <w:sz w:val="21"/>
                <w:szCs w:val="21"/>
              </w:rPr>
            </w:pPr>
            <w:r>
              <w:rPr>
                <w:rFonts w:ascii="宋体" w:hAnsi="宋体" w:eastAsia="宋体"/>
                <w:color w:val="000000"/>
                <w:sz w:val="21"/>
                <w:szCs w:val="21"/>
              </w:rPr>
              <w:t>“</w:t>
            </w:r>
            <w:r>
              <w:rPr>
                <w:rFonts w:eastAsia="宋体"/>
                <w:color w:val="0000FF"/>
                <w:sz w:val="21"/>
                <w:szCs w:val="21"/>
                <w:u w:val="single"/>
              </w:rPr>
              <w:t>关于医疗器械所含软件上市前申请内容的指南</w:t>
            </w:r>
            <w:r>
              <w:rPr>
                <w:rFonts w:ascii="宋体" w:hAnsi="宋体" w:eastAsia="宋体"/>
                <w:color w:val="000000"/>
                <w:sz w:val="21"/>
                <w:szCs w:val="21"/>
              </w:rPr>
              <w:t>”</w:t>
            </w:r>
            <w:r>
              <w:rPr>
                <w:rFonts w:eastAsia="宋体"/>
                <w:color w:val="000000"/>
                <w:sz w:val="21"/>
                <w:szCs w:val="21"/>
                <w:vertAlign w:val="superscript"/>
              </w:rPr>
              <w:t>31</w:t>
            </w:r>
          </w:p>
        </w:tc>
      </w:tr>
    </w:tbl>
    <w:p w14:paraId="1438B53C">
      <w:pPr>
        <w:tabs>
          <w:tab w:val="left" w:pos="182"/>
        </w:tabs>
        <w:snapToGrid w:val="0"/>
        <w:jc w:val="both"/>
        <w:rPr>
          <w:rFonts w:eastAsia="宋体"/>
          <w:color w:val="000000"/>
          <w:sz w:val="21"/>
          <w:szCs w:val="21"/>
          <w:vertAlign w:val="superscript"/>
        </w:rPr>
      </w:pPr>
    </w:p>
    <w:p w14:paraId="5E8D8B13">
      <w:pPr>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2"/>
        <w:tblW w:w="5000" w:type="pct"/>
        <w:tblInd w:w="40" w:type="dxa"/>
        <w:tblLayout w:type="fixed"/>
        <w:tblCellMar>
          <w:top w:w="0" w:type="dxa"/>
          <w:left w:w="40" w:type="dxa"/>
          <w:bottom w:w="0" w:type="dxa"/>
          <w:right w:w="40" w:type="dxa"/>
        </w:tblCellMar>
      </w:tblPr>
      <w:tblGrid>
        <w:gridCol w:w="972"/>
        <w:gridCol w:w="3231"/>
        <w:gridCol w:w="4983"/>
      </w:tblGrid>
      <w:tr w14:paraId="3D06491B">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771D454B">
            <w:pPr>
              <w:snapToGrid w:val="0"/>
              <w:rPr>
                <w:rFonts w:eastAsia="宋体"/>
                <w:sz w:val="21"/>
                <w:szCs w:val="21"/>
              </w:rPr>
            </w:pPr>
            <w:r>
              <w:rPr>
                <w:rFonts w:eastAsia="宋体"/>
                <w:b/>
                <w:bCs/>
                <w:color w:val="000000"/>
                <w:sz w:val="21"/>
                <w:szCs w:val="21"/>
              </w:rPr>
              <w:t>章节</w:t>
            </w:r>
          </w:p>
        </w:tc>
        <w:tc>
          <w:tcPr>
            <w:tcW w:w="3259"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38F855F1">
            <w:pPr>
              <w:snapToGrid w:val="0"/>
              <w:rPr>
                <w:rFonts w:eastAsia="宋体"/>
                <w:sz w:val="21"/>
                <w:szCs w:val="21"/>
              </w:rPr>
            </w:pPr>
            <w:r>
              <w:rPr>
                <w:rFonts w:eastAsia="宋体"/>
                <w:b/>
                <w:bCs/>
                <w:color w:val="000000"/>
                <w:sz w:val="21"/>
                <w:szCs w:val="21"/>
              </w:rPr>
              <w:t>标题</w:t>
            </w:r>
          </w:p>
        </w:tc>
        <w:tc>
          <w:tcPr>
            <w:tcW w:w="5026" w:type="dxa"/>
            <w:tcBorders>
              <w:top w:val="single" w:color="auto" w:sz="6" w:space="0"/>
              <w:left w:val="single" w:color="auto" w:sz="6" w:space="0"/>
              <w:bottom w:val="single" w:color="auto" w:sz="6" w:space="0"/>
              <w:right w:val="single" w:color="auto" w:sz="6" w:space="0"/>
            </w:tcBorders>
            <w:shd w:val="clear" w:color="auto" w:fill="D8D8D8" w:themeFill="background1" w:themeFillShade="D9"/>
            <w:tcMar>
              <w:left w:w="57" w:type="dxa"/>
              <w:right w:w="57" w:type="dxa"/>
            </w:tcMar>
          </w:tcPr>
          <w:p w14:paraId="2A05D698">
            <w:pPr>
              <w:snapToGrid w:val="0"/>
              <w:rPr>
                <w:rFonts w:eastAsia="宋体"/>
                <w:sz w:val="21"/>
                <w:szCs w:val="21"/>
              </w:rPr>
            </w:pPr>
            <w:r>
              <w:rPr>
                <w:rFonts w:eastAsia="宋体"/>
                <w:b/>
                <w:bCs/>
                <w:color w:val="000000"/>
                <w:sz w:val="21"/>
                <w:szCs w:val="21"/>
              </w:rPr>
              <w:t>相关信息</w:t>
            </w:r>
          </w:p>
        </w:tc>
      </w:tr>
      <w:tr w14:paraId="34FFFD59">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2F5A04">
            <w:pPr>
              <w:snapToGrid w:val="0"/>
              <w:rPr>
                <w:rFonts w:eastAsia="宋体"/>
                <w:sz w:val="21"/>
                <w:szCs w:val="21"/>
              </w:rPr>
            </w:pPr>
            <w:r>
              <w:rPr>
                <w:rFonts w:eastAsia="宋体"/>
                <w:color w:val="000000"/>
                <w:sz w:val="21"/>
                <w:szCs w:val="21"/>
              </w:rPr>
              <w:t>17</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9D10AF">
            <w:pPr>
              <w:snapToGrid w:val="0"/>
              <w:rPr>
                <w:rFonts w:eastAsia="宋体"/>
                <w:sz w:val="21"/>
                <w:szCs w:val="21"/>
              </w:rPr>
            </w:pPr>
            <w:r>
              <w:rPr>
                <w:rFonts w:eastAsia="宋体"/>
                <w:color w:val="000000"/>
                <w:sz w:val="21"/>
                <w:szCs w:val="21"/>
              </w:rPr>
              <w:t>电磁兼容性与电气安全</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96037B">
            <w:pPr>
              <w:snapToGrid w:val="0"/>
              <w:rPr>
                <w:rFonts w:eastAsia="宋体"/>
                <w:color w:val="000000"/>
                <w:sz w:val="21"/>
                <w:szCs w:val="21"/>
                <w:vertAlign w:val="superscript"/>
              </w:rPr>
            </w:pPr>
            <w:r>
              <w:rPr>
                <w:rFonts w:ascii="宋体" w:hAnsi="宋体" w:eastAsia="宋体"/>
                <w:color w:val="000000"/>
                <w:sz w:val="21"/>
                <w:szCs w:val="21"/>
              </w:rPr>
              <w:t>“</w:t>
            </w:r>
            <w:r>
              <w:rPr>
                <w:rFonts w:eastAsia="宋体"/>
                <w:color w:val="0000FF"/>
                <w:sz w:val="21"/>
                <w:szCs w:val="21"/>
                <w:u w:val="single"/>
              </w:rPr>
              <w:t>支持电动医疗器械电磁兼容性（EMC）声明的信息</w:t>
            </w:r>
            <w:r>
              <w:rPr>
                <w:rFonts w:ascii="宋体" w:hAnsi="宋体" w:eastAsia="宋体"/>
                <w:color w:val="000000"/>
                <w:sz w:val="21"/>
                <w:szCs w:val="21"/>
              </w:rPr>
              <w:t>”</w:t>
            </w:r>
            <w:r>
              <w:rPr>
                <w:rFonts w:eastAsia="宋体"/>
                <w:color w:val="000000"/>
                <w:sz w:val="21"/>
                <w:szCs w:val="21"/>
                <w:vertAlign w:val="superscript"/>
              </w:rPr>
              <w:t>33</w:t>
            </w:r>
          </w:p>
          <w:p w14:paraId="3E1073E7">
            <w:pPr>
              <w:snapToGrid w:val="0"/>
              <w:rPr>
                <w:rFonts w:eastAsia="宋体"/>
                <w:sz w:val="21"/>
                <w:szCs w:val="21"/>
              </w:rPr>
            </w:pPr>
          </w:p>
          <w:p w14:paraId="183B462D">
            <w:pPr>
              <w:snapToGrid w:val="0"/>
              <w:rPr>
                <w:rFonts w:eastAsia="宋体"/>
                <w:sz w:val="21"/>
                <w:szCs w:val="21"/>
              </w:rPr>
            </w:pPr>
            <w:r>
              <w:rPr>
                <w:rFonts w:eastAsia="宋体"/>
                <w:color w:val="000000"/>
                <w:sz w:val="21"/>
                <w:szCs w:val="21"/>
              </w:rPr>
              <w:t>另见FDA认可版本的ANSI/AAMI ES 60601-1：</w:t>
            </w:r>
            <w:r>
              <w:rPr>
                <w:rFonts w:eastAsia="宋体"/>
                <w:i/>
                <w:iCs/>
                <w:color w:val="000000"/>
                <w:sz w:val="21"/>
                <w:szCs w:val="21"/>
              </w:rPr>
              <w:t>医用电气设备 - 第1部分：基本安全和基本性能的一般要求</w:t>
            </w:r>
            <w:r>
              <w:rPr>
                <w:rFonts w:ascii="宋体" w:hAnsi="宋体" w:eastAsia="宋体"/>
                <w:color w:val="000000"/>
                <w:sz w:val="21"/>
                <w:szCs w:val="21"/>
              </w:rPr>
              <w:t>”</w:t>
            </w:r>
            <w:r>
              <w:rPr>
                <w:rFonts w:eastAsia="宋体"/>
                <w:color w:val="000000"/>
                <w:sz w:val="21"/>
                <w:szCs w:val="21"/>
              </w:rPr>
              <w:t>或等同方法。</w:t>
            </w:r>
          </w:p>
        </w:tc>
      </w:tr>
      <w:tr w14:paraId="37B36658">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A7005E">
            <w:pPr>
              <w:snapToGrid w:val="0"/>
              <w:rPr>
                <w:rFonts w:eastAsia="宋体"/>
                <w:sz w:val="21"/>
                <w:szCs w:val="21"/>
              </w:rPr>
            </w:pPr>
            <w:r>
              <w:rPr>
                <w:rFonts w:eastAsia="宋体"/>
                <w:color w:val="000000"/>
                <w:sz w:val="21"/>
                <w:szCs w:val="21"/>
              </w:rPr>
              <w:t>18</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C60977">
            <w:pPr>
              <w:snapToGrid w:val="0"/>
              <w:rPr>
                <w:rFonts w:eastAsia="宋体"/>
                <w:sz w:val="21"/>
                <w:szCs w:val="21"/>
              </w:rPr>
            </w:pPr>
            <w:r>
              <w:rPr>
                <w:rFonts w:eastAsia="宋体"/>
                <w:color w:val="000000"/>
                <w:sz w:val="21"/>
                <w:szCs w:val="21"/>
              </w:rPr>
              <w:t>性能测试-</w:t>
            </w:r>
            <w:r>
              <w:rPr>
                <w:rFonts w:hint="eastAsia" w:eastAsia="宋体"/>
                <w:color w:val="000000"/>
                <w:sz w:val="21"/>
                <w:szCs w:val="21"/>
              </w:rPr>
              <w:t>台架</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65E29D">
            <w:pPr>
              <w:snapToGrid w:val="0"/>
              <w:rPr>
                <w:rFonts w:eastAsia="宋体"/>
                <w:sz w:val="21"/>
                <w:szCs w:val="21"/>
              </w:rPr>
            </w:pPr>
            <w:r>
              <w:rPr>
                <w:rFonts w:eastAsia="宋体"/>
                <w:color w:val="000000"/>
                <w:sz w:val="21"/>
                <w:szCs w:val="21"/>
              </w:rPr>
              <w:t>见本指南第（18）节</w:t>
            </w:r>
          </w:p>
        </w:tc>
      </w:tr>
      <w:tr w14:paraId="04281C58">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6A187B">
            <w:pPr>
              <w:snapToGrid w:val="0"/>
              <w:rPr>
                <w:rFonts w:eastAsia="宋体"/>
                <w:sz w:val="21"/>
                <w:szCs w:val="21"/>
              </w:rPr>
            </w:pPr>
            <w:r>
              <w:rPr>
                <w:rFonts w:eastAsia="宋体"/>
                <w:color w:val="000000"/>
                <w:sz w:val="21"/>
                <w:szCs w:val="21"/>
              </w:rPr>
              <w:t>19</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3A10B6">
            <w:pPr>
              <w:snapToGrid w:val="0"/>
              <w:rPr>
                <w:rFonts w:eastAsia="宋体"/>
                <w:sz w:val="21"/>
                <w:szCs w:val="21"/>
              </w:rPr>
            </w:pPr>
            <w:r>
              <w:rPr>
                <w:rFonts w:eastAsia="宋体"/>
                <w:color w:val="000000"/>
                <w:sz w:val="21"/>
                <w:szCs w:val="21"/>
              </w:rPr>
              <w:t>性能测试-动物</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9FCA7D">
            <w:pPr>
              <w:snapToGrid w:val="0"/>
              <w:rPr>
                <w:rFonts w:eastAsia="宋体"/>
                <w:sz w:val="21"/>
                <w:szCs w:val="21"/>
              </w:rPr>
            </w:pPr>
            <w:r>
              <w:rPr>
                <w:rFonts w:eastAsia="宋体"/>
                <w:color w:val="000000"/>
                <w:sz w:val="21"/>
                <w:szCs w:val="21"/>
              </w:rPr>
              <w:t>见本指南第（19）节</w:t>
            </w:r>
          </w:p>
        </w:tc>
      </w:tr>
      <w:tr w14:paraId="72705999">
        <w:tblPrEx>
          <w:tblCellMar>
            <w:top w:w="0" w:type="dxa"/>
            <w:left w:w="40" w:type="dxa"/>
            <w:bottom w:w="0" w:type="dxa"/>
            <w:right w:w="40" w:type="dxa"/>
          </w:tblCellMar>
        </w:tblPrEx>
        <w:tc>
          <w:tcPr>
            <w:tcW w:w="9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D403E9">
            <w:pPr>
              <w:snapToGrid w:val="0"/>
              <w:rPr>
                <w:rFonts w:eastAsia="宋体"/>
                <w:sz w:val="21"/>
                <w:szCs w:val="21"/>
              </w:rPr>
            </w:pPr>
            <w:r>
              <w:rPr>
                <w:rFonts w:eastAsia="宋体"/>
                <w:color w:val="000000"/>
                <w:sz w:val="21"/>
                <w:szCs w:val="21"/>
              </w:rPr>
              <w:t>20</w:t>
            </w:r>
          </w:p>
        </w:tc>
        <w:tc>
          <w:tcPr>
            <w:tcW w:w="325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A6AE01">
            <w:pPr>
              <w:snapToGrid w:val="0"/>
              <w:rPr>
                <w:rFonts w:eastAsia="宋体"/>
                <w:sz w:val="21"/>
                <w:szCs w:val="21"/>
              </w:rPr>
            </w:pPr>
            <w:r>
              <w:rPr>
                <w:rFonts w:eastAsia="宋体"/>
                <w:color w:val="000000"/>
                <w:sz w:val="21"/>
                <w:szCs w:val="21"/>
              </w:rPr>
              <w:t>性能测试-临床</w:t>
            </w:r>
          </w:p>
        </w:tc>
        <w:tc>
          <w:tcPr>
            <w:tcW w:w="50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6E2438">
            <w:pPr>
              <w:snapToGrid w:val="0"/>
              <w:rPr>
                <w:rFonts w:eastAsia="宋体"/>
                <w:sz w:val="21"/>
                <w:szCs w:val="21"/>
              </w:rPr>
            </w:pPr>
            <w:r>
              <w:rPr>
                <w:rFonts w:eastAsia="宋体"/>
                <w:color w:val="000000"/>
                <w:sz w:val="21"/>
                <w:szCs w:val="21"/>
              </w:rPr>
              <w:t>见本指南第II章第20节。</w:t>
            </w:r>
            <w:r>
              <w:rPr>
                <w:rFonts w:eastAsia="宋体"/>
                <w:color w:val="0000FF"/>
                <w:sz w:val="21"/>
                <w:szCs w:val="21"/>
                <w:u w:val="single"/>
              </w:rPr>
              <w:t>认证表格</w:t>
            </w:r>
            <w:r>
              <w:rPr>
                <w:rFonts w:eastAsia="宋体"/>
                <w:color w:val="0000FF"/>
                <w:sz w:val="21"/>
                <w:szCs w:val="21"/>
              </w:rPr>
              <w:t>：</w:t>
            </w:r>
            <w:r>
              <w:rPr>
                <w:rFonts w:eastAsia="宋体"/>
                <w:color w:val="0000FF"/>
                <w:sz w:val="21"/>
                <w:szCs w:val="21"/>
                <w:u w:val="single"/>
              </w:rPr>
              <w:t>临床研究者的财务利益和安排披露表：临床研究者的财务利益和安排</w:t>
            </w:r>
          </w:p>
        </w:tc>
      </w:tr>
    </w:tbl>
    <w:p w14:paraId="5B2A39F1">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DFDBA06">
      <w:pPr>
        <w:pStyle w:val="2"/>
        <w:spacing w:before="240" w:after="240"/>
        <w:rPr>
          <w:rFonts w:eastAsia="宋体"/>
        </w:rPr>
      </w:pPr>
      <w:bookmarkStart w:id="57" w:name="bookmark69"/>
      <w:bookmarkEnd w:id="57"/>
      <w:bookmarkStart w:id="58" w:name="_Toc97492925"/>
      <w:r>
        <w:rPr>
          <w:rFonts w:eastAsia="宋体"/>
        </w:rPr>
        <w:t>附录A.510（k）附函</w:t>
      </w:r>
      <w:bookmarkEnd w:id="58"/>
    </w:p>
    <w:p w14:paraId="09D67277">
      <w:pPr>
        <w:snapToGrid w:val="0"/>
        <w:jc w:val="both"/>
        <w:rPr>
          <w:rFonts w:eastAsia="宋体"/>
          <w:sz w:val="24"/>
          <w:szCs w:val="24"/>
        </w:rPr>
      </w:pPr>
      <w:r>
        <w:rPr>
          <w:rFonts w:eastAsia="宋体"/>
          <w:b/>
          <w:bCs/>
          <w:color w:val="000000"/>
          <w:sz w:val="24"/>
          <w:szCs w:val="24"/>
        </w:rPr>
        <w:t>目的</w:t>
      </w:r>
    </w:p>
    <w:p w14:paraId="02F2037F">
      <w:pPr>
        <w:snapToGrid w:val="0"/>
        <w:jc w:val="both"/>
        <w:rPr>
          <w:rFonts w:eastAsia="宋体"/>
          <w:color w:val="000000"/>
          <w:sz w:val="24"/>
          <w:szCs w:val="24"/>
        </w:rPr>
      </w:pPr>
      <w:r>
        <w:rPr>
          <w:rFonts w:eastAsia="宋体"/>
          <w:color w:val="000000"/>
          <w:sz w:val="24"/>
          <w:szCs w:val="24"/>
        </w:rPr>
        <w:t>附函的格式多种多样，所含信息也各不相同。本附录确定了我们建议您在附函中包含的信息，以确保对您提交的内容进行有效审查。</w:t>
      </w:r>
    </w:p>
    <w:p w14:paraId="197CBE76">
      <w:pPr>
        <w:snapToGrid w:val="0"/>
        <w:jc w:val="both"/>
        <w:rPr>
          <w:rFonts w:eastAsia="宋体"/>
          <w:sz w:val="24"/>
          <w:szCs w:val="24"/>
        </w:rPr>
      </w:pPr>
    </w:p>
    <w:p w14:paraId="61A3657F">
      <w:pPr>
        <w:snapToGrid w:val="0"/>
        <w:jc w:val="both"/>
        <w:rPr>
          <w:rFonts w:eastAsia="宋体"/>
          <w:sz w:val="24"/>
          <w:szCs w:val="24"/>
        </w:rPr>
      </w:pPr>
      <w:r>
        <w:rPr>
          <w:rFonts w:eastAsia="宋体"/>
          <w:b/>
          <w:bCs/>
          <w:color w:val="000000"/>
          <w:sz w:val="24"/>
          <w:szCs w:val="24"/>
        </w:rPr>
        <w:t>内容</w:t>
      </w:r>
    </w:p>
    <w:p w14:paraId="5479A58F">
      <w:pPr>
        <w:snapToGrid w:val="0"/>
        <w:jc w:val="both"/>
        <w:rPr>
          <w:rFonts w:eastAsia="宋体"/>
          <w:sz w:val="24"/>
          <w:szCs w:val="24"/>
        </w:rPr>
      </w:pPr>
      <w:r>
        <w:rPr>
          <w:rFonts w:eastAsia="宋体"/>
          <w:color w:val="000000"/>
          <w:sz w:val="24"/>
          <w:szCs w:val="24"/>
        </w:rPr>
        <w:t>附函应由提交人以公司信头编制，并明确说明提交人姓名，以及（如适用）提交人授权的官方联系人（即主要</w:t>
      </w:r>
      <w:r>
        <w:rPr>
          <w:rFonts w:hint="eastAsia" w:eastAsia="宋体"/>
          <w:color w:val="000000"/>
          <w:sz w:val="24"/>
          <w:szCs w:val="24"/>
        </w:rPr>
        <w:t>联系人</w:t>
      </w:r>
      <w:r>
        <w:rPr>
          <w:rFonts w:eastAsia="宋体"/>
          <w:color w:val="000000"/>
          <w:sz w:val="24"/>
          <w:szCs w:val="24"/>
        </w:rPr>
        <w:t>）。附函必须包括名称</w:t>
      </w:r>
      <w:r>
        <w:rPr>
          <w:rFonts w:ascii="宋体" w:hAnsi="宋体" w:eastAsia="宋体"/>
          <w:color w:val="000000"/>
          <w:sz w:val="24"/>
          <w:szCs w:val="24"/>
        </w:rPr>
        <w:t>“</w:t>
      </w:r>
      <w:r>
        <w:rPr>
          <w:rFonts w:eastAsia="宋体"/>
          <w:color w:val="000000"/>
          <w:sz w:val="24"/>
          <w:szCs w:val="24"/>
        </w:rPr>
        <w:t>510（k）通知</w:t>
      </w:r>
      <w:r>
        <w:rPr>
          <w:rFonts w:ascii="宋体" w:hAnsi="宋体" w:eastAsia="宋体"/>
          <w:color w:val="000000"/>
          <w:sz w:val="24"/>
          <w:szCs w:val="24"/>
        </w:rPr>
        <w:t>”</w:t>
      </w:r>
      <w:r>
        <w:rPr>
          <w:rFonts w:eastAsia="宋体"/>
          <w:color w:val="000000"/>
          <w:sz w:val="24"/>
          <w:szCs w:val="24"/>
        </w:rPr>
        <w:t>（21 CFR 807.90（e））。</w:t>
      </w:r>
    </w:p>
    <w:p w14:paraId="59D1326B">
      <w:pPr>
        <w:snapToGrid w:val="0"/>
        <w:jc w:val="both"/>
        <w:rPr>
          <w:rFonts w:eastAsia="宋体"/>
          <w:b/>
          <w:bCs/>
          <w:color w:val="000000"/>
          <w:sz w:val="24"/>
          <w:szCs w:val="24"/>
        </w:rPr>
      </w:pPr>
    </w:p>
    <w:p w14:paraId="49881A0C">
      <w:pPr>
        <w:snapToGrid w:val="0"/>
        <w:jc w:val="both"/>
        <w:rPr>
          <w:rFonts w:eastAsia="宋体"/>
          <w:sz w:val="24"/>
          <w:szCs w:val="24"/>
        </w:rPr>
      </w:pPr>
      <w:r>
        <w:rPr>
          <w:rFonts w:eastAsia="宋体"/>
          <w:b/>
          <w:bCs/>
          <w:color w:val="000000"/>
          <w:sz w:val="24"/>
          <w:szCs w:val="24"/>
        </w:rPr>
        <w:t>管理信息</w:t>
      </w:r>
    </w:p>
    <w:p w14:paraId="055C1CC6">
      <w:pPr>
        <w:snapToGrid w:val="0"/>
        <w:jc w:val="both"/>
        <w:rPr>
          <w:rFonts w:eastAsia="宋体"/>
          <w:sz w:val="24"/>
          <w:szCs w:val="24"/>
        </w:rPr>
      </w:pPr>
      <w:r>
        <w:rPr>
          <w:rFonts w:eastAsia="宋体"/>
          <w:color w:val="000000"/>
          <w:sz w:val="24"/>
          <w:szCs w:val="24"/>
        </w:rPr>
        <w:t>我们建议您在附函中注明：</w:t>
      </w:r>
    </w:p>
    <w:p w14:paraId="39C88650">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510（k）申报资料类型，简化或传统；</w:t>
      </w:r>
    </w:p>
    <w:p w14:paraId="5CD56F3F">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您的器械类型，以简单术语表示，即通过其通用名称；</w:t>
      </w:r>
    </w:p>
    <w:p w14:paraId="0319A8F8">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510（k）提交人；</w:t>
      </w:r>
    </w:p>
    <w:p w14:paraId="0A73E6D9">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一名主要</w:t>
      </w:r>
      <w:r>
        <w:rPr>
          <w:rFonts w:hint="eastAsia" w:eastAsia="宋体"/>
          <w:color w:val="000000"/>
          <w:sz w:val="24"/>
          <w:szCs w:val="24"/>
        </w:rPr>
        <w:t>联系人</w:t>
      </w:r>
      <w:r>
        <w:rPr>
          <w:rFonts w:eastAsia="宋体"/>
          <w:color w:val="000000"/>
          <w:sz w:val="24"/>
          <w:szCs w:val="24"/>
        </w:rPr>
        <w:t>，按姓名和职务列出其当前电话号码和电子邮件地址。可确定其他通讯员；</w:t>
      </w:r>
    </w:p>
    <w:p w14:paraId="1B6BC184">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您对持续保密的意向（21 CFR 807.95）；</w:t>
      </w:r>
    </w:p>
    <w:p w14:paraId="0FEBB5A5">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您提出的分类监管条例；</w:t>
      </w:r>
    </w:p>
    <w:p w14:paraId="60A43738">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器械分类（即，无论是未分类器械还是</w:t>
      </w:r>
      <w:r>
        <w:rPr>
          <w:rFonts w:hint="eastAsia" w:eastAsia="宋体"/>
          <w:color w:val="000000"/>
          <w:sz w:val="24"/>
          <w:szCs w:val="24"/>
        </w:rPr>
        <w:t>I</w:t>
      </w:r>
      <w:r>
        <w:rPr>
          <w:rFonts w:eastAsia="宋体"/>
          <w:color w:val="000000"/>
          <w:sz w:val="24"/>
          <w:szCs w:val="24"/>
        </w:rPr>
        <w:t>、II或III类器械）。有关分类的更多信息，请参见</w:t>
      </w:r>
      <w:r>
        <w:rPr>
          <w:rFonts w:ascii="宋体" w:hAnsi="宋体" w:eastAsia="宋体"/>
          <w:color w:val="000000"/>
          <w:sz w:val="24"/>
          <w:szCs w:val="24"/>
        </w:rPr>
        <w:t>“</w:t>
      </w:r>
      <w:r>
        <w:rPr>
          <w:rFonts w:eastAsia="宋体"/>
          <w:color w:val="0000FF"/>
          <w:sz w:val="24"/>
          <w:szCs w:val="24"/>
          <w:u w:val="single"/>
        </w:rPr>
        <w:t>对医疗器械进行分类</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46"/>
      </w:r>
      <w:r>
        <w:rPr>
          <w:rFonts w:eastAsia="宋体"/>
          <w:color w:val="000000"/>
          <w:sz w:val="24"/>
          <w:szCs w:val="24"/>
        </w:rPr>
        <w:t>未分类器械是一种合法销售的上市前修正案生效前器械，其分类法规尚未最终确定，且不需要PMA。；</w:t>
      </w:r>
    </w:p>
    <w:p w14:paraId="16E7515A">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参考品；</w:t>
      </w:r>
    </w:p>
    <w:p w14:paraId="43289800">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产品代码；和</w:t>
      </w:r>
    </w:p>
    <w:p w14:paraId="075C1B95">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与您的器械相关的先前与FDA正式通信相关的任何FDA文件编号（例如IDE、Q申请、510（k）、PMA、认定请求（RFD））。</w:t>
      </w:r>
    </w:p>
    <w:p w14:paraId="739AE5F6">
      <w:pPr>
        <w:snapToGrid w:val="0"/>
        <w:jc w:val="both"/>
        <w:rPr>
          <w:rFonts w:eastAsia="宋体"/>
          <w:b/>
          <w:bCs/>
          <w:color w:val="000000"/>
          <w:sz w:val="24"/>
          <w:szCs w:val="24"/>
        </w:rPr>
      </w:pPr>
    </w:p>
    <w:p w14:paraId="18750F79">
      <w:pPr>
        <w:snapToGrid w:val="0"/>
        <w:jc w:val="both"/>
        <w:rPr>
          <w:rFonts w:eastAsia="宋体"/>
          <w:sz w:val="24"/>
          <w:szCs w:val="24"/>
        </w:rPr>
      </w:pPr>
      <w:r>
        <w:rPr>
          <w:rFonts w:eastAsia="宋体"/>
          <w:b/>
          <w:bCs/>
          <w:color w:val="000000"/>
          <w:sz w:val="24"/>
          <w:szCs w:val="24"/>
        </w:rPr>
        <w:t>提交的依据</w:t>
      </w:r>
    </w:p>
    <w:p w14:paraId="5DDF473C">
      <w:pPr>
        <w:snapToGrid w:val="0"/>
        <w:jc w:val="both"/>
        <w:rPr>
          <w:rFonts w:eastAsia="宋体"/>
          <w:sz w:val="24"/>
          <w:szCs w:val="24"/>
        </w:rPr>
      </w:pPr>
      <w:r>
        <w:rPr>
          <w:rFonts w:eastAsia="宋体"/>
          <w:color w:val="000000"/>
          <w:sz w:val="24"/>
          <w:szCs w:val="24"/>
        </w:rPr>
        <w:t>我们建议您解释提交的依据。例如，传统或简化510（k）的适当基础是：</w:t>
      </w:r>
    </w:p>
    <w:p w14:paraId="59BC9E10">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新器械</w:t>
      </w:r>
    </w:p>
    <w:p w14:paraId="3408C0C7">
      <w:pPr>
        <w:shd w:val="clear" w:color="auto" w:fill="FFFFFF"/>
        <w:tabs>
          <w:tab w:val="left" w:pos="1080"/>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对合法销售的器械进行修改，否则不符合特殊510（k）</w:t>
      </w:r>
      <w:r>
        <w:rPr>
          <w:rStyle w:val="16"/>
          <w:rFonts w:eastAsia="宋体"/>
          <w:color w:val="000000" w:themeColor="text1"/>
          <w:sz w:val="24"/>
          <w:szCs w:val="24"/>
        </w:rPr>
        <w:t xml:space="preserve"> </w:t>
      </w:r>
      <w:r>
        <w:rPr>
          <w:rStyle w:val="16"/>
          <w:rFonts w:eastAsia="宋体"/>
          <w:color w:val="000000" w:themeColor="text1"/>
          <w:sz w:val="24"/>
          <w:szCs w:val="24"/>
        </w:rPr>
        <w:footnoteReference w:id="47"/>
      </w:r>
    </w:p>
    <w:p w14:paraId="4ED85A86">
      <w:pPr>
        <w:tabs>
          <w:tab w:val="left" w:pos="187"/>
        </w:tabs>
        <w:snapToGrid w:val="0"/>
        <w:jc w:val="both"/>
        <w:rPr>
          <w:rFonts w:eastAsia="宋体"/>
          <w:color w:val="000000"/>
          <w:sz w:val="21"/>
          <w:szCs w:val="21"/>
          <w:vertAlign w:val="superscript"/>
        </w:rPr>
      </w:pPr>
    </w:p>
    <w:p w14:paraId="5D15A46A">
      <w:pPr>
        <w:tabs>
          <w:tab w:val="left" w:pos="187"/>
        </w:tabs>
        <w:snapToGrid w:val="0"/>
        <w:jc w:val="both"/>
        <w:rPr>
          <w:rFonts w:eastAsia="宋体"/>
          <w:sz w:val="21"/>
          <w:szCs w:val="21"/>
        </w:rPr>
      </w:pPr>
    </w:p>
    <w:p w14:paraId="22515944">
      <w:pPr>
        <w:tabs>
          <w:tab w:val="left" w:pos="187"/>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5DA489E">
      <w:pPr>
        <w:shd w:val="clear" w:color="auto" w:fill="FFFFFF"/>
        <w:tabs>
          <w:tab w:val="left" w:pos="1085"/>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新的适应证</w:t>
      </w:r>
    </w:p>
    <w:p w14:paraId="422090BE">
      <w:pPr>
        <w:shd w:val="clear" w:color="auto" w:fill="FFFFFF"/>
        <w:tabs>
          <w:tab w:val="left" w:pos="1085"/>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新器械设计</w:t>
      </w:r>
    </w:p>
    <w:p w14:paraId="765D9D77">
      <w:pPr>
        <w:shd w:val="clear" w:color="auto" w:fill="FFFFFF"/>
        <w:tabs>
          <w:tab w:val="left" w:pos="1085"/>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再加工、一次性使用的一次性器械的提交</w:t>
      </w:r>
      <w:r>
        <w:rPr>
          <w:rStyle w:val="16"/>
          <w:rFonts w:eastAsia="宋体"/>
          <w:color w:val="000000" w:themeColor="text1"/>
          <w:sz w:val="24"/>
          <w:szCs w:val="24"/>
        </w:rPr>
        <w:footnoteReference w:id="48"/>
      </w:r>
    </w:p>
    <w:p w14:paraId="006ED346">
      <w:pPr>
        <w:shd w:val="clear" w:color="auto" w:fill="FFFFFF"/>
        <w:tabs>
          <w:tab w:val="left" w:pos="1085"/>
        </w:tabs>
        <w:autoSpaceDE/>
        <w:autoSpaceDN/>
        <w:snapToGrid w:val="0"/>
        <w:ind w:left="1185" w:leftChars="157" w:hanging="871" w:hangingChars="363"/>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超过豁免限制范围的豁免器械。</w:t>
      </w:r>
    </w:p>
    <w:p w14:paraId="36ABCD6B">
      <w:pPr>
        <w:snapToGrid w:val="0"/>
        <w:jc w:val="both"/>
        <w:rPr>
          <w:rFonts w:eastAsia="宋体"/>
          <w:color w:val="000000"/>
          <w:sz w:val="24"/>
          <w:szCs w:val="24"/>
        </w:rPr>
      </w:pPr>
    </w:p>
    <w:p w14:paraId="77F4430F">
      <w:pPr>
        <w:snapToGrid w:val="0"/>
        <w:jc w:val="both"/>
        <w:rPr>
          <w:rFonts w:eastAsia="宋体"/>
          <w:color w:val="000000" w:themeColor="text1"/>
          <w:sz w:val="24"/>
          <w:szCs w:val="24"/>
        </w:rPr>
      </w:pPr>
      <w:r>
        <w:rPr>
          <w:rFonts w:eastAsia="宋体"/>
          <w:color w:val="000000"/>
          <w:sz w:val="24"/>
          <w:szCs w:val="24"/>
        </w:rPr>
        <w:t>有关修改合法销售器械时提交510（k）的指南，请参见</w:t>
      </w:r>
      <w:r>
        <w:rPr>
          <w:rFonts w:ascii="宋体" w:hAnsi="宋体" w:eastAsia="宋体"/>
          <w:color w:val="000000"/>
          <w:sz w:val="24"/>
          <w:szCs w:val="24"/>
        </w:rPr>
        <w:t>“</w:t>
      </w:r>
      <w:r>
        <w:rPr>
          <w:rFonts w:eastAsia="宋体"/>
          <w:color w:val="0000FF"/>
          <w:sz w:val="24"/>
          <w:szCs w:val="24"/>
          <w:u w:val="single"/>
        </w:rPr>
        <w:t>决定何时提交510（k）以更改现有器械</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49"/>
      </w:r>
    </w:p>
    <w:p w14:paraId="70BD7CCC">
      <w:pPr>
        <w:snapToGrid w:val="0"/>
        <w:jc w:val="both"/>
        <w:rPr>
          <w:rFonts w:eastAsia="宋体"/>
          <w:sz w:val="24"/>
          <w:szCs w:val="24"/>
        </w:rPr>
      </w:pPr>
    </w:p>
    <w:p w14:paraId="3069A31C">
      <w:pPr>
        <w:snapToGrid w:val="0"/>
        <w:jc w:val="both"/>
        <w:rPr>
          <w:rFonts w:eastAsia="宋体"/>
          <w:color w:val="000000" w:themeColor="text1"/>
          <w:sz w:val="24"/>
          <w:szCs w:val="24"/>
        </w:rPr>
      </w:pPr>
      <w:r>
        <w:rPr>
          <w:rFonts w:eastAsia="宋体"/>
          <w:color w:val="000000"/>
          <w:sz w:val="24"/>
          <w:szCs w:val="24"/>
        </w:rPr>
        <w:t>如果您的器械由组装成便利套件的成品器械组成，我们建议您将您的器械标识为便利套件，并列出该套件中包含的所有器械。另见</w:t>
      </w:r>
      <w:r>
        <w:rPr>
          <w:rFonts w:ascii="宋体" w:hAnsi="宋体" w:eastAsia="宋体"/>
          <w:color w:val="000000"/>
          <w:sz w:val="24"/>
          <w:szCs w:val="24"/>
        </w:rPr>
        <w:t>“</w:t>
      </w:r>
      <w:r>
        <w:rPr>
          <w:rFonts w:eastAsia="宋体"/>
          <w:color w:val="0000FF"/>
          <w:sz w:val="24"/>
          <w:szCs w:val="24"/>
          <w:u w:val="single"/>
        </w:rPr>
        <w:t>便利套件临时监管指南</w:t>
      </w:r>
      <w:r>
        <w:rPr>
          <w:rFonts w:eastAsia="宋体"/>
          <w:color w:val="0000FF"/>
          <w:sz w:val="24"/>
          <w:szCs w:val="24"/>
        </w:rPr>
        <w:t>。</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50"/>
      </w:r>
      <w:r>
        <w:rPr>
          <w:rFonts w:eastAsia="宋体"/>
          <w:color w:val="000000"/>
          <w:sz w:val="24"/>
          <w:szCs w:val="24"/>
        </w:rPr>
        <w:t>在510（k）份便利套件申报资料中，我们建议您提供</w:t>
      </w:r>
      <w:r>
        <w:rPr>
          <w:rFonts w:eastAsia="宋体"/>
          <w:color w:val="0000FF"/>
          <w:sz w:val="24"/>
          <w:szCs w:val="24"/>
          <w:u w:val="single"/>
        </w:rPr>
        <w:t>包认证声明</w:t>
      </w:r>
      <w:r>
        <w:rPr>
          <w:rFonts w:eastAsia="宋体"/>
          <w:color w:val="0000FF"/>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51"/>
      </w:r>
    </w:p>
    <w:p w14:paraId="5FA32C88">
      <w:pPr>
        <w:snapToGrid w:val="0"/>
        <w:jc w:val="both"/>
        <w:rPr>
          <w:rFonts w:eastAsia="宋体"/>
          <w:sz w:val="24"/>
          <w:szCs w:val="24"/>
        </w:rPr>
      </w:pPr>
    </w:p>
    <w:p w14:paraId="11F04290">
      <w:pPr>
        <w:snapToGrid w:val="0"/>
        <w:jc w:val="both"/>
        <w:rPr>
          <w:rFonts w:eastAsia="宋体"/>
          <w:color w:val="000000"/>
          <w:sz w:val="24"/>
          <w:szCs w:val="24"/>
        </w:rPr>
      </w:pPr>
      <w:r>
        <w:rPr>
          <w:rFonts w:eastAsia="宋体"/>
          <w:color w:val="000000"/>
          <w:sz w:val="24"/>
          <w:szCs w:val="24"/>
        </w:rPr>
        <w:t>如果您在提交的文件中捆绑提交了多个器械，我们建议您标明捆绑提交的所有器械，并讨论您认为捆绑适用的原因。有关捆绑提交的信息，请参见</w:t>
      </w:r>
      <w:r>
        <w:rPr>
          <w:rFonts w:ascii="宋体" w:hAnsi="宋体" w:eastAsia="宋体"/>
          <w:color w:val="000000"/>
          <w:sz w:val="24"/>
          <w:szCs w:val="24"/>
        </w:rPr>
        <w:t>“</w:t>
      </w:r>
      <w:r>
        <w:rPr>
          <w:rFonts w:eastAsia="宋体"/>
          <w:color w:val="0000FF"/>
          <w:sz w:val="24"/>
          <w:szCs w:val="24"/>
          <w:u w:val="single"/>
        </w:rPr>
        <w:t>在一次提交中捆绑提交多个器械或多个适应证</w:t>
      </w:r>
      <w:r>
        <w:rPr>
          <w:rFonts w:ascii="宋体" w:hAnsi="宋体" w:eastAsia="宋体"/>
          <w:color w:val="000000"/>
          <w:sz w:val="24"/>
          <w:szCs w:val="24"/>
        </w:rPr>
        <w:t>”</w:t>
      </w:r>
      <w:r>
        <w:rPr>
          <w:rStyle w:val="16"/>
          <w:rFonts w:eastAsia="宋体"/>
          <w:color w:val="000000" w:themeColor="text1"/>
          <w:sz w:val="24"/>
          <w:szCs w:val="24"/>
        </w:rPr>
        <w:t xml:space="preserve"> </w:t>
      </w:r>
      <w:r>
        <w:rPr>
          <w:rStyle w:val="16"/>
          <w:rFonts w:eastAsia="宋体"/>
          <w:color w:val="000000" w:themeColor="text1"/>
          <w:sz w:val="24"/>
          <w:szCs w:val="24"/>
        </w:rPr>
        <w:footnoteReference w:id="52"/>
      </w:r>
      <w:r>
        <w:rPr>
          <w:rFonts w:eastAsia="宋体"/>
          <w:color w:val="000000"/>
          <w:sz w:val="24"/>
          <w:szCs w:val="24"/>
        </w:rPr>
        <w:t>。</w:t>
      </w:r>
    </w:p>
    <w:p w14:paraId="49364A08">
      <w:pPr>
        <w:snapToGrid w:val="0"/>
        <w:jc w:val="both"/>
        <w:rPr>
          <w:rFonts w:eastAsia="宋体"/>
          <w:sz w:val="24"/>
          <w:szCs w:val="24"/>
        </w:rPr>
      </w:pPr>
    </w:p>
    <w:p w14:paraId="42C2E5D4">
      <w:pPr>
        <w:snapToGrid w:val="0"/>
        <w:jc w:val="both"/>
        <w:rPr>
          <w:rFonts w:eastAsia="宋体"/>
          <w:sz w:val="24"/>
          <w:szCs w:val="24"/>
        </w:rPr>
      </w:pPr>
      <w:r>
        <w:rPr>
          <w:rFonts w:eastAsia="宋体"/>
          <w:b/>
          <w:bCs/>
          <w:color w:val="000000"/>
          <w:sz w:val="24"/>
          <w:szCs w:val="24"/>
        </w:rPr>
        <w:t>器械的设计和使用</w:t>
      </w:r>
    </w:p>
    <w:p w14:paraId="49F7D673">
      <w:pPr>
        <w:snapToGrid w:val="0"/>
        <w:jc w:val="both"/>
        <w:rPr>
          <w:rFonts w:eastAsia="宋体"/>
          <w:sz w:val="24"/>
          <w:szCs w:val="24"/>
        </w:rPr>
      </w:pPr>
      <w:r>
        <w:rPr>
          <w:rFonts w:eastAsia="宋体"/>
          <w:color w:val="000000"/>
          <w:sz w:val="24"/>
          <w:szCs w:val="24"/>
        </w:rPr>
        <w:t>我们建议您的附函以表格形式说明器械设计和使用的主要因素，例如，通过回答下表2所列的问题。</w:t>
      </w:r>
    </w:p>
    <w:p w14:paraId="43EACADA">
      <w:pPr>
        <w:tabs>
          <w:tab w:val="left" w:pos="182"/>
        </w:tabs>
        <w:snapToGrid w:val="0"/>
        <w:jc w:val="both"/>
        <w:rPr>
          <w:rFonts w:eastAsia="宋体"/>
          <w:color w:val="000000"/>
          <w:sz w:val="24"/>
          <w:szCs w:val="24"/>
          <w:vertAlign w:val="superscript"/>
        </w:rPr>
      </w:pPr>
    </w:p>
    <w:p w14:paraId="2174D534">
      <w:pPr>
        <w:tabs>
          <w:tab w:val="left" w:pos="182"/>
        </w:tabs>
        <w:snapToGrid w:val="0"/>
        <w:jc w:val="both"/>
        <w:rPr>
          <w:rFonts w:eastAsia="宋体"/>
          <w:color w:val="000000"/>
          <w:sz w:val="21"/>
          <w:szCs w:val="21"/>
          <w:vertAlign w:val="superscript"/>
        </w:rPr>
      </w:pPr>
    </w:p>
    <w:p w14:paraId="1A23F4B9">
      <w:pPr>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07025F6">
      <w:pPr>
        <w:snapToGrid w:val="0"/>
        <w:jc w:val="both"/>
        <w:rPr>
          <w:rFonts w:eastAsia="宋体"/>
          <w:sz w:val="21"/>
          <w:szCs w:val="21"/>
        </w:rPr>
      </w:pPr>
      <w:bookmarkStart w:id="59" w:name="bookmark77"/>
      <w:bookmarkEnd w:id="59"/>
      <w:r>
        <w:rPr>
          <w:rFonts w:eastAsia="宋体"/>
          <w:b/>
          <w:bCs/>
          <w:color w:val="000000"/>
          <w:sz w:val="21"/>
          <w:szCs w:val="21"/>
        </w:rPr>
        <w:t>表2：器械的设计和使用</w:t>
      </w:r>
    </w:p>
    <w:p w14:paraId="196D3685">
      <w:pPr>
        <w:snapToGrid w:val="0"/>
        <w:jc w:val="both"/>
        <w:rPr>
          <w:rFonts w:eastAsia="宋体"/>
          <w:sz w:val="21"/>
          <w:szCs w:val="21"/>
        </w:rPr>
      </w:pPr>
    </w:p>
    <w:tbl>
      <w:tblPr>
        <w:tblStyle w:val="12"/>
        <w:tblW w:w="4784" w:type="pct"/>
        <w:tblInd w:w="40" w:type="dxa"/>
        <w:tblLayout w:type="fixed"/>
        <w:tblCellMar>
          <w:top w:w="0" w:type="dxa"/>
          <w:left w:w="40" w:type="dxa"/>
          <w:bottom w:w="0" w:type="dxa"/>
          <w:right w:w="40" w:type="dxa"/>
        </w:tblCellMar>
      </w:tblPr>
      <w:tblGrid>
        <w:gridCol w:w="7640"/>
        <w:gridCol w:w="628"/>
        <w:gridCol w:w="521"/>
      </w:tblGrid>
      <w:tr w14:paraId="5F58C4D9">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D15261">
            <w:pPr>
              <w:snapToGrid w:val="0"/>
              <w:rPr>
                <w:rFonts w:eastAsia="宋体"/>
                <w:sz w:val="21"/>
                <w:szCs w:val="21"/>
              </w:rPr>
            </w:pPr>
            <w:r>
              <w:rPr>
                <w:rFonts w:eastAsia="宋体"/>
                <w:b/>
                <w:bCs/>
                <w:color w:val="000000"/>
                <w:sz w:val="21"/>
                <w:szCs w:val="21"/>
              </w:rPr>
              <w:t>问题</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520059">
            <w:pPr>
              <w:snapToGrid w:val="0"/>
              <w:rPr>
                <w:rFonts w:eastAsia="宋体"/>
                <w:sz w:val="21"/>
                <w:szCs w:val="21"/>
              </w:rPr>
            </w:pPr>
            <w:r>
              <w:rPr>
                <w:rFonts w:eastAsia="宋体"/>
                <w:b/>
                <w:bCs/>
                <w:color w:val="000000"/>
                <w:sz w:val="21"/>
                <w:szCs w:val="21"/>
              </w:rPr>
              <w:t>是</w:t>
            </w: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E41726">
            <w:pPr>
              <w:snapToGrid w:val="0"/>
              <w:rPr>
                <w:rFonts w:eastAsia="宋体"/>
                <w:sz w:val="21"/>
                <w:szCs w:val="21"/>
              </w:rPr>
            </w:pPr>
            <w:r>
              <w:rPr>
                <w:rFonts w:eastAsia="宋体"/>
                <w:b/>
                <w:bCs/>
                <w:color w:val="000000"/>
                <w:sz w:val="21"/>
                <w:szCs w:val="21"/>
              </w:rPr>
              <w:t>否</w:t>
            </w:r>
          </w:p>
        </w:tc>
      </w:tr>
      <w:tr w14:paraId="2E7F52BB">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84B3F0">
            <w:pPr>
              <w:snapToGrid w:val="0"/>
              <w:spacing w:before="48" w:beforeLines="20" w:after="48" w:afterLines="20"/>
              <w:rPr>
                <w:rFonts w:eastAsia="宋体"/>
                <w:sz w:val="21"/>
                <w:szCs w:val="21"/>
              </w:rPr>
            </w:pPr>
            <w:r>
              <w:rPr>
                <w:rFonts w:eastAsia="宋体"/>
                <w:color w:val="000000"/>
                <w:sz w:val="21"/>
                <w:szCs w:val="21"/>
              </w:rPr>
              <w:t>该器械是否用于处方用途（21 CFR 801子部分D）？</w:t>
            </w:r>
            <w:r>
              <w:rPr>
                <w:rFonts w:eastAsia="宋体"/>
                <w:color w:val="000000"/>
                <w:sz w:val="21"/>
                <w:szCs w:val="21"/>
                <w:vertAlign w:val="superscript"/>
              </w:rPr>
              <w:t>A</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F7E8BC">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A85987">
            <w:pPr>
              <w:snapToGrid w:val="0"/>
              <w:spacing w:before="48" w:beforeLines="20" w:after="48" w:afterLines="20"/>
              <w:rPr>
                <w:rFonts w:eastAsia="宋体"/>
                <w:sz w:val="21"/>
                <w:szCs w:val="21"/>
              </w:rPr>
            </w:pPr>
          </w:p>
        </w:tc>
      </w:tr>
      <w:tr w14:paraId="370FB930">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959CBC">
            <w:pPr>
              <w:snapToGrid w:val="0"/>
              <w:spacing w:before="48" w:beforeLines="20" w:after="48" w:afterLines="20"/>
              <w:rPr>
                <w:rFonts w:eastAsia="宋体"/>
                <w:sz w:val="21"/>
                <w:szCs w:val="21"/>
              </w:rPr>
            </w:pPr>
            <w:r>
              <w:rPr>
                <w:rFonts w:eastAsia="宋体"/>
                <w:color w:val="000000"/>
                <w:sz w:val="21"/>
                <w:szCs w:val="21"/>
              </w:rPr>
              <w:t>该器械是否用于非处方药使用（21 CFR 807子部分C）？</w:t>
            </w:r>
            <w:r>
              <w:rPr>
                <w:rFonts w:eastAsia="宋体"/>
                <w:color w:val="000000"/>
                <w:sz w:val="21"/>
                <w:szCs w:val="21"/>
                <w:vertAlign w:val="superscript"/>
              </w:rPr>
              <w:t>A</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AAB91B">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8C0E5C">
            <w:pPr>
              <w:snapToGrid w:val="0"/>
              <w:spacing w:before="48" w:beforeLines="20" w:after="48" w:afterLines="20"/>
              <w:rPr>
                <w:rFonts w:eastAsia="宋体"/>
                <w:sz w:val="21"/>
                <w:szCs w:val="21"/>
              </w:rPr>
            </w:pPr>
          </w:p>
        </w:tc>
      </w:tr>
      <w:tr w14:paraId="72F3AC06">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403123">
            <w:pPr>
              <w:snapToGrid w:val="0"/>
              <w:spacing w:before="48" w:beforeLines="20" w:after="48" w:afterLines="20"/>
              <w:rPr>
                <w:rFonts w:eastAsia="宋体"/>
                <w:sz w:val="21"/>
                <w:szCs w:val="21"/>
              </w:rPr>
            </w:pPr>
            <w:r>
              <w:rPr>
                <w:rFonts w:eastAsia="宋体"/>
                <w:color w:val="000000"/>
                <w:sz w:val="21"/>
                <w:szCs w:val="21"/>
              </w:rPr>
              <w:t>该器械是否含有来自组织或其他生物来源的成分？</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AA0F97">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24E1B6">
            <w:pPr>
              <w:snapToGrid w:val="0"/>
              <w:spacing w:before="48" w:beforeLines="20" w:after="48" w:afterLines="20"/>
              <w:rPr>
                <w:rFonts w:eastAsia="宋体"/>
                <w:sz w:val="21"/>
                <w:szCs w:val="21"/>
              </w:rPr>
            </w:pPr>
          </w:p>
        </w:tc>
      </w:tr>
      <w:tr w14:paraId="2E7353A8">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1B6921">
            <w:pPr>
              <w:snapToGrid w:val="0"/>
              <w:spacing w:before="48" w:beforeLines="20" w:after="48" w:afterLines="20"/>
              <w:rPr>
                <w:rFonts w:eastAsia="宋体"/>
                <w:sz w:val="21"/>
                <w:szCs w:val="21"/>
              </w:rPr>
            </w:pPr>
            <w:r>
              <w:rPr>
                <w:rFonts w:eastAsia="宋体"/>
                <w:color w:val="000000"/>
                <w:sz w:val="21"/>
                <w:szCs w:val="21"/>
              </w:rPr>
              <w:t>器械是否无菌？</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9CCFB5">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D93FD9">
            <w:pPr>
              <w:snapToGrid w:val="0"/>
              <w:spacing w:before="48" w:beforeLines="20" w:after="48" w:afterLines="20"/>
              <w:rPr>
                <w:rFonts w:eastAsia="宋体"/>
                <w:sz w:val="21"/>
                <w:szCs w:val="21"/>
              </w:rPr>
            </w:pPr>
          </w:p>
        </w:tc>
      </w:tr>
      <w:tr w14:paraId="4E2308AE">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5D161F">
            <w:pPr>
              <w:snapToGrid w:val="0"/>
              <w:spacing w:before="48" w:beforeLines="20" w:after="48" w:afterLines="20"/>
              <w:rPr>
                <w:rFonts w:eastAsia="宋体"/>
                <w:sz w:val="21"/>
                <w:szCs w:val="21"/>
              </w:rPr>
            </w:pPr>
            <w:r>
              <w:rPr>
                <w:rFonts w:eastAsia="宋体"/>
                <w:color w:val="000000"/>
                <w:sz w:val="21"/>
                <w:szCs w:val="21"/>
              </w:rPr>
              <w:t>该器械是否为一次性使用器械？</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265EAF">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0B14A0">
            <w:pPr>
              <w:snapToGrid w:val="0"/>
              <w:spacing w:before="48" w:beforeLines="20" w:after="48" w:afterLines="20"/>
              <w:rPr>
                <w:rFonts w:eastAsia="宋体"/>
                <w:sz w:val="21"/>
                <w:szCs w:val="21"/>
              </w:rPr>
            </w:pPr>
          </w:p>
        </w:tc>
      </w:tr>
      <w:tr w14:paraId="63D3A113">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10CAC9">
            <w:pPr>
              <w:snapToGrid w:val="0"/>
              <w:spacing w:before="48" w:beforeLines="20" w:after="48" w:afterLines="20"/>
              <w:rPr>
                <w:rFonts w:eastAsia="宋体"/>
                <w:sz w:val="21"/>
                <w:szCs w:val="21"/>
              </w:rPr>
            </w:pPr>
            <w:r>
              <w:rPr>
                <w:rFonts w:eastAsia="宋体"/>
                <w:color w:val="000000"/>
                <w:sz w:val="21"/>
                <w:szCs w:val="21"/>
              </w:rPr>
              <w:t>该器械是否为重新处理的一次性器械？</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40571C">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5AC20F">
            <w:pPr>
              <w:snapToGrid w:val="0"/>
              <w:spacing w:before="48" w:beforeLines="20" w:after="48" w:afterLines="20"/>
              <w:rPr>
                <w:rFonts w:eastAsia="宋体"/>
                <w:sz w:val="21"/>
                <w:szCs w:val="21"/>
              </w:rPr>
            </w:pPr>
          </w:p>
        </w:tc>
      </w:tr>
      <w:tr w14:paraId="05797037">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D737D5">
            <w:pPr>
              <w:snapToGrid w:val="0"/>
              <w:spacing w:before="48" w:beforeLines="20" w:after="48" w:afterLines="20"/>
              <w:rPr>
                <w:rFonts w:eastAsia="宋体"/>
                <w:sz w:val="21"/>
                <w:szCs w:val="21"/>
              </w:rPr>
            </w:pPr>
            <w:r>
              <w:rPr>
                <w:rFonts w:eastAsia="宋体"/>
                <w:color w:val="000000"/>
                <w:sz w:val="21"/>
                <w:szCs w:val="21"/>
              </w:rPr>
              <w:t>如果是，此器械类型是否需要重新处理验证数据？</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85CFBB">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7EFB3F">
            <w:pPr>
              <w:snapToGrid w:val="0"/>
              <w:spacing w:before="48" w:beforeLines="20" w:after="48" w:afterLines="20"/>
              <w:rPr>
                <w:rFonts w:eastAsia="宋体"/>
                <w:sz w:val="21"/>
                <w:szCs w:val="21"/>
              </w:rPr>
            </w:pPr>
          </w:p>
        </w:tc>
      </w:tr>
      <w:tr w14:paraId="32EFADB0">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D296AB">
            <w:pPr>
              <w:snapToGrid w:val="0"/>
              <w:spacing w:before="48" w:beforeLines="20" w:after="48" w:afterLines="20"/>
              <w:rPr>
                <w:rFonts w:eastAsia="宋体"/>
                <w:sz w:val="21"/>
                <w:szCs w:val="21"/>
              </w:rPr>
            </w:pPr>
            <w:r>
              <w:rPr>
                <w:rFonts w:eastAsia="宋体"/>
                <w:color w:val="000000"/>
                <w:sz w:val="21"/>
                <w:szCs w:val="21"/>
              </w:rPr>
              <w:t>该器械是否含有药物？</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EAE9CD">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18227B">
            <w:pPr>
              <w:snapToGrid w:val="0"/>
              <w:spacing w:before="48" w:beforeLines="20" w:after="48" w:afterLines="20"/>
              <w:rPr>
                <w:rFonts w:eastAsia="宋体"/>
                <w:sz w:val="21"/>
                <w:szCs w:val="21"/>
              </w:rPr>
            </w:pPr>
          </w:p>
        </w:tc>
      </w:tr>
      <w:tr w14:paraId="1FB94214">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E70D15">
            <w:pPr>
              <w:snapToGrid w:val="0"/>
              <w:spacing w:before="48" w:beforeLines="20" w:after="48" w:afterLines="20"/>
              <w:rPr>
                <w:rFonts w:eastAsia="宋体"/>
                <w:sz w:val="21"/>
                <w:szCs w:val="21"/>
              </w:rPr>
            </w:pPr>
            <w:r>
              <w:rPr>
                <w:rFonts w:eastAsia="宋体"/>
                <w:color w:val="000000"/>
                <w:sz w:val="21"/>
                <w:szCs w:val="21"/>
              </w:rPr>
              <w:t>该器械是否含有生物活性物质？</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EDB7CB">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B0C66E">
            <w:pPr>
              <w:snapToGrid w:val="0"/>
              <w:spacing w:before="48" w:beforeLines="20" w:after="48" w:afterLines="20"/>
              <w:rPr>
                <w:rFonts w:eastAsia="宋体"/>
                <w:sz w:val="21"/>
                <w:szCs w:val="21"/>
              </w:rPr>
            </w:pPr>
          </w:p>
        </w:tc>
      </w:tr>
      <w:tr w14:paraId="1088CA94">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28C41F">
            <w:pPr>
              <w:snapToGrid w:val="0"/>
              <w:spacing w:before="48" w:beforeLines="20" w:after="48" w:afterLines="20"/>
              <w:rPr>
                <w:rFonts w:eastAsia="宋体"/>
                <w:sz w:val="21"/>
                <w:szCs w:val="21"/>
              </w:rPr>
            </w:pPr>
            <w:r>
              <w:rPr>
                <w:rFonts w:eastAsia="宋体"/>
                <w:color w:val="000000"/>
                <w:sz w:val="21"/>
                <w:szCs w:val="21"/>
              </w:rPr>
              <w:t>器械是否使用软件？</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F89E59">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DF81F0">
            <w:pPr>
              <w:snapToGrid w:val="0"/>
              <w:spacing w:before="48" w:beforeLines="20" w:after="48" w:afterLines="20"/>
              <w:rPr>
                <w:rFonts w:eastAsia="宋体"/>
                <w:sz w:val="21"/>
                <w:szCs w:val="21"/>
              </w:rPr>
            </w:pPr>
          </w:p>
        </w:tc>
      </w:tr>
      <w:tr w14:paraId="67B57ABD">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D042F0">
            <w:pPr>
              <w:snapToGrid w:val="0"/>
              <w:spacing w:before="48" w:beforeLines="20" w:after="48" w:afterLines="20"/>
              <w:rPr>
                <w:rFonts w:eastAsia="宋体"/>
                <w:sz w:val="21"/>
                <w:szCs w:val="21"/>
              </w:rPr>
            </w:pPr>
            <w:r>
              <w:rPr>
                <w:rFonts w:eastAsia="宋体"/>
                <w:color w:val="000000"/>
                <w:sz w:val="21"/>
                <w:szCs w:val="21"/>
              </w:rPr>
              <w:t>申报资料是否包含临床信息？</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A4F3B6">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267725">
            <w:pPr>
              <w:snapToGrid w:val="0"/>
              <w:spacing w:before="48" w:beforeLines="20" w:after="48" w:afterLines="20"/>
              <w:rPr>
                <w:rFonts w:eastAsia="宋体"/>
                <w:sz w:val="21"/>
                <w:szCs w:val="21"/>
              </w:rPr>
            </w:pPr>
          </w:p>
        </w:tc>
      </w:tr>
      <w:tr w14:paraId="5353A59D">
        <w:tblPrEx>
          <w:tblCellMar>
            <w:top w:w="0" w:type="dxa"/>
            <w:left w:w="40" w:type="dxa"/>
            <w:bottom w:w="0" w:type="dxa"/>
            <w:right w:w="40" w:type="dxa"/>
          </w:tblCellMar>
        </w:tblPrEx>
        <w:tc>
          <w:tcPr>
            <w:tcW w:w="7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329C9F">
            <w:pPr>
              <w:snapToGrid w:val="0"/>
              <w:spacing w:before="48" w:beforeLines="20" w:after="48" w:afterLines="20"/>
              <w:rPr>
                <w:rFonts w:eastAsia="宋体"/>
                <w:sz w:val="21"/>
                <w:szCs w:val="21"/>
              </w:rPr>
            </w:pPr>
            <w:r>
              <w:rPr>
                <w:rFonts w:eastAsia="宋体"/>
                <w:color w:val="000000"/>
                <w:sz w:val="21"/>
                <w:szCs w:val="21"/>
              </w:rPr>
              <w:t>器械是否是植入器械？</w:t>
            </w:r>
          </w:p>
        </w:tc>
        <w:tc>
          <w:tcPr>
            <w:tcW w:w="6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AF5230">
            <w:pPr>
              <w:snapToGrid w:val="0"/>
              <w:spacing w:before="48" w:beforeLines="20" w:after="48" w:afterLines="20"/>
              <w:rPr>
                <w:rFonts w:eastAsia="宋体"/>
                <w:sz w:val="21"/>
                <w:szCs w:val="21"/>
              </w:rPr>
            </w:pPr>
          </w:p>
        </w:tc>
        <w:tc>
          <w:tcPr>
            <w:tcW w:w="5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F0A76C">
            <w:pPr>
              <w:snapToGrid w:val="0"/>
              <w:spacing w:before="48" w:beforeLines="20" w:after="48" w:afterLines="20"/>
              <w:rPr>
                <w:rFonts w:eastAsia="宋体"/>
                <w:sz w:val="21"/>
                <w:szCs w:val="21"/>
              </w:rPr>
            </w:pPr>
          </w:p>
        </w:tc>
      </w:tr>
    </w:tbl>
    <w:p w14:paraId="4B054789">
      <w:pPr>
        <w:snapToGrid w:val="0"/>
        <w:jc w:val="both"/>
        <w:rPr>
          <w:rFonts w:eastAsia="宋体"/>
          <w:sz w:val="21"/>
          <w:szCs w:val="21"/>
        </w:rPr>
      </w:pPr>
      <w:r>
        <w:rPr>
          <w:rFonts w:eastAsia="宋体"/>
          <w:color w:val="000000"/>
          <w:sz w:val="21"/>
          <w:szCs w:val="21"/>
          <w:vertAlign w:val="superscript"/>
        </w:rPr>
        <w:t>A</w:t>
      </w:r>
      <w:r>
        <w:rPr>
          <w:rFonts w:eastAsia="宋体"/>
          <w:color w:val="000000"/>
          <w:sz w:val="21"/>
          <w:szCs w:val="21"/>
        </w:rPr>
        <w:t>器械是否可同时用于处方和非处方使用。</w:t>
      </w:r>
      <w:r>
        <w:rPr>
          <w:rFonts w:hint="eastAsia" w:eastAsia="宋体"/>
          <w:color w:val="000000"/>
          <w:sz w:val="21"/>
          <w:szCs w:val="21"/>
        </w:rPr>
        <w:t>若如此</w:t>
      </w:r>
      <w:r>
        <w:rPr>
          <w:rFonts w:eastAsia="宋体"/>
          <w:color w:val="000000"/>
          <w:sz w:val="21"/>
          <w:szCs w:val="21"/>
        </w:rPr>
        <w:t>，这两个问题的答案都</w:t>
      </w:r>
      <w:r>
        <w:rPr>
          <w:rFonts w:hint="eastAsia" w:eastAsia="宋体"/>
          <w:color w:val="000000"/>
          <w:sz w:val="21"/>
          <w:szCs w:val="21"/>
        </w:rPr>
        <w:t>为</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14:paraId="521B50E9">
      <w:pPr>
        <w:pStyle w:val="19"/>
        <w:pBdr>
          <w:bottom w:val="single" w:color="auto" w:sz="4" w:space="1"/>
        </w:pBdr>
        <w:jc w:val="center"/>
        <w:rPr>
          <w:rFonts w:hint="eastAsia" w:eastAsia="等线"/>
          <w:lang w:eastAsia="zh-CN"/>
        </w:rPr>
      </w:pPr>
    </w:p>
    <w:p w14:paraId="5BE7760A">
      <w:pPr>
        <w:pStyle w:val="19"/>
        <w:pBdr>
          <w:bottom w:val="single" w:color="auto" w:sz="4" w:space="1"/>
        </w:pBdr>
        <w:jc w:val="center"/>
        <w:rPr>
          <w:rFonts w:hint="eastAsia" w:eastAsia="等线"/>
          <w:lang w:eastAsia="zh-CN"/>
        </w:rPr>
      </w:pPr>
    </w:p>
    <w:p w14:paraId="2BC8CC51">
      <w:pPr>
        <w:pStyle w:val="19"/>
        <w:pBdr>
          <w:bottom w:val="single" w:color="auto" w:sz="4" w:space="1"/>
        </w:pBd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BC0D">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6">
    <w:p>
      <w:r>
        <w:separator/>
      </w:r>
    </w:p>
  </w:footnote>
  <w:footnote w:type="continuationSeparator" w:id="107">
    <w:p>
      <w:r>
        <w:continuationSeparator/>
      </w:r>
    </w:p>
  </w:footnote>
  <w:footnote w:id="0">
    <w:p w14:paraId="42F9CDE1">
      <w:pPr>
        <w:pStyle w:val="10"/>
      </w:pPr>
      <w:r>
        <w:rPr>
          <w:rStyle w:val="16"/>
        </w:rPr>
        <w:footnoteRef/>
      </w:r>
      <w:r>
        <w:t xml:space="preserve"> </w:t>
      </w:r>
      <w:r>
        <w:rPr>
          <w:color w:val="000000"/>
        </w:rPr>
        <w:t>有关更多信息，请参阅“特殊510（k）项目”，获取网址：</w:t>
      </w:r>
      <w:r>
        <w:rPr>
          <w:color w:val="0000FF"/>
          <w:u w:val="single"/>
        </w:rPr>
        <w:t xml:space="preserve"> https://www.fda.gov/regulatory-information/search-fda-guidance-documents/special-510k-program.</w:t>
      </w:r>
    </w:p>
  </w:footnote>
  <w:footnote w:id="1">
    <w:p w14:paraId="045C1B84">
      <w:pPr>
        <w:pStyle w:val="10"/>
      </w:pPr>
      <w:r>
        <w:rPr>
          <w:rStyle w:val="16"/>
        </w:rPr>
        <w:footnoteRef/>
      </w:r>
      <w:r>
        <w:t xml:space="preserve"> </w:t>
      </w:r>
      <w:r>
        <w:rPr>
          <w:color w:val="000000"/>
        </w:rPr>
        <w:t>访问</w:t>
      </w:r>
      <w:r>
        <w:rPr>
          <w:color w:val="0000FF"/>
          <w:u w:val="single"/>
        </w:rPr>
        <w:t>https://www.accessdata.fda.gov/scripts/cdrh/cfdocs/cfStandards/search.cfm</w:t>
      </w:r>
      <w:r>
        <w:t>。</w:t>
      </w:r>
    </w:p>
  </w:footnote>
  <w:footnote w:id="2">
    <w:p w14:paraId="5C985B36">
      <w:pPr>
        <w:pStyle w:val="10"/>
      </w:pPr>
      <w:r>
        <w:rPr>
          <w:rStyle w:val="16"/>
        </w:rPr>
        <w:footnoteRef/>
      </w:r>
      <w:r>
        <w:t xml:space="preserve"> </w:t>
      </w:r>
      <w:r>
        <w:rPr>
          <w:color w:val="000000"/>
        </w:rPr>
        <w:t>访问</w:t>
      </w:r>
      <w:r>
        <w:rPr>
          <w:color w:val="0000FF"/>
          <w:u w:val="single"/>
        </w:rPr>
        <w:t>https://www.fda.gov/regulatory-information/search-fda-guidance-documents/appropriate-use-voluntary-consensus-standards-premarket-submissions-medical-devices。</w:t>
      </w:r>
    </w:p>
  </w:footnote>
  <w:footnote w:id="3">
    <w:p w14:paraId="5BF012AA">
      <w:pPr>
        <w:pStyle w:val="10"/>
      </w:pPr>
      <w:r>
        <w:rPr>
          <w:rStyle w:val="16"/>
        </w:rPr>
        <w:footnoteRef/>
      </w:r>
      <w:r>
        <w:t xml:space="preserve"> </w:t>
      </w:r>
      <w:r>
        <w:rPr>
          <w:color w:val="0000FF"/>
          <w:u w:val="single"/>
        </w:rPr>
        <w:t>https://www.fda.gov/regulatory-information/search-fda-guidance-documents/standards-development-and-use-standards-regulatory-submissions-reviewed-center-biologics-evaluation.</w:t>
      </w:r>
    </w:p>
  </w:footnote>
  <w:footnote w:id="4">
    <w:p w14:paraId="2408DAC0">
      <w:pPr>
        <w:pStyle w:val="10"/>
      </w:pPr>
      <w:r>
        <w:rPr>
          <w:rStyle w:val="16"/>
        </w:rPr>
        <w:footnoteRef/>
      </w:r>
      <w:r>
        <w:t xml:space="preserve"> </w:t>
      </w:r>
      <w:r>
        <w:rPr>
          <w:color w:val="0000FF"/>
          <w:u w:val="single"/>
        </w:rPr>
        <w:t>https://www.fda.gov/regulatory-information/search-fda-guidance-documents/refuse-accept-policy-510ks.</w:t>
      </w:r>
    </w:p>
  </w:footnote>
  <w:footnote w:id="5">
    <w:p w14:paraId="02BCCD2C">
      <w:pPr>
        <w:pStyle w:val="10"/>
      </w:pPr>
      <w:r>
        <w:rPr>
          <w:rStyle w:val="16"/>
        </w:rPr>
        <w:footnoteRef/>
      </w:r>
      <w:r>
        <w:t xml:space="preserve"> </w:t>
      </w:r>
      <w:r>
        <w:rPr>
          <w:color w:val="0000FF"/>
          <w:u w:val="single"/>
        </w:rPr>
        <w:t>https://www.fda.gov/medical-devices/premarket-submissions/premarket-notification-510k.</w:t>
      </w:r>
    </w:p>
  </w:footnote>
  <w:footnote w:id="6">
    <w:p w14:paraId="2017C729">
      <w:pPr>
        <w:pStyle w:val="10"/>
      </w:pPr>
      <w:r>
        <w:rPr>
          <w:rStyle w:val="16"/>
        </w:rPr>
        <w:footnoteRef/>
      </w:r>
      <w:r>
        <w:t xml:space="preserve"> </w:t>
      </w:r>
      <w:r>
        <w:rPr>
          <w:color w:val="000000"/>
        </w:rPr>
        <w:t>21 CFR 807.92（a）（3）。</w:t>
      </w:r>
    </w:p>
  </w:footnote>
  <w:footnote w:id="7">
    <w:p w14:paraId="4B402FE3">
      <w:pPr>
        <w:pStyle w:val="10"/>
      </w:pPr>
      <w:r>
        <w:rPr>
          <w:rStyle w:val="16"/>
        </w:rPr>
        <w:footnoteRef/>
      </w:r>
      <w:r>
        <w:t xml:space="preserve"> </w:t>
      </w:r>
      <w:r>
        <w:rPr>
          <w:color w:val="0000FF"/>
          <w:u w:val="single"/>
        </w:rPr>
        <w:t>https://www.fda.gov/regulatory-information/search-fda-guidance-documents/abbreviated-510k-program.</w:t>
      </w:r>
    </w:p>
  </w:footnote>
  <w:footnote w:id="8">
    <w:p w14:paraId="7879E696">
      <w:pPr>
        <w:pStyle w:val="10"/>
      </w:pPr>
      <w:r>
        <w:rPr>
          <w:rStyle w:val="16"/>
        </w:rPr>
        <w:footnoteRef/>
      </w:r>
      <w:r>
        <w:t xml:space="preserve"> </w:t>
      </w:r>
      <w:r>
        <w:rPr>
          <w:color w:val="0000FF"/>
          <w:u w:val="single"/>
        </w:rPr>
        <w:t>https://www.fda.gov/industry/medical-device-user-fee-amendments-mdufa/mdufa-cover-sheets.</w:t>
      </w:r>
    </w:p>
  </w:footnote>
  <w:footnote w:id="9">
    <w:p w14:paraId="77900180">
      <w:pPr>
        <w:pStyle w:val="10"/>
      </w:pPr>
      <w:r>
        <w:rPr>
          <w:rStyle w:val="16"/>
        </w:rPr>
        <w:footnoteRef/>
      </w:r>
      <w:r>
        <w:t xml:space="preserve"> </w:t>
      </w:r>
      <w:r>
        <w:rPr>
          <w:color w:val="0000FF"/>
          <w:u w:val="single"/>
        </w:rPr>
        <w:t>https://www.fda.gov/regulatory-information/search-fda-guidance-documents/user-fees-and-refunds-premarket-notification-submissions-510ks.</w:t>
      </w:r>
    </w:p>
  </w:footnote>
  <w:footnote w:id="10">
    <w:p w14:paraId="6A9672D3">
      <w:pPr>
        <w:pStyle w:val="10"/>
      </w:pPr>
      <w:r>
        <w:rPr>
          <w:rStyle w:val="16"/>
        </w:rPr>
        <w:footnoteRef/>
      </w:r>
      <w:r>
        <w:t xml:space="preserve"> </w:t>
      </w:r>
      <w:r>
        <w:rPr>
          <w:color w:val="0000FF"/>
          <w:u w:val="single"/>
        </w:rPr>
        <w:t>https://www.fda.gov/media/72421/download.</w:t>
      </w:r>
    </w:p>
  </w:footnote>
  <w:footnote w:id="11">
    <w:p w14:paraId="28BFF513">
      <w:pPr>
        <w:pStyle w:val="10"/>
      </w:pPr>
      <w:r>
        <w:rPr>
          <w:rStyle w:val="16"/>
        </w:rPr>
        <w:footnoteRef/>
      </w:r>
      <w:r>
        <w:t xml:space="preserve"> </w:t>
      </w:r>
      <w:r>
        <w:rPr>
          <w:color w:val="0000FF"/>
          <w:u w:val="single"/>
        </w:rPr>
        <w:t>https://www.fda.gov/media/86323/download.</w:t>
      </w:r>
    </w:p>
  </w:footnote>
  <w:footnote w:id="12">
    <w:p w14:paraId="6729AD5F">
      <w:pPr>
        <w:pStyle w:val="10"/>
      </w:pPr>
      <w:r>
        <w:rPr>
          <w:rStyle w:val="16"/>
        </w:rPr>
        <w:footnoteRef/>
      </w:r>
      <w:r>
        <w:t xml:space="preserve"> </w:t>
      </w:r>
      <w:r>
        <w:rPr>
          <w:color w:val="0000FF"/>
          <w:u w:val="single"/>
        </w:rPr>
        <w:t>https://www.fda.gov/medical-devices/premarket-notification-510k/content-510k#link_7.</w:t>
      </w:r>
    </w:p>
  </w:footnote>
  <w:footnote w:id="13">
    <w:p w14:paraId="44ECFCB0">
      <w:pPr>
        <w:pStyle w:val="10"/>
      </w:pPr>
      <w:r>
        <w:rPr>
          <w:rStyle w:val="16"/>
        </w:rPr>
        <w:footnoteRef/>
      </w:r>
      <w:r>
        <w:t xml:space="preserve"> </w:t>
      </w:r>
      <w:r>
        <w:rPr>
          <w:color w:val="0000FF"/>
          <w:u w:val="single"/>
        </w:rPr>
        <w:t>https://www.fda.gov/medical-devices/premarket-notification-510k/premarket-notification-truthful-and-accurate-statement.</w:t>
      </w:r>
    </w:p>
  </w:footnote>
  <w:footnote w:id="14">
    <w:p w14:paraId="52A6CA59">
      <w:pPr>
        <w:pStyle w:val="10"/>
      </w:pPr>
      <w:r>
        <w:rPr>
          <w:rStyle w:val="16"/>
        </w:rPr>
        <w:footnoteRef/>
      </w:r>
      <w:r>
        <w:t xml:space="preserve"> </w:t>
      </w:r>
      <w:r>
        <w:rPr>
          <w:color w:val="0000FF"/>
          <w:u w:val="single"/>
        </w:rPr>
        <w:t>https://www.fda.gov/medical-devices/premarket-notification-510k/premarket-notification-class-iii-certification-and-summary.</w:t>
      </w:r>
    </w:p>
  </w:footnote>
  <w:footnote w:id="15">
    <w:p w14:paraId="63AD8D13">
      <w:pPr>
        <w:pStyle w:val="10"/>
      </w:pPr>
      <w:r>
        <w:rPr>
          <w:rStyle w:val="16"/>
        </w:rPr>
        <w:footnoteRef/>
      </w:r>
      <w:r>
        <w:t xml:space="preserve"> </w:t>
      </w:r>
      <w:r>
        <w:rPr>
          <w:color w:val="0000FF"/>
          <w:u w:val="single"/>
        </w:rPr>
        <w:t>https://www.fda.gov/media/70465/download.</w:t>
      </w:r>
    </w:p>
  </w:footnote>
  <w:footnote w:id="16">
    <w:p w14:paraId="1409FC74">
      <w:pPr>
        <w:pStyle w:val="10"/>
      </w:pPr>
      <w:r>
        <w:rPr>
          <w:rStyle w:val="16"/>
        </w:rPr>
        <w:footnoteRef/>
      </w:r>
      <w:r>
        <w:t xml:space="preserve"> </w:t>
      </w:r>
      <w:r>
        <w:rPr>
          <w:color w:val="0000FF"/>
          <w:u w:val="single"/>
        </w:rPr>
        <w:t>https://www.fda.gov/media/69872/download.</w:t>
      </w:r>
    </w:p>
  </w:footnote>
  <w:footnote w:id="17">
    <w:p w14:paraId="5E26ACDB">
      <w:pPr>
        <w:pStyle w:val="10"/>
      </w:pPr>
      <w:r>
        <w:rPr>
          <w:rStyle w:val="16"/>
        </w:rPr>
        <w:footnoteRef/>
      </w:r>
      <w:r>
        <w:t xml:space="preserve"> </w:t>
      </w:r>
      <w:r>
        <w:rPr>
          <w:color w:val="0000FF"/>
          <w:u w:val="single"/>
        </w:rPr>
        <w:t>https://www.fda.gov/regulatory-information/search-fda-guidance-documents/financial-disclosure-clinical-investigators.</w:t>
      </w:r>
    </w:p>
  </w:footnote>
  <w:footnote w:id="18">
    <w:p w14:paraId="0CC228AD">
      <w:pPr>
        <w:pStyle w:val="10"/>
      </w:pPr>
      <w:r>
        <w:rPr>
          <w:rStyle w:val="16"/>
        </w:rPr>
        <w:footnoteRef/>
      </w:r>
      <w:r>
        <w:t xml:space="preserve"> </w:t>
      </w:r>
      <w:r>
        <w:rPr>
          <w:color w:val="0000FF"/>
          <w:u w:val="single"/>
        </w:rPr>
        <w:t>https://www.fda.gov/regulatory-information/search-fda-guidance-documents/abbreviated-510k-program.</w:t>
      </w:r>
    </w:p>
  </w:footnote>
  <w:footnote w:id="19">
    <w:p w14:paraId="0F9F2388">
      <w:pPr>
        <w:pStyle w:val="10"/>
      </w:pPr>
      <w:r>
        <w:rPr>
          <w:rStyle w:val="16"/>
        </w:rPr>
        <w:footnoteRef/>
      </w:r>
      <w:r>
        <w:t xml:space="preserve"> </w:t>
      </w:r>
      <w:r>
        <w:rPr>
          <w:color w:val="0000FF"/>
          <w:u w:val="single"/>
        </w:rPr>
        <w:t>https://www.fda.gov/standards-and-conformity-assessment-program-medical-devices.</w:t>
      </w:r>
    </w:p>
  </w:footnote>
  <w:footnote w:id="20">
    <w:p w14:paraId="6722D219">
      <w:pPr>
        <w:pStyle w:val="10"/>
      </w:pPr>
      <w:r>
        <w:rPr>
          <w:rStyle w:val="16"/>
        </w:rPr>
        <w:footnoteRef/>
      </w:r>
      <w:r>
        <w:t xml:space="preserve"> </w:t>
      </w:r>
      <w:r>
        <w:rPr>
          <w:color w:val="0000FF"/>
          <w:u w:val="single"/>
        </w:rPr>
        <w:t>https://www.fda.gov/regulatory-information/search-fda-guidance-documents/appropriate-use-voluntary-consensus-standards-premarket-submissions-medical-devices.</w:t>
      </w:r>
    </w:p>
  </w:footnote>
  <w:footnote w:id="21">
    <w:p w14:paraId="3DE3040A">
      <w:pPr>
        <w:pStyle w:val="10"/>
        <w:rPr>
          <w:rFonts w:eastAsia="宋体"/>
        </w:rPr>
      </w:pPr>
      <w:r>
        <w:rPr>
          <w:rStyle w:val="16"/>
          <w:rFonts w:eastAsia="宋体"/>
        </w:rPr>
        <w:footnoteRef/>
      </w:r>
      <w:r>
        <w:rPr>
          <w:rFonts w:eastAsia="宋体"/>
        </w:rPr>
        <w:t xml:space="preserve"> </w:t>
      </w:r>
      <w:r>
        <w:rPr>
          <w:rFonts w:eastAsia="宋体"/>
          <w:color w:val="000000"/>
        </w:rPr>
        <w:t>FDA指南“简化510（k）项目”概述了器械特定指南中确定的总结报告。</w:t>
      </w:r>
    </w:p>
  </w:footnote>
  <w:footnote w:id="22">
    <w:p w14:paraId="491ED03E">
      <w:pPr>
        <w:pStyle w:val="10"/>
      </w:pPr>
      <w:r>
        <w:rPr>
          <w:rStyle w:val="16"/>
        </w:rPr>
        <w:footnoteRef/>
      </w:r>
      <w:r>
        <w:t xml:space="preserve"> </w:t>
      </w:r>
      <w:r>
        <w:rPr>
          <w:color w:val="0000FF"/>
          <w:u w:val="single"/>
        </w:rPr>
        <w:t>https://www.fda.gov/regulatory-information/search-fda-guidance-documents/appropriate-use-voluntary-consensus-standards-premarket-submissions-medical-devices.</w:t>
      </w:r>
    </w:p>
  </w:footnote>
  <w:footnote w:id="23">
    <w:p w14:paraId="3E27C7D8">
      <w:pPr>
        <w:pStyle w:val="10"/>
      </w:pPr>
      <w:r>
        <w:rPr>
          <w:rStyle w:val="16"/>
        </w:rPr>
        <w:footnoteRef/>
      </w:r>
      <w:r>
        <w:t xml:space="preserve"> </w:t>
      </w:r>
      <w:r>
        <w:rPr>
          <w:color w:val="0000FF"/>
          <w:u w:val="single"/>
        </w:rPr>
        <w:t>https://www.fda.gov/regulatory-information/search-fda-guidance-documents/510k-program-evaluating-substantial-equivalence-premarket-notifications-510k.</w:t>
      </w:r>
    </w:p>
  </w:footnote>
  <w:footnote w:id="24">
    <w:p w14:paraId="172A83D6">
      <w:pPr>
        <w:pStyle w:val="10"/>
      </w:pPr>
      <w:r>
        <w:rPr>
          <w:rStyle w:val="16"/>
        </w:rPr>
        <w:footnoteRef/>
      </w:r>
      <w:r>
        <w:t xml:space="preserve"> </w:t>
      </w:r>
      <w:r>
        <w:rPr>
          <w:color w:val="0000FF"/>
          <w:u w:val="single"/>
        </w:rPr>
        <w:t>https://www.fda.gov/regulatory-information/search-fda-guidance-documents/device-labeling-guidance-g91-1-blue-book-memo.</w:t>
      </w:r>
    </w:p>
  </w:footnote>
  <w:footnote w:id="25">
    <w:p w14:paraId="55105E77">
      <w:pPr>
        <w:pStyle w:val="10"/>
      </w:pPr>
      <w:r>
        <w:rPr>
          <w:rStyle w:val="16"/>
        </w:rPr>
        <w:footnoteRef/>
      </w:r>
      <w:r>
        <w:t xml:space="preserve"> </w:t>
      </w:r>
      <w:r>
        <w:rPr>
          <w:color w:val="0000FF"/>
          <w:u w:val="single"/>
        </w:rPr>
        <w:t>https://www.fda.gov/regulatory-information/search-fda-guidance-documents/labeling-regulatory-requirements-medical-devices-fda-89-4203.</w:t>
      </w:r>
    </w:p>
  </w:footnote>
  <w:footnote w:id="26">
    <w:p w14:paraId="7004DE22">
      <w:pPr>
        <w:pStyle w:val="10"/>
      </w:pPr>
      <w:r>
        <w:rPr>
          <w:rStyle w:val="16"/>
        </w:rPr>
        <w:footnoteRef/>
      </w:r>
      <w:r>
        <w:t xml:space="preserve"> </w:t>
      </w:r>
      <w:r>
        <w:rPr>
          <w:color w:val="0000FF"/>
          <w:u w:val="single"/>
        </w:rPr>
        <w:t>https://www.fda.gov/regulatory-information/search-fda-guidance-documents/guidance-medical-device-patient-labeling.</w:t>
      </w:r>
    </w:p>
  </w:footnote>
  <w:footnote w:id="27">
    <w:p w14:paraId="05CAB591">
      <w:pPr>
        <w:pStyle w:val="10"/>
      </w:pPr>
      <w:r>
        <w:rPr>
          <w:rStyle w:val="16"/>
        </w:rPr>
        <w:footnoteRef/>
      </w:r>
      <w:r>
        <w:t xml:space="preserve"> </w:t>
      </w:r>
      <w:r>
        <w:rPr>
          <w:color w:val="0000FF"/>
          <w:u w:val="single"/>
        </w:rPr>
        <w:t>https://www.fda.gov/regulatory-information/search-fda-guidance-documents/submission-and-review-sterility-information-premarket-notification-510k-submissions-devices-labeled.</w:t>
      </w:r>
    </w:p>
  </w:footnote>
  <w:footnote w:id="28">
    <w:p w14:paraId="4CA42EDA">
      <w:pPr>
        <w:pStyle w:val="10"/>
      </w:pPr>
      <w:r>
        <w:rPr>
          <w:rStyle w:val="16"/>
        </w:rPr>
        <w:footnoteRef/>
      </w:r>
      <w:r>
        <w:t xml:space="preserve"> </w:t>
      </w:r>
      <w:r>
        <w:rPr>
          <w:color w:val="0000FF"/>
          <w:u w:val="single"/>
        </w:rPr>
        <w:t>https://www.fda.gov/regulatory-information/search-fda-guidance-documents/medical-device-user-fee-and-modernization-act-2002-validation-data-premarket-notification.</w:t>
      </w:r>
    </w:p>
  </w:footnote>
  <w:footnote w:id="29">
    <w:p w14:paraId="51A63D5B">
      <w:pPr>
        <w:pStyle w:val="10"/>
        <w:rPr>
          <w:rFonts w:eastAsia="宋体"/>
          <w:color w:val="0000FF"/>
          <w:u w:val="single"/>
        </w:rPr>
      </w:pPr>
      <w:r>
        <w:rPr>
          <w:rStyle w:val="16"/>
        </w:rPr>
        <w:footnoteRef/>
      </w:r>
      <w:r>
        <w:t xml:space="preserve"> </w:t>
      </w:r>
      <w:r>
        <w:rPr>
          <w:color w:val="0000FF"/>
          <w:u w:val="single"/>
        </w:rPr>
        <w:t>https://www.fda.gov/regulatory-information/search-fda-guidance-documents/use-international-standard-iso-10993-1-biological-evaluation-medical-devices-part-1-evaluation-and.</w:t>
      </w:r>
    </w:p>
  </w:footnote>
  <w:footnote w:id="30">
    <w:p w14:paraId="718CB5EE">
      <w:pPr>
        <w:pStyle w:val="10"/>
      </w:pPr>
      <w:r>
        <w:rPr>
          <w:rStyle w:val="16"/>
        </w:rPr>
        <w:footnoteRef/>
      </w:r>
      <w:r>
        <w:t xml:space="preserve"> </w:t>
      </w:r>
      <w:r>
        <w:rPr>
          <w:color w:val="0000FF"/>
          <w:u w:val="single"/>
        </w:rPr>
        <w:t>https://www.fda.gov/regulatory-information/search-fda-guidance-documents/guidance-content-premarket-submissions-software-contained-medical-devices.</w:t>
      </w:r>
    </w:p>
  </w:footnote>
  <w:footnote w:id="31">
    <w:p w14:paraId="3E2C5E8D">
      <w:pPr>
        <w:pStyle w:val="10"/>
      </w:pPr>
      <w:r>
        <w:rPr>
          <w:rStyle w:val="16"/>
        </w:rPr>
        <w:footnoteRef/>
      </w:r>
      <w:r>
        <w:t xml:space="preserve"> </w:t>
      </w:r>
      <w:r>
        <w:rPr>
          <w:color w:val="0000FF"/>
          <w:u w:val="single"/>
        </w:rPr>
        <w:t>https://www.fda.gov/regulatory-information/search-fda-guidance-documents/content-premarket-submissions-management-cybersecurity-medical-devices-0.</w:t>
      </w:r>
    </w:p>
  </w:footnote>
  <w:footnote w:id="32">
    <w:p w14:paraId="47342110">
      <w:pPr>
        <w:pStyle w:val="10"/>
      </w:pPr>
      <w:r>
        <w:rPr>
          <w:rStyle w:val="16"/>
        </w:rPr>
        <w:footnoteRef/>
      </w:r>
      <w:r>
        <w:t xml:space="preserve"> </w:t>
      </w:r>
      <w:r>
        <w:rPr>
          <w:color w:val="0000FF"/>
          <w:u w:val="single"/>
        </w:rPr>
        <w:t>https://www.fda.gov/regulatory-information/search-fda-guidance-documents/information-support-claim-electromagnetic-compatibility-emc-electrically-powered-medical-devices.</w:t>
      </w:r>
    </w:p>
  </w:footnote>
  <w:footnote w:id="33">
    <w:p w14:paraId="35E5347C">
      <w:pPr>
        <w:pStyle w:val="10"/>
      </w:pPr>
      <w:r>
        <w:rPr>
          <w:rStyle w:val="16"/>
        </w:rPr>
        <w:footnoteRef/>
      </w:r>
      <w:r>
        <w:t xml:space="preserve"> </w:t>
      </w:r>
      <w:r>
        <w:rPr>
          <w:color w:val="0000FF"/>
          <w:u w:val="single"/>
        </w:rPr>
        <w:t>https://www.fda.gov/regulatory-information/search-fda-guidance-documents/refuse-accept-policy-510ks.</w:t>
      </w:r>
    </w:p>
  </w:footnote>
  <w:footnote w:id="34">
    <w:p w14:paraId="351B5270">
      <w:pPr>
        <w:pStyle w:val="10"/>
      </w:pPr>
      <w:r>
        <w:rPr>
          <w:rStyle w:val="16"/>
        </w:rPr>
        <w:footnoteRef/>
      </w:r>
      <w:r>
        <w:t xml:space="preserve"> </w:t>
      </w:r>
      <w:r>
        <w:rPr>
          <w:color w:val="0000FF"/>
          <w:u w:val="single"/>
        </w:rPr>
        <w:t>https://www.fda.gov/search-fda-guidance-documents.</w:t>
      </w:r>
    </w:p>
  </w:footnote>
  <w:footnote w:id="35">
    <w:p w14:paraId="743660E9">
      <w:pPr>
        <w:pStyle w:val="10"/>
      </w:pPr>
      <w:r>
        <w:rPr>
          <w:rStyle w:val="16"/>
        </w:rPr>
        <w:footnoteRef/>
      </w:r>
      <w:r>
        <w:t xml:space="preserve"> </w:t>
      </w:r>
      <w:r>
        <w:rPr>
          <w:color w:val="0000FF"/>
          <w:u w:val="single"/>
        </w:rPr>
        <w:t>https://www.fda.gov/regulatory-information/search-fda-guidance-documents/recommended-content-and-format-non-clinical-bench-performance-testing-information-premarket.</w:t>
      </w:r>
    </w:p>
  </w:footnote>
  <w:footnote w:id="36">
    <w:p w14:paraId="6530BCC2">
      <w:pPr>
        <w:pStyle w:val="10"/>
        <w:rPr>
          <w:rFonts w:eastAsia="宋体"/>
        </w:rPr>
      </w:pPr>
      <w:r>
        <w:rPr>
          <w:rStyle w:val="16"/>
          <w:rFonts w:eastAsia="宋体"/>
        </w:rPr>
        <w:footnoteRef/>
      </w:r>
      <w:r>
        <w:rPr>
          <w:rFonts w:eastAsia="宋体"/>
        </w:rPr>
        <w:t xml:space="preserve"> </w:t>
      </w:r>
      <w:r>
        <w:rPr>
          <w:rFonts w:eastAsia="宋体"/>
          <w:color w:val="000000"/>
        </w:rPr>
        <w:t>FDA支持“3R”原则，以在可行时减少、改善并替代使用动物进行试验。如果申办者希望使用他们认为合适、充分、经过验证和可行的非动物试验方法，我们鼓励他们与我们协商。我局将考虑是否可评估这种替代方法与动物试验方法的实质等效性。</w:t>
      </w:r>
    </w:p>
  </w:footnote>
  <w:footnote w:id="37">
    <w:p w14:paraId="19C650E5">
      <w:pPr>
        <w:pStyle w:val="10"/>
        <w:rPr>
          <w:rFonts w:eastAsia="宋体"/>
        </w:rPr>
      </w:pPr>
      <w:r>
        <w:rPr>
          <w:rStyle w:val="16"/>
          <w:rFonts w:eastAsia="宋体"/>
        </w:rPr>
        <w:footnoteRef/>
      </w:r>
      <w:r>
        <w:rPr>
          <w:rFonts w:eastAsia="宋体"/>
        </w:rPr>
        <w:t xml:space="preserve"> </w:t>
      </w:r>
      <w:r>
        <w:rPr>
          <w:rFonts w:eastAsia="宋体"/>
          <w:color w:val="0000FF"/>
          <w:u w:val="single"/>
        </w:rPr>
        <w:t>https://www.fda.gov/regulatory-information/search-fda-guidance-documents/refuse-accept-policy-510ks.</w:t>
      </w:r>
    </w:p>
  </w:footnote>
  <w:footnote w:id="38">
    <w:p w14:paraId="681A22AD">
      <w:pPr>
        <w:pStyle w:val="10"/>
        <w:rPr>
          <w:rFonts w:eastAsia="宋体"/>
        </w:rPr>
      </w:pPr>
      <w:r>
        <w:rPr>
          <w:rStyle w:val="16"/>
          <w:rFonts w:eastAsia="宋体"/>
        </w:rPr>
        <w:footnoteRef/>
      </w:r>
      <w:r>
        <w:rPr>
          <w:rFonts w:eastAsia="宋体"/>
        </w:rPr>
        <w:t xml:space="preserve"> </w:t>
      </w:r>
      <w:r>
        <w:rPr>
          <w:rFonts w:eastAsia="宋体"/>
          <w:color w:val="0000FF"/>
          <w:u w:val="single"/>
        </w:rPr>
        <w:t>https://www.fda.gov/media/69901/download.</w:t>
      </w:r>
    </w:p>
  </w:footnote>
  <w:footnote w:id="39">
    <w:p w14:paraId="4DB13D9C">
      <w:pPr>
        <w:pStyle w:val="10"/>
        <w:rPr>
          <w:rFonts w:eastAsia="宋体"/>
        </w:rPr>
      </w:pPr>
      <w:r>
        <w:rPr>
          <w:rStyle w:val="16"/>
          <w:rFonts w:eastAsia="宋体"/>
        </w:rPr>
        <w:footnoteRef/>
      </w:r>
      <w:r>
        <w:rPr>
          <w:rFonts w:eastAsia="宋体"/>
        </w:rPr>
        <w:t xml:space="preserve"> </w:t>
      </w:r>
      <w:r>
        <w:rPr>
          <w:rFonts w:eastAsia="宋体"/>
          <w:color w:val="000000"/>
        </w:rPr>
        <w:t>21 CFR 812.3（m）（4）中定义了重大风险器械。另见“重大风险和非重大风险医疗器械研究”，获取网址：</w:t>
      </w:r>
      <w:r>
        <w:rPr>
          <w:rFonts w:eastAsia="宋体"/>
          <w:color w:val="0000FF"/>
        </w:rPr>
        <w:t xml:space="preserve"> </w:t>
      </w:r>
      <w:r>
        <w:rPr>
          <w:rFonts w:eastAsia="宋体"/>
          <w:color w:val="0000FF"/>
          <w:u w:val="single"/>
        </w:rPr>
        <w:t>https://www.fda.gov/regulatory-information/search-fda-guidance-documents/significant-risk-and-nonsignificant-risk-medical-device-studies.</w:t>
      </w:r>
    </w:p>
  </w:footnote>
  <w:footnote w:id="40">
    <w:p w14:paraId="23955FB1">
      <w:pPr>
        <w:pStyle w:val="10"/>
        <w:rPr>
          <w:rFonts w:eastAsia="宋体"/>
        </w:rPr>
      </w:pPr>
      <w:r>
        <w:rPr>
          <w:rStyle w:val="16"/>
          <w:rFonts w:eastAsia="宋体"/>
        </w:rPr>
        <w:footnoteRef/>
      </w:r>
      <w:r>
        <w:rPr>
          <w:rFonts w:eastAsia="宋体"/>
        </w:rPr>
        <w:t xml:space="preserve"> </w:t>
      </w:r>
      <w:r>
        <w:rPr>
          <w:rFonts w:eastAsia="宋体"/>
          <w:color w:val="0000FF"/>
          <w:u w:val="single"/>
        </w:rPr>
        <w:t>https://www.fda.gov/regulatory-information/search-fda-guidance-documents/acceptance-clinical-data-</w:t>
      </w:r>
      <w:r>
        <w:rPr>
          <w:rFonts w:eastAsia="宋体"/>
          <w:color w:val="0000FF"/>
        </w:rPr>
        <w:br w:type="textWrapping"/>
      </w:r>
      <w:r>
        <w:rPr>
          <w:rFonts w:eastAsia="宋体"/>
          <w:color w:val="0000FF"/>
          <w:u w:val="single"/>
        </w:rPr>
        <w:t>支持医疗器械申请和常见问题提交。</w:t>
      </w:r>
    </w:p>
  </w:footnote>
  <w:footnote w:id="41">
    <w:p w14:paraId="3484D0DC">
      <w:pPr>
        <w:pStyle w:val="10"/>
      </w:pPr>
      <w:r>
        <w:rPr>
          <w:rStyle w:val="16"/>
        </w:rPr>
        <w:footnoteRef/>
      </w:r>
      <w:r>
        <w:t xml:space="preserve"> </w:t>
      </w:r>
      <w:r>
        <w:rPr>
          <w:color w:val="0000FF"/>
          <w:u w:val="single"/>
        </w:rPr>
        <w:t>https://www.fda. gov/medical-devices/premarket-notification-510k/content-510k#link_7.</w:t>
      </w:r>
    </w:p>
  </w:footnote>
  <w:footnote w:id="42">
    <w:p w14:paraId="664D4D4E">
      <w:pPr>
        <w:pStyle w:val="10"/>
      </w:pPr>
      <w:r>
        <w:rPr>
          <w:rStyle w:val="16"/>
        </w:rPr>
        <w:footnoteRef/>
      </w:r>
      <w:r>
        <w:t xml:space="preserve"> </w:t>
      </w:r>
      <w:r>
        <w:rPr>
          <w:color w:val="0000FF"/>
          <w:u w:val="single"/>
        </w:rPr>
        <w:t>https://www.fda.gov/medical-devices/premarket-notification-510k/content-510k#link_9.</w:t>
      </w:r>
    </w:p>
  </w:footnote>
  <w:footnote w:id="43">
    <w:p w14:paraId="3E9B8AD1">
      <w:pPr>
        <w:pStyle w:val="10"/>
      </w:pPr>
      <w:r>
        <w:rPr>
          <w:rStyle w:val="16"/>
        </w:rPr>
        <w:footnoteRef/>
      </w:r>
      <w:r>
        <w:t xml:space="preserve"> </w:t>
      </w:r>
      <w:r>
        <w:rPr>
          <w:color w:val="0000FF"/>
          <w:u w:val="single"/>
        </w:rPr>
        <w:t>https://www.fda.gov/medical-devices/premarket-notification-510k/premarket-notification-class-iii-certification-and-summary.</w:t>
      </w:r>
    </w:p>
  </w:footnote>
  <w:footnote w:id="44">
    <w:p w14:paraId="702959D3">
      <w:pPr>
        <w:pStyle w:val="10"/>
      </w:pPr>
      <w:r>
        <w:rPr>
          <w:rStyle w:val="16"/>
        </w:rPr>
        <w:footnoteRef/>
      </w:r>
      <w:r>
        <w:t xml:space="preserve"> </w:t>
      </w:r>
      <w:r>
        <w:rPr>
          <w:color w:val="0000FF"/>
          <w:u w:val="single"/>
        </w:rPr>
        <w:t>https://www.fda.gov/standards-and-conformity-assessment-program-medical-devices.</w:t>
      </w:r>
    </w:p>
  </w:footnote>
  <w:footnote w:id="45">
    <w:p w14:paraId="7D67F50D">
      <w:pPr>
        <w:pStyle w:val="10"/>
      </w:pPr>
      <w:r>
        <w:rPr>
          <w:rStyle w:val="16"/>
        </w:rPr>
        <w:footnoteRef/>
      </w:r>
      <w:r>
        <w:t xml:space="preserve"> </w:t>
      </w:r>
      <w:r>
        <w:rPr>
          <w:color w:val="0000FF"/>
          <w:u w:val="single"/>
        </w:rPr>
        <w:t>https ://www.fda. gov/medical-devices/premarket-notification-510k/content-510k#link 10.</w:t>
      </w:r>
    </w:p>
  </w:footnote>
  <w:footnote w:id="46">
    <w:p w14:paraId="1830E83D">
      <w:pPr>
        <w:pStyle w:val="10"/>
        <w:rPr>
          <w:rFonts w:eastAsia="宋体"/>
        </w:rPr>
      </w:pPr>
      <w:r>
        <w:rPr>
          <w:rStyle w:val="16"/>
          <w:rFonts w:eastAsia="宋体"/>
        </w:rPr>
        <w:footnoteRef/>
      </w:r>
      <w:r>
        <w:rPr>
          <w:rFonts w:eastAsia="宋体"/>
        </w:rPr>
        <w:t xml:space="preserve"> </w:t>
      </w:r>
      <w:r>
        <w:rPr>
          <w:rFonts w:eastAsia="宋体"/>
          <w:color w:val="0000FF"/>
          <w:u w:val="single"/>
        </w:rPr>
        <w:t>https://www.fda.gov/classify-your-medical-device.</w:t>
      </w:r>
    </w:p>
  </w:footnote>
  <w:footnote w:id="47">
    <w:p w14:paraId="274A3105">
      <w:pPr>
        <w:pStyle w:val="10"/>
        <w:rPr>
          <w:rFonts w:eastAsia="宋体"/>
        </w:rPr>
      </w:pPr>
      <w:r>
        <w:rPr>
          <w:rStyle w:val="16"/>
          <w:rFonts w:eastAsia="宋体"/>
        </w:rPr>
        <w:footnoteRef/>
      </w:r>
      <w:r>
        <w:rPr>
          <w:rFonts w:eastAsia="宋体"/>
        </w:rPr>
        <w:t xml:space="preserve"> </w:t>
      </w:r>
      <w:r>
        <w:rPr>
          <w:rFonts w:eastAsia="宋体"/>
          <w:color w:val="000000"/>
        </w:rPr>
        <w:t>如果修改（21 CFR 807.81（a）（3））要求提交新的510（k），并且评价变更的方法已经确立，并且可以以摘要或风险分析格式充分审查结果，则可以使用特殊510（k）。否则，我们认为传统或简化510（k）适用。</w:t>
      </w:r>
      <w:bookmarkStart w:id="60" w:name="bookmark72"/>
      <w:bookmarkEnd w:id="60"/>
      <w:r>
        <w:rPr>
          <w:rFonts w:eastAsia="宋体"/>
          <w:color w:val="000000"/>
        </w:rPr>
        <w:t>有关更多信息，请参阅“特殊510（k）项目”，获取网址：</w:t>
      </w:r>
      <w:r>
        <w:rPr>
          <w:rFonts w:eastAsia="宋体"/>
          <w:color w:val="0000FF"/>
          <w:u w:val="single"/>
        </w:rPr>
        <w:t>https://www.fda.gov/regulatory-information/search-fda-guidance-documents/special-510k-program.</w:t>
      </w:r>
    </w:p>
  </w:footnote>
  <w:footnote w:id="48">
    <w:p w14:paraId="644763E2">
      <w:pPr>
        <w:pStyle w:val="10"/>
        <w:rPr>
          <w:rFonts w:eastAsia="宋体"/>
        </w:rPr>
      </w:pPr>
      <w:r>
        <w:rPr>
          <w:rStyle w:val="16"/>
          <w:rFonts w:eastAsia="宋体"/>
        </w:rPr>
        <w:footnoteRef/>
      </w:r>
      <w:r>
        <w:rPr>
          <w:rFonts w:eastAsia="宋体"/>
        </w:rPr>
        <w:t xml:space="preserve"> </w:t>
      </w:r>
      <w:r>
        <w:rPr>
          <w:rFonts w:eastAsia="宋体"/>
          <w:color w:val="000000"/>
        </w:rPr>
        <w:t>见《FD&amp;C法案》第510（o）节和指南意见</w:t>
      </w:r>
      <w:r>
        <w:rPr>
          <w:rFonts w:eastAsia="宋体"/>
          <w:color w:val="0000FF"/>
        </w:rPr>
        <w:t>“</w:t>
      </w:r>
      <w:r>
        <w:rPr>
          <w:rFonts w:eastAsia="宋体"/>
          <w:color w:val="0000FF"/>
          <w:u w:val="single"/>
        </w:rPr>
        <w:t>再加工一次性使用医疗器械上市前通知（510（k））提交资料中的验证数据-2002年医疗器械用户付费和现代化法案</w:t>
      </w:r>
      <w:r>
        <w:rPr>
          <w:rFonts w:eastAsia="宋体"/>
          <w:color w:val="000000"/>
        </w:rPr>
        <w:t>”，获取网址</w:t>
      </w:r>
      <w:r>
        <w:rPr>
          <w:rFonts w:eastAsia="宋体"/>
          <w:color w:val="0000FF"/>
          <w:u w:val="single"/>
        </w:rPr>
        <w:t xml:space="preserve"> https://www.fda.gov/media/71482/download。</w:t>
      </w:r>
    </w:p>
  </w:footnote>
  <w:footnote w:id="49">
    <w:p w14:paraId="21CFB17E">
      <w:pPr>
        <w:pStyle w:val="10"/>
        <w:rPr>
          <w:rFonts w:eastAsia="宋体"/>
        </w:rPr>
      </w:pPr>
      <w:r>
        <w:rPr>
          <w:rStyle w:val="16"/>
          <w:rFonts w:eastAsia="宋体"/>
        </w:rPr>
        <w:footnoteRef/>
      </w:r>
      <w:r>
        <w:rPr>
          <w:rFonts w:eastAsia="宋体"/>
        </w:rPr>
        <w:t xml:space="preserve"> </w:t>
      </w:r>
      <w:r>
        <w:rPr>
          <w:rFonts w:eastAsia="宋体"/>
          <w:color w:val="0000FF"/>
          <w:u w:val="single"/>
        </w:rPr>
        <w:t>https://www.fda.gov/regulatory-information/search-fda-guidance-documents/deciding-when-submit-510k-change-existing-device.</w:t>
      </w:r>
    </w:p>
  </w:footnote>
  <w:footnote w:id="50">
    <w:p w14:paraId="37D8E0D4">
      <w:pPr>
        <w:pStyle w:val="10"/>
        <w:rPr>
          <w:rFonts w:eastAsia="宋体"/>
        </w:rPr>
      </w:pPr>
      <w:r>
        <w:rPr>
          <w:rStyle w:val="16"/>
          <w:rFonts w:eastAsia="宋体"/>
        </w:rPr>
        <w:footnoteRef/>
      </w:r>
      <w:r>
        <w:rPr>
          <w:rFonts w:eastAsia="宋体"/>
        </w:rPr>
        <w:t xml:space="preserve"> </w:t>
      </w:r>
      <w:r>
        <w:rPr>
          <w:rFonts w:eastAsia="宋体"/>
          <w:color w:val="0000FF"/>
          <w:u w:val="single"/>
        </w:rPr>
        <w:t>https://www.fda.gov/medical-devices/guidance-documents-medical-devices-and-radiation-emitting-products/convenience-kits-interim-regulatory-guidance.</w:t>
      </w:r>
    </w:p>
  </w:footnote>
  <w:footnote w:id="51">
    <w:p w14:paraId="1635E562">
      <w:pPr>
        <w:pStyle w:val="10"/>
        <w:rPr>
          <w:rFonts w:eastAsia="宋体"/>
        </w:rPr>
      </w:pPr>
      <w:r>
        <w:rPr>
          <w:rStyle w:val="16"/>
          <w:rFonts w:eastAsia="宋体"/>
        </w:rPr>
        <w:footnoteRef/>
      </w:r>
      <w:r>
        <w:rPr>
          <w:rFonts w:eastAsia="宋体"/>
        </w:rPr>
        <w:t xml:space="preserve"> </w:t>
      </w:r>
      <w:r>
        <w:rPr>
          <w:rFonts w:eastAsia="宋体"/>
          <w:color w:val="0000FF"/>
          <w:u w:val="single"/>
        </w:rPr>
        <w:t>https://www.fda.gov/regulatory-information/search-fda-guidance-documents/kit-certification-510ks.</w:t>
      </w:r>
    </w:p>
  </w:footnote>
  <w:footnote w:id="52">
    <w:p w14:paraId="2CAD9534">
      <w:pPr>
        <w:pStyle w:val="10"/>
        <w:rPr>
          <w:rFonts w:eastAsia="宋体"/>
        </w:rPr>
      </w:pPr>
      <w:r>
        <w:rPr>
          <w:rStyle w:val="16"/>
          <w:rFonts w:eastAsia="宋体"/>
        </w:rPr>
        <w:footnoteRef/>
      </w:r>
      <w:r>
        <w:rPr>
          <w:rFonts w:eastAsia="宋体"/>
        </w:rPr>
        <w:t xml:space="preserve"> </w:t>
      </w:r>
      <w:r>
        <w:rPr>
          <w:rFonts w:eastAsia="宋体"/>
          <w:color w:val="0000FF"/>
          <w:u w:val="single"/>
        </w:rPr>
        <w:t>https://www.fda.gov/regulatory-information/search-fda-guidance-documents/bundling-multiple-devices-or-multiple-indications-single-submission.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9FA7">
    <w:pPr>
      <w:shd w:val="clear" w:color="auto" w:fill="FFFFFF"/>
      <w:snapToGrid w:val="0"/>
      <w:jc w:val="center"/>
      <w:rPr>
        <w:rFonts w:eastAsia="宋体"/>
        <w:sz w:val="21"/>
        <w:szCs w:val="21"/>
      </w:rPr>
    </w:pPr>
    <w:r>
      <w:rPr>
        <w:rFonts w:eastAsia="宋体"/>
        <w:b/>
        <w:bCs/>
        <w:i/>
        <w:iCs/>
        <w:color w:val="000000"/>
        <w:sz w:val="21"/>
        <w:szCs w:val="21"/>
      </w:rPr>
      <w:t>包含不具约束力建议</w:t>
    </w:r>
  </w:p>
  <w:p w14:paraId="11E2C9B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106"/>
    <w:footnote w:id="10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F72A81"/>
    <w:rsid w:val="000018FF"/>
    <w:rsid w:val="000103A3"/>
    <w:rsid w:val="000D1DF6"/>
    <w:rsid w:val="00112EFA"/>
    <w:rsid w:val="001C6E1C"/>
    <w:rsid w:val="00273743"/>
    <w:rsid w:val="00316E10"/>
    <w:rsid w:val="004241F5"/>
    <w:rsid w:val="00482C29"/>
    <w:rsid w:val="005C690D"/>
    <w:rsid w:val="006018A6"/>
    <w:rsid w:val="0066588D"/>
    <w:rsid w:val="00733EC4"/>
    <w:rsid w:val="007C2A01"/>
    <w:rsid w:val="007C7E96"/>
    <w:rsid w:val="008C09BF"/>
    <w:rsid w:val="008E19F1"/>
    <w:rsid w:val="009C61B5"/>
    <w:rsid w:val="00C30BA9"/>
    <w:rsid w:val="00CA7DE6"/>
    <w:rsid w:val="00CB11E1"/>
    <w:rsid w:val="00CC5405"/>
    <w:rsid w:val="00D148D4"/>
    <w:rsid w:val="00D36F09"/>
    <w:rsid w:val="00D70B82"/>
    <w:rsid w:val="00DB1341"/>
    <w:rsid w:val="00E16719"/>
    <w:rsid w:val="00E42919"/>
    <w:rsid w:val="00E8243F"/>
    <w:rsid w:val="00EA0B97"/>
    <w:rsid w:val="00EC3E18"/>
    <w:rsid w:val="00ED7C6B"/>
    <w:rsid w:val="00F31E73"/>
    <w:rsid w:val="00F72A81"/>
    <w:rsid w:val="00FB09F1"/>
    <w:rsid w:val="00FC0EC4"/>
    <w:rsid w:val="00FD28AD"/>
    <w:rsid w:val="00FE3B10"/>
    <w:rsid w:val="00FF23E4"/>
    <w:rsid w:val="457D49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0"/>
    <w:qFormat/>
    <w:uiPriority w:val="9"/>
    <w:pPr>
      <w:tabs>
        <w:tab w:val="left" w:pos="616"/>
      </w:tabs>
      <w:snapToGrid w:val="0"/>
      <w:spacing w:beforeLines="100" w:afterLines="100"/>
      <w:jc w:val="both"/>
      <w:outlineLvl w:val="0"/>
    </w:pPr>
    <w:rPr>
      <w:b/>
      <w:bCs/>
      <w:sz w:val="36"/>
      <w:szCs w:val="36"/>
    </w:rPr>
  </w:style>
  <w:style w:type="paragraph" w:styleId="3">
    <w:name w:val="heading 2"/>
    <w:basedOn w:val="1"/>
    <w:next w:val="1"/>
    <w:link w:val="22"/>
    <w:unhideWhenUsed/>
    <w:qFormat/>
    <w:uiPriority w:val="9"/>
    <w:pPr>
      <w:shd w:val="clear" w:color="auto" w:fill="FFFFFF"/>
      <w:snapToGrid w:val="0"/>
      <w:spacing w:beforeLines="100" w:afterLines="50"/>
      <w:ind w:left="2362" w:leftChars="709" w:hanging="944" w:hangingChars="336"/>
      <w:jc w:val="both"/>
      <w:outlineLvl w:val="1"/>
    </w:pPr>
    <w:rPr>
      <w:rFonts w:eastAsia="宋体"/>
      <w:b/>
      <w:bCs/>
      <w:color w:val="000000"/>
      <w:sz w:val="28"/>
      <w:szCs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99"/>
  </w:style>
  <w:style w:type="paragraph" w:styleId="5">
    <w:name w:val="toc 3"/>
    <w:basedOn w:val="1"/>
    <w:next w:val="1"/>
    <w:autoRedefine/>
    <w:unhideWhenUsed/>
    <w:qFormat/>
    <w:uiPriority w:val="39"/>
    <w:pPr>
      <w:tabs>
        <w:tab w:val="left" w:pos="1134"/>
        <w:tab w:val="right" w:leader="dot" w:pos="9062"/>
      </w:tabs>
      <w:ind w:left="566" w:leftChars="283"/>
    </w:pPr>
    <w:rPr>
      <w:rFonts w:eastAsia="宋体"/>
      <w:sz w:val="21"/>
    </w:rPr>
  </w:style>
  <w:style w:type="paragraph" w:styleId="6">
    <w:name w:val="Balloon Text"/>
    <w:basedOn w:val="1"/>
    <w:link w:val="24"/>
    <w:semiHidden/>
    <w:unhideWhenUsed/>
    <w:qFormat/>
    <w:uiPriority w:val="99"/>
    <w:rPr>
      <w:sz w:val="18"/>
      <w:szCs w:val="18"/>
    </w:rPr>
  </w:style>
  <w:style w:type="paragraph" w:styleId="7">
    <w:name w:val="footer"/>
    <w:basedOn w:val="1"/>
    <w:link w:val="18"/>
    <w:unhideWhenUsed/>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tabs>
        <w:tab w:val="left" w:pos="426"/>
        <w:tab w:val="right" w:leader="dot" w:pos="9062"/>
      </w:tabs>
    </w:pPr>
    <w:rPr>
      <w:rFonts w:eastAsia="宋体"/>
      <w:sz w:val="24"/>
    </w:rPr>
  </w:style>
  <w:style w:type="paragraph" w:styleId="10">
    <w:name w:val="footnote text"/>
    <w:basedOn w:val="1"/>
    <w:link w:val="21"/>
    <w:semiHidden/>
    <w:unhideWhenUsed/>
    <w:uiPriority w:val="99"/>
    <w:pPr>
      <w:snapToGrid w:val="0"/>
    </w:pPr>
    <w:rPr>
      <w:sz w:val="18"/>
      <w:szCs w:val="18"/>
    </w:rPr>
  </w:style>
  <w:style w:type="paragraph" w:styleId="11">
    <w:name w:val="toc 2"/>
    <w:basedOn w:val="1"/>
    <w:next w:val="1"/>
    <w:autoRedefine/>
    <w:unhideWhenUsed/>
    <w:uiPriority w:val="39"/>
    <w:pPr>
      <w:tabs>
        <w:tab w:val="left" w:pos="993"/>
        <w:tab w:val="right" w:leader="dot" w:pos="9062"/>
      </w:tabs>
      <w:ind w:left="426" w:leftChars="213"/>
    </w:pPr>
    <w:rPr>
      <w:rFonts w:eastAsia="宋体"/>
      <w:sz w:val="21"/>
    </w:rPr>
  </w:style>
  <w:style w:type="character" w:styleId="14">
    <w:name w:val="Hyperlink"/>
    <w:basedOn w:val="13"/>
    <w:unhideWhenUsed/>
    <w:qFormat/>
    <w:uiPriority w:val="99"/>
    <w:rPr>
      <w:color w:val="0563C1" w:themeColor="hyperlink"/>
      <w:u w:val="single"/>
    </w:rPr>
  </w:style>
  <w:style w:type="character" w:styleId="15">
    <w:name w:val="annotation reference"/>
    <w:basedOn w:val="13"/>
    <w:semiHidden/>
    <w:unhideWhenUsed/>
    <w:uiPriority w:val="99"/>
    <w:rPr>
      <w:sz w:val="21"/>
      <w:szCs w:val="21"/>
    </w:rPr>
  </w:style>
  <w:style w:type="character" w:styleId="16">
    <w:name w:val="footnote reference"/>
    <w:basedOn w:val="13"/>
    <w:semiHidden/>
    <w:unhideWhenUsed/>
    <w:uiPriority w:val="99"/>
    <w:rPr>
      <w:vertAlign w:val="superscript"/>
    </w:rPr>
  </w:style>
  <w:style w:type="character" w:customStyle="1" w:styleId="17">
    <w:name w:val="页眉 字符"/>
    <w:basedOn w:val="13"/>
    <w:link w:val="8"/>
    <w:uiPriority w:val="99"/>
    <w:rPr>
      <w:rFonts w:ascii="Times New Roman" w:hAnsi="Times New Roman" w:cs="Times New Roman"/>
      <w:kern w:val="0"/>
      <w:sz w:val="18"/>
      <w:szCs w:val="18"/>
    </w:rPr>
  </w:style>
  <w:style w:type="character" w:customStyle="1" w:styleId="18">
    <w:name w:val="页脚 字符"/>
    <w:basedOn w:val="13"/>
    <w:link w:val="7"/>
    <w:qFormat/>
    <w:uiPriority w:val="99"/>
    <w:rPr>
      <w:rFonts w:ascii="Times New Roman" w:hAnsi="Times New Roman" w:cs="Times New Roman"/>
      <w:kern w:val="0"/>
      <w:sz w:val="18"/>
      <w:szCs w:val="18"/>
    </w:rPr>
  </w:style>
  <w:style w:type="paragraph" w:customStyle="1" w:styleId="19">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0">
    <w:name w:val="标题 1 字符"/>
    <w:basedOn w:val="13"/>
    <w:link w:val="2"/>
    <w:qFormat/>
    <w:uiPriority w:val="9"/>
    <w:rPr>
      <w:rFonts w:ascii="Times New Roman" w:hAnsi="Times New Roman" w:cs="Times New Roman"/>
      <w:b/>
      <w:bCs/>
      <w:kern w:val="0"/>
      <w:sz w:val="36"/>
      <w:szCs w:val="36"/>
    </w:rPr>
  </w:style>
  <w:style w:type="character" w:customStyle="1" w:styleId="21">
    <w:name w:val="脚注文本 字符"/>
    <w:basedOn w:val="13"/>
    <w:link w:val="10"/>
    <w:semiHidden/>
    <w:uiPriority w:val="99"/>
    <w:rPr>
      <w:rFonts w:ascii="Times New Roman" w:hAnsi="Times New Roman" w:cs="Times New Roman"/>
      <w:kern w:val="0"/>
      <w:sz w:val="18"/>
      <w:szCs w:val="18"/>
    </w:rPr>
  </w:style>
  <w:style w:type="character" w:customStyle="1" w:styleId="22">
    <w:name w:val="标题 2 字符"/>
    <w:basedOn w:val="13"/>
    <w:link w:val="3"/>
    <w:qFormat/>
    <w:uiPriority w:val="9"/>
    <w:rPr>
      <w:rFonts w:ascii="Times New Roman" w:hAnsi="Times New Roman" w:eastAsia="宋体" w:cs="Times New Roman"/>
      <w:b/>
      <w:bCs/>
      <w:color w:val="000000"/>
      <w:kern w:val="0"/>
      <w:sz w:val="28"/>
      <w:szCs w:val="28"/>
      <w:shd w:val="clear" w:color="auto" w:fill="FFFFFF"/>
    </w:rPr>
  </w:style>
  <w:style w:type="character" w:customStyle="1" w:styleId="23">
    <w:name w:val="批注文字 字符"/>
    <w:basedOn w:val="13"/>
    <w:link w:val="4"/>
    <w:semiHidden/>
    <w:qFormat/>
    <w:uiPriority w:val="99"/>
    <w:rPr>
      <w:rFonts w:ascii="Times New Roman" w:hAnsi="Times New Roman" w:cs="Times New Roman"/>
      <w:kern w:val="0"/>
      <w:sz w:val="20"/>
      <w:szCs w:val="20"/>
    </w:rPr>
  </w:style>
  <w:style w:type="character" w:customStyle="1" w:styleId="24">
    <w:name w:val="批注框文本 字符"/>
    <w:basedOn w:val="13"/>
    <w:link w:val="6"/>
    <w:semiHidden/>
    <w:qFormat/>
    <w:uiPriority w:val="99"/>
    <w:rPr>
      <w:rFonts w:ascii="Times New Roman" w:hAnsi="Times New Roman" w:cs="Times New Roman"/>
      <w:kern w:val="0"/>
      <w:sz w:val="18"/>
      <w:szCs w:val="18"/>
    </w:rPr>
  </w:style>
  <w:style w:type="paragraph" w:customStyle="1" w:styleId="25">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9299</Words>
  <Characters>10742</Characters>
  <Lines>94</Lines>
  <Paragraphs>26</Paragraphs>
  <TotalTime>87</TotalTime>
  <ScaleCrop>false</ScaleCrop>
  <LinksUpToDate>false</LinksUpToDate>
  <CharactersWithSpaces>11039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2022-03-19T12:32:00Z</dcterms:created>
  <dc:creator>CDRH CBER</dc:creator>
  <cp:lastModifiedBy>太极箫客</cp:lastModifiedBy>
  <dcterms:modified xsi:type="dcterms:W3CDTF">2025-08-14T06:31:30Z</dcterms:modified>
  <dc:title>Format for Traditional and Abbreviated 510(k)s - Guidance for Industry and FDA Staff</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17179CA0D7A544A6B4E2C8DCA76F2B7C_12</vt:lpwstr>
  </property>
</Properties>
</file>