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1107C">
      <w:pPr>
        <w:spacing w:line="520" w:lineRule="exact"/>
        <w:ind w:firstLine="640" w:firstLineChars="200"/>
        <w:jc w:val="center"/>
        <w:rPr>
          <w:rFonts w:ascii="黑体" w:hAnsi="黑体" w:eastAsia="黑体"/>
          <w:sz w:val="32"/>
          <w:szCs w:val="32"/>
        </w:rPr>
      </w:pPr>
      <w:bookmarkStart w:id="12" w:name="_GoBack"/>
      <w:bookmarkEnd w:id="12"/>
    </w:p>
    <w:p w14:paraId="2A6FC73B">
      <w:pPr>
        <w:spacing w:line="52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人红细胞反定型试剂注册技术审查指导原则</w:t>
      </w:r>
    </w:p>
    <w:p w14:paraId="7B8CCF45">
      <w:pPr>
        <w:spacing w:line="500" w:lineRule="exact"/>
        <w:ind w:firstLine="640" w:firstLineChars="200"/>
        <w:rPr>
          <w:rFonts w:eastAsia="仿宋_GB2312"/>
          <w:sz w:val="32"/>
          <w:szCs w:val="32"/>
        </w:rPr>
      </w:pPr>
    </w:p>
    <w:p w14:paraId="3EE26C30">
      <w:pPr>
        <w:spacing w:line="500" w:lineRule="exact"/>
        <w:ind w:firstLine="640" w:firstLineChars="200"/>
        <w:rPr>
          <w:rFonts w:eastAsia="仿宋_GB2312"/>
          <w:sz w:val="32"/>
          <w:szCs w:val="32"/>
        </w:rPr>
      </w:pPr>
      <w:r>
        <w:rPr>
          <w:rFonts w:eastAsia="仿宋_GB2312"/>
          <w:sz w:val="32"/>
          <w:szCs w:val="32"/>
        </w:rPr>
        <w:t>本指导原则旨在指导注册申请人对人红细胞反定型试剂注册申报资料的准备及撰写，同时也为技术审评部门审评注册申报资料提供参考。</w:t>
      </w:r>
    </w:p>
    <w:p w14:paraId="5BCA815A">
      <w:pPr>
        <w:spacing w:line="500" w:lineRule="exact"/>
        <w:ind w:firstLine="640" w:firstLineChars="200"/>
        <w:rPr>
          <w:rFonts w:eastAsia="仿宋_GB2312"/>
          <w:sz w:val="32"/>
          <w:szCs w:val="32"/>
        </w:rPr>
      </w:pPr>
      <w:r>
        <w:rPr>
          <w:rFonts w:eastAsia="仿宋_GB2312"/>
          <w:sz w:val="32"/>
          <w:szCs w:val="32"/>
        </w:rPr>
        <w:t>本指导原则是对人红细胞反定型试剂的一般要求，申请人应依据产品的具体特性确定其中内容是否适用，若不适用，需具体阐述理由及相应的科学依据，并依据产品的具体特性对注册申报资料的内容进行充实和细化。</w:t>
      </w:r>
    </w:p>
    <w:p w14:paraId="11A21DD3">
      <w:pPr>
        <w:spacing w:line="500" w:lineRule="exact"/>
        <w:ind w:firstLine="640" w:firstLineChars="200"/>
        <w:rPr>
          <w:rFonts w:eastAsia="仿宋_GB2312"/>
          <w:sz w:val="32"/>
          <w:szCs w:val="32"/>
        </w:rPr>
      </w:pPr>
      <w:r>
        <w:rPr>
          <w:rFonts w:eastAsia="仿宋_GB2312"/>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3B07E600">
      <w:pPr>
        <w:spacing w:line="500" w:lineRule="exact"/>
        <w:ind w:firstLine="640" w:firstLineChars="200"/>
        <w:rPr>
          <w:rFonts w:eastAsia="仿宋_GB2312"/>
          <w:sz w:val="32"/>
          <w:szCs w:val="32"/>
        </w:rPr>
      </w:pPr>
      <w:r>
        <w:rPr>
          <w:rFonts w:eastAsia="仿宋_GB2312"/>
          <w:sz w:val="32"/>
          <w:szCs w:val="32"/>
        </w:rPr>
        <w:t>本指导原则是在现行法规、标准体系及当前认知水平下制定的，随着法规、标准体系的不断完善和科学技术的不断发展，本指导原则相关内容也将适时进行调整。</w:t>
      </w:r>
    </w:p>
    <w:p w14:paraId="3C5044CB">
      <w:pPr>
        <w:spacing w:line="500" w:lineRule="exact"/>
        <w:ind w:firstLine="640" w:firstLineChars="200"/>
        <w:rPr>
          <w:rFonts w:ascii="黑体" w:hAnsi="黑体" w:eastAsia="黑体"/>
          <w:sz w:val="32"/>
          <w:szCs w:val="32"/>
        </w:rPr>
      </w:pPr>
      <w:bookmarkStart w:id="0" w:name="_Toc342306958"/>
      <w:r>
        <w:rPr>
          <w:rFonts w:ascii="黑体" w:hAnsi="黑体" w:eastAsia="黑体"/>
          <w:sz w:val="32"/>
          <w:szCs w:val="32"/>
        </w:rPr>
        <w:t>一、范围</w:t>
      </w:r>
      <w:bookmarkEnd w:id="0"/>
    </w:p>
    <w:p w14:paraId="0E1C89DB">
      <w:pPr>
        <w:tabs>
          <w:tab w:val="left" w:pos="720"/>
        </w:tabs>
        <w:spacing w:line="500" w:lineRule="exact"/>
        <w:ind w:firstLine="640" w:firstLineChars="200"/>
        <w:rPr>
          <w:rFonts w:eastAsia="仿宋_GB2312"/>
          <w:sz w:val="32"/>
          <w:szCs w:val="32"/>
        </w:rPr>
      </w:pPr>
      <w:r>
        <w:rPr>
          <w:rFonts w:eastAsia="仿宋_GB2312"/>
          <w:sz w:val="32"/>
          <w:szCs w:val="32"/>
        </w:rPr>
        <w:t>人红细胞反定型试剂用于人ABO血型的反定型，测定被检者血清中有无相应的抗A或抗B抗体，辅助正定型结果判断ABO血型。</w:t>
      </w:r>
    </w:p>
    <w:p w14:paraId="3BF20F37">
      <w:pPr>
        <w:tabs>
          <w:tab w:val="left" w:pos="720"/>
        </w:tabs>
        <w:spacing w:line="500" w:lineRule="exact"/>
        <w:ind w:firstLine="640" w:firstLineChars="200"/>
        <w:rPr>
          <w:rFonts w:eastAsia="仿宋_GB2312"/>
          <w:sz w:val="32"/>
          <w:szCs w:val="32"/>
        </w:rPr>
      </w:pPr>
      <w:r>
        <w:rPr>
          <w:rFonts w:eastAsia="仿宋_GB2312"/>
          <w:sz w:val="32"/>
          <w:szCs w:val="32"/>
        </w:rPr>
        <w:t>本指导原则适用于人红细胞反定型试剂，同时适用于不同的检测方法,如试管法、柱凝集法、微孔板法等，但不适用于血源筛查用人红细胞反定型试剂。</w:t>
      </w:r>
    </w:p>
    <w:p w14:paraId="0B9801C0">
      <w:pPr>
        <w:tabs>
          <w:tab w:val="left" w:pos="7140"/>
        </w:tabs>
        <w:autoSpaceDE w:val="0"/>
        <w:autoSpaceDN w:val="0"/>
        <w:spacing w:line="500" w:lineRule="exact"/>
        <w:ind w:firstLine="640" w:firstLineChars="200"/>
        <w:rPr>
          <w:rFonts w:eastAsia="仿宋_GB2312"/>
          <w:sz w:val="32"/>
          <w:szCs w:val="32"/>
        </w:rPr>
      </w:pPr>
      <w:r>
        <w:rPr>
          <w:rFonts w:eastAsia="仿宋_GB2312"/>
          <w:sz w:val="32"/>
          <w:szCs w:val="32"/>
        </w:rPr>
        <w:t>本指导原则仅包括对人反定型红细胞试剂注册申报资料中部分项目的要求，适用于进行产品注册和相关许可事项变更的产品。其他未尽事宜，应当符合《体外诊断试剂注册管理办法》（国家食品药品监督管理总局令第5号）（以下简称《办法》）等相关法规要求。</w:t>
      </w:r>
    </w:p>
    <w:p w14:paraId="0BDE92FD">
      <w:pPr>
        <w:spacing w:line="500" w:lineRule="exact"/>
        <w:ind w:firstLine="640" w:firstLineChars="200"/>
        <w:rPr>
          <w:rFonts w:ascii="黑体" w:hAnsi="黑体" w:eastAsia="黑体"/>
          <w:sz w:val="32"/>
          <w:szCs w:val="32"/>
        </w:rPr>
      </w:pPr>
      <w:bookmarkStart w:id="1" w:name="_Toc342306959"/>
      <w:r>
        <w:rPr>
          <w:rFonts w:ascii="黑体" w:hAnsi="黑体" w:eastAsia="黑体"/>
          <w:sz w:val="32"/>
          <w:szCs w:val="32"/>
        </w:rPr>
        <w:t>二、</w:t>
      </w:r>
      <w:bookmarkEnd w:id="1"/>
      <w:r>
        <w:rPr>
          <w:rFonts w:ascii="黑体" w:hAnsi="黑体" w:eastAsia="黑体"/>
          <w:sz w:val="32"/>
          <w:szCs w:val="32"/>
        </w:rPr>
        <w:t>基本要求</w:t>
      </w:r>
    </w:p>
    <w:p w14:paraId="4E453215">
      <w:pPr>
        <w:spacing w:line="500" w:lineRule="exact"/>
        <w:ind w:firstLine="640" w:firstLineChars="200"/>
        <w:rPr>
          <w:rFonts w:eastAsia="楷体_GB2312"/>
          <w:sz w:val="32"/>
          <w:szCs w:val="32"/>
        </w:rPr>
      </w:pPr>
      <w:bookmarkStart w:id="2" w:name="_Toc342306960"/>
      <w:r>
        <w:rPr>
          <w:rFonts w:eastAsia="楷体_GB2312"/>
          <w:sz w:val="32"/>
          <w:szCs w:val="32"/>
        </w:rPr>
        <w:t>（一）综述资料</w:t>
      </w:r>
      <w:bookmarkEnd w:id="2"/>
    </w:p>
    <w:p w14:paraId="2019E4E6">
      <w:pPr>
        <w:spacing w:line="500" w:lineRule="exact"/>
        <w:ind w:firstLine="640" w:firstLineChars="200"/>
        <w:rPr>
          <w:rFonts w:eastAsia="仿宋_GB2312"/>
          <w:sz w:val="32"/>
          <w:szCs w:val="32"/>
        </w:rPr>
      </w:pPr>
      <w:r>
        <w:rPr>
          <w:rFonts w:eastAsia="仿宋_GB2312"/>
          <w:kern w:val="0"/>
          <w:sz w:val="32"/>
          <w:szCs w:val="32"/>
        </w:rPr>
        <w:t>综述资料的撰写应符合《关于公布体外诊断试剂注册申报资料要求和批准证明文件格式的公告》（</w:t>
      </w:r>
      <w:r>
        <w:rPr>
          <w:rFonts w:eastAsia="仿宋_GB2312"/>
          <w:sz w:val="32"/>
          <w:szCs w:val="32"/>
        </w:rPr>
        <w:t>国家食品药品监督管理</w:t>
      </w:r>
      <w:r>
        <w:rPr>
          <w:rFonts w:eastAsia="仿宋_GB2312"/>
          <w:kern w:val="0"/>
          <w:sz w:val="32"/>
          <w:szCs w:val="32"/>
        </w:rPr>
        <w:t>总局公告2014年第44号）（以下简称“44号公告”）的相关要求。</w:t>
      </w:r>
      <w:r>
        <w:rPr>
          <w:rFonts w:eastAsia="仿宋_GB2312"/>
          <w:sz w:val="32"/>
          <w:szCs w:val="32"/>
        </w:rPr>
        <w:t>内容主要包括产品预期用途、产品描述、有关生物安全性的说明、有关产品主要研究结果的总结和评价以及同类产品在国内外批准上市的情况介绍等内容，其中同类产品上市情况介绍部分应着重从抗原性、特异性、亲和力、溶血率、有效期等方面写明拟申报产品与目前市场上已获批准的同类产品之间的异同。</w:t>
      </w:r>
    </w:p>
    <w:p w14:paraId="29448D13">
      <w:pPr>
        <w:spacing w:line="500" w:lineRule="exact"/>
        <w:ind w:firstLine="640" w:firstLineChars="200"/>
        <w:rPr>
          <w:rFonts w:eastAsia="楷体_GB2312"/>
          <w:sz w:val="32"/>
          <w:szCs w:val="32"/>
        </w:rPr>
      </w:pPr>
      <w:bookmarkStart w:id="3" w:name="_Toc342306964"/>
      <w:r>
        <w:rPr>
          <w:rFonts w:eastAsia="楷体_GB2312"/>
          <w:sz w:val="32"/>
          <w:szCs w:val="32"/>
        </w:rPr>
        <w:t>（二）主要原材料研究资料</w:t>
      </w:r>
      <w:bookmarkEnd w:id="3"/>
    </w:p>
    <w:p w14:paraId="3D243B5A">
      <w:pPr>
        <w:spacing w:line="500" w:lineRule="exact"/>
        <w:ind w:firstLine="640" w:firstLineChars="200"/>
        <w:rPr>
          <w:rFonts w:eastAsia="仿宋_GB2312"/>
          <w:sz w:val="32"/>
          <w:szCs w:val="32"/>
        </w:rPr>
      </w:pPr>
      <w:r>
        <w:rPr>
          <w:rFonts w:eastAsia="仿宋_GB2312"/>
          <w:sz w:val="32"/>
          <w:szCs w:val="32"/>
        </w:rPr>
        <w:t>主要原材料研究资料应包括主要组成成分（红细胞及细胞保存液成分等）的选择、制备及其质量标准的研究资料。</w:t>
      </w:r>
    </w:p>
    <w:p w14:paraId="794BBA7E">
      <w:pPr>
        <w:spacing w:line="500" w:lineRule="exact"/>
        <w:ind w:firstLine="640" w:firstLineChars="200"/>
        <w:rPr>
          <w:rFonts w:eastAsia="仿宋_GB2312"/>
          <w:sz w:val="32"/>
          <w:szCs w:val="32"/>
        </w:rPr>
      </w:pPr>
      <w:r>
        <w:rPr>
          <w:rFonts w:eastAsia="仿宋_GB2312"/>
          <w:sz w:val="32"/>
          <w:szCs w:val="32"/>
        </w:rPr>
        <w:t>1.红细胞的选择及质量标准。需详细描述红细胞的来源。红细胞来源应稳定、可靠，采集时间期限明确。红细胞的选择应遵循以下原则：</w:t>
      </w:r>
    </w:p>
    <w:p w14:paraId="3923146A">
      <w:pPr>
        <w:spacing w:line="500" w:lineRule="exact"/>
        <w:ind w:firstLine="640" w:firstLineChars="200"/>
        <w:rPr>
          <w:rFonts w:eastAsia="仿宋_GB2312"/>
          <w:sz w:val="32"/>
          <w:szCs w:val="32"/>
        </w:rPr>
      </w:pPr>
      <w:r>
        <w:rPr>
          <w:rFonts w:eastAsia="仿宋_GB2312"/>
          <w:sz w:val="32"/>
          <w:szCs w:val="32"/>
        </w:rPr>
        <w:t>（1）如红细胞Rh表型为阳性(D+、C+、E+)，则应在A1、B红细胞外增加Rh阳性的O型红细胞。</w:t>
      </w:r>
    </w:p>
    <w:p w14:paraId="41A7DB99">
      <w:pPr>
        <w:spacing w:line="500" w:lineRule="exact"/>
        <w:ind w:firstLine="640" w:firstLineChars="200"/>
        <w:rPr>
          <w:rFonts w:eastAsia="仿宋_GB2312"/>
          <w:sz w:val="32"/>
          <w:szCs w:val="32"/>
        </w:rPr>
      </w:pPr>
      <w:r>
        <w:rPr>
          <w:rFonts w:eastAsia="仿宋_GB2312"/>
          <w:sz w:val="32"/>
          <w:szCs w:val="32"/>
        </w:rPr>
        <w:t>（2）如只包含A1、B红细胞，则两支红细胞均应为Rh表型阴性（D-、E-、C- ）的混合细胞悬液。</w:t>
      </w:r>
    </w:p>
    <w:p w14:paraId="1EF60528">
      <w:pPr>
        <w:spacing w:line="500" w:lineRule="exact"/>
        <w:ind w:firstLine="640" w:firstLineChars="200"/>
        <w:rPr>
          <w:rFonts w:eastAsia="仿宋_GB2312"/>
          <w:sz w:val="32"/>
          <w:szCs w:val="32"/>
        </w:rPr>
      </w:pPr>
      <w:r>
        <w:rPr>
          <w:rFonts w:eastAsia="仿宋_GB2312"/>
          <w:sz w:val="32"/>
          <w:szCs w:val="32"/>
        </w:rPr>
        <w:t>应对试剂红细胞进行以下基本特性的研究：</w:t>
      </w:r>
    </w:p>
    <w:p w14:paraId="27C0CC95">
      <w:pPr>
        <w:spacing w:line="500" w:lineRule="exact"/>
        <w:ind w:firstLine="640" w:firstLineChars="200"/>
        <w:rPr>
          <w:rFonts w:eastAsia="仿宋_GB2312"/>
          <w:sz w:val="32"/>
          <w:szCs w:val="32"/>
        </w:rPr>
      </w:pPr>
      <w:r>
        <w:rPr>
          <w:rFonts w:eastAsia="仿宋_GB2312"/>
          <w:sz w:val="32"/>
          <w:szCs w:val="32"/>
        </w:rPr>
        <w:t>红细胞献血员应进行血型正反定型检测，只有在正反定型结果一致的情况下，其红细胞才能用于生产。</w:t>
      </w:r>
    </w:p>
    <w:p w14:paraId="60F85304">
      <w:pPr>
        <w:spacing w:line="500" w:lineRule="exact"/>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红细胞的抗原性：反定型红细胞至少要包括A1和B细胞，使用A2和O细胞测定可解决部分血型测定中的异常情况，A2细胞可测定A亚型，O细胞可在测定中作为抗原阴性对照。</w:t>
      </w:r>
    </w:p>
    <w:p w14:paraId="33C05374">
      <w:pPr>
        <w:spacing w:line="500" w:lineRule="exact"/>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红细胞的抗原强度：通过考察不同凝集强度时抗体试剂（抗-A、抗-B、抗-H）的稀释度，说明试剂红细胞的抗原强度。</w:t>
      </w:r>
    </w:p>
    <w:p w14:paraId="08EB2E24">
      <w:pPr>
        <w:spacing w:line="500" w:lineRule="exact"/>
        <w:ind w:firstLine="640" w:firstLineChars="200"/>
        <w:rPr>
          <w:rFonts w:eastAsia="仿宋_GB2312"/>
          <w:sz w:val="32"/>
          <w:szCs w:val="32"/>
        </w:rPr>
      </w:pPr>
      <w:r>
        <w:rPr>
          <w:rFonts w:hint="eastAsia" w:ascii="宋体" w:hAnsi="宋体" w:cs="宋体"/>
          <w:sz w:val="32"/>
          <w:szCs w:val="32"/>
        </w:rPr>
        <w:t>③</w:t>
      </w:r>
      <w:r>
        <w:rPr>
          <w:rFonts w:eastAsia="仿宋_GB2312"/>
          <w:sz w:val="32"/>
          <w:szCs w:val="32"/>
        </w:rPr>
        <w:t>亲和力：通过与相应抗体（抗-A、抗-B、抗-H）反应在多少秒（如15秒）内出现凝集，3分钟内凝集块达到1mm</w:t>
      </w:r>
      <w:r>
        <w:rPr>
          <w:rFonts w:eastAsia="仿宋_GB2312"/>
          <w:sz w:val="32"/>
          <w:szCs w:val="32"/>
          <w:vertAlign w:val="superscript"/>
        </w:rPr>
        <w:t>2</w:t>
      </w:r>
      <w:r>
        <w:rPr>
          <w:rFonts w:eastAsia="仿宋_GB2312"/>
          <w:sz w:val="32"/>
          <w:szCs w:val="32"/>
        </w:rPr>
        <w:t>以上（或凝集强度≥3+）等指标体现细胞亲和力，可参照相关规定进行试验及结果判断。抗体效价应符合国家规定。</w:t>
      </w:r>
    </w:p>
    <w:p w14:paraId="1B55CA59">
      <w:pPr>
        <w:spacing w:line="500" w:lineRule="exact"/>
        <w:ind w:firstLine="640" w:firstLineChars="200"/>
        <w:rPr>
          <w:rFonts w:eastAsia="仿宋_GB2312"/>
          <w:sz w:val="32"/>
          <w:szCs w:val="32"/>
        </w:rPr>
      </w:pPr>
      <w:r>
        <w:rPr>
          <w:rFonts w:hint="eastAsia" w:ascii="宋体" w:hAnsi="宋体" w:cs="宋体"/>
          <w:sz w:val="32"/>
          <w:szCs w:val="32"/>
        </w:rPr>
        <w:t>④</w:t>
      </w:r>
      <w:r>
        <w:rPr>
          <w:rFonts w:eastAsia="仿宋_GB2312"/>
          <w:sz w:val="32"/>
          <w:szCs w:val="32"/>
        </w:rPr>
        <w:t>红细胞的特异性：使用抗-A、抗-A1抗-B、抗-H抗体进行特异性验证。不与ABO血型系统非对应抗体发生阳性反应。</w:t>
      </w:r>
    </w:p>
    <w:p w14:paraId="25F8A42A">
      <w:pPr>
        <w:spacing w:line="500" w:lineRule="exact"/>
        <w:ind w:firstLine="640" w:firstLineChars="200"/>
        <w:rPr>
          <w:rFonts w:eastAsia="仿宋_GB2312"/>
          <w:sz w:val="32"/>
          <w:szCs w:val="32"/>
        </w:rPr>
      </w:pPr>
      <w:r>
        <w:rPr>
          <w:rFonts w:hint="eastAsia" w:ascii="宋体" w:hAnsi="宋体" w:cs="宋体"/>
          <w:sz w:val="32"/>
          <w:szCs w:val="32"/>
        </w:rPr>
        <w:t>⑤</w:t>
      </w:r>
      <w:r>
        <w:rPr>
          <w:rFonts w:eastAsia="仿宋_GB2312"/>
          <w:sz w:val="32"/>
          <w:szCs w:val="32"/>
        </w:rPr>
        <w:t>直接抗人球蛋白试验：使用抗-IgG和抗-补体或使用多特异性抗人球蛋白试剂对试剂红细胞进行直接抗人球蛋白试验（DAT）时，结果应为阴性。</w:t>
      </w:r>
    </w:p>
    <w:p w14:paraId="239C03BC">
      <w:pPr>
        <w:spacing w:line="500" w:lineRule="exact"/>
        <w:ind w:firstLine="640" w:firstLineChars="200"/>
        <w:rPr>
          <w:rFonts w:eastAsia="仿宋_GB2312"/>
          <w:spacing w:val="-6"/>
          <w:sz w:val="32"/>
          <w:szCs w:val="32"/>
        </w:rPr>
      </w:pPr>
      <w:r>
        <w:rPr>
          <w:rFonts w:hint="eastAsia" w:ascii="宋体" w:hAnsi="宋体" w:cs="宋体"/>
          <w:sz w:val="32"/>
          <w:szCs w:val="32"/>
        </w:rPr>
        <w:t>⑥</w:t>
      </w:r>
      <w:r>
        <w:rPr>
          <w:rFonts w:eastAsia="仿宋_GB2312"/>
          <w:sz w:val="32"/>
          <w:szCs w:val="32"/>
        </w:rPr>
        <w:t>溶血率（性）：</w:t>
      </w:r>
      <w:r>
        <w:rPr>
          <w:rFonts w:eastAsia="仿宋_GB2312"/>
          <w:spacing w:val="-6"/>
          <w:sz w:val="32"/>
          <w:szCs w:val="32"/>
        </w:rPr>
        <w:t>明确溶血率的试验方法、实验所需物品及溶血率的要求。可采用溶血率或游离血红蛋白浓度的作为评价指标。</w:t>
      </w:r>
    </w:p>
    <w:p w14:paraId="6D0A75AD">
      <w:pPr>
        <w:spacing w:line="500" w:lineRule="exact"/>
        <w:ind w:firstLine="640" w:firstLineChars="200"/>
        <w:rPr>
          <w:rFonts w:eastAsia="仿宋_GB2312"/>
          <w:sz w:val="32"/>
          <w:szCs w:val="32"/>
        </w:rPr>
      </w:pPr>
      <w:r>
        <w:rPr>
          <w:rFonts w:hint="eastAsia" w:ascii="宋体" w:hAnsi="宋体" w:cs="宋体"/>
          <w:sz w:val="32"/>
          <w:szCs w:val="32"/>
        </w:rPr>
        <w:t>⑦</w:t>
      </w:r>
      <w:r>
        <w:rPr>
          <w:rFonts w:eastAsia="仿宋_GB2312"/>
          <w:sz w:val="32"/>
          <w:szCs w:val="32"/>
        </w:rPr>
        <w:t>红细胞浓度的确定：说明红细胞悬浮液的浓度和限度（如3%±0.2%）。</w:t>
      </w:r>
    </w:p>
    <w:p w14:paraId="7B13FA26">
      <w:pPr>
        <w:spacing w:line="500" w:lineRule="exact"/>
        <w:ind w:firstLine="640" w:firstLineChars="200"/>
        <w:rPr>
          <w:rFonts w:eastAsia="仿宋_GB2312"/>
          <w:sz w:val="32"/>
          <w:szCs w:val="32"/>
        </w:rPr>
      </w:pPr>
      <w:r>
        <w:rPr>
          <w:rFonts w:eastAsia="仿宋_GB2312"/>
          <w:sz w:val="32"/>
          <w:szCs w:val="32"/>
        </w:rPr>
        <w:t>2.红细胞保存液的选择：说明红细胞保存液的选择过程，提交试验数据说明最终确定的保存液在保证细胞的抗原性（抗原减弱）、减少溶血等方面的性能。需明确保存液中各组分的基本作用，如何防止溶血、抗原减弱、补体激活等。另外应对红细胞保存液的以下性能进行研究：</w:t>
      </w:r>
    </w:p>
    <w:p w14:paraId="5E338E76">
      <w:pPr>
        <w:spacing w:line="500" w:lineRule="exact"/>
        <w:ind w:firstLine="640" w:firstLineChars="200"/>
        <w:rPr>
          <w:rFonts w:eastAsia="仿宋_GB2312"/>
          <w:sz w:val="32"/>
          <w:szCs w:val="32"/>
        </w:rPr>
      </w:pPr>
      <w:r>
        <w:rPr>
          <w:rFonts w:hint="eastAsia" w:ascii="宋体" w:hAnsi="宋体" w:cs="宋体"/>
          <w:sz w:val="32"/>
          <w:szCs w:val="32"/>
        </w:rPr>
        <w:t>（1）</w:t>
      </w:r>
      <w:r>
        <w:rPr>
          <w:rFonts w:eastAsia="仿宋_GB2312"/>
          <w:sz w:val="32"/>
          <w:szCs w:val="32"/>
        </w:rPr>
        <w:t>PH值。</w:t>
      </w:r>
    </w:p>
    <w:p w14:paraId="236F4204">
      <w:pPr>
        <w:spacing w:line="500" w:lineRule="exact"/>
        <w:ind w:firstLine="640" w:firstLineChars="200"/>
        <w:rPr>
          <w:rFonts w:eastAsia="仿宋_GB2312"/>
          <w:sz w:val="32"/>
          <w:szCs w:val="32"/>
        </w:rPr>
      </w:pPr>
      <w:r>
        <w:rPr>
          <w:rFonts w:hint="eastAsia" w:ascii="宋体" w:hAnsi="宋体" w:cs="宋体"/>
          <w:sz w:val="32"/>
          <w:szCs w:val="32"/>
        </w:rPr>
        <w:t>（2）</w:t>
      </w:r>
      <w:r>
        <w:rPr>
          <w:rFonts w:eastAsia="仿宋_GB2312"/>
          <w:sz w:val="32"/>
          <w:szCs w:val="32"/>
        </w:rPr>
        <w:t>在选定的保存液环境中进行试剂红细胞稳定性的研究，进行详细的效期稳定性、开瓶稳定性的研究。</w:t>
      </w:r>
    </w:p>
    <w:p w14:paraId="063400A8">
      <w:pPr>
        <w:spacing w:line="500" w:lineRule="exact"/>
        <w:ind w:firstLine="640" w:firstLineChars="200"/>
        <w:rPr>
          <w:rFonts w:eastAsia="仿宋_GB2312"/>
          <w:sz w:val="32"/>
          <w:szCs w:val="32"/>
        </w:rPr>
      </w:pPr>
      <w:r>
        <w:rPr>
          <w:rFonts w:eastAsia="仿宋_GB2312"/>
          <w:sz w:val="32"/>
          <w:szCs w:val="32"/>
        </w:rPr>
        <w:t>3.生物安全性。</w:t>
      </w:r>
    </w:p>
    <w:p w14:paraId="265FD3DF">
      <w:pPr>
        <w:spacing w:line="500" w:lineRule="exact"/>
        <w:ind w:firstLine="640" w:firstLineChars="200"/>
        <w:rPr>
          <w:rFonts w:eastAsia="楷体_GB2312"/>
          <w:sz w:val="32"/>
          <w:szCs w:val="32"/>
        </w:rPr>
      </w:pPr>
      <w:bookmarkStart w:id="4" w:name="_Toc342306965"/>
      <w:r>
        <w:rPr>
          <w:rFonts w:eastAsia="楷体_GB2312"/>
          <w:sz w:val="32"/>
          <w:szCs w:val="32"/>
        </w:rPr>
        <w:t>（三）主要生产工艺及反应体系的研究资料</w:t>
      </w:r>
      <w:bookmarkEnd w:id="4"/>
    </w:p>
    <w:p w14:paraId="3EB1398B">
      <w:pPr>
        <w:spacing w:line="500" w:lineRule="exact"/>
        <w:ind w:firstLine="640" w:firstLineChars="200"/>
        <w:rPr>
          <w:rFonts w:eastAsia="仿宋_GB2312"/>
          <w:sz w:val="32"/>
          <w:szCs w:val="32"/>
        </w:rPr>
      </w:pPr>
      <w:r>
        <w:rPr>
          <w:rFonts w:eastAsia="仿宋_GB2312"/>
          <w:sz w:val="32"/>
          <w:szCs w:val="32"/>
        </w:rPr>
        <w:t>1.主要生产工艺介绍，可用流程图方式表示，并简要说明主要生产工艺的确定依据。</w:t>
      </w:r>
    </w:p>
    <w:p w14:paraId="1E392972">
      <w:pPr>
        <w:spacing w:line="500" w:lineRule="exact"/>
        <w:ind w:firstLine="640" w:firstLineChars="200"/>
        <w:rPr>
          <w:rFonts w:eastAsia="仿宋_GB2312"/>
          <w:sz w:val="32"/>
          <w:szCs w:val="32"/>
        </w:rPr>
      </w:pPr>
      <w:r>
        <w:rPr>
          <w:rFonts w:eastAsia="仿宋_GB2312"/>
          <w:sz w:val="32"/>
          <w:szCs w:val="32"/>
        </w:rPr>
        <w:t>2.产品基本反应原理介绍。</w:t>
      </w:r>
    </w:p>
    <w:p w14:paraId="74953DC2">
      <w:pPr>
        <w:spacing w:line="500" w:lineRule="exact"/>
        <w:ind w:firstLine="640" w:firstLineChars="200"/>
        <w:rPr>
          <w:rFonts w:eastAsia="仿宋_GB2312"/>
          <w:sz w:val="32"/>
          <w:szCs w:val="32"/>
        </w:rPr>
      </w:pPr>
      <w:r>
        <w:rPr>
          <w:rFonts w:eastAsia="仿宋_GB2312"/>
          <w:sz w:val="32"/>
          <w:szCs w:val="32"/>
        </w:rPr>
        <w:t>3.主要生产工艺过程的研究资料、每一步生产工艺的确认资料及试验数据。</w:t>
      </w:r>
    </w:p>
    <w:p w14:paraId="2094FACC">
      <w:pPr>
        <w:spacing w:line="500" w:lineRule="exact"/>
        <w:ind w:firstLine="640" w:firstLineChars="200"/>
        <w:rPr>
          <w:rFonts w:eastAsia="仿宋_GB2312"/>
          <w:sz w:val="32"/>
          <w:szCs w:val="32"/>
        </w:rPr>
      </w:pPr>
      <w:r>
        <w:rPr>
          <w:rFonts w:eastAsia="仿宋_GB2312"/>
          <w:sz w:val="32"/>
          <w:szCs w:val="32"/>
        </w:rPr>
        <w:t>4.主要反应体系（不同的实验原理、实验方法）的研究资料、每一步反应体系的确认资料及试验数据。</w:t>
      </w:r>
    </w:p>
    <w:p w14:paraId="24C0906C">
      <w:pPr>
        <w:spacing w:line="500" w:lineRule="exact"/>
        <w:ind w:firstLine="640" w:firstLineChars="200"/>
        <w:rPr>
          <w:rFonts w:eastAsia="仿宋_GB2312"/>
          <w:sz w:val="32"/>
          <w:szCs w:val="32"/>
        </w:rPr>
      </w:pPr>
      <w:r>
        <w:rPr>
          <w:rFonts w:eastAsia="仿宋_GB2312"/>
          <w:sz w:val="32"/>
          <w:szCs w:val="32"/>
        </w:rPr>
        <w:t>反应体系的设置应符合《全国临床检验操作规程》等公认标准操作规范、指南或标准的要求。</w:t>
      </w:r>
    </w:p>
    <w:p w14:paraId="77B23530">
      <w:pPr>
        <w:spacing w:line="500" w:lineRule="exact"/>
        <w:ind w:firstLine="640" w:firstLineChars="200"/>
        <w:rPr>
          <w:rFonts w:eastAsia="楷体_GB2312"/>
          <w:sz w:val="32"/>
          <w:szCs w:val="32"/>
        </w:rPr>
      </w:pPr>
      <w:bookmarkStart w:id="5" w:name="_Toc342306966"/>
      <w:r>
        <w:rPr>
          <w:rFonts w:eastAsia="楷体_GB2312"/>
          <w:sz w:val="32"/>
          <w:szCs w:val="32"/>
        </w:rPr>
        <w:t>（四）分析性能评估资料</w:t>
      </w:r>
      <w:bookmarkEnd w:id="5"/>
    </w:p>
    <w:p w14:paraId="070FACE8">
      <w:pPr>
        <w:spacing w:line="500" w:lineRule="exact"/>
        <w:ind w:firstLine="640" w:firstLineChars="200"/>
        <w:rPr>
          <w:rFonts w:eastAsia="仿宋_GB2312"/>
          <w:sz w:val="32"/>
          <w:szCs w:val="32"/>
        </w:rPr>
      </w:pPr>
      <w:r>
        <w:rPr>
          <w:rFonts w:eastAsia="仿宋_GB2312"/>
          <w:sz w:val="32"/>
          <w:szCs w:val="32"/>
        </w:rPr>
        <w:t>申请人应提交生产者在产品研制或成品验证阶段对试剂进行的所有性能验证的研究资料，对于每项分析性能的评价都应包括具体研究目的、实验设计、研究方法、可接受标准、实验数据、统计方法等详细资料。有关分析性能验证的背景信息也应在申报资料中有所体现，包括实验地点（实验室）、适用仪器、试剂规格、批号、临床样本来源等。分析性能评估的实验方法可以参考国内或国际有关体外诊断产品性能评估的指导原则进行。</w:t>
      </w:r>
    </w:p>
    <w:p w14:paraId="2696DE91">
      <w:pPr>
        <w:spacing w:line="500" w:lineRule="exact"/>
        <w:ind w:firstLine="640" w:firstLineChars="200"/>
        <w:rPr>
          <w:rFonts w:eastAsia="仿宋_GB2312"/>
          <w:sz w:val="32"/>
          <w:szCs w:val="32"/>
        </w:rPr>
      </w:pPr>
      <w:r>
        <w:rPr>
          <w:rFonts w:eastAsia="仿宋_GB2312"/>
          <w:sz w:val="32"/>
          <w:szCs w:val="32"/>
        </w:rPr>
        <w:t>产品性能研究所采用的各种仪器、试剂或其他物品如可能均应采用境内或境外已批准上市的产品，如抗A、抗B 、抗H、抗人球蛋白试剂等。</w:t>
      </w:r>
    </w:p>
    <w:p w14:paraId="0A233EE6">
      <w:pPr>
        <w:spacing w:line="500" w:lineRule="exact"/>
        <w:ind w:firstLine="640" w:firstLineChars="200"/>
        <w:rPr>
          <w:rFonts w:eastAsia="仿宋_GB2312"/>
          <w:sz w:val="32"/>
          <w:szCs w:val="32"/>
        </w:rPr>
      </w:pPr>
      <w:r>
        <w:rPr>
          <w:rFonts w:eastAsia="仿宋_GB2312"/>
          <w:sz w:val="32"/>
          <w:szCs w:val="32"/>
        </w:rPr>
        <w:t>分析性能评估试验中应明确所有试验每种试剂的用量、试剂红细胞的浓度、采用的试验方法（试管法、柱凝集法、微孔板法等）。所有试验方法应符合配合使用的血型试剂的具体操作要求。</w:t>
      </w:r>
    </w:p>
    <w:p w14:paraId="37C76BEE">
      <w:pPr>
        <w:spacing w:line="500" w:lineRule="exact"/>
        <w:ind w:firstLine="640" w:firstLineChars="200"/>
        <w:rPr>
          <w:rFonts w:eastAsia="仿宋_GB2312"/>
          <w:sz w:val="32"/>
          <w:szCs w:val="32"/>
        </w:rPr>
      </w:pPr>
      <w:r>
        <w:rPr>
          <w:rFonts w:eastAsia="仿宋_GB2312"/>
          <w:sz w:val="32"/>
          <w:szCs w:val="32"/>
        </w:rPr>
        <w:t>应对申报的反定型红细胞试剂声称适用的所有试验方法进行分析性能评估，如试管法、柱凝集法、微孔板法等。不同试验方法的性能研究均应采用至少三批产品进行。对于人红细胞反定型试剂，建议着重对以下分析性能进行研究：</w:t>
      </w:r>
    </w:p>
    <w:p w14:paraId="69F1176B">
      <w:pPr>
        <w:spacing w:line="500" w:lineRule="exact"/>
        <w:ind w:firstLine="640" w:firstLineChars="200"/>
        <w:rPr>
          <w:rFonts w:ascii="仿宋_GB2312" w:hAnsi="Calibri" w:eastAsia="仿宋_GB2312"/>
          <w:sz w:val="32"/>
          <w:szCs w:val="32"/>
        </w:rPr>
      </w:pPr>
      <w:r>
        <w:rPr>
          <w:rFonts w:eastAsia="仿宋_GB2312"/>
          <w:sz w:val="32"/>
          <w:szCs w:val="32"/>
        </w:rPr>
        <w:t>1.红细胞的抗原性：以表1的反应格局说明红细胞的抗原性。</w:t>
      </w:r>
    </w:p>
    <w:p w14:paraId="1D31E809">
      <w:pPr>
        <w:jc w:val="center"/>
        <w:rPr>
          <w:rFonts w:eastAsia="仿宋_GB2312"/>
          <w:sz w:val="32"/>
          <w:szCs w:val="22"/>
        </w:rPr>
      </w:pPr>
      <w:r>
        <w:rPr>
          <w:rFonts w:eastAsia="仿宋_GB2312"/>
          <w:sz w:val="32"/>
          <w:szCs w:val="22"/>
        </w:rPr>
        <w:t>表1  红细胞的抗原性</w:t>
      </w:r>
    </w:p>
    <w:tbl>
      <w:tblPr>
        <w:tblStyle w:val="4"/>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1551"/>
        <w:gridCol w:w="1551"/>
        <w:gridCol w:w="1510"/>
        <w:gridCol w:w="1363"/>
      </w:tblGrid>
      <w:tr w14:paraId="0BD0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320" w:type="dxa"/>
            <w:vAlign w:val="center"/>
          </w:tcPr>
          <w:p w14:paraId="2DB91C17">
            <w:pPr>
              <w:jc w:val="center"/>
              <w:rPr>
                <w:rFonts w:ascii="宋体" w:hAnsi="宋体"/>
                <w:bCs/>
                <w:kern w:val="0"/>
                <w:sz w:val="24"/>
                <w:lang w:val="zh-CN"/>
              </w:rPr>
            </w:pPr>
            <w:r>
              <w:rPr>
                <w:rFonts w:hint="eastAsia" w:ascii="宋体" w:hAnsi="宋体"/>
                <w:bCs/>
                <w:kern w:val="0"/>
                <w:sz w:val="24"/>
                <w:lang w:val="zh-CN"/>
              </w:rPr>
              <w:t>抗体</w:t>
            </w:r>
          </w:p>
        </w:tc>
        <w:tc>
          <w:tcPr>
            <w:tcW w:w="0" w:type="auto"/>
          </w:tcPr>
          <w:p w14:paraId="77525A7D">
            <w:pPr>
              <w:spacing w:line="360" w:lineRule="auto"/>
              <w:jc w:val="center"/>
              <w:rPr>
                <w:rFonts w:ascii="宋体" w:hAnsi="宋体"/>
                <w:sz w:val="24"/>
              </w:rPr>
            </w:pPr>
            <w:r>
              <w:rPr>
                <w:rFonts w:hint="eastAsia" w:ascii="宋体" w:hAnsi="宋体"/>
                <w:sz w:val="24"/>
              </w:rPr>
              <w:t>A</w:t>
            </w:r>
            <w:r>
              <w:rPr>
                <w:rFonts w:hint="eastAsia" w:ascii="宋体" w:hAnsi="宋体"/>
                <w:sz w:val="24"/>
                <w:vertAlign w:val="subscript"/>
              </w:rPr>
              <w:t>1</w:t>
            </w:r>
            <w:r>
              <w:rPr>
                <w:rFonts w:hint="eastAsia" w:ascii="宋体" w:hAnsi="宋体"/>
                <w:sz w:val="24"/>
              </w:rPr>
              <w:t>型试剂</w:t>
            </w:r>
          </w:p>
          <w:p w14:paraId="24A1FE43">
            <w:pPr>
              <w:jc w:val="center"/>
              <w:rPr>
                <w:rFonts w:ascii="宋体" w:hAnsi="宋体"/>
                <w:bCs/>
                <w:kern w:val="0"/>
                <w:sz w:val="24"/>
                <w:lang w:val="zh-CN"/>
              </w:rPr>
            </w:pPr>
            <w:r>
              <w:rPr>
                <w:rFonts w:hint="eastAsia" w:ascii="宋体" w:hAnsi="宋体"/>
                <w:sz w:val="24"/>
              </w:rPr>
              <w:t>红细胞</w:t>
            </w:r>
          </w:p>
        </w:tc>
        <w:tc>
          <w:tcPr>
            <w:tcW w:w="0" w:type="auto"/>
          </w:tcPr>
          <w:p w14:paraId="3D7F3504">
            <w:pPr>
              <w:spacing w:line="360" w:lineRule="auto"/>
              <w:jc w:val="center"/>
              <w:rPr>
                <w:rFonts w:ascii="宋体" w:hAnsi="宋体"/>
                <w:sz w:val="24"/>
              </w:rPr>
            </w:pPr>
            <w:r>
              <w:rPr>
                <w:rFonts w:hint="eastAsia" w:ascii="宋体" w:hAnsi="宋体"/>
                <w:sz w:val="24"/>
              </w:rPr>
              <w:t>A</w:t>
            </w:r>
            <w:r>
              <w:rPr>
                <w:rFonts w:hint="eastAsia" w:ascii="宋体" w:hAnsi="宋体"/>
                <w:sz w:val="24"/>
                <w:vertAlign w:val="subscript"/>
              </w:rPr>
              <w:t>2</w:t>
            </w:r>
            <w:r>
              <w:rPr>
                <w:rFonts w:hint="eastAsia" w:ascii="宋体" w:hAnsi="宋体"/>
                <w:sz w:val="24"/>
              </w:rPr>
              <w:t>型试剂</w:t>
            </w:r>
          </w:p>
          <w:p w14:paraId="14B3FE84">
            <w:pPr>
              <w:jc w:val="center"/>
              <w:rPr>
                <w:rFonts w:ascii="宋体" w:hAnsi="宋体"/>
                <w:bCs/>
                <w:kern w:val="0"/>
                <w:sz w:val="24"/>
                <w:lang w:val="zh-CN"/>
              </w:rPr>
            </w:pPr>
            <w:r>
              <w:rPr>
                <w:rFonts w:hint="eastAsia" w:ascii="宋体" w:hAnsi="宋体"/>
                <w:sz w:val="24"/>
              </w:rPr>
              <w:t>红细胞</w:t>
            </w:r>
          </w:p>
        </w:tc>
        <w:tc>
          <w:tcPr>
            <w:tcW w:w="0" w:type="auto"/>
          </w:tcPr>
          <w:p w14:paraId="0820A321">
            <w:pPr>
              <w:spacing w:line="360" w:lineRule="auto"/>
              <w:jc w:val="center"/>
              <w:rPr>
                <w:rFonts w:ascii="宋体" w:hAnsi="宋体"/>
                <w:sz w:val="24"/>
              </w:rPr>
            </w:pPr>
            <w:r>
              <w:rPr>
                <w:rFonts w:hint="eastAsia" w:ascii="宋体" w:hAnsi="宋体"/>
                <w:sz w:val="24"/>
              </w:rPr>
              <w:t>B型试剂</w:t>
            </w:r>
          </w:p>
          <w:p w14:paraId="08485776">
            <w:pPr>
              <w:jc w:val="center"/>
              <w:rPr>
                <w:rFonts w:ascii="宋体" w:hAnsi="宋体"/>
                <w:bCs/>
                <w:kern w:val="0"/>
                <w:sz w:val="24"/>
                <w:lang w:val="zh-CN"/>
              </w:rPr>
            </w:pPr>
            <w:r>
              <w:rPr>
                <w:rFonts w:hint="eastAsia" w:ascii="宋体" w:hAnsi="宋体"/>
                <w:sz w:val="24"/>
              </w:rPr>
              <w:t>红细胞</w:t>
            </w:r>
          </w:p>
        </w:tc>
        <w:tc>
          <w:tcPr>
            <w:tcW w:w="1363" w:type="dxa"/>
          </w:tcPr>
          <w:p w14:paraId="3BDE0531">
            <w:pPr>
              <w:spacing w:line="360" w:lineRule="auto"/>
              <w:jc w:val="center"/>
              <w:rPr>
                <w:rFonts w:ascii="宋体" w:hAnsi="宋体"/>
                <w:sz w:val="24"/>
              </w:rPr>
            </w:pPr>
            <w:r>
              <w:rPr>
                <w:rFonts w:hint="eastAsia" w:ascii="宋体" w:hAnsi="宋体"/>
                <w:sz w:val="24"/>
              </w:rPr>
              <w:t>O型试剂</w:t>
            </w:r>
          </w:p>
          <w:p w14:paraId="4202A080">
            <w:pPr>
              <w:jc w:val="center"/>
              <w:rPr>
                <w:rFonts w:ascii="宋体" w:hAnsi="宋体"/>
                <w:bCs/>
                <w:kern w:val="0"/>
                <w:sz w:val="24"/>
                <w:lang w:val="zh-CN"/>
              </w:rPr>
            </w:pPr>
            <w:r>
              <w:rPr>
                <w:rFonts w:hint="eastAsia" w:ascii="宋体" w:hAnsi="宋体"/>
                <w:sz w:val="24"/>
              </w:rPr>
              <w:t>红细胞</w:t>
            </w:r>
          </w:p>
        </w:tc>
      </w:tr>
      <w:tr w14:paraId="7224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320" w:type="dxa"/>
          </w:tcPr>
          <w:p w14:paraId="71AB928C">
            <w:pPr>
              <w:spacing w:line="360" w:lineRule="auto"/>
              <w:jc w:val="center"/>
              <w:rPr>
                <w:rFonts w:ascii="宋体" w:hAnsi="宋体"/>
                <w:kern w:val="0"/>
                <w:sz w:val="24"/>
                <w:lang w:val="zh-CN"/>
              </w:rPr>
            </w:pPr>
            <w:r>
              <w:rPr>
                <w:rFonts w:hint="eastAsia" w:ascii="宋体" w:hAnsi="宋体"/>
                <w:kern w:val="0"/>
                <w:sz w:val="24"/>
                <w:lang w:val="zh-CN"/>
              </w:rPr>
              <w:t>抗</w:t>
            </w:r>
            <w:r>
              <w:rPr>
                <w:rFonts w:ascii="宋体" w:hAnsi="宋体"/>
                <w:kern w:val="0"/>
                <w:sz w:val="24"/>
                <w:lang w:val="zh-CN"/>
              </w:rPr>
              <w:t>A</w:t>
            </w:r>
          </w:p>
        </w:tc>
        <w:tc>
          <w:tcPr>
            <w:tcW w:w="0" w:type="auto"/>
          </w:tcPr>
          <w:p w14:paraId="461270AF">
            <w:pPr>
              <w:spacing w:line="360" w:lineRule="auto"/>
              <w:ind w:firstLine="480" w:firstLineChars="200"/>
              <w:jc w:val="left"/>
              <w:rPr>
                <w:rFonts w:ascii="宋体" w:hAnsi="宋体"/>
                <w:kern w:val="0"/>
                <w:sz w:val="24"/>
                <w:lang w:val="zh-CN"/>
              </w:rPr>
            </w:pPr>
            <w:r>
              <w:rPr>
                <w:rFonts w:hint="eastAsia" w:ascii="宋体" w:hAnsi="宋体"/>
                <w:kern w:val="0"/>
                <w:sz w:val="24"/>
                <w:lang w:val="zh-CN"/>
              </w:rPr>
              <w:t>4+</w:t>
            </w:r>
          </w:p>
        </w:tc>
        <w:tc>
          <w:tcPr>
            <w:tcW w:w="0" w:type="auto"/>
          </w:tcPr>
          <w:p w14:paraId="0BA980D4">
            <w:pPr>
              <w:spacing w:line="360" w:lineRule="auto"/>
              <w:ind w:firstLine="480" w:firstLineChars="200"/>
              <w:jc w:val="left"/>
              <w:rPr>
                <w:rFonts w:ascii="宋体" w:hAnsi="宋体"/>
                <w:kern w:val="0"/>
                <w:sz w:val="24"/>
                <w:lang w:val="zh-CN"/>
              </w:rPr>
            </w:pPr>
            <w:r>
              <w:rPr>
                <w:rFonts w:hint="eastAsia" w:ascii="宋体" w:hAnsi="宋体"/>
                <w:kern w:val="0"/>
                <w:sz w:val="24"/>
                <w:lang w:val="zh-CN"/>
              </w:rPr>
              <w:t>4+</w:t>
            </w:r>
          </w:p>
        </w:tc>
        <w:tc>
          <w:tcPr>
            <w:tcW w:w="0" w:type="auto"/>
          </w:tcPr>
          <w:p w14:paraId="07396C36">
            <w:pPr>
              <w:spacing w:line="360" w:lineRule="auto"/>
              <w:ind w:firstLine="480" w:firstLineChars="200"/>
              <w:jc w:val="left"/>
              <w:rPr>
                <w:rFonts w:ascii="宋体" w:hAnsi="宋体"/>
                <w:kern w:val="0"/>
                <w:sz w:val="24"/>
                <w:lang w:val="zh-CN"/>
              </w:rPr>
            </w:pPr>
            <w:r>
              <w:rPr>
                <w:rFonts w:hint="eastAsia" w:ascii="宋体" w:hAnsi="宋体"/>
                <w:kern w:val="0"/>
                <w:sz w:val="24"/>
                <w:lang w:val="zh-CN"/>
              </w:rPr>
              <w:t>—</w:t>
            </w:r>
          </w:p>
        </w:tc>
        <w:tc>
          <w:tcPr>
            <w:tcW w:w="1363" w:type="dxa"/>
          </w:tcPr>
          <w:p w14:paraId="4C11ADE1">
            <w:pPr>
              <w:spacing w:line="360" w:lineRule="auto"/>
              <w:ind w:firstLine="480" w:firstLineChars="200"/>
              <w:jc w:val="left"/>
              <w:rPr>
                <w:rFonts w:ascii="宋体" w:hAnsi="宋体"/>
                <w:kern w:val="0"/>
                <w:sz w:val="24"/>
                <w:lang w:val="zh-CN"/>
              </w:rPr>
            </w:pPr>
            <w:r>
              <w:rPr>
                <w:rFonts w:hint="eastAsia" w:ascii="宋体" w:hAnsi="宋体"/>
                <w:kern w:val="0"/>
                <w:sz w:val="24"/>
                <w:lang w:val="zh-CN"/>
              </w:rPr>
              <w:t>—</w:t>
            </w:r>
          </w:p>
        </w:tc>
      </w:tr>
      <w:tr w14:paraId="1A19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20" w:type="dxa"/>
          </w:tcPr>
          <w:p w14:paraId="3E0BD224">
            <w:pPr>
              <w:spacing w:line="360" w:lineRule="auto"/>
              <w:jc w:val="center"/>
              <w:rPr>
                <w:rFonts w:ascii="宋体" w:hAnsi="宋体"/>
                <w:kern w:val="0"/>
                <w:sz w:val="24"/>
                <w:lang w:val="zh-CN"/>
              </w:rPr>
            </w:pPr>
            <w:r>
              <w:rPr>
                <w:rFonts w:hint="eastAsia" w:ascii="宋体" w:hAnsi="宋体"/>
                <w:kern w:val="0"/>
                <w:sz w:val="24"/>
                <w:lang w:val="zh-CN"/>
              </w:rPr>
              <w:t>抗</w:t>
            </w:r>
            <w:r>
              <w:rPr>
                <w:rFonts w:ascii="宋体" w:hAnsi="宋体"/>
                <w:kern w:val="0"/>
                <w:sz w:val="24"/>
                <w:lang w:val="zh-CN"/>
              </w:rPr>
              <w:t>A</w:t>
            </w:r>
            <w:r>
              <w:rPr>
                <w:rFonts w:ascii="宋体" w:hAnsi="宋体"/>
                <w:kern w:val="0"/>
                <w:sz w:val="24"/>
                <w:vertAlign w:val="subscript"/>
                <w:lang w:val="zh-CN"/>
              </w:rPr>
              <w:t>1</w:t>
            </w:r>
          </w:p>
        </w:tc>
        <w:tc>
          <w:tcPr>
            <w:tcW w:w="0" w:type="auto"/>
          </w:tcPr>
          <w:p w14:paraId="23E28EEB">
            <w:pPr>
              <w:spacing w:line="360" w:lineRule="auto"/>
              <w:ind w:firstLine="480" w:firstLineChars="200"/>
              <w:jc w:val="left"/>
              <w:rPr>
                <w:rFonts w:ascii="宋体" w:hAnsi="宋体"/>
                <w:kern w:val="0"/>
                <w:sz w:val="24"/>
                <w:lang w:val="zh-CN"/>
              </w:rPr>
            </w:pPr>
            <w:r>
              <w:rPr>
                <w:rFonts w:hint="eastAsia" w:ascii="宋体" w:hAnsi="宋体"/>
                <w:kern w:val="0"/>
                <w:sz w:val="24"/>
                <w:lang w:val="zh-CN"/>
              </w:rPr>
              <w:t>4+</w:t>
            </w:r>
          </w:p>
        </w:tc>
        <w:tc>
          <w:tcPr>
            <w:tcW w:w="0" w:type="auto"/>
          </w:tcPr>
          <w:p w14:paraId="27E908ED">
            <w:pPr>
              <w:spacing w:line="360" w:lineRule="auto"/>
              <w:ind w:firstLine="480" w:firstLineChars="200"/>
              <w:jc w:val="left"/>
              <w:rPr>
                <w:rFonts w:ascii="宋体" w:hAnsi="宋体"/>
                <w:kern w:val="0"/>
                <w:sz w:val="24"/>
                <w:lang w:val="zh-CN"/>
              </w:rPr>
            </w:pPr>
            <w:r>
              <w:rPr>
                <w:rFonts w:hint="eastAsia" w:ascii="宋体" w:hAnsi="宋体"/>
                <w:kern w:val="0"/>
                <w:sz w:val="24"/>
                <w:lang w:val="zh-CN"/>
              </w:rPr>
              <w:t>—</w:t>
            </w:r>
          </w:p>
        </w:tc>
        <w:tc>
          <w:tcPr>
            <w:tcW w:w="0" w:type="auto"/>
          </w:tcPr>
          <w:p w14:paraId="6E824854">
            <w:pPr>
              <w:spacing w:line="360" w:lineRule="auto"/>
              <w:ind w:firstLine="480" w:firstLineChars="200"/>
              <w:jc w:val="left"/>
              <w:rPr>
                <w:rFonts w:ascii="宋体" w:hAnsi="宋体"/>
                <w:kern w:val="0"/>
                <w:sz w:val="24"/>
                <w:lang w:val="zh-CN"/>
              </w:rPr>
            </w:pPr>
            <w:r>
              <w:rPr>
                <w:rFonts w:hint="eastAsia" w:ascii="宋体" w:hAnsi="宋体"/>
                <w:kern w:val="0"/>
                <w:sz w:val="24"/>
                <w:lang w:val="zh-CN"/>
              </w:rPr>
              <w:t>—</w:t>
            </w:r>
          </w:p>
        </w:tc>
        <w:tc>
          <w:tcPr>
            <w:tcW w:w="1363" w:type="dxa"/>
          </w:tcPr>
          <w:p w14:paraId="3EFA3F2D">
            <w:pPr>
              <w:spacing w:line="360" w:lineRule="auto"/>
              <w:ind w:firstLine="480" w:firstLineChars="200"/>
              <w:jc w:val="left"/>
              <w:rPr>
                <w:rFonts w:ascii="宋体" w:hAnsi="宋体"/>
                <w:kern w:val="0"/>
                <w:sz w:val="24"/>
                <w:lang w:val="zh-CN"/>
              </w:rPr>
            </w:pPr>
            <w:r>
              <w:rPr>
                <w:rFonts w:hint="eastAsia" w:ascii="宋体" w:hAnsi="宋体"/>
                <w:kern w:val="0"/>
                <w:sz w:val="24"/>
                <w:lang w:val="zh-CN"/>
              </w:rPr>
              <w:t>—</w:t>
            </w:r>
          </w:p>
        </w:tc>
      </w:tr>
      <w:tr w14:paraId="172B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20" w:type="dxa"/>
          </w:tcPr>
          <w:p w14:paraId="461AB4C6">
            <w:pPr>
              <w:spacing w:line="360" w:lineRule="auto"/>
              <w:jc w:val="center"/>
              <w:rPr>
                <w:rFonts w:ascii="宋体" w:hAnsi="宋体"/>
                <w:kern w:val="0"/>
                <w:sz w:val="24"/>
                <w:lang w:val="zh-CN"/>
              </w:rPr>
            </w:pPr>
            <w:r>
              <w:rPr>
                <w:rFonts w:hint="eastAsia" w:ascii="宋体" w:hAnsi="宋体"/>
                <w:kern w:val="0"/>
                <w:sz w:val="24"/>
                <w:lang w:val="zh-CN"/>
              </w:rPr>
              <w:t>抗</w:t>
            </w:r>
            <w:r>
              <w:rPr>
                <w:rFonts w:ascii="宋体" w:hAnsi="宋体"/>
                <w:kern w:val="0"/>
                <w:sz w:val="24"/>
                <w:lang w:val="zh-CN"/>
              </w:rPr>
              <w:t>B</w:t>
            </w:r>
          </w:p>
        </w:tc>
        <w:tc>
          <w:tcPr>
            <w:tcW w:w="0" w:type="auto"/>
          </w:tcPr>
          <w:p w14:paraId="6C026AFD">
            <w:pPr>
              <w:spacing w:line="360" w:lineRule="auto"/>
              <w:ind w:firstLine="480" w:firstLineChars="200"/>
              <w:jc w:val="left"/>
              <w:rPr>
                <w:rFonts w:ascii="宋体" w:hAnsi="宋体"/>
                <w:kern w:val="0"/>
                <w:sz w:val="24"/>
                <w:lang w:val="zh-CN"/>
              </w:rPr>
            </w:pPr>
            <w:r>
              <w:rPr>
                <w:rFonts w:hint="eastAsia" w:ascii="宋体" w:hAnsi="宋体"/>
                <w:kern w:val="0"/>
                <w:sz w:val="24"/>
                <w:lang w:val="zh-CN"/>
              </w:rPr>
              <w:t>—</w:t>
            </w:r>
          </w:p>
        </w:tc>
        <w:tc>
          <w:tcPr>
            <w:tcW w:w="0" w:type="auto"/>
          </w:tcPr>
          <w:p w14:paraId="3F6CC977">
            <w:pPr>
              <w:spacing w:line="360" w:lineRule="auto"/>
              <w:ind w:firstLine="480" w:firstLineChars="200"/>
              <w:jc w:val="left"/>
              <w:rPr>
                <w:rFonts w:ascii="宋体" w:hAnsi="宋体"/>
                <w:kern w:val="0"/>
                <w:sz w:val="24"/>
                <w:lang w:val="zh-CN"/>
              </w:rPr>
            </w:pPr>
            <w:r>
              <w:rPr>
                <w:rFonts w:hint="eastAsia" w:ascii="宋体" w:hAnsi="宋体"/>
                <w:kern w:val="0"/>
                <w:sz w:val="24"/>
                <w:lang w:val="zh-CN"/>
              </w:rPr>
              <w:t>—</w:t>
            </w:r>
          </w:p>
        </w:tc>
        <w:tc>
          <w:tcPr>
            <w:tcW w:w="0" w:type="auto"/>
          </w:tcPr>
          <w:p w14:paraId="2B7AE216">
            <w:pPr>
              <w:spacing w:line="360" w:lineRule="auto"/>
              <w:ind w:firstLine="480" w:firstLineChars="200"/>
              <w:jc w:val="left"/>
              <w:rPr>
                <w:rFonts w:ascii="宋体" w:hAnsi="宋体"/>
                <w:kern w:val="0"/>
                <w:sz w:val="24"/>
                <w:lang w:val="zh-CN"/>
              </w:rPr>
            </w:pPr>
            <w:r>
              <w:rPr>
                <w:rFonts w:hint="eastAsia" w:ascii="宋体" w:hAnsi="宋体"/>
                <w:kern w:val="0"/>
                <w:sz w:val="24"/>
                <w:lang w:val="zh-CN"/>
              </w:rPr>
              <w:t>4+</w:t>
            </w:r>
          </w:p>
        </w:tc>
        <w:tc>
          <w:tcPr>
            <w:tcW w:w="1363" w:type="dxa"/>
          </w:tcPr>
          <w:p w14:paraId="5CBAED63">
            <w:pPr>
              <w:spacing w:line="360" w:lineRule="auto"/>
              <w:ind w:firstLine="480" w:firstLineChars="200"/>
              <w:jc w:val="left"/>
              <w:rPr>
                <w:rFonts w:ascii="宋体" w:hAnsi="宋体"/>
                <w:kern w:val="0"/>
                <w:sz w:val="24"/>
                <w:lang w:val="zh-CN"/>
              </w:rPr>
            </w:pPr>
            <w:r>
              <w:rPr>
                <w:rFonts w:hint="eastAsia" w:ascii="宋体" w:hAnsi="宋体"/>
                <w:kern w:val="0"/>
                <w:sz w:val="24"/>
                <w:lang w:val="zh-CN"/>
              </w:rPr>
              <w:t>—</w:t>
            </w:r>
          </w:p>
        </w:tc>
      </w:tr>
      <w:tr w14:paraId="06CC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20" w:type="dxa"/>
          </w:tcPr>
          <w:p w14:paraId="0C602F43">
            <w:pPr>
              <w:spacing w:line="360" w:lineRule="auto"/>
              <w:jc w:val="center"/>
              <w:rPr>
                <w:rFonts w:ascii="宋体" w:hAnsi="宋体"/>
                <w:kern w:val="0"/>
                <w:sz w:val="24"/>
                <w:lang w:val="zh-CN"/>
              </w:rPr>
            </w:pPr>
            <w:r>
              <w:rPr>
                <w:rFonts w:hint="eastAsia" w:ascii="宋体" w:hAnsi="宋体"/>
                <w:kern w:val="0"/>
                <w:sz w:val="24"/>
                <w:lang w:val="zh-CN"/>
              </w:rPr>
              <w:t>抗</w:t>
            </w:r>
            <w:r>
              <w:rPr>
                <w:rFonts w:ascii="宋体" w:hAnsi="宋体"/>
                <w:kern w:val="0"/>
                <w:sz w:val="24"/>
                <w:lang w:val="zh-CN"/>
              </w:rPr>
              <w:t>H</w:t>
            </w:r>
          </w:p>
        </w:tc>
        <w:tc>
          <w:tcPr>
            <w:tcW w:w="0" w:type="auto"/>
          </w:tcPr>
          <w:p w14:paraId="12BF3517">
            <w:pPr>
              <w:spacing w:line="360" w:lineRule="auto"/>
              <w:ind w:firstLine="480" w:firstLineChars="200"/>
              <w:jc w:val="left"/>
              <w:rPr>
                <w:rFonts w:ascii="宋体" w:hAnsi="宋体"/>
                <w:kern w:val="0"/>
                <w:sz w:val="24"/>
                <w:lang w:val="zh-CN"/>
              </w:rPr>
            </w:pPr>
            <w:r>
              <w:rPr>
                <w:rFonts w:hint="eastAsia" w:ascii="宋体" w:hAnsi="宋体"/>
                <w:kern w:val="0"/>
                <w:sz w:val="24"/>
                <w:lang w:val="zh-CN"/>
              </w:rPr>
              <w:t>-/+</w:t>
            </w:r>
          </w:p>
        </w:tc>
        <w:tc>
          <w:tcPr>
            <w:tcW w:w="0" w:type="auto"/>
          </w:tcPr>
          <w:p w14:paraId="718A1F68">
            <w:pPr>
              <w:spacing w:line="360" w:lineRule="auto"/>
              <w:ind w:firstLine="480" w:firstLineChars="200"/>
              <w:jc w:val="left"/>
              <w:rPr>
                <w:rFonts w:ascii="宋体" w:hAnsi="宋体"/>
                <w:kern w:val="0"/>
                <w:sz w:val="24"/>
                <w:lang w:val="zh-CN"/>
              </w:rPr>
            </w:pPr>
            <w:r>
              <w:rPr>
                <w:rFonts w:hint="eastAsia" w:ascii="宋体" w:hAnsi="宋体"/>
                <w:kern w:val="0"/>
                <w:sz w:val="24"/>
                <w:lang w:val="zh-CN"/>
              </w:rPr>
              <w:t>弱阳</w:t>
            </w:r>
          </w:p>
        </w:tc>
        <w:tc>
          <w:tcPr>
            <w:tcW w:w="0" w:type="auto"/>
          </w:tcPr>
          <w:p w14:paraId="6B160282">
            <w:pPr>
              <w:spacing w:line="360" w:lineRule="auto"/>
              <w:ind w:firstLine="480" w:firstLineChars="200"/>
              <w:jc w:val="left"/>
              <w:rPr>
                <w:rFonts w:ascii="宋体" w:hAnsi="宋体"/>
                <w:kern w:val="0"/>
                <w:sz w:val="24"/>
                <w:lang w:val="zh-CN"/>
              </w:rPr>
            </w:pPr>
            <w:r>
              <w:rPr>
                <w:rFonts w:hint="eastAsia" w:ascii="宋体" w:hAnsi="宋体"/>
                <w:kern w:val="0"/>
                <w:sz w:val="24"/>
                <w:lang w:val="zh-CN"/>
              </w:rPr>
              <w:t>-/+</w:t>
            </w:r>
          </w:p>
        </w:tc>
        <w:tc>
          <w:tcPr>
            <w:tcW w:w="1363" w:type="dxa"/>
          </w:tcPr>
          <w:p w14:paraId="3914DB1B">
            <w:pPr>
              <w:spacing w:line="360" w:lineRule="auto"/>
              <w:ind w:firstLine="480" w:firstLineChars="200"/>
              <w:jc w:val="left"/>
              <w:rPr>
                <w:rFonts w:ascii="宋体" w:hAnsi="宋体"/>
                <w:kern w:val="0"/>
                <w:sz w:val="24"/>
                <w:lang w:val="zh-CN"/>
              </w:rPr>
            </w:pPr>
            <w:r>
              <w:rPr>
                <w:rFonts w:hint="eastAsia" w:ascii="宋体" w:hAnsi="宋体"/>
                <w:kern w:val="0"/>
                <w:sz w:val="24"/>
                <w:lang w:val="zh-CN"/>
              </w:rPr>
              <w:t>较强</w:t>
            </w:r>
          </w:p>
        </w:tc>
      </w:tr>
      <w:tr w14:paraId="7553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20" w:type="dxa"/>
          </w:tcPr>
          <w:p w14:paraId="183F0619">
            <w:pPr>
              <w:spacing w:line="360" w:lineRule="auto"/>
              <w:jc w:val="center"/>
              <w:rPr>
                <w:rFonts w:ascii="宋体" w:hAnsi="宋体"/>
                <w:kern w:val="0"/>
                <w:sz w:val="24"/>
              </w:rPr>
            </w:pPr>
            <w:r>
              <w:rPr>
                <w:rFonts w:hint="eastAsia" w:ascii="宋体" w:hAnsi="宋体"/>
                <w:kern w:val="0"/>
                <w:sz w:val="24"/>
                <w:lang w:val="zh-CN"/>
              </w:rPr>
              <w:t>抗</w:t>
            </w:r>
            <w:r>
              <w:rPr>
                <w:rFonts w:hint="eastAsia" w:ascii="宋体" w:hAnsi="宋体"/>
                <w:sz w:val="24"/>
              </w:rPr>
              <w:t>Rh（</w:t>
            </w:r>
            <w:r>
              <w:rPr>
                <w:rFonts w:ascii="宋体" w:hAnsi="宋体"/>
                <w:sz w:val="24"/>
              </w:rPr>
              <w:t>D</w:t>
            </w:r>
            <w:r>
              <w:rPr>
                <w:rFonts w:hint="eastAsia" w:ascii="宋体" w:hAnsi="宋体"/>
                <w:sz w:val="24"/>
              </w:rPr>
              <w:t>、</w:t>
            </w:r>
            <w:r>
              <w:rPr>
                <w:rFonts w:ascii="宋体" w:hAnsi="宋体"/>
                <w:sz w:val="24"/>
              </w:rPr>
              <w:t>E</w:t>
            </w:r>
            <w:r>
              <w:rPr>
                <w:rFonts w:hint="eastAsia" w:ascii="宋体" w:hAnsi="宋体"/>
                <w:sz w:val="24"/>
              </w:rPr>
              <w:t>、</w:t>
            </w:r>
            <w:r>
              <w:rPr>
                <w:rFonts w:ascii="宋体" w:hAnsi="宋体"/>
                <w:sz w:val="24"/>
              </w:rPr>
              <w:t>C</w:t>
            </w:r>
            <w:r>
              <w:rPr>
                <w:rFonts w:hint="eastAsia" w:ascii="宋体" w:hAnsi="宋体"/>
                <w:sz w:val="24"/>
              </w:rPr>
              <w:t>）</w:t>
            </w:r>
          </w:p>
        </w:tc>
        <w:tc>
          <w:tcPr>
            <w:tcW w:w="0" w:type="auto"/>
          </w:tcPr>
          <w:p w14:paraId="2A252DA8">
            <w:pPr>
              <w:spacing w:line="360" w:lineRule="auto"/>
              <w:ind w:firstLine="480" w:firstLineChars="200"/>
              <w:jc w:val="left"/>
              <w:rPr>
                <w:rFonts w:ascii="宋体" w:hAnsi="宋体"/>
                <w:kern w:val="0"/>
                <w:sz w:val="24"/>
                <w:lang w:val="zh-CN"/>
              </w:rPr>
            </w:pPr>
            <w:r>
              <w:rPr>
                <w:rFonts w:hint="eastAsia" w:ascii="宋体" w:hAnsi="宋体"/>
                <w:kern w:val="0"/>
                <w:sz w:val="24"/>
                <w:lang w:val="zh-CN"/>
              </w:rPr>
              <w:t>-/+</w:t>
            </w:r>
          </w:p>
        </w:tc>
        <w:tc>
          <w:tcPr>
            <w:tcW w:w="0" w:type="auto"/>
          </w:tcPr>
          <w:p w14:paraId="63CFBD9C">
            <w:pPr>
              <w:spacing w:line="360" w:lineRule="auto"/>
              <w:ind w:firstLine="480" w:firstLineChars="200"/>
              <w:jc w:val="left"/>
              <w:rPr>
                <w:rFonts w:ascii="宋体" w:hAnsi="宋体"/>
                <w:kern w:val="0"/>
                <w:sz w:val="24"/>
                <w:lang w:val="zh-CN"/>
              </w:rPr>
            </w:pPr>
            <w:r>
              <w:rPr>
                <w:rFonts w:hint="eastAsia" w:ascii="宋体" w:hAnsi="宋体"/>
                <w:kern w:val="0"/>
                <w:sz w:val="24"/>
                <w:lang w:val="zh-CN"/>
              </w:rPr>
              <w:t>-/+</w:t>
            </w:r>
          </w:p>
        </w:tc>
        <w:tc>
          <w:tcPr>
            <w:tcW w:w="0" w:type="auto"/>
          </w:tcPr>
          <w:p w14:paraId="2D909E6D">
            <w:pPr>
              <w:spacing w:line="360" w:lineRule="auto"/>
              <w:ind w:firstLine="480" w:firstLineChars="200"/>
              <w:jc w:val="left"/>
              <w:rPr>
                <w:rFonts w:ascii="宋体" w:hAnsi="宋体"/>
                <w:kern w:val="0"/>
                <w:sz w:val="24"/>
                <w:lang w:val="zh-CN"/>
              </w:rPr>
            </w:pPr>
            <w:r>
              <w:rPr>
                <w:rFonts w:hint="eastAsia" w:ascii="宋体" w:hAnsi="宋体"/>
                <w:kern w:val="0"/>
                <w:sz w:val="24"/>
                <w:lang w:val="zh-CN"/>
              </w:rPr>
              <w:t>-/+</w:t>
            </w:r>
          </w:p>
        </w:tc>
        <w:tc>
          <w:tcPr>
            <w:tcW w:w="1363" w:type="dxa"/>
          </w:tcPr>
          <w:p w14:paraId="01FE267C">
            <w:pPr>
              <w:spacing w:line="360" w:lineRule="auto"/>
              <w:ind w:firstLine="480" w:firstLineChars="200"/>
              <w:jc w:val="left"/>
              <w:rPr>
                <w:rFonts w:ascii="宋体" w:hAnsi="宋体"/>
                <w:kern w:val="0"/>
                <w:sz w:val="24"/>
                <w:lang w:val="zh-CN"/>
              </w:rPr>
            </w:pPr>
            <w:r>
              <w:rPr>
                <w:rFonts w:hint="eastAsia" w:ascii="宋体" w:hAnsi="宋体"/>
                <w:kern w:val="0"/>
                <w:sz w:val="24"/>
                <w:lang w:val="zh-CN"/>
              </w:rPr>
              <w:t>4+</w:t>
            </w:r>
          </w:p>
        </w:tc>
      </w:tr>
    </w:tbl>
    <w:p w14:paraId="4BDE38EB">
      <w:pPr>
        <w:spacing w:line="480" w:lineRule="exact"/>
        <w:ind w:firstLine="640" w:firstLineChars="200"/>
        <w:rPr>
          <w:rFonts w:eastAsia="仿宋_GB2312"/>
          <w:sz w:val="32"/>
          <w:szCs w:val="32"/>
        </w:rPr>
      </w:pPr>
      <w:r>
        <w:rPr>
          <w:rFonts w:eastAsia="仿宋_GB2312"/>
          <w:sz w:val="32"/>
          <w:szCs w:val="32"/>
        </w:rPr>
        <w:t>2.红细胞的抗原强度：红细胞的抗原强度应不低于表2要求。</w:t>
      </w:r>
    </w:p>
    <w:p w14:paraId="669DA110">
      <w:pPr>
        <w:spacing w:line="480" w:lineRule="exact"/>
        <w:jc w:val="center"/>
        <w:rPr>
          <w:rFonts w:eastAsia="仿宋_GB2312"/>
          <w:sz w:val="32"/>
          <w:szCs w:val="22"/>
        </w:rPr>
      </w:pPr>
      <w:r>
        <w:rPr>
          <w:rFonts w:eastAsia="仿宋_GB2312"/>
          <w:sz w:val="32"/>
          <w:szCs w:val="22"/>
        </w:rPr>
        <w:t>表2 红细胞的抗原强度（效价）</w:t>
      </w:r>
    </w:p>
    <w:tbl>
      <w:tblPr>
        <w:tblStyle w:val="4"/>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1559"/>
        <w:gridCol w:w="2410"/>
        <w:gridCol w:w="2255"/>
      </w:tblGrid>
      <w:tr w14:paraId="6566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6" w:type="dxa"/>
            <w:vAlign w:val="center"/>
          </w:tcPr>
          <w:p w14:paraId="681E3310">
            <w:pPr>
              <w:wordWrap w:val="0"/>
              <w:spacing w:line="300" w:lineRule="exact"/>
              <w:jc w:val="center"/>
              <w:rPr>
                <w:rFonts w:ascii="宋体" w:hAnsi="宋体"/>
                <w:kern w:val="0"/>
                <w:sz w:val="24"/>
                <w:lang w:val="zh-CN"/>
              </w:rPr>
            </w:pPr>
            <w:r>
              <w:rPr>
                <w:rFonts w:hint="eastAsia" w:ascii="宋体" w:hAnsi="宋体"/>
                <w:kern w:val="0"/>
                <w:sz w:val="24"/>
                <w:lang w:val="zh-CN"/>
              </w:rPr>
              <w:t>抗体</w:t>
            </w:r>
          </w:p>
        </w:tc>
        <w:tc>
          <w:tcPr>
            <w:tcW w:w="1559" w:type="dxa"/>
            <w:vAlign w:val="center"/>
          </w:tcPr>
          <w:p w14:paraId="028C95B6">
            <w:pPr>
              <w:wordWrap w:val="0"/>
              <w:spacing w:line="300" w:lineRule="exact"/>
              <w:jc w:val="center"/>
              <w:rPr>
                <w:rFonts w:ascii="宋体" w:hAnsi="宋体"/>
                <w:kern w:val="0"/>
                <w:sz w:val="24"/>
                <w:lang w:val="zh-CN"/>
              </w:rPr>
            </w:pPr>
            <w:r>
              <w:rPr>
                <w:rFonts w:hint="eastAsia" w:ascii="宋体" w:hAnsi="宋体"/>
                <w:kern w:val="0"/>
                <w:sz w:val="24"/>
                <w:lang w:val="zh-CN"/>
              </w:rPr>
              <w:t>试剂红细胞</w:t>
            </w:r>
          </w:p>
        </w:tc>
        <w:tc>
          <w:tcPr>
            <w:tcW w:w="2410" w:type="dxa"/>
            <w:vAlign w:val="center"/>
          </w:tcPr>
          <w:p w14:paraId="2EFC7431">
            <w:pPr>
              <w:wordWrap w:val="0"/>
              <w:spacing w:line="300" w:lineRule="exact"/>
              <w:jc w:val="center"/>
              <w:rPr>
                <w:rFonts w:ascii="宋体" w:hAnsi="宋体"/>
                <w:kern w:val="0"/>
                <w:sz w:val="24"/>
                <w:lang w:val="zh-CN"/>
              </w:rPr>
            </w:pPr>
            <w:r>
              <w:rPr>
                <w:rFonts w:hint="eastAsia" w:ascii="宋体" w:hAnsi="宋体"/>
                <w:kern w:val="0"/>
                <w:sz w:val="24"/>
                <w:lang w:val="zh-CN"/>
              </w:rPr>
              <w:t>凝集强度≥3+抗血清最高稀释度</w:t>
            </w:r>
          </w:p>
        </w:tc>
        <w:tc>
          <w:tcPr>
            <w:tcW w:w="2255" w:type="dxa"/>
            <w:vAlign w:val="center"/>
          </w:tcPr>
          <w:p w14:paraId="27125B5D">
            <w:pPr>
              <w:wordWrap w:val="0"/>
              <w:spacing w:line="300" w:lineRule="exact"/>
              <w:jc w:val="center"/>
              <w:rPr>
                <w:rFonts w:ascii="宋体" w:hAnsi="宋体"/>
                <w:kern w:val="0"/>
                <w:sz w:val="24"/>
                <w:lang w:val="zh-CN"/>
              </w:rPr>
            </w:pPr>
            <w:r>
              <w:rPr>
                <w:rFonts w:hint="eastAsia" w:ascii="宋体" w:hAnsi="宋体"/>
                <w:kern w:val="0"/>
                <w:sz w:val="24"/>
                <w:lang w:val="zh-CN"/>
              </w:rPr>
              <w:t>凝集强度≥1+抗血清最高稀释度</w:t>
            </w:r>
          </w:p>
        </w:tc>
      </w:tr>
      <w:tr w14:paraId="7B1B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6" w:type="dxa"/>
            <w:vAlign w:val="center"/>
          </w:tcPr>
          <w:p w14:paraId="23F82CF7">
            <w:pPr>
              <w:wordWrap w:val="0"/>
              <w:topLinePunct/>
              <w:spacing w:line="300" w:lineRule="exact"/>
              <w:jc w:val="center"/>
              <w:rPr>
                <w:sz w:val="24"/>
              </w:rPr>
            </w:pPr>
            <w:r>
              <w:rPr>
                <w:rFonts w:hint="eastAsia"/>
                <w:sz w:val="24"/>
              </w:rPr>
              <w:t>抗A（效价在1:256～1:512之间）</w:t>
            </w:r>
          </w:p>
        </w:tc>
        <w:tc>
          <w:tcPr>
            <w:tcW w:w="1559" w:type="dxa"/>
            <w:vAlign w:val="center"/>
          </w:tcPr>
          <w:p w14:paraId="67B0F755">
            <w:pPr>
              <w:wordWrap w:val="0"/>
              <w:spacing w:line="300" w:lineRule="exact"/>
              <w:jc w:val="center"/>
              <w:rPr>
                <w:rFonts w:ascii="宋体" w:hAnsi="宋体"/>
                <w:kern w:val="0"/>
                <w:sz w:val="24"/>
                <w:lang w:val="zh-CN"/>
              </w:rPr>
            </w:pPr>
            <w:r>
              <w:rPr>
                <w:rFonts w:hint="eastAsia" w:ascii="宋体" w:hAnsi="宋体"/>
                <w:kern w:val="0"/>
                <w:sz w:val="24"/>
                <w:lang w:val="zh-CN"/>
              </w:rPr>
              <w:t>A</w:t>
            </w:r>
            <w:r>
              <w:rPr>
                <w:rFonts w:hint="eastAsia" w:ascii="宋体" w:hAnsi="宋体"/>
                <w:kern w:val="0"/>
                <w:sz w:val="24"/>
                <w:vertAlign w:val="subscript"/>
                <w:lang w:val="zh-CN"/>
              </w:rPr>
              <w:t>1</w:t>
            </w:r>
          </w:p>
        </w:tc>
        <w:tc>
          <w:tcPr>
            <w:tcW w:w="2410" w:type="dxa"/>
            <w:vAlign w:val="center"/>
          </w:tcPr>
          <w:p w14:paraId="3536D2E3">
            <w:pPr>
              <w:wordWrap w:val="0"/>
              <w:spacing w:line="300" w:lineRule="exact"/>
              <w:jc w:val="center"/>
              <w:rPr>
                <w:rFonts w:ascii="宋体" w:hAnsi="宋体"/>
                <w:kern w:val="0"/>
                <w:sz w:val="24"/>
                <w:lang w:val="zh-CN"/>
              </w:rPr>
            </w:pPr>
            <w:r>
              <w:rPr>
                <w:rFonts w:hint="eastAsia" w:ascii="宋体" w:hAnsi="宋体"/>
                <w:kern w:val="0"/>
                <w:sz w:val="24"/>
                <w:lang w:val="zh-CN"/>
              </w:rPr>
              <w:t>≥1:8</w:t>
            </w:r>
          </w:p>
        </w:tc>
        <w:tc>
          <w:tcPr>
            <w:tcW w:w="2255" w:type="dxa"/>
            <w:vAlign w:val="center"/>
          </w:tcPr>
          <w:p w14:paraId="3E5300C4">
            <w:pPr>
              <w:wordWrap w:val="0"/>
              <w:spacing w:line="300" w:lineRule="exact"/>
              <w:jc w:val="center"/>
              <w:rPr>
                <w:rFonts w:ascii="宋体" w:hAnsi="宋体"/>
                <w:kern w:val="0"/>
                <w:sz w:val="24"/>
                <w:lang w:val="zh-CN"/>
              </w:rPr>
            </w:pPr>
            <w:r>
              <w:rPr>
                <w:rFonts w:hint="eastAsia" w:ascii="宋体" w:hAnsi="宋体"/>
                <w:kern w:val="0"/>
                <w:sz w:val="24"/>
                <w:lang w:val="zh-CN"/>
              </w:rPr>
              <w:t>≥1:64</w:t>
            </w:r>
          </w:p>
        </w:tc>
      </w:tr>
      <w:tr w14:paraId="6C75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6" w:type="dxa"/>
            <w:vAlign w:val="center"/>
          </w:tcPr>
          <w:p w14:paraId="14FA06DE">
            <w:pPr>
              <w:wordWrap w:val="0"/>
              <w:topLinePunct/>
              <w:spacing w:line="300" w:lineRule="exact"/>
              <w:jc w:val="center"/>
              <w:rPr>
                <w:sz w:val="24"/>
              </w:rPr>
            </w:pPr>
            <w:r>
              <w:rPr>
                <w:rFonts w:hint="eastAsia"/>
                <w:sz w:val="24"/>
              </w:rPr>
              <w:t>抗A（效价在1:256～1:512之间）</w:t>
            </w:r>
          </w:p>
        </w:tc>
        <w:tc>
          <w:tcPr>
            <w:tcW w:w="1559" w:type="dxa"/>
            <w:vAlign w:val="center"/>
          </w:tcPr>
          <w:p w14:paraId="58E8F1FB">
            <w:pPr>
              <w:wordWrap w:val="0"/>
              <w:spacing w:line="300" w:lineRule="exact"/>
              <w:jc w:val="center"/>
              <w:rPr>
                <w:rFonts w:ascii="宋体" w:hAnsi="宋体"/>
                <w:kern w:val="0"/>
                <w:sz w:val="24"/>
                <w:lang w:val="zh-CN"/>
              </w:rPr>
            </w:pPr>
            <w:r>
              <w:rPr>
                <w:rFonts w:hint="eastAsia" w:ascii="宋体" w:hAnsi="宋体"/>
                <w:kern w:val="0"/>
                <w:sz w:val="24"/>
                <w:lang w:val="zh-CN"/>
              </w:rPr>
              <w:t>A</w:t>
            </w:r>
            <w:r>
              <w:rPr>
                <w:rFonts w:hint="eastAsia" w:ascii="宋体" w:hAnsi="宋体"/>
                <w:kern w:val="0"/>
                <w:sz w:val="24"/>
                <w:vertAlign w:val="subscript"/>
                <w:lang w:val="zh-CN"/>
              </w:rPr>
              <w:t>2</w:t>
            </w:r>
          </w:p>
        </w:tc>
        <w:tc>
          <w:tcPr>
            <w:tcW w:w="2410" w:type="dxa"/>
            <w:vAlign w:val="center"/>
          </w:tcPr>
          <w:p w14:paraId="17563359">
            <w:pPr>
              <w:wordWrap w:val="0"/>
              <w:spacing w:line="300" w:lineRule="exact"/>
              <w:jc w:val="center"/>
              <w:rPr>
                <w:rFonts w:ascii="宋体" w:hAnsi="宋体"/>
                <w:kern w:val="0"/>
                <w:sz w:val="24"/>
                <w:lang w:val="zh-CN"/>
              </w:rPr>
            </w:pPr>
            <w:r>
              <w:rPr>
                <w:rFonts w:hint="eastAsia" w:ascii="宋体" w:hAnsi="宋体"/>
                <w:kern w:val="0"/>
                <w:sz w:val="24"/>
                <w:lang w:val="zh-CN"/>
              </w:rPr>
              <w:t>≥1:8</w:t>
            </w:r>
          </w:p>
        </w:tc>
        <w:tc>
          <w:tcPr>
            <w:tcW w:w="2255" w:type="dxa"/>
            <w:vAlign w:val="center"/>
          </w:tcPr>
          <w:p w14:paraId="6F2E121E">
            <w:pPr>
              <w:wordWrap w:val="0"/>
              <w:spacing w:line="300" w:lineRule="exact"/>
              <w:jc w:val="center"/>
              <w:rPr>
                <w:rFonts w:ascii="宋体" w:hAnsi="宋体"/>
                <w:kern w:val="0"/>
                <w:sz w:val="24"/>
                <w:lang w:val="zh-CN"/>
              </w:rPr>
            </w:pPr>
            <w:r>
              <w:rPr>
                <w:rFonts w:hint="eastAsia" w:ascii="宋体" w:hAnsi="宋体"/>
                <w:kern w:val="0"/>
                <w:sz w:val="24"/>
                <w:lang w:val="zh-CN"/>
              </w:rPr>
              <w:t>≥1:32</w:t>
            </w:r>
          </w:p>
        </w:tc>
      </w:tr>
      <w:tr w14:paraId="30A7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6" w:type="dxa"/>
            <w:vAlign w:val="center"/>
          </w:tcPr>
          <w:p w14:paraId="202AFD2C">
            <w:pPr>
              <w:wordWrap w:val="0"/>
              <w:topLinePunct/>
              <w:spacing w:line="300" w:lineRule="exact"/>
              <w:jc w:val="center"/>
              <w:rPr>
                <w:sz w:val="24"/>
              </w:rPr>
            </w:pPr>
            <w:r>
              <w:rPr>
                <w:rFonts w:hint="eastAsia"/>
                <w:sz w:val="24"/>
              </w:rPr>
              <w:t>抗B（效价在1:256～1:512之间）</w:t>
            </w:r>
          </w:p>
        </w:tc>
        <w:tc>
          <w:tcPr>
            <w:tcW w:w="1559" w:type="dxa"/>
            <w:vAlign w:val="center"/>
          </w:tcPr>
          <w:p w14:paraId="293A112D">
            <w:pPr>
              <w:wordWrap w:val="0"/>
              <w:spacing w:line="300" w:lineRule="exact"/>
              <w:jc w:val="center"/>
              <w:rPr>
                <w:rFonts w:ascii="宋体" w:hAnsi="宋体"/>
                <w:kern w:val="0"/>
                <w:sz w:val="24"/>
                <w:lang w:val="zh-CN"/>
              </w:rPr>
            </w:pPr>
            <w:r>
              <w:rPr>
                <w:rFonts w:hint="eastAsia" w:ascii="宋体" w:hAnsi="宋体"/>
                <w:kern w:val="0"/>
                <w:sz w:val="24"/>
                <w:lang w:val="zh-CN"/>
              </w:rPr>
              <w:t>B</w:t>
            </w:r>
          </w:p>
        </w:tc>
        <w:tc>
          <w:tcPr>
            <w:tcW w:w="2410" w:type="dxa"/>
            <w:vAlign w:val="center"/>
          </w:tcPr>
          <w:p w14:paraId="01D097FC">
            <w:pPr>
              <w:wordWrap w:val="0"/>
              <w:spacing w:line="300" w:lineRule="exact"/>
              <w:jc w:val="center"/>
              <w:rPr>
                <w:rFonts w:ascii="宋体" w:hAnsi="宋体"/>
                <w:kern w:val="0"/>
                <w:sz w:val="24"/>
                <w:lang w:val="zh-CN"/>
              </w:rPr>
            </w:pPr>
            <w:r>
              <w:rPr>
                <w:rFonts w:hint="eastAsia" w:ascii="宋体" w:hAnsi="宋体"/>
                <w:kern w:val="0"/>
                <w:sz w:val="24"/>
                <w:lang w:val="zh-CN"/>
              </w:rPr>
              <w:t>≥1:8</w:t>
            </w:r>
          </w:p>
        </w:tc>
        <w:tc>
          <w:tcPr>
            <w:tcW w:w="2255" w:type="dxa"/>
            <w:vAlign w:val="center"/>
          </w:tcPr>
          <w:p w14:paraId="710E2342">
            <w:pPr>
              <w:wordWrap w:val="0"/>
              <w:spacing w:line="300" w:lineRule="exact"/>
              <w:jc w:val="center"/>
              <w:rPr>
                <w:rFonts w:ascii="宋体" w:hAnsi="宋体"/>
                <w:kern w:val="0"/>
                <w:sz w:val="24"/>
                <w:lang w:val="zh-CN"/>
              </w:rPr>
            </w:pPr>
            <w:r>
              <w:rPr>
                <w:rFonts w:hint="eastAsia" w:ascii="宋体" w:hAnsi="宋体"/>
                <w:kern w:val="0"/>
                <w:sz w:val="24"/>
                <w:lang w:val="zh-CN"/>
              </w:rPr>
              <w:t>≥1:32</w:t>
            </w:r>
          </w:p>
        </w:tc>
      </w:tr>
      <w:tr w14:paraId="63F8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6" w:type="dxa"/>
            <w:vAlign w:val="center"/>
          </w:tcPr>
          <w:p w14:paraId="67A46529">
            <w:pPr>
              <w:wordWrap w:val="0"/>
              <w:topLinePunct/>
              <w:spacing w:line="300" w:lineRule="exact"/>
              <w:jc w:val="center"/>
            </w:pPr>
            <w:r>
              <w:rPr>
                <w:rFonts w:hint="eastAsia"/>
              </w:rPr>
              <w:t>抗H(效价在1:16～1:32之间)</w:t>
            </w:r>
          </w:p>
        </w:tc>
        <w:tc>
          <w:tcPr>
            <w:tcW w:w="1559" w:type="dxa"/>
            <w:vAlign w:val="center"/>
          </w:tcPr>
          <w:p w14:paraId="11EEC4D2">
            <w:pPr>
              <w:wordWrap w:val="0"/>
              <w:spacing w:line="300" w:lineRule="exact"/>
              <w:jc w:val="center"/>
              <w:rPr>
                <w:rFonts w:ascii="宋体" w:hAnsi="宋体"/>
                <w:kern w:val="0"/>
                <w:sz w:val="24"/>
                <w:lang w:val="zh-CN"/>
              </w:rPr>
            </w:pPr>
            <w:r>
              <w:rPr>
                <w:rFonts w:hint="eastAsia" w:ascii="宋体" w:hAnsi="宋体"/>
                <w:kern w:val="0"/>
                <w:sz w:val="24"/>
                <w:lang w:val="zh-CN"/>
              </w:rPr>
              <w:t>O</w:t>
            </w:r>
          </w:p>
        </w:tc>
        <w:tc>
          <w:tcPr>
            <w:tcW w:w="2410" w:type="dxa"/>
            <w:vAlign w:val="center"/>
          </w:tcPr>
          <w:p w14:paraId="053F2A8C">
            <w:pPr>
              <w:wordWrap w:val="0"/>
              <w:spacing w:line="300" w:lineRule="exact"/>
              <w:jc w:val="center"/>
              <w:rPr>
                <w:rFonts w:ascii="宋体" w:hAnsi="宋体"/>
                <w:kern w:val="0"/>
                <w:sz w:val="24"/>
                <w:lang w:val="zh-CN"/>
              </w:rPr>
            </w:pPr>
            <w:r>
              <w:rPr>
                <w:rFonts w:hint="eastAsia" w:ascii="宋体" w:hAnsi="宋体"/>
                <w:kern w:val="0"/>
                <w:sz w:val="24"/>
                <w:lang w:val="zh-CN"/>
              </w:rPr>
              <w:t>≥1</w:t>
            </w:r>
          </w:p>
        </w:tc>
        <w:tc>
          <w:tcPr>
            <w:tcW w:w="2255" w:type="dxa"/>
            <w:vAlign w:val="center"/>
          </w:tcPr>
          <w:p w14:paraId="4091E104">
            <w:pPr>
              <w:wordWrap w:val="0"/>
              <w:spacing w:line="300" w:lineRule="exact"/>
              <w:jc w:val="center"/>
              <w:rPr>
                <w:rFonts w:ascii="宋体" w:hAnsi="宋体"/>
                <w:kern w:val="0"/>
                <w:sz w:val="24"/>
                <w:lang w:val="zh-CN"/>
              </w:rPr>
            </w:pPr>
            <w:r>
              <w:rPr>
                <w:rFonts w:hint="eastAsia" w:ascii="宋体" w:hAnsi="宋体"/>
                <w:kern w:val="0"/>
                <w:sz w:val="24"/>
                <w:lang w:val="zh-CN"/>
              </w:rPr>
              <w:t>≥1:2</w:t>
            </w:r>
          </w:p>
        </w:tc>
      </w:tr>
    </w:tbl>
    <w:p w14:paraId="376786DB">
      <w:pPr>
        <w:wordWrap w:val="0"/>
        <w:topLinePunct/>
        <w:spacing w:line="520" w:lineRule="exact"/>
        <w:ind w:firstLine="640" w:firstLineChars="200"/>
        <w:rPr>
          <w:rFonts w:eastAsia="仿宋_GB2312"/>
          <w:sz w:val="32"/>
          <w:szCs w:val="32"/>
        </w:rPr>
      </w:pPr>
      <w:r>
        <w:rPr>
          <w:rFonts w:eastAsia="仿宋_GB2312"/>
          <w:sz w:val="32"/>
          <w:szCs w:val="32"/>
        </w:rPr>
        <w:t>3.亲和力</w:t>
      </w:r>
    </w:p>
    <w:p w14:paraId="40CA421E">
      <w:pPr>
        <w:wordWrap w:val="0"/>
        <w:topLinePunct/>
        <w:spacing w:line="520" w:lineRule="exact"/>
        <w:ind w:firstLine="640" w:firstLineChars="200"/>
        <w:rPr>
          <w:rFonts w:eastAsia="仿宋_GB2312"/>
          <w:sz w:val="32"/>
          <w:szCs w:val="32"/>
        </w:rPr>
      </w:pPr>
      <w:r>
        <w:rPr>
          <w:rFonts w:eastAsia="仿宋_GB2312"/>
          <w:sz w:val="32"/>
          <w:szCs w:val="32"/>
        </w:rPr>
        <w:t>抗-A、抗-B、抗-H与试剂红细胞A1、A2、B、O混合后，应在多少秒内（如15秒内）出现肉眼可见的凝集，3分钟内凝集块达到1mm</w:t>
      </w:r>
      <w:r>
        <w:rPr>
          <w:rFonts w:eastAsia="仿宋_GB2312"/>
          <w:sz w:val="32"/>
          <w:szCs w:val="32"/>
          <w:vertAlign w:val="superscript"/>
        </w:rPr>
        <w:t>2</w:t>
      </w:r>
      <w:r>
        <w:rPr>
          <w:rFonts w:eastAsia="仿宋_GB2312"/>
          <w:sz w:val="32"/>
          <w:szCs w:val="32"/>
        </w:rPr>
        <w:t>以上（或凝集强度≥3+）。</w:t>
      </w:r>
    </w:p>
    <w:p w14:paraId="41FDD0E0">
      <w:pPr>
        <w:topLinePunct/>
        <w:spacing w:line="480" w:lineRule="exact"/>
        <w:ind w:firstLine="640" w:firstLineChars="200"/>
        <w:jc w:val="center"/>
        <w:rPr>
          <w:rFonts w:eastAsia="仿宋_GB2312"/>
          <w:sz w:val="32"/>
          <w:szCs w:val="32"/>
        </w:rPr>
      </w:pPr>
      <w:r>
        <w:rPr>
          <w:rFonts w:eastAsia="仿宋_GB2312"/>
          <w:sz w:val="32"/>
          <w:szCs w:val="32"/>
        </w:rPr>
        <w:t>4.红细胞的特异性：以表3的反应格局说明红细胞的特异性。表3红细胞的特异性</w:t>
      </w:r>
    </w:p>
    <w:tbl>
      <w:tblPr>
        <w:tblStyle w:val="4"/>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9"/>
        <w:gridCol w:w="1706"/>
        <w:gridCol w:w="1706"/>
        <w:gridCol w:w="1661"/>
        <w:gridCol w:w="1661"/>
      </w:tblGrid>
      <w:tr w14:paraId="1932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869" w:type="dxa"/>
            <w:vAlign w:val="center"/>
          </w:tcPr>
          <w:p w14:paraId="7C981D8F">
            <w:pPr>
              <w:jc w:val="center"/>
              <w:rPr>
                <w:rFonts w:ascii="宋体" w:hAnsi="宋体"/>
                <w:bCs/>
                <w:kern w:val="0"/>
                <w:sz w:val="24"/>
                <w:lang w:val="zh-CN"/>
              </w:rPr>
            </w:pPr>
            <w:r>
              <w:rPr>
                <w:rFonts w:hint="eastAsia" w:ascii="宋体" w:hAnsi="宋体"/>
                <w:bCs/>
                <w:kern w:val="0"/>
                <w:sz w:val="24"/>
                <w:lang w:val="zh-CN"/>
              </w:rPr>
              <w:t>抗体</w:t>
            </w:r>
          </w:p>
        </w:tc>
        <w:tc>
          <w:tcPr>
            <w:tcW w:w="0" w:type="auto"/>
            <w:vAlign w:val="center"/>
          </w:tcPr>
          <w:p w14:paraId="0AA96E40">
            <w:pPr>
              <w:spacing w:line="360" w:lineRule="auto"/>
              <w:jc w:val="center"/>
              <w:rPr>
                <w:rFonts w:ascii="宋体" w:hAnsi="宋体"/>
                <w:sz w:val="24"/>
              </w:rPr>
            </w:pPr>
            <w:r>
              <w:rPr>
                <w:rFonts w:hint="eastAsia" w:ascii="宋体" w:hAnsi="宋体"/>
                <w:sz w:val="24"/>
              </w:rPr>
              <w:t>A</w:t>
            </w:r>
            <w:r>
              <w:rPr>
                <w:rFonts w:hint="eastAsia" w:ascii="宋体" w:hAnsi="宋体"/>
                <w:sz w:val="24"/>
                <w:vertAlign w:val="subscript"/>
              </w:rPr>
              <w:t>1</w:t>
            </w:r>
            <w:r>
              <w:rPr>
                <w:rFonts w:hint="eastAsia" w:ascii="宋体" w:hAnsi="宋体"/>
                <w:sz w:val="24"/>
              </w:rPr>
              <w:t>型试剂</w:t>
            </w:r>
          </w:p>
          <w:p w14:paraId="67CFB9FE">
            <w:pPr>
              <w:jc w:val="center"/>
              <w:rPr>
                <w:rFonts w:ascii="宋体" w:hAnsi="宋体"/>
                <w:bCs/>
                <w:kern w:val="0"/>
                <w:sz w:val="24"/>
                <w:lang w:val="zh-CN"/>
              </w:rPr>
            </w:pPr>
            <w:r>
              <w:rPr>
                <w:rFonts w:hint="eastAsia" w:ascii="宋体" w:hAnsi="宋体"/>
                <w:sz w:val="24"/>
              </w:rPr>
              <w:t>红细胞</w:t>
            </w:r>
          </w:p>
        </w:tc>
        <w:tc>
          <w:tcPr>
            <w:tcW w:w="0" w:type="auto"/>
            <w:vAlign w:val="center"/>
          </w:tcPr>
          <w:p w14:paraId="22094668">
            <w:pPr>
              <w:spacing w:line="360" w:lineRule="auto"/>
              <w:jc w:val="center"/>
              <w:rPr>
                <w:rFonts w:ascii="宋体" w:hAnsi="宋体"/>
                <w:sz w:val="24"/>
              </w:rPr>
            </w:pPr>
            <w:r>
              <w:rPr>
                <w:rFonts w:hint="eastAsia" w:ascii="宋体" w:hAnsi="宋体"/>
                <w:sz w:val="24"/>
              </w:rPr>
              <w:t>A</w:t>
            </w:r>
            <w:r>
              <w:rPr>
                <w:rFonts w:hint="eastAsia" w:ascii="宋体" w:hAnsi="宋体"/>
                <w:sz w:val="24"/>
                <w:vertAlign w:val="subscript"/>
              </w:rPr>
              <w:t>2</w:t>
            </w:r>
            <w:r>
              <w:rPr>
                <w:rFonts w:hint="eastAsia" w:ascii="宋体" w:hAnsi="宋体"/>
                <w:sz w:val="24"/>
              </w:rPr>
              <w:t>型试剂</w:t>
            </w:r>
          </w:p>
          <w:p w14:paraId="1320A76E">
            <w:pPr>
              <w:jc w:val="center"/>
              <w:rPr>
                <w:rFonts w:ascii="宋体" w:hAnsi="宋体"/>
                <w:bCs/>
                <w:kern w:val="0"/>
                <w:sz w:val="24"/>
                <w:lang w:val="zh-CN"/>
              </w:rPr>
            </w:pPr>
            <w:r>
              <w:rPr>
                <w:rFonts w:hint="eastAsia" w:ascii="宋体" w:hAnsi="宋体"/>
                <w:sz w:val="24"/>
              </w:rPr>
              <w:t>红细胞</w:t>
            </w:r>
          </w:p>
        </w:tc>
        <w:tc>
          <w:tcPr>
            <w:tcW w:w="0" w:type="auto"/>
            <w:vAlign w:val="center"/>
          </w:tcPr>
          <w:p w14:paraId="0775D40C">
            <w:pPr>
              <w:spacing w:line="360" w:lineRule="auto"/>
              <w:jc w:val="center"/>
              <w:rPr>
                <w:rFonts w:ascii="宋体" w:hAnsi="宋体"/>
                <w:sz w:val="24"/>
              </w:rPr>
            </w:pPr>
            <w:r>
              <w:rPr>
                <w:rFonts w:hint="eastAsia" w:ascii="宋体" w:hAnsi="宋体"/>
                <w:sz w:val="24"/>
              </w:rPr>
              <w:t>B型试剂</w:t>
            </w:r>
          </w:p>
          <w:p w14:paraId="090618DD">
            <w:pPr>
              <w:jc w:val="center"/>
              <w:rPr>
                <w:rFonts w:ascii="宋体" w:hAnsi="宋体"/>
                <w:bCs/>
                <w:kern w:val="0"/>
                <w:sz w:val="24"/>
                <w:lang w:val="zh-CN"/>
              </w:rPr>
            </w:pPr>
            <w:r>
              <w:rPr>
                <w:rFonts w:hint="eastAsia" w:ascii="宋体" w:hAnsi="宋体"/>
                <w:sz w:val="24"/>
              </w:rPr>
              <w:t>红细胞</w:t>
            </w:r>
          </w:p>
        </w:tc>
        <w:tc>
          <w:tcPr>
            <w:tcW w:w="0" w:type="auto"/>
            <w:vAlign w:val="center"/>
          </w:tcPr>
          <w:p w14:paraId="3D20549F">
            <w:pPr>
              <w:spacing w:line="360" w:lineRule="auto"/>
              <w:jc w:val="center"/>
              <w:rPr>
                <w:rFonts w:ascii="宋体" w:hAnsi="宋体"/>
                <w:sz w:val="24"/>
              </w:rPr>
            </w:pPr>
            <w:r>
              <w:rPr>
                <w:rFonts w:hint="eastAsia" w:ascii="宋体" w:hAnsi="宋体"/>
                <w:sz w:val="24"/>
              </w:rPr>
              <w:t>O型试剂</w:t>
            </w:r>
          </w:p>
          <w:p w14:paraId="6CA3B5A2">
            <w:pPr>
              <w:jc w:val="center"/>
              <w:rPr>
                <w:rFonts w:ascii="宋体" w:hAnsi="宋体"/>
                <w:bCs/>
                <w:kern w:val="0"/>
                <w:sz w:val="24"/>
                <w:lang w:val="zh-CN"/>
              </w:rPr>
            </w:pPr>
            <w:r>
              <w:rPr>
                <w:rFonts w:hint="eastAsia" w:ascii="宋体" w:hAnsi="宋体"/>
                <w:sz w:val="24"/>
              </w:rPr>
              <w:t>红细胞</w:t>
            </w:r>
          </w:p>
        </w:tc>
      </w:tr>
      <w:tr w14:paraId="3B31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69" w:type="dxa"/>
            <w:vAlign w:val="center"/>
          </w:tcPr>
          <w:p w14:paraId="6FD2D44F">
            <w:pPr>
              <w:spacing w:line="360" w:lineRule="auto"/>
              <w:jc w:val="center"/>
              <w:rPr>
                <w:rFonts w:ascii="宋体" w:hAnsi="宋体"/>
                <w:kern w:val="0"/>
                <w:sz w:val="24"/>
                <w:lang w:val="zh-CN"/>
              </w:rPr>
            </w:pPr>
            <w:r>
              <w:rPr>
                <w:rFonts w:hint="eastAsia" w:ascii="宋体" w:hAnsi="宋体"/>
                <w:kern w:val="0"/>
                <w:sz w:val="24"/>
                <w:lang w:val="zh-CN"/>
              </w:rPr>
              <w:t>抗</w:t>
            </w:r>
            <w:r>
              <w:rPr>
                <w:rFonts w:ascii="宋体" w:hAnsi="宋体"/>
                <w:kern w:val="0"/>
                <w:sz w:val="24"/>
                <w:lang w:val="zh-CN"/>
              </w:rPr>
              <w:t>A</w:t>
            </w:r>
          </w:p>
        </w:tc>
        <w:tc>
          <w:tcPr>
            <w:tcW w:w="0" w:type="auto"/>
            <w:vAlign w:val="center"/>
          </w:tcPr>
          <w:p w14:paraId="66BD9F27">
            <w:pPr>
              <w:spacing w:line="360" w:lineRule="auto"/>
              <w:jc w:val="center"/>
              <w:rPr>
                <w:rFonts w:ascii="宋体" w:hAnsi="宋体"/>
                <w:kern w:val="0"/>
                <w:sz w:val="24"/>
                <w:lang w:val="zh-CN"/>
              </w:rPr>
            </w:pPr>
            <w:r>
              <w:rPr>
                <w:rFonts w:hint="eastAsia" w:ascii="宋体" w:hAnsi="宋体"/>
                <w:kern w:val="0"/>
                <w:sz w:val="24"/>
                <w:lang w:val="zh-CN"/>
              </w:rPr>
              <w:t>4+</w:t>
            </w:r>
          </w:p>
        </w:tc>
        <w:tc>
          <w:tcPr>
            <w:tcW w:w="0" w:type="auto"/>
            <w:vAlign w:val="center"/>
          </w:tcPr>
          <w:p w14:paraId="4B514025">
            <w:pPr>
              <w:spacing w:line="360" w:lineRule="auto"/>
              <w:jc w:val="center"/>
              <w:rPr>
                <w:rFonts w:ascii="宋体" w:hAnsi="宋体"/>
                <w:kern w:val="0"/>
                <w:sz w:val="24"/>
                <w:lang w:val="zh-CN"/>
              </w:rPr>
            </w:pPr>
            <w:r>
              <w:rPr>
                <w:rFonts w:hint="eastAsia" w:ascii="宋体" w:hAnsi="宋体"/>
                <w:kern w:val="0"/>
                <w:sz w:val="24"/>
                <w:lang w:val="zh-CN"/>
              </w:rPr>
              <w:t>4+</w:t>
            </w:r>
          </w:p>
        </w:tc>
        <w:tc>
          <w:tcPr>
            <w:tcW w:w="0" w:type="auto"/>
            <w:vAlign w:val="center"/>
          </w:tcPr>
          <w:p w14:paraId="29F6314B">
            <w:pPr>
              <w:spacing w:line="360" w:lineRule="auto"/>
              <w:jc w:val="center"/>
              <w:rPr>
                <w:rFonts w:ascii="宋体" w:hAnsi="宋体"/>
                <w:kern w:val="0"/>
                <w:sz w:val="24"/>
                <w:lang w:val="zh-CN"/>
              </w:rPr>
            </w:pPr>
            <w:r>
              <w:rPr>
                <w:rFonts w:hint="eastAsia" w:ascii="宋体" w:hAnsi="宋体"/>
                <w:kern w:val="0"/>
                <w:sz w:val="24"/>
                <w:lang w:val="zh-CN"/>
              </w:rPr>
              <w:t>—</w:t>
            </w:r>
          </w:p>
        </w:tc>
        <w:tc>
          <w:tcPr>
            <w:tcW w:w="0" w:type="auto"/>
            <w:vAlign w:val="center"/>
          </w:tcPr>
          <w:p w14:paraId="13F55499">
            <w:pPr>
              <w:spacing w:line="360" w:lineRule="auto"/>
              <w:jc w:val="center"/>
              <w:rPr>
                <w:rFonts w:ascii="宋体" w:hAnsi="宋体"/>
                <w:kern w:val="0"/>
                <w:sz w:val="24"/>
                <w:lang w:val="zh-CN"/>
              </w:rPr>
            </w:pPr>
            <w:r>
              <w:rPr>
                <w:rFonts w:hint="eastAsia" w:ascii="宋体" w:hAnsi="宋体"/>
                <w:kern w:val="0"/>
                <w:sz w:val="24"/>
                <w:lang w:val="zh-CN"/>
              </w:rPr>
              <w:t>—</w:t>
            </w:r>
          </w:p>
        </w:tc>
      </w:tr>
      <w:tr w14:paraId="4986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869" w:type="dxa"/>
            <w:vAlign w:val="center"/>
          </w:tcPr>
          <w:p w14:paraId="4CD5D03E">
            <w:pPr>
              <w:spacing w:line="360" w:lineRule="auto"/>
              <w:jc w:val="center"/>
              <w:rPr>
                <w:rFonts w:ascii="宋体" w:hAnsi="宋体"/>
                <w:kern w:val="0"/>
                <w:sz w:val="24"/>
                <w:lang w:val="zh-CN"/>
              </w:rPr>
            </w:pPr>
            <w:r>
              <w:rPr>
                <w:rFonts w:hint="eastAsia" w:ascii="宋体" w:hAnsi="宋体"/>
                <w:kern w:val="0"/>
                <w:sz w:val="24"/>
                <w:lang w:val="zh-CN"/>
              </w:rPr>
              <w:t>抗</w:t>
            </w:r>
            <w:r>
              <w:rPr>
                <w:rFonts w:ascii="宋体" w:hAnsi="宋体"/>
                <w:kern w:val="0"/>
                <w:sz w:val="24"/>
                <w:lang w:val="zh-CN"/>
              </w:rPr>
              <w:t>A</w:t>
            </w:r>
            <w:r>
              <w:rPr>
                <w:rFonts w:ascii="宋体" w:hAnsi="宋体"/>
                <w:kern w:val="0"/>
                <w:sz w:val="24"/>
                <w:vertAlign w:val="subscript"/>
                <w:lang w:val="zh-CN"/>
              </w:rPr>
              <w:t>1</w:t>
            </w:r>
          </w:p>
        </w:tc>
        <w:tc>
          <w:tcPr>
            <w:tcW w:w="0" w:type="auto"/>
            <w:vAlign w:val="center"/>
          </w:tcPr>
          <w:p w14:paraId="063C0CED">
            <w:pPr>
              <w:spacing w:line="360" w:lineRule="auto"/>
              <w:jc w:val="center"/>
              <w:rPr>
                <w:rFonts w:ascii="宋体" w:hAnsi="宋体"/>
                <w:kern w:val="0"/>
                <w:sz w:val="24"/>
                <w:lang w:val="zh-CN"/>
              </w:rPr>
            </w:pPr>
            <w:r>
              <w:rPr>
                <w:rFonts w:hint="eastAsia" w:ascii="宋体" w:hAnsi="宋体"/>
                <w:kern w:val="0"/>
                <w:sz w:val="24"/>
                <w:lang w:val="zh-CN"/>
              </w:rPr>
              <w:t>4+</w:t>
            </w:r>
          </w:p>
        </w:tc>
        <w:tc>
          <w:tcPr>
            <w:tcW w:w="0" w:type="auto"/>
            <w:vAlign w:val="center"/>
          </w:tcPr>
          <w:p w14:paraId="0017AB19">
            <w:pPr>
              <w:spacing w:line="360" w:lineRule="auto"/>
              <w:jc w:val="center"/>
              <w:rPr>
                <w:rFonts w:ascii="宋体" w:hAnsi="宋体"/>
                <w:kern w:val="0"/>
                <w:sz w:val="24"/>
                <w:lang w:val="zh-CN"/>
              </w:rPr>
            </w:pPr>
            <w:r>
              <w:rPr>
                <w:rFonts w:hint="eastAsia" w:ascii="宋体" w:hAnsi="宋体"/>
                <w:kern w:val="0"/>
                <w:sz w:val="24"/>
                <w:lang w:val="zh-CN"/>
              </w:rPr>
              <w:t>—</w:t>
            </w:r>
          </w:p>
        </w:tc>
        <w:tc>
          <w:tcPr>
            <w:tcW w:w="0" w:type="auto"/>
            <w:vAlign w:val="center"/>
          </w:tcPr>
          <w:p w14:paraId="0EE5F9A2">
            <w:pPr>
              <w:spacing w:line="360" w:lineRule="auto"/>
              <w:jc w:val="center"/>
              <w:rPr>
                <w:rFonts w:ascii="宋体" w:hAnsi="宋体"/>
                <w:kern w:val="0"/>
                <w:sz w:val="24"/>
                <w:lang w:val="zh-CN"/>
              </w:rPr>
            </w:pPr>
            <w:r>
              <w:rPr>
                <w:rFonts w:hint="eastAsia" w:ascii="宋体" w:hAnsi="宋体"/>
                <w:kern w:val="0"/>
                <w:sz w:val="24"/>
                <w:lang w:val="zh-CN"/>
              </w:rPr>
              <w:t>—</w:t>
            </w:r>
          </w:p>
        </w:tc>
        <w:tc>
          <w:tcPr>
            <w:tcW w:w="0" w:type="auto"/>
            <w:vAlign w:val="center"/>
          </w:tcPr>
          <w:p w14:paraId="72121674">
            <w:pPr>
              <w:spacing w:line="360" w:lineRule="auto"/>
              <w:jc w:val="center"/>
              <w:rPr>
                <w:rFonts w:ascii="宋体" w:hAnsi="宋体"/>
                <w:kern w:val="0"/>
                <w:sz w:val="24"/>
                <w:lang w:val="zh-CN"/>
              </w:rPr>
            </w:pPr>
            <w:r>
              <w:rPr>
                <w:rFonts w:hint="eastAsia" w:ascii="宋体" w:hAnsi="宋体"/>
                <w:kern w:val="0"/>
                <w:sz w:val="24"/>
                <w:lang w:val="zh-CN"/>
              </w:rPr>
              <w:t>—</w:t>
            </w:r>
          </w:p>
        </w:tc>
      </w:tr>
      <w:tr w14:paraId="0770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869" w:type="dxa"/>
            <w:vAlign w:val="center"/>
          </w:tcPr>
          <w:p w14:paraId="7E315366">
            <w:pPr>
              <w:spacing w:line="360" w:lineRule="auto"/>
              <w:jc w:val="center"/>
              <w:rPr>
                <w:rFonts w:ascii="宋体" w:hAnsi="宋体"/>
                <w:kern w:val="0"/>
                <w:sz w:val="24"/>
                <w:lang w:val="zh-CN"/>
              </w:rPr>
            </w:pPr>
            <w:r>
              <w:rPr>
                <w:rFonts w:hint="eastAsia" w:ascii="宋体" w:hAnsi="宋体"/>
                <w:kern w:val="0"/>
                <w:sz w:val="24"/>
                <w:lang w:val="zh-CN"/>
              </w:rPr>
              <w:t>抗</w:t>
            </w:r>
            <w:r>
              <w:rPr>
                <w:rFonts w:ascii="宋体" w:hAnsi="宋体"/>
                <w:kern w:val="0"/>
                <w:sz w:val="24"/>
                <w:lang w:val="zh-CN"/>
              </w:rPr>
              <w:t>B</w:t>
            </w:r>
          </w:p>
        </w:tc>
        <w:tc>
          <w:tcPr>
            <w:tcW w:w="0" w:type="auto"/>
            <w:vAlign w:val="center"/>
          </w:tcPr>
          <w:p w14:paraId="6F69CD10">
            <w:pPr>
              <w:spacing w:line="360" w:lineRule="auto"/>
              <w:jc w:val="center"/>
              <w:rPr>
                <w:rFonts w:ascii="宋体" w:hAnsi="宋体"/>
                <w:kern w:val="0"/>
                <w:sz w:val="24"/>
                <w:lang w:val="zh-CN"/>
              </w:rPr>
            </w:pPr>
            <w:r>
              <w:rPr>
                <w:rFonts w:hint="eastAsia" w:ascii="宋体" w:hAnsi="宋体"/>
                <w:kern w:val="0"/>
                <w:sz w:val="24"/>
                <w:lang w:val="zh-CN"/>
              </w:rPr>
              <w:t>—</w:t>
            </w:r>
          </w:p>
        </w:tc>
        <w:tc>
          <w:tcPr>
            <w:tcW w:w="0" w:type="auto"/>
            <w:vAlign w:val="center"/>
          </w:tcPr>
          <w:p w14:paraId="277E83DD">
            <w:pPr>
              <w:spacing w:line="360" w:lineRule="auto"/>
              <w:jc w:val="center"/>
              <w:rPr>
                <w:rFonts w:ascii="宋体" w:hAnsi="宋体"/>
                <w:kern w:val="0"/>
                <w:sz w:val="24"/>
                <w:lang w:val="zh-CN"/>
              </w:rPr>
            </w:pPr>
            <w:r>
              <w:rPr>
                <w:rFonts w:hint="eastAsia" w:ascii="宋体" w:hAnsi="宋体"/>
                <w:kern w:val="0"/>
                <w:sz w:val="24"/>
                <w:lang w:val="zh-CN"/>
              </w:rPr>
              <w:t>—</w:t>
            </w:r>
          </w:p>
        </w:tc>
        <w:tc>
          <w:tcPr>
            <w:tcW w:w="0" w:type="auto"/>
            <w:vAlign w:val="center"/>
          </w:tcPr>
          <w:p w14:paraId="242EF6A9">
            <w:pPr>
              <w:spacing w:line="360" w:lineRule="auto"/>
              <w:jc w:val="center"/>
              <w:rPr>
                <w:rFonts w:ascii="宋体" w:hAnsi="宋体"/>
                <w:kern w:val="0"/>
                <w:sz w:val="24"/>
                <w:lang w:val="zh-CN"/>
              </w:rPr>
            </w:pPr>
            <w:r>
              <w:rPr>
                <w:rFonts w:hint="eastAsia" w:ascii="宋体" w:hAnsi="宋体"/>
                <w:kern w:val="0"/>
                <w:sz w:val="24"/>
                <w:lang w:val="zh-CN"/>
              </w:rPr>
              <w:t>4+</w:t>
            </w:r>
          </w:p>
        </w:tc>
        <w:tc>
          <w:tcPr>
            <w:tcW w:w="0" w:type="auto"/>
            <w:vAlign w:val="center"/>
          </w:tcPr>
          <w:p w14:paraId="621D3901">
            <w:pPr>
              <w:spacing w:line="360" w:lineRule="auto"/>
              <w:jc w:val="center"/>
              <w:rPr>
                <w:rFonts w:ascii="宋体" w:hAnsi="宋体"/>
                <w:kern w:val="0"/>
                <w:sz w:val="24"/>
                <w:lang w:val="zh-CN"/>
              </w:rPr>
            </w:pPr>
            <w:r>
              <w:rPr>
                <w:rFonts w:hint="eastAsia" w:ascii="宋体" w:hAnsi="宋体"/>
                <w:kern w:val="0"/>
                <w:sz w:val="24"/>
                <w:lang w:val="zh-CN"/>
              </w:rPr>
              <w:t>—</w:t>
            </w:r>
          </w:p>
        </w:tc>
      </w:tr>
      <w:tr w14:paraId="05D4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869" w:type="dxa"/>
            <w:vAlign w:val="center"/>
          </w:tcPr>
          <w:p w14:paraId="0309FCCA">
            <w:pPr>
              <w:spacing w:line="360" w:lineRule="auto"/>
              <w:jc w:val="center"/>
              <w:rPr>
                <w:rFonts w:ascii="宋体" w:hAnsi="宋体"/>
                <w:kern w:val="0"/>
                <w:sz w:val="24"/>
                <w:lang w:val="zh-CN"/>
              </w:rPr>
            </w:pPr>
            <w:r>
              <w:rPr>
                <w:rFonts w:hint="eastAsia" w:ascii="宋体" w:hAnsi="宋体"/>
                <w:kern w:val="0"/>
                <w:sz w:val="24"/>
                <w:lang w:val="zh-CN"/>
              </w:rPr>
              <w:t>抗</w:t>
            </w:r>
            <w:r>
              <w:rPr>
                <w:rFonts w:ascii="宋体" w:hAnsi="宋体"/>
                <w:kern w:val="0"/>
                <w:sz w:val="24"/>
                <w:lang w:val="zh-CN"/>
              </w:rPr>
              <w:t>AB</w:t>
            </w:r>
          </w:p>
        </w:tc>
        <w:tc>
          <w:tcPr>
            <w:tcW w:w="0" w:type="auto"/>
            <w:vAlign w:val="center"/>
          </w:tcPr>
          <w:p w14:paraId="7AEDB8DC">
            <w:pPr>
              <w:spacing w:line="360" w:lineRule="auto"/>
              <w:jc w:val="center"/>
              <w:rPr>
                <w:rFonts w:ascii="宋体" w:hAnsi="宋体"/>
                <w:kern w:val="0"/>
                <w:sz w:val="24"/>
                <w:lang w:val="zh-CN"/>
              </w:rPr>
            </w:pPr>
            <w:r>
              <w:rPr>
                <w:rFonts w:hint="eastAsia" w:ascii="宋体" w:hAnsi="宋体"/>
                <w:kern w:val="0"/>
                <w:sz w:val="24"/>
                <w:lang w:val="zh-CN"/>
              </w:rPr>
              <w:t>4+</w:t>
            </w:r>
          </w:p>
        </w:tc>
        <w:tc>
          <w:tcPr>
            <w:tcW w:w="0" w:type="auto"/>
            <w:vAlign w:val="center"/>
          </w:tcPr>
          <w:p w14:paraId="0F0D6387">
            <w:pPr>
              <w:spacing w:line="360" w:lineRule="auto"/>
              <w:jc w:val="center"/>
              <w:rPr>
                <w:rFonts w:ascii="宋体" w:hAnsi="宋体"/>
                <w:kern w:val="0"/>
                <w:sz w:val="24"/>
                <w:lang w:val="zh-CN"/>
              </w:rPr>
            </w:pPr>
            <w:r>
              <w:rPr>
                <w:rFonts w:hint="eastAsia" w:ascii="宋体" w:hAnsi="宋体"/>
                <w:kern w:val="0"/>
                <w:sz w:val="24"/>
                <w:lang w:val="zh-CN"/>
              </w:rPr>
              <w:t>4+</w:t>
            </w:r>
          </w:p>
        </w:tc>
        <w:tc>
          <w:tcPr>
            <w:tcW w:w="0" w:type="auto"/>
            <w:vAlign w:val="center"/>
          </w:tcPr>
          <w:p w14:paraId="175A62F5">
            <w:pPr>
              <w:spacing w:line="360" w:lineRule="auto"/>
              <w:jc w:val="center"/>
              <w:rPr>
                <w:rFonts w:ascii="宋体" w:hAnsi="宋体"/>
                <w:kern w:val="0"/>
                <w:sz w:val="24"/>
                <w:lang w:val="zh-CN"/>
              </w:rPr>
            </w:pPr>
            <w:r>
              <w:rPr>
                <w:rFonts w:hint="eastAsia" w:ascii="宋体" w:hAnsi="宋体"/>
                <w:kern w:val="0"/>
                <w:sz w:val="24"/>
                <w:lang w:val="zh-CN"/>
              </w:rPr>
              <w:t>4+</w:t>
            </w:r>
          </w:p>
        </w:tc>
        <w:tc>
          <w:tcPr>
            <w:tcW w:w="0" w:type="auto"/>
            <w:vAlign w:val="center"/>
          </w:tcPr>
          <w:p w14:paraId="533BFFB4">
            <w:pPr>
              <w:spacing w:line="360" w:lineRule="auto"/>
              <w:jc w:val="center"/>
              <w:rPr>
                <w:rFonts w:ascii="宋体" w:hAnsi="宋体"/>
                <w:kern w:val="0"/>
                <w:sz w:val="24"/>
                <w:lang w:val="zh-CN"/>
              </w:rPr>
            </w:pPr>
            <w:r>
              <w:rPr>
                <w:rFonts w:hint="eastAsia" w:ascii="宋体" w:hAnsi="宋体"/>
                <w:kern w:val="0"/>
                <w:sz w:val="24"/>
                <w:lang w:val="zh-CN"/>
              </w:rPr>
              <w:t>—</w:t>
            </w:r>
          </w:p>
        </w:tc>
      </w:tr>
      <w:tr w14:paraId="3C8E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869" w:type="dxa"/>
            <w:vAlign w:val="center"/>
          </w:tcPr>
          <w:p w14:paraId="702D703C">
            <w:pPr>
              <w:spacing w:line="360" w:lineRule="auto"/>
              <w:jc w:val="center"/>
              <w:rPr>
                <w:rFonts w:ascii="宋体" w:hAnsi="宋体"/>
                <w:kern w:val="0"/>
                <w:sz w:val="24"/>
                <w:lang w:val="zh-CN"/>
              </w:rPr>
            </w:pPr>
            <w:r>
              <w:rPr>
                <w:rFonts w:hint="eastAsia" w:ascii="宋体" w:hAnsi="宋体"/>
                <w:kern w:val="0"/>
                <w:sz w:val="24"/>
                <w:lang w:val="zh-CN"/>
              </w:rPr>
              <w:t>抗</w:t>
            </w:r>
            <w:r>
              <w:rPr>
                <w:rFonts w:ascii="宋体" w:hAnsi="宋体"/>
                <w:kern w:val="0"/>
                <w:sz w:val="24"/>
                <w:lang w:val="zh-CN"/>
              </w:rPr>
              <w:t>H</w:t>
            </w:r>
          </w:p>
        </w:tc>
        <w:tc>
          <w:tcPr>
            <w:tcW w:w="0" w:type="auto"/>
            <w:vAlign w:val="center"/>
          </w:tcPr>
          <w:p w14:paraId="0D4E86E4">
            <w:pPr>
              <w:spacing w:line="360" w:lineRule="auto"/>
              <w:jc w:val="center"/>
              <w:rPr>
                <w:rFonts w:ascii="宋体" w:hAnsi="宋体"/>
                <w:kern w:val="0"/>
                <w:sz w:val="24"/>
                <w:lang w:val="zh-CN"/>
              </w:rPr>
            </w:pPr>
            <w:r>
              <w:rPr>
                <w:rFonts w:hint="eastAsia" w:ascii="宋体" w:hAnsi="宋体"/>
                <w:kern w:val="0"/>
                <w:sz w:val="24"/>
                <w:lang w:val="zh-CN"/>
              </w:rPr>
              <w:t>-/+</w:t>
            </w:r>
          </w:p>
        </w:tc>
        <w:tc>
          <w:tcPr>
            <w:tcW w:w="0" w:type="auto"/>
            <w:vAlign w:val="center"/>
          </w:tcPr>
          <w:p w14:paraId="778E849B">
            <w:pPr>
              <w:spacing w:line="360" w:lineRule="auto"/>
              <w:jc w:val="center"/>
              <w:rPr>
                <w:rFonts w:ascii="宋体" w:hAnsi="宋体"/>
                <w:kern w:val="0"/>
                <w:sz w:val="24"/>
                <w:lang w:val="zh-CN"/>
              </w:rPr>
            </w:pPr>
            <w:r>
              <w:rPr>
                <w:rFonts w:hint="eastAsia" w:ascii="宋体" w:hAnsi="宋体"/>
                <w:kern w:val="0"/>
                <w:sz w:val="24"/>
                <w:lang w:val="zh-CN"/>
              </w:rPr>
              <w:t>弱阳</w:t>
            </w:r>
          </w:p>
        </w:tc>
        <w:tc>
          <w:tcPr>
            <w:tcW w:w="0" w:type="auto"/>
            <w:vAlign w:val="center"/>
          </w:tcPr>
          <w:p w14:paraId="2F28C96D">
            <w:pPr>
              <w:spacing w:line="360" w:lineRule="auto"/>
              <w:jc w:val="center"/>
              <w:rPr>
                <w:rFonts w:ascii="宋体" w:hAnsi="宋体"/>
                <w:kern w:val="0"/>
                <w:sz w:val="24"/>
                <w:lang w:val="zh-CN"/>
              </w:rPr>
            </w:pPr>
            <w:r>
              <w:rPr>
                <w:rFonts w:hint="eastAsia" w:ascii="宋体" w:hAnsi="宋体"/>
                <w:kern w:val="0"/>
                <w:sz w:val="24"/>
                <w:lang w:val="zh-CN"/>
              </w:rPr>
              <w:t>-/+</w:t>
            </w:r>
          </w:p>
        </w:tc>
        <w:tc>
          <w:tcPr>
            <w:tcW w:w="0" w:type="auto"/>
            <w:vAlign w:val="center"/>
          </w:tcPr>
          <w:p w14:paraId="6F4164AB">
            <w:pPr>
              <w:spacing w:line="360" w:lineRule="auto"/>
              <w:jc w:val="center"/>
              <w:rPr>
                <w:rFonts w:ascii="宋体" w:hAnsi="宋体"/>
                <w:kern w:val="0"/>
                <w:sz w:val="24"/>
                <w:lang w:val="zh-CN"/>
              </w:rPr>
            </w:pPr>
            <w:r>
              <w:rPr>
                <w:rFonts w:hint="eastAsia" w:ascii="宋体" w:hAnsi="宋体"/>
                <w:kern w:val="0"/>
                <w:sz w:val="24"/>
                <w:lang w:val="zh-CN"/>
              </w:rPr>
              <w:t>较强</w:t>
            </w:r>
          </w:p>
        </w:tc>
      </w:tr>
      <w:tr w14:paraId="46BF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869" w:type="dxa"/>
            <w:vAlign w:val="center"/>
          </w:tcPr>
          <w:p w14:paraId="325BBF64">
            <w:pPr>
              <w:spacing w:line="360" w:lineRule="auto"/>
              <w:jc w:val="center"/>
              <w:rPr>
                <w:rFonts w:ascii="宋体" w:hAnsi="宋体"/>
                <w:kern w:val="0"/>
                <w:sz w:val="24"/>
                <w:lang w:val="zh-CN"/>
              </w:rPr>
            </w:pPr>
            <w:r>
              <w:rPr>
                <w:rFonts w:hint="eastAsia" w:ascii="宋体" w:hAnsi="宋体"/>
                <w:sz w:val="24"/>
                <w:lang w:val="zh-CN"/>
              </w:rPr>
              <w:t>AB型人血清</w:t>
            </w:r>
          </w:p>
        </w:tc>
        <w:tc>
          <w:tcPr>
            <w:tcW w:w="0" w:type="auto"/>
            <w:vAlign w:val="center"/>
          </w:tcPr>
          <w:p w14:paraId="7AFAB124">
            <w:pPr>
              <w:spacing w:line="360" w:lineRule="auto"/>
              <w:jc w:val="center"/>
              <w:rPr>
                <w:rFonts w:ascii="宋体" w:hAnsi="宋体"/>
                <w:kern w:val="0"/>
                <w:sz w:val="24"/>
                <w:lang w:val="zh-CN"/>
              </w:rPr>
            </w:pPr>
            <w:r>
              <w:rPr>
                <w:rFonts w:hint="eastAsia" w:ascii="宋体" w:hAnsi="宋体"/>
                <w:kern w:val="0"/>
                <w:sz w:val="24"/>
                <w:lang w:val="zh-CN"/>
              </w:rPr>
              <w:t>—</w:t>
            </w:r>
          </w:p>
        </w:tc>
        <w:tc>
          <w:tcPr>
            <w:tcW w:w="0" w:type="auto"/>
            <w:vAlign w:val="center"/>
          </w:tcPr>
          <w:p w14:paraId="03B6AC0D">
            <w:pPr>
              <w:spacing w:line="360" w:lineRule="auto"/>
              <w:jc w:val="center"/>
              <w:rPr>
                <w:rFonts w:ascii="宋体" w:hAnsi="宋体"/>
                <w:kern w:val="0"/>
                <w:sz w:val="24"/>
                <w:lang w:val="zh-CN"/>
              </w:rPr>
            </w:pPr>
            <w:r>
              <w:rPr>
                <w:rFonts w:hint="eastAsia" w:ascii="宋体" w:hAnsi="宋体"/>
                <w:kern w:val="0"/>
                <w:sz w:val="24"/>
                <w:lang w:val="zh-CN"/>
              </w:rPr>
              <w:t>—</w:t>
            </w:r>
          </w:p>
        </w:tc>
        <w:tc>
          <w:tcPr>
            <w:tcW w:w="0" w:type="auto"/>
            <w:vAlign w:val="center"/>
          </w:tcPr>
          <w:p w14:paraId="63F7CCA8">
            <w:pPr>
              <w:spacing w:line="360" w:lineRule="auto"/>
              <w:jc w:val="center"/>
              <w:rPr>
                <w:rFonts w:ascii="宋体" w:hAnsi="宋体"/>
                <w:kern w:val="0"/>
                <w:sz w:val="24"/>
                <w:lang w:val="zh-CN"/>
              </w:rPr>
            </w:pPr>
            <w:r>
              <w:rPr>
                <w:rFonts w:hint="eastAsia" w:ascii="宋体" w:hAnsi="宋体"/>
                <w:kern w:val="0"/>
                <w:sz w:val="24"/>
                <w:lang w:val="zh-CN"/>
              </w:rPr>
              <w:t>—</w:t>
            </w:r>
          </w:p>
        </w:tc>
        <w:tc>
          <w:tcPr>
            <w:tcW w:w="0" w:type="auto"/>
            <w:vAlign w:val="center"/>
          </w:tcPr>
          <w:p w14:paraId="44180CAC">
            <w:pPr>
              <w:spacing w:line="360" w:lineRule="auto"/>
              <w:jc w:val="center"/>
              <w:rPr>
                <w:rFonts w:ascii="宋体" w:hAnsi="宋体"/>
                <w:kern w:val="0"/>
                <w:sz w:val="24"/>
                <w:lang w:val="zh-CN"/>
              </w:rPr>
            </w:pPr>
            <w:r>
              <w:rPr>
                <w:rFonts w:hint="eastAsia" w:ascii="宋体" w:hAnsi="宋体"/>
                <w:kern w:val="0"/>
                <w:sz w:val="24"/>
                <w:lang w:val="zh-CN"/>
              </w:rPr>
              <w:t>—</w:t>
            </w:r>
          </w:p>
        </w:tc>
      </w:tr>
    </w:tbl>
    <w:p w14:paraId="41E18103">
      <w:pPr>
        <w:spacing w:line="500" w:lineRule="exact"/>
        <w:ind w:firstLine="640" w:firstLineChars="200"/>
        <w:rPr>
          <w:rFonts w:eastAsia="仿宋_GB2312"/>
          <w:sz w:val="32"/>
          <w:szCs w:val="32"/>
        </w:rPr>
      </w:pPr>
      <w:r>
        <w:rPr>
          <w:rFonts w:eastAsia="仿宋_GB2312"/>
          <w:sz w:val="32"/>
          <w:szCs w:val="32"/>
        </w:rPr>
        <w:t>5.直接抗人球蛋白试验</w:t>
      </w:r>
    </w:p>
    <w:p w14:paraId="54C66EE6">
      <w:pPr>
        <w:spacing w:line="500" w:lineRule="exact"/>
        <w:ind w:firstLine="640" w:firstLineChars="200"/>
        <w:rPr>
          <w:rFonts w:eastAsia="仿宋_GB2312"/>
          <w:sz w:val="32"/>
          <w:szCs w:val="32"/>
        </w:rPr>
      </w:pPr>
      <w:r>
        <w:rPr>
          <w:rFonts w:eastAsia="仿宋_GB2312"/>
          <w:sz w:val="32"/>
          <w:szCs w:val="32"/>
        </w:rPr>
        <w:t>使用抗-IgG和抗-补体或多特异性抗人球蛋白试剂进行试剂红细胞直接抗人球蛋白试验时，结果应为阴性。</w:t>
      </w:r>
    </w:p>
    <w:p w14:paraId="2E2FA885">
      <w:pPr>
        <w:spacing w:line="500" w:lineRule="exact"/>
        <w:ind w:firstLine="640" w:firstLineChars="200"/>
        <w:rPr>
          <w:rFonts w:eastAsia="仿宋_GB2312"/>
          <w:sz w:val="32"/>
          <w:szCs w:val="32"/>
        </w:rPr>
      </w:pPr>
      <w:r>
        <w:rPr>
          <w:rFonts w:eastAsia="仿宋_GB2312"/>
          <w:sz w:val="32"/>
          <w:szCs w:val="32"/>
        </w:rPr>
        <w:t>6.溶血率（性）</w:t>
      </w:r>
    </w:p>
    <w:p w14:paraId="74C17FCA">
      <w:pPr>
        <w:spacing w:line="500" w:lineRule="exact"/>
        <w:ind w:firstLine="640" w:firstLineChars="200"/>
        <w:rPr>
          <w:rFonts w:eastAsia="仿宋_GB2312"/>
          <w:sz w:val="32"/>
          <w:szCs w:val="32"/>
        </w:rPr>
      </w:pPr>
      <w:r>
        <w:rPr>
          <w:rFonts w:eastAsia="仿宋_GB2312"/>
          <w:sz w:val="32"/>
          <w:szCs w:val="32"/>
        </w:rPr>
        <w:t>明确每种试剂红细胞溶血率的试验方法、使用物品、测量方法、结果计算方法等内容。</w:t>
      </w:r>
    </w:p>
    <w:p w14:paraId="72D1BDCD">
      <w:pPr>
        <w:spacing w:line="500" w:lineRule="exact"/>
        <w:ind w:firstLine="640" w:firstLineChars="200"/>
        <w:rPr>
          <w:rFonts w:eastAsia="仿宋_GB2312"/>
          <w:sz w:val="32"/>
          <w:szCs w:val="32"/>
        </w:rPr>
      </w:pPr>
      <w:r>
        <w:rPr>
          <w:rFonts w:eastAsia="仿宋_GB2312"/>
          <w:sz w:val="32"/>
          <w:szCs w:val="32"/>
        </w:rPr>
        <w:t>可采用百分比进行结果报告，也可采用浓度单位报告结果。</w:t>
      </w:r>
    </w:p>
    <w:p w14:paraId="28DBF24F">
      <w:pPr>
        <w:spacing w:line="500" w:lineRule="exact"/>
        <w:ind w:firstLine="640" w:firstLineChars="200"/>
        <w:rPr>
          <w:rFonts w:eastAsia="仿宋_GB2312"/>
          <w:sz w:val="32"/>
          <w:szCs w:val="32"/>
        </w:rPr>
      </w:pPr>
      <w:r>
        <w:rPr>
          <w:rFonts w:eastAsia="仿宋_GB2312"/>
          <w:sz w:val="32"/>
          <w:szCs w:val="32"/>
        </w:rPr>
        <w:t>7.样本抗凝剂的选择。</w:t>
      </w:r>
    </w:p>
    <w:p w14:paraId="024372F6">
      <w:pPr>
        <w:spacing w:line="500" w:lineRule="exact"/>
        <w:ind w:firstLine="640" w:firstLineChars="200"/>
        <w:rPr>
          <w:rFonts w:eastAsia="仿宋_GB2312"/>
          <w:sz w:val="32"/>
          <w:szCs w:val="32"/>
        </w:rPr>
      </w:pPr>
      <w:r>
        <w:rPr>
          <w:rFonts w:eastAsia="仿宋_GB2312"/>
          <w:sz w:val="32"/>
          <w:szCs w:val="32"/>
        </w:rPr>
        <w:t>8.溶血、脂血、黄疸等样本的干扰评价。</w:t>
      </w:r>
    </w:p>
    <w:p w14:paraId="18C44754">
      <w:pPr>
        <w:spacing w:line="500" w:lineRule="exact"/>
        <w:ind w:firstLine="640" w:firstLineChars="200"/>
        <w:rPr>
          <w:rFonts w:eastAsia="仿宋_GB2312"/>
          <w:sz w:val="32"/>
          <w:szCs w:val="32"/>
        </w:rPr>
      </w:pPr>
      <w:r>
        <w:rPr>
          <w:rFonts w:eastAsia="仿宋_GB2312"/>
          <w:sz w:val="32"/>
          <w:szCs w:val="32"/>
        </w:rPr>
        <w:t>9.无菌试验。</w:t>
      </w:r>
    </w:p>
    <w:p w14:paraId="041917C8">
      <w:pPr>
        <w:spacing w:line="500" w:lineRule="exact"/>
        <w:ind w:firstLine="640" w:firstLineChars="200"/>
        <w:rPr>
          <w:rFonts w:eastAsia="楷体_GB2312"/>
          <w:sz w:val="32"/>
          <w:szCs w:val="32"/>
        </w:rPr>
      </w:pPr>
      <w:bookmarkStart w:id="6" w:name="_Toc375311138"/>
      <w:r>
        <w:rPr>
          <w:rFonts w:eastAsia="楷体_GB2312"/>
          <w:sz w:val="32"/>
          <w:szCs w:val="32"/>
        </w:rPr>
        <w:t>（五）阳性判断值</w:t>
      </w:r>
      <w:bookmarkEnd w:id="6"/>
    </w:p>
    <w:p w14:paraId="3B5347C4">
      <w:pPr>
        <w:spacing w:line="500" w:lineRule="exact"/>
        <w:ind w:firstLine="640" w:firstLineChars="200"/>
        <w:rPr>
          <w:rFonts w:eastAsia="仿宋_GB2312"/>
          <w:sz w:val="32"/>
          <w:szCs w:val="32"/>
        </w:rPr>
      </w:pPr>
      <w:r>
        <w:rPr>
          <w:rFonts w:eastAsia="仿宋_GB2312"/>
          <w:sz w:val="32"/>
          <w:szCs w:val="32"/>
        </w:rPr>
        <w:t>给出不同凝集强度的研究方法，并明确不同凝集强度代表的具体意义，并应包含溶血、混合视野双群等情况，明确具体的试验方法、实验步骤，提供不同凝集强度的图例或相片。</w:t>
      </w:r>
    </w:p>
    <w:p w14:paraId="625C5D5F">
      <w:pPr>
        <w:spacing w:line="500" w:lineRule="exact"/>
        <w:ind w:firstLine="640" w:firstLineChars="200"/>
        <w:rPr>
          <w:rFonts w:eastAsia="楷体_GB2312"/>
          <w:sz w:val="32"/>
          <w:szCs w:val="32"/>
        </w:rPr>
      </w:pPr>
      <w:bookmarkStart w:id="7" w:name="_Toc342306968"/>
      <w:r>
        <w:rPr>
          <w:rFonts w:eastAsia="楷体_GB2312"/>
          <w:sz w:val="32"/>
          <w:szCs w:val="32"/>
        </w:rPr>
        <w:t>（六）稳定性研究资料</w:t>
      </w:r>
      <w:bookmarkEnd w:id="7"/>
    </w:p>
    <w:p w14:paraId="1FA56C3C">
      <w:pPr>
        <w:spacing w:line="500" w:lineRule="exact"/>
        <w:ind w:firstLine="640" w:firstLineChars="200"/>
        <w:rPr>
          <w:rFonts w:eastAsia="仿宋_GB2312"/>
          <w:sz w:val="32"/>
          <w:szCs w:val="32"/>
        </w:rPr>
      </w:pPr>
      <w:r>
        <w:rPr>
          <w:rFonts w:eastAsia="仿宋_GB2312"/>
          <w:sz w:val="32"/>
          <w:szCs w:val="32"/>
        </w:rPr>
        <w:t>稳定性研究资料主要涉及两部分内容，申报红细胞试剂的稳定性和适用样本的稳定性研究。前者主要包括实时稳定性（有效期）、运输稳定性、开瓶稳定性等研究，申请人可根据实际需要选择合理的稳定性研究方案，实验项目应至少包括红细胞抗原性、凝集强度、特异性、溶血率、无菌试验。</w:t>
      </w:r>
    </w:p>
    <w:p w14:paraId="349BD5B4">
      <w:pPr>
        <w:spacing w:line="500" w:lineRule="exact"/>
        <w:ind w:firstLine="640" w:firstLineChars="200"/>
        <w:rPr>
          <w:rFonts w:eastAsia="仿宋_GB2312"/>
          <w:sz w:val="32"/>
          <w:szCs w:val="32"/>
        </w:rPr>
      </w:pPr>
      <w:r>
        <w:rPr>
          <w:rFonts w:eastAsia="仿宋_GB2312"/>
          <w:sz w:val="32"/>
          <w:szCs w:val="32"/>
        </w:rPr>
        <w:t>稳定性研究资料应包括研究方法的确定依据、具体的实施方案、详细的研究数据以及结论。对于实时稳定性研究，应提供至少三批样品在实际储存条件下保存至成品有效期后的研究资料。</w:t>
      </w:r>
    </w:p>
    <w:p w14:paraId="443301F1">
      <w:pPr>
        <w:spacing w:line="500" w:lineRule="exact"/>
        <w:ind w:firstLine="640" w:firstLineChars="200"/>
        <w:rPr>
          <w:rFonts w:eastAsia="仿宋_GB2312"/>
          <w:sz w:val="32"/>
          <w:szCs w:val="32"/>
        </w:rPr>
      </w:pPr>
      <w:r>
        <w:rPr>
          <w:rFonts w:eastAsia="仿宋_GB2312"/>
          <w:sz w:val="32"/>
          <w:szCs w:val="32"/>
        </w:rPr>
        <w:t>应对样本稳定性进行研究，主要包括室温保存、冷藏和冷冻条件下的有效期验证，可以在合理的温度范围内选择温度点（温度范围），每间隔一定的时间段对储存样本进行全性能的分析验证，从而确认不同类型样本的稳定性。适于冷冻保存的样本还应对冻融次数进行评价。</w:t>
      </w:r>
    </w:p>
    <w:p w14:paraId="5F569A1A">
      <w:pPr>
        <w:spacing w:line="500" w:lineRule="exact"/>
        <w:ind w:firstLine="624" w:firstLineChars="200"/>
        <w:rPr>
          <w:rFonts w:eastAsia="仿宋_GB2312"/>
          <w:spacing w:val="-4"/>
          <w:sz w:val="32"/>
          <w:szCs w:val="32"/>
        </w:rPr>
      </w:pPr>
      <w:r>
        <w:rPr>
          <w:rFonts w:eastAsia="仿宋_GB2312"/>
          <w:spacing w:val="-4"/>
          <w:sz w:val="32"/>
          <w:szCs w:val="32"/>
        </w:rPr>
        <w:t>试剂稳定性和样本稳定性两部分内容的研究结果应分别在说明书【储存条件及有效期】和【样本要求】两项中进行详细说明。</w:t>
      </w:r>
    </w:p>
    <w:p w14:paraId="2DE4B8A2">
      <w:pPr>
        <w:spacing w:line="500" w:lineRule="exact"/>
        <w:ind w:firstLine="640" w:firstLineChars="200"/>
        <w:rPr>
          <w:rFonts w:eastAsia="楷体_GB2312"/>
          <w:sz w:val="32"/>
          <w:szCs w:val="32"/>
        </w:rPr>
      </w:pPr>
      <w:bookmarkStart w:id="8" w:name="_Toc375311140"/>
      <w:r>
        <w:rPr>
          <w:rFonts w:eastAsia="楷体_GB2312"/>
          <w:sz w:val="32"/>
          <w:szCs w:val="32"/>
        </w:rPr>
        <w:t>（七）临床试验</w:t>
      </w:r>
      <w:bookmarkEnd w:id="8"/>
    </w:p>
    <w:p w14:paraId="6844B3F0">
      <w:pPr>
        <w:autoSpaceDE w:val="0"/>
        <w:autoSpaceDN w:val="0"/>
        <w:adjustRightInd w:val="0"/>
        <w:spacing w:line="500" w:lineRule="exact"/>
        <w:ind w:firstLine="640" w:firstLineChars="200"/>
        <w:rPr>
          <w:rFonts w:eastAsia="仿宋_GB2312"/>
          <w:sz w:val="32"/>
          <w:szCs w:val="32"/>
        </w:rPr>
      </w:pPr>
      <w:r>
        <w:rPr>
          <w:rFonts w:eastAsia="仿宋_GB2312"/>
          <w:sz w:val="32"/>
          <w:szCs w:val="32"/>
        </w:rPr>
        <w:t>临床试验总体要求及临床试验资料的内容应符合《体外诊断试剂临床试验指导原则》</w:t>
      </w:r>
      <w:r>
        <w:rPr>
          <w:rFonts w:eastAsia="仿宋_GB2312"/>
          <w:kern w:val="0"/>
          <w:sz w:val="32"/>
          <w:szCs w:val="32"/>
        </w:rPr>
        <w:t>《办法》、“44号公告”</w:t>
      </w:r>
      <w:r>
        <w:rPr>
          <w:rFonts w:eastAsia="仿宋_GB2312"/>
          <w:sz w:val="32"/>
          <w:szCs w:val="32"/>
        </w:rPr>
        <w:t>的规定，以下仅结合人红细胞反定型试剂的具体特点对其临床试验中应重点关注的内容进行阐述。</w:t>
      </w:r>
    </w:p>
    <w:p w14:paraId="26960A87">
      <w:pPr>
        <w:spacing w:line="500" w:lineRule="exact"/>
        <w:ind w:firstLine="640" w:firstLineChars="200"/>
        <w:rPr>
          <w:rFonts w:eastAsia="仿宋_GB2312"/>
          <w:sz w:val="32"/>
          <w:szCs w:val="32"/>
        </w:rPr>
      </w:pPr>
      <w:r>
        <w:rPr>
          <w:rFonts w:eastAsia="仿宋_GB2312"/>
          <w:sz w:val="32"/>
          <w:szCs w:val="32"/>
        </w:rPr>
        <w:t>1.研究方法</w:t>
      </w:r>
    </w:p>
    <w:p w14:paraId="3788D3A6">
      <w:pPr>
        <w:spacing w:line="500" w:lineRule="exact"/>
        <w:ind w:firstLine="640" w:firstLineChars="200"/>
        <w:rPr>
          <w:rFonts w:eastAsia="仿宋_GB2312"/>
          <w:sz w:val="32"/>
          <w:szCs w:val="32"/>
        </w:rPr>
      </w:pPr>
      <w:r>
        <w:rPr>
          <w:rFonts w:eastAsia="仿宋_GB2312"/>
          <w:sz w:val="32"/>
          <w:szCs w:val="32"/>
        </w:rPr>
        <w:t>该类试剂已有同类产品上市，按照法规要求应选择境内已批准上市、临床普遍认为质量较好的同类产品作为对比试剂，采用试验用体外诊断试剂（以下称考核试剂）与之进行比较研究试验，证明本品与已上市产品等效。</w:t>
      </w:r>
    </w:p>
    <w:p w14:paraId="4CD7DF13">
      <w:pPr>
        <w:spacing w:line="500" w:lineRule="exact"/>
        <w:ind w:firstLine="640" w:firstLineChars="200"/>
        <w:rPr>
          <w:rFonts w:eastAsia="仿宋_GB2312"/>
          <w:sz w:val="32"/>
          <w:szCs w:val="32"/>
        </w:rPr>
      </w:pPr>
      <w:r>
        <w:rPr>
          <w:rFonts w:eastAsia="仿宋_GB2312"/>
          <w:sz w:val="32"/>
          <w:szCs w:val="32"/>
        </w:rPr>
        <w:t>2.临床试验单位的选择</w:t>
      </w:r>
    </w:p>
    <w:p w14:paraId="42A14CE4">
      <w:pPr>
        <w:spacing w:line="500" w:lineRule="exact"/>
        <w:ind w:firstLine="640" w:firstLineChars="200"/>
        <w:rPr>
          <w:rFonts w:eastAsia="仿宋_GB2312"/>
          <w:sz w:val="32"/>
          <w:szCs w:val="32"/>
        </w:rPr>
      </w:pPr>
      <w:r>
        <w:rPr>
          <w:rFonts w:eastAsia="仿宋_GB2312"/>
          <w:sz w:val="32"/>
          <w:szCs w:val="32"/>
        </w:rPr>
        <w:t>应选择符合法规要求的临床试验机构进行临床试验，不得选择血站或采供血机构进行临床试验。</w:t>
      </w:r>
    </w:p>
    <w:p w14:paraId="520C14EE">
      <w:pPr>
        <w:spacing w:line="500" w:lineRule="exact"/>
        <w:ind w:firstLine="640" w:firstLineChars="200"/>
        <w:rPr>
          <w:rFonts w:eastAsia="仿宋_GB2312"/>
          <w:sz w:val="32"/>
          <w:szCs w:val="32"/>
        </w:rPr>
      </w:pPr>
      <w:r>
        <w:rPr>
          <w:rFonts w:eastAsia="仿宋_GB2312"/>
          <w:sz w:val="32"/>
          <w:szCs w:val="32"/>
        </w:rPr>
        <w:t>3.病例选择</w:t>
      </w:r>
    </w:p>
    <w:p w14:paraId="6272DDDE">
      <w:pPr>
        <w:spacing w:line="500" w:lineRule="exact"/>
        <w:ind w:firstLine="640" w:firstLineChars="200"/>
        <w:rPr>
          <w:rFonts w:eastAsia="仿宋_GB2312"/>
          <w:sz w:val="32"/>
          <w:szCs w:val="32"/>
        </w:rPr>
      </w:pPr>
      <w:r>
        <w:rPr>
          <w:rFonts w:eastAsia="仿宋_GB2312"/>
          <w:sz w:val="32"/>
          <w:szCs w:val="32"/>
        </w:rPr>
        <w:t>临床总病例数应不少于3000例。应采用临床患者进行临床研究，应包括对反定型检测易产生干扰的病例，如选择各种疾病患者（肿瘤患者、自身免疫病患者、血液病患者等）、老人、儿童（不同年龄段）、正反定型不一致的病例等。</w:t>
      </w:r>
    </w:p>
    <w:p w14:paraId="79EBD027">
      <w:pPr>
        <w:spacing w:line="500" w:lineRule="exact"/>
        <w:ind w:firstLine="640" w:firstLineChars="200"/>
        <w:rPr>
          <w:rFonts w:eastAsia="仿宋_GB2312"/>
          <w:sz w:val="32"/>
          <w:szCs w:val="32"/>
        </w:rPr>
      </w:pPr>
      <w:r>
        <w:rPr>
          <w:rFonts w:eastAsia="仿宋_GB2312"/>
          <w:sz w:val="32"/>
          <w:szCs w:val="32"/>
        </w:rPr>
        <w:t>4.试验过程</w:t>
      </w:r>
    </w:p>
    <w:p w14:paraId="64B26E54">
      <w:pPr>
        <w:spacing w:line="500" w:lineRule="exact"/>
        <w:ind w:firstLine="640" w:firstLineChars="200"/>
        <w:rPr>
          <w:rFonts w:eastAsia="仿宋_GB2312"/>
          <w:sz w:val="32"/>
          <w:szCs w:val="32"/>
        </w:rPr>
      </w:pPr>
      <w:r>
        <w:rPr>
          <w:rFonts w:eastAsia="仿宋_GB2312"/>
          <w:sz w:val="32"/>
          <w:szCs w:val="32"/>
        </w:rPr>
        <w:t>在进行反定型红细胞试剂临床试验的过程中除与对比试剂进行比较外，应同时给出该样本的正定型试验结果，以进一步判断反定型结果的准确性。</w:t>
      </w:r>
    </w:p>
    <w:p w14:paraId="1B9EA8BF">
      <w:pPr>
        <w:spacing w:line="500" w:lineRule="exact"/>
        <w:ind w:firstLine="640" w:firstLineChars="200"/>
        <w:rPr>
          <w:rFonts w:eastAsia="仿宋_GB2312"/>
          <w:sz w:val="32"/>
          <w:szCs w:val="32"/>
        </w:rPr>
      </w:pPr>
      <w:r>
        <w:rPr>
          <w:rFonts w:eastAsia="仿宋_GB2312"/>
          <w:sz w:val="32"/>
          <w:szCs w:val="32"/>
        </w:rPr>
        <w:t>产品如适用于不同的试验方法（如试管法、柱凝集法、微孔板法等），每种试验方法均应分别进行至少3000例的临床试验，并明确配合使用的试剂产品，配合使用的产品均应是境内已上市产品。</w:t>
      </w:r>
    </w:p>
    <w:p w14:paraId="5E1F4C70">
      <w:pPr>
        <w:spacing w:line="500" w:lineRule="exact"/>
        <w:ind w:firstLine="640" w:firstLineChars="200"/>
        <w:rPr>
          <w:rFonts w:eastAsia="仿宋_GB2312"/>
          <w:sz w:val="32"/>
          <w:szCs w:val="32"/>
        </w:rPr>
      </w:pPr>
      <w:r>
        <w:rPr>
          <w:rFonts w:eastAsia="仿宋_GB2312"/>
          <w:sz w:val="32"/>
          <w:szCs w:val="32"/>
        </w:rPr>
        <w:t>5.统计学分析</w:t>
      </w:r>
    </w:p>
    <w:p w14:paraId="05375360">
      <w:pPr>
        <w:spacing w:line="500" w:lineRule="exact"/>
        <w:ind w:firstLine="640" w:firstLineChars="200"/>
        <w:rPr>
          <w:rFonts w:eastAsia="仿宋_GB2312"/>
          <w:sz w:val="32"/>
          <w:szCs w:val="32"/>
        </w:rPr>
      </w:pPr>
      <w:r>
        <w:rPr>
          <w:rFonts w:eastAsia="仿宋_GB2312"/>
          <w:sz w:val="32"/>
          <w:szCs w:val="32"/>
        </w:rPr>
        <w:t>应分别进行正反定型结果、考核试剂与对比试剂的阳性符合率、阴性符合率、总符合率的计算，并以四格表的形式进行列表，并对定性结果进行Kappa检验以验证检测结果的一致性。</w:t>
      </w:r>
    </w:p>
    <w:p w14:paraId="6F9A1022">
      <w:pPr>
        <w:spacing w:line="500" w:lineRule="exact"/>
        <w:ind w:firstLine="640" w:firstLineChars="200"/>
        <w:rPr>
          <w:rFonts w:eastAsia="仿宋_GB2312"/>
          <w:sz w:val="32"/>
          <w:szCs w:val="32"/>
        </w:rPr>
      </w:pPr>
      <w:r>
        <w:rPr>
          <w:rFonts w:eastAsia="仿宋_GB2312"/>
          <w:sz w:val="32"/>
          <w:szCs w:val="32"/>
        </w:rPr>
        <w:t>6.结果差异样本的验证</w:t>
      </w:r>
    </w:p>
    <w:p w14:paraId="2FB1B33A">
      <w:pPr>
        <w:spacing w:line="500" w:lineRule="exact"/>
        <w:ind w:firstLine="640" w:firstLineChars="200"/>
        <w:rPr>
          <w:rFonts w:eastAsia="仿宋_GB2312"/>
          <w:sz w:val="32"/>
          <w:szCs w:val="32"/>
        </w:rPr>
      </w:pPr>
      <w:r>
        <w:rPr>
          <w:rFonts w:eastAsia="仿宋_GB2312"/>
          <w:sz w:val="32"/>
          <w:szCs w:val="32"/>
        </w:rPr>
        <w:t>对于两种试剂检测结果不一致（包括正反定型结果不一致、考核试剂与对比试剂结果不一致、与对比试剂凝集强度差异较大）的样本，应采用临床上公认较好的第三种同类试剂进行确认试验，同时应结合样本的正定型结果进行综合分析，最终应采用适合的方法进行样本血型的最终确认。</w:t>
      </w:r>
    </w:p>
    <w:p w14:paraId="6B8C4912">
      <w:pPr>
        <w:spacing w:line="500" w:lineRule="exact"/>
        <w:ind w:firstLine="640" w:firstLineChars="200"/>
        <w:rPr>
          <w:rFonts w:eastAsia="仿宋_GB2312"/>
          <w:sz w:val="32"/>
          <w:szCs w:val="32"/>
        </w:rPr>
      </w:pPr>
      <w:r>
        <w:rPr>
          <w:rFonts w:eastAsia="仿宋_GB2312"/>
          <w:sz w:val="32"/>
          <w:szCs w:val="32"/>
        </w:rPr>
        <w:t>7.临床试验数据记录表应作为临床试验报告附件提交。临床试验数据记录表应列明所有病例的具体临床诊断信息、凝集强度和血型正反定型结果，如有不符样本应列明第三方确认的结果。</w:t>
      </w:r>
    </w:p>
    <w:p w14:paraId="5B3D858D">
      <w:pPr>
        <w:spacing w:line="500" w:lineRule="exact"/>
        <w:ind w:firstLine="640" w:firstLineChars="200"/>
        <w:rPr>
          <w:rFonts w:eastAsia="楷体_GB2312"/>
          <w:sz w:val="32"/>
          <w:szCs w:val="32"/>
        </w:rPr>
      </w:pPr>
      <w:r>
        <w:rPr>
          <w:rFonts w:eastAsia="楷体_GB2312"/>
          <w:sz w:val="32"/>
          <w:szCs w:val="32"/>
        </w:rPr>
        <w:t>（八）产品风险分析资料</w:t>
      </w:r>
    </w:p>
    <w:p w14:paraId="328890EA">
      <w:pPr>
        <w:spacing w:line="500" w:lineRule="exact"/>
        <w:ind w:firstLine="640" w:firstLineChars="200"/>
        <w:rPr>
          <w:rFonts w:eastAsia="仿宋_GB2312"/>
          <w:kern w:val="0"/>
          <w:sz w:val="32"/>
          <w:szCs w:val="32"/>
        </w:rPr>
      </w:pPr>
      <w:r>
        <w:rPr>
          <w:rFonts w:eastAsia="仿宋_GB2312"/>
          <w:kern w:val="0"/>
          <w:sz w:val="32"/>
          <w:szCs w:val="32"/>
        </w:rPr>
        <w:t>产品风险分析资料应符合“44号公告”的基本要求，并参照相应的行业标准进行风险分析。风险分析中应充分考虑到各种可能影响检测结果的因素，如</w:t>
      </w:r>
      <w:r>
        <w:rPr>
          <w:rFonts w:eastAsia="仿宋_GB2312"/>
          <w:sz w:val="32"/>
          <w:szCs w:val="32"/>
        </w:rPr>
        <w:t>某些样本（如肿瘤患者、自身免疫病患者、血液病患者等）在进行血型反定型检测时可能存在一定的干扰</w:t>
      </w:r>
      <w:r>
        <w:rPr>
          <w:rFonts w:eastAsia="仿宋_GB2312"/>
          <w:kern w:val="0"/>
          <w:sz w:val="32"/>
          <w:szCs w:val="32"/>
        </w:rPr>
        <w:t>、影响试剂红细胞稳定性的诸多因素可能导致的细胞抗原性减弱、新生儿或老年人可能因为抗体较弱影响检测结果等，申请人应根据这些不确定的因素分析产品应用可能存在的风险。</w:t>
      </w:r>
    </w:p>
    <w:p w14:paraId="4868292A">
      <w:pPr>
        <w:spacing w:line="500" w:lineRule="exact"/>
        <w:ind w:firstLine="640" w:firstLineChars="200"/>
        <w:rPr>
          <w:rFonts w:eastAsia="楷体_GB2312"/>
          <w:sz w:val="32"/>
          <w:szCs w:val="32"/>
        </w:rPr>
      </w:pPr>
      <w:bookmarkStart w:id="9" w:name="_Toc375311133"/>
      <w:r>
        <w:rPr>
          <w:rFonts w:eastAsia="楷体_GB2312"/>
          <w:sz w:val="32"/>
          <w:szCs w:val="32"/>
        </w:rPr>
        <w:t>（九）</w:t>
      </w:r>
      <w:bookmarkEnd w:id="9"/>
      <w:r>
        <w:rPr>
          <w:rFonts w:eastAsia="楷体_GB2312"/>
          <w:sz w:val="32"/>
          <w:szCs w:val="32"/>
        </w:rPr>
        <w:t>产品技术要求</w:t>
      </w:r>
    </w:p>
    <w:p w14:paraId="0AB04395">
      <w:pPr>
        <w:spacing w:line="500" w:lineRule="exact"/>
        <w:ind w:firstLine="640" w:firstLineChars="200"/>
        <w:rPr>
          <w:rFonts w:eastAsia="仿宋_GB2312"/>
          <w:b/>
          <w:sz w:val="32"/>
          <w:szCs w:val="32"/>
        </w:rPr>
      </w:pPr>
      <w:r>
        <w:rPr>
          <w:rFonts w:eastAsia="仿宋_GB2312"/>
          <w:kern w:val="0"/>
          <w:sz w:val="32"/>
          <w:szCs w:val="32"/>
        </w:rPr>
        <w:t>申请人应当在原材料质量和生产工艺稳定的前提下，根据产品研制、性能评估等结果，依据国家标准、行业标准及有关文献，按照《医疗器械产品技术要求编写指导原则》的有关要求，编写产品技术要求。产品技术要求应符合《办法》和“44号公告”的相关规定。</w:t>
      </w:r>
    </w:p>
    <w:p w14:paraId="4910151E">
      <w:pPr>
        <w:spacing w:line="500" w:lineRule="exact"/>
        <w:ind w:firstLine="640" w:firstLineChars="200"/>
        <w:rPr>
          <w:rFonts w:eastAsia="仿宋_GB2312"/>
          <w:sz w:val="32"/>
          <w:szCs w:val="32"/>
        </w:rPr>
      </w:pPr>
      <w:r>
        <w:rPr>
          <w:rFonts w:eastAsia="仿宋_GB2312"/>
          <w:sz w:val="32"/>
          <w:szCs w:val="32"/>
        </w:rPr>
        <w:t>如果拟申报试剂已有相应的国家/行业标准发布，则企业标准的要求不得低于上述标准要求。</w:t>
      </w:r>
    </w:p>
    <w:p w14:paraId="3B9A897D">
      <w:pPr>
        <w:spacing w:line="500" w:lineRule="exact"/>
        <w:ind w:firstLine="640" w:firstLineChars="200"/>
        <w:rPr>
          <w:rFonts w:eastAsia="仿宋_GB2312"/>
          <w:sz w:val="32"/>
          <w:szCs w:val="32"/>
        </w:rPr>
      </w:pPr>
      <w:r>
        <w:rPr>
          <w:rFonts w:eastAsia="仿宋_GB2312"/>
          <w:sz w:val="32"/>
          <w:szCs w:val="32"/>
        </w:rPr>
        <w:t>产品技术要求的性能指标应至少包括红细胞的抗原性、红细胞的抗原强度、红细胞的特异性、直接抗人球蛋白试验、溶血率（性）、亲和力。</w:t>
      </w:r>
    </w:p>
    <w:p w14:paraId="6BBE19A4">
      <w:pPr>
        <w:spacing w:line="500" w:lineRule="exact"/>
        <w:ind w:firstLine="640" w:firstLineChars="200"/>
        <w:rPr>
          <w:rFonts w:eastAsia="楷体_GB2312"/>
          <w:sz w:val="32"/>
          <w:szCs w:val="32"/>
        </w:rPr>
      </w:pPr>
      <w:bookmarkStart w:id="10" w:name="_Toc375311134"/>
      <w:r>
        <w:rPr>
          <w:rFonts w:eastAsia="楷体_GB2312"/>
          <w:sz w:val="32"/>
          <w:szCs w:val="32"/>
        </w:rPr>
        <w:t>（十）产品注册</w:t>
      </w:r>
      <w:bookmarkEnd w:id="10"/>
      <w:r>
        <w:rPr>
          <w:rFonts w:eastAsia="楷体_GB2312"/>
          <w:sz w:val="32"/>
          <w:szCs w:val="32"/>
        </w:rPr>
        <w:t>检验报告</w:t>
      </w:r>
    </w:p>
    <w:p w14:paraId="6036051D">
      <w:pPr>
        <w:spacing w:line="500" w:lineRule="exact"/>
        <w:ind w:firstLine="640" w:firstLineChars="200"/>
        <w:rPr>
          <w:rFonts w:eastAsia="仿宋_GB2312"/>
          <w:sz w:val="32"/>
          <w:szCs w:val="32"/>
        </w:rPr>
      </w:pPr>
      <w:r>
        <w:rPr>
          <w:rFonts w:eastAsia="仿宋_GB2312"/>
          <w:sz w:val="32"/>
          <w:szCs w:val="32"/>
        </w:rPr>
        <w:t>根据《办法》要求，申请注册的第三类体外诊断试剂应在国家食品药品监督管理总局认可的、具有相应承检范围的医疗器械检验机构进行连续三个生产批次样品的注册检验。</w:t>
      </w:r>
    </w:p>
    <w:p w14:paraId="721CFE5B">
      <w:pPr>
        <w:spacing w:line="500" w:lineRule="exact"/>
        <w:ind w:firstLine="640" w:firstLineChars="200"/>
        <w:rPr>
          <w:rFonts w:eastAsia="楷体_GB2312"/>
          <w:sz w:val="32"/>
          <w:szCs w:val="32"/>
        </w:rPr>
      </w:pPr>
      <w:bookmarkStart w:id="11" w:name="_Toc342306961"/>
      <w:r>
        <w:rPr>
          <w:rFonts w:eastAsia="楷体_GB2312"/>
          <w:sz w:val="32"/>
          <w:szCs w:val="32"/>
        </w:rPr>
        <w:t>（十一）产品说明书</w:t>
      </w:r>
      <w:bookmarkEnd w:id="11"/>
    </w:p>
    <w:p w14:paraId="7A3027B1">
      <w:pPr>
        <w:spacing w:line="480" w:lineRule="exact"/>
        <w:ind w:firstLine="640" w:firstLineChars="200"/>
        <w:rPr>
          <w:rFonts w:eastAsia="仿宋_GB2312"/>
          <w:sz w:val="32"/>
          <w:szCs w:val="32"/>
        </w:rPr>
      </w:pPr>
      <w:r>
        <w:rPr>
          <w:rFonts w:eastAsia="仿宋_GB2312"/>
          <w:sz w:val="32"/>
          <w:szCs w:val="32"/>
        </w:rPr>
        <w:t>说明书承载了产品预期用途、试验原理、试验方法、检测结果解释以及注意事项等重要信息，是指导实验室工作人员正确操作、临床医生针对检验结果给出合理医学解释的重要依据，因此，产品说明书是体外诊断试剂注册申报最重要的文件之一。产品说明书的格式应符合</w:t>
      </w:r>
      <w:r>
        <w:rPr>
          <w:rFonts w:eastAsia="仿宋_GB2312"/>
          <w:kern w:val="0"/>
          <w:sz w:val="32"/>
          <w:szCs w:val="32"/>
        </w:rPr>
        <w:t>《体外诊断试剂说明书编写指导原则》的要求，</w:t>
      </w:r>
      <w:r>
        <w:rPr>
          <w:rFonts w:eastAsia="仿宋_GB2312"/>
          <w:sz w:val="32"/>
          <w:szCs w:val="32"/>
        </w:rPr>
        <w:t>境外产品的中文说明书除格式要求外，其内容应尽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列明参考文献的相关信息。</w:t>
      </w:r>
    </w:p>
    <w:p w14:paraId="7270A718">
      <w:pPr>
        <w:autoSpaceDE w:val="0"/>
        <w:autoSpaceDN w:val="0"/>
        <w:adjustRightInd w:val="0"/>
        <w:spacing w:line="480" w:lineRule="exact"/>
        <w:ind w:firstLine="640" w:firstLineChars="200"/>
        <w:rPr>
          <w:rFonts w:eastAsia="仿宋_GB2312"/>
          <w:sz w:val="32"/>
          <w:szCs w:val="32"/>
        </w:rPr>
      </w:pPr>
      <w:r>
        <w:rPr>
          <w:rFonts w:eastAsia="仿宋_GB2312"/>
          <w:sz w:val="32"/>
          <w:szCs w:val="32"/>
        </w:rPr>
        <w:t>以下内容仅对人红细胞反定型试剂说明书的重点内容进行详细说明，说明书其他内容应根据</w:t>
      </w:r>
      <w:r>
        <w:rPr>
          <w:rFonts w:eastAsia="仿宋_GB2312"/>
          <w:kern w:val="0"/>
          <w:sz w:val="32"/>
          <w:szCs w:val="32"/>
        </w:rPr>
        <w:t>《体外诊断试剂说明书编写指导原则》要求</w:t>
      </w:r>
      <w:r>
        <w:rPr>
          <w:rFonts w:eastAsia="仿宋_GB2312"/>
          <w:sz w:val="32"/>
          <w:szCs w:val="32"/>
        </w:rPr>
        <w:t>进行编写。</w:t>
      </w:r>
    </w:p>
    <w:p w14:paraId="21C33ED3">
      <w:pPr>
        <w:spacing w:line="480" w:lineRule="exact"/>
        <w:ind w:firstLine="640" w:firstLineChars="200"/>
        <w:rPr>
          <w:rFonts w:eastAsia="仿宋_GB2312"/>
          <w:sz w:val="32"/>
          <w:szCs w:val="32"/>
        </w:rPr>
      </w:pPr>
      <w:r>
        <w:rPr>
          <w:rFonts w:eastAsia="仿宋_GB2312"/>
          <w:sz w:val="32"/>
          <w:szCs w:val="32"/>
        </w:rPr>
        <w:t>1.【预期用途】</w:t>
      </w:r>
    </w:p>
    <w:p w14:paraId="2217D3FA">
      <w:pPr>
        <w:spacing w:line="480" w:lineRule="exact"/>
        <w:ind w:firstLine="640" w:firstLineChars="200"/>
        <w:rPr>
          <w:rFonts w:eastAsia="仿宋_GB2312"/>
          <w:sz w:val="32"/>
          <w:szCs w:val="32"/>
        </w:rPr>
      </w:pPr>
      <w:r>
        <w:rPr>
          <w:rFonts w:eastAsia="仿宋_GB2312"/>
          <w:sz w:val="32"/>
          <w:szCs w:val="32"/>
        </w:rPr>
        <w:t>（1）写明本试剂用于人血型的反定型检测，同时明确不用于血源筛查，仅用于临床检验。</w:t>
      </w:r>
    </w:p>
    <w:p w14:paraId="215A6F87">
      <w:pPr>
        <w:spacing w:line="480" w:lineRule="exact"/>
        <w:ind w:firstLine="640" w:firstLineChars="200"/>
        <w:rPr>
          <w:rFonts w:eastAsia="仿宋_GB2312"/>
          <w:sz w:val="32"/>
          <w:szCs w:val="32"/>
        </w:rPr>
      </w:pPr>
      <w:r>
        <w:rPr>
          <w:rFonts w:eastAsia="仿宋_GB2312"/>
          <w:sz w:val="32"/>
          <w:szCs w:val="32"/>
        </w:rPr>
        <w:t>（2）明确产品的检测结果必须结合正定型的检测结果才能进行ABO血型的准确定型。</w:t>
      </w:r>
    </w:p>
    <w:p w14:paraId="0C593E61">
      <w:pPr>
        <w:spacing w:line="480" w:lineRule="exact"/>
        <w:ind w:firstLine="640" w:firstLineChars="200"/>
        <w:rPr>
          <w:rFonts w:eastAsia="仿宋_GB2312"/>
          <w:sz w:val="32"/>
          <w:szCs w:val="32"/>
        </w:rPr>
      </w:pPr>
      <w:r>
        <w:rPr>
          <w:rFonts w:eastAsia="仿宋_GB2312"/>
          <w:sz w:val="32"/>
          <w:szCs w:val="32"/>
        </w:rPr>
        <w:t>（3）说明与预期用途相关的临床适应症背景情况，说明相关的临床或实验室诊断方法。</w:t>
      </w:r>
    </w:p>
    <w:p w14:paraId="65BCD34F">
      <w:pPr>
        <w:spacing w:line="480" w:lineRule="exact"/>
        <w:ind w:firstLine="640" w:firstLineChars="200"/>
        <w:rPr>
          <w:rFonts w:eastAsia="仿宋_GB2312"/>
          <w:sz w:val="32"/>
          <w:szCs w:val="32"/>
        </w:rPr>
      </w:pPr>
      <w:r>
        <w:rPr>
          <w:rFonts w:eastAsia="仿宋_GB2312"/>
          <w:sz w:val="32"/>
          <w:szCs w:val="32"/>
        </w:rPr>
        <w:t>2.【储存条件及有效期】</w:t>
      </w:r>
    </w:p>
    <w:p w14:paraId="69009F1C">
      <w:pPr>
        <w:spacing w:line="480" w:lineRule="exact"/>
        <w:ind w:firstLine="640" w:firstLineChars="200"/>
        <w:rPr>
          <w:rFonts w:eastAsia="仿宋_GB2312"/>
          <w:sz w:val="32"/>
          <w:szCs w:val="32"/>
        </w:rPr>
      </w:pPr>
      <w:r>
        <w:rPr>
          <w:rFonts w:eastAsia="仿宋_GB2312"/>
          <w:sz w:val="32"/>
          <w:szCs w:val="32"/>
        </w:rPr>
        <w:t>说明试剂的储存条件及有效期、开瓶稳定性、运输稳定性等。</w:t>
      </w:r>
    </w:p>
    <w:p w14:paraId="680F4F0C">
      <w:pPr>
        <w:spacing w:line="480" w:lineRule="exact"/>
        <w:ind w:firstLine="640" w:firstLineChars="200"/>
        <w:rPr>
          <w:rFonts w:eastAsia="仿宋_GB2312"/>
          <w:sz w:val="32"/>
          <w:szCs w:val="32"/>
        </w:rPr>
      </w:pPr>
      <w:r>
        <w:rPr>
          <w:rFonts w:eastAsia="仿宋_GB2312"/>
          <w:sz w:val="32"/>
          <w:szCs w:val="32"/>
        </w:rPr>
        <w:t>3.【样本要求】</w:t>
      </w:r>
    </w:p>
    <w:p w14:paraId="6DDFF73C">
      <w:pPr>
        <w:spacing w:line="480" w:lineRule="exact"/>
        <w:ind w:firstLine="640" w:firstLineChars="200"/>
        <w:rPr>
          <w:rFonts w:eastAsia="仿宋_GB2312"/>
          <w:sz w:val="32"/>
          <w:szCs w:val="32"/>
        </w:rPr>
      </w:pPr>
      <w:r>
        <w:rPr>
          <w:rFonts w:eastAsia="仿宋_GB2312"/>
          <w:sz w:val="32"/>
          <w:szCs w:val="32"/>
        </w:rPr>
        <w:t>明确溶血、脂血、黄疸样本是否可以使用，或提供使用此类样本的最低要求。依据稳定性研究结果写明样本稳定性。</w:t>
      </w:r>
    </w:p>
    <w:p w14:paraId="4BFCC1B1">
      <w:pPr>
        <w:spacing w:line="480" w:lineRule="exact"/>
        <w:ind w:firstLine="640" w:firstLineChars="200"/>
        <w:rPr>
          <w:rFonts w:eastAsia="仿宋_GB2312"/>
          <w:sz w:val="32"/>
          <w:szCs w:val="32"/>
        </w:rPr>
      </w:pPr>
      <w:r>
        <w:rPr>
          <w:rFonts w:eastAsia="仿宋_GB2312"/>
          <w:sz w:val="32"/>
          <w:szCs w:val="32"/>
        </w:rPr>
        <w:t>明确适用的抗凝剂的要求。</w:t>
      </w:r>
    </w:p>
    <w:p w14:paraId="420337F2">
      <w:pPr>
        <w:spacing w:line="480" w:lineRule="exact"/>
        <w:ind w:firstLine="640" w:firstLineChars="200"/>
        <w:rPr>
          <w:rFonts w:eastAsia="仿宋_GB2312"/>
          <w:sz w:val="32"/>
          <w:szCs w:val="32"/>
        </w:rPr>
      </w:pPr>
      <w:r>
        <w:rPr>
          <w:rFonts w:eastAsia="仿宋_GB2312"/>
          <w:sz w:val="32"/>
          <w:szCs w:val="32"/>
        </w:rPr>
        <w:t>明确具体的样本采集、处理方法及过程。</w:t>
      </w:r>
    </w:p>
    <w:p w14:paraId="2672BF0C">
      <w:pPr>
        <w:spacing w:line="480" w:lineRule="exact"/>
        <w:ind w:firstLine="640" w:firstLineChars="200"/>
        <w:rPr>
          <w:rFonts w:eastAsia="仿宋_GB2312"/>
          <w:kern w:val="0"/>
          <w:sz w:val="32"/>
          <w:szCs w:val="32"/>
        </w:rPr>
      </w:pPr>
      <w:r>
        <w:rPr>
          <w:rFonts w:eastAsia="仿宋_GB2312"/>
          <w:kern w:val="0"/>
          <w:sz w:val="32"/>
          <w:szCs w:val="32"/>
        </w:rPr>
        <w:t>4.【阳性判断值】</w:t>
      </w:r>
    </w:p>
    <w:p w14:paraId="2E26D900">
      <w:pPr>
        <w:spacing w:line="500" w:lineRule="exact"/>
        <w:ind w:firstLine="640" w:firstLineChars="200"/>
        <w:rPr>
          <w:rFonts w:eastAsia="仿宋_GB2312"/>
          <w:sz w:val="32"/>
          <w:szCs w:val="32"/>
        </w:rPr>
      </w:pPr>
      <w:r>
        <w:rPr>
          <w:rFonts w:eastAsia="仿宋_GB2312"/>
          <w:kern w:val="0"/>
          <w:sz w:val="32"/>
          <w:szCs w:val="32"/>
        </w:rPr>
        <w:t>明确各种试验方法的结果判断方法及标准，并通过</w:t>
      </w:r>
      <w:r>
        <w:rPr>
          <w:rFonts w:eastAsia="仿宋_GB2312"/>
          <w:sz w:val="32"/>
          <w:szCs w:val="32"/>
        </w:rPr>
        <w:t>不同凝集强度的图例或照片进行详细解释。</w:t>
      </w:r>
    </w:p>
    <w:p w14:paraId="50702382">
      <w:pPr>
        <w:spacing w:line="500" w:lineRule="exact"/>
        <w:ind w:firstLine="640" w:firstLineChars="200"/>
        <w:rPr>
          <w:rFonts w:eastAsia="仿宋_GB2312"/>
          <w:sz w:val="32"/>
          <w:szCs w:val="32"/>
        </w:rPr>
      </w:pPr>
      <w:r>
        <w:rPr>
          <w:rFonts w:eastAsia="仿宋_GB2312"/>
          <w:sz w:val="32"/>
          <w:szCs w:val="32"/>
        </w:rPr>
        <w:t>5.【检验方法】</w:t>
      </w:r>
    </w:p>
    <w:p w14:paraId="6AEEF2C3">
      <w:pPr>
        <w:spacing w:line="500" w:lineRule="exact"/>
        <w:ind w:firstLine="640" w:firstLineChars="200"/>
        <w:rPr>
          <w:rFonts w:eastAsia="仿宋_GB2312"/>
          <w:sz w:val="32"/>
          <w:szCs w:val="32"/>
        </w:rPr>
      </w:pPr>
      <w:r>
        <w:rPr>
          <w:rFonts w:eastAsia="仿宋_GB2312"/>
          <w:sz w:val="32"/>
          <w:szCs w:val="32"/>
        </w:rPr>
        <w:t>如适用于不同的试验方法请分别写明具体方法及操作步骤。如配合其他试剂进行试验，需注明试验方法应完全符合配合试剂的试验操作要求。</w:t>
      </w:r>
    </w:p>
    <w:p w14:paraId="2190AA68">
      <w:pPr>
        <w:spacing w:line="500" w:lineRule="exact"/>
        <w:ind w:firstLine="640" w:firstLineChars="200"/>
        <w:rPr>
          <w:rFonts w:eastAsia="仿宋_GB2312"/>
          <w:sz w:val="32"/>
          <w:szCs w:val="32"/>
        </w:rPr>
      </w:pPr>
      <w:r>
        <w:rPr>
          <w:rFonts w:eastAsia="仿宋_GB2312"/>
          <w:sz w:val="32"/>
          <w:szCs w:val="32"/>
        </w:rPr>
        <w:t>质控要求：为确保试剂测定的准确性，每天要使用已知弱反应性抗血清测定试剂细胞的反应性。每次测定时用自身细胞进行同步对照是有意义的。应根据相关规定进行每日质控试验。</w:t>
      </w:r>
    </w:p>
    <w:p w14:paraId="20FA0874">
      <w:pPr>
        <w:spacing w:line="500" w:lineRule="exact"/>
        <w:ind w:firstLine="640" w:firstLineChars="200"/>
        <w:rPr>
          <w:rFonts w:eastAsia="仿宋_GB2312"/>
          <w:sz w:val="32"/>
          <w:szCs w:val="32"/>
        </w:rPr>
      </w:pPr>
      <w:r>
        <w:rPr>
          <w:rFonts w:eastAsia="仿宋_GB2312"/>
          <w:sz w:val="32"/>
          <w:szCs w:val="32"/>
        </w:rPr>
        <w:t>6.【检验方法的局限性】</w:t>
      </w:r>
    </w:p>
    <w:p w14:paraId="4AA9D7AD">
      <w:pPr>
        <w:spacing w:line="500" w:lineRule="exact"/>
        <w:ind w:firstLine="640" w:firstLineChars="200"/>
        <w:rPr>
          <w:rFonts w:eastAsia="仿宋_GB2312"/>
          <w:sz w:val="32"/>
          <w:szCs w:val="32"/>
        </w:rPr>
      </w:pPr>
      <w:r>
        <w:rPr>
          <w:rFonts w:eastAsia="仿宋_GB2312"/>
          <w:sz w:val="32"/>
          <w:szCs w:val="32"/>
        </w:rPr>
        <w:t>（1）老年人及儿童ABO 抗体弱，某些疾病患者如肿瘤、多发性骨髓瘤、消化道疾病等反定型会出现弱反应，甚至阴性反应，结果应慎重解释。</w:t>
      </w:r>
    </w:p>
    <w:p w14:paraId="5B2602F6">
      <w:pPr>
        <w:spacing w:line="500" w:lineRule="exact"/>
        <w:ind w:firstLine="640" w:firstLineChars="200"/>
        <w:rPr>
          <w:rFonts w:eastAsia="仿宋_GB2312"/>
          <w:sz w:val="32"/>
          <w:szCs w:val="32"/>
        </w:rPr>
      </w:pPr>
      <w:r>
        <w:rPr>
          <w:rFonts w:eastAsia="仿宋_GB2312"/>
          <w:sz w:val="32"/>
          <w:szCs w:val="32"/>
        </w:rPr>
        <w:t>（2）必须与正定型血型检测同时进行，正反定型结果一致才能确定ABO血型。正反定型不一致时需要进一步检测，单独的反定型结果不能作为判断ABO血型的依据。</w:t>
      </w:r>
    </w:p>
    <w:p w14:paraId="2D86751A">
      <w:pPr>
        <w:spacing w:line="500" w:lineRule="exact"/>
        <w:ind w:firstLine="640" w:firstLineChars="200"/>
        <w:rPr>
          <w:rFonts w:eastAsia="仿宋_GB2312"/>
          <w:sz w:val="32"/>
          <w:szCs w:val="32"/>
        </w:rPr>
      </w:pPr>
      <w:r>
        <w:rPr>
          <w:rFonts w:eastAsia="仿宋_GB2312"/>
          <w:sz w:val="32"/>
          <w:szCs w:val="32"/>
        </w:rPr>
        <w:t>（3）绝大多数A、B和O型血的ABO抗体凝集强度均较强，如凝集强度为2+以下，应对弱阳性反应进行确认，以排除干扰或亚型，确保正确的ABO定型。</w:t>
      </w:r>
    </w:p>
    <w:p w14:paraId="536F2B67">
      <w:pPr>
        <w:spacing w:line="520" w:lineRule="exact"/>
        <w:ind w:firstLine="420" w:firstLineChars="200"/>
        <w:jc w:val="center"/>
        <w:rPr>
          <w:rFonts w:hint="eastAsia" w:eastAsia="宋体"/>
          <w:lang w:eastAsia="zh-CN"/>
        </w:rPr>
      </w:pPr>
    </w:p>
    <w:p w14:paraId="46F2EED5">
      <w:pPr>
        <w:spacing w:line="520" w:lineRule="exact"/>
        <w:ind w:firstLine="420" w:firstLineChars="200"/>
        <w:jc w:val="center"/>
        <w:rPr>
          <w:rFonts w:hint="eastAsia" w:eastAsia="宋体"/>
          <w:lang w:eastAsia="zh-CN"/>
        </w:rPr>
      </w:pPr>
    </w:p>
    <w:p w14:paraId="541761A0">
      <w:pPr>
        <w:spacing w:line="520" w:lineRule="exact"/>
        <w:ind w:firstLine="420" w:firstLineChars="20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8F6F2">
    <w:pPr>
      <w:pStyle w:val="2"/>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r>
      <w:rPr>
        <w:rFonts w:hint="eastAsia"/>
        <w:color w:val="FFFFFF"/>
        <w:sz w:val="28"/>
        <w:szCs w:val="28"/>
      </w:rPr>
      <w:t>—</w:t>
    </w:r>
  </w:p>
  <w:p w14:paraId="242075C0">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27428">
    <w:pPr>
      <w:pStyle w:val="2"/>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r>
      <w:rPr>
        <w:rFonts w:hint="eastAsia"/>
        <w:sz w:val="28"/>
        <w:szCs w:val="28"/>
      </w:rPr>
      <w:t>—</w:t>
    </w:r>
  </w:p>
  <w:p w14:paraId="7B3428DF">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750DF"/>
    <w:rsid w:val="00137C43"/>
    <w:rsid w:val="003750DF"/>
    <w:rsid w:val="005F43A6"/>
    <w:rsid w:val="008063DC"/>
    <w:rsid w:val="00A8365B"/>
    <w:rsid w:val="00C22DAF"/>
    <w:rsid w:val="00CF152C"/>
    <w:rsid w:val="00D87E22"/>
    <w:rsid w:val="00E7289A"/>
    <w:rsid w:val="00EF20FC"/>
    <w:rsid w:val="1CA971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CFDA</Company>
  <Pages>11</Pages>
  <Words>5737</Words>
  <Characters>5953</Characters>
  <Lines>43</Lines>
  <Paragraphs>12</Paragraphs>
  <TotalTime>2</TotalTime>
  <ScaleCrop>false</ScaleCrop>
  <LinksUpToDate>false</LinksUpToDate>
  <CharactersWithSpaces>5959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2017-09-21T02:01:00Z</dcterms:created>
  <dc:creator>杜婧举</dc:creator>
  <cp:lastModifiedBy>太极箫客</cp:lastModifiedBy>
  <dcterms:modified xsi:type="dcterms:W3CDTF">2025-08-14T06:30:48Z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935C96F452E24D63BDECBC0F308C580F_12</vt:lpwstr>
  </property>
</Properties>
</file>