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9DBF1">
      <w:pPr>
        <w:spacing w:line="276" w:lineRule="auto"/>
        <w:jc w:val="both"/>
      </w:pPr>
      <w:bookmarkStart w:id="0" w:name="_GoBack"/>
      <w:bookmarkEnd w:id="0"/>
      <w:r>
        <w:rPr>
          <w:rFonts w:hint="eastAsia" w:ascii="&quot;Times New Roman&quot;" w:hAnsi="&quot;Times New Roman&quot;" w:eastAsia="&quot;Times New Roman&quot;"/>
          <w:b/>
          <w:sz w:val="24"/>
        </w:rPr>
        <w:t>修订记录</w:t>
      </w:r>
    </w:p>
    <w:tbl>
      <w:tblPr>
        <w:tblW w:w="0" w:type="auto"/>
        <w:tblInd w:w="0" w:type="dxa"/>
        <w:tblLayout w:type="fixed"/>
        <w:tblCellMar>
          <w:top w:w="0" w:type="dxa"/>
          <w:left w:w="108" w:type="dxa"/>
          <w:bottom w:w="0" w:type="dxa"/>
          <w:right w:w="108" w:type="dxa"/>
        </w:tblCellMar>
      </w:tblPr>
      <w:tblGrid>
        <w:gridCol w:w="1805"/>
        <w:gridCol w:w="1805"/>
        <w:gridCol w:w="1805"/>
        <w:gridCol w:w="1805"/>
        <w:gridCol w:w="1805"/>
      </w:tblGrid>
      <w:tr w14:paraId="0A7BE806">
        <w:tc>
          <w:tcPr>
            <w:tcBorders>
              <w:top w:val="single" w:color="auto" w:sz="6" w:space="0"/>
              <w:left w:val="single" w:color="auto" w:sz="6" w:space="0"/>
              <w:bottom w:val="single" w:color="auto" w:sz="6" w:space="0"/>
              <w:right w:val="single" w:color="auto" w:sz="6" w:space="0"/>
            </w:tcBorders>
          </w:tcPr>
          <w:p w14:paraId="46BE2175">
            <w:r>
              <w:rPr>
                <w:rFonts w:hint="eastAsia" w:ascii="&quot;Times New Roman&quot;" w:hAnsi="&quot;Times New Roman&quot;" w:eastAsia="&quot;Times New Roman&quot;"/>
                <w:sz w:val="24"/>
              </w:rPr>
              <w:t>日期</w:t>
            </w:r>
          </w:p>
        </w:tc>
        <w:tc>
          <w:tcPr>
            <w:tcBorders>
              <w:top w:val="single" w:color="auto" w:sz="6" w:space="0"/>
              <w:left w:val="single" w:color="auto" w:sz="6" w:space="0"/>
              <w:bottom w:val="single" w:color="auto" w:sz="6" w:space="0"/>
              <w:right w:val="single" w:color="auto" w:sz="6" w:space="0"/>
            </w:tcBorders>
          </w:tcPr>
          <w:p w14:paraId="44210913">
            <w:r>
              <w:rPr>
                <w:rFonts w:hint="eastAsia" w:ascii="&quot;Times New Roman&quot;" w:hAnsi="&quot;Times New Roman&quot;" w:eastAsia="&quot;Times New Roman&quot;"/>
                <w:sz w:val="24"/>
              </w:rPr>
              <w:t>版本</w:t>
            </w:r>
          </w:p>
        </w:tc>
        <w:tc>
          <w:tcPr>
            <w:tcBorders>
              <w:top w:val="single" w:color="auto" w:sz="6" w:space="0"/>
              <w:left w:val="single" w:color="auto" w:sz="6" w:space="0"/>
              <w:bottom w:val="single" w:color="auto" w:sz="6" w:space="0"/>
              <w:right w:val="single" w:color="auto" w:sz="6" w:space="0"/>
            </w:tcBorders>
          </w:tcPr>
          <w:p w14:paraId="140EE840">
            <w:r>
              <w:rPr>
                <w:rFonts w:hint="eastAsia" w:ascii="&quot;Times New Roman&quot;" w:hAnsi="&quot;Times New Roman&quot;" w:eastAsia="&quot;Times New Roman&quot;"/>
                <w:sz w:val="24"/>
              </w:rPr>
              <w:t>申请单号</w:t>
            </w:r>
          </w:p>
        </w:tc>
        <w:tc>
          <w:tcPr>
            <w:tcBorders>
              <w:top w:val="single" w:color="auto" w:sz="6" w:space="0"/>
              <w:left w:val="single" w:color="auto" w:sz="6" w:space="0"/>
              <w:bottom w:val="single" w:color="auto" w:sz="6" w:space="0"/>
              <w:right w:val="single" w:color="auto" w:sz="6" w:space="0"/>
            </w:tcBorders>
          </w:tcPr>
          <w:p w14:paraId="46F3FFAC">
            <w:r>
              <w:rPr>
                <w:rFonts w:hint="eastAsia" w:ascii="&quot;Times New Roman&quot;" w:hAnsi="&quot;Times New Roman&quot;" w:eastAsia="&quot;Times New Roman&quot;"/>
                <w:sz w:val="24"/>
              </w:rPr>
              <w:t>修改记录</w:t>
            </w:r>
          </w:p>
        </w:tc>
        <w:tc>
          <w:tcPr>
            <w:tcBorders>
              <w:top w:val="single" w:color="auto" w:sz="6" w:space="0"/>
              <w:left w:val="single" w:color="auto" w:sz="6" w:space="0"/>
              <w:bottom w:val="single" w:color="auto" w:sz="6" w:space="0"/>
              <w:right w:val="single" w:color="auto" w:sz="6" w:space="0"/>
            </w:tcBorders>
          </w:tcPr>
          <w:p w14:paraId="552A159D">
            <w:r>
              <w:rPr>
                <w:rFonts w:hint="eastAsia" w:ascii="&quot;Times New Roman&quot;" w:hAnsi="&quot;Times New Roman&quot;" w:eastAsia="&quot;Times New Roman&quot;"/>
                <w:sz w:val="24"/>
              </w:rPr>
              <w:t>修改人</w:t>
            </w:r>
          </w:p>
        </w:tc>
      </w:tr>
      <w:tr w14:paraId="78ECAA86">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2A05A267">
            <w:r>
              <w:rPr>
                <w:rFonts w:hint="eastAsia" w:ascii="&quot;Times New Roman&quot;" w:hAnsi="&quot;Times New Roman&quot;" w:eastAsia="&quot;Times New Roman&quot;"/>
                <w:sz w:val="24"/>
              </w:rPr>
              <w:t>2020.11.09</w:t>
            </w:r>
          </w:p>
        </w:tc>
        <w:tc>
          <w:tcPr>
            <w:tcBorders>
              <w:top w:val="single" w:color="auto" w:sz="6" w:space="0"/>
              <w:left w:val="single" w:color="auto" w:sz="6" w:space="0"/>
              <w:bottom w:val="single" w:color="auto" w:sz="6" w:space="0"/>
              <w:right w:val="single" w:color="auto" w:sz="6" w:space="0"/>
            </w:tcBorders>
          </w:tcPr>
          <w:p w14:paraId="6076B6ED">
            <w:r>
              <w:rPr>
                <w:rFonts w:hint="eastAsia" w:ascii="&quot;Times New Roman&quot;" w:hAnsi="&quot;Times New Roman&quot;" w:eastAsia="&quot;Times New Roman&quot;"/>
                <w:sz w:val="24"/>
              </w:rPr>
              <w:t>A0</w:t>
            </w:r>
          </w:p>
        </w:tc>
        <w:tc>
          <w:tcPr>
            <w:tcBorders>
              <w:top w:val="single" w:color="auto" w:sz="6" w:space="0"/>
              <w:left w:val="single" w:color="auto" w:sz="6" w:space="0"/>
              <w:bottom w:val="single" w:color="auto" w:sz="6" w:space="0"/>
              <w:right w:val="single" w:color="auto" w:sz="6" w:space="0"/>
            </w:tcBorders>
          </w:tcPr>
          <w:p w14:paraId="036B0EAF">
            <w:r>
              <w:rPr>
                <w:rFonts w:hint="eastAsia" w:ascii="&quot;Times New Roman&quot;" w:hAnsi="&quot;Times New Roman&quot;" w:eastAsia="&quot;Times New Roman&quot;"/>
                <w:sz w:val="24"/>
              </w:rPr>
              <w:t>/</w:t>
            </w:r>
          </w:p>
        </w:tc>
        <w:tc>
          <w:tcPr>
            <w:tcBorders>
              <w:top w:val="single" w:color="auto" w:sz="6" w:space="0"/>
              <w:left w:val="single" w:color="auto" w:sz="6" w:space="0"/>
              <w:bottom w:val="single" w:color="auto" w:sz="6" w:space="0"/>
              <w:right w:val="single" w:color="auto" w:sz="6" w:space="0"/>
            </w:tcBorders>
          </w:tcPr>
          <w:p w14:paraId="109C2D16">
            <w:r>
              <w:rPr>
                <w:rFonts w:hint="eastAsia" w:ascii="&quot;Times New Roman&quot;" w:hAnsi="&quot;Times New Roman&quot;" w:eastAsia="&quot;Times New Roman&quot;"/>
                <w:sz w:val="24"/>
              </w:rPr>
              <w:t>新版发行</w:t>
            </w:r>
          </w:p>
        </w:tc>
        <w:tc>
          <w:tcPr>
            <w:tcBorders>
              <w:top w:val="single" w:color="auto" w:sz="6" w:space="0"/>
              <w:left w:val="single" w:color="auto" w:sz="6" w:space="0"/>
              <w:bottom w:val="single" w:color="auto" w:sz="6" w:space="0"/>
              <w:right w:val="single" w:color="auto" w:sz="6" w:space="0"/>
            </w:tcBorders>
          </w:tcPr>
          <w:p w14:paraId="0A08BEA8">
            <w:r>
              <w:rPr>
                <w:rFonts w:hint="eastAsia" w:ascii="&quot;Times New Roman&quot;" w:hAnsi="&quot;Times New Roman&quot;" w:eastAsia="&quot;Times New Roman&quot;"/>
                <w:sz w:val="24"/>
              </w:rPr>
              <w:t>/</w:t>
            </w:r>
          </w:p>
        </w:tc>
      </w:tr>
      <w:tr w14:paraId="02AA4A71">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225E9BB4"/>
        </w:tc>
        <w:tc>
          <w:tcPr>
            <w:tcBorders>
              <w:top w:val="single" w:color="auto" w:sz="6" w:space="0"/>
              <w:left w:val="single" w:color="auto" w:sz="6" w:space="0"/>
              <w:bottom w:val="single" w:color="auto" w:sz="6" w:space="0"/>
              <w:right w:val="single" w:color="auto" w:sz="6" w:space="0"/>
            </w:tcBorders>
          </w:tcPr>
          <w:p w14:paraId="1EECEF72"/>
        </w:tc>
        <w:tc>
          <w:tcPr>
            <w:tcBorders>
              <w:top w:val="single" w:color="auto" w:sz="6" w:space="0"/>
              <w:left w:val="single" w:color="auto" w:sz="6" w:space="0"/>
              <w:bottom w:val="single" w:color="auto" w:sz="6" w:space="0"/>
              <w:right w:val="single" w:color="auto" w:sz="6" w:space="0"/>
            </w:tcBorders>
          </w:tcPr>
          <w:p w14:paraId="0FD45499"/>
        </w:tc>
        <w:tc>
          <w:tcPr>
            <w:tcBorders>
              <w:top w:val="single" w:color="auto" w:sz="6" w:space="0"/>
              <w:left w:val="single" w:color="auto" w:sz="6" w:space="0"/>
              <w:bottom w:val="single" w:color="auto" w:sz="6" w:space="0"/>
              <w:right w:val="single" w:color="auto" w:sz="6" w:space="0"/>
            </w:tcBorders>
          </w:tcPr>
          <w:p w14:paraId="28BD9882"/>
        </w:tc>
        <w:tc>
          <w:tcPr>
            <w:tcBorders>
              <w:top w:val="single" w:color="auto" w:sz="6" w:space="0"/>
              <w:left w:val="single" w:color="auto" w:sz="6" w:space="0"/>
              <w:bottom w:val="single" w:color="auto" w:sz="6" w:space="0"/>
              <w:right w:val="single" w:color="auto" w:sz="6" w:space="0"/>
            </w:tcBorders>
          </w:tcPr>
          <w:p w14:paraId="45AE3F02"/>
        </w:tc>
      </w:tr>
      <w:tr w14:paraId="39FED96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0FAB7978"/>
        </w:tc>
        <w:tc>
          <w:tcPr>
            <w:tcBorders>
              <w:top w:val="single" w:color="auto" w:sz="6" w:space="0"/>
              <w:left w:val="single" w:color="auto" w:sz="6" w:space="0"/>
              <w:bottom w:val="single" w:color="auto" w:sz="6" w:space="0"/>
              <w:right w:val="single" w:color="auto" w:sz="6" w:space="0"/>
            </w:tcBorders>
          </w:tcPr>
          <w:p w14:paraId="3D9C87F3"/>
        </w:tc>
        <w:tc>
          <w:tcPr>
            <w:tcBorders>
              <w:top w:val="single" w:color="auto" w:sz="6" w:space="0"/>
              <w:left w:val="single" w:color="auto" w:sz="6" w:space="0"/>
              <w:bottom w:val="single" w:color="auto" w:sz="6" w:space="0"/>
              <w:right w:val="single" w:color="auto" w:sz="6" w:space="0"/>
            </w:tcBorders>
          </w:tcPr>
          <w:p w14:paraId="0E3B5072"/>
        </w:tc>
        <w:tc>
          <w:tcPr>
            <w:tcBorders>
              <w:top w:val="single" w:color="auto" w:sz="6" w:space="0"/>
              <w:left w:val="single" w:color="auto" w:sz="6" w:space="0"/>
              <w:bottom w:val="single" w:color="auto" w:sz="6" w:space="0"/>
              <w:right w:val="single" w:color="auto" w:sz="6" w:space="0"/>
            </w:tcBorders>
          </w:tcPr>
          <w:p w14:paraId="565AC534"/>
        </w:tc>
        <w:tc>
          <w:tcPr>
            <w:tcBorders>
              <w:top w:val="single" w:color="auto" w:sz="6" w:space="0"/>
              <w:left w:val="single" w:color="auto" w:sz="6" w:space="0"/>
              <w:bottom w:val="single" w:color="auto" w:sz="6" w:space="0"/>
              <w:right w:val="single" w:color="auto" w:sz="6" w:space="0"/>
            </w:tcBorders>
          </w:tcPr>
          <w:p w14:paraId="5305E975"/>
        </w:tc>
      </w:tr>
      <w:tr w14:paraId="55C9E3C5">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7845F3AD"/>
        </w:tc>
        <w:tc>
          <w:tcPr>
            <w:tcBorders>
              <w:top w:val="single" w:color="auto" w:sz="6" w:space="0"/>
              <w:left w:val="single" w:color="auto" w:sz="6" w:space="0"/>
              <w:bottom w:val="single" w:color="auto" w:sz="6" w:space="0"/>
              <w:right w:val="single" w:color="auto" w:sz="6" w:space="0"/>
            </w:tcBorders>
          </w:tcPr>
          <w:p w14:paraId="01A35EFF"/>
        </w:tc>
        <w:tc>
          <w:tcPr>
            <w:tcBorders>
              <w:top w:val="single" w:color="auto" w:sz="6" w:space="0"/>
              <w:left w:val="single" w:color="auto" w:sz="6" w:space="0"/>
              <w:bottom w:val="single" w:color="auto" w:sz="6" w:space="0"/>
              <w:right w:val="single" w:color="auto" w:sz="6" w:space="0"/>
            </w:tcBorders>
          </w:tcPr>
          <w:p w14:paraId="0AB991A7"/>
        </w:tc>
        <w:tc>
          <w:tcPr>
            <w:tcBorders>
              <w:top w:val="single" w:color="auto" w:sz="6" w:space="0"/>
              <w:left w:val="single" w:color="auto" w:sz="6" w:space="0"/>
              <w:bottom w:val="single" w:color="auto" w:sz="6" w:space="0"/>
              <w:right w:val="single" w:color="auto" w:sz="6" w:space="0"/>
            </w:tcBorders>
          </w:tcPr>
          <w:p w14:paraId="6064C537"/>
        </w:tc>
        <w:tc>
          <w:tcPr>
            <w:tcBorders>
              <w:top w:val="single" w:color="auto" w:sz="6" w:space="0"/>
              <w:left w:val="single" w:color="auto" w:sz="6" w:space="0"/>
              <w:bottom w:val="single" w:color="auto" w:sz="6" w:space="0"/>
              <w:right w:val="single" w:color="auto" w:sz="6" w:space="0"/>
            </w:tcBorders>
          </w:tcPr>
          <w:p w14:paraId="189300A2"/>
        </w:tc>
      </w:tr>
      <w:tr w14:paraId="6E349536">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9DDE1C1"/>
        </w:tc>
        <w:tc>
          <w:tcPr>
            <w:tcBorders>
              <w:top w:val="single" w:color="auto" w:sz="6" w:space="0"/>
              <w:left w:val="single" w:color="auto" w:sz="6" w:space="0"/>
              <w:bottom w:val="single" w:color="auto" w:sz="6" w:space="0"/>
              <w:right w:val="single" w:color="auto" w:sz="6" w:space="0"/>
            </w:tcBorders>
          </w:tcPr>
          <w:p w14:paraId="5C052F1A"/>
        </w:tc>
        <w:tc>
          <w:tcPr>
            <w:tcBorders>
              <w:top w:val="single" w:color="auto" w:sz="6" w:space="0"/>
              <w:left w:val="single" w:color="auto" w:sz="6" w:space="0"/>
              <w:bottom w:val="single" w:color="auto" w:sz="6" w:space="0"/>
              <w:right w:val="single" w:color="auto" w:sz="6" w:space="0"/>
            </w:tcBorders>
          </w:tcPr>
          <w:p w14:paraId="70467BEA"/>
        </w:tc>
        <w:tc>
          <w:tcPr>
            <w:tcBorders>
              <w:top w:val="single" w:color="auto" w:sz="6" w:space="0"/>
              <w:left w:val="single" w:color="auto" w:sz="6" w:space="0"/>
              <w:bottom w:val="single" w:color="auto" w:sz="6" w:space="0"/>
              <w:right w:val="single" w:color="auto" w:sz="6" w:space="0"/>
            </w:tcBorders>
          </w:tcPr>
          <w:p w14:paraId="338BD568"/>
        </w:tc>
        <w:tc>
          <w:tcPr>
            <w:tcBorders>
              <w:top w:val="single" w:color="auto" w:sz="6" w:space="0"/>
              <w:left w:val="single" w:color="auto" w:sz="6" w:space="0"/>
              <w:bottom w:val="single" w:color="auto" w:sz="6" w:space="0"/>
              <w:right w:val="single" w:color="auto" w:sz="6" w:space="0"/>
            </w:tcBorders>
          </w:tcPr>
          <w:p w14:paraId="0D4DA267"/>
        </w:tc>
      </w:tr>
      <w:tr w14:paraId="127512E7">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4433E13F"/>
        </w:tc>
        <w:tc>
          <w:tcPr>
            <w:tcBorders>
              <w:top w:val="single" w:color="auto" w:sz="6" w:space="0"/>
              <w:left w:val="single" w:color="auto" w:sz="6" w:space="0"/>
              <w:bottom w:val="single" w:color="auto" w:sz="6" w:space="0"/>
              <w:right w:val="single" w:color="auto" w:sz="6" w:space="0"/>
            </w:tcBorders>
          </w:tcPr>
          <w:p w14:paraId="28E75DF5"/>
        </w:tc>
        <w:tc>
          <w:tcPr>
            <w:tcBorders>
              <w:top w:val="single" w:color="auto" w:sz="6" w:space="0"/>
              <w:left w:val="single" w:color="auto" w:sz="6" w:space="0"/>
              <w:bottom w:val="single" w:color="auto" w:sz="6" w:space="0"/>
              <w:right w:val="single" w:color="auto" w:sz="6" w:space="0"/>
            </w:tcBorders>
          </w:tcPr>
          <w:p w14:paraId="377B3CBE"/>
        </w:tc>
        <w:tc>
          <w:tcPr>
            <w:tcBorders>
              <w:top w:val="single" w:color="auto" w:sz="6" w:space="0"/>
              <w:left w:val="single" w:color="auto" w:sz="6" w:space="0"/>
              <w:bottom w:val="single" w:color="auto" w:sz="6" w:space="0"/>
              <w:right w:val="single" w:color="auto" w:sz="6" w:space="0"/>
            </w:tcBorders>
          </w:tcPr>
          <w:p w14:paraId="40CB4FA5"/>
        </w:tc>
        <w:tc>
          <w:tcPr>
            <w:tcBorders>
              <w:top w:val="single" w:color="auto" w:sz="6" w:space="0"/>
              <w:left w:val="single" w:color="auto" w:sz="6" w:space="0"/>
              <w:bottom w:val="single" w:color="auto" w:sz="6" w:space="0"/>
              <w:right w:val="single" w:color="auto" w:sz="6" w:space="0"/>
            </w:tcBorders>
          </w:tcPr>
          <w:p w14:paraId="2A6CC87C"/>
        </w:tc>
      </w:tr>
      <w:tr w14:paraId="1D74D1FB">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7642C2D0"/>
        </w:tc>
        <w:tc>
          <w:tcPr>
            <w:tcBorders>
              <w:top w:val="single" w:color="auto" w:sz="6" w:space="0"/>
              <w:left w:val="single" w:color="auto" w:sz="6" w:space="0"/>
              <w:bottom w:val="single" w:color="auto" w:sz="6" w:space="0"/>
              <w:right w:val="single" w:color="auto" w:sz="6" w:space="0"/>
            </w:tcBorders>
          </w:tcPr>
          <w:p w14:paraId="0F415DFF"/>
        </w:tc>
        <w:tc>
          <w:tcPr>
            <w:tcBorders>
              <w:top w:val="single" w:color="auto" w:sz="6" w:space="0"/>
              <w:left w:val="single" w:color="auto" w:sz="6" w:space="0"/>
              <w:bottom w:val="single" w:color="auto" w:sz="6" w:space="0"/>
              <w:right w:val="single" w:color="auto" w:sz="6" w:space="0"/>
            </w:tcBorders>
          </w:tcPr>
          <w:p w14:paraId="32566FFD"/>
        </w:tc>
        <w:tc>
          <w:tcPr>
            <w:tcBorders>
              <w:top w:val="single" w:color="auto" w:sz="6" w:space="0"/>
              <w:left w:val="single" w:color="auto" w:sz="6" w:space="0"/>
              <w:bottom w:val="single" w:color="auto" w:sz="6" w:space="0"/>
              <w:right w:val="single" w:color="auto" w:sz="6" w:space="0"/>
            </w:tcBorders>
          </w:tcPr>
          <w:p w14:paraId="51010C64"/>
        </w:tc>
        <w:tc>
          <w:tcPr>
            <w:tcBorders>
              <w:top w:val="single" w:color="auto" w:sz="6" w:space="0"/>
              <w:left w:val="single" w:color="auto" w:sz="6" w:space="0"/>
              <w:bottom w:val="single" w:color="auto" w:sz="6" w:space="0"/>
              <w:right w:val="single" w:color="auto" w:sz="6" w:space="0"/>
            </w:tcBorders>
          </w:tcPr>
          <w:p w14:paraId="76B098E3"/>
        </w:tc>
      </w:tr>
      <w:tr w14:paraId="2835260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A356B2B"/>
        </w:tc>
        <w:tc>
          <w:tcPr>
            <w:tcBorders>
              <w:top w:val="single" w:color="auto" w:sz="6" w:space="0"/>
              <w:left w:val="single" w:color="auto" w:sz="6" w:space="0"/>
              <w:bottom w:val="single" w:color="auto" w:sz="6" w:space="0"/>
              <w:right w:val="single" w:color="auto" w:sz="6" w:space="0"/>
            </w:tcBorders>
          </w:tcPr>
          <w:p w14:paraId="2B6DB620"/>
        </w:tc>
        <w:tc>
          <w:tcPr>
            <w:tcBorders>
              <w:top w:val="single" w:color="auto" w:sz="6" w:space="0"/>
              <w:left w:val="single" w:color="auto" w:sz="6" w:space="0"/>
              <w:bottom w:val="single" w:color="auto" w:sz="6" w:space="0"/>
              <w:right w:val="single" w:color="auto" w:sz="6" w:space="0"/>
            </w:tcBorders>
          </w:tcPr>
          <w:p w14:paraId="637AEEEF"/>
        </w:tc>
        <w:tc>
          <w:tcPr>
            <w:tcBorders>
              <w:top w:val="single" w:color="auto" w:sz="6" w:space="0"/>
              <w:left w:val="single" w:color="auto" w:sz="6" w:space="0"/>
              <w:bottom w:val="single" w:color="auto" w:sz="6" w:space="0"/>
              <w:right w:val="single" w:color="auto" w:sz="6" w:space="0"/>
            </w:tcBorders>
          </w:tcPr>
          <w:p w14:paraId="71555789"/>
        </w:tc>
        <w:tc>
          <w:tcPr>
            <w:tcBorders>
              <w:top w:val="single" w:color="auto" w:sz="6" w:space="0"/>
              <w:left w:val="single" w:color="auto" w:sz="6" w:space="0"/>
              <w:bottom w:val="single" w:color="auto" w:sz="6" w:space="0"/>
              <w:right w:val="single" w:color="auto" w:sz="6" w:space="0"/>
            </w:tcBorders>
          </w:tcPr>
          <w:p w14:paraId="3E03E8EB"/>
        </w:tc>
      </w:tr>
      <w:tr w14:paraId="6BFBF7FF">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7A642CF4"/>
        </w:tc>
        <w:tc>
          <w:tcPr>
            <w:tcBorders>
              <w:top w:val="single" w:color="auto" w:sz="6" w:space="0"/>
              <w:left w:val="single" w:color="auto" w:sz="6" w:space="0"/>
              <w:bottom w:val="single" w:color="auto" w:sz="6" w:space="0"/>
              <w:right w:val="single" w:color="auto" w:sz="6" w:space="0"/>
            </w:tcBorders>
          </w:tcPr>
          <w:p w14:paraId="32BDE4BE"/>
        </w:tc>
        <w:tc>
          <w:tcPr>
            <w:tcBorders>
              <w:top w:val="single" w:color="auto" w:sz="6" w:space="0"/>
              <w:left w:val="single" w:color="auto" w:sz="6" w:space="0"/>
              <w:bottom w:val="single" w:color="auto" w:sz="6" w:space="0"/>
              <w:right w:val="single" w:color="auto" w:sz="6" w:space="0"/>
            </w:tcBorders>
          </w:tcPr>
          <w:p w14:paraId="0163E18B"/>
        </w:tc>
        <w:tc>
          <w:tcPr>
            <w:tcBorders>
              <w:top w:val="single" w:color="auto" w:sz="6" w:space="0"/>
              <w:left w:val="single" w:color="auto" w:sz="6" w:space="0"/>
              <w:bottom w:val="single" w:color="auto" w:sz="6" w:space="0"/>
              <w:right w:val="single" w:color="auto" w:sz="6" w:space="0"/>
            </w:tcBorders>
          </w:tcPr>
          <w:p w14:paraId="7553E5D0"/>
        </w:tc>
        <w:tc>
          <w:tcPr>
            <w:tcBorders>
              <w:top w:val="single" w:color="auto" w:sz="6" w:space="0"/>
              <w:left w:val="single" w:color="auto" w:sz="6" w:space="0"/>
              <w:bottom w:val="single" w:color="auto" w:sz="6" w:space="0"/>
              <w:right w:val="single" w:color="auto" w:sz="6" w:space="0"/>
            </w:tcBorders>
          </w:tcPr>
          <w:p w14:paraId="714B4776"/>
        </w:tc>
      </w:tr>
      <w:tr w14:paraId="1C16BE36">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317B0D7F"/>
        </w:tc>
        <w:tc>
          <w:tcPr>
            <w:tcBorders>
              <w:top w:val="single" w:color="auto" w:sz="6" w:space="0"/>
              <w:left w:val="single" w:color="auto" w:sz="6" w:space="0"/>
              <w:bottom w:val="single" w:color="auto" w:sz="6" w:space="0"/>
              <w:right w:val="single" w:color="auto" w:sz="6" w:space="0"/>
            </w:tcBorders>
          </w:tcPr>
          <w:p w14:paraId="5584E8F7"/>
        </w:tc>
        <w:tc>
          <w:tcPr>
            <w:tcBorders>
              <w:top w:val="single" w:color="auto" w:sz="6" w:space="0"/>
              <w:left w:val="single" w:color="auto" w:sz="6" w:space="0"/>
              <w:bottom w:val="single" w:color="auto" w:sz="6" w:space="0"/>
              <w:right w:val="single" w:color="auto" w:sz="6" w:space="0"/>
            </w:tcBorders>
          </w:tcPr>
          <w:p w14:paraId="142C20C2"/>
        </w:tc>
        <w:tc>
          <w:tcPr>
            <w:tcBorders>
              <w:top w:val="single" w:color="auto" w:sz="6" w:space="0"/>
              <w:left w:val="single" w:color="auto" w:sz="6" w:space="0"/>
              <w:bottom w:val="single" w:color="auto" w:sz="6" w:space="0"/>
              <w:right w:val="single" w:color="auto" w:sz="6" w:space="0"/>
            </w:tcBorders>
          </w:tcPr>
          <w:p w14:paraId="049F1654"/>
        </w:tc>
        <w:tc>
          <w:tcPr>
            <w:tcBorders>
              <w:top w:val="single" w:color="auto" w:sz="6" w:space="0"/>
              <w:left w:val="single" w:color="auto" w:sz="6" w:space="0"/>
              <w:bottom w:val="single" w:color="auto" w:sz="6" w:space="0"/>
              <w:right w:val="single" w:color="auto" w:sz="6" w:space="0"/>
            </w:tcBorders>
          </w:tcPr>
          <w:p w14:paraId="2F286423"/>
        </w:tc>
      </w:tr>
    </w:tbl>
    <w:p w14:paraId="3A88F8E8">
      <w:pPr>
        <w:jc w:val="both"/>
      </w:pPr>
      <w:r>
        <w:rPr>
          <w:rFonts w:hint="eastAsia" w:ascii="&quot;Times New Roman&quot;" w:hAnsi="&quot;Times New Roman&quot;" w:eastAsia="&quot;Times New Roman&quot;"/>
          <w:b/>
          <w:sz w:val="24"/>
        </w:rPr>
        <w:t>审批会签记录</w:t>
      </w:r>
    </w:p>
    <w:tbl>
      <w:tblPr>
        <w:tblW w:w="0" w:type="auto"/>
        <w:tblInd w:w="0" w:type="dxa"/>
        <w:tblLayout w:type="fixed"/>
        <w:tblCellMar>
          <w:top w:w="0" w:type="dxa"/>
          <w:left w:w="108" w:type="dxa"/>
          <w:bottom w:w="0" w:type="dxa"/>
          <w:right w:w="108" w:type="dxa"/>
        </w:tblCellMar>
      </w:tblPr>
      <w:tblGrid>
        <w:gridCol w:w="1805"/>
        <w:gridCol w:w="1805"/>
        <w:gridCol w:w="1805"/>
        <w:gridCol w:w="1805"/>
        <w:gridCol w:w="1805"/>
      </w:tblGrid>
      <w:tr w14:paraId="10E200A7">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2443DC7C"/>
        </w:tc>
        <w:tc>
          <w:tcPr>
            <w:tcBorders>
              <w:top w:val="single" w:color="auto" w:sz="6" w:space="0"/>
              <w:left w:val="single" w:color="auto" w:sz="6" w:space="0"/>
              <w:bottom w:val="single" w:color="auto" w:sz="6" w:space="0"/>
              <w:right w:val="single" w:color="auto" w:sz="6" w:space="0"/>
            </w:tcBorders>
          </w:tcPr>
          <w:p w14:paraId="5176F51B">
            <w:r>
              <w:rPr>
                <w:rFonts w:hint="eastAsia" w:ascii="&quot;Times New Roman&quot;" w:hAnsi="&quot;Times New Roman&quot;" w:eastAsia="&quot;Times New Roman&quot;"/>
                <w:sz w:val="24"/>
              </w:rPr>
              <w:t>部门</w:t>
            </w:r>
          </w:p>
        </w:tc>
        <w:tc>
          <w:tcPr>
            <w:tcBorders>
              <w:top w:val="single" w:color="auto" w:sz="6" w:space="0"/>
              <w:left w:val="single" w:color="auto" w:sz="6" w:space="0"/>
              <w:bottom w:val="single" w:color="auto" w:sz="6" w:space="0"/>
              <w:right w:val="single" w:color="auto" w:sz="6" w:space="0"/>
            </w:tcBorders>
          </w:tcPr>
          <w:p w14:paraId="2AEEFF07">
            <w:r>
              <w:rPr>
                <w:rFonts w:hint="eastAsia" w:ascii="&quot;Times New Roman&quot;" w:hAnsi="&quot;Times New Roman&quot;" w:eastAsia="&quot;Times New Roman&quot;"/>
                <w:sz w:val="24"/>
              </w:rPr>
              <w:t>会签人</w:t>
            </w:r>
          </w:p>
        </w:tc>
        <w:tc>
          <w:tcPr>
            <w:tcBorders>
              <w:top w:val="single" w:color="auto" w:sz="6" w:space="0"/>
              <w:left w:val="single" w:color="auto" w:sz="6" w:space="0"/>
              <w:bottom w:val="single" w:color="auto" w:sz="6" w:space="0"/>
              <w:right w:val="single" w:color="auto" w:sz="6" w:space="0"/>
            </w:tcBorders>
          </w:tcPr>
          <w:p w14:paraId="746BE022">
            <w:r>
              <w:rPr>
                <w:rFonts w:hint="eastAsia" w:ascii="&quot;Times New Roman&quot;" w:hAnsi="&quot;Times New Roman&quot;" w:eastAsia="&quot;Times New Roman&quot;"/>
                <w:sz w:val="24"/>
              </w:rPr>
              <w:t>部门</w:t>
            </w:r>
          </w:p>
        </w:tc>
        <w:tc>
          <w:tcPr>
            <w:tcBorders>
              <w:top w:val="single" w:color="auto" w:sz="6" w:space="0"/>
              <w:left w:val="single" w:color="auto" w:sz="6" w:space="0"/>
              <w:bottom w:val="single" w:color="auto" w:sz="6" w:space="0"/>
              <w:right w:val="single" w:color="auto" w:sz="6" w:space="0"/>
            </w:tcBorders>
          </w:tcPr>
          <w:p w14:paraId="77D6B292">
            <w:r>
              <w:rPr>
                <w:rFonts w:hint="eastAsia" w:ascii="&quot;Times New Roman&quot;" w:hAnsi="&quot;Times New Roman&quot;" w:eastAsia="&quot;Times New Roman&quot;"/>
                <w:sz w:val="24"/>
              </w:rPr>
              <w:t>会签人</w:t>
            </w:r>
          </w:p>
        </w:tc>
      </w:tr>
      <w:tr w14:paraId="1275D2AD">
        <w:tblPrEx>
          <w:tblCellMar>
            <w:top w:w="0" w:type="dxa"/>
            <w:left w:w="108" w:type="dxa"/>
            <w:bottom w:w="0" w:type="dxa"/>
            <w:right w:w="108" w:type="dxa"/>
          </w:tblCellMar>
        </w:tblPrEx>
        <w:tc>
          <w:tcPr>
            <w:vMerge w:val="restart"/>
            <w:tcBorders>
              <w:top w:val="single" w:color="auto" w:sz="6" w:space="0"/>
              <w:left w:val="single" w:color="auto" w:sz="6" w:space="0"/>
              <w:bottom w:val="single" w:color="auto" w:sz="6" w:space="0"/>
              <w:right w:val="single" w:color="auto" w:sz="6" w:space="0"/>
            </w:tcBorders>
          </w:tcPr>
          <w:p w14:paraId="391F0B45">
            <w:r>
              <w:rPr>
                <w:rFonts w:hint="eastAsia" w:ascii="&quot;Times New Roman&quot;" w:hAnsi="&quot;Times New Roman&quot;" w:eastAsia="&quot;Times New Roman&quot;"/>
                <w:sz w:val="24"/>
              </w:rPr>
              <w:t>会签</w:t>
            </w:r>
          </w:p>
        </w:tc>
        <w:tc>
          <w:tcPr>
            <w:tcBorders>
              <w:top w:val="single" w:color="auto" w:sz="6" w:space="0"/>
              <w:left w:val="single" w:color="auto" w:sz="6" w:space="0"/>
              <w:bottom w:val="single" w:color="auto" w:sz="6" w:space="0"/>
              <w:right w:val="single" w:color="auto" w:sz="6" w:space="0"/>
            </w:tcBorders>
          </w:tcPr>
          <w:p w14:paraId="107F3675">
            <w:r>
              <w:rPr>
                <w:rFonts w:hint="eastAsia" w:ascii="&quot;Times New Roman&quot;" w:hAnsi="&quot;Times New Roman&quot;" w:eastAsia="&quot;Times New Roman&quot;"/>
                <w:sz w:val="24"/>
              </w:rPr>
              <w:t>总经理</w:t>
            </w:r>
          </w:p>
        </w:tc>
        <w:tc>
          <w:tcPr>
            <w:tcBorders>
              <w:top w:val="single" w:color="auto" w:sz="6" w:space="0"/>
              <w:left w:val="single" w:color="auto" w:sz="6" w:space="0"/>
              <w:bottom w:val="single" w:color="auto" w:sz="6" w:space="0"/>
              <w:right w:val="single" w:color="auto" w:sz="6" w:space="0"/>
            </w:tcBorders>
          </w:tcPr>
          <w:p w14:paraId="59680E6D"/>
        </w:tc>
        <w:tc>
          <w:tcPr>
            <w:tcBorders>
              <w:top w:val="single" w:color="auto" w:sz="6" w:space="0"/>
              <w:left w:val="single" w:color="auto" w:sz="6" w:space="0"/>
              <w:bottom w:val="single" w:color="auto" w:sz="6" w:space="0"/>
              <w:right w:val="single" w:color="auto" w:sz="6" w:space="0"/>
            </w:tcBorders>
          </w:tcPr>
          <w:p w14:paraId="10DF2587">
            <w:r>
              <w:rPr>
                <w:rFonts w:hint="eastAsia" w:ascii="&quot;Times New Roman&quot;" w:hAnsi="&quot;Times New Roman&quot;" w:eastAsia="&quot;Times New Roman&quot;"/>
                <w:sz w:val="24"/>
              </w:rPr>
              <w:t>管理者代表</w:t>
            </w:r>
          </w:p>
        </w:tc>
        <w:tc>
          <w:tcPr>
            <w:tcBorders>
              <w:top w:val="single" w:color="auto" w:sz="6" w:space="0"/>
              <w:left w:val="single" w:color="auto" w:sz="6" w:space="0"/>
              <w:bottom w:val="single" w:color="auto" w:sz="6" w:space="0"/>
              <w:right w:val="single" w:color="auto" w:sz="6" w:space="0"/>
            </w:tcBorders>
          </w:tcPr>
          <w:p w14:paraId="169EBA12"/>
        </w:tc>
      </w:tr>
      <w:tr w14:paraId="1A30787A">
        <w:tblPrEx>
          <w:tblCellMar>
            <w:top w:w="0" w:type="dxa"/>
            <w:left w:w="108" w:type="dxa"/>
            <w:bottom w:w="0" w:type="dxa"/>
            <w:right w:w="108" w:type="dxa"/>
          </w:tblCellMar>
        </w:tblPrEx>
        <w:tc>
          <w:tcPr>
            <w:vMerge w:val="continue"/>
            <w:tcBorders>
              <w:top w:val="single" w:color="auto" w:sz="6" w:space="0"/>
              <w:left w:val="single" w:color="auto" w:sz="6" w:space="0"/>
              <w:bottom w:val="single" w:color="auto" w:sz="6" w:space="0"/>
              <w:right w:val="single" w:color="auto" w:sz="6" w:space="0"/>
            </w:tcBorders>
          </w:tcPr>
          <w:p w14:paraId="230DCBB4"/>
        </w:tc>
        <w:tc>
          <w:tcPr>
            <w:tcBorders>
              <w:top w:val="single" w:color="auto" w:sz="6" w:space="0"/>
              <w:left w:val="single" w:color="auto" w:sz="6" w:space="0"/>
              <w:bottom w:val="single" w:color="auto" w:sz="6" w:space="0"/>
              <w:right w:val="single" w:color="auto" w:sz="6" w:space="0"/>
            </w:tcBorders>
          </w:tcPr>
          <w:p w14:paraId="49CD45D3">
            <w:r>
              <w:rPr>
                <w:rFonts w:hint="eastAsia" w:ascii="SimSun, STSong" w:hAnsi="SimSun, STSong" w:eastAsia="SimSun, STSong"/>
                <w:sz w:val="24"/>
              </w:rPr>
              <w:t>人力资源部</w:t>
            </w:r>
          </w:p>
        </w:tc>
        <w:tc>
          <w:tcPr>
            <w:tcBorders>
              <w:top w:val="single" w:color="auto" w:sz="6" w:space="0"/>
              <w:left w:val="single" w:color="auto" w:sz="6" w:space="0"/>
              <w:bottom w:val="single" w:color="auto" w:sz="6" w:space="0"/>
              <w:right w:val="single" w:color="auto" w:sz="6" w:space="0"/>
            </w:tcBorders>
          </w:tcPr>
          <w:p w14:paraId="5C6ADC2E"/>
        </w:tc>
        <w:tc>
          <w:tcPr>
            <w:tcBorders>
              <w:top w:val="single" w:color="auto" w:sz="6" w:space="0"/>
              <w:left w:val="single" w:color="auto" w:sz="6" w:space="0"/>
              <w:bottom w:val="single" w:color="auto" w:sz="6" w:space="0"/>
              <w:right w:val="single" w:color="auto" w:sz="6" w:space="0"/>
            </w:tcBorders>
          </w:tcPr>
          <w:p w14:paraId="1BDDCF47">
            <w:r>
              <w:rPr>
                <w:rFonts w:hint="eastAsia" w:ascii="&quot;Times New Roman&quot;" w:hAnsi="&quot;Times New Roman&quot;" w:eastAsia="&quot;Times New Roman&quot;"/>
                <w:sz w:val="24"/>
              </w:rPr>
              <w:t>技术部</w:t>
            </w:r>
          </w:p>
        </w:tc>
        <w:tc>
          <w:tcPr>
            <w:tcBorders>
              <w:top w:val="single" w:color="auto" w:sz="6" w:space="0"/>
              <w:left w:val="single" w:color="auto" w:sz="6" w:space="0"/>
              <w:bottom w:val="single" w:color="auto" w:sz="6" w:space="0"/>
              <w:right w:val="single" w:color="auto" w:sz="6" w:space="0"/>
            </w:tcBorders>
          </w:tcPr>
          <w:p w14:paraId="0607E8C9"/>
        </w:tc>
      </w:tr>
      <w:tr w14:paraId="67797520">
        <w:tblPrEx>
          <w:tblCellMar>
            <w:top w:w="0" w:type="dxa"/>
            <w:left w:w="108" w:type="dxa"/>
            <w:bottom w:w="0" w:type="dxa"/>
            <w:right w:w="108" w:type="dxa"/>
          </w:tblCellMar>
        </w:tblPrEx>
        <w:tc>
          <w:tcPr>
            <w:vMerge w:val="continue"/>
            <w:tcBorders>
              <w:top w:val="single" w:color="auto" w:sz="6" w:space="0"/>
              <w:left w:val="single" w:color="auto" w:sz="6" w:space="0"/>
              <w:bottom w:val="single" w:color="auto" w:sz="6" w:space="0"/>
              <w:right w:val="single" w:color="auto" w:sz="6" w:space="0"/>
            </w:tcBorders>
          </w:tcPr>
          <w:p w14:paraId="18D33C46"/>
        </w:tc>
        <w:tc>
          <w:tcPr>
            <w:tcBorders>
              <w:top w:val="single" w:color="auto" w:sz="6" w:space="0"/>
              <w:left w:val="single" w:color="auto" w:sz="6" w:space="0"/>
              <w:bottom w:val="single" w:color="auto" w:sz="6" w:space="0"/>
              <w:right w:val="single" w:color="auto" w:sz="6" w:space="0"/>
            </w:tcBorders>
          </w:tcPr>
          <w:p w14:paraId="5DB90436">
            <w:r>
              <w:rPr>
                <w:rFonts w:hint="eastAsia" w:ascii="SimSun, STSong" w:hAnsi="SimSun, STSong" w:eastAsia="SimSun, STSong"/>
                <w:sz w:val="24"/>
              </w:rPr>
              <w:t>采购部</w:t>
            </w:r>
          </w:p>
        </w:tc>
        <w:tc>
          <w:tcPr>
            <w:tcBorders>
              <w:top w:val="single" w:color="auto" w:sz="6" w:space="0"/>
              <w:left w:val="single" w:color="auto" w:sz="6" w:space="0"/>
              <w:bottom w:val="single" w:color="auto" w:sz="6" w:space="0"/>
              <w:right w:val="single" w:color="auto" w:sz="6" w:space="0"/>
            </w:tcBorders>
          </w:tcPr>
          <w:p w14:paraId="48939A36"/>
        </w:tc>
        <w:tc>
          <w:tcPr>
            <w:tcBorders>
              <w:top w:val="single" w:color="auto" w:sz="6" w:space="0"/>
              <w:left w:val="single" w:color="auto" w:sz="6" w:space="0"/>
              <w:bottom w:val="single" w:color="auto" w:sz="6" w:space="0"/>
              <w:right w:val="single" w:color="auto" w:sz="6" w:space="0"/>
            </w:tcBorders>
          </w:tcPr>
          <w:p w14:paraId="18231B07">
            <w:r>
              <w:rPr>
                <w:rFonts w:hint="eastAsia" w:ascii="&quot;Times New Roman&quot;" w:hAnsi="&quot;Times New Roman&quot;" w:eastAsia="&quot;Times New Roman&quot;"/>
                <w:sz w:val="24"/>
              </w:rPr>
              <w:t>生产部</w:t>
            </w:r>
          </w:p>
        </w:tc>
        <w:tc>
          <w:tcPr>
            <w:tcBorders>
              <w:top w:val="single" w:color="auto" w:sz="6" w:space="0"/>
              <w:left w:val="single" w:color="auto" w:sz="6" w:space="0"/>
              <w:bottom w:val="single" w:color="auto" w:sz="6" w:space="0"/>
              <w:right w:val="single" w:color="auto" w:sz="6" w:space="0"/>
            </w:tcBorders>
          </w:tcPr>
          <w:p w14:paraId="1C27B5A5"/>
        </w:tc>
      </w:tr>
      <w:tr w14:paraId="18626837">
        <w:tblPrEx>
          <w:tblCellMar>
            <w:top w:w="0" w:type="dxa"/>
            <w:left w:w="108" w:type="dxa"/>
            <w:bottom w:w="0" w:type="dxa"/>
            <w:right w:w="108" w:type="dxa"/>
          </w:tblCellMar>
        </w:tblPrEx>
        <w:tc>
          <w:tcPr>
            <w:vMerge w:val="continue"/>
            <w:tcBorders>
              <w:top w:val="single" w:color="auto" w:sz="6" w:space="0"/>
              <w:left w:val="single" w:color="auto" w:sz="6" w:space="0"/>
              <w:bottom w:val="single" w:color="auto" w:sz="6" w:space="0"/>
              <w:right w:val="single" w:color="auto" w:sz="6" w:space="0"/>
            </w:tcBorders>
          </w:tcPr>
          <w:p w14:paraId="1EA3E5BF"/>
        </w:tc>
        <w:tc>
          <w:tcPr>
            <w:tcBorders>
              <w:top w:val="single" w:color="auto" w:sz="6" w:space="0"/>
              <w:left w:val="single" w:color="auto" w:sz="6" w:space="0"/>
              <w:bottom w:val="single" w:color="auto" w:sz="6" w:space="0"/>
              <w:right w:val="single" w:color="auto" w:sz="6" w:space="0"/>
            </w:tcBorders>
          </w:tcPr>
          <w:p w14:paraId="143B2803">
            <w:r>
              <w:rPr>
                <w:rFonts w:hint="eastAsia" w:ascii="SimSun, STSong" w:hAnsi="SimSun, STSong" w:eastAsia="SimSun, STSong"/>
                <w:sz w:val="24"/>
              </w:rPr>
              <w:t>销售部</w:t>
            </w:r>
          </w:p>
        </w:tc>
        <w:tc>
          <w:tcPr>
            <w:tcBorders>
              <w:top w:val="single" w:color="auto" w:sz="6" w:space="0"/>
              <w:left w:val="single" w:color="auto" w:sz="6" w:space="0"/>
              <w:bottom w:val="single" w:color="auto" w:sz="6" w:space="0"/>
              <w:right w:val="single" w:color="auto" w:sz="6" w:space="0"/>
            </w:tcBorders>
          </w:tcPr>
          <w:p w14:paraId="69A4691D"/>
        </w:tc>
        <w:tc>
          <w:tcPr>
            <w:tcBorders>
              <w:top w:val="single" w:color="auto" w:sz="6" w:space="0"/>
              <w:left w:val="single" w:color="auto" w:sz="6" w:space="0"/>
              <w:bottom w:val="single" w:color="auto" w:sz="6" w:space="0"/>
              <w:right w:val="single" w:color="auto" w:sz="6" w:space="0"/>
            </w:tcBorders>
          </w:tcPr>
          <w:p w14:paraId="4D4A7165">
            <w:r>
              <w:rPr>
                <w:rFonts w:hint="eastAsia" w:ascii="SimSun, STSong" w:hAnsi="SimSun, STSong" w:eastAsia="SimSun, STSong"/>
                <w:sz w:val="24"/>
              </w:rPr>
              <w:t>品质部</w:t>
            </w:r>
          </w:p>
        </w:tc>
        <w:tc>
          <w:tcPr>
            <w:tcBorders>
              <w:top w:val="single" w:color="auto" w:sz="6" w:space="0"/>
              <w:left w:val="single" w:color="auto" w:sz="6" w:space="0"/>
              <w:bottom w:val="single" w:color="auto" w:sz="6" w:space="0"/>
              <w:right w:val="single" w:color="auto" w:sz="6" w:space="0"/>
            </w:tcBorders>
          </w:tcPr>
          <w:p w14:paraId="283F0923"/>
        </w:tc>
      </w:tr>
      <w:tr w14:paraId="1A1B2AC0">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19E6D571">
            <w:r>
              <w:rPr>
                <w:rFonts w:hint="eastAsia" w:ascii="&quot;Times New Roman&quot;" w:hAnsi="&quot;Times New Roman&quot;" w:eastAsia="&quot;Times New Roman&quot;"/>
                <w:sz w:val="24"/>
              </w:rPr>
              <w:t>文件形成</w:t>
            </w:r>
          </w:p>
        </w:tc>
        <w:tc>
          <w:tcPr>
            <w:tcBorders>
              <w:top w:val="single" w:color="auto" w:sz="6" w:space="0"/>
              <w:left w:val="single" w:color="auto" w:sz="6" w:space="0"/>
              <w:bottom w:val="single" w:color="auto" w:sz="6" w:space="0"/>
              <w:right w:val="single" w:color="auto" w:sz="6" w:space="0"/>
            </w:tcBorders>
          </w:tcPr>
          <w:p w14:paraId="1F9AD503">
            <w:r>
              <w:rPr>
                <w:rFonts w:hint="eastAsia" w:ascii="&quot;Times New Roman&quot;" w:hAnsi="&quot;Times New Roman&quot;" w:eastAsia="&quot;Times New Roman&quot;"/>
                <w:sz w:val="24"/>
              </w:rPr>
              <w:t>编制：</w:t>
            </w:r>
          </w:p>
        </w:tc>
        <w:tc>
          <w:tcPr>
            <w:tcBorders>
              <w:top w:val="single" w:color="auto" w:sz="6" w:space="0"/>
              <w:left w:val="single" w:color="auto" w:sz="6" w:space="0"/>
              <w:bottom w:val="single" w:color="auto" w:sz="6" w:space="0"/>
              <w:right w:val="single" w:color="auto" w:sz="6" w:space="0"/>
            </w:tcBorders>
          </w:tcPr>
          <w:p w14:paraId="37738A7F"/>
        </w:tc>
        <w:tc>
          <w:tcPr>
            <w:tcBorders>
              <w:top w:val="single" w:color="auto" w:sz="6" w:space="0"/>
              <w:left w:val="single" w:color="auto" w:sz="6" w:space="0"/>
              <w:bottom w:val="single" w:color="auto" w:sz="6" w:space="0"/>
              <w:right w:val="single" w:color="auto" w:sz="6" w:space="0"/>
            </w:tcBorders>
          </w:tcPr>
          <w:p w14:paraId="2E73AF20">
            <w:r>
              <w:rPr>
                <w:rFonts w:hint="eastAsia" w:ascii="&quot;Times New Roman&quot;" w:hAnsi="&quot;Times New Roman&quot;" w:eastAsia="&quot;Times New Roman&quot;"/>
                <w:sz w:val="24"/>
              </w:rPr>
              <w:t>批准：</w:t>
            </w:r>
          </w:p>
        </w:tc>
        <w:tc>
          <w:tcPr>
            <w:tcBorders>
              <w:top w:val="single" w:color="auto" w:sz="6" w:space="0"/>
              <w:left w:val="single" w:color="auto" w:sz="6" w:space="0"/>
              <w:bottom w:val="single" w:color="auto" w:sz="6" w:space="0"/>
              <w:right w:val="single" w:color="auto" w:sz="6" w:space="0"/>
            </w:tcBorders>
          </w:tcPr>
          <w:p w14:paraId="53400B55"/>
        </w:tc>
      </w:tr>
    </w:tbl>
    <w:p w14:paraId="40CC9BFB">
      <w:pPr>
        <w:spacing w:line="276" w:lineRule="auto"/>
        <w:jc w:val="both"/>
      </w:pPr>
      <w:r>
        <w:rPr>
          <w:rFonts w:hint="eastAsia" w:ascii="&quot;Times New Roman&quot;" w:hAnsi="&quot;Times New Roman&quot;" w:eastAsia="&quot;Times New Roman&quot;"/>
          <w:b/>
          <w:sz w:val="24"/>
        </w:rPr>
        <w:t>分发范围与受控记录</w:t>
      </w:r>
    </w:p>
    <w:tbl>
      <w:tblPr>
        <w:tblW w:w="0" w:type="auto"/>
        <w:tblInd w:w="0" w:type="dxa"/>
        <w:tblLayout w:type="fixed"/>
        <w:tblCellMar>
          <w:top w:w="0" w:type="dxa"/>
          <w:left w:w="108" w:type="dxa"/>
          <w:bottom w:w="0" w:type="dxa"/>
          <w:right w:w="108" w:type="dxa"/>
        </w:tblCellMar>
      </w:tblPr>
      <w:tblGrid>
        <w:gridCol w:w="2256"/>
        <w:gridCol w:w="2256"/>
        <w:gridCol w:w="2256"/>
        <w:gridCol w:w="2256"/>
      </w:tblGrid>
      <w:tr w14:paraId="65B20032">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100D9D20">
            <w:r>
              <w:rPr>
                <w:rFonts w:hint="eastAsia" w:ascii="SimSun, STSong" w:hAnsi="SimSun, STSong" w:eastAsia="SimSun, STSong"/>
                <w:sz w:val="24"/>
              </w:rPr>
              <w:t>分发</w:t>
            </w:r>
          </w:p>
          <w:p w14:paraId="098D4948"/>
          <w:p w14:paraId="0FC0B19A">
            <w:r>
              <w:rPr>
                <w:rFonts w:hint="eastAsia" w:ascii="SimSun, STSong" w:hAnsi="SimSun, STSong" w:eastAsia="SimSun, STSong"/>
                <w:sz w:val="24"/>
              </w:rPr>
              <w:t>范围：</w:t>
            </w:r>
          </w:p>
        </w:tc>
        <w:tc>
          <w:tcPr>
            <w:tcBorders>
              <w:top w:val="single" w:color="auto" w:sz="6" w:space="0"/>
              <w:left w:val="single" w:color="auto" w:sz="6" w:space="0"/>
              <w:bottom w:val="single" w:color="auto" w:sz="6" w:space="0"/>
              <w:right w:val="single" w:color="auto" w:sz="6" w:space="0"/>
            </w:tcBorders>
          </w:tcPr>
          <w:p w14:paraId="68BB10A3">
            <w:r>
              <w:rPr>
                <w:rFonts w:hint="eastAsia" w:ascii="SimSun, STSong" w:hAnsi="SimSun, STSong" w:eastAsia="SimSun, STSong"/>
                <w:sz w:val="24"/>
              </w:rPr>
              <w:t>undefined总经理   undefined管理者代表   undefined人力资源部undefined技术部   undefined生产部       undefined品质部      undefined采购部   undefined销售部</w:t>
            </w:r>
          </w:p>
        </w:tc>
        <w:tc>
          <w:tcPr>
            <w:tcBorders>
              <w:top w:val="single" w:color="auto" w:sz="6" w:space="0"/>
              <w:left w:val="single" w:color="auto" w:sz="6" w:space="0"/>
              <w:bottom w:val="single" w:color="auto" w:sz="6" w:space="0"/>
              <w:right w:val="single" w:color="auto" w:sz="6" w:space="0"/>
            </w:tcBorders>
          </w:tcPr>
          <w:p w14:paraId="584AA7DC">
            <w:r>
              <w:rPr>
                <w:rFonts w:hint="eastAsia" w:ascii="SimSun, STSong" w:hAnsi="SimSun, STSong" w:eastAsia="SimSun, STSong"/>
                <w:sz w:val="24"/>
              </w:rPr>
              <w:t>受控记录：</w:t>
            </w:r>
          </w:p>
        </w:tc>
        <w:tc>
          <w:tcPr>
            <w:tcBorders>
              <w:top w:val="single" w:color="auto" w:sz="6" w:space="0"/>
              <w:left w:val="single" w:color="auto" w:sz="6" w:space="0"/>
              <w:bottom w:val="single" w:color="auto" w:sz="6" w:space="0"/>
              <w:right w:val="single" w:color="auto" w:sz="6" w:space="0"/>
            </w:tcBorders>
          </w:tcPr>
          <w:p w14:paraId="284E8F47"/>
        </w:tc>
      </w:tr>
    </w:tbl>
    <w:p w14:paraId="017198C4">
      <w:pPr>
        <w:spacing w:line="379" w:lineRule="auto"/>
        <w:jc w:val="both"/>
      </w:pPr>
      <w:r>
        <w:rPr>
          <w:rFonts w:hint="eastAsia" w:ascii="FangSong_GB2312, FangSong" w:hAnsi="FangSong_GB2312, FangSong" w:eastAsia="FangSong_GB2312, FangSong"/>
          <w:b/>
        </w:rPr>
        <w:t>1.目的</w:t>
      </w:r>
    </w:p>
    <w:p w14:paraId="5555C2A1">
      <w:pPr>
        <w:spacing w:line="360" w:lineRule="auto"/>
        <w:ind w:left="405"/>
        <w:jc w:val="both"/>
      </w:pPr>
      <w:r>
        <w:rPr>
          <w:rFonts w:hint="eastAsia" w:ascii="SimSun, STSong" w:hAnsi="SimSun, STSong" w:eastAsia="SimSun, STSong"/>
          <w:sz w:val="21"/>
        </w:rPr>
        <w:t>建立一套规范系统的方法，评估和求证医疗器械产品是否具有预期的安全性和有效性，评价医疗器械的益处是否大于使用的风险和伤害，确保我司生产的医疗器械合法、合规地投入欧盟市场。</w:t>
      </w:r>
    </w:p>
    <w:p w14:paraId="69280745">
      <w:pPr>
        <w:spacing w:line="379" w:lineRule="auto"/>
        <w:jc w:val="both"/>
      </w:pPr>
      <w:r>
        <w:rPr>
          <w:rFonts w:hint="eastAsia" w:ascii="FangSong_GB2312, FangSong" w:hAnsi="FangSong_GB2312, FangSong" w:eastAsia="FangSong_GB2312, FangSong"/>
          <w:b/>
        </w:rPr>
        <w:t>2.范围</w:t>
      </w:r>
    </w:p>
    <w:p w14:paraId="584B814A">
      <w:pPr>
        <w:spacing w:line="360" w:lineRule="auto"/>
        <w:jc w:val="both"/>
      </w:pPr>
      <w:r>
        <w:rPr>
          <w:rFonts w:hint="eastAsia" w:ascii="SimSun, STSong" w:hAnsi="SimSun, STSong" w:eastAsia="SimSun, STSong"/>
          <w:sz w:val="21"/>
        </w:rPr>
        <w:t>本程序适用于我司所有生产的或预销售至欧盟地区的医疗器械的临床评估管理工作。</w:t>
      </w:r>
    </w:p>
    <w:p w14:paraId="0EED3DE6">
      <w:pPr>
        <w:spacing w:line="379" w:lineRule="auto"/>
        <w:jc w:val="both"/>
      </w:pPr>
      <w:r>
        <w:rPr>
          <w:rFonts w:hint="eastAsia" w:ascii="FangSong_GB2312, FangSong" w:hAnsi="FangSong_GB2312, FangSong" w:eastAsia="FangSong_GB2312, FangSong"/>
          <w:b/>
        </w:rPr>
        <w:t>3.定义</w:t>
      </w:r>
    </w:p>
    <w:p w14:paraId="19F58AA5">
      <w:pPr>
        <w:spacing w:line="338" w:lineRule="auto"/>
        <w:jc w:val="both"/>
      </w:pPr>
      <w:r>
        <w:rPr>
          <w:rFonts w:hint="eastAsia" w:ascii="&quot;Times New Roman&quot;" w:hAnsi="&quot;Times New Roman&quot;" w:eastAsia="&quot;Times New Roman&quot;"/>
          <w:sz w:val="21"/>
        </w:rPr>
        <w:t>3.1偏差：是一个源于它的真实价值的测量结果的系统性的偏差，导致两者之间过高估计或过低估计的治疗效果。它能起源于，例如：分配给别人的治疗方式，治疗结果的测量和解释方式，数据记录和报告的方式。</w:t>
      </w:r>
    </w:p>
    <w:p w14:paraId="08B250F6">
      <w:pPr>
        <w:spacing w:line="338" w:lineRule="auto"/>
        <w:jc w:val="both"/>
      </w:pPr>
      <w:r>
        <w:rPr>
          <w:rFonts w:hint="eastAsia" w:ascii="&quot;Times New Roman&quot;" w:hAnsi="&quot;Times New Roman&quot;" w:eastAsia="&quot;Times New Roman&quot;"/>
          <w:sz w:val="21"/>
        </w:rPr>
        <w:t>3.2 临床数据：由医疗器械的临床使用产生的安全和/或性能信息，临床数据包括：</w:t>
      </w:r>
    </w:p>
    <w:p w14:paraId="76E66C38">
      <w:pPr>
        <w:spacing w:line="338" w:lineRule="auto"/>
        <w:jc w:val="both"/>
      </w:pPr>
      <w:r>
        <w:rPr>
          <w:rFonts w:hint="eastAsia" w:ascii="&quot;Times New Roman&quot;" w:hAnsi="&quot;Times New Roman&quot;" w:eastAsia="&quot;Times New Roman&quot;"/>
          <w:sz w:val="21"/>
        </w:rPr>
        <w:t>- 器械有关的临床调查，或</w:t>
      </w:r>
    </w:p>
    <w:p w14:paraId="4C05E17C">
      <w:pPr>
        <w:spacing w:line="338" w:lineRule="auto"/>
        <w:jc w:val="both"/>
      </w:pPr>
      <w:r>
        <w:rPr>
          <w:rFonts w:hint="eastAsia" w:ascii="&quot;Times New Roman&quot;" w:hAnsi="&quot;Times New Roman&quot;" w:eastAsia="&quot;Times New Roman&quot;"/>
          <w:sz w:val="21"/>
        </w:rPr>
        <w:t>- 临床调查或其它的科学文献的研究报告，或者类似设备的等同性问题可以被证明，或</w:t>
      </w:r>
    </w:p>
    <w:p w14:paraId="6D6F9B7E">
      <w:pPr>
        <w:spacing w:line="338" w:lineRule="auto"/>
        <w:jc w:val="both"/>
      </w:pPr>
      <w:r>
        <w:rPr>
          <w:rFonts w:hint="eastAsia" w:ascii="&quot;Times New Roman&quot;" w:hAnsi="&quot;Times New Roman&quot;" w:eastAsia="&quot;Times New Roman&quot;"/>
          <w:sz w:val="21"/>
        </w:rPr>
        <w:t>- 公开发表或未公开发表的相同设备或者等价性问题可能被证明相似设备的临床经验报告。</w:t>
      </w:r>
    </w:p>
    <w:p w14:paraId="72645313">
      <w:pPr>
        <w:spacing w:line="338" w:lineRule="auto"/>
        <w:jc w:val="both"/>
      </w:pPr>
      <w:r>
        <w:rPr>
          <w:rFonts w:hint="eastAsia" w:ascii="&quot;Times New Roman&quot;" w:hAnsi="&quot;Times New Roman&quot;" w:eastAsia="&quot;Times New Roman&quot;"/>
          <w:sz w:val="21"/>
        </w:rPr>
        <w:t>3.3 临床评估：不间断收集、评价和分析适合于医疗器械的临床数据，评价是否足够充分的临床证据来确认在根据制造商的使用说明书使用，符合相关安全和性能的基本要求。</w:t>
      </w:r>
    </w:p>
    <w:p w14:paraId="6C4612A2">
      <w:pPr>
        <w:spacing w:line="338" w:lineRule="auto"/>
        <w:jc w:val="both"/>
      </w:pPr>
      <w:r>
        <w:rPr>
          <w:rFonts w:hint="eastAsia" w:ascii="&quot;Times New Roman&quot;" w:hAnsi="&quot;Times New Roman&quot;" w:eastAsia="&quot;Times New Roman&quot;"/>
          <w:sz w:val="21"/>
        </w:rPr>
        <w:t>3.4 临床调查：在一个或多个人体受试者上进行的任何系统调查，用于评估医疗器械的安全和/或性能。</w:t>
      </w:r>
    </w:p>
    <w:p w14:paraId="6C965F44">
      <w:pPr>
        <w:spacing w:line="338" w:lineRule="auto"/>
        <w:jc w:val="both"/>
      </w:pPr>
      <w:r>
        <w:rPr>
          <w:rFonts w:hint="eastAsia" w:ascii="&quot;Times New Roman&quot;" w:hAnsi="&quot;Times New Roman&quot;" w:eastAsia="&quot;Times New Roman&quot;"/>
          <w:sz w:val="21"/>
        </w:rPr>
        <w:t>3.5 临床性能：医疗器械正确应用于合适的受试者，医疗器械的行为或者响应达到预期用途。</w:t>
      </w:r>
    </w:p>
    <w:p w14:paraId="0259E2B3">
      <w:pPr>
        <w:spacing w:line="338" w:lineRule="auto"/>
        <w:jc w:val="both"/>
      </w:pPr>
      <w:r>
        <w:rPr>
          <w:rFonts w:hint="eastAsia" w:ascii="&quot;Times New Roman&quot;" w:hAnsi="&quot;Times New Roman&quot;" w:eastAsia="&quot;Times New Roman&quot;"/>
          <w:sz w:val="21"/>
        </w:rPr>
        <w:t>3.6 临床安全：当根据说明书使用器械时，没有不可接受的临床风险。</w:t>
      </w:r>
    </w:p>
    <w:p w14:paraId="57A16BBD">
      <w:pPr>
        <w:spacing w:line="338" w:lineRule="auto"/>
        <w:jc w:val="both"/>
      </w:pPr>
      <w:r>
        <w:rPr>
          <w:rFonts w:hint="eastAsia" w:ascii="&quot;Times New Roman&quot;" w:hAnsi="&quot;Times New Roman&quot;" w:eastAsia="&quot;Times New Roman&quot;"/>
          <w:sz w:val="21"/>
        </w:rPr>
        <w:t>3.7 临床使用：医疗器械在人类活体上使用。</w:t>
      </w:r>
    </w:p>
    <w:p w14:paraId="495CC70F">
      <w:pPr>
        <w:spacing w:line="338" w:lineRule="auto"/>
        <w:jc w:val="both"/>
      </w:pPr>
      <w:r>
        <w:rPr>
          <w:rFonts w:hint="eastAsia" w:ascii="&quot;Times New Roman&quot;" w:hAnsi="&quot;Times New Roman&quot;" w:eastAsia="&quot;Times New Roman&quot;"/>
          <w:sz w:val="21"/>
        </w:rPr>
        <w:t>3.8 等价器械：一个器械的等同性问题能被证明的器械。</w:t>
      </w:r>
    </w:p>
    <w:p w14:paraId="43C2EDA7">
      <w:pPr>
        <w:spacing w:line="338" w:lineRule="auto"/>
        <w:jc w:val="both"/>
      </w:pPr>
      <w:r>
        <w:rPr>
          <w:rFonts w:hint="eastAsia" w:ascii="&quot;Times New Roman&quot;" w:hAnsi="&quot;Times New Roman&quot;" w:eastAsia="&quot;Times New Roman&quot;"/>
          <w:sz w:val="21"/>
        </w:rPr>
        <w:t>3.9 事件：任何设备的品质和/或性能的故障或恶化，以及标签或使用说明书中的任何不足，直接或间接，可能导致或可能已经导致病人或使用者或他人的死亡，或他坐着的健康状况严重恶化。</w:t>
      </w:r>
    </w:p>
    <w:p w14:paraId="2721871D">
      <w:pPr>
        <w:spacing w:line="338" w:lineRule="auto"/>
        <w:jc w:val="both"/>
      </w:pPr>
      <w:r>
        <w:rPr>
          <w:rFonts w:hint="eastAsia" w:ascii="&quot;Times New Roman&quot;" w:hAnsi="&quot;Times New Roman&quot;" w:eastAsia="&quot;Times New Roman&quot;"/>
          <w:sz w:val="21"/>
        </w:rPr>
        <w:t>3.10 制造商提供的信息：是指制造商提供的器械标签、说明书和宣传材料。</w:t>
      </w:r>
    </w:p>
    <w:p w14:paraId="58EA40EC">
      <w:pPr>
        <w:spacing w:line="338" w:lineRule="auto"/>
        <w:jc w:val="both"/>
      </w:pPr>
      <w:r>
        <w:rPr>
          <w:rFonts w:hint="eastAsia" w:ascii="&quot;Times New Roman&quot;" w:hAnsi="&quot;Times New Roman&quot;" w:eastAsia="&quot;Times New Roman&quot;"/>
          <w:sz w:val="21"/>
        </w:rPr>
        <w:t>3.11 严重不良事件：</w:t>
      </w:r>
    </w:p>
    <w:p w14:paraId="10DEEED5">
      <w:pPr>
        <w:spacing w:line="338" w:lineRule="auto"/>
        <w:jc w:val="both"/>
      </w:pPr>
      <w:r>
        <w:rPr>
          <w:rFonts w:hint="eastAsia" w:ascii="&quot;Times New Roman&quot;" w:hAnsi="&quot;Times New Roman&quot;" w:eastAsia="&quot;Times New Roman&quot;"/>
          <w:sz w:val="21"/>
        </w:rPr>
        <w:t>a) 导致死亡；</w:t>
      </w:r>
    </w:p>
    <w:p w14:paraId="58CF7E05">
      <w:pPr>
        <w:spacing w:line="338" w:lineRule="auto"/>
        <w:jc w:val="both"/>
      </w:pPr>
      <w:r>
        <w:rPr>
          <w:rFonts w:hint="eastAsia" w:ascii="&quot;Times New Roman&quot;" w:hAnsi="&quot;Times New Roman&quot;" w:eastAsia="&quot;Times New Roman&quot;"/>
          <w:sz w:val="21"/>
        </w:rPr>
        <w:t>b) 导致病人，使用者或他人的健康恶化；</w:t>
      </w:r>
    </w:p>
    <w:p w14:paraId="6A300EB5">
      <w:pPr>
        <w:spacing w:line="338" w:lineRule="auto"/>
        <w:jc w:val="both"/>
      </w:pPr>
      <w:r>
        <w:rPr>
          <w:rFonts w:hint="eastAsia" w:ascii="&quot;Times New Roman&quot;" w:hAnsi="&quot;Times New Roman&quot;" w:eastAsia="&quot;Times New Roman&quot;"/>
          <w:sz w:val="21"/>
        </w:rPr>
        <w:t>- 导致威胁生命的疾病或伤害</w:t>
      </w:r>
    </w:p>
    <w:p w14:paraId="7787CD75">
      <w:pPr>
        <w:spacing w:line="338" w:lineRule="auto"/>
        <w:jc w:val="both"/>
      </w:pPr>
      <w:r>
        <w:rPr>
          <w:rFonts w:hint="eastAsia" w:ascii="&quot;Times New Roman&quot;" w:hAnsi="&quot;Times New Roman&quot;" w:eastAsia="&quot;Times New Roman&quot;"/>
          <w:sz w:val="21"/>
        </w:rPr>
        <w:t>- 导致人体结构或身体机能永久的损伤</w:t>
      </w:r>
    </w:p>
    <w:p w14:paraId="5D53FDEE">
      <w:pPr>
        <w:spacing w:line="338" w:lineRule="auto"/>
        <w:jc w:val="both"/>
      </w:pPr>
      <w:r>
        <w:rPr>
          <w:rFonts w:hint="eastAsia" w:ascii="&quot;Times New Roman&quot;" w:hAnsi="&quot;Times New Roman&quot;" w:eastAsia="&quot;Times New Roman&quot;"/>
          <w:sz w:val="21"/>
        </w:rPr>
        <w:t>- 要求病人住院治疗或延长住院时间</w:t>
      </w:r>
    </w:p>
    <w:p w14:paraId="24CDF92C">
      <w:pPr>
        <w:spacing w:line="338" w:lineRule="auto"/>
        <w:jc w:val="both"/>
      </w:pPr>
      <w:r>
        <w:rPr>
          <w:rFonts w:hint="eastAsia" w:ascii="&quot;Times New Roman&quot;" w:hAnsi="&quot;Times New Roman&quot;" w:eastAsia="&quot;Times New Roman&quot;"/>
          <w:sz w:val="21"/>
        </w:rPr>
        <w:t>- 导致医疗或手术的介入从而阻止对人体结构或身体机能的永久损失</w:t>
      </w:r>
    </w:p>
    <w:p w14:paraId="53327D86">
      <w:pPr>
        <w:spacing w:line="338" w:lineRule="auto"/>
        <w:jc w:val="both"/>
      </w:pPr>
      <w:r>
        <w:rPr>
          <w:rFonts w:hint="eastAsia" w:ascii="&quot;Times New Roman&quot;" w:hAnsi="&quot;Times New Roman&quot;" w:eastAsia="&quot;Times New Roman&quot;"/>
          <w:sz w:val="21"/>
        </w:rPr>
        <w:t>c)导致胎儿宫内窒息，胎儿死亡或先天不健全</w:t>
      </w:r>
    </w:p>
    <w:p w14:paraId="24A93B92">
      <w:pPr>
        <w:spacing w:line="338" w:lineRule="auto"/>
        <w:jc w:val="both"/>
      </w:pPr>
      <w:r>
        <w:rPr>
          <w:rFonts w:hint="eastAsia" w:ascii="&quot;Times New Roman&quot;" w:hAnsi="&quot;Times New Roman&quot;" w:eastAsia="&quot;Times New Roman&quot;"/>
          <w:sz w:val="21"/>
        </w:rPr>
        <w:t>3.11 足够的临床证据：临床证据的数量和质量保证结论的科学有效性。</w:t>
      </w:r>
    </w:p>
    <w:p w14:paraId="67291830">
      <w:pPr>
        <w:spacing w:line="338" w:lineRule="auto"/>
        <w:jc w:val="both"/>
      </w:pPr>
      <w:r>
        <w:rPr>
          <w:rFonts w:hint="eastAsia" w:ascii="&quot;Times New Roman&quot;" w:hAnsi="&quot;Times New Roman&quot;" w:eastAsia="&quot;Times New Roman&quot;"/>
          <w:sz w:val="21"/>
        </w:rPr>
        <w:t>3.12 研究者：是指在临床试验机构中负责实施临床试验的人。如果在临床试验机构中是由一组人员实施试验的，则研究者是指该组的负责人，也称主要研究者。</w:t>
      </w:r>
    </w:p>
    <w:p w14:paraId="05F61E1E">
      <w:pPr>
        <w:spacing w:line="338" w:lineRule="auto"/>
        <w:jc w:val="both"/>
      </w:pPr>
      <w:r>
        <w:rPr>
          <w:rFonts w:hint="eastAsia" w:ascii="&quot;Times New Roman&quot;" w:hAnsi="&quot;Times New Roman&quot;" w:eastAsia="&quot;Times New Roman&quot;"/>
          <w:sz w:val="21"/>
        </w:rPr>
        <w:t>3.13 伦理委员会： 是指临床试验机构设置的对医疗器械临床试验项目的科学性和伦理性进行审查的独立的机构。</w:t>
      </w:r>
    </w:p>
    <w:p w14:paraId="73DEA261">
      <w:pPr>
        <w:spacing w:line="338" w:lineRule="auto"/>
        <w:jc w:val="both"/>
      </w:pPr>
      <w:r>
        <w:rPr>
          <w:rFonts w:hint="eastAsia" w:ascii="&quot;Times New Roman&quot;" w:hAnsi="&quot;Times New Roman&quot;" w:eastAsia="&quot;Times New Roman&quot;"/>
          <w:sz w:val="21"/>
        </w:rPr>
        <w:t>3.14 监查员（CRA-Clinical Research Associate）： 是指申办者选派的对医疗器械临床试验项目进行监查的专门人员。</w:t>
      </w:r>
    </w:p>
    <w:p w14:paraId="42516555">
      <w:pPr>
        <w:spacing w:line="338" w:lineRule="auto"/>
        <w:jc w:val="both"/>
      </w:pPr>
      <w:r>
        <w:rPr>
          <w:rFonts w:hint="eastAsia" w:ascii="&quot;Times New Roman&quot;" w:hAnsi="&quot;Times New Roman&quot;" w:eastAsia="&quot;Times New Roman&quot;"/>
          <w:sz w:val="21"/>
        </w:rPr>
        <w:t>3.15 核查员(Clinical Auditor)： 是指受申办者委托对医疗器械临床试验项目进行核查的人员。</w:t>
      </w:r>
    </w:p>
    <w:p w14:paraId="10E850E2">
      <w:pPr>
        <w:spacing w:line="360" w:lineRule="auto"/>
        <w:jc w:val="both"/>
      </w:pPr>
      <w:r>
        <w:rPr>
          <w:rFonts w:hint="eastAsia" w:ascii="&quot;Times New Roman&quot;" w:hAnsi="&quot;Times New Roman&quot;" w:eastAsia="&quot;Times New Roman&quot;"/>
          <w:sz w:val="21"/>
        </w:rPr>
        <w:t>3.16  申办者：是指临床试验的发起、管理和提供财务支持的机构或者组织。</w:t>
      </w:r>
    </w:p>
    <w:p w14:paraId="125A2D3B">
      <w:pPr>
        <w:spacing w:line="360" w:lineRule="auto"/>
        <w:jc w:val="both"/>
      </w:pPr>
      <w:r>
        <w:rPr>
          <w:rFonts w:hint="eastAsia" w:ascii="&quot;Times New Roman&quot;" w:hAnsi="&quot;Times New Roman&quot;" w:eastAsia="&quot;Times New Roman&quot;"/>
          <w:color w:val="0000FF"/>
          <w:sz w:val="21"/>
        </w:rPr>
        <w:t>3.17 PMCF计划</w:t>
      </w:r>
    </w:p>
    <w:p w14:paraId="6FC6A034">
      <w:pPr>
        <w:ind w:left="405"/>
        <w:jc w:val="both"/>
      </w:pPr>
      <w:r>
        <w:rPr>
          <w:rFonts w:hint="eastAsia" w:ascii="&quot;Times New Roman&quot;" w:hAnsi="&quot;Times New Roman&quot;" w:eastAsia="&quot;Times New Roman&quot;"/>
          <w:color w:val="0000FF"/>
          <w:sz w:val="21"/>
        </w:rPr>
        <w:t>由制造商创建的记录的、主动的、有组织的方法和程序，以根据与特定设计档案相对应的CE标记设备的使用，或根据属于指令93/42/EEC中定义的相同子类别或通用设备组的一组医疗设备的使用，收集临床数据。目的是在医疗设备的预期寿命内确认临床性能和安全性、已识别风险的可接受性，并在事实证据的基础上检测新出现的风险。[MEDDEV 2.12/2 Rev.2]</w:t>
      </w:r>
    </w:p>
    <w:p w14:paraId="1E6B2169">
      <w:pPr>
        <w:spacing w:line="360" w:lineRule="auto"/>
        <w:jc w:val="both"/>
      </w:pPr>
      <w:r>
        <w:rPr>
          <w:rFonts w:hint="eastAsia" w:ascii="&quot;Times New Roman&quot;" w:hAnsi="&quot;Times New Roman&quot;" w:eastAsia="&quot;Times New Roman&quot;"/>
          <w:color w:val="0000FF"/>
          <w:sz w:val="21"/>
        </w:rPr>
        <w:t>3.18 PMCF研究</w:t>
      </w:r>
    </w:p>
    <w:p w14:paraId="38D00B50">
      <w:pPr>
        <w:ind w:left="405"/>
        <w:jc w:val="both"/>
      </w:pPr>
      <w:r>
        <w:rPr>
          <w:rFonts w:hint="eastAsia" w:ascii="&quot;Times New Roman&quot;" w:hAnsi="&quot;Times New Roman&quot;" w:eastAsia="&quot;Times New Roman&quot;"/>
          <w:color w:val="0000FF"/>
          <w:sz w:val="21"/>
        </w:rPr>
        <w:t>在装置的CE标记之后进行的研究，旨在回答与根据其批准的标签使用的装置的临床安全性或性能（即残余风险）有关的具体问题。[MEDDEV 2.12/2 Rev.2]</w:t>
      </w:r>
    </w:p>
    <w:p w14:paraId="4588D5F9">
      <w:pPr>
        <w:spacing w:line="360" w:lineRule="auto"/>
        <w:jc w:val="both"/>
      </w:pPr>
      <w:r>
        <w:rPr>
          <w:rFonts w:hint="eastAsia" w:ascii="FangSong_GB2312, FangSong" w:hAnsi="FangSong_GB2312, FangSong" w:eastAsia="FangSong_GB2312, FangSong"/>
          <w:b/>
        </w:rPr>
        <w:t>4.职责</w:t>
      </w:r>
    </w:p>
    <w:p w14:paraId="659387E3">
      <w:pPr>
        <w:spacing w:line="338" w:lineRule="auto"/>
        <w:jc w:val="both"/>
      </w:pPr>
      <w:r>
        <w:rPr>
          <w:rFonts w:hint="eastAsia" w:ascii="SimSun, STSong" w:hAnsi="SimSun, STSong" w:eastAsia="SimSun, STSong"/>
          <w:sz w:val="21"/>
        </w:rPr>
        <w:t>4.1技术部：主导公司的产品进行临床评估工作，负责制定临床评估工作规范并实施监督管理，临床调查的组织，以及资料的汇编及整理工作，并负责提供一些资料：</w:t>
      </w:r>
    </w:p>
    <w:p w14:paraId="1AF259D7">
      <w:pPr>
        <w:spacing w:line="338" w:lineRule="auto"/>
        <w:ind w:left="405"/>
        <w:jc w:val="both"/>
      </w:pPr>
      <w:r>
        <w:rPr>
          <w:rFonts w:hint="eastAsia" w:ascii="SimSun, STSong" w:hAnsi="SimSun, STSong" w:eastAsia="SimSun, STSong"/>
          <w:sz w:val="21"/>
        </w:rPr>
        <w:t>1) 受试产品原理说明、适应症、功能、预期达到的使用目的、使用要求说明、安装要求说明；</w:t>
      </w:r>
    </w:p>
    <w:p w14:paraId="2B939A2D">
      <w:pPr>
        <w:spacing w:line="338" w:lineRule="auto"/>
        <w:jc w:val="both"/>
      </w:pPr>
      <w:r>
        <w:rPr>
          <w:rFonts w:hint="eastAsia" w:ascii="SimSun, STSong" w:hAnsi="SimSun, STSong" w:eastAsia="SimSun, STSong"/>
          <w:sz w:val="21"/>
        </w:rPr>
        <w:t>2) 可能产生的风险，推荐的防范及紧急处理方法</w:t>
      </w:r>
    </w:p>
    <w:p w14:paraId="76609D7B">
      <w:pPr>
        <w:spacing w:line="338" w:lineRule="auto"/>
        <w:jc w:val="both"/>
      </w:pPr>
      <w:r>
        <w:rPr>
          <w:rFonts w:hint="eastAsia" w:ascii="SimSun, STSong" w:hAnsi="SimSun, STSong" w:eastAsia="SimSun, STSong"/>
          <w:sz w:val="21"/>
        </w:rPr>
        <w:t>3) 遵循欧盟MEDEV 2.7/2的要求策划《临床试验方案》</w:t>
      </w:r>
    </w:p>
    <w:p w14:paraId="19B89EDD">
      <w:pPr>
        <w:spacing w:line="338" w:lineRule="auto"/>
        <w:ind w:left="405"/>
        <w:jc w:val="both"/>
      </w:pPr>
      <w:r>
        <w:rPr>
          <w:rFonts w:hint="eastAsia" w:ascii="SimSun, STSong" w:hAnsi="SimSun, STSong" w:eastAsia="SimSun, STSong"/>
          <w:sz w:val="21"/>
        </w:rPr>
        <w:t>4）对于需要执地临床调查的器械，委托由国务院食品药品监督管理部门会同国务院质量技术监督部门认可的检测机构进行型式检验,并出具的受试产品的合格《型式试验报告》</w:t>
      </w:r>
    </w:p>
    <w:p w14:paraId="56686099">
      <w:pPr>
        <w:spacing w:line="338" w:lineRule="auto"/>
        <w:ind w:left="1215"/>
        <w:jc w:val="both"/>
      </w:pPr>
      <w:r>
        <w:rPr>
          <w:rFonts w:hint="eastAsia" w:ascii="&quot;Times New Roman&quot;" w:hAnsi="&quot;Times New Roman&quot;" w:eastAsia="&quot;Times New Roman&quot;"/>
          <w:sz w:val="21"/>
        </w:rPr>
        <w:t>5）</w:t>
      </w:r>
      <w:r>
        <w:rPr>
          <w:rFonts w:hint="eastAsia" w:ascii="SimSun, STSong" w:hAnsi="SimSun, STSong" w:eastAsia="SimSun, STSong"/>
          <w:sz w:val="21"/>
        </w:rPr>
        <w:t>寻找与确定具有相关资质获得国家食品药品监督管理部门认可的临床试验的机构；</w:t>
      </w:r>
    </w:p>
    <w:p w14:paraId="45649ACF">
      <w:pPr>
        <w:spacing w:line="338" w:lineRule="auto"/>
        <w:ind w:left="1215"/>
        <w:jc w:val="both"/>
      </w:pPr>
      <w:r>
        <w:rPr>
          <w:rFonts w:hint="eastAsia" w:ascii="&quot;Times New Roman&quot;" w:hAnsi="&quot;Times New Roman&quot;" w:eastAsia="&quot;Times New Roman&quot;"/>
          <w:sz w:val="21"/>
        </w:rPr>
        <w:t>6）</w:t>
      </w:r>
    </w:p>
    <w:p w14:paraId="2ACA01DF">
      <w:pPr>
        <w:spacing w:line="338" w:lineRule="auto"/>
        <w:ind w:left="1215"/>
        <w:jc w:val="both"/>
      </w:pPr>
      <w:r>
        <w:rPr>
          <w:rFonts w:hint="eastAsia" w:ascii="&quot;Times New Roman&quot;" w:hAnsi="&quot;Times New Roman&quot;" w:eastAsia="&quot;Times New Roman&quot;"/>
          <w:sz w:val="21"/>
        </w:rPr>
        <w:t>7）</w:t>
      </w:r>
      <w:r>
        <w:rPr>
          <w:rFonts w:hint="eastAsia" w:ascii="SimSun, STSong" w:hAnsi="SimSun, STSong" w:eastAsia="SimSun, STSong"/>
          <w:sz w:val="21"/>
        </w:rPr>
        <w:t>负责确保产品的合规性、安全性及有效性，解决技术问题，并负责提供以下资料：</w:t>
      </w:r>
    </w:p>
    <w:p w14:paraId="6A6B6522">
      <w:pPr>
        <w:spacing w:line="338" w:lineRule="auto"/>
        <w:ind w:left="1215"/>
        <w:jc w:val="both"/>
      </w:pPr>
      <w:r>
        <w:rPr>
          <w:rFonts w:hint="eastAsia" w:ascii="&quot;Times New Roman&quot;" w:hAnsi="&quot;Times New Roman&quot;" w:eastAsia="&quot;Times New Roman&quot;"/>
          <w:sz w:val="21"/>
        </w:rPr>
        <w:t>8）</w:t>
      </w:r>
    </w:p>
    <w:p w14:paraId="5F827F88">
      <w:pPr>
        <w:spacing w:line="338" w:lineRule="auto"/>
        <w:ind w:left="1215"/>
        <w:jc w:val="both"/>
      </w:pPr>
      <w:r>
        <w:rPr>
          <w:rFonts w:hint="eastAsia" w:ascii="&quot;Times New Roman&quot;" w:hAnsi="&quot;Times New Roman&quot;" w:eastAsia="&quot;Times New Roman&quot;"/>
          <w:sz w:val="21"/>
        </w:rPr>
        <w:t>9）</w:t>
      </w:r>
      <w:r>
        <w:rPr>
          <w:rFonts w:hint="eastAsia" w:ascii="SimSun, STSong" w:hAnsi="SimSun, STSong" w:eastAsia="SimSun, STSong"/>
          <w:sz w:val="21"/>
        </w:rPr>
        <w:t>医疗器械的技术指标</w:t>
      </w:r>
    </w:p>
    <w:p w14:paraId="3D67584D">
      <w:pPr>
        <w:spacing w:line="338" w:lineRule="auto"/>
        <w:ind w:left="1215"/>
        <w:jc w:val="both"/>
      </w:pPr>
      <w:r>
        <w:rPr>
          <w:rFonts w:hint="eastAsia" w:ascii="&quot;Times New Roman&quot;" w:hAnsi="&quot;Times New Roman&quot;" w:eastAsia="&quot;Times New Roman&quot;"/>
          <w:sz w:val="21"/>
        </w:rPr>
        <w:t>10）</w:t>
      </w:r>
    </w:p>
    <w:p w14:paraId="0B29D857">
      <w:pPr>
        <w:spacing w:line="338" w:lineRule="auto"/>
        <w:ind w:left="1215"/>
        <w:jc w:val="both"/>
      </w:pPr>
      <w:r>
        <w:rPr>
          <w:rFonts w:hint="eastAsia" w:ascii="&quot;Times New Roman&quot;" w:hAnsi="&quot;Times New Roman&quot;" w:eastAsia="&quot;Times New Roman&quot;"/>
          <w:sz w:val="21"/>
        </w:rPr>
        <w:t>11）</w:t>
      </w:r>
      <w:r>
        <w:rPr>
          <w:rFonts w:hint="eastAsia" w:ascii="SimSun, STSong" w:hAnsi="SimSun, STSong" w:eastAsia="SimSun, STSong"/>
          <w:sz w:val="21"/>
        </w:rPr>
        <w:t>提供产品的临床医疗理论</w:t>
      </w:r>
    </w:p>
    <w:p w14:paraId="52E4A8CA">
      <w:pPr>
        <w:spacing w:line="338" w:lineRule="auto"/>
        <w:ind w:left="1215"/>
        <w:jc w:val="both"/>
      </w:pPr>
      <w:r>
        <w:rPr>
          <w:rFonts w:hint="eastAsia" w:ascii="&quot;Times New Roman&quot;" w:hAnsi="&quot;Times New Roman&quot;" w:eastAsia="&quot;Times New Roman&quot;"/>
          <w:sz w:val="21"/>
        </w:rPr>
        <w:t>12）</w:t>
      </w:r>
    </w:p>
    <w:p w14:paraId="395AEF26">
      <w:pPr>
        <w:spacing w:line="338" w:lineRule="auto"/>
        <w:jc w:val="both"/>
      </w:pPr>
      <w:r>
        <w:rPr>
          <w:rFonts w:hint="eastAsia" w:ascii="SimSun, STSong" w:hAnsi="SimSun, STSong" w:eastAsia="SimSun, STSong"/>
          <w:sz w:val="21"/>
        </w:rPr>
        <w:t>4.2临床项目组：由技术部负责人与品质负责人、临床医生组成，负责对医疗器械在临床使用时与安全和有效相关的评价数据的综合分析。针对每次临床评估，临床项目组的职责为：</w:t>
      </w:r>
    </w:p>
    <w:p w14:paraId="2378C230">
      <w:pPr>
        <w:spacing w:line="338" w:lineRule="auto"/>
        <w:ind w:left="1620"/>
        <w:jc w:val="both"/>
      </w:pPr>
      <w:r>
        <w:rPr>
          <w:rFonts w:hint="eastAsia" w:ascii="&quot;Times New Roman&quot;" w:hAnsi="&quot;Times New Roman&quot;" w:eastAsia="&quot;Times New Roman&quot;"/>
          <w:sz w:val="21"/>
        </w:rPr>
        <w:t>1)</w:t>
      </w:r>
      <w:r>
        <w:rPr>
          <w:rFonts w:hint="eastAsia" w:ascii="SimSun, STSong" w:hAnsi="SimSun, STSong" w:eastAsia="SimSun, STSong"/>
          <w:sz w:val="21"/>
        </w:rPr>
        <w:t>在进行临床试验前，应确认样机已符合设计要求，且相关风险分析已经将能考虑到的风险降低至最低</w:t>
      </w:r>
    </w:p>
    <w:p w14:paraId="196ACDBD">
      <w:pPr>
        <w:spacing w:line="338" w:lineRule="auto"/>
        <w:ind w:left="1620"/>
        <w:jc w:val="both"/>
      </w:pPr>
      <w:r>
        <w:rPr>
          <w:rFonts w:hint="eastAsia" w:ascii="&quot;Times New Roman&quot;" w:hAnsi="&quot;Times New Roman&quot;" w:eastAsia="&quot;Times New Roman&quot;"/>
          <w:sz w:val="21"/>
        </w:rPr>
        <w:t>2)</w:t>
      </w:r>
    </w:p>
    <w:p w14:paraId="3D1F4387">
      <w:pPr>
        <w:spacing w:line="338" w:lineRule="auto"/>
        <w:ind w:left="1620"/>
        <w:jc w:val="both"/>
      </w:pPr>
      <w:r>
        <w:rPr>
          <w:rFonts w:hint="eastAsia" w:ascii="&quot;Times New Roman&quot;" w:hAnsi="&quot;Times New Roman&quot;" w:eastAsia="&quot;Times New Roman&quot;"/>
          <w:sz w:val="21"/>
        </w:rPr>
        <w:t>3)</w:t>
      </w:r>
      <w:r>
        <w:rPr>
          <w:rFonts w:hint="eastAsia" w:ascii="SimSun, STSong" w:hAnsi="SimSun, STSong" w:eastAsia="SimSun, STSong"/>
          <w:sz w:val="21"/>
        </w:rPr>
        <w:t>应保存临床前试验数据、风险分析报告等</w:t>
      </w:r>
    </w:p>
    <w:p w14:paraId="42F7A22D">
      <w:pPr>
        <w:spacing w:line="338" w:lineRule="auto"/>
        <w:ind w:left="1620"/>
        <w:jc w:val="both"/>
      </w:pPr>
      <w:r>
        <w:rPr>
          <w:rFonts w:hint="eastAsia" w:ascii="&quot;Times New Roman&quot;" w:hAnsi="&quot;Times New Roman&quot;" w:eastAsia="&quot;Times New Roman&quot;"/>
          <w:sz w:val="21"/>
        </w:rPr>
        <w:t>4)</w:t>
      </w:r>
    </w:p>
    <w:p w14:paraId="2D5F67B7">
      <w:pPr>
        <w:spacing w:line="338" w:lineRule="auto"/>
        <w:ind w:left="1620"/>
        <w:jc w:val="both"/>
      </w:pPr>
      <w:r>
        <w:rPr>
          <w:rFonts w:hint="eastAsia" w:ascii="&quot;Times New Roman&quot;" w:hAnsi="&quot;Times New Roman&quot;" w:eastAsia="&quot;Times New Roman&quot;"/>
          <w:sz w:val="21"/>
        </w:rPr>
        <w:t>5)</w:t>
      </w:r>
      <w:r>
        <w:rPr>
          <w:rFonts w:hint="eastAsia" w:ascii="SimSun, STSong" w:hAnsi="SimSun, STSong" w:eastAsia="SimSun, STSong"/>
          <w:sz w:val="21"/>
        </w:rPr>
        <w:t>应向市场收集同类产品上市后的反馈数据</w:t>
      </w:r>
    </w:p>
    <w:p w14:paraId="082E6E07">
      <w:pPr>
        <w:spacing w:line="338" w:lineRule="auto"/>
        <w:ind w:left="1620"/>
        <w:jc w:val="both"/>
      </w:pPr>
      <w:r>
        <w:rPr>
          <w:rFonts w:hint="eastAsia" w:ascii="&quot;Times New Roman&quot;" w:hAnsi="&quot;Times New Roman&quot;" w:eastAsia="&quot;Times New Roman&quot;"/>
          <w:sz w:val="21"/>
        </w:rPr>
        <w:t>6)</w:t>
      </w:r>
    </w:p>
    <w:p w14:paraId="50C4CACB">
      <w:pPr>
        <w:spacing w:line="338" w:lineRule="auto"/>
        <w:ind w:left="1620"/>
        <w:jc w:val="both"/>
      </w:pPr>
      <w:r>
        <w:rPr>
          <w:rFonts w:hint="eastAsia" w:ascii="&quot;Times New Roman&quot;" w:hAnsi="&quot;Times New Roman&quot;" w:eastAsia="&quot;Times New Roman&quot;"/>
          <w:sz w:val="21"/>
        </w:rPr>
        <w:t>7)</w:t>
      </w:r>
      <w:r>
        <w:rPr>
          <w:rFonts w:hint="eastAsia" w:ascii="SimSun, STSong" w:hAnsi="SimSun, STSong" w:eastAsia="SimSun, STSong"/>
          <w:sz w:val="21"/>
        </w:rPr>
        <w:t>应从公开的科学文献中收集临床或医学数据</w:t>
      </w:r>
    </w:p>
    <w:p w14:paraId="2B1221DC">
      <w:pPr>
        <w:spacing w:line="338" w:lineRule="auto"/>
        <w:ind w:left="1620"/>
        <w:jc w:val="both"/>
      </w:pPr>
      <w:r>
        <w:rPr>
          <w:rFonts w:hint="eastAsia" w:ascii="&quot;Times New Roman&quot;" w:hAnsi="&quot;Times New Roman&quot;" w:eastAsia="&quot;Times New Roman&quot;"/>
          <w:sz w:val="21"/>
        </w:rPr>
        <w:t>8)</w:t>
      </w:r>
    </w:p>
    <w:p w14:paraId="42E94756">
      <w:pPr>
        <w:spacing w:line="338" w:lineRule="auto"/>
        <w:ind w:left="1620"/>
        <w:jc w:val="both"/>
      </w:pPr>
      <w:r>
        <w:rPr>
          <w:rFonts w:hint="eastAsia" w:ascii="&quot;Times New Roman&quot;" w:hAnsi="&quot;Times New Roman&quot;" w:eastAsia="&quot;Times New Roman&quot;"/>
          <w:sz w:val="21"/>
        </w:rPr>
        <w:t>9)</w:t>
      </w:r>
      <w:r>
        <w:rPr>
          <w:rFonts w:hint="eastAsia" w:ascii="SimSun, STSong" w:hAnsi="SimSun, STSong" w:eastAsia="SimSun, STSong"/>
          <w:sz w:val="21"/>
        </w:rPr>
        <w:t>应收集医学专家的看法</w:t>
      </w:r>
    </w:p>
    <w:p w14:paraId="24405BB3">
      <w:pPr>
        <w:spacing w:line="338" w:lineRule="auto"/>
        <w:ind w:left="1620"/>
        <w:jc w:val="both"/>
      </w:pPr>
      <w:r>
        <w:rPr>
          <w:rFonts w:hint="eastAsia" w:ascii="&quot;Times New Roman&quot;" w:hAnsi="&quot;Times New Roman&quot;" w:eastAsia="&quot;Times New Roman&quot;"/>
          <w:sz w:val="21"/>
        </w:rPr>
        <w:t>10)</w:t>
      </w:r>
    </w:p>
    <w:p w14:paraId="155669F2">
      <w:pPr>
        <w:spacing w:line="338" w:lineRule="auto"/>
        <w:ind w:left="1620"/>
        <w:jc w:val="both"/>
      </w:pPr>
      <w:r>
        <w:rPr>
          <w:rFonts w:hint="eastAsia" w:ascii="&quot;Times New Roman&quot;" w:hAnsi="&quot;Times New Roman&quot;" w:eastAsia="&quot;Times New Roman&quot;"/>
          <w:sz w:val="21"/>
        </w:rPr>
        <w:t>11)</w:t>
      </w:r>
      <w:r>
        <w:rPr>
          <w:rFonts w:hint="eastAsia" w:ascii="SimSun, STSong" w:hAnsi="SimSun, STSong" w:eastAsia="SimSun, STSong"/>
          <w:sz w:val="21"/>
        </w:rPr>
        <w:t>相关内容应及时作出评价</w:t>
      </w:r>
    </w:p>
    <w:p w14:paraId="47402279">
      <w:pPr>
        <w:spacing w:line="338" w:lineRule="auto"/>
        <w:ind w:left="1620"/>
        <w:jc w:val="both"/>
      </w:pPr>
      <w:r>
        <w:rPr>
          <w:rFonts w:hint="eastAsia" w:ascii="&quot;Times New Roman&quot;" w:hAnsi="&quot;Times New Roman&quot;" w:eastAsia="&quot;Times New Roman&quot;"/>
          <w:sz w:val="21"/>
        </w:rPr>
        <w:t>12)</w:t>
      </w:r>
    </w:p>
    <w:p w14:paraId="4B773D8D">
      <w:pPr>
        <w:spacing w:line="338" w:lineRule="auto"/>
        <w:ind w:left="1620"/>
        <w:jc w:val="both"/>
      </w:pPr>
      <w:r>
        <w:rPr>
          <w:rFonts w:hint="eastAsia" w:ascii="&quot;Times New Roman&quot;" w:hAnsi="&quot;Times New Roman&quot;" w:eastAsia="&quot;Times New Roman&quot;"/>
          <w:sz w:val="21"/>
        </w:rPr>
        <w:t>13)</w:t>
      </w:r>
      <w:r>
        <w:rPr>
          <w:rFonts w:hint="eastAsia" w:ascii="SimSun, STSong" w:hAnsi="SimSun, STSong" w:eastAsia="SimSun, STSong"/>
          <w:sz w:val="21"/>
        </w:rPr>
        <w:t>产出临床评估报告,并对临床数据与报告内容进行最终审核、评估</w:t>
      </w:r>
    </w:p>
    <w:p w14:paraId="0343147E">
      <w:pPr>
        <w:spacing w:line="338" w:lineRule="auto"/>
        <w:ind w:left="1620"/>
        <w:jc w:val="both"/>
      </w:pPr>
      <w:r>
        <w:rPr>
          <w:rFonts w:hint="eastAsia" w:ascii="&quot;Times New Roman&quot;" w:hAnsi="&quot;Times New Roman&quot;" w:eastAsia="&quot;Times New Roman&quot;"/>
          <w:sz w:val="21"/>
        </w:rPr>
        <w:t>14)</w:t>
      </w:r>
    </w:p>
    <w:p w14:paraId="1A5A3AF8">
      <w:pPr>
        <w:spacing w:line="360" w:lineRule="auto"/>
        <w:jc w:val="both"/>
      </w:pPr>
      <w:r>
        <w:rPr>
          <w:rFonts w:hint="eastAsia" w:ascii="&quot;Times New Roman&quot;" w:hAnsi="&quot;Times New Roman&quot;" w:eastAsia="&quot;Times New Roman&quot;"/>
          <w:b/>
        </w:rPr>
        <w:t>5.流程</w:t>
      </w:r>
    </w:p>
    <w:p w14:paraId="0FBC4369">
      <w:pPr>
        <w:spacing w:line="338" w:lineRule="auto"/>
        <w:jc w:val="both"/>
      </w:pPr>
      <w:r>
        <w:rPr>
          <w:rFonts w:hint="eastAsia" w:ascii="&quot;Times New Roman&quot;" w:hAnsi="&quot;Times New Roman&quot;" w:eastAsia="&quot;Times New Roman&quot;"/>
          <w:sz w:val="21"/>
        </w:rPr>
        <w:t>文献筛选评价流程,见附件1</w:t>
      </w:r>
    </w:p>
    <w:p w14:paraId="44CB6319">
      <w:pPr>
        <w:spacing w:line="338" w:lineRule="auto"/>
        <w:jc w:val="both"/>
      </w:pPr>
      <w:r>
        <w:rPr>
          <w:rFonts w:hint="eastAsia" w:ascii="&quot;Times New Roman&quot;" w:hAnsi="&quot;Times New Roman&quot;" w:eastAsia="&quot;Times New Roman&quot;"/>
          <w:sz w:val="21"/>
        </w:rPr>
        <w:t>临床汇编流程,见附件2</w:t>
      </w:r>
    </w:p>
    <w:p w14:paraId="3AAC9807">
      <w:pPr>
        <w:spacing w:line="338" w:lineRule="auto"/>
        <w:jc w:val="both"/>
      </w:pPr>
      <w:r>
        <w:rPr>
          <w:rFonts w:hint="eastAsia" w:ascii="&quot;Times New Roman&quot;" w:hAnsi="&quot;Times New Roman&quot;" w:eastAsia="&quot;Times New Roman&quot;"/>
          <w:sz w:val="21"/>
        </w:rPr>
        <w:t>临床随访过程概述，见附录3</w:t>
      </w:r>
    </w:p>
    <w:p w14:paraId="43D02B93">
      <w:pPr>
        <w:spacing w:line="360" w:lineRule="auto"/>
        <w:jc w:val="both"/>
      </w:pPr>
      <w:r>
        <w:rPr>
          <w:rFonts w:hint="eastAsia" w:ascii="&quot;Times New Roman&quot;" w:hAnsi="&quot;Times New Roman&quot;" w:eastAsia="&quot;Times New Roman&quot;"/>
          <w:b/>
        </w:rPr>
        <w:t>6.内容</w:t>
      </w:r>
    </w:p>
    <w:p w14:paraId="79207C3C">
      <w:pPr>
        <w:jc w:val="both"/>
      </w:pPr>
      <w:r>
        <w:rPr>
          <w:rFonts w:hint="eastAsia" w:ascii="&quot;Times New Roman&quot;" w:hAnsi="&quot;Times New Roman&quot;" w:eastAsia="&quot;Times New Roman&quot;"/>
          <w:b/>
          <w:sz w:val="21"/>
        </w:rPr>
        <w:t>6.1 临床评估的时机</w:t>
      </w:r>
    </w:p>
    <w:p w14:paraId="37F08BEB">
      <w:pPr>
        <w:spacing w:line="338" w:lineRule="auto"/>
        <w:jc w:val="both"/>
      </w:pPr>
      <w:r>
        <w:rPr>
          <w:rFonts w:hint="eastAsia" w:ascii="&quot;Times New Roman&quot;" w:hAnsi="&quot;Times New Roman&quot;" w:eastAsia="&quot;Times New Roman&quot;"/>
          <w:sz w:val="21"/>
        </w:rPr>
        <w:t>6.1.1当出现下列情况时，需要进行临床评估（包含，但不限于）:</w:t>
      </w:r>
    </w:p>
    <w:p w14:paraId="365AEF84">
      <w:pPr>
        <w:spacing w:line="338" w:lineRule="auto"/>
        <w:jc w:val="both"/>
      </w:pPr>
      <w:r>
        <w:rPr>
          <w:rFonts w:hint="eastAsia" w:ascii="&quot;Times New Roman&quot;" w:hAnsi="&quot;Times New Roman&quot;" w:eastAsia="&quot;Times New Roman&quot;"/>
          <w:sz w:val="21"/>
        </w:rPr>
        <w:t>1）全新的医疗器械产品，部件、特性、作用方式都是不可知的；</w:t>
      </w:r>
    </w:p>
    <w:p w14:paraId="5186D170">
      <w:pPr>
        <w:spacing w:line="338" w:lineRule="auto"/>
        <w:jc w:val="both"/>
      </w:pPr>
      <w:r>
        <w:rPr>
          <w:rFonts w:hint="eastAsia" w:ascii="&quot;Times New Roman&quot;" w:hAnsi="&quot;Times New Roman&quot;" w:eastAsia="&quot;Times New Roman&quot;"/>
          <w:sz w:val="21"/>
        </w:rPr>
        <w:t>2）对已有的医疗器械进行改进，而这些改进可能影响到临床安全和有效性时；</w:t>
      </w:r>
    </w:p>
    <w:p w14:paraId="0DA19A80">
      <w:pPr>
        <w:spacing w:line="338" w:lineRule="auto"/>
        <w:jc w:val="both"/>
      </w:pPr>
      <w:r>
        <w:rPr>
          <w:rFonts w:hint="eastAsia" w:ascii="&quot;Times New Roman&quot;" w:hAnsi="&quot;Times New Roman&quot;" w:eastAsia="&quot;Times New Roman&quot;"/>
          <w:sz w:val="21"/>
        </w:rPr>
        <w:t>3）现有的医疗器械用于新的适应症医疗器械中采用新的材料，而这些材料又用于人体；</w:t>
      </w:r>
    </w:p>
    <w:p w14:paraId="0301AA5E">
      <w:pPr>
        <w:spacing w:line="338" w:lineRule="auto"/>
        <w:jc w:val="both"/>
      </w:pPr>
      <w:r>
        <w:rPr>
          <w:rFonts w:hint="eastAsia" w:ascii="&quot;Times New Roman&quot;" w:hAnsi="&quot;Times New Roman&quot;" w:eastAsia="&quot;Times New Roman&quot;"/>
          <w:sz w:val="21"/>
        </w:rPr>
        <w:t>6.1.2临床评估必须在产品销售前进行。</w:t>
      </w:r>
    </w:p>
    <w:p w14:paraId="7B4F2842">
      <w:pPr>
        <w:spacing w:line="338" w:lineRule="auto"/>
        <w:jc w:val="both"/>
      </w:pPr>
      <w:r>
        <w:rPr>
          <w:rFonts w:hint="eastAsia" w:ascii="&quot;Times New Roman&quot;" w:hAnsi="&quot;Times New Roman&quot;" w:eastAsia="&quot;Times New Roman&quot;"/>
          <w:b/>
          <w:sz w:val="21"/>
        </w:rPr>
        <w:t>6.2 临床评估的途径</w:t>
      </w:r>
    </w:p>
    <w:tbl>
      <w:tblPr>
        <w:tblW w:w="0" w:type="auto"/>
        <w:tblInd w:w="0" w:type="dxa"/>
        <w:tblLayout w:type="fixed"/>
        <w:tblCellMar>
          <w:top w:w="0" w:type="dxa"/>
          <w:left w:w="108" w:type="dxa"/>
          <w:bottom w:w="0" w:type="dxa"/>
          <w:right w:w="108" w:type="dxa"/>
        </w:tblCellMar>
      </w:tblPr>
      <w:tblGrid>
        <w:gridCol w:w="3009"/>
        <w:gridCol w:w="3009"/>
        <w:gridCol w:w="3009"/>
      </w:tblGrid>
      <w:tr w14:paraId="7D82156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430DF4BB">
            <w:r>
              <w:rPr>
                <w:rFonts w:hint="eastAsia" w:ascii="&quot;Times New Roman&quot;" w:hAnsi="&quot;Times New Roman&quot;" w:eastAsia="&quot;Times New Roman&quot;"/>
                <w:b/>
                <w:sz w:val="21"/>
              </w:rPr>
              <w:t>预销售地</w:t>
            </w:r>
          </w:p>
        </w:tc>
        <w:tc>
          <w:tcPr>
            <w:tcBorders>
              <w:top w:val="single" w:color="auto" w:sz="6" w:space="0"/>
              <w:left w:val="single" w:color="auto" w:sz="6" w:space="0"/>
              <w:bottom w:val="single" w:color="auto" w:sz="6" w:space="0"/>
              <w:right w:val="single" w:color="auto" w:sz="6" w:space="0"/>
            </w:tcBorders>
          </w:tcPr>
          <w:p w14:paraId="2A426DE9">
            <w:r>
              <w:rPr>
                <w:rFonts w:hint="eastAsia" w:ascii="&quot;Times New Roman&quot;" w:hAnsi="&quot;Times New Roman&quot;" w:eastAsia="&quot;Times New Roman&quot;"/>
                <w:b/>
                <w:sz w:val="21"/>
              </w:rPr>
              <w:t>常规产品</w:t>
            </w:r>
          </w:p>
        </w:tc>
        <w:tc>
          <w:tcPr>
            <w:tcBorders>
              <w:top w:val="single" w:color="auto" w:sz="6" w:space="0"/>
              <w:left w:val="single" w:color="auto" w:sz="6" w:space="0"/>
              <w:bottom w:val="single" w:color="auto" w:sz="6" w:space="0"/>
              <w:right w:val="single" w:color="auto" w:sz="6" w:space="0"/>
            </w:tcBorders>
          </w:tcPr>
          <w:p w14:paraId="034D795E">
            <w:r>
              <w:rPr>
                <w:rFonts w:hint="eastAsia" w:ascii="&quot;Times New Roman&quot;" w:hAnsi="&quot;Times New Roman&quot;" w:eastAsia="&quot;Times New Roman&quot;"/>
                <w:b/>
                <w:sz w:val="21"/>
              </w:rPr>
              <w:t>特殊产品</w:t>
            </w:r>
          </w:p>
        </w:tc>
      </w:tr>
      <w:tr w14:paraId="696E2126">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FD5F9E2">
            <w:r>
              <w:rPr>
                <w:rFonts w:hint="eastAsia" w:ascii="&quot;Times New Roman&quot;" w:hAnsi="&quot;Times New Roman&quot;" w:eastAsia="&quot;Times New Roman&quot;"/>
                <w:sz w:val="21"/>
              </w:rPr>
              <w:t>欧盟</w:t>
            </w:r>
          </w:p>
        </w:tc>
        <w:tc>
          <w:tcPr>
            <w:tcBorders>
              <w:top w:val="single" w:color="auto" w:sz="6" w:space="0"/>
              <w:left w:val="single" w:color="auto" w:sz="6" w:space="0"/>
              <w:bottom w:val="single" w:color="auto" w:sz="6" w:space="0"/>
              <w:right w:val="single" w:color="auto" w:sz="6" w:space="0"/>
            </w:tcBorders>
          </w:tcPr>
          <w:p w14:paraId="3073BFE2">
            <w:r>
              <w:rPr>
                <w:rFonts w:hint="eastAsia" w:ascii="&quot;Times New Roman&quot;" w:hAnsi="&quot;Times New Roman&quot;" w:eastAsia="&quot;Times New Roman&quot;"/>
                <w:sz w:val="21"/>
              </w:rPr>
              <w:t>常规I、II、III类器械：临床评价（文献汇编+实质等同）</w:t>
            </w:r>
          </w:p>
        </w:tc>
        <w:tc>
          <w:tcPr>
            <w:tcBorders>
              <w:top w:val="single" w:color="auto" w:sz="6" w:space="0"/>
              <w:left w:val="single" w:color="auto" w:sz="6" w:space="0"/>
              <w:bottom w:val="single" w:color="auto" w:sz="6" w:space="0"/>
              <w:right w:val="single" w:color="auto" w:sz="6" w:space="0"/>
            </w:tcBorders>
          </w:tcPr>
          <w:p w14:paraId="7C13BA0E">
            <w:r>
              <w:rPr>
                <w:rFonts w:hint="eastAsia" w:ascii="&quot;Times New Roman&quot;" w:hAnsi="&quot;Times New Roman&quot;" w:eastAsia="&quot;Times New Roman&quot;"/>
                <w:sz w:val="21"/>
              </w:rPr>
              <w:t>特殊的II、III类器械：临床试验（指采用了新的预期用途、新的作用原理的器械，或者当局有要求的器械；预销售市场国家对于该产品采用的医学理论不信任、不接受）</w:t>
            </w:r>
          </w:p>
        </w:tc>
      </w:tr>
    </w:tbl>
    <w:p w14:paraId="2ACF31E4">
      <w:pPr>
        <w:spacing w:line="360" w:lineRule="auto"/>
        <w:jc w:val="both"/>
      </w:pPr>
      <w:r>
        <w:rPr>
          <w:rFonts w:hint="eastAsia" w:ascii="&quot;Times New Roman&quot;" w:hAnsi="&quot;Times New Roman&quot;" w:eastAsia="&quot;Times New Roman&quot;"/>
          <w:b/>
          <w:sz w:val="21"/>
        </w:rPr>
        <w:t>6.3 临床评估的要求</w:t>
      </w:r>
    </w:p>
    <w:p w14:paraId="6A422992">
      <w:pPr>
        <w:spacing w:line="360" w:lineRule="auto"/>
        <w:jc w:val="both"/>
      </w:pPr>
      <w:r>
        <w:rPr>
          <w:rFonts w:hint="eastAsia" w:ascii="SimSun, STSong" w:hAnsi="SimSun, STSong" w:eastAsia="SimSun, STSong"/>
          <w:b/>
          <w:sz w:val="21"/>
        </w:rPr>
        <w:t>6.3.1 临床文献汇编</w:t>
      </w:r>
    </w:p>
    <w:p w14:paraId="7C4B1B92">
      <w:pPr>
        <w:spacing w:line="360" w:lineRule="auto"/>
        <w:jc w:val="both"/>
      </w:pPr>
      <w:r>
        <w:rPr>
          <w:rFonts w:hint="eastAsia" w:ascii="SimSun, STSong" w:hAnsi="SimSun, STSong" w:eastAsia="SimSun, STSong"/>
          <w:sz w:val="21"/>
        </w:rPr>
        <w:t>6.3.3.1要求</w:t>
      </w:r>
    </w:p>
    <w:p w14:paraId="3D74D2CE">
      <w:pPr>
        <w:spacing w:line="360" w:lineRule="auto"/>
        <w:jc w:val="both"/>
      </w:pPr>
      <w:r>
        <w:rPr>
          <w:rFonts w:hint="eastAsia" w:ascii="SimSun, STSong" w:hAnsi="SimSun, STSong" w:eastAsia="SimSun, STSong"/>
          <w:sz w:val="21"/>
        </w:rPr>
        <w:t>临床资料文献汇编的要求应包括如下：</w:t>
      </w:r>
    </w:p>
    <w:p w14:paraId="14D59F03">
      <w:pPr>
        <w:spacing w:line="360" w:lineRule="auto"/>
        <w:jc w:val="both"/>
      </w:pPr>
      <w:r>
        <w:rPr>
          <w:rFonts w:hint="eastAsia" w:ascii="SimSun, STSong" w:hAnsi="SimSun, STSong" w:eastAsia="SimSun, STSong"/>
          <w:sz w:val="21"/>
        </w:rPr>
        <w:t>1) 应涉及到临床风险分析中确定的危害性与副作用；</w:t>
      </w:r>
    </w:p>
    <w:p w14:paraId="2BCFBD9A">
      <w:pPr>
        <w:spacing w:line="360" w:lineRule="auto"/>
        <w:jc w:val="both"/>
      </w:pPr>
      <w:r>
        <w:rPr>
          <w:rFonts w:hint="eastAsia" w:ascii="SimSun, STSong" w:hAnsi="SimSun, STSong" w:eastAsia="SimSun, STSong"/>
          <w:sz w:val="21"/>
        </w:rPr>
        <w:t>2) 引用已出版的文献时，这种文献应发表在得到公认的科技出版物或网站上；</w:t>
      </w:r>
    </w:p>
    <w:p w14:paraId="295D88F2">
      <w:pPr>
        <w:spacing w:line="360" w:lineRule="auto"/>
        <w:ind w:left="405"/>
        <w:jc w:val="both"/>
      </w:pPr>
      <w:r>
        <w:rPr>
          <w:rFonts w:hint="eastAsia" w:ascii="SimSun, STSong" w:hAnsi="SimSun, STSong" w:eastAsia="SimSun, STSong"/>
          <w:sz w:val="21"/>
        </w:rPr>
        <w:t>3) 有关临床试验数据，包括体外试验或动物试验的结果、技术成果符合性鉴定资料、市场信息方面的文件和记录，也可作为文献的一部分；</w:t>
      </w:r>
    </w:p>
    <w:p w14:paraId="2E7FC568">
      <w:pPr>
        <w:spacing w:line="360" w:lineRule="auto"/>
        <w:jc w:val="both"/>
      </w:pPr>
      <w:r>
        <w:rPr>
          <w:rFonts w:hint="eastAsia" w:ascii="SimSun, STSong" w:hAnsi="SimSun, STSong" w:eastAsia="SimSun, STSong"/>
          <w:sz w:val="21"/>
        </w:rPr>
        <w:t>4) 相关领域中的专家意见也可用来证明器械的安全性和有效性；</w:t>
      </w:r>
    </w:p>
    <w:p w14:paraId="787BECDC">
      <w:pPr>
        <w:spacing w:line="360" w:lineRule="auto"/>
        <w:jc w:val="both"/>
      </w:pPr>
      <w:r>
        <w:rPr>
          <w:rFonts w:hint="eastAsia" w:ascii="SimSun, STSong" w:hAnsi="SimSun, STSong" w:eastAsia="SimSun, STSong"/>
          <w:sz w:val="21"/>
        </w:rPr>
        <w:t>5) 引用专家的书面意见应有作者签名并注明日期和身份；</w:t>
      </w:r>
    </w:p>
    <w:p w14:paraId="09B1B357">
      <w:pPr>
        <w:spacing w:line="360" w:lineRule="auto"/>
        <w:jc w:val="both"/>
      </w:pPr>
      <w:r>
        <w:rPr>
          <w:rFonts w:hint="eastAsia" w:ascii="SimSun, STSong" w:hAnsi="SimSun, STSong" w:eastAsia="SimSun, STSong"/>
          <w:sz w:val="21"/>
        </w:rPr>
        <w:t>6）器械的预期用途；</w:t>
      </w:r>
    </w:p>
    <w:p w14:paraId="0D555111">
      <w:pPr>
        <w:spacing w:line="360" w:lineRule="auto"/>
        <w:jc w:val="both"/>
      </w:pPr>
      <w:r>
        <w:rPr>
          <w:rFonts w:hint="eastAsia" w:ascii="SimSun, STSong" w:hAnsi="SimSun, STSong" w:eastAsia="SimSun, STSong"/>
          <w:sz w:val="21"/>
        </w:rPr>
        <w:t>7) 达到预期用途采用的技术；</w:t>
      </w:r>
    </w:p>
    <w:p w14:paraId="5406B5E7">
      <w:pPr>
        <w:spacing w:line="360" w:lineRule="auto"/>
        <w:jc w:val="both"/>
      </w:pPr>
      <w:r>
        <w:rPr>
          <w:rFonts w:hint="eastAsia" w:ascii="SimSun, STSong" w:hAnsi="SimSun, STSong" w:eastAsia="SimSun, STSong"/>
          <w:sz w:val="21"/>
        </w:rPr>
        <w:t>8) 器械的临床效果，副作用；</w:t>
      </w:r>
    </w:p>
    <w:p w14:paraId="216F9FBD">
      <w:pPr>
        <w:spacing w:line="360" w:lineRule="auto"/>
        <w:jc w:val="both"/>
      </w:pPr>
      <w:r>
        <w:rPr>
          <w:rFonts w:hint="eastAsia" w:ascii="SimSun, STSong" w:hAnsi="SimSun, STSong" w:eastAsia="SimSun, STSong"/>
          <w:sz w:val="21"/>
        </w:rPr>
        <w:t>9) 使用该器械质量对患者的益处和可能的危害；</w:t>
      </w:r>
    </w:p>
    <w:p w14:paraId="5ECCDD99">
      <w:pPr>
        <w:spacing w:line="360" w:lineRule="auto"/>
        <w:jc w:val="both"/>
      </w:pPr>
      <w:r>
        <w:rPr>
          <w:rFonts w:hint="eastAsia" w:ascii="SimSun, STSong" w:hAnsi="SimSun, STSong" w:eastAsia="SimSun, STSong"/>
          <w:sz w:val="21"/>
        </w:rPr>
        <w:t>10) 降低危害的可能措施；</w:t>
      </w:r>
    </w:p>
    <w:p w14:paraId="0122D213">
      <w:pPr>
        <w:spacing w:line="360" w:lineRule="auto"/>
        <w:jc w:val="both"/>
      </w:pPr>
      <w:r>
        <w:rPr>
          <w:rFonts w:hint="eastAsia" w:ascii="SimSun, STSong" w:hAnsi="SimSun, STSong" w:eastAsia="SimSun, STSong"/>
          <w:sz w:val="21"/>
        </w:rPr>
        <w:t>11) 对相关临床文献的评价报告；</w:t>
      </w:r>
    </w:p>
    <w:p w14:paraId="7B582D4C">
      <w:pPr>
        <w:spacing w:line="360" w:lineRule="auto"/>
        <w:jc w:val="both"/>
      </w:pPr>
      <w:r>
        <w:rPr>
          <w:rFonts w:hint="eastAsia" w:ascii="SimSun, STSong" w:hAnsi="SimSun, STSong" w:eastAsia="SimSun, STSong"/>
          <w:sz w:val="21"/>
        </w:rPr>
        <w:t>12）引用文献的目录；</w:t>
      </w:r>
    </w:p>
    <w:p w14:paraId="29D727A2">
      <w:pPr>
        <w:spacing w:line="360" w:lineRule="auto"/>
        <w:jc w:val="both"/>
      </w:pPr>
      <w:r>
        <w:rPr>
          <w:rFonts w:hint="eastAsia" w:ascii="SimSun, STSong" w:hAnsi="SimSun, STSong" w:eastAsia="SimSun, STSong"/>
          <w:sz w:val="21"/>
        </w:rPr>
        <w:t>6.3.3.2 获取途径</w:t>
      </w:r>
    </w:p>
    <w:p w14:paraId="224B00FA">
      <w:pPr>
        <w:spacing w:line="360" w:lineRule="auto"/>
        <w:jc w:val="both"/>
      </w:pPr>
      <w:r>
        <w:rPr>
          <w:rFonts w:hint="eastAsia" w:ascii="SimSun, STSong" w:hAnsi="SimSun, STSong" w:eastAsia="SimSun, STSong"/>
          <w:sz w:val="21"/>
        </w:rPr>
        <w:t>临床资料文献可以通过多种方法获取，最常见的方法包括：</w:t>
      </w:r>
    </w:p>
    <w:p w14:paraId="5061CB2C">
      <w:pPr>
        <w:spacing w:line="360" w:lineRule="auto"/>
        <w:ind w:left="405"/>
        <w:jc w:val="both"/>
      </w:pPr>
      <w:r>
        <w:rPr>
          <w:rFonts w:hint="eastAsia" w:ascii="&quot;Times New Roman&quot;" w:hAnsi="&quot;Times New Roman&quot;" w:eastAsia="&quot;Times New Roman&quot;"/>
          <w:sz w:val="21"/>
        </w:rPr>
        <w:t>1)</w:t>
      </w:r>
      <w:r>
        <w:rPr>
          <w:rFonts w:hint="eastAsia" w:ascii="SimSun, STSong" w:hAnsi="SimSun, STSong" w:eastAsia="SimSun, STSong"/>
          <w:sz w:val="21"/>
        </w:rPr>
        <w:t>国家级期刊书籍</w:t>
      </w:r>
    </w:p>
    <w:p w14:paraId="49743584">
      <w:pPr>
        <w:spacing w:line="360" w:lineRule="auto"/>
        <w:ind w:left="405"/>
        <w:jc w:val="both"/>
      </w:pPr>
      <w:r>
        <w:rPr>
          <w:rFonts w:hint="eastAsia" w:ascii="&quot;Times New Roman&quot;" w:hAnsi="&quot;Times New Roman&quot;" w:eastAsia="&quot;Times New Roman&quot;"/>
          <w:sz w:val="21"/>
        </w:rPr>
        <w:t>2)</w:t>
      </w:r>
    </w:p>
    <w:p w14:paraId="085B2AAC">
      <w:pPr>
        <w:spacing w:line="360" w:lineRule="auto"/>
        <w:ind w:left="405"/>
        <w:jc w:val="both"/>
      </w:pPr>
      <w:r>
        <w:rPr>
          <w:rFonts w:hint="eastAsia" w:ascii="&quot;Times New Roman&quot;" w:hAnsi="&quot;Times New Roman&quot;" w:eastAsia="&quot;Times New Roman&quot;"/>
          <w:sz w:val="21"/>
        </w:rPr>
        <w:t>3)</w:t>
      </w:r>
      <w:r>
        <w:rPr>
          <w:rFonts w:hint="eastAsia" w:ascii="SimSun, STSong" w:hAnsi="SimSun, STSong" w:eastAsia="SimSun, STSong"/>
          <w:sz w:val="21"/>
        </w:rPr>
        <w:t>公认的权威医疗杂志或专业期刊</w:t>
      </w:r>
    </w:p>
    <w:p w14:paraId="0B367157">
      <w:pPr>
        <w:spacing w:line="360" w:lineRule="auto"/>
        <w:ind w:left="405"/>
        <w:jc w:val="both"/>
      </w:pPr>
      <w:r>
        <w:rPr>
          <w:rFonts w:hint="eastAsia" w:ascii="&quot;Times New Roman&quot;" w:hAnsi="&quot;Times New Roman&quot;" w:eastAsia="&quot;Times New Roman&quot;"/>
          <w:sz w:val="21"/>
        </w:rPr>
        <w:t>4)</w:t>
      </w:r>
    </w:p>
    <w:p w14:paraId="54DDD321">
      <w:pPr>
        <w:spacing w:line="360" w:lineRule="auto"/>
        <w:ind w:left="405"/>
        <w:jc w:val="both"/>
      </w:pPr>
      <w:r>
        <w:rPr>
          <w:rFonts w:hint="eastAsia" w:ascii="&quot;Times New Roman&quot;" w:hAnsi="&quot;Times New Roman&quot;" w:eastAsia="&quot;Times New Roman&quot;"/>
          <w:sz w:val="21"/>
        </w:rPr>
        <w:t>5)</w:t>
      </w:r>
      <w:r>
        <w:rPr>
          <w:rFonts w:hint="eastAsia" w:ascii="SimSun, STSong" w:hAnsi="SimSun, STSong" w:eastAsia="SimSun, STSong"/>
          <w:sz w:val="21"/>
        </w:rPr>
        <w:t>互联网上的医疗数据库</w:t>
      </w:r>
    </w:p>
    <w:p w14:paraId="195AB373">
      <w:pPr>
        <w:spacing w:line="360" w:lineRule="auto"/>
        <w:ind w:left="405"/>
        <w:jc w:val="both"/>
      </w:pPr>
      <w:r>
        <w:rPr>
          <w:rFonts w:hint="eastAsia" w:ascii="&quot;Times New Roman&quot;" w:hAnsi="&quot;Times New Roman&quot;" w:eastAsia="&quot;Times New Roman&quot;"/>
          <w:sz w:val="21"/>
        </w:rPr>
        <w:t>6)</w:t>
      </w:r>
    </w:p>
    <w:p w14:paraId="7340E33C">
      <w:pPr>
        <w:spacing w:line="360" w:lineRule="auto"/>
        <w:jc w:val="both"/>
      </w:pPr>
      <w:r>
        <w:rPr>
          <w:rFonts w:hint="eastAsia" w:ascii="SimSun, STSong" w:hAnsi="SimSun, STSong" w:eastAsia="SimSun, STSong"/>
          <w:sz w:val="21"/>
        </w:rPr>
        <w:t>6.3.3.3 临床评估报告的要求</w:t>
      </w:r>
    </w:p>
    <w:p w14:paraId="65F3B44A">
      <w:pPr>
        <w:spacing w:line="360" w:lineRule="auto"/>
        <w:jc w:val="both"/>
      </w:pPr>
      <w:r>
        <w:rPr>
          <w:rFonts w:hint="eastAsia" w:ascii="SimSun, STSong" w:hAnsi="SimSun, STSong" w:eastAsia="SimSun, STSong"/>
          <w:sz w:val="21"/>
        </w:rPr>
        <w:t>根据欧盟MEDEV 2.7/1 REVISION 4的要求，销售至欧盟的产品临床评估需要包括如下阶段：</w:t>
      </w:r>
    </w:p>
    <w:p w14:paraId="5E54CD27">
      <w:pPr>
        <w:spacing w:line="360" w:lineRule="auto"/>
        <w:jc w:val="both"/>
      </w:pPr>
      <w:r>
        <w:rPr>
          <w:rFonts w:hint="eastAsia" w:ascii="SimSun, STSong" w:hAnsi="SimSun, STSong" w:eastAsia="SimSun, STSong"/>
          <w:sz w:val="21"/>
        </w:rPr>
        <w:t>◆  阶段0：定义出范围、临床评估计划</w:t>
      </w:r>
    </w:p>
    <w:p w14:paraId="27D45A9B">
      <w:pPr>
        <w:spacing w:line="360" w:lineRule="auto"/>
        <w:jc w:val="both"/>
      </w:pPr>
      <w:r>
        <w:rPr>
          <w:rFonts w:hint="eastAsia" w:ascii="SimSun, STSong" w:hAnsi="SimSun, STSong" w:eastAsia="SimSun, STSong"/>
          <w:sz w:val="21"/>
        </w:rPr>
        <w:t>◆ 阶段1：识别相关数据</w:t>
      </w:r>
    </w:p>
    <w:p w14:paraId="229AA1EE">
      <w:pPr>
        <w:spacing w:line="360" w:lineRule="auto"/>
        <w:jc w:val="both"/>
      </w:pPr>
      <w:r>
        <w:rPr>
          <w:rFonts w:hint="eastAsia" w:ascii="SimSun, STSong" w:hAnsi="SimSun, STSong" w:eastAsia="SimSun, STSong"/>
          <w:sz w:val="21"/>
        </w:rPr>
        <w:t>◆ 阶段2：评价每一个数据组，其科学性、相关性和权重</w:t>
      </w:r>
    </w:p>
    <w:p w14:paraId="35F60581">
      <w:pPr>
        <w:spacing w:line="360" w:lineRule="auto"/>
        <w:jc w:val="both"/>
      </w:pPr>
      <w:r>
        <w:rPr>
          <w:rFonts w:hint="eastAsia" w:ascii="SimSun, STSong" w:hAnsi="SimSun, STSong" w:eastAsia="SimSun, STSong"/>
          <w:sz w:val="21"/>
        </w:rPr>
        <w:t>◆ 阶段3：分析数据，得出结论</w:t>
      </w:r>
    </w:p>
    <w:p w14:paraId="6AAA022F">
      <w:pPr>
        <w:spacing w:line="360" w:lineRule="auto"/>
        <w:jc w:val="both"/>
      </w:pPr>
      <w:r>
        <w:rPr>
          <w:rFonts w:hint="eastAsia" w:ascii="SimSun, STSong" w:hAnsi="SimSun, STSong" w:eastAsia="SimSun, STSong"/>
          <w:sz w:val="21"/>
        </w:rPr>
        <w:t>-- 符合器械性能和安全基本要求（包括ER1,ER3,ER6），包括利益/风险预测；</w:t>
      </w:r>
    </w:p>
    <w:p w14:paraId="4C048683">
      <w:pPr>
        <w:spacing w:line="360" w:lineRule="auto"/>
        <w:jc w:val="both"/>
      </w:pPr>
      <w:r>
        <w:rPr>
          <w:rFonts w:hint="eastAsia" w:ascii="SimSun, STSong" w:hAnsi="SimSun, STSong" w:eastAsia="SimSun, STSong"/>
          <w:sz w:val="21"/>
        </w:rPr>
        <w:t>-- 制造商提供的信息资料的内容（包括标签、IFU，可用宣传材料，包括制造商可能预见的补充文件）；</w:t>
      </w:r>
    </w:p>
    <w:p w14:paraId="02627A0D">
      <w:pPr>
        <w:spacing w:line="360" w:lineRule="auto"/>
        <w:jc w:val="both"/>
      </w:pPr>
      <w:r>
        <w:rPr>
          <w:rFonts w:hint="eastAsia" w:ascii="SimSun, STSong" w:hAnsi="SimSun, STSong" w:eastAsia="SimSun, STSong"/>
          <w:sz w:val="21"/>
        </w:rPr>
        <w:t>-- 剩余风险、不确定性或悬而未决的问题（包括罕见的并发症、长期性能、大规模使用的安全性），是否这些都可以被CE-marking接受，是否要求在PMS期间处理。</w:t>
      </w:r>
    </w:p>
    <w:p w14:paraId="238949E3">
      <w:pPr>
        <w:spacing w:line="360" w:lineRule="auto"/>
        <w:jc w:val="both"/>
      </w:pPr>
      <w:r>
        <w:rPr>
          <w:rFonts w:hint="eastAsia" w:ascii="SimSun, STSong" w:hAnsi="SimSun, STSong" w:eastAsia="SimSun, STSong"/>
          <w:sz w:val="21"/>
        </w:rPr>
        <w:t>◆ 完成临床评估报告</w:t>
      </w:r>
    </w:p>
    <w:p w14:paraId="506BD2DD">
      <w:pPr>
        <w:spacing w:line="360" w:lineRule="auto"/>
        <w:jc w:val="both"/>
      </w:pPr>
      <w:r>
        <w:rPr>
          <w:rFonts w:hint="eastAsia" w:ascii="SimSun, STSong" w:hAnsi="SimSun, STSong" w:eastAsia="SimSun, STSong"/>
          <w:sz w:val="21"/>
        </w:rPr>
        <w:t>-- 在临床评估报告中，应包含一名医学专家（医用）对报告的批准；</w:t>
      </w:r>
    </w:p>
    <w:p w14:paraId="7974CC61">
      <w:pPr>
        <w:spacing w:line="360" w:lineRule="auto"/>
        <w:jc w:val="both"/>
      </w:pPr>
      <w:r>
        <w:rPr>
          <w:rFonts w:hint="eastAsia" w:ascii="SimSun, STSong" w:hAnsi="SimSun, STSong" w:eastAsia="SimSun, STSong"/>
          <w:sz w:val="21"/>
        </w:rPr>
        <w:t>-- 临床评估报告编写人与医学专家的背景介绍；</w:t>
      </w:r>
    </w:p>
    <w:p w14:paraId="59B3D1A3">
      <w:pPr>
        <w:spacing w:line="360" w:lineRule="auto"/>
        <w:jc w:val="both"/>
      </w:pPr>
      <w:r>
        <w:rPr>
          <w:rFonts w:hint="eastAsia" w:ascii="SimSun, STSong" w:hAnsi="SimSun, STSong" w:eastAsia="SimSun, STSong"/>
          <w:sz w:val="21"/>
        </w:rPr>
        <w:t>-- 评估方需要提供无利益声明。</w:t>
      </w:r>
    </w:p>
    <w:p w14:paraId="1C5440BF">
      <w:pPr>
        <w:spacing w:line="360" w:lineRule="auto"/>
        <w:jc w:val="both"/>
      </w:pPr>
      <w:r>
        <w:rPr>
          <w:rFonts w:hint="eastAsia" w:ascii="SimSun, STSong" w:hAnsi="SimSun, STSong" w:eastAsia="SimSun, STSong"/>
          <w:b/>
          <w:sz w:val="21"/>
        </w:rPr>
        <w:t>6.3.4 临床试验</w:t>
      </w:r>
    </w:p>
    <w:p w14:paraId="5550D7DB">
      <w:pPr>
        <w:spacing w:line="360" w:lineRule="auto"/>
        <w:jc w:val="both"/>
      </w:pPr>
      <w:r>
        <w:rPr>
          <w:rFonts w:hint="eastAsia" w:ascii="SimSun, STSong" w:hAnsi="SimSun, STSong" w:eastAsia="SimSun, STSong"/>
          <w:sz w:val="21"/>
        </w:rPr>
        <w:t>若临床试验拟在中国境内进行时，首先由临床项目组同医疗单位共同按照《医疗器械临床试验规定》、ISO 14155 和MEDEV 2.7/2及产品的性能标准的要求设计及实施。临床试验应严格遵循试验所在地的法律法规的要求。</w:t>
      </w:r>
    </w:p>
    <w:p w14:paraId="38CF8712">
      <w:pPr>
        <w:spacing w:line="360" w:lineRule="auto"/>
        <w:jc w:val="both"/>
      </w:pPr>
      <w:r>
        <w:rPr>
          <w:rFonts w:hint="eastAsia" w:ascii="SimSun, STSong" w:hAnsi="SimSun, STSong" w:eastAsia="SimSun, STSong"/>
          <w:sz w:val="21"/>
        </w:rPr>
        <w:t>6.3.4.1 临床试验准备</w:t>
      </w:r>
    </w:p>
    <w:p w14:paraId="364F1582">
      <w:pPr>
        <w:spacing w:line="360" w:lineRule="auto"/>
        <w:jc w:val="both"/>
      </w:pPr>
      <w:r>
        <w:rPr>
          <w:rFonts w:hint="eastAsia" w:ascii="SimSun, STSong" w:hAnsi="SimSun, STSong" w:eastAsia="SimSun, STSong"/>
          <w:sz w:val="21"/>
        </w:rPr>
        <w:t>1）器械应该完成如果的全部验证、确认及风险管理活动，不存在不可接收的风险；</w:t>
      </w:r>
    </w:p>
    <w:p w14:paraId="7EA7E579">
      <w:pPr>
        <w:spacing w:line="360" w:lineRule="auto"/>
        <w:jc w:val="both"/>
      </w:pPr>
      <w:r>
        <w:rPr>
          <w:rFonts w:hint="eastAsia" w:ascii="SimSun, STSong" w:hAnsi="SimSun, STSong" w:eastAsia="SimSun, STSong"/>
          <w:sz w:val="21"/>
        </w:rPr>
        <w:t>2）样品应委托相关机构执行型式评价，并且报告应该在一年内；</w:t>
      </w:r>
    </w:p>
    <w:p w14:paraId="6D66333D">
      <w:pPr>
        <w:spacing w:line="360" w:lineRule="auto"/>
        <w:ind w:left="405"/>
        <w:jc w:val="both"/>
      </w:pPr>
      <w:r>
        <w:rPr>
          <w:rFonts w:hint="eastAsia" w:ascii="SimSun, STSong" w:hAnsi="SimSun, STSong" w:eastAsia="SimSun, STSong"/>
          <w:sz w:val="21"/>
        </w:rPr>
        <w:t>3）选择两个或以上（III类需要选择三个或三个以上）的试验机构：至少应是三甲医院（或应法规要求），医院的能力环境应满足试验的要求；</w:t>
      </w:r>
    </w:p>
    <w:p w14:paraId="08B3AF3E">
      <w:pPr>
        <w:spacing w:line="360" w:lineRule="auto"/>
        <w:jc w:val="both"/>
      </w:pPr>
      <w:r>
        <w:rPr>
          <w:rFonts w:hint="eastAsia" w:ascii="SimSun, STSong" w:hAnsi="SimSun, STSong" w:eastAsia="SimSun, STSong"/>
          <w:sz w:val="21"/>
        </w:rPr>
        <w:t>4）研究者应具体与试验器械相关的专业特长，并且具备相关资质；</w:t>
      </w:r>
    </w:p>
    <w:p w14:paraId="7F0489AC">
      <w:pPr>
        <w:spacing w:line="360" w:lineRule="auto"/>
        <w:jc w:val="both"/>
      </w:pPr>
      <w:r>
        <w:rPr>
          <w:rFonts w:hint="eastAsia" w:ascii="SimSun, STSong" w:hAnsi="SimSun, STSong" w:eastAsia="SimSun, STSong"/>
          <w:sz w:val="21"/>
        </w:rPr>
        <w:t>5）由临床试验小姐构建初步的《临床试验方案》，至少应包含如下信息：</w:t>
      </w:r>
    </w:p>
    <w:p w14:paraId="13065892">
      <w:pPr>
        <w:spacing w:line="360" w:lineRule="auto"/>
        <w:jc w:val="both"/>
      </w:pPr>
      <w:r>
        <w:rPr>
          <w:rFonts w:hint="eastAsia" w:ascii="SimSun, STSong" w:hAnsi="SimSun, STSong" w:eastAsia="SimSun, STSong"/>
          <w:sz w:val="21"/>
        </w:rPr>
        <w:t>- 临床试验背景、目的</w:t>
      </w:r>
    </w:p>
    <w:p w14:paraId="329C3678">
      <w:pPr>
        <w:spacing w:line="360" w:lineRule="auto"/>
        <w:jc w:val="both"/>
      </w:pPr>
      <w:r>
        <w:rPr>
          <w:rFonts w:hint="eastAsia" w:ascii="SimSun, STSong" w:hAnsi="SimSun, STSong" w:eastAsia="SimSun, STSong"/>
          <w:sz w:val="21"/>
        </w:rPr>
        <w:t>- 临床试验方法 （数量、周期、方法）</w:t>
      </w:r>
    </w:p>
    <w:p w14:paraId="10429846">
      <w:pPr>
        <w:spacing w:line="360" w:lineRule="auto"/>
        <w:jc w:val="both"/>
      </w:pPr>
      <w:r>
        <w:rPr>
          <w:rFonts w:hint="eastAsia" w:ascii="SimSun, STSong" w:hAnsi="SimSun, STSong" w:eastAsia="SimSun, STSong"/>
          <w:sz w:val="21"/>
        </w:rPr>
        <w:t>- 受试者的入选及排除标准</w:t>
      </w:r>
    </w:p>
    <w:p w14:paraId="241F7076">
      <w:pPr>
        <w:spacing w:line="360" w:lineRule="auto"/>
        <w:jc w:val="both"/>
      </w:pPr>
      <w:r>
        <w:rPr>
          <w:rFonts w:hint="eastAsia" w:ascii="SimSun, STSong" w:hAnsi="SimSun, STSong" w:eastAsia="SimSun, STSong"/>
          <w:sz w:val="21"/>
        </w:rPr>
        <w:t>- 产品的适用症、禁忌症</w:t>
      </w:r>
    </w:p>
    <w:p w14:paraId="4FD60EE5">
      <w:pPr>
        <w:spacing w:line="360" w:lineRule="auto"/>
        <w:jc w:val="both"/>
      </w:pPr>
      <w:r>
        <w:rPr>
          <w:rFonts w:hint="eastAsia" w:ascii="SimSun, STSong" w:hAnsi="SimSun, STSong" w:eastAsia="SimSun, STSong"/>
          <w:sz w:val="21"/>
        </w:rPr>
        <w:t>- 副作用及风险</w:t>
      </w:r>
    </w:p>
    <w:p w14:paraId="3F34B6AE">
      <w:pPr>
        <w:spacing w:line="360" w:lineRule="auto"/>
        <w:jc w:val="both"/>
      </w:pPr>
      <w:r>
        <w:rPr>
          <w:rFonts w:hint="eastAsia" w:ascii="SimSun, STSong" w:hAnsi="SimSun, STSong" w:eastAsia="SimSun, STSong"/>
          <w:sz w:val="21"/>
        </w:rPr>
        <w:t>6.3.4.2 与临床试验机构签订试验协议</w:t>
      </w:r>
    </w:p>
    <w:p w14:paraId="7FD7D1B4">
      <w:pPr>
        <w:spacing w:line="360" w:lineRule="auto"/>
        <w:jc w:val="both"/>
      </w:pPr>
      <w:r>
        <w:rPr>
          <w:rFonts w:hint="eastAsia" w:ascii="SimSun, STSong" w:hAnsi="SimSun, STSong" w:eastAsia="SimSun, STSong"/>
          <w:sz w:val="21"/>
        </w:rPr>
        <w:t>协议应遵循双方意愿、协商一致后签定。协议中应包含如下内容：</w:t>
      </w:r>
    </w:p>
    <w:p w14:paraId="03CE0FED">
      <w:pPr>
        <w:spacing w:line="360" w:lineRule="auto"/>
        <w:jc w:val="both"/>
      </w:pPr>
      <w:r>
        <w:rPr>
          <w:rFonts w:hint="eastAsia" w:ascii="SimSun, STSong" w:hAnsi="SimSun, STSong" w:eastAsia="SimSun, STSong"/>
          <w:sz w:val="21"/>
        </w:rPr>
        <w:t>- 合作方式</w:t>
      </w:r>
    </w:p>
    <w:p w14:paraId="695CDA52">
      <w:pPr>
        <w:spacing w:line="360" w:lineRule="auto"/>
        <w:jc w:val="both"/>
      </w:pPr>
      <w:r>
        <w:rPr>
          <w:rFonts w:hint="eastAsia" w:ascii="SimSun, STSong" w:hAnsi="SimSun, STSong" w:eastAsia="SimSun, STSong"/>
          <w:sz w:val="21"/>
        </w:rPr>
        <w:t>- 临床试验研究概述说明</w:t>
      </w:r>
    </w:p>
    <w:p w14:paraId="0341A8C4">
      <w:pPr>
        <w:spacing w:line="360" w:lineRule="auto"/>
        <w:jc w:val="both"/>
      </w:pPr>
      <w:r>
        <w:rPr>
          <w:rFonts w:hint="eastAsia" w:ascii="SimSun, STSong" w:hAnsi="SimSun, STSong" w:eastAsia="SimSun, STSong"/>
          <w:sz w:val="21"/>
        </w:rPr>
        <w:t>- 合作双方的责任与义务</w:t>
      </w:r>
    </w:p>
    <w:p w14:paraId="6FE859E1">
      <w:pPr>
        <w:spacing w:line="360" w:lineRule="auto"/>
        <w:jc w:val="both"/>
      </w:pPr>
      <w:r>
        <w:rPr>
          <w:rFonts w:hint="eastAsia" w:ascii="SimSun, STSong" w:hAnsi="SimSun, STSong" w:eastAsia="SimSun, STSong"/>
          <w:sz w:val="21"/>
        </w:rPr>
        <w:t>- 费用及支付方式</w:t>
      </w:r>
    </w:p>
    <w:p w14:paraId="34E5733F">
      <w:pPr>
        <w:spacing w:line="360" w:lineRule="auto"/>
        <w:jc w:val="both"/>
      </w:pPr>
      <w:r>
        <w:rPr>
          <w:rFonts w:hint="eastAsia" w:ascii="SimSun, STSong" w:hAnsi="SimSun, STSong" w:eastAsia="SimSun, STSong"/>
          <w:sz w:val="21"/>
        </w:rPr>
        <w:t>- 受试样品的处理方式</w:t>
      </w:r>
    </w:p>
    <w:p w14:paraId="477B2C2D">
      <w:pPr>
        <w:spacing w:line="360" w:lineRule="auto"/>
        <w:jc w:val="both"/>
      </w:pPr>
      <w:r>
        <w:rPr>
          <w:rFonts w:hint="eastAsia" w:ascii="SimSun, STSong" w:hAnsi="SimSun, STSong" w:eastAsia="SimSun, STSong"/>
          <w:sz w:val="21"/>
        </w:rPr>
        <w:t>- 合作期限</w:t>
      </w:r>
    </w:p>
    <w:p w14:paraId="4C5902C8">
      <w:pPr>
        <w:spacing w:line="360" w:lineRule="auto"/>
        <w:jc w:val="both"/>
      </w:pPr>
      <w:r>
        <w:rPr>
          <w:rFonts w:hint="eastAsia" w:ascii="SimSun, STSong" w:hAnsi="SimSun, STSong" w:eastAsia="SimSun, STSong"/>
          <w:sz w:val="21"/>
        </w:rPr>
        <w:t>6.3.4.3临床试验方案的编制</w:t>
      </w:r>
    </w:p>
    <w:p w14:paraId="0434B2C6">
      <w:pPr>
        <w:spacing w:line="360" w:lineRule="auto"/>
        <w:jc w:val="both"/>
      </w:pPr>
      <w:r>
        <w:rPr>
          <w:rFonts w:hint="eastAsia" w:ascii="SimSun, STSong" w:hAnsi="SimSun, STSong" w:eastAsia="SimSun, STSong"/>
          <w:sz w:val="21"/>
        </w:rPr>
        <w:t>临床试验方案应包含如下内容：</w:t>
      </w:r>
    </w:p>
    <w:p w14:paraId="53FC4EA7">
      <w:pPr>
        <w:spacing w:line="360" w:lineRule="auto"/>
        <w:ind w:left="405"/>
        <w:jc w:val="both"/>
      </w:pPr>
      <w:r>
        <w:rPr>
          <w:rFonts w:hint="eastAsia" w:ascii="&quot;Times New Roman&quot;" w:hAnsi="&quot;Times New Roman&quot;" w:eastAsia="&quot;Times New Roman&quot;"/>
          <w:sz w:val="21"/>
        </w:rPr>
        <w:t>1)</w:t>
      </w:r>
      <w:r>
        <w:rPr>
          <w:rFonts w:hint="eastAsia" w:ascii="SimSun, STSong" w:hAnsi="SimSun, STSong" w:eastAsia="SimSun, STSong"/>
          <w:sz w:val="21"/>
        </w:rPr>
        <w:t>临床试验的题目</w:t>
      </w:r>
    </w:p>
    <w:p w14:paraId="33626694">
      <w:pPr>
        <w:spacing w:line="360" w:lineRule="auto"/>
        <w:ind w:left="405"/>
        <w:jc w:val="both"/>
      </w:pPr>
      <w:r>
        <w:rPr>
          <w:rFonts w:hint="eastAsia" w:ascii="&quot;Times New Roman&quot;" w:hAnsi="&quot;Times New Roman&quot;" w:eastAsia="&quot;Times New Roman&quot;"/>
          <w:sz w:val="21"/>
        </w:rPr>
        <w:t>2)</w:t>
      </w:r>
    </w:p>
    <w:p w14:paraId="3CAA2F97">
      <w:pPr>
        <w:spacing w:line="360" w:lineRule="auto"/>
        <w:ind w:left="405"/>
        <w:jc w:val="both"/>
      </w:pPr>
      <w:r>
        <w:rPr>
          <w:rFonts w:hint="eastAsia" w:ascii="&quot;Times New Roman&quot;" w:hAnsi="&quot;Times New Roman&quot;" w:eastAsia="&quot;Times New Roman&quot;"/>
          <w:sz w:val="21"/>
        </w:rPr>
        <w:t>3)</w:t>
      </w:r>
      <w:r>
        <w:rPr>
          <w:rFonts w:hint="eastAsia" w:ascii="SimSun, STSong" w:hAnsi="SimSun, STSong" w:eastAsia="SimSun, STSong"/>
          <w:sz w:val="21"/>
        </w:rPr>
        <w:t>临床试验的目的、背景和内容</w:t>
      </w:r>
    </w:p>
    <w:p w14:paraId="704B8695">
      <w:pPr>
        <w:spacing w:line="360" w:lineRule="auto"/>
        <w:ind w:left="405"/>
        <w:jc w:val="both"/>
      </w:pPr>
      <w:r>
        <w:rPr>
          <w:rFonts w:hint="eastAsia" w:ascii="&quot;Times New Roman&quot;" w:hAnsi="&quot;Times New Roman&quot;" w:eastAsia="&quot;Times New Roman&quot;"/>
          <w:sz w:val="21"/>
        </w:rPr>
        <w:t>4)</w:t>
      </w:r>
    </w:p>
    <w:p w14:paraId="58A488F0">
      <w:pPr>
        <w:spacing w:line="360" w:lineRule="auto"/>
        <w:ind w:left="405"/>
        <w:jc w:val="both"/>
      </w:pPr>
      <w:r>
        <w:rPr>
          <w:rFonts w:hint="eastAsia" w:ascii="&quot;Times New Roman&quot;" w:hAnsi="&quot;Times New Roman&quot;" w:eastAsia="&quot;Times New Roman&quot;"/>
          <w:sz w:val="21"/>
        </w:rPr>
        <w:t>5)</w:t>
      </w:r>
      <w:r>
        <w:rPr>
          <w:rFonts w:hint="eastAsia" w:ascii="SimSun, STSong" w:hAnsi="SimSun, STSong" w:eastAsia="SimSun, STSong"/>
          <w:sz w:val="21"/>
        </w:rPr>
        <w:t>产品的机理、特点与试验范围</w:t>
      </w:r>
    </w:p>
    <w:p w14:paraId="655374FE">
      <w:pPr>
        <w:spacing w:line="360" w:lineRule="auto"/>
        <w:ind w:left="405"/>
        <w:jc w:val="both"/>
      </w:pPr>
      <w:r>
        <w:rPr>
          <w:rFonts w:hint="eastAsia" w:ascii="&quot;Times New Roman&quot;" w:hAnsi="&quot;Times New Roman&quot;" w:eastAsia="&quot;Times New Roman&quot;"/>
          <w:sz w:val="21"/>
        </w:rPr>
        <w:t>6)</w:t>
      </w:r>
    </w:p>
    <w:p w14:paraId="31E2AA5D">
      <w:pPr>
        <w:spacing w:line="360" w:lineRule="auto"/>
        <w:ind w:left="405"/>
        <w:jc w:val="both"/>
      </w:pPr>
      <w:r>
        <w:rPr>
          <w:rFonts w:hint="eastAsia" w:ascii="&quot;Times New Roman&quot;" w:hAnsi="&quot;Times New Roman&quot;" w:eastAsia="&quot;Times New Roman&quot;"/>
          <w:sz w:val="21"/>
        </w:rPr>
        <w:t>7)</w:t>
      </w:r>
      <w:r>
        <w:rPr>
          <w:rFonts w:hint="eastAsia" w:ascii="SimSun, STSong" w:hAnsi="SimSun, STSong" w:eastAsia="SimSun, STSong"/>
          <w:sz w:val="21"/>
        </w:rPr>
        <w:t>产品的适应症（预期用途）或功能</w:t>
      </w:r>
    </w:p>
    <w:p w14:paraId="1D671D86">
      <w:pPr>
        <w:spacing w:line="360" w:lineRule="auto"/>
        <w:ind w:left="405"/>
        <w:jc w:val="both"/>
      </w:pPr>
      <w:r>
        <w:rPr>
          <w:rFonts w:hint="eastAsia" w:ascii="&quot;Times New Roman&quot;" w:hAnsi="&quot;Times New Roman&quot;" w:eastAsia="&quot;Times New Roman&quot;"/>
          <w:sz w:val="21"/>
        </w:rPr>
        <w:t>8)</w:t>
      </w:r>
    </w:p>
    <w:p w14:paraId="346ECE20">
      <w:pPr>
        <w:spacing w:line="360" w:lineRule="auto"/>
        <w:ind w:left="405"/>
        <w:jc w:val="both"/>
      </w:pPr>
      <w:r>
        <w:rPr>
          <w:rFonts w:hint="eastAsia" w:ascii="&quot;Times New Roman&quot;" w:hAnsi="&quot;Times New Roman&quot;" w:eastAsia="&quot;Times New Roman&quot;"/>
          <w:sz w:val="21"/>
        </w:rPr>
        <w:t>9)</w:t>
      </w:r>
      <w:r>
        <w:rPr>
          <w:rFonts w:hint="eastAsia" w:ascii="SimSun, STSong" w:hAnsi="SimSun, STSong" w:eastAsia="SimSun, STSong"/>
          <w:sz w:val="21"/>
        </w:rPr>
        <w:t>临床试验目的</w:t>
      </w:r>
    </w:p>
    <w:p w14:paraId="3D12E3AF">
      <w:pPr>
        <w:spacing w:line="360" w:lineRule="auto"/>
        <w:ind w:left="405"/>
        <w:jc w:val="both"/>
      </w:pPr>
      <w:r>
        <w:rPr>
          <w:rFonts w:hint="eastAsia" w:ascii="&quot;Times New Roman&quot;" w:hAnsi="&quot;Times New Roman&quot;" w:eastAsia="&quot;Times New Roman&quot;"/>
          <w:sz w:val="21"/>
        </w:rPr>
        <w:t>10)</w:t>
      </w:r>
    </w:p>
    <w:p w14:paraId="38D0C76D">
      <w:pPr>
        <w:spacing w:line="360" w:lineRule="auto"/>
        <w:ind w:left="405"/>
        <w:jc w:val="both"/>
      </w:pPr>
      <w:r>
        <w:rPr>
          <w:rFonts w:hint="eastAsia" w:ascii="&quot;Times New Roman&quot;" w:hAnsi="&quot;Times New Roman&quot;" w:eastAsia="&quot;Times New Roman&quot;"/>
          <w:sz w:val="21"/>
        </w:rPr>
        <w:t>11)</w:t>
      </w:r>
      <w:r>
        <w:rPr>
          <w:rFonts w:hint="eastAsia" w:ascii="SimSun, STSong" w:hAnsi="SimSun, STSong" w:eastAsia="SimSun, STSong"/>
          <w:sz w:val="21"/>
        </w:rPr>
        <w:t>总体设计及项目内容</w:t>
      </w:r>
    </w:p>
    <w:p w14:paraId="649EAEB1">
      <w:pPr>
        <w:spacing w:line="360" w:lineRule="auto"/>
        <w:ind w:left="405"/>
        <w:jc w:val="both"/>
      </w:pPr>
      <w:r>
        <w:rPr>
          <w:rFonts w:hint="eastAsia" w:ascii="&quot;Times New Roman&quot;" w:hAnsi="&quot;Times New Roman&quot;" w:eastAsia="&quot;Times New Roman&quot;"/>
          <w:sz w:val="21"/>
        </w:rPr>
        <w:t>12)</w:t>
      </w:r>
    </w:p>
    <w:p w14:paraId="5424DF4F">
      <w:pPr>
        <w:spacing w:line="360" w:lineRule="auto"/>
        <w:ind w:left="405"/>
        <w:jc w:val="both"/>
      </w:pPr>
      <w:r>
        <w:rPr>
          <w:rFonts w:hint="eastAsia" w:ascii="SimSun, STSong" w:hAnsi="SimSun, STSong" w:eastAsia="SimSun, STSong"/>
          <w:sz w:val="21"/>
        </w:rPr>
        <w:t>◆ 试验计划与分组</w:t>
      </w:r>
    </w:p>
    <w:p w14:paraId="4E9D3C98">
      <w:pPr>
        <w:spacing w:line="360" w:lineRule="auto"/>
        <w:ind w:left="405"/>
        <w:jc w:val="both"/>
      </w:pPr>
      <w:r>
        <w:rPr>
          <w:rFonts w:hint="eastAsia" w:ascii="SimSun, STSong" w:hAnsi="SimSun, STSong" w:eastAsia="SimSun, STSong"/>
          <w:sz w:val="21"/>
        </w:rPr>
        <w:t>◆ 试验用器械说明</w:t>
      </w:r>
    </w:p>
    <w:p w14:paraId="5B1B8D6A">
      <w:pPr>
        <w:spacing w:line="360" w:lineRule="auto"/>
        <w:ind w:left="405"/>
        <w:jc w:val="both"/>
      </w:pPr>
      <w:r>
        <w:rPr>
          <w:rFonts w:hint="eastAsia" w:ascii="SimSun, STSong" w:hAnsi="SimSun, STSong" w:eastAsia="SimSun, STSong"/>
          <w:sz w:val="21"/>
        </w:rPr>
        <w:t>◆ 伦理学要求（必须遵循赫尔辛基宣言和临床试验机构当地的关于临床试验的法规与规范）</w:t>
      </w:r>
    </w:p>
    <w:p w14:paraId="5165BBDC">
      <w:pPr>
        <w:spacing w:line="360" w:lineRule="auto"/>
        <w:ind w:left="405"/>
        <w:jc w:val="both"/>
      </w:pPr>
      <w:r>
        <w:rPr>
          <w:rFonts w:hint="eastAsia" w:ascii="SimSun, STSong" w:hAnsi="SimSun, STSong" w:eastAsia="SimSun, STSong"/>
          <w:sz w:val="21"/>
        </w:rPr>
        <w:t>◆ 试验流程</w:t>
      </w:r>
    </w:p>
    <w:p w14:paraId="07BBD950">
      <w:pPr>
        <w:spacing w:line="360" w:lineRule="auto"/>
        <w:ind w:left="405"/>
        <w:jc w:val="both"/>
      </w:pPr>
      <w:r>
        <w:rPr>
          <w:rFonts w:hint="eastAsia" w:ascii="SimSun, STSong" w:hAnsi="SimSun, STSong" w:eastAsia="SimSun, STSong"/>
          <w:sz w:val="21"/>
        </w:rPr>
        <w:t>◆ 安全性评价</w:t>
      </w:r>
    </w:p>
    <w:p w14:paraId="5E697C40">
      <w:pPr>
        <w:spacing w:line="360" w:lineRule="auto"/>
        <w:ind w:left="405"/>
        <w:jc w:val="both"/>
      </w:pPr>
      <w:r>
        <w:rPr>
          <w:rFonts w:hint="eastAsia" w:ascii="SimSun, STSong" w:hAnsi="SimSun, STSong" w:eastAsia="SimSun, STSong"/>
          <w:sz w:val="21"/>
        </w:rPr>
        <w:t>◆ 统计分析</w:t>
      </w:r>
    </w:p>
    <w:p w14:paraId="5C727EE4">
      <w:pPr>
        <w:spacing w:line="360" w:lineRule="auto"/>
        <w:ind w:left="405"/>
        <w:jc w:val="both"/>
      </w:pPr>
      <w:r>
        <w:rPr>
          <w:rFonts w:hint="eastAsia" w:ascii="SimSun, STSong" w:hAnsi="SimSun, STSong" w:eastAsia="SimSun, STSong"/>
          <w:sz w:val="21"/>
        </w:rPr>
        <w:t>◆ 临床试验的质量控制</w:t>
      </w:r>
    </w:p>
    <w:p w14:paraId="4FC86B79">
      <w:pPr>
        <w:spacing w:line="360" w:lineRule="auto"/>
        <w:ind w:left="405"/>
        <w:jc w:val="both"/>
      </w:pPr>
      <w:r>
        <w:rPr>
          <w:rFonts w:hint="eastAsia" w:ascii="SimSun, STSong" w:hAnsi="SimSun, STSong" w:eastAsia="SimSun, STSong"/>
          <w:sz w:val="21"/>
        </w:rPr>
        <w:t>◆ 试验报告总结</w:t>
      </w:r>
    </w:p>
    <w:p w14:paraId="769FEC09">
      <w:pPr>
        <w:spacing w:line="360" w:lineRule="auto"/>
        <w:ind w:left="405"/>
        <w:jc w:val="both"/>
      </w:pPr>
      <w:r>
        <w:rPr>
          <w:rFonts w:hint="eastAsia" w:ascii="SimSun, STSong" w:hAnsi="SimSun, STSong" w:eastAsia="SimSun, STSong"/>
          <w:sz w:val="21"/>
        </w:rPr>
        <w:t>◆ 数据管理与资料的保存</w:t>
      </w:r>
    </w:p>
    <w:p w14:paraId="5A697DDD">
      <w:pPr>
        <w:spacing w:line="360" w:lineRule="auto"/>
        <w:jc w:val="both"/>
      </w:pPr>
      <w:r>
        <w:rPr>
          <w:rFonts w:hint="eastAsia" w:ascii="SimSun, STSong" w:hAnsi="SimSun, STSong" w:eastAsia="SimSun, STSong"/>
          <w:sz w:val="21"/>
        </w:rPr>
        <w:t>7) 成功与试验的分析</w:t>
      </w:r>
    </w:p>
    <w:p w14:paraId="134A22DE">
      <w:pPr>
        <w:spacing w:line="360" w:lineRule="auto"/>
        <w:jc w:val="both"/>
      </w:pPr>
      <w:r>
        <w:rPr>
          <w:rFonts w:hint="eastAsia" w:ascii="SimSun, STSong" w:hAnsi="SimSun, STSong" w:eastAsia="SimSun, STSong"/>
          <w:sz w:val="21"/>
        </w:rPr>
        <w:t>8) 临床评价标准</w:t>
      </w:r>
    </w:p>
    <w:p w14:paraId="792FBA41">
      <w:pPr>
        <w:spacing w:line="360" w:lineRule="auto"/>
        <w:jc w:val="both"/>
      </w:pPr>
      <w:r>
        <w:rPr>
          <w:rFonts w:hint="eastAsia" w:ascii="SimSun, STSong" w:hAnsi="SimSun, STSong" w:eastAsia="SimSun, STSong"/>
          <w:sz w:val="21"/>
        </w:rPr>
        <w:t>9) 临床试验持续时间及其确定的理由</w:t>
      </w:r>
    </w:p>
    <w:p w14:paraId="17D17993">
      <w:pPr>
        <w:spacing w:line="360" w:lineRule="auto"/>
        <w:jc w:val="both"/>
      </w:pPr>
      <w:r>
        <w:rPr>
          <w:rFonts w:hint="eastAsia" w:ascii="SimSun, STSong" w:hAnsi="SimSun, STSong" w:eastAsia="SimSun, STSong"/>
          <w:sz w:val="21"/>
        </w:rPr>
        <w:t>10) 选择对象范围，选择对象数量及选择理由</w:t>
      </w:r>
    </w:p>
    <w:p w14:paraId="5A4D51E4">
      <w:pPr>
        <w:spacing w:line="360" w:lineRule="auto"/>
        <w:jc w:val="both"/>
      </w:pPr>
      <w:r>
        <w:rPr>
          <w:rFonts w:hint="eastAsia" w:ascii="SimSun, STSong" w:hAnsi="SimSun, STSong" w:eastAsia="SimSun, STSong"/>
          <w:sz w:val="21"/>
        </w:rPr>
        <w:t>11) 副作用预测及应当采取的措施</w:t>
      </w:r>
    </w:p>
    <w:p w14:paraId="54A28CE0">
      <w:pPr>
        <w:spacing w:line="360" w:lineRule="auto"/>
        <w:jc w:val="both"/>
      </w:pPr>
      <w:r>
        <w:rPr>
          <w:rFonts w:hint="eastAsia" w:ascii="SimSun, STSong" w:hAnsi="SimSun, STSong" w:eastAsia="SimSun, STSong"/>
          <w:sz w:val="21"/>
        </w:rPr>
        <w:t>12) 临床性能的评价方法和统计处理方法</w:t>
      </w:r>
    </w:p>
    <w:p w14:paraId="0F3EFB4C">
      <w:pPr>
        <w:spacing w:line="360" w:lineRule="auto"/>
        <w:jc w:val="both"/>
      </w:pPr>
      <w:r>
        <w:rPr>
          <w:rFonts w:hint="eastAsia" w:ascii="SimSun, STSong" w:hAnsi="SimSun, STSong" w:eastAsia="SimSun, STSong"/>
          <w:sz w:val="21"/>
        </w:rPr>
        <w:t>13) 受试者&lt;知情同意书&gt;</w:t>
      </w:r>
    </w:p>
    <w:p w14:paraId="3F942369">
      <w:pPr>
        <w:spacing w:line="360" w:lineRule="auto"/>
        <w:jc w:val="both"/>
      </w:pPr>
      <w:r>
        <w:rPr>
          <w:rFonts w:hint="eastAsia" w:ascii="SimSun, STSong" w:hAnsi="SimSun, STSong" w:eastAsia="SimSun, STSong"/>
          <w:sz w:val="21"/>
        </w:rPr>
        <w:t>14) 各方的职责</w:t>
      </w:r>
    </w:p>
    <w:p w14:paraId="3DBB39D7">
      <w:pPr>
        <w:spacing w:line="360" w:lineRule="auto"/>
        <w:jc w:val="both"/>
      </w:pPr>
      <w:r>
        <w:rPr>
          <w:rFonts w:hint="eastAsia" w:ascii="SimSun, STSong" w:hAnsi="SimSun, STSong" w:eastAsia="SimSun, STSong"/>
          <w:sz w:val="21"/>
        </w:rPr>
        <w:t>◆申请单位的职责</w:t>
      </w:r>
    </w:p>
    <w:p w14:paraId="06497CC5">
      <w:pPr>
        <w:spacing w:line="360" w:lineRule="auto"/>
        <w:jc w:val="both"/>
      </w:pPr>
      <w:r>
        <w:rPr>
          <w:rFonts w:hint="eastAsia" w:ascii="SimSun, STSong" w:hAnsi="SimSun, STSong" w:eastAsia="SimSun, STSong"/>
          <w:sz w:val="21"/>
        </w:rPr>
        <w:t>◆承担临床试验的医疗机构职责</w:t>
      </w:r>
    </w:p>
    <w:p w14:paraId="744BBADF">
      <w:pPr>
        <w:spacing w:line="360" w:lineRule="auto"/>
        <w:jc w:val="both"/>
      </w:pPr>
      <w:r>
        <w:rPr>
          <w:rFonts w:hint="eastAsia" w:ascii="SimSun, STSong" w:hAnsi="SimSun, STSong" w:eastAsia="SimSun, STSong"/>
          <w:sz w:val="21"/>
        </w:rPr>
        <w:t>◆临床试验人员的姓名、职务、职称和任职部门</w:t>
      </w:r>
    </w:p>
    <w:p w14:paraId="391D91C6">
      <w:pPr>
        <w:spacing w:line="360" w:lineRule="auto"/>
        <w:jc w:val="both"/>
      </w:pPr>
      <w:r>
        <w:rPr>
          <w:rFonts w:hint="eastAsia" w:ascii="SimSun, STSong" w:hAnsi="SimSun, STSong" w:eastAsia="SimSun, STSong"/>
          <w:sz w:val="21"/>
        </w:rPr>
        <w:t>各方签署的意见（应包括伦理委员会的意见）针对不同的医疗器械进行临床试验时应遵守相应的法规中的要求。</w:t>
      </w:r>
    </w:p>
    <w:p w14:paraId="70AABCDF">
      <w:pPr>
        <w:spacing w:line="360" w:lineRule="auto"/>
        <w:jc w:val="both"/>
      </w:pPr>
      <w:r>
        <w:rPr>
          <w:rFonts w:hint="eastAsia" w:ascii="SimSun, STSong" w:hAnsi="SimSun, STSong" w:eastAsia="SimSun, STSong"/>
          <w:sz w:val="21"/>
        </w:rPr>
        <w:t>6.3.4.4 提交伦理委员会审评</w:t>
      </w:r>
    </w:p>
    <w:p w14:paraId="5A887BE8">
      <w:pPr>
        <w:spacing w:line="360" w:lineRule="auto"/>
        <w:jc w:val="both"/>
      </w:pPr>
      <w:r>
        <w:rPr>
          <w:rFonts w:hint="eastAsia" w:ascii="SimSun, STSong" w:hAnsi="SimSun, STSong" w:eastAsia="SimSun, STSong"/>
          <w:sz w:val="21"/>
        </w:rPr>
        <w:t>1） 临床试验小组负责人应将《临床试验方案》、《研究者手册》、《知情同意书》、招募受试者和向其宣传的程序性文件、病例报告表文本、产品的自检及型式检验报告、研究者资料、临床试验机构的背景介绍、医疗器械质量管理体系符合性声明等提供交伦理委员会进行审评。</w:t>
      </w:r>
    </w:p>
    <w:p w14:paraId="5ED63F50">
      <w:pPr>
        <w:spacing w:line="360" w:lineRule="auto"/>
        <w:jc w:val="both"/>
      </w:pPr>
      <w:r>
        <w:rPr>
          <w:rFonts w:hint="eastAsia" w:ascii="SimSun, STSong" w:hAnsi="SimSun, STSong" w:eastAsia="SimSun, STSong"/>
          <w:sz w:val="21"/>
        </w:rPr>
        <w:t>2）审核时临床项目负责人应参与，及时澄清与沟通相关事宜。</w:t>
      </w:r>
    </w:p>
    <w:p w14:paraId="39C7AC0B">
      <w:pPr>
        <w:spacing w:line="360" w:lineRule="auto"/>
        <w:jc w:val="both"/>
      </w:pPr>
      <w:r>
        <w:rPr>
          <w:rFonts w:hint="eastAsia" w:ascii="SimSun, STSong" w:hAnsi="SimSun, STSong" w:eastAsia="SimSun, STSong"/>
          <w:sz w:val="21"/>
        </w:rPr>
        <w:t>3）审评之后，依据相关方意见最终确定《临床试验方案》、《知情同意书》和《研究者手册》。</w:t>
      </w:r>
    </w:p>
    <w:p w14:paraId="20BBE390">
      <w:pPr>
        <w:spacing w:line="360" w:lineRule="auto"/>
        <w:jc w:val="both"/>
      </w:pPr>
      <w:r>
        <w:rPr>
          <w:rFonts w:hint="eastAsia" w:ascii="SimSun, STSong" w:hAnsi="SimSun, STSong" w:eastAsia="SimSun, STSong"/>
          <w:sz w:val="21"/>
        </w:rPr>
        <w:t>6.3.4.5 临床试验备案</w:t>
      </w:r>
    </w:p>
    <w:p w14:paraId="1470D32E">
      <w:pPr>
        <w:spacing w:line="360" w:lineRule="auto"/>
        <w:jc w:val="both"/>
      </w:pPr>
      <w:r>
        <w:rPr>
          <w:rFonts w:hint="eastAsia" w:ascii="SimSun, STSong" w:hAnsi="SimSun, STSong" w:eastAsia="SimSun, STSong"/>
          <w:sz w:val="21"/>
        </w:rPr>
        <w:t>1）由临床项目组负责人应根据福建省医疗器械监督管理的相关要求向省局提报临床试验备案。备案时需要提交如下资料：</w:t>
      </w:r>
    </w:p>
    <w:p w14:paraId="31B504CF">
      <w:pPr>
        <w:spacing w:line="360" w:lineRule="auto"/>
        <w:jc w:val="both"/>
      </w:pPr>
      <w:r>
        <w:rPr>
          <w:rFonts w:hint="eastAsia" w:ascii="SimSun, STSong" w:hAnsi="SimSun, STSong" w:eastAsia="SimSun, STSong"/>
          <w:sz w:val="21"/>
        </w:rPr>
        <w:t>- 申办者或代理人的营业执照</w:t>
      </w:r>
    </w:p>
    <w:p w14:paraId="5E745714">
      <w:pPr>
        <w:spacing w:line="360" w:lineRule="auto"/>
        <w:jc w:val="both"/>
      </w:pPr>
      <w:r>
        <w:rPr>
          <w:rFonts w:hint="eastAsia" w:ascii="SimSun, STSong" w:hAnsi="SimSun, STSong" w:eastAsia="SimSun, STSong"/>
          <w:sz w:val="21"/>
        </w:rPr>
        <w:t>- 伦理委员会意见</w:t>
      </w:r>
    </w:p>
    <w:p w14:paraId="6420483E">
      <w:pPr>
        <w:spacing w:line="360" w:lineRule="auto"/>
        <w:jc w:val="both"/>
      </w:pPr>
      <w:r>
        <w:rPr>
          <w:rFonts w:hint="eastAsia" w:ascii="SimSun, STSong" w:hAnsi="SimSun, STSong" w:eastAsia="SimSun, STSong"/>
          <w:sz w:val="21"/>
        </w:rPr>
        <w:t>- 临床试验合作协议</w:t>
      </w:r>
    </w:p>
    <w:p w14:paraId="26ECEC71">
      <w:pPr>
        <w:spacing w:line="360" w:lineRule="auto"/>
        <w:jc w:val="both"/>
      </w:pPr>
      <w:r>
        <w:rPr>
          <w:rFonts w:hint="eastAsia" w:ascii="SimSun, STSong" w:hAnsi="SimSun, STSong" w:eastAsia="SimSun, STSong"/>
          <w:sz w:val="21"/>
        </w:rPr>
        <w:t>6.3.4.6 临床试验中的要求</w:t>
      </w:r>
    </w:p>
    <w:p w14:paraId="1FF4B038">
      <w:pPr>
        <w:spacing w:line="360" w:lineRule="auto"/>
        <w:jc w:val="both"/>
      </w:pPr>
      <w:r>
        <w:rPr>
          <w:rFonts w:hint="eastAsia" w:ascii="SimSun, STSong" w:hAnsi="SimSun, STSong" w:eastAsia="SimSun, STSong"/>
          <w:sz w:val="21"/>
        </w:rPr>
        <w:t>1）临床试验中应充分保护受试者的合法权利；</w:t>
      </w:r>
    </w:p>
    <w:p w14:paraId="67997051">
      <w:pPr>
        <w:spacing w:line="360" w:lineRule="auto"/>
        <w:jc w:val="both"/>
      </w:pPr>
      <w:r>
        <w:rPr>
          <w:rFonts w:hint="eastAsia" w:ascii="SimSun, STSong" w:hAnsi="SimSun, STSong" w:eastAsia="SimSun, STSong"/>
          <w:sz w:val="21"/>
        </w:rPr>
        <w:t>2）需要对过程中进行监视，当发生严重不良事件、修订或偏离时应向伦理委员会报告；</w:t>
      </w:r>
    </w:p>
    <w:p w14:paraId="6C9456CF">
      <w:pPr>
        <w:spacing w:line="360" w:lineRule="auto"/>
        <w:jc w:val="both"/>
      </w:pPr>
      <w:r>
        <w:rPr>
          <w:rFonts w:hint="eastAsia" w:ascii="SimSun, STSong" w:hAnsi="SimSun, STSong" w:eastAsia="SimSun, STSong"/>
          <w:sz w:val="21"/>
        </w:rPr>
        <w:t>3）招募受试者时应尽量避免虚弱及弱势人群，试验的相关风险与可能的不良事件应向受试者讲明；</w:t>
      </w:r>
    </w:p>
    <w:p w14:paraId="1755C73E">
      <w:pPr>
        <w:spacing w:line="360" w:lineRule="auto"/>
        <w:jc w:val="both"/>
      </w:pPr>
      <w:r>
        <w:rPr>
          <w:rFonts w:hint="eastAsia" w:ascii="SimSun, STSong" w:hAnsi="SimSun, STSong" w:eastAsia="SimSun, STSong"/>
          <w:sz w:val="21"/>
        </w:rPr>
        <w:t>4）遵从受试者的要求，任意时候受试者均可自由退出试验；</w:t>
      </w:r>
    </w:p>
    <w:p w14:paraId="2F5ADF89">
      <w:pPr>
        <w:spacing w:line="360" w:lineRule="auto"/>
        <w:ind w:left="405"/>
        <w:jc w:val="both"/>
      </w:pPr>
      <w:r>
        <w:rPr>
          <w:rFonts w:hint="eastAsia" w:ascii="SimSun, STSong" w:hAnsi="SimSun, STSong" w:eastAsia="SimSun, STSong"/>
          <w:sz w:val="21"/>
        </w:rPr>
        <w:t>5）如果器械未在境内外批准上市过的，安全性以及性能尚未经医学证实的，临床试验方案设计时应当先进行小样本可行性试验，待初步确认其安全性后，再根据统计学要求确定样本量开展后续临床试验。</w:t>
      </w:r>
    </w:p>
    <w:p w14:paraId="7A08379D">
      <w:pPr>
        <w:spacing w:line="360" w:lineRule="auto"/>
        <w:ind w:left="405"/>
        <w:jc w:val="both"/>
      </w:pPr>
      <w:r>
        <w:rPr>
          <w:rFonts w:hint="eastAsia" w:ascii="SimSun, STSong" w:hAnsi="SimSun, STSong" w:eastAsia="SimSun, STSong"/>
          <w:sz w:val="21"/>
        </w:rPr>
        <w:t>6）试验过程中公司应派驻临床监查员与核查员监管临床试验过程，协调相关资料防止试验的偏离。</w:t>
      </w:r>
    </w:p>
    <w:p w14:paraId="02B86F1D">
      <w:pPr>
        <w:spacing w:line="360" w:lineRule="auto"/>
        <w:jc w:val="both"/>
      </w:pPr>
      <w:r>
        <w:rPr>
          <w:rFonts w:hint="eastAsia" w:ascii="SimSun, STSong" w:hAnsi="SimSun, STSong" w:eastAsia="SimSun, STSong"/>
          <w:sz w:val="21"/>
        </w:rPr>
        <w:t>6.3.4.7 临床试验报告</w:t>
      </w:r>
    </w:p>
    <w:p w14:paraId="2665F014">
      <w:pPr>
        <w:spacing w:line="360" w:lineRule="auto"/>
        <w:jc w:val="both"/>
      </w:pPr>
      <w:r>
        <w:rPr>
          <w:rFonts w:hint="eastAsia" w:ascii="SimSun, STSong" w:hAnsi="SimSun, STSong" w:eastAsia="SimSun, STSong"/>
          <w:sz w:val="21"/>
        </w:rPr>
        <w:t>1）临床试验报告应与方案保持一致；临床试验报告由企业进行编写，交由研究者审核确认。</w:t>
      </w:r>
    </w:p>
    <w:p w14:paraId="4ED2F22C">
      <w:pPr>
        <w:spacing w:line="360" w:lineRule="auto"/>
        <w:jc w:val="both"/>
      </w:pPr>
      <w:r>
        <w:rPr>
          <w:rFonts w:hint="eastAsia" w:ascii="SimSun, STSong" w:hAnsi="SimSun, STSong" w:eastAsia="SimSun, STSong"/>
          <w:sz w:val="21"/>
        </w:rPr>
        <w:t>2）应包含对于临床试验的数据统计分析、结果表述与结论。</w:t>
      </w:r>
    </w:p>
    <w:p w14:paraId="448CE61E">
      <w:pPr>
        <w:spacing w:line="360" w:lineRule="auto"/>
        <w:ind w:left="405"/>
        <w:jc w:val="both"/>
      </w:pPr>
      <w:r>
        <w:rPr>
          <w:rFonts w:hint="eastAsia" w:ascii="SimSun, STSong" w:hAnsi="SimSun, STSong" w:eastAsia="SimSun, STSong"/>
          <w:sz w:val="21"/>
        </w:rPr>
        <w:t>3）临床试验报告应当由研究者签名、注明日期，经临床试验机构医疗器械临床试验管理部门审核出具意见、注明日期并加盖临床试验机构印章后交申办者。</w:t>
      </w:r>
    </w:p>
    <w:p w14:paraId="12E94B5B">
      <w:pPr>
        <w:spacing w:line="360" w:lineRule="auto"/>
        <w:ind w:left="405"/>
        <w:jc w:val="both"/>
      </w:pPr>
      <w:r>
        <w:rPr>
          <w:rFonts w:hint="eastAsia" w:ascii="SimSun, STSong" w:hAnsi="SimSun, STSong" w:eastAsia="SimSun, STSong"/>
          <w:sz w:val="21"/>
        </w:rPr>
        <w:t>4）临床试验最终报告应做为该器械技术文档的一部分。如果临床试验结果失败,那么必须如下途径进行更改,直到该器械的临床试验成功为止,方可将该器械进行注册和销售:</w:t>
      </w:r>
    </w:p>
    <w:p w14:paraId="171D35AF">
      <w:pPr>
        <w:spacing w:line="360" w:lineRule="auto"/>
        <w:ind w:left="405"/>
        <w:jc w:val="both"/>
      </w:pPr>
      <w:r>
        <w:rPr>
          <w:rFonts w:hint="eastAsia" w:ascii="SimSun, STSong" w:hAnsi="SimSun, STSong" w:eastAsia="SimSun, STSong"/>
          <w:sz w:val="21"/>
        </w:rPr>
        <w:t>- 修改器械的预期用途</w:t>
      </w:r>
    </w:p>
    <w:p w14:paraId="4BBF7380">
      <w:pPr>
        <w:spacing w:line="360" w:lineRule="auto"/>
        <w:ind w:left="405"/>
        <w:jc w:val="both"/>
      </w:pPr>
      <w:r>
        <w:rPr>
          <w:rFonts w:hint="eastAsia" w:ascii="SimSun, STSong" w:hAnsi="SimSun, STSong" w:eastAsia="SimSun, STSong"/>
          <w:sz w:val="21"/>
        </w:rPr>
        <w:t>- 改进器械的功能与技术性能</w:t>
      </w:r>
    </w:p>
    <w:p w14:paraId="531BF8F0">
      <w:pPr>
        <w:spacing w:line="360" w:lineRule="auto"/>
        <w:ind w:left="405"/>
        <w:jc w:val="both"/>
      </w:pPr>
      <w:r>
        <w:rPr>
          <w:rFonts w:hint="eastAsia" w:ascii="SimSun, STSong" w:hAnsi="SimSun, STSong" w:eastAsia="SimSun, STSong"/>
          <w:sz w:val="21"/>
        </w:rPr>
        <w:t>- 按6.3.4.3条款修改临床试验方案</w:t>
      </w:r>
    </w:p>
    <w:p w14:paraId="7D763A0F">
      <w:pPr>
        <w:spacing w:line="360" w:lineRule="auto"/>
        <w:jc w:val="both"/>
      </w:pPr>
      <w:r>
        <w:rPr>
          <w:rFonts w:hint="eastAsia" w:ascii="SimSun, STSong" w:hAnsi="SimSun, STSong" w:eastAsia="SimSun, STSong"/>
          <w:sz w:val="21"/>
        </w:rPr>
        <w:t>6.3.4.8 其它要求</w:t>
      </w:r>
    </w:p>
    <w:p w14:paraId="702BA98D">
      <w:pPr>
        <w:spacing w:line="360" w:lineRule="auto"/>
        <w:jc w:val="both"/>
      </w:pPr>
      <w:r>
        <w:rPr>
          <w:rFonts w:hint="eastAsia" w:ascii="SimSun, STSong" w:hAnsi="SimSun, STSong" w:eastAsia="SimSun, STSong"/>
          <w:sz w:val="21"/>
        </w:rPr>
        <w:t>1）对试验用医疗器械作适当的标识，并标注“临床试验用”。</w:t>
      </w:r>
    </w:p>
    <w:p w14:paraId="5FCA9D56">
      <w:pPr>
        <w:spacing w:line="360" w:lineRule="auto"/>
        <w:jc w:val="both"/>
      </w:pPr>
      <w:r>
        <w:rPr>
          <w:rFonts w:hint="eastAsia" w:ascii="SimSun, STSong" w:hAnsi="SimSun, STSong" w:eastAsia="SimSun, STSong"/>
          <w:sz w:val="21"/>
        </w:rPr>
        <w:t>2）临床试验用的样机应保持完整的生产检验记录，以备监管部门临床真实性核查工作。</w:t>
      </w:r>
    </w:p>
    <w:p w14:paraId="19BED2F5">
      <w:pPr>
        <w:spacing w:line="360" w:lineRule="auto"/>
        <w:jc w:val="both"/>
      </w:pPr>
      <w:r>
        <w:rPr>
          <w:rFonts w:hint="eastAsia" w:ascii="SimSun, STSong" w:hAnsi="SimSun, STSong" w:eastAsia="SimSun, STSong"/>
          <w:sz w:val="21"/>
        </w:rPr>
        <w:t>3）临床试验中所有的原始数据与患者信息均应予以保留，纳入到“用户健康信息”中进行保密保管。</w:t>
      </w:r>
    </w:p>
    <w:p w14:paraId="5EF024A7">
      <w:pPr>
        <w:spacing w:line="360" w:lineRule="auto"/>
        <w:jc w:val="both"/>
      </w:pPr>
      <w:r>
        <w:rPr>
          <w:rFonts w:hint="eastAsia" w:ascii="SimSun, STSong" w:hAnsi="SimSun, STSong" w:eastAsia="SimSun, STSong"/>
          <w:sz w:val="21"/>
        </w:rPr>
        <w:t>6.4 临床评估的其它通用要求</w:t>
      </w:r>
    </w:p>
    <w:p w14:paraId="3C319D80">
      <w:pPr>
        <w:spacing w:line="360" w:lineRule="auto"/>
        <w:jc w:val="both"/>
      </w:pPr>
      <w:r>
        <w:rPr>
          <w:rFonts w:hint="eastAsia" w:ascii="SimSun, STSong" w:hAnsi="SimSun, STSong" w:eastAsia="SimSun, STSong"/>
          <w:sz w:val="21"/>
        </w:rPr>
        <w:t>6.4.1 临床评估应有一个或多个具备资质的人员进行,作为一般原则,临床评估的人员必须具备以下知识:</w:t>
      </w:r>
    </w:p>
    <w:p w14:paraId="0A9A7903">
      <w:pPr>
        <w:spacing w:line="360" w:lineRule="auto"/>
        <w:jc w:val="both"/>
      </w:pPr>
      <w:r>
        <w:rPr>
          <w:rFonts w:hint="eastAsia" w:ascii="SimSun, STSong" w:hAnsi="SimSun, STSong" w:eastAsia="SimSun, STSong"/>
          <w:sz w:val="21"/>
        </w:rPr>
        <w:t>-- 医疗器械的技术及其应用；</w:t>
      </w:r>
    </w:p>
    <w:p w14:paraId="3DE457A2">
      <w:pPr>
        <w:spacing w:line="360" w:lineRule="auto"/>
        <w:jc w:val="both"/>
      </w:pPr>
      <w:r>
        <w:rPr>
          <w:rFonts w:hint="eastAsia" w:ascii="SimSun, STSong" w:hAnsi="SimSun, STSong" w:eastAsia="SimSun, STSong"/>
          <w:sz w:val="21"/>
        </w:rPr>
        <w:t>-- 研究方法（临床研究设计）；和</w:t>
      </w:r>
    </w:p>
    <w:p w14:paraId="1C6CCAD5">
      <w:pPr>
        <w:spacing w:line="360" w:lineRule="auto"/>
        <w:jc w:val="both"/>
      </w:pPr>
      <w:r>
        <w:rPr>
          <w:rFonts w:hint="eastAsia" w:ascii="SimSun, STSong" w:hAnsi="SimSun, STSong" w:eastAsia="SimSun, STSong"/>
          <w:sz w:val="21"/>
        </w:rPr>
        <w:t>-- 对医疗器械预期治疗或诊断和管理；</w:t>
      </w:r>
    </w:p>
    <w:p w14:paraId="0DF9E441">
      <w:pPr>
        <w:spacing w:line="360" w:lineRule="auto"/>
        <w:jc w:val="both"/>
      </w:pPr>
      <w:r>
        <w:rPr>
          <w:rFonts w:hint="eastAsia" w:ascii="SimSun, STSong" w:hAnsi="SimSun, STSong" w:eastAsia="SimSun, STSong"/>
          <w:sz w:val="21"/>
        </w:rPr>
        <w:t>-- 具备风险管理知识；</w:t>
      </w:r>
    </w:p>
    <w:p w14:paraId="07AC6228">
      <w:pPr>
        <w:spacing w:line="360" w:lineRule="auto"/>
        <w:jc w:val="both"/>
      </w:pPr>
      <w:r>
        <w:rPr>
          <w:rFonts w:hint="eastAsia" w:ascii="SimSun, STSong" w:hAnsi="SimSun, STSong" w:eastAsia="SimSun, STSong"/>
          <w:sz w:val="21"/>
        </w:rPr>
        <w:t>6.4.2对于已经出版的数据，需要评价其在确立所述医疗器械的性能和安全两方面的可能贡献和权重。由于研究设计低劣或分析不充分而被认为不适合于证明性能的论文，可能仍然包含着适宜于评价医疗器械安全的数据。</w:t>
      </w:r>
    </w:p>
    <w:p w14:paraId="6A6A627D">
      <w:pPr>
        <w:spacing w:line="360" w:lineRule="auto"/>
        <w:jc w:val="both"/>
      </w:pPr>
      <w:r>
        <w:rPr>
          <w:rFonts w:hint="eastAsia" w:ascii="SimSun, STSong" w:hAnsi="SimSun, STSong" w:eastAsia="SimSun, STSong"/>
          <w:sz w:val="21"/>
        </w:rPr>
        <w:t>6.4.3 获得相关的临床数据或研究信息后,应对这些数据和信息进行临床数据分析。分析的目的是：确定医疗器械可获的已鉴定数据集，能够集体证明医疗器械的临床性能和安全与其预期用途相关。</w:t>
      </w:r>
    </w:p>
    <w:p w14:paraId="7D7F09B5">
      <w:pPr>
        <w:spacing w:line="360" w:lineRule="auto"/>
        <w:jc w:val="both"/>
      </w:pPr>
      <w:r>
        <w:rPr>
          <w:rFonts w:hint="eastAsia" w:ascii="SimSun, STSong" w:hAnsi="SimSun, STSong" w:eastAsia="SimSun, STSong"/>
          <w:sz w:val="21"/>
        </w:rPr>
        <w:t>作为最终步骤，评估人员应考虑用以证明组合数据表明以下方面的基础：</w:t>
      </w:r>
    </w:p>
    <w:p w14:paraId="47727531">
      <w:pPr>
        <w:spacing w:line="360" w:lineRule="auto"/>
        <w:jc w:val="both"/>
      </w:pPr>
      <w:r>
        <w:rPr>
          <w:rFonts w:hint="eastAsia" w:ascii="SimSun, STSong" w:hAnsi="SimSun, STSong" w:eastAsia="SimSun, STSong"/>
          <w:sz w:val="21"/>
        </w:rPr>
        <w:t>-- 医疗器械的预期用途起到作用；</w:t>
      </w:r>
    </w:p>
    <w:p w14:paraId="52267AC7">
      <w:pPr>
        <w:spacing w:line="360" w:lineRule="auto"/>
        <w:jc w:val="both"/>
      </w:pPr>
      <w:r>
        <w:rPr>
          <w:rFonts w:hint="eastAsia" w:ascii="SimSun, STSong" w:hAnsi="SimSun, STSong" w:eastAsia="SimSun, STSong"/>
          <w:sz w:val="21"/>
        </w:rPr>
        <w:t>-- 医疗器械未对接受者或最终用户构成任何不适当的安全担忧；和</w:t>
      </w:r>
    </w:p>
    <w:p w14:paraId="7BB587C2">
      <w:pPr>
        <w:spacing w:line="360" w:lineRule="auto"/>
        <w:jc w:val="both"/>
      </w:pPr>
      <w:r>
        <w:rPr>
          <w:rFonts w:hint="eastAsia" w:ascii="SimSun, STSong" w:hAnsi="SimSun, STSong" w:eastAsia="SimSun, STSong"/>
          <w:sz w:val="21"/>
        </w:rPr>
        <w:t>-- 任何与使用医疗器械相关的风险，在与患者（用户）的益处相权衡时，是可以接受的。</w:t>
      </w:r>
    </w:p>
    <w:p w14:paraId="7AC7D762">
      <w:pPr>
        <w:spacing w:line="360" w:lineRule="auto"/>
        <w:jc w:val="both"/>
      </w:pPr>
      <w:r>
        <w:rPr>
          <w:rFonts w:hint="eastAsia" w:ascii="SimSun, STSong" w:hAnsi="SimSun, STSong" w:eastAsia="SimSun, STSong"/>
          <w:sz w:val="21"/>
        </w:rPr>
        <w:t>6.4.4 临床评估报告中必须包含：</w:t>
      </w:r>
    </w:p>
    <w:p w14:paraId="551AFB7F">
      <w:pPr>
        <w:spacing w:line="360" w:lineRule="auto"/>
        <w:jc w:val="both"/>
      </w:pPr>
      <w:r>
        <w:rPr>
          <w:rFonts w:hint="eastAsia" w:ascii="SimSun, STSong" w:hAnsi="SimSun, STSong" w:eastAsia="SimSun, STSong"/>
          <w:sz w:val="21"/>
        </w:rPr>
        <w:t>-- 提供了临床评价信息；</w:t>
      </w:r>
    </w:p>
    <w:p w14:paraId="324D86A1">
      <w:pPr>
        <w:spacing w:line="360" w:lineRule="auto"/>
        <w:jc w:val="both"/>
      </w:pPr>
      <w:r>
        <w:rPr>
          <w:rFonts w:hint="eastAsia" w:ascii="SimSun, STSong" w:hAnsi="SimSun, STSong" w:eastAsia="SimSun, STSong"/>
          <w:sz w:val="21"/>
        </w:rPr>
        <w:t>-- 描述和检验了与临床方面相关的预期特性和性能；</w:t>
      </w:r>
    </w:p>
    <w:p w14:paraId="067F75F0">
      <w:pPr>
        <w:spacing w:line="360" w:lineRule="auto"/>
        <w:jc w:val="both"/>
      </w:pPr>
      <w:r>
        <w:rPr>
          <w:rFonts w:hint="eastAsia" w:ascii="SimSun, STSong" w:hAnsi="SimSun, STSong" w:eastAsia="SimSun, STSong"/>
          <w:sz w:val="21"/>
        </w:rPr>
        <w:t>-- 进行了适当的风险分析，并且估计了不良副作用；</w:t>
      </w:r>
    </w:p>
    <w:p w14:paraId="6458AF3B">
      <w:pPr>
        <w:spacing w:line="360" w:lineRule="auto"/>
        <w:jc w:val="both"/>
      </w:pPr>
      <w:r>
        <w:rPr>
          <w:rFonts w:hint="eastAsia" w:ascii="SimSun, STSong" w:hAnsi="SimSun, STSong" w:eastAsia="SimSun, STSong"/>
          <w:sz w:val="21"/>
        </w:rPr>
        <w:t>-- 临床使用的益处与风险相比，是可接受的；</w:t>
      </w:r>
    </w:p>
    <w:p w14:paraId="71844B76">
      <w:pPr>
        <w:spacing w:line="360" w:lineRule="auto"/>
        <w:ind w:left="405"/>
        <w:jc w:val="both"/>
      </w:pPr>
      <w:r>
        <w:rPr>
          <w:rFonts w:hint="eastAsia" w:ascii="SimSun, STSong" w:hAnsi="SimSun, STSong" w:eastAsia="SimSun, STSong"/>
          <w:sz w:val="21"/>
        </w:rPr>
        <w:t>-- 识别、鉴定、分析并评定了临床数据，并且证明了在证明与指令特定要求相符时所确定的，或者在风险分析特定方面所引起的临床数据相关性和任何局限性；</w:t>
      </w:r>
    </w:p>
    <w:p w14:paraId="4918D761">
      <w:pPr>
        <w:spacing w:line="360" w:lineRule="auto"/>
        <w:ind w:left="405"/>
        <w:jc w:val="both"/>
      </w:pPr>
      <w:r>
        <w:rPr>
          <w:rFonts w:hint="eastAsia" w:ascii="SimSun, STSong" w:hAnsi="SimSun, STSong" w:eastAsia="SimSun, STSong"/>
          <w:sz w:val="21"/>
        </w:rPr>
        <w:t>-- 提供了与医疗器械安全、性能、设计特性与预期目的相关的足够临床数据，以证明与各相关基本要求的符合性；</w:t>
      </w:r>
    </w:p>
    <w:p w14:paraId="1A986D39">
      <w:pPr>
        <w:spacing w:line="360" w:lineRule="auto"/>
        <w:ind w:left="405"/>
        <w:jc w:val="both"/>
      </w:pPr>
      <w:r>
        <w:rPr>
          <w:rFonts w:hint="eastAsia" w:ascii="SimSun, STSong" w:hAnsi="SimSun, STSong" w:eastAsia="SimSun, STSong"/>
          <w:sz w:val="21"/>
        </w:rPr>
        <w:t>-- 包含了售后临床跟踪的计划，或已知的售上市后临床反应，或同类产品上市的信息；</w:t>
      </w:r>
    </w:p>
    <w:p w14:paraId="3DE27496">
      <w:pPr>
        <w:spacing w:line="360" w:lineRule="auto"/>
        <w:ind w:left="405"/>
        <w:jc w:val="both"/>
      </w:pPr>
      <w:r>
        <w:rPr>
          <w:rFonts w:hint="eastAsia" w:ascii="SimSun, STSong" w:hAnsi="SimSun, STSong" w:eastAsia="SimSun, STSong"/>
          <w:sz w:val="21"/>
        </w:rPr>
        <w:t>-- 如果采用临床试验的方式，提供了所述临床研究符合适用监管要求和伦理要求的证据，如：伦理委员会的审批、临床协议、临床数据和监管机构的审批；</w:t>
      </w:r>
    </w:p>
    <w:p w14:paraId="571AD2E0">
      <w:pPr>
        <w:spacing w:line="360" w:lineRule="auto"/>
        <w:jc w:val="both"/>
      </w:pPr>
      <w:r>
        <w:rPr>
          <w:rFonts w:hint="eastAsia" w:ascii="SimSun, STSong" w:hAnsi="SimSun, STSong" w:eastAsia="SimSun, STSong"/>
          <w:sz w:val="21"/>
        </w:rPr>
        <w:t>6.4.5 临床评估的要求必须遵循SG5/N2R8:2007或MEDDV.2.7.1。</w:t>
      </w:r>
    </w:p>
    <w:p w14:paraId="4BDCABCC">
      <w:pPr>
        <w:jc w:val="both"/>
      </w:pPr>
      <w:r>
        <w:rPr>
          <w:rFonts w:hint="eastAsia" w:ascii="SimSun, STSong" w:hAnsi="SimSun, STSong" w:eastAsia="SimSun, STSong"/>
          <w:color w:val="0000FF"/>
          <w:sz w:val="21"/>
        </w:rPr>
        <w:t>6.5 PMCF上市后临床随访研究</w:t>
      </w:r>
    </w:p>
    <w:p w14:paraId="723CBF0E">
      <w:pPr>
        <w:jc w:val="both"/>
      </w:pPr>
      <w:r>
        <w:rPr>
          <w:rFonts w:hint="eastAsia" w:ascii="SimSun, STSong" w:hAnsi="SimSun, STSong" w:eastAsia="SimSun, STSong"/>
          <w:b/>
          <w:color w:val="0000FF"/>
          <w:sz w:val="21"/>
        </w:rPr>
        <w:t>6.5.0总则</w:t>
      </w:r>
    </w:p>
    <w:p w14:paraId="50C8DE50">
      <w:pPr>
        <w:jc w:val="both"/>
      </w:pPr>
      <w:r>
        <w:rPr>
          <w:rFonts w:hint="eastAsia" w:ascii="SimSun, STSong" w:hAnsi="SimSun, STSong" w:eastAsia="SimSun, STSong"/>
          <w:color w:val="0000FF"/>
          <w:sz w:val="21"/>
        </w:rPr>
        <w:t>上市后临床监测是建立长期安全随访数据和医疗器械可能出现的紧急风险的重要因素。 这些风险和数据不能完全依靠市场前的临床调查来发现和描述。</w:t>
      </w:r>
    </w:p>
    <w:p w14:paraId="3472C5A2">
      <w:pPr>
        <w:jc w:val="both"/>
      </w:pPr>
      <w:r>
        <w:rPr>
          <w:rFonts w:hint="eastAsia" w:ascii="SimSun, STSong" w:hAnsi="SimSun, STSong" w:eastAsia="SimSun, STSong"/>
          <w:color w:val="0000FF"/>
          <w:sz w:val="21"/>
        </w:rPr>
        <w:t>上市后临床监测可包括几种策略的组合：</w:t>
      </w:r>
    </w:p>
    <w:p w14:paraId="644951DE">
      <w:pPr>
        <w:ind w:left="810"/>
        <w:jc w:val="both"/>
      </w:pPr>
      <w:r>
        <w:rPr>
          <w:rFonts w:hint="eastAsia"/>
          <w:sz w:val="21"/>
        </w:rPr>
        <w:t>●</w:t>
      </w:r>
      <w:r>
        <w:rPr>
          <w:rFonts w:hint="eastAsia" w:ascii="SimSun, STSong" w:hAnsi="SimSun, STSong" w:eastAsia="SimSun, STSong"/>
          <w:color w:val="0000FF"/>
          <w:sz w:val="21"/>
        </w:rPr>
        <w:t>产品投诉审查</w:t>
      </w:r>
    </w:p>
    <w:p w14:paraId="4649F9AD">
      <w:pPr>
        <w:ind w:left="810"/>
        <w:jc w:val="both"/>
      </w:pPr>
      <w:r>
        <w:rPr>
          <w:rFonts w:hint="eastAsia"/>
          <w:sz w:val="21"/>
        </w:rPr>
        <w:t>●</w:t>
      </w:r>
    </w:p>
    <w:p w14:paraId="63441099">
      <w:pPr>
        <w:ind w:left="810"/>
        <w:jc w:val="both"/>
      </w:pPr>
      <w:r>
        <w:rPr>
          <w:rFonts w:hint="eastAsia"/>
          <w:sz w:val="21"/>
        </w:rPr>
        <w:t>●</w:t>
      </w:r>
      <w:r>
        <w:rPr>
          <w:rFonts w:hint="eastAsia" w:ascii="SimSun, STSong" w:hAnsi="SimSun, STSong" w:eastAsia="SimSun, STSong"/>
          <w:color w:val="0000FF"/>
          <w:sz w:val="21"/>
        </w:rPr>
        <w:t>对用户和患者的事后事件报告审查</w:t>
      </w:r>
    </w:p>
    <w:p w14:paraId="21279C58">
      <w:pPr>
        <w:ind w:left="810"/>
        <w:jc w:val="both"/>
      </w:pPr>
      <w:r>
        <w:rPr>
          <w:rFonts w:hint="eastAsia"/>
          <w:sz w:val="21"/>
        </w:rPr>
        <w:t>●</w:t>
      </w:r>
    </w:p>
    <w:p w14:paraId="515ED53A">
      <w:pPr>
        <w:ind w:left="810"/>
        <w:jc w:val="both"/>
      </w:pPr>
      <w:r>
        <w:rPr>
          <w:rFonts w:hint="eastAsia"/>
          <w:sz w:val="21"/>
        </w:rPr>
        <w:t>●</w:t>
      </w:r>
      <w:r>
        <w:rPr>
          <w:rFonts w:hint="eastAsia" w:ascii="SimSun, STSong" w:hAnsi="SimSun, STSong" w:eastAsia="SimSun, STSong"/>
          <w:color w:val="0000FF"/>
          <w:sz w:val="21"/>
        </w:rPr>
        <w:t>文献综述</w:t>
      </w:r>
    </w:p>
    <w:p w14:paraId="62ED8003">
      <w:pPr>
        <w:ind w:left="810"/>
        <w:jc w:val="both"/>
      </w:pPr>
      <w:r>
        <w:rPr>
          <w:rFonts w:hint="eastAsia"/>
          <w:sz w:val="21"/>
        </w:rPr>
        <w:t>●</w:t>
      </w:r>
    </w:p>
    <w:p w14:paraId="0B281EB7">
      <w:pPr>
        <w:ind w:left="810"/>
        <w:jc w:val="both"/>
      </w:pPr>
      <w:r>
        <w:rPr>
          <w:rFonts w:hint="eastAsia"/>
          <w:sz w:val="21"/>
        </w:rPr>
        <w:t>●</w:t>
      </w:r>
      <w:r>
        <w:rPr>
          <w:rFonts w:hint="eastAsia" w:ascii="SimSun, STSong" w:hAnsi="SimSun, STSong" w:eastAsia="SimSun, STSong"/>
          <w:color w:val="0000FF"/>
          <w:sz w:val="21"/>
        </w:rPr>
        <w:t>上市后临床随访研究(PMCFs)</w:t>
      </w:r>
    </w:p>
    <w:p w14:paraId="7E078316">
      <w:pPr>
        <w:ind w:left="810"/>
        <w:jc w:val="both"/>
      </w:pPr>
      <w:r>
        <w:rPr>
          <w:rFonts w:hint="eastAsia"/>
          <w:sz w:val="21"/>
        </w:rPr>
        <w:t>●</w:t>
      </w:r>
    </w:p>
    <w:p w14:paraId="4370EF36">
      <w:pPr>
        <w:jc w:val="both"/>
      </w:pPr>
      <w:r>
        <w:rPr>
          <w:rFonts w:hint="eastAsia" w:ascii="SimSun, STSong" w:hAnsi="SimSun, STSong" w:eastAsia="SimSun, STSong"/>
          <w:color w:val="0000FF"/>
          <w:sz w:val="21"/>
        </w:rPr>
        <w:t>根据经MDD 2007/47/EC修订的医疗器械指令93/42/EEC（MDD）的要求，制定本指令是为了确定何时需要PMCFs来维持适当的上市后监督系统。 如果不需要PMCFs，它还将就上市后临床监测要求提供指导。</w:t>
      </w:r>
    </w:p>
    <w:p w14:paraId="43AA9507">
      <w:pPr>
        <w:jc w:val="both"/>
      </w:pPr>
      <w:r>
        <w:rPr>
          <w:rFonts w:hint="eastAsia" w:ascii="SimSun, STSong" w:hAnsi="SimSun, STSong" w:eastAsia="SimSun, STSong"/>
          <w:b/>
          <w:color w:val="0000FF"/>
          <w:sz w:val="21"/>
        </w:rPr>
        <w:t>6.5.1通用要求</w:t>
      </w:r>
    </w:p>
    <w:p w14:paraId="584FB10E">
      <w:pPr>
        <w:jc w:val="both"/>
      </w:pPr>
      <w:r>
        <w:rPr>
          <w:rFonts w:hint="eastAsia" w:ascii="SimSun, STSong" w:hAnsi="SimSun, STSong" w:eastAsia="SimSun, STSong"/>
          <w:color w:val="0000FF"/>
          <w:sz w:val="21"/>
        </w:rPr>
        <w:t>6.5.1.1.法规负责人应与技术部负责人协商，确定是否需要PMCF，还应确定上市后临床随访计划。</w:t>
      </w:r>
    </w:p>
    <w:p w14:paraId="7EF9E41C">
      <w:pPr>
        <w:jc w:val="both"/>
      </w:pPr>
      <w:r>
        <w:rPr>
          <w:rFonts w:hint="eastAsia" w:ascii="SimSun, STSong" w:hAnsi="SimSun, STSong" w:eastAsia="SimSun, STSong"/>
          <w:color w:val="0000FF"/>
          <w:sz w:val="21"/>
        </w:rPr>
        <w:t>6.5.1.2.对于已经从以前使用该设备中了解中期/长期临床性能和安全性的产品，或在其他适当的上市后监测活动将提供足够的数据来应对风险的情况下，可能不需要PMCFs。</w:t>
      </w:r>
    </w:p>
    <w:p w14:paraId="60562C2B">
      <w:pPr>
        <w:jc w:val="both"/>
      </w:pPr>
      <w:r>
        <w:rPr>
          <w:rFonts w:hint="eastAsia" w:ascii="SimSun, STSong" w:hAnsi="SimSun, STSong" w:eastAsia="SimSun, STSong"/>
          <w:b/>
          <w:color w:val="0000FF"/>
          <w:sz w:val="21"/>
        </w:rPr>
        <w:t>6.5.2确定上市后临床随访的类型</w:t>
      </w:r>
    </w:p>
    <w:p w14:paraId="0BC8155E">
      <w:pPr>
        <w:ind w:left="810"/>
        <w:jc w:val="both"/>
      </w:pPr>
      <w:r>
        <w:rPr>
          <w:rFonts w:hint="eastAsia" w:ascii="SimSun, STSong" w:hAnsi="SimSun, STSong" w:eastAsia="SimSun, STSong"/>
          <w:color w:val="0000FF"/>
          <w:sz w:val="21"/>
        </w:rPr>
        <w:t>上市后临床监测应具有两种结果之一，（1）需要PMCFs或（2）不需要PMCFs。</w:t>
      </w:r>
    </w:p>
    <w:p w14:paraId="272B8042">
      <w:pPr>
        <w:ind w:left="810"/>
        <w:jc w:val="both"/>
      </w:pPr>
      <w:r>
        <w:rPr>
          <w:rFonts w:hint="eastAsia" w:ascii="SimSun, STSong" w:hAnsi="SimSun, STSong" w:eastAsia="SimSun, STSong"/>
          <w:color w:val="0000FF"/>
          <w:sz w:val="21"/>
        </w:rPr>
        <w:t>对PMCFs的需要应基于本节详细介绍的几个因素的组合。</w:t>
      </w:r>
    </w:p>
    <w:p w14:paraId="1F41E272">
      <w:pPr>
        <w:jc w:val="both"/>
      </w:pPr>
      <w:r>
        <w:rPr>
          <w:rFonts w:hint="eastAsia" w:ascii="SimSun, STSong" w:hAnsi="SimSun, STSong" w:eastAsia="SimSun, STSong"/>
          <w:color w:val="0000FF"/>
          <w:sz w:val="21"/>
        </w:rPr>
        <w:t>6.5.2.1.法规负责人应与技术部负责人协商，确定是否存在等效设备。 对等性应在下面精确定义的所有基本特征中得到证明。 等价表示：</w:t>
      </w:r>
    </w:p>
    <w:p w14:paraId="6ABE11D7">
      <w:pPr>
        <w:ind w:left="810"/>
        <w:jc w:val="both"/>
      </w:pPr>
      <w:r>
        <w:rPr>
          <w:rFonts w:hint="eastAsia"/>
          <w:sz w:val="21"/>
        </w:rPr>
        <w:t>⏹</w:t>
      </w:r>
      <w:r>
        <w:rPr>
          <w:rFonts w:hint="eastAsia" w:ascii="SimSun, STSong" w:hAnsi="SimSun, STSong" w:eastAsia="SimSun, STSong"/>
          <w:color w:val="0000FF"/>
          <w:sz w:val="21"/>
        </w:rPr>
        <w:t>临床</w:t>
      </w:r>
    </w:p>
    <w:p w14:paraId="7445DC7D">
      <w:pPr>
        <w:ind w:left="810"/>
        <w:jc w:val="both"/>
      </w:pPr>
      <w:r>
        <w:rPr>
          <w:rFonts w:hint="eastAsia"/>
          <w:sz w:val="21"/>
        </w:rPr>
        <w:t>⏹</w:t>
      </w:r>
    </w:p>
    <w:p w14:paraId="6E7AEB52">
      <w:pPr>
        <w:jc w:val="both"/>
      </w:pPr>
      <w:r>
        <w:rPr>
          <w:rFonts w:hint="eastAsia"/>
          <w:sz w:val="21"/>
        </w:rPr>
        <w:t>●</w:t>
      </w:r>
      <w:r>
        <w:rPr>
          <w:rFonts w:hint="eastAsia" w:ascii="SimSun, STSong" w:hAnsi="SimSun, STSong" w:eastAsia="SimSun, STSong"/>
          <w:color w:val="0000FF"/>
          <w:sz w:val="21"/>
        </w:rPr>
        <w:t>用于同一临床条件或目的；</w:t>
      </w:r>
    </w:p>
    <w:p w14:paraId="46C1B0D0">
      <w:pPr>
        <w:jc w:val="both"/>
      </w:pPr>
      <w:r>
        <w:rPr>
          <w:rFonts w:hint="eastAsia"/>
          <w:sz w:val="21"/>
        </w:rPr>
        <w:t>●</w:t>
      </w:r>
    </w:p>
    <w:p w14:paraId="603B3763">
      <w:pPr>
        <w:jc w:val="both"/>
      </w:pPr>
      <w:r>
        <w:rPr>
          <w:rFonts w:hint="eastAsia"/>
          <w:sz w:val="21"/>
        </w:rPr>
        <w:t>●</w:t>
      </w:r>
    </w:p>
    <w:p w14:paraId="0C982EB9">
      <w:pPr>
        <w:jc w:val="both"/>
      </w:pPr>
      <w:r>
        <w:rPr>
          <w:rFonts w:hint="eastAsia"/>
          <w:sz w:val="21"/>
        </w:rPr>
        <w:t>●</w:t>
      </w:r>
      <w:r>
        <w:rPr>
          <w:rFonts w:hint="eastAsia" w:ascii="SimSun, STSong" w:hAnsi="SimSun, STSong" w:eastAsia="SimSun, STSong"/>
          <w:color w:val="0000FF"/>
          <w:sz w:val="21"/>
        </w:rPr>
        <w:t>用于体内同一部位；</w:t>
      </w:r>
    </w:p>
    <w:p w14:paraId="00C4D87C">
      <w:pPr>
        <w:jc w:val="both"/>
      </w:pPr>
      <w:r>
        <w:rPr>
          <w:rFonts w:hint="eastAsia"/>
          <w:sz w:val="21"/>
        </w:rPr>
        <w:t>●</w:t>
      </w:r>
    </w:p>
    <w:p w14:paraId="614FF626">
      <w:pPr>
        <w:jc w:val="both"/>
      </w:pPr>
      <w:r>
        <w:rPr>
          <w:rFonts w:hint="eastAsia"/>
          <w:sz w:val="21"/>
        </w:rPr>
        <w:t>●</w:t>
      </w:r>
    </w:p>
    <w:p w14:paraId="6A017100">
      <w:pPr>
        <w:jc w:val="both"/>
      </w:pPr>
      <w:r>
        <w:rPr>
          <w:rFonts w:hint="eastAsia"/>
          <w:sz w:val="21"/>
        </w:rPr>
        <w:t>●</w:t>
      </w:r>
      <w:r>
        <w:rPr>
          <w:rFonts w:hint="eastAsia" w:ascii="SimSun, STSong" w:hAnsi="SimSun, STSong" w:eastAsia="SimSun, STSong"/>
          <w:color w:val="0000FF"/>
          <w:sz w:val="21"/>
        </w:rPr>
        <w:t>用于相似人群（包括年龄，解剖学，生理学）；</w:t>
      </w:r>
    </w:p>
    <w:p w14:paraId="6E7C3BDC">
      <w:pPr>
        <w:jc w:val="both"/>
      </w:pPr>
      <w:r>
        <w:rPr>
          <w:rFonts w:hint="eastAsia"/>
          <w:sz w:val="21"/>
        </w:rPr>
        <w:t>●</w:t>
      </w:r>
    </w:p>
    <w:p w14:paraId="09BC604E">
      <w:pPr>
        <w:jc w:val="both"/>
      </w:pPr>
      <w:r>
        <w:rPr>
          <w:rFonts w:hint="eastAsia"/>
          <w:sz w:val="21"/>
        </w:rPr>
        <w:t>●</w:t>
      </w:r>
    </w:p>
    <w:p w14:paraId="4AF7EDD1">
      <w:pPr>
        <w:jc w:val="both"/>
      </w:pPr>
      <w:r>
        <w:rPr>
          <w:rFonts w:hint="eastAsia"/>
          <w:sz w:val="21"/>
        </w:rPr>
        <w:t>●</w:t>
      </w:r>
      <w:r>
        <w:rPr>
          <w:rFonts w:hint="eastAsia" w:ascii="SimSun, STSong" w:hAnsi="SimSun, STSong" w:eastAsia="SimSun, STSong"/>
          <w:color w:val="0000FF"/>
          <w:sz w:val="21"/>
        </w:rPr>
        <w:t>有类似的相关关键性能，根据预期的临床效果，为特定的预期用途</w:t>
      </w:r>
    </w:p>
    <w:p w14:paraId="71158354">
      <w:pPr>
        <w:jc w:val="both"/>
      </w:pPr>
      <w:r>
        <w:rPr>
          <w:rFonts w:hint="eastAsia"/>
          <w:sz w:val="21"/>
        </w:rPr>
        <w:t>●</w:t>
      </w:r>
    </w:p>
    <w:p w14:paraId="21A78C36">
      <w:pPr>
        <w:ind w:left="810"/>
        <w:jc w:val="both"/>
      </w:pPr>
      <w:r>
        <w:rPr>
          <w:rFonts w:hint="eastAsia"/>
          <w:sz w:val="21"/>
        </w:rPr>
        <w:t>⏹</w:t>
      </w:r>
      <w:r>
        <w:rPr>
          <w:rFonts w:hint="eastAsia" w:ascii="SimSun, STSong" w:hAnsi="SimSun, STSong" w:eastAsia="SimSun, STSong"/>
          <w:color w:val="0000FF"/>
          <w:sz w:val="21"/>
        </w:rPr>
        <w:t>技术性的</w:t>
      </w:r>
    </w:p>
    <w:p w14:paraId="418ACDD6">
      <w:pPr>
        <w:ind w:left="810"/>
        <w:jc w:val="both"/>
      </w:pPr>
      <w:r>
        <w:rPr>
          <w:rFonts w:hint="eastAsia"/>
          <w:sz w:val="21"/>
        </w:rPr>
        <w:t>⏹</w:t>
      </w:r>
    </w:p>
    <w:p w14:paraId="4A5B61B1">
      <w:pPr>
        <w:jc w:val="both"/>
      </w:pPr>
      <w:r>
        <w:rPr>
          <w:rFonts w:hint="eastAsia"/>
          <w:sz w:val="21"/>
        </w:rPr>
        <w:t>●</w:t>
      </w:r>
      <w:r>
        <w:rPr>
          <w:rFonts w:hint="eastAsia" w:ascii="SimSun, STSong" w:hAnsi="SimSun, STSong" w:eastAsia="SimSun, STSong"/>
          <w:color w:val="0000FF"/>
          <w:sz w:val="21"/>
        </w:rPr>
        <w:t>在类似的使用条件下使用；</w:t>
      </w:r>
    </w:p>
    <w:p w14:paraId="193716A1">
      <w:pPr>
        <w:jc w:val="both"/>
      </w:pPr>
      <w:r>
        <w:rPr>
          <w:rFonts w:hint="eastAsia"/>
          <w:sz w:val="21"/>
        </w:rPr>
        <w:t>●</w:t>
      </w:r>
    </w:p>
    <w:p w14:paraId="157F39C4">
      <w:pPr>
        <w:jc w:val="both"/>
      </w:pPr>
      <w:r>
        <w:rPr>
          <w:rFonts w:hint="eastAsia"/>
          <w:sz w:val="21"/>
        </w:rPr>
        <w:t>●</w:t>
      </w:r>
      <w:r>
        <w:rPr>
          <w:rFonts w:hint="eastAsia" w:ascii="SimSun, STSong" w:hAnsi="SimSun, STSong" w:eastAsia="SimSun, STSong"/>
          <w:color w:val="0000FF"/>
          <w:sz w:val="21"/>
        </w:rPr>
        <w:t>具有相似的规格和性能；</w:t>
      </w:r>
    </w:p>
    <w:p w14:paraId="59C1EF21">
      <w:pPr>
        <w:jc w:val="both"/>
      </w:pPr>
      <w:r>
        <w:rPr>
          <w:rFonts w:hint="eastAsia"/>
          <w:sz w:val="21"/>
        </w:rPr>
        <w:t>●</w:t>
      </w:r>
    </w:p>
    <w:p w14:paraId="518D9EA6">
      <w:pPr>
        <w:jc w:val="both"/>
      </w:pPr>
      <w:r>
        <w:rPr>
          <w:rFonts w:hint="eastAsia"/>
          <w:sz w:val="21"/>
        </w:rPr>
        <w:t>●</w:t>
      </w:r>
      <w:r>
        <w:rPr>
          <w:rFonts w:hint="eastAsia" w:ascii="SimSun, STSong" w:hAnsi="SimSun, STSong" w:eastAsia="SimSun, STSong"/>
          <w:color w:val="0000FF"/>
          <w:sz w:val="21"/>
        </w:rPr>
        <w:t>类似的设计；</w:t>
      </w:r>
    </w:p>
    <w:p w14:paraId="7E563B7B">
      <w:pPr>
        <w:jc w:val="both"/>
      </w:pPr>
      <w:r>
        <w:rPr>
          <w:rFonts w:hint="eastAsia"/>
          <w:sz w:val="21"/>
        </w:rPr>
        <w:t>●</w:t>
      </w:r>
    </w:p>
    <w:p w14:paraId="65E18047">
      <w:pPr>
        <w:jc w:val="both"/>
      </w:pPr>
      <w:r>
        <w:rPr>
          <w:rFonts w:hint="eastAsia"/>
          <w:sz w:val="21"/>
        </w:rPr>
        <w:t>●</w:t>
      </w:r>
      <w:r>
        <w:rPr>
          <w:rFonts w:hint="eastAsia" w:ascii="SimSun, STSong" w:hAnsi="SimSun, STSong" w:eastAsia="SimSun, STSong"/>
          <w:color w:val="0000FF"/>
          <w:sz w:val="21"/>
        </w:rPr>
        <w:t>使用类似的部署方法</w:t>
      </w:r>
    </w:p>
    <w:p w14:paraId="5EBC4B38">
      <w:pPr>
        <w:jc w:val="both"/>
      </w:pPr>
      <w:r>
        <w:rPr>
          <w:rFonts w:hint="eastAsia"/>
          <w:sz w:val="21"/>
        </w:rPr>
        <w:t>●</w:t>
      </w:r>
    </w:p>
    <w:p w14:paraId="32884872">
      <w:pPr>
        <w:jc w:val="both"/>
      </w:pPr>
      <w:r>
        <w:rPr>
          <w:rFonts w:hint="eastAsia"/>
          <w:sz w:val="21"/>
        </w:rPr>
        <w:t>●</w:t>
      </w:r>
      <w:r>
        <w:rPr>
          <w:rFonts w:hint="eastAsia" w:ascii="SimSun, STSong" w:hAnsi="SimSun, STSong" w:eastAsia="SimSun, STSong"/>
          <w:color w:val="0000FF"/>
          <w:sz w:val="21"/>
        </w:rPr>
        <w:t>有类似的操作原则</w:t>
      </w:r>
    </w:p>
    <w:p w14:paraId="7F2803A6">
      <w:pPr>
        <w:jc w:val="both"/>
      </w:pPr>
      <w:r>
        <w:rPr>
          <w:rFonts w:hint="eastAsia"/>
          <w:sz w:val="21"/>
        </w:rPr>
        <w:t>●</w:t>
      </w:r>
    </w:p>
    <w:p w14:paraId="58C0E385">
      <w:pPr>
        <w:ind w:left="810"/>
        <w:jc w:val="both"/>
      </w:pPr>
      <w:r>
        <w:rPr>
          <w:rFonts w:hint="eastAsia"/>
          <w:sz w:val="21"/>
        </w:rPr>
        <w:t>⏹</w:t>
      </w:r>
      <w:r>
        <w:rPr>
          <w:rFonts w:hint="eastAsia" w:ascii="SimSun, STSong" w:hAnsi="SimSun, STSong" w:eastAsia="SimSun, STSong"/>
          <w:color w:val="0000FF"/>
          <w:sz w:val="21"/>
        </w:rPr>
        <w:t>生物</w:t>
      </w:r>
    </w:p>
    <w:p w14:paraId="3B36EF5E">
      <w:pPr>
        <w:ind w:left="810"/>
        <w:jc w:val="both"/>
      </w:pPr>
      <w:r>
        <w:rPr>
          <w:rFonts w:hint="eastAsia"/>
          <w:sz w:val="21"/>
        </w:rPr>
        <w:t>⏹</w:t>
      </w:r>
    </w:p>
    <w:p w14:paraId="1A6A24CF">
      <w:pPr>
        <w:ind w:left="810"/>
        <w:jc w:val="both"/>
      </w:pPr>
      <w:r>
        <w:rPr>
          <w:rFonts w:hint="eastAsia"/>
          <w:sz w:val="21"/>
        </w:rPr>
        <w:t>●</w:t>
      </w:r>
      <w:r>
        <w:rPr>
          <w:rFonts w:hint="eastAsia" w:ascii="SimSun, STSong" w:hAnsi="SimSun, STSong" w:eastAsia="SimSun, STSong"/>
          <w:color w:val="0000FF"/>
          <w:sz w:val="21"/>
        </w:rPr>
        <w:t>与人体组织或体液接触的材料的相同或类似用途</w:t>
      </w:r>
    </w:p>
    <w:p w14:paraId="614EB5A5">
      <w:pPr>
        <w:ind w:left="810"/>
        <w:jc w:val="both"/>
      </w:pPr>
      <w:r>
        <w:rPr>
          <w:rFonts w:hint="eastAsia"/>
          <w:sz w:val="21"/>
        </w:rPr>
        <w:t>●</w:t>
      </w:r>
    </w:p>
    <w:p w14:paraId="161131C6">
      <w:pPr>
        <w:jc w:val="both"/>
      </w:pPr>
      <w:r>
        <w:rPr>
          <w:rFonts w:hint="eastAsia" w:ascii="SimSun, STSong" w:hAnsi="SimSun, STSong" w:eastAsia="SimSun, STSong"/>
          <w:color w:val="0000FF"/>
          <w:sz w:val="21"/>
        </w:rPr>
        <w:t>6.5.2.2.从该设备的以前使用中已经知道中期/长期临床性能和安全性的产品，或从具有同等设备的完全可转让经验的产品，不需要PMCFs。</w:t>
      </w:r>
    </w:p>
    <w:p w14:paraId="76658F15">
      <w:pPr>
        <w:ind w:left="810"/>
        <w:jc w:val="both"/>
      </w:pPr>
      <w:r>
        <w:rPr>
          <w:rFonts w:hint="eastAsia" w:ascii="SimSun, STSong" w:hAnsi="SimSun, STSong" w:eastAsia="SimSun, STSong"/>
          <w:color w:val="0000FF"/>
          <w:sz w:val="21"/>
        </w:rPr>
        <w:t>注：如果引用为“等效”的设备需要PMCFs，则新产品应符合同样的要求。</w:t>
      </w:r>
    </w:p>
    <w:p w14:paraId="266E167D">
      <w:pPr>
        <w:jc w:val="both"/>
      </w:pPr>
      <w:r>
        <w:rPr>
          <w:rFonts w:hint="eastAsia" w:ascii="SimSun, STSong" w:hAnsi="SimSun, STSong" w:eastAsia="SimSun, STSong"/>
          <w:color w:val="0000FF"/>
          <w:sz w:val="21"/>
        </w:rPr>
        <w:t>6.5.2.3.对PMCFs的需要应根据可能影响风险/收益比率的残余风险的识别来确定。 对于识别可能出现的风险和评估长期安全和性能至关重要的设备，应始终考虑进行研究。 法规负责人应与技术负责人协商，确定这种新出现的风险，应考虑以下标准：</w:t>
      </w:r>
    </w:p>
    <w:p w14:paraId="3BF67F5C">
      <w:pPr>
        <w:jc w:val="both"/>
      </w:pPr>
      <w:r>
        <w:rPr>
          <w:rFonts w:hint="eastAsia"/>
          <w:sz w:val="21"/>
        </w:rPr>
        <w:t>●</w:t>
      </w:r>
      <w:r>
        <w:rPr>
          <w:rFonts w:hint="eastAsia" w:ascii="SimSun, STSong" w:hAnsi="SimSun, STSong" w:eastAsia="SimSun, STSong"/>
          <w:color w:val="0000FF"/>
          <w:sz w:val="21"/>
        </w:rPr>
        <w:t>创新，例如，设备的设计、材料、操作原理、技术或医疗指征是新颖的；</w:t>
      </w:r>
    </w:p>
    <w:p w14:paraId="34958C61">
      <w:pPr>
        <w:jc w:val="both"/>
      </w:pPr>
      <w:r>
        <w:rPr>
          <w:rFonts w:hint="eastAsia"/>
          <w:sz w:val="21"/>
        </w:rPr>
        <w:t>●</w:t>
      </w:r>
    </w:p>
    <w:p w14:paraId="49340CE3">
      <w:pPr>
        <w:jc w:val="both"/>
      </w:pPr>
      <w:r>
        <w:rPr>
          <w:rFonts w:hint="eastAsia"/>
          <w:sz w:val="21"/>
        </w:rPr>
        <w:t>●</w:t>
      </w:r>
      <w:r>
        <w:rPr>
          <w:rFonts w:hint="eastAsia" w:ascii="SimSun, STSong" w:hAnsi="SimSun, STSong" w:eastAsia="SimSun, STSong"/>
          <w:color w:val="0000FF"/>
          <w:sz w:val="21"/>
        </w:rPr>
        <w:t>高风险解剖位置(即心脏、中枢神经系统等；</w:t>
      </w:r>
    </w:p>
    <w:p w14:paraId="6D4A0BB6">
      <w:pPr>
        <w:jc w:val="both"/>
      </w:pPr>
      <w:r>
        <w:rPr>
          <w:rFonts w:hint="eastAsia"/>
          <w:sz w:val="21"/>
        </w:rPr>
        <w:t>●</w:t>
      </w:r>
    </w:p>
    <w:p w14:paraId="1B2348F4">
      <w:pPr>
        <w:jc w:val="both"/>
      </w:pPr>
      <w:r>
        <w:rPr>
          <w:rFonts w:hint="eastAsia"/>
          <w:sz w:val="21"/>
        </w:rPr>
        <w:t>●</w:t>
      </w:r>
      <w:r>
        <w:rPr>
          <w:rFonts w:hint="eastAsia" w:ascii="SimSun, STSong" w:hAnsi="SimSun, STSong" w:eastAsia="SimSun, STSong"/>
          <w:color w:val="0000FF"/>
          <w:sz w:val="21"/>
        </w:rPr>
        <w:t>疾病/治疗挑战的严重程度；</w:t>
      </w:r>
    </w:p>
    <w:p w14:paraId="0C90A562">
      <w:pPr>
        <w:jc w:val="both"/>
      </w:pPr>
      <w:r>
        <w:rPr>
          <w:rFonts w:hint="eastAsia"/>
          <w:sz w:val="21"/>
        </w:rPr>
        <w:t>●</w:t>
      </w:r>
    </w:p>
    <w:p w14:paraId="0B503A75">
      <w:pPr>
        <w:jc w:val="both"/>
      </w:pPr>
      <w:r>
        <w:rPr>
          <w:rFonts w:hint="eastAsia"/>
          <w:sz w:val="21"/>
        </w:rPr>
        <w:t>●</w:t>
      </w:r>
      <w:r>
        <w:rPr>
          <w:rFonts w:hint="eastAsia" w:ascii="SimSun, STSong" w:hAnsi="SimSun, STSong" w:eastAsia="SimSun, STSong"/>
          <w:color w:val="0000FF"/>
          <w:sz w:val="21"/>
        </w:rPr>
        <w:t>目标人群的敏感性。（即婴儿、儿童、孕妇等）；</w:t>
      </w:r>
    </w:p>
    <w:p w14:paraId="7147160D">
      <w:pPr>
        <w:jc w:val="both"/>
      </w:pPr>
      <w:r>
        <w:rPr>
          <w:rFonts w:hint="eastAsia"/>
          <w:sz w:val="21"/>
        </w:rPr>
        <w:t>●</w:t>
      </w:r>
    </w:p>
    <w:p w14:paraId="5B04038F">
      <w:pPr>
        <w:jc w:val="both"/>
      </w:pPr>
      <w:r>
        <w:rPr>
          <w:rFonts w:hint="eastAsia"/>
          <w:sz w:val="21"/>
        </w:rPr>
        <w:t>●</w:t>
      </w:r>
      <w:r>
        <w:rPr>
          <w:rFonts w:hint="eastAsia" w:ascii="SimSun, STSong" w:hAnsi="SimSun, STSong" w:eastAsia="SimSun, STSong"/>
          <w:color w:val="0000FF"/>
          <w:sz w:val="21"/>
        </w:rPr>
        <w:t>在CE前临床评估期间确定可接受的风险，应该在更长的时间和/或通过更大的人群进行监测；</w:t>
      </w:r>
    </w:p>
    <w:p w14:paraId="147A9AB7">
      <w:pPr>
        <w:jc w:val="both"/>
      </w:pPr>
      <w:r>
        <w:rPr>
          <w:rFonts w:hint="eastAsia"/>
          <w:sz w:val="21"/>
        </w:rPr>
        <w:t>●</w:t>
      </w:r>
    </w:p>
    <w:p w14:paraId="6CF5E6FC">
      <w:pPr>
        <w:jc w:val="both"/>
      </w:pPr>
      <w:r>
        <w:rPr>
          <w:rFonts w:hint="eastAsia"/>
          <w:sz w:val="21"/>
        </w:rPr>
        <w:t>●</w:t>
      </w:r>
      <w:r>
        <w:rPr>
          <w:rFonts w:hint="eastAsia" w:ascii="SimSun, STSong" w:hAnsi="SimSun, STSong" w:eastAsia="SimSun, STSong"/>
          <w:color w:val="0000FF"/>
          <w:sz w:val="21"/>
        </w:rPr>
        <w:t>从文献或类似的市场设备中确定的众所周知的风险；</w:t>
      </w:r>
    </w:p>
    <w:p w14:paraId="01BDE0DE">
      <w:pPr>
        <w:jc w:val="both"/>
      </w:pPr>
      <w:r>
        <w:rPr>
          <w:rFonts w:hint="eastAsia"/>
          <w:sz w:val="21"/>
        </w:rPr>
        <w:t>●</w:t>
      </w:r>
    </w:p>
    <w:p w14:paraId="24E3FE44">
      <w:pPr>
        <w:jc w:val="both"/>
      </w:pPr>
      <w:r>
        <w:rPr>
          <w:rFonts w:hint="eastAsia"/>
          <w:sz w:val="21"/>
        </w:rPr>
        <w:t>●</w:t>
      </w:r>
      <w:r>
        <w:rPr>
          <w:rFonts w:hint="eastAsia" w:ascii="SimSun, STSong" w:hAnsi="SimSun, STSong" w:eastAsia="SimSun, STSong"/>
          <w:color w:val="0000FF"/>
          <w:sz w:val="21"/>
        </w:rPr>
        <w:t>上市前跟进时间尺度与产品预期寿命之间的差异；</w:t>
      </w:r>
    </w:p>
    <w:p w14:paraId="35D59A6D">
      <w:pPr>
        <w:jc w:val="both"/>
      </w:pPr>
      <w:r>
        <w:rPr>
          <w:rFonts w:hint="eastAsia"/>
          <w:sz w:val="21"/>
        </w:rPr>
        <w:t>●</w:t>
      </w:r>
    </w:p>
    <w:p w14:paraId="2C015EF8">
      <w:pPr>
        <w:jc w:val="both"/>
      </w:pPr>
      <w:r>
        <w:rPr>
          <w:rFonts w:hint="eastAsia" w:ascii="SimSun, STSong" w:hAnsi="SimSun, STSong" w:eastAsia="SimSun, STSong"/>
          <w:color w:val="0000FF"/>
          <w:sz w:val="21"/>
        </w:rPr>
        <w:t>6.5.2.4在确定特定设备可能需要哪些临床证据时，正确进行的风险分析是必不可少的。 在开发过程结束时被确定为“不可接受”风险的任何风险应要求PMCFs。</w:t>
      </w:r>
    </w:p>
    <w:p w14:paraId="0260BE98">
      <w:pPr>
        <w:jc w:val="both"/>
      </w:pPr>
      <w:r>
        <w:rPr>
          <w:rFonts w:hint="eastAsia" w:ascii="SimSun, STSong" w:hAnsi="SimSun, STSong" w:eastAsia="SimSun, STSong"/>
          <w:color w:val="0000FF"/>
          <w:sz w:val="21"/>
        </w:rPr>
        <w:t>如果装置满足6.5.2.1和6.5.2.2中确定的任何其他特性，则还应考虑对确定为“可接受”或“需要降低风险”的风险进行研究。</w:t>
      </w:r>
    </w:p>
    <w:p w14:paraId="195580E2">
      <w:pPr>
        <w:jc w:val="both"/>
      </w:pPr>
      <w:r>
        <w:rPr>
          <w:rFonts w:hint="eastAsia" w:ascii="SimSun, STSong" w:hAnsi="SimSun, STSong" w:eastAsia="SimSun, STSong"/>
          <w:color w:val="0000FF"/>
          <w:sz w:val="21"/>
        </w:rPr>
        <w:t>风险评估按《风险管理程序》执行。产品监管事务代表对风险评估进行审核。</w:t>
      </w:r>
    </w:p>
    <w:p w14:paraId="0F949193">
      <w:pPr>
        <w:jc w:val="both"/>
      </w:pPr>
      <w:r>
        <w:rPr>
          <w:rFonts w:hint="eastAsia" w:ascii="SimSun, STSong" w:hAnsi="SimSun, STSong" w:eastAsia="SimSun, STSong"/>
          <w:color w:val="0000FF"/>
          <w:sz w:val="21"/>
        </w:rPr>
        <w:t>6.5.2.5 一旦确定了关于研究必要性的决定，法规负责人应填写上市后临床随访研究确定表</w:t>
      </w:r>
    </w:p>
    <w:p w14:paraId="7D4048F6">
      <w:pPr>
        <w:jc w:val="both"/>
      </w:pPr>
      <w:r>
        <w:rPr>
          <w:rFonts w:hint="eastAsia" w:ascii="SimSun, STSong" w:hAnsi="SimSun, STSong" w:eastAsia="SimSun, STSong"/>
          <w:color w:val="0000FF"/>
          <w:sz w:val="21"/>
        </w:rPr>
        <w:t>6.5.2.6 法规负责人应完成详细说明上市后临床随访计划的上市后临床随访计划</w:t>
      </w:r>
    </w:p>
    <w:p w14:paraId="1AD60F3F">
      <w:pPr>
        <w:jc w:val="both"/>
      </w:pPr>
      <w:r>
        <w:rPr>
          <w:rFonts w:hint="eastAsia" w:ascii="SimSun, STSong" w:hAnsi="SimSun, STSong" w:eastAsia="SimSun, STSong"/>
          <w:color w:val="0000FF"/>
          <w:sz w:val="21"/>
        </w:rPr>
        <w:t>6.5.2.7 技术负责人和临床负责人应审查上市后临床随访理由表和上市后临床随访计划，以确认有关上市后临床监测的决定。</w:t>
      </w:r>
    </w:p>
    <w:p w14:paraId="01368312">
      <w:pPr>
        <w:jc w:val="both"/>
      </w:pPr>
      <w:r>
        <w:rPr>
          <w:rFonts w:hint="eastAsia" w:ascii="SimSun, STSong" w:hAnsi="SimSun, STSong" w:eastAsia="SimSun, STSong"/>
          <w:b/>
          <w:color w:val="0000FF"/>
          <w:sz w:val="21"/>
        </w:rPr>
        <w:t>6.5.3 无需上市后临床随访研究</w:t>
      </w:r>
    </w:p>
    <w:p w14:paraId="3C501706">
      <w:pPr>
        <w:jc w:val="both"/>
      </w:pPr>
      <w:r>
        <w:rPr>
          <w:rFonts w:hint="eastAsia" w:ascii="SimSun, STSong" w:hAnsi="SimSun, STSong" w:eastAsia="SimSun, STSong"/>
          <w:color w:val="0000FF"/>
          <w:sz w:val="21"/>
        </w:rPr>
        <w:t>6.5.3.1如果确定不需要PMCFs（基于第6.5.2节），则仍需要对医疗设备进行上市后临床监测。</w:t>
      </w:r>
    </w:p>
    <w:p w14:paraId="5ACA615D">
      <w:pPr>
        <w:jc w:val="both"/>
      </w:pPr>
      <w:r>
        <w:rPr>
          <w:rFonts w:hint="eastAsia" w:ascii="SimSun, STSong" w:hAnsi="SimSun, STSong" w:eastAsia="SimSun, STSong"/>
          <w:color w:val="0000FF"/>
          <w:sz w:val="21"/>
        </w:rPr>
        <w:t>6.5.3.2关于决定不执行PMCFs的理由必须明确记录并保存在设计历史/技术文件中（见6.5.2.5）。</w:t>
      </w:r>
    </w:p>
    <w:p w14:paraId="67F75C49">
      <w:pPr>
        <w:jc w:val="both"/>
      </w:pPr>
      <w:r>
        <w:rPr>
          <w:rFonts w:hint="eastAsia" w:ascii="SimSun, STSong" w:hAnsi="SimSun, STSong" w:eastAsia="SimSun, STSong"/>
          <w:color w:val="0000FF"/>
          <w:sz w:val="21"/>
        </w:rPr>
        <w:t>6.5.3.3上市后临床监测要求（最低）</w:t>
      </w:r>
    </w:p>
    <w:p w14:paraId="7E34E2D6">
      <w:pPr>
        <w:jc w:val="both"/>
      </w:pPr>
      <w:r>
        <w:rPr>
          <w:rFonts w:hint="eastAsia" w:ascii="SimSun, STSong" w:hAnsi="SimSun, STSong" w:eastAsia="SimSun, STSong"/>
          <w:color w:val="0000FF"/>
          <w:sz w:val="21"/>
        </w:rPr>
        <w:t>6.5.3.3.1.至少应根据医疗器械制定的程序/工作说明书完成以下上市后临床监测活动。 这些要素将作为上市后文献评估和市场分析报告的投入。</w:t>
      </w:r>
    </w:p>
    <w:p w14:paraId="5530138C">
      <w:pPr>
        <w:jc w:val="both"/>
      </w:pPr>
      <w:r>
        <w:rPr>
          <w:rFonts w:hint="eastAsia"/>
          <w:sz w:val="21"/>
        </w:rPr>
        <w:t>●</w:t>
      </w:r>
      <w:r>
        <w:rPr>
          <w:rFonts w:hint="eastAsia" w:ascii="SimSun, STSong" w:hAnsi="SimSun, STSong" w:eastAsia="SimSun, STSong"/>
          <w:color w:val="0000FF"/>
          <w:sz w:val="21"/>
        </w:rPr>
        <w:t>按投诉处理程序查看产品投诉</w:t>
      </w:r>
    </w:p>
    <w:p w14:paraId="4452EF43">
      <w:pPr>
        <w:jc w:val="both"/>
      </w:pPr>
      <w:r>
        <w:rPr>
          <w:rFonts w:hint="eastAsia"/>
          <w:sz w:val="21"/>
        </w:rPr>
        <w:t>●</w:t>
      </w:r>
    </w:p>
    <w:p w14:paraId="7D95FD23">
      <w:pPr>
        <w:jc w:val="both"/>
      </w:pPr>
      <w:r>
        <w:rPr>
          <w:rFonts w:hint="eastAsia"/>
          <w:sz w:val="21"/>
        </w:rPr>
        <w:t>●</w:t>
      </w:r>
      <w:r>
        <w:rPr>
          <w:rFonts w:hint="eastAsia" w:ascii="SimSun, STSong" w:hAnsi="SimSun, STSong" w:eastAsia="SimSun, STSong"/>
          <w:color w:val="0000FF"/>
          <w:sz w:val="21"/>
        </w:rPr>
        <w:t>根据上市后不良事件报告程序审查上市后不良事件</w:t>
      </w:r>
    </w:p>
    <w:p w14:paraId="0E8A836F">
      <w:pPr>
        <w:jc w:val="both"/>
      </w:pPr>
      <w:r>
        <w:rPr>
          <w:rFonts w:hint="eastAsia"/>
          <w:sz w:val="21"/>
        </w:rPr>
        <w:t>●</w:t>
      </w:r>
    </w:p>
    <w:p w14:paraId="45C478C0">
      <w:pPr>
        <w:jc w:val="both"/>
      </w:pPr>
      <w:r>
        <w:rPr>
          <w:rFonts w:hint="eastAsia"/>
          <w:sz w:val="21"/>
        </w:rPr>
        <w:t>●</w:t>
      </w:r>
      <w:r>
        <w:rPr>
          <w:rFonts w:hint="eastAsia" w:ascii="SimSun, STSong" w:hAnsi="SimSun, STSong" w:eastAsia="SimSun, STSong"/>
          <w:color w:val="0000FF"/>
          <w:sz w:val="21"/>
        </w:rPr>
        <w:t>根据医疗器械临床数据评价进行文献评审</w:t>
      </w:r>
    </w:p>
    <w:p w14:paraId="755E0DA4">
      <w:pPr>
        <w:jc w:val="both"/>
      </w:pPr>
      <w:r>
        <w:rPr>
          <w:rFonts w:hint="eastAsia"/>
          <w:sz w:val="21"/>
        </w:rPr>
        <w:t>●</w:t>
      </w:r>
    </w:p>
    <w:p w14:paraId="0D090FE0">
      <w:pPr>
        <w:jc w:val="both"/>
      </w:pPr>
      <w:r>
        <w:rPr>
          <w:rFonts w:hint="eastAsia" w:ascii="SimSun, STSong" w:hAnsi="SimSun, STSong" w:eastAsia="SimSun, STSong"/>
          <w:color w:val="0000FF"/>
          <w:sz w:val="21"/>
        </w:rPr>
        <w:t>6.5.3.3.2应按照下表规定的时间间隔完成产品投诉、上市后不良事件和文献审查的审查。 概述的时间提供了最低要求。 法规负责人和/或技术负责人可以确定应更频繁地审查临床数据。</w:t>
      </w:r>
    </w:p>
    <w:p w14:paraId="2D375B4C">
      <w:pPr>
        <w:jc w:val="both"/>
      </w:pPr>
    </w:p>
    <w:tbl>
      <w:tblPr>
        <w:tblW w:w="0" w:type="auto"/>
        <w:tblInd w:w="0" w:type="dxa"/>
        <w:tblLayout w:type="fixed"/>
        <w:tblCellMar>
          <w:top w:w="0" w:type="dxa"/>
          <w:left w:w="108" w:type="dxa"/>
          <w:bottom w:w="0" w:type="dxa"/>
          <w:right w:w="108" w:type="dxa"/>
        </w:tblCellMar>
      </w:tblPr>
      <w:tblGrid>
        <w:gridCol w:w="4513"/>
        <w:gridCol w:w="4513"/>
      </w:tblGrid>
      <w:tr w14:paraId="0A32757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2712A671">
            <w:r>
              <w:rPr>
                <w:rFonts w:hint="eastAsia" w:ascii="SimSun, STSong" w:hAnsi="SimSun, STSong" w:eastAsia="SimSun, STSong"/>
                <w:color w:val="0000FF"/>
                <w:sz w:val="21"/>
              </w:rPr>
              <w:t>设备分类</w:t>
            </w:r>
          </w:p>
        </w:tc>
        <w:tc>
          <w:tcPr>
            <w:tcBorders>
              <w:top w:val="single" w:color="auto" w:sz="6" w:space="0"/>
              <w:left w:val="single" w:color="auto" w:sz="6" w:space="0"/>
              <w:bottom w:val="single" w:color="auto" w:sz="6" w:space="0"/>
              <w:right w:val="single" w:color="auto" w:sz="6" w:space="0"/>
            </w:tcBorders>
          </w:tcPr>
          <w:p w14:paraId="2DB347AE">
            <w:r>
              <w:rPr>
                <w:rFonts w:hint="eastAsia" w:ascii="SimSun, STSong" w:hAnsi="SimSun, STSong" w:eastAsia="SimSun, STSong"/>
                <w:color w:val="0000FF"/>
                <w:sz w:val="21"/>
              </w:rPr>
              <w:t>临床数据审查的时机（最低限度）</w:t>
            </w:r>
          </w:p>
        </w:tc>
      </w:tr>
      <w:tr w14:paraId="0F29F87F">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53AB8FC">
            <w:r>
              <w:rPr>
                <w:rFonts w:hint="eastAsia" w:ascii="SimSun, STSong" w:hAnsi="SimSun, STSong" w:eastAsia="SimSun, STSong"/>
                <w:color w:val="0000FF"/>
                <w:sz w:val="21"/>
              </w:rPr>
              <w:t>Class I</w:t>
            </w:r>
          </w:p>
        </w:tc>
        <w:tc>
          <w:tcPr>
            <w:tcBorders>
              <w:top w:val="single" w:color="auto" w:sz="6" w:space="0"/>
              <w:left w:val="single" w:color="auto" w:sz="6" w:space="0"/>
              <w:bottom w:val="single" w:color="auto" w:sz="6" w:space="0"/>
              <w:right w:val="single" w:color="auto" w:sz="6" w:space="0"/>
            </w:tcBorders>
          </w:tcPr>
          <w:p w14:paraId="177FB737">
            <w:r>
              <w:rPr>
                <w:rFonts w:hint="eastAsia" w:ascii="SimSun, STSong" w:hAnsi="SimSun, STSong" w:eastAsia="SimSun, STSong"/>
                <w:color w:val="0000FF"/>
                <w:sz w:val="21"/>
              </w:rPr>
              <w:t>每年一次</w:t>
            </w:r>
          </w:p>
        </w:tc>
      </w:tr>
      <w:tr w14:paraId="59D0DBC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64102F02">
            <w:r>
              <w:rPr>
                <w:rFonts w:hint="eastAsia" w:ascii="SimSun, STSong" w:hAnsi="SimSun, STSong" w:eastAsia="SimSun, STSong"/>
                <w:color w:val="0000FF"/>
                <w:sz w:val="21"/>
              </w:rPr>
              <w:t>Class IIa, IIb</w:t>
            </w:r>
          </w:p>
        </w:tc>
        <w:tc>
          <w:tcPr>
            <w:tcBorders>
              <w:top w:val="single" w:color="auto" w:sz="6" w:space="0"/>
              <w:left w:val="single" w:color="auto" w:sz="6" w:space="0"/>
              <w:bottom w:val="single" w:color="auto" w:sz="6" w:space="0"/>
              <w:right w:val="single" w:color="auto" w:sz="6" w:space="0"/>
            </w:tcBorders>
          </w:tcPr>
          <w:p w14:paraId="050A72D4">
            <w:r>
              <w:rPr>
                <w:rFonts w:hint="eastAsia" w:ascii="SimSun, STSong" w:hAnsi="SimSun, STSong" w:eastAsia="SimSun, STSong"/>
                <w:color w:val="0000FF"/>
                <w:sz w:val="21"/>
              </w:rPr>
              <w:t>至少每年一次，应更经常审查</w:t>
            </w:r>
          </w:p>
        </w:tc>
      </w:tr>
      <w:tr w14:paraId="1028BD2E">
        <w:tblPrEx>
          <w:tblCellMar>
            <w:top w:w="0" w:type="dxa"/>
            <w:left w:w="108" w:type="dxa"/>
            <w:bottom w:w="0" w:type="dxa"/>
            <w:right w:w="108" w:type="dxa"/>
          </w:tblCellMar>
        </w:tblPrEx>
        <w:tc>
          <w:tcPr>
            <w:tcBorders>
              <w:top w:val="single" w:color="auto" w:sz="6" w:space="0"/>
              <w:left w:val="single" w:color="auto" w:sz="6" w:space="0"/>
              <w:bottom w:val="single" w:color="auto" w:sz="6" w:space="0"/>
              <w:right w:val="single" w:color="auto" w:sz="6" w:space="0"/>
            </w:tcBorders>
          </w:tcPr>
          <w:p w14:paraId="06EED227">
            <w:r>
              <w:rPr>
                <w:rFonts w:hint="eastAsia" w:ascii="SimSun, STSong" w:hAnsi="SimSun, STSong" w:eastAsia="SimSun, STSong"/>
                <w:color w:val="0000FF"/>
                <w:sz w:val="21"/>
              </w:rPr>
              <w:t>Class III</w:t>
            </w:r>
          </w:p>
        </w:tc>
        <w:tc>
          <w:tcPr>
            <w:tcBorders>
              <w:top w:val="single" w:color="auto" w:sz="6" w:space="0"/>
              <w:left w:val="single" w:color="auto" w:sz="6" w:space="0"/>
              <w:bottom w:val="single" w:color="auto" w:sz="6" w:space="0"/>
              <w:right w:val="single" w:color="auto" w:sz="6" w:space="0"/>
            </w:tcBorders>
          </w:tcPr>
          <w:p w14:paraId="447A0837">
            <w:r>
              <w:rPr>
                <w:rFonts w:hint="eastAsia" w:ascii="SimSun, STSong" w:hAnsi="SimSun, STSong" w:eastAsia="SimSun, STSong"/>
                <w:color w:val="0000FF"/>
                <w:sz w:val="21"/>
              </w:rPr>
              <w:t>至少一年两次，应更经常审查</w:t>
            </w:r>
          </w:p>
        </w:tc>
      </w:tr>
    </w:tbl>
    <w:p w14:paraId="251F22D7">
      <w:pPr>
        <w:jc w:val="center"/>
      </w:pPr>
      <w:r>
        <w:rPr>
          <w:rFonts w:hint="eastAsia" w:ascii="SimSun, STSong" w:hAnsi="SimSun, STSong" w:eastAsia="SimSun, STSong"/>
          <w:color w:val="0000FF"/>
          <w:sz w:val="21"/>
        </w:rPr>
        <w:t>5-1基于医疗器械类别的临床数据审查时机</w:t>
      </w:r>
    </w:p>
    <w:p w14:paraId="3433246D">
      <w:pPr>
        <w:jc w:val="both"/>
      </w:pPr>
      <w:r>
        <w:rPr>
          <w:rFonts w:hint="eastAsia" w:ascii="SimSun, STSong" w:hAnsi="SimSun, STSong" w:eastAsia="SimSun, STSong"/>
          <w:color w:val="0000FF"/>
          <w:sz w:val="21"/>
        </w:rPr>
        <w:t>6.5.3.3按照上表中概述的时间间隔，技术负责人应完成文献审查和上市后经验分析（即投诉和不良事件），并根据该数据重新评估是否需要进行PMCFs。 应填写并保存《上市后文献评估和市场分析结论表》，作为设备设计历史/技术文件的一部分。 法规负责人对本文件进行审批。</w:t>
      </w:r>
    </w:p>
    <w:p w14:paraId="31C89C46">
      <w:pPr>
        <w:jc w:val="both"/>
      </w:pPr>
      <w:r>
        <w:rPr>
          <w:rFonts w:hint="eastAsia" w:ascii="SimSun, STSong" w:hAnsi="SimSun, STSong" w:eastAsia="SimSun, STSong"/>
          <w:color w:val="0000FF"/>
          <w:sz w:val="21"/>
        </w:rPr>
        <w:t>注：文献综述应根据临床数据评估进行，</w:t>
      </w:r>
    </w:p>
    <w:p w14:paraId="0C047A3A">
      <w:pPr>
        <w:jc w:val="both"/>
      </w:pPr>
      <w:r>
        <w:rPr>
          <w:rFonts w:hint="eastAsia" w:ascii="SimSun, STSong" w:hAnsi="SimSun, STSong" w:eastAsia="SimSun, STSong"/>
          <w:b/>
          <w:color w:val="0000FF"/>
          <w:sz w:val="21"/>
        </w:rPr>
        <w:t>6.5.4上市后临床随访研究</w:t>
      </w:r>
    </w:p>
    <w:p w14:paraId="4856A27E">
      <w:pPr>
        <w:jc w:val="both"/>
      </w:pPr>
      <w:r>
        <w:rPr>
          <w:rFonts w:hint="eastAsia" w:ascii="SimSun, STSong" w:hAnsi="SimSun, STSong" w:eastAsia="SimSun, STSong"/>
          <w:color w:val="0000FF"/>
          <w:sz w:val="21"/>
        </w:rPr>
        <w:t>6.5.4.1按照表5-1列出的时间间隔，技术负责人应完成文献回如果确定需要PMCFs，除了6.5.3.3中列出的要求外，还可以进行研究，如对参加上市前试验的患者进行延长随访，在设备上市后对有代表性的患者子集进行前瞻性研究，或进行开放注册。</w:t>
      </w:r>
    </w:p>
    <w:p w14:paraId="1EF03EE6">
      <w:pPr>
        <w:jc w:val="both"/>
      </w:pPr>
      <w:r>
        <w:rPr>
          <w:rFonts w:hint="eastAsia" w:ascii="SimSun, STSong" w:hAnsi="SimSun, STSong" w:eastAsia="SimSun, STSong"/>
          <w:color w:val="0000FF"/>
          <w:sz w:val="21"/>
        </w:rPr>
        <w:t>6.5.4.2 PMCFs应按照涉及人体受试者的医疗器械研究程序进行</w:t>
      </w:r>
    </w:p>
    <w:p w14:paraId="2B53D0F6">
      <w:pPr>
        <w:jc w:val="both"/>
      </w:pPr>
      <w:r>
        <w:rPr>
          <w:rFonts w:hint="eastAsia" w:ascii="SimSun, STSong" w:hAnsi="SimSun, STSong" w:eastAsia="SimSun, STSong"/>
          <w:color w:val="0000FF"/>
          <w:sz w:val="21"/>
        </w:rPr>
        <w:t>6.5.4.3 技术负责人与法规负责人协商后，将确定将实施的PMCFs的类型。</w:t>
      </w:r>
    </w:p>
    <w:p w14:paraId="76A36D55">
      <w:pPr>
        <w:jc w:val="both"/>
      </w:pPr>
      <w:r>
        <w:rPr>
          <w:rFonts w:hint="eastAsia" w:ascii="SimSun, STSong" w:hAnsi="SimSun, STSong" w:eastAsia="SimSun, STSong"/>
          <w:color w:val="0000FF"/>
          <w:sz w:val="21"/>
        </w:rPr>
        <w:t>6.5.4.4研究应考虑到以下几点：</w:t>
      </w:r>
    </w:p>
    <w:p w14:paraId="1AB07ABA">
      <w:pPr>
        <w:ind w:left="810"/>
        <w:jc w:val="both"/>
      </w:pPr>
      <w:r>
        <w:rPr>
          <w:rFonts w:hint="eastAsia"/>
          <w:sz w:val="21"/>
        </w:rPr>
        <w:t>●</w:t>
      </w:r>
      <w:r>
        <w:rPr>
          <w:rFonts w:hint="eastAsia" w:ascii="SimSun, STSong" w:hAnsi="SimSun, STSong" w:eastAsia="SimSun, STSong"/>
          <w:color w:val="0000FF"/>
          <w:sz w:val="21"/>
        </w:rPr>
        <w:t>临床研究结果，包括确定的不良事件</w:t>
      </w:r>
    </w:p>
    <w:p w14:paraId="714D0E9B">
      <w:pPr>
        <w:ind w:left="810"/>
        <w:jc w:val="both"/>
      </w:pPr>
      <w:r>
        <w:rPr>
          <w:rFonts w:hint="eastAsia"/>
          <w:sz w:val="21"/>
        </w:rPr>
        <w:t>●</w:t>
      </w:r>
    </w:p>
    <w:p w14:paraId="62250CC6">
      <w:pPr>
        <w:ind w:left="810"/>
        <w:jc w:val="both"/>
      </w:pPr>
      <w:r>
        <w:rPr>
          <w:rFonts w:hint="eastAsia"/>
          <w:sz w:val="21"/>
        </w:rPr>
        <w:t>●</w:t>
      </w:r>
      <w:r>
        <w:rPr>
          <w:rFonts w:hint="eastAsia" w:ascii="SimSun, STSong" w:hAnsi="SimSun, STSong" w:eastAsia="SimSun, STSong"/>
          <w:color w:val="0000FF"/>
          <w:sz w:val="21"/>
        </w:rPr>
        <w:t>设备的平均预期寿命</w:t>
      </w:r>
    </w:p>
    <w:p w14:paraId="3D925491">
      <w:pPr>
        <w:ind w:left="810"/>
        <w:jc w:val="both"/>
      </w:pPr>
      <w:r>
        <w:rPr>
          <w:rFonts w:hint="eastAsia"/>
          <w:sz w:val="21"/>
        </w:rPr>
        <w:t>●</w:t>
      </w:r>
    </w:p>
    <w:p w14:paraId="1E29E092">
      <w:pPr>
        <w:ind w:left="810"/>
        <w:jc w:val="both"/>
      </w:pPr>
      <w:r>
        <w:rPr>
          <w:rFonts w:hint="eastAsia"/>
          <w:sz w:val="21"/>
        </w:rPr>
        <w:t>●</w:t>
      </w:r>
      <w:r>
        <w:rPr>
          <w:rFonts w:hint="eastAsia" w:ascii="SimSun, STSong" w:hAnsi="SimSun, STSong" w:eastAsia="SimSun, STSong"/>
          <w:color w:val="0000FF"/>
          <w:sz w:val="21"/>
        </w:rPr>
        <w:t>制造商对设备的声明</w:t>
      </w:r>
    </w:p>
    <w:p w14:paraId="5CC648D5">
      <w:pPr>
        <w:ind w:left="810"/>
        <w:jc w:val="both"/>
      </w:pPr>
      <w:r>
        <w:rPr>
          <w:rFonts w:hint="eastAsia"/>
          <w:sz w:val="21"/>
        </w:rPr>
        <w:t>●</w:t>
      </w:r>
    </w:p>
    <w:p w14:paraId="20408870">
      <w:pPr>
        <w:ind w:left="810"/>
        <w:jc w:val="both"/>
      </w:pPr>
      <w:r>
        <w:rPr>
          <w:rFonts w:hint="eastAsia"/>
          <w:sz w:val="21"/>
        </w:rPr>
        <w:t>●</w:t>
      </w:r>
      <w:r>
        <w:rPr>
          <w:rFonts w:hint="eastAsia" w:ascii="SimSun, STSong" w:hAnsi="SimSun, STSong" w:eastAsia="SimSun, STSong"/>
          <w:color w:val="0000FF"/>
          <w:sz w:val="21"/>
        </w:rPr>
        <w:t>要求等效的性能</w:t>
      </w:r>
    </w:p>
    <w:p w14:paraId="3C0C0605">
      <w:pPr>
        <w:ind w:left="810"/>
        <w:jc w:val="both"/>
      </w:pPr>
      <w:r>
        <w:rPr>
          <w:rFonts w:hint="eastAsia"/>
          <w:sz w:val="21"/>
        </w:rPr>
        <w:t>●</w:t>
      </w:r>
    </w:p>
    <w:p w14:paraId="2F7C0922">
      <w:pPr>
        <w:ind w:left="810"/>
        <w:jc w:val="both"/>
      </w:pPr>
      <w:r>
        <w:rPr>
          <w:rFonts w:hint="eastAsia"/>
          <w:sz w:val="21"/>
        </w:rPr>
        <w:t>●</w:t>
      </w:r>
      <w:r>
        <w:rPr>
          <w:rFonts w:hint="eastAsia" w:ascii="SimSun, STSong" w:hAnsi="SimSun, STSong" w:eastAsia="SimSun, STSong"/>
          <w:color w:val="0000FF"/>
          <w:sz w:val="21"/>
        </w:rPr>
        <w:t>新信息可用</w:t>
      </w:r>
    </w:p>
    <w:p w14:paraId="562D4F05">
      <w:pPr>
        <w:ind w:left="810"/>
        <w:jc w:val="both"/>
      </w:pPr>
      <w:r>
        <w:rPr>
          <w:rFonts w:hint="eastAsia"/>
          <w:sz w:val="21"/>
        </w:rPr>
        <w:t>●</w:t>
      </w:r>
    </w:p>
    <w:p w14:paraId="7A8B6982">
      <w:pPr>
        <w:jc w:val="both"/>
      </w:pPr>
      <w:r>
        <w:rPr>
          <w:rFonts w:hint="eastAsia" w:ascii="SimSun, STSong" w:hAnsi="SimSun, STSong" w:eastAsia="SimSun, STSong"/>
          <w:color w:val="0000FF"/>
          <w:sz w:val="21"/>
        </w:rPr>
        <w:t>在上表间隔内，技术负责人应完成对上市后经验的文献回顾和分析(即投诉和不良事件)，并审查PMCFS的持续结果/数据。 上市文献评估和市场分析结论表格应作为设备设计历史/技术文件的一部分保存。 法规负责人应审查和批准本文件。</w:t>
      </w:r>
    </w:p>
    <w:p w14:paraId="417BA316">
      <w:pPr>
        <w:jc w:val="both"/>
      </w:pPr>
      <w:r>
        <w:rPr>
          <w:rFonts w:hint="eastAsia" w:ascii="SimSun, STSong" w:hAnsi="SimSun, STSong" w:eastAsia="SimSun, STSong"/>
          <w:b/>
          <w:color w:val="0000FF"/>
          <w:sz w:val="21"/>
        </w:rPr>
        <w:t>6.5.5上市后临床随访研究的要素</w:t>
      </w:r>
    </w:p>
    <w:p w14:paraId="080B14D8">
      <w:pPr>
        <w:jc w:val="both"/>
      </w:pPr>
      <w:r>
        <w:rPr>
          <w:rFonts w:hint="eastAsia" w:ascii="SimSun, STSong" w:hAnsi="SimSun, STSong" w:eastAsia="SimSun, STSong"/>
          <w:color w:val="0000FF"/>
          <w:sz w:val="21"/>
        </w:rPr>
        <w:t>6.5.5.1根据使用说明书，对其预期用途/目的内的装置进行上市后临床随访研究。 PMCFs应包括书面临床研究计划和方案工作指导书中定义的要素。</w:t>
      </w:r>
    </w:p>
    <w:p w14:paraId="01F04734">
      <w:pPr>
        <w:jc w:val="both"/>
      </w:pPr>
      <w:r>
        <w:rPr>
          <w:rFonts w:hint="eastAsia" w:ascii="SimSun, STSong" w:hAnsi="SimSun, STSong" w:eastAsia="SimSun, STSong"/>
          <w:color w:val="0000FF"/>
          <w:sz w:val="21"/>
        </w:rPr>
        <w:t>6.5.5.2 PMCFs的目标应明确说明，并应解决已确定的剩余风险。 它应该被表述为解决与装置的临床安全或性能有关的一个或多个具体问题。</w:t>
      </w:r>
    </w:p>
    <w:p w14:paraId="600306EE">
      <w:pPr>
        <w:jc w:val="both"/>
      </w:pPr>
      <w:r>
        <w:rPr>
          <w:rFonts w:hint="eastAsia" w:ascii="SimSun, STSong" w:hAnsi="SimSun, STSong" w:eastAsia="SimSun, STSong"/>
          <w:color w:val="0000FF"/>
          <w:sz w:val="21"/>
        </w:rPr>
        <w:t>6.5.5.3上市后临床随访研究应旨在解决研究的目标。 设计可根据目标而变化，并应具有科学合理性，以得出有效的结论。</w:t>
      </w:r>
    </w:p>
    <w:p w14:paraId="0CF67786">
      <w:pPr>
        <w:jc w:val="both"/>
      </w:pPr>
      <w:r>
        <w:rPr>
          <w:rFonts w:hint="eastAsia" w:ascii="SimSun, STSong" w:hAnsi="SimSun, STSong" w:eastAsia="SimSun, STSong"/>
          <w:color w:val="0000FF"/>
          <w:sz w:val="21"/>
        </w:rPr>
        <w:t>6.5.5.4研究设计可以采取几种形式，例如：</w:t>
      </w:r>
    </w:p>
    <w:p w14:paraId="762616DD">
      <w:pPr>
        <w:ind w:left="810"/>
        <w:jc w:val="both"/>
      </w:pPr>
      <w:r>
        <w:rPr>
          <w:rFonts w:hint="eastAsia"/>
          <w:sz w:val="21"/>
        </w:rPr>
        <w:t>●</w:t>
      </w:r>
      <w:r>
        <w:rPr>
          <w:rFonts w:hint="eastAsia" w:ascii="SimSun, STSong" w:hAnsi="SimSun, STSong" w:eastAsia="SimSun, STSong"/>
          <w:color w:val="0000FF"/>
          <w:sz w:val="21"/>
        </w:rPr>
        <w:t>对入组上市前调查的患者进行延长随访；</w:t>
      </w:r>
    </w:p>
    <w:p w14:paraId="78023C55">
      <w:pPr>
        <w:ind w:left="810"/>
        <w:jc w:val="both"/>
      </w:pPr>
      <w:r>
        <w:rPr>
          <w:rFonts w:hint="eastAsia"/>
          <w:sz w:val="21"/>
        </w:rPr>
        <w:t>●</w:t>
      </w:r>
    </w:p>
    <w:p w14:paraId="3014B126">
      <w:pPr>
        <w:ind w:left="810"/>
        <w:jc w:val="both"/>
      </w:pPr>
      <w:r>
        <w:rPr>
          <w:rFonts w:hint="eastAsia"/>
          <w:sz w:val="21"/>
        </w:rPr>
        <w:t>●</w:t>
      </w:r>
      <w:r>
        <w:rPr>
          <w:rFonts w:hint="eastAsia" w:ascii="SimSun, STSong" w:hAnsi="SimSun, STSong" w:eastAsia="SimSun, STSong"/>
          <w:color w:val="0000FF"/>
          <w:sz w:val="21"/>
        </w:rPr>
        <w:t>一项新的临床研究；</w:t>
      </w:r>
    </w:p>
    <w:p w14:paraId="68D59C7A">
      <w:pPr>
        <w:ind w:left="810"/>
        <w:jc w:val="both"/>
      </w:pPr>
      <w:r>
        <w:rPr>
          <w:rFonts w:hint="eastAsia"/>
          <w:sz w:val="21"/>
        </w:rPr>
        <w:t>●</w:t>
      </w:r>
    </w:p>
    <w:p w14:paraId="0E789055">
      <w:pPr>
        <w:ind w:left="810"/>
        <w:jc w:val="both"/>
      </w:pPr>
      <w:r>
        <w:rPr>
          <w:rFonts w:hint="eastAsia"/>
          <w:sz w:val="21"/>
        </w:rPr>
        <w:t>●</w:t>
      </w:r>
      <w:r>
        <w:rPr>
          <w:rFonts w:hint="eastAsia" w:ascii="SimSun, STSong" w:hAnsi="SimSun, STSong" w:eastAsia="SimSun, STSong"/>
          <w:color w:val="0000FF"/>
          <w:sz w:val="21"/>
        </w:rPr>
        <w:t>审查从设备注册表获得的数据；</w:t>
      </w:r>
    </w:p>
    <w:p w14:paraId="37292FA9">
      <w:pPr>
        <w:ind w:left="810"/>
        <w:jc w:val="both"/>
      </w:pPr>
      <w:r>
        <w:rPr>
          <w:rFonts w:hint="eastAsia"/>
          <w:sz w:val="21"/>
        </w:rPr>
        <w:t>●</w:t>
      </w:r>
    </w:p>
    <w:p w14:paraId="0D1B6B25">
      <w:pPr>
        <w:ind w:left="810"/>
        <w:jc w:val="both"/>
      </w:pPr>
      <w:r>
        <w:rPr>
          <w:rFonts w:hint="eastAsia"/>
          <w:sz w:val="21"/>
        </w:rPr>
        <w:t>●</w:t>
      </w:r>
      <w:r>
        <w:rPr>
          <w:rFonts w:hint="eastAsia" w:ascii="SimSun, STSong" w:hAnsi="SimSun, STSong" w:eastAsia="SimSun, STSong"/>
          <w:color w:val="0000FF"/>
          <w:sz w:val="21"/>
        </w:rPr>
        <w:t>对以前接触该设备的患者的相关回顾性数据进行回顾。</w:t>
      </w:r>
    </w:p>
    <w:p w14:paraId="576C4E33">
      <w:pPr>
        <w:ind w:left="810"/>
        <w:jc w:val="both"/>
      </w:pPr>
      <w:r>
        <w:rPr>
          <w:rFonts w:hint="eastAsia"/>
          <w:sz w:val="21"/>
        </w:rPr>
        <w:t>●</w:t>
      </w:r>
    </w:p>
    <w:p w14:paraId="53C3BFF0">
      <w:pPr>
        <w:ind w:left="810"/>
        <w:jc w:val="both"/>
      </w:pPr>
      <w:r>
        <w:rPr>
          <w:rFonts w:hint="eastAsia"/>
          <w:sz w:val="21"/>
        </w:rPr>
        <w:t>●</w:t>
      </w:r>
      <w:r>
        <w:rPr>
          <w:rFonts w:hint="eastAsia" w:ascii="SimSun, STSong" w:hAnsi="SimSun, STSong" w:eastAsia="SimSun, STSong"/>
          <w:color w:val="0000FF"/>
          <w:sz w:val="21"/>
        </w:rPr>
        <w:t>分析计划，包括任何中期报告；以及</w:t>
      </w:r>
    </w:p>
    <w:p w14:paraId="779794B9">
      <w:pPr>
        <w:ind w:left="810"/>
        <w:jc w:val="both"/>
      </w:pPr>
      <w:r>
        <w:rPr>
          <w:rFonts w:hint="eastAsia"/>
          <w:sz w:val="21"/>
        </w:rPr>
        <w:t>●</w:t>
      </w:r>
    </w:p>
    <w:p w14:paraId="4596DD2A">
      <w:pPr>
        <w:ind w:left="810"/>
        <w:jc w:val="both"/>
      </w:pPr>
      <w:r>
        <w:rPr>
          <w:rFonts w:hint="eastAsia"/>
          <w:sz w:val="21"/>
        </w:rPr>
        <w:t>●</w:t>
      </w:r>
      <w:r>
        <w:rPr>
          <w:rFonts w:hint="eastAsia" w:ascii="SimSun, STSong" w:hAnsi="SimSun, STSong" w:eastAsia="SimSun, STSong"/>
          <w:color w:val="0000FF"/>
          <w:sz w:val="21"/>
        </w:rPr>
        <w:t>提前终止研究的程序。</w:t>
      </w:r>
    </w:p>
    <w:p w14:paraId="589BD231">
      <w:pPr>
        <w:ind w:left="810"/>
        <w:jc w:val="both"/>
      </w:pPr>
      <w:r>
        <w:rPr>
          <w:rFonts w:hint="eastAsia"/>
          <w:sz w:val="21"/>
        </w:rPr>
        <w:t>●</w:t>
      </w:r>
    </w:p>
    <w:p w14:paraId="66BEEF89">
      <w:pPr>
        <w:jc w:val="both"/>
      </w:pPr>
      <w:r>
        <w:rPr>
          <w:rFonts w:hint="eastAsia" w:ascii="SimSun, STSong" w:hAnsi="SimSun, STSong" w:eastAsia="SimSun, STSong"/>
          <w:color w:val="0000FF"/>
          <w:sz w:val="21"/>
        </w:rPr>
        <w:t>6.5.5.5来自PMCFs的数据和结论用于提供临床证据，以支持上市后监测计划。 该过程可能导致需要重新评估装置是否继续符合基本原则。 此类评估可能导致纠正或预防措施。</w:t>
      </w:r>
    </w:p>
    <w:p w14:paraId="49C52CB0">
      <w:pPr>
        <w:spacing w:line="360" w:lineRule="auto"/>
        <w:jc w:val="both"/>
      </w:pPr>
      <w:r>
        <w:rPr>
          <w:rFonts w:hint="eastAsia" w:ascii="&quot;Times New Roman&quot;" w:hAnsi="&quot;Times New Roman&quot;" w:eastAsia="&quot;Times New Roman&quot;"/>
          <w:b/>
        </w:rPr>
        <w:t>7.相关文件及表格</w:t>
      </w:r>
    </w:p>
    <w:p w14:paraId="6CBB344C">
      <w:pPr>
        <w:jc w:val="both"/>
      </w:pPr>
      <w:r>
        <w:rPr>
          <w:rFonts w:hint="eastAsia" w:ascii="&quot;Times New Roman&quot;" w:hAnsi="&quot;Times New Roman&quot;" w:eastAsia="&quot;Times New Roman&quot;"/>
          <w:sz w:val="21"/>
        </w:rPr>
        <w:t>无</w:t>
      </w:r>
    </w:p>
    <w:p w14:paraId="30B00A38">
      <w:pPr>
        <w:spacing w:line="360" w:lineRule="auto"/>
        <w:jc w:val="both"/>
      </w:pPr>
      <w:r>
        <w:rPr>
          <w:rFonts w:hint="eastAsia" w:ascii="&quot;Times New Roman&quot;" w:hAnsi="&quot;Times New Roman&quot;" w:eastAsia="&quot;Times New Roman&quot;"/>
          <w:b/>
        </w:rPr>
        <w:t>8. 参考文件</w:t>
      </w:r>
    </w:p>
    <w:p w14:paraId="04776821">
      <w:pPr>
        <w:spacing w:line="360" w:lineRule="auto"/>
        <w:jc w:val="both"/>
      </w:pPr>
      <w:r>
        <w:rPr>
          <w:rFonts w:hint="eastAsia" w:ascii="SimSun, STSong" w:hAnsi="SimSun, STSong" w:eastAsia="SimSun, STSong"/>
          <w:sz w:val="21"/>
        </w:rPr>
        <w:t>8.1 93/42/EEC 与修订版 2007/47/EC  医疗器械指令</w:t>
      </w:r>
    </w:p>
    <w:p w14:paraId="5BD40203">
      <w:pPr>
        <w:spacing w:line="360" w:lineRule="auto"/>
        <w:jc w:val="both"/>
      </w:pPr>
      <w:r>
        <w:rPr>
          <w:rFonts w:hint="eastAsia" w:ascii="SimSun, STSong" w:hAnsi="SimSun, STSong" w:eastAsia="SimSun, STSong"/>
          <w:sz w:val="21"/>
        </w:rPr>
        <w:t>8.3 MEDDV.2.7.1 Rev.4      医疗器械指南  临床评价:制造商和公告机构指引</w:t>
      </w:r>
    </w:p>
    <w:p w14:paraId="01B0CDC3">
      <w:pPr>
        <w:spacing w:line="360" w:lineRule="auto"/>
        <w:jc w:val="both"/>
      </w:pPr>
      <w:r>
        <w:rPr>
          <w:rFonts w:hint="eastAsia" w:ascii="SimSun, STSong" w:hAnsi="SimSun, STSong" w:eastAsia="SimSun, STSong"/>
          <w:sz w:val="21"/>
        </w:rPr>
        <w:t>8.4 医疗器械临床试验质量管理规范</w:t>
      </w:r>
    </w:p>
    <w:p w14:paraId="14093CF4">
      <w:pPr>
        <w:spacing w:line="360" w:lineRule="auto"/>
        <w:jc w:val="both"/>
      </w:pPr>
      <w:r>
        <w:rPr>
          <w:rFonts w:hint="eastAsia" w:ascii="SimSun, STSong" w:hAnsi="SimSun, STSong" w:eastAsia="SimSun, STSong"/>
          <w:sz w:val="21"/>
        </w:rPr>
        <w:t>8.5 ISO 14155 用于人体的医疗器械临床研究 - 良好的临床规范</w:t>
      </w:r>
    </w:p>
    <w:p w14:paraId="6981A8D4">
      <w:pPr>
        <w:spacing w:line="360" w:lineRule="auto"/>
        <w:jc w:val="both"/>
      </w:pPr>
      <w:r>
        <w:rPr>
          <w:rFonts w:hint="eastAsia" w:ascii="SimSun, STSong" w:hAnsi="SimSun, STSong" w:eastAsia="SimSun, STSong"/>
          <w:sz w:val="21"/>
        </w:rPr>
        <w:t>8.6 SG5/ N2R8:2007  临床评价: 监管指引</w:t>
      </w:r>
    </w:p>
    <w:p w14:paraId="0F65BC0E">
      <w:pPr>
        <w:ind w:left="810"/>
        <w:jc w:val="both"/>
      </w:pPr>
      <w:r>
        <w:rPr>
          <w:rFonts w:hint="eastAsia" w:ascii="&quot;Times New Roman&quot;" w:hAnsi="&quot;Times New Roman&quot;" w:eastAsia="&quot;Times New Roman&quot;"/>
        </w:rPr>
        <w:t>8.7 MEDDEV 2.12-2 Rev.2 General Guidelines on Post Market Clinical Follow</w:t>
      </w:r>
    </w:p>
    <w:p w14:paraId="703537B3">
      <w:pPr>
        <w:spacing w:line="360" w:lineRule="auto"/>
        <w:jc w:val="both"/>
      </w:pPr>
      <w:r>
        <w:rPr>
          <w:rFonts w:hint="eastAsia" w:ascii="&quot;Times New Roman&quot;" w:hAnsi="&quot;Times New Roman&quot;" w:eastAsia="&quot;Times New Roman&quot;"/>
          <w:b/>
        </w:rPr>
        <w:t>9.记录保存</w:t>
      </w:r>
    </w:p>
    <w:p w14:paraId="1F6B15B5">
      <w:pPr>
        <w:spacing w:line="276" w:lineRule="auto"/>
        <w:jc w:val="both"/>
      </w:pPr>
      <w:r>
        <w:rPr>
          <w:rFonts w:hint="eastAsia" w:ascii="&quot;Times New Roman&quot;" w:hAnsi="&quot;Times New Roman&quot;" w:eastAsia="&quot;Times New Roman&quot;"/>
          <w:sz w:val="21"/>
        </w:rPr>
        <w:t>临床试验调查或研究产生的所有记录与文件(包括合作协议、研究者手册、临床试验方案、伦理审评意见、临床试验方案以及相关方的资质)属于设计开发历史资料，都必须按照</w:t>
      </w:r>
      <w:r>
        <w:rPr>
          <w:rFonts w:hint="eastAsia" w:ascii="SimSun, STSong" w:hAnsi="SimSun, STSong" w:eastAsia="SimSun, STSong"/>
          <w:sz w:val="21"/>
        </w:rPr>
        <w:t>《</w:t>
      </w:r>
      <w:r>
        <w:rPr>
          <w:rFonts w:hint="eastAsia" w:ascii="&quot;Times New Roman&quot;" w:hAnsi="&quot;Times New Roman&quot;" w:eastAsia="&quot;Times New Roman&quot;"/>
          <w:sz w:val="21"/>
        </w:rPr>
        <w:t>文件控制程序</w:t>
      </w:r>
      <w:r>
        <w:rPr>
          <w:rFonts w:hint="eastAsia" w:ascii="SimSun, STSong" w:hAnsi="SimSun, STSong" w:eastAsia="SimSun, STSong"/>
          <w:sz w:val="21"/>
        </w:rPr>
        <w:t>》</w:t>
      </w:r>
      <w:r>
        <w:rPr>
          <w:rFonts w:hint="eastAsia" w:ascii="&quot;Times New Roman&quot;" w:hAnsi="&quot;Times New Roman&quot;" w:eastAsia="&quot;Times New Roman&quot;"/>
          <w:sz w:val="21"/>
        </w:rPr>
        <w:t>的要求进行管理。</w:t>
      </w:r>
    </w:p>
    <w:p w14:paraId="1B475ECB">
      <w:pPr>
        <w:spacing w:line="276" w:lineRule="auto"/>
        <w:jc w:val="both"/>
      </w:pPr>
      <w:r>
        <w:rPr>
          <w:rFonts w:hint="eastAsia" w:ascii="Arial" w:hAnsi="Arial" w:eastAsia="Arial"/>
        </w:rPr>
        <w:t>附件1：</w:t>
      </w:r>
    </w:p>
    <w:p w14:paraId="53D21000">
      <w:pPr>
        <w:spacing w:line="276" w:lineRule="auto"/>
        <w:jc w:val="center"/>
      </w:pPr>
      <w:r>
        <w:rPr>
          <w:rFonts w:hint="eastAsia" w:ascii="&quot;Times New Roman&quot;" w:hAnsi="&quot;Times New Roman&quot;" w:eastAsia="&quot;Times New Roman&quot;"/>
          <w:b/>
        </w:rPr>
        <w:t>文献筛选评价流程</w:t>
      </w:r>
    </w:p>
    <w:p w14:paraId="7B1147D5">
      <w:pPr>
        <w:jc w:val="both"/>
      </w:pPr>
      <w:r>
        <w:drawing>
          <wp:inline distT="0" distB="0" distL="0" distR="0">
            <wp:extent cx="5943600" cy="83737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43600" cy="8373810"/>
                    </a:xfrm>
                    <a:prstGeom prst="rect">
                      <a:avLst/>
                    </a:prstGeom>
                  </pic:spPr>
                </pic:pic>
              </a:graphicData>
            </a:graphic>
          </wp:inline>
        </w:drawing>
      </w:r>
      <w:r>
        <w:rPr>
          <w:rFonts w:hint="eastAsia"/>
        </w:rPr>
        <w:t>附件2</w:t>
      </w:r>
    </w:p>
    <w:p w14:paraId="6EAAB965">
      <w:pPr>
        <w:jc w:val="center"/>
      </w:pPr>
      <w:r>
        <w:rPr>
          <w:rFonts w:hint="eastAsia" w:ascii="Arial" w:hAnsi="Arial" w:eastAsia="Arial"/>
          <w:b/>
        </w:rPr>
        <w:t>临床文献汇编流程</w:t>
      </w:r>
    </w:p>
    <w:p w14:paraId="1BD1099B">
      <w:pPr>
        <w:spacing w:line="300" w:lineRule="auto"/>
        <w:jc w:val="both"/>
      </w:pPr>
      <w:r>
        <w:drawing>
          <wp:inline distT="0" distB="0" distL="0" distR="0">
            <wp:extent cx="5943600" cy="600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943600" cy="6001235"/>
                    </a:xfrm>
                    <a:prstGeom prst="rect">
                      <a:avLst/>
                    </a:prstGeom>
                  </pic:spPr>
                </pic:pic>
              </a:graphicData>
            </a:graphic>
          </wp:inline>
        </w:drawing>
      </w:r>
    </w:p>
    <w:p w14:paraId="59289CB8">
      <w:pPr>
        <w:spacing w:line="276" w:lineRule="auto"/>
        <w:jc w:val="both"/>
      </w:pPr>
      <w:r>
        <w:rPr>
          <w:rFonts w:hint="eastAsia" w:ascii="&quot;Times New Roman&quot;" w:hAnsi="&quot;Times New Roman&quot;" w:eastAsia="&quot;Times New Roman&quot;"/>
          <w:sz w:val="21"/>
        </w:rPr>
        <w:t>附录3 临床随访过程概述</w:t>
      </w:r>
    </w:p>
    <w:p w14:paraId="323A1BE4">
      <w:pPr>
        <w:spacing w:line="276" w:lineRule="auto"/>
        <w:jc w:val="both"/>
      </w:pPr>
      <w:r>
        <w:drawing>
          <wp:inline distT="0" distB="0" distL="0" distR="0">
            <wp:extent cx="5943600" cy="7458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943600" cy="7458136"/>
                    </a:xfrm>
                    <a:prstGeom prst="rect">
                      <a:avLst/>
                    </a:prstGeom>
                  </pic:spPr>
                </pic:pic>
              </a:graphicData>
            </a:graphic>
          </wp:inline>
        </w:drawing>
      </w:r>
      <w:r>
        <w:drawing>
          <wp:inline distT="0" distB="0" distL="0" distR="0">
            <wp:extent cx="5943600" cy="74625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943600" cy="7462520"/>
                    </a:xfrm>
                    <a:prstGeom prst="rect">
                      <a:avLst/>
                    </a:prstGeom>
                  </pic:spPr>
                </pic:pic>
              </a:graphicData>
            </a:graphic>
          </wp:inline>
        </w:drawing>
      </w:r>
    </w:p>
    <w:p w14:paraId="1A7B31AD">
      <w:pPr>
        <w:spacing w:line="276" w:lineRule="auto"/>
        <w:jc w:val="both"/>
        <w:rPr>
          <w:rFonts w:hint="eastAsia" w:eastAsia="宋体"/>
          <w:lang w:eastAsia="zh-CN"/>
        </w:rPr>
      </w:pPr>
    </w:p>
    <w:p w14:paraId="795900BF">
      <w:pPr>
        <w:spacing w:line="276" w:lineRule="auto"/>
        <w:jc w:val="center"/>
        <w:rPr>
          <w:rFonts w:hint="eastAsia" w:eastAsia="宋体"/>
          <w:lang w:eastAsia="zh-CN"/>
        </w:rPr>
      </w:pPr>
    </w:p>
    <w:p w14:paraId="03ECCE68">
      <w:pPr>
        <w:spacing w:line="276"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quot;Times New Roman&quot;">
    <w:altName w:val="Segoe Print"/>
    <w:panose1 w:val="00000000000000000000"/>
    <w:charset w:val="00"/>
    <w:family w:val="auto"/>
    <w:pitch w:val="default"/>
    <w:sig w:usb0="00000000" w:usb1="00000000" w:usb2="00000000" w:usb3="00000000" w:csb0="00000000" w:csb1="00000000"/>
  </w:font>
  <w:font w:name="SimSun, STSong">
    <w:altName w:val="Segoe Print"/>
    <w:panose1 w:val="00000000000000000000"/>
    <w:charset w:val="00"/>
    <w:family w:val="auto"/>
    <w:pitch w:val="default"/>
    <w:sig w:usb0="00000000" w:usb1="00000000" w:usb2="00000000" w:usb3="00000000" w:csb0="00000000" w:csb1="00000000"/>
  </w:font>
  <w:font w:name="FangSong_GB2312, FangSong">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rsids>
    <w:rsidRoot w:val="00000000"/>
    <w:rsid w:val="613E2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GIF"/><Relationship Id="rId7" Type="http://schemas.openxmlformats.org/officeDocument/2006/relationships/image" Target="media/image2.pn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2215</Words>
  <Characters>2482</Characters>
  <TotalTime>0</TotalTime>
  <ScaleCrop>false</ScaleCrop>
  <LinksUpToDate>false</LinksUpToDate>
  <CharactersWithSpaces>2550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2025-08-14T06:29:00Z</dcterms:created>
  <dc:creator>太极箫客</dc:creator>
  <cp:lastModifiedBy>太极箫客</cp:lastModifiedBy>
  <dcterms:modified xsi:type="dcterms:W3CDTF">2025-08-14T06:29:01Z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FA722AA524BF4400BDC96F979B3B6588_12</vt:lpwstr>
  </property>
</Properties>
</file>