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F73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华文细黑" w:hAnsi="华文细黑" w:eastAsia="华文细黑" w:cs="华文细黑"/>
          <w:sz w:val="44"/>
          <w:szCs w:val="44"/>
        </w:rPr>
      </w:pPr>
      <w:bookmarkStart w:id="1" w:name="_GoBack"/>
      <w:bookmarkEnd w:id="1"/>
      <w:r>
        <w:rPr>
          <w:rFonts w:hint="eastAsia" w:ascii="华文细黑" w:hAnsi="华文细黑" w:eastAsia="华文细黑" w:cs="华文细黑"/>
          <w:sz w:val="44"/>
          <w:szCs w:val="44"/>
        </w:rPr>
        <w:t>国家药监局已发布的医疗器械</w:t>
      </w:r>
    </w:p>
    <w:p w14:paraId="1C9AEF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华文细黑" w:hAnsi="华文细黑" w:eastAsia="华文细黑" w:cs="华文细黑"/>
          <w:sz w:val="44"/>
          <w:szCs w:val="44"/>
          <w:lang w:val="en-US" w:eastAsia="zh-CN"/>
        </w:rPr>
      </w:pPr>
      <w:r>
        <w:rPr>
          <w:rFonts w:hint="eastAsia" w:ascii="华文细黑" w:hAnsi="华文细黑" w:eastAsia="华文细黑" w:cs="华文细黑"/>
          <w:sz w:val="44"/>
          <w:szCs w:val="44"/>
        </w:rPr>
        <w:t>注册技术审查指导原则</w:t>
      </w:r>
      <w:r>
        <w:rPr>
          <w:rFonts w:hint="eastAsia" w:ascii="华文细黑" w:hAnsi="华文细黑" w:eastAsia="华文细黑" w:cs="华文细黑"/>
          <w:sz w:val="44"/>
          <w:szCs w:val="44"/>
          <w:lang w:val="en-US" w:eastAsia="zh-CN"/>
        </w:rPr>
        <w:t>目录</w:t>
      </w:r>
    </w:p>
    <w:p w14:paraId="79A98193">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default" w:eastAsia="华文细黑" w:cs="华文细黑" w:asciiTheme="minorAscii" w:hAnsiTheme="minorAscii"/>
          <w:sz w:val="24"/>
          <w:szCs w:val="24"/>
          <w:lang w:val="en-US" w:eastAsia="zh-CN"/>
        </w:rPr>
      </w:pPr>
      <w:r>
        <w:rPr>
          <w:rFonts w:hint="eastAsia" w:eastAsia="华文细黑" w:cs="华文细黑" w:asciiTheme="minorAscii" w:hAnsiTheme="minorAscii"/>
          <w:sz w:val="24"/>
          <w:szCs w:val="24"/>
          <w:lang w:val="en-US" w:eastAsia="zh-CN"/>
        </w:rPr>
        <w:t>2021-12-7</w:t>
      </w:r>
    </w:p>
    <w:p w14:paraId="45EBE4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微软雅黑"/>
          <w:sz w:val="24"/>
          <w:szCs w:val="24"/>
        </w:rPr>
      </w:pPr>
    </w:p>
    <w:p w14:paraId="41C4E4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微软雅黑"/>
          <w:sz w:val="24"/>
          <w:szCs w:val="24"/>
          <w:lang w:val="en-US" w:eastAsia="zh-CN"/>
        </w:rPr>
      </w:pPr>
      <w:r>
        <w:rPr>
          <w:rFonts w:hint="eastAsia" w:ascii="Times New Roman" w:hAnsi="Times New Roman" w:eastAsia="微软雅黑"/>
          <w:sz w:val="24"/>
          <w:szCs w:val="24"/>
          <w:lang w:val="en-US" w:eastAsia="zh-CN"/>
        </w:rPr>
        <w:t>本文汇总自国家药监局医疗器械技术审评中心网站指导原则文本库，单击（或Ctrl+单击）可以直达相应指导原则的下载链接。</w:t>
      </w:r>
    </w:p>
    <w:p w14:paraId="5C29B9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微软雅黑"/>
          <w:sz w:val="24"/>
          <w:szCs w:val="24"/>
        </w:rPr>
      </w:pPr>
      <w:r>
        <w:rPr>
          <w:rFonts w:ascii="Times New Roman" w:hAnsi="Times New Roman" w:eastAsia="微软雅黑"/>
          <w:sz w:val="24"/>
          <w:szCs w:val="24"/>
        </w:rPr>
        <w:t>为加强对医疗器械产品注册工作的监督和指导，进一步提高注册审查质量，国家药监局持续推进医疗器械注册技术审查指导原则的制修订。</w:t>
      </w:r>
    </w:p>
    <w:p w14:paraId="295FE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eastAsia="微软雅黑"/>
          <w:sz w:val="24"/>
          <w:szCs w:val="24"/>
        </w:rPr>
      </w:pPr>
      <w:r>
        <w:rPr>
          <w:rFonts w:ascii="Times New Roman" w:hAnsi="Times New Roman" w:eastAsia="微软雅黑"/>
          <w:sz w:val="24"/>
          <w:szCs w:val="24"/>
        </w:rPr>
        <w:t>截至2021年</w:t>
      </w:r>
      <w:r>
        <w:rPr>
          <w:rFonts w:hint="eastAsia" w:ascii="Times New Roman" w:hAnsi="Times New Roman" w:eastAsia="微软雅黑"/>
          <w:sz w:val="24"/>
          <w:szCs w:val="24"/>
          <w:lang w:val="en-US" w:eastAsia="zh-CN"/>
        </w:rPr>
        <w:t>12</w:t>
      </w:r>
      <w:r>
        <w:rPr>
          <w:rFonts w:ascii="Times New Roman" w:hAnsi="Times New Roman" w:eastAsia="微软雅黑"/>
          <w:sz w:val="24"/>
          <w:szCs w:val="24"/>
        </w:rPr>
        <w:t>月</w:t>
      </w:r>
      <w:r>
        <w:rPr>
          <w:rFonts w:hint="eastAsia" w:ascii="Times New Roman" w:hAnsi="Times New Roman" w:eastAsia="微软雅黑"/>
          <w:sz w:val="24"/>
          <w:szCs w:val="24"/>
          <w:lang w:val="en-US" w:eastAsia="zh-CN"/>
        </w:rPr>
        <w:t>7日</w:t>
      </w:r>
      <w:r>
        <w:rPr>
          <w:rFonts w:ascii="Times New Roman" w:hAnsi="Times New Roman" w:eastAsia="微软雅黑"/>
          <w:sz w:val="24"/>
          <w:szCs w:val="24"/>
        </w:rPr>
        <w:t>，已发布的指导原则</w:t>
      </w:r>
      <w:r>
        <w:rPr>
          <w:rFonts w:hint="eastAsia" w:ascii="Times New Roman" w:hAnsi="Times New Roman" w:eastAsia="微软雅黑"/>
          <w:sz w:val="24"/>
          <w:szCs w:val="24"/>
          <w:lang w:val="en-US" w:eastAsia="zh-CN"/>
        </w:rPr>
        <w:fldChar w:fldCharType="begin"/>
      </w:r>
      <w:r>
        <w:rPr>
          <w:rFonts w:hint="eastAsia" w:ascii="Times New Roman" w:hAnsi="Times New Roman" w:eastAsia="微软雅黑"/>
          <w:sz w:val="24"/>
          <w:szCs w:val="24"/>
          <w:lang w:val="en-US" w:eastAsia="zh-CN"/>
        </w:rPr>
        <w:instrText xml:space="preserve"> REF _Ref15335 \n \h </w:instrText>
      </w:r>
      <w:r>
        <w:rPr>
          <w:rFonts w:hint="eastAsia" w:ascii="Times New Roman" w:hAnsi="Times New Roman" w:eastAsia="微软雅黑"/>
          <w:sz w:val="24"/>
          <w:szCs w:val="24"/>
          <w:lang w:val="en-US" w:eastAsia="zh-CN"/>
        </w:rPr>
        <w:fldChar w:fldCharType="separate"/>
      </w:r>
      <w:r>
        <w:rPr>
          <w:rFonts w:hint="eastAsia" w:ascii="Times New Roman" w:hAnsi="Times New Roman" w:eastAsia="微软雅黑"/>
          <w:sz w:val="24"/>
          <w:szCs w:val="24"/>
          <w:lang w:val="en-US" w:eastAsia="zh-CN"/>
        </w:rPr>
        <w:t>417</w:t>
      </w:r>
      <w:r>
        <w:rPr>
          <w:rFonts w:hint="eastAsia" w:ascii="Times New Roman" w:hAnsi="Times New Roman" w:eastAsia="微软雅黑"/>
          <w:sz w:val="24"/>
          <w:szCs w:val="24"/>
          <w:lang w:val="en-US" w:eastAsia="zh-CN"/>
        </w:rPr>
        <w:fldChar w:fldCharType="end"/>
      </w:r>
      <w:r>
        <w:rPr>
          <w:rFonts w:ascii="Times New Roman" w:hAnsi="Times New Roman" w:eastAsia="微软雅黑"/>
          <w:sz w:val="24"/>
          <w:szCs w:val="24"/>
        </w:rPr>
        <w:t>项，内容涵盖有源医疗器械、无源医疗器械、体外诊断试剂，涉及到真实世界数据用于医疗器械临床评价、医疗器械安全和性能的基本原则、医疗器械通用名称命名、医疗器械附条件批准上市等各方面。</w:t>
      </w:r>
    </w:p>
    <w:p w14:paraId="1B3A5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微软雅黑"/>
          <w:sz w:val="24"/>
          <w:szCs w:val="24"/>
          <w:lang w:val="en-US" w:eastAsia="zh-CN"/>
        </w:rPr>
      </w:pPr>
      <w:r>
        <w:rPr>
          <w:rFonts w:ascii="Times New Roman" w:hAnsi="Times New Roman" w:eastAsia="微软雅黑"/>
          <w:sz w:val="24"/>
          <w:szCs w:val="24"/>
        </w:rPr>
        <w:t>注册技术指导原则旨在指导注册申请人对医疗器械注册申报资料的准备，同时为技术审评部门审评提供参考。</w:t>
      </w:r>
    </w:p>
    <w:p w14:paraId="160C0A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微软雅黑"/>
          <w:sz w:val="24"/>
          <w:szCs w:val="24"/>
          <w:lang w:val="en-US" w:eastAsia="zh-CN"/>
        </w:rPr>
      </w:pPr>
      <w:r>
        <w:rPr>
          <w:rFonts w:hint="eastAsia" w:ascii="Times New Roman" w:hAnsi="Times New Roman" w:eastAsia="微软雅黑"/>
          <w:sz w:val="24"/>
          <w:szCs w:val="24"/>
          <w:lang w:val="en-US" w:eastAsia="zh-CN"/>
        </w:rPr>
        <w:t>指导原则文本库链接如下：</w:t>
      </w:r>
    </w:p>
    <w:p w14:paraId="207393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微软雅黑"/>
          <w:sz w:val="24"/>
          <w:szCs w:val="24"/>
          <w:lang w:val="en-US" w:eastAsia="zh-CN"/>
        </w:rPr>
      </w:pPr>
      <w:r>
        <w:rPr>
          <w:rFonts w:hint="default" w:ascii="Times New Roman" w:hAnsi="Times New Roman" w:eastAsia="微软雅黑"/>
          <w:sz w:val="24"/>
          <w:szCs w:val="24"/>
          <w:lang w:val="en-US" w:eastAsia="zh-CN"/>
        </w:rPr>
        <w:fldChar w:fldCharType="begin"/>
      </w:r>
      <w:r>
        <w:rPr>
          <w:rFonts w:hint="default" w:ascii="Times New Roman" w:hAnsi="Times New Roman" w:eastAsia="微软雅黑"/>
          <w:sz w:val="24"/>
          <w:szCs w:val="24"/>
          <w:lang w:val="en-US" w:eastAsia="zh-CN"/>
        </w:rPr>
        <w:instrText xml:space="preserve"> HYPERLINK "https://www.cmde.org.cn/CL0112/index.html" </w:instrText>
      </w:r>
      <w:r>
        <w:rPr>
          <w:rFonts w:hint="default" w:ascii="Times New Roman" w:hAnsi="Times New Roman" w:eastAsia="微软雅黑"/>
          <w:sz w:val="24"/>
          <w:szCs w:val="24"/>
          <w:lang w:val="en-US" w:eastAsia="zh-CN"/>
        </w:rPr>
        <w:fldChar w:fldCharType="separate"/>
      </w:r>
      <w:r>
        <w:rPr>
          <w:rStyle w:val="6"/>
          <w:rFonts w:hint="default" w:ascii="Times New Roman" w:hAnsi="Times New Roman" w:eastAsia="微软雅黑"/>
          <w:sz w:val="24"/>
          <w:szCs w:val="24"/>
          <w:lang w:val="en-US" w:eastAsia="zh-CN"/>
        </w:rPr>
        <w:t>https://www.cmde.org.cn/CL0112/index.html</w:t>
      </w:r>
      <w:r>
        <w:rPr>
          <w:rFonts w:hint="default" w:ascii="Times New Roman" w:hAnsi="Times New Roman" w:eastAsia="微软雅黑"/>
          <w:sz w:val="24"/>
          <w:szCs w:val="24"/>
          <w:lang w:val="en-US" w:eastAsia="zh-CN"/>
        </w:rPr>
        <w:fldChar w:fldCharType="end"/>
      </w:r>
    </w:p>
    <w:p w14:paraId="546AE9AA">
      <w:pPr>
        <w:rPr>
          <w:rFonts w:hint="default" w:eastAsia="华文细黑" w:cs="华文细黑" w:asciiTheme="minorAscii" w:hAnsiTheme="minorAscii"/>
          <w:sz w:val="24"/>
          <w:szCs w:val="24"/>
          <w:lang w:val="en-US" w:eastAsia="zh-CN"/>
        </w:rPr>
      </w:pPr>
      <w:r>
        <w:rPr>
          <w:rFonts w:hint="default" w:eastAsia="华文细黑" w:cs="华文细黑" w:asciiTheme="minorAscii" w:hAnsiTheme="minorAscii"/>
          <w:sz w:val="24"/>
          <w:szCs w:val="24"/>
          <w:lang w:val="en-US" w:eastAsia="zh-CN"/>
        </w:rPr>
        <w:br w:type="page"/>
      </w:r>
    </w:p>
    <w:p w14:paraId="0E84D907">
      <w:pPr>
        <w:tabs>
          <w:tab w:val="left" w:pos="9210"/>
        </w:tabs>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tab/>
      </w:r>
    </w:p>
    <w:p w14:paraId="4167143E">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"https://www.cmde.org.cn/CL0112/24593.html"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使用体外诊断试剂境外临床试验数据的注册审查指导原则（2021年第95号）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(2021-12-01)</w:t>
      </w:r>
    </w:p>
    <w:p w14:paraId="1A6F02AD">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"https://www.cmde.org.cn/CL0112/24592.html"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抗肿瘤药物的非原研伴随诊断试剂临床试验注册审查指导原则（2021年第95号）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(2021-12-01)</w:t>
      </w:r>
    </w:p>
    <w:p w14:paraId="1C7C71D7">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"https://www.cmde.org.cn/CL0112/24590.html"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神经和心血管手术器械-刀、剪及针注册审查指导原则（2021年第92号）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(2021-12-01)</w:t>
      </w:r>
    </w:p>
    <w:p w14:paraId="0071F3EE">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"https://www.cmde.org.cn/CL0112/24524.html"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体外诊断试剂临床试验数据递交要求注册审查指导原则（2021年第91号）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(2021-11-25)</w:t>
      </w:r>
    </w:p>
    <w:p w14:paraId="0CD8CD36">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"https://www.cmde.org.cn/CL0112/24523.html"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医疗器械临床试验数据递交要求注册审查指导原则（2021年第91号）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(2021-11-25)</w:t>
      </w:r>
    </w:p>
    <w:p w14:paraId="187BDD5D">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"https://www.cmde.org.cn/CL0112/24132.html"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列入免于临床评价医疗器械目录产品对比说明技术指导原则（2021年第73号）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(2021-09-28)</w:t>
      </w:r>
    </w:p>
    <w:p w14:paraId="7AE2CEFD">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"https://www.cmde.org.cn/CL0112/24131.html"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医疗器械注册申报临床评价报告技术指导原则（2021年第73号）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(2021-09-28)</w:t>
      </w:r>
      <w:r>
        <w:rPr>
          <w:rFonts w:hint="eastAsia" w:ascii="Times New Roman" w:hAnsi="Times New Roman" w:eastAsia="微软雅黑" w:cs="Times New Roman"/>
          <w:color w:val="181717" w:themeColor="background2" w:themeShade="1A"/>
          <w:kern w:val="0"/>
          <w:sz w:val="24"/>
          <w:szCs w:val="18"/>
          <w:u w:val="none"/>
          <w:lang w:val="en-US" w:eastAsia="zh-CN" w:bidi="ar"/>
        </w:rPr>
        <w:tab/>
      </w:r>
    </w:p>
    <w:p w14:paraId="3665930F">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"https://www.cmde.org.cn/CL0112/24130.html"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医疗器械临床评价等同性论证技术指导原则（2021年第73号）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(2021-09-28)</w:t>
      </w:r>
      <w:r>
        <w:rPr>
          <w:rFonts w:hint="eastAsia" w:ascii="Times New Roman" w:hAnsi="Times New Roman" w:eastAsia="微软雅黑" w:cs="Times New Roman"/>
          <w:color w:val="181717" w:themeColor="background2" w:themeShade="1A"/>
          <w:kern w:val="0"/>
          <w:sz w:val="24"/>
          <w:szCs w:val="18"/>
          <w:u w:val="none"/>
          <w:lang w:val="en-US" w:eastAsia="zh-CN" w:bidi="ar"/>
        </w:rPr>
        <w:tab/>
      </w:r>
    </w:p>
    <w:p w14:paraId="5B3A58EF">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"https://www.cmde.org.cn/CL0112/24129.html"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决策是否开展医疗器械临床试验技术指导原则（2021年第73号）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(2021-09-28)</w:t>
      </w:r>
      <w:r>
        <w:rPr>
          <w:rFonts w:hint="eastAsia" w:ascii="Times New Roman" w:hAnsi="Times New Roman" w:eastAsia="微软雅黑" w:cs="Times New Roman"/>
          <w:color w:val="181717" w:themeColor="background2" w:themeShade="1A"/>
          <w:kern w:val="0"/>
          <w:sz w:val="24"/>
          <w:szCs w:val="18"/>
          <w:u w:val="none"/>
          <w:lang w:val="en-US" w:eastAsia="zh-CN" w:bidi="ar"/>
        </w:rPr>
        <w:tab/>
      </w:r>
    </w:p>
    <w:p w14:paraId="295544DA">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"https://www.cmde.org.cn/CL0112/24128.html"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医疗器械临床评价技术指导原则（2021年第73号）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(2021-09-28)</w:t>
      </w:r>
      <w:r>
        <w:rPr>
          <w:rFonts w:hint="eastAsia" w:ascii="Times New Roman" w:hAnsi="Times New Roman" w:eastAsia="微软雅黑" w:cs="Times New Roman"/>
          <w:color w:val="181717" w:themeColor="background2" w:themeShade="1A"/>
          <w:kern w:val="0"/>
          <w:sz w:val="24"/>
          <w:szCs w:val="18"/>
          <w:u w:val="none"/>
          <w:lang w:val="en-US" w:eastAsia="zh-CN" w:bidi="ar"/>
        </w:rPr>
        <w:tab/>
      </w:r>
    </w:p>
    <w:p w14:paraId="062A1800">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"https://www.cmde.org.cn/CL0112/24126.html"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医疗器械动物试验研究注册审查指导原则第二部分：试验设计、实施质量保证（2021年第75号）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(2021-09-27)</w:t>
      </w:r>
    </w:p>
    <w:p w14:paraId="75967034">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"https://www.cmde.org.cn/CL0112/24125.html"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医疗器械动物试验研究注册审查指导原则第一部分：决策原则（2021年修订版）（2021年第75号）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(2021-09-27)</w:t>
      </w:r>
    </w:p>
    <w:p w14:paraId="7DB4D824">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"https://www.cmde.org.cn/CL0057/24106.html" \t "https://www.cmde.org.cn/CL0027/_blank"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国家药监局关于发布免于临床试验的体外诊断试剂临床评价技术指导原则的通告（2021年第74号）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(2021-09-24)</w:t>
      </w:r>
    </w:p>
    <w:p w14:paraId="2CAB0632">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"https://www.cmde.org.cn/CL0112/24042.html"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血管内导管同品种对比临床评价技术审查指导原则（2021年第68号）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(2021-09-07)</w:t>
      </w:r>
    </w:p>
    <w:p w14:paraId="060D5EB6">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"https://www.cmde.org.cn/CL0112/23982.html"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应用纳米材料的医疗器械安全性和有效性评价指导原则第一部分：体系框架（2021年第65号）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(2021-08-26)</w:t>
      </w:r>
    </w:p>
    <w:p w14:paraId="6583F2EC">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eastAsia"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"https://www.cmde.org.cn/CL0112/23724.html" \t "https://www.cmde.org.cn/CL0112/_blank" </w:instrTex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eastAsia" w:ascii="Times New Roman" w:hAnsi="Times New Roman" w:eastAsia="微软雅黑" w:cs="Times New Roman"/>
          <w:color w:val="181717" w:themeColor="background2" w:themeShade="1A"/>
          <w:kern w:val="0"/>
          <w:sz w:val="24"/>
          <w:szCs w:val="18"/>
          <w:u w:val="none"/>
          <w:lang w:val="en-US" w:eastAsia="zh-CN" w:bidi="ar"/>
        </w:rPr>
        <w:t>人工智能医用软件产品分类界定指导原则（2021年第47号）</w:t>
      </w:r>
      <w:r>
        <w:rPr>
          <w:rFonts w:hint="eastAsia"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(2021-07-08)</w:t>
      </w:r>
    </w:p>
    <w:p w14:paraId="21BFE79C">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"https://www.cmde.org.cn/CL0112/23645.html" \t "https://www.cmde.org.cn/CL0001/_blank"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default" w:ascii="Times New Roman" w:hAnsi="Times New Roman" w:eastAsia="微软雅黑" w:cs="Times New Roman"/>
          <w:color w:val="181717" w:themeColor="background2" w:themeShade="1A"/>
          <w:kern w:val="0"/>
          <w:sz w:val="24"/>
          <w:szCs w:val="18"/>
          <w:u w:val="none"/>
          <w:lang w:val="en-US" w:eastAsia="zh-CN" w:bidi="ar"/>
        </w:rPr>
        <w:t>乳腺X射线系统注册技术审查指导原则（2021年第42号）</w:t>
      </w:r>
      <w:r>
        <w:rPr>
          <w:rFonts w:hint="default"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(2021-06-29)</w:t>
      </w:r>
    </w:p>
    <w:p w14:paraId="2D842D20">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kern w:val="0"/>
          <w:sz w:val="24"/>
          <w:szCs w:val="18"/>
          <w:u w:val="none"/>
          <w:lang w:val="en-US" w:eastAsia="zh-CN" w:bidi="ar"/>
        </w:rPr>
      </w:pPr>
      <w:r>
        <w:rPr>
          <w:rFonts w:hint="default" w:ascii="Times New Roman" w:hAnsi="Times New Roman" w:eastAsia="微软雅黑" w:cs="Times New Roman"/>
          <w:color w:val="181717" w:themeColor="background2" w:themeShade="1A"/>
          <w:kern w:val="0"/>
          <w:sz w:val="24"/>
          <w:szCs w:val="18"/>
          <w:u w:val="none"/>
          <w:lang w:val="en-US" w:eastAsia="zh-CN" w:bidi="ar"/>
        </w:rPr>
        <w:fldChar w:fldCharType="begin"/>
      </w:r>
      <w:r>
        <w:rPr>
          <w:rFonts w:hint="default"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"https://www.cmde.org.cn/CL0112/23644.html" \t "https://www.cmde.org.cn/CL0001/_blank" </w:instrText>
      </w:r>
      <w:r>
        <w:rPr>
          <w:rFonts w:hint="default" w:ascii="Times New Roman" w:hAnsi="Times New Roman" w:eastAsia="微软雅黑" w:cs="Times New Roman"/>
          <w:color w:val="181717" w:themeColor="background2" w:themeShade="1A"/>
          <w:kern w:val="0"/>
          <w:sz w:val="24"/>
          <w:szCs w:val="18"/>
          <w:u w:val="none"/>
          <w:lang w:val="en-US" w:eastAsia="zh-CN" w:bidi="ar"/>
        </w:rPr>
        <w:fldChar w:fldCharType="separate"/>
      </w:r>
      <w:r>
        <w:rPr>
          <w:rFonts w:hint="default" w:ascii="Times New Roman" w:hAnsi="Times New Roman" w:eastAsia="微软雅黑" w:cs="Times New Roman"/>
          <w:color w:val="181717" w:themeColor="background2" w:themeShade="1A"/>
          <w:kern w:val="0"/>
          <w:sz w:val="24"/>
          <w:szCs w:val="18"/>
          <w:u w:val="none"/>
          <w:lang w:val="en-US" w:eastAsia="zh-CN" w:bidi="ar"/>
        </w:rPr>
        <w:t>视力筛查仪注册技术审查指导原则（2021年第42号）</w:t>
      </w:r>
      <w:r>
        <w:rPr>
          <w:rFonts w:hint="default" w:ascii="Times New Roman" w:hAnsi="Times New Roman" w:eastAsia="微软雅黑" w:cs="Times New Roman"/>
          <w:color w:val="181717" w:themeColor="background2" w:themeShade="1A"/>
          <w:kern w:val="0"/>
          <w:sz w:val="24"/>
          <w:szCs w:val="18"/>
          <w:u w:val="none"/>
          <w:lang w:val="en-US" w:eastAsia="zh-CN" w:bidi="ar"/>
        </w:rPr>
        <w:fldChar w:fldCharType="end"/>
      </w:r>
      <w:r>
        <w:rPr>
          <w:rFonts w:hint="eastAsia" w:ascii="Times New Roman" w:hAnsi="Times New Roman" w:eastAsia="微软雅黑" w:cs="Times New Roman"/>
          <w:color w:val="181717" w:themeColor="background2" w:themeShade="1A"/>
          <w:kern w:val="0"/>
          <w:sz w:val="24"/>
          <w:szCs w:val="18"/>
          <w:u w:val="none"/>
          <w:lang w:val="en-US" w:eastAsia="zh-CN" w:bidi="ar"/>
        </w:rPr>
        <w:t>(2021-06-29)</w:t>
      </w:r>
    </w:p>
    <w:p w14:paraId="2B783888">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"https://www.cmde.org.cn/CL0112/23062.html"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6"/>
          <w:rFonts w:ascii="Times New Roman" w:hAnsi="Times New Roman" w:eastAsia="微软雅黑" w:cs="Times New Roman"/>
          <w:color w:val="181717" w:themeColor="background2" w:themeShade="1A"/>
          <w:sz w:val="24"/>
          <w:szCs w:val="18"/>
          <w:u w:val="none"/>
        </w:rPr>
        <w:t>牙科玻璃离子水门汀注册技术审查指导原则（2021年第30号）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(2021-05-08)</w:t>
      </w:r>
    </w:p>
    <w:p w14:paraId="6B204758">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"https://www.cmde.org.cn/CL0112/23065.html"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6"/>
          <w:rFonts w:ascii="Times New Roman" w:hAnsi="Times New Roman" w:eastAsia="微软雅黑" w:cs="Times New Roman"/>
          <w:color w:val="181717" w:themeColor="background2" w:themeShade="1A"/>
          <w:sz w:val="24"/>
          <w:szCs w:val="18"/>
          <w:u w:val="none"/>
        </w:rPr>
        <w:t>一次性使用无菌闭合夹注册技术审查指导原则（2021年第30号）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(2021-05-08)</w:t>
      </w:r>
    </w:p>
    <w:p w14:paraId="74819240">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"https://www.cmde.org.cn/CL0112/23064.html"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一次性使用注射笔配套用针注册技术审查指导原则（2021年第30号）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(2021-05-08)</w:t>
      </w:r>
    </w:p>
    <w:p w14:paraId="08E12180">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"https://www.cmde.org.cn/CL0112/23063.html"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柠檬酸消毒液注册技术审查指导原则（2021年第30号）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(2021-05-08)</w:t>
      </w:r>
    </w:p>
    <w:p w14:paraId="052E2341">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ascii="Times New Roman" w:hAnsi="Times New Roman" w:eastAsia="微软雅黑" w:cs="Times New Roman"/>
          <w:color w:val="181717" w:themeColor="background2" w:themeShade="1A"/>
          <w:kern w:val="0"/>
          <w:sz w:val="24"/>
          <w:szCs w:val="18"/>
          <w:lang w:val="en-US" w:eastAsia="zh-CN" w:bidi="ar"/>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"https://www.cmde.org.cn/CL0112/22844.html"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人细小病毒B19 IgM/IgG抗体检测试剂注册技术审查指导原则（2021年第24号）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(2021-04-15)</w:t>
      </w:r>
    </w:p>
    <w:p w14:paraId="15DFD26F">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"https://www.cmde.org.cn/CL0112/22843.html"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B群链球菌核酸检测试剂注册技术审查指导原则（2021年第24号）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(2021-04-15)</w:t>
      </w:r>
    </w:p>
    <w:p w14:paraId="5E7000FF">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"https://www.cmde.org.cn/CL0112/22842.html"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轮状病毒抗原检测试剂注册技术审查指导原则（2021年第24号）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(2021-04-15)</w:t>
      </w:r>
    </w:p>
    <w:p w14:paraId="79EC4841">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"https://www.cmde.org.cn/CL0112/22841.html"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实时荧光PCR分析仪注册技术审查指导原则（2021年第24号）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(2021-04-15)</w:t>
      </w:r>
    </w:p>
    <w:p w14:paraId="5FF35AF1">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"https://www.cmde.org.cn/CL0112/22840.html"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基于同类治疗药物的肿瘤伴随诊断试剂说明书更新与技术审查指导原则（2021年第24号）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(2021-04-15)</w:t>
      </w:r>
    </w:p>
    <w:p w14:paraId="2CBBAA32">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ascii="Times New Roman" w:hAnsi="Times New Roman" w:eastAsia="微软雅黑" w:cs="Times New Roman"/>
          <w:color w:val="181717" w:themeColor="background2" w:themeShade="1A"/>
          <w:kern w:val="0"/>
          <w:sz w:val="24"/>
          <w:szCs w:val="18"/>
          <w:lang w:val="en-US" w:eastAsia="zh-CN" w:bidi="ar"/>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"https://www.cmde.org.cn/CL0112/22443.html"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医用磁共振成像系统同品种临床评价技术审查指导原则（2020年修订版）（2021年第12号）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(2021-02-01)</w:t>
      </w:r>
    </w:p>
    <w:p w14:paraId="6CE6C76C">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"https://www.cmde.org.cn/CL0112/22346.html"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遗传性耳聋相关基因突变检测试剂注册技术审查指导原则（2021年第4号）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(2021-01-19)</w:t>
      </w:r>
    </w:p>
    <w:p w14:paraId="2DC119B2">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"https://www.cmde.org.cn/CL0112/22345.html"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隐球菌荚膜多糖抗原检测试剂注册技术审查指导原则（2021年第4号）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(2021-01-19)</w:t>
      </w:r>
    </w:p>
    <w:p w14:paraId="5689CF2A">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"https://www.cmde.org.cn/CL0112/22344.html"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肺炎支原体IgM/IgG抗体检测试剂注册技术审查指导原则（2021年第4号）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(2021-01-19)</w:t>
      </w:r>
    </w:p>
    <w:p w14:paraId="10116159">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"https://www.cmde.org.cn/CL0112/22342.html"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X射线计算机体层摄影设备同品种临床评价技术审查指导原则（2021年第2号）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(2021-01-18)</w:t>
      </w:r>
    </w:p>
    <w:p w14:paraId="33BD3ABC">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ascii="Times New Roman" w:hAnsi="Times New Roman" w:eastAsia="微软雅黑" w:cs="Times New Roman"/>
          <w:color w:val="181717" w:themeColor="background2" w:themeShade="1A"/>
          <w:kern w:val="0"/>
          <w:sz w:val="24"/>
          <w:szCs w:val="18"/>
          <w:lang w:val="en-US" w:eastAsia="zh-CN" w:bidi="ar"/>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"https://www.cmde.org.cn/CL0112/22341.html"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影像型超声诊断设备同品种临床评价技术审查指导原则（2021年第2号）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(2021-01-18)</w:t>
      </w:r>
    </w:p>
    <w:p w14:paraId="601E6C3E">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"https://www.cmde.org.cn/CL0112/22205.html"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眼底照相机注册技术审查指导原则（2020年第87号）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(2020-12-21)</w:t>
      </w:r>
    </w:p>
    <w:p w14:paraId="0C426914">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"https://www.cmde.org.cn/CL0112/22204.html"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电子上消化道内窥镜注册技术审查指导原则（2020年第87号）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(2020-12-21)</w:t>
      </w:r>
    </w:p>
    <w:p w14:paraId="47122375">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"https://www.cmde.org.cn/CL0112/22137.html"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类风湿因子检测试剂注册技术审查指导原则（2020年第80号）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(2020-12-09)</w:t>
      </w:r>
    </w:p>
    <w:p w14:paraId="703419C0">
      <w:pPr>
        <w:keepNext w:val="0"/>
        <w:keepLines w:val="0"/>
        <w:pageBreakBefore w:val="0"/>
        <w:numPr>
          <w:ilvl w:val="0"/>
          <w:numId w:val="1"/>
        </w:numPr>
        <w:tabs>
          <w:tab w:val="left" w:pos="8670"/>
          <w:tab w:val="left" w:pos="985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"https://www.cmde.org.cn/CL0112/22136.html"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血清淀粉样蛋白A检测试剂注册技术审查指导原则（2020年第80号）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(2020-12-09)</w:t>
      </w:r>
    </w:p>
    <w:p w14:paraId="0BB77877">
      <w:pPr>
        <w:keepNext w:val="0"/>
        <w:keepLines w:val="0"/>
        <w:pageBreakBefore w:val="0"/>
        <w:numPr>
          <w:ilvl w:val="0"/>
          <w:numId w:val="1"/>
        </w:numPr>
        <w:tabs>
          <w:tab w:val="left" w:pos="83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ascii="Times New Roman" w:hAnsi="Times New Roman" w:eastAsia="微软雅黑" w:cs="Times New Roman"/>
          <w:color w:val="181717" w:themeColor="background2" w:themeShade="1A"/>
          <w:kern w:val="0"/>
          <w:sz w:val="24"/>
          <w:szCs w:val="18"/>
          <w:lang w:val="en-US" w:eastAsia="zh-CN" w:bidi="ar"/>
        </w:rPr>
      </w:pPr>
      <w:r>
        <w:rPr>
          <w:rFonts w:ascii="Times New Roman" w:hAnsi="Times New Roman" w:eastAsia="微软雅黑" w:cs="Times New Roman"/>
          <w:color w:val="181717" w:themeColor="background2" w:themeShade="1A"/>
          <w:kern w:val="0"/>
          <w:sz w:val="24"/>
          <w:szCs w:val="18"/>
          <w:u w:val="none"/>
          <w:lang w:val="en-US" w:eastAsia="zh-CN" w:bidi="ar"/>
        </w:rPr>
        <w:fldChar w:fldCharType="begin"/>
      </w:r>
      <w:r>
        <w:rPr>
          <w:rFonts w:ascii="Times New Roman" w:hAnsi="Times New Roman" w:eastAsia="微软雅黑" w:cs="Times New Roman"/>
          <w:color w:val="181717" w:themeColor="background2" w:themeShade="1A"/>
          <w:kern w:val="0"/>
          <w:sz w:val="24"/>
          <w:szCs w:val="18"/>
          <w:u w:val="none"/>
          <w:lang w:val="en-US" w:eastAsia="zh-CN" w:bidi="ar"/>
        </w:rPr>
        <w:instrText xml:space="preserve"> HYPERLINK "https://www.cmde.org.cn/CL0112/22135.html" \t "https://www.cmde.org.cn/CL0112/_blank" </w:instrText>
      </w:r>
      <w:r>
        <w:rPr>
          <w:rFonts w:ascii="Times New Roman" w:hAnsi="Times New Roman" w:eastAsia="微软雅黑" w:cs="Times New Roman"/>
          <w:color w:val="181717" w:themeColor="background2" w:themeShade="1A"/>
          <w:kern w:val="0"/>
          <w:sz w:val="24"/>
          <w:szCs w:val="18"/>
          <w:u w:val="none"/>
          <w:lang w:val="en-US" w:eastAsia="zh-CN" w:bidi="ar"/>
        </w:rPr>
        <w:fldChar w:fldCharType="separate"/>
      </w:r>
      <w:r>
        <w:rPr>
          <w:rStyle w:val="7"/>
          <w:rFonts w:ascii="Times New Roman" w:hAnsi="Times New Roman" w:eastAsia="微软雅黑" w:cs="Times New Roman"/>
          <w:color w:val="181717" w:themeColor="background2" w:themeShade="1A"/>
          <w:sz w:val="24"/>
          <w:szCs w:val="18"/>
          <w:u w:val="none"/>
        </w:rPr>
        <w:t>25-羟基维生素D检测试剂注册技术审查指导原则（2020年第80号）</w:t>
      </w:r>
      <w:r>
        <w:rPr>
          <w:rFonts w:ascii="Times New Roman" w:hAnsi="Times New Roman" w:eastAsia="微软雅黑" w:cs="Times New Roman"/>
          <w:color w:val="181717" w:themeColor="background2" w:themeShade="1A"/>
          <w:kern w:val="0"/>
          <w:sz w:val="24"/>
          <w:szCs w:val="18"/>
          <w:u w:val="none"/>
          <w:lang w:val="en-US" w:eastAsia="zh-CN" w:bidi="ar"/>
        </w:rPr>
        <w:fldChar w:fldCharType="end"/>
      </w:r>
      <w:r>
        <w:rPr>
          <w:rFonts w:ascii="Times New Roman" w:hAnsi="Times New Roman" w:eastAsia="微软雅黑" w:cs="Times New Roman"/>
          <w:color w:val="181717" w:themeColor="background2" w:themeShade="1A"/>
          <w:kern w:val="0"/>
          <w:sz w:val="24"/>
          <w:szCs w:val="18"/>
          <w:lang w:val="en-US" w:eastAsia="zh-CN" w:bidi="ar"/>
        </w:rPr>
        <w:t>(2020-12-09)</w:t>
      </w:r>
    </w:p>
    <w:p w14:paraId="692B2EF2">
      <w:pPr>
        <w:keepNext w:val="0"/>
        <w:keepLines w:val="0"/>
        <w:pageBreakBefore w:val="0"/>
        <w:numPr>
          <w:ilvl w:val="0"/>
          <w:numId w:val="1"/>
        </w:numPr>
        <w:tabs>
          <w:tab w:val="left" w:pos="83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"https://www.cmde.org.cn/CL0112/22134.html"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总三碘甲状腺原氨酸检测试剂注册技术审查指导原则（2020年第80号）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(2020-12-09)</w:t>
      </w:r>
    </w:p>
    <w:p w14:paraId="03751843">
      <w:pPr>
        <w:keepNext w:val="0"/>
        <w:keepLines w:val="0"/>
        <w:pageBreakBefore w:val="0"/>
        <w:numPr>
          <w:ilvl w:val="0"/>
          <w:numId w:val="1"/>
        </w:numPr>
        <w:tabs>
          <w:tab w:val="left" w:pos="83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"https://www.cmde.org.cn/CL0112/22133.html"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泌乳素检测试剂注册技术审查指导原则（2020年第80号）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(2020-12-09)</w:t>
      </w:r>
    </w:p>
    <w:p w14:paraId="1BC86E4C">
      <w:pPr>
        <w:keepNext w:val="0"/>
        <w:keepLines w:val="0"/>
        <w:pageBreakBefore w:val="0"/>
        <w:numPr>
          <w:ilvl w:val="0"/>
          <w:numId w:val="1"/>
        </w:numPr>
        <w:tabs>
          <w:tab w:val="left" w:pos="83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"https://www.cmde.org.cn/CL0112/22132.html"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特定蛋白免疫分析仪注册技术审查指导原则（2020年第80号）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(2020-12-09)</w:t>
      </w:r>
    </w:p>
    <w:p w14:paraId="23E7882C">
      <w:pPr>
        <w:keepNext w:val="0"/>
        <w:keepLines w:val="0"/>
        <w:pageBreakBefore w:val="0"/>
        <w:numPr>
          <w:ilvl w:val="0"/>
          <w:numId w:val="1"/>
        </w:numPr>
        <w:tabs>
          <w:tab w:val="left" w:pos="83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"https://www.cmde.org.cn/CL0112/22131.html"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家用体外诊断医疗器械注册技术审查指导原则（2020年第80号）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(2020-12-09)</w:t>
      </w:r>
    </w:p>
    <w:p w14:paraId="3318D763">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"https://www.cmde.org.cn/CL0112/22038.html"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真实世界数据用于医疗器械临床评价技术指导原则（试行）（2020年第77号）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(2020-11-26)</w:t>
      </w:r>
    </w:p>
    <w:p w14:paraId="1D29600D">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个性化匹配骨植入物及工具医工交互质控审查指导原则(2020年第62号)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6FDC98A9">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3D打印患者匹配下颌骨假体注册审查指导原则(2020年第62号)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772A6E99">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同种异体植入性医疗器械病毒灭活工艺验证指导原则（2020年修订版）(2020年第62号)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75734092">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生物型股骨柄柄部疲劳性能评价指导原则(2020年第62号)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47430BF9">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球囊扩张导管注册技术审查指导原则(2020年第62号)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58E393C5">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"https://www.cmde.org.cn/CL0112/21802.html"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输注产品针刺伤防护装置要求与评价技术审查指导原则(2020年第62号)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(2020-09-24)</w:t>
      </w:r>
    </w:p>
    <w:p w14:paraId="7834ED5D">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"https://www.cmde.org.cn/CL0112/21322.html"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笑气吸入镇静镇痛装置注册技术审查指导原则（2020年第49号）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(2020-07-20)</w:t>
      </w:r>
    </w:p>
    <w:p w14:paraId="6C3DE538">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生物可吸收冠状动脉药物洗脱支架动物实验研究指导原则（2020年第48号）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0A2E0C5A">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疝修补补片临床试验指导原则（2020年第48号）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72B816F0">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骨科金属植入物有限元分析资料注册技术审查指导原则（2020年第48号）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353C050E">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定制式个性化骨植入物等效性模型注册技术审查指导原则（2020年第48号）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3BDFDF36">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硬脑（脊）膜补片注册技术审查指导原则（2020年第48号）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1EEAD821">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"https://www.cmde.org.cn/CL0112/21261.html"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一次性使用乳腺定位丝注册技术审查指导原则（2020年第48号）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(2020-07-09)</w:t>
      </w:r>
    </w:p>
    <w:p w14:paraId="3786AB66">
      <w:pPr>
        <w:keepNext w:val="0"/>
        <w:keepLines w:val="0"/>
        <w:pageBreakBefore w:val="0"/>
        <w:numPr>
          <w:ilvl w:val="0"/>
          <w:numId w:val="1"/>
        </w:numPr>
        <w:tabs>
          <w:tab w:val="left" w:pos="8310"/>
          <w:tab w:val="left" w:pos="847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"https://www.cmde.org.cn/CL0112/21245.html"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角膜塑形用硬性透气接触镜说明书编写指导原则（2020年修订版）（2020年第47号）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(2020-07-06)</w:t>
      </w:r>
    </w:p>
    <w:p w14:paraId="4DFF35BE">
      <w:pPr>
        <w:keepNext w:val="0"/>
        <w:keepLines w:val="0"/>
        <w:pageBreakBefore w:val="0"/>
        <w:numPr>
          <w:ilvl w:val="0"/>
          <w:numId w:val="1"/>
        </w:numPr>
        <w:tabs>
          <w:tab w:val="left" w:pos="70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体外经皮起搏产品注册技术审查指导原则(2020年第42号)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(2020-06-29)</w:t>
      </w:r>
    </w:p>
    <w:p w14:paraId="712E7E86">
      <w:pPr>
        <w:keepNext w:val="0"/>
        <w:keepLines w:val="0"/>
        <w:pageBreakBefore w:val="0"/>
        <w:numPr>
          <w:ilvl w:val="0"/>
          <w:numId w:val="1"/>
        </w:numPr>
        <w:tabs>
          <w:tab w:val="left" w:pos="70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体外同步复律产品注册技术审查指导原则(2020年第42号)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(2020-06-29)</w:t>
      </w:r>
    </w:p>
    <w:p w14:paraId="56CFF690">
      <w:pPr>
        <w:keepNext w:val="0"/>
        <w:keepLines w:val="0"/>
        <w:pageBreakBefore w:val="0"/>
        <w:numPr>
          <w:ilvl w:val="0"/>
          <w:numId w:val="1"/>
        </w:numPr>
        <w:tabs>
          <w:tab w:val="left" w:pos="70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听力计注册技术审查指导原则(2020年第39号)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4402FA58">
      <w:pPr>
        <w:keepNext w:val="0"/>
        <w:keepLines w:val="0"/>
        <w:pageBreakBefore w:val="0"/>
        <w:numPr>
          <w:ilvl w:val="0"/>
          <w:numId w:val="1"/>
        </w:numPr>
        <w:tabs>
          <w:tab w:val="left" w:pos="70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热敷贴（袋）产品注册技术审查指导原则(2020年第39号)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66F4468B">
      <w:pPr>
        <w:keepNext w:val="0"/>
        <w:keepLines w:val="0"/>
        <w:pageBreakBefore w:val="0"/>
        <w:numPr>
          <w:ilvl w:val="0"/>
          <w:numId w:val="1"/>
        </w:numPr>
        <w:tabs>
          <w:tab w:val="left" w:pos="70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冲击波治疗仪注册技术审查指导原则(2020年第39号)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69B3D191">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医用二氧化碳培养箱注册技术审查指导原则(2020年第39号)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3F5F79B3">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肺通气功能测试产品注册技术审查指导原则(2020年第39号)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26C56E6D">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电动气压止血仪注册技术审查指导原则(2020年第39号)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04D4069F">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低频电疗仪注册技术审查指导原则(2020年第39号)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3F865023">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"https://www.cmde.org.cn/CL0112/21181.html"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热湿交换器注册技术审查指导原则(2020年第39号)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(2020-06-17)</w:t>
      </w:r>
    </w:p>
    <w:p w14:paraId="2E1C454A">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"https://www.cmde.org.cn/CL0112/21045.html"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全膝关节假体系统产品注册技术审查指导原则（2020年第36号）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(2020-06-05)</w:t>
      </w:r>
    </w:p>
    <w:p w14:paraId="4190ED82">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"https://www.cmde.org.cn/CL0112/21044.html"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整形用面部植入假体注册技术审查指导原则（2020年第36号）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(2020-06-05)</w:t>
      </w:r>
    </w:p>
    <w:p w14:paraId="0E125543">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"https://www.cmde.org.cn/CL0112/21043.html"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3D打印人工椎体注册技术审查指导原则（2020年第36号）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(2020-06-05)</w:t>
      </w:r>
    </w:p>
    <w:p w14:paraId="56C1BD69">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"https://www.cmde.org.cn/CL0112/21042.html"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3D打印髋臼杯产品注册技术审查指导原则（2020年第36号）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(2020-06-05)</w:t>
      </w:r>
    </w:p>
    <w:p w14:paraId="75E528F4">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"https://www.cmde.org.cn/CL0112/21041.html"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肌腱韧带固定系统注册技术审查指导原则（2020年第36号）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(2020-06-05)</w:t>
      </w:r>
    </w:p>
    <w:p w14:paraId="6967C4DB">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"https://www.cmde.org.cn/CL0112/20927.html"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无源医疗器械产品原材料变化评价指南（2020年第33号）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(2020-05-19)</w:t>
      </w:r>
    </w:p>
    <w:p w14:paraId="1763FB90">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"https://www.cmde.org.cn/CL0112/20906.html"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登革病毒核酸检测试剂注册技术审查指导原则（2020年第32号）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(2020-05-14)</w:t>
      </w:r>
    </w:p>
    <w:p w14:paraId="41027CFB">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脊柱植入物临床评价质量控制注册技术审查指导原则（2020年第31号）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198B06E8">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辅助生殖用穿刺取卵针注册技术审查指导原则（2020年第31号）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719EEBAE">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水胶体敷料产品注册技术审查指导原则（2020年第31号）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36CC42DD">
      <w:pPr>
        <w:keepNext w:val="0"/>
        <w:keepLines w:val="0"/>
        <w:pageBreakBefore w:val="0"/>
        <w:numPr>
          <w:ilvl w:val="0"/>
          <w:numId w:val="1"/>
        </w:numPr>
        <w:tabs>
          <w:tab w:val="left" w:pos="7050"/>
          <w:tab w:val="left" w:pos="705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"https://www.cmde.org.cn/CL0112/20880.html"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凡士林纱布产品注册技术审查指导原则（2020年第31号）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3D8ECC6F">
      <w:pPr>
        <w:keepNext w:val="0"/>
        <w:keepLines w:val="0"/>
        <w:pageBreakBefore w:val="0"/>
        <w:numPr>
          <w:ilvl w:val="0"/>
          <w:numId w:val="1"/>
        </w:numPr>
        <w:tabs>
          <w:tab w:val="left" w:pos="79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"https://www.cmde.org.cn/CL0112/20879.html"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金属髓内钉系统产品注册技术审查指导原则（2020年第31号）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64F60146">
      <w:pPr>
        <w:keepNext w:val="0"/>
        <w:keepLines w:val="0"/>
        <w:pageBreakBefore w:val="0"/>
        <w:numPr>
          <w:ilvl w:val="0"/>
          <w:numId w:val="1"/>
        </w:numPr>
        <w:tabs>
          <w:tab w:val="left" w:pos="79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"https://www.cmde.org.cn/CL0112/20878.html"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人工关节置换术用丙烯酸树脂骨水泥注册技术审查指导原则（2020年第31号）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679787BE">
      <w:pPr>
        <w:keepNext w:val="0"/>
        <w:keepLines w:val="0"/>
        <w:pageBreakBefore w:val="0"/>
        <w:numPr>
          <w:ilvl w:val="0"/>
          <w:numId w:val="1"/>
        </w:numPr>
        <w:tabs>
          <w:tab w:val="left" w:pos="79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"https://www.cmde.org.cn/CL0112/20877.html"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椎体成形球囊扩张导管注册技术审查指导原则（2020年第31号）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(2020-05-09)</w:t>
      </w:r>
    </w:p>
    <w:p w14:paraId="159E6760">
      <w:pPr>
        <w:keepNext w:val="0"/>
        <w:keepLines w:val="0"/>
        <w:pageBreakBefore w:val="0"/>
        <w:numPr>
          <w:ilvl w:val="0"/>
          <w:numId w:val="1"/>
        </w:numPr>
        <w:tabs>
          <w:tab w:val="left" w:pos="79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"https://www.cmde.org.cn/CL0112/20613.html"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乙型肝炎病毒耐药相关的基因突变检测试剂注册技术审查指导原则(2020年第16号)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69FB5F36">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"https://www.cmde.org.cn/CL0112/20612.html"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地中海贫血相关基因检测试剂注册技术审查指导原则(2020年第16号)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67CEA3E0">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EB病毒核酸检测试剂注册技术审查指导原则(2020年第16号)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2630EEB3">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医疗器械安全和性能的基本原则（2020年第18号）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2B69FA1D">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半导体激光脱毛机注册技术审查指导原则（2020年第15号）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0C33E8CE">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植入式左心室辅助系统注册技术审查指导原则（2020年 第17号）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3BA767AF">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正电子发射/X射线计算机断层成像系统注册技术审查指导原则（2020年 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118EF625">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用于放射治疗的X射线图像引导系统注册技术审查指导原则（2020年 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32EBDE37">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"https://www.cmde.org.cn/CL0112/20611.html"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乙型肝炎病毒e抗原、e抗体检测试剂注册技术审查指导原则(2020年第16号)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(2020-03-10)</w:t>
      </w:r>
    </w:p>
    <w:p w14:paraId="257268E9">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总胆汁酸测定试剂注册技术审查指导原则（2020年第14号）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1B6161B6">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糖化白蛋白测定试剂注册技术审查指导原则（2020年第14号）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75640C90">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抗甲状腺过氧化物酶抗体测定试剂注册技术审查指导原则（2020年第14号）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716D6D3F">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抗核抗体检测试剂注册技术审查指导原则（2020年第14号）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59098C68">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肌酐测定试剂注册技术审查指导原则（2020年第14号）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281DD656">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促卵泡生成素检测试剂注册技术审查指导原则（2020年第14号）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347004FF">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"https://www.cmde.org.cn/CL0112/20593.html"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胶体金免疫层析分析仪注册技术审查指导原则（2020年第14号）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(2020-03-05)</w:t>
      </w:r>
    </w:p>
    <w:p w14:paraId="243F2C05">
      <w:pPr>
        <w:keepNext w:val="0"/>
        <w:keepLines w:val="0"/>
        <w:pageBreakBefore w:val="0"/>
        <w:numPr>
          <w:ilvl w:val="0"/>
          <w:numId w:val="1"/>
        </w:numPr>
        <w:tabs>
          <w:tab w:val="left" w:pos="7950"/>
          <w:tab w:val="left" w:pos="829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"https://www.cmde.org.cn/CL0112/20222.html"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医疗器械通用名称命名指导原则(2019年第99号)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(2019-12-25)</w:t>
      </w:r>
    </w:p>
    <w:p w14:paraId="70CE3288">
      <w:pPr>
        <w:keepNext w:val="0"/>
        <w:keepLines w:val="0"/>
        <w:pageBreakBefore w:val="0"/>
        <w:numPr>
          <w:ilvl w:val="0"/>
          <w:numId w:val="1"/>
        </w:numPr>
        <w:tabs>
          <w:tab w:val="left" w:pos="104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"https://www.cmde.org.cn/CL0112/20209.html"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医疗器械附条件批准上市指导原则(2019年第93号)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(2019-12-20)</w:t>
      </w:r>
    </w:p>
    <w:p w14:paraId="536702B1">
      <w:pPr>
        <w:keepNext w:val="0"/>
        <w:keepLines w:val="0"/>
        <w:pageBreakBefore w:val="0"/>
        <w:numPr>
          <w:ilvl w:val="0"/>
          <w:numId w:val="1"/>
        </w:numPr>
        <w:tabs>
          <w:tab w:val="left" w:pos="104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CYP2C19药物代谢酶基因多态性检测试剂注册技术审查指导原则(2019年第83号)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(2019-12-05)</w:t>
      </w:r>
    </w:p>
    <w:p w14:paraId="2A699D9D">
      <w:pPr>
        <w:keepNext w:val="0"/>
        <w:keepLines w:val="0"/>
        <w:pageBreakBefore w:val="0"/>
        <w:numPr>
          <w:ilvl w:val="0"/>
          <w:numId w:val="1"/>
        </w:numPr>
        <w:tabs>
          <w:tab w:val="left" w:pos="104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肿瘤相关突变基因检测试剂（高通量测序法）性能评价通用注册技术审查指导原则(2019年第83号)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(2019-12-05)</w:t>
      </w:r>
    </w:p>
    <w:p w14:paraId="1CBC4A40">
      <w:pPr>
        <w:keepNext w:val="0"/>
        <w:keepLines w:val="0"/>
        <w:pageBreakBefore w:val="0"/>
        <w:numPr>
          <w:ilvl w:val="0"/>
          <w:numId w:val="1"/>
        </w:numPr>
        <w:tabs>
          <w:tab w:val="left" w:pos="104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氨基酸、肉碱及琥珀酰丙酮检测试剂注册技术审查指导原则(2019年第80号)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00AFD6E4">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沙眼衣原体和/或淋病奈瑟菌核酸检测试剂注册技术审查指导原则(2019年第80号)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1CB58A5D">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基于核酸检测方法的金黄色葡萄球菌和耐甲氧西林金黄色葡萄球菌检测试剂注册技术审查指导原则(2019年第80号)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6086EA28">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呼吸道病毒多重核酸检测试剂注册技术审查指导原则(2019年第80号)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64C3666E">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基于细胞荧光原位杂交法的人类染色体异常检测试剂注册技术审查指导原则(2019年第80号)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71592131">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"https://www.cmde.org.cn/CL0112/20000.html"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尿动力学分析仪注册技术审查指导原则(2019年第79号)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78A90676">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牙根尖定位仪注册技术审查指导原则(2019年第79号)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5C0DF784">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肠内营养泵注册技术审查指导原则(2019年第79号)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1E6CF1EB">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血浆速冻机注册技术审查指导原则(2019年第79号)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1C95C0C9">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一次性使用内镜用活体取样钳注册技术审查指导原则(2019年第79号)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0BB43DB1">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上下肢主被动运动康复训练设备注册技术审查指导原则(2019年第79号)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612DB4AE">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人工复苏器注册技术审查指导原则(2019年第79号)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5ADEA4A9">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牙科种植手术用钻注册技术审查指导原则(2019年第79号)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70D01C05">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肌电生物反馈治疗仪注册技术审查指导原则(2019年第79号)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20E9B151">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医用诊断X射线管组件注册技术审查指导原则(2019年第79号)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0C311ECD">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直接检眼镜注册技术审查指导原则(2019年第79号)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6842B22D">
      <w:pPr>
        <w:keepNext w:val="0"/>
        <w:keepLines w:val="0"/>
        <w:pageBreakBefore w:val="0"/>
        <w:numPr>
          <w:ilvl w:val="0"/>
          <w:numId w:val="1"/>
        </w:numPr>
        <w:tabs>
          <w:tab w:val="left" w:pos="10470"/>
          <w:tab w:val="left" w:pos="105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医疗器械产品受益-风险评估注册技术审查指导原则(2019年第79号)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5C9D486C">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"https://www.cmde.org.cn/CL0112/19988.html"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肢体加压理疗设备注册技术审查指导原则(2019年第79号)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(2019-11-15)</w:t>
      </w:r>
    </w:p>
    <w:p w14:paraId="603419A1">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辅助生殖用胚胎移植导管注册技术审查指导原则（2019年第78号）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(2019-11-01)</w:t>
      </w:r>
    </w:p>
    <w:p w14:paraId="352B0C18">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心肺转流系统 体外循环管道注册申报技术审查指导原则（2019年第78号）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(2019-11-01)</w:t>
      </w:r>
    </w:p>
    <w:p w14:paraId="28836961">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"https://www.cmde.org.cn/CL0112/19909.html"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医疗器械已知可沥滤物测定方法验证及确认注册技术审查指导原则（2019年第78号）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(2019-11-01)</w:t>
      </w:r>
    </w:p>
    <w:p w14:paraId="2E5DB69C">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"https://www.cmde.org.cn/CL0112/19884.html"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尿素测定试剂注册技术审查指导原则(2019年第74号)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(2019-10-29)</w:t>
      </w:r>
    </w:p>
    <w:p w14:paraId="1EE20296">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"https://www.cmde.org.cn/CL0112/19883.html"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尿酸测定试剂注册技术审查指导原则(2019年第74号)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(2019-10-29)</w:t>
      </w:r>
    </w:p>
    <w:p w14:paraId="0972712A">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"https://www.cmde.org.cn/CL0112/19882.html"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总胆固醇测定试剂注册技术审查指导原则(2019年第74号)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(2019-10-29)</w:t>
      </w:r>
    </w:p>
    <w:p w14:paraId="40C50868">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"https://www.cmde.org.cn/CL0112/19881.html"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天门冬氨酸氨基转移酶测定试剂注册技术审查指导原则(2019年第74号)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(2019-10-29)</w:t>
      </w:r>
    </w:p>
    <w:p w14:paraId="5B82690A">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"https://www.cmde.org.cn/CL0112/19815.html"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无源植入性骨、关节及口腔硬组织个性化增材制造医疗器械注册技术审查指导原则（2019年第70号）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(2019-10-16)</w:t>
      </w:r>
    </w:p>
    <w:p w14:paraId="1A19502B">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"https://www.cmde.org.cn/CL0112/19677.html"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子宫内膜射频消融设备注册技术审查指导原则（2019年第59号）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(2019-09-04)</w:t>
      </w:r>
    </w:p>
    <w:p w14:paraId="113E90DA">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"https://www.cmde.org.cn/CL0112/19401.html"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口腔数字印模仪注册技术审查指导原则（2019年第37号）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(2019-07-04)</w:t>
      </w:r>
    </w:p>
    <w:p w14:paraId="3E06AEF2">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"https://www.cmde.org.cn/CL0112/19212.html"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植入式给药装置注册技术审查指导原则（2019年第25号）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(2019-05-22)</w:t>
      </w:r>
    </w:p>
    <w:p w14:paraId="38D61FB8">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"https://www.cmde.org.cn/CL0112/19211.html"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宫内节育器注册技术审查指导原则（2019年第25号）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(2019-05-22)</w:t>
      </w:r>
    </w:p>
    <w:p w14:paraId="301A3A62">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"https://www.cmde.org.cn/CL0112/19210.html"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合成树脂牙注册技术审查指导原则（2019年第25号）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(2019-05-22)</w:t>
      </w:r>
    </w:p>
    <w:p w14:paraId="73938DE4">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"https://www.cmde.org.cn/CL0112/19158.html"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离心式血液成分分离设备临床评价注册技术审查指导原则（2019年第24号）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(2019-05-15)</w:t>
      </w:r>
    </w:p>
    <w:p w14:paraId="77BF1004">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"https://www.cmde.org.cn/CL0112/19156.html"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有源医疗器械使用期限注册技术审查指导原则（2019年第23号）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(2019-05-14)</w:t>
      </w:r>
    </w:p>
    <w:p w14:paraId="397439D4">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"https://www.cmde.org.cn/CL0112/19032.html"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腹腔内置疝修补补片动物实验技术审查指导原则（2019年第18号）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(2019-04-19)</w:t>
      </w:r>
    </w:p>
    <w:p w14:paraId="2DEE37F1">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"https://www.cmde.org.cn/CL0112/19031.html"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医疗器械动物实验研究技术审查指导原则 第一部分：决策原则（2019年第18号）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(2019-04-19)</w:t>
      </w:r>
    </w:p>
    <w:p w14:paraId="20D96AB2">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"https://www.cmde.org.cn/CL0112/18996.html"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一次性使用皮肤缝合器注册技术审查指导原则（2019年修订）（2019年第16号）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(2019-04-11)</w:t>
      </w:r>
    </w:p>
    <w:p w14:paraId="4C755935">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牙科车针注册技术审查指导原则（2019年第16号）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(2019-04-11)</w:t>
      </w:r>
    </w:p>
    <w:p w14:paraId="4241FC9A">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一次性使用配药用注射器注册技术审查指导原则（2019年第16号）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(2019-04-11)</w:t>
      </w:r>
    </w:p>
    <w:p w14:paraId="46DF7B37">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口腔颌面锥形束计算机体层摄影设备临床评价指导原则（2019年第10号）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(2019-03-26)</w:t>
      </w:r>
    </w:p>
    <w:p w14:paraId="20B65E39">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麻醉机注册技术审查指导原则（2019年第10号）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(2019-03-26)</w:t>
      </w:r>
    </w:p>
    <w:p w14:paraId="7A6A436A">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"https://www.cmde.org.cn/CL0112/18930.html"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双能X射线骨密度仪注册技术审查指导原则（2019年第10号）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(2019-03-26)</w:t>
      </w:r>
    </w:p>
    <w:p w14:paraId="6E8D0C15">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"https://www.cmde.org.cn/CL0112/18929.html"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眼科高频超声诊断仪注册技术审查指导原则（2019年第10号）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(2019-03-26)</w:t>
      </w:r>
    </w:p>
    <w:p w14:paraId="7D9763EC">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"https://www.cmde.org.cn/CL0112/18884.html"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用于角膜制瓣的眼科飞秒激光治疗机临床试验指导原则（2019年第13号）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(2019-03-20)</w:t>
      </w:r>
    </w:p>
    <w:p w14:paraId="1B052E82">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透明质酸钠类面部注射填充材料临床试验指导原则（2019年第13号）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(2019-03-20)</w:t>
      </w:r>
    </w:p>
    <w:p w14:paraId="387ECEDF">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人工晶状体临床试验指导原则（2019年第13号）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(2019-03-20)</w:t>
      </w:r>
    </w:p>
    <w:p w14:paraId="0D9518BA">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"https://www.cmde.org.cn/CL0112/18856.html"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降钙素原检测试剂注册技术审查指导原则（2019年第11号）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(2019-03-13)</w:t>
      </w:r>
    </w:p>
    <w:p w14:paraId="0D4F640D">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"https://www.cmde.org.cn/CL0112/18855.html"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孕酮检测试剂注册技术审查指导原则（2019年第11号）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(2019-03-13)</w:t>
      </w:r>
    </w:p>
    <w:p w14:paraId="2669D3A8">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"https://www.cmde.org.cn/CL0112/18854.html"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总甲状腺素检测试剂注册技术审查指导原则（2019年第11号）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(2019-03-13)</w:t>
      </w:r>
    </w:p>
    <w:p w14:paraId="03EAF852">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"https://www.cmde.org.cn/CL0112/18853.html"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脑利钠肽/氨基末端脑利钠肽前体检测试剂注册技术审查指导原则（2019年第11号）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(2019-03-13)</w:t>
      </w:r>
    </w:p>
    <w:p w14:paraId="658A44E1">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"https://www.cmde.org.cn/CL0112/18783.html"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经导管植入式人工主动脉瓣膜临床试验指导原则（2019年第8号）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(2019-03-01)</w:t>
      </w:r>
    </w:p>
    <w:p w14:paraId="26802063">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"https://www.cmde.org.cn/CL0112/18782.html"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生物可吸收冠状动脉药物洗脱支架临床试验指导原则（2019年第8号）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(2019-03-01)</w:t>
      </w:r>
    </w:p>
    <w:p w14:paraId="5B82F8BB">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"https://www.cmde.org.cn/CL0112/18781.html"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主动脉覆膜支架系统临床试验指导原则（2019年第8号）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(2019-03-01)</w:t>
      </w:r>
    </w:p>
    <w:p w14:paraId="3E439FF0">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"https://www.cmde.org.cn/CL0112/18457.html"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医用激光光纤产品注册技术审查指导原则（2018年第130号）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(2018-12-24)</w:t>
      </w:r>
    </w:p>
    <w:p w14:paraId="11652363">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"https://www.cmde.org.cn/CL0112/18407.html"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一次性使用活检针注册技术审查指导原则（2018年第126号）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(2018-12-18)</w:t>
      </w:r>
    </w:p>
    <w:p w14:paraId="41296283">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"https://www.cmde.org.cn/CL0112/18406.html"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一次性使用胆红素血浆吸附器注册技术审查指导原则（2018年第126号）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(2018-12-18)</w:t>
      </w:r>
    </w:p>
    <w:p w14:paraId="06660835">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"https://www.cmde.org.cn/CL0112/8118.html"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一次性使用吸痰管注册技术审查指导原则（2018年第120号）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(2018-12-04)</w:t>
      </w:r>
    </w:p>
    <w:p w14:paraId="1C9EF248">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"https://www.cmde.org.cn/CL0112/8117.html"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吻（缝）合器产品注册技术审查指导原则（2018年修订）（2018年第120号）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(2018-12-04)</w:t>
      </w:r>
    </w:p>
    <w:p w14:paraId="213330BA">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"https://www.cmde.org.cn/CL0112/8116.html"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外科纱布敷料注册技术审查指导原则（2018年修订）（2018年第120号）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(2018-12-04)</w:t>
      </w:r>
    </w:p>
    <w:p w14:paraId="15D92013">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手动轮椅车注册技术审查指导原则（2018年第116号）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(2018-11-13)</w:t>
      </w:r>
    </w:p>
    <w:p w14:paraId="0CDE354C">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全瓷义齿用氧化锆瓷块注册技术审查指导原则（2018年修订）（2018年第116号）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(2018-11-13)</w:t>
      </w:r>
    </w:p>
    <w:p w14:paraId="1ACCB4EC">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护脐带注册技术审查指导原则（2018年修订）（2018年第116号）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(2018-11-13)</w:t>
      </w:r>
    </w:p>
    <w:p w14:paraId="10507FDC">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"https://www.cmde.org.cn/CL0112/8066.html"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骨水泥套管组件注册技术审查指导原则（2018年第107号）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(2018-10-30)</w:t>
      </w:r>
    </w:p>
    <w:p w14:paraId="4074FBA1">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"https://www.cmde.org.cn/CL0112/8065.html"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一次性使用医用喉罩注册技术审查指导原则（2018年修订）（2018年第107号）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(2018-10-30)</w:t>
      </w:r>
    </w:p>
    <w:p w14:paraId="236FF8C6">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"https://www.cmde.org.cn/CL0112/8064.html"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骨科外固定支架注册技术审查指导原则（2018年修订）（2018年第107号）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(2018-10-30)</w:t>
      </w:r>
    </w:p>
    <w:p w14:paraId="66EE4DC1">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"https://www.cmde.org.cn/CL0112/8057.html"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用于罕见病防治医疗器械注册审查指导原则（2018年第101号）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(2018-10-18)</w:t>
      </w:r>
    </w:p>
    <w:p w14:paraId="2B1CA3E4">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定制式义齿注册技术审查指导原则（2018年修订）（2018年第80号）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(2018-09-05)</w:t>
      </w:r>
    </w:p>
    <w:p w14:paraId="79676729">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一次性使用无菌导尿管注册技术审查指导原则（2018年修订）（2018年第80号）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(2018-09-05)</w:t>
      </w:r>
    </w:p>
    <w:p w14:paraId="1CB534F4">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鼻饲营养导管注册技术审查指导原则（2018年修订）（2018年第80号）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(2018-09-05)</w:t>
      </w:r>
    </w:p>
    <w:p w14:paraId="068881FC">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"https://www.cmde.org.cn/CL0112/7924.html"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软性接触镜临床试验指导原则（2018年第51号）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(2018-06-29)</w:t>
      </w:r>
    </w:p>
    <w:p w14:paraId="6D69567F">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"https://www.cmde.org.cn/CL0112/7923.html"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角膜塑形用硬性透气接触镜临床试验指导原则（2018年第51号）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(2018-06-29)</w:t>
      </w:r>
    </w:p>
    <w:p w14:paraId="0BBAAE76">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"https://www.cmde.org.cn/CL0112/7788.html"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无源植入性医疗器械临床试验审批申报资料编写指导原则（2018年第40号）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(2018-06-11)</w:t>
      </w:r>
    </w:p>
    <w:p w14:paraId="70A90387">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麻醉咽喉镜注册技术审查指导原则（2018年第30号）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(2018-05-31)</w:t>
      </w:r>
    </w:p>
    <w:p w14:paraId="2AB5D07C">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内镜清洗消毒机注册技术审查指导原则（2018年第30号）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(2018-05-31)</w:t>
      </w:r>
    </w:p>
    <w:p w14:paraId="7C7BD165">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睡眠呼吸监测产品注册技术审查指导原则（2018年第30号）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(2018-05-31)</w:t>
      </w:r>
    </w:p>
    <w:p w14:paraId="1BFF23E1">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手术显微镜注册技术审查指导原则（2018年第25号）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(2018-05-18)</w:t>
      </w:r>
    </w:p>
    <w:p w14:paraId="265D501F">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医用洁净工作台注册技术审查指导原则（2018年第25号）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(2018-05-18)</w:t>
      </w:r>
    </w:p>
    <w:p w14:paraId="290FF174">
      <w:pPr>
        <w:keepNext w:val="0"/>
        <w:keepLines w:val="0"/>
        <w:pageBreakBefore w:val="0"/>
        <w:numPr>
          <w:ilvl w:val="0"/>
          <w:numId w:val="1"/>
        </w:numPr>
        <w:tabs>
          <w:tab w:val="left" w:pos="7860"/>
          <w:tab w:val="left" w:pos="8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眼压计注册技术审查指导原则（2018年第25号）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(2018-05-18)</w:t>
      </w:r>
    </w:p>
    <w:p w14:paraId="412C78F0">
      <w:pPr>
        <w:keepNext w:val="0"/>
        <w:keepLines w:val="0"/>
        <w:pageBreakBefore w:val="0"/>
        <w:numPr>
          <w:ilvl w:val="0"/>
          <w:numId w:val="1"/>
        </w:numPr>
        <w:tabs>
          <w:tab w:val="left" w:pos="81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脉搏波速度和踝臂指数检测产品注册技术审查指导原则（2018年第25号）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(2018-05-18)</w:t>
      </w:r>
    </w:p>
    <w:p w14:paraId="22C2B6CA">
      <w:pPr>
        <w:keepNext w:val="0"/>
        <w:keepLines w:val="0"/>
        <w:pageBreakBefore w:val="0"/>
        <w:numPr>
          <w:ilvl w:val="0"/>
          <w:numId w:val="1"/>
        </w:numPr>
        <w:tabs>
          <w:tab w:val="left" w:pos="81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冠状动脉药物洗脱支架临床前研究指导原则（2018年第21号）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(2018-05-11)</w:t>
      </w:r>
    </w:p>
    <w:p w14:paraId="750B4658">
      <w:pPr>
        <w:keepNext w:val="0"/>
        <w:keepLines w:val="0"/>
        <w:pageBreakBefore w:val="0"/>
        <w:numPr>
          <w:ilvl w:val="0"/>
          <w:numId w:val="1"/>
        </w:numPr>
        <w:tabs>
          <w:tab w:val="left" w:pos="81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冠状动脉药物洗脱支架临床试验指导原则（2018年第21号）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(2018-05-11)</w:t>
      </w:r>
    </w:p>
    <w:p w14:paraId="0D0ACF83">
      <w:pPr>
        <w:keepNext w:val="0"/>
        <w:keepLines w:val="0"/>
        <w:pageBreakBefore w:val="0"/>
        <w:numPr>
          <w:ilvl w:val="0"/>
          <w:numId w:val="1"/>
        </w:numPr>
        <w:tabs>
          <w:tab w:val="left" w:pos="81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软性接触镜注册技术审查指导原则（2018年第18号）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(2018-04-26)</w:t>
      </w:r>
    </w:p>
    <w:p w14:paraId="1BF0B1CA">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"https://www.cmde.org.cn/CL0112/7798.html"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人类体外辅助生殖技术用液注册技术审查指导原则（2018年第18号）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(2018-04-26)</w:t>
      </w:r>
    </w:p>
    <w:p w14:paraId="222410E6">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气腹机注册技术审查指导原则（2018年第15号）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(2018-04-20)</w:t>
      </w:r>
    </w:p>
    <w:p w14:paraId="21EF9C23">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医用低温保存箱注册技术审查指导原则（2018年第15号）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(2018-04-20)</w:t>
      </w:r>
    </w:p>
    <w:p w14:paraId="7ECF037B">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电子尿量计注册技术审查指导原则（2018年第15号）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(2018-04-20)</w:t>
      </w:r>
    </w:p>
    <w:p w14:paraId="632E3BB6">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电子阴道显微镜注册技术审查指导原则（2018年第15号）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(2018-04-20)</w:t>
      </w:r>
    </w:p>
    <w:p w14:paraId="783502AB">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口腔曲面体层X射线机注册技术审查指导原则（2018年第9号）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(2018-04-16)</w:t>
      </w:r>
    </w:p>
    <w:p w14:paraId="2F74F5E7">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硬性光学内窥镜（有创类）注册技术审查指导原则（2018年第54号）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(2018-03-27)</w:t>
      </w:r>
    </w:p>
    <w:p w14:paraId="21FFF55E">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持续葡萄糖监测系统注册技术审查指导原则（2018年第56号）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(2018-03-21)</w:t>
      </w:r>
    </w:p>
    <w:p w14:paraId="7DB4F041">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结核分枝杆菌特异性细胞免疫反应检测试剂注册技术审查指导原则（2018年第57号）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(2018-03-21)</w:t>
      </w:r>
    </w:p>
    <w:p w14:paraId="46519D45">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眼科飞秒激光治疗机注册技术审查指导原则（2018年第53号）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(2018-03-20)</w:t>
      </w:r>
    </w:p>
    <w:p w14:paraId="57BE83D0">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眼科超声诊断设备注册技术审查指导原则（2018年第55号）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(2018-03-20)</w:t>
      </w:r>
    </w:p>
    <w:p w14:paraId="457C6447">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眼科光学相干断层扫描仪注册技术审查指导原则（2018年第44号）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(2018-03-02)</w:t>
      </w:r>
    </w:p>
    <w:p w14:paraId="4056A2C9">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"https://www.cmde.org.cn/CL0112/6970.html"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超声软组织切割止血系统注册技术审查指导原则（2018年第37号）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(2018-02-24)</w:t>
      </w:r>
    </w:p>
    <w:p w14:paraId="11032CBB">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"https://www.cmde.org.cn/CL0112/6969.html"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肠道病毒核酸检测试剂注册技术审查指导原则（2018年第36号）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(2018-02-24)</w:t>
      </w:r>
    </w:p>
    <w:p w14:paraId="2B3F3A63">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"https://www.cmde.org.cn/CL0112/6968.html"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抗人球蛋白检测试剂注册技术审查指导原则（2018年第36号）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(2018-02-24)</w:t>
      </w:r>
    </w:p>
    <w:p w14:paraId="513FDCC5">
      <w:pPr>
        <w:keepNext w:val="0"/>
        <w:keepLines w:val="0"/>
        <w:pageBreakBefore w:val="0"/>
        <w:numPr>
          <w:ilvl w:val="0"/>
          <w:numId w:val="1"/>
        </w:numPr>
        <w:tabs>
          <w:tab w:val="left" w:pos="8130"/>
          <w:tab w:val="left" w:pos="838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"https://www.cmde.org.cn/CL0112/6967.html"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幽门螺杆菌抗原/抗体检测试剂注册技术审查指导原则（2018年第36号）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(2018-02-24)</w:t>
      </w:r>
    </w:p>
    <w:p w14:paraId="418D0D03">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"https://www.cmde.org.cn/CL0112/6966.html"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人表皮生长因子受体（EGFR）突变基因检测试剂（PCR法）注册技术审查指导原则（2018年第36号）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(2018-02-24)</w:t>
      </w:r>
    </w:p>
    <w:p w14:paraId="7841EF5B">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"https://www.cmde.org.cn/CL0112/6963.html"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X射线计算机体层摄影设备注册技术审查指导原则（2018年第26号）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(2018-02-09)</w:t>
      </w:r>
    </w:p>
    <w:p w14:paraId="50FE547B">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丙氨酸氨基转移酶测定试剂注册技术审查指导原则（2018年第8号）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09CC7E5F">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尿液分析试纸条注册技术审查指导原则（2018年第8号）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4D661BC8">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同型半胱氨酸测定试剂注册技术审查指导原则（2018年第8号）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10217B0A">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胰岛素测定试剂注册技术审查指导原则（2018年第8号）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4C45ABEC">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C-肽测定试剂注册技术审查指导原则（2018年第8号）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08E6238A">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D-二聚体测定试剂（免疫比浊法）注册技术审查指导原则（2018年第9号）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0DAE292A">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载脂蛋白B测定试剂注册技术审查指导原则（2018年第9号）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7C62A2ED">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"https://www.cmde.org.cn/CL0112/6944.html"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载脂蛋白A1测定试剂注册技术审查指导原则（2018年第9号）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(2018-01-16)</w:t>
      </w:r>
    </w:p>
    <w:p w14:paraId="3A2E7F24">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接受医疗器械境外临床试验数据技术指导原则（2018年第13号）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(2018-01-11)</w:t>
      </w:r>
    </w:p>
    <w:p w14:paraId="57F31A34">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质子碳离子治疗系统临床评价技术审查指导原则（2018年第4号）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(2018-01-04)</w:t>
      </w:r>
    </w:p>
    <w:p w14:paraId="18911700">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"https://www.cmde.org.cn/CL0112/6863.html"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全血及血液成分贮存袋注册技术审查指导原则（2018年第3号）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(2018-01-04)</w:t>
      </w:r>
    </w:p>
    <w:p w14:paraId="72C46D41">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一次性使用输注泵（非电驱动）注册技术审查指导原则（2018年第3号）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(2018-01-04)</w:t>
      </w:r>
    </w:p>
    <w:p w14:paraId="7A2AAB16">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血液浓缩器注册技术审查指导原则（2018年第3号）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(2018-01-04)</w:t>
      </w:r>
    </w:p>
    <w:p w14:paraId="17F3619F">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医疗器械临床试验设计指导原则（2018年第6号）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(2018-01-04)</w:t>
      </w:r>
    </w:p>
    <w:p w14:paraId="0F9AECAE">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移动医疗器械注册技术审查指导原则（2017年第222号）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(2017-12-29)</w:t>
      </w:r>
    </w:p>
    <w:p w14:paraId="52C75A18">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动物源性医疗器械注册技术审查指导原则（2017年修订版）（2017年第224号）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(2017-12-25)</w:t>
      </w:r>
    </w:p>
    <w:p w14:paraId="15068ADE">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促黄体生成素检测试剂（胶体金免疫层析法）注册技术审查指导原则（2017年第213号）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20A12F19">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心肌肌钙蛋白I/肌红蛋白/肌酸激酶同工酶MB检测试剂（胶体金免疫层析法）注册技术审查指导原则（2017年第213号）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10D2B33A">
      <w:pPr>
        <w:keepNext w:val="0"/>
        <w:keepLines w:val="0"/>
        <w:pageBreakBefore w:val="0"/>
        <w:numPr>
          <w:ilvl w:val="0"/>
          <w:numId w:val="1"/>
        </w:numPr>
        <w:tabs>
          <w:tab w:val="left" w:pos="97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电解质钾、钠、氯、钙测定试剂注册技术审查指导原则（2017年第213号）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75EC69A7">
      <w:pPr>
        <w:keepNext w:val="0"/>
        <w:keepLines w:val="0"/>
        <w:pageBreakBefore w:val="0"/>
        <w:numPr>
          <w:ilvl w:val="0"/>
          <w:numId w:val="1"/>
        </w:numPr>
        <w:tabs>
          <w:tab w:val="left" w:pos="97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高密度脂蛋白胆固醇测定试剂注册技术审查指导原则（2017年第213号）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4BEA90B5">
      <w:pPr>
        <w:keepNext w:val="0"/>
        <w:keepLines w:val="0"/>
        <w:pageBreakBefore w:val="0"/>
        <w:numPr>
          <w:ilvl w:val="0"/>
          <w:numId w:val="1"/>
        </w:numPr>
        <w:tabs>
          <w:tab w:val="left" w:pos="97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胱抑素C测定试剂（胶乳透射免疫比浊法）注册技术审查指导原则（2017年第213号）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2C607368">
      <w:pPr>
        <w:keepNext w:val="0"/>
        <w:keepLines w:val="0"/>
        <w:pageBreakBefore w:val="0"/>
        <w:numPr>
          <w:ilvl w:val="0"/>
          <w:numId w:val="1"/>
        </w:numPr>
        <w:tabs>
          <w:tab w:val="left" w:pos="97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全自动血型分析仪注册技术审查指导原则（2017年第209号）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5595CEAB">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ABO、RhD血型抗原检测卡（柱凝集法）注册技术审查指导原则（2017年第209号）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4AFA4A57">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人表皮生长因子受体2基因扩增检测试剂盒（荧光原位杂交法）注册技术审查指导原则（2017年第209号）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4A7B847B">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丙型肝炎病毒核酸基因分型检测试剂盒注册技术审查指导原则（2017年第209号）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(2017-12-22)</w:t>
      </w:r>
    </w:p>
    <w:p w14:paraId="6BCB6677">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治疗呼吸机临床评价技术审查指导原则（2017年第212号）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(2017-12-18)</w:t>
      </w:r>
    </w:p>
    <w:p w14:paraId="6F3B6A98">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子宫内膜去除（热传导、射频消融）设备临床评价技术审查指导原则（2017年第212号）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(2017-12-18)</w:t>
      </w:r>
    </w:p>
    <w:p w14:paraId="55E28DB0">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细胞治疗产品研究与评价技术指导原则（试行）（2017年第216号）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(2017-12-18)</w:t>
      </w:r>
    </w:p>
    <w:p w14:paraId="55D6DA35">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生物显微镜注册技术审查指导原则（2017年第199号）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71841CFA">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紫外治疗设备注册技术审查指导原则（2017年第199号）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77DEB369">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裂隙灯显微镜注册技术审查指导原则（2017年第199号）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2D6CC3D3">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输液泵注册技术审查指导原则（2017年第199号）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0EF3CC2A">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电动洗胃机注册技术审查指导原则（2017年修订版）（2017年第199号）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231887AC">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小型蒸汽灭菌器注册技术审查指导原则（2017年第198号）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11FF7E85">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动态心电图系统注册技术审查指导原则（2017年第198号）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5D95D3F1">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血管内球囊扩张导管用球囊充压装置注册技术审查指导原则（2017年第198号）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01B02631">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验光仪注册技术审查指导原则（2017年第198号）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5D39810F">
      <w:pPr>
        <w:keepNext w:val="0"/>
        <w:keepLines w:val="0"/>
        <w:pageBreakBefore w:val="0"/>
        <w:numPr>
          <w:ilvl w:val="0"/>
          <w:numId w:val="1"/>
        </w:numPr>
        <w:tabs>
          <w:tab w:val="left" w:pos="9750"/>
          <w:tab w:val="left" w:pos="98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"https://www.cmde.org.cn/CL0112/6924.html"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中央监护软件注册技术审查指导原则（2017年第198号）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(2017-12-06)</w:t>
      </w:r>
    </w:p>
    <w:p w14:paraId="4ABCA1C6">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医疗器械注册单元划分指导原则（2017年第187号）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(2017-11-23)</w:t>
      </w:r>
    </w:p>
    <w:p w14:paraId="1DB3C73C">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红外线治疗设备注册技术审查指导原则（2017年修订版）（2017年第177号）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(2017-11-14)</w:t>
      </w:r>
    </w:p>
    <w:p w14:paraId="1CCDE199">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医用控温毯注册技术审查指导原则（2017年修订版）（2017年第177号）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(2017-11-14)</w:t>
      </w:r>
    </w:p>
    <w:p w14:paraId="0ED22FF6">
      <w:pPr>
        <w:keepNext w:val="0"/>
        <w:keepLines w:val="0"/>
        <w:pageBreakBefore w:val="0"/>
        <w:numPr>
          <w:ilvl w:val="0"/>
          <w:numId w:val="1"/>
        </w:numPr>
        <w:tabs>
          <w:tab w:val="left" w:pos="80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中频电疗产品注册技术审查指导原则（2017年修订版）（2017年第177号）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(2017-11-14)</w:t>
      </w:r>
    </w:p>
    <w:p w14:paraId="0F799BAC">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脉搏血氧仪注册技术审查指导原则（2017年修订版）（2017年第177号）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(2017-11-14)</w:t>
      </w:r>
    </w:p>
    <w:p w14:paraId="4358AD60">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"https://www.cmde.org.cn/CL0112/7818.html"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牙科手机注册技术审查指导原则（2017年修订版）（2017年第177号）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(2017-11-14)</w:t>
      </w:r>
    </w:p>
    <w:p w14:paraId="15256127">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超声骨密度仪注册技术审查指导原则（2017年第180号）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(2017-11-06)</w:t>
      </w:r>
    </w:p>
    <w:p w14:paraId="0DBD77BF">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电动轮椅车注册技术审查指导原则（2017年第180号）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(2017-11-06)</w:t>
      </w:r>
    </w:p>
    <w:p w14:paraId="126D89EF">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耳腔式医用红外体温计注册技术审查指导原则（2017年第180号）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(2017-11-06)</w:t>
      </w:r>
    </w:p>
    <w:p w14:paraId="28B9A2D0">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医用吸引设备注册技术审查指导原则（2017年修订版）（2017年第180号）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(2017-11-06)</w:t>
      </w:r>
    </w:p>
    <w:p w14:paraId="673217E6">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"https://www.cmde.org.cn/CL0112/6913.html"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小型分子筛制氧机注册技术审查指导原则（2017年修订版）（2017年第180号）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(2017-11-06)</w:t>
      </w:r>
    </w:p>
    <w:p w14:paraId="1EA1FC8A">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超声多普勒胎儿监护仪注册技术审查指导原则（2017年修订版）（2017年第177号）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(2017-11-02)</w:t>
      </w:r>
    </w:p>
    <w:p w14:paraId="75CA2202">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超声理疗设备注册技术审查指导原则（2017年修订版）（2017年第177号）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(2017-11-02)</w:t>
      </w:r>
    </w:p>
    <w:p w14:paraId="5E848C65">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超声洁牙设备注册技术审查指导原则（2017年修订版）（2017年第177号）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(2017-11-02)</w:t>
      </w:r>
    </w:p>
    <w:p w14:paraId="1DFC047A">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视野计注册技术审查指导原则（2017年修订版）（2017年第177号）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(2017-11-02)</w:t>
      </w:r>
    </w:p>
    <w:p w14:paraId="54A71C9E">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防褥疮气床垫注册技术审查指导原则（2017年修订版）（2017年第177号）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(2017-11-02)</w:t>
      </w:r>
    </w:p>
    <w:p w14:paraId="1F1C0003">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酶标仪注册技术审查指导原则（2017年第154号）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(2017-10-09)</w:t>
      </w:r>
    </w:p>
    <w:p w14:paraId="534A32BF">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一次性使用心电电极注册技术审查指导原则（2017年第154号）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(2017-10-09)</w:t>
      </w:r>
    </w:p>
    <w:p w14:paraId="792AB6DB">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动态血压测量仪注册技术审查指导原则（2017年第154号）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(2017-10-09)</w:t>
      </w:r>
    </w:p>
    <w:p w14:paraId="35FF680A">
      <w:pPr>
        <w:keepNext w:val="0"/>
        <w:keepLines w:val="0"/>
        <w:pageBreakBefore w:val="0"/>
        <w:numPr>
          <w:ilvl w:val="0"/>
          <w:numId w:val="1"/>
        </w:numPr>
        <w:tabs>
          <w:tab w:val="left" w:pos="8040"/>
          <w:tab w:val="left" w:pos="8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心电图机注册技术审查指导原则（2017年第154号）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(2017-10-09)</w:t>
      </w:r>
    </w:p>
    <w:p w14:paraId="5BA8164E">
      <w:pPr>
        <w:keepNext w:val="0"/>
        <w:keepLines w:val="0"/>
        <w:pageBreakBefore w:val="0"/>
        <w:numPr>
          <w:ilvl w:val="0"/>
          <w:numId w:val="1"/>
        </w:numPr>
        <w:tabs>
          <w:tab w:val="left" w:pos="102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病人监护产品（第二类）注册技术审查指导原则（2017年第154号）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(2017-10-09)</w:t>
      </w:r>
    </w:p>
    <w:p w14:paraId="42D5A218">
      <w:pPr>
        <w:keepNext w:val="0"/>
        <w:keepLines w:val="0"/>
        <w:pageBreakBefore w:val="0"/>
        <w:numPr>
          <w:ilvl w:val="0"/>
          <w:numId w:val="1"/>
        </w:numPr>
        <w:tabs>
          <w:tab w:val="left" w:pos="102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红外乳腺检查仪注册技术审查指导原则（2017年修订版）（2017年第146号）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(2017-09-13)</w:t>
      </w:r>
    </w:p>
    <w:p w14:paraId="0DF4A938">
      <w:pPr>
        <w:keepNext w:val="0"/>
        <w:keepLines w:val="0"/>
        <w:pageBreakBefore w:val="0"/>
        <w:numPr>
          <w:ilvl w:val="0"/>
          <w:numId w:val="1"/>
        </w:numPr>
        <w:tabs>
          <w:tab w:val="left" w:pos="102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医用臭氧妇科治疗仪注册技术审查指导原则（2017年修订版）（2017年第146号）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(2017-09-13)</w:t>
      </w:r>
    </w:p>
    <w:p w14:paraId="149F8128">
      <w:pPr>
        <w:keepNext w:val="0"/>
        <w:keepLines w:val="0"/>
        <w:pageBreakBefore w:val="0"/>
        <w:numPr>
          <w:ilvl w:val="0"/>
          <w:numId w:val="1"/>
        </w:numPr>
        <w:tabs>
          <w:tab w:val="left" w:pos="1020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骨组织手术设备注册技术审查指导原则（2017年修订版）（2017年第146号）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(2017-09-13)</w:t>
      </w:r>
    </w:p>
    <w:p w14:paraId="1122FC92">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"https://www.cmde.org.cn/CL0112/6900.html"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牙科种植机注册技术审查指导原则（2017年第124号）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(2017-08-02)</w:t>
      </w:r>
    </w:p>
    <w:p w14:paraId="6FE7A520">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无源植入性医疗器械货架有效期注册申报资料指导原则（2017年修订版）（2017年第75号）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(2017-05-21)</w:t>
      </w:r>
    </w:p>
    <w:p w14:paraId="5E2FFA30">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超声多普勒胎儿心率仪注册技术审查指导原则（2017年第60号）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(2017-04-24)</w:t>
      </w:r>
    </w:p>
    <w:p w14:paraId="1CEF8E80">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"https://www.cmde.org.cn/CL0112/6896.html"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电动牵引装置注册技术审查指导原则（2017年修订版）（2017年第60号）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(2017-04-24)</w:t>
      </w:r>
    </w:p>
    <w:p w14:paraId="23F2DF31">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电动手术台注册技术审查指导原则（2017年修订版）（2017年第60号）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(2017-04-24)</w:t>
      </w:r>
    </w:p>
    <w:p w14:paraId="7B2B69A7">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"https://www.cmde.org.cn/CL0112/6898.html"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影像型超声诊断设备（第二类）注册技术审查指导原则（2017年第60号）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(2017-04-24)</w:t>
      </w:r>
    </w:p>
    <w:p w14:paraId="0AFD1798">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"https://www.cmde.org.cn/CL0112/6248.html"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胎儿染色体非整倍体（T21、T18、T13）检测试剂盒（高通量测序法）注册技术审查指导原则（2017年第52号）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(2017-04-01)</w:t>
      </w:r>
    </w:p>
    <w:p w14:paraId="0459AE09">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人工颈椎间盘假体注册技术审查指导原则（2017年第23号）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(2017-03-29)</w:t>
      </w:r>
    </w:p>
    <w:p w14:paraId="6D253A7C">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手术电极注册技术审查指导原则（2017年修订版）（2017年第41号）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(2017-03-29)</w:t>
      </w:r>
    </w:p>
    <w:p w14:paraId="05DB038D">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聚氨酯泡沫敷料产品注册技术审查指导原则（2017年第44号）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(2017-03-29)</w:t>
      </w:r>
    </w:p>
    <w:p w14:paraId="5FD62243">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牙科纤维桩产品注册技术审查指导原则（2017年第44号）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(2017-03-29)</w:t>
      </w:r>
    </w:p>
    <w:p w14:paraId="4C48A467">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髋关节假体系统注册技术审查指导原则（2017年第23号）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08AD6CCD">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结核分枝杆菌复合群耐药基因突变检测试剂注册技术审查指导原则（2017年第25号）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0B8B49BE">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手术无影灯注册技术审查指导原则（2017年第30号）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1DCD196E">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腹腔镜手术器械技术审查指导原则（2017年第30号）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1C8F694D">
      <w:pPr>
        <w:keepNext w:val="0"/>
        <w:keepLines w:val="0"/>
        <w:pageBreakBefore w:val="0"/>
        <w:numPr>
          <w:ilvl w:val="0"/>
          <w:numId w:val="1"/>
        </w:numPr>
        <w:tabs>
          <w:tab w:val="left" w:pos="10200"/>
          <w:tab w:val="left" w:pos="1025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电动病床注册技术审查指导原则（2017年修订版）（2017年第30号）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367BE9B8">
      <w:pPr>
        <w:keepNext w:val="0"/>
        <w:keepLines w:val="0"/>
        <w:pageBreakBefore w:val="0"/>
        <w:numPr>
          <w:ilvl w:val="0"/>
          <w:numId w:val="1"/>
        </w:numPr>
        <w:tabs>
          <w:tab w:val="left" w:pos="84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"https://www.cmde.org.cn/CL0112/6113.html"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人工耳蜗植入系统注册技术审查指导原则（2017年第35号）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47804385">
      <w:pPr>
        <w:keepNext w:val="0"/>
        <w:keepLines w:val="0"/>
        <w:pageBreakBefore w:val="0"/>
        <w:numPr>
          <w:ilvl w:val="0"/>
          <w:numId w:val="1"/>
        </w:numPr>
        <w:tabs>
          <w:tab w:val="left" w:pos="84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"https://www.cmde.org.cn/CL0112/6088.html"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腔镜用吻合器产品注册技术审查指导原则（2017年第44号）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687B4AEE">
      <w:pPr>
        <w:keepNext w:val="0"/>
        <w:keepLines w:val="0"/>
        <w:pageBreakBefore w:val="0"/>
        <w:numPr>
          <w:ilvl w:val="0"/>
          <w:numId w:val="1"/>
        </w:numPr>
        <w:tabs>
          <w:tab w:val="left" w:pos="84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6"/>
          <w:rFonts w:hint="eastAsia" w:ascii="Times New Roman" w:hAnsi="Times New Roman" w:eastAsia="微软雅黑" w:cs="Times New Roman"/>
          <w:caps w:val="0"/>
          <w:color w:val="181717" w:themeColor="background2" w:themeShade="1A"/>
          <w:spacing w:val="0"/>
          <w:sz w:val="24"/>
          <w:szCs w:val="18"/>
          <w:u w:val="none"/>
        </w:rPr>
        <w:t>医疗器械网络安全注册技术审查指导原则（2017年第13号）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(2017-03-28)</w:t>
      </w:r>
    </w:p>
    <w:p w14:paraId="43C0BAED">
      <w:pPr>
        <w:keepNext w:val="0"/>
        <w:keepLines w:val="0"/>
        <w:pageBreakBefore w:val="0"/>
        <w:numPr>
          <w:ilvl w:val="0"/>
          <w:numId w:val="1"/>
        </w:numPr>
        <w:tabs>
          <w:tab w:val="left" w:pos="84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半导体激光治疗机（第二类）注册技术审查指导原则（2017年修订版）（2017年第41号）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(2017-03-27)</w:t>
      </w:r>
    </w:p>
    <w:p w14:paraId="41715D64">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医用电子体温计注册技术指导原则（2017年修订版）（2017年第41号）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(2017-03-27)</w:t>
      </w:r>
    </w:p>
    <w:p w14:paraId="14DF6B69">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"https://www.cmde.org.cn/CL0112/6091.html"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注射泵注册技术审查指导原则（2017年修订版）（2017年第41号）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(2017-03-27)</w:t>
      </w:r>
    </w:p>
    <w:p w14:paraId="5418CA60">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"https://www.cmde.org.cn/CL0112/7830.html"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可见光谱治疗仪注册技术审查指导原则（2017年第40号）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(2017-03-16)</w:t>
      </w:r>
    </w:p>
    <w:p w14:paraId="06B806D7">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软性纤维内窥镜（第二类）注册技术指导原则（2017年修订版）（2017年第40号）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(2017-03-16)</w:t>
      </w:r>
    </w:p>
    <w:p w14:paraId="37384BE5">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"https://www.cmde.org.cn/CL0112/7828.html"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硬管内窥镜（第二类）注册技术审查指导原则（2017年修订版）（2017年第40号）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(2017-03-16)</w:t>
      </w:r>
    </w:p>
    <w:p w14:paraId="7ECB84F9">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"https://www.cmde.org.cn/CL0112/7833.html"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钙磷/硅类骨填充材料注册技术审查指导原则（2017年第14号）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(2017-02-10)</w:t>
      </w:r>
    </w:p>
    <w:p w14:paraId="58EECA6D">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中心静脉导管产品注册技术审查指导原则（2017年第14号）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(2017-02-10)</w:t>
      </w:r>
    </w:p>
    <w:p w14:paraId="641A3A1E">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袜型医用压力带注册技术审查指导原则（2017年第14号）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(2017-02-10)</w:t>
      </w:r>
    </w:p>
    <w:p w14:paraId="489EFB2F">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医用磁共振成像系统临床评价技术审查指导原则（2017年第6号）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(2017-01-16)</w:t>
      </w:r>
    </w:p>
    <w:p w14:paraId="336EC8FB">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体外除颤产品注册技术指导原则（2017年第6号）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(2017-01-16)</w:t>
      </w:r>
    </w:p>
    <w:p w14:paraId="5168E332">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口腔颌面锥形束计算机体层摄影设备注册技术审查指导原则（2017年第6号）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(2017-01-16)</w:t>
      </w:r>
    </w:p>
    <w:p w14:paraId="4F75BD4F">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"https://www.cmde.org.cn/CL0112/7849.html"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光固化机注册技术审查指导原则（2017年第6号）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(2017-01-16)</w:t>
      </w:r>
    </w:p>
    <w:p w14:paraId="7563D69C">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人工耳蜗植入系统临床试验指导原则（2017年第3号）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(2017-01-06)</w:t>
      </w:r>
    </w:p>
    <w:p w14:paraId="5C1E058A">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眼科超声乳化和眼前节玻璃体切除设备及附件注册技术审查指导原则（2016年第162号）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(2016-12-06)</w:t>
      </w:r>
    </w:p>
    <w:p w14:paraId="5A45B50E">
      <w:pPr>
        <w:keepNext w:val="0"/>
        <w:keepLines w:val="0"/>
        <w:pageBreakBefore w:val="0"/>
        <w:numPr>
          <w:ilvl w:val="0"/>
          <w:numId w:val="1"/>
        </w:numPr>
        <w:tabs>
          <w:tab w:val="left" w:pos="8490"/>
          <w:tab w:val="left" w:pos="8565"/>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一次性使用血液透析管路注册技术审查指导原则（2016年第146号）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(2016-11-02)</w:t>
      </w:r>
    </w:p>
    <w:p w14:paraId="589D5A08">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人红细胞反定型试剂注册技术审查指导原则（2016年第131号）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(2016-09-30)</w:t>
      </w:r>
    </w:p>
    <w:p w14:paraId="7B46A465">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牙科种植体（系统）注册技术审查指导原则（2016年第70号）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37DD6640">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牙科基托聚合物材料注册技术审查指导原则（2016年第70号）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6B696763">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一次性使用脑积水分流器注册技术审查指导原则（2016年第70号）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4490CA9E">
      <w:pPr>
        <w:keepNext w:val="0"/>
        <w:keepLines w:val="0"/>
        <w:pageBreakBefore w:val="0"/>
        <w:numPr>
          <w:ilvl w:val="0"/>
          <w:numId w:val="1"/>
        </w:numPr>
        <w:tabs>
          <w:tab w:val="left" w:pos="867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可吸收性外科缝线注册技术审查指导原则（2016年第70号）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7DE7D0EB">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脊柱后路内固定系统注册技术审查指导原则 （2016年第70号）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43E85C08">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"https://www.cmde.org.cn/CL0112/7857.html"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椎间融合器注册技术审查指导原则（2016年第70号）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(2016-04-26)</w:t>
      </w:r>
    </w:p>
    <w:p w14:paraId="37755515">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β2-微球蛋白检测试剂盒（胶乳增强免疫比浊法）注册技术审查指导原则（2016年第29号）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1065EC97">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甘油三酯测定试剂盒注册技术审查指导原则（2016年第29号）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1DB2ABCE">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唾液酸检测试剂盒（酶法）注册技术审查指导原则（2016年第29号）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7B49CAF1">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促甲状腺素检测试剂注册技术审查指导原则（2016年第29号）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2D101202">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乳酸脱氢酶测定试剂盒注册技术审查指导原则（2016年第29号）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46143776">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"https://www.cmde.org.cn/CL0112/6230.html"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糖化血红蛋白测定试剂盒（酶法）注册技术审查指导原则（2016年第29号）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0574BDEC">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"https://www.cmde.org.cn/CL0112/6229.html"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白蛋白测定试剂（盒）注册技术审查指导原则（2016年第29号）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(2016-04-17)</w:t>
      </w:r>
    </w:p>
    <w:p w14:paraId="0A0940F0">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自动尿液有形成分分析仪注册技术审查指导原则（2016年修订版）（2016年第22号）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42EB8094">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"https://www.cmde.org.cn/CL0112/6200.html"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助听器注册技术审查指导原则（2016年修订版）（2016年第22号）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5AA5969C">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医用雾化器注册技术审查指导原则（2016年修订版）（2016年第22号）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4C863EF9">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牙科综合治疗机注册技术审查指导原则（2016年修订版）（2016年第22号）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0D5D4019">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血液透析用制水设备注册技术审查指导原则（2016年修订版）（2016年第22号）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1D6B780C">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血糖仪注册技术审查指导原则（2016年修订版）（2016年第22号）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74F772C2">
      <w:pPr>
        <w:keepNext w:val="0"/>
        <w:keepLines w:val="0"/>
        <w:pageBreakBefore w:val="0"/>
        <w:numPr>
          <w:ilvl w:val="0"/>
          <w:numId w:val="1"/>
        </w:numPr>
        <w:tabs>
          <w:tab w:val="left" w:pos="8670"/>
          <w:tab w:val="left" w:pos="872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生化分析仪注册技术审查指导原则（2016年修订版）（2016年第22号）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683DE09C">
      <w:pPr>
        <w:keepNext w:val="0"/>
        <w:keepLines w:val="0"/>
        <w:pageBreakBefore w:val="0"/>
        <w:numPr>
          <w:ilvl w:val="0"/>
          <w:numId w:val="1"/>
        </w:numPr>
        <w:tabs>
          <w:tab w:val="left" w:pos="858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凝血分析仪注册技术审查指导原则（2016年修订版）（2016年第22号）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12B91749">
      <w:pPr>
        <w:keepNext w:val="0"/>
        <w:keepLines w:val="0"/>
        <w:pageBreakBefore w:val="0"/>
        <w:numPr>
          <w:ilvl w:val="0"/>
          <w:numId w:val="1"/>
        </w:numPr>
        <w:tabs>
          <w:tab w:val="left" w:pos="858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半自动化学发光免疫分析仪注册技术审查指导原则（2016年修订版）（2016年第22号）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5BA259E5">
      <w:pPr>
        <w:keepNext w:val="0"/>
        <w:keepLines w:val="0"/>
        <w:pageBreakBefore w:val="0"/>
        <w:numPr>
          <w:ilvl w:val="0"/>
          <w:numId w:val="1"/>
        </w:numPr>
        <w:tabs>
          <w:tab w:val="left" w:pos="858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尿液分析仪注册技术审查指导原则（2016年修订版）（2016年第22号）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18B8DDEB">
      <w:pPr>
        <w:keepNext w:val="0"/>
        <w:keepLines w:val="0"/>
        <w:pageBreakBefore w:val="0"/>
        <w:numPr>
          <w:ilvl w:val="0"/>
          <w:numId w:val="1"/>
        </w:numPr>
        <w:tabs>
          <w:tab w:val="left" w:pos="858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X射线诊断设备（第二类）注册技术审查指导原则（2016年修订版）（2016年第22号）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17C648DB">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电子血压计（示波法）注册技术审查指导原则（2016年修订版）（2016年第22号）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4459C7E2">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磁疗产品注册技术审查指导原则（2016年修订版）（2016年第22号）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(2016-04-06)</w:t>
      </w:r>
    </w:p>
    <w:p w14:paraId="74740479">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治疗呼吸机注册技术审查指导原则（2016年第21号）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773E4D9A">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强脉冲光治疗仪注册技术审查指导原则（2016年第21号）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0BFB3DE3">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脉搏血氧仪设备临床评价技术指导原则（2016年第21号）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013C6C14">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"https://www.cmde.org.cn/CL0112/6180.html"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植入式心脏起搏器注册技术审查指导原则（2016年修订版）（2016年第21号）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5285E061">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医用X射线诊断设备（第三类）注册技术审查指导原则（2016年修订版）（2016年第21号）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45192078">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高频手术设备注册技术审查指导原则（2016年第21号）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56B71D4B">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透明质酸钠类面部注射填充材料注册技术审查指导原则（2016年第7号）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6B4EDAF3">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腹腔、盆腔外科手术用可吸收防粘连产品注册技术审查指导原则（2016年第7号）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76CB7394">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可吸收止血产品注册技术审查指导原则（2016年第7号）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10702843">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α-氰基丙烯酸酯类医用粘合剂注册技术审查指导原则（2016年第6号）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49B081F9">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一次性使用膜式氧合器注册技术审查指导原则（2016年第6号）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(2016-04-05)</w:t>
      </w:r>
    </w:p>
    <w:p w14:paraId="32BC43CD">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缺血修饰白蛋白测定试剂盒注册技术审查指导原则（2016年修订版）（2016年第28号）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1532327D">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医学图像存储传输软件（PACS）注册技术审查指导原则（2016年第27号）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5BBD27D0">
      <w:pPr>
        <w:keepNext w:val="0"/>
        <w:keepLines w:val="0"/>
        <w:pageBreakBefore w:val="0"/>
        <w:numPr>
          <w:ilvl w:val="0"/>
          <w:numId w:val="1"/>
        </w:numPr>
        <w:tabs>
          <w:tab w:val="left" w:pos="8580"/>
          <w:tab w:val="left" w:pos="863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正压通气治疗机注册技术审查指导原则（2016年第27号）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47A79C7C">
      <w:pPr>
        <w:keepNext w:val="0"/>
        <w:keepLines w:val="0"/>
        <w:pageBreakBefore w:val="0"/>
        <w:numPr>
          <w:ilvl w:val="0"/>
          <w:numId w:val="1"/>
        </w:numPr>
        <w:tabs>
          <w:tab w:val="left" w:pos="102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大型蒸汽灭菌器注册技术审查指导原则（2016年第27号）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7D03C242">
      <w:pPr>
        <w:keepNext w:val="0"/>
        <w:keepLines w:val="0"/>
        <w:pageBreakBefore w:val="0"/>
        <w:numPr>
          <w:ilvl w:val="0"/>
          <w:numId w:val="1"/>
        </w:numPr>
        <w:tabs>
          <w:tab w:val="left" w:pos="102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腹膜透析机注册技术审查指导原则（2016年第27号）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39297CE5">
      <w:pPr>
        <w:keepNext w:val="0"/>
        <w:keepLines w:val="0"/>
        <w:pageBreakBefore w:val="0"/>
        <w:numPr>
          <w:ilvl w:val="0"/>
          <w:numId w:val="1"/>
        </w:numPr>
        <w:tabs>
          <w:tab w:val="left" w:pos="102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医用内窥镜冷光源注册技术审查指导原则（2016年第27号）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344EE662">
      <w:pPr>
        <w:keepNext w:val="0"/>
        <w:keepLines w:val="0"/>
        <w:pageBreakBefore w:val="0"/>
        <w:numPr>
          <w:ilvl w:val="0"/>
          <w:numId w:val="1"/>
        </w:numPr>
        <w:tabs>
          <w:tab w:val="left" w:pos="102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振动叩击排痰机注册技术审查指导原则（2016年第27号）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604EFA10">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碱性磷酸酶测定试剂盒注册技术审查指导原则（2016年修订版）（2016年第28号）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21154AF1">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人绒毛膜促性腺激素检测试剂（胶体金免疫层析法）注册技术审查指导原则（2016年修订版）（2016年第28号）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71BB29CE">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C反应蛋白测定试剂盒注册技术审查指导原则（2016年修订版）（2016年第28号）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311B1EAB">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大便隐血（FOB）检测试剂盒（胶体金免疫层析法）注册技术审查指导原则（2016年修订版）（2016年第28号）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56764B21">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"https://www.cmde.org.cn/CL0112/7863.html"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肌酸激酶测定试剂（盒）注册技术审查指导原则（2016年修订版）（2016年第28号）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(2016-03-07)</w:t>
      </w:r>
    </w:p>
    <w:p w14:paraId="5AF22AF9">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全自动化学发光免疫分析仪技术审查指导原则（2015年第93号）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(2015-04-05)</w:t>
      </w:r>
    </w:p>
    <w:p w14:paraId="2987D26C">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人乳头瘤病毒（HPV）核酸检测及基因分型试剂技术审查指导原则（2015年第93号）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(2015-04-05)</w:t>
      </w:r>
    </w:p>
    <w:p w14:paraId="3CDE8053">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"https://www.cmde.org.cn/CL0112/6170.html"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过敏原特异性IgE抗体检测试剂技术审查指导原则（2015年第93号）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(2015-04-05)</w:t>
      </w:r>
    </w:p>
    <w:p w14:paraId="1EB09BE8">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"https://www.cmde.org.cn/CL0112/6169.html"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丙型肝炎病毒核糖核酸测定试剂技术审查指导原则（2015年第93号）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(2015-04-05)</w:t>
      </w:r>
    </w:p>
    <w:p w14:paraId="2C3CC25C">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"https://www.cmde.org.cn/CL0112/6168.html"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结核分枝杆菌复合群核酸检测试剂注册技术审查指导原则（2015年第65号）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(2015-04-05)</w:t>
      </w:r>
    </w:p>
    <w:p w14:paraId="65CB329C">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影像型超声诊断设备（第三类）技术审查指导原则（2015年修订版）（2015年第112号）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0C5ED08F">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离心式血液成分分离设备技术审查指导原则（2015年第112号）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7B011100">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质子/碳离子治疗系统技术审查指导原则（2015年第112号）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06B0110F">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乙型肝炎病毒基因分型检测试剂技术审查指导原则（2015年第32号）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700A7896">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影像型超声诊断设备新技术注册技术审查指导原则（2015年第33号）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6927224A">
      <w:pPr>
        <w:keepNext w:val="0"/>
        <w:keepLines w:val="0"/>
        <w:pageBreakBefore w:val="0"/>
        <w:numPr>
          <w:ilvl w:val="0"/>
          <w:numId w:val="1"/>
        </w:numPr>
        <w:tabs>
          <w:tab w:val="left" w:pos="10290"/>
          <w:tab w:val="left" w:pos="103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医疗器械软件注册技术审查指导原则（2015年第50号）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43402137">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雌激素受体、孕激素受体抗体试剂及检测试剂盒技术审查指导原则（2015年第11号）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727444EB">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"https://www.cmde.org.cn/CL0112/6152.html"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医疗器械临床评价技术指导原则(2015年第14号)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(2015-04-01)</w:t>
      </w:r>
    </w:p>
    <w:p w14:paraId="74A61D5A">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体外诊断试剂临床试验技术指导原则（2014年第16号）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(2014-09-11)</w:t>
      </w:r>
    </w:p>
    <w:p w14:paraId="33AE7D88">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体外诊断试剂说明书编写指导原则（2014年第17号）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(2014-09-11)</w:t>
      </w:r>
    </w:p>
    <w:p w14:paraId="09A87B68">
      <w:pPr>
        <w:keepNext w:val="0"/>
        <w:keepLines w:val="0"/>
        <w:pageBreakBefore w:val="0"/>
        <w:numPr>
          <w:ilvl w:val="0"/>
          <w:numId w:val="1"/>
        </w:numPr>
        <w:tabs>
          <w:tab w:val="left" w:pos="105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医疗器械产品技术要求编写指导原则（2014年第9号）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(2014-05-30)</w:t>
      </w:r>
    </w:p>
    <w:p w14:paraId="3A77873F">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硬性角膜接触镜说明书编写指导原则（2014年第3号）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(2014-04-17)</w:t>
      </w:r>
    </w:p>
    <w:p w14:paraId="54C77B3B">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"https://www.cmde.org.cn/CL0112/7878.html"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软性亲水接触镜说明书编写指导原则（2014年第3号）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(2014-04-17)</w:t>
      </w:r>
    </w:p>
    <w:p w14:paraId="2C48432B">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植入式心脏电极导线产品注册技术审查指导原则（2014年第10号）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(2014-03-31)</w:t>
      </w:r>
    </w:p>
    <w:p w14:paraId="1A6CE36F">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药物滥用检测试剂技术审查指导原则（2014年第2号）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41F78B56">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肿瘤个体化治疗相关基因突变检测试剂技术审查指导原则（2014年第2号）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60DAE48D">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弓形虫、风疹病毒、巨细胞病毒、单纯疱疹病毒抗体及G型免疫球蛋白抗体亲合力检测试剂技术审查指导原则（2014年第2号）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2592021F">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医用磁共振成像系统注册技术审查指导原则(2014年第2号)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7C491950">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金属接骨板内固定系统产品注册技术审查指导原则（2014年第6号）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6EFE39F3">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血液透析浓缩物产品注册技术审查指导原则（2014年第6号）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503B26AC">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一次性使用避光输液器产品注册技术审查指导原则（2014年第6号）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54BE64EE">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一次性使用血液分离器具产品注册技术审查指导原则（2014年第6号）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32108E60">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"https://www.cmde.org.cn/CL0112/6140.html"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牙科树脂类充填材料产品注册技术审查指导原则（2014年第6号）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1696A7D3">
      <w:pPr>
        <w:keepNext w:val="0"/>
        <w:keepLines w:val="0"/>
        <w:pageBreakBefore w:val="0"/>
        <w:numPr>
          <w:ilvl w:val="0"/>
          <w:numId w:val="1"/>
        </w:numPr>
        <w:tabs>
          <w:tab w:val="left" w:pos="10560"/>
          <w:tab w:val="left" w:pos="1061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"https://www.cmde.org.cn/CL0112/6139.html"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心脏射频消融导管产品注册技术审查指导原则（2014年第5号）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(2014-03-29)</w:t>
      </w:r>
    </w:p>
    <w:p w14:paraId="66F470AF">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"https://www.cmde.org.cn/CL0112/6135.html"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一次性使用引流管产品注册技术审查指导原则（2014年第7号）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(2014-03-29</w:t>
      </w:r>
      <w:r>
        <w:rPr>
          <w:rFonts w:hint="eastAsia" w:ascii="Times New Roman" w:hAnsi="Times New Roman" w:eastAsia="微软雅黑" w:cs="Times New Roman"/>
          <w:color w:val="181717" w:themeColor="background2" w:themeShade="1A"/>
          <w:sz w:val="24"/>
          <w:szCs w:val="18"/>
          <w:lang w:eastAsia="zh-CN"/>
        </w:rPr>
        <w:t>）</w:t>
      </w:r>
    </w:p>
    <w:p w14:paraId="0547FEFA">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"https://www.cmde.org.cn/CL0112/6134.html"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医用口罩产品注册技术审查指导原则（2014年第7号）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(2014-03-29</w:t>
      </w:r>
      <w:r>
        <w:rPr>
          <w:rFonts w:hint="eastAsia" w:ascii="Times New Roman" w:hAnsi="Times New Roman" w:eastAsia="微软雅黑" w:cs="Times New Roman"/>
          <w:color w:val="181717" w:themeColor="background2" w:themeShade="1A"/>
          <w:sz w:val="24"/>
          <w:szCs w:val="18"/>
          <w:lang w:eastAsia="zh-CN"/>
        </w:rPr>
        <w:t>）</w:t>
      </w:r>
    </w:p>
    <w:p w14:paraId="34861FFD">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"https://www.cmde.org.cn/CL0112/7888.html"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一次性使用鼻氧管产品注册技术审查指导原则（2013年第8号）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(2013-10-23</w:t>
      </w:r>
      <w:r>
        <w:rPr>
          <w:rFonts w:hint="eastAsia" w:ascii="Times New Roman" w:hAnsi="Times New Roman" w:eastAsia="微软雅黑" w:cs="Times New Roman"/>
          <w:color w:val="181717" w:themeColor="background2" w:themeShade="1A"/>
          <w:sz w:val="24"/>
          <w:szCs w:val="18"/>
          <w:lang w:eastAsia="zh-CN"/>
        </w:rPr>
        <w:t>）</w:t>
      </w:r>
    </w:p>
    <w:p w14:paraId="1CD13D81">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"https://www.cmde.org.cn/CL0112/7887.html"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义齿制作用合金产品注册技术审查指导原则（2013年第8号）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(2013-10-23</w:t>
      </w:r>
      <w:r>
        <w:rPr>
          <w:rFonts w:hint="eastAsia" w:ascii="Times New Roman" w:hAnsi="Times New Roman" w:eastAsia="微软雅黑" w:cs="Times New Roman"/>
          <w:color w:val="181717" w:themeColor="background2" w:themeShade="1A"/>
          <w:sz w:val="24"/>
          <w:szCs w:val="18"/>
          <w:lang w:eastAsia="zh-CN"/>
        </w:rPr>
        <w:t>）</w:t>
      </w:r>
    </w:p>
    <w:p w14:paraId="7BAF860C">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"https://www.cmde.org.cn/CL0112/7885.html"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一次性使用无菌手术包类产品注册技术审查指导原则（2013年第8号）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(2013-10-23</w:t>
      </w:r>
      <w:r>
        <w:rPr>
          <w:rFonts w:hint="eastAsia" w:ascii="Times New Roman" w:hAnsi="Times New Roman" w:eastAsia="微软雅黑" w:cs="Times New Roman"/>
          <w:color w:val="181717" w:themeColor="background2" w:themeShade="1A"/>
          <w:sz w:val="24"/>
          <w:szCs w:val="18"/>
          <w:lang w:eastAsia="zh-CN"/>
        </w:rPr>
        <w:t>）</w:t>
      </w:r>
    </w:p>
    <w:p w14:paraId="64B4BF44">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"https://www.cmde.org.cn/CL0112/7884.html"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负压引流装置产品注册技术审查指导原则（2013年第8号）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(2013-10-23</w:t>
      </w:r>
      <w:r>
        <w:rPr>
          <w:rFonts w:hint="eastAsia" w:ascii="Times New Roman" w:hAnsi="Times New Roman" w:eastAsia="微软雅黑" w:cs="Times New Roman"/>
          <w:color w:val="181717" w:themeColor="background2" w:themeShade="1A"/>
          <w:sz w:val="24"/>
          <w:szCs w:val="18"/>
          <w:lang w:eastAsia="zh-CN"/>
        </w:rPr>
        <w:t>）</w:t>
      </w:r>
    </w:p>
    <w:p w14:paraId="3BBAE1CD">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"https://www.cmde.org.cn/CL0112/6124.html"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流式细胞仪配套用检测试剂注册技术审查指导原则（2013年第3号）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(2013-03-29</w:t>
      </w:r>
      <w:r>
        <w:rPr>
          <w:rFonts w:hint="eastAsia" w:ascii="Times New Roman" w:hAnsi="Times New Roman" w:eastAsia="微软雅黑" w:cs="Times New Roman"/>
          <w:color w:val="181717" w:themeColor="background2" w:themeShade="1A"/>
          <w:sz w:val="24"/>
          <w:szCs w:val="18"/>
          <w:lang w:eastAsia="zh-CN"/>
        </w:rPr>
        <w:t>）</w:t>
      </w:r>
    </w:p>
    <w:p w14:paraId="0493A3F4">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"https://www.cmde.org.cn/CL0112/6123.html"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7"/>
          <w:rFonts w:ascii="Times New Roman" w:hAnsi="Times New Roman" w:eastAsia="微软雅黑" w:cs="Times New Roman"/>
          <w:color w:val="181717" w:themeColor="background2" w:themeShade="1A"/>
          <w:sz w:val="24"/>
          <w:szCs w:val="18"/>
          <w:u w:val="none"/>
        </w:rPr>
        <w:t>人类免疫缺陷病毒检测试剂临床研究注册技术审查指导原则（2013年第3号）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(2013-03-29</w:t>
      </w:r>
      <w:r>
        <w:rPr>
          <w:rFonts w:hint="eastAsia" w:ascii="Times New Roman" w:hAnsi="Times New Roman" w:eastAsia="微软雅黑" w:cs="Times New Roman"/>
          <w:color w:val="181717" w:themeColor="background2" w:themeShade="1A"/>
          <w:sz w:val="24"/>
          <w:szCs w:val="18"/>
          <w:lang w:eastAsia="zh-CN"/>
        </w:rPr>
        <w:t>）</w:t>
      </w:r>
    </w:p>
    <w:p w14:paraId="215914A4">
      <w:pPr>
        <w:keepNext w:val="0"/>
        <w:keepLines w:val="0"/>
        <w:pageBreakBefore w:val="0"/>
        <w:numPr>
          <w:ilvl w:val="0"/>
          <w:numId w:val="1"/>
        </w:numPr>
        <w:tabs>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olor w:val="181717" w:themeColor="background2" w:themeShade="1A"/>
          <w:sz w:val="24"/>
          <w:szCs w:val="18"/>
          <w:lang w:eastAsia="zh-CN"/>
        </w:rPr>
      </w:pPr>
      <w:r>
        <w:rPr>
          <w:rFonts w:ascii="Times New Roman" w:hAnsi="Times New Roman" w:eastAsia="微软雅黑" w:cs="Times New Roman"/>
          <w:color w:val="181717" w:themeColor="background2" w:themeShade="1A"/>
          <w:sz w:val="24"/>
          <w:szCs w:val="18"/>
          <w:u w:val="none"/>
        </w:rPr>
        <w:fldChar w:fldCharType="begin"/>
      </w:r>
      <w:r>
        <w:rPr>
          <w:rFonts w:ascii="Times New Roman" w:hAnsi="Times New Roman" w:eastAsia="微软雅黑" w:cs="Times New Roman"/>
          <w:color w:val="181717" w:themeColor="background2" w:themeShade="1A"/>
          <w:sz w:val="24"/>
          <w:szCs w:val="18"/>
          <w:u w:val="none"/>
        </w:rPr>
        <w:instrText xml:space="preserve"> HYPERLINK "https://www.cmde.org.cn/CL0112/6122.html" \t "https://www.cmde.org.cn/CL0112/_blank" </w:instrText>
      </w:r>
      <w:r>
        <w:rPr>
          <w:rFonts w:ascii="Times New Roman" w:hAnsi="Times New Roman" w:eastAsia="微软雅黑" w:cs="Times New Roman"/>
          <w:color w:val="181717" w:themeColor="background2" w:themeShade="1A"/>
          <w:sz w:val="24"/>
          <w:szCs w:val="18"/>
          <w:u w:val="none"/>
        </w:rPr>
        <w:fldChar w:fldCharType="separate"/>
      </w:r>
      <w:r>
        <w:rPr>
          <w:rStyle w:val="6"/>
          <w:rFonts w:ascii="Times New Roman" w:hAnsi="Times New Roman" w:eastAsia="微软雅黑" w:cs="Times New Roman"/>
          <w:color w:val="181717" w:themeColor="background2" w:themeShade="1A"/>
          <w:sz w:val="24"/>
          <w:szCs w:val="18"/>
          <w:u w:val="none"/>
        </w:rPr>
        <w:t>病原体特异性M型免疫球蛋白定性检测试剂注册技术审查指导原则（2013年第3号）</w:t>
      </w:r>
      <w:r>
        <w:rPr>
          <w:rFonts w:ascii="Times New Roman" w:hAnsi="Times New Roman" w:eastAsia="微软雅黑" w:cs="Times New Roman"/>
          <w:color w:val="181717" w:themeColor="background2" w:themeShade="1A"/>
          <w:sz w:val="24"/>
          <w:szCs w:val="18"/>
          <w:u w:val="none"/>
        </w:rPr>
        <w:fldChar w:fldCharType="end"/>
      </w:r>
      <w:r>
        <w:rPr>
          <w:rFonts w:ascii="Times New Roman" w:hAnsi="Times New Roman" w:eastAsia="微软雅黑" w:cs="Times New Roman"/>
          <w:color w:val="181717" w:themeColor="background2" w:themeShade="1A"/>
          <w:sz w:val="24"/>
          <w:szCs w:val="18"/>
        </w:rPr>
        <w:t>(2013-03-29</w:t>
      </w:r>
      <w:r>
        <w:rPr>
          <w:rFonts w:hint="eastAsia" w:ascii="Times New Roman" w:hAnsi="Times New Roman" w:eastAsia="微软雅黑" w:cs="Times New Roman"/>
          <w:color w:val="181717" w:themeColor="background2" w:themeShade="1A"/>
          <w:sz w:val="24"/>
          <w:szCs w:val="18"/>
          <w:lang w:eastAsia="zh-CN"/>
        </w:rPr>
        <w:t>）</w:t>
      </w:r>
    </w:p>
    <w:p w14:paraId="57585972">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"https://www.cmde.org.cn/CL0112/6121.html"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乙型肝炎病毒脱氧核糖核酸定量检测试剂注册技术审查指导原则（2013年第3号）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(2013-03-29)</w:t>
      </w:r>
    </w:p>
    <w:p w14:paraId="18005AD2">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"https://www.cmde.org.cn/CL0112/6120.html"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疝修补补片产品注册技术审查指导原则(2013年第7号)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(2013-03-28)</w:t>
      </w:r>
    </w:p>
    <w:p w14:paraId="6F806D57">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一次性使用透析器产品注册技术审查指导原则（2013年第3号）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7704969C">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生物芯片类检测试剂注册技术审查指导原则（2013年第3号）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642031DB">
      <w:pPr>
        <w:keepNext w:val="0"/>
        <w:keepLines w:val="0"/>
        <w:pageBreakBefore w:val="0"/>
        <w:numPr>
          <w:ilvl w:val="0"/>
          <w:numId w:val="1"/>
        </w:numPr>
        <w:tabs>
          <w:tab w:val="left" w:pos="786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金标类检测试剂注册技术审查指导原则（2013年第3号）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288EF15A">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核酸扩增法检测试剂注册技术审查指导原则（2013年第3号）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54A124EA">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发光免疫类检测试剂注册技术审查指导原则（2013年第3号）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4C67A117">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"https://www.cmde.org.cn/CL0112/7889.html"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酶联免疫法检测试剂注册技术审查指导原则（2013年第3号）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(2013-01-04)</w:t>
      </w:r>
    </w:p>
    <w:p w14:paraId="5210FE6A">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全瓷义齿用氧化锆瓷块产品注册技术审查指导原则（2012年第210号）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(2012-05-10)</w:t>
      </w:r>
    </w:p>
    <w:p w14:paraId="72AC41BF">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麻醉机和呼吸机用呼吸管路产品注册技术审查指导原则（2012年第210号）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(2012-05-10)</w:t>
      </w:r>
    </w:p>
    <w:p w14:paraId="2F8E0C37">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手术动力设备产品注册技术审查指导原则（2012年第210号）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(2012-05-10)</w:t>
      </w:r>
    </w:p>
    <w:p w14:paraId="78AA7031">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流行性感冒病毒抗原检测试剂注册申报资料指导原则（2011年第540号）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(2011-12-23)</w:t>
      </w:r>
    </w:p>
    <w:p w14:paraId="5C7ED63A">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"https://www.cmde.org.cn/CL0112/7899.html"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流行性感冒病毒核酸检测试剂注册申报资料指导原则（2011年第540号）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(2011-12-23)</w:t>
      </w:r>
    </w:p>
    <w:p w14:paraId="038DDC2D">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一次性使用手术衣产品注册技术审查指导原则（食药监办械函[2011]187号）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(2011-05-11)</w:t>
      </w:r>
    </w:p>
    <w:p w14:paraId="1FE7303D">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天然胶乳橡胶避孕套产品注册技术审查指导原则（食药监办械函[2011]187号）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(2011-05-11)</w:t>
      </w:r>
    </w:p>
    <w:p w14:paraId="13D1FB71">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定制式义齿产品注册技术审查指导原则（食药监办械函[2011]187号）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(2011-05-11)</w:t>
      </w:r>
    </w:p>
    <w:p w14:paraId="61D4AE36">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一次性使用真空采血管产品注册技术审查指导原则（食药监办械函[2011]187号）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(2011-05-11)</w:t>
      </w:r>
    </w:p>
    <w:p w14:paraId="6EEF4DAC">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3A类半导体激光治疗机产品注册技术审查指导原则（食药监办械函[2011]187号）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(2011-05-11)</w:t>
      </w:r>
    </w:p>
    <w:p w14:paraId="799F6858">
      <w:pPr>
        <w:keepNext w:val="0"/>
        <w:keepLines w:val="0"/>
        <w:pageBreakBefore w:val="0"/>
        <w:numPr>
          <w:ilvl w:val="0"/>
          <w:numId w:val="1"/>
        </w:numPr>
        <w:tabs>
          <w:tab w:val="left" w:pos="7860"/>
          <w:tab w:val="left" w:pos="7866"/>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"https://www.cmde.org.cn/CL0112/7906.html"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角膜塑形用硬性透气接触镜说明书编写指导原则（食药监办械函[2011]143号）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(2011-04-11)</w:t>
      </w:r>
    </w:p>
    <w:p w14:paraId="46BF376D">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"https://www.cmde.org.cn/CL0112/7913.html"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乳房植入体产品注册技术审查指导原则（食药监办械函[2011]116号）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6D70638B">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接触镜护理产品注册技术审查指导原则（食药监办械函[2011]116号）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266C28D1">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同种异体植入性医疗器械病毒灭活工艺验证技术审查指导原则（食药监办械函[2011]116号）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1A59931A">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"https://www.cmde.org.cn/CL0112/7910.html"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一次性使用输注器具产品注册技术审查指导原则（食药监办械函[2011]116号）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0A115F48">
      <w:pPr>
        <w:keepNext w:val="0"/>
        <w:keepLines w:val="0"/>
        <w:pageBreakBefore w:val="0"/>
        <w:numPr>
          <w:ilvl w:val="0"/>
          <w:numId w:val="1"/>
        </w:numPr>
        <w:tabs>
          <w:tab w:val="left" w:pos="939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体外诊断试剂分析性能评估（准确度-方法学比对）技术审查指导原则（食药监办械函[2011]116号）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33B8BE94">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"https://www.cmde.org.cn/CL0112/7908.html"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体外诊断试剂分析性能评估（准确度-回收试验）技术审查指导原则（食药监办械函[2011]116号）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53CEEEDC">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"https://www.cmde.org.cn/CL0112/7907.html"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肿瘤标志物类定量检测试剂注册申报资料指导原则（食药监办械函[2011]116号）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(2011-03-24)</w:t>
      </w:r>
    </w:p>
    <w:p w14:paraId="5346746F">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"https://www.cmde.org.cn/CL0112/7914.html"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自测用血糖监测系统注册申报资料指导原则（食药监办械函[2010]438号）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(2010-10-18)</w:t>
      </w:r>
    </w:p>
    <w:p w14:paraId="52D17EEC">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"https://www.cmde.org.cn/CL0112/7915.html"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无源植入性医疗器械产品注册申报资料指导原则（食药监办械函[2009]519号）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(2009-12-30)</w:t>
      </w:r>
    </w:p>
    <w:p w14:paraId="28F222D1">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"https://www.cmde.org.cn/CL0112/7917.html"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B型超声诊断设备（第二类）产品注册技术审查指导原则（食药监办械函[2009]231号）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(2009-06-18)</w:t>
      </w:r>
    </w:p>
    <w:p w14:paraId="191E2FC0">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"https://www.cmde.org.cn/CL0112/7921.html"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胃管产品注册技术审查指导原则（食药监办械函[2009]95号）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(2009-03-18)</w:t>
      </w:r>
    </w:p>
    <w:p w14:paraId="11C3456E">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sz w:val="24"/>
          <w:szCs w:val="18"/>
          <w:lang w:eastAsia="zh-CN"/>
        </w:rPr>
      </w:pP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"https://www.cmde.org.cn/CL0112/7919.html"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7"/>
          <w:rFonts w:hint="eastAsia" w:ascii="Times New Roman" w:hAnsi="Times New Roman" w:eastAsia="微软雅黑" w:cs="Times New Roman"/>
          <w:caps w:val="0"/>
          <w:color w:val="181717" w:themeColor="background2" w:themeShade="1A"/>
          <w:spacing w:val="0"/>
          <w:sz w:val="24"/>
          <w:szCs w:val="18"/>
          <w:u w:val="none"/>
        </w:rPr>
        <w:t>气管插管产品注册技术审查指导原则（食药监办械函[2009]95号）</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(2009-03-18)</w:t>
      </w:r>
    </w:p>
    <w:p w14:paraId="2B01E594">
      <w:pPr>
        <w:keepNext w:val="0"/>
        <w:keepLines w:val="0"/>
        <w:pageBreakBefore w:val="0"/>
        <w:numPr>
          <w:ilvl w:val="0"/>
          <w:numId w:val="1"/>
        </w:numPr>
        <w:tabs>
          <w:tab w:val="left" w:pos="9390"/>
          <w:tab w:val="left" w:pos="9440"/>
          <w:tab w:val="clear" w:pos="420"/>
        </w:tabs>
        <w:kinsoku/>
        <w:wordWrap/>
        <w:overflowPunct/>
        <w:topLinePunct w:val="0"/>
        <w:autoSpaceDE/>
        <w:autoSpaceDN/>
        <w:bidi w:val="0"/>
        <w:adjustRightInd/>
        <w:snapToGrid w:val="0"/>
        <w:spacing w:line="360" w:lineRule="auto"/>
        <w:ind w:left="425" w:leftChars="0" w:hanging="425" w:firstLineChars="0"/>
        <w:jc w:val="both"/>
        <w:textAlignment w:val="auto"/>
        <w:rPr>
          <w:rFonts w:hint="eastAsia" w:ascii="Times New Roman" w:hAnsi="Times New Roman" w:eastAsia="微软雅黑" w:cs="Times New Roman"/>
          <w:caps w:val="0"/>
          <w:color w:val="181717" w:themeColor="background2" w:themeShade="1A"/>
          <w:spacing w:val="0"/>
          <w:kern w:val="0"/>
          <w:sz w:val="24"/>
          <w:szCs w:val="18"/>
          <w:lang w:val="en-US" w:eastAsia="zh-CN" w:bidi="ar"/>
        </w:rPr>
      </w:pPr>
      <w:bookmarkStart w:id="0" w:name="_Ref15335"/>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begin"/>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instrText xml:space="preserve"> HYPERLINK "https://www.cmde.org.cn/CL0112/7922.html" \t "https://www.cmde.org.cn/CL0112/_blank" </w:instrTex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separate"/>
      </w:r>
      <w:r>
        <w:rPr>
          <w:rStyle w:val="6"/>
          <w:rFonts w:hint="eastAsia" w:ascii="Times New Roman" w:hAnsi="Times New Roman" w:eastAsia="微软雅黑" w:cs="Times New Roman"/>
          <w:caps w:val="0"/>
          <w:color w:val="181717" w:themeColor="background2" w:themeShade="1A"/>
          <w:spacing w:val="0"/>
          <w:sz w:val="24"/>
          <w:szCs w:val="18"/>
          <w:u w:val="none"/>
        </w:rPr>
        <w:t>含药医疗器械产品注册申报资料撰写指导原则</w:t>
      </w:r>
      <w:r>
        <w:rPr>
          <w:rFonts w:hint="eastAsia" w:ascii="Times New Roman" w:hAnsi="Times New Roman" w:eastAsia="微软雅黑" w:cs="Times New Roman"/>
          <w:caps w:val="0"/>
          <w:color w:val="181717" w:themeColor="background2" w:themeShade="1A"/>
          <w:spacing w:val="0"/>
          <w:kern w:val="0"/>
          <w:sz w:val="24"/>
          <w:szCs w:val="18"/>
          <w:u w:val="none"/>
          <w:lang w:val="en-US" w:eastAsia="zh-CN" w:bidi="ar"/>
        </w:rPr>
        <w:fldChar w:fldCharType="end"/>
      </w:r>
      <w:r>
        <w:rPr>
          <w:rFonts w:hint="eastAsia" w:ascii="Times New Roman" w:hAnsi="Times New Roman" w:eastAsia="微软雅黑" w:cs="Times New Roman"/>
          <w:caps w:val="0"/>
          <w:color w:val="181717" w:themeColor="background2" w:themeShade="1A"/>
          <w:spacing w:val="0"/>
          <w:kern w:val="0"/>
          <w:sz w:val="24"/>
          <w:szCs w:val="18"/>
          <w:lang w:val="en-US" w:eastAsia="zh-CN" w:bidi="ar"/>
        </w:rPr>
        <w:t>(2009-02-20)</w:t>
      </w:r>
      <w:bookmarkEnd w:id="0"/>
    </w:p>
    <w:p w14:paraId="36D9FD00">
      <w:pPr>
        <w:tabs>
          <w:tab w:val="left" w:pos="9390"/>
          <w:tab w:val="left" w:pos="9440"/>
        </w:tabs>
        <w:rPr>
          <w:rFonts w:hint="eastAsia" w:ascii="宋体" w:hAnsi="宋体" w:eastAsia="宋体" w:cs="宋体"/>
          <w:caps w:val="0"/>
          <w:color w:val="181717" w:themeColor="background2" w:themeShade="1A"/>
          <w:spacing w:val="0"/>
          <w:kern w:val="0"/>
          <w:sz w:val="18"/>
          <w:szCs w:val="18"/>
          <w:lang w:val="en-US" w:eastAsia="zh-CN" w:bidi="ar"/>
        </w:rPr>
      </w:pPr>
    </w:p>
    <w:p w14:paraId="34792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lang w:eastAsia="zh-CN"/>
        </w:rPr>
      </w:pPr>
    </w:p>
    <w:p w14:paraId="056DA0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lang w:eastAsia="zh-CN"/>
        </w:rPr>
      </w:pPr>
    </w:p>
    <w:p w14:paraId="1E0DF3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306C">
    <w:pPr>
      <w:pStyle w:val="2"/>
      <w:rPr>
        <w:color w:val="767171" w:themeColor="background2" w:themeShade="8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004C2">
                          <w:pPr>
                            <w:pStyle w:val="2"/>
                            <w:rPr>
                              <w:color w:val="767171" w:themeColor="background2" w:themeShade="80"/>
                            </w:rPr>
                          </w:pPr>
                          <w:r>
                            <w:rPr>
                              <w:color w:val="767171" w:themeColor="background2" w:themeShade="80"/>
                            </w:rPr>
                            <w:fldChar w:fldCharType="begin"/>
                          </w:r>
                          <w:r>
                            <w:instrText xml:space="preserve"> PAGE  \* MERGEFORMAT </w:instrText>
                          </w:r>
                          <w:r>
                            <w:rPr>
                              <w:color w:val="767171" w:themeColor="background2" w:themeShade="80"/>
                            </w:rPr>
                            <w:fldChar w:fldCharType="separate"/>
                          </w:r>
                          <w:r>
                            <w:t>1</w:t>
                          </w:r>
                          <w:r>
                            <w:rPr>
                              <w:color w:val="767171" w:themeColor="background2" w:themeShade="80"/>
                            </w:rPr>
                            <w:fldChar w:fldCharType="end"/>
                          </w:r>
                          <w:r>
                            <w:rPr>
                              <w:color w:val="767171" w:themeColor="background2" w:themeShade="80"/>
                            </w:rPr>
                            <w:t xml:space="preserve"> / </w:t>
                          </w:r>
                          <w:r>
                            <w:rPr>
                              <w:color w:val="767171" w:themeColor="background2" w:themeShade="80"/>
                            </w:rPr>
                            <w:fldChar w:fldCharType="begin"/>
                          </w:r>
                          <w:r>
                            <w:instrText xml:space="preserve"> NUMPAGES  \* MERGEFORMAT </w:instrText>
                          </w:r>
                          <w:r>
                            <w:rPr>
                              <w:color w:val="767171" w:themeColor="background2" w:themeShade="80"/>
                            </w:rPr>
                            <w:fldChar w:fldCharType="separate"/>
                          </w:r>
                          <w:r>
                            <w:t>28</w:t>
                          </w:r>
                          <w:r>
                            <w:rPr>
                              <w:color w:val="767171" w:themeColor="background2" w:themeShade="8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D004C2">
                    <w:pPr>
                      <w:pStyle w:val="2"/>
                      <w:rPr>
                        <w:color w:val="767171" w:themeColor="background2" w:themeShade="80"/>
                      </w:rPr>
                    </w:pPr>
                    <w:r>
                      <w:rPr>
                        <w:color w:val="767171" w:themeColor="background2" w:themeShade="80"/>
                      </w:rPr>
                      <w:fldChar w:fldCharType="begin"/>
                    </w:r>
                    <w:r>
                      <w:instrText xml:space="preserve"> PAGE  \* MERGEFORMAT </w:instrText>
                    </w:r>
                    <w:r>
                      <w:rPr>
                        <w:color w:val="767171" w:themeColor="background2" w:themeShade="80"/>
                      </w:rPr>
                      <w:fldChar w:fldCharType="separate"/>
                    </w:r>
                    <w:r>
                      <w:t>1</w:t>
                    </w:r>
                    <w:r>
                      <w:rPr>
                        <w:color w:val="767171" w:themeColor="background2" w:themeShade="80"/>
                      </w:rPr>
                      <w:fldChar w:fldCharType="end"/>
                    </w:r>
                    <w:r>
                      <w:rPr>
                        <w:color w:val="767171" w:themeColor="background2" w:themeShade="80"/>
                      </w:rPr>
                      <w:t xml:space="preserve"> / </w:t>
                    </w:r>
                    <w:r>
                      <w:rPr>
                        <w:color w:val="767171" w:themeColor="background2" w:themeShade="80"/>
                      </w:rPr>
                      <w:fldChar w:fldCharType="begin"/>
                    </w:r>
                    <w:r>
                      <w:instrText xml:space="preserve"> NUMPAGES  \* MERGEFORMAT </w:instrText>
                    </w:r>
                    <w:r>
                      <w:rPr>
                        <w:color w:val="767171" w:themeColor="background2" w:themeShade="80"/>
                      </w:rPr>
                      <w:fldChar w:fldCharType="separate"/>
                    </w:r>
                    <w:r>
                      <w:t>28</w:t>
                    </w:r>
                    <w:r>
                      <w:rPr>
                        <w:color w:val="767171" w:themeColor="background2" w:themeShade="8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361F">
    <w:pPr>
      <w:pStyle w:val="3"/>
      <w:pBdr>
        <w:bottom w:val="single" w:color="auto" w:sz="4" w:space="1"/>
      </w:pBdr>
      <w:rPr>
        <w:rFonts w:hint="default" w:eastAsiaTheme="minorEastAsia"/>
        <w:lang w:val="en-US" w:eastAsia="zh-CN"/>
      </w:rPr>
    </w:pPr>
    <w:r>
      <w:rPr>
        <w:rFonts w:hint="eastAsia"/>
        <w:lang w:val="en-US" w:eastAsia="zh-CN"/>
      </w:rPr>
      <w:tab/>
    </w:r>
    <w:r>
      <w:rPr>
        <w:rFonts w:hint="eastAsia"/>
        <w:lang w:val="en-US" w:eastAsia="zh-CN"/>
      </w:rPr>
      <w:tab/>
    </w: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531DA"/>
    <w:multiLevelType w:val="multilevel"/>
    <w:tmpl w:val="F4D531DA"/>
    <w:lvl w:ilvl="0" w:tentative="0">
      <w:start w:val="1"/>
      <w:numFmt w:val="decimal"/>
      <w:suff w:val="space"/>
      <w:lvlText w:val="%1."/>
      <w:lvlJc w:val="left"/>
      <w:pPr>
        <w:tabs>
          <w:tab w:val="left" w:pos="420"/>
        </w:tabs>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3152A"/>
    <w:rsid w:val="00701006"/>
    <w:rsid w:val="0AF04ED5"/>
    <w:rsid w:val="10097C69"/>
    <w:rsid w:val="14C03A35"/>
    <w:rsid w:val="1AC30F21"/>
    <w:rsid w:val="1AC3152A"/>
    <w:rsid w:val="1DAB252F"/>
    <w:rsid w:val="20895C04"/>
    <w:rsid w:val="237C068F"/>
    <w:rsid w:val="2594721A"/>
    <w:rsid w:val="26234969"/>
    <w:rsid w:val="265C51CF"/>
    <w:rsid w:val="2FA24F76"/>
    <w:rsid w:val="30BE593C"/>
    <w:rsid w:val="3197332A"/>
    <w:rsid w:val="34196C2F"/>
    <w:rsid w:val="348122A9"/>
    <w:rsid w:val="39A5683E"/>
    <w:rsid w:val="3B1777BC"/>
    <w:rsid w:val="3B9B40F2"/>
    <w:rsid w:val="41D97F95"/>
    <w:rsid w:val="42E20D2C"/>
    <w:rsid w:val="4543536D"/>
    <w:rsid w:val="477E3BDC"/>
    <w:rsid w:val="49D16C2C"/>
    <w:rsid w:val="4C4A5055"/>
    <w:rsid w:val="4D2834B7"/>
    <w:rsid w:val="4F200586"/>
    <w:rsid w:val="50DC6784"/>
    <w:rsid w:val="50DD00D7"/>
    <w:rsid w:val="583112A1"/>
    <w:rsid w:val="5B4E266C"/>
    <w:rsid w:val="61E63369"/>
    <w:rsid w:val="623A23AD"/>
    <w:rsid w:val="6D39430E"/>
    <w:rsid w:val="71FC5C17"/>
    <w:rsid w:val="733D5C58"/>
    <w:rsid w:val="7B7C7F86"/>
    <w:rsid w:val="7BAD77C2"/>
    <w:rsid w:val="7D6B6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BMC</Company>
  <Pages>26</Pages>
  <Words>11713</Words>
  <Characters>19419</Characters>
  <Lines>0</Lines>
  <Paragraphs>0</Paragraphs>
  <TotalTime>3</TotalTime>
  <ScaleCrop>false</ScaleCrop>
  <LinksUpToDate>false</LinksUpToDate>
  <CharactersWithSpaces>19431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2021-06-03T07:18:00Z</dcterms:created>
  <dc:creator>王华建</dc:creator>
  <cp:lastModifiedBy>太极箫客</cp:lastModifiedBy>
  <dcterms:modified xsi:type="dcterms:W3CDTF">2025-08-14T06:28:38Z</dcterms:modified>
  <dc:title>国家药监局已发布的医疗器械
注册技术审查指导原则目录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E029B5EC247140CC8B1C92A7AB9C0785</vt:lpwstr>
  </property>
  <property fmtid="{D5CDD505-2E9C-101B-9397-08002B2CF9AE}" pid="4" name="KSOTemplateDocerSaveRecord">
    <vt:lpwstr>eyJoZGlkIjoiMDJiMzI3ODBiNTFmMWRjNDUyMjM1ZmZjODY5NDc2MWMiLCJ1c2VySWQiOiI0NTQ4Nzg1NzAifQ==</vt:lpwstr>
  </property>
</Properties>
</file>