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DF404">
      <w:pPr>
        <w:pBdr>
          <w:bottom w:val="single" w:color="auto" w:sz="4" w:space="0"/>
        </w:pBd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bookmarkStart w:id="13" w:name="_GoBack"/>
      <w:bookmarkEnd w:id="13"/>
      <w:r>
        <w:rPr>
          <w:rFonts w:ascii="Times New Roman" w:hAnsi="Times New Roman" w:eastAsia="宋体" w:cs="宋体"/>
          <w:b/>
          <w:sz w:val="44"/>
          <w:lang w:eastAsia="zh-CN"/>
        </w:rPr>
        <w:t>与完好皮肤接触的某些器械的生物相容性的选择更新</w:t>
      </w:r>
    </w:p>
    <w:p w14:paraId="5187163E">
      <w:pP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r>
        <w:rPr>
          <w:rFonts w:ascii="Times New Roman" w:hAnsi="Times New Roman" w:eastAsia="宋体" w:cs="宋体"/>
          <w:b/>
          <w:sz w:val="44"/>
          <w:lang w:eastAsia="zh-CN"/>
        </w:rPr>
        <w:t>行业和美国食品药品监督管理局工作人员指南草案</w:t>
      </w:r>
    </w:p>
    <w:p w14:paraId="466D2BBA">
      <w:pPr>
        <w:pStyle w:val="17"/>
        <w:adjustRightInd w:val="0"/>
        <w:snapToGrid w:val="0"/>
        <w:spacing w:before="120" w:beforeLines="50" w:after="0" w:line="300" w:lineRule="auto"/>
        <w:jc w:val="center"/>
        <w:rPr>
          <w:rFonts w:eastAsia="宋体"/>
          <w:b/>
          <w:bCs/>
          <w:i/>
          <w:iCs/>
          <w:snapToGrid w:val="0"/>
          <w:lang w:eastAsia="zh-CN"/>
        </w:rPr>
      </w:pPr>
      <w:r>
        <w:rPr>
          <w:rFonts w:eastAsia="宋体" w:cs="宋体"/>
          <w:b/>
          <w:bCs/>
          <w:i/>
          <w:iCs/>
          <w:lang w:eastAsia="zh-CN"/>
        </w:rPr>
        <w:t>指南草案</w:t>
      </w:r>
    </w:p>
    <w:p w14:paraId="65336B4A">
      <w:pPr>
        <w:adjustRightInd w:val="0"/>
        <w:snapToGrid w:val="0"/>
        <w:spacing w:before="120" w:beforeLines="50" w:line="300" w:lineRule="auto"/>
        <w:jc w:val="center"/>
        <w:rPr>
          <w:rFonts w:ascii="Times New Roman" w:hAnsi="Times New Roman" w:eastAsia="宋体" w:cs="Times New Roman"/>
          <w:b/>
          <w:snapToGrid w:val="0"/>
          <w:lang w:eastAsia="zh-CN"/>
        </w:rPr>
      </w:pPr>
      <w:r>
        <w:rPr>
          <w:rFonts w:ascii="Times New Roman" w:hAnsi="Times New Roman" w:eastAsia="宋体" w:cs="宋体"/>
          <w:b/>
          <w:lang w:eastAsia="zh-CN"/>
        </w:rPr>
        <w:t>本指南草案仅供征求意见</w:t>
      </w:r>
    </w:p>
    <w:p w14:paraId="00A7E53B">
      <w:pPr>
        <w:adjustRightInd w:val="0"/>
        <w:snapToGrid w:val="0"/>
        <w:spacing w:before="120" w:beforeLines="50" w:line="300" w:lineRule="auto"/>
        <w:jc w:val="center"/>
        <w:rPr>
          <w:rFonts w:ascii="Times New Roman" w:hAnsi="Times New Roman" w:eastAsia="宋体" w:cs="Times New Roman"/>
          <w:b/>
          <w:snapToGrid w:val="0"/>
          <w:lang w:eastAsia="zh-CN"/>
        </w:rPr>
      </w:pPr>
      <w:r>
        <w:rPr>
          <w:rFonts w:ascii="Times New Roman" w:hAnsi="Times New Roman" w:eastAsia="宋体" w:cs="宋体"/>
          <w:b/>
          <w:lang w:eastAsia="zh-CN"/>
        </w:rPr>
        <w:t>本文件发布日期：2020年10月15日</w:t>
      </w:r>
    </w:p>
    <w:p w14:paraId="4411B8C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应在《联邦公报》刊登通知向公众宣布已发布本草案指南后的60天之内提出针对本文件草案的意见和建议。电子版意见和建议可随时提交至</w:t>
      </w:r>
      <w:r>
        <w:fldChar w:fldCharType="begin"/>
      </w:r>
      <w:r>
        <w:instrText xml:space="preserve"> HYPERLINK "https://www.regulations.gov/" </w:instrText>
      </w:r>
      <w:r>
        <w:fldChar w:fldCharType="separate"/>
      </w:r>
      <w:r>
        <w:rPr>
          <w:rFonts w:ascii="Times New Roman" w:hAnsi="Times New Roman" w:eastAsia="宋体" w:cs="宋体"/>
          <w:snapToGrid w:val="0"/>
          <w:color w:val="0000FF"/>
          <w:u w:val="single"/>
          <w:lang w:eastAsia="zh-CN"/>
        </w:rPr>
        <w:t>https://www.regulations.gov</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snapToGrid w:val="0"/>
          <w:color w:val="0000FF"/>
          <w:u w:val="single"/>
          <w:lang w:eastAsia="zh-CN"/>
        </w:rPr>
        <w:t>，供</w:t>
      </w:r>
      <w:r>
        <w:rPr>
          <w:rFonts w:hint="eastAsia" w:ascii="Times New Roman" w:hAnsi="Times New Roman" w:eastAsia="宋体" w:cs="宋体"/>
          <w:snapToGrid w:val="0"/>
          <w:color w:val="0000FF"/>
          <w:u w:val="single"/>
          <w:lang w:eastAsia="zh-CN"/>
        </w:rPr>
        <w:t>FDA审议</w:t>
      </w:r>
      <w:r>
        <w:rPr>
          <w:rFonts w:ascii="Times New Roman" w:hAnsi="Times New Roman" w:eastAsia="宋体" w:cs="宋体"/>
          <w:lang w:eastAsia="zh-CN"/>
        </w:rPr>
        <w:t>。可将书面意见提交至美国食品药品监督管理局文档管理处的工作人员（HFA-305），5630 Fishers Lane, rm. 1061, Rockville, MD 20852</w:t>
      </w:r>
      <w:r>
        <w:rPr>
          <w:rFonts w:hint="eastAsia" w:ascii="Times New Roman" w:hAnsi="Times New Roman" w:eastAsia="宋体" w:cs="宋体"/>
          <w:lang w:eastAsia="zh-CN"/>
        </w:rPr>
        <w:t>。</w:t>
      </w:r>
      <w:r>
        <w:rPr>
          <w:rFonts w:ascii="Times New Roman" w:hAnsi="Times New Roman" w:eastAsia="宋体" w:cs="宋体"/>
          <w:lang w:eastAsia="zh-CN"/>
        </w:rPr>
        <w:t>所提交的意见中必须注明《联邦公报》发布的通知中列示的备案编号。</w:t>
      </w:r>
    </w:p>
    <w:p w14:paraId="76E9F0B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如对本文件有任何疑问，请发送电子邮件至</w:t>
      </w:r>
      <w:r>
        <w:fldChar w:fldCharType="begin"/>
      </w:r>
      <w:r>
        <w:instrText xml:space="preserve"> HYPERLINK "mailto:CDRH.Biocomp@fda.hhs.gov" </w:instrText>
      </w:r>
      <w:r>
        <w:fldChar w:fldCharType="separate"/>
      </w:r>
      <w:r>
        <w:rPr>
          <w:rFonts w:ascii="Times New Roman" w:hAnsi="Times New Roman" w:eastAsia="宋体" w:cs="宋体"/>
          <w:snapToGrid w:val="0"/>
          <w:color w:val="0000FF"/>
          <w:u w:val="single"/>
          <w:lang w:eastAsia="zh-CN"/>
        </w:rPr>
        <w:t>CDRH.Biocomp@fda.hhs.gov</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或致电(301)-796-5701联系产品质量和评价办公室（OPEQ）/临床和科学政策工作人员。</w:t>
      </w:r>
    </w:p>
    <w:p w14:paraId="07C5C7E0">
      <w:pPr>
        <w:adjustRightInd w:val="0"/>
        <w:snapToGrid w:val="0"/>
        <w:spacing w:before="120" w:beforeLines="50" w:line="300" w:lineRule="auto"/>
        <w:jc w:val="center"/>
        <w:rPr>
          <w:rFonts w:ascii="Times New Roman" w:hAnsi="Times New Roman" w:eastAsia="宋体" w:cs="Times New Roman"/>
          <w:b/>
          <w:snapToGrid w:val="0"/>
          <w:lang w:eastAsia="zh-CN"/>
        </w:rPr>
      </w:pPr>
      <w:r>
        <w:rPr>
          <w:rFonts w:ascii="Times New Roman" w:hAnsi="Times New Roman" w:eastAsia="宋体" w:cs="宋体"/>
          <w:b/>
          <w:lang w:eastAsia="zh-CN"/>
        </w:rPr>
        <w:t>最终定稿后，本指南文件将更新第II节和第III节，并在2016年6月16日发布的“国际标准ISO 10993-1的使用，医疗器械生物学评价 - 第1部分：风险管理过程中的评价与试验”中添加新附件。</w:t>
      </w:r>
    </w:p>
    <w:p w14:paraId="499192D9">
      <w:pPr>
        <w:adjustRightInd w:val="0"/>
        <w:snapToGrid w:val="0"/>
        <w:spacing w:before="120" w:beforeLines="50" w:line="300" w:lineRule="auto"/>
        <w:jc w:val="both"/>
        <w:rPr>
          <w:rFonts w:ascii="Times New Roman" w:hAnsi="Times New Roman" w:eastAsia="宋体" w:cs="Times New Roman"/>
          <w:b/>
          <w:bCs/>
          <w:snapToGrid w:val="0"/>
          <w:lang w:eastAsia="zh-C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3D2F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70BB6AB1">
            <w:pPr>
              <w:adjustRightInd w:val="0"/>
              <w:snapToGrid w:val="0"/>
              <w:spacing w:before="120" w:beforeLines="50" w:line="300" w:lineRule="auto"/>
              <w:jc w:val="both"/>
              <w:rPr>
                <w:rFonts w:ascii="Times New Roman" w:hAnsi="Times New Roman" w:cs="Times New Roman"/>
                <w:b/>
                <w:bCs/>
                <w:snapToGrid w:val="0"/>
                <w:lang w:eastAsia="zh-CN"/>
              </w:rPr>
            </w:pPr>
            <w:r>
              <w:rPr>
                <w:rFonts w:ascii="宋体" w:hAnsi="宋体" w:eastAsia="宋体" w:cs="宋体"/>
                <w:lang w:eastAsia="zh-CN" w:bidi="ar-SA"/>
              </w:rPr>
              <w:drawing>
                <wp:inline distT="0" distB="0" distL="0" distR="0">
                  <wp:extent cx="2571115" cy="73279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2571429" cy="733333"/>
                          </a:xfrm>
                          <a:prstGeom prst="rect">
                            <a:avLst/>
                          </a:prstGeom>
                        </pic:spPr>
                      </pic:pic>
                    </a:graphicData>
                  </a:graphic>
                </wp:inline>
              </w:drawing>
            </w:r>
          </w:p>
        </w:tc>
        <w:tc>
          <w:tcPr>
            <w:tcW w:w="4644" w:type="dxa"/>
          </w:tcPr>
          <w:p w14:paraId="60F8FCAA">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美国卫生与公共服务部</w:t>
            </w:r>
          </w:p>
          <w:p w14:paraId="4B01E30B">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226FFC4F">
            <w:pPr>
              <w:adjustRightInd w:val="0"/>
              <w:snapToGrid w:val="0"/>
              <w:spacing w:line="300"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医疗器械和辐射健康中心</w:t>
            </w:r>
          </w:p>
        </w:tc>
      </w:tr>
    </w:tbl>
    <w:p w14:paraId="52B78AEA">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66591C94">
      <w:pPr>
        <w:rPr>
          <w:rFonts w:ascii="Times New Roman" w:hAnsi="Times New Roman" w:eastAsia="宋体" w:cs="Times New Roman"/>
          <w:b/>
          <w:bCs/>
          <w:snapToGrid w:val="0"/>
          <w:lang w:eastAsia="zh-CN"/>
        </w:rPr>
      </w:pPr>
      <w:r>
        <w:rPr>
          <w:rFonts w:ascii="Times New Roman" w:hAnsi="Times New Roman" w:eastAsia="宋体" w:cs="宋体"/>
          <w:b/>
          <w:lang w:eastAsia="zh-CN"/>
        </w:rPr>
        <w:br w:type="page"/>
      </w:r>
    </w:p>
    <w:p w14:paraId="03AA5759">
      <w:pPr>
        <w:pStyle w:val="17"/>
        <w:adjustRightInd w:val="0"/>
        <w:snapToGrid w:val="0"/>
        <w:spacing w:before="120" w:beforeLines="50" w:after="0" w:line="300" w:lineRule="auto"/>
        <w:jc w:val="center"/>
        <w:rPr>
          <w:rFonts w:eastAsia="宋体"/>
          <w:snapToGrid w:val="0"/>
          <w:sz w:val="32"/>
          <w:szCs w:val="32"/>
          <w:lang w:eastAsia="zh-CN"/>
        </w:rPr>
      </w:pPr>
      <w:r>
        <w:rPr>
          <w:rFonts w:eastAsia="宋体" w:cs="宋体"/>
          <w:b/>
          <w:sz w:val="32"/>
          <w:lang w:eastAsia="zh-CN"/>
        </w:rPr>
        <w:t>前言</w:t>
      </w:r>
    </w:p>
    <w:p w14:paraId="38E5B54B">
      <w:pPr>
        <w:pStyle w:val="17"/>
        <w:adjustRightInd w:val="0"/>
        <w:snapToGrid w:val="0"/>
        <w:spacing w:before="120" w:beforeLines="50" w:after="0" w:line="300" w:lineRule="auto"/>
        <w:jc w:val="both"/>
        <w:rPr>
          <w:rFonts w:eastAsia="宋体"/>
          <w:snapToGrid w:val="0"/>
          <w:sz w:val="32"/>
          <w:szCs w:val="32"/>
          <w:lang w:eastAsia="zh-CN"/>
        </w:rPr>
      </w:pPr>
      <w:r>
        <w:rPr>
          <w:rFonts w:eastAsia="宋体" w:cs="宋体"/>
          <w:b/>
          <w:sz w:val="32"/>
          <w:lang w:eastAsia="zh-CN"/>
        </w:rPr>
        <w:t>更多副本</w:t>
      </w:r>
    </w:p>
    <w:p w14:paraId="5F68CE6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更多副本可通过互联网</w:t>
      </w:r>
      <w:r>
        <w:rPr>
          <w:rFonts w:hint="eastAsia" w:ascii="Times New Roman" w:hAnsi="Times New Roman" w:eastAsia="宋体" w:cs="宋体"/>
          <w:lang w:eastAsia="zh-CN"/>
        </w:rPr>
        <w:t>获取</w:t>
      </w:r>
      <w:r>
        <w:rPr>
          <w:rFonts w:ascii="Times New Roman" w:hAnsi="Times New Roman" w:eastAsia="宋体" w:cs="宋体"/>
          <w:lang w:eastAsia="zh-CN"/>
        </w:rPr>
        <w:t>。也可通过电子邮件发送请求至</w:t>
      </w:r>
      <w:r>
        <w:fldChar w:fldCharType="begin"/>
      </w:r>
      <w:r>
        <w:instrText xml:space="preserve"> HYPERLINK "mailto:CDRH-Guidance@fda.hhs.gov" </w:instrText>
      </w:r>
      <w:r>
        <w:fldChar w:fldCharType="separate"/>
      </w:r>
      <w:r>
        <w:rPr>
          <w:rFonts w:ascii="Times New Roman" w:hAnsi="Times New Roman" w:eastAsia="宋体" w:cs="宋体"/>
          <w:snapToGrid w:val="0"/>
          <w:color w:val="0000FF"/>
          <w:u w:val="single"/>
          <w:lang w:eastAsia="zh-CN"/>
        </w:rPr>
        <w:t>CDRH-Guidance@fda.hhs.gov</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获取本指南的副本。请在申请中注明文件编号19007和指南的完整标题。</w:t>
      </w:r>
    </w:p>
    <w:p w14:paraId="52C3C659">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3B9D1841">
      <w:pPr>
        <w:pStyle w:val="17"/>
        <w:adjustRightInd w:val="0"/>
        <w:snapToGrid w:val="0"/>
        <w:spacing w:before="120" w:beforeLines="50" w:after="0" w:line="300" w:lineRule="auto"/>
        <w:jc w:val="center"/>
        <w:rPr>
          <w:rFonts w:eastAsia="宋体"/>
          <w:snapToGrid w:val="0"/>
          <w:sz w:val="32"/>
          <w:szCs w:val="32"/>
          <w:lang w:eastAsia="zh-CN"/>
        </w:rPr>
      </w:pPr>
      <w:r>
        <w:rPr>
          <w:rFonts w:eastAsia="宋体" w:cs="宋体"/>
          <w:b/>
          <w:sz w:val="32"/>
          <w:lang w:eastAsia="zh-CN"/>
        </w:rPr>
        <w:t>目录</w:t>
      </w:r>
    </w:p>
    <w:p w14:paraId="14B839E0">
      <w:pPr>
        <w:rPr>
          <w:rFonts w:ascii="Times New Roman" w:hAnsi="Times New Roman" w:eastAsia="宋体" w:cs="Times New Roman"/>
          <w:snapToGrid w:val="0"/>
          <w:lang w:eastAsia="zh-CN"/>
        </w:rPr>
      </w:pPr>
    </w:p>
    <w:p w14:paraId="7A910C0E">
      <w:pPr>
        <w:pStyle w:val="5"/>
        <w:rPr>
          <w:rFonts w:ascii="Times New Roman" w:hAnsi="Times New Roman" w:eastAsia="宋体" w:cs="Times New Roman"/>
          <w:color w:val="auto"/>
          <w:kern w:val="2"/>
          <w:sz w:val="21"/>
          <w:szCs w:val="22"/>
          <w:lang w:eastAsia="zh-CN" w:bidi="ar-SA"/>
        </w:rPr>
      </w:pPr>
      <w:r>
        <w:rPr>
          <w:rFonts w:ascii="Times New Roman" w:hAnsi="Times New Roman" w:eastAsia="宋体" w:cs="Times New Roman"/>
          <w:snapToGrid w:val="0"/>
          <w:lang w:eastAsia="zh-CN"/>
        </w:rPr>
        <w:fldChar w:fldCharType="begin"/>
      </w:r>
      <w:r>
        <w:rPr>
          <w:rFonts w:ascii="Times New Roman" w:hAnsi="Times New Roman" w:eastAsia="宋体" w:cs="Times New Roman"/>
          <w:snapToGrid w:val="0"/>
          <w:lang w:eastAsia="zh-CN"/>
        </w:rPr>
        <w:instrText xml:space="preserve"> TOC \o "1-3" \h \z \u </w:instrText>
      </w:r>
      <w:r>
        <w:rPr>
          <w:rFonts w:ascii="Times New Roman" w:hAnsi="Times New Roman" w:eastAsia="宋体" w:cs="Times New Roman"/>
          <w:snapToGrid w:val="0"/>
          <w:lang w:eastAsia="zh-CN"/>
        </w:rPr>
        <w:fldChar w:fldCharType="separate"/>
      </w:r>
      <w:r>
        <w:fldChar w:fldCharType="begin"/>
      </w:r>
      <w:r>
        <w:instrText xml:space="preserve"> HYPERLINK \l "_Toc91868587" </w:instrText>
      </w:r>
      <w:r>
        <w:fldChar w:fldCharType="separate"/>
      </w:r>
      <w:r>
        <w:rPr>
          <w:rStyle w:val="10"/>
          <w:rFonts w:ascii="Times New Roman" w:hAnsi="Times New Roman" w:eastAsia="宋体" w:cs="Times New Roman"/>
          <w:lang w:eastAsia="zh-CN"/>
        </w:rPr>
        <w:t>I.</w:t>
      </w:r>
      <w:r>
        <w:rPr>
          <w:rFonts w:ascii="Times New Roman" w:hAnsi="Times New Roman" w:eastAsia="宋体" w:cs="Times New Roman"/>
          <w:color w:val="auto"/>
          <w:kern w:val="2"/>
          <w:sz w:val="21"/>
          <w:szCs w:val="22"/>
          <w:lang w:eastAsia="zh-CN" w:bidi="ar-SA"/>
        </w:rPr>
        <w:tab/>
      </w:r>
      <w:r>
        <w:rPr>
          <w:rStyle w:val="10"/>
          <w:rFonts w:ascii="Times New Roman" w:hAnsi="Times New Roman" w:eastAsia="宋体" w:cs="Times New Roman"/>
          <w:lang w:eastAsia="zh-CN"/>
        </w:rPr>
        <w:t>引言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_Toc91868587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29887271">
      <w:pPr>
        <w:pStyle w:val="5"/>
        <w:rPr>
          <w:rFonts w:ascii="Times New Roman" w:hAnsi="Times New Roman" w:eastAsia="宋体" w:cs="Times New Roman"/>
          <w:color w:val="auto"/>
          <w:kern w:val="2"/>
          <w:sz w:val="21"/>
          <w:szCs w:val="22"/>
          <w:lang w:eastAsia="zh-CN" w:bidi="ar-SA"/>
        </w:rPr>
      </w:pPr>
      <w:r>
        <w:fldChar w:fldCharType="begin"/>
      </w:r>
      <w:r>
        <w:instrText xml:space="preserve"> HYPERLINK \l "_Toc91868588" </w:instrText>
      </w:r>
      <w:r>
        <w:fldChar w:fldCharType="separate"/>
      </w:r>
      <w:r>
        <w:rPr>
          <w:rStyle w:val="10"/>
          <w:rFonts w:ascii="Times New Roman" w:hAnsi="Times New Roman" w:eastAsia="宋体" w:cs="Times New Roman"/>
          <w:lang w:eastAsia="zh-CN"/>
        </w:rPr>
        <w:t>II.</w:t>
      </w:r>
      <w:r>
        <w:rPr>
          <w:rFonts w:ascii="Times New Roman" w:hAnsi="Times New Roman" w:eastAsia="宋体" w:cs="Times New Roman"/>
          <w:color w:val="auto"/>
          <w:kern w:val="2"/>
          <w:sz w:val="21"/>
          <w:szCs w:val="22"/>
          <w:lang w:eastAsia="zh-CN" w:bidi="ar-SA"/>
        </w:rPr>
        <w:tab/>
      </w:r>
      <w:r>
        <w:rPr>
          <w:rStyle w:val="10"/>
          <w:rFonts w:ascii="Times New Roman" w:hAnsi="Times New Roman" w:eastAsia="宋体" w:cs="Times New Roman"/>
          <w:lang w:eastAsia="zh-CN"/>
        </w:rPr>
        <w:t>背景</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_Toc91868588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729B2E8B">
      <w:pPr>
        <w:pStyle w:val="5"/>
        <w:rPr>
          <w:rFonts w:ascii="Times New Roman" w:hAnsi="Times New Roman" w:eastAsia="宋体" w:cs="Times New Roman"/>
          <w:color w:val="auto"/>
          <w:kern w:val="2"/>
          <w:sz w:val="21"/>
          <w:szCs w:val="22"/>
          <w:lang w:eastAsia="zh-CN" w:bidi="ar-SA"/>
        </w:rPr>
      </w:pPr>
      <w:r>
        <w:fldChar w:fldCharType="begin"/>
      </w:r>
      <w:r>
        <w:instrText xml:space="preserve"> HYPERLINK \l "_Toc91868589" </w:instrText>
      </w:r>
      <w:r>
        <w:fldChar w:fldCharType="separate"/>
      </w:r>
      <w:r>
        <w:rPr>
          <w:rStyle w:val="10"/>
          <w:rFonts w:ascii="Times New Roman" w:hAnsi="Times New Roman" w:eastAsia="宋体" w:cs="Times New Roman"/>
          <w:lang w:eastAsia="zh-CN"/>
        </w:rPr>
        <w:t>III.</w:t>
      </w:r>
      <w:r>
        <w:rPr>
          <w:rFonts w:ascii="Times New Roman" w:hAnsi="Times New Roman" w:eastAsia="宋体" w:cs="Times New Roman"/>
          <w:color w:val="auto"/>
          <w:kern w:val="2"/>
          <w:sz w:val="21"/>
          <w:szCs w:val="22"/>
          <w:lang w:eastAsia="zh-CN" w:bidi="ar-SA"/>
        </w:rPr>
        <w:tab/>
      </w:r>
      <w:r>
        <w:rPr>
          <w:rStyle w:val="10"/>
          <w:rFonts w:ascii="Times New Roman" w:hAnsi="Times New Roman" w:eastAsia="宋体" w:cs="Times New Roman"/>
          <w:lang w:eastAsia="zh-CN"/>
        </w:rPr>
        <w:t>选择更新</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_Toc91868589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46556E00">
      <w:pPr>
        <w:pStyle w:val="6"/>
        <w:tabs>
          <w:tab w:val="left" w:pos="840"/>
          <w:tab w:val="right" w:leader="dot" w:pos="9061"/>
        </w:tabs>
        <w:adjustRightInd w:val="0"/>
        <w:snapToGrid w:val="0"/>
        <w:spacing w:before="120" w:beforeLines="50" w:line="300" w:lineRule="auto"/>
        <w:ind w:left="283" w:leftChars="118"/>
        <w:rPr>
          <w:rFonts w:ascii="Times New Roman" w:hAnsi="Times New Roman" w:eastAsia="宋体" w:cs="Times New Roman"/>
          <w:color w:val="auto"/>
          <w:kern w:val="2"/>
          <w:sz w:val="21"/>
          <w:szCs w:val="22"/>
          <w:lang w:eastAsia="zh-CN" w:bidi="ar-SA"/>
        </w:rPr>
      </w:pPr>
      <w:r>
        <w:fldChar w:fldCharType="begin"/>
      </w:r>
      <w:r>
        <w:instrText xml:space="preserve"> HYPERLINK \l "_Toc91868590" </w:instrText>
      </w:r>
      <w:r>
        <w:fldChar w:fldCharType="separate"/>
      </w:r>
      <w:r>
        <w:rPr>
          <w:rStyle w:val="10"/>
          <w:rFonts w:ascii="Times New Roman" w:hAnsi="Times New Roman" w:eastAsia="宋体" w:cs="Times New Roman"/>
          <w:lang w:eastAsia="zh-CN"/>
        </w:rPr>
        <w:t>A.</w:t>
      </w:r>
      <w:r>
        <w:rPr>
          <w:rFonts w:ascii="Times New Roman" w:hAnsi="Times New Roman" w:eastAsia="宋体" w:cs="Times New Roman"/>
          <w:color w:val="auto"/>
          <w:kern w:val="2"/>
          <w:sz w:val="21"/>
          <w:szCs w:val="22"/>
          <w:lang w:eastAsia="zh-CN" w:bidi="ar-SA"/>
        </w:rPr>
        <w:tab/>
      </w:r>
      <w:r>
        <w:rPr>
          <w:rStyle w:val="10"/>
          <w:rFonts w:ascii="Times New Roman" w:hAnsi="Times New Roman" w:eastAsia="宋体" w:cs="Times New Roman"/>
          <w:lang w:eastAsia="zh-CN"/>
        </w:rPr>
        <w:t>2016年生物相容性指南的新附件：与完好皮肤接触的某些器械的生物相容性</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_Toc91868590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5669D83B">
      <w:pPr>
        <w:pStyle w:val="6"/>
        <w:tabs>
          <w:tab w:val="left" w:pos="1260"/>
          <w:tab w:val="right" w:leader="dot" w:pos="9061"/>
        </w:tabs>
        <w:adjustRightInd w:val="0"/>
        <w:snapToGrid w:val="0"/>
        <w:spacing w:before="120" w:beforeLines="50" w:line="300" w:lineRule="auto"/>
        <w:ind w:left="480"/>
        <w:rPr>
          <w:rFonts w:ascii="Times New Roman" w:hAnsi="Times New Roman" w:eastAsia="宋体" w:cs="Times New Roman"/>
          <w:color w:val="auto"/>
          <w:kern w:val="2"/>
          <w:sz w:val="21"/>
          <w:szCs w:val="22"/>
          <w:lang w:eastAsia="zh-CN" w:bidi="ar-SA"/>
        </w:rPr>
      </w:pPr>
      <w:r>
        <w:fldChar w:fldCharType="begin"/>
      </w:r>
      <w:r>
        <w:instrText xml:space="preserve"> HYPERLINK \l "_Toc91868591" </w:instrText>
      </w:r>
      <w:r>
        <w:fldChar w:fldCharType="separate"/>
      </w:r>
      <w:r>
        <w:rPr>
          <w:rStyle w:val="10"/>
          <w:rFonts w:ascii="Times New Roman" w:hAnsi="Times New Roman" w:eastAsia="宋体" w:cs="Times New Roman"/>
          <w:lang w:eastAsia="zh-CN"/>
        </w:rPr>
        <w:t>（1）</w:t>
      </w:r>
      <w:r>
        <w:rPr>
          <w:rFonts w:ascii="Times New Roman" w:hAnsi="Times New Roman" w:eastAsia="宋体" w:cs="Times New Roman"/>
          <w:color w:val="auto"/>
          <w:kern w:val="2"/>
          <w:sz w:val="21"/>
          <w:szCs w:val="22"/>
          <w:lang w:eastAsia="zh-CN" w:bidi="ar-SA"/>
        </w:rPr>
        <w:tab/>
      </w:r>
      <w:r>
        <w:rPr>
          <w:rStyle w:val="10"/>
          <w:rFonts w:ascii="Times New Roman" w:hAnsi="Times New Roman" w:eastAsia="宋体" w:cs="Times New Roman"/>
          <w:lang w:eastAsia="zh-CN"/>
        </w:rPr>
        <w:t>包括哪些类型的器械？</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_Toc91868591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35992E4B">
      <w:pPr>
        <w:pStyle w:val="6"/>
        <w:tabs>
          <w:tab w:val="left" w:pos="1260"/>
          <w:tab w:val="right" w:leader="dot" w:pos="9061"/>
        </w:tabs>
        <w:adjustRightInd w:val="0"/>
        <w:snapToGrid w:val="0"/>
        <w:spacing w:before="120" w:beforeLines="50" w:line="300" w:lineRule="auto"/>
        <w:ind w:left="480"/>
        <w:rPr>
          <w:rFonts w:ascii="Times New Roman" w:hAnsi="Times New Roman" w:eastAsia="宋体" w:cs="Times New Roman"/>
          <w:color w:val="auto"/>
          <w:kern w:val="2"/>
          <w:sz w:val="21"/>
          <w:szCs w:val="22"/>
          <w:lang w:eastAsia="zh-CN" w:bidi="ar-SA"/>
        </w:rPr>
      </w:pPr>
      <w:r>
        <w:fldChar w:fldCharType="begin"/>
      </w:r>
      <w:r>
        <w:instrText xml:space="preserve"> HYPERLINK \l "_Toc91868592" </w:instrText>
      </w:r>
      <w:r>
        <w:fldChar w:fldCharType="separate"/>
      </w:r>
      <w:r>
        <w:rPr>
          <w:rStyle w:val="10"/>
          <w:rFonts w:ascii="Times New Roman" w:hAnsi="Times New Roman" w:eastAsia="宋体" w:cs="Times New Roman"/>
          <w:lang w:eastAsia="zh-CN"/>
        </w:rPr>
        <w:t>（2）</w:t>
      </w:r>
      <w:r>
        <w:rPr>
          <w:rFonts w:ascii="Times New Roman" w:hAnsi="Times New Roman" w:eastAsia="宋体" w:cs="Times New Roman"/>
          <w:color w:val="auto"/>
          <w:kern w:val="2"/>
          <w:sz w:val="21"/>
          <w:szCs w:val="22"/>
          <w:lang w:eastAsia="zh-CN" w:bidi="ar-SA"/>
        </w:rPr>
        <w:tab/>
      </w:r>
      <w:r>
        <w:rPr>
          <w:rStyle w:val="10"/>
          <w:rFonts w:ascii="Times New Roman" w:hAnsi="Times New Roman" w:eastAsia="宋体" w:cs="Times New Roman"/>
          <w:lang w:eastAsia="zh-CN"/>
        </w:rPr>
        <w:t>包括哪些材料？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_Toc91868592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5091CB70">
      <w:pPr>
        <w:pStyle w:val="6"/>
        <w:tabs>
          <w:tab w:val="left" w:pos="1260"/>
          <w:tab w:val="right" w:leader="dot" w:pos="9061"/>
        </w:tabs>
        <w:adjustRightInd w:val="0"/>
        <w:snapToGrid w:val="0"/>
        <w:spacing w:before="120" w:beforeLines="50" w:line="300" w:lineRule="auto"/>
        <w:ind w:left="480"/>
        <w:rPr>
          <w:rFonts w:ascii="Times New Roman" w:hAnsi="Times New Roman" w:eastAsia="宋体" w:cs="Times New Roman"/>
          <w:color w:val="auto"/>
          <w:kern w:val="2"/>
          <w:sz w:val="21"/>
          <w:szCs w:val="22"/>
          <w:lang w:eastAsia="zh-CN" w:bidi="ar-SA"/>
        </w:rPr>
      </w:pPr>
      <w:r>
        <w:fldChar w:fldCharType="begin"/>
      </w:r>
      <w:r>
        <w:instrText xml:space="preserve"> HYPERLINK \l "_Toc91868593" </w:instrText>
      </w:r>
      <w:r>
        <w:fldChar w:fldCharType="separate"/>
      </w:r>
      <w:r>
        <w:rPr>
          <w:rStyle w:val="10"/>
          <w:rFonts w:ascii="Times New Roman" w:hAnsi="Times New Roman" w:eastAsia="宋体" w:cs="Times New Roman"/>
          <w:lang w:eastAsia="zh-CN"/>
        </w:rPr>
        <w:t>（3）</w:t>
      </w:r>
      <w:r>
        <w:rPr>
          <w:rFonts w:ascii="Times New Roman" w:hAnsi="Times New Roman" w:eastAsia="宋体" w:cs="Times New Roman"/>
          <w:color w:val="auto"/>
          <w:kern w:val="2"/>
          <w:sz w:val="21"/>
          <w:szCs w:val="22"/>
          <w:lang w:eastAsia="zh-CN" w:bidi="ar-SA"/>
        </w:rPr>
        <w:tab/>
      </w:r>
      <w:r>
        <w:rPr>
          <w:rStyle w:val="10"/>
          <w:rFonts w:ascii="Times New Roman" w:hAnsi="Times New Roman" w:eastAsia="宋体" w:cs="Times New Roman"/>
        </w:rPr>
        <w:t>排除哪些器械或材料？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_Toc91868593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04365983">
      <w:pPr>
        <w:pStyle w:val="6"/>
        <w:tabs>
          <w:tab w:val="left" w:pos="1260"/>
          <w:tab w:val="right" w:leader="dot" w:pos="9061"/>
        </w:tabs>
        <w:adjustRightInd w:val="0"/>
        <w:snapToGrid w:val="0"/>
        <w:spacing w:before="120" w:beforeLines="50" w:line="300" w:lineRule="auto"/>
        <w:ind w:left="480"/>
        <w:rPr>
          <w:rFonts w:ascii="Times New Roman" w:hAnsi="Times New Roman" w:eastAsia="宋体" w:cs="Times New Roman"/>
          <w:color w:val="auto"/>
          <w:kern w:val="2"/>
          <w:sz w:val="21"/>
          <w:szCs w:val="22"/>
          <w:lang w:eastAsia="zh-CN" w:bidi="ar-SA"/>
        </w:rPr>
      </w:pPr>
      <w:r>
        <w:fldChar w:fldCharType="begin"/>
      </w:r>
      <w:r>
        <w:instrText xml:space="preserve"> HYPERLINK \l "_Toc91868594" </w:instrText>
      </w:r>
      <w:r>
        <w:fldChar w:fldCharType="separate"/>
      </w:r>
      <w:r>
        <w:rPr>
          <w:rStyle w:val="10"/>
          <w:rFonts w:ascii="Times New Roman" w:hAnsi="Times New Roman" w:eastAsia="宋体" w:cs="Times New Roman"/>
          <w:lang w:eastAsia="zh-CN"/>
        </w:rPr>
        <w:t>（4）</w:t>
      </w:r>
      <w:r>
        <w:rPr>
          <w:rFonts w:ascii="Times New Roman" w:hAnsi="Times New Roman" w:eastAsia="宋体" w:cs="Times New Roman"/>
          <w:color w:val="auto"/>
          <w:kern w:val="2"/>
          <w:sz w:val="21"/>
          <w:szCs w:val="22"/>
          <w:lang w:eastAsia="zh-CN" w:bidi="ar-SA"/>
        </w:rPr>
        <w:tab/>
      </w:r>
      <w:r>
        <w:rPr>
          <w:rStyle w:val="10"/>
          <w:rFonts w:ascii="Times New Roman" w:hAnsi="Times New Roman" w:eastAsia="宋体" w:cs="Times New Roman"/>
          <w:lang w:eastAsia="zh-CN"/>
        </w:rPr>
        <w:t>上市前申请中应包含哪些生物相容性信息？</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_Toc91868594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3414B78E">
      <w:pPr>
        <w:pStyle w:val="6"/>
        <w:tabs>
          <w:tab w:val="left" w:pos="1260"/>
          <w:tab w:val="right" w:leader="dot" w:pos="9061"/>
        </w:tabs>
        <w:adjustRightInd w:val="0"/>
        <w:snapToGrid w:val="0"/>
        <w:spacing w:before="120" w:beforeLines="50" w:line="300" w:lineRule="auto"/>
        <w:ind w:left="480"/>
        <w:rPr>
          <w:rFonts w:ascii="Times New Roman" w:hAnsi="Times New Roman" w:eastAsia="宋体" w:cs="Times New Roman"/>
          <w:color w:val="auto"/>
          <w:kern w:val="2"/>
          <w:sz w:val="21"/>
          <w:szCs w:val="22"/>
          <w:lang w:eastAsia="zh-CN" w:bidi="ar-SA"/>
        </w:rPr>
      </w:pPr>
      <w:r>
        <w:fldChar w:fldCharType="begin"/>
      </w:r>
      <w:r>
        <w:instrText xml:space="preserve"> HYPERLINK \l "_Toc91868595" </w:instrText>
      </w:r>
      <w:r>
        <w:fldChar w:fldCharType="separate"/>
      </w:r>
      <w:r>
        <w:rPr>
          <w:rStyle w:val="10"/>
          <w:rFonts w:ascii="Times New Roman" w:hAnsi="Times New Roman" w:eastAsia="宋体" w:cs="Times New Roman"/>
          <w:lang w:eastAsia="zh-CN"/>
        </w:rPr>
        <w:t>（5）</w:t>
      </w:r>
      <w:r>
        <w:rPr>
          <w:rFonts w:ascii="Times New Roman" w:hAnsi="Times New Roman" w:eastAsia="宋体" w:cs="Times New Roman"/>
          <w:color w:val="auto"/>
          <w:kern w:val="2"/>
          <w:sz w:val="21"/>
          <w:szCs w:val="22"/>
          <w:lang w:eastAsia="zh-CN" w:bidi="ar-SA"/>
        </w:rPr>
        <w:tab/>
      </w:r>
      <w:r>
        <w:rPr>
          <w:rStyle w:val="10"/>
          <w:rFonts w:ascii="Times New Roman" w:hAnsi="Times New Roman" w:eastAsia="宋体" w:cs="Times New Roman"/>
          <w:lang w:eastAsia="zh-CN"/>
        </w:rPr>
        <w:t>对于与该政策相关的某些标签信息，FDA推荐的内容和格式是什么？</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_Toc91868595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14:paraId="19D28892">
      <w:pPr>
        <w:pStyle w:val="5"/>
        <w:rPr>
          <w:rFonts w:ascii="Times New Roman" w:hAnsi="Times New Roman" w:eastAsia="宋体" w:cs="Times New Roman"/>
          <w:color w:val="auto"/>
          <w:kern w:val="2"/>
          <w:sz w:val="21"/>
          <w:szCs w:val="22"/>
          <w:lang w:eastAsia="zh-CN" w:bidi="ar-SA"/>
        </w:rPr>
      </w:pPr>
      <w:r>
        <w:fldChar w:fldCharType="begin"/>
      </w:r>
      <w:r>
        <w:instrText xml:space="preserve"> HYPERLINK \l "_Toc91868596" </w:instrText>
      </w:r>
      <w:r>
        <w:fldChar w:fldCharType="separate"/>
      </w:r>
      <w:r>
        <w:rPr>
          <w:rStyle w:val="10"/>
          <w:rFonts w:ascii="Times New Roman" w:hAnsi="Times New Roman" w:eastAsia="宋体" w:cs="Times New Roman"/>
          <w:lang w:eastAsia="zh-CN"/>
        </w:rPr>
        <w:t>IV.</w:t>
      </w:r>
      <w:r>
        <w:rPr>
          <w:rFonts w:ascii="Times New Roman" w:hAnsi="Times New Roman" w:eastAsia="宋体" w:cs="Times New Roman"/>
          <w:color w:val="auto"/>
          <w:kern w:val="2"/>
          <w:sz w:val="21"/>
          <w:szCs w:val="22"/>
          <w:lang w:eastAsia="zh-CN" w:bidi="ar-SA"/>
        </w:rPr>
        <w:tab/>
      </w:r>
      <w:r>
        <w:rPr>
          <w:rStyle w:val="10"/>
          <w:rFonts w:ascii="Times New Roman" w:hAnsi="Times New Roman" w:eastAsia="宋体" w:cs="Times New Roman"/>
          <w:lang w:eastAsia="zh-CN"/>
        </w:rPr>
        <w:t>其他拟议选择更新</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_Toc91868596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14:paraId="3CCE158B">
      <w:pPr>
        <w:adjustRightInd w:val="0"/>
        <w:snapToGrid w:val="0"/>
        <w:spacing w:before="120" w:beforeLines="50" w:line="300" w:lineRule="auto"/>
        <w:rPr>
          <w:rFonts w:ascii="Times New Roman" w:hAnsi="Times New Roman" w:eastAsia="宋体" w:cs="Times New Roman"/>
          <w:snapToGrid w:val="0"/>
          <w:lang w:eastAsia="zh-CN"/>
        </w:rPr>
      </w:pPr>
      <w:r>
        <w:rPr>
          <w:rFonts w:ascii="Times New Roman" w:hAnsi="Times New Roman" w:eastAsia="宋体" w:cs="Times New Roman"/>
          <w:snapToGrid w:val="0"/>
          <w:lang w:eastAsia="zh-CN"/>
        </w:rPr>
        <w:fldChar w:fldCharType="end"/>
      </w:r>
    </w:p>
    <w:p w14:paraId="491D3A6E">
      <w:pPr>
        <w:rPr>
          <w:rFonts w:ascii="Times New Roman" w:hAnsi="Times New Roman" w:eastAsia="宋体" w:cs="Times New Roman"/>
          <w:snapToGrid w:val="0"/>
        </w:rPr>
        <w:sectPr>
          <w:headerReference r:id="rId3" w:type="default"/>
          <w:pgSz w:w="11907" w:h="16839"/>
          <w:pgMar w:top="1418" w:right="1418" w:bottom="1418" w:left="1418" w:header="720" w:footer="720" w:gutter="0"/>
          <w:cols w:space="720" w:num="1"/>
          <w:docGrid w:linePitch="360" w:charSpace="0"/>
        </w:sectPr>
      </w:pPr>
      <w:r>
        <w:rPr>
          <w:rFonts w:ascii="Times New Roman" w:hAnsi="Times New Roman" w:eastAsia="宋体" w:cs="宋体"/>
        </w:rPr>
        <w:br w:type="page"/>
      </w:r>
    </w:p>
    <w:p w14:paraId="01576C00">
      <w:pPr>
        <w:pBdr>
          <w:bottom w:val="single" w:color="auto" w:sz="4" w:space="0"/>
        </w:pBd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r>
        <w:rPr>
          <w:rFonts w:ascii="Times New Roman" w:hAnsi="Times New Roman" w:eastAsia="宋体" w:cs="宋体"/>
          <w:b/>
          <w:sz w:val="44"/>
          <w:lang w:eastAsia="zh-CN"/>
        </w:rPr>
        <w:t>与完好皮肤接触的某些器械的生物相容性的选择更新</w:t>
      </w:r>
    </w:p>
    <w:p w14:paraId="11D6EDE8">
      <w:pP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r>
        <w:rPr>
          <w:rFonts w:ascii="Times New Roman" w:hAnsi="Times New Roman" w:eastAsia="宋体" w:cs="宋体"/>
          <w:b/>
          <w:sz w:val="44"/>
          <w:lang w:eastAsia="zh-CN"/>
        </w:rPr>
        <w:t>行业和美国食品药品监督管理局工作人员指南草案</w:t>
      </w:r>
    </w:p>
    <w:tbl>
      <w:tblPr>
        <w:tblStyle w:val="8"/>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287"/>
      </w:tblGrid>
      <w:tr w14:paraId="08A30177">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9287" w:type="dxa"/>
          </w:tcPr>
          <w:p w14:paraId="7D718FB5">
            <w:pPr>
              <w:adjustRightInd w:val="0"/>
              <w:snapToGrid w:val="0"/>
              <w:spacing w:before="120" w:beforeLines="50" w:line="300" w:lineRule="auto"/>
              <w:jc w:val="both"/>
              <w:rPr>
                <w:rFonts w:ascii="Times New Roman" w:hAnsi="Times New Roman" w:cs="Times New Roman"/>
                <w:b/>
                <w:bCs/>
                <w:i/>
                <w:iCs/>
                <w:snapToGrid w:val="0"/>
                <w:sz w:val="21"/>
                <w:szCs w:val="21"/>
                <w:lang w:eastAsia="zh-CN"/>
              </w:rPr>
            </w:pPr>
            <w:r>
              <w:rPr>
                <w:rFonts w:hint="eastAsia" w:ascii="Times New Roman" w:hAnsi="Times New Roman" w:eastAsia="宋体" w:cs="宋体"/>
                <w:b/>
                <w:i/>
                <w:sz w:val="21"/>
                <w:lang w:eastAsia="zh-CN"/>
              </w:rPr>
              <w:t>本指南草案的定稿将代表美国食品药品监督管理局（</w:t>
            </w:r>
            <w:r>
              <w:rPr>
                <w:rFonts w:ascii="Times New Roman" w:hAnsi="Times New Roman" w:eastAsia="宋体" w:cs="宋体"/>
                <w:b/>
                <w:i/>
                <w:sz w:val="21"/>
                <w:lang w:eastAsia="zh-CN"/>
              </w:rPr>
              <w:t>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707BE0E8">
      <w:pPr>
        <w:pStyle w:val="34"/>
        <w:rPr>
          <w:rFonts w:eastAsia="宋体"/>
          <w:lang w:eastAsia="zh-CN"/>
        </w:rPr>
      </w:pPr>
      <w:bookmarkStart w:id="0" w:name="_Toc91868587"/>
      <w:r>
        <w:rPr>
          <w:rFonts w:eastAsia="宋体" w:cs="宋体"/>
          <w:lang w:eastAsia="zh-CN"/>
        </w:rPr>
        <w:t>I.</w:t>
      </w:r>
      <w:r>
        <w:rPr>
          <w:rFonts w:eastAsia="宋体" w:cs="宋体"/>
          <w:lang w:eastAsia="zh-CN"/>
        </w:rPr>
        <w:tab/>
      </w:r>
      <w:r>
        <w:rPr>
          <w:rFonts w:eastAsia="宋体" w:cs="宋体"/>
          <w:lang w:eastAsia="zh-CN"/>
        </w:rPr>
        <w:t>引言</w:t>
      </w:r>
      <w:bookmarkEnd w:id="0"/>
    </w:p>
    <w:p w14:paraId="5B702AB4">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FDA制定本指南草案是为了提议针对FDA目前对应在某些由与完好皮肤接触的常见聚合物和织物制成的器械的上市前申请中提供的生物相容性信息类型的观点进行选择更新。当前形式的现行指南“</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Fonts w:ascii="Times New Roman" w:hAnsi="Times New Roman" w:eastAsia="宋体" w:cs="宋体"/>
          <w:snapToGrid w:val="0"/>
          <w:lang w:eastAsia="zh-CN"/>
        </w:rPr>
        <w:t>国际标准ISO 10993-1的使用，《医疗器械生物学评价 - 第1部分：风险管理过程中的评价与试验》</w:t>
      </w:r>
      <w:r>
        <w:rPr>
          <w:rFonts w:ascii="Times New Roman" w:hAnsi="Times New Roman" w:eastAsia="宋体" w:cs="宋体"/>
          <w:snapToGrid w:val="0"/>
          <w:lang w:eastAsia="zh-CN"/>
        </w:rPr>
        <w:fldChar w:fldCharType="end"/>
      </w:r>
      <w:r>
        <w:rPr>
          <w:rFonts w:ascii="Times New Roman" w:hAnsi="Times New Roman" w:eastAsia="宋体" w:cs="宋体"/>
          <w:lang w:eastAsia="zh-CN"/>
        </w:rPr>
        <w:t>”</w:t>
      </w:r>
      <w:r>
        <w:rPr>
          <w:rFonts w:ascii="Times New Roman" w:hAnsi="Times New Roman" w:eastAsia="宋体" w:cs="宋体"/>
          <w:vertAlign w:val="superscript"/>
          <w:lang w:eastAsia="zh-CN"/>
        </w:rPr>
        <w:t>1</w:t>
      </w:r>
      <w:r>
        <w:rPr>
          <w:rFonts w:ascii="Times New Roman" w:hAnsi="Times New Roman" w:eastAsia="宋体" w:cs="宋体"/>
          <w:lang w:eastAsia="zh-CN"/>
        </w:rPr>
        <w:t>（2016年生物相容性指南）在本指南草案最终定稿之前仍然有效。下文引用的拟议章节预期在FDA考虑公众对本指南草案的意见后用于添加或取代2016年生物相容性指南的适用章节。2016年生物相容性指南中不受此次选择更新影响的章节不会发生实质性变更，仍然有效。</w:t>
      </w:r>
    </w:p>
    <w:p w14:paraId="79231022">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如需了解本文件中引用的FDA认可共识标准的现行版本，请参见</w:t>
      </w:r>
      <w:r>
        <w:fldChar w:fldCharType="begin"/>
      </w:r>
      <w:r>
        <w:rPr>
          <w:lang w:eastAsia="zh-CN"/>
        </w:rPr>
        <w:instrText xml:space="preserve"> HYPERLINK "http://www.accessdata.fda.gov/scripts/cdrh/cfdocs/cfStandards/search.cfm" </w:instrText>
      </w:r>
      <w:r>
        <w:fldChar w:fldCharType="separate"/>
      </w:r>
      <w:r>
        <w:rPr>
          <w:rFonts w:ascii="Times New Roman" w:hAnsi="Times New Roman" w:eastAsia="宋体" w:cs="宋体"/>
          <w:snapToGrid w:val="0"/>
          <w:lang w:eastAsia="zh-CN"/>
        </w:rPr>
        <w:t>FDA认可的共识标准数据库</w:t>
      </w:r>
      <w:r>
        <w:rPr>
          <w:rFonts w:ascii="Times New Roman" w:hAnsi="Times New Roman" w:eastAsia="宋体" w:cs="宋体"/>
          <w:snapToGrid w:val="0"/>
          <w:lang w:eastAsia="zh-CN"/>
        </w:rPr>
        <w:fldChar w:fldCharType="end"/>
      </w:r>
      <w:r>
        <w:rPr>
          <w:rFonts w:ascii="Times New Roman" w:hAnsi="Times New Roman" w:eastAsia="宋体" w:cs="宋体"/>
          <w:lang w:eastAsia="zh-CN"/>
        </w:rPr>
        <w:t>。</w:t>
      </w:r>
      <w:r>
        <w:rPr>
          <w:rFonts w:ascii="Times New Roman" w:hAnsi="Times New Roman" w:eastAsia="宋体" w:cs="宋体"/>
          <w:vertAlign w:val="superscript"/>
          <w:lang w:eastAsia="zh-CN"/>
        </w:rPr>
        <w:t>2</w:t>
      </w:r>
      <w:r>
        <w:rPr>
          <w:rFonts w:ascii="Times New Roman" w:hAnsi="Times New Roman" w:eastAsia="宋体" w:cs="宋体"/>
          <w:lang w:eastAsia="zh-CN"/>
        </w:rPr>
        <w:t xml:space="preserve"> 有关共识标准在注册申报中的使用的更多信息，请参见FDA发布的标题为</w:t>
      </w:r>
      <w:r>
        <w:fldChar w:fldCharType="begin"/>
      </w:r>
      <w:r>
        <w:rPr>
          <w:lang w:eastAsia="zh-CN"/>
        </w:rPr>
        <w:instrText xml:space="preserve"> HYPERLINK "https://www.fda.gov/regulatory-information/search-fda-guidance-documents/appropriate-use-voluntary-consensus-standards-premarket-submissions-medical-devices" </w:instrText>
      </w:r>
      <w:r>
        <w:fldChar w:fldCharType="separate"/>
      </w:r>
      <w:r>
        <w:rPr>
          <w:rFonts w:ascii="Times New Roman" w:hAnsi="Times New Roman" w:eastAsia="宋体" w:cs="宋体"/>
          <w:snapToGrid w:val="0"/>
          <w:lang w:eastAsia="zh-CN"/>
        </w:rPr>
        <w:t>“自愿共识标准在医疗器械上市前申请中的合理使用”</w:t>
      </w:r>
      <w:r>
        <w:rPr>
          <w:rFonts w:ascii="Times New Roman" w:hAnsi="Times New Roman" w:eastAsia="宋体" w:cs="宋体"/>
          <w:snapToGrid w:val="0"/>
          <w:lang w:eastAsia="zh-CN"/>
        </w:rPr>
        <w:fldChar w:fldCharType="end"/>
      </w:r>
      <w:r>
        <w:rPr>
          <w:rFonts w:ascii="Times New Roman" w:hAnsi="Times New Roman" w:eastAsia="宋体" w:cs="宋体"/>
          <w:lang w:eastAsia="zh-CN"/>
        </w:rPr>
        <w:t>的指南。”</w:t>
      </w:r>
      <w:r>
        <w:fldChar w:fldCharType="begin"/>
      </w:r>
      <w:r>
        <w:instrText xml:space="preserve"> HYPERLINK \l "bookmark11" \o "Current Document" \h </w:instrText>
      </w:r>
      <w:r>
        <w:fldChar w:fldCharType="separate"/>
      </w:r>
      <w:r>
        <w:rPr>
          <w:rFonts w:ascii="Times New Roman" w:hAnsi="Times New Roman" w:eastAsia="宋体" w:cs="宋体"/>
          <w:snapToGrid w:val="0"/>
          <w:vertAlign w:val="superscript"/>
          <w:lang w:eastAsia="zh-CN"/>
        </w:rPr>
        <w:t>3</w:t>
      </w:r>
      <w:r>
        <w:rPr>
          <w:rFonts w:ascii="Times New Roman" w:hAnsi="Times New Roman" w:eastAsia="宋体" w:cs="宋体"/>
          <w:snapToGrid w:val="0"/>
          <w:vertAlign w:val="superscript"/>
          <w:lang w:eastAsia="zh-CN"/>
        </w:rPr>
        <w:fldChar w:fldCharType="end"/>
      </w:r>
    </w:p>
    <w:p w14:paraId="512ED2E6">
      <w:pPr>
        <w:pStyle w:val="23"/>
        <w:tabs>
          <w:tab w:val="left" w:pos="110"/>
        </w:tabs>
        <w:adjustRightInd w:val="0"/>
        <w:snapToGrid w:val="0"/>
        <w:spacing w:before="120" w:beforeLines="50" w:line="300" w:lineRule="auto"/>
        <w:jc w:val="both"/>
        <w:rPr>
          <w:rFonts w:eastAsia="宋体" w:cs="宋体"/>
          <w:sz w:val="24"/>
          <w:lang w:eastAsia="zh-CN"/>
        </w:rPr>
      </w:pPr>
    </w:p>
    <w:p w14:paraId="0C5DA6C9">
      <w:pPr>
        <w:pStyle w:val="23"/>
        <w:tabs>
          <w:tab w:val="left" w:pos="110"/>
        </w:tabs>
        <w:adjustRightInd w:val="0"/>
        <w:snapToGrid w:val="0"/>
        <w:spacing w:before="120" w:beforeLines="50" w:line="300" w:lineRule="auto"/>
        <w:jc w:val="both"/>
        <w:rPr>
          <w:rFonts w:eastAsia="宋体" w:cs="宋体"/>
          <w:sz w:val="24"/>
          <w:lang w:eastAsia="zh-CN"/>
        </w:rPr>
      </w:pPr>
    </w:p>
    <w:p w14:paraId="7FD42FB4">
      <w:pPr>
        <w:pStyle w:val="23"/>
        <w:tabs>
          <w:tab w:val="left" w:pos="110"/>
        </w:tabs>
        <w:adjustRightInd w:val="0"/>
        <w:snapToGrid w:val="0"/>
        <w:spacing w:before="120" w:beforeLines="50" w:line="300" w:lineRule="auto"/>
        <w:jc w:val="both"/>
        <w:rPr>
          <w:rFonts w:eastAsia="宋体" w:cs="宋体"/>
          <w:sz w:val="24"/>
          <w:lang w:eastAsia="zh-CN"/>
        </w:rPr>
      </w:pPr>
    </w:p>
    <w:p w14:paraId="0A36FF8F">
      <w:pPr>
        <w:pStyle w:val="23"/>
        <w:tabs>
          <w:tab w:val="left" w:pos="110"/>
        </w:tabs>
        <w:adjustRightInd w:val="0"/>
        <w:snapToGrid w:val="0"/>
        <w:spacing w:before="120" w:beforeLines="50" w:line="300" w:lineRule="auto"/>
        <w:jc w:val="both"/>
        <w:rPr>
          <w:rFonts w:eastAsia="宋体"/>
          <w:snapToGrid w:val="0"/>
          <w:sz w:val="24"/>
          <w:szCs w:val="24"/>
          <w:shd w:val="clear" w:color="auto" w:fill="FFFFFF"/>
          <w:lang w:eastAsia="zh-CN"/>
        </w:rPr>
      </w:pPr>
      <w:r>
        <w:rPr>
          <w:rFonts w:eastAsia="宋体" w:cs="宋体"/>
          <w:sz w:val="24"/>
        </w:rPr>
        <w:t>____________________</w:t>
      </w:r>
    </w:p>
    <w:p w14:paraId="7AF6CB77">
      <w:pPr>
        <w:pStyle w:val="23"/>
        <w:tabs>
          <w:tab w:val="left" w:pos="86"/>
        </w:tabs>
        <w:adjustRightInd w:val="0"/>
        <w:snapToGrid w:val="0"/>
        <w:spacing w:before="36" w:beforeLines="15" w:line="276" w:lineRule="auto"/>
        <w:jc w:val="both"/>
        <w:rPr>
          <w:rFonts w:eastAsia="宋体"/>
          <w:snapToGrid w:val="0"/>
          <w:sz w:val="21"/>
          <w:szCs w:val="21"/>
        </w:rPr>
      </w:pPr>
      <w:r>
        <w:rPr>
          <w:rFonts w:eastAsia="宋体"/>
          <w:snapToGrid w:val="0"/>
          <w:sz w:val="21"/>
          <w:szCs w:val="21"/>
          <w:shd w:val="clear" w:color="auto" w:fill="FFFFFF"/>
          <w:vertAlign w:val="superscript"/>
        </w:rPr>
        <w:t>1</w:t>
      </w:r>
      <w:r>
        <w:fldChar w:fldCharType="begin"/>
      </w:r>
      <w:r>
        <w:instrText xml:space="preserve"> HYPERLINK "https://www.fda.gov/regulatory-information/search-fda-guidance-documents/use-international-standard-iso-10993-" </w:instrText>
      </w:r>
      <w:r>
        <w:fldChar w:fldCharType="separate"/>
      </w:r>
      <w:r>
        <w:rPr>
          <w:rStyle w:val="10"/>
          <w:rFonts w:eastAsia="宋体"/>
          <w:snapToGrid w:val="0"/>
          <w:sz w:val="21"/>
          <w:szCs w:val="21"/>
        </w:rPr>
        <w:t>https://www.fda.gov/regulatory-information/search-fda-guidance-documents/use-international-standard-iso-10993-</w:t>
      </w:r>
      <w:r>
        <w:rPr>
          <w:rStyle w:val="10"/>
          <w:rFonts w:eastAsia="宋体"/>
          <w:snapToGrid w:val="0"/>
          <w:sz w:val="21"/>
          <w:szCs w:val="21"/>
        </w:rPr>
        <w:fldChar w:fldCharType="end"/>
      </w:r>
      <w:r>
        <w:rPr>
          <w:rFonts w:eastAsia="宋体"/>
          <w:snapToGrid w:val="0"/>
          <w:color w:val="0000FF"/>
          <w:sz w:val="21"/>
          <w:szCs w:val="21"/>
          <w:u w:val="single"/>
        </w:rPr>
        <w:t>1</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Fonts w:eastAsia="宋体"/>
          <w:snapToGrid w:val="0"/>
          <w:color w:val="0000FF"/>
          <w:sz w:val="21"/>
          <w:szCs w:val="21"/>
          <w:u w:val="single"/>
        </w:rPr>
        <w:t>-biological-evaluation-medical-devices-part-1 -evaluation-and</w:t>
      </w:r>
      <w:r>
        <w:rPr>
          <w:rFonts w:eastAsia="宋体"/>
          <w:snapToGrid w:val="0"/>
          <w:sz w:val="21"/>
          <w:szCs w:val="21"/>
        </w:rPr>
        <w:t>.</w:t>
      </w:r>
      <w:r>
        <w:rPr>
          <w:rFonts w:eastAsia="宋体"/>
          <w:snapToGrid w:val="0"/>
          <w:sz w:val="21"/>
          <w:szCs w:val="21"/>
        </w:rPr>
        <w:fldChar w:fldCharType="end"/>
      </w:r>
    </w:p>
    <w:p w14:paraId="68E88F1C">
      <w:pPr>
        <w:pStyle w:val="23"/>
        <w:tabs>
          <w:tab w:val="left" w:pos="115"/>
        </w:tabs>
        <w:adjustRightInd w:val="0"/>
        <w:snapToGrid w:val="0"/>
        <w:spacing w:before="36" w:beforeLines="15" w:line="276" w:lineRule="auto"/>
        <w:jc w:val="both"/>
        <w:rPr>
          <w:rFonts w:eastAsia="宋体"/>
          <w:snapToGrid w:val="0"/>
          <w:sz w:val="21"/>
          <w:szCs w:val="21"/>
        </w:rPr>
      </w:pPr>
      <w:bookmarkStart w:id="1" w:name="bookmark10"/>
      <w:r>
        <w:rPr>
          <w:rFonts w:eastAsia="宋体"/>
          <w:snapToGrid w:val="0"/>
          <w:sz w:val="21"/>
          <w:szCs w:val="21"/>
          <w:vertAlign w:val="superscript"/>
        </w:rPr>
        <w:t>2</w:t>
      </w:r>
      <w:r>
        <w:fldChar w:fldCharType="begin"/>
      </w:r>
      <w:r>
        <w:instrText xml:space="preserve"> HYPERLINK "https://www.accessdata.fda.gov/scripts/cdrh/cfdocs/cfStandards/search.cfm" </w:instrText>
      </w:r>
      <w:r>
        <w:fldChar w:fldCharType="separate"/>
      </w:r>
      <w:r>
        <w:rPr>
          <w:rFonts w:eastAsia="宋体"/>
          <w:snapToGrid w:val="0"/>
          <w:sz w:val="21"/>
          <w:szCs w:val="21"/>
        </w:rPr>
        <w:t xml:space="preserve"> </w:t>
      </w:r>
      <w:r>
        <w:rPr>
          <w:rFonts w:eastAsia="宋体"/>
          <w:snapToGrid w:val="0"/>
          <w:color w:val="0000FF"/>
          <w:sz w:val="21"/>
          <w:szCs w:val="21"/>
          <w:u w:val="single"/>
        </w:rPr>
        <w:t>https://www.accessdata.fda.gov/scripts/cdrh/cfdocs/cfStandards/search.cfm</w:t>
      </w:r>
      <w:r>
        <w:rPr>
          <w:rFonts w:eastAsia="宋体"/>
          <w:snapToGrid w:val="0"/>
          <w:sz w:val="21"/>
          <w:szCs w:val="21"/>
        </w:rPr>
        <w:t>.</w:t>
      </w:r>
      <w:bookmarkEnd w:id="1"/>
      <w:r>
        <w:rPr>
          <w:rFonts w:eastAsia="宋体"/>
          <w:snapToGrid w:val="0"/>
          <w:sz w:val="21"/>
          <w:szCs w:val="21"/>
        </w:rPr>
        <w:fldChar w:fldCharType="end"/>
      </w:r>
    </w:p>
    <w:p w14:paraId="3CC7212E">
      <w:pPr>
        <w:pStyle w:val="23"/>
        <w:tabs>
          <w:tab w:val="left" w:pos="115"/>
        </w:tabs>
        <w:adjustRightInd w:val="0"/>
        <w:snapToGrid w:val="0"/>
        <w:spacing w:before="36" w:beforeLines="15" w:line="276" w:lineRule="auto"/>
        <w:jc w:val="both"/>
        <w:rPr>
          <w:rFonts w:eastAsia="宋体"/>
          <w:snapToGrid w:val="0"/>
          <w:sz w:val="21"/>
          <w:szCs w:val="21"/>
          <w:lang w:eastAsia="zh-CN"/>
        </w:rPr>
      </w:pPr>
      <w:bookmarkStart w:id="2" w:name="bookmark11"/>
      <w:r>
        <w:rPr>
          <w:rFonts w:eastAsia="宋体"/>
          <w:snapToGrid w:val="0"/>
          <w:sz w:val="21"/>
          <w:szCs w:val="21"/>
          <w:vertAlign w:val="superscript"/>
        </w:rPr>
        <w:t>3</w:t>
      </w:r>
      <w:r>
        <w:fldChar w:fldCharType="begin"/>
      </w:r>
      <w:r>
        <w:instrText xml:space="preserve"> HYPERLINK "https://www.fda.gov/regulatory-information/search-fda-guidance-documents/appropriate-use-voluntary-consensus-standards-premarket-submissions-medical-devices" </w:instrText>
      </w:r>
      <w:r>
        <w:fldChar w:fldCharType="separate"/>
      </w:r>
      <w:r>
        <w:rPr>
          <w:rFonts w:eastAsia="宋体"/>
          <w:snapToGrid w:val="0"/>
          <w:color w:val="0000FF"/>
          <w:sz w:val="21"/>
          <w:szCs w:val="21"/>
          <w:u w:val="single"/>
        </w:rPr>
        <w:t>https://www.fda.gov/regulatory-information/search-fda-guidance-documents/appropriate-use-voluntary-consensus- standards-premarket-submissions-medical-devices</w:t>
      </w:r>
      <w:r>
        <w:rPr>
          <w:rFonts w:eastAsia="宋体"/>
          <w:snapToGrid w:val="0"/>
          <w:color w:val="0000FF"/>
          <w:sz w:val="21"/>
          <w:szCs w:val="21"/>
          <w:u w:val="single"/>
        </w:rPr>
        <w:fldChar w:fldCharType="end"/>
      </w:r>
      <w:r>
        <w:rPr>
          <w:rFonts w:eastAsia="宋体"/>
          <w:snapToGrid w:val="0"/>
          <w:sz w:val="21"/>
          <w:szCs w:val="21"/>
        </w:rPr>
        <w:t>.</w:t>
      </w:r>
      <w:bookmarkEnd w:id="2"/>
    </w:p>
    <w:p w14:paraId="3E50ACCA">
      <w:pPr>
        <w:pStyle w:val="23"/>
        <w:tabs>
          <w:tab w:val="left" w:pos="115"/>
        </w:tabs>
        <w:adjustRightInd w:val="0"/>
        <w:snapToGrid w:val="0"/>
        <w:spacing w:before="36" w:beforeLines="15" w:line="276" w:lineRule="auto"/>
        <w:jc w:val="both"/>
        <w:rPr>
          <w:rFonts w:eastAsia="宋体"/>
          <w:snapToGrid w:val="0"/>
          <w:sz w:val="21"/>
          <w:szCs w:val="21"/>
        </w:rPr>
      </w:pPr>
      <w:r>
        <w:rPr>
          <w:rFonts w:eastAsia="宋体"/>
          <w:snapToGrid w:val="0"/>
          <w:sz w:val="21"/>
          <w:szCs w:val="21"/>
        </w:rPr>
        <w:br w:type="page"/>
      </w:r>
    </w:p>
    <w:p w14:paraId="38019B5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包括本指南草案在内的FDA指南文件都不属于具有法律强制执行力的文件。相反，指南中仅说明了FDA在当前条件下关于该主题的观点，且如果没有引用具体的法规或法令要求，则只能视其为建议。在FDA的指南文件中，“应”一词是指建议或推荐，而不是要求。</w:t>
      </w:r>
    </w:p>
    <w:p w14:paraId="30B26B1F">
      <w:pPr>
        <w:pStyle w:val="34"/>
        <w:rPr>
          <w:rFonts w:eastAsia="宋体"/>
          <w:lang w:eastAsia="zh-CN"/>
        </w:rPr>
      </w:pPr>
      <w:bookmarkStart w:id="3" w:name="_Toc91868588"/>
      <w:r>
        <w:rPr>
          <w:rFonts w:eastAsia="宋体" w:cs="宋体"/>
          <w:lang w:eastAsia="zh-CN"/>
        </w:rPr>
        <w:t>II.</w:t>
      </w:r>
      <w:r>
        <w:rPr>
          <w:rFonts w:eastAsia="宋体" w:cs="宋体"/>
          <w:lang w:eastAsia="zh-CN"/>
        </w:rPr>
        <w:tab/>
      </w:r>
      <w:r>
        <w:rPr>
          <w:rFonts w:eastAsia="宋体" w:cs="宋体"/>
          <w:lang w:eastAsia="zh-CN"/>
        </w:rPr>
        <w:t>背景</w:t>
      </w:r>
      <w:bookmarkEnd w:id="3"/>
    </w:p>
    <w:p w14:paraId="47C4556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FDA签发本指南是为了提议对生物相容性建议进行选择更新，并协助制造商准备适用于与人体直接接触或间接接触的医疗器械</w:t>
      </w:r>
      <w:r>
        <w:rPr>
          <w:rFonts w:ascii="Times New Roman" w:hAnsi="Times New Roman" w:eastAsia="宋体" w:cs="宋体"/>
          <w:vertAlign w:val="superscript"/>
          <w:lang w:eastAsia="zh-CN"/>
        </w:rPr>
        <w:t>4</w:t>
      </w:r>
      <w:r>
        <w:rPr>
          <w:rFonts w:ascii="Times New Roman" w:hAnsi="Times New Roman" w:eastAsia="宋体" w:cs="宋体"/>
          <w:lang w:eastAsia="zh-CN"/>
        </w:rPr>
        <w:t>的上市前批准（PMA）申请、人道主义器械豁免（HDE）申请、试验用器械豁免（IDE）申请、上市前通知（510(k)）申请和创新产品分类及申请（</w:t>
      </w:r>
      <w:r>
        <w:rPr>
          <w:rFonts w:hint="eastAsia" w:ascii="Times New Roman" w:hAnsi="Times New Roman" w:eastAsia="宋体" w:cs="宋体"/>
          <w:lang w:eastAsia="zh-CN"/>
        </w:rPr>
        <w:t>De Novo申请</w:t>
      </w:r>
      <w:r>
        <w:rPr>
          <w:rFonts w:ascii="Times New Roman" w:hAnsi="Times New Roman" w:eastAsia="宋体" w:cs="宋体"/>
          <w:lang w:eastAsia="zh-CN"/>
        </w:rPr>
        <w:t>），以确定因器械材料与人体接触而导致不可接受的不良生物反应的可能性。</w:t>
      </w:r>
    </w:p>
    <w:p w14:paraId="520D6C1E">
      <w:pPr>
        <w:pStyle w:val="34"/>
        <w:rPr>
          <w:rFonts w:eastAsia="宋体"/>
          <w:lang w:eastAsia="zh-CN"/>
        </w:rPr>
      </w:pPr>
      <w:bookmarkStart w:id="4" w:name="_Toc91868589"/>
      <w:r>
        <w:rPr>
          <w:rFonts w:eastAsia="宋体" w:cs="宋体"/>
          <w:lang w:eastAsia="zh-CN"/>
        </w:rPr>
        <w:t>III.</w:t>
      </w:r>
      <w:r>
        <w:rPr>
          <w:rFonts w:eastAsia="宋体" w:cs="宋体"/>
          <w:lang w:eastAsia="zh-CN"/>
        </w:rPr>
        <w:tab/>
      </w:r>
      <w:r>
        <w:rPr>
          <w:rFonts w:eastAsia="宋体" w:cs="宋体"/>
          <w:lang w:eastAsia="zh-CN"/>
        </w:rPr>
        <w:t>选择更新</w:t>
      </w:r>
      <w:bookmarkEnd w:id="4"/>
    </w:p>
    <w:p w14:paraId="67F9A5F8">
      <w:pPr>
        <w:pStyle w:val="36"/>
        <w:rPr>
          <w:rFonts w:eastAsia="宋体"/>
          <w:lang w:eastAsia="zh-CN"/>
        </w:rPr>
      </w:pPr>
      <w:bookmarkStart w:id="5" w:name="_Toc91868590"/>
      <w:r>
        <w:rPr>
          <w:rFonts w:eastAsia="宋体" w:cs="宋体"/>
          <w:lang w:eastAsia="zh-CN"/>
        </w:rPr>
        <w:t>A.</w:t>
      </w:r>
      <w:r>
        <w:rPr>
          <w:rFonts w:eastAsia="宋体" w:cs="宋体"/>
          <w:lang w:eastAsia="zh-CN"/>
        </w:rPr>
        <w:tab/>
      </w:r>
      <w:r>
        <w:rPr>
          <w:rFonts w:eastAsia="宋体" w:cs="宋体"/>
          <w:lang w:eastAsia="zh-CN"/>
        </w:rPr>
        <w:t>2016年生物相容性指南的新附件：与完好皮肤接触的某些器械的生物相容性</w:t>
      </w:r>
      <w:bookmarkEnd w:id="5"/>
    </w:p>
    <w:p w14:paraId="6F610A9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许多器械均使用了由聚合物和织物制成的可与完好皮肤接触的材料。FDA认为此类材料构成的生物相容性风险非常低，因为其在与完好皮肤接触的医疗器械中有长期的安全使用历史。对于此类器械，FDA动用了大量审查资源来获取充分的理由证明不对经常使用的与完好皮肤接触的医疗器械进行生物相容性试验是合理的，符合FDA在2016年生物相容性指南中的建议。</w:t>
      </w:r>
    </w:p>
    <w:p w14:paraId="78E0011E">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本附件描述了适用于上述器械的最小负担</w:t>
      </w:r>
      <w:r>
        <w:rPr>
          <w:rFonts w:ascii="Times New Roman" w:hAnsi="Times New Roman" w:eastAsia="宋体" w:cs="宋体"/>
          <w:vertAlign w:val="superscript"/>
          <w:lang w:eastAsia="zh-CN"/>
        </w:rPr>
        <w:t>5</w:t>
      </w:r>
      <w:r>
        <w:rPr>
          <w:rFonts w:ascii="Times New Roman" w:hAnsi="Times New Roman" w:eastAsia="宋体" w:cs="宋体"/>
          <w:lang w:eastAsia="zh-CN"/>
        </w:rPr>
        <w:t>方法，建议在上市前申请中纳入特定材料信息，以</w:t>
      </w:r>
      <w:r>
        <w:rPr>
          <w:rFonts w:hint="eastAsia" w:ascii="Times New Roman" w:hAnsi="Times New Roman" w:eastAsia="宋体" w:cs="宋体"/>
          <w:lang w:eastAsia="zh-CN"/>
        </w:rPr>
        <w:t>代替</w:t>
      </w:r>
      <w:r>
        <w:rPr>
          <w:rFonts w:ascii="Times New Roman" w:hAnsi="Times New Roman" w:eastAsia="宋体" w:cs="宋体"/>
          <w:lang w:eastAsia="zh-CN"/>
        </w:rPr>
        <w:t>生物相容性试验。该方法还支持“3R”原则，即在可行的情况下减少、优化和替代试验中的动物使用。</w:t>
      </w:r>
      <w:r>
        <w:rPr>
          <w:rFonts w:ascii="Times New Roman" w:hAnsi="Times New Roman" w:eastAsia="宋体" w:cs="宋体"/>
          <w:vertAlign w:val="superscript"/>
          <w:lang w:eastAsia="zh-CN"/>
        </w:rPr>
        <w:t>6</w:t>
      </w:r>
      <w:r>
        <w:rPr>
          <w:rFonts w:ascii="Times New Roman" w:hAnsi="Times New Roman" w:eastAsia="宋体" w:cs="宋体"/>
          <w:lang w:eastAsia="zh-CN"/>
        </w:rPr>
        <w:t>该方法部分基于FDA对此类常见聚合物和织物上市前申请的审查经验。</w:t>
      </w:r>
    </w:p>
    <w:p w14:paraId="109326D1">
      <w:pPr>
        <w:adjustRightInd w:val="0"/>
        <w:snapToGrid w:val="0"/>
        <w:spacing w:before="120" w:beforeLines="50" w:line="300" w:lineRule="auto"/>
        <w:jc w:val="both"/>
        <w:rPr>
          <w:rFonts w:ascii="Times New Roman" w:hAnsi="Times New Roman" w:eastAsia="宋体" w:cs="Times New Roman"/>
          <w:snapToGrid w:val="0"/>
          <w:lang w:eastAsia="zh-CN"/>
        </w:rPr>
      </w:pPr>
    </w:p>
    <w:p w14:paraId="7844DA38">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w:t>
      </w:r>
    </w:p>
    <w:p w14:paraId="04747C53">
      <w:pPr>
        <w:pStyle w:val="23"/>
        <w:tabs>
          <w:tab w:val="left" w:pos="115"/>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4</w:t>
      </w:r>
      <w:r>
        <w:rPr>
          <w:rFonts w:eastAsia="宋体" w:cs="宋体"/>
          <w:sz w:val="21"/>
          <w:lang w:eastAsia="zh-CN"/>
        </w:rPr>
        <w:t xml:space="preserve"> 鉴于本文件目的，术语“人体”指患者组织或临床实践者。例如，应对旨在由临床实践者进行保护性使用的口罩或手套进行生物相容性评价。同样，建议对植入物或皮肤电极等医疗器械的生物相容性进行评估。</w:t>
      </w:r>
    </w:p>
    <w:p w14:paraId="03D237E0">
      <w:pPr>
        <w:pStyle w:val="23"/>
        <w:tabs>
          <w:tab w:val="left" w:pos="115"/>
        </w:tabs>
        <w:adjustRightInd w:val="0"/>
        <w:snapToGrid w:val="0"/>
        <w:spacing w:before="36" w:beforeLines="15" w:line="276" w:lineRule="auto"/>
        <w:jc w:val="both"/>
        <w:rPr>
          <w:rFonts w:eastAsia="宋体"/>
          <w:snapToGrid w:val="0"/>
          <w:sz w:val="21"/>
          <w:szCs w:val="21"/>
        </w:rPr>
      </w:pPr>
      <w:bookmarkStart w:id="6" w:name="bookmark27"/>
      <w:r>
        <w:rPr>
          <w:rFonts w:eastAsia="宋体"/>
          <w:snapToGrid w:val="0"/>
          <w:sz w:val="21"/>
          <w:szCs w:val="21"/>
          <w:vertAlign w:val="superscript"/>
        </w:rPr>
        <w:t>5</w:t>
      </w:r>
      <w:r>
        <w:fldChar w:fldCharType="begin"/>
      </w:r>
      <w:r>
        <w:instrText xml:space="preserve"> HYPERLINK "https://www.fda.gov/regulatorv-information/search-fda-guidance-documents/least-burdensome-provisions-" </w:instrText>
      </w:r>
      <w:r>
        <w:fldChar w:fldCharType="separate"/>
      </w:r>
      <w:r>
        <w:rPr>
          <w:rStyle w:val="10"/>
          <w:rFonts w:eastAsia="宋体"/>
          <w:snapToGrid w:val="0"/>
          <w:sz w:val="21"/>
          <w:szCs w:val="21"/>
        </w:rPr>
        <w:t>https://www.fda.gov/regulatorv-information/search-fda-guidance-documents/least-burdensome-provisions-</w:t>
      </w:r>
      <w:r>
        <w:rPr>
          <w:rStyle w:val="10"/>
          <w:rFonts w:eastAsia="宋体"/>
          <w:snapToGrid w:val="0"/>
          <w:sz w:val="21"/>
          <w:szCs w:val="21"/>
        </w:rPr>
        <w:fldChar w:fldCharType="end"/>
      </w:r>
      <w:r>
        <w:fldChar w:fldCharType="begin"/>
      </w:r>
      <w:r>
        <w:instrText xml:space="preserve"> HYPERLINK "https://www.fda.gov/regulatory-information/search-fda-guidance-documents/least-burdensome-provisions-concept-and-principles" </w:instrText>
      </w:r>
      <w:r>
        <w:fldChar w:fldCharType="separate"/>
      </w:r>
      <w:r>
        <w:rPr>
          <w:rFonts w:eastAsia="宋体"/>
          <w:snapToGrid w:val="0"/>
          <w:color w:val="0000FF"/>
          <w:sz w:val="21"/>
          <w:szCs w:val="21"/>
          <w:u w:val="single"/>
        </w:rPr>
        <w:t>concept-and-principles</w:t>
      </w:r>
      <w:r>
        <w:rPr>
          <w:rFonts w:eastAsia="宋体"/>
          <w:snapToGrid w:val="0"/>
          <w:sz w:val="21"/>
          <w:szCs w:val="21"/>
        </w:rPr>
        <w:t>.</w:t>
      </w:r>
      <w:bookmarkEnd w:id="6"/>
      <w:r>
        <w:rPr>
          <w:rFonts w:eastAsia="宋体"/>
          <w:snapToGrid w:val="0"/>
          <w:sz w:val="21"/>
          <w:szCs w:val="21"/>
        </w:rPr>
        <w:fldChar w:fldCharType="end"/>
      </w:r>
    </w:p>
    <w:p w14:paraId="32B636EF">
      <w:pPr>
        <w:pStyle w:val="23"/>
        <w:tabs>
          <w:tab w:val="left" w:pos="110"/>
        </w:tabs>
        <w:adjustRightInd w:val="0"/>
        <w:snapToGrid w:val="0"/>
        <w:spacing w:before="36" w:beforeLines="15" w:line="276" w:lineRule="auto"/>
        <w:jc w:val="both"/>
        <w:rPr>
          <w:rFonts w:eastAsia="宋体" w:cs="宋体"/>
          <w:sz w:val="21"/>
          <w:lang w:eastAsia="zh-CN"/>
        </w:rPr>
      </w:pPr>
      <w:r>
        <w:rPr>
          <w:rFonts w:eastAsia="宋体" w:cs="宋体"/>
          <w:sz w:val="21"/>
          <w:vertAlign w:val="superscript"/>
        </w:rPr>
        <w:t>6</w:t>
      </w:r>
      <w:r>
        <w:rPr>
          <w:rFonts w:eastAsia="宋体" w:cs="宋体"/>
          <w:sz w:val="21"/>
        </w:rPr>
        <w:t xml:space="preserve"> Russell WMS, Burch RL.The Principles of Humane Experimental Technique</w:t>
      </w:r>
      <w:r>
        <w:rPr>
          <w:rFonts w:hint="eastAsia" w:eastAsia="宋体" w:cs="宋体"/>
          <w:sz w:val="21"/>
          <w:lang w:eastAsia="zh-CN"/>
        </w:rPr>
        <w:t>.</w:t>
      </w:r>
      <w:r>
        <w:rPr>
          <w:rFonts w:eastAsia="宋体" w:cs="宋体"/>
          <w:sz w:val="21"/>
          <w:lang w:eastAsia="zh-CN"/>
        </w:rPr>
        <w:t xml:space="preserve"> </w:t>
      </w:r>
      <w:r>
        <w:rPr>
          <w:rFonts w:eastAsia="宋体" w:cs="宋体"/>
          <w:sz w:val="21"/>
        </w:rPr>
        <w:t>London: Methuen &amp; Co.; 1959.动物福利大学联合会出版</w:t>
      </w:r>
      <w:r>
        <w:rPr>
          <w:rFonts w:hint="eastAsia" w:eastAsia="宋体" w:cs="宋体"/>
          <w:sz w:val="21"/>
          <w:lang w:eastAsia="zh-CN"/>
        </w:rPr>
        <w:t>之</w:t>
      </w:r>
      <w:r>
        <w:rPr>
          <w:rFonts w:eastAsia="宋体" w:cs="宋体"/>
          <w:sz w:val="21"/>
        </w:rPr>
        <w:t>特别版，1992年。可登录以下网址在线获取：</w:t>
      </w:r>
      <w:r>
        <w:fldChar w:fldCharType="begin"/>
      </w:r>
      <w:r>
        <w:instrText xml:space="preserve"> HYPERLINK "http://altweb.jhsph.edu/pubs/books/humane_exp/het-toc" </w:instrText>
      </w:r>
      <w:r>
        <w:fldChar w:fldCharType="separate"/>
      </w:r>
      <w:r>
        <w:rPr>
          <w:rFonts w:eastAsia="宋体" w:cs="宋体"/>
          <w:snapToGrid w:val="0"/>
          <w:color w:val="0000FF"/>
          <w:sz w:val="21"/>
          <w:szCs w:val="21"/>
          <w:u w:val="single"/>
        </w:rPr>
        <w:t>http://altweb.jhsph. edu/pubs/books/humane_exp/het-toc</w:t>
      </w:r>
      <w:r>
        <w:rPr>
          <w:rFonts w:eastAsia="宋体" w:cs="宋体"/>
          <w:snapToGrid w:val="0"/>
          <w:color w:val="0000FF"/>
          <w:sz w:val="21"/>
          <w:szCs w:val="21"/>
          <w:u w:val="single"/>
        </w:rPr>
        <w:fldChar w:fldCharType="end"/>
      </w:r>
      <w:r>
        <w:rPr>
          <w:rFonts w:eastAsia="宋体" w:cs="宋体"/>
          <w:sz w:val="21"/>
        </w:rPr>
        <w:t>。</w:t>
      </w:r>
    </w:p>
    <w:p w14:paraId="56FB680C">
      <w:pPr>
        <w:pStyle w:val="23"/>
        <w:tabs>
          <w:tab w:val="left" w:pos="110"/>
        </w:tabs>
        <w:adjustRightInd w:val="0"/>
        <w:snapToGrid w:val="0"/>
        <w:spacing w:before="36" w:beforeLines="15" w:line="276" w:lineRule="auto"/>
        <w:jc w:val="both"/>
        <w:rPr>
          <w:rFonts w:eastAsia="宋体"/>
          <w:snapToGrid w:val="0"/>
          <w:lang w:eastAsia="zh-CN"/>
        </w:rPr>
      </w:pPr>
      <w:r>
        <w:rPr>
          <w:rFonts w:eastAsia="宋体" w:cs="宋体"/>
          <w:sz w:val="21"/>
          <w:lang w:eastAsia="zh-CN"/>
        </w:rPr>
        <w:br w:type="page"/>
      </w:r>
      <w:r>
        <w:rPr>
          <w:rFonts w:eastAsia="宋体" w:cs="宋体"/>
          <w:lang w:eastAsia="zh-CN"/>
        </w:rPr>
        <w:t>该方法还依赖于质量体系法规（QS法规，21 CFR 820）的某些部分及其他上市后控制</w:t>
      </w:r>
      <w:r>
        <w:rPr>
          <w:rFonts w:eastAsia="宋体" w:cs="宋体"/>
          <w:b/>
          <w:vertAlign w:val="superscript"/>
          <w:lang w:eastAsia="zh-CN"/>
        </w:rPr>
        <w:t>7</w:t>
      </w:r>
      <w:r>
        <w:rPr>
          <w:rFonts w:eastAsia="宋体" w:cs="宋体"/>
          <w:lang w:eastAsia="zh-CN"/>
        </w:rPr>
        <w:t>，旨在</w:t>
      </w:r>
      <w:r>
        <w:rPr>
          <w:rFonts w:hint="eastAsia" w:eastAsia="宋体" w:cs="宋体"/>
          <w:lang w:eastAsia="zh-CN"/>
        </w:rPr>
        <w:t>识别</w:t>
      </w:r>
      <w:r>
        <w:rPr>
          <w:rFonts w:eastAsia="宋体" w:cs="宋体"/>
          <w:lang w:eastAsia="zh-CN"/>
        </w:rPr>
        <w:t>潜在的生物相容性相关问题。</w:t>
      </w:r>
    </w:p>
    <w:p w14:paraId="05D382B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例如，质量体系和其他上市后控制的要求指出，如果制造商已建立和维护相应程序，则应</w:t>
      </w:r>
      <w:r>
        <w:rPr>
          <w:rFonts w:hint="eastAsia" w:ascii="Times New Roman" w:hAnsi="Times New Roman" w:eastAsia="宋体" w:cs="宋体"/>
          <w:lang w:eastAsia="zh-CN"/>
        </w:rPr>
        <w:t>识别出</w:t>
      </w:r>
      <w:r>
        <w:rPr>
          <w:rFonts w:ascii="Times New Roman" w:hAnsi="Times New Roman" w:eastAsia="宋体" w:cs="宋体"/>
          <w:lang w:eastAsia="zh-CN"/>
        </w:rPr>
        <w:t>与完好皮肤接触的器械的生物相容性问题，并</w:t>
      </w:r>
      <w:r>
        <w:rPr>
          <w:rFonts w:hint="eastAsia" w:ascii="Times New Roman" w:hAnsi="Times New Roman" w:eastAsia="宋体" w:cs="宋体"/>
          <w:lang w:eastAsia="zh-CN"/>
        </w:rPr>
        <w:t>将其</w:t>
      </w:r>
      <w:r>
        <w:rPr>
          <w:rFonts w:ascii="Times New Roman" w:hAnsi="Times New Roman" w:eastAsia="宋体" w:cs="宋体"/>
          <w:lang w:eastAsia="zh-CN"/>
        </w:rPr>
        <w:t>记录保存在器械主记录</w:t>
      </w:r>
      <w:r>
        <w:rPr>
          <w:rFonts w:ascii="Times New Roman" w:hAnsi="Times New Roman" w:eastAsia="宋体" w:cs="宋体"/>
          <w:vertAlign w:val="superscript"/>
          <w:lang w:eastAsia="zh-CN"/>
        </w:rPr>
        <w:t>8</w:t>
      </w:r>
      <w:r>
        <w:rPr>
          <w:rFonts w:ascii="Times New Roman" w:hAnsi="Times New Roman" w:eastAsia="宋体" w:cs="宋体"/>
          <w:lang w:eastAsia="zh-CN"/>
        </w:rPr>
        <w:t>中，包括足够的：</w:t>
      </w:r>
    </w:p>
    <w:p w14:paraId="1E4B08C4">
      <w:pPr>
        <w:pStyle w:val="37"/>
        <w:numPr>
          <w:ilvl w:val="0"/>
          <w:numId w:val="1"/>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对材料供应商的采购控制（21 CFR 820.50）；</w:t>
      </w:r>
    </w:p>
    <w:p w14:paraId="3F9C0FF5">
      <w:pPr>
        <w:pStyle w:val="37"/>
        <w:numPr>
          <w:ilvl w:val="0"/>
          <w:numId w:val="1"/>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制造的生产和过程控制（21 CFR 820.70）。</w:t>
      </w:r>
      <w:r>
        <w:rPr>
          <w:rFonts w:hint="eastAsia" w:ascii="Times New Roman" w:hAnsi="Times New Roman" w:eastAsia="宋体" w:cs="宋体"/>
          <w:lang w:eastAsia="zh-CN"/>
        </w:rPr>
        <w:t>应去除</w:t>
      </w:r>
      <w:r>
        <w:rPr>
          <w:rFonts w:ascii="Times New Roman" w:hAnsi="Times New Roman" w:eastAsia="宋体" w:cs="宋体"/>
          <w:lang w:eastAsia="zh-CN"/>
        </w:rPr>
        <w:t>可能对器械生物相容性产生不利影响的制造材料或将其含量限制在不会引起毒性问题的水平；</w:t>
      </w:r>
    </w:p>
    <w:p w14:paraId="611D1227">
      <w:pPr>
        <w:pStyle w:val="37"/>
        <w:numPr>
          <w:ilvl w:val="0"/>
          <w:numId w:val="1"/>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组件和制造材料的接收、过程中和成品器械验收（21 CFR 820.80）；</w:t>
      </w:r>
    </w:p>
    <w:p w14:paraId="334E4E71">
      <w:pPr>
        <w:pStyle w:val="37"/>
        <w:numPr>
          <w:ilvl w:val="0"/>
          <w:numId w:val="1"/>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分析质量数据（21 CFR 820.100(a)(1)），包括投诉，以检测质量问题，如可能揭示细胞毒性、刺激性或致敏性问题的质量问题。FDA建议定期（至少每年一次）进行此类分析，以及</w:t>
      </w:r>
    </w:p>
    <w:p w14:paraId="5E240A95">
      <w:pPr>
        <w:pStyle w:val="37"/>
        <w:numPr>
          <w:ilvl w:val="0"/>
          <w:numId w:val="1"/>
        </w:numPr>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应</w:t>
      </w:r>
      <w:r>
        <w:rPr>
          <w:rFonts w:hint="eastAsia" w:ascii="Times New Roman" w:hAnsi="Times New Roman" w:eastAsia="宋体" w:cs="宋体"/>
          <w:lang w:eastAsia="zh-CN"/>
        </w:rPr>
        <w:t>对</w:t>
      </w:r>
      <w:r>
        <w:rPr>
          <w:rFonts w:ascii="Times New Roman" w:hAnsi="Times New Roman" w:eastAsia="宋体" w:cs="宋体"/>
          <w:lang w:eastAsia="zh-CN"/>
        </w:rPr>
        <w:t>投诉</w:t>
      </w:r>
      <w:r>
        <w:rPr>
          <w:rFonts w:hint="eastAsia" w:ascii="Times New Roman" w:hAnsi="Times New Roman" w:eastAsia="宋体" w:cs="宋体"/>
          <w:lang w:eastAsia="zh-CN"/>
        </w:rPr>
        <w:t>进行</w:t>
      </w:r>
      <w:r>
        <w:rPr>
          <w:rFonts w:ascii="Times New Roman" w:hAnsi="Times New Roman" w:eastAsia="宋体" w:cs="宋体"/>
          <w:lang w:eastAsia="zh-CN"/>
        </w:rPr>
        <w:t>受理、审查、评价（21 CFR 820.198），并在必要时进行调查。</w:t>
      </w:r>
      <w:r>
        <w:rPr>
          <w:rFonts w:ascii="Times New Roman" w:hAnsi="Times New Roman" w:eastAsia="宋体" w:cs="宋体"/>
          <w:vertAlign w:val="superscript"/>
          <w:lang w:eastAsia="zh-CN"/>
        </w:rPr>
        <w:t>9</w:t>
      </w:r>
      <w:r>
        <w:rPr>
          <w:rFonts w:ascii="Times New Roman" w:hAnsi="Times New Roman" w:eastAsia="宋体" w:cs="宋体"/>
          <w:lang w:eastAsia="zh-CN"/>
        </w:rPr>
        <w:t>建议制造商以统一、及时的方式处理投诉，以查找与细胞毒性、刺激性或致敏性相关的问题。此类问题的迹象可能包括：</w:t>
      </w:r>
    </w:p>
    <w:p w14:paraId="27B6E58D">
      <w:pPr>
        <w:pStyle w:val="37"/>
        <w:numPr>
          <w:ilvl w:val="0"/>
          <w:numId w:val="1"/>
        </w:numPr>
        <w:adjustRightInd w:val="0"/>
        <w:snapToGrid w:val="0"/>
        <w:spacing w:line="300" w:lineRule="auto"/>
        <w:ind w:left="1276" w:firstLineChars="0"/>
        <w:jc w:val="both"/>
        <w:rPr>
          <w:rFonts w:ascii="Times New Roman" w:hAnsi="Times New Roman" w:eastAsia="宋体" w:cs="Times New Roman"/>
          <w:snapToGrid w:val="0"/>
        </w:rPr>
      </w:pPr>
      <w:r>
        <w:rPr>
          <w:rFonts w:ascii="Times New Roman" w:hAnsi="Times New Roman" w:eastAsia="宋体" w:cs="宋体"/>
        </w:rPr>
        <w:t>发红（红斑）；</w:t>
      </w:r>
    </w:p>
    <w:p w14:paraId="2E910985">
      <w:pPr>
        <w:pStyle w:val="37"/>
        <w:numPr>
          <w:ilvl w:val="0"/>
          <w:numId w:val="1"/>
        </w:numPr>
        <w:adjustRightInd w:val="0"/>
        <w:snapToGrid w:val="0"/>
        <w:spacing w:line="300" w:lineRule="auto"/>
        <w:ind w:left="1276" w:firstLineChars="0"/>
        <w:jc w:val="both"/>
        <w:rPr>
          <w:rFonts w:ascii="Times New Roman" w:hAnsi="Times New Roman" w:eastAsia="宋体" w:cs="Times New Roman"/>
          <w:snapToGrid w:val="0"/>
        </w:rPr>
      </w:pPr>
      <w:r>
        <w:rPr>
          <w:rFonts w:ascii="Times New Roman" w:hAnsi="Times New Roman" w:eastAsia="宋体" w:cs="宋体"/>
        </w:rPr>
        <w:t>肿胀（水肿）；</w:t>
      </w:r>
    </w:p>
    <w:p w14:paraId="0D270F1B">
      <w:pPr>
        <w:pStyle w:val="37"/>
        <w:numPr>
          <w:ilvl w:val="0"/>
          <w:numId w:val="1"/>
        </w:numPr>
        <w:adjustRightInd w:val="0"/>
        <w:snapToGrid w:val="0"/>
        <w:spacing w:line="300" w:lineRule="auto"/>
        <w:ind w:left="1276" w:firstLineChars="0"/>
        <w:jc w:val="both"/>
        <w:rPr>
          <w:rFonts w:ascii="Times New Roman" w:hAnsi="Times New Roman" w:eastAsia="宋体" w:cs="Times New Roman"/>
          <w:snapToGrid w:val="0"/>
        </w:rPr>
      </w:pPr>
      <w:r>
        <w:rPr>
          <w:rFonts w:ascii="Times New Roman" w:hAnsi="Times New Roman" w:eastAsia="宋体" w:cs="宋体"/>
        </w:rPr>
        <w:t>刺激；</w:t>
      </w:r>
    </w:p>
    <w:p w14:paraId="2E7B45D8">
      <w:pPr>
        <w:pStyle w:val="37"/>
        <w:numPr>
          <w:ilvl w:val="0"/>
          <w:numId w:val="1"/>
        </w:numPr>
        <w:adjustRightInd w:val="0"/>
        <w:snapToGrid w:val="0"/>
        <w:spacing w:line="300" w:lineRule="auto"/>
        <w:ind w:left="1276"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致敏（迟发型IV型超敏反应）；</w:t>
      </w:r>
    </w:p>
    <w:p w14:paraId="4A332A70">
      <w:pPr>
        <w:pStyle w:val="37"/>
        <w:numPr>
          <w:ilvl w:val="0"/>
          <w:numId w:val="1"/>
        </w:numPr>
        <w:adjustRightInd w:val="0"/>
        <w:snapToGrid w:val="0"/>
        <w:spacing w:line="300" w:lineRule="auto"/>
        <w:ind w:left="1276" w:firstLineChars="0"/>
        <w:jc w:val="both"/>
        <w:rPr>
          <w:rFonts w:ascii="Times New Roman" w:hAnsi="Times New Roman" w:eastAsia="宋体" w:cs="Times New Roman"/>
          <w:snapToGrid w:val="0"/>
        </w:rPr>
      </w:pPr>
      <w:r>
        <w:rPr>
          <w:rFonts w:ascii="Times New Roman" w:hAnsi="Times New Roman" w:eastAsia="宋体" w:cs="宋体"/>
        </w:rPr>
        <w:t>过敏；以及</w:t>
      </w:r>
    </w:p>
    <w:p w14:paraId="27EFE2A8">
      <w:pPr>
        <w:pStyle w:val="37"/>
        <w:numPr>
          <w:ilvl w:val="0"/>
          <w:numId w:val="1"/>
        </w:numPr>
        <w:adjustRightInd w:val="0"/>
        <w:snapToGrid w:val="0"/>
        <w:spacing w:before="60" w:beforeLines="25" w:line="300" w:lineRule="auto"/>
        <w:ind w:left="1276"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器械接触的皮肤出现免疫反应或其他反应。</w:t>
      </w:r>
    </w:p>
    <w:p w14:paraId="38D703F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指南最终定稿后，FDA打算定期对下文本指南第III.A.(2)节和第III.A.(3)节确定的器械材料清单和排除特征进行重新评估。FDA建议外部利益相关方就在该政策中添加还是删除器械材料或排除特征（包括理由）在备案文件中提交意见。FDA打算对备案文件中收到的意见进行审查，并定期评估是否有必要对该政策进行变更。当FDA认为有必要进行变更时，FDA将根据《药事指导质量管理规范》条例（21 CFR 10.115）中的程序发布更新的指南。</w:t>
      </w:r>
    </w:p>
    <w:p w14:paraId="2BBF4E9B">
      <w:pPr>
        <w:pStyle w:val="39"/>
        <w:rPr>
          <w:rFonts w:eastAsia="宋体"/>
          <w:lang w:eastAsia="zh-CN"/>
        </w:rPr>
      </w:pPr>
      <w:bookmarkStart w:id="7" w:name="_Toc91868591"/>
      <w:r>
        <w:rPr>
          <w:rFonts w:eastAsia="宋体"/>
          <w:lang w:eastAsia="zh-CN"/>
        </w:rPr>
        <w:t>（1）</w:t>
      </w:r>
      <w:r>
        <w:rPr>
          <w:rFonts w:eastAsia="宋体" w:cs="宋体"/>
          <w:lang w:eastAsia="zh-CN"/>
        </w:rPr>
        <w:tab/>
      </w:r>
      <w:r>
        <w:rPr>
          <w:rFonts w:eastAsia="宋体" w:cs="宋体"/>
          <w:lang w:eastAsia="zh-CN"/>
        </w:rPr>
        <w:t>包括哪些类型的器械？</w:t>
      </w:r>
      <w:bookmarkEnd w:id="7"/>
    </w:p>
    <w:p w14:paraId="6537552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该政策中包含的器械应满足以下</w:t>
      </w:r>
      <w:r>
        <w:rPr>
          <w:rFonts w:ascii="Times New Roman" w:hAnsi="Times New Roman" w:eastAsia="宋体" w:cs="宋体"/>
          <w:b/>
          <w:u w:val="single"/>
          <w:lang w:eastAsia="zh-CN"/>
        </w:rPr>
        <w:t>所有</w:t>
      </w:r>
      <w:r>
        <w:rPr>
          <w:rFonts w:ascii="Times New Roman" w:hAnsi="Times New Roman" w:eastAsia="宋体" w:cs="宋体"/>
          <w:lang w:eastAsia="zh-CN"/>
        </w:rPr>
        <w:t>特征：</w:t>
      </w:r>
    </w:p>
    <w:p w14:paraId="16CB29B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rPr>
        <w:t>____________________</w:t>
      </w:r>
    </w:p>
    <w:p w14:paraId="0B0B2154">
      <w:pPr>
        <w:pStyle w:val="23"/>
        <w:tabs>
          <w:tab w:val="left" w:pos="110"/>
        </w:tabs>
        <w:adjustRightInd w:val="0"/>
        <w:snapToGrid w:val="0"/>
        <w:spacing w:before="36" w:beforeLines="15" w:line="276" w:lineRule="auto"/>
        <w:jc w:val="both"/>
        <w:rPr>
          <w:rFonts w:eastAsia="宋体"/>
          <w:snapToGrid w:val="0"/>
          <w:sz w:val="21"/>
          <w:szCs w:val="21"/>
        </w:rPr>
      </w:pPr>
      <w:r>
        <w:rPr>
          <w:rFonts w:eastAsia="宋体" w:cs="宋体"/>
          <w:sz w:val="21"/>
          <w:vertAlign w:val="superscript"/>
        </w:rPr>
        <w:t>7</w:t>
      </w:r>
      <w:r>
        <w:rPr>
          <w:rFonts w:eastAsia="宋体" w:cs="宋体"/>
          <w:sz w:val="21"/>
        </w:rPr>
        <w:t xml:space="preserve"> 例如，参见21 CFR 803。</w:t>
      </w:r>
    </w:p>
    <w:p w14:paraId="450A4591">
      <w:pPr>
        <w:pStyle w:val="23"/>
        <w:tabs>
          <w:tab w:val="left" w:pos="115"/>
        </w:tabs>
        <w:adjustRightInd w:val="0"/>
        <w:snapToGrid w:val="0"/>
        <w:spacing w:before="36" w:beforeLines="15" w:line="276" w:lineRule="auto"/>
        <w:jc w:val="both"/>
        <w:rPr>
          <w:rFonts w:eastAsia="宋体"/>
          <w:snapToGrid w:val="0"/>
          <w:sz w:val="21"/>
          <w:szCs w:val="21"/>
        </w:rPr>
      </w:pPr>
      <w:r>
        <w:rPr>
          <w:rFonts w:eastAsia="宋体"/>
          <w:snapToGrid w:val="0"/>
          <w:sz w:val="21"/>
          <w:szCs w:val="21"/>
          <w:vertAlign w:val="superscript"/>
        </w:rPr>
        <w:t>8</w:t>
      </w:r>
      <w:r>
        <w:rPr>
          <w:rFonts w:eastAsia="宋体"/>
          <w:snapToGrid w:val="0"/>
          <w:sz w:val="21"/>
          <w:szCs w:val="21"/>
        </w:rPr>
        <w:t xml:space="preserve"> 21 CFR 820.181.</w:t>
      </w:r>
    </w:p>
    <w:p w14:paraId="361BB267">
      <w:pPr>
        <w:pStyle w:val="23"/>
        <w:tabs>
          <w:tab w:val="left" w:pos="115"/>
        </w:tabs>
        <w:adjustRightInd w:val="0"/>
        <w:snapToGrid w:val="0"/>
        <w:spacing w:before="36" w:beforeLines="15" w:line="276" w:lineRule="auto"/>
        <w:jc w:val="both"/>
        <w:rPr>
          <w:rFonts w:eastAsia="宋体"/>
          <w:snapToGrid w:val="0"/>
          <w:lang w:eastAsia="zh-CN"/>
        </w:rPr>
      </w:pPr>
      <w:r>
        <w:rPr>
          <w:rFonts w:eastAsia="宋体" w:cs="宋体"/>
          <w:sz w:val="21"/>
          <w:vertAlign w:val="superscript"/>
        </w:rPr>
        <w:t>9</w:t>
      </w:r>
      <w:r>
        <w:rPr>
          <w:rFonts w:eastAsia="宋体" w:cs="宋体"/>
          <w:sz w:val="21"/>
        </w:rPr>
        <w:t xml:space="preserve"> 依据21 CFR 820.198(a)(3)和820.198(d)，投诉可代表必须根据21 CFR 803向FDA报告的事件。</w:t>
      </w:r>
      <w:r>
        <w:rPr>
          <w:rFonts w:eastAsia="宋体" w:cs="宋体"/>
          <w:b/>
          <w:i/>
        </w:rPr>
        <w:br w:type="page"/>
      </w:r>
    </w:p>
    <w:p w14:paraId="5F97F461">
      <w:pPr>
        <w:pStyle w:val="37"/>
        <w:numPr>
          <w:ilvl w:val="0"/>
          <w:numId w:val="2"/>
        </w:numPr>
        <w:tabs>
          <w:tab w:val="left" w:pos="1075"/>
        </w:tabs>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“仅与完好皮肤表面接触的医疗器械”，如国际标准化组织（ISO）10993-1:2018：《医疗器械生物学评价 - 第1部分：风险管理过程中的评价与试验》第5.2.2 (a)节所述，</w:t>
      </w:r>
    </w:p>
    <w:p w14:paraId="63871AB5">
      <w:pPr>
        <w:pStyle w:val="37"/>
        <w:numPr>
          <w:ilvl w:val="0"/>
          <w:numId w:val="2"/>
        </w:numPr>
        <w:tabs>
          <w:tab w:val="left" w:pos="1075"/>
        </w:tabs>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接触时间：短期（≤ 24小时）、长期（&gt; 24小时且≤ 30天）、持久（&gt; 30天），包括重复使用器械，以及</w:t>
      </w:r>
    </w:p>
    <w:p w14:paraId="51187A0E">
      <w:pPr>
        <w:pStyle w:val="37"/>
        <w:numPr>
          <w:ilvl w:val="0"/>
          <w:numId w:val="2"/>
        </w:numPr>
        <w:tabs>
          <w:tab w:val="left" w:pos="1075"/>
        </w:tabs>
        <w:adjustRightInd w:val="0"/>
        <w:snapToGrid w:val="0"/>
        <w:spacing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由下文第III.A(2)节概述的材料组成。</w:t>
      </w:r>
    </w:p>
    <w:p w14:paraId="330F3EE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FDA建议通过</w:t>
      </w:r>
      <w:r>
        <w:fldChar w:fldCharType="begin"/>
      </w:r>
      <w:r>
        <w:rPr>
          <w:lang w:eastAsia="zh-CN"/>
        </w:rPr>
        <w:instrText xml:space="preserve"> HYPERLINK "https://www.fda.gov/regulatory-information/search-fda-guidance-documents/requests-feedback-and-meetings-medical-device-submissions-q-submission-program" </w:instrText>
      </w:r>
      <w:r>
        <w:fldChar w:fldCharType="separate"/>
      </w:r>
      <w:r>
        <w:rPr>
          <w:rFonts w:ascii="Times New Roman" w:hAnsi="Times New Roman" w:eastAsia="宋体" w:cs="宋体"/>
          <w:snapToGrid w:val="0"/>
          <w:color w:val="0000FF"/>
          <w:u w:val="single"/>
          <w:lang w:eastAsia="zh-CN"/>
        </w:rPr>
        <w:t>Q-申请流程</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vertAlign w:val="superscript"/>
          <w:lang w:eastAsia="zh-CN"/>
        </w:rPr>
        <w:t>10</w:t>
      </w:r>
      <w:r>
        <w:rPr>
          <w:rFonts w:ascii="Times New Roman" w:hAnsi="Times New Roman" w:eastAsia="宋体" w:cs="宋体"/>
          <w:lang w:eastAsia="zh-CN"/>
        </w:rPr>
        <w:t>进行进一步讨论，以确定该政策是否适用于以下情况下的特定产品：</w:t>
      </w:r>
    </w:p>
    <w:p w14:paraId="6AEE141D">
      <w:pPr>
        <w:pStyle w:val="37"/>
        <w:numPr>
          <w:ilvl w:val="0"/>
          <w:numId w:val="3"/>
        </w:numPr>
        <w:adjustRightInd w:val="0"/>
        <w:snapToGrid w:val="0"/>
        <w:spacing w:before="120" w:beforeLines="50"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如果美国合法上市销售的由相同材料制成的器械在先前的试验中被证实有毒；</w:t>
      </w:r>
    </w:p>
    <w:p w14:paraId="4A868CB4">
      <w:pPr>
        <w:pStyle w:val="37"/>
        <w:numPr>
          <w:ilvl w:val="0"/>
          <w:numId w:val="3"/>
        </w:numPr>
        <w:adjustRightInd w:val="0"/>
        <w:snapToGrid w:val="0"/>
        <w:spacing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如果美国合法上市销售的由相同材料制成的器械在上市后出现了可能与细胞毒性、刺激性或致敏性有关的不良临床表现；</w:t>
      </w:r>
    </w:p>
    <w:p w14:paraId="26D0AC16">
      <w:pPr>
        <w:pStyle w:val="37"/>
        <w:numPr>
          <w:ilvl w:val="0"/>
          <w:numId w:val="3"/>
        </w:numPr>
        <w:adjustRightInd w:val="0"/>
        <w:snapToGrid w:val="0"/>
        <w:spacing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如果申报器械用于新生儿。新生儿皮肤的渗透性更强，因此可沥滤物渗入皮肤的风险更高；</w:t>
      </w:r>
    </w:p>
    <w:p w14:paraId="2E66818A">
      <w:pPr>
        <w:pStyle w:val="37"/>
        <w:numPr>
          <w:ilvl w:val="0"/>
          <w:numId w:val="3"/>
        </w:numPr>
        <w:adjustRightInd w:val="0"/>
        <w:snapToGrid w:val="0"/>
        <w:spacing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如果申报器械用于孕妇。如果化学物质通过皮肤吸收，可能通过孕妇转移到胎儿体内；或</w:t>
      </w:r>
    </w:p>
    <w:p w14:paraId="2D8451CB">
      <w:pPr>
        <w:pStyle w:val="37"/>
        <w:numPr>
          <w:ilvl w:val="0"/>
          <w:numId w:val="3"/>
        </w:numPr>
        <w:adjustRightInd w:val="0"/>
        <w:snapToGrid w:val="0"/>
        <w:spacing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如果是组合产品</w:t>
      </w:r>
      <w:r>
        <w:rPr>
          <w:rFonts w:ascii="Times New Roman" w:hAnsi="Times New Roman" w:eastAsia="宋体" w:cs="宋体"/>
          <w:vertAlign w:val="superscript"/>
          <w:lang w:eastAsia="zh-CN"/>
        </w:rPr>
        <w:t>11</w:t>
      </w:r>
      <w:r>
        <w:rPr>
          <w:rFonts w:ascii="Times New Roman" w:hAnsi="Times New Roman" w:eastAsia="宋体" w:cs="宋体"/>
          <w:lang w:eastAsia="zh-CN"/>
        </w:rPr>
        <w:t>或生物衍生材料。此类产品会引起不良生物反应（例如，细胞毒性、刺激性或致敏性）。</w:t>
      </w:r>
    </w:p>
    <w:p w14:paraId="4842973C">
      <w:pPr>
        <w:pStyle w:val="39"/>
        <w:rPr>
          <w:rFonts w:eastAsia="宋体"/>
          <w:lang w:eastAsia="zh-CN"/>
        </w:rPr>
      </w:pPr>
      <w:bookmarkStart w:id="8" w:name="_Toc91868592"/>
      <w:r>
        <w:rPr>
          <w:rFonts w:eastAsia="宋体"/>
          <w:lang w:eastAsia="zh-CN"/>
        </w:rPr>
        <w:t>（</w:t>
      </w:r>
      <w:r>
        <w:rPr>
          <w:rFonts w:hint="eastAsia" w:eastAsia="宋体"/>
          <w:lang w:eastAsia="zh-CN"/>
        </w:rPr>
        <w:t>2</w:t>
      </w:r>
      <w:r>
        <w:rPr>
          <w:rFonts w:eastAsia="宋体"/>
          <w:lang w:eastAsia="zh-CN"/>
        </w:rPr>
        <w:t>）</w:t>
      </w:r>
      <w:r>
        <w:rPr>
          <w:rFonts w:eastAsia="宋体" w:cs="宋体"/>
          <w:lang w:eastAsia="zh-CN"/>
        </w:rPr>
        <w:tab/>
      </w:r>
      <w:r>
        <w:rPr>
          <w:rFonts w:eastAsia="宋体" w:cs="宋体"/>
          <w:lang w:eastAsia="zh-CN"/>
        </w:rPr>
        <w:t>包括哪些材料？</w:t>
      </w:r>
      <w:bookmarkEnd w:id="8"/>
    </w:p>
    <w:p w14:paraId="3DB0C55E">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FDA已确定该政策中包含的仅与完好皮肤表面接触的特定器械材料。包含的器械材料：</w:t>
      </w:r>
    </w:p>
    <w:p w14:paraId="4190888E">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u w:val="single"/>
          <w:lang w:eastAsia="zh-CN"/>
        </w:rPr>
        <w:t>合成聚合物：</w:t>
      </w:r>
    </w:p>
    <w:p w14:paraId="60D38E85">
      <w:pPr>
        <w:pStyle w:val="37"/>
        <w:numPr>
          <w:ilvl w:val="0"/>
          <w:numId w:val="4"/>
        </w:numPr>
        <w:adjustRightInd w:val="0"/>
        <w:snapToGrid w:val="0"/>
        <w:spacing w:before="120" w:beforeLines="50"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丙烯腈-丁二烯-苯乙烯（ABS）；</w:t>
      </w:r>
    </w:p>
    <w:p w14:paraId="2F0F637A">
      <w:pPr>
        <w:pStyle w:val="37"/>
        <w:numPr>
          <w:ilvl w:val="0"/>
          <w:numId w:val="4"/>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固化环氧树脂粘合剂；</w:t>
      </w:r>
    </w:p>
    <w:p w14:paraId="7C680D05">
      <w:pPr>
        <w:pStyle w:val="37"/>
        <w:numPr>
          <w:ilvl w:val="0"/>
          <w:numId w:val="4"/>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含氟聚合物，包括聚四氟乙烯（PTFE）、膨胀聚四氟乙烯（ePTFE）、聚偏二氟乙烯（PVDF）和氟化乙烯丙烯（FEP）；</w:t>
      </w:r>
    </w:p>
    <w:p w14:paraId="3EC86084">
      <w:pPr>
        <w:pStyle w:val="37"/>
        <w:numPr>
          <w:ilvl w:val="0"/>
          <w:numId w:val="4"/>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高抗冲聚苯乙烯（HIPS）；</w:t>
      </w:r>
    </w:p>
    <w:p w14:paraId="282B90C8">
      <w:pPr>
        <w:pStyle w:val="37"/>
        <w:numPr>
          <w:ilvl w:val="0"/>
          <w:numId w:val="4"/>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聚酰胺，包括尼龙；</w:t>
      </w:r>
    </w:p>
    <w:p w14:paraId="2A5E008E">
      <w:pPr>
        <w:pStyle w:val="37"/>
        <w:numPr>
          <w:ilvl w:val="0"/>
          <w:numId w:val="4"/>
        </w:numPr>
        <w:adjustRightInd w:val="0"/>
        <w:snapToGrid w:val="0"/>
        <w:spacing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聚对苯二甲酸丁二醇酯（PBT）；</w:t>
      </w:r>
    </w:p>
    <w:p w14:paraId="73480E64">
      <w:pPr>
        <w:pStyle w:val="37"/>
        <w:numPr>
          <w:ilvl w:val="0"/>
          <w:numId w:val="4"/>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聚碳酸酯（PC）；</w:t>
      </w:r>
    </w:p>
    <w:p w14:paraId="2E5D051F">
      <w:pPr>
        <w:pStyle w:val="23"/>
        <w:tabs>
          <w:tab w:val="left" w:pos="178"/>
        </w:tabs>
        <w:adjustRightInd w:val="0"/>
        <w:snapToGrid w:val="0"/>
        <w:spacing w:before="120" w:beforeLines="50" w:line="300" w:lineRule="auto"/>
        <w:jc w:val="both"/>
        <w:rPr>
          <w:rFonts w:eastAsia="宋体"/>
          <w:snapToGrid w:val="0"/>
          <w:sz w:val="24"/>
          <w:szCs w:val="24"/>
          <w:lang w:eastAsia="zh-CN"/>
        </w:rPr>
      </w:pPr>
      <w:r>
        <w:rPr>
          <w:rFonts w:eastAsia="宋体" w:cs="宋体"/>
          <w:sz w:val="24"/>
        </w:rPr>
        <w:t>____________________</w:t>
      </w:r>
    </w:p>
    <w:p w14:paraId="419A343A">
      <w:pPr>
        <w:pStyle w:val="23"/>
        <w:tabs>
          <w:tab w:val="left" w:pos="178"/>
        </w:tabs>
        <w:adjustRightInd w:val="0"/>
        <w:snapToGrid w:val="0"/>
        <w:spacing w:before="36" w:beforeLines="15" w:line="276" w:lineRule="auto"/>
        <w:jc w:val="both"/>
        <w:rPr>
          <w:rFonts w:eastAsia="宋体"/>
          <w:snapToGrid w:val="0"/>
          <w:sz w:val="21"/>
          <w:szCs w:val="21"/>
        </w:rPr>
      </w:pPr>
      <w:r>
        <w:rPr>
          <w:rFonts w:eastAsia="宋体" w:cs="宋体"/>
          <w:sz w:val="21"/>
          <w:vertAlign w:val="superscript"/>
          <w:lang w:eastAsia="zh-CN"/>
        </w:rPr>
        <w:t>10</w:t>
      </w:r>
      <w:r>
        <w:rPr>
          <w:rFonts w:eastAsia="宋体" w:cs="宋体"/>
          <w:sz w:val="21"/>
          <w:lang w:eastAsia="zh-CN"/>
        </w:rPr>
        <w:t xml:space="preserve"> 更多信息，请参见FDA发布的标题为《医疗器械申请的反馈和会议请求：Q-申请计划》的指南。</w:t>
      </w:r>
      <w:r>
        <w:rPr>
          <w:rFonts w:eastAsia="宋体" w:cs="宋体"/>
          <w:sz w:val="21"/>
        </w:rPr>
        <w:t>本指南可登录以下网址获取：</w:t>
      </w:r>
      <w:r>
        <w:fldChar w:fldCharType="begin"/>
      </w:r>
      <w:r>
        <w:instrText xml:space="preserve"> HYPERLINK "https://www.fda.gov/regulatory-information/search-fda-guidance-documents/requests-feedback-and-meetings-medical-device-submissions-q-submission-program" </w:instrText>
      </w:r>
      <w:r>
        <w:fldChar w:fldCharType="separate"/>
      </w:r>
      <w:r>
        <w:rPr>
          <w:rFonts w:eastAsia="宋体" w:cs="宋体"/>
          <w:snapToGrid w:val="0"/>
          <w:sz w:val="21"/>
          <w:szCs w:val="21"/>
        </w:rPr>
        <w:t>https://www.fda.gov/regulatory-</w:t>
      </w:r>
      <w:r>
        <w:rPr>
          <w:rFonts w:eastAsia="宋体" w:cs="宋体"/>
          <w:snapToGrid w:val="0"/>
          <w:sz w:val="21"/>
          <w:szCs w:val="21"/>
        </w:rPr>
        <w:fldChar w:fldCharType="end"/>
      </w:r>
      <w:r>
        <w:rPr>
          <w:rFonts w:eastAsia="宋体" w:cs="宋体"/>
          <w:color w:val="0000FF"/>
          <w:sz w:val="21"/>
          <w:u w:val="single"/>
        </w:rPr>
        <w:t xml:space="preserve"> </w:t>
      </w:r>
      <w:r>
        <w:fldChar w:fldCharType="begin"/>
      </w:r>
      <w:r>
        <w:instrText xml:space="preserve"> HYPERLINK "https://www.fda.gov/regulatory-information/search-fda-guidance-documents/requests-feedback-and-meetings-medical-device-submissions-q-submission-program" </w:instrText>
      </w:r>
      <w:r>
        <w:fldChar w:fldCharType="separate"/>
      </w:r>
      <w:r>
        <w:rPr>
          <w:rFonts w:eastAsia="宋体" w:cs="宋体"/>
          <w:snapToGrid w:val="0"/>
          <w:color w:val="0000FF"/>
          <w:sz w:val="21"/>
          <w:szCs w:val="21"/>
          <w:u w:val="single"/>
        </w:rPr>
        <w:t>information/search-fda-guidance</w:t>
      </w:r>
      <w:r>
        <w:rPr>
          <w:rFonts w:hint="eastAsia" w:eastAsia="宋体" w:cs="宋体"/>
          <w:snapToGrid w:val="0"/>
          <w:color w:val="0000FF"/>
          <w:sz w:val="21"/>
          <w:szCs w:val="21"/>
          <w:u w:val="single"/>
          <w:lang w:eastAsia="zh-CN"/>
        </w:rPr>
        <w:t xml:space="preserve"> </w:t>
      </w:r>
      <w:r>
        <w:rPr>
          <w:rFonts w:eastAsia="宋体" w:cs="宋体"/>
          <w:snapToGrid w:val="0"/>
          <w:color w:val="0000FF"/>
          <w:sz w:val="21"/>
          <w:szCs w:val="21"/>
          <w:u w:val="single"/>
        </w:rPr>
        <w:t>-documents/requests-feedback-and-meetings-medical-device-submissions-q-</w:t>
      </w:r>
      <w:r>
        <w:rPr>
          <w:rFonts w:eastAsia="宋体" w:cs="宋体"/>
          <w:snapToGrid w:val="0"/>
          <w:color w:val="0000FF"/>
          <w:sz w:val="21"/>
          <w:szCs w:val="21"/>
          <w:u w:val="single"/>
        </w:rPr>
        <w:fldChar w:fldCharType="end"/>
      </w:r>
      <w:r>
        <w:rPr>
          <w:rFonts w:eastAsia="宋体" w:cs="宋体"/>
          <w:color w:val="0000FF"/>
          <w:sz w:val="21"/>
          <w:u w:val="single"/>
        </w:rPr>
        <w:t xml:space="preserve"> </w:t>
      </w:r>
      <w:r>
        <w:fldChar w:fldCharType="begin"/>
      </w:r>
      <w:r>
        <w:instrText xml:space="preserve"> HYPERLINK "https://www.fda.gov/regulatory-information/search-fda-guidance-documents/requests-feedback-and-meetings-medical-device-submissions-q-submission-program" </w:instrText>
      </w:r>
      <w:r>
        <w:fldChar w:fldCharType="separate"/>
      </w:r>
      <w:r>
        <w:rPr>
          <w:rFonts w:eastAsia="宋体" w:cs="宋体"/>
          <w:snapToGrid w:val="0"/>
          <w:color w:val="0000FF"/>
          <w:sz w:val="21"/>
          <w:szCs w:val="21"/>
          <w:u w:val="single"/>
        </w:rPr>
        <w:t>submission-pro gram</w:t>
      </w:r>
      <w:r>
        <w:rPr>
          <w:rFonts w:eastAsia="宋体" w:cs="宋体"/>
          <w:snapToGrid w:val="0"/>
          <w:color w:val="0000FF"/>
          <w:sz w:val="21"/>
          <w:szCs w:val="21"/>
          <w:u w:val="single"/>
        </w:rPr>
        <w:fldChar w:fldCharType="end"/>
      </w:r>
      <w:r>
        <w:rPr>
          <w:rFonts w:eastAsia="宋体" w:cs="宋体"/>
          <w:sz w:val="21"/>
        </w:rPr>
        <w:t>。</w:t>
      </w:r>
    </w:p>
    <w:p w14:paraId="53D2773A">
      <w:pPr>
        <w:pStyle w:val="23"/>
        <w:tabs>
          <w:tab w:val="left" w:pos="178"/>
        </w:tabs>
        <w:adjustRightInd w:val="0"/>
        <w:snapToGrid w:val="0"/>
        <w:spacing w:before="36" w:beforeLines="15" w:line="276" w:lineRule="auto"/>
        <w:jc w:val="both"/>
        <w:rPr>
          <w:rFonts w:eastAsia="宋体"/>
          <w:snapToGrid w:val="0"/>
          <w:lang w:eastAsia="zh-CN"/>
        </w:rPr>
      </w:pPr>
      <w:r>
        <w:rPr>
          <w:rFonts w:eastAsia="宋体" w:cs="宋体"/>
          <w:sz w:val="21"/>
          <w:vertAlign w:val="superscript"/>
          <w:lang w:eastAsia="zh-CN"/>
        </w:rPr>
        <w:t>11</w:t>
      </w:r>
      <w:r>
        <w:rPr>
          <w:rFonts w:eastAsia="宋体" w:cs="宋体"/>
          <w:sz w:val="21"/>
          <w:lang w:eastAsia="zh-CN"/>
        </w:rPr>
        <w:t xml:space="preserve"> 组合产品定义请参见21 CFR 3.2(e)。</w:t>
      </w:r>
      <w:r>
        <w:rPr>
          <w:rFonts w:eastAsia="宋体" w:cs="宋体"/>
          <w:b/>
          <w:i/>
          <w:lang w:eastAsia="zh-CN"/>
        </w:rPr>
        <w:br w:type="page"/>
      </w:r>
    </w:p>
    <w:p w14:paraId="4C34C3F6">
      <w:pPr>
        <w:pStyle w:val="37"/>
        <w:numPr>
          <w:ilvl w:val="0"/>
          <w:numId w:val="5"/>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聚醚醚酮（PEEK）；</w:t>
      </w:r>
    </w:p>
    <w:p w14:paraId="1F4E90AE">
      <w:pPr>
        <w:pStyle w:val="37"/>
        <w:numPr>
          <w:ilvl w:val="0"/>
          <w:numId w:val="5"/>
        </w:numPr>
        <w:adjustRightInd w:val="0"/>
        <w:snapToGrid w:val="0"/>
        <w:spacing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聚醚酰亚胺（PEI）；</w:t>
      </w:r>
    </w:p>
    <w:p w14:paraId="241134A9">
      <w:pPr>
        <w:pStyle w:val="37"/>
        <w:numPr>
          <w:ilvl w:val="0"/>
          <w:numId w:val="5"/>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聚乙烯，包括低密度聚乙烯（LDPE）和高密度聚乙烯（HDPE）；</w:t>
      </w:r>
    </w:p>
    <w:p w14:paraId="431DFBE1">
      <w:pPr>
        <w:pStyle w:val="37"/>
        <w:numPr>
          <w:ilvl w:val="0"/>
          <w:numId w:val="5"/>
        </w:numPr>
        <w:adjustRightInd w:val="0"/>
        <w:snapToGrid w:val="0"/>
        <w:spacing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聚对苯二甲酸乙二醇酯（PET）；</w:t>
      </w:r>
    </w:p>
    <w:p w14:paraId="7054C153">
      <w:pPr>
        <w:pStyle w:val="37"/>
        <w:numPr>
          <w:ilvl w:val="0"/>
          <w:numId w:val="5"/>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聚甲基丙烯酸甲酯（PMMA）；</w:t>
      </w:r>
    </w:p>
    <w:p w14:paraId="7E897E24">
      <w:pPr>
        <w:pStyle w:val="37"/>
        <w:numPr>
          <w:ilvl w:val="0"/>
          <w:numId w:val="5"/>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聚甲醛（POM）；</w:t>
      </w:r>
    </w:p>
    <w:p w14:paraId="7BB927FB">
      <w:pPr>
        <w:pStyle w:val="37"/>
        <w:numPr>
          <w:ilvl w:val="0"/>
          <w:numId w:val="5"/>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聚苯砜（PPSU）；</w:t>
      </w:r>
    </w:p>
    <w:p w14:paraId="093FC099">
      <w:pPr>
        <w:pStyle w:val="37"/>
        <w:numPr>
          <w:ilvl w:val="0"/>
          <w:numId w:val="5"/>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聚丙烯（PP）；</w:t>
      </w:r>
    </w:p>
    <w:p w14:paraId="6DCC5D29">
      <w:pPr>
        <w:pStyle w:val="37"/>
        <w:numPr>
          <w:ilvl w:val="0"/>
          <w:numId w:val="5"/>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聚氨酯（PU）；或</w:t>
      </w:r>
    </w:p>
    <w:p w14:paraId="541ED4D8">
      <w:pPr>
        <w:pStyle w:val="37"/>
        <w:numPr>
          <w:ilvl w:val="0"/>
          <w:numId w:val="5"/>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硅树脂</w:t>
      </w:r>
    </w:p>
    <w:p w14:paraId="3DD8527D">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宋体"/>
          <w:u w:val="single"/>
        </w:rPr>
        <w:t>织物：</w:t>
      </w:r>
    </w:p>
    <w:p w14:paraId="2EE14E18">
      <w:pPr>
        <w:pStyle w:val="37"/>
        <w:numPr>
          <w:ilvl w:val="0"/>
          <w:numId w:val="6"/>
        </w:numPr>
        <w:adjustRightInd w:val="0"/>
        <w:snapToGrid w:val="0"/>
        <w:spacing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聚氨酯织物，包括莱卡；</w:t>
      </w:r>
    </w:p>
    <w:p w14:paraId="147DA98A">
      <w:pPr>
        <w:pStyle w:val="37"/>
        <w:numPr>
          <w:ilvl w:val="0"/>
          <w:numId w:val="6"/>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棉织物；</w:t>
      </w:r>
    </w:p>
    <w:p w14:paraId="33DDDD2A">
      <w:pPr>
        <w:pStyle w:val="37"/>
        <w:numPr>
          <w:ilvl w:val="0"/>
          <w:numId w:val="6"/>
        </w:numPr>
        <w:adjustRightInd w:val="0"/>
        <w:snapToGrid w:val="0"/>
        <w:spacing w:line="300" w:lineRule="auto"/>
        <w:ind w:left="709"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聚酰胺织物，包括尼龙；或</w:t>
      </w:r>
    </w:p>
    <w:p w14:paraId="617A596A">
      <w:pPr>
        <w:pStyle w:val="37"/>
        <w:numPr>
          <w:ilvl w:val="0"/>
          <w:numId w:val="6"/>
        </w:numPr>
        <w:adjustRightInd w:val="0"/>
        <w:snapToGrid w:val="0"/>
        <w:spacing w:line="300" w:lineRule="auto"/>
        <w:ind w:left="709" w:firstLineChars="0"/>
        <w:jc w:val="both"/>
        <w:rPr>
          <w:rFonts w:ascii="Times New Roman" w:hAnsi="Times New Roman" w:eastAsia="宋体" w:cs="Times New Roman"/>
          <w:snapToGrid w:val="0"/>
        </w:rPr>
      </w:pPr>
      <w:r>
        <w:rPr>
          <w:rFonts w:ascii="Times New Roman" w:hAnsi="Times New Roman" w:eastAsia="宋体" w:cs="宋体"/>
        </w:rPr>
        <w:t>丝织物</w:t>
      </w:r>
    </w:p>
    <w:p w14:paraId="2DC52A73">
      <w:pPr>
        <w:pStyle w:val="39"/>
        <w:rPr>
          <w:rFonts w:eastAsia="宋体"/>
        </w:rPr>
      </w:pPr>
      <w:bookmarkStart w:id="9" w:name="_Toc91868593"/>
      <w:r>
        <w:rPr>
          <w:rFonts w:eastAsia="宋体"/>
          <w:lang w:eastAsia="zh-CN"/>
        </w:rPr>
        <w:t>（</w:t>
      </w:r>
      <w:r>
        <w:rPr>
          <w:rFonts w:hint="eastAsia" w:eastAsia="宋体"/>
          <w:lang w:eastAsia="zh-CN"/>
        </w:rPr>
        <w:t>3</w:t>
      </w:r>
      <w:r>
        <w:rPr>
          <w:rFonts w:eastAsia="宋体"/>
          <w:lang w:eastAsia="zh-CN"/>
        </w:rPr>
        <w:t>）</w:t>
      </w:r>
      <w:r>
        <w:rPr>
          <w:rFonts w:eastAsia="宋体" w:cs="宋体"/>
        </w:rPr>
        <w:tab/>
      </w:r>
      <w:r>
        <w:rPr>
          <w:rFonts w:eastAsia="宋体" w:cs="宋体"/>
        </w:rPr>
        <w:t>排除哪些器械或材料？</w:t>
      </w:r>
      <w:bookmarkEnd w:id="9"/>
    </w:p>
    <w:p w14:paraId="7FFA49A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排除在该政策范围外的医疗器械请参见下表1。</w:t>
      </w:r>
    </w:p>
    <w:p w14:paraId="3FE97220">
      <w:pPr>
        <w:pStyle w:val="29"/>
        <w:adjustRightInd w:val="0"/>
        <w:snapToGrid w:val="0"/>
        <w:spacing w:before="120" w:beforeLines="50" w:line="300" w:lineRule="auto"/>
        <w:jc w:val="both"/>
        <w:rPr>
          <w:rFonts w:eastAsia="宋体"/>
          <w:snapToGrid w:val="0"/>
        </w:rPr>
      </w:pPr>
      <w:r>
        <w:rPr>
          <w:rFonts w:eastAsia="宋体" w:cs="宋体"/>
        </w:rPr>
        <w:t>表1：排除特征</w:t>
      </w:r>
    </w:p>
    <w:tbl>
      <w:tblPr>
        <w:tblStyle w:val="7"/>
        <w:tblW w:w="5000" w:type="pct"/>
        <w:tblInd w:w="0" w:type="dxa"/>
        <w:tblLayout w:type="autofit"/>
        <w:tblCellMar>
          <w:top w:w="0" w:type="dxa"/>
          <w:left w:w="108" w:type="dxa"/>
          <w:bottom w:w="0" w:type="dxa"/>
          <w:right w:w="108" w:type="dxa"/>
        </w:tblCellMar>
      </w:tblPr>
      <w:tblGrid>
        <w:gridCol w:w="4361"/>
        <w:gridCol w:w="4926"/>
      </w:tblGrid>
      <w:tr w14:paraId="16D9EE36">
        <w:tblPrEx>
          <w:tblCellMar>
            <w:top w:w="0" w:type="dxa"/>
            <w:left w:w="108" w:type="dxa"/>
            <w:bottom w:w="0" w:type="dxa"/>
            <w:right w:w="108" w:type="dxa"/>
          </w:tblCellMar>
        </w:tblPrEx>
        <w:tc>
          <w:tcPr>
            <w:tcW w:w="2348" w:type="pct"/>
            <w:tcBorders>
              <w:top w:val="single" w:color="auto" w:sz="4" w:space="0"/>
              <w:left w:val="single" w:color="auto" w:sz="4" w:space="0"/>
            </w:tcBorders>
            <w:shd w:val="clear" w:color="auto" w:fill="FFFFFF"/>
            <w:vAlign w:val="bottom"/>
          </w:tcPr>
          <w:p w14:paraId="79CC0E43">
            <w:pPr>
              <w:pStyle w:val="17"/>
              <w:adjustRightInd w:val="0"/>
              <w:snapToGrid w:val="0"/>
              <w:spacing w:before="36" w:beforeLines="15" w:after="0" w:line="276" w:lineRule="auto"/>
              <w:jc w:val="both"/>
              <w:rPr>
                <w:snapToGrid w:val="0"/>
                <w:sz w:val="21"/>
                <w:szCs w:val="21"/>
              </w:rPr>
            </w:pPr>
            <w:r>
              <w:rPr>
                <w:rFonts w:eastAsia="宋体" w:cs="宋体"/>
                <w:b/>
                <w:sz w:val="21"/>
              </w:rPr>
              <w:t>医疗器械特征</w:t>
            </w:r>
          </w:p>
        </w:tc>
        <w:tc>
          <w:tcPr>
            <w:tcW w:w="2652" w:type="pct"/>
            <w:tcBorders>
              <w:top w:val="single" w:color="auto" w:sz="4" w:space="0"/>
              <w:left w:val="single" w:color="auto" w:sz="4" w:space="0"/>
              <w:right w:val="single" w:color="auto" w:sz="4" w:space="0"/>
            </w:tcBorders>
            <w:shd w:val="clear" w:color="auto" w:fill="FFFFFF"/>
            <w:vAlign w:val="bottom"/>
          </w:tcPr>
          <w:p w14:paraId="244C1BF9">
            <w:pPr>
              <w:pStyle w:val="17"/>
              <w:adjustRightInd w:val="0"/>
              <w:snapToGrid w:val="0"/>
              <w:spacing w:before="36" w:beforeLines="15" w:after="0" w:line="276" w:lineRule="auto"/>
              <w:jc w:val="both"/>
              <w:rPr>
                <w:snapToGrid w:val="0"/>
                <w:sz w:val="21"/>
                <w:szCs w:val="21"/>
              </w:rPr>
            </w:pPr>
            <w:r>
              <w:rPr>
                <w:rFonts w:eastAsia="宋体" w:cs="宋体"/>
                <w:b/>
                <w:sz w:val="21"/>
              </w:rPr>
              <w:t>排除原因</w:t>
            </w:r>
          </w:p>
        </w:tc>
      </w:tr>
      <w:tr w14:paraId="34B81C13">
        <w:tblPrEx>
          <w:tblCellMar>
            <w:top w:w="0" w:type="dxa"/>
            <w:left w:w="108" w:type="dxa"/>
            <w:bottom w:w="0" w:type="dxa"/>
            <w:right w:w="108" w:type="dxa"/>
          </w:tblCellMar>
        </w:tblPrEx>
        <w:tc>
          <w:tcPr>
            <w:tcW w:w="2348" w:type="pct"/>
            <w:tcBorders>
              <w:top w:val="single" w:color="auto" w:sz="4" w:space="0"/>
              <w:left w:val="single" w:color="auto" w:sz="4" w:space="0"/>
            </w:tcBorders>
            <w:shd w:val="clear" w:color="auto" w:fill="FFFFFF"/>
            <w:vAlign w:val="bottom"/>
          </w:tcPr>
          <w:p w14:paraId="41943D6C">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由上述清单中未明确包含的材料制成的与完好皮肤接触的组件，包括新型材料</w:t>
            </w:r>
            <w:r>
              <w:rPr>
                <w:rFonts w:eastAsia="宋体" w:cs="宋体"/>
                <w:sz w:val="21"/>
                <w:vertAlign w:val="superscript"/>
                <w:lang w:eastAsia="zh-CN"/>
              </w:rPr>
              <w:t>12</w:t>
            </w:r>
            <w:r>
              <w:rPr>
                <w:rFonts w:eastAsia="宋体" w:cs="宋体"/>
                <w:sz w:val="21"/>
                <w:lang w:eastAsia="zh-CN"/>
              </w:rPr>
              <w:t>和块体金属（例如钛、不锈钢、镍钛合金、金）。</w:t>
            </w:r>
          </w:p>
        </w:tc>
        <w:tc>
          <w:tcPr>
            <w:tcW w:w="2652" w:type="pct"/>
            <w:tcBorders>
              <w:top w:val="single" w:color="auto" w:sz="4" w:space="0"/>
              <w:left w:val="single" w:color="auto" w:sz="4" w:space="0"/>
              <w:right w:val="single" w:color="auto" w:sz="4" w:space="0"/>
            </w:tcBorders>
            <w:shd w:val="clear" w:color="auto" w:fill="FFFFFF"/>
          </w:tcPr>
          <w:p w14:paraId="6F052DBA">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存在已知风险，或在使用此类可能引入毒性风险的材料方面没有足够的经验。生物相容性试验或不进行该试验的详细理由可以解决此类问题。</w:t>
            </w:r>
          </w:p>
        </w:tc>
      </w:tr>
      <w:tr w14:paraId="6E2709CE">
        <w:tblPrEx>
          <w:tblCellMar>
            <w:top w:w="0" w:type="dxa"/>
            <w:left w:w="108" w:type="dxa"/>
            <w:bottom w:w="0" w:type="dxa"/>
            <w:right w:w="108" w:type="dxa"/>
          </w:tblCellMar>
        </w:tblPrEx>
        <w:tc>
          <w:tcPr>
            <w:tcW w:w="2348" w:type="pct"/>
            <w:tcBorders>
              <w:top w:val="single" w:color="auto" w:sz="4" w:space="0"/>
              <w:left w:val="single" w:color="auto" w:sz="4" w:space="0"/>
            </w:tcBorders>
            <w:shd w:val="clear" w:color="auto" w:fill="FFFFFF"/>
          </w:tcPr>
          <w:p w14:paraId="1619E723">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储存在液体或乳霜中或含有液体或乳霜。</w:t>
            </w:r>
          </w:p>
        </w:tc>
        <w:tc>
          <w:tcPr>
            <w:tcW w:w="2652" w:type="pct"/>
            <w:tcBorders>
              <w:top w:val="single" w:color="auto" w:sz="4" w:space="0"/>
              <w:left w:val="single" w:color="auto" w:sz="4" w:space="0"/>
              <w:right w:val="single" w:color="auto" w:sz="4" w:space="0"/>
            </w:tcBorders>
            <w:shd w:val="clear" w:color="auto" w:fill="FFFFFF"/>
            <w:vAlign w:val="center"/>
          </w:tcPr>
          <w:p w14:paraId="7AC4E235">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可沥滤物转移到液体或乳霜中，然后通过皮肤吸收的风险增加。</w:t>
            </w:r>
          </w:p>
        </w:tc>
      </w:tr>
      <w:tr w14:paraId="110D4230">
        <w:tblPrEx>
          <w:tblCellMar>
            <w:top w:w="0" w:type="dxa"/>
            <w:left w:w="108" w:type="dxa"/>
            <w:bottom w:w="0" w:type="dxa"/>
            <w:right w:w="108" w:type="dxa"/>
          </w:tblCellMar>
        </w:tblPrEx>
        <w:tc>
          <w:tcPr>
            <w:tcW w:w="2348" w:type="pct"/>
            <w:tcBorders>
              <w:top w:val="single" w:color="auto" w:sz="4" w:space="0"/>
              <w:left w:val="single" w:color="auto" w:sz="4" w:space="0"/>
            </w:tcBorders>
            <w:shd w:val="clear" w:color="auto" w:fill="FFFFFF"/>
          </w:tcPr>
          <w:p w14:paraId="6AB01C18">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由原位聚合材料、可吸收材料或水凝胶制成。</w:t>
            </w:r>
          </w:p>
        </w:tc>
        <w:tc>
          <w:tcPr>
            <w:tcW w:w="2652" w:type="pct"/>
            <w:tcBorders>
              <w:top w:val="single" w:color="auto" w:sz="4" w:space="0"/>
              <w:left w:val="single" w:color="auto" w:sz="4" w:space="0"/>
              <w:right w:val="single" w:color="auto" w:sz="4" w:space="0"/>
            </w:tcBorders>
            <w:shd w:val="clear" w:color="auto" w:fill="FFFFFF"/>
            <w:vAlign w:val="bottom"/>
          </w:tcPr>
          <w:p w14:paraId="0132B318">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聚合或降解产物随时间发生变化的风险增加。制造过程会影响器械中存在的中间体和最终化学品的类型和含量，从而可能引入毒性风险。</w:t>
            </w:r>
          </w:p>
        </w:tc>
      </w:tr>
      <w:tr w14:paraId="13B309AA">
        <w:tblPrEx>
          <w:tblCellMar>
            <w:top w:w="0" w:type="dxa"/>
            <w:left w:w="108" w:type="dxa"/>
            <w:bottom w:w="0" w:type="dxa"/>
            <w:right w:w="108" w:type="dxa"/>
          </w:tblCellMar>
        </w:tblPrEx>
        <w:tc>
          <w:tcPr>
            <w:tcW w:w="2348" w:type="pct"/>
            <w:tcBorders>
              <w:top w:val="single" w:color="auto" w:sz="4" w:space="0"/>
              <w:left w:val="single" w:color="auto" w:sz="4" w:space="0"/>
              <w:bottom w:val="single" w:color="auto" w:sz="4" w:space="0"/>
            </w:tcBorders>
            <w:shd w:val="clear" w:color="auto" w:fill="FFFFFF"/>
            <w:vAlign w:val="center"/>
          </w:tcPr>
          <w:p w14:paraId="44B0F432">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接触破裂或受损的表面，如擦伤或剃光的皮肤，或开放性或愈合伤口。</w:t>
            </w:r>
          </w:p>
        </w:tc>
        <w:tc>
          <w:tcPr>
            <w:tcW w:w="2652" w:type="pct"/>
            <w:tcBorders>
              <w:top w:val="single" w:color="auto" w:sz="4" w:space="0"/>
              <w:left w:val="single" w:color="auto" w:sz="4" w:space="0"/>
              <w:bottom w:val="single" w:color="auto" w:sz="4" w:space="0"/>
              <w:right w:val="single" w:color="auto" w:sz="4" w:space="0"/>
            </w:tcBorders>
            <w:shd w:val="clear" w:color="auto" w:fill="FFFFFF"/>
          </w:tcPr>
          <w:p w14:paraId="5394EF74">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可沥滤物通过破裂或受损的皮肤转移的风险增加。</w:t>
            </w:r>
          </w:p>
        </w:tc>
      </w:tr>
    </w:tbl>
    <w:p w14:paraId="56866E09">
      <w:pPr>
        <w:pStyle w:val="23"/>
        <w:tabs>
          <w:tab w:val="left" w:pos="187"/>
        </w:tabs>
        <w:adjustRightInd w:val="0"/>
        <w:snapToGrid w:val="0"/>
        <w:spacing w:before="120" w:beforeLines="50" w:line="300" w:lineRule="auto"/>
        <w:jc w:val="both"/>
        <w:rPr>
          <w:rFonts w:eastAsia="宋体" w:cs="宋体"/>
          <w:sz w:val="24"/>
          <w:lang w:eastAsia="zh-CN"/>
        </w:rPr>
      </w:pPr>
    </w:p>
    <w:p w14:paraId="7E3840B5">
      <w:pPr>
        <w:pStyle w:val="23"/>
        <w:tabs>
          <w:tab w:val="left" w:pos="187"/>
        </w:tabs>
        <w:adjustRightInd w:val="0"/>
        <w:snapToGrid w:val="0"/>
        <w:spacing w:before="120" w:beforeLines="50" w:line="300" w:lineRule="auto"/>
        <w:jc w:val="both"/>
        <w:rPr>
          <w:rFonts w:eastAsia="宋体" w:cs="宋体"/>
          <w:sz w:val="24"/>
          <w:lang w:eastAsia="zh-CN"/>
        </w:rPr>
      </w:pPr>
    </w:p>
    <w:p w14:paraId="4F17601B">
      <w:pPr>
        <w:pStyle w:val="23"/>
        <w:tabs>
          <w:tab w:val="left" w:pos="187"/>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r>
        <w:rPr>
          <w:rFonts w:eastAsia="宋体" w:cs="宋体"/>
          <w:sz w:val="24"/>
          <w:lang w:eastAsia="zh-CN"/>
        </w:rPr>
        <w:t>____________________</w:t>
      </w:r>
    </w:p>
    <w:p w14:paraId="4ECECB7E">
      <w:pPr>
        <w:pStyle w:val="23"/>
        <w:tabs>
          <w:tab w:val="left" w:pos="187"/>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 xml:space="preserve">12 </w:t>
      </w:r>
      <w:r>
        <w:rPr>
          <w:rFonts w:eastAsia="宋体" w:cs="宋体"/>
          <w:sz w:val="21"/>
          <w:lang w:eastAsia="zh-CN"/>
        </w:rPr>
        <w:tab/>
      </w:r>
      <w:r>
        <w:rPr>
          <w:rFonts w:eastAsia="宋体" w:cs="宋体"/>
          <w:sz w:val="21"/>
          <w:lang w:eastAsia="zh-CN"/>
        </w:rPr>
        <w:t>新型材料是指“未在美国合法上市销售的任何医疗器械中使用的材料”，符合2016年生物相容性指南。</w:t>
      </w:r>
    </w:p>
    <w:p w14:paraId="6E6178E3">
      <w:pPr>
        <w:rPr>
          <w:rFonts w:ascii="Times New Roman" w:hAnsi="Times New Roman" w:eastAsia="宋体" w:cs="Times New Roman"/>
          <w:snapToGrid w:val="0"/>
          <w:lang w:eastAsia="zh-CN"/>
        </w:rPr>
      </w:pPr>
      <w:r>
        <w:rPr>
          <w:rFonts w:ascii="Times New Roman" w:hAnsi="Times New Roman" w:eastAsia="宋体" w:cs="宋体"/>
          <w:b/>
          <w:i/>
          <w:lang w:eastAsia="zh-CN"/>
        </w:rPr>
        <w:br w:type="page"/>
      </w:r>
    </w:p>
    <w:tbl>
      <w:tblPr>
        <w:tblStyle w:val="7"/>
        <w:tblW w:w="5000" w:type="pct"/>
        <w:tblInd w:w="0" w:type="dxa"/>
        <w:tblLayout w:type="autofit"/>
        <w:tblCellMar>
          <w:top w:w="0" w:type="dxa"/>
          <w:left w:w="108" w:type="dxa"/>
          <w:bottom w:w="0" w:type="dxa"/>
          <w:right w:w="108" w:type="dxa"/>
        </w:tblCellMar>
      </w:tblPr>
      <w:tblGrid>
        <w:gridCol w:w="4361"/>
        <w:gridCol w:w="4926"/>
      </w:tblGrid>
      <w:tr w14:paraId="456DF3E0">
        <w:tblPrEx>
          <w:tblCellMar>
            <w:top w:w="0" w:type="dxa"/>
            <w:left w:w="108" w:type="dxa"/>
            <w:bottom w:w="0" w:type="dxa"/>
            <w:right w:w="108" w:type="dxa"/>
          </w:tblCellMar>
        </w:tblPrEx>
        <w:tc>
          <w:tcPr>
            <w:tcW w:w="2348" w:type="pct"/>
            <w:tcBorders>
              <w:top w:val="single" w:color="auto" w:sz="4" w:space="0"/>
              <w:left w:val="single" w:color="auto" w:sz="4" w:space="0"/>
            </w:tcBorders>
            <w:shd w:val="clear" w:color="auto" w:fill="FFFFFF"/>
          </w:tcPr>
          <w:p w14:paraId="2C678DAF">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对一次性使用器械进行了再加工</w:t>
            </w:r>
          </w:p>
        </w:tc>
        <w:tc>
          <w:tcPr>
            <w:tcW w:w="2652" w:type="pct"/>
            <w:tcBorders>
              <w:top w:val="single" w:color="auto" w:sz="4" w:space="0"/>
              <w:left w:val="single" w:color="auto" w:sz="4" w:space="0"/>
              <w:right w:val="single" w:color="auto" w:sz="4" w:space="0"/>
            </w:tcBorders>
            <w:shd w:val="clear" w:color="auto" w:fill="FFFFFF"/>
            <w:vAlign w:val="bottom"/>
          </w:tcPr>
          <w:p w14:paraId="1BB337BC">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FDA未获悉一次性使用器械在再加工后重复使用的安全使用历史。对此类器械进行再加工会引起不良生物反应（例如刺激）。</w:t>
            </w:r>
          </w:p>
        </w:tc>
      </w:tr>
      <w:tr w14:paraId="6E4C2564">
        <w:tblPrEx>
          <w:tblCellMar>
            <w:top w:w="0" w:type="dxa"/>
            <w:left w:w="108" w:type="dxa"/>
            <w:bottom w:w="0" w:type="dxa"/>
            <w:right w:w="108" w:type="dxa"/>
          </w:tblCellMar>
        </w:tblPrEx>
        <w:tc>
          <w:tcPr>
            <w:tcW w:w="2348" w:type="pct"/>
            <w:tcBorders>
              <w:top w:val="single" w:color="auto" w:sz="4" w:space="0"/>
              <w:left w:val="single" w:color="auto" w:sz="4" w:space="0"/>
              <w:bottom w:val="single" w:color="auto" w:sz="4" w:space="0"/>
            </w:tcBorders>
            <w:shd w:val="clear" w:color="auto" w:fill="FFFFFF"/>
            <w:vAlign w:val="bottom"/>
          </w:tcPr>
          <w:p w14:paraId="2631A447">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包括将器械直接附着在皮肤上的粘合剂（例如电极垫、体泵附着系统）。</w:t>
            </w:r>
          </w:p>
        </w:tc>
        <w:tc>
          <w:tcPr>
            <w:tcW w:w="2652" w:type="pct"/>
            <w:tcBorders>
              <w:top w:val="single" w:color="auto" w:sz="4" w:space="0"/>
              <w:left w:val="single" w:color="auto" w:sz="4" w:space="0"/>
              <w:bottom w:val="single" w:color="auto" w:sz="4" w:space="0"/>
              <w:right w:val="single" w:color="auto" w:sz="4" w:space="0"/>
            </w:tcBorders>
            <w:shd w:val="clear" w:color="auto" w:fill="FFFFFF"/>
          </w:tcPr>
          <w:p w14:paraId="597811B5">
            <w:pPr>
              <w:pStyle w:val="17"/>
              <w:adjustRightInd w:val="0"/>
              <w:snapToGrid w:val="0"/>
              <w:spacing w:before="36" w:beforeLines="15" w:after="0" w:line="276" w:lineRule="auto"/>
              <w:jc w:val="both"/>
              <w:rPr>
                <w:snapToGrid w:val="0"/>
                <w:sz w:val="21"/>
                <w:szCs w:val="21"/>
                <w:lang w:eastAsia="zh-CN"/>
              </w:rPr>
            </w:pPr>
            <w:r>
              <w:rPr>
                <w:rFonts w:eastAsia="宋体" w:cs="宋体"/>
                <w:sz w:val="21"/>
                <w:lang w:eastAsia="zh-CN"/>
              </w:rPr>
              <w:t>粘合剂会引起不良生物反应（例如刺激）。</w:t>
            </w:r>
          </w:p>
        </w:tc>
      </w:tr>
    </w:tbl>
    <w:p w14:paraId="7A4368F5">
      <w:pPr>
        <w:pStyle w:val="39"/>
        <w:rPr>
          <w:rFonts w:eastAsia="宋体"/>
          <w:lang w:eastAsia="zh-CN"/>
        </w:rPr>
      </w:pPr>
      <w:bookmarkStart w:id="10" w:name="_Toc91868594"/>
      <w:r>
        <w:rPr>
          <w:rFonts w:eastAsia="宋体"/>
          <w:lang w:eastAsia="zh-CN"/>
        </w:rPr>
        <w:t>（</w:t>
      </w:r>
      <w:r>
        <w:rPr>
          <w:rFonts w:hint="eastAsia" w:eastAsia="宋体"/>
          <w:lang w:eastAsia="zh-CN"/>
        </w:rPr>
        <w:t>4</w:t>
      </w:r>
      <w:r>
        <w:rPr>
          <w:rFonts w:eastAsia="宋体"/>
          <w:lang w:eastAsia="zh-CN"/>
        </w:rPr>
        <w:t>）</w:t>
      </w:r>
      <w:r>
        <w:rPr>
          <w:rFonts w:eastAsia="宋体" w:cs="宋体"/>
          <w:lang w:eastAsia="zh-CN"/>
        </w:rPr>
        <w:tab/>
      </w:r>
      <w:r>
        <w:rPr>
          <w:rFonts w:eastAsia="宋体" w:cs="宋体"/>
          <w:lang w:eastAsia="zh-CN"/>
        </w:rPr>
        <w:t>上市前申请中应包含哪些生物相容性信息？</w:t>
      </w:r>
      <w:bookmarkEnd w:id="10"/>
    </w:p>
    <w:p w14:paraId="071E741F">
      <w:pPr>
        <w:pStyle w:val="40"/>
        <w:rPr>
          <w:rFonts w:eastAsia="宋体"/>
          <w:lang w:eastAsia="zh-CN"/>
        </w:rPr>
      </w:pPr>
      <w:r>
        <w:rPr>
          <w:rFonts w:eastAsia="宋体" w:cs="宋体"/>
          <w:lang w:eastAsia="zh-CN"/>
        </w:rPr>
        <w:t>a.</w:t>
      </w:r>
      <w:r>
        <w:rPr>
          <w:rFonts w:eastAsia="宋体" w:cs="宋体"/>
          <w:lang w:eastAsia="zh-CN"/>
        </w:rPr>
        <w:tab/>
      </w:r>
      <w:r>
        <w:rPr>
          <w:rFonts w:eastAsia="宋体" w:cs="宋体"/>
          <w:lang w:eastAsia="zh-CN"/>
        </w:rPr>
        <w:t>所有上市前申请（上市前批准申请（PMA）、人道主义器械豁免（HDE）申请、试验用器械豁免（IDE）申请、510(k)申请和创新产品分类及申请）</w:t>
      </w:r>
    </w:p>
    <w:p w14:paraId="36597924">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建议在本指南所述政策范围内的器械类型的上市前申请中纳入以下信息：</w:t>
      </w:r>
    </w:p>
    <w:p w14:paraId="2189368B">
      <w:pPr>
        <w:pStyle w:val="37"/>
        <w:numPr>
          <w:ilvl w:val="0"/>
          <w:numId w:val="7"/>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用于制造与皮肤直接接触或间接接触的器械的所有材料清单；</w:t>
      </w:r>
    </w:p>
    <w:p w14:paraId="27FE2B85">
      <w:pPr>
        <w:pStyle w:val="37"/>
        <w:numPr>
          <w:ilvl w:val="0"/>
          <w:numId w:val="7"/>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确认（例如通过MDR分析、文献检索）所列材料在与完好皮肤接触的美国合法上市销售的医疗器械中具有记录在案的安全使用历史的声明；以及</w:t>
      </w:r>
    </w:p>
    <w:p w14:paraId="5CD8498F">
      <w:pPr>
        <w:pStyle w:val="37"/>
        <w:numPr>
          <w:ilvl w:val="0"/>
          <w:numId w:val="7"/>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确认上述除外条款均不适用的声明。</w:t>
      </w:r>
    </w:p>
    <w:p w14:paraId="708ACE49">
      <w:pPr>
        <w:pStyle w:val="40"/>
        <w:rPr>
          <w:rFonts w:eastAsia="宋体"/>
          <w:lang w:eastAsia="zh-CN"/>
        </w:rPr>
      </w:pPr>
      <w:r>
        <w:rPr>
          <w:rFonts w:eastAsia="宋体" w:cs="宋体"/>
          <w:lang w:eastAsia="zh-CN"/>
        </w:rPr>
        <w:t>b.</w:t>
      </w:r>
      <w:r>
        <w:rPr>
          <w:rFonts w:eastAsia="宋体" w:cs="宋体"/>
          <w:lang w:eastAsia="zh-CN"/>
        </w:rPr>
        <w:tab/>
      </w:r>
      <w:r>
        <w:rPr>
          <w:rFonts w:eastAsia="宋体" w:cs="宋体"/>
          <w:lang w:eastAsia="zh-CN"/>
        </w:rPr>
        <w:t>IDE申请的附加建议</w:t>
      </w:r>
    </w:p>
    <w:p w14:paraId="1818B07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除了上文第III.A(4)节推荐的内容外，FDA建议研究申请人在依据21 CFR 812.150(b)(5)提交的IDE进度报告</w:t>
      </w:r>
      <w:r>
        <w:rPr>
          <w:rFonts w:ascii="Times New Roman" w:hAnsi="Times New Roman" w:eastAsia="宋体" w:cs="宋体"/>
          <w:vertAlign w:val="superscript"/>
          <w:lang w:eastAsia="zh-CN"/>
        </w:rPr>
        <w:t>13</w:t>
      </w:r>
      <w:r>
        <w:rPr>
          <w:rFonts w:ascii="Times New Roman" w:hAnsi="Times New Roman" w:eastAsia="宋体" w:cs="宋体"/>
          <w:lang w:eastAsia="zh-CN"/>
        </w:rPr>
        <w:t>中讨论本完好皮肤政策范围内器械的任何不良生物反应。具体而言，FDA建议研究申请人描述研究者在临床研究过程中观察到的任何发红（红斑）、肿胀（水肿）、刺激、致敏（迟发型IV型超敏反应）、过敏、免疫反应或其他反应，并将观察结果归因于特定器械（如相关）。</w:t>
      </w:r>
    </w:p>
    <w:p w14:paraId="0636BF71">
      <w:pPr>
        <w:pStyle w:val="40"/>
        <w:rPr>
          <w:rFonts w:eastAsia="宋体"/>
          <w:lang w:eastAsia="zh-CN"/>
        </w:rPr>
      </w:pPr>
      <w:r>
        <w:rPr>
          <w:rFonts w:eastAsia="宋体" w:cs="宋体"/>
          <w:lang w:eastAsia="zh-CN"/>
        </w:rPr>
        <w:t>c.</w:t>
      </w:r>
      <w:r>
        <w:rPr>
          <w:rFonts w:eastAsia="宋体" w:cs="宋体"/>
          <w:lang w:eastAsia="zh-CN"/>
        </w:rPr>
        <w:tab/>
      </w:r>
      <w:r>
        <w:rPr>
          <w:rFonts w:eastAsia="宋体" w:cs="宋体"/>
          <w:lang w:eastAsia="zh-CN"/>
        </w:rPr>
        <w:t>针对上市申请（510(k)申请、PMA、HDE申请和创新产品分类及申请）的附加建议</w:t>
      </w:r>
    </w:p>
    <w:p w14:paraId="7D5B0F57">
      <w:pPr>
        <w:adjustRightInd w:val="0"/>
        <w:snapToGrid w:val="0"/>
        <w:spacing w:before="120" w:beforeLines="50" w:line="300" w:lineRule="auto"/>
        <w:jc w:val="both"/>
        <w:rPr>
          <w:rFonts w:ascii="Times New Roman" w:hAnsi="Times New Roman" w:eastAsia="宋体" w:cs="宋体"/>
          <w:lang w:eastAsia="zh-CN"/>
        </w:rPr>
      </w:pPr>
      <w:r>
        <w:rPr>
          <w:rFonts w:ascii="Times New Roman" w:hAnsi="Times New Roman" w:eastAsia="宋体" w:cs="宋体"/>
          <w:lang w:eastAsia="zh-CN"/>
        </w:rPr>
        <w:t>除了上文第III.A(4)节中推荐的内容外，FDA建议制造商纳入</w:t>
      </w:r>
      <w:r>
        <w:rPr>
          <w:rFonts w:hint="eastAsia" w:ascii="Times New Roman" w:hAnsi="Times New Roman" w:eastAsia="宋体" w:cs="宋体"/>
          <w:lang w:eastAsia="zh-CN"/>
        </w:rPr>
        <w:t>一个声明，用于</w:t>
      </w:r>
      <w:r>
        <w:rPr>
          <w:rFonts w:ascii="Times New Roman" w:hAnsi="Times New Roman" w:eastAsia="宋体" w:cs="宋体"/>
          <w:lang w:eastAsia="zh-CN"/>
        </w:rPr>
        <w:t>说明制造商已在器械主记录（DMR）中记录其如何确定器械的生物相容性风险已得到解决，从而无需进行生物相容性试验，也不必提供详细的制造原理。以下声明是支持这种方法的格式和内容示例：</w:t>
      </w:r>
    </w:p>
    <w:p w14:paraId="29686CC6">
      <w:pPr>
        <w:adjustRightInd w:val="0"/>
        <w:snapToGrid w:val="0"/>
        <w:spacing w:before="120" w:beforeLines="50" w:line="300" w:lineRule="auto"/>
        <w:jc w:val="both"/>
        <w:rPr>
          <w:rFonts w:ascii="Times New Roman" w:hAnsi="Times New Roman" w:eastAsia="宋体" w:cs="宋体"/>
          <w:lang w:eastAsia="zh-CN"/>
        </w:rPr>
      </w:pPr>
    </w:p>
    <w:p w14:paraId="2621BEA0">
      <w:pPr>
        <w:adjustRightInd w:val="0"/>
        <w:snapToGrid w:val="0"/>
        <w:spacing w:before="120" w:beforeLines="50" w:line="300" w:lineRule="auto"/>
        <w:jc w:val="both"/>
        <w:rPr>
          <w:rFonts w:ascii="Times New Roman" w:hAnsi="Times New Roman" w:eastAsia="宋体" w:cs="宋体"/>
          <w:lang w:eastAsia="zh-CN"/>
        </w:rPr>
      </w:pPr>
    </w:p>
    <w:p w14:paraId="779AB9A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w:t>
      </w:r>
    </w:p>
    <w:p w14:paraId="05D1C225">
      <w:pPr>
        <w:pStyle w:val="23"/>
        <w:tabs>
          <w:tab w:val="left" w:pos="178"/>
        </w:tabs>
        <w:adjustRightInd w:val="0"/>
        <w:snapToGrid w:val="0"/>
        <w:spacing w:before="36" w:beforeLines="15" w:line="276" w:lineRule="auto"/>
        <w:jc w:val="both"/>
        <w:rPr>
          <w:rFonts w:eastAsia="宋体"/>
          <w:snapToGrid w:val="0"/>
          <w:sz w:val="21"/>
          <w:szCs w:val="21"/>
        </w:rPr>
      </w:pPr>
      <w:r>
        <w:rPr>
          <w:rFonts w:eastAsia="宋体"/>
          <w:snapToGrid w:val="0"/>
          <w:sz w:val="21"/>
          <w:szCs w:val="21"/>
          <w:shd w:val="clear" w:color="auto" w:fill="FFFFFF"/>
          <w:vertAlign w:val="superscript"/>
        </w:rPr>
        <w:t>13</w:t>
      </w:r>
      <w:r>
        <w:fldChar w:fldCharType="begin"/>
      </w:r>
      <w:r>
        <w:instrText xml:space="preserve"> HYPERLINK "https://www.fda.gov/regulatory-information/search-fda-guidance-documents/suggested-format-ide-progress-" </w:instrText>
      </w:r>
      <w:r>
        <w:fldChar w:fldCharType="separate"/>
      </w:r>
      <w:r>
        <w:rPr>
          <w:rStyle w:val="10"/>
          <w:rFonts w:eastAsia="宋体"/>
          <w:snapToGrid w:val="0"/>
          <w:sz w:val="21"/>
          <w:szCs w:val="21"/>
        </w:rPr>
        <w:t>https://www.fda.gov/regulatory-information/search-fda-guidance-documents/suggested-format-ide-progress-</w:t>
      </w:r>
      <w:r>
        <w:rPr>
          <w:rStyle w:val="10"/>
          <w:rFonts w:eastAsia="宋体"/>
          <w:snapToGrid w:val="0"/>
          <w:sz w:val="21"/>
          <w:szCs w:val="21"/>
        </w:rPr>
        <w:fldChar w:fldCharType="end"/>
      </w:r>
      <w:r>
        <w:fldChar w:fldCharType="begin"/>
      </w:r>
      <w:r>
        <w:instrText xml:space="preserve"> HYPERLINK "https://www.fda.gov/regulatory-information/search-fda-guidance-documents/suggested-format-ide-progress-report" </w:instrText>
      </w:r>
      <w:r>
        <w:fldChar w:fldCharType="separate"/>
      </w:r>
      <w:r>
        <w:rPr>
          <w:rFonts w:eastAsia="宋体"/>
          <w:snapToGrid w:val="0"/>
          <w:color w:val="0000FF"/>
          <w:sz w:val="21"/>
          <w:szCs w:val="21"/>
          <w:u w:val="single"/>
        </w:rPr>
        <w:t>report</w:t>
      </w:r>
      <w:r>
        <w:rPr>
          <w:rFonts w:eastAsia="宋体"/>
          <w:snapToGrid w:val="0"/>
          <w:sz w:val="21"/>
          <w:szCs w:val="21"/>
        </w:rPr>
        <w:t>.</w:t>
      </w:r>
      <w:r>
        <w:rPr>
          <w:rFonts w:eastAsia="宋体"/>
          <w:snapToGrid w:val="0"/>
          <w:sz w:val="21"/>
          <w:szCs w:val="21"/>
        </w:rPr>
        <w:fldChar w:fldCharType="end"/>
      </w:r>
    </w:p>
    <w:p w14:paraId="5B11C401">
      <w:pPr>
        <w:rPr>
          <w:rFonts w:ascii="Times New Roman" w:hAnsi="Times New Roman" w:eastAsia="宋体" w:cs="Times New Roman"/>
          <w:snapToGrid w:val="0"/>
          <w:lang w:eastAsia="zh-CN"/>
        </w:rPr>
      </w:pPr>
      <w:r>
        <w:rPr>
          <w:rFonts w:ascii="Times New Roman" w:hAnsi="Times New Roman" w:eastAsia="宋体" w:cs="宋体"/>
          <w:b/>
          <w:i/>
        </w:rPr>
        <w:br w:type="page"/>
      </w:r>
    </w:p>
    <w:p w14:paraId="53994DE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w:t>
      </w:r>
      <w:r>
        <w:rPr>
          <w:rFonts w:hint="eastAsia" w:ascii="Times New Roman" w:hAnsi="Times New Roman" w:eastAsia="宋体" w:cs="宋体"/>
          <w:lang w:eastAsia="zh-CN"/>
        </w:rPr>
        <w:t>本机构</w:t>
      </w:r>
      <w:r>
        <w:rPr>
          <w:rFonts w:ascii="Times New Roman" w:hAnsi="Times New Roman" w:eastAsia="宋体" w:cs="宋体"/>
          <w:lang w:eastAsia="zh-CN"/>
        </w:rPr>
        <w:t>已在器械主记录（DMR）中记录，无需进行生物相容性试验（即细胞毒性、刺激性和致敏性），也不必提供详细的制造原理（基于材料类型和接触性质），因为生物相容性风险已根据相关质量体系要求以及与以下法规相关的上市后控制得到解决：</w:t>
      </w:r>
    </w:p>
    <w:p w14:paraId="3B4E7434">
      <w:pPr>
        <w:pStyle w:val="37"/>
        <w:numPr>
          <w:ilvl w:val="0"/>
          <w:numId w:val="8"/>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对器械材料的采购控制（21 CFR 820.50）；</w:t>
      </w:r>
    </w:p>
    <w:p w14:paraId="4BCCCE33">
      <w:pPr>
        <w:pStyle w:val="37"/>
        <w:numPr>
          <w:ilvl w:val="0"/>
          <w:numId w:val="8"/>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制造材料的生产和过程控制（21 CFR 820.70）；</w:t>
      </w:r>
    </w:p>
    <w:p w14:paraId="0B0F562B">
      <w:pPr>
        <w:pStyle w:val="37"/>
        <w:numPr>
          <w:ilvl w:val="0"/>
          <w:numId w:val="8"/>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组件和制造材料的验收活动（21 CFR 820.80）；</w:t>
      </w:r>
    </w:p>
    <w:p w14:paraId="666968B7">
      <w:pPr>
        <w:pStyle w:val="37"/>
        <w:numPr>
          <w:ilvl w:val="0"/>
          <w:numId w:val="8"/>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纠正和预防措施（21 CFR 820.100）；</w:t>
      </w:r>
    </w:p>
    <w:p w14:paraId="74E31E0D">
      <w:pPr>
        <w:pStyle w:val="37"/>
        <w:numPr>
          <w:ilvl w:val="0"/>
          <w:numId w:val="8"/>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投诉文件（21 CFR 820.198），以及</w:t>
      </w:r>
    </w:p>
    <w:p w14:paraId="4804D64D">
      <w:pPr>
        <w:pStyle w:val="37"/>
        <w:numPr>
          <w:ilvl w:val="0"/>
          <w:numId w:val="8"/>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lang w:eastAsia="zh-CN"/>
        </w:rPr>
        <w:t>医疗器械报告（MDR）（21 CFR 803）。</w:t>
      </w:r>
      <w:r>
        <w:rPr>
          <w:rFonts w:ascii="Times New Roman" w:hAnsi="Times New Roman" w:eastAsia="宋体" w:cs="宋体"/>
        </w:rPr>
        <w:t>”</w:t>
      </w:r>
    </w:p>
    <w:p w14:paraId="7C9E324B">
      <w:pPr>
        <w:pStyle w:val="39"/>
        <w:ind w:left="2127" w:hanging="663" w:hangingChars="275"/>
        <w:rPr>
          <w:rFonts w:eastAsia="宋体"/>
          <w:lang w:eastAsia="zh-CN"/>
        </w:rPr>
      </w:pPr>
      <w:bookmarkStart w:id="11" w:name="_Toc91868595"/>
      <w:r>
        <w:rPr>
          <w:rFonts w:eastAsia="宋体"/>
          <w:lang w:eastAsia="zh-CN"/>
        </w:rPr>
        <w:t>（</w:t>
      </w:r>
      <w:r>
        <w:rPr>
          <w:rFonts w:hint="eastAsia" w:eastAsia="宋体"/>
          <w:lang w:eastAsia="zh-CN"/>
        </w:rPr>
        <w:t>5</w:t>
      </w:r>
      <w:r>
        <w:rPr>
          <w:rFonts w:eastAsia="宋体"/>
          <w:lang w:eastAsia="zh-CN"/>
        </w:rPr>
        <w:t>）</w:t>
      </w:r>
      <w:r>
        <w:rPr>
          <w:rFonts w:eastAsia="宋体" w:cs="宋体"/>
          <w:lang w:eastAsia="zh-CN"/>
        </w:rPr>
        <w:tab/>
      </w:r>
      <w:r>
        <w:rPr>
          <w:rFonts w:eastAsia="宋体" w:cs="宋体"/>
          <w:lang w:eastAsia="zh-CN"/>
        </w:rPr>
        <w:t>对于与该政策相关的某些标签信息，FDA推荐的内容和格式是什么？</w:t>
      </w:r>
      <w:bookmarkEnd w:id="11"/>
    </w:p>
    <w:p w14:paraId="5BFC5DC8">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节包含FDA针对某些标签信息的格式和内容建议，为了帮助说明，FDA提供了一个示例。当器械预期用于可能无法识别与细胞毒性、刺激性或致敏性相关的不良生物反应患者人群（例如癫痫或痴呆患者）时，FDA建议制造商采用该政策来代替进行生物相容性试验，在标签中载明常见皮肤不良反应</w:t>
      </w:r>
      <w:r>
        <w:rPr>
          <w:rFonts w:hint="eastAsia" w:ascii="Times New Roman" w:hAnsi="Times New Roman" w:eastAsia="宋体" w:cs="宋体"/>
          <w:lang w:eastAsia="zh-CN"/>
        </w:rPr>
        <w:t>的预警信息</w:t>
      </w:r>
      <w:r>
        <w:rPr>
          <w:rFonts w:ascii="Times New Roman" w:hAnsi="Times New Roman" w:eastAsia="宋体" w:cs="宋体"/>
          <w:lang w:eastAsia="zh-CN"/>
        </w:rPr>
        <w:t>来告知护理人员。</w:t>
      </w:r>
    </w:p>
    <w:p w14:paraId="7BA6A94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遵循FDA建议的</w:t>
      </w:r>
      <w:r>
        <w:rPr>
          <w:rFonts w:hint="eastAsia" w:ascii="Times New Roman" w:hAnsi="Times New Roman" w:eastAsia="宋体" w:cs="宋体"/>
          <w:lang w:eastAsia="zh-CN"/>
        </w:rPr>
        <w:t>预警性</w:t>
      </w:r>
      <w:r>
        <w:rPr>
          <w:rFonts w:ascii="Times New Roman" w:hAnsi="Times New Roman" w:eastAsia="宋体" w:cs="宋体"/>
          <w:lang w:eastAsia="zh-CN"/>
        </w:rPr>
        <w:t>说明示例如下：</w:t>
      </w:r>
    </w:p>
    <w:p w14:paraId="43B91103">
      <w:pPr>
        <w:adjustRightInd w:val="0"/>
        <w:snapToGrid w:val="0"/>
        <w:spacing w:before="120" w:beforeLines="50" w:line="300" w:lineRule="auto"/>
        <w:ind w:left="1416" w:leftChars="590"/>
        <w:jc w:val="both"/>
        <w:rPr>
          <w:rFonts w:ascii="Times New Roman" w:hAnsi="Times New Roman" w:eastAsia="宋体" w:cs="Times New Roman"/>
          <w:snapToGrid w:val="0"/>
          <w:lang w:eastAsia="zh-CN"/>
        </w:rPr>
      </w:pPr>
      <w:r>
        <w:rPr>
          <w:rFonts w:ascii="Times New Roman" w:hAnsi="Times New Roman" w:eastAsia="宋体" w:cs="宋体"/>
          <w:b/>
          <w:i/>
          <w:lang w:eastAsia="zh-CN"/>
        </w:rPr>
        <w:t>“护理人员应评估患者与器械接触的皮肤部位是否有不良反应，如发红（红斑）、肿胀（水肿）、刺激、致敏（迟发型IV型超敏反应）、过敏、免疫反应或其他反应。”</w:t>
      </w:r>
    </w:p>
    <w:p w14:paraId="2DCE829F">
      <w:pPr>
        <w:pStyle w:val="34"/>
        <w:rPr>
          <w:rFonts w:eastAsia="宋体"/>
          <w:lang w:eastAsia="zh-CN"/>
        </w:rPr>
      </w:pPr>
      <w:bookmarkStart w:id="12" w:name="_Toc91868596"/>
      <w:r>
        <w:rPr>
          <w:rFonts w:eastAsia="宋体" w:cs="宋体"/>
          <w:lang w:eastAsia="zh-CN"/>
        </w:rPr>
        <w:t>IV.</w:t>
      </w:r>
      <w:r>
        <w:rPr>
          <w:rFonts w:eastAsia="宋体" w:cs="宋体"/>
          <w:lang w:eastAsia="zh-CN"/>
        </w:rPr>
        <w:tab/>
      </w:r>
      <w:r>
        <w:rPr>
          <w:rFonts w:eastAsia="宋体" w:cs="宋体"/>
          <w:lang w:eastAsia="zh-CN"/>
        </w:rPr>
        <w:t>其他拟议选择更新</w:t>
      </w:r>
      <w:bookmarkEnd w:id="12"/>
    </w:p>
    <w:p w14:paraId="6675E22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除了上述新附件外，为与该政策保持一致，提议对2016年生物相容性指南进行以下更新。FDA已将所有拟议新文本</w:t>
      </w:r>
      <w:r>
        <w:rPr>
          <w:rFonts w:ascii="Times New Roman" w:hAnsi="Times New Roman" w:eastAsia="宋体" w:cs="宋体"/>
          <w:b/>
          <w:lang w:eastAsia="zh-CN"/>
        </w:rPr>
        <w:t>加粗</w:t>
      </w:r>
      <w:r>
        <w:rPr>
          <w:rFonts w:ascii="Times New Roman" w:hAnsi="Times New Roman" w:eastAsia="宋体" w:cs="宋体"/>
          <w:lang w:eastAsia="zh-CN"/>
        </w:rPr>
        <w:t>，以明确将在现有语言中添加的文本：</w:t>
      </w:r>
    </w:p>
    <w:p w14:paraId="5370FA0F">
      <w:pPr>
        <w:pStyle w:val="37"/>
        <w:numPr>
          <w:ilvl w:val="0"/>
          <w:numId w:val="9"/>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第II节. 范围（pdf p.6/68）- FDA打算添加以下</w:t>
      </w:r>
      <w:r>
        <w:rPr>
          <w:rFonts w:ascii="Times New Roman" w:hAnsi="Times New Roman" w:eastAsia="宋体" w:cs="宋体"/>
          <w:u w:val="single"/>
          <w:lang w:eastAsia="zh-CN"/>
        </w:rPr>
        <w:t>新</w:t>
      </w:r>
      <w:r>
        <w:rPr>
          <w:rFonts w:ascii="Times New Roman" w:hAnsi="Times New Roman" w:eastAsia="宋体" w:cs="宋体"/>
          <w:lang w:eastAsia="zh-CN"/>
        </w:rPr>
        <w:t>项目符号，以在指南正文中提供对上文第III.A节所述附件中新信息的参考：</w:t>
      </w:r>
    </w:p>
    <w:p w14:paraId="3035E4C5">
      <w:pPr>
        <w:pStyle w:val="37"/>
        <w:numPr>
          <w:ilvl w:val="0"/>
          <w:numId w:val="9"/>
        </w:numPr>
        <w:adjustRightInd w:val="0"/>
        <w:snapToGrid w:val="0"/>
        <w:spacing w:before="120" w:beforeLines="50" w:line="300" w:lineRule="auto"/>
        <w:ind w:left="1276" w:firstLineChars="0"/>
        <w:jc w:val="both"/>
        <w:rPr>
          <w:rFonts w:ascii="Times New Roman" w:hAnsi="Times New Roman" w:eastAsia="宋体" w:cs="Times New Roman"/>
          <w:snapToGrid w:val="0"/>
        </w:rPr>
      </w:pPr>
      <w:r>
        <w:rPr>
          <w:rFonts w:ascii="Times New Roman" w:hAnsi="Times New Roman" w:eastAsia="宋体" w:cs="宋体"/>
          <w:b/>
          <w:lang w:eastAsia="zh-CN"/>
        </w:rPr>
        <w:t>“附件[G]：与完好皮肤接触的某些器械的生物相容性，描述了由常见聚合物和织物制成的与完好皮肤接触的器械的推荐提交内容。</w:t>
      </w:r>
      <w:r>
        <w:rPr>
          <w:rFonts w:ascii="Times New Roman" w:hAnsi="Times New Roman" w:eastAsia="宋体" w:cs="宋体"/>
          <w:b/>
        </w:rPr>
        <w:t>”</w:t>
      </w:r>
    </w:p>
    <w:p w14:paraId="1E9632CF">
      <w:pPr>
        <w:rPr>
          <w:rFonts w:ascii="Times New Roman" w:hAnsi="Times New Roman" w:eastAsia="宋体" w:cs="Times New Roman"/>
          <w:b/>
          <w:bCs/>
          <w:i/>
          <w:iCs/>
          <w:snapToGrid w:val="0"/>
        </w:rPr>
      </w:pPr>
      <w:r>
        <w:rPr>
          <w:rFonts w:ascii="Times New Roman" w:hAnsi="Times New Roman" w:eastAsia="宋体" w:cs="宋体"/>
        </w:rPr>
        <w:br w:type="page"/>
      </w:r>
    </w:p>
    <w:p w14:paraId="0327EF7E">
      <w:pPr>
        <w:pStyle w:val="37"/>
        <w:numPr>
          <w:ilvl w:val="0"/>
          <w:numId w:val="9"/>
        </w:numPr>
        <w:tabs>
          <w:tab w:val="left" w:pos="1100"/>
        </w:tabs>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第III节. 生物相容性评价的风险管理；A. 医疗器械的风险评定，第1段（pdf. p.9/68）：为与该新政策保持一致，FDA打算在以下段落末尾添加一个</w:t>
      </w:r>
      <w:r>
        <w:rPr>
          <w:rFonts w:ascii="Times New Roman" w:hAnsi="Times New Roman" w:eastAsia="宋体" w:cs="宋体"/>
          <w:u w:val="single"/>
          <w:lang w:eastAsia="zh-CN"/>
        </w:rPr>
        <w:t>新</w:t>
      </w:r>
      <w:r>
        <w:rPr>
          <w:rFonts w:ascii="Times New Roman" w:hAnsi="Times New Roman" w:eastAsia="宋体" w:cs="宋体"/>
          <w:lang w:eastAsia="zh-CN"/>
        </w:rPr>
        <w:t>脚注，如下所述：</w:t>
      </w:r>
    </w:p>
    <w:p w14:paraId="2E1B6268">
      <w:pPr>
        <w:pStyle w:val="37"/>
        <w:numPr>
          <w:ilvl w:val="0"/>
          <w:numId w:val="10"/>
        </w:numPr>
        <w:tabs>
          <w:tab w:val="left" w:pos="1479"/>
        </w:tabs>
        <w:adjustRightInd w:val="0"/>
        <w:snapToGrid w:val="0"/>
        <w:spacing w:before="120" w:beforeLines="50" w:line="300" w:lineRule="auto"/>
        <w:ind w:left="1276"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风险评定应对最终成品器械进行评价。FDA仅会对以最终成品形式提供的医疗器械进行上市许可或批准。机构不会为医疗器械装配过程中所使用的单独材料进行许可或批准。因此，风险评定不仅应评价器械中所使用的材料，也应评价材料的工艺、制造方法（包括灭菌工艺）以及在过程中所使用的制造辅助工具的任何残留物</w:t>
      </w:r>
      <w:r>
        <w:rPr>
          <w:rFonts w:ascii="Times New Roman" w:hAnsi="Times New Roman" w:eastAsia="宋体" w:cs="宋体"/>
          <w:b/>
          <w:vertAlign w:val="superscript"/>
          <w:lang w:eastAsia="zh-CN"/>
        </w:rPr>
        <w:t>新脚注</w:t>
      </w:r>
      <w:r>
        <w:rPr>
          <w:rFonts w:ascii="Times New Roman" w:hAnsi="Times New Roman" w:eastAsia="宋体" w:cs="宋体"/>
          <w:lang w:eastAsia="zh-CN"/>
        </w:rPr>
        <w:t>”。</w:t>
      </w:r>
    </w:p>
    <w:p w14:paraId="6B9AFB02">
      <w:pPr>
        <w:pStyle w:val="37"/>
        <w:numPr>
          <w:ilvl w:val="0"/>
          <w:numId w:val="10"/>
        </w:numPr>
        <w:tabs>
          <w:tab w:val="left" w:pos="1479"/>
        </w:tabs>
        <w:adjustRightInd w:val="0"/>
        <w:snapToGrid w:val="0"/>
        <w:spacing w:before="120" w:beforeLines="50" w:line="300" w:lineRule="auto"/>
        <w:ind w:left="1276" w:firstLineChars="0"/>
        <w:jc w:val="both"/>
        <w:rPr>
          <w:rFonts w:ascii="Times New Roman" w:hAnsi="Times New Roman" w:eastAsia="宋体" w:cs="Times New Roman"/>
          <w:snapToGrid w:val="0"/>
        </w:rPr>
      </w:pPr>
      <w:r>
        <w:rPr>
          <w:rFonts w:ascii="Times New Roman" w:hAnsi="Times New Roman" w:eastAsia="宋体" w:cs="宋体"/>
          <w:lang w:eastAsia="zh-CN"/>
        </w:rPr>
        <w:t>新脚注：“</w:t>
      </w:r>
      <w:r>
        <w:rPr>
          <w:rFonts w:ascii="Times New Roman" w:hAnsi="Times New Roman" w:eastAsia="宋体" w:cs="宋体"/>
          <w:b/>
          <w:lang w:eastAsia="zh-CN"/>
        </w:rPr>
        <w:t>有关FDA推荐的针对由常见聚合物和织物制成的与完好皮肤接触的某些器械进行的生物相容性评价的特殊考量因素，请参见附件G。</w:t>
      </w:r>
      <w:r>
        <w:rPr>
          <w:rFonts w:ascii="Times New Roman" w:hAnsi="Times New Roman" w:eastAsia="宋体" w:cs="宋体"/>
        </w:rPr>
        <w:t>”</w:t>
      </w:r>
    </w:p>
    <w:p w14:paraId="339C7AA8">
      <w:pPr>
        <w:pStyle w:val="37"/>
        <w:numPr>
          <w:ilvl w:val="0"/>
          <w:numId w:val="11"/>
        </w:numPr>
        <w:tabs>
          <w:tab w:val="left" w:pos="1100"/>
        </w:tabs>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FDA打算将2016年生物相容性指南中的附件G重新指定为附件H，以适应本指南中提出的新附件。</w:t>
      </w:r>
    </w:p>
    <w:p w14:paraId="151A4D7C">
      <w:pPr>
        <w:adjustRightInd w:val="0"/>
        <w:snapToGrid w:val="0"/>
        <w:spacing w:before="120" w:beforeLines="50" w:line="300" w:lineRule="auto"/>
        <w:jc w:val="both"/>
        <w:rPr>
          <w:rFonts w:ascii="Times New Roman" w:hAnsi="Times New Roman" w:eastAsia="宋体" w:cs="Times New Roman"/>
          <w:snapToGrid w:val="0"/>
          <w:lang w:eastAsia="zh-CN"/>
        </w:rPr>
      </w:pPr>
    </w:p>
    <w:p w14:paraId="09FA42E2">
      <w:pPr>
        <w:pBdr>
          <w:bottom w:val="single" w:color="auto" w:sz="4" w:space="0"/>
        </w:pBdr>
        <w:adjustRightInd w:val="0"/>
        <w:snapToGrid w:val="0"/>
        <w:spacing w:before="120" w:beforeLines="50" w:line="300" w:lineRule="auto"/>
        <w:jc w:val="center"/>
        <w:rPr>
          <w:rFonts w:hint="eastAsia" w:eastAsia="等线"/>
          <w:lang w:eastAsia="zh-CN"/>
        </w:rPr>
      </w:pPr>
    </w:p>
    <w:p w14:paraId="427DCE48">
      <w:pPr>
        <w:pBdr>
          <w:bottom w:val="single" w:color="auto" w:sz="4" w:space="0"/>
        </w:pBdr>
        <w:adjustRightInd w:val="0"/>
        <w:snapToGrid w:val="0"/>
        <w:spacing w:before="120" w:beforeLines="50" w:line="300" w:lineRule="auto"/>
        <w:jc w:val="center"/>
        <w:rPr>
          <w:rFonts w:hint="eastAsia" w:eastAsia="等线"/>
          <w:lang w:eastAsia="zh-CN"/>
        </w:rPr>
      </w:pPr>
    </w:p>
    <w:p w14:paraId="25614159">
      <w:pPr>
        <w:pBdr>
          <w:bottom w:val="single" w:color="auto" w:sz="4" w:space="0"/>
        </w:pBdr>
        <w:adjustRightInd w:val="0"/>
        <w:snapToGrid w:val="0"/>
        <w:spacing w:before="120" w:before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39"/>
      <w:pgMar w:top="1418" w:right="1418" w:bottom="1418" w:left="1418"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77DC8">
    <w:pPr>
      <w:pStyle w:val="3"/>
      <w:jc w:val="right"/>
      <w:rPr>
        <w:rFonts w:ascii="Times New Roman" w:hAnsi="Times New Roman" w:eastAsia="宋体" w:cs="Times New Roman"/>
      </w:rPr>
    </w:pPr>
    <w:r>
      <w:rPr>
        <w:rFonts w:ascii="Times New Roman" w:hAnsi="Times New Roman" w:cs="Times New Roman"/>
        <w:vanish/>
      </w:rPr>
      <w:fldChar w:fldCharType="begin"/>
    </w:r>
    <w:r>
      <w:rPr>
        <w:rFonts w:ascii="Times New Roman" w:hAnsi="Times New Roman" w:cs="Times New Roman"/>
        <w:vanish/>
      </w:rPr>
      <w:instrText xml:space="preserve">PAGE   \* MERGEFORMAT</w:instrText>
    </w:r>
    <w:r>
      <w:rPr>
        <w:rFonts w:ascii="Times New Roman" w:hAnsi="Times New Roman" w:cs="Times New Roman"/>
        <w:vanish/>
      </w:rPr>
      <w:fldChar w:fldCharType="separate"/>
    </w:r>
    <w:r>
      <w:rPr>
        <w:rFonts w:ascii="Times New Roman" w:hAnsi="Times New Roman" w:eastAsia="宋体" w:cs="Times New Roman"/>
        <w:lang w:val="zh-CN" w:eastAsia="zh-CN"/>
      </w:rPr>
      <w:t>8</w:t>
    </w:r>
    <w:r>
      <w:rPr>
        <w:rFonts w:ascii="Times New Roman" w:hAnsi="Times New Roman" w:cs="Times New Roman"/>
        <w:vanish/>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26A6">
    <w:pPr>
      <w:pStyle w:val="14"/>
      <w:adjustRightInd w:val="0"/>
      <w:snapToGrid w:val="0"/>
      <w:spacing w:before="120" w:beforeLines="50" w:line="300" w:lineRule="auto"/>
      <w:jc w:val="center"/>
      <w:rPr>
        <w:rFonts w:eastAsia="宋体"/>
        <w:snapToGrid w:val="0"/>
        <w:sz w:val="21"/>
        <w:szCs w:val="21"/>
        <w:lang w:eastAsia="zh-CN"/>
      </w:rPr>
    </w:pPr>
    <w:r>
      <w:rPr>
        <w:rFonts w:hint="eastAsia" w:eastAsia="宋体" w:cs="宋体"/>
        <w:sz w:val="21"/>
        <w:lang w:eastAsia="zh-CN"/>
      </w:rPr>
      <w:t>所含建议不具约束力</w:t>
    </w:r>
  </w:p>
  <w:p w14:paraId="4F8C9482">
    <w:pPr>
      <w:adjustRightInd w:val="0"/>
      <w:snapToGrid w:val="0"/>
      <w:spacing w:before="120" w:beforeLines="50" w:line="300" w:lineRule="auto"/>
      <w:jc w:val="center"/>
      <w:rPr>
        <w:rFonts w:ascii="Times New Roman" w:hAnsi="Times New Roman" w:eastAsia="宋体" w:cs="Times New Roman"/>
        <w:snapToGrid w:val="0"/>
        <w:sz w:val="21"/>
        <w:szCs w:val="21"/>
        <w:lang w:eastAsia="zh-CN"/>
      </w:rPr>
    </w:pPr>
    <w:r>
      <w:rPr>
        <w:rFonts w:ascii="Times New Roman" w:hAnsi="Times New Roman" w:eastAsia="宋体" w:cs="宋体"/>
        <w:b/>
        <w:i/>
        <w:sz w:val="21"/>
        <w:lang w:eastAsia="zh-CN"/>
      </w:rPr>
      <w:t>草案—非执行版</w:t>
    </w:r>
  </w:p>
  <w:p w14:paraId="5F2A0FC6">
    <w:pPr>
      <w:pStyle w:val="4"/>
      <w:pBdr>
        <w:bottom w:val="none" w:color="auto" w:sz="0" w:space="0"/>
      </w:pBdr>
      <w:rPr>
        <w:rFonts w:ascii="Times New Roman" w:hAnsi="Times New Roman" w:eastAsia="宋体"/>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A74D3"/>
    <w:multiLevelType w:val="multilevel"/>
    <w:tmpl w:val="090A74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4C92417"/>
    <w:multiLevelType w:val="multilevel"/>
    <w:tmpl w:val="14C924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DA3396E"/>
    <w:multiLevelType w:val="multilevel"/>
    <w:tmpl w:val="1DA339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0865D7B"/>
    <w:multiLevelType w:val="multilevel"/>
    <w:tmpl w:val="20865D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1BC4859"/>
    <w:multiLevelType w:val="multilevel"/>
    <w:tmpl w:val="31BC48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2EA4020"/>
    <w:multiLevelType w:val="multilevel"/>
    <w:tmpl w:val="42EA402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A55547D"/>
    <w:multiLevelType w:val="multilevel"/>
    <w:tmpl w:val="4A55547D"/>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7">
    <w:nsid w:val="4EA56766"/>
    <w:multiLevelType w:val="multilevel"/>
    <w:tmpl w:val="4EA567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A8267B2"/>
    <w:multiLevelType w:val="multilevel"/>
    <w:tmpl w:val="5A8267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C4A5C91"/>
    <w:multiLevelType w:val="multilevel"/>
    <w:tmpl w:val="5C4A5C9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A806CC6"/>
    <w:multiLevelType w:val="multilevel"/>
    <w:tmpl w:val="6A806C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7"/>
  </w:num>
  <w:num w:numId="4">
    <w:abstractNumId w:val="4"/>
  </w:num>
  <w:num w:numId="5">
    <w:abstractNumId w:val="10"/>
  </w:num>
  <w:num w:numId="6">
    <w:abstractNumId w:val="8"/>
  </w:num>
  <w:num w:numId="7">
    <w:abstractNumId w:val="2"/>
  </w:num>
  <w:num w:numId="8">
    <w:abstractNumId w:val="1"/>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4"/>
  </w:compat>
  <w:rsids>
    <w:rsidRoot w:val="0036502C"/>
    <w:rsid w:val="00055B42"/>
    <w:rsid w:val="00103972"/>
    <w:rsid w:val="00104DF5"/>
    <w:rsid w:val="00153CAE"/>
    <w:rsid w:val="001602D1"/>
    <w:rsid w:val="0017403D"/>
    <w:rsid w:val="001A1CD7"/>
    <w:rsid w:val="0036502C"/>
    <w:rsid w:val="00373B0D"/>
    <w:rsid w:val="00440408"/>
    <w:rsid w:val="00443BF8"/>
    <w:rsid w:val="004E5F83"/>
    <w:rsid w:val="004F5778"/>
    <w:rsid w:val="00514E4A"/>
    <w:rsid w:val="005A39DD"/>
    <w:rsid w:val="005A5F0D"/>
    <w:rsid w:val="005E2CEB"/>
    <w:rsid w:val="006042FD"/>
    <w:rsid w:val="006644DD"/>
    <w:rsid w:val="0067613F"/>
    <w:rsid w:val="006A7A3C"/>
    <w:rsid w:val="006E3D37"/>
    <w:rsid w:val="007328AE"/>
    <w:rsid w:val="007711BD"/>
    <w:rsid w:val="00795E4A"/>
    <w:rsid w:val="007C3C6A"/>
    <w:rsid w:val="007D5C08"/>
    <w:rsid w:val="00831758"/>
    <w:rsid w:val="0084610B"/>
    <w:rsid w:val="00864E8A"/>
    <w:rsid w:val="00870BD4"/>
    <w:rsid w:val="0088255F"/>
    <w:rsid w:val="008A6925"/>
    <w:rsid w:val="008B00AF"/>
    <w:rsid w:val="008D481A"/>
    <w:rsid w:val="008D70AB"/>
    <w:rsid w:val="00913BBC"/>
    <w:rsid w:val="0095308F"/>
    <w:rsid w:val="00A369C6"/>
    <w:rsid w:val="00A37A0B"/>
    <w:rsid w:val="00A421E2"/>
    <w:rsid w:val="00A814CC"/>
    <w:rsid w:val="00A824A0"/>
    <w:rsid w:val="00AC3723"/>
    <w:rsid w:val="00B61F8D"/>
    <w:rsid w:val="00B803B8"/>
    <w:rsid w:val="00C451A9"/>
    <w:rsid w:val="00CC1C53"/>
    <w:rsid w:val="00CC2EB6"/>
    <w:rsid w:val="00CD4B37"/>
    <w:rsid w:val="00D35577"/>
    <w:rsid w:val="00D81306"/>
    <w:rsid w:val="00D823CE"/>
    <w:rsid w:val="00D927A6"/>
    <w:rsid w:val="00E13AD2"/>
    <w:rsid w:val="00E27528"/>
    <w:rsid w:val="00E731B1"/>
    <w:rsid w:val="00F111D2"/>
    <w:rsid w:val="00F2720E"/>
    <w:rsid w:val="00F85CDC"/>
    <w:rsid w:val="00F95C58"/>
    <w:rsid w:val="00FA67B9"/>
    <w:rsid w:val="00FB68A0"/>
    <w:rsid w:val="2F6A2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等线" w:hAnsi="等线" w:eastAsia="等线" w:cs="等线"/>
      <w:color w:val="000000"/>
      <w:sz w:val="24"/>
      <w:szCs w:val="24"/>
      <w:lang w:val="en-US" w:eastAsia="en-US" w:bidi="en-US"/>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99"/>
    <w:rPr>
      <w:sz w:val="18"/>
      <w:szCs w:val="18"/>
    </w:rPr>
  </w:style>
  <w:style w:type="paragraph" w:styleId="3">
    <w:name w:val="footer"/>
    <w:basedOn w:val="1"/>
    <w:link w:val="32"/>
    <w:unhideWhenUsed/>
    <w:uiPriority w:val="99"/>
    <w:pPr>
      <w:tabs>
        <w:tab w:val="center" w:pos="4153"/>
        <w:tab w:val="right" w:pos="8306"/>
      </w:tabs>
      <w:snapToGrid w:val="0"/>
    </w:pPr>
    <w:rPr>
      <w:sz w:val="18"/>
      <w:szCs w:val="18"/>
    </w:rPr>
  </w:style>
  <w:style w:type="paragraph" w:styleId="4">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left" w:pos="426"/>
        <w:tab w:val="right" w:leader="dot" w:pos="9061"/>
      </w:tabs>
      <w:adjustRightInd w:val="0"/>
      <w:snapToGrid w:val="0"/>
      <w:spacing w:before="120" w:beforeLines="50" w:line="300" w:lineRule="auto"/>
    </w:pPr>
  </w:style>
  <w:style w:type="paragraph" w:styleId="6">
    <w:name w:val="toc 2"/>
    <w:basedOn w:val="1"/>
    <w:next w:val="1"/>
    <w:autoRedefine/>
    <w:unhideWhenUsed/>
    <w:qFormat/>
    <w:uiPriority w:val="39"/>
    <w:pPr>
      <w:ind w:left="420" w:leftChars="20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customStyle="1" w:styleId="11">
    <w:name w:val="页眉或页脚 (2)_"/>
    <w:basedOn w:val="9"/>
    <w:link w:val="12"/>
    <w:uiPriority w:val="0"/>
    <w:rPr>
      <w:rFonts w:ascii="Times New Roman" w:hAnsi="Times New Roman" w:eastAsia="Times New Roman" w:cs="Times New Roman"/>
      <w:sz w:val="20"/>
      <w:szCs w:val="20"/>
      <w:u w:val="none"/>
      <w:shd w:val="clear" w:color="auto" w:fill="auto"/>
    </w:rPr>
  </w:style>
  <w:style w:type="paragraph" w:customStyle="1" w:styleId="12">
    <w:name w:val="页眉或页脚 (2)"/>
    <w:basedOn w:val="1"/>
    <w:link w:val="11"/>
    <w:qFormat/>
    <w:uiPriority w:val="0"/>
    <w:rPr>
      <w:rFonts w:ascii="Times New Roman" w:hAnsi="Times New Roman" w:eastAsia="Times New Roman" w:cs="Times New Roman"/>
      <w:sz w:val="20"/>
      <w:szCs w:val="20"/>
    </w:rPr>
  </w:style>
  <w:style w:type="character" w:customStyle="1" w:styleId="13">
    <w:name w:val="页眉或页脚_"/>
    <w:basedOn w:val="9"/>
    <w:link w:val="14"/>
    <w:qFormat/>
    <w:uiPriority w:val="0"/>
    <w:rPr>
      <w:rFonts w:ascii="Times New Roman" w:hAnsi="Times New Roman" w:eastAsia="Times New Roman" w:cs="Times New Roman"/>
      <w:b/>
      <w:bCs/>
      <w:i/>
      <w:iCs/>
      <w:u w:val="none"/>
      <w:shd w:val="clear" w:color="auto" w:fill="auto"/>
    </w:rPr>
  </w:style>
  <w:style w:type="paragraph" w:customStyle="1" w:styleId="14">
    <w:name w:val="页眉或页脚"/>
    <w:basedOn w:val="1"/>
    <w:link w:val="13"/>
    <w:uiPriority w:val="0"/>
    <w:rPr>
      <w:rFonts w:ascii="Times New Roman" w:hAnsi="Times New Roman" w:eastAsia="Times New Roman" w:cs="Times New Roman"/>
      <w:b/>
      <w:bCs/>
      <w:i/>
      <w:iCs/>
    </w:rPr>
  </w:style>
  <w:style w:type="character" w:customStyle="1" w:styleId="15">
    <w:name w:val="页眉 Char"/>
    <w:basedOn w:val="9"/>
    <w:link w:val="4"/>
    <w:uiPriority w:val="99"/>
    <w:rPr>
      <w:color w:val="000000"/>
      <w:sz w:val="18"/>
      <w:szCs w:val="18"/>
    </w:rPr>
  </w:style>
  <w:style w:type="character" w:customStyle="1" w:styleId="16">
    <w:name w:val="其他_"/>
    <w:basedOn w:val="9"/>
    <w:link w:val="17"/>
    <w:uiPriority w:val="0"/>
    <w:rPr>
      <w:rFonts w:ascii="Times New Roman" w:hAnsi="Times New Roman" w:eastAsia="Times New Roman" w:cs="Times New Roman"/>
      <w:u w:val="none"/>
      <w:shd w:val="clear" w:color="auto" w:fill="auto"/>
    </w:rPr>
  </w:style>
  <w:style w:type="paragraph" w:customStyle="1" w:styleId="17">
    <w:name w:val="其他"/>
    <w:basedOn w:val="1"/>
    <w:link w:val="16"/>
    <w:uiPriority w:val="0"/>
    <w:pPr>
      <w:spacing w:after="220"/>
    </w:pPr>
    <w:rPr>
      <w:rFonts w:ascii="Times New Roman" w:hAnsi="Times New Roman" w:eastAsia="Times New Roman" w:cs="Times New Roman"/>
    </w:rPr>
  </w:style>
  <w:style w:type="character" w:customStyle="1" w:styleId="18">
    <w:name w:val="目录_"/>
    <w:basedOn w:val="9"/>
    <w:link w:val="19"/>
    <w:uiPriority w:val="0"/>
    <w:rPr>
      <w:rFonts w:ascii="Times New Roman" w:hAnsi="Times New Roman" w:eastAsia="Times New Roman" w:cs="Times New Roman"/>
      <w:sz w:val="20"/>
      <w:szCs w:val="20"/>
      <w:u w:val="none"/>
      <w:shd w:val="clear" w:color="auto" w:fill="auto"/>
    </w:rPr>
  </w:style>
  <w:style w:type="paragraph" w:customStyle="1" w:styleId="19">
    <w:name w:val="目录"/>
    <w:basedOn w:val="1"/>
    <w:link w:val="18"/>
    <w:qFormat/>
    <w:uiPriority w:val="0"/>
    <w:pPr>
      <w:spacing w:after="60"/>
      <w:ind w:firstLine="240"/>
    </w:pPr>
    <w:rPr>
      <w:rFonts w:ascii="Times New Roman" w:hAnsi="Times New Roman" w:eastAsia="Times New Roman" w:cs="Times New Roman"/>
      <w:sz w:val="20"/>
      <w:szCs w:val="20"/>
    </w:rPr>
  </w:style>
  <w:style w:type="character" w:customStyle="1" w:styleId="20">
    <w:name w:val="标题 #1_"/>
    <w:basedOn w:val="9"/>
    <w:link w:val="21"/>
    <w:qFormat/>
    <w:uiPriority w:val="0"/>
    <w:rPr>
      <w:rFonts w:ascii="Times New Roman" w:hAnsi="Times New Roman" w:eastAsia="Times New Roman" w:cs="Times New Roman"/>
      <w:b/>
      <w:bCs/>
      <w:sz w:val="36"/>
      <w:szCs w:val="36"/>
      <w:u w:val="none"/>
      <w:shd w:val="clear" w:color="auto" w:fill="auto"/>
    </w:rPr>
  </w:style>
  <w:style w:type="paragraph" w:customStyle="1" w:styleId="21">
    <w:name w:val="标题 #1"/>
    <w:basedOn w:val="1"/>
    <w:link w:val="20"/>
    <w:uiPriority w:val="0"/>
    <w:pPr>
      <w:spacing w:after="80"/>
      <w:outlineLvl w:val="0"/>
    </w:pPr>
    <w:rPr>
      <w:rFonts w:ascii="Times New Roman" w:hAnsi="Times New Roman" w:eastAsia="Times New Roman" w:cs="Times New Roman"/>
      <w:b/>
      <w:bCs/>
      <w:sz w:val="36"/>
      <w:szCs w:val="36"/>
    </w:rPr>
  </w:style>
  <w:style w:type="character" w:customStyle="1" w:styleId="22">
    <w:name w:val="脚注_"/>
    <w:basedOn w:val="9"/>
    <w:link w:val="23"/>
    <w:uiPriority w:val="0"/>
    <w:rPr>
      <w:rFonts w:ascii="Times New Roman" w:hAnsi="Times New Roman" w:eastAsia="Times New Roman" w:cs="Times New Roman"/>
      <w:sz w:val="20"/>
      <w:szCs w:val="20"/>
      <w:u w:val="none"/>
      <w:shd w:val="clear" w:color="auto" w:fill="auto"/>
    </w:rPr>
  </w:style>
  <w:style w:type="paragraph" w:customStyle="1" w:styleId="23">
    <w:name w:val="脚注"/>
    <w:basedOn w:val="1"/>
    <w:link w:val="22"/>
    <w:qFormat/>
    <w:uiPriority w:val="0"/>
    <w:rPr>
      <w:rFonts w:ascii="Times New Roman" w:hAnsi="Times New Roman" w:eastAsia="Times New Roman" w:cs="Times New Roman"/>
      <w:sz w:val="20"/>
      <w:szCs w:val="20"/>
    </w:rPr>
  </w:style>
  <w:style w:type="character" w:customStyle="1" w:styleId="24">
    <w:name w:val="标题 #2_"/>
    <w:basedOn w:val="9"/>
    <w:link w:val="25"/>
    <w:uiPriority w:val="0"/>
    <w:rPr>
      <w:rFonts w:ascii="Times New Roman" w:hAnsi="Times New Roman" w:eastAsia="Times New Roman" w:cs="Times New Roman"/>
      <w:b/>
      <w:bCs/>
      <w:sz w:val="32"/>
      <w:szCs w:val="32"/>
      <w:u w:val="none"/>
      <w:shd w:val="clear" w:color="auto" w:fill="auto"/>
    </w:rPr>
  </w:style>
  <w:style w:type="paragraph" w:customStyle="1" w:styleId="25">
    <w:name w:val="标题 #2"/>
    <w:basedOn w:val="1"/>
    <w:link w:val="24"/>
    <w:qFormat/>
    <w:uiPriority w:val="0"/>
    <w:pPr>
      <w:spacing w:after="80"/>
      <w:ind w:left="1440" w:hanging="720"/>
      <w:outlineLvl w:val="1"/>
    </w:pPr>
    <w:rPr>
      <w:rFonts w:ascii="Times New Roman" w:hAnsi="Times New Roman" w:eastAsia="Times New Roman" w:cs="Times New Roman"/>
      <w:b/>
      <w:bCs/>
      <w:sz w:val="32"/>
      <w:szCs w:val="32"/>
    </w:rPr>
  </w:style>
  <w:style w:type="character" w:customStyle="1" w:styleId="26">
    <w:name w:val="标题 #3_"/>
    <w:basedOn w:val="9"/>
    <w:link w:val="27"/>
    <w:uiPriority w:val="0"/>
    <w:rPr>
      <w:rFonts w:ascii="Times New Roman" w:hAnsi="Times New Roman" w:eastAsia="Times New Roman" w:cs="Times New Roman"/>
      <w:b/>
      <w:bCs/>
      <w:sz w:val="28"/>
      <w:szCs w:val="28"/>
      <w:u w:val="none"/>
      <w:shd w:val="clear" w:color="auto" w:fill="auto"/>
    </w:rPr>
  </w:style>
  <w:style w:type="paragraph" w:customStyle="1" w:styleId="27">
    <w:name w:val="标题 #3"/>
    <w:basedOn w:val="1"/>
    <w:link w:val="26"/>
    <w:qFormat/>
    <w:uiPriority w:val="0"/>
    <w:pPr>
      <w:spacing w:after="80"/>
      <w:ind w:left="2160" w:hanging="350"/>
      <w:outlineLvl w:val="2"/>
    </w:pPr>
    <w:rPr>
      <w:rFonts w:ascii="Times New Roman" w:hAnsi="Times New Roman" w:eastAsia="Times New Roman" w:cs="Times New Roman"/>
      <w:b/>
      <w:bCs/>
      <w:sz w:val="28"/>
      <w:szCs w:val="28"/>
    </w:rPr>
  </w:style>
  <w:style w:type="character" w:customStyle="1" w:styleId="28">
    <w:name w:val="表格标题_"/>
    <w:basedOn w:val="9"/>
    <w:link w:val="29"/>
    <w:uiPriority w:val="0"/>
    <w:rPr>
      <w:rFonts w:ascii="Times New Roman" w:hAnsi="Times New Roman" w:eastAsia="Times New Roman" w:cs="Times New Roman"/>
      <w:b/>
      <w:bCs/>
      <w:u w:val="none"/>
      <w:shd w:val="clear" w:color="auto" w:fill="auto"/>
    </w:rPr>
  </w:style>
  <w:style w:type="paragraph" w:customStyle="1" w:styleId="29">
    <w:name w:val="表格标题"/>
    <w:basedOn w:val="1"/>
    <w:link w:val="28"/>
    <w:qFormat/>
    <w:uiPriority w:val="0"/>
    <w:rPr>
      <w:rFonts w:ascii="Times New Roman" w:hAnsi="Times New Roman" w:eastAsia="Times New Roman" w:cs="Times New Roman"/>
      <w:b/>
      <w:bCs/>
    </w:rPr>
  </w:style>
  <w:style w:type="character" w:customStyle="1" w:styleId="30">
    <w:name w:val="标题 #4_"/>
    <w:basedOn w:val="9"/>
    <w:link w:val="31"/>
    <w:uiPriority w:val="0"/>
    <w:rPr>
      <w:rFonts w:ascii="Times New Roman" w:hAnsi="Times New Roman" w:eastAsia="Times New Roman" w:cs="Times New Roman"/>
      <w:b/>
      <w:bCs/>
      <w:sz w:val="28"/>
      <w:szCs w:val="28"/>
      <w:u w:val="none"/>
      <w:shd w:val="clear" w:color="auto" w:fill="auto"/>
    </w:rPr>
  </w:style>
  <w:style w:type="paragraph" w:customStyle="1" w:styleId="31">
    <w:name w:val="标题 #4"/>
    <w:basedOn w:val="1"/>
    <w:link w:val="30"/>
    <w:qFormat/>
    <w:uiPriority w:val="0"/>
    <w:pPr>
      <w:spacing w:after="80"/>
      <w:ind w:left="2520" w:hanging="360"/>
      <w:outlineLvl w:val="3"/>
    </w:pPr>
    <w:rPr>
      <w:rFonts w:ascii="Times New Roman" w:hAnsi="Times New Roman" w:eastAsia="Times New Roman" w:cs="Times New Roman"/>
      <w:b/>
      <w:bCs/>
      <w:sz w:val="28"/>
      <w:szCs w:val="28"/>
    </w:rPr>
  </w:style>
  <w:style w:type="character" w:customStyle="1" w:styleId="32">
    <w:name w:val="页脚 Char"/>
    <w:basedOn w:val="9"/>
    <w:link w:val="3"/>
    <w:uiPriority w:val="99"/>
    <w:rPr>
      <w:color w:val="000000"/>
      <w:sz w:val="18"/>
      <w:szCs w:val="18"/>
    </w:rPr>
  </w:style>
  <w:style w:type="character" w:customStyle="1" w:styleId="33">
    <w:name w:val="批注框文本 Char"/>
    <w:basedOn w:val="9"/>
    <w:link w:val="2"/>
    <w:semiHidden/>
    <w:uiPriority w:val="99"/>
    <w:rPr>
      <w:color w:val="000000"/>
      <w:sz w:val="18"/>
      <w:szCs w:val="18"/>
    </w:rPr>
  </w:style>
  <w:style w:type="paragraph" w:customStyle="1" w:styleId="34">
    <w:name w:val="样式1"/>
    <w:basedOn w:val="21"/>
    <w:link w:val="35"/>
    <w:qFormat/>
    <w:uiPriority w:val="0"/>
    <w:pPr>
      <w:tabs>
        <w:tab w:val="left" w:pos="709"/>
      </w:tabs>
      <w:adjustRightInd w:val="0"/>
      <w:snapToGrid w:val="0"/>
      <w:spacing w:before="120" w:beforeLines="50" w:after="0" w:line="300" w:lineRule="auto"/>
      <w:jc w:val="both"/>
    </w:pPr>
    <w:rPr>
      <w:snapToGrid w:val="0"/>
      <w:sz w:val="32"/>
      <w:szCs w:val="32"/>
      <w:shd w:val="clear" w:color="auto" w:fill="FFFFFF"/>
    </w:rPr>
  </w:style>
  <w:style w:type="character" w:customStyle="1" w:styleId="35">
    <w:name w:val="样式1 Char"/>
    <w:basedOn w:val="20"/>
    <w:link w:val="34"/>
    <w:uiPriority w:val="0"/>
    <w:rPr>
      <w:rFonts w:ascii="Times New Roman" w:hAnsi="Times New Roman" w:eastAsia="Times New Roman" w:cs="Times New Roman"/>
      <w:snapToGrid w:val="0"/>
      <w:color w:val="000000"/>
      <w:sz w:val="32"/>
      <w:szCs w:val="32"/>
      <w:u w:val="none"/>
      <w:shd w:val="clear" w:color="auto" w:fill="auto"/>
    </w:rPr>
  </w:style>
  <w:style w:type="paragraph" w:customStyle="1" w:styleId="36">
    <w:name w:val="样式2"/>
    <w:basedOn w:val="25"/>
    <w:link w:val="38"/>
    <w:qFormat/>
    <w:uiPriority w:val="0"/>
    <w:pPr>
      <w:adjustRightInd w:val="0"/>
      <w:snapToGrid w:val="0"/>
      <w:spacing w:before="120" w:beforeLines="50" w:after="0" w:line="300" w:lineRule="auto"/>
      <w:ind w:left="1369" w:leftChars="295" w:hanging="661" w:hangingChars="235"/>
      <w:jc w:val="both"/>
    </w:pPr>
    <w:rPr>
      <w:snapToGrid w:val="0"/>
      <w:sz w:val="28"/>
      <w:szCs w:val="28"/>
    </w:rPr>
  </w:style>
  <w:style w:type="paragraph" w:styleId="37">
    <w:name w:val="List Paragraph"/>
    <w:basedOn w:val="1"/>
    <w:qFormat/>
    <w:uiPriority w:val="34"/>
    <w:pPr>
      <w:ind w:firstLine="420" w:firstLineChars="200"/>
    </w:pPr>
  </w:style>
  <w:style w:type="character" w:customStyle="1" w:styleId="38">
    <w:name w:val="样式2 Char"/>
    <w:basedOn w:val="24"/>
    <w:link w:val="36"/>
    <w:qFormat/>
    <w:uiPriority w:val="0"/>
    <w:rPr>
      <w:rFonts w:ascii="Times New Roman" w:hAnsi="Times New Roman" w:eastAsia="Times New Roman" w:cs="Times New Roman"/>
      <w:snapToGrid w:val="0"/>
      <w:color w:val="000000"/>
      <w:sz w:val="28"/>
      <w:szCs w:val="28"/>
      <w:u w:val="none"/>
      <w:shd w:val="clear" w:color="auto" w:fill="auto"/>
    </w:rPr>
  </w:style>
  <w:style w:type="paragraph" w:customStyle="1" w:styleId="39">
    <w:name w:val="样式3"/>
    <w:basedOn w:val="36"/>
    <w:link w:val="41"/>
    <w:qFormat/>
    <w:uiPriority w:val="0"/>
    <w:pPr>
      <w:ind w:left="2030" w:leftChars="610" w:hanging="566"/>
    </w:pPr>
    <w:rPr>
      <w:sz w:val="24"/>
      <w:szCs w:val="24"/>
      <w:shd w:val="clear" w:color="auto" w:fill="FFFFFF"/>
    </w:rPr>
  </w:style>
  <w:style w:type="paragraph" w:customStyle="1" w:styleId="40">
    <w:name w:val="样式4"/>
    <w:basedOn w:val="31"/>
    <w:link w:val="42"/>
    <w:qFormat/>
    <w:uiPriority w:val="0"/>
    <w:pPr>
      <w:tabs>
        <w:tab w:val="left" w:pos="2549"/>
      </w:tabs>
      <w:adjustRightInd w:val="0"/>
      <w:snapToGrid w:val="0"/>
      <w:spacing w:before="120" w:beforeLines="50" w:after="0" w:line="300" w:lineRule="auto"/>
      <w:ind w:left="2409" w:leftChars="850" w:hanging="369" w:hangingChars="153"/>
      <w:jc w:val="both"/>
    </w:pPr>
    <w:rPr>
      <w:snapToGrid w:val="0"/>
      <w:sz w:val="24"/>
      <w:szCs w:val="24"/>
    </w:rPr>
  </w:style>
  <w:style w:type="character" w:customStyle="1" w:styleId="41">
    <w:name w:val="样式3 Char"/>
    <w:basedOn w:val="38"/>
    <w:link w:val="39"/>
    <w:uiPriority w:val="0"/>
    <w:rPr>
      <w:rFonts w:ascii="Times New Roman" w:hAnsi="Times New Roman" w:eastAsia="Times New Roman" w:cs="Times New Roman"/>
      <w:snapToGrid w:val="0"/>
      <w:color w:val="000000"/>
      <w:sz w:val="28"/>
      <w:szCs w:val="28"/>
      <w:u w:val="none"/>
      <w:shd w:val="clear" w:color="auto" w:fill="auto"/>
    </w:rPr>
  </w:style>
  <w:style w:type="character" w:customStyle="1" w:styleId="42">
    <w:name w:val="样式4 Char"/>
    <w:basedOn w:val="30"/>
    <w:link w:val="40"/>
    <w:uiPriority w:val="0"/>
    <w:rPr>
      <w:rFonts w:ascii="Times New Roman" w:hAnsi="Times New Roman" w:eastAsia="Times New Roman" w:cs="Times New Roman"/>
      <w:snapToGrid w:val="0"/>
      <w:color w:val="000000"/>
      <w:sz w:val="28"/>
      <w:szCs w:val="28"/>
      <w:u w:val="none"/>
      <w:shd w:val="clear" w:color="auto" w:fill="auto"/>
    </w:rPr>
  </w:style>
  <w:style w:type="paragraph" w:customStyle="1" w:styleId="43">
    <w:name w:val="Revision"/>
    <w:hidden/>
    <w:semiHidden/>
    <w:uiPriority w:val="99"/>
    <w:pPr>
      <w:widowControl/>
    </w:pPr>
    <w:rPr>
      <w:rFonts w:ascii="等线" w:hAnsi="等线" w:eastAsia="等线" w:cs="等线"/>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B3E1-7201-4FD8-B2DD-12770BD4188C}">
  <ds:schemaRefs/>
</ds:datastoreItem>
</file>

<file path=docProps/app.xml><?xml version="1.0" encoding="utf-8"?>
<Properties xmlns="http://schemas.openxmlformats.org/officeDocument/2006/extended-properties" xmlns:vt="http://schemas.openxmlformats.org/officeDocument/2006/docPropsVTypes">
  <Template>Normal</Template>
  <Pages>11</Pages>
  <Words>5345</Words>
  <Characters>7086</Characters>
  <Lines>74</Lines>
  <Paragraphs>20</Paragraphs>
  <TotalTime>205</TotalTime>
  <ScaleCrop>false</ScaleCrop>
  <LinksUpToDate>false</LinksUpToDate>
  <CharactersWithSpaces>7215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2021-11-10T09:31:00Z</dcterms:created>
  <dc:creator>ann</dc:creator>
  <cp:lastModifiedBy>太极箫客</cp:lastModifiedBy>
  <dcterms:modified xsi:type="dcterms:W3CDTF">2025-08-14T06:28:18Z</dcterms:modified>
  <dc:title>Guidance Coversheet - Device-Specific DRAFT</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846893569</vt:i4>
  </property>
  <property fmtid="{D5CDD505-2E9C-101B-9397-08002B2CF9AE}" pid="3" name="_NewReviewCycle">
    <vt:lpwstr/>
  </property>
  <property fmtid="{D5CDD505-2E9C-101B-9397-08002B2CF9AE}" pid="4" name="_EmailSubject">
    <vt:lpwstr>Proofreading &gt; CMDE &gt; Proofreading on Guidance of FDA &gt; Due to March 4 Friday</vt:lpwstr>
  </property>
  <property fmtid="{D5CDD505-2E9C-101B-9397-08002B2CF9AE}" pid="5" name="_AuthorEmail">
    <vt:lpwstr>yamei.jiang@siemens-healthineers.com</vt:lpwstr>
  </property>
  <property fmtid="{D5CDD505-2E9C-101B-9397-08002B2CF9AE}" pid="6" name="_AuthorEmailDisplayName">
    <vt:lpwstr>Jiang, Ya Mei</vt:lpwstr>
  </property>
  <property fmtid="{D5CDD505-2E9C-101B-9397-08002B2CF9AE}" pid="7" name="MSIP_Label_ff6dbec8-95a8-4638-9f5f-bd076536645c_Enabled">
    <vt:lpwstr>true</vt:lpwstr>
  </property>
  <property fmtid="{D5CDD505-2E9C-101B-9397-08002B2CF9AE}" pid="8" name="MSIP_Label_ff6dbec8-95a8-4638-9f5f-bd076536645c_SetDate">
    <vt:lpwstr>2022-03-03T01:28:35Z</vt:lpwstr>
  </property>
  <property fmtid="{D5CDD505-2E9C-101B-9397-08002B2CF9AE}" pid="9" name="MSIP_Label_ff6dbec8-95a8-4638-9f5f-bd076536645c_Method">
    <vt:lpwstr>Standard</vt:lpwstr>
  </property>
  <property fmtid="{D5CDD505-2E9C-101B-9397-08002B2CF9AE}" pid="10" name="MSIP_Label_ff6dbec8-95a8-4638-9f5f-bd076536645c_Name">
    <vt:lpwstr>Restricted - Default</vt:lpwstr>
  </property>
  <property fmtid="{D5CDD505-2E9C-101B-9397-08002B2CF9AE}" pid="11" name="MSIP_Label_ff6dbec8-95a8-4638-9f5f-bd076536645c_SiteId">
    <vt:lpwstr>5dbf1add-202a-4b8d-815b-bf0fb024e033</vt:lpwstr>
  </property>
  <property fmtid="{D5CDD505-2E9C-101B-9397-08002B2CF9AE}" pid="12" name="MSIP_Label_ff6dbec8-95a8-4638-9f5f-bd076536645c_ActionId">
    <vt:lpwstr>3b490f53-0eb3-41f4-a378-311bdb15a49d</vt:lpwstr>
  </property>
  <property fmtid="{D5CDD505-2E9C-101B-9397-08002B2CF9AE}" pid="13" name="MSIP_Label_ff6dbec8-95a8-4638-9f5f-bd076536645c_ContentBits">
    <vt:lpwstr>0</vt:lpwstr>
  </property>
  <property fmtid="{D5CDD505-2E9C-101B-9397-08002B2CF9AE}" pid="14" name="_PreviousAdHocReviewCycleID">
    <vt:i4>1048545045</vt:i4>
  </property>
  <property fmtid="{D5CDD505-2E9C-101B-9397-08002B2CF9AE}" pid="15" name="_ReviewingToolsShownOnce">
    <vt:lpwstr/>
  </property>
  <property fmtid="{D5CDD505-2E9C-101B-9397-08002B2CF9AE}" pid="16" name="KSOTemplateDocerSaveRecord">
    <vt:lpwstr>eyJoZGlkIjoiMDJiMzI3ODBiNTFmMWRjNDUyMjM1ZmZjODY5NDc2MWMiLCJ1c2VySWQiOiI0NTQ4Nzg1NzAifQ==</vt:lpwstr>
  </property>
  <property fmtid="{D5CDD505-2E9C-101B-9397-08002B2CF9AE}" pid="17" name="KSOProductBuildVer">
    <vt:lpwstr>2052-12.1.0.21915</vt:lpwstr>
  </property>
  <property fmtid="{D5CDD505-2E9C-101B-9397-08002B2CF9AE}" pid="18" name="ICV">
    <vt:lpwstr>F57C372B20234888BF81ECE6457BE775_12</vt:lpwstr>
  </property>
</Properties>
</file>