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F8694">
      <w:pPr>
        <w:topLinePunct/>
        <w:adjustRightInd w:val="0"/>
        <w:snapToGrid w:val="0"/>
        <w:spacing w:after="234" w:afterLines="75" w:line="360" w:lineRule="auto"/>
        <w:rPr>
          <w:rFonts w:hint="eastAsia" w:ascii="Arial" w:hAnsi="Arial" w:eastAsia="宋体" w:cs="Arial"/>
          <w:snapToGrid w:val="0"/>
          <w:kern w:val="0"/>
          <w:sz w:val="24"/>
        </w:rPr>
      </w:pPr>
      <w:bookmarkStart w:id="29" w:name="_GoBack"/>
      <w:bookmarkEnd w:id="29"/>
    </w:p>
    <w:p w14:paraId="1E502DB1">
      <w:pPr>
        <w:topLinePunct/>
        <w:adjustRightInd w:val="0"/>
        <w:snapToGrid w:val="0"/>
        <w:spacing w:after="234" w:afterLines="75" w:line="360" w:lineRule="auto"/>
        <w:rPr>
          <w:rFonts w:ascii="Arial" w:hAnsi="Arial" w:eastAsia="宋体" w:cs="Arial"/>
          <w:snapToGrid w:val="0"/>
          <w:kern w:val="0"/>
          <w:sz w:val="24"/>
        </w:rPr>
      </w:pPr>
    </w:p>
    <w:p w14:paraId="722CB962">
      <w:pPr>
        <w:topLinePunct/>
        <w:adjustRightInd w:val="0"/>
        <w:snapToGrid w:val="0"/>
        <w:spacing w:after="234" w:afterLines="75" w:line="360" w:lineRule="auto"/>
        <w:rPr>
          <w:rFonts w:ascii="Arial" w:hAnsi="Arial" w:eastAsia="宋体" w:cs="Arial"/>
          <w:snapToGrid w:val="0"/>
          <w:kern w:val="0"/>
          <w:sz w:val="24"/>
        </w:rPr>
      </w:pPr>
    </w:p>
    <w:p w14:paraId="3792BDAD">
      <w:pPr>
        <w:topLinePunct/>
        <w:adjustRightInd w:val="0"/>
        <w:snapToGrid w:val="0"/>
        <w:spacing w:after="234" w:afterLines="75" w:line="360" w:lineRule="auto"/>
        <w:rPr>
          <w:rFonts w:ascii="Arial" w:hAnsi="Arial" w:eastAsia="宋体" w:cs="Arial"/>
          <w:snapToGrid w:val="0"/>
          <w:kern w:val="0"/>
          <w:sz w:val="24"/>
        </w:rPr>
      </w:pPr>
    </w:p>
    <w:p w14:paraId="60DF8D86">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本指南于1997年2月27日FDA的良好指南规范（GGP）实施前起草。</w:t>
      </w:r>
      <w:r>
        <w:rPr>
          <w:rFonts w:ascii="Arial" w:hAnsi="Arial" w:eastAsia="宋体" w:cs="Arial"/>
          <w:snapToGrid w:val="0"/>
          <w:kern w:val="0"/>
          <w:sz w:val="24"/>
        </w:rPr>
        <w:t>本文件不为或向任何人创</w:t>
      </w:r>
      <w:r>
        <w:rPr>
          <w:rFonts w:hint="eastAsia" w:ascii="Arial" w:hAnsi="Arial" w:eastAsia="宋体" w:cs="Arial"/>
          <w:snapToGrid w:val="0"/>
          <w:kern w:val="0"/>
          <w:sz w:val="24"/>
        </w:rPr>
        <w:t>造</w:t>
      </w:r>
      <w:r>
        <w:rPr>
          <w:rFonts w:ascii="Arial" w:hAnsi="Arial" w:eastAsia="宋体" w:cs="Arial"/>
          <w:snapToGrid w:val="0"/>
          <w:kern w:val="0"/>
          <w:sz w:val="24"/>
        </w:rPr>
        <w:t>或赋予任何权利，</w:t>
      </w:r>
      <w:r>
        <w:rPr>
          <w:rFonts w:hint="eastAsia" w:ascii="Arial" w:hAnsi="Arial" w:eastAsia="宋体" w:cs="Arial"/>
          <w:snapToGrid w:val="0"/>
          <w:kern w:val="0"/>
          <w:sz w:val="24"/>
        </w:rPr>
        <w:t>也不会对</w:t>
      </w:r>
      <w:r>
        <w:rPr>
          <w:rFonts w:ascii="Arial" w:hAnsi="Arial" w:eastAsia="宋体" w:cs="Arial"/>
          <w:snapToGrid w:val="0"/>
          <w:kern w:val="0"/>
          <w:sz w:val="24"/>
        </w:rPr>
        <w:t>食品药品监督管理局（FDA）或公众</w:t>
      </w:r>
      <w:r>
        <w:rPr>
          <w:rFonts w:hint="eastAsia" w:ascii="Arial" w:hAnsi="Arial" w:eastAsia="宋体" w:cs="Arial"/>
          <w:snapToGrid w:val="0"/>
          <w:kern w:val="0"/>
          <w:sz w:val="24"/>
        </w:rPr>
        <w:t>产生约束</w:t>
      </w:r>
      <w:r>
        <w:rPr>
          <w:rFonts w:ascii="Arial" w:hAnsi="Arial" w:eastAsia="宋体" w:cs="Arial"/>
          <w:snapToGrid w:val="0"/>
          <w:kern w:val="0"/>
          <w:sz w:val="24"/>
        </w:rPr>
        <w:t>。</w:t>
      </w:r>
      <w:r>
        <w:rPr>
          <w:rFonts w:hint="eastAsia" w:ascii="Arial" w:hAnsi="Arial" w:eastAsia="宋体" w:cs="Arial"/>
          <w:snapToGrid w:val="0"/>
          <w:kern w:val="0"/>
          <w:sz w:val="24"/>
        </w:rPr>
        <w:t>如果替代方法满足适用的法律法规或两者的要求，则可以使用该方法</w:t>
      </w:r>
      <w:r>
        <w:rPr>
          <w:rFonts w:ascii="Arial" w:hAnsi="Arial" w:eastAsia="宋体" w:cs="Arial"/>
          <w:snapToGrid w:val="0"/>
          <w:kern w:val="0"/>
          <w:sz w:val="24"/>
        </w:rPr>
        <w:t>。</w:t>
      </w:r>
      <w:r>
        <w:rPr>
          <w:rFonts w:hint="eastAsia" w:ascii="Arial" w:hAnsi="Arial" w:eastAsia="宋体" w:cs="Arial"/>
          <w:snapToGrid w:val="0"/>
          <w:kern w:val="0"/>
          <w:sz w:val="24"/>
        </w:rPr>
        <w:t>本指导性文件将在下一版本中进行更新以纳入包括GGP标准要素。</w:t>
      </w:r>
    </w:p>
    <w:p w14:paraId="1E3DED07">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F5E5168">
      <w:pPr>
        <w:topLinePunct/>
        <w:adjustRightInd w:val="0"/>
        <w:snapToGrid w:val="0"/>
        <w:spacing w:after="234" w:afterLines="75" w:line="360" w:lineRule="auto"/>
        <w:rPr>
          <w:rFonts w:ascii="Arial" w:hAnsi="Arial" w:eastAsia="宋体" w:cs="Arial"/>
          <w:snapToGrid w:val="0"/>
          <w:kern w:val="0"/>
          <w:sz w:val="24"/>
        </w:rPr>
      </w:pPr>
    </w:p>
    <w:p w14:paraId="208DFF18">
      <w:pPr>
        <w:topLinePunct/>
        <w:adjustRightInd w:val="0"/>
        <w:snapToGrid w:val="0"/>
        <w:spacing w:after="234" w:afterLines="75" w:line="360" w:lineRule="auto"/>
        <w:rPr>
          <w:rFonts w:ascii="Arial" w:hAnsi="Arial" w:eastAsia="宋体" w:cs="Arial"/>
          <w:snapToGrid w:val="0"/>
          <w:kern w:val="0"/>
          <w:sz w:val="24"/>
        </w:rPr>
      </w:pPr>
    </w:p>
    <w:p w14:paraId="10E15D22">
      <w:pPr>
        <w:topLinePunct/>
        <w:adjustRightInd w:val="0"/>
        <w:snapToGrid w:val="0"/>
        <w:spacing w:after="234" w:afterLines="75" w:line="360" w:lineRule="auto"/>
        <w:rPr>
          <w:rFonts w:ascii="Arial" w:hAnsi="Arial" w:eastAsia="宋体" w:cs="Arial"/>
          <w:snapToGrid w:val="0"/>
          <w:kern w:val="0"/>
          <w:sz w:val="24"/>
        </w:rPr>
      </w:pPr>
    </w:p>
    <w:p w14:paraId="7E8D1DD2">
      <w:pPr>
        <w:topLinePunct/>
        <w:adjustRightInd w:val="0"/>
        <w:snapToGrid w:val="0"/>
        <w:spacing w:after="234" w:afterLines="75" w:line="360" w:lineRule="auto"/>
        <w:jc w:val="center"/>
        <w:rPr>
          <w:rFonts w:ascii="Arial" w:hAnsi="Arial" w:eastAsia="宋体" w:cs="Arial"/>
          <w:b/>
          <w:snapToGrid w:val="0"/>
          <w:kern w:val="0"/>
          <w:sz w:val="32"/>
        </w:rPr>
      </w:pPr>
      <w:r>
        <w:rPr>
          <w:rFonts w:hint="eastAsia" w:ascii="Arial" w:hAnsi="Arial" w:eastAsia="宋体" w:cs="Arial"/>
          <w:b/>
          <w:snapToGrid w:val="0"/>
          <w:kern w:val="0"/>
          <w:sz w:val="32"/>
        </w:rPr>
        <w:t>与器械标签相关的人为因素原则</w:t>
      </w:r>
    </w:p>
    <w:p w14:paraId="275C7B33">
      <w:pPr>
        <w:topLinePunct/>
        <w:adjustRightInd w:val="0"/>
        <w:snapToGrid w:val="0"/>
        <w:spacing w:line="360" w:lineRule="auto"/>
        <w:jc w:val="center"/>
        <w:rPr>
          <w:rFonts w:ascii="Arial" w:hAnsi="Arial" w:eastAsia="宋体" w:cs="Arial"/>
          <w:snapToGrid w:val="0"/>
          <w:kern w:val="0"/>
          <w:sz w:val="24"/>
        </w:rPr>
      </w:pPr>
    </w:p>
    <w:p w14:paraId="5522B2C4">
      <w:pPr>
        <w:topLinePunct/>
        <w:adjustRightInd w:val="0"/>
        <w:snapToGrid w:val="0"/>
        <w:spacing w:line="360" w:lineRule="auto"/>
        <w:jc w:val="center"/>
        <w:rPr>
          <w:rFonts w:ascii="Arial" w:hAnsi="Arial" w:eastAsia="宋体" w:cs="Arial"/>
          <w:snapToGrid w:val="0"/>
          <w:kern w:val="0"/>
          <w:sz w:val="24"/>
        </w:rPr>
      </w:pPr>
    </w:p>
    <w:p w14:paraId="5C499BBF">
      <w:pPr>
        <w:topLinePunct/>
        <w:adjustRightInd w:val="0"/>
        <w:snapToGrid w:val="0"/>
        <w:spacing w:line="360" w:lineRule="auto"/>
        <w:jc w:val="center"/>
        <w:rPr>
          <w:rFonts w:ascii="Arial" w:hAnsi="Arial" w:eastAsia="宋体" w:cs="Arial"/>
          <w:snapToGrid w:val="0"/>
          <w:kern w:val="0"/>
          <w:sz w:val="24"/>
        </w:rPr>
      </w:pPr>
    </w:p>
    <w:p w14:paraId="437B3668">
      <w:pPr>
        <w:topLinePunct/>
        <w:adjustRightInd w:val="0"/>
        <w:snapToGrid w:val="0"/>
        <w:spacing w:line="360" w:lineRule="auto"/>
        <w:jc w:val="center"/>
        <w:rPr>
          <w:rFonts w:ascii="Arial" w:hAnsi="Arial" w:eastAsia="宋体" w:cs="Arial"/>
          <w:snapToGrid w:val="0"/>
          <w:kern w:val="0"/>
          <w:sz w:val="24"/>
        </w:rPr>
      </w:pPr>
      <w:r>
        <w:rPr>
          <w:rFonts w:ascii="Arial" w:hAnsi="Arial" w:eastAsia="宋体" w:cs="Arial"/>
          <w:snapToGrid w:val="0"/>
          <w:kern w:val="0"/>
          <w:sz w:val="24"/>
        </w:rPr>
        <w:t>James R. Callan</w:t>
      </w:r>
    </w:p>
    <w:p w14:paraId="1D8A43C3">
      <w:pPr>
        <w:topLinePunct/>
        <w:adjustRightInd w:val="0"/>
        <w:snapToGrid w:val="0"/>
        <w:spacing w:line="360" w:lineRule="auto"/>
        <w:jc w:val="center"/>
        <w:rPr>
          <w:rFonts w:ascii="Arial" w:hAnsi="Arial" w:eastAsia="宋体" w:cs="Arial"/>
          <w:snapToGrid w:val="0"/>
          <w:kern w:val="0"/>
          <w:sz w:val="24"/>
        </w:rPr>
      </w:pPr>
      <w:r>
        <w:rPr>
          <w:rFonts w:ascii="Arial" w:hAnsi="Arial" w:eastAsia="宋体" w:cs="Arial"/>
          <w:snapToGrid w:val="0"/>
          <w:kern w:val="0"/>
          <w:sz w:val="24"/>
        </w:rPr>
        <w:t>John W. Gwyme</w:t>
      </w:r>
    </w:p>
    <w:p w14:paraId="14AA62F0">
      <w:pPr>
        <w:topLinePunct/>
        <w:adjustRightInd w:val="0"/>
        <w:snapToGrid w:val="0"/>
        <w:spacing w:line="360" w:lineRule="auto"/>
        <w:jc w:val="center"/>
        <w:rPr>
          <w:rFonts w:ascii="Arial" w:hAnsi="Arial" w:eastAsia="宋体" w:cs="Arial"/>
          <w:snapToGrid w:val="0"/>
          <w:kern w:val="0"/>
          <w:sz w:val="24"/>
        </w:rPr>
      </w:pPr>
    </w:p>
    <w:p w14:paraId="0B2BECEE">
      <w:pPr>
        <w:topLinePunct/>
        <w:adjustRightInd w:val="0"/>
        <w:snapToGrid w:val="0"/>
        <w:spacing w:line="360" w:lineRule="auto"/>
        <w:jc w:val="center"/>
        <w:rPr>
          <w:rFonts w:ascii="Arial" w:hAnsi="Arial" w:eastAsia="宋体" w:cs="Arial"/>
          <w:snapToGrid w:val="0"/>
          <w:kern w:val="0"/>
          <w:sz w:val="24"/>
        </w:rPr>
      </w:pPr>
      <w:r>
        <w:rPr>
          <w:rFonts w:hint="eastAsia" w:ascii="Arial" w:hAnsi="Arial" w:eastAsia="宋体" w:cs="Arial"/>
          <w:snapToGrid w:val="0"/>
          <w:kern w:val="0"/>
          <w:sz w:val="24"/>
        </w:rPr>
        <w:t>太平洋科学与工程组</w:t>
      </w:r>
    </w:p>
    <w:p w14:paraId="5479910D">
      <w:pPr>
        <w:topLinePunct/>
        <w:adjustRightInd w:val="0"/>
        <w:snapToGrid w:val="0"/>
        <w:spacing w:line="360" w:lineRule="auto"/>
        <w:jc w:val="center"/>
        <w:rPr>
          <w:rFonts w:ascii="Arial" w:hAnsi="Arial" w:eastAsia="宋体" w:cs="Arial"/>
          <w:snapToGrid w:val="0"/>
          <w:kern w:val="0"/>
          <w:sz w:val="24"/>
        </w:rPr>
      </w:pPr>
      <w:r>
        <w:rPr>
          <w:rFonts w:ascii="Arial" w:hAnsi="Arial" w:eastAsia="宋体" w:cs="Arial"/>
          <w:snapToGrid w:val="0"/>
          <w:kern w:val="0"/>
          <w:sz w:val="24"/>
        </w:rPr>
        <w:t>6310 Greenwich Drive, Suite 200</w:t>
      </w:r>
    </w:p>
    <w:p w14:paraId="6282C6FE">
      <w:pPr>
        <w:topLinePunct/>
        <w:adjustRightInd w:val="0"/>
        <w:snapToGrid w:val="0"/>
        <w:spacing w:line="360" w:lineRule="auto"/>
        <w:jc w:val="center"/>
        <w:rPr>
          <w:rFonts w:ascii="Arial" w:hAnsi="Arial" w:eastAsia="宋体" w:cs="Arial"/>
          <w:snapToGrid w:val="0"/>
          <w:kern w:val="0"/>
          <w:sz w:val="24"/>
        </w:rPr>
      </w:pPr>
      <w:r>
        <w:rPr>
          <w:rFonts w:ascii="Arial" w:hAnsi="Arial" w:eastAsia="宋体" w:cs="Arial"/>
          <w:snapToGrid w:val="0"/>
          <w:kern w:val="0"/>
          <w:sz w:val="24"/>
        </w:rPr>
        <w:t>San Diego, California 92122-59 18</w:t>
      </w:r>
    </w:p>
    <w:p w14:paraId="2E6D3DD8">
      <w:pPr>
        <w:topLinePunct/>
        <w:adjustRightInd w:val="0"/>
        <w:snapToGrid w:val="0"/>
        <w:spacing w:line="360" w:lineRule="auto"/>
        <w:jc w:val="center"/>
        <w:rPr>
          <w:rFonts w:ascii="Arial" w:hAnsi="Arial" w:eastAsia="宋体" w:cs="Arial"/>
          <w:snapToGrid w:val="0"/>
          <w:kern w:val="0"/>
          <w:sz w:val="24"/>
        </w:rPr>
      </w:pPr>
    </w:p>
    <w:p w14:paraId="46D81E09">
      <w:pPr>
        <w:topLinePunct/>
        <w:adjustRightInd w:val="0"/>
        <w:snapToGrid w:val="0"/>
        <w:spacing w:line="360" w:lineRule="auto"/>
        <w:jc w:val="center"/>
        <w:rPr>
          <w:rFonts w:ascii="Arial" w:hAnsi="Arial" w:eastAsia="宋体" w:cs="Arial"/>
          <w:snapToGrid w:val="0"/>
          <w:kern w:val="0"/>
          <w:sz w:val="24"/>
        </w:rPr>
      </w:pPr>
      <w:r>
        <w:rPr>
          <w:rFonts w:hint="eastAsia" w:ascii="Arial" w:hAnsi="Arial" w:eastAsia="宋体" w:cs="Arial"/>
          <w:snapToGrid w:val="0"/>
          <w:kern w:val="0"/>
          <w:sz w:val="24"/>
        </w:rPr>
        <w:t>电话：（</w:t>
      </w:r>
      <w:r>
        <w:rPr>
          <w:rFonts w:ascii="Arial" w:hAnsi="Arial" w:eastAsia="宋体" w:cs="Arial"/>
          <w:snapToGrid w:val="0"/>
          <w:kern w:val="0"/>
          <w:sz w:val="24"/>
        </w:rPr>
        <w:t>619</w:t>
      </w:r>
      <w:r>
        <w:rPr>
          <w:rFonts w:hint="eastAsia" w:ascii="Arial" w:hAnsi="Arial" w:eastAsia="宋体" w:cs="Arial"/>
          <w:snapToGrid w:val="0"/>
          <w:kern w:val="0"/>
          <w:sz w:val="24"/>
        </w:rPr>
        <w:t>）</w:t>
      </w:r>
      <w:r>
        <w:rPr>
          <w:rFonts w:ascii="Arial" w:hAnsi="Arial" w:eastAsia="宋体" w:cs="Arial"/>
          <w:snapToGrid w:val="0"/>
          <w:kern w:val="0"/>
          <w:sz w:val="24"/>
        </w:rPr>
        <w:t>535-1661</w:t>
      </w:r>
    </w:p>
    <w:p w14:paraId="0BFC4012">
      <w:pPr>
        <w:topLinePunct/>
        <w:adjustRightInd w:val="0"/>
        <w:snapToGrid w:val="0"/>
        <w:spacing w:line="360" w:lineRule="auto"/>
        <w:jc w:val="center"/>
        <w:rPr>
          <w:rFonts w:ascii="Arial" w:hAnsi="Arial" w:eastAsia="宋体" w:cs="Arial"/>
          <w:snapToGrid w:val="0"/>
          <w:kern w:val="0"/>
          <w:sz w:val="24"/>
        </w:rPr>
      </w:pPr>
      <w:r>
        <w:rPr>
          <w:rFonts w:hint="eastAsia" w:ascii="Arial" w:hAnsi="Arial" w:eastAsia="宋体" w:cs="Arial"/>
          <w:snapToGrid w:val="0"/>
          <w:kern w:val="0"/>
          <w:sz w:val="24"/>
        </w:rPr>
        <w:t>传真：（</w:t>
      </w:r>
      <w:r>
        <w:rPr>
          <w:rFonts w:ascii="Arial" w:hAnsi="Arial" w:eastAsia="宋体" w:cs="Arial"/>
          <w:snapToGrid w:val="0"/>
          <w:kern w:val="0"/>
          <w:sz w:val="24"/>
        </w:rPr>
        <w:t>619</w:t>
      </w:r>
      <w:r>
        <w:rPr>
          <w:rFonts w:hint="eastAsia" w:ascii="Arial" w:hAnsi="Arial" w:eastAsia="宋体" w:cs="Arial"/>
          <w:snapToGrid w:val="0"/>
          <w:kern w:val="0"/>
          <w:sz w:val="24"/>
        </w:rPr>
        <w:t>）</w:t>
      </w:r>
      <w:r>
        <w:rPr>
          <w:rFonts w:ascii="Arial" w:hAnsi="Arial" w:eastAsia="宋体" w:cs="Arial"/>
          <w:snapToGrid w:val="0"/>
          <w:kern w:val="0"/>
          <w:sz w:val="24"/>
        </w:rPr>
        <w:t>535-1665</w:t>
      </w:r>
    </w:p>
    <w:p w14:paraId="2EC69758">
      <w:pPr>
        <w:topLinePunct/>
        <w:adjustRightInd w:val="0"/>
        <w:snapToGrid w:val="0"/>
        <w:spacing w:line="360" w:lineRule="auto"/>
        <w:jc w:val="center"/>
        <w:rPr>
          <w:rFonts w:ascii="Arial" w:hAnsi="Arial" w:eastAsia="宋体" w:cs="Arial"/>
          <w:snapToGrid w:val="0"/>
          <w:kern w:val="0"/>
          <w:sz w:val="24"/>
        </w:rPr>
      </w:pPr>
    </w:p>
    <w:p w14:paraId="43188D87">
      <w:pPr>
        <w:topLinePunct/>
        <w:adjustRightInd w:val="0"/>
        <w:snapToGrid w:val="0"/>
        <w:spacing w:line="360" w:lineRule="auto"/>
        <w:jc w:val="center"/>
        <w:rPr>
          <w:rFonts w:ascii="Arial" w:hAnsi="Arial" w:eastAsia="宋体" w:cs="Arial"/>
          <w:snapToGrid w:val="0"/>
          <w:kern w:val="0"/>
          <w:sz w:val="24"/>
        </w:rPr>
      </w:pPr>
      <w:r>
        <w:rPr>
          <w:rFonts w:hint="eastAsia" w:ascii="Arial" w:hAnsi="Arial" w:eastAsia="宋体" w:cs="Arial"/>
          <w:snapToGrid w:val="0"/>
          <w:kern w:val="0"/>
          <w:sz w:val="24"/>
        </w:rPr>
        <w:t>1993年9月</w:t>
      </w:r>
    </w:p>
    <w:p w14:paraId="338A3542">
      <w:pPr>
        <w:topLinePunct/>
        <w:adjustRightInd w:val="0"/>
        <w:snapToGrid w:val="0"/>
        <w:spacing w:line="360" w:lineRule="auto"/>
        <w:jc w:val="center"/>
        <w:rPr>
          <w:rFonts w:ascii="Arial" w:hAnsi="Arial" w:eastAsia="宋体" w:cs="Arial"/>
          <w:snapToGrid w:val="0"/>
          <w:kern w:val="0"/>
          <w:sz w:val="24"/>
        </w:rPr>
      </w:pPr>
    </w:p>
    <w:p w14:paraId="589FCBC0">
      <w:pPr>
        <w:topLinePunct/>
        <w:adjustRightInd w:val="0"/>
        <w:snapToGrid w:val="0"/>
        <w:spacing w:line="360" w:lineRule="auto"/>
        <w:jc w:val="center"/>
        <w:rPr>
          <w:rFonts w:ascii="Arial" w:hAnsi="Arial" w:eastAsia="宋体" w:cs="Arial"/>
          <w:snapToGrid w:val="0"/>
          <w:kern w:val="0"/>
          <w:sz w:val="24"/>
        </w:rPr>
      </w:pPr>
      <w:r>
        <w:rPr>
          <w:rFonts w:hint="eastAsia" w:ascii="Arial" w:hAnsi="Arial" w:eastAsia="宋体" w:cs="Arial"/>
          <w:snapToGrid w:val="0"/>
          <w:kern w:val="0"/>
          <w:sz w:val="24"/>
        </w:rPr>
        <w:t>FDA合同编号：223-89-6022</w:t>
      </w:r>
    </w:p>
    <w:p w14:paraId="1A80A25F">
      <w:pPr>
        <w:topLinePunct/>
        <w:adjustRightInd w:val="0"/>
        <w:snapToGrid w:val="0"/>
        <w:spacing w:line="360" w:lineRule="auto"/>
        <w:jc w:val="center"/>
        <w:rPr>
          <w:rFonts w:ascii="Arial" w:hAnsi="Arial" w:eastAsia="宋体" w:cs="Arial"/>
          <w:snapToGrid w:val="0"/>
          <w:kern w:val="0"/>
          <w:sz w:val="24"/>
        </w:rPr>
      </w:pPr>
    </w:p>
    <w:p w14:paraId="4F5FCBC7">
      <w:pPr>
        <w:topLinePunct/>
        <w:adjustRightInd w:val="0"/>
        <w:snapToGrid w:val="0"/>
        <w:spacing w:line="360" w:lineRule="auto"/>
        <w:jc w:val="center"/>
        <w:rPr>
          <w:rFonts w:ascii="Arial" w:hAnsi="Arial" w:eastAsia="宋体" w:cs="Arial"/>
          <w:snapToGrid w:val="0"/>
          <w:kern w:val="0"/>
          <w:sz w:val="24"/>
        </w:rPr>
      </w:pPr>
    </w:p>
    <w:p w14:paraId="6EDBF2AB">
      <w:pPr>
        <w:topLinePunct/>
        <w:adjustRightInd w:val="0"/>
        <w:snapToGrid w:val="0"/>
        <w:spacing w:line="360" w:lineRule="auto"/>
        <w:jc w:val="center"/>
        <w:rPr>
          <w:rFonts w:ascii="Arial" w:hAnsi="Arial" w:eastAsia="宋体" w:cs="Arial"/>
          <w:snapToGrid w:val="0"/>
          <w:kern w:val="0"/>
          <w:sz w:val="24"/>
        </w:rPr>
      </w:pPr>
      <w:r>
        <w:rPr>
          <w:rFonts w:ascii="Arial" w:hAnsi="Arial" w:eastAsia="宋体" w:cs="Arial"/>
          <w:snapToGrid w:val="0"/>
          <w:kern w:val="0"/>
          <w:sz w:val="24"/>
        </w:rPr>
        <w:t>Dick Sawyer</w:t>
      </w:r>
    </w:p>
    <w:p w14:paraId="1977A6CE">
      <w:pPr>
        <w:topLinePunct/>
        <w:adjustRightInd w:val="0"/>
        <w:snapToGrid w:val="0"/>
        <w:spacing w:line="360" w:lineRule="auto"/>
        <w:jc w:val="center"/>
        <w:rPr>
          <w:rFonts w:ascii="Arial" w:hAnsi="Arial" w:eastAsia="宋体" w:cs="Arial"/>
          <w:snapToGrid w:val="0"/>
          <w:kern w:val="0"/>
          <w:sz w:val="24"/>
        </w:rPr>
      </w:pPr>
      <w:r>
        <w:rPr>
          <w:rFonts w:ascii="Arial" w:hAnsi="Arial" w:eastAsia="宋体" w:cs="Arial"/>
          <w:snapToGrid w:val="0"/>
          <w:kern w:val="0"/>
          <w:sz w:val="24"/>
        </w:rPr>
        <w:t>Margaret T. Tolbert</w:t>
      </w:r>
    </w:p>
    <w:p w14:paraId="36F67D62">
      <w:pPr>
        <w:topLinePunct/>
        <w:adjustRightInd w:val="0"/>
        <w:snapToGrid w:val="0"/>
        <w:spacing w:line="360" w:lineRule="auto"/>
        <w:jc w:val="center"/>
        <w:rPr>
          <w:rFonts w:ascii="Arial" w:hAnsi="Arial" w:eastAsia="宋体" w:cs="Arial"/>
          <w:snapToGrid w:val="0"/>
          <w:kern w:val="0"/>
          <w:sz w:val="24"/>
          <w:highlight w:val="yellow"/>
        </w:rPr>
      </w:pPr>
    </w:p>
    <w:p w14:paraId="620B4C64">
      <w:pPr>
        <w:topLinePunct/>
        <w:adjustRightInd w:val="0"/>
        <w:snapToGrid w:val="0"/>
        <w:spacing w:line="360" w:lineRule="auto"/>
        <w:jc w:val="center"/>
        <w:rPr>
          <w:rFonts w:ascii="Arial" w:hAnsi="Arial" w:eastAsia="宋体" w:cs="Arial"/>
          <w:snapToGrid w:val="0"/>
          <w:kern w:val="0"/>
          <w:sz w:val="24"/>
        </w:rPr>
      </w:pPr>
      <w:r>
        <w:rPr>
          <w:rFonts w:hint="eastAsia" w:ascii="Arial" w:hAnsi="Arial" w:eastAsia="宋体" w:cs="Arial"/>
          <w:snapToGrid w:val="0"/>
          <w:kern w:val="0"/>
          <w:sz w:val="24"/>
        </w:rPr>
        <w:t>食品药品监督管理局</w:t>
      </w:r>
    </w:p>
    <w:p w14:paraId="1B583C6D">
      <w:pPr>
        <w:topLinePunct/>
        <w:adjustRightInd w:val="0"/>
        <w:snapToGrid w:val="0"/>
        <w:spacing w:line="360" w:lineRule="auto"/>
        <w:jc w:val="center"/>
        <w:rPr>
          <w:rFonts w:ascii="Arial" w:hAnsi="Arial" w:eastAsia="宋体" w:cs="Arial"/>
          <w:snapToGrid w:val="0"/>
          <w:kern w:val="0"/>
          <w:sz w:val="24"/>
        </w:rPr>
      </w:pPr>
      <w:r>
        <w:rPr>
          <w:rFonts w:hint="eastAsia" w:ascii="Arial" w:hAnsi="Arial" w:eastAsia="宋体" w:cs="Arial"/>
          <w:snapToGrid w:val="0"/>
          <w:kern w:val="0"/>
          <w:sz w:val="24"/>
        </w:rPr>
        <w:t>器械和放射卫生中心</w:t>
      </w:r>
    </w:p>
    <w:p w14:paraId="79894449">
      <w:pPr>
        <w:topLinePunct/>
        <w:adjustRightInd w:val="0"/>
        <w:snapToGrid w:val="0"/>
        <w:spacing w:line="360" w:lineRule="auto"/>
        <w:jc w:val="center"/>
        <w:rPr>
          <w:rFonts w:ascii="Arial" w:hAnsi="Arial" w:eastAsia="宋体" w:cs="Arial"/>
          <w:snapToGrid w:val="0"/>
          <w:kern w:val="0"/>
          <w:sz w:val="24"/>
        </w:rPr>
      </w:pPr>
      <w:r>
        <w:rPr>
          <w:rFonts w:hint="eastAsia" w:ascii="Arial" w:hAnsi="Arial" w:eastAsia="宋体" w:cs="Arial"/>
          <w:snapToGrid w:val="0"/>
          <w:kern w:val="0"/>
          <w:sz w:val="24"/>
        </w:rPr>
        <w:t>培训与协助办公室</w:t>
      </w:r>
      <w:r>
        <w:rPr>
          <w:rFonts w:ascii="Arial" w:hAnsi="Arial" w:eastAsia="宋体" w:cs="Arial"/>
          <w:snapToGrid w:val="0"/>
          <w:kern w:val="0"/>
          <w:sz w:val="24"/>
        </w:rPr>
        <w:t>(HEZ-210)</w:t>
      </w:r>
    </w:p>
    <w:p w14:paraId="7F7C2225">
      <w:pPr>
        <w:topLinePunct/>
        <w:adjustRightInd w:val="0"/>
        <w:snapToGrid w:val="0"/>
        <w:spacing w:line="360" w:lineRule="auto"/>
        <w:jc w:val="center"/>
        <w:rPr>
          <w:rFonts w:ascii="Arial" w:hAnsi="Arial" w:eastAsia="宋体" w:cs="Arial"/>
          <w:snapToGrid w:val="0"/>
          <w:kern w:val="0"/>
          <w:sz w:val="24"/>
        </w:rPr>
      </w:pPr>
      <w:r>
        <w:rPr>
          <w:rFonts w:ascii="Arial" w:hAnsi="Arial" w:eastAsia="宋体" w:cs="Arial"/>
          <w:snapToGrid w:val="0"/>
          <w:kern w:val="0"/>
          <w:sz w:val="24"/>
        </w:rPr>
        <w:t>1901 Chapman Avenue, Rockville, Maryland 20857</w:t>
      </w:r>
    </w:p>
    <w:p w14:paraId="147C5532">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19631D9">
      <w:pPr>
        <w:topLinePunct/>
        <w:adjustRightInd w:val="0"/>
        <w:snapToGrid w:val="0"/>
        <w:spacing w:after="234" w:afterLines="75" w:line="360" w:lineRule="auto"/>
        <w:jc w:val="center"/>
        <w:rPr>
          <w:rFonts w:ascii="Arial" w:hAnsi="Arial" w:eastAsia="宋体" w:cs="Arial"/>
          <w:b/>
          <w:snapToGrid w:val="0"/>
          <w:kern w:val="0"/>
          <w:sz w:val="28"/>
        </w:rPr>
      </w:pPr>
      <w:r>
        <w:rPr>
          <w:rFonts w:hint="eastAsia" w:ascii="Arial" w:hAnsi="Arial" w:eastAsia="宋体" w:cs="Arial"/>
          <w:b/>
          <w:snapToGrid w:val="0"/>
          <w:kern w:val="0"/>
          <w:sz w:val="28"/>
        </w:rPr>
        <w:t>目录</w:t>
      </w:r>
    </w:p>
    <w:p w14:paraId="0D493C24">
      <w:pPr>
        <w:topLinePunct/>
        <w:adjustRightInd w:val="0"/>
        <w:snapToGrid w:val="0"/>
        <w:spacing w:line="360" w:lineRule="auto"/>
        <w:jc w:val="right"/>
        <w:rPr>
          <w:rFonts w:ascii="Arial" w:hAnsi="Arial" w:eastAsia="宋体" w:cs="Arial"/>
          <w:snapToGrid w:val="0"/>
          <w:kern w:val="0"/>
          <w:sz w:val="24"/>
        </w:rPr>
      </w:pPr>
      <w:r>
        <w:rPr>
          <w:rFonts w:hint="eastAsia" w:ascii="Arial" w:hAnsi="Arial" w:eastAsia="宋体" w:cs="Arial"/>
          <w:snapToGrid w:val="0"/>
          <w:kern w:val="0"/>
          <w:sz w:val="24"/>
        </w:rPr>
        <w:t>页码</w:t>
      </w:r>
    </w:p>
    <w:p w14:paraId="1944BC8C">
      <w:pPr>
        <w:pStyle w:val="8"/>
        <w:tabs>
          <w:tab w:val="right" w:leader="dot" w:pos="9016"/>
        </w:tabs>
        <w:snapToGrid w:val="0"/>
        <w:spacing w:line="324" w:lineRule="auto"/>
        <w:rPr>
          <w:rFonts w:ascii="Arial" w:hAnsi="Arial" w:cs="Arial"/>
          <w:sz w:val="24"/>
          <w:szCs w:val="24"/>
        </w:rPr>
      </w:pPr>
      <w:r>
        <w:rPr>
          <w:rFonts w:ascii="Arial" w:hAnsi="Arial" w:eastAsia="宋体" w:cs="Arial"/>
          <w:snapToGrid w:val="0"/>
          <w:kern w:val="0"/>
          <w:sz w:val="24"/>
          <w:szCs w:val="24"/>
        </w:rPr>
        <w:fldChar w:fldCharType="begin"/>
      </w:r>
      <w:r>
        <w:rPr>
          <w:rFonts w:ascii="Arial" w:hAnsi="Arial" w:eastAsia="宋体" w:cs="Arial"/>
          <w:snapToGrid w:val="0"/>
          <w:kern w:val="0"/>
          <w:sz w:val="24"/>
          <w:szCs w:val="24"/>
        </w:rPr>
        <w:instrText xml:space="preserve"> TOC \o "1-2" \h \z \u </w:instrText>
      </w:r>
      <w:r>
        <w:rPr>
          <w:rFonts w:ascii="Arial" w:hAnsi="Arial" w:eastAsia="宋体" w:cs="Arial"/>
          <w:snapToGrid w:val="0"/>
          <w:kern w:val="0"/>
          <w:sz w:val="24"/>
          <w:szCs w:val="24"/>
        </w:rPr>
        <w:fldChar w:fldCharType="separate"/>
      </w:r>
      <w:r>
        <w:fldChar w:fldCharType="begin"/>
      </w:r>
      <w:r>
        <w:instrText xml:space="preserve"> HYPERLINK \l "_Toc499280413" </w:instrText>
      </w:r>
      <w:r>
        <w:fldChar w:fldCharType="separate"/>
      </w:r>
      <w:r>
        <w:rPr>
          <w:rStyle w:val="13"/>
          <w:rFonts w:hint="eastAsia" w:ascii="Arial" w:hAnsi="Arial" w:eastAsia="宋体" w:cs="Arial"/>
          <w:snapToGrid w:val="0"/>
          <w:kern w:val="0"/>
          <w:sz w:val="24"/>
          <w:szCs w:val="24"/>
        </w:rPr>
        <w:t>引言</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_Toc499280413 \h </w:instrText>
      </w:r>
      <w:r>
        <w:rPr>
          <w:rFonts w:ascii="Arial" w:hAnsi="Arial" w:cs="Arial"/>
          <w:sz w:val="24"/>
          <w:szCs w:val="24"/>
        </w:rPr>
        <w:fldChar w:fldCharType="separate"/>
      </w:r>
      <w:r>
        <w:rPr>
          <w:rFonts w:ascii="Arial" w:hAnsi="Arial" w:cs="Arial"/>
          <w:sz w:val="24"/>
          <w:szCs w:val="24"/>
        </w:rPr>
        <w:t>1</w:t>
      </w:r>
      <w:r>
        <w:rPr>
          <w:rFonts w:ascii="Arial" w:hAnsi="Arial" w:cs="Arial"/>
          <w:sz w:val="24"/>
          <w:szCs w:val="24"/>
        </w:rPr>
        <w:fldChar w:fldCharType="end"/>
      </w:r>
      <w:r>
        <w:rPr>
          <w:rFonts w:ascii="Arial" w:hAnsi="Arial" w:cs="Arial"/>
          <w:sz w:val="24"/>
          <w:szCs w:val="24"/>
        </w:rPr>
        <w:fldChar w:fldCharType="end"/>
      </w:r>
    </w:p>
    <w:p w14:paraId="5DE29F9D">
      <w:pPr>
        <w:pStyle w:val="8"/>
        <w:tabs>
          <w:tab w:val="right" w:leader="dot" w:pos="9016"/>
        </w:tabs>
        <w:snapToGrid w:val="0"/>
        <w:spacing w:line="324" w:lineRule="auto"/>
        <w:rPr>
          <w:rFonts w:ascii="Arial" w:hAnsi="Arial" w:cs="Arial"/>
          <w:sz w:val="24"/>
          <w:szCs w:val="24"/>
        </w:rPr>
      </w:pPr>
      <w:r>
        <w:fldChar w:fldCharType="begin"/>
      </w:r>
      <w:r>
        <w:instrText xml:space="preserve"> HYPERLINK \l "_Toc499280414" </w:instrText>
      </w:r>
      <w:r>
        <w:fldChar w:fldCharType="separate"/>
      </w:r>
      <w:r>
        <w:rPr>
          <w:rStyle w:val="13"/>
          <w:rFonts w:ascii="Arial" w:hAnsi="Arial" w:eastAsia="宋体" w:cs="Arial"/>
          <w:snapToGrid w:val="0"/>
          <w:kern w:val="0"/>
          <w:sz w:val="24"/>
          <w:szCs w:val="24"/>
        </w:rPr>
        <w:t>内容</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_Toc499280414 \h </w:instrText>
      </w:r>
      <w:r>
        <w:rPr>
          <w:rFonts w:ascii="Arial" w:hAnsi="Arial" w:cs="Arial"/>
          <w:sz w:val="24"/>
          <w:szCs w:val="24"/>
        </w:rPr>
        <w:fldChar w:fldCharType="separate"/>
      </w:r>
      <w:r>
        <w:rPr>
          <w:rFonts w:ascii="Arial" w:hAnsi="Arial" w:cs="Arial"/>
          <w:sz w:val="24"/>
          <w:szCs w:val="24"/>
        </w:rPr>
        <w:t>2</w:t>
      </w:r>
      <w:r>
        <w:rPr>
          <w:rFonts w:ascii="Arial" w:hAnsi="Arial" w:cs="Arial"/>
          <w:sz w:val="24"/>
          <w:szCs w:val="24"/>
        </w:rPr>
        <w:fldChar w:fldCharType="end"/>
      </w:r>
      <w:r>
        <w:rPr>
          <w:rFonts w:ascii="Arial" w:hAnsi="Arial" w:cs="Arial"/>
          <w:sz w:val="24"/>
          <w:szCs w:val="24"/>
        </w:rPr>
        <w:fldChar w:fldCharType="end"/>
      </w:r>
    </w:p>
    <w:p w14:paraId="2CA7BB35">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"_Toc499280415" </w:instrText>
      </w:r>
      <w:r>
        <w:fldChar w:fldCharType="separate"/>
      </w:r>
      <w:r>
        <w:rPr>
          <w:rStyle w:val="13"/>
          <w:rFonts w:ascii="Arial" w:hAnsi="Arial" w:eastAsia="宋体" w:cs="Arial"/>
          <w:snapToGrid w:val="0"/>
          <w:kern w:val="0"/>
          <w:sz w:val="24"/>
          <w:szCs w:val="24"/>
        </w:rPr>
        <w:t>结构</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_Toc499280415 \h </w:instrText>
      </w:r>
      <w:r>
        <w:rPr>
          <w:rFonts w:ascii="Arial" w:hAnsi="Arial" w:cs="Arial"/>
          <w:sz w:val="24"/>
          <w:szCs w:val="24"/>
        </w:rPr>
        <w:fldChar w:fldCharType="separate"/>
      </w:r>
      <w:r>
        <w:rPr>
          <w:rFonts w:ascii="Arial" w:hAnsi="Arial" w:cs="Arial"/>
          <w:sz w:val="24"/>
          <w:szCs w:val="24"/>
        </w:rPr>
        <w:t>2</w:t>
      </w:r>
      <w:r>
        <w:rPr>
          <w:rFonts w:ascii="Arial" w:hAnsi="Arial" w:cs="Arial"/>
          <w:sz w:val="24"/>
          <w:szCs w:val="24"/>
        </w:rPr>
        <w:fldChar w:fldCharType="end"/>
      </w:r>
      <w:r>
        <w:rPr>
          <w:rFonts w:ascii="Arial" w:hAnsi="Arial" w:cs="Arial"/>
          <w:sz w:val="24"/>
          <w:szCs w:val="24"/>
        </w:rPr>
        <w:fldChar w:fldCharType="end"/>
      </w:r>
    </w:p>
    <w:p w14:paraId="6987CE79">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"_Toc499280416" </w:instrText>
      </w:r>
      <w:r>
        <w:fldChar w:fldCharType="separate"/>
      </w:r>
      <w:r>
        <w:rPr>
          <w:rStyle w:val="13"/>
          <w:rFonts w:ascii="Arial" w:hAnsi="Arial" w:eastAsia="宋体" w:cs="Arial"/>
          <w:snapToGrid w:val="0"/>
          <w:kern w:val="0"/>
          <w:sz w:val="24"/>
          <w:szCs w:val="24"/>
        </w:rPr>
        <w:t>背景信息</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_Toc499280416 \h </w:instrText>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fldChar w:fldCharType="end"/>
      </w:r>
    </w:p>
    <w:p w14:paraId="170EA38A">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"_Toc499280417" </w:instrText>
      </w:r>
      <w:r>
        <w:fldChar w:fldCharType="separate"/>
      </w:r>
      <w:r>
        <w:rPr>
          <w:rStyle w:val="13"/>
          <w:rFonts w:ascii="Arial" w:hAnsi="Arial" w:eastAsia="宋体" w:cs="Arial"/>
          <w:snapToGrid w:val="0"/>
          <w:kern w:val="0"/>
          <w:sz w:val="24"/>
          <w:szCs w:val="24"/>
        </w:rPr>
        <w:t>程序</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_Toc499280417 \h </w:instrText>
      </w:r>
      <w:r>
        <w:rPr>
          <w:rFonts w:ascii="Arial" w:hAnsi="Arial" w:cs="Arial"/>
          <w:sz w:val="24"/>
          <w:szCs w:val="24"/>
        </w:rPr>
        <w:fldChar w:fldCharType="separate"/>
      </w:r>
      <w:r>
        <w:rPr>
          <w:rFonts w:ascii="Arial" w:hAnsi="Arial" w:cs="Arial"/>
          <w:sz w:val="24"/>
          <w:szCs w:val="24"/>
        </w:rPr>
        <w:t>6</w:t>
      </w:r>
      <w:r>
        <w:rPr>
          <w:rFonts w:ascii="Arial" w:hAnsi="Arial" w:cs="Arial"/>
          <w:sz w:val="24"/>
          <w:szCs w:val="24"/>
        </w:rPr>
        <w:fldChar w:fldCharType="end"/>
      </w:r>
      <w:r>
        <w:rPr>
          <w:rFonts w:ascii="Arial" w:hAnsi="Arial" w:cs="Arial"/>
          <w:sz w:val="24"/>
          <w:szCs w:val="24"/>
        </w:rPr>
        <w:fldChar w:fldCharType="end"/>
      </w:r>
    </w:p>
    <w:p w14:paraId="51F92319">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"_Toc499280418" </w:instrText>
      </w:r>
      <w:r>
        <w:fldChar w:fldCharType="separate"/>
      </w:r>
      <w:r>
        <w:rPr>
          <w:rStyle w:val="13"/>
          <w:rFonts w:ascii="Arial" w:hAnsi="Arial" w:eastAsia="宋体" w:cs="Arial"/>
          <w:snapToGrid w:val="0"/>
          <w:kern w:val="0"/>
          <w:sz w:val="24"/>
          <w:szCs w:val="24"/>
        </w:rPr>
        <w:t>风险沟通</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_Toc499280418 \h </w:instrText>
      </w:r>
      <w:r>
        <w:rPr>
          <w:rFonts w:ascii="Arial" w:hAnsi="Arial" w:cs="Arial"/>
          <w:sz w:val="24"/>
          <w:szCs w:val="24"/>
        </w:rPr>
        <w:fldChar w:fldCharType="separate"/>
      </w:r>
      <w:r>
        <w:rPr>
          <w:rFonts w:ascii="Arial" w:hAnsi="Arial" w:cs="Arial"/>
          <w:sz w:val="24"/>
          <w:szCs w:val="24"/>
        </w:rPr>
        <w:t>8</w:t>
      </w:r>
      <w:r>
        <w:rPr>
          <w:rFonts w:ascii="Arial" w:hAnsi="Arial" w:cs="Arial"/>
          <w:sz w:val="24"/>
          <w:szCs w:val="24"/>
        </w:rPr>
        <w:fldChar w:fldCharType="end"/>
      </w:r>
      <w:r>
        <w:rPr>
          <w:rFonts w:ascii="Arial" w:hAnsi="Arial" w:cs="Arial"/>
          <w:sz w:val="24"/>
          <w:szCs w:val="24"/>
        </w:rPr>
        <w:fldChar w:fldCharType="end"/>
      </w:r>
    </w:p>
    <w:p w14:paraId="3F4CF4F0">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"_Toc499280419" </w:instrText>
      </w:r>
      <w:r>
        <w:fldChar w:fldCharType="separate"/>
      </w:r>
      <w:r>
        <w:rPr>
          <w:rStyle w:val="13"/>
          <w:rFonts w:ascii="Arial" w:hAnsi="Arial" w:eastAsia="宋体" w:cs="Arial"/>
          <w:snapToGrid w:val="0"/>
          <w:kern w:val="0"/>
          <w:sz w:val="24"/>
          <w:szCs w:val="24"/>
        </w:rPr>
        <w:t>补充信息</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_Toc499280419 \h </w:instrText>
      </w:r>
      <w:r>
        <w:rPr>
          <w:rFonts w:ascii="Arial" w:hAnsi="Arial" w:cs="Arial"/>
          <w:sz w:val="24"/>
          <w:szCs w:val="24"/>
        </w:rPr>
        <w:fldChar w:fldCharType="separate"/>
      </w:r>
      <w:r>
        <w:rPr>
          <w:rFonts w:ascii="Arial" w:hAnsi="Arial" w:cs="Arial"/>
          <w:sz w:val="24"/>
          <w:szCs w:val="24"/>
        </w:rPr>
        <w:t>9</w:t>
      </w:r>
      <w:r>
        <w:rPr>
          <w:rFonts w:ascii="Arial" w:hAnsi="Arial" w:cs="Arial"/>
          <w:sz w:val="24"/>
          <w:szCs w:val="24"/>
        </w:rPr>
        <w:fldChar w:fldCharType="end"/>
      </w:r>
      <w:r>
        <w:rPr>
          <w:rFonts w:ascii="Arial" w:hAnsi="Arial" w:cs="Arial"/>
          <w:sz w:val="24"/>
          <w:szCs w:val="24"/>
        </w:rPr>
        <w:fldChar w:fldCharType="end"/>
      </w:r>
    </w:p>
    <w:p w14:paraId="27F97960">
      <w:pPr>
        <w:pStyle w:val="8"/>
        <w:tabs>
          <w:tab w:val="right" w:leader="dot" w:pos="9016"/>
        </w:tabs>
        <w:snapToGrid w:val="0"/>
        <w:spacing w:line="324" w:lineRule="auto"/>
        <w:rPr>
          <w:rFonts w:ascii="Arial" w:hAnsi="Arial" w:cs="Arial"/>
          <w:sz w:val="24"/>
          <w:szCs w:val="24"/>
        </w:rPr>
      </w:pPr>
      <w:r>
        <w:fldChar w:fldCharType="begin"/>
      </w:r>
      <w:r>
        <w:instrText xml:space="preserve"> HYPERLINK \l "_Toc499280420" </w:instrText>
      </w:r>
      <w:r>
        <w:fldChar w:fldCharType="separate"/>
      </w:r>
      <w:r>
        <w:rPr>
          <w:rStyle w:val="13"/>
          <w:rFonts w:ascii="Arial" w:hAnsi="Arial" w:eastAsia="宋体" w:cs="Arial"/>
          <w:snapToGrid w:val="0"/>
          <w:kern w:val="0"/>
          <w:sz w:val="24"/>
          <w:szCs w:val="24"/>
        </w:rPr>
        <w:t>描述／格式</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_Toc499280420 \h </w:instrText>
      </w:r>
      <w:r>
        <w:rPr>
          <w:rFonts w:ascii="Arial" w:hAnsi="Arial" w:cs="Arial"/>
          <w:sz w:val="24"/>
          <w:szCs w:val="24"/>
        </w:rPr>
        <w:fldChar w:fldCharType="separate"/>
      </w:r>
      <w:r>
        <w:rPr>
          <w:rFonts w:ascii="Arial" w:hAnsi="Arial" w:cs="Arial"/>
          <w:sz w:val="24"/>
          <w:szCs w:val="24"/>
        </w:rPr>
        <w:t>11</w:t>
      </w:r>
      <w:r>
        <w:rPr>
          <w:rFonts w:ascii="Arial" w:hAnsi="Arial" w:cs="Arial"/>
          <w:sz w:val="24"/>
          <w:szCs w:val="24"/>
        </w:rPr>
        <w:fldChar w:fldCharType="end"/>
      </w:r>
      <w:r>
        <w:rPr>
          <w:rFonts w:ascii="Arial" w:hAnsi="Arial" w:cs="Arial"/>
          <w:sz w:val="24"/>
          <w:szCs w:val="24"/>
        </w:rPr>
        <w:fldChar w:fldCharType="end"/>
      </w:r>
    </w:p>
    <w:p w14:paraId="648A6671">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"_Toc499280421" </w:instrText>
      </w:r>
      <w:r>
        <w:fldChar w:fldCharType="separate"/>
      </w:r>
      <w:r>
        <w:rPr>
          <w:rStyle w:val="13"/>
          <w:rFonts w:ascii="Arial" w:hAnsi="Arial" w:eastAsia="宋体" w:cs="Arial"/>
          <w:snapToGrid w:val="0"/>
          <w:kern w:val="0"/>
          <w:sz w:val="24"/>
          <w:szCs w:val="24"/>
        </w:rPr>
        <w:t>语言和可读性</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_Toc499280421 \h </w:instrText>
      </w:r>
      <w:r>
        <w:rPr>
          <w:rFonts w:ascii="Arial" w:hAnsi="Arial" w:cs="Arial"/>
          <w:sz w:val="24"/>
          <w:szCs w:val="24"/>
        </w:rPr>
        <w:fldChar w:fldCharType="separate"/>
      </w:r>
      <w:r>
        <w:rPr>
          <w:rFonts w:ascii="Arial" w:hAnsi="Arial" w:cs="Arial"/>
          <w:sz w:val="24"/>
          <w:szCs w:val="24"/>
        </w:rPr>
        <w:t>11</w:t>
      </w:r>
      <w:r>
        <w:rPr>
          <w:rFonts w:ascii="Arial" w:hAnsi="Arial" w:cs="Arial"/>
          <w:sz w:val="24"/>
          <w:szCs w:val="24"/>
        </w:rPr>
        <w:fldChar w:fldCharType="end"/>
      </w:r>
      <w:r>
        <w:rPr>
          <w:rFonts w:ascii="Arial" w:hAnsi="Arial" w:cs="Arial"/>
          <w:sz w:val="24"/>
          <w:szCs w:val="24"/>
        </w:rPr>
        <w:fldChar w:fldCharType="end"/>
      </w:r>
    </w:p>
    <w:p w14:paraId="4AFB8D7E">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"_Toc499280422" </w:instrText>
      </w:r>
      <w:r>
        <w:fldChar w:fldCharType="separate"/>
      </w:r>
      <w:r>
        <w:rPr>
          <w:rStyle w:val="13"/>
          <w:rFonts w:ascii="Arial" w:hAnsi="Arial" w:eastAsia="宋体" w:cs="Arial"/>
          <w:snapToGrid w:val="0"/>
          <w:kern w:val="0"/>
          <w:sz w:val="24"/>
          <w:szCs w:val="24"/>
        </w:rPr>
        <w:t>插图和图形</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_Toc499280422 \h </w:instrText>
      </w:r>
      <w:r>
        <w:rPr>
          <w:rFonts w:ascii="Arial" w:hAnsi="Arial" w:cs="Arial"/>
          <w:sz w:val="24"/>
          <w:szCs w:val="24"/>
        </w:rPr>
        <w:fldChar w:fldCharType="separate"/>
      </w:r>
      <w:r>
        <w:rPr>
          <w:rFonts w:ascii="Arial" w:hAnsi="Arial" w:cs="Arial"/>
          <w:sz w:val="24"/>
          <w:szCs w:val="24"/>
        </w:rPr>
        <w:t>12</w:t>
      </w:r>
      <w:r>
        <w:rPr>
          <w:rFonts w:ascii="Arial" w:hAnsi="Arial" w:cs="Arial"/>
          <w:sz w:val="24"/>
          <w:szCs w:val="24"/>
        </w:rPr>
        <w:fldChar w:fldCharType="end"/>
      </w:r>
      <w:r>
        <w:rPr>
          <w:rFonts w:ascii="Arial" w:hAnsi="Arial" w:cs="Arial"/>
          <w:sz w:val="24"/>
          <w:szCs w:val="24"/>
        </w:rPr>
        <w:fldChar w:fldCharType="end"/>
      </w:r>
    </w:p>
    <w:p w14:paraId="7617A8DD">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"_Toc499280423" </w:instrText>
      </w:r>
      <w:r>
        <w:fldChar w:fldCharType="separate"/>
      </w:r>
      <w:r>
        <w:rPr>
          <w:rStyle w:val="13"/>
          <w:rFonts w:ascii="Arial" w:hAnsi="Arial" w:eastAsia="宋体" w:cs="Arial"/>
          <w:snapToGrid w:val="0"/>
          <w:kern w:val="0"/>
          <w:sz w:val="24"/>
          <w:szCs w:val="24"/>
        </w:rPr>
        <w:t>突出内容</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_Toc499280423 \h </w:instrText>
      </w:r>
      <w:r>
        <w:rPr>
          <w:rFonts w:ascii="Arial" w:hAnsi="Arial" w:cs="Arial"/>
          <w:sz w:val="24"/>
          <w:szCs w:val="24"/>
        </w:rPr>
        <w:fldChar w:fldCharType="separate"/>
      </w:r>
      <w:r>
        <w:rPr>
          <w:rFonts w:ascii="Arial" w:hAnsi="Arial" w:cs="Arial"/>
          <w:sz w:val="24"/>
          <w:szCs w:val="24"/>
        </w:rPr>
        <w:t>14</w:t>
      </w:r>
      <w:r>
        <w:rPr>
          <w:rFonts w:ascii="Arial" w:hAnsi="Arial" w:cs="Arial"/>
          <w:sz w:val="24"/>
          <w:szCs w:val="24"/>
        </w:rPr>
        <w:fldChar w:fldCharType="end"/>
      </w:r>
      <w:r>
        <w:rPr>
          <w:rFonts w:ascii="Arial" w:hAnsi="Arial" w:cs="Arial"/>
          <w:sz w:val="24"/>
          <w:szCs w:val="24"/>
        </w:rPr>
        <w:fldChar w:fldCharType="end"/>
      </w:r>
    </w:p>
    <w:p w14:paraId="1F1F7B5A">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"_Toc499280424" </w:instrText>
      </w:r>
      <w:r>
        <w:fldChar w:fldCharType="separate"/>
      </w:r>
      <w:r>
        <w:rPr>
          <w:rStyle w:val="13"/>
          <w:rFonts w:ascii="Arial" w:hAnsi="Arial" w:eastAsia="宋体" w:cs="Arial"/>
          <w:snapToGrid w:val="0"/>
          <w:kern w:val="0"/>
          <w:sz w:val="24"/>
          <w:szCs w:val="24"/>
        </w:rPr>
        <w:t>排印和易读性</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_Toc499280424 \h </w:instrText>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r>
        <w:rPr>
          <w:rFonts w:ascii="Arial" w:hAnsi="Arial" w:cs="Arial"/>
          <w:sz w:val="24"/>
          <w:szCs w:val="24"/>
        </w:rPr>
        <w:fldChar w:fldCharType="end"/>
      </w:r>
    </w:p>
    <w:p w14:paraId="10E24FB9">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"_Toc499280425" </w:instrText>
      </w:r>
      <w:r>
        <w:fldChar w:fldCharType="separate"/>
      </w:r>
      <w:r>
        <w:rPr>
          <w:rStyle w:val="13"/>
          <w:rFonts w:ascii="Arial" w:hAnsi="Arial" w:eastAsia="宋体" w:cs="Arial"/>
          <w:snapToGrid w:val="0"/>
          <w:kern w:val="0"/>
          <w:sz w:val="24"/>
          <w:szCs w:val="24"/>
        </w:rPr>
        <w:t>物理特征</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_Toc499280425 \h </w:instrText>
      </w:r>
      <w:r>
        <w:rPr>
          <w:rFonts w:ascii="Arial" w:hAnsi="Arial" w:cs="Arial"/>
          <w:sz w:val="24"/>
          <w:szCs w:val="24"/>
        </w:rPr>
        <w:fldChar w:fldCharType="separate"/>
      </w:r>
      <w:r>
        <w:rPr>
          <w:rFonts w:ascii="Arial" w:hAnsi="Arial" w:cs="Arial"/>
          <w:sz w:val="24"/>
          <w:szCs w:val="24"/>
        </w:rPr>
        <w:t>19</w:t>
      </w:r>
      <w:r>
        <w:rPr>
          <w:rFonts w:ascii="Arial" w:hAnsi="Arial" w:cs="Arial"/>
          <w:sz w:val="24"/>
          <w:szCs w:val="24"/>
        </w:rPr>
        <w:fldChar w:fldCharType="end"/>
      </w:r>
      <w:r>
        <w:rPr>
          <w:rFonts w:ascii="Arial" w:hAnsi="Arial" w:cs="Arial"/>
          <w:sz w:val="24"/>
          <w:szCs w:val="24"/>
        </w:rPr>
        <w:fldChar w:fldCharType="end"/>
      </w:r>
    </w:p>
    <w:p w14:paraId="493E4BD0">
      <w:pPr>
        <w:pStyle w:val="8"/>
        <w:tabs>
          <w:tab w:val="right" w:leader="dot" w:pos="9016"/>
        </w:tabs>
        <w:snapToGrid w:val="0"/>
        <w:spacing w:line="324" w:lineRule="auto"/>
        <w:rPr>
          <w:rFonts w:ascii="Arial" w:hAnsi="Arial" w:cs="Arial"/>
          <w:sz w:val="24"/>
          <w:szCs w:val="24"/>
        </w:rPr>
      </w:pPr>
      <w:r>
        <w:fldChar w:fldCharType="begin"/>
      </w:r>
      <w:r>
        <w:instrText xml:space="preserve"> HYPERLINK \l "_Toc499280426" </w:instrText>
      </w:r>
      <w:r>
        <w:fldChar w:fldCharType="separate"/>
      </w:r>
      <w:r>
        <w:rPr>
          <w:rStyle w:val="13"/>
          <w:rFonts w:ascii="Arial" w:hAnsi="Arial" w:eastAsia="宋体" w:cs="Arial"/>
          <w:snapToGrid w:val="0"/>
          <w:kern w:val="0"/>
          <w:sz w:val="24"/>
          <w:szCs w:val="24"/>
        </w:rPr>
        <w:t>相关主题</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_Toc499280426 \h </w:instrText>
      </w:r>
      <w:r>
        <w:rPr>
          <w:rFonts w:ascii="Arial" w:hAnsi="Arial" w:cs="Arial"/>
          <w:sz w:val="24"/>
          <w:szCs w:val="24"/>
        </w:rPr>
        <w:fldChar w:fldCharType="separate"/>
      </w:r>
      <w:r>
        <w:rPr>
          <w:rFonts w:ascii="Arial" w:hAnsi="Arial" w:cs="Arial"/>
          <w:sz w:val="24"/>
          <w:szCs w:val="24"/>
        </w:rPr>
        <w:t>20</w:t>
      </w:r>
      <w:r>
        <w:rPr>
          <w:rFonts w:ascii="Arial" w:hAnsi="Arial" w:cs="Arial"/>
          <w:sz w:val="24"/>
          <w:szCs w:val="24"/>
        </w:rPr>
        <w:fldChar w:fldCharType="end"/>
      </w:r>
      <w:r>
        <w:rPr>
          <w:rFonts w:ascii="Arial" w:hAnsi="Arial" w:cs="Arial"/>
          <w:sz w:val="24"/>
          <w:szCs w:val="24"/>
        </w:rPr>
        <w:fldChar w:fldCharType="end"/>
      </w:r>
    </w:p>
    <w:p w14:paraId="66C65E47">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"_Toc499280427" </w:instrText>
      </w:r>
      <w:r>
        <w:fldChar w:fldCharType="separate"/>
      </w:r>
      <w:r>
        <w:rPr>
          <w:rStyle w:val="13"/>
          <w:rFonts w:ascii="Arial" w:hAnsi="Arial" w:eastAsia="宋体" w:cs="Arial"/>
          <w:snapToGrid w:val="0"/>
          <w:kern w:val="0"/>
          <w:sz w:val="24"/>
          <w:szCs w:val="24"/>
        </w:rPr>
        <w:t>教学理论</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_Toc499280427 \h </w:instrText>
      </w:r>
      <w:r>
        <w:rPr>
          <w:rFonts w:ascii="Arial" w:hAnsi="Arial" w:cs="Arial"/>
          <w:sz w:val="24"/>
          <w:szCs w:val="24"/>
        </w:rPr>
        <w:fldChar w:fldCharType="separate"/>
      </w:r>
      <w:r>
        <w:rPr>
          <w:rFonts w:ascii="Arial" w:hAnsi="Arial" w:cs="Arial"/>
          <w:sz w:val="24"/>
          <w:szCs w:val="24"/>
        </w:rPr>
        <w:t>20</w:t>
      </w:r>
      <w:r>
        <w:rPr>
          <w:rFonts w:ascii="Arial" w:hAnsi="Arial" w:cs="Arial"/>
          <w:sz w:val="24"/>
          <w:szCs w:val="24"/>
        </w:rPr>
        <w:fldChar w:fldCharType="end"/>
      </w:r>
      <w:r>
        <w:rPr>
          <w:rFonts w:ascii="Arial" w:hAnsi="Arial" w:cs="Arial"/>
          <w:sz w:val="24"/>
          <w:szCs w:val="24"/>
        </w:rPr>
        <w:fldChar w:fldCharType="end"/>
      </w:r>
    </w:p>
    <w:p w14:paraId="001EF365">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"_Toc499280428" </w:instrText>
      </w:r>
      <w:r>
        <w:fldChar w:fldCharType="separate"/>
      </w:r>
      <w:r>
        <w:rPr>
          <w:rStyle w:val="13"/>
          <w:rFonts w:ascii="Arial" w:hAnsi="Arial" w:eastAsia="宋体" w:cs="Arial"/>
          <w:snapToGrid w:val="0"/>
          <w:kern w:val="0"/>
          <w:sz w:val="24"/>
          <w:szCs w:val="24"/>
        </w:rPr>
        <w:t>医疗器械标签评估</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_Toc499280428 \h </w:instrText>
      </w:r>
      <w:r>
        <w:rPr>
          <w:rFonts w:ascii="Arial" w:hAnsi="Arial" w:cs="Arial"/>
          <w:sz w:val="24"/>
          <w:szCs w:val="24"/>
        </w:rPr>
        <w:fldChar w:fldCharType="separate"/>
      </w:r>
      <w:r>
        <w:rPr>
          <w:rFonts w:ascii="Arial" w:hAnsi="Arial" w:cs="Arial"/>
          <w:sz w:val="24"/>
          <w:szCs w:val="24"/>
        </w:rPr>
        <w:t>21</w:t>
      </w:r>
      <w:r>
        <w:rPr>
          <w:rFonts w:ascii="Arial" w:hAnsi="Arial" w:cs="Arial"/>
          <w:sz w:val="24"/>
          <w:szCs w:val="24"/>
        </w:rPr>
        <w:fldChar w:fldCharType="end"/>
      </w:r>
      <w:r>
        <w:rPr>
          <w:rFonts w:ascii="Arial" w:hAnsi="Arial" w:cs="Arial"/>
          <w:sz w:val="24"/>
          <w:szCs w:val="24"/>
        </w:rPr>
        <w:fldChar w:fldCharType="end"/>
      </w:r>
    </w:p>
    <w:p w14:paraId="274F19B4">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"_Toc499280429" </w:instrText>
      </w:r>
      <w:r>
        <w:fldChar w:fldCharType="separate"/>
      </w:r>
      <w:r>
        <w:rPr>
          <w:rStyle w:val="13"/>
          <w:rFonts w:ascii="Arial" w:hAnsi="Arial" w:eastAsia="宋体" w:cs="Arial"/>
          <w:snapToGrid w:val="0"/>
          <w:kern w:val="0"/>
          <w:sz w:val="24"/>
          <w:szCs w:val="24"/>
        </w:rPr>
        <w:t>其它教学媒体</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_Toc499280429 \h </w:instrText>
      </w:r>
      <w:r>
        <w:rPr>
          <w:rFonts w:ascii="Arial" w:hAnsi="Arial" w:cs="Arial"/>
          <w:sz w:val="24"/>
          <w:szCs w:val="24"/>
        </w:rPr>
        <w:fldChar w:fldCharType="separate"/>
      </w:r>
      <w:r>
        <w:rPr>
          <w:rFonts w:ascii="Arial" w:hAnsi="Arial" w:cs="Arial"/>
          <w:sz w:val="24"/>
          <w:szCs w:val="24"/>
        </w:rPr>
        <w:t>22</w:t>
      </w:r>
      <w:r>
        <w:rPr>
          <w:rFonts w:ascii="Arial" w:hAnsi="Arial" w:cs="Arial"/>
          <w:sz w:val="24"/>
          <w:szCs w:val="24"/>
        </w:rPr>
        <w:fldChar w:fldCharType="end"/>
      </w:r>
      <w:r>
        <w:rPr>
          <w:rFonts w:ascii="Arial" w:hAnsi="Arial" w:cs="Arial"/>
          <w:sz w:val="24"/>
          <w:szCs w:val="24"/>
        </w:rPr>
        <w:fldChar w:fldCharType="end"/>
      </w:r>
    </w:p>
    <w:p w14:paraId="1C2CE828">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"_Toc499280430" </w:instrText>
      </w:r>
      <w:r>
        <w:fldChar w:fldCharType="separate"/>
      </w:r>
      <w:r>
        <w:rPr>
          <w:rStyle w:val="13"/>
          <w:rFonts w:ascii="Arial" w:hAnsi="Arial" w:eastAsia="宋体" w:cs="Arial"/>
          <w:snapToGrid w:val="0"/>
          <w:kern w:val="0"/>
          <w:sz w:val="24"/>
          <w:szCs w:val="24"/>
        </w:rPr>
        <w:t>法规、标准和指南</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_Toc499280430 \h </w:instrText>
      </w:r>
      <w:r>
        <w:rPr>
          <w:rFonts w:ascii="Arial" w:hAnsi="Arial" w:cs="Arial"/>
          <w:sz w:val="24"/>
          <w:szCs w:val="24"/>
        </w:rPr>
        <w:fldChar w:fldCharType="separate"/>
      </w:r>
      <w:r>
        <w:rPr>
          <w:rFonts w:ascii="Arial" w:hAnsi="Arial" w:cs="Arial"/>
          <w:sz w:val="24"/>
          <w:szCs w:val="24"/>
        </w:rPr>
        <w:t>23</w:t>
      </w:r>
      <w:r>
        <w:rPr>
          <w:rFonts w:ascii="Arial" w:hAnsi="Arial" w:cs="Arial"/>
          <w:sz w:val="24"/>
          <w:szCs w:val="24"/>
        </w:rPr>
        <w:fldChar w:fldCharType="end"/>
      </w:r>
      <w:r>
        <w:rPr>
          <w:rFonts w:ascii="Arial" w:hAnsi="Arial" w:cs="Arial"/>
          <w:sz w:val="24"/>
          <w:szCs w:val="24"/>
        </w:rPr>
        <w:fldChar w:fldCharType="end"/>
      </w:r>
    </w:p>
    <w:p w14:paraId="0A551AF1">
      <w:pPr>
        <w:pStyle w:val="8"/>
        <w:tabs>
          <w:tab w:val="right" w:leader="dot" w:pos="9016"/>
        </w:tabs>
        <w:snapToGrid w:val="0"/>
        <w:spacing w:line="324" w:lineRule="auto"/>
        <w:rPr>
          <w:rFonts w:ascii="Arial" w:hAnsi="Arial" w:cs="Arial"/>
          <w:sz w:val="24"/>
          <w:szCs w:val="24"/>
        </w:rPr>
      </w:pPr>
      <w:r>
        <w:fldChar w:fldCharType="begin"/>
      </w:r>
      <w:r>
        <w:instrText xml:space="preserve"> HYPERLINK \l "_Toc499280431" </w:instrText>
      </w:r>
      <w:r>
        <w:fldChar w:fldCharType="separate"/>
      </w:r>
      <w:r>
        <w:rPr>
          <w:rStyle w:val="13"/>
          <w:rFonts w:ascii="Arial" w:hAnsi="Arial" w:eastAsia="宋体" w:cs="Arial"/>
          <w:snapToGrid w:val="0"/>
          <w:kern w:val="0"/>
          <w:sz w:val="24"/>
          <w:szCs w:val="24"/>
        </w:rPr>
        <w:t>文献目录</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_Toc499280431 \h </w:instrText>
      </w:r>
      <w:r>
        <w:rPr>
          <w:rFonts w:ascii="Arial" w:hAnsi="Arial" w:cs="Arial"/>
          <w:sz w:val="24"/>
          <w:szCs w:val="24"/>
        </w:rPr>
        <w:fldChar w:fldCharType="separate"/>
      </w:r>
      <w:r>
        <w:rPr>
          <w:rFonts w:ascii="Arial" w:hAnsi="Arial" w:cs="Arial"/>
          <w:sz w:val="24"/>
          <w:szCs w:val="24"/>
        </w:rPr>
        <w:t>24</w:t>
      </w:r>
      <w:r>
        <w:rPr>
          <w:rFonts w:ascii="Arial" w:hAnsi="Arial" w:cs="Arial"/>
          <w:sz w:val="24"/>
          <w:szCs w:val="24"/>
        </w:rPr>
        <w:fldChar w:fldCharType="end"/>
      </w:r>
      <w:r>
        <w:rPr>
          <w:rFonts w:ascii="Arial" w:hAnsi="Arial" w:cs="Arial"/>
          <w:sz w:val="24"/>
          <w:szCs w:val="24"/>
        </w:rPr>
        <w:fldChar w:fldCharType="end"/>
      </w:r>
    </w:p>
    <w:p w14:paraId="0D775EA9">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"_Toc499280432" </w:instrText>
      </w:r>
      <w:r>
        <w:fldChar w:fldCharType="separate"/>
      </w:r>
      <w:r>
        <w:rPr>
          <w:rStyle w:val="13"/>
          <w:rFonts w:ascii="Arial" w:hAnsi="Arial" w:eastAsia="宋体" w:cs="Arial"/>
          <w:snapToGrid w:val="0"/>
          <w:kern w:val="0"/>
          <w:sz w:val="24"/>
          <w:szCs w:val="24"/>
        </w:rPr>
        <w:t>一般文件设计</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_Toc499280432 \h </w:instrText>
      </w:r>
      <w:r>
        <w:rPr>
          <w:rFonts w:ascii="Arial" w:hAnsi="Arial" w:cs="Arial"/>
          <w:sz w:val="24"/>
          <w:szCs w:val="24"/>
        </w:rPr>
        <w:fldChar w:fldCharType="separate"/>
      </w:r>
      <w:r>
        <w:rPr>
          <w:rFonts w:ascii="Arial" w:hAnsi="Arial" w:cs="Arial"/>
          <w:sz w:val="24"/>
          <w:szCs w:val="24"/>
        </w:rPr>
        <w:t>24</w:t>
      </w:r>
      <w:r>
        <w:rPr>
          <w:rFonts w:ascii="Arial" w:hAnsi="Arial" w:cs="Arial"/>
          <w:sz w:val="24"/>
          <w:szCs w:val="24"/>
        </w:rPr>
        <w:fldChar w:fldCharType="end"/>
      </w:r>
      <w:r>
        <w:rPr>
          <w:rFonts w:ascii="Arial" w:hAnsi="Arial" w:cs="Arial"/>
          <w:sz w:val="24"/>
          <w:szCs w:val="24"/>
        </w:rPr>
        <w:fldChar w:fldCharType="end"/>
      </w:r>
    </w:p>
    <w:p w14:paraId="3BB36DC5">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"_Toc499280433" </w:instrText>
      </w:r>
      <w:r>
        <w:fldChar w:fldCharType="separate"/>
      </w:r>
      <w:r>
        <w:rPr>
          <w:rStyle w:val="13"/>
          <w:rFonts w:ascii="Arial" w:hAnsi="Arial" w:eastAsia="宋体" w:cs="Arial"/>
          <w:snapToGrid w:val="0"/>
          <w:kern w:val="0"/>
          <w:sz w:val="24"/>
          <w:szCs w:val="24"/>
        </w:rPr>
        <w:t>结构</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_Toc499280433 \h </w:instrText>
      </w:r>
      <w:r>
        <w:rPr>
          <w:rFonts w:ascii="Arial" w:hAnsi="Arial" w:cs="Arial"/>
          <w:sz w:val="24"/>
          <w:szCs w:val="24"/>
        </w:rPr>
        <w:fldChar w:fldCharType="separate"/>
      </w:r>
      <w:r>
        <w:rPr>
          <w:rFonts w:ascii="Arial" w:hAnsi="Arial" w:cs="Arial"/>
          <w:sz w:val="24"/>
          <w:szCs w:val="24"/>
        </w:rPr>
        <w:t>27</w:t>
      </w:r>
      <w:r>
        <w:rPr>
          <w:rFonts w:ascii="Arial" w:hAnsi="Arial" w:cs="Arial"/>
          <w:sz w:val="24"/>
          <w:szCs w:val="24"/>
        </w:rPr>
        <w:fldChar w:fldCharType="end"/>
      </w:r>
      <w:r>
        <w:rPr>
          <w:rFonts w:ascii="Arial" w:hAnsi="Arial" w:cs="Arial"/>
          <w:sz w:val="24"/>
          <w:szCs w:val="24"/>
        </w:rPr>
        <w:fldChar w:fldCharType="end"/>
      </w:r>
    </w:p>
    <w:p w14:paraId="5C5DE41E">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"_Toc499280434" </w:instrText>
      </w:r>
      <w:r>
        <w:fldChar w:fldCharType="separate"/>
      </w:r>
      <w:r>
        <w:rPr>
          <w:rStyle w:val="13"/>
          <w:rFonts w:ascii="Arial" w:hAnsi="Arial" w:eastAsia="宋体" w:cs="Arial"/>
          <w:snapToGrid w:val="0"/>
          <w:kern w:val="0"/>
          <w:sz w:val="24"/>
          <w:szCs w:val="24"/>
        </w:rPr>
        <w:t>风险沟通</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_Toc499280434 \h </w:instrText>
      </w:r>
      <w:r>
        <w:rPr>
          <w:rFonts w:ascii="Arial" w:hAnsi="Arial" w:cs="Arial"/>
          <w:sz w:val="24"/>
          <w:szCs w:val="24"/>
        </w:rPr>
        <w:fldChar w:fldCharType="separate"/>
      </w:r>
      <w:r>
        <w:rPr>
          <w:rFonts w:ascii="Arial" w:hAnsi="Arial" w:cs="Arial"/>
          <w:sz w:val="24"/>
          <w:szCs w:val="24"/>
        </w:rPr>
        <w:t>28</w:t>
      </w:r>
      <w:r>
        <w:rPr>
          <w:rFonts w:ascii="Arial" w:hAnsi="Arial" w:cs="Arial"/>
          <w:sz w:val="24"/>
          <w:szCs w:val="24"/>
        </w:rPr>
        <w:fldChar w:fldCharType="end"/>
      </w:r>
      <w:r>
        <w:rPr>
          <w:rFonts w:ascii="Arial" w:hAnsi="Arial" w:cs="Arial"/>
          <w:sz w:val="24"/>
          <w:szCs w:val="24"/>
        </w:rPr>
        <w:fldChar w:fldCharType="end"/>
      </w:r>
    </w:p>
    <w:p w14:paraId="5F8FF1F3">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"_Toc499280435" </w:instrText>
      </w:r>
      <w:r>
        <w:fldChar w:fldCharType="separate"/>
      </w:r>
      <w:r>
        <w:rPr>
          <w:rStyle w:val="13"/>
          <w:rFonts w:ascii="Arial" w:hAnsi="Arial" w:eastAsia="宋体" w:cs="Arial"/>
          <w:snapToGrid w:val="0"/>
          <w:kern w:val="0"/>
          <w:sz w:val="24"/>
          <w:szCs w:val="24"/>
        </w:rPr>
        <w:t>语言和易读性</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_Toc499280435 \h </w:instrText>
      </w:r>
      <w:r>
        <w:rPr>
          <w:rFonts w:ascii="Arial" w:hAnsi="Arial" w:cs="Arial"/>
          <w:sz w:val="24"/>
          <w:szCs w:val="24"/>
        </w:rPr>
        <w:fldChar w:fldCharType="separate"/>
      </w:r>
      <w:r>
        <w:rPr>
          <w:rFonts w:ascii="Arial" w:hAnsi="Arial" w:cs="Arial"/>
          <w:sz w:val="24"/>
          <w:szCs w:val="24"/>
        </w:rPr>
        <w:t>28</w:t>
      </w:r>
      <w:r>
        <w:rPr>
          <w:rFonts w:ascii="Arial" w:hAnsi="Arial" w:cs="Arial"/>
          <w:sz w:val="24"/>
          <w:szCs w:val="24"/>
        </w:rPr>
        <w:fldChar w:fldCharType="end"/>
      </w:r>
      <w:r>
        <w:rPr>
          <w:rFonts w:ascii="Arial" w:hAnsi="Arial" w:cs="Arial"/>
          <w:sz w:val="24"/>
          <w:szCs w:val="24"/>
        </w:rPr>
        <w:fldChar w:fldCharType="end"/>
      </w:r>
    </w:p>
    <w:p w14:paraId="7431D047">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"_Toc499280436" </w:instrText>
      </w:r>
      <w:r>
        <w:fldChar w:fldCharType="separate"/>
      </w:r>
      <w:r>
        <w:rPr>
          <w:rStyle w:val="13"/>
          <w:rFonts w:ascii="Arial" w:hAnsi="Arial" w:eastAsia="宋体" w:cs="Arial"/>
          <w:snapToGrid w:val="0"/>
          <w:kern w:val="0"/>
          <w:sz w:val="24"/>
          <w:szCs w:val="24"/>
        </w:rPr>
        <w:t>插图和图形</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_Toc499280436 \h </w:instrText>
      </w:r>
      <w:r>
        <w:rPr>
          <w:rFonts w:ascii="Arial" w:hAnsi="Arial" w:cs="Arial"/>
          <w:sz w:val="24"/>
          <w:szCs w:val="24"/>
        </w:rPr>
        <w:fldChar w:fldCharType="separate"/>
      </w:r>
      <w:r>
        <w:rPr>
          <w:rFonts w:ascii="Arial" w:hAnsi="Arial" w:cs="Arial"/>
          <w:sz w:val="24"/>
          <w:szCs w:val="24"/>
        </w:rPr>
        <w:t>29</w:t>
      </w:r>
      <w:r>
        <w:rPr>
          <w:rFonts w:ascii="Arial" w:hAnsi="Arial" w:cs="Arial"/>
          <w:sz w:val="24"/>
          <w:szCs w:val="24"/>
        </w:rPr>
        <w:fldChar w:fldCharType="end"/>
      </w:r>
      <w:r>
        <w:rPr>
          <w:rFonts w:ascii="Arial" w:hAnsi="Arial" w:cs="Arial"/>
          <w:sz w:val="24"/>
          <w:szCs w:val="24"/>
        </w:rPr>
        <w:fldChar w:fldCharType="end"/>
      </w:r>
    </w:p>
    <w:p w14:paraId="54A2B4DA">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"_Toc499280437" </w:instrText>
      </w:r>
      <w:r>
        <w:fldChar w:fldCharType="separate"/>
      </w:r>
      <w:r>
        <w:rPr>
          <w:rStyle w:val="13"/>
          <w:rFonts w:ascii="Arial" w:hAnsi="Arial" w:eastAsia="宋体" w:cs="Arial"/>
          <w:snapToGrid w:val="0"/>
          <w:kern w:val="0"/>
          <w:sz w:val="24"/>
          <w:szCs w:val="24"/>
        </w:rPr>
        <w:t>排版和易读性</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_Toc499280437 \h </w:instrText>
      </w:r>
      <w:r>
        <w:rPr>
          <w:rFonts w:ascii="Arial" w:hAnsi="Arial" w:cs="Arial"/>
          <w:sz w:val="24"/>
          <w:szCs w:val="24"/>
        </w:rPr>
        <w:fldChar w:fldCharType="separate"/>
      </w:r>
      <w:r>
        <w:rPr>
          <w:rFonts w:ascii="Arial" w:hAnsi="Arial" w:cs="Arial"/>
          <w:sz w:val="24"/>
          <w:szCs w:val="24"/>
        </w:rPr>
        <w:t>30</w:t>
      </w:r>
      <w:r>
        <w:rPr>
          <w:rFonts w:ascii="Arial" w:hAnsi="Arial" w:cs="Arial"/>
          <w:sz w:val="24"/>
          <w:szCs w:val="24"/>
        </w:rPr>
        <w:fldChar w:fldCharType="end"/>
      </w:r>
      <w:r>
        <w:rPr>
          <w:rFonts w:ascii="Arial" w:hAnsi="Arial" w:cs="Arial"/>
          <w:sz w:val="24"/>
          <w:szCs w:val="24"/>
        </w:rPr>
        <w:fldChar w:fldCharType="end"/>
      </w:r>
    </w:p>
    <w:p w14:paraId="2974E54B">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"_Toc499280438" </w:instrText>
      </w:r>
      <w:r>
        <w:fldChar w:fldCharType="separate"/>
      </w:r>
      <w:r>
        <w:rPr>
          <w:rStyle w:val="13"/>
          <w:rFonts w:ascii="Arial" w:hAnsi="Arial" w:eastAsia="宋体" w:cs="Arial"/>
          <w:snapToGrid w:val="0"/>
          <w:kern w:val="0"/>
          <w:sz w:val="24"/>
          <w:szCs w:val="24"/>
        </w:rPr>
        <w:t>教学理论</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_Toc499280438 \h </w:instrText>
      </w:r>
      <w:r>
        <w:rPr>
          <w:rFonts w:ascii="Arial" w:hAnsi="Arial" w:cs="Arial"/>
          <w:sz w:val="24"/>
          <w:szCs w:val="24"/>
        </w:rPr>
        <w:fldChar w:fldCharType="separate"/>
      </w:r>
      <w:r>
        <w:rPr>
          <w:rFonts w:ascii="Arial" w:hAnsi="Arial" w:cs="Arial"/>
          <w:sz w:val="24"/>
          <w:szCs w:val="24"/>
        </w:rPr>
        <w:t>31</w:t>
      </w:r>
      <w:r>
        <w:rPr>
          <w:rFonts w:ascii="Arial" w:hAnsi="Arial" w:cs="Arial"/>
          <w:sz w:val="24"/>
          <w:szCs w:val="24"/>
        </w:rPr>
        <w:fldChar w:fldCharType="end"/>
      </w:r>
      <w:r>
        <w:rPr>
          <w:rFonts w:ascii="Arial" w:hAnsi="Arial" w:cs="Arial"/>
          <w:sz w:val="24"/>
          <w:szCs w:val="24"/>
        </w:rPr>
        <w:fldChar w:fldCharType="end"/>
      </w:r>
    </w:p>
    <w:p w14:paraId="52B50C95">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"_Toc499280439" </w:instrText>
      </w:r>
      <w:r>
        <w:fldChar w:fldCharType="separate"/>
      </w:r>
      <w:r>
        <w:rPr>
          <w:rStyle w:val="13"/>
          <w:rFonts w:ascii="Arial" w:hAnsi="Arial" w:eastAsia="宋体" w:cs="Arial"/>
          <w:snapToGrid w:val="0"/>
          <w:kern w:val="0"/>
          <w:sz w:val="24"/>
          <w:szCs w:val="24"/>
        </w:rPr>
        <w:t>医疗器械标签评估</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_Toc499280439 \h </w:instrText>
      </w:r>
      <w:r>
        <w:rPr>
          <w:rFonts w:ascii="Arial" w:hAnsi="Arial" w:cs="Arial"/>
          <w:sz w:val="24"/>
          <w:szCs w:val="24"/>
        </w:rPr>
        <w:fldChar w:fldCharType="separate"/>
      </w:r>
      <w:r>
        <w:rPr>
          <w:rFonts w:ascii="Arial" w:hAnsi="Arial" w:cs="Arial"/>
          <w:sz w:val="24"/>
          <w:szCs w:val="24"/>
        </w:rPr>
        <w:t>32</w:t>
      </w:r>
      <w:r>
        <w:rPr>
          <w:rFonts w:ascii="Arial" w:hAnsi="Arial" w:cs="Arial"/>
          <w:sz w:val="24"/>
          <w:szCs w:val="24"/>
        </w:rPr>
        <w:fldChar w:fldCharType="end"/>
      </w:r>
      <w:r>
        <w:rPr>
          <w:rFonts w:ascii="Arial" w:hAnsi="Arial" w:cs="Arial"/>
          <w:sz w:val="24"/>
          <w:szCs w:val="24"/>
        </w:rPr>
        <w:fldChar w:fldCharType="end"/>
      </w:r>
    </w:p>
    <w:p w14:paraId="2D6E157F">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"_Toc499280440" </w:instrText>
      </w:r>
      <w:r>
        <w:fldChar w:fldCharType="separate"/>
      </w:r>
      <w:r>
        <w:rPr>
          <w:rStyle w:val="13"/>
          <w:rFonts w:ascii="Arial" w:hAnsi="Arial" w:eastAsia="宋体" w:cs="Arial"/>
          <w:snapToGrid w:val="0"/>
          <w:kern w:val="0"/>
          <w:sz w:val="24"/>
          <w:szCs w:val="24"/>
        </w:rPr>
        <w:t>其它教学媒体</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_Toc499280440 \h </w:instrText>
      </w:r>
      <w:r>
        <w:rPr>
          <w:rFonts w:ascii="Arial" w:hAnsi="Arial" w:cs="Arial"/>
          <w:sz w:val="24"/>
          <w:szCs w:val="24"/>
        </w:rPr>
        <w:fldChar w:fldCharType="separate"/>
      </w:r>
      <w:r>
        <w:rPr>
          <w:rFonts w:ascii="Arial" w:hAnsi="Arial" w:cs="Arial"/>
          <w:sz w:val="24"/>
          <w:szCs w:val="24"/>
        </w:rPr>
        <w:t>33</w:t>
      </w:r>
      <w:r>
        <w:rPr>
          <w:rFonts w:ascii="Arial" w:hAnsi="Arial" w:cs="Arial"/>
          <w:sz w:val="24"/>
          <w:szCs w:val="24"/>
        </w:rPr>
        <w:fldChar w:fldCharType="end"/>
      </w:r>
      <w:r>
        <w:rPr>
          <w:rFonts w:ascii="Arial" w:hAnsi="Arial" w:cs="Arial"/>
          <w:sz w:val="24"/>
          <w:szCs w:val="24"/>
        </w:rPr>
        <w:fldChar w:fldCharType="end"/>
      </w:r>
    </w:p>
    <w:p w14:paraId="56038F28">
      <w:pPr>
        <w:pStyle w:val="9"/>
        <w:tabs>
          <w:tab w:val="right" w:leader="dot" w:pos="9016"/>
        </w:tabs>
        <w:snapToGrid w:val="0"/>
        <w:spacing w:line="324" w:lineRule="auto"/>
        <w:rPr>
          <w:rFonts w:ascii="Arial" w:hAnsi="Arial" w:cs="Arial"/>
          <w:sz w:val="24"/>
          <w:szCs w:val="24"/>
        </w:rPr>
      </w:pPr>
      <w:r>
        <w:fldChar w:fldCharType="begin"/>
      </w:r>
      <w:r>
        <w:instrText xml:space="preserve"> HYPERLINK \l "_Toc499280441" </w:instrText>
      </w:r>
      <w:r>
        <w:fldChar w:fldCharType="separate"/>
      </w:r>
      <w:r>
        <w:rPr>
          <w:rStyle w:val="13"/>
          <w:rFonts w:ascii="Arial" w:hAnsi="Arial" w:eastAsia="宋体" w:cs="Arial"/>
          <w:snapToGrid w:val="0"/>
          <w:kern w:val="0"/>
          <w:sz w:val="24"/>
          <w:szCs w:val="24"/>
        </w:rPr>
        <w:t>法规、标准和指南</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_Toc499280441 \h </w:instrText>
      </w:r>
      <w:r>
        <w:rPr>
          <w:rFonts w:ascii="Arial" w:hAnsi="Arial" w:cs="Arial"/>
          <w:sz w:val="24"/>
          <w:szCs w:val="24"/>
        </w:rPr>
        <w:fldChar w:fldCharType="separate"/>
      </w:r>
      <w:r>
        <w:rPr>
          <w:rFonts w:ascii="Arial" w:hAnsi="Arial" w:cs="Arial"/>
          <w:sz w:val="24"/>
          <w:szCs w:val="24"/>
        </w:rPr>
        <w:t>34</w:t>
      </w:r>
      <w:r>
        <w:rPr>
          <w:rFonts w:ascii="Arial" w:hAnsi="Arial" w:cs="Arial"/>
          <w:sz w:val="24"/>
          <w:szCs w:val="24"/>
        </w:rPr>
        <w:fldChar w:fldCharType="end"/>
      </w:r>
      <w:r>
        <w:rPr>
          <w:rFonts w:ascii="Arial" w:hAnsi="Arial" w:cs="Arial"/>
          <w:sz w:val="24"/>
          <w:szCs w:val="24"/>
        </w:rPr>
        <w:fldChar w:fldCharType="end"/>
      </w:r>
    </w:p>
    <w:p w14:paraId="002BEB06">
      <w:pPr>
        <w:topLinePunct/>
        <w:adjustRightInd w:val="0"/>
        <w:snapToGrid w:val="0"/>
        <w:spacing w:line="324" w:lineRule="auto"/>
        <w:rPr>
          <w:rFonts w:ascii="Arial" w:hAnsi="Arial" w:eastAsia="宋体" w:cs="Arial"/>
          <w:snapToGrid w:val="0"/>
          <w:kern w:val="0"/>
          <w:sz w:val="24"/>
          <w:szCs w:val="24"/>
        </w:rPr>
        <w:sectPr>
          <w:headerReference r:id="rId3" w:type="default"/>
          <w:pgSz w:w="11906" w:h="16838"/>
          <w:pgMar w:top="1134" w:right="1440" w:bottom="1134" w:left="1440" w:header="720" w:footer="720" w:gutter="0"/>
          <w:cols w:space="425" w:num="1"/>
          <w:docGrid w:type="lines" w:linePitch="312" w:charSpace="0"/>
        </w:sectPr>
      </w:pPr>
      <w:r>
        <w:rPr>
          <w:rFonts w:ascii="Arial" w:hAnsi="Arial" w:eastAsia="宋体" w:cs="Arial"/>
          <w:snapToGrid w:val="0"/>
          <w:kern w:val="0"/>
          <w:sz w:val="24"/>
          <w:szCs w:val="24"/>
        </w:rPr>
        <w:fldChar w:fldCharType="end"/>
      </w:r>
    </w:p>
    <w:p w14:paraId="1A61016F">
      <w:pPr>
        <w:pStyle w:val="2"/>
        <w:keepNext w:val="0"/>
        <w:keepLines w:val="0"/>
        <w:topLinePunct/>
        <w:adjustRightInd w:val="0"/>
        <w:snapToGrid w:val="0"/>
        <w:spacing w:beforeLines="0" w:after="234" w:afterLines="75" w:line="360" w:lineRule="auto"/>
        <w:jc w:val="center"/>
        <w:rPr>
          <w:rFonts w:ascii="Arial" w:hAnsi="Arial" w:eastAsia="宋体" w:cs="Arial"/>
          <w:b/>
          <w:snapToGrid w:val="0"/>
          <w:kern w:val="0"/>
          <w:sz w:val="28"/>
        </w:rPr>
      </w:pPr>
      <w:bookmarkStart w:id="0" w:name="_Toc499280413"/>
      <w:r>
        <w:rPr>
          <w:rFonts w:hint="eastAsia" w:ascii="Arial" w:hAnsi="Arial" w:eastAsia="宋体" w:cs="Arial"/>
          <w:b/>
          <w:snapToGrid w:val="0"/>
          <w:kern w:val="0"/>
          <w:sz w:val="28"/>
        </w:rPr>
        <w:t>引言</w:t>
      </w:r>
      <w:bookmarkEnd w:id="0"/>
    </w:p>
    <w:p w14:paraId="63732EEF">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依据政府法规和行业实践，将伴随医疗器械分发给公众的说明称为</w:t>
      </w:r>
      <w:r>
        <w:rPr>
          <w:rFonts w:hint="eastAsia" w:ascii="宋体" w:hAnsi="宋体" w:eastAsia="宋体" w:cs="Arial"/>
          <w:snapToGrid w:val="0"/>
          <w:kern w:val="0"/>
          <w:sz w:val="24"/>
        </w:rPr>
        <w:t>“</w:t>
      </w:r>
      <w:r>
        <w:rPr>
          <w:rFonts w:hint="eastAsia" w:ascii="Arial" w:hAnsi="Arial" w:eastAsia="宋体" w:cs="Arial"/>
          <w:snapToGrid w:val="0"/>
          <w:kern w:val="0"/>
          <w:sz w:val="24"/>
        </w:rPr>
        <w:t>标签</w:t>
      </w:r>
      <w:r>
        <w:rPr>
          <w:rFonts w:hint="eastAsia" w:ascii="宋体" w:hAnsi="宋体" w:eastAsia="宋体" w:cs="Arial"/>
          <w:snapToGrid w:val="0"/>
          <w:kern w:val="0"/>
          <w:sz w:val="24"/>
        </w:rPr>
        <w:t>”</w:t>
      </w:r>
      <w:r>
        <w:rPr>
          <w:rFonts w:hint="eastAsia" w:ascii="Arial" w:hAnsi="Arial" w:eastAsia="宋体" w:cs="Arial"/>
          <w:snapToGrid w:val="0"/>
          <w:kern w:val="0"/>
          <w:sz w:val="24"/>
        </w:rPr>
        <w:t>。医疗器械标签包括如何使用和维护医疗器械的说明。其也包括与理解和安全性相关的补充信息，如与风险、预防措施、警告事项、潜在不良反应等相关的信息。本报告通过为标签编写者和设计者提供了关于医疗器械标签的原理。这些原理仅适用于补充信息和与器械随附的说明册上贴的医疗器械标签。</w:t>
      </w:r>
    </w:p>
    <w:p w14:paraId="09DC50B9">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标签中也纳入了对开具医疗器械处方或销售医疗器械的专业人士有价值的临床和实验室详细信息。</w:t>
      </w:r>
      <w:r>
        <w:rPr>
          <w:rFonts w:hint="eastAsia" w:ascii="宋体" w:hAnsi="宋体" w:eastAsia="宋体" w:cs="Arial"/>
          <w:snapToGrid w:val="0"/>
          <w:kern w:val="0"/>
          <w:sz w:val="24"/>
        </w:rPr>
        <w:t>“</w:t>
      </w:r>
      <w:r>
        <w:rPr>
          <w:rFonts w:hint="eastAsia" w:ascii="Arial" w:hAnsi="Arial" w:eastAsia="宋体" w:cs="Arial"/>
          <w:snapToGrid w:val="0"/>
          <w:kern w:val="0"/>
          <w:sz w:val="24"/>
        </w:rPr>
        <w:t>包装说明</w:t>
      </w:r>
      <w:r>
        <w:rPr>
          <w:rFonts w:hint="eastAsia" w:ascii="宋体" w:hAnsi="宋体" w:eastAsia="宋体" w:cs="Arial"/>
          <w:snapToGrid w:val="0"/>
          <w:kern w:val="0"/>
          <w:sz w:val="24"/>
        </w:rPr>
        <w:t>”下</w:t>
      </w:r>
      <w:r>
        <w:rPr>
          <w:rFonts w:hint="eastAsia" w:ascii="Arial" w:hAnsi="Arial" w:eastAsia="宋体" w:cs="Arial"/>
          <w:snapToGrid w:val="0"/>
          <w:kern w:val="0"/>
          <w:sz w:val="24"/>
        </w:rPr>
        <w:t>进一步归纳了许多这些详细信息。联邦政府按照贴标药品和医疗器械的要求对标签和包装说明书进行管理。联邦法规要求：按照特定格式来提供医疗器械的标签。</w:t>
      </w:r>
      <w:r>
        <w:rPr>
          <w:rFonts w:ascii="Arial" w:hAnsi="Arial" w:eastAsia="宋体" w:cs="Arial"/>
          <w:snapToGrid w:val="0"/>
          <w:kern w:val="0"/>
          <w:sz w:val="24"/>
        </w:rPr>
        <w:t>21 CFR</w:t>
      </w:r>
      <w:r>
        <w:rPr>
          <w:rFonts w:hint="eastAsia" w:ascii="Arial" w:hAnsi="Arial" w:eastAsia="宋体" w:cs="Arial"/>
          <w:snapToGrid w:val="0"/>
          <w:kern w:val="0"/>
          <w:sz w:val="24"/>
        </w:rPr>
        <w:t>第801部分中包含了这些法规。完整准确的标签对于安全、可靠操作医疗器械（无论消费者在在家中使用还是专业人员在医院使用）至关重要。</w:t>
      </w:r>
    </w:p>
    <w:p w14:paraId="16E09761">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本报告说明并拓展了一种项FDA项目的结果，该项目测试了一种广泛使用的医疗器械（</w:t>
      </w:r>
      <w:r>
        <w:rPr>
          <w:rFonts w:ascii="Arial" w:hAnsi="Arial" w:eastAsia="宋体" w:cs="Arial"/>
          <w:snapToGrid w:val="0"/>
          <w:kern w:val="0"/>
          <w:sz w:val="24"/>
        </w:rPr>
        <w:t>Callan, Gwynne, Cardinal</w:t>
      </w:r>
      <w:r>
        <w:rPr>
          <w:rFonts w:hint="eastAsia" w:ascii="Arial" w:hAnsi="Arial" w:eastAsia="宋体" w:cs="Arial"/>
          <w:snapToGrid w:val="0"/>
          <w:kern w:val="0"/>
          <w:sz w:val="24"/>
        </w:rPr>
        <w:t xml:space="preserve">, </w:t>
      </w:r>
      <w:r>
        <w:rPr>
          <w:rFonts w:ascii="Arial" w:hAnsi="Arial" w:eastAsia="宋体" w:cs="Arial"/>
          <w:snapToGrid w:val="0"/>
          <w:kern w:val="0"/>
          <w:sz w:val="24"/>
        </w:rPr>
        <w:t>&amp; Kelly, 1990; Gwynne, Cardinal, Easterly, &amp; Callan, 1991; Gwynne,</w:t>
      </w:r>
      <w:r>
        <w:rPr>
          <w:rFonts w:hint="eastAsia" w:ascii="Arial" w:hAnsi="Arial" w:eastAsia="宋体" w:cs="Arial"/>
          <w:snapToGrid w:val="0"/>
          <w:kern w:val="0"/>
          <w:sz w:val="24"/>
        </w:rPr>
        <w:t xml:space="preserve"> </w:t>
      </w:r>
      <w:r>
        <w:rPr>
          <w:rFonts w:ascii="Arial" w:hAnsi="Arial" w:eastAsia="宋体" w:cs="Arial"/>
          <w:snapToGrid w:val="0"/>
          <w:kern w:val="0"/>
          <w:sz w:val="24"/>
        </w:rPr>
        <w:t>Provo, &amp; Callan, 1992</w:t>
      </w:r>
      <w:r>
        <w:rPr>
          <w:rFonts w:hint="eastAsia" w:ascii="Arial" w:hAnsi="Arial" w:eastAsia="宋体" w:cs="Arial"/>
          <w:snapToGrid w:val="0"/>
          <w:kern w:val="0"/>
          <w:sz w:val="24"/>
        </w:rPr>
        <w:t>），即软性隐形眼镜标签的有效性。该项目的一个结局是一系列使隐形眼镜标签更有助于消费者的建议。通常，大多数这些建议对医疗器械贴标（而不仅是隐形眼镜）是有价值的。此处提供的建议作为开发全部医疗器械标签的原则。</w:t>
      </w:r>
    </w:p>
    <w:p w14:paraId="3493A621">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可将本报告视为</w:t>
      </w:r>
      <w:r>
        <w:rPr>
          <w:rFonts w:hint="eastAsia" w:ascii="Arial" w:hAnsi="Arial" w:eastAsia="宋体" w:cs="Arial"/>
          <w:b/>
          <w:snapToGrid w:val="0"/>
          <w:kern w:val="0"/>
          <w:sz w:val="24"/>
        </w:rPr>
        <w:t>《正确书写：开发用于家庭保健治疗中使用的医疗器械的用户说明手册的建议》</w:t>
      </w:r>
      <w:r>
        <w:rPr>
          <w:rFonts w:hint="eastAsia" w:ascii="Arial" w:hAnsi="Arial" w:eastAsia="宋体" w:cs="Arial"/>
          <w:snapToGrid w:val="0"/>
          <w:kern w:val="0"/>
          <w:sz w:val="24"/>
        </w:rPr>
        <w:t>的FDA小册子的相关文件。该小册子为开发从初步计划到宣传最终产品的说明手册的全部开发过程提供了指南。本报告着重于该过程的更普遍方面、潜在说明原理、人为因素和在设计医疗器械有效标签方面涉及的认知心理学。</w:t>
      </w:r>
    </w:p>
    <w:p w14:paraId="1D46FEC2">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本项目根据内容和版式／格式对医疗器械标签进行了思考。内容指的是应纳入到教材中的信息类型。</w:t>
      </w:r>
    </w:p>
    <w:p w14:paraId="55EA0A60">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FB55714">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版式／格式指传递信息的方式和风格。在结合使用时，他们显著影响了医疗器械有效标签的开发。在本报告中按下述方面对内容和版式／格式进行了讨论：</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19"/>
        <w:gridCol w:w="5023"/>
      </w:tblGrid>
      <w:tr w14:paraId="6829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tcPr>
          <w:p w14:paraId="11598D86">
            <w:pPr>
              <w:topLinePunct/>
              <w:adjustRightInd w:val="0"/>
              <w:snapToGrid w:val="0"/>
              <w:spacing w:before="46" w:beforeLines="15" w:line="360" w:lineRule="auto"/>
              <w:ind w:left="840" w:leftChars="400"/>
              <w:rPr>
                <w:rFonts w:ascii="Arial" w:hAnsi="Arial" w:eastAsia="宋体" w:cs="Arial"/>
                <w:b/>
                <w:snapToGrid w:val="0"/>
                <w:kern w:val="0"/>
                <w:sz w:val="24"/>
              </w:rPr>
            </w:pPr>
            <w:r>
              <w:rPr>
                <w:rFonts w:hint="eastAsia" w:ascii="Arial" w:hAnsi="Arial" w:eastAsia="宋体" w:cs="Arial"/>
                <w:b/>
                <w:snapToGrid w:val="0"/>
                <w:kern w:val="0"/>
                <w:sz w:val="24"/>
              </w:rPr>
              <w:t>内容</w:t>
            </w:r>
          </w:p>
        </w:tc>
        <w:tc>
          <w:tcPr>
            <w:tcW w:w="5023" w:type="dxa"/>
          </w:tcPr>
          <w:p w14:paraId="77EBA9B5">
            <w:pPr>
              <w:topLinePunct/>
              <w:adjustRightInd w:val="0"/>
              <w:snapToGrid w:val="0"/>
              <w:spacing w:before="46" w:beforeLines="15" w:line="360" w:lineRule="auto"/>
              <w:rPr>
                <w:rFonts w:ascii="Arial" w:hAnsi="Arial" w:eastAsia="宋体" w:cs="Arial"/>
                <w:b/>
                <w:snapToGrid w:val="0"/>
                <w:kern w:val="0"/>
                <w:sz w:val="24"/>
              </w:rPr>
            </w:pPr>
            <w:r>
              <w:rPr>
                <w:rFonts w:hint="eastAsia" w:ascii="Arial" w:hAnsi="Arial" w:eastAsia="宋体" w:cs="Arial"/>
                <w:b/>
                <w:snapToGrid w:val="0"/>
                <w:kern w:val="0"/>
                <w:sz w:val="24"/>
              </w:rPr>
              <w:t>版式／格式</w:t>
            </w:r>
          </w:p>
        </w:tc>
      </w:tr>
      <w:tr w14:paraId="7614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tcPr>
          <w:p w14:paraId="41B8586D">
            <w:pPr>
              <w:topLinePunct/>
              <w:adjustRightInd w:val="0"/>
              <w:snapToGrid w:val="0"/>
              <w:spacing w:before="46" w:beforeLines="15" w:line="360" w:lineRule="auto"/>
              <w:ind w:left="424" w:leftChars="202"/>
              <w:rPr>
                <w:rFonts w:ascii="Arial" w:hAnsi="Arial" w:eastAsia="宋体" w:cs="Arial"/>
                <w:snapToGrid w:val="0"/>
                <w:kern w:val="0"/>
                <w:sz w:val="24"/>
              </w:rPr>
            </w:pPr>
            <w:r>
              <w:rPr>
                <w:rFonts w:hint="eastAsia" w:ascii="Arial" w:hAnsi="Arial" w:eastAsia="宋体" w:cs="Arial"/>
                <w:snapToGrid w:val="0"/>
                <w:kern w:val="0"/>
                <w:sz w:val="24"/>
              </w:rPr>
              <w:t>结构</w:t>
            </w:r>
          </w:p>
        </w:tc>
        <w:tc>
          <w:tcPr>
            <w:tcW w:w="5023" w:type="dxa"/>
          </w:tcPr>
          <w:p w14:paraId="1E7BFC91">
            <w:pPr>
              <w:topLinePunct/>
              <w:adjustRightInd w:val="0"/>
              <w:snapToGrid w:val="0"/>
              <w:spacing w:before="46" w:beforeLines="15" w:line="360" w:lineRule="auto"/>
              <w:rPr>
                <w:rFonts w:ascii="Arial" w:hAnsi="Arial" w:eastAsia="宋体" w:cs="Arial"/>
                <w:snapToGrid w:val="0"/>
                <w:kern w:val="0"/>
                <w:sz w:val="24"/>
              </w:rPr>
            </w:pPr>
            <w:r>
              <w:rPr>
                <w:rFonts w:hint="eastAsia" w:ascii="Arial" w:hAnsi="Arial" w:eastAsia="宋体" w:cs="Arial"/>
                <w:snapToGrid w:val="0"/>
                <w:kern w:val="0"/>
                <w:sz w:val="24"/>
              </w:rPr>
              <w:t>语言和可读性</w:t>
            </w:r>
          </w:p>
        </w:tc>
      </w:tr>
      <w:tr w14:paraId="6DE0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tcPr>
          <w:p w14:paraId="53C01B8D">
            <w:pPr>
              <w:topLinePunct/>
              <w:adjustRightInd w:val="0"/>
              <w:snapToGrid w:val="0"/>
              <w:spacing w:before="46" w:beforeLines="15" w:line="360" w:lineRule="auto"/>
              <w:ind w:left="424" w:leftChars="202"/>
              <w:rPr>
                <w:rFonts w:ascii="Arial" w:hAnsi="Arial" w:eastAsia="宋体" w:cs="Arial"/>
                <w:snapToGrid w:val="0"/>
                <w:kern w:val="0"/>
                <w:sz w:val="24"/>
              </w:rPr>
            </w:pPr>
            <w:r>
              <w:rPr>
                <w:rFonts w:hint="eastAsia" w:ascii="Arial" w:hAnsi="Arial" w:eastAsia="宋体" w:cs="Arial"/>
                <w:snapToGrid w:val="0"/>
                <w:kern w:val="0"/>
                <w:sz w:val="24"/>
              </w:rPr>
              <w:t>背景信息</w:t>
            </w:r>
          </w:p>
        </w:tc>
        <w:tc>
          <w:tcPr>
            <w:tcW w:w="5023" w:type="dxa"/>
          </w:tcPr>
          <w:p w14:paraId="6DE3A560">
            <w:pPr>
              <w:topLinePunct/>
              <w:adjustRightInd w:val="0"/>
              <w:snapToGrid w:val="0"/>
              <w:spacing w:before="46" w:beforeLines="15" w:line="360" w:lineRule="auto"/>
              <w:rPr>
                <w:rFonts w:ascii="Arial" w:hAnsi="Arial" w:eastAsia="宋体" w:cs="Arial"/>
                <w:snapToGrid w:val="0"/>
                <w:kern w:val="0"/>
                <w:sz w:val="24"/>
              </w:rPr>
            </w:pPr>
            <w:r>
              <w:rPr>
                <w:rFonts w:hint="eastAsia" w:ascii="Arial" w:hAnsi="Arial" w:eastAsia="宋体" w:cs="Arial"/>
                <w:snapToGrid w:val="0"/>
                <w:kern w:val="0"/>
                <w:sz w:val="24"/>
              </w:rPr>
              <w:t>插图和图形</w:t>
            </w:r>
          </w:p>
        </w:tc>
      </w:tr>
      <w:tr w14:paraId="4723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tcPr>
          <w:p w14:paraId="1A30CA83">
            <w:pPr>
              <w:topLinePunct/>
              <w:adjustRightInd w:val="0"/>
              <w:snapToGrid w:val="0"/>
              <w:spacing w:before="46" w:beforeLines="15" w:line="360" w:lineRule="auto"/>
              <w:ind w:left="424" w:leftChars="202"/>
              <w:rPr>
                <w:rFonts w:ascii="Arial" w:hAnsi="Arial" w:eastAsia="宋体" w:cs="Arial"/>
                <w:snapToGrid w:val="0"/>
                <w:kern w:val="0"/>
                <w:sz w:val="24"/>
              </w:rPr>
            </w:pPr>
            <w:r>
              <w:rPr>
                <w:rFonts w:hint="eastAsia" w:ascii="Arial" w:hAnsi="Arial" w:eastAsia="宋体" w:cs="Arial"/>
                <w:snapToGrid w:val="0"/>
                <w:kern w:val="0"/>
                <w:sz w:val="24"/>
              </w:rPr>
              <w:t>程序</w:t>
            </w:r>
          </w:p>
        </w:tc>
        <w:tc>
          <w:tcPr>
            <w:tcW w:w="5023" w:type="dxa"/>
          </w:tcPr>
          <w:p w14:paraId="21C08535">
            <w:pPr>
              <w:topLinePunct/>
              <w:adjustRightInd w:val="0"/>
              <w:snapToGrid w:val="0"/>
              <w:spacing w:before="46" w:beforeLines="15" w:line="360" w:lineRule="auto"/>
              <w:rPr>
                <w:rFonts w:ascii="Arial" w:hAnsi="Arial" w:eastAsia="宋体" w:cs="Arial"/>
                <w:snapToGrid w:val="0"/>
                <w:kern w:val="0"/>
                <w:sz w:val="24"/>
              </w:rPr>
            </w:pPr>
            <w:r>
              <w:rPr>
                <w:rFonts w:hint="eastAsia" w:ascii="Arial" w:hAnsi="Arial" w:eastAsia="宋体" w:cs="Arial"/>
                <w:snapToGrid w:val="0"/>
                <w:kern w:val="0"/>
                <w:sz w:val="24"/>
              </w:rPr>
              <w:t>强调信息</w:t>
            </w:r>
          </w:p>
        </w:tc>
      </w:tr>
      <w:tr w14:paraId="6CBC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tcPr>
          <w:p w14:paraId="51337A32">
            <w:pPr>
              <w:topLinePunct/>
              <w:adjustRightInd w:val="0"/>
              <w:snapToGrid w:val="0"/>
              <w:spacing w:before="46" w:beforeLines="15" w:line="360" w:lineRule="auto"/>
              <w:ind w:left="424" w:leftChars="202"/>
              <w:rPr>
                <w:rFonts w:ascii="Arial" w:hAnsi="Arial" w:eastAsia="宋体" w:cs="Arial"/>
                <w:snapToGrid w:val="0"/>
                <w:kern w:val="0"/>
                <w:sz w:val="24"/>
              </w:rPr>
            </w:pPr>
            <w:r>
              <w:rPr>
                <w:rFonts w:hint="eastAsia" w:ascii="Arial" w:hAnsi="Arial" w:eastAsia="宋体" w:cs="Arial"/>
                <w:snapToGrid w:val="0"/>
                <w:kern w:val="0"/>
                <w:sz w:val="24"/>
              </w:rPr>
              <w:t>风险沟通</w:t>
            </w:r>
          </w:p>
        </w:tc>
        <w:tc>
          <w:tcPr>
            <w:tcW w:w="5023" w:type="dxa"/>
          </w:tcPr>
          <w:p w14:paraId="543CBA49">
            <w:pPr>
              <w:topLinePunct/>
              <w:adjustRightInd w:val="0"/>
              <w:snapToGrid w:val="0"/>
              <w:spacing w:before="46" w:beforeLines="15" w:line="360" w:lineRule="auto"/>
              <w:rPr>
                <w:rFonts w:ascii="Arial" w:hAnsi="Arial" w:eastAsia="宋体" w:cs="Arial"/>
                <w:snapToGrid w:val="0"/>
                <w:kern w:val="0"/>
                <w:sz w:val="24"/>
              </w:rPr>
            </w:pPr>
            <w:r>
              <w:rPr>
                <w:rFonts w:hint="eastAsia" w:ascii="Arial" w:hAnsi="Arial" w:eastAsia="宋体" w:cs="Arial"/>
                <w:snapToGrid w:val="0"/>
                <w:kern w:val="0"/>
                <w:sz w:val="24"/>
              </w:rPr>
              <w:t>印刷格式和易读性</w:t>
            </w:r>
          </w:p>
        </w:tc>
      </w:tr>
      <w:tr w14:paraId="67FF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tcPr>
          <w:p w14:paraId="58B755EB">
            <w:pPr>
              <w:topLinePunct/>
              <w:adjustRightInd w:val="0"/>
              <w:snapToGrid w:val="0"/>
              <w:spacing w:before="46" w:beforeLines="15" w:line="360" w:lineRule="auto"/>
              <w:ind w:left="424" w:leftChars="202"/>
              <w:rPr>
                <w:rFonts w:ascii="Arial" w:hAnsi="Arial" w:eastAsia="宋体" w:cs="Arial"/>
                <w:snapToGrid w:val="0"/>
                <w:kern w:val="0"/>
                <w:sz w:val="24"/>
              </w:rPr>
            </w:pPr>
            <w:r>
              <w:rPr>
                <w:rFonts w:hint="eastAsia" w:ascii="Arial" w:hAnsi="Arial" w:eastAsia="宋体" w:cs="Arial"/>
                <w:snapToGrid w:val="0"/>
                <w:kern w:val="0"/>
                <w:sz w:val="24"/>
              </w:rPr>
              <w:t>补充信息</w:t>
            </w:r>
          </w:p>
        </w:tc>
        <w:tc>
          <w:tcPr>
            <w:tcW w:w="5023" w:type="dxa"/>
          </w:tcPr>
          <w:p w14:paraId="450C9FCF">
            <w:pPr>
              <w:topLinePunct/>
              <w:adjustRightInd w:val="0"/>
              <w:snapToGrid w:val="0"/>
              <w:spacing w:before="46" w:beforeLines="15" w:line="360" w:lineRule="auto"/>
              <w:rPr>
                <w:rFonts w:ascii="Arial" w:hAnsi="Arial" w:eastAsia="宋体" w:cs="Arial"/>
                <w:snapToGrid w:val="0"/>
                <w:kern w:val="0"/>
                <w:sz w:val="24"/>
              </w:rPr>
            </w:pPr>
            <w:r>
              <w:rPr>
                <w:rFonts w:hint="eastAsia" w:ascii="Arial" w:hAnsi="Arial" w:eastAsia="宋体" w:cs="Arial"/>
                <w:snapToGrid w:val="0"/>
                <w:kern w:val="0"/>
                <w:sz w:val="24"/>
              </w:rPr>
              <w:t>物理特征</w:t>
            </w:r>
          </w:p>
        </w:tc>
      </w:tr>
    </w:tbl>
    <w:p w14:paraId="76457B23">
      <w:pPr>
        <w:topLinePunct/>
        <w:adjustRightInd w:val="0"/>
        <w:snapToGrid w:val="0"/>
        <w:spacing w:after="234" w:afterLines="75" w:line="360" w:lineRule="auto"/>
        <w:rPr>
          <w:rFonts w:ascii="Arial" w:hAnsi="Arial" w:eastAsia="宋体" w:cs="Arial"/>
          <w:snapToGrid w:val="0"/>
          <w:kern w:val="0"/>
          <w:sz w:val="24"/>
        </w:rPr>
      </w:pPr>
    </w:p>
    <w:p w14:paraId="528A1A22">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已汇总并整合了每个</w:t>
      </w:r>
      <w:r>
        <w:rPr>
          <w:rFonts w:hint="eastAsia" w:ascii="Arial" w:hAnsi="Arial" w:eastAsia="宋体" w:cs="Arial"/>
          <w:b/>
          <w:snapToGrid w:val="0"/>
          <w:kern w:val="0"/>
          <w:sz w:val="24"/>
        </w:rPr>
        <w:t>领域</w:t>
      </w:r>
      <w:r>
        <w:rPr>
          <w:rFonts w:hint="eastAsia" w:ascii="Arial" w:hAnsi="Arial" w:eastAsia="宋体" w:cs="Arial"/>
          <w:snapToGrid w:val="0"/>
          <w:kern w:val="0"/>
          <w:sz w:val="24"/>
        </w:rPr>
        <w:t>中的文件设计研究、人为因素和认知心理学，从而提供有效医疗器械标签的原则。在对每个</w:t>
      </w:r>
      <w:r>
        <w:rPr>
          <w:rFonts w:hint="eastAsia" w:ascii="Arial" w:hAnsi="Arial" w:eastAsia="宋体" w:cs="Arial"/>
          <w:b/>
          <w:snapToGrid w:val="0"/>
          <w:kern w:val="0"/>
          <w:sz w:val="24"/>
        </w:rPr>
        <w:t>领域</w:t>
      </w:r>
      <w:r>
        <w:rPr>
          <w:rFonts w:hint="eastAsia" w:ascii="Arial" w:hAnsi="Arial" w:eastAsia="宋体" w:cs="Arial"/>
          <w:snapToGrid w:val="0"/>
          <w:kern w:val="0"/>
          <w:sz w:val="24"/>
        </w:rPr>
        <w:t>进行讨论后，均提供了项目和书籍的参考列表。本报告结尾部分的参考文献包括每个</w:t>
      </w:r>
      <w:r>
        <w:rPr>
          <w:rFonts w:hint="eastAsia" w:ascii="Arial" w:hAnsi="Arial" w:eastAsia="宋体" w:cs="Arial"/>
          <w:b/>
          <w:snapToGrid w:val="0"/>
          <w:kern w:val="0"/>
          <w:sz w:val="24"/>
        </w:rPr>
        <w:t>领域</w:t>
      </w:r>
      <w:r>
        <w:rPr>
          <w:rFonts w:hint="eastAsia" w:ascii="Arial" w:hAnsi="Arial" w:eastAsia="宋体" w:cs="Arial"/>
          <w:snapToGrid w:val="0"/>
          <w:kern w:val="0"/>
          <w:sz w:val="24"/>
        </w:rPr>
        <w:t>的一系列完整的参考文献。本报告第三部分对于医疗器械标签</w:t>
      </w:r>
      <w:r>
        <w:rPr>
          <w:rFonts w:hint="eastAsia" w:ascii="Arial" w:hAnsi="Arial" w:eastAsia="宋体" w:cs="Arial"/>
          <w:b/>
          <w:snapToGrid w:val="0"/>
          <w:kern w:val="0"/>
          <w:sz w:val="24"/>
        </w:rPr>
        <w:t>相关</w:t>
      </w:r>
      <w:r>
        <w:rPr>
          <w:rFonts w:hint="eastAsia" w:ascii="Arial" w:hAnsi="Arial" w:eastAsia="宋体" w:cs="Arial"/>
          <w:snapToGrid w:val="0"/>
          <w:kern w:val="0"/>
          <w:sz w:val="24"/>
        </w:rPr>
        <w:t>的主题（尽管不作为主要观点的中心）进行了讨论。这些主题包括</w:t>
      </w:r>
      <w:r>
        <w:rPr>
          <w:rFonts w:hint="eastAsia" w:ascii="Arial" w:hAnsi="Arial" w:eastAsia="宋体" w:cs="Arial"/>
          <w:b/>
          <w:snapToGrid w:val="0"/>
          <w:kern w:val="0"/>
          <w:sz w:val="24"/>
        </w:rPr>
        <w:t>教学</w:t>
      </w:r>
      <w:r>
        <w:rPr>
          <w:rFonts w:hint="eastAsia" w:ascii="Arial" w:hAnsi="Arial" w:eastAsia="宋体" w:cs="Arial"/>
          <w:snapToGrid w:val="0"/>
          <w:kern w:val="0"/>
          <w:sz w:val="24"/>
        </w:rPr>
        <w:t>理论、医疗器械标签评估方法、其它教学媒体以及针对医疗器械标签的法规、标准和指导方针。</w:t>
      </w:r>
    </w:p>
    <w:p w14:paraId="59877E21">
      <w:pPr>
        <w:pStyle w:val="2"/>
        <w:keepNext w:val="0"/>
        <w:keepLines w:val="0"/>
        <w:topLinePunct/>
        <w:adjustRightInd w:val="0"/>
        <w:snapToGrid w:val="0"/>
        <w:spacing w:beforeLines="0" w:after="234" w:afterLines="75" w:line="360" w:lineRule="auto"/>
        <w:jc w:val="center"/>
        <w:rPr>
          <w:rFonts w:ascii="Arial" w:hAnsi="Arial" w:eastAsia="宋体" w:cs="Arial"/>
          <w:b/>
          <w:snapToGrid w:val="0"/>
          <w:kern w:val="0"/>
          <w:sz w:val="28"/>
        </w:rPr>
      </w:pPr>
      <w:bookmarkStart w:id="1" w:name="_Toc499280414"/>
      <w:r>
        <w:rPr>
          <w:rFonts w:hint="eastAsia" w:ascii="Arial" w:hAnsi="Arial" w:eastAsia="宋体" w:cs="Arial"/>
          <w:b/>
          <w:snapToGrid w:val="0"/>
          <w:kern w:val="0"/>
          <w:sz w:val="28"/>
        </w:rPr>
        <w:t>内容</w:t>
      </w:r>
      <w:bookmarkEnd w:id="1"/>
    </w:p>
    <w:p w14:paraId="235415B3">
      <w:pPr>
        <w:pStyle w:val="3"/>
        <w:keepNext w:val="0"/>
        <w:keepLines w:val="0"/>
        <w:topLinePunct/>
        <w:adjustRightInd w:val="0"/>
        <w:snapToGrid w:val="0"/>
        <w:spacing w:beforeLines="0" w:after="234" w:afterLines="75" w:line="360" w:lineRule="auto"/>
        <w:rPr>
          <w:rFonts w:ascii="Arial" w:hAnsi="Arial" w:eastAsia="宋体" w:cs="Arial"/>
          <w:b/>
          <w:snapToGrid w:val="0"/>
          <w:kern w:val="0"/>
          <w:sz w:val="24"/>
        </w:rPr>
      </w:pPr>
      <w:bookmarkStart w:id="2" w:name="_Toc499280415"/>
      <w:r>
        <w:rPr>
          <w:rFonts w:hint="eastAsia" w:ascii="Arial" w:hAnsi="Arial" w:eastAsia="宋体" w:cs="Arial"/>
          <w:b/>
          <w:snapToGrid w:val="0"/>
          <w:kern w:val="0"/>
          <w:sz w:val="24"/>
        </w:rPr>
        <w:t>结构</w:t>
      </w:r>
      <w:bookmarkEnd w:id="2"/>
    </w:p>
    <w:p w14:paraId="4E25FA5D">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结构指如何安排标签中彼此相关的主题。结构是如何有效了解和遵循标签的主要决定因素。通常，第一部分应包括与医疗器械目的相关的背景信息。请在此处提及与器械使用相关的任何重大危害。接下来的部分应对器械操作和维护程序进行说明。同样，通常也需要描述潜在健康风险和器械故障排除的部分。</w:t>
      </w:r>
    </w:p>
    <w:p w14:paraId="3427DDDB">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结构要素的举例</w:t>
      </w:r>
      <w:r>
        <w:rPr>
          <w:rFonts w:hint="eastAsia" w:ascii="Arial" w:hAnsi="Arial" w:eastAsia="宋体" w:cs="Arial"/>
          <w:b/>
          <w:snapToGrid w:val="0"/>
          <w:kern w:val="0"/>
          <w:sz w:val="24"/>
        </w:rPr>
        <w:t>有</w:t>
      </w:r>
      <w:r>
        <w:rPr>
          <w:rFonts w:hint="eastAsia" w:ascii="Arial" w:hAnsi="Arial" w:eastAsia="宋体" w:cs="Arial"/>
          <w:snapToGrid w:val="0"/>
          <w:kern w:val="0"/>
          <w:sz w:val="24"/>
        </w:rPr>
        <w:t>主题、标题、副标题和总结。其可辅助快速定位信息、改善器械操作的维持、激励用户使用以定期贴标、并强调实施程序的顺序。诸如目录和边缘索引表等结构要素有助于帮助阅读者定位特定主体。这些要素还能提高对各步骤之间关联性的理解。</w:t>
      </w:r>
    </w:p>
    <w:p w14:paraId="710F6537">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08080B0B">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下述眼镜护理说明册的目录显示了标题和子标题的叙述主体如何传答出每部分的内容。这些主题与说明册文本中的标题和子标题逐字对应。</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42"/>
      </w:tblGrid>
      <w:tr w14:paraId="53E326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06" w:type="dxa"/>
          </w:tcPr>
          <w:p w14:paraId="70C18903">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结构举例</w:t>
            </w:r>
          </w:p>
          <w:p w14:paraId="63A2384D">
            <w:pPr>
              <w:topLinePunct/>
              <w:adjustRightInd w:val="0"/>
              <w:snapToGrid w:val="0"/>
              <w:spacing w:before="46" w:beforeLines="15" w:line="360" w:lineRule="auto"/>
              <w:ind w:left="1134" w:leftChars="540"/>
              <w:rPr>
                <w:rFonts w:ascii="Arial" w:hAnsi="Arial" w:eastAsia="宋体" w:cs="Arial"/>
                <w:i/>
                <w:snapToGrid w:val="0"/>
                <w:kern w:val="0"/>
              </w:rPr>
            </w:pPr>
            <w:r>
              <w:rPr>
                <w:rFonts w:hint="eastAsia" w:ascii="Arial" w:hAnsi="Arial" w:eastAsia="宋体" w:cs="Arial"/>
                <w:i/>
                <w:snapToGrid w:val="0"/>
                <w:kern w:val="0"/>
              </w:rPr>
              <w:t>目录</w:t>
            </w:r>
          </w:p>
          <w:p w14:paraId="30A0801E">
            <w:pPr>
              <w:tabs>
                <w:tab w:val="right" w:leader="dot" w:pos="7797"/>
              </w:tabs>
              <w:topLinePunct/>
              <w:adjustRightInd w:val="0"/>
              <w:snapToGrid w:val="0"/>
              <w:spacing w:before="46" w:beforeLines="15" w:line="360" w:lineRule="auto"/>
              <w:ind w:left="1134" w:leftChars="540"/>
              <w:rPr>
                <w:rFonts w:ascii="Arial" w:hAnsi="Arial" w:eastAsia="宋体" w:cs="Arial"/>
                <w:snapToGrid w:val="0"/>
                <w:kern w:val="0"/>
              </w:rPr>
            </w:pPr>
            <w:r>
              <w:rPr>
                <w:rFonts w:hint="eastAsia" w:ascii="Arial" w:hAnsi="Arial" w:eastAsia="宋体" w:cs="Arial"/>
                <w:snapToGrid w:val="0"/>
                <w:kern w:val="0"/>
              </w:rPr>
              <w:t>隐形眼镜护理表</w:t>
            </w:r>
            <w:r>
              <w:rPr>
                <w:rFonts w:hint="eastAsia" w:ascii="Arial" w:hAnsi="Arial" w:eastAsia="宋体" w:cs="Arial"/>
                <w:snapToGrid w:val="0"/>
                <w:kern w:val="0"/>
              </w:rPr>
              <w:tab/>
            </w:r>
            <w:r>
              <w:rPr>
                <w:rFonts w:hint="eastAsia" w:ascii="Arial" w:hAnsi="Arial" w:eastAsia="宋体" w:cs="Arial"/>
                <w:snapToGrid w:val="0"/>
                <w:kern w:val="0"/>
              </w:rPr>
              <w:t>2</w:t>
            </w:r>
          </w:p>
          <w:p w14:paraId="5FE2F458">
            <w:pPr>
              <w:tabs>
                <w:tab w:val="right" w:leader="dot" w:pos="7797"/>
              </w:tabs>
              <w:topLinePunct/>
              <w:adjustRightInd w:val="0"/>
              <w:snapToGrid w:val="0"/>
              <w:spacing w:before="46" w:beforeLines="15" w:line="360" w:lineRule="auto"/>
              <w:ind w:left="1134" w:leftChars="540"/>
              <w:rPr>
                <w:rFonts w:ascii="Arial" w:hAnsi="Arial" w:eastAsia="宋体" w:cs="Arial"/>
                <w:snapToGrid w:val="0"/>
                <w:kern w:val="0"/>
              </w:rPr>
            </w:pPr>
            <w:r>
              <w:rPr>
                <w:rFonts w:hint="eastAsia" w:ascii="Arial" w:hAnsi="Arial" w:eastAsia="宋体" w:cs="Arial"/>
                <w:snapToGrid w:val="0"/>
                <w:kern w:val="0"/>
              </w:rPr>
              <w:t>引言</w:t>
            </w:r>
            <w:r>
              <w:rPr>
                <w:rFonts w:hint="eastAsia" w:ascii="Arial" w:hAnsi="Arial" w:eastAsia="宋体" w:cs="Arial"/>
                <w:snapToGrid w:val="0"/>
                <w:kern w:val="0"/>
              </w:rPr>
              <w:tab/>
            </w:r>
            <w:r>
              <w:rPr>
                <w:rFonts w:hint="eastAsia" w:ascii="Arial" w:hAnsi="Arial" w:eastAsia="宋体" w:cs="Arial"/>
                <w:snapToGrid w:val="0"/>
                <w:kern w:val="0"/>
              </w:rPr>
              <w:t>3</w:t>
            </w:r>
          </w:p>
          <w:p w14:paraId="3D32F93D">
            <w:pPr>
              <w:tabs>
                <w:tab w:val="right" w:leader="dot" w:pos="7797"/>
              </w:tabs>
              <w:topLinePunct/>
              <w:adjustRightInd w:val="0"/>
              <w:snapToGrid w:val="0"/>
              <w:spacing w:before="46" w:beforeLines="15" w:line="360" w:lineRule="auto"/>
              <w:ind w:left="1134" w:leftChars="540"/>
              <w:rPr>
                <w:rFonts w:ascii="Arial" w:hAnsi="Arial" w:eastAsia="宋体" w:cs="Arial"/>
                <w:snapToGrid w:val="0"/>
                <w:kern w:val="0"/>
              </w:rPr>
            </w:pPr>
            <w:r>
              <w:rPr>
                <w:rFonts w:hint="eastAsia" w:ascii="Arial" w:hAnsi="Arial" w:eastAsia="宋体" w:cs="Arial"/>
                <w:snapToGrid w:val="0"/>
                <w:kern w:val="0"/>
              </w:rPr>
              <w:t>一般预防措施</w:t>
            </w:r>
            <w:r>
              <w:rPr>
                <w:rFonts w:hint="eastAsia" w:ascii="Arial" w:hAnsi="Arial" w:eastAsia="宋体" w:cs="Arial"/>
                <w:snapToGrid w:val="0"/>
                <w:kern w:val="0"/>
              </w:rPr>
              <w:tab/>
            </w:r>
            <w:r>
              <w:rPr>
                <w:rFonts w:hint="eastAsia" w:ascii="Arial" w:hAnsi="Arial" w:eastAsia="宋体" w:cs="Arial"/>
                <w:snapToGrid w:val="0"/>
                <w:kern w:val="0"/>
              </w:rPr>
              <w:t>4</w:t>
            </w:r>
          </w:p>
          <w:p w14:paraId="6F65EDB1">
            <w:pPr>
              <w:tabs>
                <w:tab w:val="right" w:leader="dot" w:pos="7797"/>
              </w:tabs>
              <w:topLinePunct/>
              <w:adjustRightInd w:val="0"/>
              <w:snapToGrid w:val="0"/>
              <w:spacing w:before="46" w:beforeLines="15" w:line="360" w:lineRule="auto"/>
              <w:ind w:left="1134" w:leftChars="540"/>
              <w:rPr>
                <w:rFonts w:ascii="Arial" w:hAnsi="Arial" w:eastAsia="宋体" w:cs="Arial"/>
                <w:snapToGrid w:val="0"/>
                <w:kern w:val="0"/>
              </w:rPr>
            </w:pPr>
            <w:r>
              <w:rPr>
                <w:rFonts w:hint="eastAsia" w:ascii="Arial" w:hAnsi="Arial" w:eastAsia="宋体" w:cs="Arial"/>
                <w:snapToGrid w:val="0"/>
                <w:kern w:val="0"/>
              </w:rPr>
              <w:t>戴上隐形眼镜</w:t>
            </w:r>
            <w:r>
              <w:rPr>
                <w:rFonts w:hint="eastAsia" w:ascii="Arial" w:hAnsi="Arial" w:eastAsia="宋体" w:cs="Arial"/>
                <w:snapToGrid w:val="0"/>
                <w:kern w:val="0"/>
              </w:rPr>
              <w:tab/>
            </w:r>
            <w:r>
              <w:rPr>
                <w:rFonts w:hint="eastAsia" w:ascii="Arial" w:hAnsi="Arial" w:eastAsia="宋体" w:cs="Arial"/>
                <w:snapToGrid w:val="0"/>
                <w:kern w:val="0"/>
              </w:rPr>
              <w:t>9</w:t>
            </w:r>
          </w:p>
          <w:p w14:paraId="193AC2B8">
            <w:pPr>
              <w:tabs>
                <w:tab w:val="right" w:leader="dot" w:pos="7797"/>
              </w:tabs>
              <w:topLinePunct/>
              <w:adjustRightInd w:val="0"/>
              <w:snapToGrid w:val="0"/>
              <w:spacing w:before="46" w:beforeLines="15" w:line="360" w:lineRule="auto"/>
              <w:ind w:left="1134" w:leftChars="540"/>
              <w:rPr>
                <w:rFonts w:ascii="Arial" w:hAnsi="Arial" w:eastAsia="宋体" w:cs="Arial"/>
                <w:snapToGrid w:val="0"/>
                <w:kern w:val="0"/>
              </w:rPr>
            </w:pPr>
            <w:r>
              <w:rPr>
                <w:rFonts w:hint="eastAsia" w:ascii="Arial" w:hAnsi="Arial" w:eastAsia="宋体" w:cs="Arial"/>
                <w:snapToGrid w:val="0"/>
                <w:kern w:val="0"/>
              </w:rPr>
              <w:t>取下隐形眼镜</w:t>
            </w:r>
            <w:r>
              <w:rPr>
                <w:rFonts w:hint="eastAsia" w:ascii="Arial" w:hAnsi="Arial" w:eastAsia="宋体" w:cs="Arial"/>
                <w:snapToGrid w:val="0"/>
                <w:kern w:val="0"/>
              </w:rPr>
              <w:tab/>
            </w:r>
            <w:r>
              <w:rPr>
                <w:rFonts w:hint="eastAsia" w:ascii="Arial" w:hAnsi="Arial" w:eastAsia="宋体" w:cs="Arial"/>
                <w:snapToGrid w:val="0"/>
                <w:kern w:val="0"/>
              </w:rPr>
              <w:t>17</w:t>
            </w:r>
          </w:p>
          <w:p w14:paraId="653CD60B">
            <w:pPr>
              <w:tabs>
                <w:tab w:val="right" w:leader="dot" w:pos="7797"/>
              </w:tabs>
              <w:topLinePunct/>
              <w:adjustRightInd w:val="0"/>
              <w:snapToGrid w:val="0"/>
              <w:spacing w:before="46" w:beforeLines="15" w:line="360" w:lineRule="auto"/>
              <w:ind w:left="1134" w:leftChars="540"/>
              <w:rPr>
                <w:rFonts w:ascii="Arial" w:hAnsi="Arial" w:eastAsia="宋体" w:cs="Arial"/>
                <w:snapToGrid w:val="0"/>
                <w:kern w:val="0"/>
              </w:rPr>
            </w:pPr>
            <w:r>
              <w:rPr>
                <w:rFonts w:hint="eastAsia" w:ascii="Arial" w:hAnsi="Arial" w:eastAsia="宋体" w:cs="Arial"/>
                <w:snapToGrid w:val="0"/>
                <w:kern w:val="0"/>
              </w:rPr>
              <w:t>清洁和消毒</w:t>
            </w:r>
            <w:r>
              <w:rPr>
                <w:rFonts w:hint="eastAsia" w:ascii="Arial" w:hAnsi="Arial" w:eastAsia="宋体" w:cs="Arial"/>
                <w:snapToGrid w:val="0"/>
                <w:kern w:val="0"/>
              </w:rPr>
              <w:tab/>
            </w:r>
            <w:r>
              <w:rPr>
                <w:rFonts w:hint="eastAsia" w:ascii="Arial" w:hAnsi="Arial" w:eastAsia="宋体" w:cs="Arial"/>
                <w:snapToGrid w:val="0"/>
                <w:kern w:val="0"/>
              </w:rPr>
              <w:t>21</w:t>
            </w:r>
          </w:p>
          <w:p w14:paraId="3FC6A25B">
            <w:pPr>
              <w:tabs>
                <w:tab w:val="right" w:leader="dot" w:pos="7797"/>
              </w:tabs>
              <w:topLinePunct/>
              <w:adjustRightInd w:val="0"/>
              <w:snapToGrid w:val="0"/>
              <w:spacing w:before="46" w:beforeLines="15" w:line="360" w:lineRule="auto"/>
              <w:ind w:left="1701" w:leftChars="810"/>
              <w:rPr>
                <w:rFonts w:ascii="Arial" w:hAnsi="Arial" w:eastAsia="宋体" w:cs="Arial"/>
                <w:snapToGrid w:val="0"/>
                <w:kern w:val="0"/>
              </w:rPr>
            </w:pPr>
            <w:r>
              <w:rPr>
                <w:rFonts w:hint="eastAsia" w:ascii="Arial" w:hAnsi="Arial" w:eastAsia="宋体" w:cs="Arial"/>
                <w:snapToGrid w:val="0"/>
                <w:kern w:val="0"/>
              </w:rPr>
              <w:t>冷（化学）消毒</w:t>
            </w:r>
            <w:r>
              <w:rPr>
                <w:rFonts w:hint="eastAsia" w:ascii="Arial" w:hAnsi="Arial" w:eastAsia="宋体" w:cs="Arial"/>
                <w:snapToGrid w:val="0"/>
                <w:kern w:val="0"/>
              </w:rPr>
              <w:tab/>
            </w:r>
            <w:r>
              <w:rPr>
                <w:rFonts w:hint="eastAsia" w:ascii="Arial" w:hAnsi="Arial" w:eastAsia="宋体" w:cs="Arial"/>
                <w:snapToGrid w:val="0"/>
                <w:kern w:val="0"/>
              </w:rPr>
              <w:t>26</w:t>
            </w:r>
          </w:p>
          <w:p w14:paraId="29697517">
            <w:pPr>
              <w:tabs>
                <w:tab w:val="right" w:leader="dot" w:pos="7797"/>
              </w:tabs>
              <w:topLinePunct/>
              <w:adjustRightInd w:val="0"/>
              <w:snapToGrid w:val="0"/>
              <w:spacing w:before="46" w:beforeLines="15" w:line="360" w:lineRule="auto"/>
              <w:ind w:left="1701" w:leftChars="810"/>
              <w:rPr>
                <w:rFonts w:ascii="Arial" w:hAnsi="Arial" w:eastAsia="宋体" w:cs="Arial"/>
                <w:snapToGrid w:val="0"/>
                <w:kern w:val="0"/>
              </w:rPr>
            </w:pPr>
            <w:r>
              <w:rPr>
                <w:rFonts w:hint="eastAsia" w:ascii="Arial" w:hAnsi="Arial" w:eastAsia="宋体" w:cs="Arial"/>
                <w:snapToGrid w:val="0"/>
                <w:kern w:val="0"/>
              </w:rPr>
              <w:t>热（热量）消毒</w:t>
            </w:r>
            <w:r>
              <w:rPr>
                <w:rFonts w:hint="eastAsia" w:ascii="Arial" w:hAnsi="Arial" w:eastAsia="宋体" w:cs="Arial"/>
                <w:snapToGrid w:val="0"/>
                <w:kern w:val="0"/>
              </w:rPr>
              <w:tab/>
            </w:r>
            <w:r>
              <w:rPr>
                <w:rFonts w:hint="eastAsia" w:ascii="Arial" w:hAnsi="Arial" w:eastAsia="宋体" w:cs="Arial"/>
                <w:snapToGrid w:val="0"/>
                <w:kern w:val="0"/>
              </w:rPr>
              <w:t>28</w:t>
            </w:r>
          </w:p>
          <w:p w14:paraId="2A3682C0">
            <w:pPr>
              <w:tabs>
                <w:tab w:val="right" w:leader="dot" w:pos="7797"/>
              </w:tabs>
              <w:topLinePunct/>
              <w:adjustRightInd w:val="0"/>
              <w:snapToGrid w:val="0"/>
              <w:spacing w:before="46" w:beforeLines="15" w:line="360" w:lineRule="auto"/>
              <w:ind w:left="1701" w:leftChars="810"/>
              <w:rPr>
                <w:rFonts w:ascii="Arial" w:hAnsi="Arial" w:eastAsia="宋体" w:cs="Arial"/>
                <w:snapToGrid w:val="0"/>
                <w:kern w:val="0"/>
              </w:rPr>
            </w:pPr>
            <w:r>
              <w:rPr>
                <w:rFonts w:hint="eastAsia" w:ascii="Arial" w:hAnsi="Arial" w:eastAsia="宋体" w:cs="Arial"/>
                <w:snapToGrid w:val="0"/>
                <w:kern w:val="0"/>
              </w:rPr>
              <w:t>紧急热消毒</w:t>
            </w:r>
            <w:r>
              <w:rPr>
                <w:rFonts w:hint="eastAsia" w:ascii="Arial" w:hAnsi="Arial" w:eastAsia="宋体" w:cs="Arial"/>
                <w:snapToGrid w:val="0"/>
                <w:kern w:val="0"/>
              </w:rPr>
              <w:tab/>
            </w:r>
            <w:r>
              <w:rPr>
                <w:rFonts w:hint="eastAsia" w:ascii="Arial" w:hAnsi="Arial" w:eastAsia="宋体" w:cs="Arial"/>
                <w:snapToGrid w:val="0"/>
                <w:kern w:val="0"/>
              </w:rPr>
              <w:t>30</w:t>
            </w:r>
          </w:p>
          <w:p w14:paraId="619CB16A">
            <w:pPr>
              <w:tabs>
                <w:tab w:val="right" w:leader="dot" w:pos="7797"/>
              </w:tabs>
              <w:topLinePunct/>
              <w:adjustRightInd w:val="0"/>
              <w:snapToGrid w:val="0"/>
              <w:spacing w:before="46" w:beforeLines="15" w:line="360" w:lineRule="auto"/>
              <w:ind w:left="1701" w:leftChars="810"/>
              <w:rPr>
                <w:rFonts w:ascii="Arial" w:hAnsi="Arial" w:eastAsia="宋体" w:cs="Arial"/>
                <w:snapToGrid w:val="0"/>
                <w:kern w:val="0"/>
              </w:rPr>
            </w:pPr>
            <w:r>
              <w:rPr>
                <w:rFonts w:hint="eastAsia" w:ascii="Arial" w:hAnsi="Arial" w:eastAsia="宋体" w:cs="Arial"/>
                <w:snapToGrid w:val="0"/>
                <w:kern w:val="0"/>
              </w:rPr>
              <w:t>酶清洁</w:t>
            </w:r>
            <w:r>
              <w:rPr>
                <w:rFonts w:hint="eastAsia" w:ascii="Arial" w:hAnsi="Arial" w:eastAsia="宋体" w:cs="Arial"/>
                <w:snapToGrid w:val="0"/>
                <w:kern w:val="0"/>
              </w:rPr>
              <w:tab/>
            </w:r>
            <w:r>
              <w:rPr>
                <w:rFonts w:hint="eastAsia" w:ascii="Arial" w:hAnsi="Arial" w:eastAsia="宋体" w:cs="Arial"/>
                <w:snapToGrid w:val="0"/>
                <w:kern w:val="0"/>
              </w:rPr>
              <w:t>32</w:t>
            </w:r>
          </w:p>
          <w:p w14:paraId="11A7AB73">
            <w:pPr>
              <w:tabs>
                <w:tab w:val="right" w:leader="dot" w:pos="7797"/>
              </w:tabs>
              <w:topLinePunct/>
              <w:adjustRightInd w:val="0"/>
              <w:snapToGrid w:val="0"/>
              <w:spacing w:before="46" w:beforeLines="15" w:line="360" w:lineRule="auto"/>
              <w:ind w:left="1701" w:leftChars="810"/>
              <w:rPr>
                <w:rFonts w:ascii="Arial" w:hAnsi="Arial" w:eastAsia="宋体" w:cs="Arial"/>
                <w:snapToGrid w:val="0"/>
                <w:kern w:val="0"/>
              </w:rPr>
            </w:pPr>
            <w:r>
              <w:rPr>
                <w:rFonts w:hint="eastAsia" w:ascii="Arial" w:hAnsi="Arial" w:eastAsia="宋体" w:cs="Arial"/>
                <w:snapToGrid w:val="0"/>
                <w:kern w:val="0"/>
              </w:rPr>
              <w:t>隐形眼镜盒清洁和消毒</w:t>
            </w:r>
            <w:r>
              <w:rPr>
                <w:rFonts w:hint="eastAsia" w:ascii="Arial" w:hAnsi="Arial" w:eastAsia="宋体" w:cs="Arial"/>
                <w:snapToGrid w:val="0"/>
                <w:kern w:val="0"/>
              </w:rPr>
              <w:tab/>
            </w:r>
            <w:r>
              <w:rPr>
                <w:rFonts w:hint="eastAsia" w:ascii="Arial" w:hAnsi="Arial" w:eastAsia="宋体" w:cs="Arial"/>
                <w:snapToGrid w:val="0"/>
                <w:kern w:val="0"/>
              </w:rPr>
              <w:t>33</w:t>
            </w:r>
          </w:p>
          <w:p w14:paraId="5536BC9A">
            <w:pPr>
              <w:tabs>
                <w:tab w:val="right" w:leader="dot" w:pos="7797"/>
              </w:tabs>
              <w:topLinePunct/>
              <w:adjustRightInd w:val="0"/>
              <w:snapToGrid w:val="0"/>
              <w:spacing w:before="46" w:beforeLines="15" w:line="360" w:lineRule="auto"/>
              <w:ind w:left="1134" w:leftChars="540"/>
              <w:rPr>
                <w:rFonts w:ascii="Arial" w:hAnsi="Arial" w:eastAsia="宋体" w:cs="Arial"/>
                <w:snapToGrid w:val="0"/>
                <w:kern w:val="0"/>
              </w:rPr>
            </w:pPr>
            <w:r>
              <w:rPr>
                <w:rFonts w:hint="eastAsia" w:ascii="Arial" w:hAnsi="Arial" w:eastAsia="宋体" w:cs="Arial"/>
                <w:snapToGrid w:val="0"/>
                <w:kern w:val="0"/>
              </w:rPr>
              <w:t>当您在戴眼镜时出现问题时，该怎么做</w:t>
            </w:r>
            <w:r>
              <w:rPr>
                <w:rFonts w:hint="eastAsia" w:ascii="Arial" w:hAnsi="Arial" w:eastAsia="宋体" w:cs="Arial"/>
                <w:snapToGrid w:val="0"/>
                <w:kern w:val="0"/>
              </w:rPr>
              <w:tab/>
            </w:r>
            <w:r>
              <w:rPr>
                <w:rFonts w:hint="eastAsia" w:ascii="Arial" w:hAnsi="Arial" w:eastAsia="宋体" w:cs="Arial"/>
                <w:snapToGrid w:val="0"/>
                <w:kern w:val="0"/>
              </w:rPr>
              <w:t>35</w:t>
            </w:r>
          </w:p>
        </w:tc>
      </w:tr>
    </w:tbl>
    <w:p w14:paraId="18CCD166">
      <w:pPr>
        <w:topLinePunct/>
        <w:adjustRightInd w:val="0"/>
        <w:snapToGrid w:val="0"/>
        <w:spacing w:after="234" w:afterLines="75" w:line="360" w:lineRule="auto"/>
        <w:rPr>
          <w:rFonts w:ascii="Arial" w:hAnsi="Arial" w:eastAsia="宋体" w:cs="Arial"/>
          <w:snapToGrid w:val="0"/>
          <w:kern w:val="0"/>
          <w:sz w:val="24"/>
        </w:rPr>
      </w:pPr>
    </w:p>
    <w:p w14:paraId="6C380216">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结构参考文献</w:t>
      </w:r>
    </w:p>
    <w:p w14:paraId="015491FA">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Asubel, D.P. (1960). The use of advance organizers in the learning and retention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meaningful verbal material. </w:t>
      </w:r>
      <w:r>
        <w:rPr>
          <w:rFonts w:ascii="Arial" w:hAnsi="Arial" w:eastAsia="宋体" w:cs="Arial"/>
          <w:b/>
          <w:i/>
          <w:snapToGrid w:val="0"/>
          <w:kern w:val="0"/>
          <w:sz w:val="24"/>
          <w:szCs w:val="21"/>
        </w:rPr>
        <w:t>Jouml</w:t>
      </w:r>
      <w:r>
        <w:rPr>
          <w:rFonts w:ascii="Arial" w:hAnsi="Arial" w:eastAsia="宋体" w:cs="Arial"/>
          <w:snapToGrid w:val="0"/>
          <w:kern w:val="0"/>
          <w:sz w:val="24"/>
          <w:szCs w:val="21"/>
        </w:rPr>
        <w:t xml:space="preserve"> of Educational Psychology, 51,267-272.</w:t>
      </w:r>
    </w:p>
    <w:p w14:paraId="451A7C75">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Blaiwes, </w:t>
      </w:r>
      <w:r>
        <w:rPr>
          <w:rFonts w:ascii="Arial" w:hAnsi="Arial" w:eastAsia="宋体" w:cs="Arial"/>
          <w:bCs/>
          <w:snapToGrid w:val="0"/>
          <w:kern w:val="0"/>
          <w:sz w:val="24"/>
          <w:szCs w:val="21"/>
        </w:rPr>
        <w:t>AS. (</w:t>
      </w:r>
      <w:r>
        <w:rPr>
          <w:rFonts w:ascii="Arial" w:hAnsi="Arial" w:eastAsia="宋体" w:cs="Arial"/>
          <w:snapToGrid w:val="0"/>
          <w:kern w:val="0"/>
          <w:sz w:val="24"/>
          <w:szCs w:val="21"/>
        </w:rPr>
        <w:t>1974). Formats for presenting procedural instructions. Jouml of Applied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Psychology, 59, 683-686.</w:t>
      </w:r>
    </w:p>
    <w:p w14:paraId="0F964B97">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Hartley, J., &amp; Jonassen, D.H. (1985). The role of headings in printed and electronic text. In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D.H. Jonassen (Ed.), </w:t>
      </w:r>
      <w:r>
        <w:rPr>
          <w:rFonts w:ascii="Arial" w:hAnsi="Arial" w:eastAsia="宋体" w:cs="Arial"/>
          <w:i/>
          <w:snapToGrid w:val="0"/>
          <w:kern w:val="0"/>
          <w:sz w:val="24"/>
          <w:szCs w:val="21"/>
        </w:rPr>
        <w:t xml:space="preserve">The </w:t>
      </w:r>
      <w:r>
        <w:rPr>
          <w:rFonts w:ascii="Arial" w:hAnsi="Arial" w:eastAsia="宋体" w:cs="Arial"/>
          <w:snapToGrid w:val="0"/>
          <w:kern w:val="0"/>
          <w:sz w:val="24"/>
          <w:szCs w:val="21"/>
        </w:rPr>
        <w:t xml:space="preserve">technology of text, Vol. 2. </w:t>
      </w:r>
      <w:r>
        <w:rPr>
          <w:rFonts w:ascii="Arial" w:hAnsi="Arial" w:eastAsia="宋体" w:cs="Arial"/>
          <w:b/>
          <w:snapToGrid w:val="0"/>
          <w:kern w:val="0"/>
          <w:sz w:val="24"/>
          <w:szCs w:val="21"/>
        </w:rPr>
        <w:t>Englewood</w:t>
      </w:r>
      <w:r>
        <w:rPr>
          <w:rFonts w:ascii="Arial" w:hAnsi="Arial" w:eastAsia="宋体" w:cs="Arial"/>
          <w:snapToGrid w:val="0"/>
          <w:kern w:val="0"/>
          <w:sz w:val="24"/>
          <w:szCs w:val="21"/>
        </w:rPr>
        <w:t xml:space="preserve"> Cliffs, NJ: Educational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Technology Publications.</w:t>
      </w:r>
    </w:p>
    <w:p w14:paraId="60D1C5F4">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Hartley, J., &amp; </w:t>
      </w:r>
      <w:r>
        <w:rPr>
          <w:rFonts w:ascii="Arial" w:hAnsi="Arial" w:eastAsia="宋体" w:cs="Arial"/>
          <w:b/>
          <w:snapToGrid w:val="0"/>
          <w:kern w:val="0"/>
          <w:sz w:val="24"/>
          <w:szCs w:val="21"/>
        </w:rPr>
        <w:t>Trueman, M</w:t>
      </w:r>
      <w:r>
        <w:rPr>
          <w:rFonts w:ascii="Arial" w:hAnsi="Arial" w:eastAsia="宋体" w:cs="Arial"/>
          <w:snapToGrid w:val="0"/>
          <w:kern w:val="0"/>
          <w:sz w:val="24"/>
          <w:szCs w:val="21"/>
        </w:rPr>
        <w:t>. (1981). The effects of changes in layout and changes in wording</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on preferences for instructional text. Visible Language, </w:t>
      </w:r>
      <w:r>
        <w:rPr>
          <w:rFonts w:ascii="Arial" w:hAnsi="Arial" w:eastAsia="宋体" w:cs="Arial"/>
          <w:bCs/>
          <w:i/>
          <w:iCs/>
          <w:snapToGrid w:val="0"/>
          <w:kern w:val="0"/>
          <w:sz w:val="24"/>
          <w:szCs w:val="21"/>
        </w:rPr>
        <w:t>XV</w:t>
      </w:r>
      <w:r>
        <w:rPr>
          <w:rFonts w:ascii="Arial" w:hAnsi="Arial" w:eastAsia="宋体" w:cs="Arial"/>
          <w:b/>
          <w:bCs/>
          <w:i/>
          <w:iCs/>
          <w:snapToGrid w:val="0"/>
          <w:kern w:val="0"/>
          <w:sz w:val="24"/>
          <w:szCs w:val="21"/>
        </w:rPr>
        <w:t xml:space="preserve">, </w:t>
      </w:r>
      <w:r>
        <w:rPr>
          <w:rFonts w:ascii="Arial" w:hAnsi="Arial" w:eastAsia="宋体" w:cs="Arial"/>
          <w:b/>
          <w:snapToGrid w:val="0"/>
          <w:kern w:val="0"/>
          <w:sz w:val="24"/>
          <w:szCs w:val="21"/>
        </w:rPr>
        <w:t>13-3 1</w:t>
      </w:r>
      <w:r>
        <w:rPr>
          <w:rFonts w:ascii="Arial" w:hAnsi="Arial" w:eastAsia="宋体" w:cs="Arial"/>
          <w:snapToGrid w:val="0"/>
          <w:kern w:val="0"/>
          <w:sz w:val="24"/>
          <w:szCs w:val="21"/>
        </w:rPr>
        <w:t>.</w:t>
      </w:r>
    </w:p>
    <w:p w14:paraId="0036E5AD">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Hartley, J., &amp; </w:t>
      </w:r>
      <w:r>
        <w:rPr>
          <w:rFonts w:ascii="Arial" w:hAnsi="Arial" w:eastAsia="宋体" w:cs="Arial"/>
          <w:b/>
          <w:snapToGrid w:val="0"/>
          <w:kern w:val="0"/>
          <w:sz w:val="24"/>
          <w:szCs w:val="21"/>
        </w:rPr>
        <w:t>Trueman, M.</w:t>
      </w:r>
      <w:r>
        <w:rPr>
          <w:rFonts w:ascii="Arial" w:hAnsi="Arial" w:eastAsia="宋体" w:cs="Arial"/>
          <w:snapToGrid w:val="0"/>
          <w:kern w:val="0"/>
          <w:sz w:val="24"/>
          <w:szCs w:val="21"/>
        </w:rPr>
        <w:t xml:space="preserve"> (1985). A research strategy for text designers: The role ofheadings. Instructional Science, </w:t>
      </w:r>
      <w:r>
        <w:rPr>
          <w:rFonts w:ascii="Arial" w:hAnsi="Arial" w:eastAsia="宋体" w:cs="Arial"/>
          <w:bCs/>
          <w:i/>
          <w:iCs/>
          <w:snapToGrid w:val="0"/>
          <w:kern w:val="0"/>
          <w:sz w:val="24"/>
          <w:szCs w:val="21"/>
        </w:rPr>
        <w:t xml:space="preserve">14,99- </w:t>
      </w:r>
      <w:r>
        <w:rPr>
          <w:rFonts w:ascii="Arial" w:hAnsi="Arial" w:eastAsia="宋体" w:cs="Arial"/>
          <w:snapToGrid w:val="0"/>
          <w:kern w:val="0"/>
          <w:sz w:val="24"/>
          <w:szCs w:val="21"/>
        </w:rPr>
        <w:t>155.</w:t>
      </w:r>
    </w:p>
    <w:p w14:paraId="038B40D0">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Mayer, R.E. (1979). Can advance organizers influence meaningful learning? </w:t>
      </w:r>
      <w:r>
        <w:rPr>
          <w:rFonts w:ascii="Arial" w:hAnsi="Arial" w:eastAsia="宋体" w:cs="Arial"/>
          <w:b/>
          <w:bCs/>
          <w:i/>
          <w:iCs/>
          <w:snapToGrid w:val="0"/>
          <w:kern w:val="0"/>
          <w:sz w:val="24"/>
          <w:szCs w:val="21"/>
        </w:rPr>
        <w:t xml:space="preserve">Review </w:t>
      </w:r>
      <w:r>
        <w:rPr>
          <w:rFonts w:ascii="Arial" w:hAnsi="Arial" w:eastAsia="宋体" w:cs="Arial"/>
          <w:b/>
          <w:snapToGrid w:val="0"/>
          <w:kern w:val="0"/>
          <w:sz w:val="24"/>
          <w:szCs w:val="21"/>
        </w:rPr>
        <w:t>of</w:t>
      </w:r>
      <w:r>
        <w:rPr>
          <w:rFonts w:hint="eastAsia" w:ascii="Arial" w:hAnsi="Arial" w:eastAsia="宋体" w:cs="Arial"/>
          <w:b/>
          <w:snapToGrid w:val="0"/>
          <w:kern w:val="0"/>
          <w:sz w:val="24"/>
          <w:szCs w:val="21"/>
        </w:rPr>
        <w:t xml:space="preserve"> </w:t>
      </w:r>
      <w:r>
        <w:rPr>
          <w:rFonts w:ascii="Arial" w:hAnsi="Arial" w:eastAsia="宋体" w:cs="Arial"/>
          <w:b/>
          <w:bCs/>
          <w:i/>
          <w:iCs/>
          <w:snapToGrid w:val="0"/>
          <w:kern w:val="0"/>
          <w:sz w:val="24"/>
          <w:szCs w:val="21"/>
        </w:rPr>
        <w:t xml:space="preserve">Educational </w:t>
      </w:r>
      <w:r>
        <w:rPr>
          <w:rFonts w:ascii="Arial" w:hAnsi="Arial" w:eastAsia="宋体" w:cs="Arial"/>
          <w:snapToGrid w:val="0"/>
          <w:kern w:val="0"/>
          <w:sz w:val="24"/>
          <w:szCs w:val="21"/>
        </w:rPr>
        <w:t>Research, 37.37 1-383.</w:t>
      </w:r>
    </w:p>
    <w:tbl>
      <w:tblPr>
        <w:tblStyle w:val="11"/>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3141B71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06" w:type="dxa"/>
          </w:tcPr>
          <w:p w14:paraId="2A5FB21F">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关于结构的提示</w:t>
            </w:r>
          </w:p>
          <w:p w14:paraId="4D5C85C1">
            <w:pPr>
              <w:pStyle w:val="14"/>
              <w:numPr>
                <w:ilvl w:val="0"/>
                <w:numId w:val="1"/>
              </w:numPr>
              <w:topLinePunct/>
              <w:adjustRightInd w:val="0"/>
              <w:snapToGrid w:val="0"/>
              <w:spacing w:before="46" w:beforeLines="15" w:line="360" w:lineRule="auto"/>
              <w:ind w:left="567" w:leftChars="270" w:firstLine="0" w:firstLineChars="0"/>
              <w:rPr>
                <w:rFonts w:ascii="Arial" w:hAnsi="Arial" w:eastAsia="宋体" w:cs="Arial"/>
                <w:snapToGrid w:val="0"/>
                <w:kern w:val="0"/>
              </w:rPr>
            </w:pPr>
            <w:r>
              <w:rPr>
                <w:rFonts w:hint="eastAsia" w:ascii="Arial" w:hAnsi="Arial" w:eastAsia="宋体" w:cs="Arial"/>
                <w:snapToGrid w:val="0"/>
                <w:kern w:val="0"/>
              </w:rPr>
              <w:t>根据器械操作和维护要求来组织标签主题</w:t>
            </w:r>
          </w:p>
          <w:p w14:paraId="04B32806">
            <w:pPr>
              <w:pStyle w:val="14"/>
              <w:numPr>
                <w:ilvl w:val="0"/>
                <w:numId w:val="1"/>
              </w:numPr>
              <w:topLinePunct/>
              <w:adjustRightInd w:val="0"/>
              <w:snapToGrid w:val="0"/>
              <w:spacing w:before="46" w:beforeLines="15" w:line="360" w:lineRule="auto"/>
              <w:ind w:left="567" w:leftChars="270" w:firstLine="0" w:firstLineChars="0"/>
              <w:rPr>
                <w:rFonts w:ascii="Arial" w:hAnsi="Arial" w:eastAsia="宋体" w:cs="Arial"/>
                <w:snapToGrid w:val="0"/>
                <w:kern w:val="0"/>
              </w:rPr>
            </w:pPr>
            <w:r>
              <w:rPr>
                <w:rFonts w:hint="eastAsia" w:ascii="Arial" w:hAnsi="Arial" w:eastAsia="宋体" w:cs="Arial"/>
                <w:snapToGrid w:val="0"/>
                <w:kern w:val="0"/>
              </w:rPr>
              <w:t>按主题、标题和子标题将不同部分分隔开来</w:t>
            </w:r>
          </w:p>
          <w:p w14:paraId="33731ED3">
            <w:pPr>
              <w:pStyle w:val="14"/>
              <w:numPr>
                <w:ilvl w:val="0"/>
                <w:numId w:val="1"/>
              </w:numPr>
              <w:topLinePunct/>
              <w:adjustRightInd w:val="0"/>
              <w:snapToGrid w:val="0"/>
              <w:spacing w:before="46" w:beforeLines="15" w:line="360" w:lineRule="auto"/>
              <w:ind w:left="567" w:leftChars="270" w:firstLine="0" w:firstLineChars="0"/>
              <w:rPr>
                <w:rFonts w:ascii="Arial" w:hAnsi="Arial" w:eastAsia="宋体" w:cs="Arial"/>
                <w:snapToGrid w:val="0"/>
                <w:kern w:val="0"/>
              </w:rPr>
            </w:pPr>
            <w:r>
              <w:rPr>
                <w:rFonts w:hint="eastAsia" w:ascii="Arial" w:hAnsi="Arial" w:eastAsia="宋体" w:cs="Arial"/>
                <w:snapToGrid w:val="0"/>
                <w:kern w:val="0"/>
              </w:rPr>
              <w:t>先行组织者，如目录，可通过界定标签的主要部分来辅助用户理解</w:t>
            </w:r>
          </w:p>
        </w:tc>
      </w:tr>
    </w:tbl>
    <w:p w14:paraId="6AD6EDF8">
      <w:pPr>
        <w:pStyle w:val="3"/>
        <w:keepNext w:val="0"/>
        <w:keepLines w:val="0"/>
        <w:topLinePunct/>
        <w:adjustRightInd w:val="0"/>
        <w:snapToGrid w:val="0"/>
        <w:spacing w:beforeLines="0" w:after="234" w:afterLines="75" w:line="360" w:lineRule="auto"/>
        <w:rPr>
          <w:rFonts w:ascii="Arial" w:hAnsi="Arial" w:eastAsia="宋体" w:cs="Arial"/>
          <w:snapToGrid w:val="0"/>
          <w:kern w:val="0"/>
          <w:sz w:val="24"/>
        </w:rPr>
      </w:pPr>
      <w:bookmarkStart w:id="3" w:name="_Toc499280416"/>
    </w:p>
    <w:p w14:paraId="146B103F">
      <w:pPr>
        <w:pStyle w:val="3"/>
        <w:keepNext w:val="0"/>
        <w:keepLines w:val="0"/>
        <w:topLinePunct/>
        <w:adjustRightInd w:val="0"/>
        <w:snapToGrid w:val="0"/>
        <w:spacing w:beforeLines="0"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背景信息</w:t>
      </w:r>
      <w:bookmarkEnd w:id="3"/>
    </w:p>
    <w:p w14:paraId="407F5FFF">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背景信息由器械使用者在操作医疗器械之前因更了解的信息组成。在提供如何操作并维护器械的程序之前，在标签的开头提供背景信息，并把它放在一个单独的部分。这可避免背景信息造成用户在操作器械时</w:t>
      </w:r>
      <w:r>
        <w:rPr>
          <w:rFonts w:hint="eastAsia" w:ascii="Arial" w:hAnsi="Arial" w:eastAsia="宋体" w:cs="Arial"/>
          <w:b/>
          <w:snapToGrid w:val="0"/>
          <w:kern w:val="0"/>
          <w:sz w:val="24"/>
        </w:rPr>
        <w:t>分心</w:t>
      </w:r>
      <w:r>
        <w:rPr>
          <w:rFonts w:hint="eastAsia" w:ascii="Arial" w:hAnsi="Arial" w:eastAsia="宋体" w:cs="Arial"/>
          <w:snapToGrid w:val="0"/>
          <w:kern w:val="0"/>
          <w:sz w:val="24"/>
        </w:rPr>
        <w:t>。背景信息包括下述要素：</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1"/>
        <w:gridCol w:w="4621"/>
      </w:tblGrid>
      <w:tr w14:paraId="244F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Pr>
          <w:p w14:paraId="72643E04">
            <w:pPr>
              <w:pStyle w:val="14"/>
              <w:numPr>
                <w:ilvl w:val="0"/>
                <w:numId w:val="2"/>
              </w:numPr>
              <w:topLinePunct/>
              <w:adjustRightInd w:val="0"/>
              <w:snapToGrid w:val="0"/>
              <w:spacing w:line="360" w:lineRule="auto"/>
              <w:ind w:left="1701" w:firstLineChars="0"/>
              <w:rPr>
                <w:rFonts w:ascii="Arial" w:hAnsi="Arial" w:eastAsia="宋体" w:cs="Arial"/>
                <w:snapToGrid w:val="0"/>
                <w:kern w:val="0"/>
                <w:sz w:val="24"/>
              </w:rPr>
            </w:pPr>
            <w:r>
              <w:rPr>
                <w:rFonts w:hint="eastAsia" w:ascii="Arial" w:hAnsi="Arial" w:eastAsia="宋体" w:cs="Arial"/>
                <w:snapToGrid w:val="0"/>
                <w:kern w:val="0"/>
                <w:sz w:val="24"/>
              </w:rPr>
              <w:t>器械的预期使用目的</w:t>
            </w:r>
          </w:p>
        </w:tc>
        <w:tc>
          <w:tcPr>
            <w:tcW w:w="4621" w:type="dxa"/>
          </w:tcPr>
          <w:p w14:paraId="49DDC6A0">
            <w:pPr>
              <w:pStyle w:val="14"/>
              <w:numPr>
                <w:ilvl w:val="0"/>
                <w:numId w:val="2"/>
              </w:numPr>
              <w:topLinePunct/>
              <w:adjustRightInd w:val="0"/>
              <w:snapToGrid w:val="0"/>
              <w:spacing w:line="360" w:lineRule="auto"/>
              <w:ind w:firstLineChars="0"/>
              <w:rPr>
                <w:rFonts w:ascii="Arial" w:hAnsi="Arial" w:eastAsia="宋体" w:cs="Arial"/>
                <w:snapToGrid w:val="0"/>
                <w:kern w:val="0"/>
                <w:sz w:val="24"/>
              </w:rPr>
            </w:pPr>
            <w:r>
              <w:rPr>
                <w:rFonts w:hint="eastAsia" w:ascii="Arial" w:hAnsi="Arial" w:eastAsia="宋体" w:cs="Arial"/>
                <w:snapToGrid w:val="0"/>
                <w:kern w:val="0"/>
                <w:sz w:val="24"/>
              </w:rPr>
              <w:t>器械组件</w:t>
            </w:r>
          </w:p>
        </w:tc>
      </w:tr>
      <w:tr w14:paraId="7A2B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Pr>
          <w:p w14:paraId="28A426D0">
            <w:pPr>
              <w:pStyle w:val="14"/>
              <w:numPr>
                <w:ilvl w:val="0"/>
                <w:numId w:val="2"/>
              </w:numPr>
              <w:topLinePunct/>
              <w:adjustRightInd w:val="0"/>
              <w:snapToGrid w:val="0"/>
              <w:spacing w:line="360" w:lineRule="auto"/>
              <w:ind w:left="1701" w:firstLineChars="0"/>
              <w:rPr>
                <w:rFonts w:ascii="Arial" w:hAnsi="Arial" w:eastAsia="宋体" w:cs="Arial"/>
                <w:snapToGrid w:val="0"/>
                <w:kern w:val="0"/>
                <w:sz w:val="24"/>
              </w:rPr>
            </w:pPr>
            <w:r>
              <w:rPr>
                <w:rFonts w:hint="eastAsia" w:ascii="Arial" w:hAnsi="Arial" w:eastAsia="宋体" w:cs="Arial"/>
                <w:snapToGrid w:val="0"/>
                <w:kern w:val="0"/>
                <w:sz w:val="24"/>
              </w:rPr>
              <w:t>一般警告信息</w:t>
            </w:r>
          </w:p>
        </w:tc>
        <w:tc>
          <w:tcPr>
            <w:tcW w:w="4621" w:type="dxa"/>
          </w:tcPr>
          <w:p w14:paraId="7D469074">
            <w:pPr>
              <w:pStyle w:val="14"/>
              <w:numPr>
                <w:ilvl w:val="0"/>
                <w:numId w:val="2"/>
              </w:numPr>
              <w:topLinePunct/>
              <w:adjustRightInd w:val="0"/>
              <w:snapToGrid w:val="0"/>
              <w:spacing w:line="360" w:lineRule="auto"/>
              <w:ind w:firstLineChars="0"/>
              <w:rPr>
                <w:rFonts w:ascii="Arial" w:hAnsi="Arial" w:eastAsia="宋体" w:cs="Arial"/>
                <w:snapToGrid w:val="0"/>
                <w:kern w:val="0"/>
                <w:sz w:val="24"/>
              </w:rPr>
            </w:pPr>
            <w:r>
              <w:rPr>
                <w:rFonts w:hint="eastAsia" w:ascii="Arial" w:hAnsi="Arial" w:eastAsia="宋体" w:cs="Arial"/>
                <w:snapToGrid w:val="0"/>
                <w:kern w:val="0"/>
                <w:sz w:val="24"/>
              </w:rPr>
              <w:t>器械使用条件</w:t>
            </w:r>
          </w:p>
        </w:tc>
      </w:tr>
      <w:tr w14:paraId="240E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Pr>
          <w:p w14:paraId="3BB16EF3">
            <w:pPr>
              <w:pStyle w:val="14"/>
              <w:numPr>
                <w:ilvl w:val="0"/>
                <w:numId w:val="2"/>
              </w:numPr>
              <w:topLinePunct/>
              <w:adjustRightInd w:val="0"/>
              <w:snapToGrid w:val="0"/>
              <w:spacing w:line="360" w:lineRule="auto"/>
              <w:ind w:left="1701" w:firstLineChars="0"/>
              <w:rPr>
                <w:rFonts w:ascii="Arial" w:hAnsi="Arial" w:eastAsia="宋体" w:cs="Arial"/>
                <w:snapToGrid w:val="0"/>
                <w:kern w:val="0"/>
                <w:sz w:val="24"/>
              </w:rPr>
            </w:pPr>
            <w:r>
              <w:rPr>
                <w:rFonts w:hint="eastAsia" w:ascii="Arial" w:hAnsi="Arial" w:eastAsia="宋体" w:cs="Arial"/>
                <w:snapToGrid w:val="0"/>
                <w:kern w:val="0"/>
                <w:sz w:val="24"/>
              </w:rPr>
              <w:t>供应品和材料</w:t>
            </w:r>
          </w:p>
        </w:tc>
        <w:tc>
          <w:tcPr>
            <w:tcW w:w="4621" w:type="dxa"/>
          </w:tcPr>
          <w:p w14:paraId="71FE2DAB">
            <w:pPr>
              <w:pStyle w:val="14"/>
              <w:numPr>
                <w:ilvl w:val="0"/>
                <w:numId w:val="2"/>
              </w:numPr>
              <w:topLinePunct/>
              <w:adjustRightInd w:val="0"/>
              <w:snapToGrid w:val="0"/>
              <w:spacing w:line="360" w:lineRule="auto"/>
              <w:ind w:firstLineChars="0"/>
              <w:rPr>
                <w:rFonts w:ascii="Arial" w:hAnsi="Arial" w:eastAsia="宋体" w:cs="Arial"/>
                <w:snapToGrid w:val="0"/>
                <w:kern w:val="0"/>
                <w:sz w:val="24"/>
              </w:rPr>
            </w:pPr>
            <w:r>
              <w:rPr>
                <w:rFonts w:hint="eastAsia" w:ascii="Arial" w:hAnsi="Arial" w:eastAsia="宋体" w:cs="Arial"/>
                <w:snapToGrid w:val="0"/>
                <w:kern w:val="0"/>
                <w:sz w:val="24"/>
              </w:rPr>
              <w:t>用户准备</w:t>
            </w:r>
          </w:p>
        </w:tc>
      </w:tr>
    </w:tbl>
    <w:p w14:paraId="2148DD79">
      <w:pPr>
        <w:topLinePunct/>
        <w:adjustRightInd w:val="0"/>
        <w:snapToGrid w:val="0"/>
        <w:spacing w:after="234" w:afterLines="75" w:line="360" w:lineRule="auto"/>
        <w:rPr>
          <w:rFonts w:ascii="Arial" w:hAnsi="Arial" w:eastAsia="宋体" w:cs="Arial"/>
          <w:snapToGrid w:val="0"/>
          <w:kern w:val="0"/>
          <w:sz w:val="24"/>
        </w:rPr>
      </w:pPr>
    </w:p>
    <w:p w14:paraId="216C8B4A">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器械的预期用途</w:t>
      </w:r>
    </w:p>
    <w:p w14:paraId="78AEBAD4">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描述器械的使用目的、使用器械人员的医疗需求、以及器械适应症。解释应如何在保健专业人员的指导下，利用器械提供的信息来监控或治疗医疗条件。</w:t>
      </w:r>
    </w:p>
    <w:p w14:paraId="311727C1">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器械组件</w:t>
      </w:r>
    </w:p>
    <w:p w14:paraId="49FCDBB9">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详细描述器械组件及其功能，因此，器械用户可了解器械的操作原理。提供器械插图，清晰标识每个组件及其文本描述。强调用户需要在使用器械前熟悉器械组件。</w:t>
      </w:r>
    </w:p>
    <w:p w14:paraId="58513CA8">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5C69F25A">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如果为电子器械或机械器械，对全部主要器械特征和操作做出解释，如：</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1"/>
        <w:gridCol w:w="4621"/>
      </w:tblGrid>
      <w:tr w14:paraId="16B9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Pr>
          <w:p w14:paraId="4687326C">
            <w:pPr>
              <w:pStyle w:val="14"/>
              <w:numPr>
                <w:ilvl w:val="0"/>
                <w:numId w:val="3"/>
              </w:numPr>
              <w:topLinePunct/>
              <w:adjustRightInd w:val="0"/>
              <w:snapToGrid w:val="0"/>
              <w:spacing w:line="360" w:lineRule="auto"/>
              <w:ind w:left="1701" w:firstLineChars="0"/>
              <w:rPr>
                <w:rFonts w:ascii="Arial" w:hAnsi="Arial" w:eastAsia="宋体" w:cs="Arial"/>
                <w:snapToGrid w:val="0"/>
                <w:kern w:val="0"/>
                <w:sz w:val="24"/>
              </w:rPr>
            </w:pPr>
            <w:r>
              <w:rPr>
                <w:rFonts w:hint="eastAsia" w:ascii="Arial" w:hAnsi="Arial" w:eastAsia="宋体" w:cs="Arial"/>
                <w:snapToGrid w:val="0"/>
                <w:kern w:val="0"/>
                <w:sz w:val="24"/>
              </w:rPr>
              <w:t xml:space="preserve">操作模式 </w:t>
            </w:r>
          </w:p>
        </w:tc>
        <w:tc>
          <w:tcPr>
            <w:tcW w:w="4621" w:type="dxa"/>
          </w:tcPr>
          <w:p w14:paraId="37A4A922">
            <w:pPr>
              <w:pStyle w:val="14"/>
              <w:numPr>
                <w:ilvl w:val="0"/>
                <w:numId w:val="4"/>
              </w:numPr>
              <w:topLinePunct/>
              <w:adjustRightInd w:val="0"/>
              <w:snapToGrid w:val="0"/>
              <w:spacing w:line="360" w:lineRule="auto"/>
              <w:ind w:firstLineChars="0"/>
              <w:rPr>
                <w:rFonts w:ascii="Arial" w:hAnsi="Arial" w:eastAsia="宋体" w:cs="Arial"/>
                <w:snapToGrid w:val="0"/>
                <w:kern w:val="0"/>
                <w:sz w:val="24"/>
              </w:rPr>
            </w:pPr>
            <w:r>
              <w:rPr>
                <w:rFonts w:hint="eastAsia" w:ascii="Arial" w:hAnsi="Arial" w:eastAsia="宋体" w:cs="Arial"/>
                <w:snapToGrid w:val="0"/>
                <w:kern w:val="0"/>
                <w:sz w:val="24"/>
              </w:rPr>
              <w:t>电池装载和测试</w:t>
            </w:r>
          </w:p>
        </w:tc>
      </w:tr>
      <w:tr w14:paraId="7149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Pr>
          <w:p w14:paraId="31392322">
            <w:pPr>
              <w:pStyle w:val="14"/>
              <w:numPr>
                <w:ilvl w:val="0"/>
                <w:numId w:val="3"/>
              </w:numPr>
              <w:topLinePunct/>
              <w:adjustRightInd w:val="0"/>
              <w:snapToGrid w:val="0"/>
              <w:spacing w:line="360" w:lineRule="auto"/>
              <w:ind w:left="1701" w:firstLineChars="0"/>
              <w:rPr>
                <w:rFonts w:ascii="Arial" w:hAnsi="Arial" w:eastAsia="宋体" w:cs="Arial"/>
                <w:snapToGrid w:val="0"/>
                <w:kern w:val="0"/>
                <w:sz w:val="24"/>
              </w:rPr>
            </w:pPr>
            <w:r>
              <w:rPr>
                <w:rFonts w:hint="eastAsia" w:ascii="Arial" w:hAnsi="Arial" w:eastAsia="宋体" w:cs="Arial"/>
                <w:snapToGrid w:val="0"/>
                <w:kern w:val="0"/>
                <w:sz w:val="24"/>
              </w:rPr>
              <w:t xml:space="preserve">显示信息 </w:t>
            </w:r>
          </w:p>
        </w:tc>
        <w:tc>
          <w:tcPr>
            <w:tcW w:w="4621" w:type="dxa"/>
          </w:tcPr>
          <w:p w14:paraId="16756F02">
            <w:pPr>
              <w:pStyle w:val="14"/>
              <w:numPr>
                <w:ilvl w:val="0"/>
                <w:numId w:val="4"/>
              </w:numPr>
              <w:topLinePunct/>
              <w:adjustRightInd w:val="0"/>
              <w:snapToGrid w:val="0"/>
              <w:spacing w:line="360" w:lineRule="auto"/>
              <w:ind w:firstLineChars="0"/>
              <w:rPr>
                <w:rFonts w:ascii="Arial" w:hAnsi="Arial" w:eastAsia="宋体" w:cs="Arial"/>
                <w:snapToGrid w:val="0"/>
                <w:kern w:val="0"/>
                <w:sz w:val="24"/>
              </w:rPr>
            </w:pPr>
            <w:r>
              <w:rPr>
                <w:rFonts w:hint="eastAsia" w:ascii="Arial" w:hAnsi="Arial" w:eastAsia="宋体" w:cs="Arial"/>
                <w:snapToGrid w:val="0"/>
                <w:kern w:val="0"/>
                <w:sz w:val="24"/>
              </w:rPr>
              <w:t>清洁和维护</w:t>
            </w:r>
          </w:p>
        </w:tc>
      </w:tr>
      <w:tr w14:paraId="3970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Pr>
          <w:p w14:paraId="6D30E928">
            <w:pPr>
              <w:pStyle w:val="14"/>
              <w:numPr>
                <w:ilvl w:val="0"/>
                <w:numId w:val="3"/>
              </w:numPr>
              <w:topLinePunct/>
              <w:adjustRightInd w:val="0"/>
              <w:snapToGrid w:val="0"/>
              <w:spacing w:line="360" w:lineRule="auto"/>
              <w:ind w:left="1701" w:firstLineChars="0"/>
              <w:rPr>
                <w:rFonts w:ascii="Arial" w:hAnsi="Arial" w:eastAsia="宋体" w:cs="Arial"/>
                <w:snapToGrid w:val="0"/>
                <w:kern w:val="0"/>
                <w:sz w:val="24"/>
              </w:rPr>
            </w:pPr>
            <w:r>
              <w:rPr>
                <w:rFonts w:hint="eastAsia" w:ascii="Arial" w:hAnsi="Arial" w:eastAsia="宋体" w:cs="Arial"/>
                <w:snapToGrid w:val="0"/>
                <w:kern w:val="0"/>
                <w:sz w:val="24"/>
              </w:rPr>
              <w:t xml:space="preserve">控制驱动 </w:t>
            </w:r>
          </w:p>
        </w:tc>
        <w:tc>
          <w:tcPr>
            <w:tcW w:w="4621" w:type="dxa"/>
          </w:tcPr>
          <w:p w14:paraId="3E492494">
            <w:pPr>
              <w:pStyle w:val="14"/>
              <w:numPr>
                <w:ilvl w:val="0"/>
                <w:numId w:val="4"/>
              </w:numPr>
              <w:topLinePunct/>
              <w:adjustRightInd w:val="0"/>
              <w:snapToGrid w:val="0"/>
              <w:spacing w:line="360" w:lineRule="auto"/>
              <w:ind w:firstLineChars="0"/>
              <w:rPr>
                <w:rFonts w:ascii="Arial" w:hAnsi="Arial" w:eastAsia="宋体" w:cs="Arial"/>
                <w:snapToGrid w:val="0"/>
                <w:kern w:val="0"/>
                <w:sz w:val="24"/>
              </w:rPr>
            </w:pPr>
            <w:r>
              <w:rPr>
                <w:rFonts w:hint="eastAsia" w:ascii="Arial" w:hAnsi="Arial" w:eastAsia="宋体" w:cs="Arial"/>
                <w:snapToGrid w:val="0"/>
                <w:kern w:val="0"/>
                <w:sz w:val="24"/>
              </w:rPr>
              <w:t>校准</w:t>
            </w:r>
          </w:p>
        </w:tc>
      </w:tr>
    </w:tbl>
    <w:p w14:paraId="4E2E387D">
      <w:pPr>
        <w:topLinePunct/>
        <w:adjustRightInd w:val="0"/>
        <w:snapToGrid w:val="0"/>
        <w:spacing w:after="234" w:afterLines="75" w:line="360" w:lineRule="auto"/>
        <w:rPr>
          <w:rFonts w:ascii="Arial" w:hAnsi="Arial" w:eastAsia="宋体" w:cs="Arial"/>
          <w:snapToGrid w:val="0"/>
          <w:kern w:val="0"/>
          <w:sz w:val="24"/>
        </w:rPr>
      </w:pPr>
    </w:p>
    <w:p w14:paraId="37B07AC4">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一般警告事项</w:t>
      </w:r>
    </w:p>
    <w:p w14:paraId="5B671D96">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警告事项是</w:t>
      </w:r>
      <w:r>
        <w:rPr>
          <w:rFonts w:hint="eastAsia" w:ascii="Arial" w:hAnsi="Arial" w:eastAsia="宋体" w:cs="Arial"/>
          <w:b/>
          <w:snapToGrid w:val="0"/>
          <w:kern w:val="0"/>
          <w:sz w:val="24"/>
        </w:rPr>
        <w:t>使</w:t>
      </w:r>
      <w:r>
        <w:rPr>
          <w:rFonts w:hint="eastAsia" w:ascii="Arial" w:hAnsi="Arial" w:eastAsia="宋体" w:cs="Arial"/>
          <w:snapToGrid w:val="0"/>
          <w:kern w:val="0"/>
          <w:sz w:val="24"/>
        </w:rPr>
        <w:t>器械使用者了解器械使用可能引起重度不良健康结局的声明。一般警告事项包括器械操作前需要的重要信息。一般警告事项举例有，如果出现特定症状，需要停止使用器械。在标签的靠前位置</w:t>
      </w:r>
      <w:r>
        <w:rPr>
          <w:rFonts w:hint="eastAsia" w:ascii="Arial" w:hAnsi="Arial" w:eastAsia="宋体" w:cs="Arial"/>
          <w:b/>
          <w:snapToGrid w:val="0"/>
          <w:kern w:val="0"/>
          <w:sz w:val="24"/>
        </w:rPr>
        <w:t>声明</w:t>
      </w:r>
      <w:r>
        <w:rPr>
          <w:rFonts w:hint="eastAsia" w:ascii="Arial" w:hAnsi="Arial" w:eastAsia="宋体" w:cs="Arial"/>
          <w:snapToGrid w:val="0"/>
          <w:kern w:val="0"/>
          <w:sz w:val="24"/>
        </w:rPr>
        <w:t>关于器械使用的警告事项。（相反，在合理的程序章节中声明警告事项，放在其所适用的步骤之前。）讨论与不合规使用器械相关的危害</w:t>
      </w:r>
      <w:r>
        <w:rPr>
          <w:rFonts w:hint="eastAsia" w:ascii="Arial" w:hAnsi="Arial" w:eastAsia="宋体" w:cs="Arial"/>
          <w:b/>
          <w:snapToGrid w:val="0"/>
          <w:kern w:val="0"/>
          <w:sz w:val="24"/>
        </w:rPr>
        <w:t>和</w:t>
      </w:r>
      <w:r>
        <w:rPr>
          <w:rFonts w:hint="eastAsia" w:ascii="Arial" w:hAnsi="Arial" w:eastAsia="宋体" w:cs="Arial"/>
          <w:snapToGrid w:val="0"/>
          <w:kern w:val="0"/>
          <w:sz w:val="24"/>
        </w:rPr>
        <w:t>在解释测试结果时容易出现的误区。避免使用技术术语，以便非专业使用者能够理解警告事项。以特殊格式来提供能够引起注意的警告事项。本报告的描述／格式部分对几种可能的警告事项格式进行了讨论。</w:t>
      </w:r>
    </w:p>
    <w:p w14:paraId="66C45854">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器械使用条件</w:t>
      </w:r>
    </w:p>
    <w:p w14:paraId="3D2CE1AE">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声明安全可靠操作医疗器械所需的条件。讨论任何可能破坏器械操作的条件，如温度或湿度过高。否则，使用者可能在引起错误器械操作或不准确测试结果的条件下对器械进行操作。请对储存条件进行讨论，并强调可能损坏器械的条件。适用时，提供关于器械或其合理供应品的特殊操作。</w:t>
      </w:r>
    </w:p>
    <w:p w14:paraId="1A9EEF2C">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供应品和材料</w:t>
      </w:r>
    </w:p>
    <w:p w14:paraId="0C7ECCF4">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描述并阐明器械操作或维护所需的全部供应品和材料。指定全部所需材料的数量、规格和类型（无论是否作为器械附属品）。</w:t>
      </w:r>
    </w:p>
    <w:p w14:paraId="0A675D55">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用户准备</w:t>
      </w:r>
    </w:p>
    <w:p w14:paraId="00982D2A">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使用一些医疗器械进行的测试要求在测试前或在测试过程中摄取或不摄取特定物品。确保标签中清楚声明了该要求。</w:t>
      </w:r>
    </w:p>
    <w:p w14:paraId="14428868">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566A1259">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背景信息参考文献</w:t>
      </w:r>
    </w:p>
    <w:p w14:paraId="12C97005">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Bailey, </w:t>
      </w:r>
      <w:r>
        <w:rPr>
          <w:rFonts w:ascii="Arial" w:hAnsi="Arial" w:eastAsia="宋体" w:cs="Arial"/>
          <w:b/>
          <w:bCs/>
          <w:snapToGrid w:val="0"/>
          <w:kern w:val="0"/>
          <w:sz w:val="24"/>
          <w:szCs w:val="21"/>
        </w:rPr>
        <w:t>R.W.</w:t>
      </w:r>
      <w:r>
        <w:rPr>
          <w:rFonts w:ascii="Arial" w:hAnsi="Arial" w:eastAsia="宋体" w:cs="Arial"/>
          <w:bCs/>
          <w:snapToGrid w:val="0"/>
          <w:kern w:val="0"/>
          <w:sz w:val="24"/>
          <w:szCs w:val="21"/>
        </w:rPr>
        <w:t xml:space="preserve"> (</w:t>
      </w:r>
      <w:r>
        <w:rPr>
          <w:rFonts w:ascii="Arial" w:hAnsi="Arial" w:eastAsia="宋体" w:cs="Arial"/>
          <w:snapToGrid w:val="0"/>
          <w:kern w:val="0"/>
          <w:sz w:val="24"/>
          <w:szCs w:val="21"/>
        </w:rPr>
        <w:t xml:space="preserve">1989). </w:t>
      </w:r>
      <w:r>
        <w:rPr>
          <w:rFonts w:ascii="Arial" w:hAnsi="Arial" w:eastAsia="宋体" w:cs="Arial"/>
          <w:b/>
          <w:bCs/>
          <w:i/>
          <w:iCs/>
          <w:snapToGrid w:val="0"/>
          <w:kern w:val="0"/>
          <w:sz w:val="24"/>
          <w:szCs w:val="21"/>
        </w:rPr>
        <w:t>Human pqformunce engineering</w:t>
      </w:r>
      <w:r>
        <w:rPr>
          <w:rFonts w:ascii="Arial" w:hAnsi="Arial" w:eastAsia="宋体" w:cs="Arial"/>
          <w:bCs/>
          <w:i/>
          <w:iCs/>
          <w:snapToGrid w:val="0"/>
          <w:kern w:val="0"/>
          <w:sz w:val="24"/>
          <w:szCs w:val="21"/>
        </w:rPr>
        <w:t xml:space="preserve"> (</w:t>
      </w:r>
      <w:r>
        <w:rPr>
          <w:rFonts w:ascii="Arial" w:hAnsi="Arial" w:eastAsia="宋体" w:cs="Arial"/>
          <w:snapToGrid w:val="0"/>
          <w:kern w:val="0"/>
          <w:sz w:val="24"/>
          <w:szCs w:val="21"/>
        </w:rPr>
        <w:t>2nd 4.). Chapter 20: Documentation.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Englewood Cliffs, NJ: Prentice Hall.</w:t>
      </w:r>
    </w:p>
    <w:p w14:paraId="7E7417C0">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Savol, R.M., Charles, H.C., Daniel, A., </w:t>
      </w:r>
      <w:r>
        <w:rPr>
          <w:rFonts w:ascii="Arial" w:hAnsi="Arial" w:eastAsia="宋体" w:cs="Arial"/>
          <w:b/>
          <w:snapToGrid w:val="0"/>
          <w:kern w:val="0"/>
          <w:sz w:val="24"/>
          <w:szCs w:val="21"/>
        </w:rPr>
        <w:t xml:space="preserve">Kafka, </w:t>
      </w:r>
      <w:r>
        <w:rPr>
          <w:rFonts w:ascii="Arial" w:hAnsi="Arial" w:eastAsia="宋体" w:cs="Arial"/>
          <w:b/>
          <w:bCs/>
          <w:snapToGrid w:val="0"/>
          <w:kern w:val="0"/>
          <w:sz w:val="24"/>
          <w:szCs w:val="21"/>
        </w:rPr>
        <w:t>M.T.</w:t>
      </w:r>
      <w:r>
        <w:rPr>
          <w:rFonts w:ascii="Arial" w:hAnsi="Arial" w:eastAsia="宋体" w:cs="Arial"/>
          <w:bCs/>
          <w:snapToGrid w:val="0"/>
          <w:kern w:val="0"/>
          <w:sz w:val="24"/>
          <w:szCs w:val="21"/>
        </w:rPr>
        <w:t xml:space="preserve">, </w:t>
      </w:r>
      <w:r>
        <w:rPr>
          <w:rFonts w:ascii="Arial" w:hAnsi="Arial" w:eastAsia="宋体" w:cs="Arial"/>
          <w:snapToGrid w:val="0"/>
          <w:kern w:val="0"/>
          <w:sz w:val="24"/>
          <w:szCs w:val="21"/>
        </w:rPr>
        <w:t xml:space="preserve">Romano, </w:t>
      </w:r>
      <w:r>
        <w:rPr>
          <w:rFonts w:ascii="Arial" w:hAnsi="Arial" w:eastAsia="宋体" w:cs="Arial"/>
          <w:b/>
          <w:bCs/>
          <w:snapToGrid w:val="0"/>
          <w:kern w:val="0"/>
          <w:sz w:val="24"/>
          <w:szCs w:val="21"/>
        </w:rPr>
        <w:t>R.M</w:t>
      </w:r>
      <w:r>
        <w:rPr>
          <w:rFonts w:ascii="Arial" w:hAnsi="Arial" w:eastAsia="宋体" w:cs="Arial"/>
          <w:bCs/>
          <w:snapToGrid w:val="0"/>
          <w:kern w:val="0"/>
          <w:sz w:val="24"/>
          <w:szCs w:val="21"/>
        </w:rPr>
        <w:t xml:space="preserve">., </w:t>
      </w:r>
      <w:r>
        <w:rPr>
          <w:rFonts w:ascii="Arial" w:hAnsi="Arial" w:eastAsia="宋体" w:cs="Arial"/>
          <w:snapToGrid w:val="0"/>
          <w:kern w:val="0"/>
          <w:sz w:val="24"/>
          <w:szCs w:val="21"/>
        </w:rPr>
        <w:t>Thilman, 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Tomaszewski, J.P., &amp; Vetter, C. (1989). </w:t>
      </w:r>
      <w:r>
        <w:rPr>
          <w:rFonts w:ascii="Arial" w:hAnsi="Arial" w:eastAsia="宋体" w:cs="Arial"/>
          <w:bCs/>
          <w:i/>
          <w:iCs/>
          <w:snapToGrid w:val="0"/>
          <w:kern w:val="0"/>
          <w:sz w:val="24"/>
          <w:szCs w:val="21"/>
        </w:rPr>
        <w:t xml:space="preserve">Labeling of </w:t>
      </w:r>
      <w:r>
        <w:rPr>
          <w:rFonts w:ascii="Arial" w:hAnsi="Arial" w:eastAsia="宋体" w:cs="Arial"/>
          <w:snapToGrid w:val="0"/>
          <w:kern w:val="0"/>
          <w:sz w:val="24"/>
          <w:szCs w:val="21"/>
        </w:rPr>
        <w:t xml:space="preserve">home-use </w:t>
      </w:r>
      <w:r>
        <w:rPr>
          <w:rFonts w:ascii="Arial" w:hAnsi="Arial" w:eastAsia="宋体" w:cs="Arial"/>
          <w:bCs/>
          <w:i/>
          <w:iCs/>
          <w:snapToGrid w:val="0"/>
          <w:kern w:val="0"/>
          <w:sz w:val="24"/>
          <w:szCs w:val="21"/>
        </w:rPr>
        <w:t>in vitro testing products.</w:t>
      </w:r>
      <w:r>
        <w:rPr>
          <w:rFonts w:hint="eastAsia" w:ascii="Arial" w:hAnsi="Arial" w:eastAsia="宋体" w:cs="Arial"/>
          <w:snapToGrid w:val="0"/>
          <w:kern w:val="0"/>
          <w:sz w:val="24"/>
          <w:szCs w:val="21"/>
        </w:rPr>
        <w:t xml:space="preserve"> </w:t>
      </w:r>
      <w:r>
        <w:rPr>
          <w:rFonts w:ascii="Arial" w:hAnsi="Arial" w:eastAsia="宋体" w:cs="Arial"/>
          <w:bCs/>
          <w:i/>
          <w:iCs/>
          <w:snapToGrid w:val="0"/>
          <w:kern w:val="0"/>
          <w:sz w:val="24"/>
          <w:szCs w:val="21"/>
        </w:rPr>
        <w:t xml:space="preserve">Proposed </w:t>
      </w:r>
      <w:r>
        <w:rPr>
          <w:rFonts w:ascii="Arial" w:hAnsi="Arial" w:eastAsia="宋体" w:cs="Arial"/>
          <w:snapToGrid w:val="0"/>
          <w:kern w:val="0"/>
          <w:sz w:val="24"/>
          <w:szCs w:val="21"/>
        </w:rPr>
        <w:t>Guideline. National Committee for Clinical Laboratory Standards (NCCLS) Document GP 14-P, Vol. 9, No. 8. Draft version.</w:t>
      </w:r>
    </w:p>
    <w:tbl>
      <w:tblPr>
        <w:tblStyle w:val="11"/>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17719B7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06" w:type="dxa"/>
          </w:tcPr>
          <w:p w14:paraId="419A26CB">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背景信息提示</w:t>
            </w:r>
          </w:p>
          <w:p w14:paraId="4BC21AA1">
            <w:pPr>
              <w:pStyle w:val="14"/>
              <w:numPr>
                <w:ilvl w:val="0"/>
                <w:numId w:val="1"/>
              </w:numPr>
              <w:topLinePunct/>
              <w:adjustRightInd w:val="0"/>
              <w:snapToGrid w:val="0"/>
              <w:spacing w:before="46" w:beforeLines="15" w:line="360" w:lineRule="auto"/>
              <w:ind w:left="1560" w:firstLineChars="0"/>
              <w:rPr>
                <w:rFonts w:ascii="Arial" w:hAnsi="Arial" w:eastAsia="宋体" w:cs="Arial"/>
                <w:snapToGrid w:val="0"/>
                <w:kern w:val="0"/>
              </w:rPr>
            </w:pPr>
            <w:r>
              <w:rPr>
                <w:rFonts w:hint="eastAsia" w:ascii="Arial" w:hAnsi="Arial" w:eastAsia="宋体" w:cs="Arial"/>
                <w:snapToGrid w:val="0"/>
                <w:kern w:val="0"/>
              </w:rPr>
              <w:t>提供关于器械使用目的的基本信息</w:t>
            </w:r>
          </w:p>
          <w:p w14:paraId="7C10CE1B">
            <w:pPr>
              <w:pStyle w:val="14"/>
              <w:numPr>
                <w:ilvl w:val="0"/>
                <w:numId w:val="1"/>
              </w:numPr>
              <w:topLinePunct/>
              <w:adjustRightInd w:val="0"/>
              <w:snapToGrid w:val="0"/>
              <w:spacing w:before="46" w:beforeLines="15" w:line="360" w:lineRule="auto"/>
              <w:ind w:left="1560" w:firstLineChars="0"/>
              <w:rPr>
                <w:rFonts w:ascii="Arial" w:hAnsi="Arial" w:eastAsia="宋体" w:cs="Arial"/>
                <w:snapToGrid w:val="0"/>
                <w:kern w:val="0"/>
              </w:rPr>
            </w:pPr>
            <w:r>
              <w:rPr>
                <w:rFonts w:hint="eastAsia" w:ascii="Arial" w:hAnsi="Arial" w:eastAsia="宋体" w:cs="Arial"/>
                <w:snapToGrid w:val="0"/>
                <w:kern w:val="0"/>
              </w:rPr>
              <w:t>提供关于如何使用器械的一般信息</w:t>
            </w:r>
          </w:p>
          <w:p w14:paraId="55AD835C">
            <w:pPr>
              <w:pStyle w:val="14"/>
              <w:numPr>
                <w:ilvl w:val="0"/>
                <w:numId w:val="1"/>
              </w:numPr>
              <w:topLinePunct/>
              <w:adjustRightInd w:val="0"/>
              <w:snapToGrid w:val="0"/>
              <w:spacing w:before="46" w:beforeLines="15" w:line="360" w:lineRule="auto"/>
              <w:ind w:left="1560" w:firstLineChars="0"/>
              <w:rPr>
                <w:rFonts w:ascii="Arial" w:hAnsi="Arial" w:eastAsia="宋体" w:cs="Arial"/>
                <w:snapToGrid w:val="0"/>
                <w:kern w:val="0"/>
              </w:rPr>
            </w:pPr>
            <w:r>
              <w:rPr>
                <w:rFonts w:hint="eastAsia" w:ascii="Arial" w:hAnsi="Arial" w:eastAsia="宋体" w:cs="Arial"/>
                <w:snapToGrid w:val="0"/>
                <w:kern w:val="0"/>
              </w:rPr>
              <w:t>声明一般警告事项和预防措施</w:t>
            </w:r>
          </w:p>
          <w:p w14:paraId="699493E4">
            <w:pPr>
              <w:pStyle w:val="14"/>
              <w:numPr>
                <w:ilvl w:val="0"/>
                <w:numId w:val="1"/>
              </w:numPr>
              <w:topLinePunct/>
              <w:adjustRightInd w:val="0"/>
              <w:snapToGrid w:val="0"/>
              <w:spacing w:before="46" w:beforeLines="15" w:line="360" w:lineRule="auto"/>
              <w:ind w:left="1560" w:firstLineChars="0"/>
              <w:rPr>
                <w:rFonts w:ascii="Arial" w:hAnsi="Arial" w:eastAsia="宋体" w:cs="Arial"/>
                <w:snapToGrid w:val="0"/>
                <w:kern w:val="0"/>
              </w:rPr>
            </w:pPr>
            <w:r>
              <w:rPr>
                <w:rFonts w:hint="eastAsia" w:ascii="Arial" w:hAnsi="Arial" w:eastAsia="宋体" w:cs="Arial"/>
                <w:snapToGrid w:val="0"/>
                <w:kern w:val="0"/>
              </w:rPr>
              <w:t>列出并阐明使用器械所需的供应品</w:t>
            </w:r>
          </w:p>
        </w:tc>
      </w:tr>
    </w:tbl>
    <w:p w14:paraId="612A6DA4">
      <w:pPr>
        <w:topLinePunct/>
        <w:adjustRightInd w:val="0"/>
        <w:snapToGrid w:val="0"/>
        <w:spacing w:after="234" w:afterLines="75" w:line="360" w:lineRule="auto"/>
        <w:rPr>
          <w:rFonts w:ascii="Arial" w:hAnsi="Arial" w:eastAsia="宋体" w:cs="Arial"/>
          <w:snapToGrid w:val="0"/>
          <w:kern w:val="0"/>
          <w:sz w:val="24"/>
        </w:rPr>
      </w:pPr>
    </w:p>
    <w:p w14:paraId="5B212102">
      <w:pPr>
        <w:pStyle w:val="3"/>
        <w:keepNext w:val="0"/>
        <w:keepLines w:val="0"/>
        <w:topLinePunct/>
        <w:adjustRightInd w:val="0"/>
        <w:snapToGrid w:val="0"/>
        <w:spacing w:beforeLines="0" w:after="234" w:afterLines="75" w:line="360" w:lineRule="auto"/>
        <w:rPr>
          <w:rFonts w:ascii="Arial" w:hAnsi="Arial" w:eastAsia="宋体" w:cs="Arial"/>
          <w:snapToGrid w:val="0"/>
          <w:kern w:val="0"/>
          <w:sz w:val="24"/>
        </w:rPr>
      </w:pPr>
      <w:bookmarkStart w:id="4" w:name="_Toc499280417"/>
      <w:r>
        <w:rPr>
          <w:rFonts w:hint="eastAsia" w:ascii="Arial" w:hAnsi="Arial" w:eastAsia="宋体" w:cs="Arial"/>
          <w:snapToGrid w:val="0"/>
          <w:kern w:val="0"/>
          <w:sz w:val="24"/>
        </w:rPr>
        <w:t>程序</w:t>
      </w:r>
      <w:bookmarkEnd w:id="4"/>
    </w:p>
    <w:p w14:paraId="2B7093B1">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程序是告知用户如何操作或维护医疗器械的一系列步骤。请使用简短的句子和常见的词语陈述步骤；否则，可能出现用户错误。程序可能伴有原理或指导用户操作的进一步说明。例如，关于器械操作可能误区的提示可能帮助用户避免错误。紧跟在相关步骤后面简要提供本信息。</w:t>
      </w:r>
    </w:p>
    <w:p w14:paraId="57C4D663">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预说明声明</w:t>
      </w:r>
    </w:p>
    <w:p w14:paraId="0927F8BE">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在标签的开头部分提供声明以强调使用器械之前仔细阅读全部说明的需求。此时，诸如客户援助电话号码等参考文献来源也是有帮助的。</w:t>
      </w:r>
    </w:p>
    <w:p w14:paraId="716CE09A">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逐步说明</w:t>
      </w:r>
    </w:p>
    <w:p w14:paraId="3EDAE1C5">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可能将程序分类为一系列简短的、不连续步骤，而不是一个长篇段落。这使器械用户在更早期实施纠正措施，同时参考标签。每个程序可能包括下述信息：</w:t>
      </w:r>
    </w:p>
    <w:p w14:paraId="2569E861">
      <w:pPr>
        <w:pStyle w:val="14"/>
        <w:numPr>
          <w:ilvl w:val="0"/>
          <w:numId w:val="5"/>
        </w:numPr>
        <w:topLinePunct/>
        <w:adjustRightInd w:val="0"/>
        <w:snapToGrid w:val="0"/>
        <w:spacing w:after="234" w:afterLines="75" w:line="360" w:lineRule="auto"/>
        <w:ind w:leftChars="200" w:firstLine="0" w:firstLineChars="0"/>
        <w:rPr>
          <w:rFonts w:ascii="Arial" w:hAnsi="Arial" w:eastAsia="宋体" w:cs="Arial"/>
          <w:snapToGrid w:val="0"/>
          <w:kern w:val="0"/>
          <w:sz w:val="24"/>
        </w:rPr>
      </w:pPr>
      <w:r>
        <w:rPr>
          <w:rFonts w:hint="eastAsia" w:ascii="Arial" w:hAnsi="Arial" w:eastAsia="宋体" w:cs="Arial"/>
          <w:snapToGrid w:val="0"/>
          <w:kern w:val="0"/>
          <w:sz w:val="24"/>
        </w:rPr>
        <w:t>应执行程序的条件</w:t>
      </w:r>
    </w:p>
    <w:p w14:paraId="4FE1D028">
      <w:pPr>
        <w:pStyle w:val="14"/>
        <w:numPr>
          <w:ilvl w:val="0"/>
          <w:numId w:val="5"/>
        </w:numPr>
        <w:topLinePunct/>
        <w:adjustRightInd w:val="0"/>
        <w:snapToGrid w:val="0"/>
        <w:spacing w:after="234" w:afterLines="75" w:line="360" w:lineRule="auto"/>
        <w:ind w:leftChars="200" w:firstLine="0" w:firstLineChars="0"/>
        <w:rPr>
          <w:rFonts w:ascii="Arial" w:hAnsi="Arial" w:eastAsia="宋体" w:cs="Arial"/>
          <w:snapToGrid w:val="0"/>
          <w:kern w:val="0"/>
          <w:sz w:val="24"/>
        </w:rPr>
      </w:pPr>
      <w:r>
        <w:rPr>
          <w:rFonts w:hint="eastAsia" w:ascii="Arial" w:hAnsi="Arial" w:eastAsia="宋体" w:cs="Arial"/>
          <w:snapToGrid w:val="0"/>
          <w:kern w:val="0"/>
          <w:sz w:val="24"/>
        </w:rPr>
        <w:t>所需的供应品和设备</w:t>
      </w:r>
    </w:p>
    <w:p w14:paraId="747D439E">
      <w:pPr>
        <w:pStyle w:val="14"/>
        <w:numPr>
          <w:ilvl w:val="0"/>
          <w:numId w:val="5"/>
        </w:numPr>
        <w:topLinePunct/>
        <w:adjustRightInd w:val="0"/>
        <w:snapToGrid w:val="0"/>
        <w:spacing w:after="234" w:afterLines="75" w:line="360" w:lineRule="auto"/>
        <w:ind w:leftChars="200" w:firstLine="0" w:firstLineChars="0"/>
        <w:rPr>
          <w:rFonts w:ascii="Arial" w:hAnsi="Arial" w:eastAsia="宋体" w:cs="Arial"/>
          <w:snapToGrid w:val="0"/>
          <w:kern w:val="0"/>
          <w:sz w:val="24"/>
        </w:rPr>
      </w:pPr>
      <w:r>
        <w:rPr>
          <w:rFonts w:hint="eastAsia" w:ascii="Arial" w:hAnsi="Arial" w:eastAsia="宋体" w:cs="Arial"/>
          <w:snapToGrid w:val="0"/>
          <w:kern w:val="0"/>
          <w:sz w:val="24"/>
        </w:rPr>
        <w:t>时间关键步骤的计时要求</w:t>
      </w:r>
    </w:p>
    <w:p w14:paraId="5DBB90ED">
      <w:pPr>
        <w:pStyle w:val="14"/>
        <w:numPr>
          <w:ilvl w:val="0"/>
          <w:numId w:val="5"/>
        </w:numPr>
        <w:topLinePunct/>
        <w:adjustRightInd w:val="0"/>
        <w:snapToGrid w:val="0"/>
        <w:spacing w:after="234" w:afterLines="75" w:line="360" w:lineRule="auto"/>
        <w:ind w:leftChars="200" w:firstLine="0" w:firstLineChars="0"/>
        <w:rPr>
          <w:rFonts w:ascii="Arial" w:hAnsi="Arial" w:eastAsia="宋体" w:cs="Arial"/>
          <w:snapToGrid w:val="0"/>
          <w:kern w:val="0"/>
          <w:sz w:val="24"/>
        </w:rPr>
      </w:pPr>
      <w:r>
        <w:rPr>
          <w:rFonts w:hint="eastAsia" w:ascii="Arial" w:hAnsi="Arial" w:eastAsia="宋体" w:cs="Arial"/>
          <w:snapToGrid w:val="0"/>
          <w:kern w:val="0"/>
          <w:sz w:val="24"/>
        </w:rPr>
        <w:t>影响器械用户或测试结果的因素</w:t>
      </w:r>
    </w:p>
    <w:p w14:paraId="6FB54D35">
      <w:pPr>
        <w:pStyle w:val="14"/>
        <w:numPr>
          <w:ilvl w:val="0"/>
          <w:numId w:val="5"/>
        </w:numPr>
        <w:topLinePunct/>
        <w:adjustRightInd w:val="0"/>
        <w:snapToGrid w:val="0"/>
        <w:spacing w:after="234" w:afterLines="75" w:line="360" w:lineRule="auto"/>
        <w:ind w:leftChars="200" w:firstLine="0" w:firstLineChars="0"/>
        <w:rPr>
          <w:rFonts w:ascii="Arial" w:hAnsi="Arial" w:eastAsia="宋体" w:cs="Arial"/>
          <w:snapToGrid w:val="0"/>
          <w:kern w:val="0"/>
          <w:sz w:val="24"/>
        </w:rPr>
      </w:pPr>
      <w:r>
        <w:rPr>
          <w:rFonts w:hint="eastAsia" w:ascii="Arial" w:hAnsi="Arial" w:eastAsia="宋体" w:cs="Arial"/>
          <w:snapToGrid w:val="0"/>
          <w:kern w:val="0"/>
          <w:sz w:val="24"/>
        </w:rPr>
        <w:t>阐明所需文本和插图的例子</w:t>
      </w:r>
    </w:p>
    <w:p w14:paraId="56FACB28">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下述举例源于模型眼镜护理说明册：</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42"/>
      </w:tblGrid>
      <w:tr w14:paraId="761660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06" w:type="dxa"/>
          </w:tcPr>
          <w:p w14:paraId="3573879C">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说明举例</w:t>
            </w:r>
          </w:p>
          <w:p w14:paraId="0633F03B">
            <w:pPr>
              <w:topLinePunct/>
              <w:adjustRightInd w:val="0"/>
              <w:snapToGrid w:val="0"/>
              <w:spacing w:before="46" w:beforeLines="15" w:line="360" w:lineRule="auto"/>
              <w:ind w:left="1275" w:leftChars="607"/>
              <w:rPr>
                <w:rFonts w:ascii="Arial" w:hAnsi="Arial" w:eastAsia="宋体" w:cs="Arial"/>
                <w:snapToGrid w:val="0"/>
                <w:kern w:val="0"/>
              </w:rPr>
            </w:pPr>
            <w:r>
              <w:rPr>
                <w:rFonts w:hint="eastAsia" w:ascii="Arial" w:hAnsi="Arial" w:eastAsia="宋体" w:cs="Arial"/>
                <w:snapToGrid w:val="0"/>
                <w:kern w:val="0"/>
              </w:rPr>
              <w:t>步骤5-将隐性眼镜戴在您的眼睛上</w:t>
            </w:r>
          </w:p>
          <w:p w14:paraId="6AC08A47">
            <w:pPr>
              <w:topLinePunct/>
              <w:adjustRightInd w:val="0"/>
              <w:snapToGrid w:val="0"/>
              <w:spacing w:before="46" w:beforeLines="15" w:line="360" w:lineRule="auto"/>
              <w:ind w:left="1275" w:leftChars="607"/>
              <w:rPr>
                <w:rFonts w:ascii="Arial" w:hAnsi="Arial" w:eastAsia="宋体" w:cs="Arial"/>
                <w:snapToGrid w:val="0"/>
                <w:kern w:val="0"/>
              </w:rPr>
            </w:pPr>
            <w:r>
              <w:rPr>
                <w:rFonts w:hint="eastAsia" w:ascii="Arial" w:hAnsi="Arial" w:eastAsia="宋体" w:cs="Arial"/>
                <w:snapToGrid w:val="0"/>
                <w:kern w:val="0"/>
              </w:rPr>
              <w:t>将隐形眼镜放在您食指指尖。</w:t>
            </w:r>
          </w:p>
          <w:p w14:paraId="4A5F7FF2">
            <w:pPr>
              <w:topLinePunct/>
              <w:adjustRightInd w:val="0"/>
              <w:snapToGrid w:val="0"/>
              <w:spacing w:before="46" w:beforeLines="15" w:line="360" w:lineRule="auto"/>
              <w:ind w:left="1275" w:leftChars="607"/>
              <w:rPr>
                <w:rFonts w:ascii="Arial" w:hAnsi="Arial" w:eastAsia="宋体" w:cs="Arial"/>
                <w:snapToGrid w:val="0"/>
                <w:kern w:val="0"/>
              </w:rPr>
            </w:pPr>
            <w:r>
              <w:rPr>
                <w:rFonts w:hint="eastAsia" w:ascii="Arial" w:hAnsi="Arial" w:eastAsia="宋体" w:cs="Arial"/>
                <w:snapToGrid w:val="0"/>
                <w:kern w:val="0"/>
              </w:rPr>
              <w:t>利用同一只手的中指压住下眼睑，眼睛向上看。</w:t>
            </w:r>
          </w:p>
          <w:p w14:paraId="6B27540D">
            <w:pPr>
              <w:topLinePunct/>
              <w:adjustRightInd w:val="0"/>
              <w:snapToGrid w:val="0"/>
              <w:spacing w:before="46" w:beforeLines="15" w:line="360" w:lineRule="auto"/>
              <w:ind w:left="1275" w:leftChars="607"/>
              <w:rPr>
                <w:rFonts w:ascii="Arial" w:hAnsi="Arial" w:eastAsia="宋体" w:cs="Arial"/>
                <w:snapToGrid w:val="0"/>
                <w:kern w:val="0"/>
              </w:rPr>
            </w:pPr>
            <w:r>
              <w:rPr>
                <w:rFonts w:hint="eastAsia" w:ascii="Arial" w:hAnsi="Arial" w:eastAsia="宋体" w:cs="Arial"/>
                <w:snapToGrid w:val="0"/>
                <w:kern w:val="0"/>
              </w:rPr>
              <w:t>将隐性眼镜放在眼白下部。</w:t>
            </w:r>
          </w:p>
          <w:p w14:paraId="6FB36B31">
            <w:pPr>
              <w:topLinePunct/>
              <w:adjustRightInd w:val="0"/>
              <w:snapToGrid w:val="0"/>
              <w:spacing w:before="46" w:beforeLines="15" w:line="360" w:lineRule="auto"/>
              <w:ind w:left="1275" w:leftChars="607"/>
              <w:rPr>
                <w:rFonts w:ascii="Arial" w:hAnsi="Arial" w:eastAsia="宋体" w:cs="Arial"/>
                <w:snapToGrid w:val="0"/>
                <w:kern w:val="0"/>
              </w:rPr>
            </w:pPr>
            <w:r>
              <w:rPr>
                <w:rFonts w:hint="eastAsia" w:ascii="Arial" w:hAnsi="Arial" w:eastAsia="宋体" w:cs="Arial"/>
                <w:snapToGrid w:val="0"/>
                <w:kern w:val="0"/>
              </w:rPr>
              <w:t>向下看，并放开隐性眼镜。随后，隐形眼镜应自己移动到中心位置。</w:t>
            </w:r>
          </w:p>
        </w:tc>
      </w:tr>
    </w:tbl>
    <w:p w14:paraId="139A6287">
      <w:pPr>
        <w:topLinePunct/>
        <w:adjustRightInd w:val="0"/>
        <w:snapToGrid w:val="0"/>
        <w:spacing w:after="234" w:afterLines="75" w:line="360" w:lineRule="auto"/>
        <w:rPr>
          <w:rFonts w:ascii="Arial" w:hAnsi="Arial" w:eastAsia="宋体" w:cs="Arial"/>
          <w:snapToGrid w:val="0"/>
          <w:kern w:val="0"/>
          <w:sz w:val="24"/>
        </w:rPr>
      </w:pPr>
    </w:p>
    <w:p w14:paraId="05EDD957">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阅读并解释</w:t>
      </w:r>
      <w:r>
        <w:rPr>
          <w:rFonts w:hint="eastAsia" w:ascii="Arial" w:hAnsi="Arial" w:eastAsia="宋体" w:cs="Arial"/>
          <w:b/>
          <w:snapToGrid w:val="0"/>
          <w:kern w:val="0"/>
          <w:sz w:val="24"/>
        </w:rPr>
        <w:t>结果</w:t>
      </w:r>
    </w:p>
    <w:p w14:paraId="7A0F8047">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纳入应如何阅读和解释测试结果的说明。下述要素对于本描述至关重要。</w:t>
      </w:r>
    </w:p>
    <w:p w14:paraId="48B5DA13">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关于阅读结果的警告说明。明确声明可能影响测试结果阅读的任何条件。这些条件举例包括反应计时和读取结果时的温度和光照条件。</w:t>
      </w:r>
    </w:p>
    <w:p w14:paraId="4F311E80">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读取结果。充分描述获得测试结果的程序。如果需要进行数学计算，提供例子。</w:t>
      </w:r>
    </w:p>
    <w:p w14:paraId="14176564">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解释结果。解释全部可能结果的意义。解释结果时考虑到对模棱两可的结果和测试局限性的适当处理至关重要。声明可接受结果的范围，以检测无效结果。</w:t>
      </w:r>
    </w:p>
    <w:p w14:paraId="3B612CCD">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对结果采取行动。说明指定结果后应采取的行动。举例包括通过保健专业人员来寻求建议或通过再测试来确认测试结果。使用户了解获得无效结果的概率、与采取措施相关的危害以及检测方法。</w:t>
      </w:r>
    </w:p>
    <w:p w14:paraId="61F3864F">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28AF212A">
      <w:pPr>
        <w:topLinePunct/>
        <w:adjustRightInd w:val="0"/>
        <w:snapToGrid w:val="0"/>
        <w:spacing w:after="234" w:afterLines="75" w:line="360" w:lineRule="auto"/>
        <w:ind w:left="420" w:leftChars="200"/>
        <w:rPr>
          <w:rFonts w:ascii="Arial" w:hAnsi="Arial" w:eastAsia="宋体" w:cs="Arial"/>
          <w:b/>
          <w:snapToGrid w:val="0"/>
          <w:kern w:val="0"/>
          <w:sz w:val="24"/>
        </w:rPr>
      </w:pPr>
      <w:r>
        <w:rPr>
          <w:rFonts w:hint="eastAsia" w:ascii="Arial" w:hAnsi="Arial" w:eastAsia="宋体" w:cs="Arial"/>
          <w:b/>
          <w:snapToGrid w:val="0"/>
          <w:kern w:val="0"/>
          <w:sz w:val="24"/>
        </w:rPr>
        <w:t>程序参考文献</w:t>
      </w:r>
    </w:p>
    <w:p w14:paraId="3B2268F0">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Carroll, </w:t>
      </w:r>
      <w:r>
        <w:rPr>
          <w:rFonts w:ascii="Arial" w:hAnsi="Arial" w:eastAsia="宋体" w:cs="Arial"/>
          <w:b/>
          <w:bCs/>
          <w:snapToGrid w:val="0"/>
          <w:kern w:val="0"/>
          <w:sz w:val="24"/>
          <w:szCs w:val="21"/>
        </w:rPr>
        <w:t>J.M.,</w:t>
      </w:r>
      <w:r>
        <w:rPr>
          <w:rFonts w:ascii="Arial" w:hAnsi="Arial" w:eastAsia="宋体" w:cs="Arial"/>
          <w:snapToGrid w:val="0"/>
          <w:kern w:val="0"/>
          <w:sz w:val="24"/>
          <w:szCs w:val="21"/>
        </w:rPr>
        <w:t xml:space="preserve">S mith-Kerker, P.L., Ford, J.R., &amp; </w:t>
      </w:r>
      <w:r>
        <w:rPr>
          <w:rFonts w:ascii="Arial" w:hAnsi="Arial" w:eastAsia="宋体" w:cs="Arial"/>
          <w:b/>
          <w:snapToGrid w:val="0"/>
          <w:kern w:val="0"/>
          <w:sz w:val="24"/>
          <w:szCs w:val="21"/>
        </w:rPr>
        <w:t>Mazur-Rimetz</w:t>
      </w:r>
      <w:r>
        <w:rPr>
          <w:rFonts w:ascii="Arial" w:hAnsi="Arial" w:eastAsia="宋体" w:cs="Arial"/>
          <w:snapToGrid w:val="0"/>
          <w:kern w:val="0"/>
          <w:sz w:val="24"/>
          <w:szCs w:val="21"/>
        </w:rPr>
        <w:t>, S.A. (1987-1988). The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minimal manual. </w:t>
      </w:r>
      <w:r>
        <w:rPr>
          <w:rFonts w:ascii="Arial" w:hAnsi="Arial" w:eastAsia="宋体" w:cs="Arial"/>
          <w:b/>
          <w:bCs/>
          <w:i/>
          <w:iCs/>
          <w:snapToGrid w:val="0"/>
          <w:kern w:val="0"/>
          <w:sz w:val="24"/>
          <w:szCs w:val="21"/>
        </w:rPr>
        <w:t xml:space="preserve">Human-Computer Interaction, </w:t>
      </w:r>
      <w:r>
        <w:rPr>
          <w:rFonts w:ascii="Arial" w:hAnsi="Arial" w:eastAsia="宋体" w:cs="Arial"/>
          <w:snapToGrid w:val="0"/>
          <w:kern w:val="0"/>
          <w:sz w:val="24"/>
          <w:szCs w:val="21"/>
        </w:rPr>
        <w:t>3, 123- 153.</w:t>
      </w:r>
    </w:p>
    <w:p w14:paraId="23302530">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Charney, D.H., Reder, L.M., &amp; Wells, G.W. (1988). Studies of elaboration in instructional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texts. In S. Doheny-Farina (Ed.), </w:t>
      </w:r>
      <w:r>
        <w:rPr>
          <w:rFonts w:ascii="Arial" w:hAnsi="Arial" w:eastAsia="宋体" w:cs="Arial"/>
          <w:b/>
          <w:bCs/>
          <w:i/>
          <w:iCs/>
          <w:snapToGrid w:val="0"/>
          <w:kern w:val="0"/>
          <w:sz w:val="24"/>
          <w:szCs w:val="21"/>
        </w:rPr>
        <w:t>Eflective documentation: What we have learnedfrom</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research. </w:t>
      </w:r>
      <w:r>
        <w:rPr>
          <w:rFonts w:ascii="Arial" w:hAnsi="Arial" w:eastAsia="宋体" w:cs="Arial"/>
          <w:snapToGrid w:val="0"/>
          <w:kern w:val="0"/>
          <w:sz w:val="24"/>
          <w:szCs w:val="21"/>
        </w:rPr>
        <w:t xml:space="preserve">Cambridge, </w:t>
      </w:r>
      <w:r>
        <w:rPr>
          <w:rFonts w:ascii="Arial" w:hAnsi="Arial" w:eastAsia="宋体" w:cs="Arial"/>
          <w:b/>
          <w:bCs/>
          <w:i/>
          <w:iCs/>
          <w:snapToGrid w:val="0"/>
          <w:kern w:val="0"/>
          <w:sz w:val="24"/>
          <w:szCs w:val="21"/>
        </w:rPr>
        <w:t xml:space="preserve">MA: </w:t>
      </w:r>
      <w:r>
        <w:rPr>
          <w:rFonts w:ascii="Arial" w:hAnsi="Arial" w:eastAsia="宋体" w:cs="Arial"/>
          <w:b/>
          <w:bCs/>
          <w:snapToGrid w:val="0"/>
          <w:kern w:val="0"/>
          <w:sz w:val="24"/>
          <w:szCs w:val="21"/>
        </w:rPr>
        <w:t xml:space="preserve">MIT </w:t>
      </w:r>
      <w:r>
        <w:rPr>
          <w:rFonts w:ascii="Arial" w:hAnsi="Arial" w:eastAsia="宋体" w:cs="Arial"/>
          <w:snapToGrid w:val="0"/>
          <w:kern w:val="0"/>
          <w:sz w:val="24"/>
          <w:szCs w:val="21"/>
        </w:rPr>
        <w:t>Press.</w:t>
      </w:r>
    </w:p>
    <w:p w14:paraId="3A58FE7F">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Hartley, J. (1978). </w:t>
      </w:r>
      <w:r>
        <w:rPr>
          <w:rFonts w:ascii="Arial" w:hAnsi="Arial" w:eastAsia="宋体" w:cs="Arial"/>
          <w:b/>
          <w:bCs/>
          <w:i/>
          <w:iCs/>
          <w:snapToGrid w:val="0"/>
          <w:kern w:val="0"/>
          <w:sz w:val="24"/>
          <w:szCs w:val="21"/>
        </w:rPr>
        <w:t>Designing instructional text (</w:t>
      </w:r>
      <w:r>
        <w:rPr>
          <w:rFonts w:ascii="Arial" w:hAnsi="Arial" w:eastAsia="宋体" w:cs="Arial"/>
          <w:snapToGrid w:val="0"/>
          <w:kern w:val="0"/>
          <w:sz w:val="24"/>
          <w:szCs w:val="21"/>
        </w:rPr>
        <w:t>pp. 101-1 11). London: Kogan Page.</w:t>
      </w:r>
    </w:p>
    <w:p w14:paraId="75EFC7F0">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Hartley, J. (1990). Is this text any use? Methods for evaluating text. In J.R. Wilson and E. 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Corlett (Eds.), </w:t>
      </w:r>
      <w:r>
        <w:rPr>
          <w:rFonts w:ascii="Arial" w:hAnsi="Arial" w:eastAsia="宋体" w:cs="Arial"/>
          <w:b/>
          <w:bCs/>
          <w:i/>
          <w:iCs/>
          <w:snapToGrid w:val="0"/>
          <w:kern w:val="0"/>
          <w:sz w:val="24"/>
          <w:szCs w:val="21"/>
        </w:rPr>
        <w:t xml:space="preserve">Evaluation </w:t>
      </w:r>
      <w:r>
        <w:rPr>
          <w:rFonts w:ascii="Arial" w:hAnsi="Arial" w:eastAsia="宋体" w:cs="Arial"/>
          <w:snapToGrid w:val="0"/>
          <w:kern w:val="0"/>
          <w:sz w:val="24"/>
          <w:szCs w:val="21"/>
        </w:rPr>
        <w:t xml:space="preserve">of human </w:t>
      </w:r>
      <w:r>
        <w:rPr>
          <w:rFonts w:ascii="Arial" w:hAnsi="Arial" w:eastAsia="宋体" w:cs="Arial"/>
          <w:b/>
          <w:bCs/>
          <w:i/>
          <w:iCs/>
          <w:snapToGrid w:val="0"/>
          <w:kern w:val="0"/>
          <w:sz w:val="24"/>
          <w:szCs w:val="21"/>
        </w:rPr>
        <w:t>work: A practical ergonomics methodology (</w:t>
      </w:r>
      <w:r>
        <w:rPr>
          <w:rFonts w:ascii="Arial" w:hAnsi="Arial" w:eastAsia="宋体" w:cs="Arial"/>
          <w:snapToGrid w:val="0"/>
          <w:kern w:val="0"/>
          <w:sz w:val="24"/>
          <w:szCs w:val="21"/>
        </w:rPr>
        <w:t>pp. 248-270). London: Taylor &amp; Francis.</w:t>
      </w:r>
    </w:p>
    <w:p w14:paraId="6DE0E36D">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Wieringa, D., Moore, C., &amp; Barnes, V. (1993) Procedure Writing, Principles and Practices.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Columbus: Battelle Press.</w:t>
      </w:r>
    </w:p>
    <w:tbl>
      <w:tblPr>
        <w:tblStyle w:val="11"/>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1B0C9A6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06" w:type="dxa"/>
          </w:tcPr>
          <w:p w14:paraId="0FA77CE3">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程序提示</w:t>
            </w:r>
          </w:p>
          <w:p w14:paraId="755E79E6">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强调医疗器械使用中所涉及的措施和技术。</w:t>
            </w:r>
          </w:p>
          <w:p w14:paraId="049B3D33">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指出所需步骤和必要的测试条件。</w:t>
            </w:r>
          </w:p>
          <w:p w14:paraId="2E1700FB">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指出必要的供应品和材料。</w:t>
            </w:r>
          </w:p>
          <w:p w14:paraId="1B8DC181">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不得利用过多的证明和原理来稀释步骤。</w:t>
            </w:r>
          </w:p>
        </w:tc>
      </w:tr>
    </w:tbl>
    <w:p w14:paraId="68BC1C4C">
      <w:pPr>
        <w:topLinePunct/>
        <w:adjustRightInd w:val="0"/>
        <w:snapToGrid w:val="0"/>
        <w:spacing w:after="234" w:afterLines="75" w:line="360" w:lineRule="auto"/>
        <w:rPr>
          <w:rFonts w:ascii="Arial" w:hAnsi="Arial" w:eastAsia="宋体" w:cs="Arial"/>
          <w:snapToGrid w:val="0"/>
          <w:kern w:val="0"/>
          <w:sz w:val="4"/>
          <w:szCs w:val="4"/>
        </w:rPr>
      </w:pPr>
    </w:p>
    <w:p w14:paraId="70EC0B38">
      <w:pPr>
        <w:pStyle w:val="3"/>
        <w:keepNext w:val="0"/>
        <w:keepLines w:val="0"/>
        <w:topLinePunct/>
        <w:adjustRightInd w:val="0"/>
        <w:snapToGrid w:val="0"/>
        <w:spacing w:beforeLines="0" w:after="234" w:afterLines="75" w:line="360" w:lineRule="auto"/>
        <w:rPr>
          <w:rFonts w:ascii="Arial" w:hAnsi="Arial" w:eastAsia="宋体" w:cs="Arial"/>
          <w:b/>
          <w:snapToGrid w:val="0"/>
          <w:kern w:val="0"/>
          <w:sz w:val="24"/>
        </w:rPr>
      </w:pPr>
      <w:bookmarkStart w:id="5" w:name="_Toc499280418"/>
      <w:r>
        <w:rPr>
          <w:rFonts w:hint="eastAsia" w:ascii="Arial" w:hAnsi="Arial" w:eastAsia="宋体" w:cs="Arial"/>
          <w:b/>
          <w:snapToGrid w:val="0"/>
          <w:kern w:val="0"/>
          <w:sz w:val="24"/>
        </w:rPr>
        <w:t>风险沟通</w:t>
      </w:r>
      <w:bookmarkEnd w:id="5"/>
    </w:p>
    <w:p w14:paraId="577D08DE">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风险沟通告知器械用户与操作器械的潜在危害和如何降低危害相关的信息。国家研究委员会（1989年）确认了对于医疗器械标签至关重要的几种风险沟通内容领域。这些包括因使用器械、出现危害效果和影响器械使用的环境因素所引起的有害效果。这些领域考虑了许多因素，包括器械操作特点和要求、用户群体特征、器械使用注意事项、以及与器械使用相关的危害效应的类型和发生率。</w:t>
      </w:r>
    </w:p>
    <w:p w14:paraId="611F722A">
      <w:pPr>
        <w:topLinePunct/>
        <w:adjustRightInd w:val="0"/>
        <w:snapToGrid w:val="0"/>
        <w:spacing w:after="156" w:afterLines="50" w:line="360" w:lineRule="auto"/>
        <w:ind w:left="420" w:leftChars="200"/>
        <w:rPr>
          <w:rFonts w:ascii="Arial" w:hAnsi="Arial" w:eastAsia="宋体" w:cs="Arial"/>
          <w:b/>
          <w:snapToGrid w:val="0"/>
          <w:kern w:val="0"/>
          <w:sz w:val="24"/>
        </w:rPr>
      </w:pPr>
      <w:r>
        <w:rPr>
          <w:rFonts w:hint="eastAsia" w:ascii="Arial" w:hAnsi="Arial" w:eastAsia="宋体" w:cs="Arial"/>
          <w:b/>
          <w:snapToGrid w:val="0"/>
          <w:kern w:val="0"/>
          <w:sz w:val="24"/>
        </w:rPr>
        <w:t>风险沟通参考文献</w:t>
      </w:r>
    </w:p>
    <w:p w14:paraId="79AEF49A">
      <w:pPr>
        <w:topLinePunct/>
        <w:adjustRightInd w:val="0"/>
        <w:snapToGrid w:val="0"/>
        <w:spacing w:after="156" w:afterLines="50" w:line="360"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National Research Council (1989). </w:t>
      </w:r>
      <w:r>
        <w:rPr>
          <w:rFonts w:ascii="Arial" w:hAnsi="Arial" w:eastAsia="宋体" w:cs="Arial"/>
          <w:b/>
          <w:bCs/>
          <w:i/>
          <w:iCs/>
          <w:snapToGrid w:val="0"/>
          <w:kern w:val="0"/>
          <w:sz w:val="24"/>
          <w:szCs w:val="21"/>
        </w:rPr>
        <w:t xml:space="preserve">Improving risk communication. </w:t>
      </w:r>
      <w:r>
        <w:rPr>
          <w:rFonts w:ascii="Arial" w:hAnsi="Arial" w:eastAsia="宋体" w:cs="Arial"/>
          <w:snapToGrid w:val="0"/>
          <w:kern w:val="0"/>
          <w:sz w:val="24"/>
          <w:szCs w:val="21"/>
        </w:rPr>
        <w:t xml:space="preserve">Washington, </w:t>
      </w:r>
      <w:r>
        <w:rPr>
          <w:rFonts w:ascii="Arial" w:hAnsi="Arial" w:eastAsia="宋体" w:cs="Arial"/>
          <w:b/>
          <w:bCs/>
          <w:i/>
          <w:iCs/>
          <w:snapToGrid w:val="0"/>
          <w:kern w:val="0"/>
          <w:sz w:val="24"/>
          <w:szCs w:val="21"/>
        </w:rPr>
        <w:t xml:space="preserve">D.C.: </w:t>
      </w:r>
      <w:r>
        <w:rPr>
          <w:rFonts w:ascii="Arial" w:hAnsi="Arial" w:eastAsia="宋体" w:cs="Arial"/>
          <w:snapToGrid w:val="0"/>
          <w:kern w:val="0"/>
          <w:sz w:val="24"/>
          <w:szCs w:val="21"/>
        </w:rPr>
        <w:t>National Academy Press.</w:t>
      </w:r>
    </w:p>
    <w:p w14:paraId="29B3AA2A">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Ryan, J.P. (1991). </w:t>
      </w:r>
      <w:r>
        <w:rPr>
          <w:rFonts w:ascii="Arial" w:hAnsi="Arial" w:eastAsia="宋体" w:cs="Arial"/>
          <w:b/>
          <w:bCs/>
          <w:i/>
          <w:iCs/>
          <w:snapToGrid w:val="0"/>
          <w:kern w:val="0"/>
          <w:sz w:val="24"/>
          <w:szCs w:val="21"/>
        </w:rPr>
        <w:t xml:space="preserve">Design of warning labels and instructions. </w:t>
      </w:r>
      <w:r>
        <w:rPr>
          <w:rFonts w:ascii="Arial" w:hAnsi="Arial" w:eastAsia="宋体" w:cs="Arial"/>
          <w:snapToGrid w:val="0"/>
          <w:kern w:val="0"/>
          <w:sz w:val="24"/>
          <w:szCs w:val="21"/>
        </w:rPr>
        <w:t xml:space="preserve">New York: </w:t>
      </w:r>
      <w:r>
        <w:rPr>
          <w:rFonts w:ascii="Arial" w:hAnsi="Arial" w:eastAsia="宋体" w:cs="Arial"/>
          <w:b/>
          <w:bCs/>
          <w:i/>
          <w:iCs/>
          <w:snapToGrid w:val="0"/>
          <w:kern w:val="0"/>
          <w:sz w:val="24"/>
          <w:szCs w:val="21"/>
        </w:rPr>
        <w:t xml:space="preserve">Van </w:t>
      </w:r>
      <w:r>
        <w:rPr>
          <w:rFonts w:ascii="Arial" w:hAnsi="Arial" w:eastAsia="宋体" w:cs="Arial"/>
          <w:snapToGrid w:val="0"/>
          <w:kern w:val="0"/>
          <w:sz w:val="24"/>
          <w:szCs w:val="21"/>
        </w:rPr>
        <w:t>Nostrand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Reinhold.</w:t>
      </w:r>
    </w:p>
    <w:p w14:paraId="675B3F2A">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Wogalter, M. S., Allison, S. T., &amp; McKenna, N. A. (1989). Effects of cost and social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influence on warning compliance. Hum Factors, 31, 133- </w:t>
      </w:r>
      <w:r>
        <w:rPr>
          <w:rFonts w:ascii="Arial" w:hAnsi="Arial" w:eastAsia="宋体" w:cs="Arial"/>
          <w:b/>
          <w:bCs/>
          <w:snapToGrid w:val="0"/>
          <w:kern w:val="0"/>
          <w:sz w:val="24"/>
          <w:szCs w:val="21"/>
        </w:rPr>
        <w:t>14.0.</w:t>
      </w:r>
    </w:p>
    <w:p w14:paraId="5554052E">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Wogalter, M. S., Godfrey, S. S., Fontenelle, G. A.. Desaulniers, D. R., Rothstein, P. R., &amp;</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Laughery, K. R. (1987). Effectiveness of warnings. Human Factors, 29,599-612.</w:t>
      </w:r>
    </w:p>
    <w:p w14:paraId="53DC0F43">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Young, S.L., &amp; Wogalter, M.S. (1988). Memory of instruction manual warnings: Effects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pictorial icons and conspicuous print. In Proceedings of the Human Factors Society, 32</w:t>
      </w:r>
      <w:r>
        <w:rPr>
          <w:rFonts w:ascii="Arial" w:hAnsi="Arial" w:eastAsia="宋体" w:cs="Arial"/>
          <w:snapToGrid w:val="0"/>
          <w:kern w:val="0"/>
          <w:sz w:val="24"/>
          <w:szCs w:val="21"/>
          <w:vertAlign w:val="superscript"/>
        </w:rPr>
        <w:t>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Annual Meeting (pp. 905-909). Santa Monica, CA: Human Factors Society.</w:t>
      </w:r>
    </w:p>
    <w:tbl>
      <w:tblPr>
        <w:tblStyle w:val="11"/>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7E73925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06" w:type="dxa"/>
          </w:tcPr>
          <w:p w14:paraId="0DA93CEA">
            <w:pPr>
              <w:topLinePunct/>
              <w:adjustRightInd w:val="0"/>
              <w:snapToGrid w:val="0"/>
              <w:spacing w:before="46" w:beforeLines="15" w:line="360" w:lineRule="auto"/>
              <w:jc w:val="center"/>
              <w:rPr>
                <w:rFonts w:ascii="Arial" w:hAnsi="Arial" w:eastAsia="宋体" w:cs="Arial"/>
                <w:b/>
                <w:snapToGrid w:val="0"/>
                <w:kern w:val="0"/>
              </w:rPr>
            </w:pPr>
            <w:r>
              <w:rPr>
                <w:rFonts w:hint="eastAsia" w:ascii="Arial" w:hAnsi="Arial" w:eastAsia="宋体" w:cs="Arial"/>
                <w:b/>
                <w:snapToGrid w:val="0"/>
                <w:kern w:val="0"/>
              </w:rPr>
              <w:t>风险沟通提示</w:t>
            </w:r>
          </w:p>
          <w:p w14:paraId="1A2EACEE">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不得最小化与医疗器械相关的危害效果。</w:t>
            </w:r>
          </w:p>
          <w:p w14:paraId="4FBA805D">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纳入已知危害效果的发生率。</w:t>
            </w:r>
          </w:p>
          <w:p w14:paraId="50717036">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提供危害效果的补救措施或参考合理权威。</w:t>
            </w:r>
          </w:p>
          <w:p w14:paraId="6D54C511">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描述影响操作者和器械的环境因素。</w:t>
            </w:r>
          </w:p>
        </w:tc>
      </w:tr>
    </w:tbl>
    <w:p w14:paraId="62BF1742">
      <w:pPr>
        <w:topLinePunct/>
        <w:adjustRightInd w:val="0"/>
        <w:snapToGrid w:val="0"/>
        <w:spacing w:after="234" w:afterLines="75" w:line="360" w:lineRule="auto"/>
        <w:rPr>
          <w:rFonts w:ascii="Arial" w:hAnsi="Arial" w:eastAsia="宋体" w:cs="Arial"/>
          <w:snapToGrid w:val="0"/>
          <w:kern w:val="0"/>
          <w:sz w:val="4"/>
          <w:szCs w:val="4"/>
        </w:rPr>
      </w:pPr>
    </w:p>
    <w:p w14:paraId="560C8583">
      <w:pPr>
        <w:pStyle w:val="3"/>
        <w:keepNext w:val="0"/>
        <w:keepLines w:val="0"/>
        <w:topLinePunct/>
        <w:adjustRightInd w:val="0"/>
        <w:snapToGrid w:val="0"/>
        <w:spacing w:beforeLines="0" w:after="156" w:line="360" w:lineRule="auto"/>
        <w:rPr>
          <w:rFonts w:ascii="Arial" w:hAnsi="Arial" w:eastAsia="宋体" w:cs="Arial"/>
          <w:b/>
          <w:snapToGrid w:val="0"/>
          <w:kern w:val="0"/>
          <w:sz w:val="24"/>
        </w:rPr>
      </w:pPr>
      <w:bookmarkStart w:id="6" w:name="_Toc499280419"/>
      <w:r>
        <w:rPr>
          <w:rFonts w:hint="eastAsia" w:ascii="Arial" w:hAnsi="Arial" w:eastAsia="宋体" w:cs="Arial"/>
          <w:b/>
          <w:snapToGrid w:val="0"/>
          <w:kern w:val="0"/>
          <w:sz w:val="24"/>
        </w:rPr>
        <w:t>补充信息</w:t>
      </w:r>
      <w:bookmarkEnd w:id="6"/>
    </w:p>
    <w:p w14:paraId="6F99F806">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补充信息包括器械用户在使用器械过程中发现的有用信息。其可能包括与器械相关的信息、记录测试结果的方法和器械用户遵循的治疗或监控方案的描述。</w:t>
      </w:r>
      <w:r>
        <w:rPr>
          <w:rFonts w:hint="eastAsia" w:ascii="Arial" w:hAnsi="Arial" w:eastAsia="宋体" w:cs="Arial"/>
          <w:b/>
          <w:snapToGrid w:val="0"/>
          <w:kern w:val="0"/>
          <w:sz w:val="24"/>
        </w:rPr>
        <w:t>通常</w:t>
      </w:r>
      <w:r>
        <w:rPr>
          <w:rFonts w:hint="eastAsia" w:ascii="Arial" w:hAnsi="Arial" w:eastAsia="宋体" w:cs="Arial"/>
          <w:snapToGrid w:val="0"/>
          <w:kern w:val="0"/>
          <w:sz w:val="24"/>
        </w:rPr>
        <w:t>，最好利用表格而不是文本来提供补充信息。这有助于器械使用者快速容易地定位信息的具体项目。</w:t>
      </w:r>
    </w:p>
    <w:p w14:paraId="054F87E4">
      <w:pPr>
        <w:topLinePunct/>
        <w:adjustRightInd w:val="0"/>
        <w:snapToGrid w:val="0"/>
        <w:spacing w:after="156" w:afterLines="50" w:line="360" w:lineRule="auto"/>
        <w:ind w:left="420" w:leftChars="200"/>
        <w:rPr>
          <w:rFonts w:ascii="Arial" w:hAnsi="Arial" w:eastAsia="宋体" w:cs="Arial"/>
          <w:b/>
          <w:snapToGrid w:val="0"/>
          <w:kern w:val="0"/>
          <w:sz w:val="24"/>
        </w:rPr>
      </w:pPr>
      <w:r>
        <w:rPr>
          <w:rFonts w:hint="eastAsia" w:ascii="Arial" w:hAnsi="Arial" w:eastAsia="宋体" w:cs="Arial"/>
          <w:b/>
          <w:snapToGrid w:val="0"/>
          <w:kern w:val="0"/>
          <w:sz w:val="24"/>
        </w:rPr>
        <w:t>器械信息</w:t>
      </w:r>
    </w:p>
    <w:p w14:paraId="68489AA5">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列出完整的商标名称、型号和器械制造日期。包括器械制造商和分销商的名称、地址和电话号码，因此，器械用户可获得与器械相的关更详细信息。</w:t>
      </w:r>
    </w:p>
    <w:p w14:paraId="49DA993B">
      <w:pPr>
        <w:topLinePunct/>
        <w:adjustRightInd w:val="0"/>
        <w:snapToGrid w:val="0"/>
        <w:spacing w:after="156" w:afterLines="50" w:line="360" w:lineRule="auto"/>
        <w:ind w:left="420" w:leftChars="200"/>
        <w:rPr>
          <w:rFonts w:ascii="Arial" w:hAnsi="Arial" w:eastAsia="宋体" w:cs="Arial"/>
          <w:b/>
          <w:snapToGrid w:val="0"/>
          <w:kern w:val="0"/>
          <w:sz w:val="24"/>
        </w:rPr>
      </w:pPr>
      <w:r>
        <w:rPr>
          <w:rFonts w:hint="eastAsia" w:ascii="Arial" w:hAnsi="Arial" w:eastAsia="宋体" w:cs="Arial"/>
          <w:b/>
          <w:snapToGrid w:val="0"/>
          <w:kern w:val="0"/>
          <w:sz w:val="24"/>
        </w:rPr>
        <w:t>测试结果记录</w:t>
      </w:r>
    </w:p>
    <w:p w14:paraId="2FA3F0EC">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许多器械在延长的时间段内，在一系列测试中对某种物理或生物化学过程进行了检测。在这些情况下，请纳入记录日期、时间和每项测试结果的表格。保健专业人员在诊断和治疗时可使用本记录。</w:t>
      </w:r>
    </w:p>
    <w:p w14:paraId="502107A2">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下述举例来源于模型隐形眼镜护理说明册。其阐述了器械用户通常认为有价值的补充信息类型。</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40"/>
        <w:gridCol w:w="1540"/>
        <w:gridCol w:w="1541"/>
        <w:gridCol w:w="1540"/>
        <w:gridCol w:w="1540"/>
        <w:gridCol w:w="1541"/>
      </w:tblGrid>
      <w:tr w14:paraId="62440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42" w:type="dxa"/>
            <w:gridSpan w:val="6"/>
          </w:tcPr>
          <w:p w14:paraId="147736D6">
            <w:pPr>
              <w:topLinePunct/>
              <w:adjustRightInd w:val="0"/>
              <w:snapToGrid w:val="0"/>
              <w:spacing w:before="46" w:beforeLines="15" w:line="360" w:lineRule="auto"/>
              <w:jc w:val="center"/>
              <w:rPr>
                <w:rFonts w:ascii="Arial" w:hAnsi="Arial" w:eastAsia="宋体" w:cs="Arial"/>
                <w:b/>
                <w:snapToGrid w:val="0"/>
                <w:kern w:val="0"/>
              </w:rPr>
            </w:pPr>
            <w:r>
              <w:rPr>
                <w:rFonts w:hint="eastAsia" w:ascii="Arial" w:hAnsi="Arial" w:eastAsia="宋体" w:cs="Arial"/>
                <w:b/>
                <w:snapToGrid w:val="0"/>
                <w:kern w:val="0"/>
                <w:sz w:val="24"/>
              </w:rPr>
              <w:t>补充信息举例</w:t>
            </w:r>
          </w:p>
        </w:tc>
      </w:tr>
      <w:tr w14:paraId="4B685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1" w:type="dxa"/>
            <w:gridSpan w:val="3"/>
            <w:tcBorders>
              <w:bottom w:val="nil"/>
            </w:tcBorders>
          </w:tcPr>
          <w:p w14:paraId="35351FD6">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隐形眼镜拥有者</w:t>
            </w:r>
          </w:p>
          <w:p w14:paraId="0DC8ED95">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姓名</w:t>
            </w:r>
            <w:r>
              <w:rPr>
                <w:rFonts w:ascii="Arial" w:hAnsi="Arial" w:eastAsia="宋体" w:cs="Arial"/>
                <w:snapToGrid w:val="0"/>
                <w:kern w:val="0"/>
                <w:u w:val="single"/>
              </w:rPr>
              <w:tab/>
            </w:r>
          </w:p>
          <w:p w14:paraId="7F65E374">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街道</w:t>
            </w:r>
            <w:r>
              <w:rPr>
                <w:rFonts w:ascii="Arial" w:hAnsi="Arial" w:eastAsia="宋体" w:cs="Arial"/>
                <w:snapToGrid w:val="0"/>
                <w:kern w:val="0"/>
                <w:u w:val="single"/>
              </w:rPr>
              <w:tab/>
            </w:r>
          </w:p>
          <w:p w14:paraId="3E2684B6">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城市／州／邮编</w:t>
            </w:r>
            <w:r>
              <w:rPr>
                <w:rFonts w:ascii="Arial" w:hAnsi="Arial" w:eastAsia="宋体" w:cs="Arial"/>
                <w:snapToGrid w:val="0"/>
                <w:kern w:val="0"/>
                <w:u w:val="single"/>
              </w:rPr>
              <w:tab/>
            </w:r>
          </w:p>
          <w:p w14:paraId="3BE3F3B5">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电话</w:t>
            </w:r>
            <w:r>
              <w:rPr>
                <w:rFonts w:ascii="Arial" w:hAnsi="Arial" w:eastAsia="宋体" w:cs="Arial"/>
                <w:snapToGrid w:val="0"/>
                <w:kern w:val="0"/>
                <w:u w:val="single"/>
              </w:rPr>
              <w:tab/>
            </w:r>
          </w:p>
          <w:p w14:paraId="4D2D561D">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隐形眼镜说明</w:t>
            </w:r>
            <w:r>
              <w:rPr>
                <w:rFonts w:ascii="Arial" w:hAnsi="Arial" w:eastAsia="宋体" w:cs="Arial"/>
                <w:snapToGrid w:val="0"/>
                <w:kern w:val="0"/>
                <w:u w:val="single"/>
              </w:rPr>
              <w:tab/>
            </w:r>
          </w:p>
        </w:tc>
        <w:tc>
          <w:tcPr>
            <w:tcW w:w="4621" w:type="dxa"/>
            <w:gridSpan w:val="3"/>
            <w:tcBorders>
              <w:bottom w:val="nil"/>
            </w:tcBorders>
          </w:tcPr>
          <w:p w14:paraId="57A98625">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隐形眼镜护理医生</w:t>
            </w:r>
          </w:p>
          <w:p w14:paraId="62C787CF">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姓名</w:t>
            </w:r>
            <w:r>
              <w:rPr>
                <w:rFonts w:ascii="Arial" w:hAnsi="Arial" w:eastAsia="宋体" w:cs="Arial"/>
                <w:snapToGrid w:val="0"/>
                <w:kern w:val="0"/>
                <w:u w:val="single"/>
              </w:rPr>
              <w:tab/>
            </w:r>
          </w:p>
          <w:p w14:paraId="596ED5B3">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街道</w:t>
            </w:r>
            <w:r>
              <w:rPr>
                <w:rFonts w:ascii="Arial" w:hAnsi="Arial" w:eastAsia="宋体" w:cs="Arial"/>
                <w:snapToGrid w:val="0"/>
                <w:kern w:val="0"/>
                <w:u w:val="single"/>
              </w:rPr>
              <w:tab/>
            </w:r>
          </w:p>
          <w:p w14:paraId="04371657">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城市／州／邮编</w:t>
            </w:r>
            <w:r>
              <w:rPr>
                <w:rFonts w:ascii="Arial" w:hAnsi="Arial" w:eastAsia="宋体" w:cs="Arial"/>
                <w:snapToGrid w:val="0"/>
                <w:kern w:val="0"/>
                <w:u w:val="single"/>
              </w:rPr>
              <w:tab/>
            </w:r>
          </w:p>
          <w:p w14:paraId="23ACD09C">
            <w:pPr>
              <w:tabs>
                <w:tab w:val="right" w:pos="4253"/>
              </w:tabs>
              <w:topLinePunct/>
              <w:adjustRightInd w:val="0"/>
              <w:snapToGrid w:val="0"/>
              <w:spacing w:before="46" w:beforeLines="15" w:line="360" w:lineRule="auto"/>
              <w:rPr>
                <w:rFonts w:ascii="Arial" w:hAnsi="Arial" w:eastAsia="宋体" w:cs="Arial"/>
                <w:snapToGrid w:val="0"/>
                <w:kern w:val="0"/>
                <w:u w:val="single"/>
              </w:rPr>
            </w:pPr>
            <w:r>
              <w:rPr>
                <w:rFonts w:hint="eastAsia" w:ascii="Arial" w:hAnsi="Arial" w:eastAsia="宋体" w:cs="Arial"/>
                <w:snapToGrid w:val="0"/>
                <w:kern w:val="0"/>
              </w:rPr>
              <w:t>电话</w:t>
            </w:r>
            <w:r>
              <w:rPr>
                <w:rFonts w:ascii="Arial" w:hAnsi="Arial" w:eastAsia="宋体" w:cs="Arial"/>
                <w:snapToGrid w:val="0"/>
                <w:kern w:val="0"/>
                <w:u w:val="single"/>
              </w:rPr>
              <w:tab/>
            </w:r>
          </w:p>
          <w:p w14:paraId="60C3C5BD">
            <w:pPr>
              <w:tabs>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处方日期</w:t>
            </w:r>
            <w:r>
              <w:rPr>
                <w:rFonts w:ascii="Arial" w:hAnsi="Arial" w:eastAsia="宋体" w:cs="Arial"/>
                <w:snapToGrid w:val="0"/>
                <w:kern w:val="0"/>
                <w:u w:val="single"/>
              </w:rPr>
              <w:tab/>
            </w:r>
          </w:p>
        </w:tc>
      </w:tr>
      <w:tr w14:paraId="00E07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0" w:type="dxa"/>
            <w:tcBorders>
              <w:top w:val="nil"/>
              <w:bottom w:val="single" w:color="auto" w:sz="4" w:space="0"/>
              <w:right w:val="single" w:color="auto" w:sz="4" w:space="0"/>
            </w:tcBorders>
          </w:tcPr>
          <w:p w14:paraId="49121A28">
            <w:pPr>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隐形眼镜</w:t>
            </w:r>
          </w:p>
        </w:tc>
        <w:tc>
          <w:tcPr>
            <w:tcW w:w="1540" w:type="dxa"/>
            <w:tcBorders>
              <w:top w:val="nil"/>
              <w:left w:val="single" w:color="auto" w:sz="4" w:space="0"/>
              <w:bottom w:val="single" w:color="auto" w:sz="4" w:space="0"/>
              <w:right w:val="single" w:color="auto" w:sz="4" w:space="0"/>
            </w:tcBorders>
          </w:tcPr>
          <w:p w14:paraId="19FF0A3A">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类型</w:t>
            </w:r>
          </w:p>
        </w:tc>
        <w:tc>
          <w:tcPr>
            <w:tcW w:w="1541" w:type="dxa"/>
            <w:tcBorders>
              <w:top w:val="nil"/>
              <w:left w:val="single" w:color="auto" w:sz="4" w:space="0"/>
              <w:bottom w:val="single" w:color="auto" w:sz="4" w:space="0"/>
              <w:right w:val="single" w:color="auto" w:sz="4" w:space="0"/>
            </w:tcBorders>
          </w:tcPr>
          <w:p w14:paraId="1F98848A">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规格</w:t>
            </w:r>
          </w:p>
        </w:tc>
        <w:tc>
          <w:tcPr>
            <w:tcW w:w="1540" w:type="dxa"/>
            <w:tcBorders>
              <w:top w:val="nil"/>
              <w:left w:val="single" w:color="auto" w:sz="4" w:space="0"/>
              <w:bottom w:val="single" w:color="auto" w:sz="4" w:space="0"/>
              <w:right w:val="single" w:color="auto" w:sz="4" w:space="0"/>
            </w:tcBorders>
          </w:tcPr>
          <w:p w14:paraId="460A77FF">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直径</w:t>
            </w:r>
          </w:p>
        </w:tc>
        <w:tc>
          <w:tcPr>
            <w:tcW w:w="1540" w:type="dxa"/>
            <w:tcBorders>
              <w:top w:val="nil"/>
              <w:left w:val="single" w:color="auto" w:sz="4" w:space="0"/>
              <w:bottom w:val="single" w:color="auto" w:sz="4" w:space="0"/>
              <w:right w:val="single" w:color="auto" w:sz="4" w:space="0"/>
            </w:tcBorders>
          </w:tcPr>
          <w:p w14:paraId="7A27EFE6">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底部</w:t>
            </w:r>
          </w:p>
        </w:tc>
        <w:tc>
          <w:tcPr>
            <w:tcW w:w="1541" w:type="dxa"/>
            <w:tcBorders>
              <w:top w:val="nil"/>
              <w:left w:val="single" w:color="auto" w:sz="4" w:space="0"/>
              <w:bottom w:val="single" w:color="auto" w:sz="4" w:space="0"/>
            </w:tcBorders>
          </w:tcPr>
          <w:p w14:paraId="771EF143">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曲率</w:t>
            </w:r>
          </w:p>
        </w:tc>
      </w:tr>
      <w:tr w14:paraId="73AD0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0" w:type="dxa"/>
            <w:tcBorders>
              <w:top w:val="single" w:color="auto" w:sz="4" w:space="0"/>
              <w:bottom w:val="single" w:color="auto" w:sz="4" w:space="0"/>
              <w:right w:val="single" w:color="auto" w:sz="4" w:space="0"/>
            </w:tcBorders>
          </w:tcPr>
          <w:p w14:paraId="136C0F91">
            <w:pPr>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右眼</w:t>
            </w:r>
          </w:p>
        </w:tc>
        <w:tc>
          <w:tcPr>
            <w:tcW w:w="1540" w:type="dxa"/>
            <w:tcBorders>
              <w:top w:val="single" w:color="auto" w:sz="4" w:space="0"/>
              <w:left w:val="single" w:color="auto" w:sz="4" w:space="0"/>
              <w:bottom w:val="single" w:color="auto" w:sz="4" w:space="0"/>
              <w:right w:val="single" w:color="auto" w:sz="4" w:space="0"/>
            </w:tcBorders>
          </w:tcPr>
          <w:p w14:paraId="4691AD59">
            <w:pPr>
              <w:topLinePunct/>
              <w:adjustRightInd w:val="0"/>
              <w:snapToGrid w:val="0"/>
              <w:spacing w:before="46" w:beforeLines="15" w:line="360" w:lineRule="auto"/>
              <w:jc w:val="center"/>
              <w:rPr>
                <w:rFonts w:ascii="Arial" w:hAnsi="Arial" w:eastAsia="宋体" w:cs="Arial"/>
                <w:snapToGrid w:val="0"/>
                <w:kern w:val="0"/>
              </w:rPr>
            </w:pPr>
          </w:p>
        </w:tc>
        <w:tc>
          <w:tcPr>
            <w:tcW w:w="1541" w:type="dxa"/>
            <w:tcBorders>
              <w:top w:val="single" w:color="auto" w:sz="4" w:space="0"/>
              <w:left w:val="single" w:color="auto" w:sz="4" w:space="0"/>
              <w:bottom w:val="single" w:color="auto" w:sz="4" w:space="0"/>
              <w:right w:val="single" w:color="auto" w:sz="4" w:space="0"/>
            </w:tcBorders>
          </w:tcPr>
          <w:p w14:paraId="2688CB64">
            <w:pPr>
              <w:topLinePunct/>
              <w:adjustRightInd w:val="0"/>
              <w:snapToGrid w:val="0"/>
              <w:spacing w:before="46" w:beforeLines="15" w:line="360" w:lineRule="auto"/>
              <w:jc w:val="center"/>
              <w:rPr>
                <w:rFonts w:ascii="Arial" w:hAnsi="Arial" w:eastAsia="宋体" w:cs="Arial"/>
                <w:snapToGrid w:val="0"/>
                <w:kern w:val="0"/>
              </w:rPr>
            </w:pPr>
          </w:p>
        </w:tc>
        <w:tc>
          <w:tcPr>
            <w:tcW w:w="1540" w:type="dxa"/>
            <w:tcBorders>
              <w:top w:val="single" w:color="auto" w:sz="4" w:space="0"/>
              <w:left w:val="single" w:color="auto" w:sz="4" w:space="0"/>
              <w:bottom w:val="single" w:color="auto" w:sz="4" w:space="0"/>
              <w:right w:val="single" w:color="auto" w:sz="4" w:space="0"/>
            </w:tcBorders>
          </w:tcPr>
          <w:p w14:paraId="41C4CAC8">
            <w:pPr>
              <w:topLinePunct/>
              <w:adjustRightInd w:val="0"/>
              <w:snapToGrid w:val="0"/>
              <w:spacing w:before="46" w:beforeLines="15" w:line="360" w:lineRule="auto"/>
              <w:jc w:val="center"/>
              <w:rPr>
                <w:rFonts w:ascii="Arial" w:hAnsi="Arial" w:eastAsia="宋体" w:cs="Arial"/>
                <w:snapToGrid w:val="0"/>
                <w:kern w:val="0"/>
              </w:rPr>
            </w:pPr>
          </w:p>
        </w:tc>
        <w:tc>
          <w:tcPr>
            <w:tcW w:w="1540" w:type="dxa"/>
            <w:tcBorders>
              <w:top w:val="single" w:color="auto" w:sz="4" w:space="0"/>
              <w:left w:val="single" w:color="auto" w:sz="4" w:space="0"/>
              <w:bottom w:val="single" w:color="auto" w:sz="4" w:space="0"/>
              <w:right w:val="single" w:color="auto" w:sz="4" w:space="0"/>
            </w:tcBorders>
          </w:tcPr>
          <w:p w14:paraId="2E52A697">
            <w:pPr>
              <w:topLinePunct/>
              <w:adjustRightInd w:val="0"/>
              <w:snapToGrid w:val="0"/>
              <w:spacing w:before="46" w:beforeLines="15" w:line="360" w:lineRule="auto"/>
              <w:jc w:val="center"/>
              <w:rPr>
                <w:rFonts w:ascii="Arial" w:hAnsi="Arial" w:eastAsia="宋体" w:cs="Arial"/>
                <w:snapToGrid w:val="0"/>
                <w:kern w:val="0"/>
              </w:rPr>
            </w:pPr>
          </w:p>
        </w:tc>
        <w:tc>
          <w:tcPr>
            <w:tcW w:w="1541" w:type="dxa"/>
            <w:tcBorders>
              <w:top w:val="single" w:color="auto" w:sz="4" w:space="0"/>
              <w:left w:val="single" w:color="auto" w:sz="4" w:space="0"/>
              <w:bottom w:val="single" w:color="auto" w:sz="4" w:space="0"/>
            </w:tcBorders>
          </w:tcPr>
          <w:p w14:paraId="39057365">
            <w:pPr>
              <w:topLinePunct/>
              <w:adjustRightInd w:val="0"/>
              <w:snapToGrid w:val="0"/>
              <w:spacing w:before="46" w:beforeLines="15" w:line="360" w:lineRule="auto"/>
              <w:jc w:val="center"/>
              <w:rPr>
                <w:rFonts w:ascii="Arial" w:hAnsi="Arial" w:eastAsia="宋体" w:cs="Arial"/>
                <w:snapToGrid w:val="0"/>
                <w:kern w:val="0"/>
              </w:rPr>
            </w:pPr>
          </w:p>
        </w:tc>
      </w:tr>
      <w:tr w14:paraId="736DC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0" w:type="dxa"/>
            <w:tcBorders>
              <w:top w:val="single" w:color="auto" w:sz="4" w:space="0"/>
              <w:bottom w:val="single" w:color="auto" w:sz="4" w:space="0"/>
              <w:right w:val="single" w:color="auto" w:sz="4" w:space="0"/>
            </w:tcBorders>
          </w:tcPr>
          <w:p w14:paraId="6DE9AFE7">
            <w:pPr>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左眼</w:t>
            </w:r>
          </w:p>
        </w:tc>
        <w:tc>
          <w:tcPr>
            <w:tcW w:w="1540" w:type="dxa"/>
            <w:tcBorders>
              <w:top w:val="single" w:color="auto" w:sz="4" w:space="0"/>
              <w:left w:val="single" w:color="auto" w:sz="4" w:space="0"/>
              <w:bottom w:val="single" w:color="auto" w:sz="4" w:space="0"/>
              <w:right w:val="single" w:color="auto" w:sz="4" w:space="0"/>
            </w:tcBorders>
          </w:tcPr>
          <w:p w14:paraId="56720BCD">
            <w:pPr>
              <w:topLinePunct/>
              <w:adjustRightInd w:val="0"/>
              <w:snapToGrid w:val="0"/>
              <w:spacing w:before="46" w:beforeLines="15" w:line="360" w:lineRule="auto"/>
              <w:jc w:val="center"/>
              <w:rPr>
                <w:rFonts w:ascii="Arial" w:hAnsi="Arial" w:eastAsia="宋体" w:cs="Arial"/>
                <w:snapToGrid w:val="0"/>
                <w:kern w:val="0"/>
              </w:rPr>
            </w:pPr>
          </w:p>
        </w:tc>
        <w:tc>
          <w:tcPr>
            <w:tcW w:w="1541" w:type="dxa"/>
            <w:tcBorders>
              <w:top w:val="single" w:color="auto" w:sz="4" w:space="0"/>
              <w:left w:val="single" w:color="auto" w:sz="4" w:space="0"/>
              <w:bottom w:val="single" w:color="auto" w:sz="4" w:space="0"/>
              <w:right w:val="single" w:color="auto" w:sz="4" w:space="0"/>
            </w:tcBorders>
          </w:tcPr>
          <w:p w14:paraId="1B6A93F3">
            <w:pPr>
              <w:topLinePunct/>
              <w:adjustRightInd w:val="0"/>
              <w:snapToGrid w:val="0"/>
              <w:spacing w:before="46" w:beforeLines="15" w:line="360" w:lineRule="auto"/>
              <w:jc w:val="center"/>
              <w:rPr>
                <w:rFonts w:ascii="Arial" w:hAnsi="Arial" w:eastAsia="宋体" w:cs="Arial"/>
                <w:snapToGrid w:val="0"/>
                <w:kern w:val="0"/>
              </w:rPr>
            </w:pPr>
          </w:p>
        </w:tc>
        <w:tc>
          <w:tcPr>
            <w:tcW w:w="1540" w:type="dxa"/>
            <w:tcBorders>
              <w:top w:val="single" w:color="auto" w:sz="4" w:space="0"/>
              <w:left w:val="single" w:color="auto" w:sz="4" w:space="0"/>
              <w:bottom w:val="single" w:color="auto" w:sz="4" w:space="0"/>
              <w:right w:val="single" w:color="auto" w:sz="4" w:space="0"/>
            </w:tcBorders>
          </w:tcPr>
          <w:p w14:paraId="60633B8D">
            <w:pPr>
              <w:topLinePunct/>
              <w:adjustRightInd w:val="0"/>
              <w:snapToGrid w:val="0"/>
              <w:spacing w:before="46" w:beforeLines="15" w:line="360" w:lineRule="auto"/>
              <w:jc w:val="center"/>
              <w:rPr>
                <w:rFonts w:ascii="Arial" w:hAnsi="Arial" w:eastAsia="宋体" w:cs="Arial"/>
                <w:snapToGrid w:val="0"/>
                <w:kern w:val="0"/>
              </w:rPr>
            </w:pPr>
          </w:p>
        </w:tc>
        <w:tc>
          <w:tcPr>
            <w:tcW w:w="1540" w:type="dxa"/>
            <w:tcBorders>
              <w:top w:val="single" w:color="auto" w:sz="4" w:space="0"/>
              <w:left w:val="single" w:color="auto" w:sz="4" w:space="0"/>
              <w:bottom w:val="single" w:color="auto" w:sz="4" w:space="0"/>
              <w:right w:val="single" w:color="auto" w:sz="4" w:space="0"/>
            </w:tcBorders>
          </w:tcPr>
          <w:p w14:paraId="53A68F6F">
            <w:pPr>
              <w:topLinePunct/>
              <w:adjustRightInd w:val="0"/>
              <w:snapToGrid w:val="0"/>
              <w:spacing w:before="46" w:beforeLines="15" w:line="360" w:lineRule="auto"/>
              <w:jc w:val="center"/>
              <w:rPr>
                <w:rFonts w:ascii="Arial" w:hAnsi="Arial" w:eastAsia="宋体" w:cs="Arial"/>
                <w:snapToGrid w:val="0"/>
                <w:kern w:val="0"/>
              </w:rPr>
            </w:pPr>
          </w:p>
        </w:tc>
        <w:tc>
          <w:tcPr>
            <w:tcW w:w="1541" w:type="dxa"/>
            <w:tcBorders>
              <w:top w:val="single" w:color="auto" w:sz="4" w:space="0"/>
              <w:left w:val="single" w:color="auto" w:sz="4" w:space="0"/>
              <w:bottom w:val="single" w:color="auto" w:sz="4" w:space="0"/>
            </w:tcBorders>
          </w:tcPr>
          <w:p w14:paraId="6F1AFC53">
            <w:pPr>
              <w:topLinePunct/>
              <w:adjustRightInd w:val="0"/>
              <w:snapToGrid w:val="0"/>
              <w:spacing w:before="46" w:beforeLines="15" w:line="360" w:lineRule="auto"/>
              <w:jc w:val="center"/>
              <w:rPr>
                <w:rFonts w:ascii="Arial" w:hAnsi="Arial" w:eastAsia="宋体" w:cs="Arial"/>
                <w:snapToGrid w:val="0"/>
                <w:kern w:val="0"/>
              </w:rPr>
            </w:pPr>
          </w:p>
        </w:tc>
      </w:tr>
      <w:tr w14:paraId="1C21F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1" w:type="dxa"/>
            <w:gridSpan w:val="3"/>
            <w:tcBorders>
              <w:top w:val="single" w:color="auto" w:sz="4" w:space="0"/>
            </w:tcBorders>
          </w:tcPr>
          <w:p w14:paraId="6C986968">
            <w:pPr>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kern w:val="0"/>
                <w:sz w:val="24"/>
              </w:rPr>
              <w:drawing>
                <wp:anchor distT="0" distB="0" distL="114300" distR="114300" simplePos="0" relativeHeight="251659264" behindDoc="1" locked="0" layoutInCell="0" allowOverlap="1">
                  <wp:simplePos x="0" y="0"/>
                  <wp:positionH relativeFrom="column">
                    <wp:posOffset>3952875</wp:posOffset>
                  </wp:positionH>
                  <wp:positionV relativeFrom="paragraph">
                    <wp:posOffset>842645</wp:posOffset>
                  </wp:positionV>
                  <wp:extent cx="294640" cy="3994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4640" cy="399415"/>
                          </a:xfrm>
                          <a:prstGeom prst="rect">
                            <a:avLst/>
                          </a:prstGeom>
                          <a:noFill/>
                          <a:ln>
                            <a:noFill/>
                          </a:ln>
                        </pic:spPr>
                      </pic:pic>
                    </a:graphicData>
                  </a:graphic>
                </wp:anchor>
              </w:drawing>
            </w:r>
            <w:r>
              <w:rPr>
                <w:rFonts w:hint="eastAsia" w:ascii="Arial" w:hAnsi="Arial" w:eastAsia="宋体" w:cs="Arial"/>
                <w:snapToGrid w:val="0"/>
                <w:kern w:val="0"/>
              </w:rPr>
              <w:t>预约安排</w:t>
            </w:r>
          </w:p>
          <w:p w14:paraId="449B64D0">
            <w:pPr>
              <w:tabs>
                <w:tab w:val="right" w:pos="2694"/>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 xml:space="preserve">日期 </w:t>
            </w:r>
            <w:r>
              <w:rPr>
                <w:rFonts w:ascii="Arial" w:hAnsi="Arial" w:eastAsia="宋体" w:cs="Arial"/>
                <w:snapToGrid w:val="0"/>
                <w:kern w:val="0"/>
                <w:u w:val="single"/>
              </w:rPr>
              <w:tab/>
            </w:r>
            <w:r>
              <w:rPr>
                <w:rFonts w:hint="eastAsia" w:ascii="Arial" w:hAnsi="Arial" w:eastAsia="宋体" w:cs="Arial"/>
                <w:snapToGrid w:val="0"/>
                <w:kern w:val="0"/>
              </w:rPr>
              <w:t>时间</w:t>
            </w:r>
            <w:r>
              <w:rPr>
                <w:rFonts w:ascii="Arial" w:hAnsi="Arial" w:eastAsia="宋体" w:cs="Arial"/>
                <w:snapToGrid w:val="0"/>
                <w:kern w:val="0"/>
                <w:u w:val="single"/>
              </w:rPr>
              <w:tab/>
            </w:r>
          </w:p>
          <w:p w14:paraId="027901A8">
            <w:pPr>
              <w:tabs>
                <w:tab w:val="right" w:pos="2694"/>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 xml:space="preserve">日期 </w:t>
            </w:r>
            <w:r>
              <w:rPr>
                <w:rFonts w:ascii="Arial" w:hAnsi="Arial" w:eastAsia="宋体" w:cs="Arial"/>
                <w:snapToGrid w:val="0"/>
                <w:kern w:val="0"/>
                <w:u w:val="single"/>
              </w:rPr>
              <w:tab/>
            </w:r>
            <w:r>
              <w:rPr>
                <w:rFonts w:hint="eastAsia" w:ascii="Arial" w:hAnsi="Arial" w:eastAsia="宋体" w:cs="Arial"/>
                <w:snapToGrid w:val="0"/>
                <w:kern w:val="0"/>
              </w:rPr>
              <w:t>时间</w:t>
            </w:r>
            <w:r>
              <w:rPr>
                <w:rFonts w:ascii="Arial" w:hAnsi="Arial" w:eastAsia="宋体" w:cs="Arial"/>
                <w:snapToGrid w:val="0"/>
                <w:kern w:val="0"/>
                <w:u w:val="single"/>
              </w:rPr>
              <w:tab/>
            </w:r>
          </w:p>
          <w:p w14:paraId="37B37128">
            <w:pPr>
              <w:tabs>
                <w:tab w:val="right" w:pos="2694"/>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 xml:space="preserve">日期 </w:t>
            </w:r>
            <w:r>
              <w:rPr>
                <w:rFonts w:ascii="Arial" w:hAnsi="Arial" w:eastAsia="宋体" w:cs="Arial"/>
                <w:snapToGrid w:val="0"/>
                <w:kern w:val="0"/>
                <w:u w:val="single"/>
              </w:rPr>
              <w:tab/>
            </w:r>
            <w:r>
              <w:rPr>
                <w:rFonts w:hint="eastAsia" w:ascii="Arial" w:hAnsi="Arial" w:eastAsia="宋体" w:cs="Arial"/>
                <w:snapToGrid w:val="0"/>
                <w:kern w:val="0"/>
              </w:rPr>
              <w:t>时间</w:t>
            </w:r>
            <w:r>
              <w:rPr>
                <w:rFonts w:ascii="Arial" w:hAnsi="Arial" w:eastAsia="宋体" w:cs="Arial"/>
                <w:snapToGrid w:val="0"/>
                <w:kern w:val="0"/>
                <w:u w:val="single"/>
              </w:rPr>
              <w:tab/>
            </w:r>
          </w:p>
          <w:p w14:paraId="41296DE3">
            <w:pPr>
              <w:tabs>
                <w:tab w:val="right" w:pos="2694"/>
                <w:tab w:val="right" w:pos="4253"/>
              </w:tabs>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 xml:space="preserve">日期 </w:t>
            </w:r>
            <w:r>
              <w:rPr>
                <w:rFonts w:ascii="Arial" w:hAnsi="Arial" w:eastAsia="宋体" w:cs="Arial"/>
                <w:snapToGrid w:val="0"/>
                <w:kern w:val="0"/>
                <w:u w:val="single"/>
              </w:rPr>
              <w:tab/>
            </w:r>
            <w:r>
              <w:rPr>
                <w:rFonts w:hint="eastAsia" w:ascii="Arial" w:hAnsi="Arial" w:eastAsia="宋体" w:cs="Arial"/>
                <w:snapToGrid w:val="0"/>
                <w:kern w:val="0"/>
              </w:rPr>
              <w:t>时间</w:t>
            </w:r>
            <w:r>
              <w:rPr>
                <w:rFonts w:ascii="Arial" w:hAnsi="Arial" w:eastAsia="宋体" w:cs="Arial"/>
                <w:snapToGrid w:val="0"/>
                <w:kern w:val="0"/>
                <w:u w:val="single"/>
              </w:rPr>
              <w:tab/>
            </w:r>
          </w:p>
        </w:tc>
        <w:tc>
          <w:tcPr>
            <w:tcW w:w="4621" w:type="dxa"/>
            <w:gridSpan w:val="3"/>
            <w:tcBorders>
              <w:top w:val="single" w:color="auto" w:sz="4" w:space="0"/>
            </w:tcBorders>
          </w:tcPr>
          <w:p w14:paraId="4E67D33C">
            <w:pPr>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隐形眼镜制造商电话号码</w:t>
            </w:r>
          </w:p>
          <w:p w14:paraId="495ADF37">
            <w:pPr>
              <w:tabs>
                <w:tab w:val="right" w:pos="4310"/>
              </w:tabs>
              <w:topLinePunct/>
              <w:adjustRightInd w:val="0"/>
              <w:snapToGrid w:val="0"/>
              <w:spacing w:before="46" w:beforeLines="15" w:line="360" w:lineRule="auto"/>
              <w:rPr>
                <w:rFonts w:ascii="Arial" w:hAnsi="Arial" w:eastAsia="宋体" w:cs="Arial"/>
                <w:snapToGrid w:val="0"/>
                <w:kern w:val="0"/>
                <w:u w:val="single"/>
              </w:rPr>
            </w:pPr>
            <w:r>
              <w:rPr>
                <w:rFonts w:ascii="Arial" w:hAnsi="Arial" w:eastAsia="宋体" w:cs="Arial"/>
                <w:snapToGrid w:val="0"/>
                <w:kern w:val="0"/>
                <w:u w:val="single"/>
              </w:rPr>
              <w:tab/>
            </w:r>
          </w:p>
          <w:p w14:paraId="6FFA968B">
            <w:pPr>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消毒系统类型（勾选一项）</w:t>
            </w:r>
          </w:p>
          <w:p w14:paraId="5866E629">
            <w:pPr>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冷（化学）</w:t>
            </w:r>
          </w:p>
          <w:p w14:paraId="10E8E32A">
            <w:pPr>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热（热量）</w:t>
            </w:r>
          </w:p>
        </w:tc>
      </w:tr>
    </w:tbl>
    <w:p w14:paraId="7BBF24C2">
      <w:pPr>
        <w:topLinePunct/>
        <w:adjustRightInd w:val="0"/>
        <w:snapToGrid w:val="0"/>
        <w:spacing w:after="234" w:afterLines="75" w:line="360" w:lineRule="auto"/>
        <w:rPr>
          <w:rFonts w:ascii="Arial" w:hAnsi="Arial" w:eastAsia="宋体" w:cs="Arial"/>
          <w:snapToGrid w:val="0"/>
          <w:kern w:val="0"/>
          <w:sz w:val="24"/>
        </w:rPr>
      </w:pPr>
    </w:p>
    <w:tbl>
      <w:tblPr>
        <w:tblStyle w:val="11"/>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1012533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06" w:type="dxa"/>
          </w:tcPr>
          <w:p w14:paraId="0E533FE2">
            <w:pPr>
              <w:topLinePunct/>
              <w:adjustRightInd w:val="0"/>
              <w:snapToGrid w:val="0"/>
              <w:spacing w:before="46" w:beforeLines="15" w:line="360" w:lineRule="auto"/>
              <w:jc w:val="center"/>
              <w:rPr>
                <w:rFonts w:ascii="Arial" w:hAnsi="Arial" w:eastAsia="宋体" w:cs="Arial"/>
                <w:b/>
                <w:snapToGrid w:val="0"/>
                <w:kern w:val="0"/>
              </w:rPr>
            </w:pPr>
            <w:r>
              <w:rPr>
                <w:rFonts w:hint="eastAsia" w:ascii="Arial" w:hAnsi="Arial" w:eastAsia="宋体" w:cs="Arial"/>
                <w:b/>
                <w:snapToGrid w:val="0"/>
                <w:kern w:val="0"/>
              </w:rPr>
              <w:t>补充信息提示</w:t>
            </w:r>
          </w:p>
          <w:p w14:paraId="4AA90089">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提供与器械相关的具体、完整的确认信息</w:t>
            </w:r>
          </w:p>
          <w:p w14:paraId="33A959C6">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纳入器械制造商的名称、地址和电话号码</w:t>
            </w:r>
          </w:p>
          <w:p w14:paraId="5D53D889">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为记录针对患者及其健康保健方案（如向一名保健专业人员就诊）的信息提供充分空间。</w:t>
            </w:r>
          </w:p>
        </w:tc>
      </w:tr>
    </w:tbl>
    <w:p w14:paraId="58EC0511">
      <w:pPr>
        <w:topLinePunct/>
        <w:adjustRightInd w:val="0"/>
        <w:snapToGrid w:val="0"/>
        <w:spacing w:after="234" w:afterLines="75" w:line="360" w:lineRule="auto"/>
        <w:rPr>
          <w:rFonts w:ascii="Arial" w:hAnsi="Arial" w:eastAsia="宋体" w:cs="Arial"/>
          <w:snapToGrid w:val="0"/>
          <w:kern w:val="0"/>
          <w:sz w:val="24"/>
        </w:rPr>
      </w:pPr>
    </w:p>
    <w:p w14:paraId="29FD09DF">
      <w:pPr>
        <w:widowControl/>
        <w:jc w:val="left"/>
        <w:rPr>
          <w:rFonts w:ascii="Arial" w:hAnsi="Arial" w:eastAsia="宋体" w:cs="Arial"/>
          <w:b/>
          <w:bCs/>
          <w:snapToGrid w:val="0"/>
          <w:kern w:val="0"/>
          <w:sz w:val="28"/>
          <w:szCs w:val="44"/>
        </w:rPr>
      </w:pPr>
      <w:bookmarkStart w:id="7" w:name="_Toc499280420"/>
      <w:r>
        <w:rPr>
          <w:rFonts w:ascii="Arial" w:hAnsi="Arial" w:eastAsia="宋体" w:cs="Arial"/>
          <w:b/>
          <w:snapToGrid w:val="0"/>
          <w:kern w:val="0"/>
          <w:sz w:val="28"/>
        </w:rPr>
        <w:br w:type="page"/>
      </w:r>
    </w:p>
    <w:p w14:paraId="2ED9740E">
      <w:pPr>
        <w:pStyle w:val="2"/>
        <w:keepNext w:val="0"/>
        <w:keepLines w:val="0"/>
        <w:topLinePunct/>
        <w:adjustRightInd w:val="0"/>
        <w:snapToGrid w:val="0"/>
        <w:spacing w:beforeLines="0" w:after="234" w:afterLines="75" w:line="360" w:lineRule="auto"/>
        <w:jc w:val="center"/>
        <w:rPr>
          <w:rFonts w:ascii="Arial" w:hAnsi="Arial" w:eastAsia="宋体" w:cs="Arial"/>
          <w:b/>
          <w:snapToGrid w:val="0"/>
          <w:kern w:val="0"/>
          <w:sz w:val="28"/>
        </w:rPr>
      </w:pPr>
      <w:r>
        <w:rPr>
          <w:rFonts w:hint="eastAsia" w:ascii="Arial" w:hAnsi="Arial" w:eastAsia="宋体" w:cs="Arial"/>
          <w:b/>
          <w:snapToGrid w:val="0"/>
          <w:kern w:val="0"/>
          <w:sz w:val="28"/>
        </w:rPr>
        <w:t>描述／格式</w:t>
      </w:r>
      <w:bookmarkEnd w:id="7"/>
    </w:p>
    <w:p w14:paraId="3A8E5507">
      <w:pPr>
        <w:pStyle w:val="3"/>
        <w:keepNext w:val="0"/>
        <w:keepLines w:val="0"/>
        <w:topLinePunct/>
        <w:adjustRightInd w:val="0"/>
        <w:snapToGrid w:val="0"/>
        <w:spacing w:beforeLines="0" w:after="234" w:afterLines="75" w:line="360" w:lineRule="auto"/>
        <w:rPr>
          <w:rFonts w:ascii="Arial" w:hAnsi="Arial" w:eastAsia="宋体" w:cs="Arial"/>
          <w:b/>
          <w:snapToGrid w:val="0"/>
          <w:kern w:val="0"/>
          <w:sz w:val="24"/>
        </w:rPr>
      </w:pPr>
      <w:bookmarkStart w:id="8" w:name="_Toc499280421"/>
      <w:r>
        <w:rPr>
          <w:rFonts w:hint="eastAsia" w:ascii="Arial" w:hAnsi="Arial" w:eastAsia="宋体" w:cs="Arial"/>
          <w:b/>
          <w:snapToGrid w:val="0"/>
          <w:kern w:val="0"/>
          <w:sz w:val="24"/>
        </w:rPr>
        <w:t>语言和可读性</w:t>
      </w:r>
      <w:bookmarkEnd w:id="8"/>
    </w:p>
    <w:p w14:paraId="5925763D">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语言是传达信息的正确、简洁和清楚的词汇使用。可读性是理解文本的相对轻松程度。对于医疗器械标签而言，良好的语言和可读性相当于简单、直接和清楚的陈述说明。其最小化了阅读困难，并尽可能使大多数阅读者了解标签。</w:t>
      </w:r>
    </w:p>
    <w:p w14:paraId="26D19C07">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每个程序应由简单、常见的词汇书写的简短、清楚的句子构成。将程序分成几个短小段落而不是使用少数长段落；这提高了理解和阅读速度。请使用主动语态而不是被动语态。不要利用较长的理由和原理来稀释程序；程序步骤中的证明和原理会引起阅读者的注意。最小化技术术语、复音词和复杂表达。</w:t>
      </w:r>
    </w:p>
    <w:p w14:paraId="2F50D507">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可读性评估了说明的可读程度，也通常被医疗器械标签作者忽视。可读性措施取决于书写风格（词语使用、句子特征）而不是内容。对标签进行编写，使其可读性依赖于下述使用者组的阅读等级水平。六年级水平是可读性的良好目标。大多数器械使用者可理解在该等级书写的标签。</w:t>
      </w:r>
    </w:p>
    <w:p w14:paraId="493393B8">
      <w:pPr>
        <w:topLinePunct/>
        <w:adjustRightInd w:val="0"/>
        <w:snapToGrid w:val="0"/>
        <w:spacing w:after="156" w:afterLines="50" w:line="360" w:lineRule="auto"/>
        <w:ind w:left="420" w:leftChars="200"/>
        <w:rPr>
          <w:rFonts w:ascii="Arial" w:hAnsi="Arial" w:eastAsia="宋体" w:cs="Arial"/>
          <w:b/>
          <w:snapToGrid w:val="0"/>
          <w:kern w:val="0"/>
          <w:sz w:val="24"/>
        </w:rPr>
      </w:pPr>
      <w:r>
        <w:rPr>
          <w:rFonts w:hint="eastAsia" w:ascii="Arial" w:hAnsi="Arial" w:eastAsia="宋体" w:cs="Arial"/>
          <w:b/>
          <w:snapToGrid w:val="0"/>
          <w:kern w:val="0"/>
          <w:sz w:val="24"/>
        </w:rPr>
        <w:t>语言和可读性参考文献</w:t>
      </w:r>
    </w:p>
    <w:p w14:paraId="7F209B28">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Bailey, R.W. (1989). </w:t>
      </w:r>
      <w:r>
        <w:rPr>
          <w:rFonts w:ascii="Arial" w:hAnsi="Arial" w:eastAsia="宋体" w:cs="Arial"/>
          <w:b/>
          <w:bCs/>
          <w:i/>
          <w:iCs/>
          <w:snapToGrid w:val="0"/>
          <w:kern w:val="0"/>
          <w:sz w:val="24"/>
          <w:szCs w:val="21"/>
        </w:rPr>
        <w:t>Human perfomurnce engineering (</w:t>
      </w:r>
      <w:r>
        <w:rPr>
          <w:rFonts w:ascii="Arial" w:hAnsi="Arial" w:eastAsia="宋体" w:cs="Arial"/>
          <w:snapToGrid w:val="0"/>
          <w:kern w:val="0"/>
          <w:sz w:val="24"/>
          <w:szCs w:val="21"/>
        </w:rPr>
        <w:t xml:space="preserve">2nd </w:t>
      </w:r>
      <w:r>
        <w:rPr>
          <w:rFonts w:ascii="Arial" w:hAnsi="Arial" w:eastAsia="宋体" w:cs="Arial"/>
          <w:b/>
          <w:bCs/>
          <w:snapToGrid w:val="0"/>
          <w:kern w:val="0"/>
          <w:sz w:val="24"/>
          <w:szCs w:val="21"/>
        </w:rPr>
        <w:t xml:space="preserve">ed.). </w:t>
      </w:r>
      <w:r>
        <w:rPr>
          <w:rFonts w:ascii="Arial" w:hAnsi="Arial" w:eastAsia="宋体" w:cs="Arial"/>
          <w:snapToGrid w:val="0"/>
          <w:kern w:val="0"/>
          <w:sz w:val="24"/>
          <w:szCs w:val="21"/>
        </w:rPr>
        <w:t>Chapter 20: Documentation.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Englewood Cliffs, NJ: Prentice </w:t>
      </w:r>
      <w:r>
        <w:rPr>
          <w:rFonts w:ascii="Arial" w:hAnsi="Arial" w:eastAsia="宋体" w:cs="Arial"/>
          <w:b/>
          <w:bCs/>
          <w:snapToGrid w:val="0"/>
          <w:kern w:val="0"/>
          <w:sz w:val="24"/>
          <w:szCs w:val="21"/>
        </w:rPr>
        <w:t>Hall.</w:t>
      </w:r>
    </w:p>
    <w:p w14:paraId="0A7FDEE7">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Coke, E. U. (1976). Reading rate, readability and variations in task-induced processing.</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Journal of Educatiorurl Psychology, 68, </w:t>
      </w:r>
      <w:r>
        <w:rPr>
          <w:rFonts w:ascii="Arial" w:hAnsi="Arial" w:eastAsia="宋体" w:cs="Arial"/>
          <w:snapToGrid w:val="0"/>
          <w:kern w:val="0"/>
          <w:sz w:val="24"/>
          <w:szCs w:val="21"/>
        </w:rPr>
        <w:t>167-173.</w:t>
      </w:r>
    </w:p>
    <w:p w14:paraId="467B58CF">
      <w:pPr>
        <w:topLinePunct/>
        <w:adjustRightInd w:val="0"/>
        <w:snapToGrid w:val="0"/>
        <w:spacing w:after="156" w:afterLines="50" w:line="360"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Coleman, E.B. (1962). Improving comprehensibility by shortening sentences. </w:t>
      </w:r>
      <w:r>
        <w:rPr>
          <w:rFonts w:ascii="Arial" w:hAnsi="Arial" w:eastAsia="宋体" w:cs="Arial"/>
          <w:b/>
          <w:bCs/>
          <w:i/>
          <w:iCs/>
          <w:snapToGrid w:val="0"/>
          <w:kern w:val="0"/>
          <w:sz w:val="24"/>
          <w:szCs w:val="21"/>
        </w:rPr>
        <w:t>Journal of</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 xml:space="preserve">Applied Psychology, 46, </w:t>
      </w:r>
      <w:r>
        <w:rPr>
          <w:rFonts w:ascii="Arial" w:hAnsi="Arial" w:eastAsia="宋体" w:cs="Arial"/>
          <w:snapToGrid w:val="0"/>
          <w:kern w:val="0"/>
          <w:sz w:val="24"/>
          <w:szCs w:val="21"/>
        </w:rPr>
        <w:t>13 1-1 34.</w:t>
      </w:r>
    </w:p>
    <w:p w14:paraId="04984F7E">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Gunning, R. (1968). The technique of clear writing (rev. ed.). New York: McGraw-Hill.</w:t>
      </w:r>
    </w:p>
    <w:p w14:paraId="367D31E3">
      <w:pPr>
        <w:topLinePunct/>
        <w:adjustRightInd w:val="0"/>
        <w:snapToGrid w:val="0"/>
        <w:spacing w:after="156" w:afterLines="50" w:line="360"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Kincaid, J. P., Fishburne, R. P., Rogers, R. L., &amp; Chissom B. S. (1975). </w:t>
      </w:r>
      <w:r>
        <w:rPr>
          <w:rFonts w:ascii="Arial" w:hAnsi="Arial" w:eastAsia="宋体" w:cs="Arial"/>
          <w:b/>
          <w:bCs/>
          <w:i/>
          <w:iCs/>
          <w:snapToGrid w:val="0"/>
          <w:kern w:val="0"/>
          <w:sz w:val="24"/>
          <w:szCs w:val="21"/>
        </w:rPr>
        <w:t>Derivation of new</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 xml:space="preserve">readability fonnulas for Navy establishment personnel. </w:t>
      </w:r>
      <w:r>
        <w:rPr>
          <w:rFonts w:ascii="Arial" w:hAnsi="Arial" w:eastAsia="宋体" w:cs="Arial"/>
          <w:snapToGrid w:val="0"/>
          <w:kern w:val="0"/>
          <w:sz w:val="24"/>
          <w:szCs w:val="21"/>
        </w:rPr>
        <w:t>Naval Training Command,</w:t>
      </w:r>
      <w:r>
        <w:rPr>
          <w:rFonts w:hint="eastAsia" w:ascii="Arial" w:hAnsi="Arial" w:eastAsia="宋体" w:cs="Arial"/>
          <w:b/>
          <w:bCs/>
          <w:i/>
          <w:iCs/>
          <w:snapToGrid w:val="0"/>
          <w:kern w:val="0"/>
          <w:sz w:val="24"/>
          <w:szCs w:val="21"/>
        </w:rPr>
        <w:t xml:space="preserve"> </w:t>
      </w:r>
      <w:r>
        <w:rPr>
          <w:rFonts w:ascii="Arial" w:hAnsi="Arial" w:eastAsia="宋体" w:cs="Arial"/>
          <w:snapToGrid w:val="0"/>
          <w:kern w:val="0"/>
          <w:sz w:val="24"/>
          <w:szCs w:val="21"/>
        </w:rPr>
        <w:t>Research Branch Report 8-75.</w:t>
      </w:r>
    </w:p>
    <w:p w14:paraId="058AF490">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Klare, G.R. (1979). Writing to inform: Making it readable. </w:t>
      </w:r>
      <w:r>
        <w:rPr>
          <w:rFonts w:ascii="Arial" w:hAnsi="Arial" w:eastAsia="宋体" w:cs="Arial"/>
          <w:b/>
          <w:bCs/>
          <w:i/>
          <w:iCs/>
          <w:snapToGrid w:val="0"/>
          <w:kern w:val="0"/>
          <w:sz w:val="24"/>
          <w:szCs w:val="21"/>
        </w:rPr>
        <w:t xml:space="preserve">Information Design Journal, </w:t>
      </w:r>
      <w:r>
        <w:rPr>
          <w:rFonts w:ascii="Arial" w:hAnsi="Arial" w:eastAsia="宋体" w:cs="Arial"/>
          <w:snapToGrid w:val="0"/>
          <w:kern w:val="0"/>
          <w:sz w:val="24"/>
          <w:szCs w:val="21"/>
        </w:rPr>
        <w:t>1.98-105.</w:t>
      </w:r>
    </w:p>
    <w:p w14:paraId="13380188">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Mills, G.H., &amp; Walter, J.A. (1986). </w:t>
      </w:r>
      <w:r>
        <w:rPr>
          <w:rFonts w:ascii="Arial" w:hAnsi="Arial" w:eastAsia="宋体" w:cs="Arial"/>
          <w:b/>
          <w:bCs/>
          <w:i/>
          <w:iCs/>
          <w:snapToGrid w:val="0"/>
          <w:kern w:val="0"/>
          <w:sz w:val="24"/>
          <w:szCs w:val="21"/>
        </w:rPr>
        <w:t>Technical writing (</w:t>
      </w:r>
      <w:r>
        <w:rPr>
          <w:rFonts w:ascii="Arial" w:hAnsi="Arial" w:eastAsia="宋体" w:cs="Arial"/>
          <w:snapToGrid w:val="0"/>
          <w:kern w:val="0"/>
          <w:sz w:val="24"/>
          <w:szCs w:val="21"/>
        </w:rPr>
        <w:t>5th ed.). New York: Holt, Rinehart,</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and Winston.</w:t>
      </w:r>
    </w:p>
    <w:p w14:paraId="7E0AFB2B">
      <w:pPr>
        <w:topLinePunct/>
        <w:adjustRightInd w:val="0"/>
        <w:snapToGrid w:val="0"/>
        <w:spacing w:after="156" w:afterLines="50"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Monteith, </w:t>
      </w:r>
      <w:r>
        <w:rPr>
          <w:rFonts w:ascii="Arial" w:hAnsi="Arial" w:eastAsia="宋体" w:cs="Arial"/>
          <w:snapToGrid w:val="0"/>
          <w:kern w:val="0"/>
          <w:sz w:val="24"/>
          <w:szCs w:val="25"/>
        </w:rPr>
        <w:t>M. K (</w:t>
      </w:r>
      <w:r>
        <w:rPr>
          <w:rFonts w:ascii="Arial" w:hAnsi="Arial" w:eastAsia="宋体" w:cs="Arial"/>
          <w:snapToGrid w:val="0"/>
          <w:kern w:val="0"/>
          <w:sz w:val="24"/>
          <w:szCs w:val="24"/>
        </w:rPr>
        <w:t>February, 1980). How well does the average American read? Some facts,</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 xml:space="preserve">figures, and opinions. Jounuzl of Reading, </w:t>
      </w:r>
      <w:r>
        <w:rPr>
          <w:rFonts w:ascii="Arial" w:hAnsi="Arial" w:eastAsia="宋体" w:cs="Arial"/>
          <w:b/>
          <w:bCs/>
          <w:snapToGrid w:val="0"/>
          <w:kern w:val="0"/>
          <w:sz w:val="24"/>
          <w:szCs w:val="24"/>
        </w:rPr>
        <w:t xml:space="preserve">ERIURCS, </w:t>
      </w:r>
      <w:r>
        <w:rPr>
          <w:rFonts w:ascii="Arial" w:hAnsi="Arial" w:eastAsia="宋体" w:cs="Arial"/>
          <w:b/>
          <w:bCs/>
          <w:snapToGrid w:val="0"/>
          <w:kern w:val="0"/>
          <w:sz w:val="24"/>
          <w:szCs w:val="23"/>
        </w:rPr>
        <w:t>460-464.</w:t>
      </w:r>
    </w:p>
    <w:p w14:paraId="5E2D2127">
      <w:pPr>
        <w:topLinePunct/>
        <w:adjustRightInd w:val="0"/>
        <w:snapToGrid w:val="0"/>
        <w:spacing w:after="156" w:afterLines="50"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Strunk, W., </w:t>
      </w:r>
      <w:r>
        <w:rPr>
          <w:rFonts w:ascii="Arial" w:hAnsi="Arial" w:eastAsia="宋体" w:cs="Arial"/>
          <w:snapToGrid w:val="0"/>
          <w:kern w:val="0"/>
          <w:sz w:val="24"/>
        </w:rPr>
        <w:t xml:space="preserve">&amp; </w:t>
      </w:r>
      <w:r>
        <w:rPr>
          <w:rFonts w:ascii="Arial" w:hAnsi="Arial" w:eastAsia="宋体" w:cs="Arial"/>
          <w:snapToGrid w:val="0"/>
          <w:kern w:val="0"/>
          <w:sz w:val="24"/>
          <w:szCs w:val="24"/>
        </w:rPr>
        <w:t>White, E.B. (1979). The elements of style. (3rd 4.). New York: Macmillan.</w:t>
      </w:r>
    </w:p>
    <w:p w14:paraId="5F5BBAD5">
      <w:pPr>
        <w:topLinePunct/>
        <w:adjustRightInd w:val="0"/>
        <w:snapToGrid w:val="0"/>
        <w:spacing w:after="156" w:afterLines="50"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Wright, P., </w:t>
      </w:r>
      <w:r>
        <w:rPr>
          <w:rFonts w:ascii="Arial" w:hAnsi="Arial" w:eastAsia="宋体" w:cs="Arial"/>
          <w:snapToGrid w:val="0"/>
          <w:kern w:val="0"/>
          <w:sz w:val="24"/>
        </w:rPr>
        <w:t xml:space="preserve">&amp; </w:t>
      </w:r>
      <w:r>
        <w:rPr>
          <w:rFonts w:ascii="Arial" w:hAnsi="Arial" w:eastAsia="宋体" w:cs="Arial"/>
          <w:snapToGrid w:val="0"/>
          <w:kern w:val="0"/>
          <w:sz w:val="24"/>
          <w:szCs w:val="24"/>
        </w:rPr>
        <w:t>Threlfall, M.S. (1980). Reader's expectations about format influence the</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 xml:space="preserve">usability of </w:t>
      </w:r>
      <w:r>
        <w:rPr>
          <w:rFonts w:ascii="Arial" w:hAnsi="Arial" w:eastAsia="宋体" w:cs="Arial"/>
          <w:snapToGrid w:val="0"/>
          <w:kern w:val="0"/>
          <w:sz w:val="24"/>
          <w:szCs w:val="23"/>
        </w:rPr>
        <w:t xml:space="preserve">an </w:t>
      </w:r>
      <w:r>
        <w:rPr>
          <w:rFonts w:ascii="Arial" w:hAnsi="Arial" w:eastAsia="宋体" w:cs="Arial"/>
          <w:snapToGrid w:val="0"/>
          <w:kern w:val="0"/>
          <w:sz w:val="24"/>
          <w:szCs w:val="24"/>
        </w:rPr>
        <w:t xml:space="preserve">index. Journal of Research Communication </w:t>
      </w:r>
      <w:r>
        <w:rPr>
          <w:rFonts w:ascii="Arial" w:hAnsi="Arial" w:eastAsia="宋体" w:cs="Arial"/>
          <w:b/>
          <w:bCs/>
          <w:i/>
          <w:iCs/>
          <w:snapToGrid w:val="0"/>
          <w:kern w:val="0"/>
          <w:sz w:val="24"/>
          <w:szCs w:val="25"/>
        </w:rPr>
        <w:t xml:space="preserve">Studies, </w:t>
      </w:r>
      <w:r>
        <w:rPr>
          <w:rFonts w:ascii="Arial" w:hAnsi="Arial" w:eastAsia="宋体" w:cs="Arial"/>
          <w:snapToGrid w:val="0"/>
          <w:kern w:val="0"/>
          <w:sz w:val="24"/>
          <w:szCs w:val="24"/>
        </w:rPr>
        <w:t>2,99-106.</w:t>
      </w:r>
    </w:p>
    <w:tbl>
      <w:tblPr>
        <w:tblStyle w:val="11"/>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1963C7D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06" w:type="dxa"/>
          </w:tcPr>
          <w:p w14:paraId="678CE267">
            <w:pPr>
              <w:topLinePunct/>
              <w:adjustRightInd w:val="0"/>
              <w:snapToGrid w:val="0"/>
              <w:spacing w:before="46" w:beforeLines="15" w:line="360" w:lineRule="auto"/>
              <w:jc w:val="center"/>
              <w:rPr>
                <w:rFonts w:ascii="Arial" w:hAnsi="Arial" w:eastAsia="宋体" w:cs="Arial"/>
                <w:b/>
                <w:snapToGrid w:val="0"/>
                <w:kern w:val="0"/>
              </w:rPr>
            </w:pPr>
            <w:r>
              <w:rPr>
                <w:rFonts w:hint="eastAsia" w:ascii="Arial" w:hAnsi="Arial" w:eastAsia="宋体" w:cs="Arial"/>
                <w:b/>
                <w:snapToGrid w:val="0"/>
                <w:kern w:val="0"/>
              </w:rPr>
              <w:t>语言和可读性提示</w:t>
            </w:r>
          </w:p>
          <w:p w14:paraId="00BC7039">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书写简短、直接的句子</w:t>
            </w:r>
          </w:p>
          <w:p w14:paraId="56CE299E">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使用肯定的主动语态</w:t>
            </w:r>
          </w:p>
          <w:p w14:paraId="54904AD4">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使用简短、简单、常见的非技术词语</w:t>
            </w:r>
          </w:p>
          <w:p w14:paraId="648EE2F1">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将可读性维持在不超过六年级水平</w:t>
            </w:r>
          </w:p>
        </w:tc>
      </w:tr>
    </w:tbl>
    <w:p w14:paraId="685C23D1">
      <w:pPr>
        <w:topLinePunct/>
        <w:adjustRightInd w:val="0"/>
        <w:snapToGrid w:val="0"/>
        <w:spacing w:after="234" w:afterLines="75" w:line="360" w:lineRule="auto"/>
        <w:rPr>
          <w:rFonts w:ascii="Arial" w:hAnsi="Arial" w:eastAsia="宋体" w:cs="Arial"/>
          <w:snapToGrid w:val="0"/>
          <w:kern w:val="0"/>
          <w:sz w:val="2"/>
          <w:szCs w:val="2"/>
        </w:rPr>
      </w:pPr>
    </w:p>
    <w:p w14:paraId="70DBADC8">
      <w:pPr>
        <w:pStyle w:val="3"/>
        <w:keepNext w:val="0"/>
        <w:keepLines w:val="0"/>
        <w:topLinePunct/>
        <w:adjustRightInd w:val="0"/>
        <w:snapToGrid w:val="0"/>
        <w:spacing w:beforeLines="0" w:after="156" w:line="360" w:lineRule="auto"/>
        <w:rPr>
          <w:rFonts w:ascii="Arial" w:hAnsi="Arial" w:eastAsia="宋体" w:cs="Arial"/>
          <w:b/>
          <w:snapToGrid w:val="0"/>
          <w:kern w:val="0"/>
          <w:sz w:val="24"/>
        </w:rPr>
      </w:pPr>
      <w:bookmarkStart w:id="9" w:name="_Toc499280422"/>
      <w:r>
        <w:rPr>
          <w:rFonts w:hint="eastAsia" w:ascii="Arial" w:hAnsi="Arial" w:eastAsia="宋体" w:cs="Arial"/>
          <w:b/>
          <w:snapToGrid w:val="0"/>
          <w:kern w:val="0"/>
          <w:sz w:val="24"/>
        </w:rPr>
        <w:t>插图和图形</w:t>
      </w:r>
      <w:bookmarkEnd w:id="9"/>
    </w:p>
    <w:p w14:paraId="2F815D5E">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插图和图形由照片、图纸、动画、表格和图形组成。它们应通过增加文本描述来简化医疗器械操作。插图和图形通常比词语更容易记忆。同样，它们降低了阅读者对文本的依赖程度，对于阅读能力较差者存在绝对优势。</w:t>
      </w:r>
    </w:p>
    <w:p w14:paraId="523CEB7C">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在大多数情况下，不要纳入对文本进行重复性说明的插图。然而，可利用它们来显示难以通过口头方式表达的器械操作方面。将插图和图形插入到相关文本旁边。这样，读者的眼睛能够在同一页中的文本和附图之间转换。应特别注意，保证插图与相关文本说明准确相关。</w:t>
      </w:r>
    </w:p>
    <w:p w14:paraId="45F2266E">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插图应清楚、简单和整洁。每个插图应仅传递一个想法；这可减少使用者错误。照片准确传递了目标外观并显示了其三维视图。线图强调了具体细节和目标维度（</w:t>
      </w:r>
      <w:r>
        <w:rPr>
          <w:rFonts w:ascii="Arial" w:hAnsi="Arial" w:eastAsia="宋体" w:cs="Arial"/>
          <w:snapToGrid w:val="0"/>
          <w:kern w:val="0"/>
          <w:sz w:val="24"/>
        </w:rPr>
        <w:t>Bailey, 1989</w:t>
      </w:r>
      <w:r>
        <w:rPr>
          <w:rFonts w:hint="eastAsia" w:ascii="Arial" w:hAnsi="Arial" w:eastAsia="宋体" w:cs="Arial"/>
          <w:snapToGrid w:val="0"/>
          <w:kern w:val="0"/>
          <w:sz w:val="24"/>
        </w:rPr>
        <w:t>）。</w:t>
      </w:r>
    </w:p>
    <w:p w14:paraId="16E6A529">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通常优先选择彩色插图而不是黑白插图。鉴于其生动的文字且更为醒目，这些插图能更好地吸引读者的注意力（</w:t>
      </w:r>
      <w:r>
        <w:rPr>
          <w:rFonts w:ascii="Arial" w:hAnsi="Arial" w:eastAsia="宋体" w:cs="Arial"/>
          <w:snapToGrid w:val="0"/>
          <w:kern w:val="0"/>
          <w:sz w:val="24"/>
        </w:rPr>
        <w:t>Marcus</w:t>
      </w:r>
      <w:r>
        <w:rPr>
          <w:rFonts w:hint="eastAsia" w:ascii="Arial" w:hAnsi="Arial" w:eastAsia="宋体" w:cs="Arial"/>
          <w:snapToGrid w:val="0"/>
          <w:kern w:val="0"/>
          <w:sz w:val="24"/>
        </w:rPr>
        <w:t>，1992年）。作为本项目部分内容的研究发现了颜色插图的强烈主观优选。通过这种优先选择能够将更多的注意力集中到带有彩色插图的说明上。但是，在同一时间内，在颜色使用和改善任务性能之间未建立明确关联，尽管结合其他技术的颜色使用确实促进了对任何特点的记忆（例如，</w:t>
      </w:r>
      <w:r>
        <w:rPr>
          <w:rFonts w:ascii="Arial" w:hAnsi="Arial" w:eastAsia="宋体" w:cs="Arial"/>
          <w:snapToGrid w:val="0"/>
          <w:kern w:val="0"/>
          <w:sz w:val="24"/>
        </w:rPr>
        <w:t>Young &amp;Wogalter, 1988</w:t>
      </w:r>
      <w:r>
        <w:rPr>
          <w:rFonts w:hint="eastAsia" w:ascii="Arial" w:hAnsi="Arial" w:eastAsia="宋体" w:cs="Arial"/>
          <w:snapToGrid w:val="0"/>
          <w:kern w:val="0"/>
          <w:sz w:val="24"/>
        </w:rPr>
        <w:t>）。</w:t>
      </w:r>
    </w:p>
    <w:p w14:paraId="567BD1ED">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下述作为模型隐形眼镜护理手册部分内容开发的流程图显示了插图在医疗器械标签中的效果。流程图是对程序进行描述的图形方法。其能清楚概述软性隐形眼镜的清洁和消毒过程中涉及的整套程序。是已熟悉隐形眼镜护理程序的有经验用户的有价值的记忆辅助工具。</w:t>
      </w:r>
    </w:p>
    <w:p w14:paraId="1C1C1F69">
      <w:pPr>
        <w:topLinePunct/>
        <w:adjustRightInd w:val="0"/>
        <w:snapToGrid w:val="0"/>
        <w:spacing w:after="234" w:afterLines="75" w:line="360" w:lineRule="auto"/>
        <w:jc w:val="center"/>
        <w:rPr>
          <w:rFonts w:ascii="Arial" w:hAnsi="Arial" w:eastAsia="宋体" w:cs="Arial"/>
          <w:snapToGrid w:val="0"/>
          <w:kern w:val="0"/>
          <w:sz w:val="24"/>
        </w:rPr>
      </w:pPr>
      <w:r>
        <mc:AlternateContent>
          <mc:Choice Requires="wps">
            <w:drawing>
              <wp:anchor distT="0" distB="0" distL="114300" distR="114300" simplePos="0" relativeHeight="251660288" behindDoc="0" locked="0" layoutInCell="0" allowOverlap="1">
                <wp:simplePos x="0" y="0"/>
                <wp:positionH relativeFrom="column">
                  <wp:posOffset>1109980</wp:posOffset>
                </wp:positionH>
                <wp:positionV relativeFrom="paragraph">
                  <wp:posOffset>563245</wp:posOffset>
                </wp:positionV>
                <wp:extent cx="1356995" cy="147955"/>
                <wp:effectExtent l="0" t="0" r="0" b="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6995" cy="147955"/>
                        </a:xfrm>
                        <a:prstGeom prst="rect">
                          <a:avLst/>
                        </a:prstGeom>
                        <a:noFill/>
                        <a:ln>
                          <a:noFill/>
                        </a:ln>
                      </wps:spPr>
                      <wps:txbx>
                        <w:txbxContent>
                          <w:p w14:paraId="2EE9B9AD">
                            <w:pPr>
                              <w:snapToGrid w:val="0"/>
                              <w:jc w:val="center"/>
                              <w:rPr>
                                <w:rFonts w:ascii="Arial" w:hAnsi="Arial" w:cs="Arial"/>
                                <w:sz w:val="18"/>
                              </w:rPr>
                            </w:pPr>
                            <w:r>
                              <w:rPr>
                                <w:rFonts w:hint="eastAsia" w:ascii="Arial" w:hAnsi="Arial" w:eastAsia="宋体" w:cs="Arial"/>
                                <w:b/>
                                <w:i/>
                                <w:snapToGrid w:val="0"/>
                                <w:kern w:val="0"/>
                                <w:sz w:val="18"/>
                              </w:rPr>
                              <w:t>隐形眼镜日常护理</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87.4pt;margin-top:44.35pt;height:11.65pt;width:106.85pt;z-index:251660288;mso-width-relative:page;mso-height-relative:margin;mso-height-percent:200;" filled="f" stroked="f" coordsize="21600,21600" o:allowincell="f" o:gfxdata="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vC9PbVAAAACgEAAA8AAAAAAAAAAQAgAAAA&#10;IgAAAGRycy9kb3ducmV2LnhtbFBLAQIUABQAAAAIAIdO4kDICF62DgIAAAYEAAAOAAAAAAAAAAEA&#10;IAAAACQBAABkcnMvZTJvRG9jLnhtbFBLBQYAAAAABgAGAFkBAACkBQAAAAA=&#10;">
                <v:fill on="f" focussize="0,0"/>
                <v:stroke on="f"/>
                <v:imagedata o:title=""/>
                <o:lock v:ext="edit" aspectratio="f"/>
                <v:textbox inset="0mm,0mm,0mm,0mm" style="mso-fit-shape-to-text:t;">
                  <w:txbxContent>
                    <w:p w14:paraId="2EE9B9AD">
                      <w:pPr>
                        <w:snapToGrid w:val="0"/>
                        <w:jc w:val="center"/>
                        <w:rPr>
                          <w:rFonts w:ascii="Arial" w:hAnsi="Arial" w:cs="Arial"/>
                          <w:sz w:val="18"/>
                        </w:rPr>
                      </w:pPr>
                      <w:r>
                        <w:rPr>
                          <w:rFonts w:hint="eastAsia" w:ascii="Arial" w:hAnsi="Arial" w:eastAsia="宋体" w:cs="Arial"/>
                          <w:b/>
                          <w:i/>
                          <w:snapToGrid w:val="0"/>
                          <w:kern w:val="0"/>
                          <w:sz w:val="18"/>
                        </w:rPr>
                        <w:t>隐形眼镜日常护理</w:t>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column">
                  <wp:posOffset>4396105</wp:posOffset>
                </wp:positionH>
                <wp:positionV relativeFrom="paragraph">
                  <wp:posOffset>1243965</wp:posOffset>
                </wp:positionV>
                <wp:extent cx="663575" cy="1372870"/>
                <wp:effectExtent l="0" t="1270" r="0" b="0"/>
                <wp:wrapNone/>
                <wp:docPr id="13" name="Text Box 9"/>
                <wp:cNvGraphicFramePr/>
                <a:graphic xmlns:a="http://schemas.openxmlformats.org/drawingml/2006/main">
                  <a:graphicData uri="http://schemas.microsoft.com/office/word/2010/wordprocessingShape">
                    <wps:wsp>
                      <wps:cNvSpPr txBox="1">
                        <a:spLocks noChangeArrowheads="1"/>
                      </wps:cNvSpPr>
                      <wps:spPr bwMode="auto">
                        <a:xfrm>
                          <a:off x="0" y="0"/>
                          <a:ext cx="663575" cy="1372870"/>
                        </a:xfrm>
                        <a:prstGeom prst="rect">
                          <a:avLst/>
                        </a:prstGeom>
                        <a:noFill/>
                        <a:ln>
                          <a:noFill/>
                        </a:ln>
                      </wps:spPr>
                      <wps:txbx>
                        <w:txbxContent>
                          <w:p w14:paraId="12C5202F">
                            <w:pPr>
                              <w:snapToGrid w:val="0"/>
                              <w:jc w:val="center"/>
                              <w:rPr>
                                <w:rFonts w:ascii="Arial" w:hAnsi="Arial" w:eastAsia="宋体" w:cs="Arial"/>
                                <w:b/>
                                <w:snapToGrid w:val="0"/>
                                <w:kern w:val="0"/>
                                <w:sz w:val="18"/>
                              </w:rPr>
                            </w:pPr>
                            <w:r>
                              <w:rPr>
                                <w:rFonts w:hint="eastAsia" w:ascii="Arial" w:hAnsi="Arial" w:eastAsia="宋体" w:cs="Arial"/>
                                <w:b/>
                                <w:snapToGrid w:val="0"/>
                                <w:kern w:val="0"/>
                                <w:sz w:val="18"/>
                              </w:rPr>
                              <w:t>酶清洁</w:t>
                            </w:r>
                          </w:p>
                          <w:p w14:paraId="58110167">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遵循酶清洁说明</w:t>
                            </w:r>
                          </w:p>
                          <w:p w14:paraId="5EE54969">
                            <w:pPr>
                              <w:snapToGrid w:val="0"/>
                              <w:spacing w:before="156" w:beforeLines="50"/>
                              <w:jc w:val="center"/>
                              <w:rPr>
                                <w:rFonts w:ascii="Arial" w:hAnsi="Arial" w:cs="Arial"/>
                                <w:sz w:val="18"/>
                              </w:rPr>
                            </w:pPr>
                            <w:r>
                              <w:rPr>
                                <w:rFonts w:hint="eastAsia" w:ascii="Arial" w:hAnsi="Arial" w:eastAsia="宋体" w:cs="Arial"/>
                                <w:snapToGrid w:val="0"/>
                                <w:kern w:val="0"/>
                                <w:sz w:val="18"/>
                              </w:rPr>
                              <w:t>清洁和消毒隐形眼镜</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346.15pt;margin-top:97.95pt;height:108.1pt;width:52.25pt;z-index:251666432;mso-width-relative:page;mso-height-relative:page;" filled="f" stroked="f" coordsize="21600,21600" o:allowincell="f" o:gfxdata="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JqPF2QAAAAsBAAAPAAAAAAAAAAEAIAAAACIAAABkcnMvZG93&#10;bnJldi54bWxQSwECFAAUAAAACACHTuJAeEta8/8BAAAFBAAADgAAAAAAAAABACAAAAAoAQAAZHJz&#10;L2Uyb0RvYy54bWxQSwUGAAAAAAYABgBZAQAAmQUAAAAA&#10;">
                <v:fill on="f" focussize="0,0"/>
                <v:stroke on="f"/>
                <v:imagedata o:title=""/>
                <o:lock v:ext="edit" aspectratio="f"/>
                <v:textbox inset="0mm,0mm,0mm,0mm">
                  <w:txbxContent>
                    <w:p w14:paraId="12C5202F">
                      <w:pPr>
                        <w:snapToGrid w:val="0"/>
                        <w:jc w:val="center"/>
                        <w:rPr>
                          <w:rFonts w:ascii="Arial" w:hAnsi="Arial" w:eastAsia="宋体" w:cs="Arial"/>
                          <w:b/>
                          <w:snapToGrid w:val="0"/>
                          <w:kern w:val="0"/>
                          <w:sz w:val="18"/>
                        </w:rPr>
                      </w:pPr>
                      <w:r>
                        <w:rPr>
                          <w:rFonts w:hint="eastAsia" w:ascii="Arial" w:hAnsi="Arial" w:eastAsia="宋体" w:cs="Arial"/>
                          <w:b/>
                          <w:snapToGrid w:val="0"/>
                          <w:kern w:val="0"/>
                          <w:sz w:val="18"/>
                        </w:rPr>
                        <w:t>酶清洁</w:t>
                      </w:r>
                    </w:p>
                    <w:p w14:paraId="58110167">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遵循酶清洁说明</w:t>
                      </w:r>
                    </w:p>
                    <w:p w14:paraId="5EE54969">
                      <w:pPr>
                        <w:snapToGrid w:val="0"/>
                        <w:spacing w:before="156" w:beforeLines="50"/>
                        <w:jc w:val="center"/>
                        <w:rPr>
                          <w:rFonts w:ascii="Arial" w:hAnsi="Arial" w:cs="Arial"/>
                          <w:sz w:val="18"/>
                        </w:rPr>
                      </w:pPr>
                      <w:r>
                        <w:rPr>
                          <w:rFonts w:hint="eastAsia" w:ascii="Arial" w:hAnsi="Arial" w:eastAsia="宋体" w:cs="Arial"/>
                          <w:snapToGrid w:val="0"/>
                          <w:kern w:val="0"/>
                          <w:sz w:val="18"/>
                        </w:rPr>
                        <w:t>清洁和消毒隐形眼镜</w:t>
                      </w:r>
                    </w:p>
                  </w:txbxContent>
                </v:textbox>
              </v:shape>
            </w:pict>
          </mc:Fallback>
        </mc:AlternateContent>
      </w:r>
      <w:r>
        <mc:AlternateContent>
          <mc:Choice Requires="wps">
            <w:drawing>
              <wp:anchor distT="0" distB="0" distL="114300" distR="114300" simplePos="0" relativeHeight="251664384" behindDoc="0" locked="0" layoutInCell="0" allowOverlap="1">
                <wp:simplePos x="0" y="0"/>
                <wp:positionH relativeFrom="column">
                  <wp:posOffset>2543175</wp:posOffset>
                </wp:positionH>
                <wp:positionV relativeFrom="paragraph">
                  <wp:posOffset>1166495</wp:posOffset>
                </wp:positionV>
                <wp:extent cx="692150" cy="2484755"/>
                <wp:effectExtent l="0" t="0" r="3175" b="1270"/>
                <wp:wrapNone/>
                <wp:docPr id="12" name="Text Box 7"/>
                <wp:cNvGraphicFramePr/>
                <a:graphic xmlns:a="http://schemas.openxmlformats.org/drawingml/2006/main">
                  <a:graphicData uri="http://schemas.microsoft.com/office/word/2010/wordprocessingShape">
                    <wps:wsp>
                      <wps:cNvSpPr txBox="1">
                        <a:spLocks noChangeArrowheads="1"/>
                      </wps:cNvSpPr>
                      <wps:spPr bwMode="auto">
                        <a:xfrm>
                          <a:off x="0" y="0"/>
                          <a:ext cx="692150" cy="2484755"/>
                        </a:xfrm>
                        <a:prstGeom prst="rect">
                          <a:avLst/>
                        </a:prstGeom>
                        <a:noFill/>
                        <a:ln>
                          <a:noFill/>
                        </a:ln>
                      </wps:spPr>
                      <wps:txbx>
                        <w:txbxContent>
                          <w:p w14:paraId="3ABAC227">
                            <w:pPr>
                              <w:snapToGrid w:val="0"/>
                              <w:jc w:val="center"/>
                              <w:rPr>
                                <w:rFonts w:ascii="Arial" w:hAnsi="Arial" w:eastAsia="宋体" w:cs="Arial"/>
                                <w:b/>
                                <w:snapToGrid w:val="0"/>
                                <w:kern w:val="0"/>
                                <w:sz w:val="18"/>
                              </w:rPr>
                            </w:pPr>
                            <w:r>
                              <w:rPr>
                                <w:rFonts w:hint="eastAsia" w:ascii="Arial" w:hAnsi="Arial" w:eastAsia="宋体" w:cs="Arial"/>
                                <w:b/>
                                <w:snapToGrid w:val="0"/>
                                <w:kern w:val="0"/>
                                <w:sz w:val="18"/>
                              </w:rPr>
                              <w:t>热（热量）消毒</w:t>
                            </w:r>
                          </w:p>
                          <w:p w14:paraId="39A13A34">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在盒中充入生理盐水溶液</w:t>
                            </w:r>
                          </w:p>
                          <w:p w14:paraId="3981E496">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将隐形眼镜盒放入消毒装置中</w:t>
                            </w:r>
                          </w:p>
                          <w:p w14:paraId="3C91A519">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开始消毒</w:t>
                            </w:r>
                          </w:p>
                          <w:p w14:paraId="000E3623">
                            <w:pPr>
                              <w:snapToGrid w:val="0"/>
                              <w:spacing w:before="156" w:beforeLines="50"/>
                              <w:jc w:val="center"/>
                              <w:rPr>
                                <w:rFonts w:ascii="Arial" w:hAnsi="Arial" w:cs="Arial"/>
                                <w:sz w:val="18"/>
                              </w:rPr>
                            </w:pPr>
                            <w:r>
                              <w:rPr>
                                <w:rFonts w:hint="eastAsia" w:ascii="Arial" w:hAnsi="Arial" w:eastAsia="宋体" w:cs="Arial"/>
                                <w:snapToGrid w:val="0"/>
                                <w:kern w:val="0"/>
                                <w:sz w:val="18"/>
                              </w:rPr>
                              <w:t>戴隐形眼镜前冲洗眼镜</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200.25pt;margin-top:91.85pt;height:195.65pt;width:54.5pt;z-index:251664384;mso-width-relative:page;mso-height-relative:page;" filled="f" stroked="f" coordsize="21600,21600" o:allowincell="f" o:gfxdata="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AlOyfZAAAACwEAAA8AAAAAAAAAAQAgAAAAIgAAAGRycy9kb3du&#10;cmV2LnhtbFBLAQIUABQAAAAIAIdO4kAG4P+j/gEAAAUEAAAOAAAAAAAAAAEAIAAAACgBAABkcnMv&#10;ZTJvRG9jLnhtbFBLBQYAAAAABgAGAFkBAACYBQAAAAA=&#10;">
                <v:fill on="f" focussize="0,0"/>
                <v:stroke on="f"/>
                <v:imagedata o:title=""/>
                <o:lock v:ext="edit" aspectratio="f"/>
                <v:textbox inset="0mm,0mm,0mm,0mm">
                  <w:txbxContent>
                    <w:p w14:paraId="3ABAC227">
                      <w:pPr>
                        <w:snapToGrid w:val="0"/>
                        <w:jc w:val="center"/>
                        <w:rPr>
                          <w:rFonts w:ascii="Arial" w:hAnsi="Arial" w:eastAsia="宋体" w:cs="Arial"/>
                          <w:b/>
                          <w:snapToGrid w:val="0"/>
                          <w:kern w:val="0"/>
                          <w:sz w:val="18"/>
                        </w:rPr>
                      </w:pPr>
                      <w:r>
                        <w:rPr>
                          <w:rFonts w:hint="eastAsia" w:ascii="Arial" w:hAnsi="Arial" w:eastAsia="宋体" w:cs="Arial"/>
                          <w:b/>
                          <w:snapToGrid w:val="0"/>
                          <w:kern w:val="0"/>
                          <w:sz w:val="18"/>
                        </w:rPr>
                        <w:t>热（热量）消毒</w:t>
                      </w:r>
                    </w:p>
                    <w:p w14:paraId="39A13A34">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在盒中充入生理盐水溶液</w:t>
                      </w:r>
                    </w:p>
                    <w:p w14:paraId="3981E496">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将隐形眼镜盒放入消毒装置中</w:t>
                      </w:r>
                    </w:p>
                    <w:p w14:paraId="3C91A519">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开始消毒</w:t>
                      </w:r>
                    </w:p>
                    <w:p w14:paraId="000E3623">
                      <w:pPr>
                        <w:snapToGrid w:val="0"/>
                        <w:spacing w:before="156" w:beforeLines="50"/>
                        <w:jc w:val="center"/>
                        <w:rPr>
                          <w:rFonts w:ascii="Arial" w:hAnsi="Arial" w:cs="Arial"/>
                          <w:sz w:val="18"/>
                        </w:rPr>
                      </w:pPr>
                      <w:r>
                        <w:rPr>
                          <w:rFonts w:hint="eastAsia" w:ascii="Arial" w:hAnsi="Arial" w:eastAsia="宋体" w:cs="Arial"/>
                          <w:snapToGrid w:val="0"/>
                          <w:kern w:val="0"/>
                          <w:sz w:val="18"/>
                        </w:rPr>
                        <w:t>戴隐形眼镜前冲洗眼镜</w:t>
                      </w:r>
                    </w:p>
                  </w:txbxContent>
                </v:textbox>
              </v:shape>
            </w:pict>
          </mc:Fallback>
        </mc:AlternateContent>
      </w:r>
      <w:r>
        <mc:AlternateContent>
          <mc:Choice Requires="wps">
            <w:drawing>
              <wp:anchor distT="0" distB="0" distL="114300" distR="114300" simplePos="0" relativeHeight="251665408" behindDoc="0" locked="0" layoutInCell="0" allowOverlap="1">
                <wp:simplePos x="0" y="0"/>
                <wp:positionH relativeFrom="column">
                  <wp:posOffset>3538855</wp:posOffset>
                </wp:positionH>
                <wp:positionV relativeFrom="paragraph">
                  <wp:posOffset>1146175</wp:posOffset>
                </wp:positionV>
                <wp:extent cx="692150" cy="2257425"/>
                <wp:effectExtent l="0" t="0" r="0" b="127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92150" cy="2257425"/>
                        </a:xfrm>
                        <a:prstGeom prst="rect">
                          <a:avLst/>
                        </a:prstGeom>
                        <a:noFill/>
                        <a:ln>
                          <a:noFill/>
                        </a:ln>
                      </wps:spPr>
                      <wps:txbx>
                        <w:txbxContent>
                          <w:p w14:paraId="36D9E0A1">
                            <w:pPr>
                              <w:snapToGrid w:val="0"/>
                              <w:jc w:val="center"/>
                              <w:rPr>
                                <w:rFonts w:ascii="Arial" w:hAnsi="Arial" w:eastAsia="宋体" w:cs="Arial"/>
                                <w:b/>
                                <w:snapToGrid w:val="0"/>
                                <w:kern w:val="0"/>
                                <w:sz w:val="18"/>
                              </w:rPr>
                            </w:pPr>
                            <w:r>
                              <w:rPr>
                                <w:rFonts w:hint="eastAsia" w:ascii="Arial" w:hAnsi="Arial" w:eastAsia="宋体" w:cs="Arial"/>
                                <w:b/>
                                <w:snapToGrid w:val="0"/>
                                <w:kern w:val="0"/>
                                <w:sz w:val="18"/>
                              </w:rPr>
                              <w:t>隐形眼镜盒的清洁和消毒</w:t>
                            </w:r>
                          </w:p>
                          <w:p w14:paraId="78EF60F3">
                            <w:pPr>
                              <w:topLinePunct/>
                              <w:adjustRightInd w:val="0"/>
                              <w:snapToGrid w:val="0"/>
                              <w:spacing w:before="156" w:beforeLines="50"/>
                              <w:jc w:val="center"/>
                              <w:rPr>
                                <w:rFonts w:ascii="Arial" w:hAnsi="Arial" w:eastAsia="宋体" w:cs="Arial"/>
                                <w:snapToGrid w:val="0"/>
                                <w:kern w:val="0"/>
                                <w:sz w:val="18"/>
                              </w:rPr>
                            </w:pPr>
                          </w:p>
                          <w:p w14:paraId="51B2CC17">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煮沸一锅自来水</w:t>
                            </w:r>
                          </w:p>
                          <w:p w14:paraId="6E3A79AC">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将空的隐形眼镜盒和盖子放在沸水中至少煮10分钟*</w:t>
                            </w:r>
                          </w:p>
                          <w:p w14:paraId="59B7C53A">
                            <w:pPr>
                              <w:snapToGrid w:val="0"/>
                              <w:spacing w:before="156" w:beforeLines="50"/>
                              <w:jc w:val="center"/>
                              <w:rPr>
                                <w:rFonts w:ascii="Arial" w:hAnsi="Arial" w:cs="Arial"/>
                                <w:sz w:val="18"/>
                              </w:rPr>
                            </w:pPr>
                            <w:r>
                              <w:rPr>
                                <w:rFonts w:hint="eastAsia" w:ascii="Arial" w:hAnsi="Arial" w:eastAsia="宋体" w:cs="Arial"/>
                                <w:snapToGrid w:val="0"/>
                                <w:kern w:val="0"/>
                                <w:sz w:val="18"/>
                              </w:rPr>
                              <w:t>风干盒和盖</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278.65pt;margin-top:90.25pt;height:177.75pt;width:54.5pt;z-index:251665408;mso-width-relative:page;mso-height-relative:page;" filled="f" stroked="f" coordsize="21600,21600" o:allowincell="f" o:gfxdata="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eyKlNgAAAALAQAADwAAAAAAAAABACAAAAAiAAAAZHJzL2Rvd25y&#10;ZXYueG1sUEsBAhQAFAAAAAgAh07iQEkQZfX+AQAABQQAAA4AAAAAAAAAAQAgAAAAJwEAAGRycy9l&#10;Mm9Eb2MueG1sUEsFBgAAAAAGAAYAWQEAAJcFAAAAAA==&#10;">
                <v:fill on="f" focussize="0,0"/>
                <v:stroke on="f"/>
                <v:imagedata o:title=""/>
                <o:lock v:ext="edit" aspectratio="f"/>
                <v:textbox inset="0mm,0mm,0mm,0mm">
                  <w:txbxContent>
                    <w:p w14:paraId="36D9E0A1">
                      <w:pPr>
                        <w:snapToGrid w:val="0"/>
                        <w:jc w:val="center"/>
                        <w:rPr>
                          <w:rFonts w:ascii="Arial" w:hAnsi="Arial" w:eastAsia="宋体" w:cs="Arial"/>
                          <w:b/>
                          <w:snapToGrid w:val="0"/>
                          <w:kern w:val="0"/>
                          <w:sz w:val="18"/>
                        </w:rPr>
                      </w:pPr>
                      <w:r>
                        <w:rPr>
                          <w:rFonts w:hint="eastAsia" w:ascii="Arial" w:hAnsi="Arial" w:eastAsia="宋体" w:cs="Arial"/>
                          <w:b/>
                          <w:snapToGrid w:val="0"/>
                          <w:kern w:val="0"/>
                          <w:sz w:val="18"/>
                        </w:rPr>
                        <w:t>隐形眼镜盒的清洁和消毒</w:t>
                      </w:r>
                    </w:p>
                    <w:p w14:paraId="78EF60F3">
                      <w:pPr>
                        <w:topLinePunct/>
                        <w:adjustRightInd w:val="0"/>
                        <w:snapToGrid w:val="0"/>
                        <w:spacing w:before="156" w:beforeLines="50"/>
                        <w:jc w:val="center"/>
                        <w:rPr>
                          <w:rFonts w:ascii="Arial" w:hAnsi="Arial" w:eastAsia="宋体" w:cs="Arial"/>
                          <w:snapToGrid w:val="0"/>
                          <w:kern w:val="0"/>
                          <w:sz w:val="18"/>
                        </w:rPr>
                      </w:pPr>
                    </w:p>
                    <w:p w14:paraId="51B2CC17">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煮沸一锅自来水</w:t>
                      </w:r>
                    </w:p>
                    <w:p w14:paraId="6E3A79AC">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将空的隐形眼镜盒和盖子放在沸水中至少煮10分钟*</w:t>
                      </w:r>
                    </w:p>
                    <w:p w14:paraId="59B7C53A">
                      <w:pPr>
                        <w:snapToGrid w:val="0"/>
                        <w:spacing w:before="156" w:beforeLines="50"/>
                        <w:jc w:val="center"/>
                        <w:rPr>
                          <w:rFonts w:ascii="Arial" w:hAnsi="Arial" w:cs="Arial"/>
                          <w:sz w:val="18"/>
                        </w:rPr>
                      </w:pPr>
                      <w:r>
                        <w:rPr>
                          <w:rFonts w:hint="eastAsia" w:ascii="Arial" w:hAnsi="Arial" w:eastAsia="宋体" w:cs="Arial"/>
                          <w:snapToGrid w:val="0"/>
                          <w:kern w:val="0"/>
                          <w:sz w:val="18"/>
                        </w:rPr>
                        <w:t>风干盒和盖</w:t>
                      </w:r>
                    </w:p>
                  </w:txbxContent>
                </v:textbox>
              </v:shape>
            </w:pict>
          </mc:Fallback>
        </mc:AlternateContent>
      </w:r>
      <w:r>
        <mc:AlternateContent>
          <mc:Choice Requires="wps">
            <w:drawing>
              <wp:anchor distT="0" distB="0" distL="114300" distR="114300" simplePos="0" relativeHeight="251669504" behindDoc="0" locked="0" layoutInCell="0" allowOverlap="1">
                <wp:simplePos x="0" y="0"/>
                <wp:positionH relativeFrom="column">
                  <wp:posOffset>3548380</wp:posOffset>
                </wp:positionH>
                <wp:positionV relativeFrom="paragraph">
                  <wp:posOffset>3423285</wp:posOffset>
                </wp:positionV>
                <wp:extent cx="1252220" cy="304165"/>
                <wp:effectExtent l="0" t="0" r="0" b="1270"/>
                <wp:wrapNone/>
                <wp:docPr id="10"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252220" cy="304165"/>
                        </a:xfrm>
                        <a:prstGeom prst="rect">
                          <a:avLst/>
                        </a:prstGeom>
                        <a:noFill/>
                        <a:ln>
                          <a:noFill/>
                        </a:ln>
                      </wps:spPr>
                      <wps:txbx>
                        <w:txbxContent>
                          <w:p w14:paraId="76B406E5">
                            <w:pPr>
                              <w:snapToGrid w:val="0"/>
                              <w:jc w:val="center"/>
                              <w:rPr>
                                <w:rFonts w:ascii="Arial" w:hAnsi="Arial" w:cs="Arial"/>
                                <w:sz w:val="18"/>
                              </w:rPr>
                            </w:pPr>
                            <w:r>
                              <w:rPr>
                                <w:rFonts w:hint="eastAsia" w:ascii="Arial" w:hAnsi="Arial" w:eastAsia="宋体" w:cs="Arial"/>
                                <w:snapToGrid w:val="0"/>
                                <w:kern w:val="0"/>
                                <w:sz w:val="18"/>
                              </w:rPr>
                              <w:t>*参见第xx页上关于隐形眼镜盒的预防措施。</w:t>
                            </w: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279.4pt;margin-top:269.55pt;height:23.95pt;width:98.6pt;z-index:251669504;mso-width-relative:page;mso-height-relative:page;" filled="f" stroked="f" coordsize="21600,21600" o:allowincell="f" o:gfxdata="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PSIlnaAAAACwEAAA8AAAAAAAAAAQAgAAAAIgAAAGRycy9kb3du&#10;cmV2LnhtbFBLAQIUABQAAAAIAIdO4kAaCwCV/QEAAAYEAAAOAAAAAAAAAAEAIAAAACkBAABkcnMv&#10;ZTJvRG9jLnhtbFBLBQYAAAAABgAGAFkBAACYBQAAAAA=&#10;">
                <v:fill on="f" focussize="0,0"/>
                <v:stroke on="f"/>
                <v:imagedata o:title=""/>
                <o:lock v:ext="edit" aspectratio="f"/>
                <v:textbox inset="0mm,0mm,0mm,0mm">
                  <w:txbxContent>
                    <w:p w14:paraId="76B406E5">
                      <w:pPr>
                        <w:snapToGrid w:val="0"/>
                        <w:jc w:val="center"/>
                        <w:rPr>
                          <w:rFonts w:ascii="Arial" w:hAnsi="Arial" w:cs="Arial"/>
                          <w:sz w:val="18"/>
                        </w:rPr>
                      </w:pPr>
                      <w:r>
                        <w:rPr>
                          <w:rFonts w:hint="eastAsia" w:ascii="Arial" w:hAnsi="Arial" w:eastAsia="宋体" w:cs="Arial"/>
                          <w:snapToGrid w:val="0"/>
                          <w:kern w:val="0"/>
                          <w:sz w:val="18"/>
                        </w:rPr>
                        <w:t>*参见第xx页上关于隐形眼镜盒的预防措施。</w:t>
                      </w:r>
                    </w:p>
                  </w:txbxContent>
                </v:textbox>
              </v:shape>
            </w:pict>
          </mc:Fallback>
        </mc:AlternateContent>
      </w:r>
      <w:r>
        <mc:AlternateContent>
          <mc:Choice Requires="wps">
            <w:drawing>
              <wp:anchor distT="0" distB="0" distL="114300" distR="114300" simplePos="0" relativeHeight="251662336" behindDoc="0" locked="0" layoutInCell="0" allowOverlap="1">
                <wp:simplePos x="0" y="0"/>
                <wp:positionH relativeFrom="column">
                  <wp:posOffset>509905</wp:posOffset>
                </wp:positionH>
                <wp:positionV relativeFrom="paragraph">
                  <wp:posOffset>946785</wp:posOffset>
                </wp:positionV>
                <wp:extent cx="975995" cy="3037840"/>
                <wp:effectExtent l="0" t="0" r="0" b="127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975995" cy="3037840"/>
                        </a:xfrm>
                        <a:prstGeom prst="rect">
                          <a:avLst/>
                        </a:prstGeom>
                        <a:noFill/>
                        <a:ln>
                          <a:noFill/>
                        </a:ln>
                      </wps:spPr>
                      <wps:txbx>
                        <w:txbxContent>
                          <w:p w14:paraId="5FB30200">
                            <w:pPr>
                              <w:snapToGrid w:val="0"/>
                              <w:jc w:val="center"/>
                              <w:rPr>
                                <w:rFonts w:ascii="Arial" w:hAnsi="Arial" w:eastAsia="宋体" w:cs="Arial"/>
                                <w:b/>
                                <w:snapToGrid w:val="0"/>
                                <w:kern w:val="0"/>
                                <w:sz w:val="18"/>
                              </w:rPr>
                            </w:pPr>
                            <w:r>
                              <w:rPr>
                                <w:rFonts w:hint="eastAsia" w:ascii="Arial" w:hAnsi="Arial" w:eastAsia="宋体" w:cs="Arial"/>
                                <w:b/>
                                <w:snapToGrid w:val="0"/>
                                <w:kern w:val="0"/>
                                <w:sz w:val="18"/>
                              </w:rPr>
                              <w:t>清洁和消毒</w:t>
                            </w:r>
                          </w:p>
                          <w:p w14:paraId="73800250">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洗手</w:t>
                            </w:r>
                          </w:p>
                          <w:p w14:paraId="52E99326">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将隐形眼镜放在手掌中</w:t>
                            </w:r>
                          </w:p>
                          <w:p w14:paraId="50FF29E2">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使用清洁溶液</w:t>
                            </w:r>
                          </w:p>
                          <w:p w14:paraId="09868010">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擦拭隐形眼镜两侧20秒</w:t>
                            </w:r>
                          </w:p>
                          <w:p w14:paraId="3A2E212E">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利用生理盐水冲洗隐形眼镜</w:t>
                            </w:r>
                          </w:p>
                          <w:p w14:paraId="533CCE98">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将隐形眼镜放到隐形眼镜盒中</w:t>
                            </w:r>
                          </w:p>
                          <w:p w14:paraId="63C6AB0D">
                            <w:pPr>
                              <w:snapToGrid w:val="0"/>
                              <w:spacing w:before="156" w:beforeLines="50"/>
                              <w:jc w:val="center"/>
                              <w:rPr>
                                <w:rFonts w:ascii="Arial" w:hAnsi="Arial" w:cs="Arial"/>
                                <w:sz w:val="18"/>
                              </w:rPr>
                            </w:pPr>
                            <w:r>
                              <w:rPr>
                                <w:rFonts w:hint="eastAsia" w:ascii="Arial" w:hAnsi="Arial" w:eastAsia="宋体" w:cs="Arial"/>
                                <w:snapToGrid w:val="0"/>
                                <w:kern w:val="0"/>
                                <w:sz w:val="18"/>
                              </w:rPr>
                              <w:t>对隐形眼镜进行消毒</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40.15pt;margin-top:74.55pt;height:239.2pt;width:76.85pt;z-index:251662336;mso-width-relative:page;mso-height-relative:page;" filled="f" stroked="f" coordsize="21600,21600" o:allowincell="f" o:gfxdata="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qqHntoAAAAKAQAADwAAAAAAAAABACAAAAAiAAAAZHJzL2Rv&#10;d25yZXYueG1sUEsBAhQAFAAAAAgAh07iQNEHTZf/AQAABAQAAA4AAAAAAAAAAQAgAAAAKQEAAGRy&#10;cy9lMm9Eb2MueG1sUEsFBgAAAAAGAAYAWQEAAJoFAAAAAA==&#10;">
                <v:fill on="f" focussize="0,0"/>
                <v:stroke on="f"/>
                <v:imagedata o:title=""/>
                <o:lock v:ext="edit" aspectratio="f"/>
                <v:textbox inset="0mm,0mm,0mm,0mm">
                  <w:txbxContent>
                    <w:p w14:paraId="5FB30200">
                      <w:pPr>
                        <w:snapToGrid w:val="0"/>
                        <w:jc w:val="center"/>
                        <w:rPr>
                          <w:rFonts w:ascii="Arial" w:hAnsi="Arial" w:eastAsia="宋体" w:cs="Arial"/>
                          <w:b/>
                          <w:snapToGrid w:val="0"/>
                          <w:kern w:val="0"/>
                          <w:sz w:val="18"/>
                        </w:rPr>
                      </w:pPr>
                      <w:r>
                        <w:rPr>
                          <w:rFonts w:hint="eastAsia" w:ascii="Arial" w:hAnsi="Arial" w:eastAsia="宋体" w:cs="Arial"/>
                          <w:b/>
                          <w:snapToGrid w:val="0"/>
                          <w:kern w:val="0"/>
                          <w:sz w:val="18"/>
                        </w:rPr>
                        <w:t>清洁和消毒</w:t>
                      </w:r>
                    </w:p>
                    <w:p w14:paraId="73800250">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洗手</w:t>
                      </w:r>
                    </w:p>
                    <w:p w14:paraId="52E99326">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将隐形眼镜放在手掌中</w:t>
                      </w:r>
                    </w:p>
                    <w:p w14:paraId="50FF29E2">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使用清洁溶液</w:t>
                      </w:r>
                    </w:p>
                    <w:p w14:paraId="09868010">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擦拭隐形眼镜两侧20秒</w:t>
                      </w:r>
                    </w:p>
                    <w:p w14:paraId="3A2E212E">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利用生理盐水冲洗隐形眼镜</w:t>
                      </w:r>
                    </w:p>
                    <w:p w14:paraId="533CCE98">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将隐形眼镜放到隐形眼镜盒中</w:t>
                      </w:r>
                    </w:p>
                    <w:p w14:paraId="63C6AB0D">
                      <w:pPr>
                        <w:snapToGrid w:val="0"/>
                        <w:spacing w:before="156" w:beforeLines="50"/>
                        <w:jc w:val="center"/>
                        <w:rPr>
                          <w:rFonts w:ascii="Arial" w:hAnsi="Arial" w:cs="Arial"/>
                          <w:sz w:val="18"/>
                        </w:rPr>
                      </w:pPr>
                      <w:r>
                        <w:rPr>
                          <w:rFonts w:hint="eastAsia" w:ascii="Arial" w:hAnsi="Arial" w:eastAsia="宋体" w:cs="Arial"/>
                          <w:snapToGrid w:val="0"/>
                          <w:kern w:val="0"/>
                          <w:sz w:val="18"/>
                        </w:rPr>
                        <w:t>对隐形眼镜进行消毒</w:t>
                      </w:r>
                    </w:p>
                  </w:txbxContent>
                </v:textbox>
              </v:shape>
            </w:pict>
          </mc:Fallback>
        </mc:AlternateContent>
      </w:r>
      <w:r>
        <mc:AlternateContent>
          <mc:Choice Requires="wps">
            <w:drawing>
              <wp:anchor distT="0" distB="0" distL="114300" distR="114300" simplePos="0" relativeHeight="251663360" behindDoc="0" locked="0" layoutInCell="0" allowOverlap="1">
                <wp:simplePos x="0" y="0"/>
                <wp:positionH relativeFrom="column">
                  <wp:posOffset>1643380</wp:posOffset>
                </wp:positionH>
                <wp:positionV relativeFrom="paragraph">
                  <wp:posOffset>1156970</wp:posOffset>
                </wp:positionV>
                <wp:extent cx="736600" cy="1998980"/>
                <wp:effectExtent l="0" t="0" r="1270" b="1270"/>
                <wp:wrapNone/>
                <wp:docPr id="8" name="Text Box 6"/>
                <wp:cNvGraphicFramePr/>
                <a:graphic xmlns:a="http://schemas.openxmlformats.org/drawingml/2006/main">
                  <a:graphicData uri="http://schemas.microsoft.com/office/word/2010/wordprocessingShape">
                    <wps:wsp>
                      <wps:cNvSpPr txBox="1">
                        <a:spLocks noChangeArrowheads="1"/>
                      </wps:cNvSpPr>
                      <wps:spPr bwMode="auto">
                        <a:xfrm>
                          <a:off x="0" y="0"/>
                          <a:ext cx="736600" cy="1998980"/>
                        </a:xfrm>
                        <a:prstGeom prst="rect">
                          <a:avLst/>
                        </a:prstGeom>
                        <a:noFill/>
                        <a:ln>
                          <a:noFill/>
                        </a:ln>
                      </wps:spPr>
                      <wps:txbx>
                        <w:txbxContent>
                          <w:p w14:paraId="618754ED">
                            <w:pPr>
                              <w:snapToGrid w:val="0"/>
                              <w:jc w:val="center"/>
                              <w:rPr>
                                <w:rFonts w:ascii="Arial" w:hAnsi="Arial" w:eastAsia="宋体" w:cs="Arial"/>
                                <w:b/>
                                <w:snapToGrid w:val="0"/>
                                <w:kern w:val="0"/>
                                <w:sz w:val="18"/>
                              </w:rPr>
                            </w:pPr>
                            <w:r>
                              <w:rPr>
                                <w:rFonts w:hint="eastAsia" w:ascii="Arial" w:hAnsi="Arial" w:eastAsia="宋体" w:cs="Arial"/>
                                <w:b/>
                                <w:snapToGrid w:val="0"/>
                                <w:kern w:val="0"/>
                                <w:sz w:val="18"/>
                              </w:rPr>
                              <w:t>冷（化学）消毒</w:t>
                            </w:r>
                          </w:p>
                          <w:p w14:paraId="4C818C01">
                            <w:pPr>
                              <w:topLinePunct/>
                              <w:adjustRightInd w:val="0"/>
                              <w:snapToGrid w:val="0"/>
                              <w:jc w:val="center"/>
                              <w:rPr>
                                <w:rFonts w:ascii="Arial" w:hAnsi="Arial" w:eastAsia="宋体" w:cs="Arial"/>
                                <w:snapToGrid w:val="0"/>
                                <w:kern w:val="0"/>
                                <w:sz w:val="18"/>
                              </w:rPr>
                            </w:pPr>
                          </w:p>
                          <w:p w14:paraId="15D43688">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在盒中充入消毒溶液</w:t>
                            </w:r>
                          </w:p>
                          <w:p w14:paraId="1CFAB593">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浸没隐形眼镜4小时</w:t>
                            </w:r>
                          </w:p>
                          <w:p w14:paraId="2D8AB63B">
                            <w:pPr>
                              <w:snapToGrid w:val="0"/>
                              <w:spacing w:before="156" w:beforeLines="50"/>
                              <w:jc w:val="center"/>
                              <w:rPr>
                                <w:rFonts w:ascii="Arial" w:hAnsi="Arial" w:cs="Arial"/>
                                <w:sz w:val="18"/>
                              </w:rPr>
                            </w:pPr>
                            <w:r>
                              <w:rPr>
                                <w:rFonts w:hint="eastAsia" w:ascii="Arial" w:hAnsi="Arial" w:eastAsia="宋体" w:cs="Arial"/>
                                <w:snapToGrid w:val="0"/>
                                <w:kern w:val="0"/>
                                <w:sz w:val="18"/>
                              </w:rPr>
                              <w:t>戴隐形眼镜前冲洗眼镜</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29.4pt;margin-top:91.1pt;height:157.4pt;width:58pt;z-index:251663360;mso-width-relative:page;mso-height-relative:page;" filled="f" stroked="f" coordsize="21600,21600" o:allowincell="f" o:gfxdata="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wGbfnaAAAACwEAAA8AAAAAAAAAAQAgAAAAIgAAAGRycy9kb3du&#10;cmV2LnhtbFBLAQIUABQAAAAIAIdO4kBLzDoj/QEAAAQEAAAOAAAAAAAAAAEAIAAAACkBAABkcnMv&#10;ZTJvRG9jLnhtbFBLBQYAAAAABgAGAFkBAACYBQAAAAA=&#10;">
                <v:fill on="f" focussize="0,0"/>
                <v:stroke on="f"/>
                <v:imagedata o:title=""/>
                <o:lock v:ext="edit" aspectratio="f"/>
                <v:textbox inset="0mm,0mm,0mm,0mm">
                  <w:txbxContent>
                    <w:p w14:paraId="618754ED">
                      <w:pPr>
                        <w:snapToGrid w:val="0"/>
                        <w:jc w:val="center"/>
                        <w:rPr>
                          <w:rFonts w:ascii="Arial" w:hAnsi="Arial" w:eastAsia="宋体" w:cs="Arial"/>
                          <w:b/>
                          <w:snapToGrid w:val="0"/>
                          <w:kern w:val="0"/>
                          <w:sz w:val="18"/>
                        </w:rPr>
                      </w:pPr>
                      <w:r>
                        <w:rPr>
                          <w:rFonts w:hint="eastAsia" w:ascii="Arial" w:hAnsi="Arial" w:eastAsia="宋体" w:cs="Arial"/>
                          <w:b/>
                          <w:snapToGrid w:val="0"/>
                          <w:kern w:val="0"/>
                          <w:sz w:val="18"/>
                        </w:rPr>
                        <w:t>冷（化学）消毒</w:t>
                      </w:r>
                    </w:p>
                    <w:p w14:paraId="4C818C01">
                      <w:pPr>
                        <w:topLinePunct/>
                        <w:adjustRightInd w:val="0"/>
                        <w:snapToGrid w:val="0"/>
                        <w:jc w:val="center"/>
                        <w:rPr>
                          <w:rFonts w:ascii="Arial" w:hAnsi="Arial" w:eastAsia="宋体" w:cs="Arial"/>
                          <w:snapToGrid w:val="0"/>
                          <w:kern w:val="0"/>
                          <w:sz w:val="18"/>
                        </w:rPr>
                      </w:pPr>
                    </w:p>
                    <w:p w14:paraId="15D43688">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在盒中充入消毒溶液</w:t>
                      </w:r>
                    </w:p>
                    <w:p w14:paraId="1CFAB593">
                      <w:pPr>
                        <w:topLinePunct/>
                        <w:adjustRightInd w:val="0"/>
                        <w:snapToGrid w:val="0"/>
                        <w:spacing w:before="156" w:beforeLines="50"/>
                        <w:jc w:val="center"/>
                        <w:rPr>
                          <w:rFonts w:ascii="Arial" w:hAnsi="Arial" w:eastAsia="宋体" w:cs="Arial"/>
                          <w:snapToGrid w:val="0"/>
                          <w:kern w:val="0"/>
                          <w:sz w:val="18"/>
                        </w:rPr>
                      </w:pPr>
                      <w:r>
                        <w:rPr>
                          <w:rFonts w:hint="eastAsia" w:ascii="Arial" w:hAnsi="Arial" w:eastAsia="宋体" w:cs="Arial"/>
                          <w:snapToGrid w:val="0"/>
                          <w:kern w:val="0"/>
                          <w:sz w:val="18"/>
                        </w:rPr>
                        <w:t>浸没隐形眼镜4小时</w:t>
                      </w:r>
                    </w:p>
                    <w:p w14:paraId="2D8AB63B">
                      <w:pPr>
                        <w:snapToGrid w:val="0"/>
                        <w:spacing w:before="156" w:beforeLines="50"/>
                        <w:jc w:val="center"/>
                        <w:rPr>
                          <w:rFonts w:ascii="Arial" w:hAnsi="Arial" w:cs="Arial"/>
                          <w:sz w:val="18"/>
                        </w:rPr>
                      </w:pPr>
                      <w:r>
                        <w:rPr>
                          <w:rFonts w:hint="eastAsia" w:ascii="Arial" w:hAnsi="Arial" w:eastAsia="宋体" w:cs="Arial"/>
                          <w:snapToGrid w:val="0"/>
                          <w:kern w:val="0"/>
                          <w:sz w:val="18"/>
                        </w:rPr>
                        <w:t>戴隐形眼镜前冲洗眼镜</w:t>
                      </w:r>
                    </w:p>
                  </w:txbxContent>
                </v:textbox>
              </v:shape>
            </w:pict>
          </mc:Fallback>
        </mc:AlternateContent>
      </w:r>
      <w:r>
        <mc:AlternateContent>
          <mc:Choice Requires="wps">
            <w:drawing>
              <wp:anchor distT="0" distB="0" distL="114300" distR="114300" simplePos="0" relativeHeight="251668480" behindDoc="0" locked="0" layoutInCell="0" allowOverlap="1">
                <wp:simplePos x="0" y="0"/>
                <wp:positionH relativeFrom="column">
                  <wp:posOffset>396875</wp:posOffset>
                </wp:positionH>
                <wp:positionV relativeFrom="paragraph">
                  <wp:posOffset>3956050</wp:posOffset>
                </wp:positionV>
                <wp:extent cx="4889500" cy="247650"/>
                <wp:effectExtent l="0" t="0" r="0" b="1270"/>
                <wp:wrapNone/>
                <wp:docPr id="7" name="Text Box 13"/>
                <wp:cNvGraphicFramePr/>
                <a:graphic xmlns:a="http://schemas.openxmlformats.org/drawingml/2006/main">
                  <a:graphicData uri="http://schemas.microsoft.com/office/word/2010/wordprocessingShape">
                    <wps:wsp>
                      <wps:cNvSpPr txBox="1">
                        <a:spLocks noChangeArrowheads="1"/>
                      </wps:cNvSpPr>
                      <wps:spPr bwMode="auto">
                        <a:xfrm>
                          <a:off x="0" y="0"/>
                          <a:ext cx="4889500" cy="247650"/>
                        </a:xfrm>
                        <a:prstGeom prst="rect">
                          <a:avLst/>
                        </a:prstGeom>
                        <a:noFill/>
                        <a:ln>
                          <a:noFill/>
                        </a:ln>
                      </wps:spPr>
                      <wps:txbx>
                        <w:txbxContent>
                          <w:p w14:paraId="5882DAFD">
                            <w:pPr>
                              <w:snapToGrid w:val="0"/>
                              <w:rPr>
                                <w:rFonts w:ascii="Arial" w:hAnsi="Arial" w:cs="Arial"/>
                                <w:sz w:val="15"/>
                              </w:rPr>
                            </w:pPr>
                            <w:r>
                              <w:rPr>
                                <w:rFonts w:ascii="Arial" w:hAnsi="Arial" w:eastAsia="宋体" w:cs="Arial"/>
                                <w:snapToGrid w:val="0"/>
                                <w:kern w:val="0"/>
                                <w:sz w:val="18"/>
                                <w:highlight w:val="yellow"/>
                                <w:vertAlign w:val="superscript"/>
                              </w:rPr>
                              <w:t>‡</w:t>
                            </w:r>
                            <w:r>
                              <w:rPr>
                                <w:rFonts w:hint="eastAsia" w:ascii="Arial" w:hAnsi="Arial" w:eastAsia="宋体" w:cs="Arial"/>
                                <w:snapToGrid w:val="0"/>
                                <w:kern w:val="0"/>
                                <w:sz w:val="18"/>
                              </w:rPr>
                              <w:t>根据隐形眼镜护理系统的不同，准确词汇可能存在差异。</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31.25pt;margin-top:311.5pt;height:19.5pt;width:385pt;z-index:251668480;mso-width-relative:page;mso-height-relative:page;" filled="f" stroked="f" coordsize="21600,21600" o:allowincell="f" o:gfxdata="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iJqptcAAAAKAQAADwAAAAAAAAABACAAAAAiAAAAZHJzL2Rvd25y&#10;ZXYueG1sUEsBAhQAFAAAAAgAh07iQAI3muv/AQAABQQAAA4AAAAAAAAAAQAgAAAAJgEAAGRycy9l&#10;Mm9Eb2MueG1sUEsFBgAAAAAGAAYAWQEAAJcFAAAAAA==&#10;">
                <v:fill on="f" focussize="0,0"/>
                <v:stroke on="f"/>
                <v:imagedata o:title=""/>
                <o:lock v:ext="edit" aspectratio="f"/>
                <v:textbox inset="0mm,0mm,0mm,0mm">
                  <w:txbxContent>
                    <w:p w14:paraId="5882DAFD">
                      <w:pPr>
                        <w:snapToGrid w:val="0"/>
                        <w:rPr>
                          <w:rFonts w:ascii="Arial" w:hAnsi="Arial" w:cs="Arial"/>
                          <w:sz w:val="15"/>
                        </w:rPr>
                      </w:pPr>
                      <w:r>
                        <w:rPr>
                          <w:rFonts w:ascii="Arial" w:hAnsi="Arial" w:eastAsia="宋体" w:cs="Arial"/>
                          <w:snapToGrid w:val="0"/>
                          <w:kern w:val="0"/>
                          <w:sz w:val="18"/>
                          <w:highlight w:val="yellow"/>
                          <w:vertAlign w:val="superscript"/>
                        </w:rPr>
                        <w:t>‡</w:t>
                      </w:r>
                      <w:r>
                        <w:rPr>
                          <w:rFonts w:hint="eastAsia" w:ascii="Arial" w:hAnsi="Arial" w:eastAsia="宋体" w:cs="Arial"/>
                          <w:snapToGrid w:val="0"/>
                          <w:kern w:val="0"/>
                          <w:sz w:val="18"/>
                        </w:rPr>
                        <w:t>根据隐形眼镜护理系统的不同，准确词汇可能存在差异。</w:t>
                      </w:r>
                    </w:p>
                  </w:txbxContent>
                </v:textbox>
              </v:shape>
            </w:pict>
          </mc:Fallback>
        </mc:AlternateContent>
      </w:r>
      <w:r>
        <mc:AlternateContent>
          <mc:Choice Requires="wps">
            <w:drawing>
              <wp:anchor distT="0" distB="0" distL="114300" distR="114300" simplePos="0" relativeHeight="251661312" behindDoc="0" locked="0" layoutInCell="0" allowOverlap="1">
                <wp:simplePos x="0" y="0"/>
                <wp:positionH relativeFrom="column">
                  <wp:posOffset>3615055</wp:posOffset>
                </wp:positionH>
                <wp:positionV relativeFrom="paragraph">
                  <wp:posOffset>546100</wp:posOffset>
                </wp:positionV>
                <wp:extent cx="1444625" cy="237490"/>
                <wp:effectExtent l="0" t="0" r="0" b="1905"/>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1444625" cy="237490"/>
                        </a:xfrm>
                        <a:prstGeom prst="rect">
                          <a:avLst/>
                        </a:prstGeom>
                        <a:noFill/>
                        <a:ln>
                          <a:noFill/>
                        </a:ln>
                      </wps:spPr>
                      <wps:txbx>
                        <w:txbxContent>
                          <w:p w14:paraId="5D9A2F3B">
                            <w:pPr>
                              <w:snapToGrid w:val="0"/>
                              <w:jc w:val="center"/>
                              <w:rPr>
                                <w:rFonts w:ascii="Arial" w:hAnsi="Arial" w:cs="Arial"/>
                                <w:sz w:val="18"/>
                              </w:rPr>
                            </w:pPr>
                            <w:r>
                              <w:rPr>
                                <w:rFonts w:hint="eastAsia" w:ascii="Arial" w:hAnsi="Arial" w:eastAsia="宋体" w:cs="Arial"/>
                                <w:b/>
                                <w:i/>
                                <w:snapToGrid w:val="0"/>
                                <w:kern w:val="0"/>
                                <w:sz w:val="18"/>
                              </w:rPr>
                              <w:t>每周隐形眼镜护理</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84.65pt;margin-top:43pt;height:18.7pt;width:113.75pt;z-index:251661312;mso-width-relative:page;mso-height-relative:page;" filled="f" stroked="f" coordsize="21600,21600" o:allowincell="f" o:gfxdata="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f5LD3ZAAAACgEAAA8AAAAAAAAAAQAgAAAAIgAAAGRycy9kb3du&#10;cmV2LnhtbFBLAQIUABQAAAAIAIdO4kC0lBe4/gEAAAQEAAAOAAAAAAAAAAEAIAAAACgBAABkcnMv&#10;ZTJvRG9jLnhtbFBLBQYAAAAABgAGAFkBAACYBQAAAAA=&#10;">
                <v:fill on="f" focussize="0,0"/>
                <v:stroke on="f"/>
                <v:imagedata o:title=""/>
                <o:lock v:ext="edit" aspectratio="f"/>
                <v:textbox inset="0mm,0mm,0mm,0mm">
                  <w:txbxContent>
                    <w:p w14:paraId="5D9A2F3B">
                      <w:pPr>
                        <w:snapToGrid w:val="0"/>
                        <w:jc w:val="center"/>
                        <w:rPr>
                          <w:rFonts w:ascii="Arial" w:hAnsi="Arial" w:cs="Arial"/>
                          <w:sz w:val="18"/>
                        </w:rPr>
                      </w:pPr>
                      <w:r>
                        <w:rPr>
                          <w:rFonts w:hint="eastAsia" w:ascii="Arial" w:hAnsi="Arial" w:eastAsia="宋体" w:cs="Arial"/>
                          <w:b/>
                          <w:i/>
                          <w:snapToGrid w:val="0"/>
                          <w:kern w:val="0"/>
                          <w:sz w:val="18"/>
                        </w:rPr>
                        <w:t>每周隐形眼镜护理</w:t>
                      </w:r>
                    </w:p>
                  </w:txbxContent>
                </v:textbox>
              </v:shape>
            </w:pict>
          </mc:Fallback>
        </mc:AlternateContent>
      </w:r>
      <w:r>
        <mc:AlternateContent>
          <mc:Choice Requires="wps">
            <w:drawing>
              <wp:anchor distT="0" distB="0" distL="114300" distR="114300" simplePos="0" relativeHeight="251667456" behindDoc="0" locked="0" layoutInCell="0" allowOverlap="1">
                <wp:simplePos x="0" y="0"/>
                <wp:positionH relativeFrom="column">
                  <wp:posOffset>2332355</wp:posOffset>
                </wp:positionH>
                <wp:positionV relativeFrom="paragraph">
                  <wp:posOffset>127000</wp:posOffset>
                </wp:positionV>
                <wp:extent cx="1282700" cy="197485"/>
                <wp:effectExtent l="0" t="1905" r="4445" b="635"/>
                <wp:wrapNone/>
                <wp:docPr id="5"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282700" cy="197485"/>
                        </a:xfrm>
                        <a:prstGeom prst="rect">
                          <a:avLst/>
                        </a:prstGeom>
                        <a:noFill/>
                        <a:ln>
                          <a:noFill/>
                        </a:ln>
                      </wps:spPr>
                      <wps:txbx>
                        <w:txbxContent>
                          <w:p w14:paraId="71AB82F8">
                            <w:pPr>
                              <w:snapToGrid w:val="0"/>
                              <w:jc w:val="center"/>
                              <w:rPr>
                                <w:rFonts w:ascii="Arial" w:hAnsi="Arial" w:cs="Arial"/>
                                <w:b/>
                              </w:rPr>
                            </w:pPr>
                            <w:r>
                              <w:rPr>
                                <w:rFonts w:hint="eastAsia" w:ascii="Arial" w:hAnsi="Arial" w:eastAsia="宋体" w:cs="Arial"/>
                                <w:b/>
                                <w:snapToGrid w:val="0"/>
                                <w:kern w:val="0"/>
                                <w:sz w:val="24"/>
                              </w:rPr>
                              <w:t>图形举例*</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12" o:spid="_x0000_s1026" o:spt="202" type="#_x0000_t202" style="position:absolute;left:0pt;margin-left:183.65pt;margin-top:10pt;height:15.55pt;width:101pt;z-index:251667456;mso-width-relative:page;mso-height-relative:margin;mso-height-percent:200;" filled="f" stroked="f" coordsize="21600,21600" o:allowincell="f" o:gfxdata="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r0KO1QAAAAkBAAAPAAAAAAAAAAEAIAAAACIAAABkcnMvZG93bnJldi54&#10;bWxQSwECFAAUAAAACACHTuJAeeLicP0BAAAFBAAADgAAAAAAAAABACAAAAAkAQAAZHJzL2Uyb0Rv&#10;Yy54bWxQSwUGAAAAAAYABgBZAQAAkwUAAAAA&#10;">
                <v:fill on="f" focussize="0,0"/>
                <v:stroke on="f"/>
                <v:imagedata o:title=""/>
                <o:lock v:ext="edit" aspectratio="f"/>
                <v:textbox inset="0mm,0mm,0mm,0mm" style="mso-fit-shape-to-text:t;">
                  <w:txbxContent>
                    <w:p w14:paraId="71AB82F8">
                      <w:pPr>
                        <w:snapToGrid w:val="0"/>
                        <w:jc w:val="center"/>
                        <w:rPr>
                          <w:rFonts w:ascii="Arial" w:hAnsi="Arial" w:cs="Arial"/>
                          <w:b/>
                        </w:rPr>
                      </w:pPr>
                      <w:r>
                        <w:rPr>
                          <w:rFonts w:hint="eastAsia" w:ascii="Arial" w:hAnsi="Arial" w:eastAsia="宋体" w:cs="Arial"/>
                          <w:b/>
                          <w:snapToGrid w:val="0"/>
                          <w:kern w:val="0"/>
                          <w:sz w:val="24"/>
                        </w:rPr>
                        <w:t>图形举例*</w:t>
                      </w:r>
                    </w:p>
                  </w:txbxContent>
                </v:textbox>
              </v:shape>
            </w:pict>
          </mc:Fallback>
        </mc:AlternateContent>
      </w:r>
      <w:r>
        <w:rPr>
          <w:rFonts w:hint="eastAsia" w:ascii="Arial" w:hAnsi="Arial" w:eastAsia="宋体" w:cs="Arial"/>
          <w:kern w:val="0"/>
          <w:sz w:val="24"/>
        </w:rPr>
        <w:drawing>
          <wp:inline distT="0" distB="0" distL="0" distR="0">
            <wp:extent cx="5724525" cy="43529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24525" cy="4352925"/>
                    </a:xfrm>
                    <a:prstGeom prst="rect">
                      <a:avLst/>
                    </a:prstGeom>
                    <a:noFill/>
                    <a:ln>
                      <a:noFill/>
                    </a:ln>
                  </pic:spPr>
                </pic:pic>
              </a:graphicData>
            </a:graphic>
          </wp:inline>
        </w:drawing>
      </w:r>
    </w:p>
    <w:p w14:paraId="0F508929">
      <w:pPr>
        <w:topLinePunct/>
        <w:adjustRightInd w:val="0"/>
        <w:snapToGrid w:val="0"/>
        <w:spacing w:after="156" w:afterLines="50" w:line="360" w:lineRule="auto"/>
        <w:ind w:left="420" w:leftChars="200"/>
        <w:rPr>
          <w:rFonts w:ascii="Arial" w:hAnsi="Arial" w:eastAsia="宋体" w:cs="Arial"/>
          <w:b/>
          <w:snapToGrid w:val="0"/>
          <w:kern w:val="0"/>
          <w:sz w:val="24"/>
        </w:rPr>
      </w:pPr>
      <w:r>
        <w:rPr>
          <w:rFonts w:hint="eastAsia" w:ascii="Arial" w:hAnsi="Arial" w:eastAsia="宋体" w:cs="Arial"/>
          <w:b/>
          <w:snapToGrid w:val="0"/>
          <w:kern w:val="0"/>
          <w:sz w:val="24"/>
        </w:rPr>
        <w:t>插图和图形参考文献</w:t>
      </w:r>
    </w:p>
    <w:p w14:paraId="38035866">
      <w:pPr>
        <w:topLinePunct/>
        <w:adjustRightInd w:val="0"/>
        <w:snapToGrid w:val="0"/>
        <w:spacing w:after="156" w:afterLines="50" w:line="360" w:lineRule="auto"/>
        <w:rPr>
          <w:rFonts w:ascii="Arial" w:hAnsi="Arial" w:eastAsia="宋体" w:cs="Arial"/>
          <w:b/>
          <w:bCs/>
          <w:i/>
          <w:iCs/>
          <w:snapToGrid w:val="0"/>
          <w:kern w:val="0"/>
          <w:sz w:val="24"/>
          <w:szCs w:val="23"/>
        </w:rPr>
      </w:pPr>
      <w:r>
        <w:rPr>
          <w:rFonts w:ascii="Arial" w:hAnsi="Arial" w:eastAsia="宋体" w:cs="Arial"/>
          <w:snapToGrid w:val="0"/>
          <w:kern w:val="0"/>
          <w:sz w:val="24"/>
          <w:szCs w:val="24"/>
        </w:rPr>
        <w:t xml:space="preserve">Barker, </w:t>
      </w:r>
      <w:r>
        <w:rPr>
          <w:rFonts w:ascii="Arial" w:hAnsi="Arial" w:eastAsia="宋体" w:cs="Arial"/>
          <w:snapToGrid w:val="0"/>
          <w:kern w:val="0"/>
          <w:sz w:val="24"/>
          <w:szCs w:val="25"/>
        </w:rPr>
        <w:t xml:space="preserve">E., </w:t>
      </w:r>
      <w:r>
        <w:rPr>
          <w:rFonts w:ascii="Arial" w:hAnsi="Arial" w:eastAsia="宋体" w:cs="Arial"/>
          <w:snapToGrid w:val="0"/>
          <w:kern w:val="0"/>
          <w:sz w:val="24"/>
        </w:rPr>
        <w:t xml:space="preserve">&amp; </w:t>
      </w:r>
      <w:r>
        <w:rPr>
          <w:rFonts w:ascii="Arial" w:hAnsi="Arial" w:eastAsia="宋体" w:cs="Arial"/>
          <w:snapToGrid w:val="0"/>
          <w:kern w:val="0"/>
          <w:sz w:val="24"/>
          <w:szCs w:val="24"/>
        </w:rPr>
        <w:t xml:space="preserve">Krebs, M.J.（April 1977）. </w:t>
      </w:r>
      <w:r>
        <w:rPr>
          <w:rFonts w:ascii="Arial" w:hAnsi="Arial" w:eastAsia="宋体" w:cs="Arial"/>
          <w:b/>
          <w:bCs/>
          <w:i/>
          <w:iCs/>
          <w:snapToGrid w:val="0"/>
          <w:kern w:val="0"/>
          <w:sz w:val="24"/>
          <w:szCs w:val="24"/>
        </w:rPr>
        <w:t xml:space="preserve">Color coding effects on hum pe$omnce: </w:t>
      </w:r>
      <w:r>
        <w:rPr>
          <w:rFonts w:ascii="Arial" w:hAnsi="Arial" w:eastAsia="宋体" w:cs="Arial"/>
          <w:b/>
          <w:bCs/>
          <w:i/>
          <w:iCs/>
          <w:snapToGrid w:val="0"/>
          <w:kern w:val="0"/>
          <w:sz w:val="24"/>
          <w:szCs w:val="23"/>
        </w:rPr>
        <w:t>An</w:t>
      </w:r>
      <w:r>
        <w:rPr>
          <w:rFonts w:hint="eastAsia" w:ascii="Arial" w:hAnsi="Arial" w:eastAsia="宋体" w:cs="Arial"/>
          <w:b/>
          <w:bCs/>
          <w:i/>
          <w:iCs/>
          <w:snapToGrid w:val="0"/>
          <w:kern w:val="0"/>
          <w:sz w:val="24"/>
          <w:szCs w:val="23"/>
        </w:rPr>
        <w:t xml:space="preserve"> </w:t>
      </w:r>
      <w:r>
        <w:rPr>
          <w:rFonts w:ascii="Arial" w:hAnsi="Arial" w:eastAsia="宋体" w:cs="Arial"/>
          <w:b/>
          <w:bCs/>
          <w:i/>
          <w:iCs/>
          <w:snapToGrid w:val="0"/>
          <w:kern w:val="0"/>
          <w:sz w:val="24"/>
          <w:szCs w:val="24"/>
        </w:rPr>
        <w:t xml:space="preserve">annotated bibliography. </w:t>
      </w:r>
      <w:r>
        <w:rPr>
          <w:rFonts w:ascii="Arial" w:hAnsi="Arial" w:eastAsia="宋体" w:cs="Arial"/>
          <w:snapToGrid w:val="0"/>
          <w:kern w:val="0"/>
          <w:sz w:val="24"/>
          <w:szCs w:val="24"/>
        </w:rPr>
        <w:t xml:space="preserve">Arlington, </w:t>
      </w:r>
      <w:r>
        <w:rPr>
          <w:rFonts w:ascii="Arial" w:hAnsi="Arial" w:eastAsia="宋体" w:cs="Arial"/>
          <w:b/>
          <w:bCs/>
          <w:i/>
          <w:iCs/>
          <w:snapToGrid w:val="0"/>
          <w:kern w:val="0"/>
          <w:sz w:val="24"/>
          <w:szCs w:val="24"/>
        </w:rPr>
        <w:t xml:space="preserve">VA. </w:t>
      </w:r>
      <w:r>
        <w:rPr>
          <w:rFonts w:ascii="Arial" w:hAnsi="Arial" w:eastAsia="宋体" w:cs="Arial"/>
          <w:snapToGrid w:val="0"/>
          <w:kern w:val="0"/>
          <w:sz w:val="24"/>
          <w:szCs w:val="24"/>
        </w:rPr>
        <w:t>Office of Naval Research.</w:t>
      </w:r>
    </w:p>
    <w:p w14:paraId="74BC41C1">
      <w:pPr>
        <w:topLinePunct/>
        <w:adjustRightInd w:val="0"/>
        <w:snapToGrid w:val="0"/>
        <w:spacing w:after="156" w:afterLines="50"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Birren, </w:t>
      </w:r>
      <w:r>
        <w:rPr>
          <w:rFonts w:ascii="Arial" w:hAnsi="Arial" w:eastAsia="宋体" w:cs="Arial"/>
          <w:snapToGrid w:val="0"/>
          <w:kern w:val="0"/>
          <w:sz w:val="24"/>
          <w:szCs w:val="25"/>
        </w:rPr>
        <w:t>F. (</w:t>
      </w:r>
      <w:r>
        <w:rPr>
          <w:rFonts w:ascii="Arial" w:hAnsi="Arial" w:eastAsia="宋体" w:cs="Arial"/>
          <w:snapToGrid w:val="0"/>
          <w:kern w:val="0"/>
          <w:sz w:val="24"/>
        </w:rPr>
        <w:t xml:space="preserve">1978). </w:t>
      </w:r>
      <w:r>
        <w:rPr>
          <w:rFonts w:ascii="Arial" w:hAnsi="Arial" w:eastAsia="宋体" w:cs="Arial"/>
          <w:b/>
          <w:bCs/>
          <w:i/>
          <w:iCs/>
          <w:snapToGrid w:val="0"/>
          <w:kern w:val="0"/>
          <w:sz w:val="24"/>
          <w:szCs w:val="24"/>
        </w:rPr>
        <w:t xml:space="preserve">Color and </w:t>
      </w:r>
      <w:r>
        <w:rPr>
          <w:rFonts w:ascii="Arial" w:hAnsi="Arial" w:eastAsia="宋体" w:cs="Arial"/>
          <w:b/>
          <w:bCs/>
          <w:i/>
          <w:iCs/>
          <w:snapToGrid w:val="0"/>
          <w:kern w:val="0"/>
          <w:sz w:val="24"/>
          <w:szCs w:val="23"/>
        </w:rPr>
        <w:t xml:space="preserve">human </w:t>
      </w:r>
      <w:r>
        <w:rPr>
          <w:rFonts w:ascii="Arial" w:hAnsi="Arial" w:eastAsia="宋体" w:cs="Arial"/>
          <w:b/>
          <w:bCs/>
          <w:i/>
          <w:iCs/>
          <w:snapToGrid w:val="0"/>
          <w:kern w:val="0"/>
          <w:sz w:val="24"/>
          <w:szCs w:val="24"/>
        </w:rPr>
        <w:t xml:space="preserve">response. </w:t>
      </w:r>
      <w:r>
        <w:rPr>
          <w:rFonts w:ascii="Arial" w:hAnsi="Arial" w:eastAsia="宋体" w:cs="Arial"/>
          <w:snapToGrid w:val="0"/>
          <w:kern w:val="0"/>
          <w:sz w:val="24"/>
          <w:szCs w:val="24"/>
        </w:rPr>
        <w:t xml:space="preserve">New York: </w:t>
      </w:r>
      <w:r>
        <w:rPr>
          <w:rFonts w:ascii="Arial" w:hAnsi="Arial" w:eastAsia="宋体" w:cs="Arial"/>
          <w:b/>
          <w:bCs/>
          <w:i/>
          <w:iCs/>
          <w:snapToGrid w:val="0"/>
          <w:kern w:val="0"/>
          <w:sz w:val="24"/>
          <w:szCs w:val="23"/>
        </w:rPr>
        <w:t xml:space="preserve">Van </w:t>
      </w:r>
      <w:r>
        <w:rPr>
          <w:rFonts w:ascii="Arial" w:hAnsi="Arial" w:eastAsia="宋体" w:cs="Arial"/>
          <w:snapToGrid w:val="0"/>
          <w:kern w:val="0"/>
          <w:sz w:val="24"/>
          <w:szCs w:val="24"/>
        </w:rPr>
        <w:t>Nostrand Reinhold.</w:t>
      </w:r>
    </w:p>
    <w:p w14:paraId="29DF2771">
      <w:pPr>
        <w:topLinePunct/>
        <w:adjustRightInd w:val="0"/>
        <w:snapToGrid w:val="0"/>
        <w:spacing w:after="156" w:afterLines="50" w:line="360" w:lineRule="auto"/>
        <w:rPr>
          <w:rFonts w:ascii="Arial" w:hAnsi="Arial" w:eastAsia="宋体" w:cs="Arial"/>
          <w:b/>
          <w:bCs/>
          <w:i/>
          <w:iCs/>
          <w:snapToGrid w:val="0"/>
          <w:kern w:val="0"/>
          <w:sz w:val="24"/>
          <w:szCs w:val="24"/>
        </w:rPr>
      </w:pPr>
      <w:r>
        <w:rPr>
          <w:rFonts w:ascii="Arial" w:hAnsi="Arial" w:eastAsia="宋体" w:cs="Arial"/>
          <w:snapToGrid w:val="0"/>
          <w:kern w:val="0"/>
          <w:sz w:val="24"/>
          <w:szCs w:val="24"/>
        </w:rPr>
        <w:t xml:space="preserve">Houghton, H.A., </w:t>
      </w:r>
      <w:r>
        <w:rPr>
          <w:rFonts w:ascii="Arial" w:hAnsi="Arial" w:eastAsia="宋体" w:cs="Arial"/>
          <w:snapToGrid w:val="0"/>
          <w:kern w:val="0"/>
          <w:sz w:val="24"/>
        </w:rPr>
        <w:t xml:space="preserve">&amp; </w:t>
      </w:r>
      <w:r>
        <w:rPr>
          <w:rFonts w:ascii="Arial" w:hAnsi="Arial" w:eastAsia="宋体" w:cs="Arial"/>
          <w:snapToGrid w:val="0"/>
          <w:kern w:val="0"/>
          <w:sz w:val="24"/>
          <w:szCs w:val="24"/>
        </w:rPr>
        <w:t xml:space="preserve">Willows, </w:t>
      </w:r>
      <w:r>
        <w:rPr>
          <w:rFonts w:ascii="Arial" w:hAnsi="Arial" w:eastAsia="宋体" w:cs="Arial"/>
          <w:snapToGrid w:val="0"/>
          <w:kern w:val="0"/>
          <w:sz w:val="24"/>
          <w:szCs w:val="25"/>
        </w:rPr>
        <w:t>D.M. (</w:t>
      </w:r>
      <w:r>
        <w:rPr>
          <w:rFonts w:ascii="Arial" w:hAnsi="Arial" w:eastAsia="宋体" w:cs="Arial"/>
          <w:snapToGrid w:val="0"/>
          <w:kern w:val="0"/>
          <w:sz w:val="24"/>
          <w:szCs w:val="24"/>
        </w:rPr>
        <w:t>Eds.</w:t>
      </w:r>
      <w:r>
        <w:rPr>
          <w:rFonts w:ascii="Arial" w:hAnsi="Arial" w:eastAsia="宋体" w:cs="Arial"/>
          <w:snapToGrid w:val="0"/>
          <w:kern w:val="0"/>
          <w:sz w:val="24"/>
          <w:szCs w:val="25"/>
        </w:rPr>
        <w:t>)（</w:t>
      </w:r>
      <w:r>
        <w:rPr>
          <w:rFonts w:ascii="Arial" w:hAnsi="Arial" w:eastAsia="宋体" w:cs="Arial"/>
          <w:snapToGrid w:val="0"/>
          <w:kern w:val="0"/>
          <w:sz w:val="24"/>
        </w:rPr>
        <w:t>1987</w:t>
      </w:r>
      <w:r>
        <w:rPr>
          <w:rFonts w:ascii="Arial" w:hAnsi="Arial" w:eastAsia="宋体" w:cs="Arial"/>
          <w:snapToGrid w:val="0"/>
          <w:kern w:val="0"/>
          <w:sz w:val="24"/>
          <w:szCs w:val="25"/>
        </w:rPr>
        <w:t>）</w:t>
      </w:r>
      <w:r>
        <w:rPr>
          <w:rFonts w:ascii="Arial" w:hAnsi="Arial" w:eastAsia="宋体" w:cs="Arial"/>
          <w:snapToGrid w:val="0"/>
          <w:kern w:val="0"/>
          <w:sz w:val="24"/>
        </w:rPr>
        <w:t xml:space="preserve">. </w:t>
      </w:r>
      <w:r>
        <w:rPr>
          <w:rFonts w:ascii="Arial" w:hAnsi="Arial" w:eastAsia="宋体" w:cs="Arial"/>
          <w:b/>
          <w:bCs/>
          <w:i/>
          <w:iCs/>
          <w:snapToGrid w:val="0"/>
          <w:kern w:val="0"/>
          <w:sz w:val="24"/>
          <w:szCs w:val="24"/>
        </w:rPr>
        <w:t xml:space="preserve">The psychology </w:t>
      </w:r>
      <w:r>
        <w:rPr>
          <w:rFonts w:ascii="Arial" w:hAnsi="Arial" w:eastAsia="宋体" w:cs="Arial"/>
          <w:b/>
          <w:bCs/>
          <w:i/>
          <w:iCs/>
          <w:snapToGrid w:val="0"/>
          <w:kern w:val="0"/>
          <w:sz w:val="24"/>
          <w:szCs w:val="23"/>
        </w:rPr>
        <w:t xml:space="preserve">of </w:t>
      </w:r>
      <w:r>
        <w:rPr>
          <w:rFonts w:ascii="Arial" w:hAnsi="Arial" w:eastAsia="宋体" w:cs="Arial"/>
          <w:b/>
          <w:bCs/>
          <w:i/>
          <w:iCs/>
          <w:snapToGrid w:val="0"/>
          <w:kern w:val="0"/>
          <w:sz w:val="24"/>
          <w:szCs w:val="24"/>
        </w:rPr>
        <w:t xml:space="preserve">illustration, </w:t>
      </w:r>
      <w:r>
        <w:rPr>
          <w:rFonts w:ascii="Arial" w:hAnsi="Arial" w:eastAsia="宋体" w:cs="Arial"/>
          <w:snapToGrid w:val="0"/>
          <w:kern w:val="0"/>
          <w:sz w:val="24"/>
          <w:szCs w:val="24"/>
        </w:rPr>
        <w:t xml:space="preserve">Vol. </w:t>
      </w:r>
      <w:r>
        <w:rPr>
          <w:rFonts w:ascii="Arial" w:hAnsi="Arial" w:eastAsia="宋体" w:cs="Arial"/>
          <w:b/>
          <w:bCs/>
          <w:i/>
          <w:iCs/>
          <w:snapToGrid w:val="0"/>
          <w:kern w:val="0"/>
          <w:sz w:val="24"/>
          <w:szCs w:val="24"/>
        </w:rPr>
        <w:t>2,</w:t>
      </w:r>
      <w:r>
        <w:rPr>
          <w:rFonts w:hint="eastAsia" w:ascii="Arial" w:hAnsi="Arial" w:eastAsia="宋体" w:cs="Arial"/>
          <w:b/>
          <w:bCs/>
          <w:i/>
          <w:iCs/>
          <w:snapToGrid w:val="0"/>
          <w:kern w:val="0"/>
          <w:sz w:val="24"/>
          <w:szCs w:val="24"/>
        </w:rPr>
        <w:t xml:space="preserve"> </w:t>
      </w:r>
      <w:r>
        <w:rPr>
          <w:rFonts w:ascii="Arial" w:hAnsi="Arial" w:eastAsia="宋体" w:cs="Arial"/>
          <w:snapToGrid w:val="0"/>
          <w:kern w:val="0"/>
          <w:sz w:val="24"/>
          <w:szCs w:val="24"/>
        </w:rPr>
        <w:t>Instructional issues. New York: Springer.</w:t>
      </w:r>
    </w:p>
    <w:p w14:paraId="6E5AAC06">
      <w:pPr>
        <w:topLinePunct/>
        <w:adjustRightInd w:val="0"/>
        <w:snapToGrid w:val="0"/>
        <w:spacing w:after="156" w:afterLines="50" w:line="360" w:lineRule="auto"/>
        <w:rPr>
          <w:rFonts w:ascii="Arial" w:hAnsi="Arial" w:eastAsia="宋体" w:cs="Arial"/>
          <w:snapToGrid w:val="0"/>
          <w:kern w:val="0"/>
          <w:sz w:val="24"/>
          <w:szCs w:val="24"/>
        </w:rPr>
      </w:pPr>
      <w:r>
        <w:rPr>
          <w:rFonts w:ascii="Arial" w:hAnsi="Arial" w:eastAsia="宋体" w:cs="Arial"/>
          <w:snapToGrid w:val="0"/>
          <w:kern w:val="0"/>
          <w:sz w:val="24"/>
          <w:szCs w:val="24"/>
        </w:rPr>
        <w:t>Jonassen, D.H.（</w:t>
      </w:r>
      <w:r>
        <w:rPr>
          <w:rFonts w:ascii="Arial" w:hAnsi="Arial" w:eastAsia="宋体" w:cs="Arial"/>
          <w:snapToGrid w:val="0"/>
          <w:kern w:val="0"/>
          <w:sz w:val="24"/>
        </w:rPr>
        <w:t xml:space="preserve">1982). </w:t>
      </w:r>
      <w:r>
        <w:rPr>
          <w:rFonts w:ascii="Arial" w:hAnsi="Arial" w:eastAsia="宋体" w:cs="Arial"/>
          <w:b/>
          <w:bCs/>
          <w:i/>
          <w:iCs/>
          <w:snapToGrid w:val="0"/>
          <w:kern w:val="0"/>
          <w:sz w:val="24"/>
          <w:szCs w:val="24"/>
        </w:rPr>
        <w:t xml:space="preserve">The technology of text. </w:t>
      </w:r>
      <w:r>
        <w:rPr>
          <w:rFonts w:ascii="Arial" w:hAnsi="Arial" w:eastAsia="宋体" w:cs="Arial"/>
          <w:snapToGrid w:val="0"/>
          <w:kern w:val="0"/>
          <w:sz w:val="24"/>
          <w:szCs w:val="24"/>
        </w:rPr>
        <w:t>Englewood Cliffs, NJ: Educational</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Technology Publications.</w:t>
      </w:r>
    </w:p>
    <w:p w14:paraId="6EB508FB">
      <w:pPr>
        <w:topLinePunct/>
        <w:adjustRightInd w:val="0"/>
        <w:snapToGrid w:val="0"/>
        <w:spacing w:after="156" w:afterLines="50" w:line="360" w:lineRule="auto"/>
        <w:rPr>
          <w:rFonts w:ascii="Arial" w:hAnsi="Arial" w:eastAsia="宋体" w:cs="Arial"/>
          <w:b/>
          <w:bCs/>
          <w:snapToGrid w:val="0"/>
          <w:kern w:val="0"/>
          <w:sz w:val="24"/>
          <w:szCs w:val="21"/>
        </w:rPr>
      </w:pPr>
      <w:r>
        <w:rPr>
          <w:rFonts w:ascii="Arial" w:hAnsi="Arial" w:eastAsia="宋体" w:cs="Arial"/>
          <w:snapToGrid w:val="0"/>
          <w:kern w:val="0"/>
          <w:sz w:val="24"/>
          <w:szCs w:val="21"/>
        </w:rPr>
        <w:t>Lewis, E. （1988). Design principles for pictorial information. In S. Doheny-Farina (</w:t>
      </w:r>
      <w:r>
        <w:rPr>
          <w:rFonts w:ascii="Arial" w:hAnsi="Arial" w:eastAsia="宋体" w:cs="Arial"/>
          <w:b/>
          <w:bCs/>
          <w:snapToGrid w:val="0"/>
          <w:kern w:val="0"/>
          <w:sz w:val="24"/>
          <w:szCs w:val="21"/>
        </w:rPr>
        <w:t xml:space="preserve">Ed.), </w:t>
      </w:r>
      <w:r>
        <w:rPr>
          <w:rFonts w:ascii="Arial" w:hAnsi="Arial" w:eastAsia="宋体" w:cs="Arial"/>
          <w:b/>
          <w:bCs/>
          <w:i/>
          <w:iCs/>
          <w:snapToGrid w:val="0"/>
          <w:kern w:val="0"/>
          <w:sz w:val="24"/>
          <w:szCs w:val="21"/>
        </w:rPr>
        <w:t xml:space="preserve">Effective documentation: What we have leanzedfrom research. </w:t>
      </w:r>
      <w:r>
        <w:rPr>
          <w:rFonts w:ascii="Arial" w:hAnsi="Arial" w:eastAsia="宋体" w:cs="Arial"/>
          <w:snapToGrid w:val="0"/>
          <w:kern w:val="0"/>
          <w:sz w:val="24"/>
          <w:szCs w:val="21"/>
        </w:rPr>
        <w:t xml:space="preserve">Cambridge, </w:t>
      </w:r>
      <w:r>
        <w:rPr>
          <w:rFonts w:ascii="Arial" w:hAnsi="Arial" w:eastAsia="宋体" w:cs="Arial"/>
          <w:b/>
          <w:bCs/>
          <w:i/>
          <w:iCs/>
          <w:snapToGrid w:val="0"/>
          <w:kern w:val="0"/>
          <w:sz w:val="24"/>
          <w:szCs w:val="21"/>
        </w:rPr>
        <w:t xml:space="preserve">MA: </w:t>
      </w:r>
      <w:r>
        <w:rPr>
          <w:rFonts w:ascii="Arial" w:hAnsi="Arial" w:eastAsia="宋体" w:cs="Arial"/>
          <w:snapToGrid w:val="0"/>
          <w:kern w:val="0"/>
          <w:sz w:val="24"/>
          <w:szCs w:val="21"/>
        </w:rPr>
        <w:t>MJT</w:t>
      </w:r>
      <w:r>
        <w:rPr>
          <w:rFonts w:hint="eastAsia" w:ascii="Arial" w:hAnsi="Arial" w:eastAsia="宋体" w:cs="Arial"/>
          <w:b/>
          <w:bCs/>
          <w:snapToGrid w:val="0"/>
          <w:kern w:val="0"/>
          <w:sz w:val="24"/>
          <w:szCs w:val="21"/>
        </w:rPr>
        <w:t xml:space="preserve"> </w:t>
      </w:r>
      <w:r>
        <w:rPr>
          <w:rFonts w:ascii="Arial" w:hAnsi="Arial" w:eastAsia="宋体" w:cs="Arial"/>
          <w:snapToGrid w:val="0"/>
          <w:kern w:val="0"/>
          <w:sz w:val="24"/>
          <w:szCs w:val="21"/>
        </w:rPr>
        <w:t>Press.</w:t>
      </w:r>
    </w:p>
    <w:p w14:paraId="165F109B">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Marcus, A. (1992). </w:t>
      </w:r>
      <w:r>
        <w:rPr>
          <w:rFonts w:ascii="Arial" w:hAnsi="Arial" w:eastAsia="宋体" w:cs="Arial"/>
          <w:b/>
          <w:bCs/>
          <w:i/>
          <w:iCs/>
          <w:snapToGrid w:val="0"/>
          <w:kern w:val="0"/>
          <w:sz w:val="24"/>
          <w:szCs w:val="21"/>
        </w:rPr>
        <w:t>Graphic design for electronic documents and user interfaces (</w:t>
      </w:r>
      <w:r>
        <w:rPr>
          <w:rFonts w:ascii="Arial" w:hAnsi="Arial" w:eastAsia="宋体" w:cs="Arial"/>
          <w:snapToGrid w:val="0"/>
          <w:kern w:val="0"/>
          <w:sz w:val="24"/>
          <w:szCs w:val="21"/>
        </w:rPr>
        <w:t xml:space="preserve">Ch. </w:t>
      </w:r>
      <w:r>
        <w:rPr>
          <w:rFonts w:ascii="Arial" w:hAnsi="Arial" w:eastAsia="宋体" w:cs="Arial"/>
          <w:b/>
          <w:bCs/>
          <w:i/>
          <w:iCs/>
          <w:snapToGrid w:val="0"/>
          <w:kern w:val="0"/>
          <w:sz w:val="24"/>
          <w:szCs w:val="21"/>
        </w:rPr>
        <w:t xml:space="preserve">4, </w:t>
      </w:r>
      <w:r>
        <w:rPr>
          <w:rFonts w:ascii="Arial" w:hAnsi="Arial" w:eastAsia="宋体" w:cs="Arial"/>
          <w:snapToGrid w:val="0"/>
          <w:kern w:val="0"/>
          <w:sz w:val="24"/>
          <w:szCs w:val="21"/>
        </w:rPr>
        <w:t>Color,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pp. 77-96). New York: ACM Press.</w:t>
      </w:r>
    </w:p>
    <w:p w14:paraId="14FD5C84">
      <w:pPr>
        <w:topLinePunct/>
        <w:adjustRightInd w:val="0"/>
        <w:snapToGrid w:val="0"/>
        <w:spacing w:after="156" w:afterLines="50" w:line="360" w:lineRule="auto"/>
        <w:rPr>
          <w:rFonts w:ascii="Arial" w:hAnsi="Arial" w:eastAsia="宋体" w:cs="Arial"/>
          <w:b/>
          <w:bCs/>
          <w:snapToGrid w:val="0"/>
          <w:kern w:val="0"/>
          <w:sz w:val="24"/>
          <w:szCs w:val="21"/>
        </w:rPr>
      </w:pPr>
      <w:r>
        <w:rPr>
          <w:rFonts w:ascii="Arial" w:hAnsi="Arial" w:eastAsia="宋体" w:cs="Arial"/>
          <w:snapToGrid w:val="0"/>
          <w:kern w:val="0"/>
          <w:sz w:val="24"/>
          <w:szCs w:val="21"/>
        </w:rPr>
        <w:t xml:space="preserve">MacDonald-Ross, M. (1977). Graphics in text: </w:t>
      </w:r>
      <w:r>
        <w:rPr>
          <w:rFonts w:ascii="Arial" w:hAnsi="Arial" w:eastAsia="宋体" w:cs="Arial"/>
          <w:b/>
          <w:bCs/>
          <w:snapToGrid w:val="0"/>
          <w:kern w:val="0"/>
          <w:sz w:val="24"/>
          <w:szCs w:val="21"/>
        </w:rPr>
        <w:t xml:space="preserve">A </w:t>
      </w:r>
      <w:r>
        <w:rPr>
          <w:rFonts w:ascii="Arial" w:hAnsi="Arial" w:eastAsia="宋体" w:cs="Arial"/>
          <w:snapToGrid w:val="0"/>
          <w:kern w:val="0"/>
          <w:sz w:val="24"/>
          <w:szCs w:val="21"/>
        </w:rPr>
        <w:t>bibliography. In L.S. Shulman (</w:t>
      </w:r>
      <w:r>
        <w:rPr>
          <w:rFonts w:ascii="Arial" w:hAnsi="Arial" w:eastAsia="宋体" w:cs="Arial"/>
          <w:b/>
          <w:bCs/>
          <w:snapToGrid w:val="0"/>
          <w:kern w:val="0"/>
          <w:sz w:val="24"/>
          <w:szCs w:val="21"/>
        </w:rPr>
        <w:t xml:space="preserve">Ed.), </w:t>
      </w:r>
      <w:r>
        <w:rPr>
          <w:rFonts w:ascii="Arial" w:hAnsi="Arial" w:eastAsia="宋体" w:cs="Arial"/>
          <w:b/>
          <w:bCs/>
          <w:i/>
          <w:iCs/>
          <w:snapToGrid w:val="0"/>
          <w:kern w:val="0"/>
          <w:sz w:val="24"/>
          <w:szCs w:val="21"/>
        </w:rPr>
        <w:t xml:space="preserve">Review of research in education, </w:t>
      </w:r>
      <w:r>
        <w:rPr>
          <w:rFonts w:ascii="Arial" w:hAnsi="Arial" w:eastAsia="宋体" w:cs="Arial"/>
          <w:snapToGrid w:val="0"/>
          <w:kern w:val="0"/>
          <w:sz w:val="24"/>
          <w:szCs w:val="21"/>
        </w:rPr>
        <w:t xml:space="preserve">vol. </w:t>
      </w:r>
      <w:r>
        <w:rPr>
          <w:rFonts w:ascii="Arial" w:hAnsi="Arial" w:eastAsia="宋体" w:cs="Arial"/>
          <w:b/>
          <w:bCs/>
          <w:i/>
          <w:iCs/>
          <w:snapToGrid w:val="0"/>
          <w:kern w:val="0"/>
          <w:sz w:val="24"/>
          <w:szCs w:val="21"/>
        </w:rPr>
        <w:t xml:space="preserve">5. </w:t>
      </w:r>
      <w:r>
        <w:rPr>
          <w:rFonts w:ascii="Arial" w:hAnsi="Arial" w:eastAsia="宋体" w:cs="Arial"/>
          <w:snapToGrid w:val="0"/>
          <w:kern w:val="0"/>
          <w:sz w:val="24"/>
          <w:szCs w:val="21"/>
        </w:rPr>
        <w:t>Itasca, IL: Peacock</w:t>
      </w:r>
    </w:p>
    <w:p w14:paraId="37AB36B3">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Tufte, E.R. (1983). </w:t>
      </w:r>
      <w:r>
        <w:rPr>
          <w:rFonts w:ascii="Arial" w:hAnsi="Arial" w:eastAsia="宋体" w:cs="Arial"/>
          <w:b/>
          <w:bCs/>
          <w:i/>
          <w:iCs/>
          <w:snapToGrid w:val="0"/>
          <w:kern w:val="0"/>
          <w:sz w:val="24"/>
          <w:szCs w:val="21"/>
        </w:rPr>
        <w:t xml:space="preserve">The visual display of quantitative information, </w:t>
      </w:r>
      <w:r>
        <w:rPr>
          <w:rFonts w:ascii="Arial" w:hAnsi="Arial" w:eastAsia="宋体" w:cs="Arial"/>
          <w:snapToGrid w:val="0"/>
          <w:kern w:val="0"/>
          <w:sz w:val="24"/>
          <w:szCs w:val="21"/>
        </w:rPr>
        <w:t xml:space="preserve">Cheshire, </w:t>
      </w:r>
      <w:r>
        <w:rPr>
          <w:rFonts w:ascii="Arial" w:hAnsi="Arial" w:eastAsia="宋体" w:cs="Arial"/>
          <w:b/>
          <w:bCs/>
          <w:snapToGrid w:val="0"/>
          <w:kern w:val="0"/>
          <w:sz w:val="24"/>
          <w:szCs w:val="21"/>
        </w:rPr>
        <w:t xml:space="preserve">CT: </w:t>
      </w:r>
      <w:r>
        <w:rPr>
          <w:rFonts w:ascii="Arial" w:hAnsi="Arial" w:eastAsia="宋体" w:cs="Arial"/>
          <w:snapToGrid w:val="0"/>
          <w:kern w:val="0"/>
          <w:sz w:val="24"/>
          <w:szCs w:val="21"/>
        </w:rPr>
        <w:t>Graphics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Press.</w:t>
      </w:r>
    </w:p>
    <w:p w14:paraId="52336472">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Twyman, M. (1985). Using pictorial language: </w:t>
      </w:r>
      <w:r>
        <w:rPr>
          <w:rFonts w:ascii="Arial" w:hAnsi="Arial" w:eastAsia="宋体" w:cs="Arial"/>
          <w:b/>
          <w:bCs/>
          <w:snapToGrid w:val="0"/>
          <w:kern w:val="0"/>
          <w:sz w:val="24"/>
          <w:szCs w:val="21"/>
        </w:rPr>
        <w:t xml:space="preserve">A </w:t>
      </w:r>
      <w:r>
        <w:rPr>
          <w:rFonts w:ascii="Arial" w:hAnsi="Arial" w:eastAsia="宋体" w:cs="Arial"/>
          <w:snapToGrid w:val="0"/>
          <w:kern w:val="0"/>
          <w:sz w:val="24"/>
          <w:szCs w:val="21"/>
        </w:rPr>
        <w:t>discussion of the dimensions of the problem.</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In T. M. Duffy &amp; R. Waller (</w:t>
      </w:r>
      <w:r>
        <w:rPr>
          <w:rFonts w:ascii="Arial" w:hAnsi="Arial" w:eastAsia="宋体" w:cs="Arial"/>
          <w:b/>
          <w:bCs/>
          <w:snapToGrid w:val="0"/>
          <w:kern w:val="0"/>
          <w:sz w:val="24"/>
          <w:szCs w:val="21"/>
        </w:rPr>
        <w:t xml:space="preserve">Eds.), </w:t>
      </w:r>
      <w:r>
        <w:rPr>
          <w:rFonts w:ascii="Arial" w:hAnsi="Arial" w:eastAsia="宋体" w:cs="Arial"/>
          <w:b/>
          <w:bCs/>
          <w:i/>
          <w:iCs/>
          <w:snapToGrid w:val="0"/>
          <w:kern w:val="0"/>
          <w:sz w:val="24"/>
          <w:szCs w:val="21"/>
        </w:rPr>
        <w:t xml:space="preserve">Designing usable texts </w:t>
      </w:r>
      <w:r>
        <w:rPr>
          <w:rFonts w:ascii="Arial" w:hAnsi="Arial" w:eastAsia="宋体" w:cs="Arial"/>
          <w:b/>
          <w:bCs/>
          <w:snapToGrid w:val="0"/>
          <w:kern w:val="0"/>
          <w:sz w:val="24"/>
          <w:szCs w:val="21"/>
        </w:rPr>
        <w:t xml:space="preserve">@p. </w:t>
      </w:r>
      <w:r>
        <w:rPr>
          <w:rFonts w:ascii="Arial" w:hAnsi="Arial" w:eastAsia="宋体" w:cs="Arial"/>
          <w:snapToGrid w:val="0"/>
          <w:kern w:val="0"/>
          <w:sz w:val="24"/>
          <w:szCs w:val="21"/>
        </w:rPr>
        <w:t xml:space="preserve">245-3 </w:t>
      </w:r>
      <w:r>
        <w:rPr>
          <w:rFonts w:ascii="Arial" w:hAnsi="Arial" w:eastAsia="宋体" w:cs="Arial"/>
          <w:b/>
          <w:bCs/>
          <w:i/>
          <w:iCs/>
          <w:snapToGrid w:val="0"/>
          <w:kern w:val="0"/>
          <w:sz w:val="24"/>
          <w:szCs w:val="21"/>
        </w:rPr>
        <w:t>12</w:t>
      </w:r>
      <w:r>
        <w:rPr>
          <w:rFonts w:ascii="Arial" w:hAnsi="Arial" w:eastAsia="宋体" w:cs="Arial"/>
          <w:snapToGrid w:val="0"/>
          <w:kern w:val="0"/>
          <w:sz w:val="24"/>
          <w:szCs w:val="21"/>
        </w:rPr>
        <w:t>）</w:t>
      </w:r>
      <w:r>
        <w:rPr>
          <w:rFonts w:ascii="Arial" w:hAnsi="Arial" w:eastAsia="宋体" w:cs="Arial"/>
          <w:b/>
          <w:bCs/>
          <w:i/>
          <w:iCs/>
          <w:snapToGrid w:val="0"/>
          <w:kern w:val="0"/>
          <w:sz w:val="24"/>
          <w:szCs w:val="21"/>
        </w:rPr>
        <w:t xml:space="preserve">. </w:t>
      </w:r>
      <w:r>
        <w:rPr>
          <w:rFonts w:ascii="Arial" w:hAnsi="Arial" w:eastAsia="宋体" w:cs="Arial"/>
          <w:snapToGrid w:val="0"/>
          <w:kern w:val="0"/>
          <w:sz w:val="24"/>
          <w:szCs w:val="21"/>
        </w:rPr>
        <w:t>New York: Academic Press.</w:t>
      </w:r>
    </w:p>
    <w:p w14:paraId="09C45984">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Willows, D.M., &amp; Houghton, H.A. (Eds.) (1987). </w:t>
      </w:r>
      <w:r>
        <w:rPr>
          <w:rFonts w:ascii="Arial" w:hAnsi="Arial" w:eastAsia="宋体" w:cs="Arial"/>
          <w:b/>
          <w:bCs/>
          <w:i/>
          <w:iCs/>
          <w:snapToGrid w:val="0"/>
          <w:kern w:val="0"/>
          <w:sz w:val="24"/>
          <w:szCs w:val="21"/>
        </w:rPr>
        <w:t xml:space="preserve">The psychology of illustration, </w:t>
      </w:r>
      <w:r>
        <w:rPr>
          <w:rFonts w:ascii="Arial" w:hAnsi="Arial" w:eastAsia="宋体" w:cs="Arial"/>
          <w:snapToGrid w:val="0"/>
          <w:kern w:val="0"/>
          <w:sz w:val="24"/>
          <w:szCs w:val="21"/>
        </w:rPr>
        <w:t>Vol. 1,</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Basic research. New York: Springer.</w:t>
      </w:r>
    </w:p>
    <w:p w14:paraId="4FB0C150">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Winn, W.D., &amp; Holliday, W.G. (1982). Design principles for diag- and charts. In D.H.</w:t>
      </w:r>
    </w:p>
    <w:p w14:paraId="6CAB1821">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Jonassen (</w:t>
      </w:r>
      <w:r>
        <w:rPr>
          <w:rFonts w:ascii="Arial" w:hAnsi="Arial" w:eastAsia="宋体" w:cs="Arial"/>
          <w:b/>
          <w:bCs/>
          <w:snapToGrid w:val="0"/>
          <w:kern w:val="0"/>
          <w:sz w:val="24"/>
          <w:szCs w:val="21"/>
        </w:rPr>
        <w:t xml:space="preserve">Ed.), </w:t>
      </w:r>
      <w:r>
        <w:rPr>
          <w:rFonts w:ascii="Arial" w:hAnsi="Arial" w:eastAsia="宋体" w:cs="Arial"/>
          <w:b/>
          <w:bCs/>
          <w:i/>
          <w:iCs/>
          <w:snapToGrid w:val="0"/>
          <w:kern w:val="0"/>
          <w:sz w:val="24"/>
          <w:szCs w:val="21"/>
        </w:rPr>
        <w:t xml:space="preserve">The technology of text. </w:t>
      </w:r>
      <w:r>
        <w:rPr>
          <w:rFonts w:ascii="Arial" w:hAnsi="Arial" w:eastAsia="宋体" w:cs="Arial"/>
          <w:snapToGrid w:val="0"/>
          <w:kern w:val="0"/>
          <w:sz w:val="24"/>
          <w:szCs w:val="21"/>
        </w:rPr>
        <w:t>Englewood Cliffs, NJ: Educational Technology</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Publications.</w:t>
      </w:r>
    </w:p>
    <w:p w14:paraId="0655A479">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Wright, P. (1982). </w:t>
      </w:r>
      <w:r>
        <w:rPr>
          <w:rFonts w:ascii="Arial" w:hAnsi="Arial" w:eastAsia="宋体" w:cs="Arial"/>
          <w:b/>
          <w:bCs/>
          <w:snapToGrid w:val="0"/>
          <w:kern w:val="0"/>
          <w:sz w:val="24"/>
          <w:szCs w:val="21"/>
        </w:rPr>
        <w:t xml:space="preserve">A </w:t>
      </w:r>
      <w:r>
        <w:rPr>
          <w:rFonts w:ascii="Arial" w:hAnsi="Arial" w:eastAsia="宋体" w:cs="Arial"/>
          <w:snapToGrid w:val="0"/>
          <w:kern w:val="0"/>
          <w:sz w:val="24"/>
          <w:szCs w:val="21"/>
        </w:rPr>
        <w:t>user-oriented approach to the design of tables and flow charts. In D.H.</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Jonassen (</w:t>
      </w:r>
      <w:r>
        <w:rPr>
          <w:rFonts w:ascii="Arial" w:hAnsi="Arial" w:eastAsia="宋体" w:cs="Arial"/>
          <w:b/>
          <w:bCs/>
          <w:i/>
          <w:iCs/>
          <w:snapToGrid w:val="0"/>
          <w:kern w:val="0"/>
          <w:sz w:val="24"/>
          <w:szCs w:val="21"/>
        </w:rPr>
        <w:t xml:space="preserve">Ed.), The technology of text. </w:t>
      </w:r>
      <w:r>
        <w:rPr>
          <w:rFonts w:ascii="Arial" w:hAnsi="Arial" w:eastAsia="宋体" w:cs="Arial"/>
          <w:snapToGrid w:val="0"/>
          <w:kern w:val="0"/>
          <w:sz w:val="24"/>
          <w:szCs w:val="21"/>
        </w:rPr>
        <w:t>Englewood Cliffs, NJ: Educational Technology</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Publications.</w:t>
      </w:r>
    </w:p>
    <w:p w14:paraId="7753BB7F">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Young, </w:t>
      </w:r>
      <w:r>
        <w:rPr>
          <w:rFonts w:ascii="Arial" w:hAnsi="Arial" w:eastAsia="宋体" w:cs="Arial"/>
          <w:b/>
          <w:bCs/>
          <w:snapToGrid w:val="0"/>
          <w:kern w:val="0"/>
          <w:sz w:val="24"/>
          <w:szCs w:val="21"/>
        </w:rPr>
        <w:t xml:space="preserve">S.L., </w:t>
      </w:r>
      <w:r>
        <w:rPr>
          <w:rFonts w:ascii="Arial" w:hAnsi="Arial" w:eastAsia="宋体" w:cs="Arial"/>
          <w:snapToGrid w:val="0"/>
          <w:kern w:val="0"/>
          <w:sz w:val="24"/>
          <w:szCs w:val="21"/>
        </w:rPr>
        <w:t>&amp; Wogalter, M.S. (1988). Memory of instruction manual warnings: Effects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pictorial icons and conspicuous print. </w:t>
      </w:r>
      <w:r>
        <w:rPr>
          <w:rFonts w:ascii="Arial" w:hAnsi="Arial" w:eastAsia="宋体" w:cs="Arial"/>
          <w:b/>
          <w:bCs/>
          <w:i/>
          <w:iCs/>
          <w:snapToGrid w:val="0"/>
          <w:kern w:val="0"/>
          <w:sz w:val="24"/>
          <w:szCs w:val="21"/>
        </w:rPr>
        <w:t>Proceedings of the Human Factors Society, 33</w:t>
      </w:r>
      <w:r>
        <w:rPr>
          <w:rFonts w:ascii="Arial" w:hAnsi="Arial" w:eastAsia="宋体" w:cs="Arial"/>
          <w:b/>
          <w:bCs/>
          <w:i/>
          <w:iCs/>
          <w:snapToGrid w:val="0"/>
          <w:kern w:val="0"/>
          <w:sz w:val="24"/>
          <w:szCs w:val="21"/>
          <w:vertAlign w:val="superscript"/>
        </w:rPr>
        <w:t>rd</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Annual Meeting. </w:t>
      </w:r>
      <w:r>
        <w:rPr>
          <w:rFonts w:ascii="Arial" w:hAnsi="Arial" w:eastAsia="宋体" w:cs="Arial"/>
          <w:snapToGrid w:val="0"/>
          <w:kern w:val="0"/>
          <w:sz w:val="24"/>
          <w:szCs w:val="21"/>
        </w:rPr>
        <w:t>Santa Monica, CA: Human" Factors Society.</w:t>
      </w:r>
    </w:p>
    <w:tbl>
      <w:tblPr>
        <w:tblStyle w:val="11"/>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2E69419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06" w:type="dxa"/>
          </w:tcPr>
          <w:p w14:paraId="554C9401">
            <w:pPr>
              <w:topLinePunct/>
              <w:adjustRightInd w:val="0"/>
              <w:snapToGrid w:val="0"/>
              <w:spacing w:before="46" w:beforeLines="15" w:line="360" w:lineRule="auto"/>
              <w:jc w:val="center"/>
              <w:rPr>
                <w:rFonts w:ascii="Arial" w:hAnsi="Arial" w:eastAsia="宋体" w:cs="Arial"/>
                <w:b/>
                <w:snapToGrid w:val="0"/>
                <w:kern w:val="0"/>
              </w:rPr>
            </w:pPr>
            <w:r>
              <w:rPr>
                <w:rFonts w:hint="eastAsia" w:ascii="Arial" w:hAnsi="Arial" w:eastAsia="宋体" w:cs="Arial"/>
                <w:b/>
                <w:snapToGrid w:val="0"/>
                <w:kern w:val="0"/>
              </w:rPr>
              <w:t>插图和图形提示</w:t>
            </w:r>
          </w:p>
          <w:p w14:paraId="70FB2797">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使用插图和图形来增加和阐明文本</w:t>
            </w:r>
          </w:p>
          <w:p w14:paraId="1A7A9952">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仅在每个插图中描述一个步骤</w:t>
            </w:r>
          </w:p>
          <w:p w14:paraId="28C3FCB1">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使插图和图形位于相关文本旁</w:t>
            </w:r>
          </w:p>
          <w:p w14:paraId="44FEE9F1">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保证插图清楚、整洁</w:t>
            </w:r>
          </w:p>
          <w:p w14:paraId="7FBA849C">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使用实际照片</w:t>
            </w:r>
          </w:p>
          <w:p w14:paraId="3D2992CB">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使用线图来描述细节</w:t>
            </w:r>
          </w:p>
        </w:tc>
      </w:tr>
    </w:tbl>
    <w:p w14:paraId="1E6EE631">
      <w:pPr>
        <w:topLinePunct/>
        <w:adjustRightInd w:val="0"/>
        <w:snapToGrid w:val="0"/>
        <w:spacing w:after="234" w:afterLines="75" w:line="360" w:lineRule="auto"/>
        <w:rPr>
          <w:rFonts w:ascii="Arial" w:hAnsi="Arial" w:eastAsia="宋体" w:cs="Arial"/>
          <w:snapToGrid w:val="0"/>
          <w:kern w:val="0"/>
          <w:sz w:val="2"/>
          <w:szCs w:val="2"/>
        </w:rPr>
      </w:pPr>
    </w:p>
    <w:p w14:paraId="61C98328">
      <w:pPr>
        <w:pStyle w:val="3"/>
        <w:keepNext w:val="0"/>
        <w:keepLines w:val="0"/>
        <w:topLinePunct/>
        <w:adjustRightInd w:val="0"/>
        <w:snapToGrid w:val="0"/>
        <w:spacing w:beforeLines="0" w:after="234" w:afterLines="75" w:line="360" w:lineRule="auto"/>
        <w:rPr>
          <w:rFonts w:ascii="Arial" w:hAnsi="Arial" w:eastAsia="宋体" w:cs="Arial"/>
          <w:b/>
          <w:snapToGrid w:val="0"/>
          <w:kern w:val="0"/>
          <w:sz w:val="24"/>
        </w:rPr>
      </w:pPr>
      <w:bookmarkStart w:id="10" w:name="_Toc499280423"/>
      <w:r>
        <w:rPr>
          <w:rFonts w:hint="eastAsia" w:ascii="Arial" w:hAnsi="Arial" w:eastAsia="宋体" w:cs="Arial"/>
          <w:b/>
          <w:snapToGrid w:val="0"/>
          <w:kern w:val="0"/>
          <w:sz w:val="24"/>
        </w:rPr>
        <w:t>突出内容</w:t>
      </w:r>
      <w:bookmarkEnd w:id="10"/>
    </w:p>
    <w:p w14:paraId="313F90EC">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突出内容通过引起视觉注意强调了医疗器械操作的重要方面。突出技术包括使用的颜色、粗字体、下划线、背面印刷、各种字形、文本边框线、抵消边界和背景、以及空白处。强调内容缓解了视觉压力、强调了关键点、并将文本的部分和子部分进行了分离。应在标签的规定部分中始终进行强调。注意不要过度强调，否则，将降低其影响。</w:t>
      </w:r>
    </w:p>
    <w:p w14:paraId="582D2A0F">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空格</w:t>
      </w:r>
    </w:p>
    <w:p w14:paraId="63201BEB">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在段落之间使用空格来改善文件外观、使其便于阅读、并强调主要程序之间的分隔。注意不要在文本线之间使用过多的空格。各线之间存在的空格太多会影响阅读速度、理解和可读性。过多空格也会增加打印成本并增加不必要的说明长度。另一方面，如果各线之间的空格太多，对于许多阅读者而言（特别是视力不好的阅读者），线将模糊不清。空格不够的标签通常看起来难以辨认且难以阅读。也可使用空格来界定一套说明中的不同部分。作者想要强调的标签部分能够引起读者注意。例如，空格能够以一定方式使阅读者了解说明的特定内容。眼会扫过作者打算让阅读者忽略的内容，而集中到与如何操作或维护医疗器械相关的重要说明。</w:t>
      </w:r>
    </w:p>
    <w:p w14:paraId="33564B5C">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加边框线和加粗</w:t>
      </w:r>
    </w:p>
    <w:p w14:paraId="23DD9F09">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诸如加边框线和加粗等突出技巧能够强调关键信息。下述为本项目中的模型隐形眼镜说明册中的举例：</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858"/>
      </w:tblGrid>
      <w:tr w14:paraId="024071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858" w:type="dxa"/>
          </w:tcPr>
          <w:p w14:paraId="6E77D68B">
            <w:pPr>
              <w:topLinePunct/>
              <w:adjustRightInd w:val="0"/>
              <w:snapToGrid w:val="0"/>
              <w:spacing w:before="46" w:beforeLines="15" w:line="360" w:lineRule="auto"/>
              <w:jc w:val="center"/>
              <w:textAlignment w:val="center"/>
              <w:rPr>
                <w:rFonts w:ascii="Arial" w:hAnsi="Arial" w:eastAsia="宋体" w:cs="Arial"/>
                <w:snapToGrid w:val="0"/>
                <w:kern w:val="0"/>
              </w:rPr>
            </w:pPr>
            <w:r>
              <w:rPr>
                <w:rFonts w:hint="eastAsia" w:ascii="Arial" w:hAnsi="Arial" w:eastAsia="宋体" w:cs="Arial"/>
                <w:b/>
                <w:kern w:val="0"/>
                <w:sz w:val="24"/>
              </w:rPr>
              <w:drawing>
                <wp:inline distT="0" distB="0" distL="0" distR="0">
                  <wp:extent cx="219075" cy="2762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9075" cy="276225"/>
                          </a:xfrm>
                          <a:prstGeom prst="rect">
                            <a:avLst/>
                          </a:prstGeom>
                          <a:noFill/>
                          <a:ln>
                            <a:noFill/>
                          </a:ln>
                        </pic:spPr>
                      </pic:pic>
                    </a:graphicData>
                  </a:graphic>
                </wp:inline>
              </w:drawing>
            </w:r>
            <w:r>
              <w:rPr>
                <w:rFonts w:hint="eastAsia" w:ascii="Arial" w:hAnsi="Arial" w:eastAsia="宋体" w:cs="Arial"/>
                <w:b/>
                <w:snapToGrid w:val="0"/>
                <w:kern w:val="0"/>
                <w:sz w:val="24"/>
              </w:rPr>
              <w:t>警告事项</w:t>
            </w:r>
            <w:r>
              <w:rPr>
                <w:rFonts w:hint="eastAsia" w:ascii="Arial" w:hAnsi="Arial" w:eastAsia="宋体" w:cs="Arial"/>
                <w:kern w:val="0"/>
              </w:rPr>
              <w:drawing>
                <wp:inline distT="0" distB="0" distL="0" distR="0">
                  <wp:extent cx="219075" cy="2762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9075" cy="276225"/>
                          </a:xfrm>
                          <a:prstGeom prst="rect">
                            <a:avLst/>
                          </a:prstGeom>
                          <a:noFill/>
                          <a:ln>
                            <a:noFill/>
                          </a:ln>
                        </pic:spPr>
                      </pic:pic>
                    </a:graphicData>
                  </a:graphic>
                </wp:inline>
              </w:drawing>
            </w:r>
          </w:p>
          <w:p w14:paraId="550FE11C">
            <w:pPr>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与隐形眼镜和眼镜护理液相关的问题可能造成眼睛严重损伤和失明。</w:t>
            </w:r>
          </w:p>
          <w:p w14:paraId="5535BA5E">
            <w:pPr>
              <w:topLinePunct/>
              <w:adjustRightInd w:val="0"/>
              <w:snapToGrid w:val="0"/>
              <w:spacing w:before="46" w:beforeLines="15" w:line="360" w:lineRule="auto"/>
              <w:rPr>
                <w:rFonts w:ascii="Arial" w:hAnsi="Arial" w:eastAsia="宋体" w:cs="Arial"/>
                <w:snapToGrid w:val="0"/>
                <w:kern w:val="0"/>
              </w:rPr>
            </w:pPr>
            <w:r>
              <w:rPr>
                <w:rFonts w:hint="eastAsia" w:ascii="Arial" w:hAnsi="Arial" w:eastAsia="宋体" w:cs="Arial"/>
                <w:snapToGrid w:val="0"/>
                <w:kern w:val="0"/>
              </w:rPr>
              <w:t>若眼部持续存在任何不适、流泪、视力变化或发红等症状，请立即联系您的医生或就诊。</w:t>
            </w:r>
          </w:p>
        </w:tc>
      </w:tr>
    </w:tbl>
    <w:p w14:paraId="6EE8FC91">
      <w:pPr>
        <w:topLinePunct/>
        <w:adjustRightInd w:val="0"/>
        <w:snapToGrid w:val="0"/>
        <w:spacing w:after="234" w:afterLines="75" w:line="360" w:lineRule="auto"/>
        <w:rPr>
          <w:rFonts w:ascii="Arial" w:hAnsi="Arial" w:eastAsia="宋体" w:cs="Arial"/>
          <w:snapToGrid w:val="0"/>
          <w:kern w:val="0"/>
          <w:sz w:val="24"/>
        </w:rPr>
      </w:pPr>
    </w:p>
    <w:p w14:paraId="5C652AAF">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B9DF1FB">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突出内容参考文献</w:t>
      </w:r>
    </w:p>
    <w:p w14:paraId="03E068F9">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Fowler, R.L., </w:t>
      </w:r>
      <w:r>
        <w:rPr>
          <w:rFonts w:ascii="Arial" w:hAnsi="Arial" w:eastAsia="宋体" w:cs="Arial"/>
          <w:snapToGrid w:val="0"/>
          <w:kern w:val="0"/>
          <w:sz w:val="24"/>
        </w:rPr>
        <w:t xml:space="preserve">&amp; </w:t>
      </w:r>
      <w:r>
        <w:rPr>
          <w:rFonts w:ascii="Arial" w:hAnsi="Arial" w:eastAsia="宋体" w:cs="Arial"/>
          <w:snapToGrid w:val="0"/>
          <w:kern w:val="0"/>
          <w:sz w:val="24"/>
          <w:szCs w:val="24"/>
        </w:rPr>
        <w:t>Barker, A.S. (1974). Effectiveness of highlighting for retention of text</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 xml:space="preserve">material. </w:t>
      </w:r>
      <w:r>
        <w:rPr>
          <w:rFonts w:ascii="Arial" w:hAnsi="Arial" w:eastAsia="宋体" w:cs="Arial"/>
          <w:b/>
          <w:bCs/>
          <w:i/>
          <w:iCs/>
          <w:snapToGrid w:val="0"/>
          <w:kern w:val="0"/>
          <w:sz w:val="24"/>
          <w:szCs w:val="24"/>
        </w:rPr>
        <w:t xml:space="preserve">Journal of Applied Psychology, </w:t>
      </w:r>
      <w:r>
        <w:rPr>
          <w:rFonts w:ascii="Arial" w:hAnsi="Arial" w:eastAsia="宋体" w:cs="Arial"/>
          <w:snapToGrid w:val="0"/>
          <w:kern w:val="0"/>
          <w:sz w:val="24"/>
          <w:szCs w:val="24"/>
        </w:rPr>
        <w:t>59,358-364.</w:t>
      </w:r>
    </w:p>
    <w:p w14:paraId="72F477AA">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Hartley, J. (1978). </w:t>
      </w:r>
      <w:r>
        <w:rPr>
          <w:rFonts w:ascii="Arial" w:hAnsi="Arial" w:eastAsia="宋体" w:cs="Arial"/>
          <w:b/>
          <w:bCs/>
          <w:i/>
          <w:iCs/>
          <w:snapToGrid w:val="0"/>
          <w:kern w:val="0"/>
          <w:sz w:val="24"/>
          <w:szCs w:val="24"/>
        </w:rPr>
        <w:t>Designing instructional text (</w:t>
      </w:r>
      <w:r>
        <w:rPr>
          <w:rFonts w:ascii="Arial" w:hAnsi="Arial" w:eastAsia="宋体" w:cs="Arial"/>
          <w:snapToGrid w:val="0"/>
          <w:kern w:val="0"/>
          <w:sz w:val="24"/>
          <w:szCs w:val="24"/>
        </w:rPr>
        <w:t>pp. 59-66). London: Kogan Page.</w:t>
      </w:r>
    </w:p>
    <w:p w14:paraId="29C7CEE3">
      <w:pPr>
        <w:topLinePunct/>
        <w:adjustRightInd w:val="0"/>
        <w:snapToGrid w:val="0"/>
        <w:spacing w:after="234" w:afterLines="75" w:line="360" w:lineRule="auto"/>
        <w:rPr>
          <w:rFonts w:ascii="Arial" w:hAnsi="Arial" w:eastAsia="宋体" w:cs="Arial"/>
          <w:b/>
          <w:bCs/>
          <w:i/>
          <w:iCs/>
          <w:snapToGrid w:val="0"/>
          <w:kern w:val="0"/>
          <w:sz w:val="24"/>
          <w:szCs w:val="25"/>
        </w:rPr>
      </w:pPr>
      <w:r>
        <w:rPr>
          <w:rFonts w:ascii="Arial" w:hAnsi="Arial" w:eastAsia="宋体" w:cs="Arial"/>
          <w:snapToGrid w:val="0"/>
          <w:kern w:val="0"/>
          <w:sz w:val="24"/>
          <w:szCs w:val="24"/>
        </w:rPr>
        <w:t xml:space="preserve">Hartley, </w:t>
      </w:r>
      <w:r>
        <w:rPr>
          <w:rFonts w:ascii="Arial" w:hAnsi="Arial" w:eastAsia="宋体" w:cs="Arial"/>
          <w:snapToGrid w:val="0"/>
          <w:kern w:val="0"/>
          <w:sz w:val="24"/>
          <w:szCs w:val="25"/>
        </w:rPr>
        <w:t>J. (</w:t>
      </w:r>
      <w:r>
        <w:rPr>
          <w:rFonts w:ascii="Arial" w:hAnsi="Arial" w:eastAsia="宋体" w:cs="Arial"/>
          <w:snapToGrid w:val="0"/>
          <w:kern w:val="0"/>
          <w:sz w:val="24"/>
          <w:szCs w:val="24"/>
        </w:rPr>
        <w:t xml:space="preserve">1980). Space and structure in instructional text. </w:t>
      </w:r>
      <w:r>
        <w:rPr>
          <w:rFonts w:ascii="Arial" w:hAnsi="Arial" w:eastAsia="宋体" w:cs="Arial"/>
          <w:snapToGrid w:val="0"/>
          <w:kern w:val="0"/>
          <w:sz w:val="24"/>
          <w:szCs w:val="25"/>
        </w:rPr>
        <w:t xml:space="preserve">In J. </w:t>
      </w:r>
      <w:r>
        <w:rPr>
          <w:rFonts w:ascii="Arial" w:hAnsi="Arial" w:eastAsia="宋体" w:cs="Arial"/>
          <w:b/>
          <w:bCs/>
          <w:snapToGrid w:val="0"/>
          <w:kern w:val="0"/>
          <w:sz w:val="24"/>
          <w:szCs w:val="25"/>
        </w:rPr>
        <w:t xml:space="preserve">Hartley (Ed.), </w:t>
      </w:r>
      <w:r>
        <w:rPr>
          <w:rFonts w:ascii="Arial" w:hAnsi="Arial" w:eastAsia="宋体" w:cs="Arial"/>
          <w:b/>
          <w:bCs/>
          <w:i/>
          <w:iCs/>
          <w:snapToGrid w:val="0"/>
          <w:kern w:val="0"/>
          <w:sz w:val="24"/>
          <w:szCs w:val="25"/>
        </w:rPr>
        <w:t>The</w:t>
      </w:r>
      <w:r>
        <w:rPr>
          <w:rFonts w:hint="eastAsia" w:ascii="Arial" w:hAnsi="Arial" w:eastAsia="宋体" w:cs="Arial"/>
          <w:b/>
          <w:bCs/>
          <w:i/>
          <w:iCs/>
          <w:snapToGrid w:val="0"/>
          <w:kern w:val="0"/>
          <w:sz w:val="24"/>
          <w:szCs w:val="25"/>
        </w:rPr>
        <w:t xml:space="preserve"> </w:t>
      </w:r>
      <w:r>
        <w:rPr>
          <w:rFonts w:ascii="Arial" w:hAnsi="Arial" w:eastAsia="宋体" w:cs="Arial"/>
          <w:b/>
          <w:bCs/>
          <w:i/>
          <w:iCs/>
          <w:snapToGrid w:val="0"/>
          <w:kern w:val="0"/>
          <w:sz w:val="24"/>
          <w:szCs w:val="24"/>
        </w:rPr>
        <w:t>psychology of written communication (</w:t>
      </w:r>
      <w:r>
        <w:rPr>
          <w:rFonts w:ascii="Arial" w:hAnsi="Arial" w:eastAsia="宋体" w:cs="Arial"/>
          <w:snapToGrid w:val="0"/>
          <w:kern w:val="0"/>
          <w:sz w:val="24"/>
          <w:szCs w:val="24"/>
        </w:rPr>
        <w:t>pp. 127-144). London: Kogan Page.</w:t>
      </w:r>
    </w:p>
    <w:p w14:paraId="3A376496">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Hartley, J., Bartlett, </w:t>
      </w:r>
      <w:r>
        <w:rPr>
          <w:rFonts w:ascii="Arial" w:hAnsi="Arial" w:eastAsia="宋体" w:cs="Arial"/>
          <w:snapToGrid w:val="0"/>
          <w:kern w:val="0"/>
          <w:sz w:val="24"/>
          <w:szCs w:val="25"/>
        </w:rPr>
        <w:t xml:space="preserve">S., </w:t>
      </w:r>
      <w:r>
        <w:rPr>
          <w:rFonts w:ascii="Arial" w:hAnsi="Arial" w:eastAsia="宋体" w:cs="Arial"/>
          <w:snapToGrid w:val="0"/>
          <w:kern w:val="0"/>
          <w:sz w:val="24"/>
        </w:rPr>
        <w:t xml:space="preserve">&amp; </w:t>
      </w:r>
      <w:r>
        <w:rPr>
          <w:rFonts w:ascii="Arial" w:hAnsi="Arial" w:eastAsia="宋体" w:cs="Arial"/>
          <w:snapToGrid w:val="0"/>
          <w:kern w:val="0"/>
          <w:sz w:val="24"/>
          <w:szCs w:val="24"/>
        </w:rPr>
        <w:t xml:space="preserve">Branthwaite, J.A. (1980). Underlining can </w:t>
      </w:r>
      <w:r>
        <w:rPr>
          <w:rFonts w:ascii="Arial" w:hAnsi="Arial" w:eastAsia="宋体" w:cs="Arial"/>
          <w:snapToGrid w:val="0"/>
          <w:kern w:val="0"/>
          <w:sz w:val="24"/>
          <w:szCs w:val="25"/>
        </w:rPr>
        <w:t xml:space="preserve">make </w:t>
      </w:r>
      <w:r>
        <w:rPr>
          <w:rFonts w:ascii="Arial" w:hAnsi="Arial" w:eastAsia="宋体" w:cs="Arial"/>
          <w:snapToGrid w:val="0"/>
          <w:kern w:val="0"/>
          <w:sz w:val="24"/>
          <w:szCs w:val="24"/>
        </w:rPr>
        <w:t>a difference</w:t>
      </w:r>
      <w:r>
        <w:rPr>
          <w:rFonts w:hint="eastAsia" w:ascii="Arial" w:hAnsi="Arial" w:eastAsia="宋体" w:cs="Arial"/>
          <w:snapToGrid w:val="0"/>
          <w:kern w:val="0"/>
          <w:sz w:val="24"/>
          <w:szCs w:val="24"/>
        </w:rPr>
        <w:t>-</w:t>
      </w:r>
      <w:r>
        <w:rPr>
          <w:rFonts w:ascii="Arial" w:hAnsi="Arial" w:eastAsia="宋体" w:cs="Arial"/>
          <w:snapToGrid w:val="0"/>
          <w:kern w:val="0"/>
          <w:sz w:val="24"/>
          <w:szCs w:val="24"/>
        </w:rPr>
        <w:t>sometimes.</w:t>
      </w:r>
      <w:r>
        <w:rPr>
          <w:rFonts w:hint="eastAsia" w:ascii="Arial" w:hAnsi="Arial" w:eastAsia="宋体" w:cs="Arial"/>
          <w:snapToGrid w:val="0"/>
          <w:kern w:val="0"/>
          <w:sz w:val="24"/>
          <w:szCs w:val="24"/>
        </w:rPr>
        <w:t xml:space="preserve"> </w:t>
      </w:r>
      <w:r>
        <w:rPr>
          <w:rFonts w:ascii="Arial" w:hAnsi="Arial" w:eastAsia="宋体" w:cs="Arial"/>
          <w:b/>
          <w:bCs/>
          <w:i/>
          <w:iCs/>
          <w:snapToGrid w:val="0"/>
          <w:kern w:val="0"/>
          <w:sz w:val="24"/>
          <w:szCs w:val="24"/>
        </w:rPr>
        <w:t xml:space="preserve">Joumal of Educational Research, </w:t>
      </w:r>
      <w:r>
        <w:rPr>
          <w:rFonts w:ascii="Arial" w:hAnsi="Arial" w:eastAsia="宋体" w:cs="Arial"/>
          <w:snapToGrid w:val="0"/>
          <w:kern w:val="0"/>
          <w:sz w:val="24"/>
          <w:szCs w:val="24"/>
        </w:rPr>
        <w:t>73,218-224.</w:t>
      </w:r>
    </w:p>
    <w:p w14:paraId="3C1ED431">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Marcus, A. (1992). </w:t>
      </w:r>
      <w:r>
        <w:rPr>
          <w:rFonts w:ascii="Arial" w:hAnsi="Arial" w:eastAsia="宋体" w:cs="Arial"/>
          <w:b/>
          <w:bCs/>
          <w:i/>
          <w:iCs/>
          <w:snapToGrid w:val="0"/>
          <w:kern w:val="0"/>
          <w:sz w:val="24"/>
          <w:szCs w:val="24"/>
        </w:rPr>
        <w:t xml:space="preserve">Graphic design for electronic documents </w:t>
      </w:r>
      <w:r>
        <w:rPr>
          <w:rFonts w:ascii="Arial" w:hAnsi="Arial" w:eastAsia="宋体" w:cs="Arial"/>
          <w:i/>
          <w:iCs/>
          <w:snapToGrid w:val="0"/>
          <w:kern w:val="0"/>
          <w:sz w:val="24"/>
          <w:szCs w:val="25"/>
        </w:rPr>
        <w:t xml:space="preserve">and </w:t>
      </w:r>
      <w:r>
        <w:rPr>
          <w:rFonts w:ascii="Arial" w:hAnsi="Arial" w:eastAsia="宋体" w:cs="Arial"/>
          <w:b/>
          <w:bCs/>
          <w:i/>
          <w:iCs/>
          <w:snapToGrid w:val="0"/>
          <w:kern w:val="0"/>
          <w:sz w:val="24"/>
          <w:szCs w:val="24"/>
        </w:rPr>
        <w:t xml:space="preserve">user interfaces. </w:t>
      </w:r>
      <w:r>
        <w:rPr>
          <w:rFonts w:ascii="Arial" w:hAnsi="Arial" w:eastAsia="宋体" w:cs="Arial"/>
          <w:snapToGrid w:val="0"/>
          <w:kern w:val="0"/>
          <w:sz w:val="24"/>
          <w:szCs w:val="24"/>
        </w:rPr>
        <w:t>New York: ACM Press (Ch. 4, Color, pp. 77-96) .</w:t>
      </w:r>
    </w:p>
    <w:p w14:paraId="4B9BDE1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szCs w:val="24"/>
        </w:rPr>
        <w:t xml:space="preserve">Miller, </w:t>
      </w:r>
      <w:r>
        <w:rPr>
          <w:rFonts w:ascii="Arial" w:hAnsi="Arial" w:eastAsia="宋体" w:cs="Arial"/>
          <w:snapToGrid w:val="0"/>
          <w:kern w:val="0"/>
          <w:sz w:val="24"/>
          <w:szCs w:val="25"/>
        </w:rPr>
        <w:t>L. (</w:t>
      </w:r>
      <w:r>
        <w:rPr>
          <w:rFonts w:ascii="Arial" w:hAnsi="Arial" w:eastAsia="宋体" w:cs="Arial"/>
          <w:snapToGrid w:val="0"/>
          <w:kern w:val="0"/>
          <w:sz w:val="24"/>
          <w:szCs w:val="24"/>
        </w:rPr>
        <w:t xml:space="preserve">February 199 1). Do the white thing. </w:t>
      </w:r>
      <w:r>
        <w:rPr>
          <w:rFonts w:ascii="Arial" w:hAnsi="Arial" w:eastAsia="宋体" w:cs="Arial"/>
          <w:b/>
          <w:bCs/>
          <w:i/>
          <w:iCs/>
          <w:snapToGrid w:val="0"/>
          <w:kern w:val="0"/>
          <w:sz w:val="24"/>
          <w:szCs w:val="24"/>
        </w:rPr>
        <w:t xml:space="preserve">Macintosh Magazine, </w:t>
      </w:r>
      <w:r>
        <w:rPr>
          <w:rFonts w:ascii="Arial" w:hAnsi="Arial" w:eastAsia="宋体" w:cs="Arial"/>
          <w:snapToGrid w:val="0"/>
          <w:kern w:val="0"/>
          <w:sz w:val="24"/>
          <w:szCs w:val="24"/>
        </w:rPr>
        <w:t>48-50.</w:t>
      </w:r>
    </w:p>
    <w:tbl>
      <w:tblPr>
        <w:tblStyle w:val="11"/>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73DE9C7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06" w:type="dxa"/>
          </w:tcPr>
          <w:p w14:paraId="598636BE">
            <w:pPr>
              <w:topLinePunct/>
              <w:adjustRightInd w:val="0"/>
              <w:snapToGrid w:val="0"/>
              <w:spacing w:before="46" w:beforeLines="15" w:line="360" w:lineRule="auto"/>
              <w:jc w:val="center"/>
              <w:rPr>
                <w:rFonts w:ascii="Arial" w:hAnsi="Arial" w:eastAsia="宋体" w:cs="Arial"/>
                <w:b/>
                <w:snapToGrid w:val="0"/>
                <w:kern w:val="0"/>
              </w:rPr>
            </w:pPr>
            <w:r>
              <w:rPr>
                <w:rFonts w:hint="eastAsia" w:ascii="Arial" w:hAnsi="Arial" w:eastAsia="宋体" w:cs="Arial"/>
                <w:b/>
                <w:snapToGrid w:val="0"/>
                <w:kern w:val="0"/>
              </w:rPr>
              <w:t>突出内容提示</w:t>
            </w:r>
          </w:p>
          <w:p w14:paraId="6A239A1D">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在各段和边缘以及边界之间留出充分的空格</w:t>
            </w:r>
          </w:p>
          <w:p w14:paraId="20A5201A">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使用不均匀边界或背景</w:t>
            </w:r>
          </w:p>
          <w:p w14:paraId="0E3B0999">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利用黑体字、斜体字、颜色和反面印刷来强调重要步骤</w:t>
            </w:r>
          </w:p>
          <w:p w14:paraId="4BD546ED">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栏目标题和子标题清楚阐述标签的结构</w:t>
            </w:r>
          </w:p>
          <w:p w14:paraId="3BBDA420">
            <w:pPr>
              <w:pStyle w:val="14"/>
              <w:numPr>
                <w:ilvl w:val="0"/>
                <w:numId w:val="6"/>
              </w:numPr>
              <w:topLinePunct/>
              <w:adjustRightInd w:val="0"/>
              <w:snapToGrid w:val="0"/>
              <w:spacing w:before="46" w:beforeLines="15" w:line="360" w:lineRule="auto"/>
              <w:ind w:firstLineChars="0"/>
              <w:rPr>
                <w:rFonts w:ascii="Arial" w:hAnsi="Arial" w:eastAsia="宋体" w:cs="Arial"/>
                <w:snapToGrid w:val="0"/>
                <w:kern w:val="0"/>
              </w:rPr>
            </w:pPr>
            <w:r>
              <w:rPr>
                <w:rFonts w:hint="eastAsia" w:ascii="Arial" w:hAnsi="Arial" w:eastAsia="宋体" w:cs="Arial"/>
                <w:snapToGrid w:val="0"/>
                <w:kern w:val="0"/>
              </w:rPr>
              <w:t>加边框强调了警告信息和其它关键信息</w:t>
            </w:r>
          </w:p>
        </w:tc>
      </w:tr>
    </w:tbl>
    <w:p w14:paraId="488539D0">
      <w:pPr>
        <w:pStyle w:val="3"/>
        <w:keepNext w:val="0"/>
        <w:keepLines w:val="0"/>
        <w:topLinePunct/>
        <w:adjustRightInd w:val="0"/>
        <w:snapToGrid w:val="0"/>
        <w:spacing w:beforeLines="0" w:after="234" w:afterLines="75" w:line="360" w:lineRule="auto"/>
        <w:rPr>
          <w:rFonts w:ascii="Arial" w:hAnsi="Arial" w:eastAsia="宋体" w:cs="Arial"/>
          <w:snapToGrid w:val="0"/>
          <w:kern w:val="0"/>
          <w:sz w:val="24"/>
        </w:rPr>
      </w:pPr>
      <w:bookmarkStart w:id="11" w:name="_Toc499280424"/>
    </w:p>
    <w:p w14:paraId="6AABB221">
      <w:pPr>
        <w:pStyle w:val="3"/>
        <w:keepNext w:val="0"/>
        <w:keepLines w:val="0"/>
        <w:topLinePunct/>
        <w:adjustRightInd w:val="0"/>
        <w:snapToGrid w:val="0"/>
        <w:spacing w:beforeLines="0"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排印和易读性</w:t>
      </w:r>
      <w:bookmarkEnd w:id="11"/>
    </w:p>
    <w:p w14:paraId="6DB647F5">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排印是该类型印刷材料的排列、类型和一般外观。其包含不同的印刷特征，包括字体、字号和字样。正确排印增加了文件易读性、减轻了疲劳、最大化了信息传达并帮助器械用户定位理想信息（</w:t>
      </w:r>
      <w:r>
        <w:rPr>
          <w:rFonts w:ascii="Arial" w:hAnsi="Arial" w:eastAsia="宋体" w:cs="Arial"/>
          <w:snapToGrid w:val="0"/>
          <w:kern w:val="0"/>
          <w:sz w:val="24"/>
        </w:rPr>
        <w:t>Simpson &amp;Casey. 1988</w:t>
      </w:r>
      <w:r>
        <w:rPr>
          <w:rFonts w:hint="eastAsia" w:ascii="Arial" w:hAnsi="Arial" w:eastAsia="宋体" w:cs="Arial"/>
          <w:snapToGrid w:val="0"/>
          <w:kern w:val="0"/>
          <w:sz w:val="24"/>
        </w:rPr>
        <w:t>）。</w:t>
      </w:r>
    </w:p>
    <w:p w14:paraId="48F2962D">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可读性决定了在器械操作条件下能够正确阅读材料的轻松程度。特别是当由因年龄或身体原因而出现视力下降的人员对器械进行操作时，这是医疗器械标签的重要因素。易读性与印刷特征密切相关。例如，字号、字型和线宽倾向于通过相互作用来影响文件</w:t>
      </w:r>
      <w:r>
        <w:rPr>
          <w:rFonts w:hint="eastAsia" w:ascii="Arial" w:hAnsi="Arial" w:eastAsia="宋体" w:cs="Arial"/>
          <w:b/>
          <w:snapToGrid w:val="0"/>
          <w:kern w:val="0"/>
          <w:sz w:val="24"/>
        </w:rPr>
        <w:t>易读性</w:t>
      </w:r>
      <w:r>
        <w:rPr>
          <w:rFonts w:hint="eastAsia" w:ascii="Arial" w:hAnsi="Arial" w:eastAsia="宋体" w:cs="Arial"/>
          <w:snapToGrid w:val="0"/>
          <w:kern w:val="0"/>
          <w:sz w:val="24"/>
        </w:rPr>
        <w:t>。</w:t>
      </w:r>
    </w:p>
    <w:p w14:paraId="445D3BA9">
      <w:pPr>
        <w:widowControl/>
        <w:jc w:val="left"/>
        <w:rPr>
          <w:rFonts w:ascii="Arial" w:hAnsi="Arial" w:eastAsia="宋体" w:cs="Arial"/>
          <w:b/>
          <w:snapToGrid w:val="0"/>
          <w:kern w:val="0"/>
          <w:sz w:val="24"/>
        </w:rPr>
      </w:pPr>
      <w:r>
        <w:rPr>
          <w:rFonts w:ascii="Arial" w:hAnsi="Arial" w:eastAsia="宋体" w:cs="Arial"/>
          <w:b/>
          <w:snapToGrid w:val="0"/>
          <w:kern w:val="0"/>
          <w:sz w:val="24"/>
        </w:rPr>
        <w:br w:type="page"/>
      </w:r>
    </w:p>
    <w:p w14:paraId="5A2DD8CC">
      <w:pPr>
        <w:topLinePunct/>
        <w:adjustRightInd w:val="0"/>
        <w:snapToGrid w:val="0"/>
        <w:spacing w:after="234" w:afterLines="75" w:line="360" w:lineRule="auto"/>
        <w:ind w:left="420" w:leftChars="200"/>
        <w:rPr>
          <w:rFonts w:ascii="Arial" w:hAnsi="Arial" w:eastAsia="宋体" w:cs="Arial"/>
          <w:b/>
          <w:snapToGrid w:val="0"/>
          <w:kern w:val="0"/>
          <w:sz w:val="24"/>
        </w:rPr>
      </w:pPr>
      <w:r>
        <w:rPr>
          <w:rFonts w:hint="eastAsia" w:ascii="Arial" w:hAnsi="Arial" w:eastAsia="宋体" w:cs="Arial"/>
          <w:b/>
          <w:snapToGrid w:val="0"/>
          <w:kern w:val="0"/>
          <w:sz w:val="24"/>
        </w:rPr>
        <w:t>字号</w:t>
      </w:r>
    </w:p>
    <w:p w14:paraId="2085533E">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为标签使用足够大的字号以便于用户轻松阅读。由于许多医疗器械用户是老年人，字号是医疗器械标签的一个尤为重要的特征。</w:t>
      </w:r>
    </w:p>
    <w:p w14:paraId="4E15B9F6">
      <w:pPr>
        <w:topLinePunct/>
        <w:adjustRightInd w:val="0"/>
        <w:snapToGrid w:val="0"/>
        <w:spacing w:after="234" w:afterLines="75" w:line="360" w:lineRule="auto"/>
        <w:rPr>
          <w:rFonts w:ascii="Arial" w:hAnsi="Arial" w:eastAsia="宋体" w:cs="Arial"/>
          <w:snapToGrid w:val="0"/>
          <w:kern w:val="0"/>
          <w:sz w:val="18"/>
          <w:szCs w:val="18"/>
        </w:rPr>
      </w:pPr>
      <w:r>
        <w:rPr>
          <w:rFonts w:hint="eastAsia" w:ascii="Arial" w:hAnsi="Arial" w:eastAsia="宋体" w:cs="Arial"/>
          <w:snapToGrid w:val="0"/>
          <w:kern w:val="0"/>
          <w:sz w:val="18"/>
          <w:szCs w:val="18"/>
        </w:rPr>
        <w:t>9号和更小字号可能使阅读者跳过材料或造成用眼疲劳。</w:t>
      </w:r>
    </w:p>
    <w:p w14:paraId="3A4B8E1D">
      <w:pPr>
        <w:topLinePunct/>
        <w:adjustRightInd w:val="0"/>
        <w:snapToGrid w:val="0"/>
        <w:spacing w:after="234" w:afterLines="75" w:line="360" w:lineRule="auto"/>
        <w:rPr>
          <w:rFonts w:ascii="Arial" w:hAnsi="Arial" w:eastAsia="宋体" w:cs="Arial"/>
          <w:snapToGrid w:val="0"/>
          <w:kern w:val="0"/>
          <w:sz w:val="20"/>
          <w:szCs w:val="20"/>
        </w:rPr>
      </w:pPr>
      <w:r>
        <w:rPr>
          <w:rFonts w:hint="eastAsia" w:ascii="Arial" w:hAnsi="Arial" w:eastAsia="宋体" w:cs="Arial"/>
          <w:snapToGrid w:val="0"/>
          <w:kern w:val="0"/>
          <w:sz w:val="20"/>
          <w:szCs w:val="20"/>
        </w:rPr>
        <w:t>10号字号是一般阅读者（而不是老年阅读者）能够接受的最小字号。</w:t>
      </w:r>
    </w:p>
    <w:p w14:paraId="38B04E53">
      <w:pPr>
        <w:topLinePunct/>
        <w:adjustRightInd w:val="0"/>
        <w:snapToGrid w:val="0"/>
        <w:spacing w:after="234" w:afterLines="75" w:line="360" w:lineRule="auto"/>
        <w:ind w:left="377" w:hanging="376" w:hangingChars="157"/>
        <w:rPr>
          <w:rFonts w:ascii="Arial" w:hAnsi="Arial" w:eastAsia="宋体" w:cs="Arial"/>
          <w:snapToGrid w:val="0"/>
          <w:kern w:val="0"/>
          <w:sz w:val="24"/>
        </w:rPr>
      </w:pPr>
      <w:r>
        <w:rPr>
          <w:rFonts w:hint="eastAsia" w:ascii="Arial" w:hAnsi="Arial" w:eastAsia="宋体" w:cs="Arial"/>
          <w:snapToGrid w:val="0"/>
          <w:kern w:val="0"/>
          <w:sz w:val="24"/>
        </w:rPr>
        <w:t>12号字号是保留空格需求和提供清楚说明之间的最佳平衡点。12号字号也是对于视觉受损人员和老年人的最佳整体字号。</w:t>
      </w:r>
    </w:p>
    <w:p w14:paraId="4ED5D88B">
      <w:pPr>
        <w:topLinePunct/>
        <w:adjustRightInd w:val="0"/>
        <w:snapToGrid w:val="0"/>
        <w:spacing w:after="234" w:afterLines="75" w:line="360" w:lineRule="auto"/>
        <w:rPr>
          <w:rFonts w:ascii="Arial" w:hAnsi="Arial" w:eastAsia="宋体" w:cs="Arial"/>
          <w:snapToGrid w:val="0"/>
          <w:kern w:val="0"/>
          <w:sz w:val="28"/>
        </w:rPr>
      </w:pPr>
      <w:r>
        <w:rPr>
          <w:rFonts w:hint="eastAsia" w:ascii="Arial" w:hAnsi="Arial" w:eastAsia="宋体" w:cs="Arial"/>
          <w:snapToGrid w:val="0"/>
          <w:kern w:val="0"/>
          <w:sz w:val="28"/>
        </w:rPr>
        <w:t>14号字号适用于视觉受损阅读者和老年人。</w:t>
      </w:r>
    </w:p>
    <w:p w14:paraId="2BAEE1F0">
      <w:pPr>
        <w:topLinePunct/>
        <w:adjustRightInd w:val="0"/>
        <w:snapToGrid w:val="0"/>
        <w:spacing w:after="234" w:afterLines="75" w:line="360" w:lineRule="auto"/>
        <w:rPr>
          <w:rFonts w:ascii="Arial" w:hAnsi="Arial" w:eastAsia="宋体" w:cs="Arial"/>
          <w:snapToGrid w:val="0"/>
          <w:kern w:val="0"/>
          <w:sz w:val="36"/>
        </w:rPr>
      </w:pPr>
      <w:r>
        <w:rPr>
          <w:rFonts w:hint="eastAsia" w:ascii="Arial" w:hAnsi="Arial" w:eastAsia="宋体" w:cs="Arial"/>
          <w:snapToGrid w:val="0"/>
          <w:kern w:val="0"/>
          <w:sz w:val="36"/>
        </w:rPr>
        <w:t>如果确有必要使用18号字，应尽量少用。</w:t>
      </w:r>
    </w:p>
    <w:p w14:paraId="791A12D9">
      <w:pPr>
        <w:topLinePunct/>
        <w:adjustRightInd w:val="0"/>
        <w:snapToGrid w:val="0"/>
        <w:spacing w:after="234" w:afterLines="75" w:line="360" w:lineRule="auto"/>
        <w:ind w:left="420" w:leftChars="200"/>
        <w:rPr>
          <w:rFonts w:ascii="Arial" w:hAnsi="Arial" w:eastAsia="宋体" w:cs="Arial"/>
          <w:b/>
          <w:snapToGrid w:val="0"/>
          <w:kern w:val="0"/>
          <w:sz w:val="24"/>
        </w:rPr>
      </w:pPr>
      <w:r>
        <w:rPr>
          <w:rFonts w:hint="eastAsia" w:ascii="Arial" w:hAnsi="Arial" w:eastAsia="宋体" w:cs="Arial"/>
          <w:b/>
          <w:snapToGrid w:val="0"/>
          <w:kern w:val="0"/>
          <w:sz w:val="24"/>
        </w:rPr>
        <w:t>字体</w:t>
      </w:r>
    </w:p>
    <w:p w14:paraId="5C798169">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大多数字体的易读性相同，但尽管新罗马字体可能最不容易使人感到疲劳（</w:t>
      </w:r>
      <w:r>
        <w:rPr>
          <w:rFonts w:ascii="Arial" w:hAnsi="Arial" w:eastAsia="宋体" w:cs="Arial"/>
          <w:snapToGrid w:val="0"/>
          <w:kern w:val="0"/>
          <w:sz w:val="24"/>
        </w:rPr>
        <w:t>Simpson &amp; Casey, 1988</w:t>
      </w:r>
      <w:r>
        <w:rPr>
          <w:rFonts w:hint="eastAsia" w:ascii="Arial" w:hAnsi="Arial" w:eastAsia="宋体" w:cs="Arial"/>
          <w:snapToGrid w:val="0"/>
          <w:kern w:val="0"/>
          <w:sz w:val="24"/>
        </w:rPr>
        <w:t>）。衬线字体与无衬线字体相比，更容易阅读。（衬线字体是结束字母主要笔画的一种精美的水平线）。在可能的情况下使用衬线字体。利用不同字体打印的标签抑制了阅读速度。在整个文件中使用一致的通用字体。尽量减少多种字体的使用。</w:t>
      </w:r>
    </w:p>
    <w:p w14:paraId="38AB83A6">
      <w:pPr>
        <w:topLinePunct/>
        <w:adjustRightInd w:val="0"/>
        <w:snapToGrid w:val="0"/>
        <w:spacing w:after="234" w:afterLines="75" w:line="360" w:lineRule="auto"/>
        <w:ind w:left="420" w:leftChars="200"/>
        <w:rPr>
          <w:rFonts w:ascii="Arial" w:hAnsi="Arial" w:eastAsia="宋体" w:cs="Arial"/>
          <w:b/>
          <w:snapToGrid w:val="0"/>
          <w:kern w:val="0"/>
          <w:sz w:val="24"/>
        </w:rPr>
      </w:pPr>
      <w:r>
        <w:rPr>
          <w:rFonts w:hint="eastAsia" w:ascii="Arial" w:hAnsi="Arial" w:eastAsia="宋体" w:cs="Arial"/>
          <w:b/>
          <w:snapToGrid w:val="0"/>
          <w:kern w:val="0"/>
          <w:sz w:val="24"/>
        </w:rPr>
        <w:t>行长度</w:t>
      </w:r>
    </w:p>
    <w:p w14:paraId="3DEE9121">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长线是针对在诸如本报告等标准尺寸字母纸张上印刷的非教学性、叙事性写作规范。</w:t>
      </w:r>
    </w:p>
    <w:p w14:paraId="27C4B448">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针对以12号字号在说明书打印的最佳行长是</w:t>
      </w:r>
      <w:r>
        <w:rPr>
          <w:rFonts w:ascii="Arial" w:hAnsi="Arial" w:eastAsia="宋体" w:cs="Arial"/>
          <w:snapToGrid w:val="0"/>
          <w:kern w:val="0"/>
          <w:sz w:val="24"/>
        </w:rPr>
        <w:t>4.0±1.25</w:t>
      </w:r>
      <w:r>
        <w:rPr>
          <w:rFonts w:hint="eastAsia" w:ascii="Arial" w:hAnsi="Arial" w:eastAsia="宋体" w:cs="Arial"/>
          <w:snapToGrid w:val="0"/>
          <w:kern w:val="0"/>
          <w:sz w:val="24"/>
        </w:rPr>
        <w:t>英寸。行较长，会使眼睛扫描整个长度，并更容易串行，因此，更容易造成视觉疲劳。这是医疗器械特别重要的注意事项，而必须按正确顺序对每个操作程序步骤进行操作。</w:t>
      </w:r>
    </w:p>
    <w:p w14:paraId="43521AC4">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行较短（小于2.5英寸），要求眼睛在阅读单个句子的同时频繁来回移动，因此，会减慢阅读速度。应减少或消除短行的使用。</w:t>
      </w:r>
    </w:p>
    <w:p w14:paraId="2F5FEE39">
      <w:pPr>
        <w:widowControl/>
        <w:jc w:val="left"/>
        <w:rPr>
          <w:rFonts w:ascii="Arial" w:hAnsi="Arial" w:eastAsia="宋体" w:cs="Arial"/>
          <w:b/>
          <w:snapToGrid w:val="0"/>
          <w:kern w:val="0"/>
          <w:sz w:val="24"/>
        </w:rPr>
      </w:pPr>
      <w:r>
        <w:rPr>
          <w:rFonts w:ascii="Arial" w:hAnsi="Arial" w:eastAsia="宋体" w:cs="Arial"/>
          <w:b/>
          <w:snapToGrid w:val="0"/>
          <w:kern w:val="0"/>
          <w:sz w:val="24"/>
        </w:rPr>
        <w:br w:type="page"/>
      </w:r>
    </w:p>
    <w:p w14:paraId="6D41561A">
      <w:pPr>
        <w:topLinePunct/>
        <w:adjustRightInd w:val="0"/>
        <w:snapToGrid w:val="0"/>
        <w:spacing w:after="234" w:afterLines="75" w:line="360" w:lineRule="auto"/>
        <w:ind w:left="420" w:leftChars="200"/>
        <w:rPr>
          <w:rFonts w:ascii="Arial" w:hAnsi="Arial" w:eastAsia="宋体" w:cs="Arial"/>
          <w:b/>
          <w:snapToGrid w:val="0"/>
          <w:kern w:val="0"/>
          <w:sz w:val="24"/>
        </w:rPr>
      </w:pPr>
      <w:r>
        <w:rPr>
          <w:rFonts w:hint="eastAsia" w:ascii="Arial" w:hAnsi="Arial" w:eastAsia="宋体" w:cs="Arial"/>
          <w:b/>
          <w:snapToGrid w:val="0"/>
          <w:kern w:val="0"/>
          <w:sz w:val="24"/>
        </w:rPr>
        <w:t>全部大写字母和斜体字</w:t>
      </w:r>
    </w:p>
    <w:p w14:paraId="335C3D16">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全部利用大写字母印刷的文本干扰了易读性，同时占据了更多空间。由于字母形状差别不大，因此，也降低了阅读速度（多达20%，</w:t>
      </w:r>
      <w:r>
        <w:rPr>
          <w:rFonts w:ascii="Arial" w:hAnsi="Arial" w:eastAsia="宋体" w:cs="Arial"/>
          <w:snapToGrid w:val="0"/>
          <w:kern w:val="0"/>
          <w:sz w:val="24"/>
        </w:rPr>
        <w:t>TINKER, 1963</w:t>
      </w:r>
      <w:r>
        <w:rPr>
          <w:rFonts w:hint="eastAsia" w:ascii="Arial" w:hAnsi="Arial" w:eastAsia="宋体" w:cs="Arial"/>
          <w:snapToGrid w:val="0"/>
          <w:kern w:val="0"/>
          <w:sz w:val="24"/>
        </w:rPr>
        <w:t>）。同样，使用斜体字也会降低阅读速度，因此，尽量减少其应用。</w:t>
      </w:r>
    </w:p>
    <w:p w14:paraId="76633886">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但是，如果审慎使用，全部大写字母和斜体字可能强调重要文本。</w:t>
      </w:r>
    </w:p>
    <w:p w14:paraId="5C33D36D">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在模型隐形眼镜护理手册中对合理使用全部大写字母的情况做出了下述举例：</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28"/>
      </w:tblGrid>
      <w:tr w14:paraId="0C1C19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28" w:type="dxa"/>
          </w:tcPr>
          <w:p w14:paraId="4BFBE8B5">
            <w:pPr>
              <w:topLinePunct/>
              <w:adjustRightInd w:val="0"/>
              <w:snapToGrid w:val="0"/>
              <w:spacing w:before="46" w:beforeLines="15" w:line="360" w:lineRule="auto"/>
              <w:jc w:val="center"/>
              <w:rPr>
                <w:rFonts w:ascii="Arial" w:hAnsi="Arial" w:eastAsia="宋体" w:cs="Arial"/>
                <w:b/>
                <w:snapToGrid w:val="0"/>
                <w:kern w:val="0"/>
                <w:sz w:val="24"/>
              </w:rPr>
            </w:pPr>
            <w:r>
              <w:rPr>
                <w:rFonts w:hint="eastAsia" w:ascii="Arial" w:hAnsi="Arial" w:eastAsia="宋体" w:cs="Arial"/>
                <w:b/>
                <w:snapToGrid w:val="0"/>
                <w:kern w:val="0"/>
                <w:sz w:val="24"/>
              </w:rPr>
              <w:t>全部大写字母举例</w:t>
            </w:r>
          </w:p>
          <w:p w14:paraId="02660968">
            <w:pPr>
              <w:topLinePunct/>
              <w:adjustRightInd w:val="0"/>
              <w:snapToGrid w:val="0"/>
              <w:spacing w:before="46" w:beforeLines="15" w:line="360" w:lineRule="auto"/>
              <w:ind w:left="401" w:leftChars="191"/>
              <w:rPr>
                <w:rFonts w:ascii="Arial" w:hAnsi="Arial" w:eastAsia="宋体" w:cs="Arial"/>
                <w:snapToGrid w:val="0"/>
                <w:kern w:val="0"/>
              </w:rPr>
            </w:pPr>
            <w:r>
              <w:rPr>
                <w:rFonts w:hint="eastAsia" w:ascii="Arial" w:hAnsi="Arial" w:eastAsia="宋体" w:cs="Arial"/>
                <w:snapToGrid w:val="0"/>
                <w:kern w:val="0"/>
              </w:rPr>
              <w:t>本手册解释了如何护理您的软性隐形眼镜。</w:t>
            </w:r>
          </w:p>
          <w:p w14:paraId="2A272974">
            <w:pPr>
              <w:topLinePunct/>
              <w:adjustRightInd w:val="0"/>
              <w:snapToGrid w:val="0"/>
              <w:spacing w:before="46" w:beforeLines="15" w:line="360" w:lineRule="auto"/>
              <w:ind w:left="401" w:leftChars="191"/>
              <w:rPr>
                <w:rFonts w:ascii="Arial" w:hAnsi="Arial" w:eastAsia="宋体" w:cs="Arial"/>
                <w:snapToGrid w:val="0"/>
                <w:kern w:val="0"/>
              </w:rPr>
            </w:pPr>
            <w:r>
              <w:rPr>
                <w:rFonts w:hint="eastAsia" w:ascii="Arial" w:hAnsi="Arial" w:eastAsia="宋体" w:cs="Arial"/>
                <w:b/>
                <w:snapToGrid w:val="0"/>
                <w:kern w:val="0"/>
              </w:rPr>
              <w:t>从头到尾仔细阅读本手册。</w:t>
            </w:r>
            <w:r>
              <w:rPr>
                <w:rFonts w:hint="eastAsia" w:ascii="Arial" w:hAnsi="Arial" w:eastAsia="宋体" w:cs="Arial"/>
                <w:snapToGrid w:val="0"/>
                <w:kern w:val="0"/>
              </w:rPr>
              <w:t>保存该手册以便于回答关于您隐形眼镜护理的问题。</w:t>
            </w:r>
          </w:p>
          <w:p w14:paraId="187E56D3">
            <w:pPr>
              <w:topLinePunct/>
              <w:adjustRightInd w:val="0"/>
              <w:snapToGrid w:val="0"/>
              <w:spacing w:before="46" w:beforeLines="15" w:line="360" w:lineRule="auto"/>
              <w:ind w:left="401" w:leftChars="191"/>
              <w:rPr>
                <w:rFonts w:ascii="Arial" w:hAnsi="Arial" w:eastAsia="宋体" w:cs="Arial"/>
                <w:snapToGrid w:val="0"/>
                <w:kern w:val="0"/>
              </w:rPr>
            </w:pPr>
            <w:r>
              <w:rPr>
                <w:rFonts w:hint="eastAsia" w:ascii="Arial" w:hAnsi="Arial" w:eastAsia="宋体" w:cs="Arial"/>
                <w:snapToGrid w:val="0"/>
                <w:kern w:val="0"/>
              </w:rPr>
              <w:t>在阅读本本手册后，如果您存在更多关于护理和戴软性隐形眼镜的问题，拨打电话或向您的眼部护理医生就诊。</w:t>
            </w:r>
          </w:p>
        </w:tc>
      </w:tr>
    </w:tbl>
    <w:p w14:paraId="6243E956">
      <w:pPr>
        <w:topLinePunct/>
        <w:adjustRightInd w:val="0"/>
        <w:snapToGrid w:val="0"/>
        <w:spacing w:after="234" w:afterLines="75" w:line="360" w:lineRule="auto"/>
        <w:rPr>
          <w:rFonts w:ascii="Arial" w:hAnsi="Arial" w:eastAsia="宋体" w:cs="Arial"/>
          <w:snapToGrid w:val="0"/>
          <w:kern w:val="0"/>
          <w:sz w:val="24"/>
        </w:rPr>
      </w:pPr>
    </w:p>
    <w:p w14:paraId="5744ECBF">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右边缘不齐文本与对齐右边缘文本相比更便于阅读标签。由于右侧轮廓有助于在各线之间进行区分，因此，阅读者能够追踪位置。眼镜不必针对各词之间的不同间距做出调整（如右对齐行）。比例间距在单词中的各个字母之间产生了统一空间。</w:t>
      </w:r>
    </w:p>
    <w:p w14:paraId="790955FF">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白色背景下的黑色版本是印刷对比的通用标准。尽量减少连字符的使用；其要求阅读者记住之前行的最后一个字。视力有限或记忆力不佳者通常难以找到最后一个字。</w:t>
      </w:r>
    </w:p>
    <w:p w14:paraId="5964613C">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排印和</w:t>
      </w:r>
      <w:r>
        <w:rPr>
          <w:rFonts w:hint="eastAsia" w:ascii="Arial" w:hAnsi="Arial" w:eastAsia="宋体" w:cs="Arial"/>
          <w:b/>
          <w:snapToGrid w:val="0"/>
          <w:kern w:val="0"/>
          <w:sz w:val="24"/>
        </w:rPr>
        <w:t>易读性参考文件</w:t>
      </w:r>
    </w:p>
    <w:p w14:paraId="4CF1BDE5">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Davenport, J.S., &amp; Smith, S.A. (1965). Effects of hyphenation, justification and type size 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readability. </w:t>
      </w:r>
      <w:r>
        <w:rPr>
          <w:rFonts w:ascii="Arial" w:hAnsi="Arial" w:eastAsia="宋体" w:cs="Arial"/>
          <w:b/>
          <w:bCs/>
          <w:i/>
          <w:iCs/>
          <w:snapToGrid w:val="0"/>
          <w:kern w:val="0"/>
          <w:sz w:val="24"/>
          <w:szCs w:val="21"/>
        </w:rPr>
        <w:t xml:space="preserve">Journalism </w:t>
      </w:r>
      <w:r>
        <w:rPr>
          <w:rFonts w:ascii="Arial" w:hAnsi="Arial" w:eastAsia="宋体" w:cs="Arial"/>
          <w:snapToGrid w:val="0"/>
          <w:kern w:val="0"/>
          <w:sz w:val="24"/>
          <w:szCs w:val="21"/>
        </w:rPr>
        <w:t xml:space="preserve">Quarterly, </w:t>
      </w:r>
      <w:r>
        <w:rPr>
          <w:rFonts w:ascii="Arial" w:hAnsi="Arial" w:eastAsia="宋体" w:cs="Arial"/>
          <w:b/>
          <w:bCs/>
          <w:snapToGrid w:val="0"/>
          <w:kern w:val="0"/>
          <w:sz w:val="24"/>
          <w:szCs w:val="21"/>
        </w:rPr>
        <w:t xml:space="preserve">XLJZ, </w:t>
      </w:r>
      <w:r>
        <w:rPr>
          <w:rFonts w:ascii="Arial" w:hAnsi="Arial" w:eastAsia="宋体" w:cs="Arial"/>
          <w:snapToGrid w:val="0"/>
          <w:kern w:val="0"/>
          <w:sz w:val="24"/>
          <w:szCs w:val="21"/>
        </w:rPr>
        <w:t>382-388.</w:t>
      </w:r>
    </w:p>
    <w:p w14:paraId="51E66F67">
      <w:pPr>
        <w:topLinePunct/>
        <w:adjustRightInd w:val="0"/>
        <w:snapToGrid w:val="0"/>
        <w:spacing w:after="234" w:afterLines="75" w:line="360" w:lineRule="auto"/>
        <w:rPr>
          <w:rFonts w:ascii="Arial" w:hAnsi="Arial" w:eastAsia="宋体" w:cs="Arial"/>
          <w:snapToGrid w:val="0"/>
          <w:kern w:val="0"/>
          <w:sz w:val="24"/>
          <w:szCs w:val="21"/>
        </w:rPr>
      </w:pPr>
      <w:r>
        <w:rPr>
          <w:rFonts w:ascii="Arial" w:hAnsi="Arial" w:eastAsia="宋体" w:cs="Arial"/>
          <w:snapToGrid w:val="0"/>
          <w:kern w:val="0"/>
          <w:sz w:val="24"/>
          <w:szCs w:val="21"/>
        </w:rPr>
        <w:t>Foster, J., &amp; Coles, P. (1977). An experimental study of typographic cueing in printed text.</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Ergonomics, </w:t>
      </w:r>
      <w:r>
        <w:rPr>
          <w:rFonts w:ascii="Arial" w:hAnsi="Arial" w:eastAsia="宋体" w:cs="Arial"/>
          <w:snapToGrid w:val="0"/>
          <w:kern w:val="0"/>
          <w:sz w:val="24"/>
          <w:szCs w:val="21"/>
        </w:rPr>
        <w:t>20,57-66.</w:t>
      </w:r>
    </w:p>
    <w:p w14:paraId="13B23374">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Klare, G.R., Nichols, W.H., </w:t>
      </w:r>
      <w:r>
        <w:rPr>
          <w:rFonts w:ascii="Arial" w:hAnsi="Arial" w:eastAsia="宋体" w:cs="Arial"/>
          <w:snapToGrid w:val="0"/>
          <w:kern w:val="0"/>
          <w:sz w:val="24"/>
        </w:rPr>
        <w:t xml:space="preserve">&amp; </w:t>
      </w:r>
      <w:r>
        <w:rPr>
          <w:rFonts w:ascii="Arial" w:hAnsi="Arial" w:eastAsia="宋体" w:cs="Arial"/>
          <w:snapToGrid w:val="0"/>
          <w:kern w:val="0"/>
          <w:sz w:val="24"/>
          <w:szCs w:val="24"/>
        </w:rPr>
        <w:t>Shuford, E.M. (1957). The relationship of typographical</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arrangement to the learning of technical material. Joud of Applied Psychology, 41.41-45.</w:t>
      </w:r>
    </w:p>
    <w:p w14:paraId="7AF12C46">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North, </w:t>
      </w:r>
      <w:r>
        <w:rPr>
          <w:rFonts w:ascii="Arial" w:hAnsi="Arial" w:eastAsia="宋体" w:cs="Arial"/>
          <w:snapToGrid w:val="0"/>
          <w:kern w:val="0"/>
          <w:sz w:val="24"/>
          <w:szCs w:val="23"/>
        </w:rPr>
        <w:t xml:space="preserve">A.J., </w:t>
      </w:r>
      <w:r>
        <w:rPr>
          <w:rFonts w:ascii="Arial" w:hAnsi="Arial" w:eastAsia="宋体" w:cs="Arial"/>
          <w:snapToGrid w:val="0"/>
          <w:kern w:val="0"/>
          <w:sz w:val="24"/>
          <w:szCs w:val="21"/>
        </w:rPr>
        <w:t xml:space="preserve">&amp; </w:t>
      </w:r>
      <w:r>
        <w:rPr>
          <w:rFonts w:ascii="Arial" w:hAnsi="Arial" w:eastAsia="宋体" w:cs="Arial"/>
          <w:snapToGrid w:val="0"/>
          <w:kern w:val="0"/>
          <w:sz w:val="24"/>
          <w:szCs w:val="24"/>
        </w:rPr>
        <w:t>Jenkins, L.B. (195 1). Reading speed and comprehension as a function of</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typography. Jouml of Applied Psychology, 35,225-228.</w:t>
      </w:r>
    </w:p>
    <w:p w14:paraId="3CD06D52">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Payne, </w:t>
      </w:r>
      <w:r>
        <w:rPr>
          <w:rFonts w:ascii="Arial" w:hAnsi="Arial" w:eastAsia="宋体" w:cs="Arial"/>
          <w:snapToGrid w:val="0"/>
          <w:kern w:val="0"/>
          <w:sz w:val="24"/>
          <w:szCs w:val="23"/>
        </w:rPr>
        <w:t xml:space="preserve">D. </w:t>
      </w:r>
      <w:r>
        <w:rPr>
          <w:rFonts w:ascii="Arial" w:hAnsi="Arial" w:eastAsia="宋体" w:cs="Arial"/>
          <w:snapToGrid w:val="0"/>
          <w:kern w:val="0"/>
          <w:sz w:val="24"/>
          <w:szCs w:val="24"/>
        </w:rPr>
        <w:t xml:space="preserve">E. (1967). Readability of typewritten </w:t>
      </w:r>
      <w:r>
        <w:rPr>
          <w:rFonts w:ascii="Arial" w:hAnsi="Arial" w:eastAsia="宋体" w:cs="Arial"/>
          <w:snapToGrid w:val="0"/>
          <w:kern w:val="0"/>
          <w:sz w:val="24"/>
          <w:szCs w:val="23"/>
        </w:rPr>
        <w:t xml:space="preserve">material: </w:t>
      </w:r>
      <w:r>
        <w:rPr>
          <w:rFonts w:ascii="Arial" w:hAnsi="Arial" w:eastAsia="宋体" w:cs="Arial"/>
          <w:snapToGrid w:val="0"/>
          <w:kern w:val="0"/>
          <w:sz w:val="24"/>
          <w:szCs w:val="24"/>
        </w:rPr>
        <w:t>Proportional versus standard</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spacing. Journal of Typographic Research, 1,125.</w:t>
      </w:r>
    </w:p>
    <w:p w14:paraId="5555E669">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Poulton, E.C. (1972). Size, style, and vertical spacing in the legibility of small typefaces.</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Journal of Applied Psychology, 56, 156- 16 1.</w:t>
      </w:r>
    </w:p>
    <w:p w14:paraId="3AFE9E89">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Swezey, R.W. (1984). Optimizing legibility for recall and retention. In R. Easterby and H.</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Zwaga (</w:t>
      </w:r>
      <w:r>
        <w:rPr>
          <w:rFonts w:ascii="Arial" w:hAnsi="Arial" w:eastAsia="宋体" w:cs="Arial"/>
          <w:snapToGrid w:val="0"/>
          <w:kern w:val="0"/>
          <w:sz w:val="24"/>
        </w:rPr>
        <w:t xml:space="preserve">Eds.), </w:t>
      </w:r>
      <w:r>
        <w:rPr>
          <w:rFonts w:ascii="Arial" w:hAnsi="Arial" w:eastAsia="宋体" w:cs="Arial"/>
          <w:snapToGrid w:val="0"/>
          <w:kern w:val="0"/>
          <w:sz w:val="24"/>
          <w:szCs w:val="24"/>
        </w:rPr>
        <w:t>Information design (pp. 145-156). Chichester, England: Wiley.</w:t>
      </w:r>
    </w:p>
    <w:p w14:paraId="759F4B78">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T i e r, M.A. (1963). LRgibility ofprint. </w:t>
      </w:r>
      <w:r>
        <w:rPr>
          <w:rFonts w:ascii="Arial" w:hAnsi="Arial" w:eastAsia="宋体" w:cs="Arial"/>
          <w:b/>
          <w:bCs/>
          <w:snapToGrid w:val="0"/>
          <w:kern w:val="0"/>
          <w:sz w:val="24"/>
          <w:szCs w:val="23"/>
        </w:rPr>
        <w:t xml:space="preserve">Arnes, </w:t>
      </w:r>
      <w:r>
        <w:rPr>
          <w:rFonts w:ascii="Arial" w:hAnsi="Arial" w:eastAsia="宋体" w:cs="Arial"/>
          <w:b/>
          <w:bCs/>
          <w:snapToGrid w:val="0"/>
          <w:kern w:val="0"/>
          <w:sz w:val="24"/>
          <w:szCs w:val="24"/>
        </w:rPr>
        <w:t xml:space="preserve">IA: </w:t>
      </w:r>
      <w:r>
        <w:rPr>
          <w:rFonts w:ascii="Arial" w:hAnsi="Arial" w:eastAsia="宋体" w:cs="Arial"/>
          <w:snapToGrid w:val="0"/>
          <w:kern w:val="0"/>
          <w:sz w:val="24"/>
          <w:szCs w:val="24"/>
        </w:rPr>
        <w:t>Iowa State University Press.</w:t>
      </w:r>
    </w:p>
    <w:p w14:paraId="6520B6D4">
      <w:pPr>
        <w:topLinePunct/>
        <w:adjustRightInd w:val="0"/>
        <w:snapToGrid w:val="0"/>
        <w:spacing w:after="234" w:afterLines="75" w:line="360"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Waller, </w:t>
      </w:r>
      <w:r>
        <w:rPr>
          <w:rFonts w:ascii="Arial" w:hAnsi="Arial" w:eastAsia="宋体" w:cs="Arial"/>
          <w:b/>
          <w:bCs/>
          <w:snapToGrid w:val="0"/>
          <w:kern w:val="0"/>
          <w:sz w:val="24"/>
          <w:szCs w:val="27"/>
        </w:rPr>
        <w:t>R.H.W. (</w:t>
      </w:r>
      <w:r>
        <w:rPr>
          <w:rFonts w:ascii="Arial" w:hAnsi="Arial" w:eastAsia="宋体" w:cs="Arial"/>
          <w:snapToGrid w:val="0"/>
          <w:kern w:val="0"/>
          <w:sz w:val="24"/>
          <w:szCs w:val="24"/>
        </w:rPr>
        <w:t>1982). Text as diagram: Using typography to improve access and</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 xml:space="preserve">understanding. </w:t>
      </w:r>
      <w:r>
        <w:rPr>
          <w:rFonts w:ascii="Arial" w:hAnsi="Arial" w:eastAsia="宋体" w:cs="Arial"/>
          <w:snapToGrid w:val="0"/>
          <w:kern w:val="0"/>
          <w:sz w:val="24"/>
          <w:szCs w:val="25"/>
        </w:rPr>
        <w:t xml:space="preserve">In </w:t>
      </w:r>
      <w:r>
        <w:rPr>
          <w:rFonts w:ascii="Arial" w:hAnsi="Arial" w:eastAsia="宋体" w:cs="Arial"/>
          <w:snapToGrid w:val="0"/>
          <w:kern w:val="0"/>
          <w:sz w:val="24"/>
          <w:szCs w:val="24"/>
        </w:rPr>
        <w:t xml:space="preserve">D.H. Jonassen (Ed.), The technology of text, </w:t>
      </w:r>
      <w:r>
        <w:rPr>
          <w:rFonts w:ascii="Arial" w:hAnsi="Arial" w:eastAsia="宋体" w:cs="Arial"/>
          <w:i/>
          <w:iCs/>
          <w:snapToGrid w:val="0"/>
          <w:kern w:val="0"/>
          <w:sz w:val="24"/>
        </w:rPr>
        <w:t>1 (</w:t>
      </w:r>
      <w:r>
        <w:rPr>
          <w:rFonts w:ascii="Arial" w:hAnsi="Arial" w:eastAsia="宋体" w:cs="Arial"/>
          <w:snapToGrid w:val="0"/>
          <w:kern w:val="0"/>
          <w:sz w:val="24"/>
          <w:szCs w:val="24"/>
        </w:rPr>
        <w:t>pp: 137-166). Englewood Cliffs, NJ: Educational Technology Publications.</w:t>
      </w:r>
    </w:p>
    <w:tbl>
      <w:tblPr>
        <w:tblStyle w:val="11"/>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2F85BA2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06" w:type="dxa"/>
          </w:tcPr>
          <w:p w14:paraId="772F53CC">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排印和易读性提示</w:t>
            </w:r>
          </w:p>
          <w:p w14:paraId="1DC7DDBA">
            <w:pPr>
              <w:pStyle w:val="14"/>
              <w:numPr>
                <w:ilvl w:val="0"/>
                <w:numId w:val="7"/>
              </w:numPr>
              <w:topLinePunct/>
              <w:adjustRightInd w:val="0"/>
              <w:snapToGrid w:val="0"/>
              <w:spacing w:before="46" w:beforeLines="15" w:line="360" w:lineRule="auto"/>
              <w:ind w:left="424" w:leftChars="202" w:firstLine="0" w:firstLineChars="0"/>
              <w:rPr>
                <w:rFonts w:ascii="Arial" w:hAnsi="Arial" w:eastAsia="宋体" w:cs="Arial"/>
                <w:snapToGrid w:val="0"/>
                <w:kern w:val="0"/>
              </w:rPr>
            </w:pPr>
            <w:r>
              <w:rPr>
                <w:rFonts w:hint="eastAsia" w:ascii="Arial" w:hAnsi="Arial" w:eastAsia="宋体" w:cs="Arial"/>
                <w:snapToGrid w:val="0"/>
                <w:kern w:val="0"/>
              </w:rPr>
              <w:t>使用合理字号（12pt，是最佳的最通用字号）</w:t>
            </w:r>
          </w:p>
          <w:p w14:paraId="432D0943">
            <w:pPr>
              <w:pStyle w:val="14"/>
              <w:numPr>
                <w:ilvl w:val="0"/>
                <w:numId w:val="7"/>
              </w:numPr>
              <w:topLinePunct/>
              <w:adjustRightInd w:val="0"/>
              <w:snapToGrid w:val="0"/>
              <w:spacing w:before="46" w:beforeLines="15" w:line="360" w:lineRule="auto"/>
              <w:ind w:left="424" w:leftChars="202" w:firstLine="0" w:firstLineChars="0"/>
              <w:rPr>
                <w:rFonts w:ascii="Arial" w:hAnsi="Arial" w:eastAsia="宋体" w:cs="Arial"/>
                <w:snapToGrid w:val="0"/>
                <w:kern w:val="0"/>
              </w:rPr>
            </w:pPr>
            <w:r>
              <w:rPr>
                <w:rFonts w:hint="eastAsia" w:ascii="Arial" w:hAnsi="Arial" w:eastAsia="宋体" w:cs="Arial"/>
                <w:snapToGrid w:val="0"/>
                <w:kern w:val="0"/>
              </w:rPr>
              <w:t>为文本使用衬线字体，为主题和标题使用无衬线字体</w:t>
            </w:r>
          </w:p>
          <w:p w14:paraId="15A5EC41">
            <w:pPr>
              <w:pStyle w:val="14"/>
              <w:numPr>
                <w:ilvl w:val="0"/>
                <w:numId w:val="7"/>
              </w:numPr>
              <w:topLinePunct/>
              <w:adjustRightInd w:val="0"/>
              <w:snapToGrid w:val="0"/>
              <w:spacing w:before="46" w:beforeLines="15" w:line="360" w:lineRule="auto"/>
              <w:ind w:left="424" w:leftChars="202" w:firstLine="0" w:firstLineChars="0"/>
              <w:rPr>
                <w:rFonts w:ascii="Arial" w:hAnsi="Arial" w:eastAsia="宋体" w:cs="Arial"/>
                <w:snapToGrid w:val="0"/>
                <w:kern w:val="0"/>
              </w:rPr>
            </w:pPr>
            <w:r>
              <w:rPr>
                <w:rFonts w:hint="eastAsia" w:ascii="Arial" w:hAnsi="Arial" w:eastAsia="宋体" w:cs="Arial"/>
                <w:snapToGrid w:val="0"/>
                <w:kern w:val="0"/>
              </w:rPr>
              <w:t>比例间距是便于阅读的关键因素</w:t>
            </w:r>
          </w:p>
          <w:p w14:paraId="24CC3510">
            <w:pPr>
              <w:pStyle w:val="14"/>
              <w:numPr>
                <w:ilvl w:val="0"/>
                <w:numId w:val="7"/>
              </w:numPr>
              <w:topLinePunct/>
              <w:adjustRightInd w:val="0"/>
              <w:snapToGrid w:val="0"/>
              <w:spacing w:before="46" w:beforeLines="15" w:line="360" w:lineRule="auto"/>
              <w:ind w:left="424" w:leftChars="202" w:firstLine="0" w:firstLineChars="0"/>
              <w:rPr>
                <w:rFonts w:ascii="Arial" w:hAnsi="Arial" w:eastAsia="宋体" w:cs="Arial"/>
                <w:snapToGrid w:val="0"/>
                <w:kern w:val="0"/>
              </w:rPr>
            </w:pPr>
            <w:r>
              <w:rPr>
                <w:rFonts w:hint="eastAsia" w:ascii="Arial" w:hAnsi="Arial" w:eastAsia="宋体" w:cs="Arial"/>
                <w:snapToGrid w:val="0"/>
                <w:kern w:val="0"/>
              </w:rPr>
              <w:t>维持较高的打印-背景对比度</w:t>
            </w:r>
          </w:p>
          <w:p w14:paraId="2C80D486">
            <w:pPr>
              <w:pStyle w:val="14"/>
              <w:numPr>
                <w:ilvl w:val="0"/>
                <w:numId w:val="7"/>
              </w:numPr>
              <w:topLinePunct/>
              <w:adjustRightInd w:val="0"/>
              <w:snapToGrid w:val="0"/>
              <w:spacing w:before="46" w:beforeLines="15" w:line="360" w:lineRule="auto"/>
              <w:ind w:left="424" w:leftChars="202" w:firstLine="0" w:firstLineChars="0"/>
              <w:rPr>
                <w:rFonts w:ascii="Arial" w:hAnsi="Arial" w:eastAsia="宋体" w:cs="Arial"/>
                <w:snapToGrid w:val="0"/>
                <w:kern w:val="0"/>
              </w:rPr>
            </w:pPr>
            <w:r>
              <w:rPr>
                <w:rFonts w:hint="eastAsia" w:ascii="Arial" w:hAnsi="Arial" w:eastAsia="宋体" w:cs="Arial"/>
                <w:snapToGrid w:val="0"/>
                <w:kern w:val="0"/>
              </w:rPr>
              <w:t>维持足够短的线长，以便于阅读</w:t>
            </w:r>
          </w:p>
          <w:p w14:paraId="5A563604">
            <w:pPr>
              <w:pStyle w:val="14"/>
              <w:numPr>
                <w:ilvl w:val="0"/>
                <w:numId w:val="7"/>
              </w:numPr>
              <w:topLinePunct/>
              <w:adjustRightInd w:val="0"/>
              <w:snapToGrid w:val="0"/>
              <w:spacing w:before="46" w:beforeLines="15" w:line="360" w:lineRule="auto"/>
              <w:ind w:left="424" w:leftChars="202" w:firstLine="0" w:firstLineChars="0"/>
              <w:rPr>
                <w:rFonts w:ascii="Arial" w:hAnsi="Arial" w:eastAsia="宋体" w:cs="Arial"/>
                <w:snapToGrid w:val="0"/>
                <w:kern w:val="0"/>
              </w:rPr>
            </w:pPr>
            <w:r>
              <w:rPr>
                <w:rFonts w:hint="eastAsia" w:ascii="Arial" w:hAnsi="Arial" w:eastAsia="宋体" w:cs="Arial"/>
                <w:snapToGrid w:val="0"/>
                <w:kern w:val="0"/>
              </w:rPr>
              <w:t>倾向使用右边不齐行排版</w:t>
            </w:r>
          </w:p>
          <w:p w14:paraId="1C3C568A">
            <w:pPr>
              <w:pStyle w:val="14"/>
              <w:numPr>
                <w:ilvl w:val="0"/>
                <w:numId w:val="7"/>
              </w:numPr>
              <w:topLinePunct/>
              <w:adjustRightInd w:val="0"/>
              <w:snapToGrid w:val="0"/>
              <w:spacing w:before="46" w:beforeLines="15" w:line="360" w:lineRule="auto"/>
              <w:ind w:left="424" w:leftChars="202" w:firstLine="0" w:firstLineChars="0"/>
              <w:rPr>
                <w:rFonts w:ascii="Arial" w:hAnsi="Arial" w:eastAsia="宋体" w:cs="Arial"/>
                <w:snapToGrid w:val="0"/>
                <w:kern w:val="0"/>
              </w:rPr>
            </w:pPr>
            <w:r>
              <w:rPr>
                <w:rFonts w:hint="eastAsia" w:ascii="Arial" w:hAnsi="Arial" w:eastAsia="宋体" w:cs="Arial"/>
                <w:snapToGrid w:val="0"/>
                <w:kern w:val="0"/>
              </w:rPr>
              <w:t>尽量减少使用连字符，特别针对较短单词</w:t>
            </w:r>
          </w:p>
          <w:p w14:paraId="36BB56B3">
            <w:pPr>
              <w:pStyle w:val="14"/>
              <w:numPr>
                <w:ilvl w:val="0"/>
                <w:numId w:val="7"/>
              </w:numPr>
              <w:topLinePunct/>
              <w:adjustRightInd w:val="0"/>
              <w:snapToGrid w:val="0"/>
              <w:spacing w:before="46" w:beforeLines="15" w:line="360" w:lineRule="auto"/>
              <w:ind w:left="424" w:leftChars="202" w:firstLine="0" w:firstLineChars="0"/>
              <w:rPr>
                <w:rFonts w:ascii="Arial" w:hAnsi="Arial" w:eastAsia="宋体" w:cs="Arial"/>
                <w:snapToGrid w:val="0"/>
                <w:kern w:val="0"/>
              </w:rPr>
            </w:pPr>
            <w:r>
              <w:rPr>
                <w:rFonts w:hint="eastAsia" w:ascii="Arial" w:hAnsi="Arial" w:eastAsia="宋体" w:cs="Arial"/>
                <w:snapToGrid w:val="0"/>
                <w:kern w:val="0"/>
              </w:rPr>
              <w:t>审慎使用全部由大写字母和斜体字组成的单词</w:t>
            </w:r>
          </w:p>
        </w:tc>
      </w:tr>
    </w:tbl>
    <w:p w14:paraId="1B9A04D5">
      <w:pPr>
        <w:pStyle w:val="3"/>
        <w:keepNext w:val="0"/>
        <w:keepLines w:val="0"/>
        <w:topLinePunct/>
        <w:adjustRightInd w:val="0"/>
        <w:snapToGrid w:val="0"/>
        <w:spacing w:beforeLines="0" w:after="234" w:afterLines="75" w:line="360" w:lineRule="auto"/>
        <w:rPr>
          <w:rFonts w:ascii="Arial" w:hAnsi="Arial" w:eastAsia="宋体" w:cs="Arial"/>
          <w:snapToGrid w:val="0"/>
          <w:kern w:val="0"/>
          <w:sz w:val="24"/>
        </w:rPr>
      </w:pPr>
      <w:bookmarkStart w:id="12" w:name="_Toc499280425"/>
    </w:p>
    <w:p w14:paraId="31271D98">
      <w:pPr>
        <w:pStyle w:val="3"/>
        <w:keepNext w:val="0"/>
        <w:keepLines w:val="0"/>
        <w:topLinePunct/>
        <w:adjustRightInd w:val="0"/>
        <w:snapToGrid w:val="0"/>
        <w:spacing w:beforeLines="0"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物理特征</w:t>
      </w:r>
      <w:bookmarkEnd w:id="12"/>
    </w:p>
    <w:p w14:paraId="6F0E08FF">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标签的物理特征影响其易用性和主观吸引力。文件应紧凑、便于理解并在实际器械操作条件下轻松使用。这些因素对阅读、理解、遵循和保留标签的程度存在影响。两个因素对医疗器械标签的物理特征存在影响：</w:t>
      </w:r>
    </w:p>
    <w:p w14:paraId="63948754">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（a）将如何使用文件和（b）更新要求。</w:t>
      </w:r>
    </w:p>
    <w:p w14:paraId="3023DD51">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2751CCC6">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当不操作器械时，通常可使用诸如技术手册等文件。这些文件具有通用的书本长度并应具有相应的尺寸。在操作医疗器械的同时，使用其它文件，如操作者手册和快速参考指南等。其设计必须便于访问和使用，并具有更小的格式。</w:t>
      </w:r>
    </w:p>
    <w:p w14:paraId="24FA9118">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更新文件涉及增加或删除页。环形带是符合这些要求的理想方法。对于不修改的文件，应优先使用螺旋装订（</w:t>
      </w:r>
      <w:r>
        <w:rPr>
          <w:rFonts w:ascii="Arial" w:hAnsi="Arial" w:eastAsia="宋体" w:cs="Arial"/>
          <w:snapToGrid w:val="0"/>
          <w:kern w:val="0"/>
          <w:sz w:val="24"/>
        </w:rPr>
        <w:t>Simpson &amp; Casey, 1988</w:t>
      </w:r>
      <w:r>
        <w:rPr>
          <w:rFonts w:hint="eastAsia" w:ascii="Arial" w:hAnsi="Arial" w:eastAsia="宋体" w:cs="Arial"/>
          <w:snapToGrid w:val="0"/>
          <w:kern w:val="0"/>
          <w:sz w:val="24"/>
        </w:rPr>
        <w:t>）。全部文件在不利用辅助设备帮助的情况下应平铺，因此，使用者能够利用双手操作器械。</w:t>
      </w:r>
    </w:p>
    <w:p w14:paraId="297C21BA">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进行消光加工的纸张比光面纸更好，光面纸会向眼睛进行漫反射。纸张应足够重，以防止透印。</w:t>
      </w:r>
    </w:p>
    <w:p w14:paraId="4F9090C4">
      <w:pPr>
        <w:topLinePunct/>
        <w:adjustRightInd w:val="0"/>
        <w:snapToGrid w:val="0"/>
        <w:spacing w:after="234" w:afterLines="75"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物理特征参考文献</w:t>
      </w:r>
    </w:p>
    <w:p w14:paraId="686DB31D">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Hartley, J. (1978). Designing instructional text (pp. 9-12). London: Kogan Page</w:t>
      </w:r>
      <w:r>
        <w:rPr>
          <w:rFonts w:hint="eastAsia" w:ascii="Arial" w:hAnsi="Arial" w:eastAsia="宋体" w:cs="Arial"/>
          <w:snapToGrid w:val="0"/>
          <w:kern w:val="0"/>
          <w:sz w:val="24"/>
        </w:rPr>
        <w:t>。</w:t>
      </w:r>
    </w:p>
    <w:p w14:paraId="67BE9566">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Simpson, H., &amp; Casey, S.M. (1988). Designing effective user documentation: A human</w:t>
      </w:r>
      <w:r>
        <w:rPr>
          <w:rFonts w:hint="eastAsia" w:ascii="Arial" w:hAnsi="Arial" w:eastAsia="宋体" w:cs="Arial"/>
          <w:snapToGrid w:val="0"/>
          <w:kern w:val="0"/>
          <w:sz w:val="24"/>
        </w:rPr>
        <w:t xml:space="preserve"> </w:t>
      </w:r>
      <w:r>
        <w:rPr>
          <w:rFonts w:ascii="Arial" w:hAnsi="Arial" w:eastAsia="宋体" w:cs="Arial"/>
          <w:snapToGrid w:val="0"/>
          <w:kern w:val="0"/>
          <w:sz w:val="24"/>
        </w:rPr>
        <w:t>factors</w:t>
      </w:r>
      <w:r>
        <w:rPr>
          <w:rFonts w:hint="eastAsia" w:ascii="Arial" w:hAnsi="Arial" w:eastAsia="宋体" w:cs="Arial"/>
          <w:snapToGrid w:val="0"/>
          <w:kern w:val="0"/>
          <w:sz w:val="24"/>
        </w:rPr>
        <w:t xml:space="preserve"> </w:t>
      </w:r>
      <w:r>
        <w:rPr>
          <w:rFonts w:ascii="Arial" w:hAnsi="Arial" w:eastAsia="宋体" w:cs="Arial"/>
          <w:snapToGrid w:val="0"/>
          <w:kern w:val="0"/>
          <w:sz w:val="24"/>
        </w:rPr>
        <w:t>approach (Ch. 8). New York: McGraw-Hill</w:t>
      </w:r>
      <w:r>
        <w:rPr>
          <w:rFonts w:hint="eastAsia" w:ascii="Arial" w:hAnsi="Arial" w:eastAsia="宋体" w:cs="Arial"/>
          <w:snapToGrid w:val="0"/>
          <w:kern w:val="0"/>
          <w:sz w:val="24"/>
        </w:rPr>
        <w:t>。</w:t>
      </w:r>
    </w:p>
    <w:tbl>
      <w:tblPr>
        <w:tblStyle w:val="11"/>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158005E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06" w:type="dxa"/>
          </w:tcPr>
          <w:p w14:paraId="248456A4">
            <w:pPr>
              <w:topLinePunct/>
              <w:adjustRightInd w:val="0"/>
              <w:snapToGrid w:val="0"/>
              <w:spacing w:before="46" w:beforeLines="15" w:line="360" w:lineRule="auto"/>
              <w:jc w:val="center"/>
              <w:rPr>
                <w:rFonts w:ascii="Arial" w:hAnsi="Arial" w:eastAsia="宋体" w:cs="Arial"/>
                <w:snapToGrid w:val="0"/>
                <w:kern w:val="0"/>
              </w:rPr>
            </w:pPr>
            <w:r>
              <w:rPr>
                <w:rFonts w:hint="eastAsia" w:ascii="Arial" w:hAnsi="Arial" w:eastAsia="宋体" w:cs="Arial"/>
                <w:snapToGrid w:val="0"/>
                <w:kern w:val="0"/>
              </w:rPr>
              <w:t>物理特征提示</w:t>
            </w:r>
          </w:p>
          <w:p w14:paraId="71174793">
            <w:pPr>
              <w:pStyle w:val="14"/>
              <w:numPr>
                <w:ilvl w:val="0"/>
                <w:numId w:val="7"/>
              </w:numPr>
              <w:topLinePunct/>
              <w:adjustRightInd w:val="0"/>
              <w:snapToGrid w:val="0"/>
              <w:spacing w:before="46" w:beforeLines="15" w:line="360" w:lineRule="auto"/>
              <w:ind w:left="1276" w:firstLineChars="0"/>
              <w:rPr>
                <w:rFonts w:ascii="Arial" w:hAnsi="Arial" w:eastAsia="宋体" w:cs="Arial"/>
                <w:snapToGrid w:val="0"/>
                <w:kern w:val="0"/>
              </w:rPr>
            </w:pPr>
            <w:r>
              <w:rPr>
                <w:rFonts w:hint="eastAsia" w:ascii="Arial" w:hAnsi="Arial" w:eastAsia="宋体" w:cs="Arial"/>
                <w:snapToGrid w:val="0"/>
                <w:kern w:val="0"/>
              </w:rPr>
              <w:t>采用允许一同显示文本和图形的方向</w:t>
            </w:r>
          </w:p>
          <w:p w14:paraId="1B445B4A">
            <w:pPr>
              <w:pStyle w:val="14"/>
              <w:numPr>
                <w:ilvl w:val="0"/>
                <w:numId w:val="7"/>
              </w:numPr>
              <w:topLinePunct/>
              <w:adjustRightInd w:val="0"/>
              <w:snapToGrid w:val="0"/>
              <w:spacing w:before="46" w:beforeLines="15" w:line="360" w:lineRule="auto"/>
              <w:ind w:left="1276" w:firstLineChars="0"/>
              <w:rPr>
                <w:rFonts w:ascii="Arial" w:hAnsi="Arial" w:eastAsia="宋体" w:cs="Arial"/>
                <w:snapToGrid w:val="0"/>
                <w:kern w:val="0"/>
              </w:rPr>
            </w:pPr>
            <w:r>
              <w:rPr>
                <w:rFonts w:hint="eastAsia" w:ascii="Arial" w:hAnsi="Arial" w:eastAsia="宋体" w:cs="Arial"/>
                <w:snapToGrid w:val="0"/>
                <w:kern w:val="0"/>
              </w:rPr>
              <w:t>根据目的来调整大小</w:t>
            </w:r>
          </w:p>
          <w:p w14:paraId="14A35D6E">
            <w:pPr>
              <w:pStyle w:val="14"/>
              <w:numPr>
                <w:ilvl w:val="0"/>
                <w:numId w:val="7"/>
              </w:numPr>
              <w:topLinePunct/>
              <w:adjustRightInd w:val="0"/>
              <w:snapToGrid w:val="0"/>
              <w:spacing w:before="46" w:beforeLines="15" w:line="360" w:lineRule="auto"/>
              <w:ind w:left="1276" w:firstLineChars="0"/>
              <w:rPr>
                <w:rFonts w:ascii="Arial" w:hAnsi="Arial" w:eastAsia="宋体" w:cs="Arial"/>
                <w:snapToGrid w:val="0"/>
                <w:kern w:val="0"/>
              </w:rPr>
            </w:pPr>
            <w:r>
              <w:rPr>
                <w:rFonts w:hint="eastAsia" w:ascii="Arial" w:hAnsi="Arial" w:eastAsia="宋体" w:cs="Arial"/>
                <w:snapToGrid w:val="0"/>
                <w:kern w:val="0"/>
              </w:rPr>
              <w:t>使用适用于更新要求的绑定类型</w:t>
            </w:r>
          </w:p>
          <w:p w14:paraId="60EA262E">
            <w:pPr>
              <w:pStyle w:val="14"/>
              <w:numPr>
                <w:ilvl w:val="0"/>
                <w:numId w:val="7"/>
              </w:numPr>
              <w:topLinePunct/>
              <w:adjustRightInd w:val="0"/>
              <w:snapToGrid w:val="0"/>
              <w:spacing w:before="46" w:beforeLines="15" w:line="360" w:lineRule="auto"/>
              <w:ind w:left="1276" w:firstLineChars="0"/>
              <w:rPr>
                <w:rFonts w:ascii="Arial" w:hAnsi="Arial" w:eastAsia="宋体" w:cs="Arial"/>
                <w:snapToGrid w:val="0"/>
                <w:kern w:val="0"/>
              </w:rPr>
            </w:pPr>
            <w:r>
              <w:rPr>
                <w:rFonts w:hint="eastAsia" w:ascii="Arial" w:hAnsi="Arial" w:eastAsia="宋体" w:cs="Arial"/>
                <w:snapToGrid w:val="0"/>
                <w:kern w:val="0"/>
              </w:rPr>
              <w:t>保证文件平铺</w:t>
            </w:r>
          </w:p>
          <w:p w14:paraId="7CA82339">
            <w:pPr>
              <w:pStyle w:val="14"/>
              <w:numPr>
                <w:ilvl w:val="0"/>
                <w:numId w:val="7"/>
              </w:numPr>
              <w:topLinePunct/>
              <w:adjustRightInd w:val="0"/>
              <w:snapToGrid w:val="0"/>
              <w:spacing w:before="46" w:beforeLines="15" w:line="360" w:lineRule="auto"/>
              <w:ind w:left="1276" w:firstLineChars="0"/>
              <w:rPr>
                <w:rFonts w:ascii="Arial" w:hAnsi="Arial" w:eastAsia="宋体" w:cs="Arial"/>
                <w:snapToGrid w:val="0"/>
                <w:kern w:val="0"/>
              </w:rPr>
            </w:pPr>
            <w:r>
              <w:rPr>
                <w:rFonts w:hint="eastAsia" w:ascii="Arial" w:hAnsi="Arial" w:eastAsia="宋体" w:cs="Arial"/>
                <w:snapToGrid w:val="0"/>
                <w:kern w:val="0"/>
              </w:rPr>
              <w:t>纸张应进行消光加工且无透过</w:t>
            </w:r>
          </w:p>
        </w:tc>
      </w:tr>
    </w:tbl>
    <w:p w14:paraId="41DAFB0B">
      <w:pPr>
        <w:topLinePunct/>
        <w:adjustRightInd w:val="0"/>
        <w:snapToGrid w:val="0"/>
        <w:spacing w:after="234" w:afterLines="75" w:line="360" w:lineRule="auto"/>
        <w:rPr>
          <w:rFonts w:ascii="Arial" w:hAnsi="Arial" w:eastAsia="宋体" w:cs="Arial"/>
          <w:snapToGrid w:val="0"/>
          <w:kern w:val="0"/>
          <w:sz w:val="2"/>
          <w:szCs w:val="2"/>
        </w:rPr>
      </w:pPr>
    </w:p>
    <w:p w14:paraId="11EE1178">
      <w:pPr>
        <w:pStyle w:val="2"/>
        <w:keepNext w:val="0"/>
        <w:keepLines w:val="0"/>
        <w:topLinePunct/>
        <w:adjustRightInd w:val="0"/>
        <w:snapToGrid w:val="0"/>
        <w:spacing w:beforeLines="0" w:after="234" w:afterLines="75" w:line="360" w:lineRule="auto"/>
        <w:jc w:val="center"/>
        <w:rPr>
          <w:rFonts w:ascii="Arial" w:hAnsi="Arial" w:eastAsia="宋体" w:cs="Arial"/>
          <w:b/>
          <w:snapToGrid w:val="0"/>
          <w:kern w:val="0"/>
          <w:sz w:val="24"/>
        </w:rPr>
      </w:pPr>
      <w:bookmarkStart w:id="13" w:name="_Toc499280426"/>
      <w:r>
        <w:rPr>
          <w:rFonts w:hint="eastAsia" w:ascii="Arial" w:hAnsi="Arial" w:eastAsia="宋体" w:cs="Arial"/>
          <w:b/>
          <w:snapToGrid w:val="0"/>
          <w:kern w:val="0"/>
          <w:sz w:val="24"/>
        </w:rPr>
        <w:t>相关主题</w:t>
      </w:r>
      <w:bookmarkEnd w:id="13"/>
    </w:p>
    <w:p w14:paraId="1DA7B5E5">
      <w:pPr>
        <w:pStyle w:val="3"/>
        <w:keepNext w:val="0"/>
        <w:keepLines w:val="0"/>
        <w:topLinePunct/>
        <w:adjustRightInd w:val="0"/>
        <w:snapToGrid w:val="0"/>
        <w:spacing w:beforeLines="0" w:after="234" w:afterLines="75" w:line="360" w:lineRule="auto"/>
        <w:rPr>
          <w:rFonts w:ascii="Arial" w:hAnsi="Arial" w:eastAsia="宋体" w:cs="Arial"/>
          <w:snapToGrid w:val="0"/>
          <w:kern w:val="0"/>
          <w:sz w:val="24"/>
        </w:rPr>
      </w:pPr>
      <w:bookmarkStart w:id="14" w:name="_Toc499280427"/>
      <w:r>
        <w:rPr>
          <w:rFonts w:hint="eastAsia" w:ascii="Arial" w:hAnsi="Arial" w:eastAsia="宋体" w:cs="Arial"/>
          <w:snapToGrid w:val="0"/>
          <w:kern w:val="0"/>
          <w:sz w:val="24"/>
        </w:rPr>
        <w:t>教学理论</w:t>
      </w:r>
      <w:bookmarkEnd w:id="14"/>
    </w:p>
    <w:p w14:paraId="65634448">
      <w:pPr>
        <w:topLinePunct/>
        <w:adjustRightInd w:val="0"/>
        <w:snapToGrid w:val="0"/>
        <w:spacing w:after="234" w:afterLines="75" w:line="360" w:lineRule="auto"/>
        <w:rPr>
          <w:rFonts w:ascii="Arial" w:hAnsi="Arial" w:eastAsia="宋体" w:cs="Arial"/>
          <w:snapToGrid w:val="0"/>
          <w:kern w:val="0"/>
          <w:sz w:val="24"/>
        </w:rPr>
      </w:pPr>
      <w:r>
        <w:rPr>
          <w:rFonts w:hint="eastAsia" w:ascii="Arial" w:hAnsi="Arial" w:eastAsia="宋体" w:cs="Arial"/>
          <w:snapToGrid w:val="0"/>
          <w:kern w:val="0"/>
          <w:sz w:val="24"/>
        </w:rPr>
        <w:t>已针对教人进行操作的理论基础进行了许多研究。这些理论的具体细节不在本报告的范围之内。由于其影响对本报告中医疗器械标签原理的说明，因此，提及教学理论是适当的。下述所列的参考文献与医疗器械最相关。文献目录中所含的文章与适用于标签设计、开发和评估的更多理论主题相关。</w:t>
      </w:r>
    </w:p>
    <w:p w14:paraId="3915E35A">
      <w:pPr>
        <w:topLinePunct/>
        <w:adjustRightInd w:val="0"/>
        <w:snapToGrid w:val="0"/>
        <w:spacing w:after="156" w:afterLines="50"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教学理论参考文献</w:t>
      </w:r>
    </w:p>
    <w:p w14:paraId="46827E49">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Britton, B.K, Glynn, S.M., Meyer, B.J.F., &amp; Penland, M.J. (1982). Effects of text structure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on use of cognitive capacity during </w:t>
      </w:r>
      <w:r>
        <w:rPr>
          <w:rFonts w:ascii="Arial" w:hAnsi="Arial" w:eastAsia="宋体" w:cs="Arial"/>
          <w:b/>
          <w:bCs/>
          <w:snapToGrid w:val="0"/>
          <w:kern w:val="0"/>
          <w:sz w:val="24"/>
          <w:szCs w:val="21"/>
        </w:rPr>
        <w:t xml:space="preserve">reading. </w:t>
      </w:r>
      <w:r>
        <w:rPr>
          <w:rFonts w:ascii="Arial" w:hAnsi="Arial" w:eastAsia="宋体" w:cs="Arial"/>
          <w:snapToGrid w:val="0"/>
          <w:kern w:val="0"/>
          <w:sz w:val="24"/>
          <w:szCs w:val="21"/>
        </w:rPr>
        <w:t xml:space="preserve">Journal of Educational Psychology, </w:t>
      </w:r>
      <w:r>
        <w:rPr>
          <w:rFonts w:ascii="Arial" w:hAnsi="Arial" w:eastAsia="宋体" w:cs="Arial"/>
          <w:b/>
          <w:bCs/>
          <w:i/>
          <w:iCs/>
          <w:snapToGrid w:val="0"/>
          <w:kern w:val="0"/>
          <w:sz w:val="24"/>
          <w:szCs w:val="21"/>
        </w:rPr>
        <w:t>74,</w:t>
      </w:r>
      <w:r>
        <w:rPr>
          <w:rFonts w:hint="eastAsia" w:ascii="Arial" w:hAnsi="Arial" w:eastAsia="宋体" w:cs="Arial"/>
          <w:b/>
          <w:bCs/>
          <w:i/>
          <w:iCs/>
          <w:snapToGrid w:val="0"/>
          <w:kern w:val="0"/>
          <w:sz w:val="24"/>
          <w:szCs w:val="21"/>
        </w:rPr>
        <w:t>5</w:t>
      </w:r>
      <w:r>
        <w:rPr>
          <w:rFonts w:ascii="Arial" w:hAnsi="Arial" w:eastAsia="宋体" w:cs="Arial"/>
          <w:snapToGrid w:val="0"/>
          <w:kern w:val="0"/>
          <w:sz w:val="24"/>
          <w:szCs w:val="21"/>
        </w:rPr>
        <w:t>1-6 1.</w:t>
      </w:r>
    </w:p>
    <w:p w14:paraId="05E47B3C">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Chase, W.G., &amp; Clark, H.H. (1972). Mental operations in the comparison of sentences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pictures. In L. Gregg (Ed.), Cognition </w:t>
      </w:r>
      <w:r>
        <w:rPr>
          <w:rFonts w:ascii="Arial" w:hAnsi="Arial" w:eastAsia="宋体" w:cs="Arial"/>
          <w:b/>
          <w:bCs/>
          <w:i/>
          <w:iCs/>
          <w:snapToGrid w:val="0"/>
          <w:kern w:val="0"/>
          <w:sz w:val="24"/>
          <w:szCs w:val="21"/>
        </w:rPr>
        <w:t xml:space="preserve">in </w:t>
      </w:r>
      <w:r>
        <w:rPr>
          <w:rFonts w:ascii="Arial" w:hAnsi="Arial" w:eastAsia="宋体" w:cs="Arial"/>
          <w:snapToGrid w:val="0"/>
          <w:kern w:val="0"/>
          <w:sz w:val="24"/>
          <w:szCs w:val="21"/>
        </w:rPr>
        <w:t>learning and memory. New York: Wiley.</w:t>
      </w:r>
    </w:p>
    <w:p w14:paraId="3463197D">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Clark, H.H., &amp; Chase, W.G. (1972). On the process of comparing sentences against pictures.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Cognitive Psychology, 3,472-5 17.</w:t>
      </w:r>
    </w:p>
    <w:p w14:paraId="1B16EAC0">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Freebody, P., &amp; Anderson, R.C. (1986). Serial position and rated importance in the recall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text. Discourse Processes, 9.31-36.</w:t>
      </w:r>
    </w:p>
    <w:p w14:paraId="04348CBD">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Kern, R.P. (1985). Modeling users and their use of technical manuals. In </w:t>
      </w:r>
      <w:r>
        <w:rPr>
          <w:rFonts w:ascii="Arial" w:hAnsi="Arial" w:eastAsia="宋体" w:cs="Arial"/>
          <w:b/>
          <w:bCs/>
          <w:snapToGrid w:val="0"/>
          <w:kern w:val="0"/>
          <w:sz w:val="24"/>
          <w:szCs w:val="21"/>
        </w:rPr>
        <w:t xml:space="preserve">T.M. </w:t>
      </w:r>
      <w:r>
        <w:rPr>
          <w:rFonts w:ascii="Arial" w:hAnsi="Arial" w:eastAsia="宋体" w:cs="Arial"/>
          <w:snapToGrid w:val="0"/>
          <w:kern w:val="0"/>
          <w:sz w:val="24"/>
          <w:szCs w:val="21"/>
        </w:rPr>
        <w:t>Duffy and R.Waller (</w:t>
      </w:r>
      <w:r>
        <w:rPr>
          <w:rFonts w:ascii="Arial" w:hAnsi="Arial" w:eastAsia="宋体" w:cs="Arial"/>
          <w:b/>
          <w:bCs/>
          <w:snapToGrid w:val="0"/>
          <w:kern w:val="0"/>
          <w:sz w:val="24"/>
          <w:szCs w:val="21"/>
        </w:rPr>
        <w:t xml:space="preserve">Eds.), </w:t>
      </w:r>
      <w:r>
        <w:rPr>
          <w:rFonts w:ascii="Arial" w:hAnsi="Arial" w:eastAsia="宋体" w:cs="Arial"/>
          <w:snapToGrid w:val="0"/>
          <w:kern w:val="0"/>
          <w:sz w:val="24"/>
          <w:szCs w:val="21"/>
        </w:rPr>
        <w:t>Designing dlete xt. New York: Academic.</w:t>
      </w:r>
    </w:p>
    <w:p w14:paraId="66CE3F76">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Reder, L.M., Charney, D.H., &amp; Morgan, </w:t>
      </w:r>
      <w:r>
        <w:rPr>
          <w:rFonts w:ascii="Arial" w:hAnsi="Arial" w:eastAsia="宋体" w:cs="Arial"/>
          <w:b/>
          <w:bCs/>
          <w:snapToGrid w:val="0"/>
          <w:kern w:val="0"/>
          <w:sz w:val="24"/>
          <w:szCs w:val="21"/>
        </w:rPr>
        <w:t>ICI. (</w:t>
      </w:r>
      <w:r>
        <w:rPr>
          <w:rFonts w:ascii="Arial" w:hAnsi="Arial" w:eastAsia="宋体" w:cs="Arial"/>
          <w:snapToGrid w:val="0"/>
          <w:kern w:val="0"/>
          <w:sz w:val="24"/>
          <w:szCs w:val="21"/>
        </w:rPr>
        <w:t>1986). The role of elaborations in learning a</w:t>
      </w:r>
      <w:r>
        <w:rPr>
          <w:rFonts w:hint="eastAsia" w:ascii="Arial" w:hAnsi="Arial" w:eastAsia="宋体" w:cs="Arial"/>
          <w:snapToGrid w:val="0"/>
          <w:kern w:val="0"/>
          <w:sz w:val="24"/>
          <w:szCs w:val="21"/>
        </w:rPr>
        <w:t xml:space="preserve"> </w:t>
      </w:r>
      <w:r>
        <w:rPr>
          <w:rFonts w:ascii="Arial" w:hAnsi="Arial" w:eastAsia="宋体" w:cs="Arial"/>
          <w:b/>
          <w:bCs/>
          <w:snapToGrid w:val="0"/>
          <w:kern w:val="0"/>
          <w:sz w:val="24"/>
          <w:szCs w:val="21"/>
        </w:rPr>
        <w:t xml:space="preserve">skill </w:t>
      </w:r>
      <w:r>
        <w:rPr>
          <w:rFonts w:ascii="Arial" w:hAnsi="Arial" w:eastAsia="宋体" w:cs="Arial"/>
          <w:snapToGrid w:val="0"/>
          <w:kern w:val="0"/>
          <w:sz w:val="24"/>
          <w:szCs w:val="21"/>
        </w:rPr>
        <w:t xml:space="preserve">from an instructional text. Memory </w:t>
      </w:r>
      <w:r>
        <w:rPr>
          <w:rFonts w:ascii="Arial" w:hAnsi="Arial" w:eastAsia="宋体" w:cs="Arial"/>
          <w:b/>
          <w:bCs/>
          <w:i/>
          <w:iCs/>
          <w:snapToGrid w:val="0"/>
          <w:kern w:val="0"/>
          <w:sz w:val="24"/>
          <w:szCs w:val="21"/>
        </w:rPr>
        <w:t xml:space="preserve">and </w:t>
      </w:r>
      <w:r>
        <w:rPr>
          <w:rFonts w:ascii="Arial" w:hAnsi="Arial" w:eastAsia="宋体" w:cs="Arial"/>
          <w:snapToGrid w:val="0"/>
          <w:kern w:val="0"/>
          <w:sz w:val="24"/>
          <w:szCs w:val="21"/>
        </w:rPr>
        <w:t>Cognition, 14,64-78.</w:t>
      </w:r>
    </w:p>
    <w:p w14:paraId="61B074F8">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Ross, B. (1984). Remindigs and their effects in learning a cognitive skill. Cognitive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Psychology, 16, 371-416.</w:t>
      </w:r>
    </w:p>
    <w:p w14:paraId="3EE1C567">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Schmalhofer, F.J., &amp; Glavanov, </w:t>
      </w:r>
      <w:r>
        <w:rPr>
          <w:rFonts w:ascii="Arial" w:hAnsi="Arial" w:eastAsia="宋体" w:cs="Arial"/>
          <w:b/>
          <w:bCs/>
          <w:snapToGrid w:val="0"/>
          <w:kern w:val="0"/>
          <w:sz w:val="24"/>
          <w:szCs w:val="21"/>
        </w:rPr>
        <w:t>D. (</w:t>
      </w:r>
      <w:r>
        <w:rPr>
          <w:rFonts w:ascii="Arial" w:hAnsi="Arial" w:eastAsia="宋体" w:cs="Arial"/>
          <w:snapToGrid w:val="0"/>
          <w:kern w:val="0"/>
          <w:sz w:val="24"/>
          <w:szCs w:val="21"/>
        </w:rPr>
        <w:t>1986). Three components of understanding a</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programmer's manual: Verbatim, propositional and situational representations. Journal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Memory and Language, 25,279-294.</w:t>
      </w:r>
    </w:p>
    <w:p w14:paraId="528C3D14">
      <w:pPr>
        <w:pStyle w:val="3"/>
        <w:keepNext w:val="0"/>
        <w:keepLines w:val="0"/>
        <w:topLinePunct/>
        <w:adjustRightInd w:val="0"/>
        <w:snapToGrid w:val="0"/>
        <w:spacing w:beforeLines="0" w:after="156" w:line="360" w:lineRule="auto"/>
        <w:rPr>
          <w:rFonts w:ascii="Arial" w:hAnsi="Arial" w:eastAsia="宋体" w:cs="Arial"/>
          <w:snapToGrid w:val="0"/>
          <w:kern w:val="0"/>
          <w:sz w:val="24"/>
        </w:rPr>
      </w:pPr>
      <w:bookmarkStart w:id="15" w:name="_Toc499280428"/>
      <w:r>
        <w:rPr>
          <w:rFonts w:hint="eastAsia" w:ascii="Arial" w:hAnsi="Arial" w:eastAsia="宋体" w:cs="Arial"/>
          <w:snapToGrid w:val="0"/>
          <w:kern w:val="0"/>
          <w:sz w:val="24"/>
        </w:rPr>
        <w:t>医疗器械标签评估</w:t>
      </w:r>
      <w:bookmarkEnd w:id="15"/>
    </w:p>
    <w:p w14:paraId="17491EF6">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已获得FDA批准的医疗器械标签应进行上市前测试和评估。预测试涉及从针对标签不同特征的拟定用户组成员中系统采集的数据。预测试能够确认标签的明确优点和缺点。使用预测试调查结果以在器械上市前对标签进行改良。</w:t>
      </w:r>
    </w:p>
    <w:p w14:paraId="06C907BC">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标签的预测试应集中在下述一个或多个领域：用户理解、用户性能、可接受性、以及可信性。着重于预期用户组的特征，使标签发挥最大效果。许多医疗器械标签的主要缺点是未考虑到目标用户。因此，用户可能通常误解或无法理解标签。</w:t>
      </w:r>
    </w:p>
    <w:p w14:paraId="5BD3F140">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可采用几种方法来预先测试医疗器械标签，包括典型人群谈话、深度个体谈话、调查问卷和可读性测试。在通常情况下，必须利用这些方法的一些组合来尽可能开发最有效的标签。所附的参考文献列表包括阐述如何使用这些方法来评估、评价和改善医疗器械标签的典型文章和专章。</w:t>
      </w:r>
    </w:p>
    <w:p w14:paraId="3185CD6F">
      <w:pPr>
        <w:topLinePunct/>
        <w:adjustRightInd w:val="0"/>
        <w:snapToGrid w:val="0"/>
        <w:spacing w:after="156" w:afterLines="50"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评估参考文献</w:t>
      </w:r>
    </w:p>
    <w:p w14:paraId="0035FEC6">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Basch, C.E. (1987). Focus group interview: An underutilized research technique for improving</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theory and practice in health education. </w:t>
      </w:r>
      <w:r>
        <w:rPr>
          <w:rFonts w:ascii="Arial" w:hAnsi="Arial" w:eastAsia="宋体" w:cs="Arial"/>
          <w:b/>
          <w:bCs/>
          <w:i/>
          <w:iCs/>
          <w:snapToGrid w:val="0"/>
          <w:kern w:val="0"/>
          <w:sz w:val="24"/>
          <w:szCs w:val="21"/>
        </w:rPr>
        <w:t xml:space="preserve">Health Education Quarterly, </w:t>
      </w:r>
      <w:r>
        <w:rPr>
          <w:rFonts w:ascii="Arial" w:hAnsi="Arial" w:eastAsia="宋体" w:cs="Arial"/>
          <w:snapToGrid w:val="0"/>
          <w:kern w:val="0"/>
          <w:sz w:val="24"/>
          <w:szCs w:val="21"/>
        </w:rPr>
        <w:t>14,411-448.</w:t>
      </w:r>
    </w:p>
    <w:p w14:paraId="0328C011">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Gould. E., &amp; Doheny-Farina. S. (1988). Studying usability in the field: Qualitative research</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techniques for technical communicators. In S. Doheny-Farina (Ed.), </w:t>
      </w:r>
      <w:r>
        <w:rPr>
          <w:rFonts w:ascii="Arial" w:hAnsi="Arial" w:eastAsia="宋体" w:cs="Arial"/>
          <w:b/>
          <w:bCs/>
          <w:i/>
          <w:iCs/>
          <w:snapToGrid w:val="0"/>
          <w:kern w:val="0"/>
          <w:sz w:val="24"/>
          <w:szCs w:val="21"/>
        </w:rPr>
        <w:t>Effective</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documentation: What we have learned from research. </w:t>
      </w:r>
      <w:r>
        <w:rPr>
          <w:rFonts w:ascii="Arial" w:hAnsi="Arial" w:eastAsia="宋体" w:cs="Arial"/>
          <w:snapToGrid w:val="0"/>
          <w:kern w:val="0"/>
          <w:sz w:val="24"/>
          <w:szCs w:val="21"/>
        </w:rPr>
        <w:t xml:space="preserve">Cambridge, </w:t>
      </w:r>
      <w:r>
        <w:rPr>
          <w:rFonts w:ascii="Arial" w:hAnsi="Arial" w:eastAsia="宋体" w:cs="Arial"/>
          <w:b/>
          <w:bCs/>
          <w:i/>
          <w:iCs/>
          <w:snapToGrid w:val="0"/>
          <w:kern w:val="0"/>
          <w:sz w:val="24"/>
          <w:szCs w:val="21"/>
        </w:rPr>
        <w:t xml:space="preserve">MA. </w:t>
      </w:r>
      <w:r>
        <w:rPr>
          <w:rFonts w:ascii="Arial" w:hAnsi="Arial" w:eastAsia="宋体" w:cs="Arial"/>
          <w:snapToGrid w:val="0"/>
          <w:kern w:val="0"/>
          <w:sz w:val="24"/>
          <w:szCs w:val="21"/>
        </w:rPr>
        <w:t>MIT Press.</w:t>
      </w:r>
    </w:p>
    <w:p w14:paraId="04AF7CB6">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Hartley, J. (1990). Is this text any use? Methods for evaluating text. In J.R. Wilson and E. 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Corlett (</w:t>
      </w:r>
      <w:r>
        <w:rPr>
          <w:rFonts w:ascii="Arial" w:hAnsi="Arial" w:eastAsia="宋体" w:cs="Arial"/>
          <w:b/>
          <w:bCs/>
          <w:snapToGrid w:val="0"/>
          <w:kern w:val="0"/>
          <w:sz w:val="24"/>
          <w:szCs w:val="21"/>
        </w:rPr>
        <w:t xml:space="preserve">Eds.), </w:t>
      </w:r>
      <w:r>
        <w:rPr>
          <w:rFonts w:ascii="Arial" w:hAnsi="Arial" w:eastAsia="宋体" w:cs="Arial"/>
          <w:b/>
          <w:bCs/>
          <w:i/>
          <w:iCs/>
          <w:snapToGrid w:val="0"/>
          <w:kern w:val="0"/>
          <w:sz w:val="24"/>
          <w:szCs w:val="21"/>
        </w:rPr>
        <w:t>Evaluation of human work: A practical ergonomics methodology (</w:t>
      </w:r>
      <w:r>
        <w:rPr>
          <w:rFonts w:ascii="Arial" w:hAnsi="Arial" w:eastAsia="宋体" w:cs="Arial"/>
          <w:snapToGrid w:val="0"/>
          <w:kern w:val="0"/>
          <w:sz w:val="24"/>
          <w:szCs w:val="21"/>
        </w:rPr>
        <w:t xml:space="preserve">pp. </w:t>
      </w:r>
      <w:r>
        <w:rPr>
          <w:rFonts w:ascii="Arial" w:hAnsi="Arial" w:eastAsia="宋体" w:cs="Arial"/>
          <w:b/>
          <w:bCs/>
          <w:snapToGrid w:val="0"/>
          <w:kern w:val="0"/>
          <w:sz w:val="24"/>
          <w:szCs w:val="21"/>
        </w:rPr>
        <w:t>248-</w:t>
      </w:r>
      <w:r>
        <w:rPr>
          <w:rFonts w:ascii="Arial" w:hAnsi="Arial" w:eastAsia="宋体" w:cs="Arial"/>
          <w:snapToGrid w:val="0"/>
          <w:kern w:val="0"/>
          <w:sz w:val="24"/>
          <w:szCs w:val="21"/>
        </w:rPr>
        <w:t>270). London: Taylor &amp; Francis.</w:t>
      </w:r>
    </w:p>
    <w:p w14:paraId="5D94A533">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Higginbotham, J.B., &amp; Cox, K.K. (1979). </w:t>
      </w:r>
      <w:r>
        <w:rPr>
          <w:rFonts w:ascii="Arial" w:hAnsi="Arial" w:eastAsia="宋体" w:cs="Arial"/>
          <w:b/>
          <w:bCs/>
          <w:i/>
          <w:iCs/>
          <w:snapToGrid w:val="0"/>
          <w:kern w:val="0"/>
          <w:sz w:val="24"/>
          <w:szCs w:val="21"/>
        </w:rPr>
        <w:t xml:space="preserve">Focus group interviews: A reader. </w:t>
      </w:r>
      <w:r>
        <w:rPr>
          <w:rFonts w:ascii="Arial" w:hAnsi="Arial" w:eastAsia="宋体" w:cs="Arial"/>
          <w:snapToGrid w:val="0"/>
          <w:kern w:val="0"/>
          <w:sz w:val="24"/>
          <w:szCs w:val="21"/>
        </w:rPr>
        <w:t>Chicago: American Marketing Association.</w:t>
      </w:r>
    </w:p>
    <w:p w14:paraId="6A5638AE">
      <w:pPr>
        <w:topLinePunct/>
        <w:adjustRightInd w:val="0"/>
        <w:snapToGrid w:val="0"/>
        <w:spacing w:after="156" w:afterLines="50" w:line="360" w:lineRule="auto"/>
        <w:rPr>
          <w:rFonts w:ascii="Arial" w:hAnsi="Arial" w:eastAsia="宋体" w:cs="Arial"/>
          <w:b/>
          <w:bCs/>
          <w:snapToGrid w:val="0"/>
          <w:kern w:val="0"/>
          <w:sz w:val="24"/>
          <w:szCs w:val="21"/>
        </w:rPr>
      </w:pPr>
      <w:r>
        <w:rPr>
          <w:rFonts w:ascii="Arial" w:hAnsi="Arial" w:eastAsia="宋体" w:cs="Arial"/>
          <w:snapToGrid w:val="0"/>
          <w:kern w:val="0"/>
          <w:sz w:val="24"/>
          <w:szCs w:val="21"/>
        </w:rPr>
        <w:t xml:space="preserve">Klare, G.R. (1974- 1975). Assessing readability. </w:t>
      </w:r>
      <w:r>
        <w:rPr>
          <w:rFonts w:ascii="Arial" w:hAnsi="Arial" w:eastAsia="宋体" w:cs="Arial"/>
          <w:b/>
          <w:bCs/>
          <w:i/>
          <w:iCs/>
          <w:snapToGrid w:val="0"/>
          <w:kern w:val="0"/>
          <w:sz w:val="24"/>
          <w:szCs w:val="21"/>
        </w:rPr>
        <w:t xml:space="preserve">Reading Research Quarterly, </w:t>
      </w:r>
      <w:r>
        <w:rPr>
          <w:rFonts w:ascii="Arial" w:hAnsi="Arial" w:eastAsia="宋体" w:cs="Arial"/>
          <w:b/>
          <w:bCs/>
          <w:snapToGrid w:val="0"/>
          <w:kern w:val="0"/>
          <w:sz w:val="24"/>
          <w:szCs w:val="21"/>
        </w:rPr>
        <w:t>10,62-102.</w:t>
      </w:r>
    </w:p>
    <w:p w14:paraId="6922B126">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Savol, R.M., Charles, H.C., Daniel, A., Kaka, M.T., Romano, R.M., Thilman, 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Tomaszewski, J.P., &amp; Vetter, C. (1989). </w:t>
      </w:r>
      <w:r>
        <w:rPr>
          <w:rFonts w:ascii="Arial" w:hAnsi="Arial" w:eastAsia="宋体" w:cs="Arial"/>
          <w:b/>
          <w:bCs/>
          <w:i/>
          <w:iCs/>
          <w:snapToGrid w:val="0"/>
          <w:kern w:val="0"/>
          <w:sz w:val="24"/>
          <w:szCs w:val="21"/>
        </w:rPr>
        <w:t>Labeling of home-use in vitro testing products.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Proposed Guideline. National Committee for Clinical Laboratory Standards (NCCLS) Document GP 14-P, Vol. 9, No. 8.</w:t>
      </w:r>
    </w:p>
    <w:p w14:paraId="76C81BC3">
      <w:pPr>
        <w:topLinePunct/>
        <w:adjustRightInd w:val="0"/>
        <w:snapToGrid w:val="0"/>
        <w:spacing w:after="156" w:afterLines="50" w:line="360"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United States, DHHS, </w:t>
      </w:r>
      <w:r>
        <w:rPr>
          <w:rFonts w:ascii="Arial" w:hAnsi="Arial" w:eastAsia="宋体" w:cs="Arial"/>
          <w:b/>
          <w:bCs/>
          <w:snapToGrid w:val="0"/>
          <w:kern w:val="0"/>
          <w:sz w:val="24"/>
          <w:szCs w:val="21"/>
        </w:rPr>
        <w:t xml:space="preserve">PHs, </w:t>
      </w:r>
      <w:r>
        <w:rPr>
          <w:rFonts w:ascii="Arial" w:hAnsi="Arial" w:eastAsia="宋体" w:cs="Arial"/>
          <w:snapToGrid w:val="0"/>
          <w:kern w:val="0"/>
          <w:sz w:val="24"/>
          <w:szCs w:val="21"/>
        </w:rPr>
        <w:t xml:space="preserve">NIH (1984). </w:t>
      </w:r>
      <w:r>
        <w:rPr>
          <w:rFonts w:ascii="Arial" w:hAnsi="Arial" w:eastAsia="宋体" w:cs="Arial"/>
          <w:b/>
          <w:bCs/>
          <w:i/>
          <w:iCs/>
          <w:snapToGrid w:val="0"/>
          <w:kern w:val="0"/>
          <w:sz w:val="24"/>
          <w:szCs w:val="21"/>
        </w:rPr>
        <w:t>Pretesting in health communications: Methods,</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 xml:space="preserve">examples, and resources for improving health messages and materials. NM </w:t>
      </w:r>
      <w:r>
        <w:rPr>
          <w:rFonts w:ascii="Arial" w:hAnsi="Arial" w:eastAsia="宋体" w:cs="Arial"/>
          <w:snapToGrid w:val="0"/>
          <w:kern w:val="0"/>
          <w:sz w:val="24"/>
          <w:szCs w:val="21"/>
        </w:rPr>
        <w:t>Publication</w:t>
      </w:r>
      <w:r>
        <w:rPr>
          <w:rFonts w:hint="eastAsia" w:ascii="Arial" w:hAnsi="Arial" w:eastAsia="宋体" w:cs="Arial"/>
          <w:b/>
          <w:bCs/>
          <w:i/>
          <w:iCs/>
          <w:snapToGrid w:val="0"/>
          <w:kern w:val="0"/>
          <w:sz w:val="24"/>
          <w:szCs w:val="21"/>
        </w:rPr>
        <w:t xml:space="preserve"> </w:t>
      </w:r>
      <w:r>
        <w:rPr>
          <w:rFonts w:ascii="Arial" w:hAnsi="Arial" w:eastAsia="宋体" w:cs="Arial"/>
          <w:snapToGrid w:val="0"/>
          <w:kern w:val="0"/>
          <w:sz w:val="24"/>
          <w:szCs w:val="21"/>
        </w:rPr>
        <w:t>No. 84-1493, Appendix C, pp. 46-47.</w:t>
      </w:r>
    </w:p>
    <w:p w14:paraId="23C7FB11">
      <w:pPr>
        <w:pStyle w:val="3"/>
        <w:keepNext w:val="0"/>
        <w:keepLines w:val="0"/>
        <w:topLinePunct/>
        <w:adjustRightInd w:val="0"/>
        <w:snapToGrid w:val="0"/>
        <w:spacing w:beforeLines="0" w:after="156" w:line="360" w:lineRule="auto"/>
        <w:rPr>
          <w:rFonts w:ascii="Arial" w:hAnsi="Arial" w:eastAsia="宋体" w:cs="Arial"/>
          <w:snapToGrid w:val="0"/>
          <w:kern w:val="0"/>
          <w:sz w:val="24"/>
        </w:rPr>
      </w:pPr>
      <w:bookmarkStart w:id="16" w:name="_Toc499280429"/>
      <w:r>
        <w:rPr>
          <w:rFonts w:hint="eastAsia" w:ascii="Arial" w:hAnsi="Arial" w:eastAsia="宋体" w:cs="Arial"/>
          <w:snapToGrid w:val="0"/>
          <w:kern w:val="0"/>
          <w:sz w:val="24"/>
        </w:rPr>
        <w:t>其它教学媒体</w:t>
      </w:r>
      <w:bookmarkEnd w:id="16"/>
    </w:p>
    <w:p w14:paraId="0351EA29">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本报告涉及一种专门作为教导人们操作医疗器械方法的打印标签。至今为止，关于媒体不同于标签的教学价值的研究关注度较低。但是初步调查结果是值得注意的。例如，本项目用户观察研究的参与者优先选择个人示范和录像带而不是印刷商标。并且，教学套装与任何教学媒体相比，产生了更好的一致性能。因此，尽管印刷材料在教人如何操作医疗器械方面发挥了重要作用，其它媒体也值得调查。下述参考文献列表为媒体研究而不是印刷标签研究提供了样本。</w:t>
      </w:r>
    </w:p>
    <w:p w14:paraId="2BF2DDAD">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其它教学媒体参考文献</w:t>
      </w:r>
    </w:p>
    <w:p w14:paraId="3EC107F4">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Culbertson, V.L., Arthur, </w:t>
      </w:r>
      <w:r>
        <w:rPr>
          <w:rFonts w:ascii="Arial" w:hAnsi="Arial" w:eastAsia="宋体" w:cs="Arial"/>
          <w:b/>
          <w:bCs/>
          <w:snapToGrid w:val="0"/>
          <w:kern w:val="0"/>
          <w:sz w:val="24"/>
          <w:szCs w:val="21"/>
        </w:rPr>
        <w:t xml:space="preserve">T.G., </w:t>
      </w:r>
      <w:r>
        <w:rPr>
          <w:rFonts w:ascii="Arial" w:hAnsi="Arial" w:eastAsia="宋体" w:cs="Arial"/>
          <w:snapToGrid w:val="0"/>
          <w:kern w:val="0"/>
          <w:sz w:val="24"/>
          <w:szCs w:val="21"/>
        </w:rPr>
        <w:t>Rhodes, P.F., &amp; Rhodes, R.S. (1988). Consumer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preferences for verbal and written information. Drug Intelligence </w:t>
      </w:r>
      <w:r>
        <w:rPr>
          <w:rFonts w:ascii="Arial" w:hAnsi="Arial" w:eastAsia="宋体" w:cs="Arial"/>
          <w:b/>
          <w:bCs/>
          <w:i/>
          <w:iCs/>
          <w:snapToGrid w:val="0"/>
          <w:kern w:val="0"/>
          <w:sz w:val="24"/>
          <w:szCs w:val="21"/>
        </w:rPr>
        <w:t xml:space="preserve">and </w:t>
      </w:r>
      <w:r>
        <w:rPr>
          <w:rFonts w:ascii="Arial" w:hAnsi="Arial" w:eastAsia="宋体" w:cs="Arial"/>
          <w:snapToGrid w:val="0"/>
          <w:kern w:val="0"/>
          <w:sz w:val="24"/>
          <w:szCs w:val="21"/>
        </w:rPr>
        <w:t>Clinical Pharmacy,</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22, 390-396.</w:t>
      </w:r>
    </w:p>
    <w:p w14:paraId="2D8920CB">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Gagliano, M.E. (1988). A literature review on the efficacy of video in patient education.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Journal of Medical Education, 63,785-792.</w:t>
      </w:r>
    </w:p>
    <w:p w14:paraId="6CA522BA">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Jenkinson, D., Davison, J., Jones, S., &amp; Hawtin, P. (1988). Comparison of effects of a self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management booklet and audiocassette for patients with asthma. British Medical Journal,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297, 267-270.</w:t>
      </w:r>
    </w:p>
    <w:p w14:paraId="2A7CDB5D">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Miller, G., &amp; Shank, J.C. (1986). Patient education: Comparative effectiveness by means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presentation. The Journal of Family Practice, 22, 178-18 1.</w:t>
      </w:r>
    </w:p>
    <w:p w14:paraId="1CDB919A">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Reith, S., Graham, J.L., McEwan, C., &amp; Fraser, K.J. (1984). Video as a teaching aid. British</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Medical Jounuzl, 289,250.</w:t>
      </w:r>
    </w:p>
    <w:p w14:paraId="7A61C45F">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Rubens, P., &amp; Krull, R. (1985). Application of research on document design to online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displays. Technical Communication, 32,29-34.</w:t>
      </w:r>
    </w:p>
    <w:p w14:paraId="3D82DD7D">
      <w:pPr>
        <w:pStyle w:val="3"/>
        <w:keepNext w:val="0"/>
        <w:keepLines w:val="0"/>
        <w:topLinePunct/>
        <w:adjustRightInd w:val="0"/>
        <w:snapToGrid w:val="0"/>
        <w:spacing w:beforeLines="0" w:after="156" w:line="360" w:lineRule="auto"/>
        <w:rPr>
          <w:rFonts w:ascii="Arial" w:hAnsi="Arial" w:eastAsia="宋体" w:cs="Arial"/>
          <w:snapToGrid w:val="0"/>
          <w:kern w:val="0"/>
          <w:sz w:val="24"/>
        </w:rPr>
      </w:pPr>
      <w:bookmarkStart w:id="17" w:name="_Toc499280430"/>
      <w:r>
        <w:rPr>
          <w:rFonts w:hint="eastAsia" w:ascii="Arial" w:hAnsi="Arial" w:eastAsia="宋体" w:cs="Arial"/>
          <w:snapToGrid w:val="0"/>
          <w:kern w:val="0"/>
          <w:sz w:val="24"/>
        </w:rPr>
        <w:t>法规、标准和指导方针</w:t>
      </w:r>
      <w:bookmarkEnd w:id="17"/>
    </w:p>
    <w:p w14:paraId="174C92DF">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法规、标准和指导方针有助于保证以一种安全和有效的方式来设计、制造和使用医疗器械。法规是构成的权威机构规定的规则、限制条件和控制。标准为材料、方法或规范确认了特定的、基本要求</w:t>
      </w:r>
      <w:r>
        <w:rPr>
          <w:rFonts w:hint="eastAsia" w:ascii="宋体" w:hAnsi="宋体" w:eastAsia="宋体" w:cs="Arial"/>
          <w:snapToGrid w:val="0"/>
          <w:kern w:val="0"/>
          <w:sz w:val="24"/>
        </w:rPr>
        <w:t>”</w:t>
      </w:r>
      <w:r>
        <w:rPr>
          <w:rFonts w:hint="eastAsia" w:ascii="Arial" w:hAnsi="Arial" w:eastAsia="宋体" w:cs="Arial"/>
          <w:snapToGrid w:val="0"/>
          <w:kern w:val="0"/>
          <w:sz w:val="24"/>
        </w:rPr>
        <w:t>。与法规一样，使用标准不需要修正。通过共识来制定指导性原则，并为一般操作规范、程序或材料的标准进行说明。指导性方针至少对这三类惯例进行了约束，并且，可能被作为符合特别要求的书面文件或经修改的文件。</w:t>
      </w:r>
    </w:p>
    <w:p w14:paraId="7E8512D3">
      <w:pPr>
        <w:topLinePunct/>
        <w:adjustRightInd w:val="0"/>
        <w:snapToGrid w:val="0"/>
        <w:spacing w:after="156" w:afterLines="50"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法规、标准和指南参考文献</w:t>
      </w:r>
    </w:p>
    <w:p w14:paraId="3DE05B74">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United States, Code of Federal Regulations, Title 21 Food and Drug Administration, DHHS,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Part 801, Labeling, Subpart C, Labeling requirements for over-the</w:t>
      </w:r>
      <w:r>
        <w:rPr>
          <w:rFonts w:hint="eastAsia" w:ascii="Arial" w:hAnsi="Arial" w:eastAsia="宋体" w:cs="Arial"/>
          <w:snapToGrid w:val="0"/>
          <w:kern w:val="0"/>
          <w:sz w:val="24"/>
          <w:szCs w:val="21"/>
        </w:rPr>
        <w:t>-</w:t>
      </w:r>
      <w:r>
        <w:rPr>
          <w:rFonts w:ascii="Arial" w:hAnsi="Arial" w:eastAsia="宋体" w:cs="Arial"/>
          <w:snapToGrid w:val="0"/>
          <w:kern w:val="0"/>
          <w:sz w:val="24"/>
          <w:szCs w:val="21"/>
        </w:rPr>
        <w:t>counter devices.</w:t>
      </w:r>
    </w:p>
    <w:p w14:paraId="649C67A9">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United States, Code of Federal Regulations, Title 21 Food and Drug Administration, DHHS,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Part 809, </w:t>
      </w:r>
      <w:r>
        <w:rPr>
          <w:rFonts w:ascii="Arial" w:hAnsi="Arial" w:eastAsia="宋体" w:cs="Arial"/>
          <w:b/>
          <w:bCs/>
          <w:i/>
          <w:iCs/>
          <w:snapToGrid w:val="0"/>
          <w:kern w:val="0"/>
          <w:sz w:val="24"/>
          <w:szCs w:val="21"/>
        </w:rPr>
        <w:t xml:space="preserve">In </w:t>
      </w:r>
      <w:r>
        <w:rPr>
          <w:rFonts w:ascii="Arial" w:hAnsi="Arial" w:eastAsia="宋体" w:cs="Arial"/>
          <w:snapToGrid w:val="0"/>
          <w:kern w:val="0"/>
          <w:sz w:val="24"/>
          <w:szCs w:val="21"/>
        </w:rPr>
        <w:t>vitro diagnostic products for human use, Subpart B, Labeling for in vitro</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diagnostic products.</w:t>
      </w:r>
    </w:p>
    <w:p w14:paraId="33376C03">
      <w:pPr>
        <w:topLinePunct/>
        <w:adjustRightInd w:val="0"/>
        <w:snapToGrid w:val="0"/>
        <w:spacing w:after="156" w:afterLines="50" w:line="360" w:lineRule="auto"/>
        <w:rPr>
          <w:rFonts w:ascii="Arial" w:hAnsi="Arial" w:eastAsia="宋体" w:cs="Arial"/>
          <w:snapToGrid w:val="0"/>
          <w:kern w:val="0"/>
          <w:sz w:val="24"/>
          <w:szCs w:val="21"/>
        </w:rPr>
      </w:pPr>
      <w:r>
        <w:rPr>
          <w:rFonts w:ascii="Arial" w:hAnsi="Arial" w:eastAsia="宋体" w:cs="Arial"/>
          <w:snapToGrid w:val="0"/>
          <w:kern w:val="0"/>
          <w:sz w:val="24"/>
          <w:szCs w:val="21"/>
        </w:rPr>
        <w:t>United States, DHHS, PHs, FDA (1986). Labeling: Regulatory requirements for medical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devices. HHS Publication FDA 86-4203.</w:t>
      </w:r>
    </w:p>
    <w:p w14:paraId="0F8E21AF">
      <w:pPr>
        <w:widowControl/>
        <w:jc w:val="left"/>
        <w:rPr>
          <w:rFonts w:ascii="Arial" w:hAnsi="Arial" w:eastAsia="宋体" w:cs="Arial"/>
          <w:b/>
          <w:bCs/>
          <w:snapToGrid w:val="0"/>
          <w:kern w:val="0"/>
          <w:sz w:val="24"/>
          <w:szCs w:val="44"/>
        </w:rPr>
      </w:pPr>
      <w:bookmarkStart w:id="18" w:name="_Toc499280431"/>
      <w:r>
        <w:rPr>
          <w:rFonts w:ascii="Arial" w:hAnsi="Arial" w:eastAsia="宋体" w:cs="Arial"/>
          <w:b/>
          <w:snapToGrid w:val="0"/>
          <w:kern w:val="0"/>
          <w:sz w:val="24"/>
        </w:rPr>
        <w:br w:type="page"/>
      </w:r>
    </w:p>
    <w:p w14:paraId="5B08C4A7">
      <w:pPr>
        <w:pStyle w:val="2"/>
        <w:keepNext w:val="0"/>
        <w:keepLines w:val="0"/>
        <w:topLinePunct/>
        <w:adjustRightInd w:val="0"/>
        <w:snapToGrid w:val="0"/>
        <w:spacing w:beforeLines="0" w:after="234" w:afterLines="75" w:line="360" w:lineRule="auto"/>
        <w:jc w:val="center"/>
        <w:rPr>
          <w:rFonts w:ascii="Arial" w:hAnsi="Arial" w:eastAsia="宋体" w:cs="Arial"/>
          <w:b/>
          <w:snapToGrid w:val="0"/>
          <w:kern w:val="0"/>
          <w:sz w:val="28"/>
        </w:rPr>
      </w:pPr>
      <w:r>
        <w:rPr>
          <w:rFonts w:hint="eastAsia" w:ascii="Arial" w:hAnsi="Arial" w:eastAsia="宋体" w:cs="Arial"/>
          <w:b/>
          <w:snapToGrid w:val="0"/>
          <w:kern w:val="0"/>
          <w:sz w:val="28"/>
        </w:rPr>
        <w:t>文献目录</w:t>
      </w:r>
      <w:bookmarkEnd w:id="18"/>
    </w:p>
    <w:p w14:paraId="366AEF81">
      <w:pPr>
        <w:pStyle w:val="3"/>
        <w:keepNext w:val="0"/>
        <w:keepLines w:val="0"/>
        <w:topLinePunct/>
        <w:adjustRightInd w:val="0"/>
        <w:snapToGrid w:val="0"/>
        <w:spacing w:beforeLines="0" w:after="109" w:afterLines="35" w:line="288" w:lineRule="auto"/>
        <w:rPr>
          <w:rFonts w:ascii="Arial" w:hAnsi="Arial" w:eastAsia="宋体" w:cs="Arial"/>
          <w:b/>
          <w:snapToGrid w:val="0"/>
          <w:kern w:val="0"/>
          <w:sz w:val="24"/>
        </w:rPr>
      </w:pPr>
      <w:bookmarkStart w:id="19" w:name="_Toc499280432"/>
      <w:r>
        <w:rPr>
          <w:rFonts w:hint="eastAsia" w:ascii="Arial" w:hAnsi="Arial" w:eastAsia="宋体" w:cs="Arial"/>
          <w:b/>
          <w:snapToGrid w:val="0"/>
          <w:kern w:val="0"/>
          <w:sz w:val="24"/>
        </w:rPr>
        <w:t>一般文件设计</w:t>
      </w:r>
      <w:bookmarkEnd w:id="19"/>
    </w:p>
    <w:p w14:paraId="48590DF5">
      <w:pPr>
        <w:topLinePunct/>
        <w:adjustRightInd w:val="0"/>
        <w:snapToGrid w:val="0"/>
        <w:spacing w:after="109" w:afterLines="35" w:line="288" w:lineRule="auto"/>
        <w:rPr>
          <w:rFonts w:ascii="Arial" w:hAnsi="Arial" w:eastAsia="宋体" w:cs="Arial"/>
          <w:b/>
          <w:bCs/>
          <w:i/>
          <w:iCs/>
          <w:snapToGrid w:val="0"/>
          <w:kern w:val="0"/>
          <w:sz w:val="24"/>
          <w:szCs w:val="24"/>
        </w:rPr>
      </w:pPr>
      <w:r>
        <w:rPr>
          <w:rFonts w:ascii="Arial" w:hAnsi="Arial" w:eastAsia="宋体" w:cs="Arial"/>
          <w:snapToGrid w:val="0"/>
          <w:kern w:val="0"/>
          <w:sz w:val="24"/>
          <w:szCs w:val="24"/>
        </w:rPr>
        <w:t xml:space="preserve">Adams, K.A., </w:t>
      </w:r>
      <w:r>
        <w:rPr>
          <w:rFonts w:ascii="Arial" w:hAnsi="Arial" w:eastAsia="宋体" w:cs="Arial"/>
          <w:snapToGrid w:val="0"/>
          <w:kern w:val="0"/>
          <w:sz w:val="24"/>
        </w:rPr>
        <w:t xml:space="preserve">&amp; </w:t>
      </w:r>
      <w:r>
        <w:rPr>
          <w:rFonts w:ascii="Arial" w:hAnsi="Arial" w:eastAsia="宋体" w:cs="Arial"/>
          <w:snapToGrid w:val="0"/>
          <w:kern w:val="0"/>
          <w:sz w:val="24"/>
          <w:szCs w:val="24"/>
        </w:rPr>
        <w:t xml:space="preserve">Halasz, I.M. (1983). 25 ways to improve your sofmare user </w:t>
      </w:r>
      <w:r>
        <w:rPr>
          <w:rFonts w:ascii="Arial" w:hAnsi="Arial" w:eastAsia="宋体" w:cs="Arial"/>
          <w:b/>
          <w:bCs/>
          <w:i/>
          <w:iCs/>
          <w:snapToGrid w:val="0"/>
          <w:kern w:val="0"/>
          <w:sz w:val="24"/>
          <w:szCs w:val="24"/>
        </w:rPr>
        <w:t>manuals.</w:t>
      </w:r>
      <w:r>
        <w:rPr>
          <w:rFonts w:ascii="Arial" w:hAnsi="Arial" w:eastAsia="宋体" w:cs="Arial"/>
          <w:snapToGrid w:val="0"/>
          <w:kern w:val="0"/>
          <w:sz w:val="24"/>
          <w:szCs w:val="24"/>
        </w:rPr>
        <w:t>Worthington, OH: Technology Training Systems.</w:t>
      </w:r>
    </w:p>
    <w:p w14:paraId="07F33CF8">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Alfonso, E., Mandelbaum, S., </w:t>
      </w:r>
      <w:r>
        <w:rPr>
          <w:rFonts w:ascii="Arial" w:hAnsi="Arial" w:eastAsia="宋体" w:cs="Arial"/>
          <w:b/>
          <w:bCs/>
          <w:snapToGrid w:val="0"/>
          <w:kern w:val="0"/>
          <w:sz w:val="24"/>
        </w:rPr>
        <w:t xml:space="preserve">Fox, </w:t>
      </w:r>
      <w:r>
        <w:rPr>
          <w:rFonts w:ascii="Arial" w:hAnsi="Arial" w:eastAsia="宋体" w:cs="Arial"/>
          <w:b/>
          <w:bCs/>
          <w:snapToGrid w:val="0"/>
          <w:kern w:val="0"/>
          <w:sz w:val="24"/>
          <w:szCs w:val="28"/>
        </w:rPr>
        <w:t xml:space="preserve">M.J., </w:t>
      </w:r>
      <w:r>
        <w:rPr>
          <w:rFonts w:ascii="Arial" w:hAnsi="Arial" w:eastAsia="宋体" w:cs="Arial"/>
          <w:snapToGrid w:val="0"/>
          <w:kern w:val="0"/>
          <w:sz w:val="24"/>
        </w:rPr>
        <w:t xml:space="preserve">&amp; </w:t>
      </w:r>
      <w:r>
        <w:rPr>
          <w:rFonts w:ascii="Arial" w:hAnsi="Arial" w:eastAsia="宋体" w:cs="Arial"/>
          <w:snapToGrid w:val="0"/>
          <w:kern w:val="0"/>
          <w:sz w:val="24"/>
          <w:szCs w:val="24"/>
        </w:rPr>
        <w:t>Forster, R.K. (1986). Ulcerative keratitisassociated with contact lens wear. American Journal of Ophthalmology, 101,429-433.</w:t>
      </w:r>
    </w:p>
    <w:p w14:paraId="21825E41">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Alvarez, J.A. (1980) The Elements </w:t>
      </w:r>
      <w:r>
        <w:rPr>
          <w:rFonts w:ascii="Arial" w:hAnsi="Arial" w:eastAsia="宋体" w:cs="Arial"/>
          <w:snapToGrid w:val="0"/>
          <w:kern w:val="0"/>
          <w:sz w:val="24"/>
        </w:rPr>
        <w:t xml:space="preserve">of </w:t>
      </w:r>
      <w:r>
        <w:rPr>
          <w:rFonts w:ascii="Arial" w:hAnsi="Arial" w:eastAsia="宋体" w:cs="Arial"/>
          <w:snapToGrid w:val="0"/>
          <w:kern w:val="0"/>
          <w:sz w:val="24"/>
          <w:szCs w:val="24"/>
        </w:rPr>
        <w:t>Technical Writing. New York, Harcourt BraceJovanovich.</w:t>
      </w:r>
    </w:p>
    <w:p w14:paraId="60441E70">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Andrews, D.C. </w:t>
      </w:r>
      <w:r>
        <w:rPr>
          <w:rFonts w:ascii="Arial" w:hAnsi="Arial" w:eastAsia="宋体" w:cs="Arial"/>
          <w:snapToGrid w:val="0"/>
          <w:kern w:val="0"/>
          <w:sz w:val="24"/>
        </w:rPr>
        <w:t xml:space="preserve">&amp; </w:t>
      </w:r>
      <w:r>
        <w:rPr>
          <w:rFonts w:ascii="Arial" w:hAnsi="Arial" w:eastAsia="宋体" w:cs="Arial"/>
          <w:snapToGrid w:val="0"/>
          <w:kern w:val="0"/>
          <w:sz w:val="24"/>
          <w:szCs w:val="24"/>
        </w:rPr>
        <w:t>Blickle, M.D. Technical Writing: Principles and Forms. New York,Macrnillan.</w:t>
      </w:r>
    </w:p>
    <w:p w14:paraId="4B229C5E">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Austin, M. (1985). Technical Writing </w:t>
      </w:r>
      <w:r>
        <w:rPr>
          <w:rFonts w:ascii="Arial" w:hAnsi="Arial" w:eastAsia="宋体" w:cs="Arial"/>
          <w:snapToGrid w:val="0"/>
          <w:kern w:val="0"/>
          <w:sz w:val="24"/>
        </w:rPr>
        <w:t xml:space="preserve">&amp; </w:t>
      </w:r>
      <w:r>
        <w:rPr>
          <w:rFonts w:ascii="Arial" w:hAnsi="Arial" w:eastAsia="宋体" w:cs="Arial"/>
          <w:snapToGrid w:val="0"/>
          <w:kern w:val="0"/>
          <w:sz w:val="24"/>
          <w:szCs w:val="24"/>
        </w:rPr>
        <w:t>Publication Techniques. London, WilliamHeinemann.</w:t>
      </w:r>
    </w:p>
    <w:p w14:paraId="7B4D0A50">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Backinger, C.L. and Kingsley, P.A. (August, 1993). Write It Right: Recommendationsfprdeveloping instructional </w:t>
      </w:r>
      <w:r>
        <w:rPr>
          <w:rFonts w:ascii="Arial" w:hAnsi="Arial" w:eastAsia="宋体" w:cs="Arial"/>
          <w:b/>
          <w:bCs/>
          <w:i/>
          <w:iCs/>
          <w:snapToGrid w:val="0"/>
          <w:kern w:val="0"/>
          <w:sz w:val="24"/>
          <w:szCs w:val="24"/>
        </w:rPr>
        <w:t xml:space="preserve">manuals </w:t>
      </w:r>
      <w:r>
        <w:rPr>
          <w:rFonts w:ascii="Arial" w:hAnsi="Arial" w:eastAsia="宋体" w:cs="Arial"/>
          <w:snapToGrid w:val="0"/>
          <w:kern w:val="0"/>
          <w:sz w:val="24"/>
          <w:szCs w:val="24"/>
        </w:rPr>
        <w:t>for medical devices used in home health care. Rockbilk,Md.: Food and Drug Administration (FDA) .</w:t>
      </w:r>
    </w:p>
    <w:p w14:paraId="41A09DC6">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Bailey, R.W. (1989). </w:t>
      </w:r>
      <w:r>
        <w:rPr>
          <w:rFonts w:ascii="Arial" w:hAnsi="Arial" w:eastAsia="宋体" w:cs="Arial"/>
          <w:snapToGrid w:val="0"/>
          <w:kern w:val="0"/>
          <w:sz w:val="24"/>
          <w:szCs w:val="23"/>
        </w:rPr>
        <w:t xml:space="preserve">Human </w:t>
      </w:r>
      <w:r>
        <w:rPr>
          <w:rFonts w:ascii="Arial" w:hAnsi="Arial" w:eastAsia="宋体" w:cs="Arial"/>
          <w:snapToGrid w:val="0"/>
          <w:kern w:val="0"/>
          <w:sz w:val="24"/>
          <w:szCs w:val="24"/>
        </w:rPr>
        <w:t>pefonnance engineering (2nd ed.). Chapter 20: Documentation.Englewood Cliffs, NJ: Prentice Hall.</w:t>
      </w:r>
    </w:p>
    <w:p w14:paraId="385D218A">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Berry, </w:t>
      </w:r>
      <w:r>
        <w:rPr>
          <w:rFonts w:ascii="Arial" w:hAnsi="Arial" w:eastAsia="宋体" w:cs="Arial"/>
          <w:snapToGrid w:val="0"/>
          <w:kern w:val="0"/>
          <w:sz w:val="24"/>
          <w:szCs w:val="25"/>
        </w:rPr>
        <w:t>E. (</w:t>
      </w:r>
      <w:r>
        <w:rPr>
          <w:rFonts w:ascii="Arial" w:hAnsi="Arial" w:eastAsia="宋体" w:cs="Arial"/>
          <w:snapToGrid w:val="0"/>
          <w:kern w:val="0"/>
          <w:sz w:val="24"/>
          <w:szCs w:val="24"/>
        </w:rPr>
        <w:t>1982). How to get users to follow procedures. IEEE Transactions on ProfessionalCommunications, 25,22-25.</w:t>
      </w:r>
    </w:p>
    <w:p w14:paraId="207A3092">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Burbank, L., </w:t>
      </w:r>
      <w:r>
        <w:rPr>
          <w:rFonts w:ascii="Arial" w:hAnsi="Arial" w:eastAsia="宋体" w:cs="Arial"/>
          <w:snapToGrid w:val="0"/>
          <w:kern w:val="0"/>
          <w:sz w:val="24"/>
          <w:szCs w:val="23"/>
        </w:rPr>
        <w:t xml:space="preserve">&amp; </w:t>
      </w:r>
      <w:r>
        <w:rPr>
          <w:rFonts w:ascii="Arial" w:hAnsi="Arial" w:eastAsia="宋体" w:cs="Arial"/>
          <w:snapToGrid w:val="0"/>
          <w:kern w:val="0"/>
          <w:sz w:val="24"/>
          <w:szCs w:val="24"/>
        </w:rPr>
        <w:t>Pett, D. (1986). Designing printed instructional materials. Perj5omuznce andInstruction, 25,5-9.</w:t>
      </w:r>
    </w:p>
    <w:p w14:paraId="16210D83">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Carroll, J.M., Smith-Kerker, P.L., Ford, J.R., </w:t>
      </w:r>
      <w:r>
        <w:rPr>
          <w:rFonts w:ascii="Arial" w:hAnsi="Arial" w:eastAsia="宋体" w:cs="Arial"/>
          <w:snapToGrid w:val="0"/>
          <w:kern w:val="0"/>
          <w:sz w:val="24"/>
        </w:rPr>
        <w:t xml:space="preserve">&amp; </w:t>
      </w:r>
      <w:r>
        <w:rPr>
          <w:rFonts w:ascii="Arial" w:hAnsi="Arial" w:eastAsia="宋体" w:cs="Arial"/>
          <w:snapToGrid w:val="0"/>
          <w:kern w:val="0"/>
          <w:sz w:val="24"/>
          <w:szCs w:val="24"/>
        </w:rPr>
        <w:t>Mazur-Rimetz, S.A. (1987- 1988). The</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minimal manual. Human-Computer Interaction, 3, 123-153.</w:t>
      </w:r>
    </w:p>
    <w:p w14:paraId="454A3F9B">
      <w:pPr>
        <w:topLinePunct/>
        <w:adjustRightInd w:val="0"/>
        <w:snapToGrid w:val="0"/>
        <w:spacing w:after="109" w:afterLines="35" w:line="288" w:lineRule="auto"/>
        <w:rPr>
          <w:rFonts w:ascii="Arial" w:hAnsi="Arial" w:eastAsia="宋体" w:cs="Arial"/>
          <w:b/>
          <w:bCs/>
          <w:snapToGrid w:val="0"/>
          <w:kern w:val="0"/>
          <w:sz w:val="24"/>
          <w:szCs w:val="28"/>
        </w:rPr>
      </w:pPr>
      <w:r>
        <w:rPr>
          <w:rFonts w:ascii="Arial" w:hAnsi="Arial" w:eastAsia="宋体" w:cs="Arial"/>
          <w:snapToGrid w:val="0"/>
          <w:kern w:val="0"/>
          <w:sz w:val="24"/>
          <w:szCs w:val="24"/>
        </w:rPr>
        <w:t xml:space="preserve">Carter, J.F. (1985). Lessons in text design from an instructional design perspective. </w:t>
      </w:r>
      <w:r>
        <w:rPr>
          <w:rFonts w:ascii="Arial" w:hAnsi="Arial" w:eastAsia="宋体" w:cs="Arial"/>
          <w:snapToGrid w:val="0"/>
          <w:kern w:val="0"/>
          <w:sz w:val="24"/>
          <w:szCs w:val="25"/>
        </w:rPr>
        <w:t xml:space="preserve">In </w:t>
      </w:r>
      <w:r>
        <w:rPr>
          <w:rFonts w:ascii="Arial" w:hAnsi="Arial" w:eastAsia="宋体" w:cs="Arial"/>
          <w:b/>
          <w:bCs/>
          <w:snapToGrid w:val="0"/>
          <w:kern w:val="0"/>
          <w:sz w:val="24"/>
          <w:szCs w:val="28"/>
        </w:rPr>
        <w:t>T.M.</w:t>
      </w:r>
      <w:r>
        <w:rPr>
          <w:rFonts w:ascii="Arial" w:hAnsi="Arial" w:eastAsia="宋体" w:cs="Arial"/>
          <w:snapToGrid w:val="0"/>
          <w:kern w:val="0"/>
          <w:sz w:val="24"/>
          <w:szCs w:val="24"/>
        </w:rPr>
        <w:t xml:space="preserve">Duffy </w:t>
      </w:r>
      <w:r>
        <w:rPr>
          <w:rFonts w:ascii="Arial" w:hAnsi="Arial" w:eastAsia="宋体" w:cs="Arial"/>
          <w:snapToGrid w:val="0"/>
          <w:kern w:val="0"/>
          <w:sz w:val="24"/>
        </w:rPr>
        <w:t xml:space="preserve">&amp; </w:t>
      </w:r>
      <w:r>
        <w:rPr>
          <w:rFonts w:ascii="Arial" w:hAnsi="Arial" w:eastAsia="宋体" w:cs="Arial"/>
          <w:snapToGrid w:val="0"/>
          <w:kern w:val="0"/>
          <w:sz w:val="24"/>
          <w:szCs w:val="25"/>
        </w:rPr>
        <w:t xml:space="preserve">R. </w:t>
      </w:r>
      <w:r>
        <w:rPr>
          <w:rFonts w:ascii="Arial" w:hAnsi="Arial" w:eastAsia="宋体" w:cs="Arial"/>
          <w:snapToGrid w:val="0"/>
          <w:kern w:val="0"/>
          <w:sz w:val="24"/>
          <w:szCs w:val="24"/>
        </w:rPr>
        <w:t>Waller (Eds.), Designing usable texts (pp. 145-156). New York: Academic</w:t>
      </w:r>
      <w:r>
        <w:rPr>
          <w:rFonts w:hint="eastAsia" w:ascii="Arial" w:hAnsi="Arial" w:eastAsia="宋体" w:cs="Arial"/>
          <w:b/>
          <w:bCs/>
          <w:snapToGrid w:val="0"/>
          <w:kern w:val="0"/>
          <w:sz w:val="24"/>
          <w:szCs w:val="28"/>
        </w:rPr>
        <w:t xml:space="preserve"> </w:t>
      </w:r>
      <w:r>
        <w:rPr>
          <w:rFonts w:ascii="Arial" w:hAnsi="Arial" w:eastAsia="宋体" w:cs="Arial"/>
          <w:snapToGrid w:val="0"/>
          <w:kern w:val="0"/>
          <w:sz w:val="24"/>
          <w:szCs w:val="24"/>
        </w:rPr>
        <w:t>Press.</w:t>
      </w:r>
    </w:p>
    <w:p w14:paraId="1B776D77">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Cunningham, D.H. </w:t>
      </w:r>
      <w:r>
        <w:rPr>
          <w:rFonts w:ascii="Arial" w:hAnsi="Arial" w:eastAsia="宋体" w:cs="Arial"/>
          <w:snapToGrid w:val="0"/>
          <w:kern w:val="0"/>
          <w:sz w:val="24"/>
        </w:rPr>
        <w:t xml:space="preserve">&amp; </w:t>
      </w:r>
      <w:r>
        <w:rPr>
          <w:rFonts w:ascii="Arial" w:hAnsi="Arial" w:eastAsia="宋体" w:cs="Arial"/>
          <w:snapToGrid w:val="0"/>
          <w:kern w:val="0"/>
          <w:sz w:val="24"/>
          <w:szCs w:val="24"/>
        </w:rPr>
        <w:t>Cohen, G. (1984) Creating Technical Manuals. A Step-by-step</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Approach to Writing User Friendly Instructions. New York, McGraw-Hill.</w:t>
      </w:r>
    </w:p>
    <w:p w14:paraId="06301574">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Duffy, T.M. (198 1). Organizing and utilizing documents design options. Infohation Design</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Journal, 2,255-266.</w:t>
      </w:r>
    </w:p>
    <w:p w14:paraId="361A1B31">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Duffy, T.M., </w:t>
      </w:r>
      <w:r>
        <w:rPr>
          <w:rFonts w:ascii="Arial" w:hAnsi="Arial" w:eastAsia="宋体" w:cs="Arial"/>
          <w:snapToGrid w:val="0"/>
          <w:kern w:val="0"/>
          <w:sz w:val="24"/>
        </w:rPr>
        <w:t xml:space="preserve">&amp; </w:t>
      </w:r>
      <w:r>
        <w:rPr>
          <w:rFonts w:ascii="Arial" w:hAnsi="Arial" w:eastAsia="宋体" w:cs="Arial"/>
          <w:snapToGrid w:val="0"/>
          <w:kern w:val="0"/>
          <w:sz w:val="24"/>
          <w:szCs w:val="24"/>
        </w:rPr>
        <w:t>Waller R. (Eds.) (1980). Designing usable texts. New York: Academic Press.</w:t>
      </w:r>
    </w:p>
    <w:p w14:paraId="7BBFF278">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Duffy, T.M., Curran, </w:t>
      </w:r>
      <w:r>
        <w:rPr>
          <w:rFonts w:ascii="Arial" w:hAnsi="Arial" w:eastAsia="宋体" w:cs="Arial"/>
          <w:snapToGrid w:val="0"/>
          <w:kern w:val="0"/>
          <w:sz w:val="24"/>
          <w:szCs w:val="25"/>
        </w:rPr>
        <w:t xml:space="preserve">T.E., </w:t>
      </w:r>
      <w:r>
        <w:rPr>
          <w:rFonts w:ascii="Arial" w:hAnsi="Arial" w:eastAsia="宋体" w:cs="Arial"/>
          <w:snapToGrid w:val="0"/>
          <w:kern w:val="0"/>
          <w:sz w:val="24"/>
        </w:rPr>
        <w:t xml:space="preserve">&amp; </w:t>
      </w:r>
      <w:r>
        <w:rPr>
          <w:rFonts w:ascii="Arial" w:hAnsi="Arial" w:eastAsia="宋体" w:cs="Arial"/>
          <w:snapToGrid w:val="0"/>
          <w:kern w:val="0"/>
          <w:sz w:val="24"/>
          <w:szCs w:val="24"/>
        </w:rPr>
        <w:t>Sass, D. (1983). Document design for technical job tasks: An</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 xml:space="preserve">evaluation. </w:t>
      </w:r>
      <w:r>
        <w:rPr>
          <w:rFonts w:ascii="Arial" w:hAnsi="Arial" w:eastAsia="宋体" w:cs="Arial"/>
          <w:b/>
          <w:bCs/>
          <w:i/>
          <w:iCs/>
          <w:snapToGrid w:val="0"/>
          <w:kern w:val="0"/>
          <w:sz w:val="24"/>
          <w:szCs w:val="23"/>
        </w:rPr>
        <w:t xml:space="preserve">Human </w:t>
      </w:r>
      <w:r>
        <w:rPr>
          <w:rFonts w:ascii="Arial" w:hAnsi="Arial" w:eastAsia="宋体" w:cs="Arial"/>
          <w:snapToGrid w:val="0"/>
          <w:kern w:val="0"/>
          <w:sz w:val="24"/>
          <w:szCs w:val="24"/>
        </w:rPr>
        <w:t>Factors, 25, 143-160.</w:t>
      </w:r>
    </w:p>
    <w:p w14:paraId="03CBB607">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Duffy, T.M., Smith, G., </w:t>
      </w:r>
      <w:r>
        <w:rPr>
          <w:rFonts w:ascii="Arial" w:hAnsi="Arial" w:eastAsia="宋体" w:cs="Arial"/>
          <w:snapToGrid w:val="0"/>
          <w:kern w:val="0"/>
          <w:sz w:val="24"/>
        </w:rPr>
        <w:t xml:space="preserve">&amp; </w:t>
      </w:r>
      <w:r>
        <w:rPr>
          <w:rFonts w:ascii="Arial" w:hAnsi="Arial" w:eastAsia="宋体" w:cs="Arial"/>
          <w:snapToGrid w:val="0"/>
          <w:kern w:val="0"/>
          <w:sz w:val="24"/>
          <w:szCs w:val="24"/>
        </w:rPr>
        <w:t>Post, T. (1985). Technical manual production: an examination of</w:t>
      </w:r>
      <w:r>
        <w:rPr>
          <w:rFonts w:hint="eastAsia" w:ascii="Arial" w:hAnsi="Arial" w:eastAsia="宋体" w:cs="Arial"/>
          <w:snapToGrid w:val="0"/>
          <w:kern w:val="0"/>
          <w:sz w:val="24"/>
          <w:szCs w:val="24"/>
        </w:rPr>
        <w:t xml:space="preserve"> </w:t>
      </w:r>
      <w:r>
        <w:rPr>
          <w:rFonts w:ascii="Arial" w:hAnsi="Arial" w:eastAsia="宋体" w:cs="Arial"/>
          <w:snapToGrid w:val="0"/>
          <w:kern w:val="0"/>
          <w:sz w:val="24"/>
          <w:szCs w:val="24"/>
        </w:rPr>
        <w:t>four systems. Communications Design Center, Technical Report, 19, Pittsburgh: Carnegie-Mellon University.</w:t>
      </w:r>
    </w:p>
    <w:p w14:paraId="200CB757">
      <w:pPr>
        <w:topLinePunct/>
        <w:adjustRightInd w:val="0"/>
        <w:snapToGrid w:val="0"/>
        <w:spacing w:after="109" w:afterLines="35" w:line="288" w:lineRule="auto"/>
        <w:rPr>
          <w:rFonts w:ascii="Arial" w:hAnsi="Arial" w:eastAsia="宋体" w:cs="Arial"/>
          <w:i/>
          <w:iCs/>
          <w:snapToGrid w:val="0"/>
          <w:kern w:val="0"/>
          <w:sz w:val="24"/>
          <w:szCs w:val="21"/>
        </w:rPr>
      </w:pPr>
      <w:r>
        <w:rPr>
          <w:rFonts w:ascii="Arial" w:hAnsi="Arial" w:eastAsia="宋体" w:cs="Arial"/>
          <w:snapToGrid w:val="0"/>
          <w:kern w:val="0"/>
          <w:sz w:val="24"/>
          <w:szCs w:val="21"/>
        </w:rPr>
        <w:t xml:space="preserve">Doheny-Farina, S. (Ed.) (1988). </w:t>
      </w:r>
      <w:r>
        <w:rPr>
          <w:rFonts w:ascii="Arial" w:hAnsi="Arial" w:eastAsia="宋体" w:cs="Arial"/>
          <w:i/>
          <w:iCs/>
          <w:snapToGrid w:val="0"/>
          <w:kern w:val="0"/>
          <w:sz w:val="24"/>
          <w:szCs w:val="21"/>
        </w:rPr>
        <w:t>Eflective documentation: What we have learned</w:t>
      </w:r>
      <w:r>
        <w:rPr>
          <w:rFonts w:hint="eastAsia" w:ascii="Arial" w:hAnsi="Arial" w:eastAsia="宋体" w:cs="Arial"/>
          <w:i/>
          <w:iCs/>
          <w:snapToGrid w:val="0"/>
          <w:kern w:val="0"/>
          <w:sz w:val="24"/>
          <w:szCs w:val="21"/>
        </w:rPr>
        <w:t xml:space="preserve"> </w:t>
      </w:r>
      <w:r>
        <w:rPr>
          <w:rFonts w:ascii="Arial" w:hAnsi="Arial" w:eastAsia="宋体" w:cs="Arial"/>
          <w:i/>
          <w:iCs/>
          <w:snapToGrid w:val="0"/>
          <w:kern w:val="0"/>
          <w:sz w:val="24"/>
          <w:szCs w:val="21"/>
        </w:rPr>
        <w:t>from</w:t>
      </w:r>
      <w:r>
        <w:rPr>
          <w:rFonts w:hint="eastAsia" w:ascii="Arial" w:hAnsi="Arial" w:eastAsia="宋体" w:cs="Arial"/>
          <w:i/>
          <w:iCs/>
          <w:snapToGrid w:val="0"/>
          <w:kern w:val="0"/>
          <w:sz w:val="24"/>
          <w:szCs w:val="21"/>
        </w:rPr>
        <w:t xml:space="preserve"> </w:t>
      </w:r>
      <w:r>
        <w:rPr>
          <w:rFonts w:ascii="Arial" w:hAnsi="Arial" w:eastAsia="宋体" w:cs="Arial"/>
          <w:i/>
          <w:iCs/>
          <w:snapToGrid w:val="0"/>
          <w:kern w:val="0"/>
          <w:sz w:val="24"/>
          <w:szCs w:val="21"/>
        </w:rPr>
        <w:t xml:space="preserve">research. </w:t>
      </w:r>
      <w:r>
        <w:rPr>
          <w:rFonts w:ascii="Arial" w:hAnsi="Arial" w:eastAsia="宋体" w:cs="Arial"/>
          <w:snapToGrid w:val="0"/>
          <w:kern w:val="0"/>
          <w:sz w:val="24"/>
          <w:szCs w:val="21"/>
        </w:rPr>
        <w:t xml:space="preserve">Cambridge, </w:t>
      </w:r>
      <w:r>
        <w:rPr>
          <w:rFonts w:ascii="Arial" w:hAnsi="Arial" w:eastAsia="宋体" w:cs="Arial"/>
          <w:i/>
          <w:iCs/>
          <w:snapToGrid w:val="0"/>
          <w:kern w:val="0"/>
          <w:sz w:val="24"/>
          <w:szCs w:val="21"/>
        </w:rPr>
        <w:t xml:space="preserve">MA: </w:t>
      </w:r>
      <w:r>
        <w:rPr>
          <w:rFonts w:ascii="Arial" w:hAnsi="Arial" w:eastAsia="宋体" w:cs="Arial"/>
          <w:b/>
          <w:bCs/>
          <w:snapToGrid w:val="0"/>
          <w:kern w:val="0"/>
          <w:sz w:val="24"/>
          <w:szCs w:val="21"/>
        </w:rPr>
        <w:t xml:space="preserve">MIT </w:t>
      </w:r>
      <w:r>
        <w:rPr>
          <w:rFonts w:ascii="Arial" w:hAnsi="Arial" w:eastAsia="宋体" w:cs="Arial"/>
          <w:snapToGrid w:val="0"/>
          <w:kern w:val="0"/>
          <w:sz w:val="24"/>
          <w:szCs w:val="21"/>
        </w:rPr>
        <w:t>Press.</w:t>
      </w:r>
    </w:p>
    <w:p w14:paraId="33F5D8F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Felker, D., Pickering, F., Charrow, V.R., Holland, </w:t>
      </w:r>
      <w:r>
        <w:rPr>
          <w:rFonts w:ascii="Arial" w:hAnsi="Arial" w:eastAsia="宋体" w:cs="Arial"/>
          <w:b/>
          <w:bCs/>
          <w:snapToGrid w:val="0"/>
          <w:kern w:val="0"/>
          <w:sz w:val="24"/>
          <w:szCs w:val="21"/>
        </w:rPr>
        <w:t xml:space="preserve">V.M., </w:t>
      </w:r>
      <w:r>
        <w:rPr>
          <w:rFonts w:ascii="Arial" w:hAnsi="Arial" w:eastAsia="宋体" w:cs="Arial"/>
          <w:snapToGrid w:val="0"/>
          <w:kern w:val="0"/>
          <w:sz w:val="24"/>
          <w:szCs w:val="21"/>
        </w:rPr>
        <w:t>&amp; Fedish, J.C. (1981). Guidelines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for document designers. Washington, D.C.: American Institutes for Research.</w:t>
      </w:r>
    </w:p>
    <w:p w14:paraId="5DF9CB3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Felker, D.B. (Ed.) (1980). </w:t>
      </w:r>
      <w:r>
        <w:rPr>
          <w:rFonts w:ascii="Arial" w:hAnsi="Arial" w:eastAsia="宋体" w:cs="Arial"/>
          <w:i/>
          <w:iCs/>
          <w:snapToGrid w:val="0"/>
          <w:kern w:val="0"/>
          <w:sz w:val="24"/>
          <w:szCs w:val="21"/>
        </w:rPr>
        <w:t xml:space="preserve">Document design: </w:t>
      </w:r>
      <w:r>
        <w:rPr>
          <w:rFonts w:ascii="Arial" w:hAnsi="Arial" w:eastAsia="宋体" w:cs="Arial"/>
          <w:snapToGrid w:val="0"/>
          <w:kern w:val="0"/>
          <w:sz w:val="24"/>
          <w:szCs w:val="21"/>
        </w:rPr>
        <w:t xml:space="preserve">A </w:t>
      </w:r>
      <w:r>
        <w:rPr>
          <w:rFonts w:ascii="Arial" w:hAnsi="Arial" w:eastAsia="宋体" w:cs="Arial"/>
          <w:i/>
          <w:iCs/>
          <w:snapToGrid w:val="0"/>
          <w:kern w:val="0"/>
          <w:sz w:val="24"/>
          <w:szCs w:val="21"/>
        </w:rPr>
        <w:t xml:space="preserve">review of the relevant research. </w:t>
      </w:r>
      <w:r>
        <w:rPr>
          <w:rFonts w:ascii="Arial" w:hAnsi="Arial" w:eastAsia="宋体" w:cs="Arial"/>
          <w:snapToGrid w:val="0"/>
          <w:kern w:val="0"/>
          <w:sz w:val="24"/>
          <w:szCs w:val="21"/>
        </w:rPr>
        <w:t>Washington,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D.C.: American Institutes for Research.</w:t>
      </w:r>
    </w:p>
    <w:p w14:paraId="473C7B4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Hartley, J. (1978). </w:t>
      </w:r>
      <w:r>
        <w:rPr>
          <w:rFonts w:ascii="Arial" w:hAnsi="Arial" w:eastAsia="宋体" w:cs="Arial"/>
          <w:i/>
          <w:iCs/>
          <w:snapToGrid w:val="0"/>
          <w:kern w:val="0"/>
          <w:sz w:val="24"/>
          <w:szCs w:val="21"/>
        </w:rPr>
        <w:t xml:space="preserve">Designing instructional text. </w:t>
      </w:r>
      <w:r>
        <w:rPr>
          <w:rFonts w:ascii="Arial" w:hAnsi="Arial" w:eastAsia="宋体" w:cs="Arial"/>
          <w:snapToGrid w:val="0"/>
          <w:kern w:val="0"/>
          <w:sz w:val="24"/>
          <w:szCs w:val="21"/>
        </w:rPr>
        <w:t>London: Kogan Page.</w:t>
      </w:r>
    </w:p>
    <w:p w14:paraId="402AE920">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Hartley, J. (Ed.) (1980). </w:t>
      </w:r>
      <w:r>
        <w:rPr>
          <w:rFonts w:ascii="Arial" w:hAnsi="Arial" w:eastAsia="宋体" w:cs="Arial"/>
          <w:i/>
          <w:iCs/>
          <w:snapToGrid w:val="0"/>
          <w:kern w:val="0"/>
          <w:sz w:val="24"/>
          <w:szCs w:val="21"/>
        </w:rPr>
        <w:t xml:space="preserve">The psychology of written communication. </w:t>
      </w:r>
      <w:r>
        <w:rPr>
          <w:rFonts w:ascii="Arial" w:hAnsi="Arial" w:eastAsia="宋体" w:cs="Arial"/>
          <w:snapToGrid w:val="0"/>
          <w:kern w:val="0"/>
          <w:sz w:val="24"/>
          <w:szCs w:val="21"/>
        </w:rPr>
        <w:t>London: Kogan Page.</w:t>
      </w:r>
    </w:p>
    <w:p w14:paraId="5ABCE599">
      <w:pPr>
        <w:topLinePunct/>
        <w:adjustRightInd w:val="0"/>
        <w:snapToGrid w:val="0"/>
        <w:spacing w:after="109" w:afterLines="35" w:line="288" w:lineRule="auto"/>
        <w:rPr>
          <w:rFonts w:ascii="Arial" w:hAnsi="Arial" w:eastAsia="宋体" w:cs="Arial"/>
          <w:i/>
          <w:iCs/>
          <w:snapToGrid w:val="0"/>
          <w:kern w:val="0"/>
          <w:sz w:val="24"/>
          <w:szCs w:val="21"/>
        </w:rPr>
      </w:pPr>
      <w:r>
        <w:rPr>
          <w:rFonts w:ascii="Arial" w:hAnsi="Arial" w:eastAsia="宋体" w:cs="Arial"/>
          <w:snapToGrid w:val="0"/>
          <w:kern w:val="0"/>
          <w:sz w:val="24"/>
          <w:szCs w:val="21"/>
        </w:rPr>
        <w:t xml:space="preserve">Hartley, J. (1981). Eighty ways of improving instructional text. </w:t>
      </w:r>
      <w:r>
        <w:rPr>
          <w:rFonts w:ascii="Arial" w:hAnsi="Arial" w:eastAsia="宋体" w:cs="Arial"/>
          <w:i/>
          <w:iCs/>
          <w:snapToGrid w:val="0"/>
          <w:kern w:val="0"/>
          <w:sz w:val="24"/>
          <w:szCs w:val="21"/>
        </w:rPr>
        <w:t>IEEE Transactions on</w:t>
      </w:r>
      <w:r>
        <w:rPr>
          <w:rFonts w:hint="eastAsia" w:ascii="Arial" w:hAnsi="Arial" w:eastAsia="宋体" w:cs="Arial"/>
          <w:i/>
          <w:iCs/>
          <w:snapToGrid w:val="0"/>
          <w:kern w:val="0"/>
          <w:sz w:val="24"/>
          <w:szCs w:val="21"/>
        </w:rPr>
        <w:t xml:space="preserve"> </w:t>
      </w:r>
      <w:r>
        <w:rPr>
          <w:rFonts w:ascii="Arial" w:hAnsi="Arial" w:eastAsia="宋体" w:cs="Arial"/>
          <w:i/>
          <w:iCs/>
          <w:snapToGrid w:val="0"/>
          <w:kern w:val="0"/>
          <w:sz w:val="24"/>
          <w:szCs w:val="21"/>
        </w:rPr>
        <w:t xml:space="preserve">Professional Communication, PC-24, </w:t>
      </w:r>
      <w:r>
        <w:rPr>
          <w:rFonts w:ascii="Arial" w:hAnsi="Arial" w:eastAsia="宋体" w:cs="Arial"/>
          <w:snapToGrid w:val="0"/>
          <w:kern w:val="0"/>
          <w:sz w:val="24"/>
          <w:szCs w:val="21"/>
        </w:rPr>
        <w:t>17-27.</w:t>
      </w:r>
    </w:p>
    <w:p w14:paraId="032563F5">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Hartley, J., &amp; Burnhill, P. (1977). Fifty guidelines for improving instructional text.</w:t>
      </w:r>
      <w:r>
        <w:rPr>
          <w:rFonts w:hint="eastAsia" w:ascii="Arial" w:hAnsi="Arial" w:eastAsia="宋体" w:cs="Arial"/>
          <w:snapToGrid w:val="0"/>
          <w:kern w:val="0"/>
          <w:sz w:val="24"/>
          <w:szCs w:val="21"/>
        </w:rPr>
        <w:t xml:space="preserve"> </w:t>
      </w:r>
      <w:r>
        <w:rPr>
          <w:rFonts w:ascii="Arial" w:hAnsi="Arial" w:eastAsia="宋体" w:cs="Arial"/>
          <w:i/>
          <w:iCs/>
          <w:snapToGrid w:val="0"/>
          <w:kern w:val="0"/>
          <w:sz w:val="24"/>
          <w:szCs w:val="21"/>
        </w:rPr>
        <w:t xml:space="preserve">Programmed Learning and Educational Technology, </w:t>
      </w:r>
      <w:r>
        <w:rPr>
          <w:rFonts w:ascii="Arial" w:hAnsi="Arial" w:eastAsia="宋体" w:cs="Arial"/>
          <w:snapToGrid w:val="0"/>
          <w:kern w:val="0"/>
          <w:sz w:val="24"/>
          <w:szCs w:val="21"/>
        </w:rPr>
        <w:t>14,65-73.</w:t>
      </w:r>
    </w:p>
    <w:p w14:paraId="37BC649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Horn, R.E. (1976). </w:t>
      </w:r>
      <w:r>
        <w:rPr>
          <w:rFonts w:ascii="Arial" w:hAnsi="Arial" w:eastAsia="宋体" w:cs="Arial"/>
          <w:i/>
          <w:iCs/>
          <w:snapToGrid w:val="0"/>
          <w:kern w:val="0"/>
          <w:sz w:val="24"/>
          <w:szCs w:val="21"/>
        </w:rPr>
        <w:t xml:space="preserve">How to write informationmapping. </w:t>
      </w:r>
      <w:r>
        <w:rPr>
          <w:rFonts w:ascii="Arial" w:hAnsi="Arial" w:eastAsia="宋体" w:cs="Arial"/>
          <w:snapToGrid w:val="0"/>
          <w:kern w:val="0"/>
          <w:sz w:val="24"/>
          <w:szCs w:val="21"/>
        </w:rPr>
        <w:t xml:space="preserve">Lexington, </w:t>
      </w:r>
      <w:r>
        <w:rPr>
          <w:rFonts w:ascii="Arial" w:hAnsi="Arial" w:eastAsia="宋体" w:cs="Arial"/>
          <w:i/>
          <w:iCs/>
          <w:snapToGrid w:val="0"/>
          <w:kern w:val="0"/>
          <w:sz w:val="24"/>
          <w:szCs w:val="21"/>
        </w:rPr>
        <w:t xml:space="preserve">MA. </w:t>
      </w:r>
      <w:r>
        <w:rPr>
          <w:rFonts w:ascii="Arial" w:hAnsi="Arial" w:eastAsia="宋体" w:cs="Arial"/>
          <w:snapToGrid w:val="0"/>
          <w:kern w:val="0"/>
          <w:sz w:val="24"/>
          <w:szCs w:val="21"/>
        </w:rPr>
        <w:t>Information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Resources, Inc.</w:t>
      </w:r>
    </w:p>
    <w:p w14:paraId="2780B014">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Houp, K.W. &amp; Pearsall, T.E. (1992). </w:t>
      </w:r>
      <w:r>
        <w:rPr>
          <w:rFonts w:ascii="Arial" w:hAnsi="Arial" w:eastAsia="宋体" w:cs="Arial"/>
          <w:i/>
          <w:iCs/>
          <w:snapToGrid w:val="0"/>
          <w:kern w:val="0"/>
          <w:sz w:val="24"/>
          <w:szCs w:val="21"/>
        </w:rPr>
        <w:t>Reporting Technical Infomation (</w:t>
      </w:r>
      <w:r>
        <w:rPr>
          <w:rFonts w:ascii="Arial" w:hAnsi="Arial" w:eastAsia="宋体" w:cs="Arial"/>
          <w:snapToGrid w:val="0"/>
          <w:kern w:val="0"/>
          <w:sz w:val="24"/>
          <w:szCs w:val="21"/>
        </w:rPr>
        <w:t xml:space="preserve">7th </w:t>
      </w:r>
      <w:r>
        <w:rPr>
          <w:rFonts w:ascii="Arial" w:hAnsi="Arial" w:eastAsia="宋体" w:cs="Arial"/>
          <w:b/>
          <w:bCs/>
          <w:snapToGrid w:val="0"/>
          <w:kern w:val="0"/>
          <w:sz w:val="24"/>
          <w:szCs w:val="21"/>
        </w:rPr>
        <w:t xml:space="preserve">ed.) </w:t>
      </w:r>
      <w:r>
        <w:rPr>
          <w:rFonts w:ascii="Arial" w:hAnsi="Arial" w:eastAsia="宋体" w:cs="Arial"/>
          <w:snapToGrid w:val="0"/>
          <w:kern w:val="0"/>
          <w:sz w:val="24"/>
          <w:szCs w:val="21"/>
        </w:rPr>
        <w:t>New York,</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Maxwell.</w:t>
      </w:r>
    </w:p>
    <w:p w14:paraId="5019AB9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Jonassen, D.H. (1982). </w:t>
      </w:r>
      <w:r>
        <w:rPr>
          <w:rFonts w:ascii="Arial" w:hAnsi="Arial" w:eastAsia="宋体" w:cs="Arial"/>
          <w:i/>
          <w:iCs/>
          <w:snapToGrid w:val="0"/>
          <w:kern w:val="0"/>
          <w:sz w:val="24"/>
          <w:szCs w:val="21"/>
        </w:rPr>
        <w:t xml:space="preserve">The technology </w:t>
      </w:r>
      <w:r>
        <w:rPr>
          <w:rFonts w:ascii="Arial" w:hAnsi="Arial" w:eastAsia="宋体" w:cs="Arial"/>
          <w:snapToGrid w:val="0"/>
          <w:kern w:val="0"/>
          <w:sz w:val="24"/>
          <w:szCs w:val="21"/>
        </w:rPr>
        <w:t xml:space="preserve">of </w:t>
      </w:r>
      <w:r>
        <w:rPr>
          <w:rFonts w:ascii="Arial" w:hAnsi="Arial" w:eastAsia="宋体" w:cs="Arial"/>
          <w:i/>
          <w:iCs/>
          <w:snapToGrid w:val="0"/>
          <w:kern w:val="0"/>
          <w:sz w:val="24"/>
          <w:szCs w:val="21"/>
        </w:rPr>
        <w:t xml:space="preserve">text. </w:t>
      </w:r>
      <w:r>
        <w:rPr>
          <w:rFonts w:ascii="Arial" w:hAnsi="Arial" w:eastAsia="宋体" w:cs="Arial"/>
          <w:snapToGrid w:val="0"/>
          <w:kern w:val="0"/>
          <w:sz w:val="24"/>
          <w:szCs w:val="21"/>
        </w:rPr>
        <w:t>Englewood Cliffs, NJ: Educational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Technology Publications.</w:t>
      </w:r>
    </w:p>
    <w:p w14:paraId="5D3D8DC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Kieras, D.E., Tibbits, M., &amp; Bovair, S. (1984). How experts and nonexperts operate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electronic equipment from instructions. </w:t>
      </w:r>
      <w:r>
        <w:rPr>
          <w:rFonts w:ascii="Arial" w:hAnsi="Arial" w:eastAsia="宋体" w:cs="Arial"/>
          <w:i/>
          <w:iCs/>
          <w:snapToGrid w:val="0"/>
          <w:kern w:val="0"/>
          <w:sz w:val="24"/>
          <w:szCs w:val="21"/>
        </w:rPr>
        <w:t xml:space="preserve">Technical Report, </w:t>
      </w:r>
      <w:r>
        <w:rPr>
          <w:rFonts w:ascii="Arial" w:hAnsi="Arial" w:eastAsia="宋体" w:cs="Arial"/>
          <w:snapToGrid w:val="0"/>
          <w:kern w:val="0"/>
          <w:sz w:val="24"/>
          <w:szCs w:val="21"/>
        </w:rPr>
        <w:t>21, University of Michigan.</w:t>
      </w:r>
    </w:p>
    <w:p w14:paraId="2C67E176">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McCabe, B.J., Tysinger, J.W., Kreger, M., &amp; Currwin, A.C. (1989). A strategy for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designing effective patient education materials. </w:t>
      </w:r>
      <w:r>
        <w:rPr>
          <w:rFonts w:ascii="Arial" w:hAnsi="Arial" w:eastAsia="宋体" w:cs="Arial"/>
          <w:i/>
          <w:iCs/>
          <w:snapToGrid w:val="0"/>
          <w:kern w:val="0"/>
          <w:sz w:val="24"/>
          <w:szCs w:val="21"/>
        </w:rPr>
        <w:t>Journal of the American Dietetic</w:t>
      </w:r>
      <w:r>
        <w:rPr>
          <w:rFonts w:hint="eastAsia" w:ascii="Arial" w:hAnsi="Arial" w:eastAsia="宋体" w:cs="Arial"/>
          <w:snapToGrid w:val="0"/>
          <w:kern w:val="0"/>
          <w:sz w:val="24"/>
          <w:szCs w:val="21"/>
        </w:rPr>
        <w:t xml:space="preserve"> </w:t>
      </w:r>
      <w:r>
        <w:rPr>
          <w:rFonts w:ascii="Arial" w:hAnsi="Arial" w:eastAsia="宋体" w:cs="Arial"/>
          <w:i/>
          <w:iCs/>
          <w:snapToGrid w:val="0"/>
          <w:kern w:val="0"/>
          <w:sz w:val="24"/>
          <w:szCs w:val="21"/>
        </w:rPr>
        <w:t xml:space="preserve">Association, 89, </w:t>
      </w:r>
      <w:r>
        <w:rPr>
          <w:rFonts w:ascii="Arial" w:hAnsi="Arial" w:eastAsia="宋体" w:cs="Arial"/>
          <w:snapToGrid w:val="0"/>
          <w:kern w:val="0"/>
          <w:sz w:val="24"/>
          <w:szCs w:val="21"/>
        </w:rPr>
        <w:t>1290- 1295.</w:t>
      </w:r>
    </w:p>
    <w:p w14:paraId="43542809">
      <w:pPr>
        <w:topLinePunct/>
        <w:adjustRightInd w:val="0"/>
        <w:snapToGrid w:val="0"/>
        <w:spacing w:after="109" w:afterLines="35" w:line="288" w:lineRule="auto"/>
        <w:rPr>
          <w:rFonts w:ascii="Arial" w:hAnsi="Arial" w:eastAsia="宋体" w:cs="Arial"/>
          <w:i/>
          <w:iCs/>
          <w:snapToGrid w:val="0"/>
          <w:kern w:val="0"/>
          <w:sz w:val="24"/>
          <w:szCs w:val="21"/>
        </w:rPr>
      </w:pPr>
      <w:r>
        <w:rPr>
          <w:rFonts w:ascii="Arial" w:hAnsi="Arial" w:eastAsia="宋体" w:cs="Arial"/>
          <w:snapToGrid w:val="0"/>
          <w:kern w:val="0"/>
          <w:sz w:val="24"/>
          <w:szCs w:val="21"/>
        </w:rPr>
        <w:t xml:space="preserve">McLaughlin, G.H. (1966). Comparing styles of presenting technical information. </w:t>
      </w:r>
      <w:r>
        <w:rPr>
          <w:rFonts w:ascii="Arial" w:hAnsi="Arial" w:eastAsia="宋体" w:cs="Arial"/>
          <w:i/>
          <w:iCs/>
          <w:snapToGrid w:val="0"/>
          <w:kern w:val="0"/>
          <w:sz w:val="24"/>
          <w:szCs w:val="21"/>
        </w:rPr>
        <w:t>~r~&amp;omics,</w:t>
      </w:r>
      <w:r>
        <w:rPr>
          <w:rFonts w:hint="eastAsia" w:ascii="Arial" w:hAnsi="Arial" w:eastAsia="宋体" w:cs="Arial"/>
          <w:i/>
          <w:iCs/>
          <w:snapToGrid w:val="0"/>
          <w:kern w:val="0"/>
          <w:sz w:val="24"/>
          <w:szCs w:val="21"/>
        </w:rPr>
        <w:t xml:space="preserve"> </w:t>
      </w:r>
      <w:r>
        <w:rPr>
          <w:rFonts w:ascii="Arial" w:hAnsi="Arial" w:eastAsia="宋体" w:cs="Arial"/>
          <w:snapToGrid w:val="0"/>
          <w:kern w:val="0"/>
          <w:sz w:val="24"/>
          <w:szCs w:val="21"/>
        </w:rPr>
        <w:t>9, 257-259.</w:t>
      </w:r>
    </w:p>
    <w:p w14:paraId="50883020">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Mills, G.H. &amp; Walter, J.A. (1986) </w:t>
      </w:r>
      <w:r>
        <w:rPr>
          <w:rFonts w:ascii="Arial" w:hAnsi="Arial" w:eastAsia="宋体" w:cs="Arial"/>
          <w:i/>
          <w:iCs/>
          <w:snapToGrid w:val="0"/>
          <w:kern w:val="0"/>
          <w:sz w:val="24"/>
          <w:szCs w:val="21"/>
        </w:rPr>
        <w:t>Technical Writing (</w:t>
      </w:r>
      <w:r>
        <w:rPr>
          <w:rFonts w:ascii="Arial" w:hAnsi="Arial" w:eastAsia="宋体" w:cs="Arial"/>
          <w:snapToGrid w:val="0"/>
          <w:kern w:val="0"/>
          <w:sz w:val="24"/>
          <w:szCs w:val="21"/>
        </w:rPr>
        <w:t>5th ed.) New York, Holt, Rinehart,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Winston.</w:t>
      </w:r>
    </w:p>
    <w:p w14:paraId="4A56C592">
      <w:pPr>
        <w:topLinePunct/>
        <w:adjustRightInd w:val="0"/>
        <w:snapToGrid w:val="0"/>
        <w:spacing w:after="109" w:afterLines="35" w:line="288" w:lineRule="auto"/>
        <w:rPr>
          <w:rFonts w:ascii="Arial" w:hAnsi="Arial" w:eastAsia="宋体" w:cs="Arial"/>
          <w:i/>
          <w:iCs/>
          <w:snapToGrid w:val="0"/>
          <w:kern w:val="0"/>
          <w:sz w:val="24"/>
          <w:szCs w:val="21"/>
        </w:rPr>
      </w:pPr>
      <w:r>
        <w:rPr>
          <w:rFonts w:ascii="Arial" w:hAnsi="Arial" w:eastAsia="宋体" w:cs="Arial"/>
          <w:snapToGrid w:val="0"/>
          <w:kern w:val="0"/>
          <w:sz w:val="24"/>
          <w:szCs w:val="21"/>
        </w:rPr>
        <w:t xml:space="preserve">Misanchuk, E.R. (1992). </w:t>
      </w:r>
      <w:r>
        <w:rPr>
          <w:rFonts w:ascii="Arial" w:hAnsi="Arial" w:eastAsia="宋体" w:cs="Arial"/>
          <w:i/>
          <w:iCs/>
          <w:snapToGrid w:val="0"/>
          <w:kern w:val="0"/>
          <w:sz w:val="24"/>
          <w:szCs w:val="21"/>
        </w:rPr>
        <w:t>Preparing instructional text: Document design using desktop</w:t>
      </w:r>
      <w:r>
        <w:rPr>
          <w:rFonts w:hint="eastAsia" w:ascii="Arial" w:hAnsi="Arial" w:eastAsia="宋体" w:cs="Arial"/>
          <w:i/>
          <w:iCs/>
          <w:snapToGrid w:val="0"/>
          <w:kern w:val="0"/>
          <w:sz w:val="24"/>
          <w:szCs w:val="21"/>
        </w:rPr>
        <w:t xml:space="preserve"> </w:t>
      </w:r>
      <w:r>
        <w:rPr>
          <w:rFonts w:ascii="Arial" w:hAnsi="Arial" w:eastAsia="宋体" w:cs="Arial"/>
          <w:i/>
          <w:iCs/>
          <w:snapToGrid w:val="0"/>
          <w:kern w:val="0"/>
          <w:sz w:val="24"/>
          <w:szCs w:val="21"/>
        </w:rPr>
        <w:t xml:space="preserve">publishing. </w:t>
      </w:r>
      <w:r>
        <w:rPr>
          <w:rFonts w:ascii="Arial" w:hAnsi="Arial" w:eastAsia="宋体" w:cs="Arial"/>
          <w:snapToGrid w:val="0"/>
          <w:kern w:val="0"/>
          <w:sz w:val="24"/>
          <w:szCs w:val="21"/>
        </w:rPr>
        <w:t>Englewood Cliffs, NJ: Educational Technology Publications. .</w:t>
      </w:r>
    </w:p>
    <w:p w14:paraId="39FC649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Moran, M.G. &amp; Journet, D. (1 985). </w:t>
      </w:r>
      <w:r>
        <w:rPr>
          <w:rFonts w:ascii="Arial" w:hAnsi="Arial" w:eastAsia="宋体" w:cs="Arial"/>
          <w:i/>
          <w:iCs/>
          <w:snapToGrid w:val="0"/>
          <w:kern w:val="0"/>
          <w:sz w:val="24"/>
          <w:szCs w:val="21"/>
        </w:rPr>
        <w:t xml:space="preserve">Research in Technical Communication. </w:t>
      </w:r>
      <w:r>
        <w:rPr>
          <w:rFonts w:ascii="Arial" w:hAnsi="Arial" w:eastAsia="宋体" w:cs="Arial"/>
          <w:snapToGrid w:val="0"/>
          <w:kern w:val="0"/>
          <w:sz w:val="24"/>
          <w:szCs w:val="21"/>
        </w:rPr>
        <w:t>Westport, CT,</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Greenwood Press.</w:t>
      </w:r>
    </w:p>
    <w:p w14:paraId="5DAD3F99">
      <w:pPr>
        <w:topLinePunct/>
        <w:adjustRightInd w:val="0"/>
        <w:snapToGrid w:val="0"/>
        <w:spacing w:after="109" w:afterLines="35" w:line="288" w:lineRule="auto"/>
        <w:rPr>
          <w:rFonts w:ascii="Arial" w:hAnsi="Arial" w:eastAsia="宋体" w:cs="Arial"/>
          <w:i/>
          <w:iCs/>
          <w:snapToGrid w:val="0"/>
          <w:kern w:val="0"/>
          <w:sz w:val="24"/>
          <w:szCs w:val="21"/>
        </w:rPr>
      </w:pPr>
      <w:r>
        <w:rPr>
          <w:rFonts w:ascii="Arial" w:hAnsi="Arial" w:eastAsia="宋体" w:cs="Arial"/>
          <w:snapToGrid w:val="0"/>
          <w:kern w:val="0"/>
          <w:sz w:val="24"/>
          <w:szCs w:val="21"/>
        </w:rPr>
        <w:t xml:space="preserve">Price, J. (1984). </w:t>
      </w:r>
      <w:r>
        <w:rPr>
          <w:rFonts w:ascii="Arial" w:hAnsi="Arial" w:eastAsia="宋体" w:cs="Arial"/>
          <w:i/>
          <w:iCs/>
          <w:snapToGrid w:val="0"/>
          <w:kern w:val="0"/>
          <w:sz w:val="24"/>
          <w:szCs w:val="21"/>
        </w:rPr>
        <w:t>How to write a computer manual: A handbook of sofhYare documentation.</w:t>
      </w:r>
      <w:r>
        <w:rPr>
          <w:rFonts w:hint="eastAsia" w:ascii="Arial" w:hAnsi="Arial" w:eastAsia="宋体" w:cs="Arial"/>
          <w:i/>
          <w:iCs/>
          <w:snapToGrid w:val="0"/>
          <w:kern w:val="0"/>
          <w:sz w:val="24"/>
          <w:szCs w:val="21"/>
        </w:rPr>
        <w:t xml:space="preserve"> </w:t>
      </w:r>
      <w:r>
        <w:rPr>
          <w:rFonts w:ascii="Arial" w:hAnsi="Arial" w:eastAsia="宋体" w:cs="Arial"/>
          <w:snapToGrid w:val="0"/>
          <w:kern w:val="0"/>
          <w:sz w:val="24"/>
          <w:szCs w:val="21"/>
        </w:rPr>
        <w:t>Menlo Park, CA: BenjamidCummings Publishing Company.</w:t>
      </w:r>
    </w:p>
    <w:p w14:paraId="5A9D769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Rubens, P., Ed. (1992) </w:t>
      </w:r>
      <w:r>
        <w:rPr>
          <w:rFonts w:ascii="Arial" w:hAnsi="Arial" w:eastAsia="宋体" w:cs="Arial"/>
          <w:i/>
          <w:iCs/>
          <w:snapToGrid w:val="0"/>
          <w:kern w:val="0"/>
          <w:sz w:val="24"/>
          <w:szCs w:val="21"/>
        </w:rPr>
        <w:t xml:space="preserve">Science and Technical Writing. A Manual </w:t>
      </w:r>
      <w:r>
        <w:rPr>
          <w:rFonts w:ascii="Arial" w:hAnsi="Arial" w:eastAsia="宋体" w:cs="Arial"/>
          <w:snapToGrid w:val="0"/>
          <w:kern w:val="0"/>
          <w:sz w:val="24"/>
          <w:szCs w:val="21"/>
        </w:rPr>
        <w:t>of Style. New York, Henry</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Holt.</w:t>
      </w:r>
    </w:p>
    <w:p w14:paraId="3BAC917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b/>
          <w:bCs/>
          <w:snapToGrid w:val="0"/>
          <w:kern w:val="0"/>
          <w:sz w:val="24"/>
          <w:szCs w:val="21"/>
        </w:rPr>
        <w:t xml:space="preserve">Ryan, </w:t>
      </w:r>
      <w:r>
        <w:rPr>
          <w:rFonts w:ascii="Arial" w:hAnsi="Arial" w:eastAsia="宋体" w:cs="Arial"/>
          <w:snapToGrid w:val="0"/>
          <w:kern w:val="0"/>
          <w:sz w:val="24"/>
          <w:szCs w:val="21"/>
        </w:rPr>
        <w:t xml:space="preserve">J.P. (199 1). </w:t>
      </w:r>
      <w:r>
        <w:rPr>
          <w:rFonts w:ascii="Arial" w:hAnsi="Arial" w:eastAsia="宋体" w:cs="Arial"/>
          <w:b/>
          <w:bCs/>
          <w:i/>
          <w:iCs/>
          <w:snapToGrid w:val="0"/>
          <w:kern w:val="0"/>
          <w:sz w:val="24"/>
          <w:szCs w:val="21"/>
        </w:rPr>
        <w:t xml:space="preserve">Design of Warning Labels </w:t>
      </w:r>
      <w:r>
        <w:rPr>
          <w:rFonts w:ascii="Arial" w:hAnsi="Arial" w:eastAsia="宋体" w:cs="Arial"/>
          <w:i/>
          <w:iCs/>
          <w:snapToGrid w:val="0"/>
          <w:kern w:val="0"/>
          <w:sz w:val="24"/>
          <w:szCs w:val="21"/>
        </w:rPr>
        <w:t xml:space="preserve">and </w:t>
      </w:r>
      <w:r>
        <w:rPr>
          <w:rFonts w:ascii="Arial" w:hAnsi="Arial" w:eastAsia="宋体" w:cs="Arial"/>
          <w:b/>
          <w:bCs/>
          <w:i/>
          <w:iCs/>
          <w:snapToGrid w:val="0"/>
          <w:kern w:val="0"/>
          <w:sz w:val="24"/>
          <w:szCs w:val="21"/>
        </w:rPr>
        <w:t xml:space="preserve">Instructions. </w:t>
      </w:r>
      <w:r>
        <w:rPr>
          <w:rFonts w:ascii="Arial" w:hAnsi="Arial" w:eastAsia="宋体" w:cs="Arial"/>
          <w:snapToGrid w:val="0"/>
          <w:kern w:val="0"/>
          <w:sz w:val="24"/>
          <w:szCs w:val="21"/>
        </w:rPr>
        <w:t>New York: Van Nostrand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Reinhold.</w:t>
      </w:r>
    </w:p>
    <w:p w14:paraId="407C365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Rice, V.H., &amp; Johnson, J.E. (1984). Preadmission self-instruction booklets, postadmission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exercise performance, and teaching time. </w:t>
      </w:r>
      <w:r>
        <w:rPr>
          <w:rFonts w:ascii="Arial" w:hAnsi="Arial" w:eastAsia="宋体" w:cs="Arial"/>
          <w:b/>
          <w:bCs/>
          <w:i/>
          <w:iCs/>
          <w:snapToGrid w:val="0"/>
          <w:kern w:val="0"/>
          <w:sz w:val="24"/>
          <w:szCs w:val="21"/>
        </w:rPr>
        <w:t xml:space="preserve">Nursing Research, </w:t>
      </w:r>
      <w:r>
        <w:rPr>
          <w:rFonts w:ascii="Arial" w:hAnsi="Arial" w:eastAsia="宋体" w:cs="Arial"/>
          <w:snapToGrid w:val="0"/>
          <w:kern w:val="0"/>
          <w:sz w:val="24"/>
          <w:szCs w:val="21"/>
        </w:rPr>
        <w:t>33, 147- 15 1.</w:t>
      </w:r>
    </w:p>
    <w:p w14:paraId="739A951F">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Schriver, K.A., Hayes, J.R., Danley, C.C., Wulff, W.A., Davies, L., Cerroni, </w:t>
      </w:r>
      <w:r>
        <w:rPr>
          <w:rFonts w:ascii="Arial" w:hAnsi="Arial" w:eastAsia="宋体" w:cs="Arial"/>
          <w:b/>
          <w:bCs/>
          <w:snapToGrid w:val="0"/>
          <w:kern w:val="0"/>
          <w:sz w:val="24"/>
          <w:szCs w:val="21"/>
        </w:rPr>
        <w:t xml:space="preserve">K. </w:t>
      </w:r>
      <w:r>
        <w:rPr>
          <w:rFonts w:ascii="Arial" w:hAnsi="Arial" w:eastAsia="宋体" w:cs="Arial"/>
          <w:snapToGrid w:val="0"/>
          <w:kern w:val="0"/>
          <w:sz w:val="24"/>
          <w:szCs w:val="21"/>
        </w:rPr>
        <w:t>Graham,</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D., Flood, E., &amp; Bond, E. (1986). </w:t>
      </w:r>
      <w:r>
        <w:rPr>
          <w:rFonts w:ascii="Arial" w:hAnsi="Arial" w:eastAsia="宋体" w:cs="Arial"/>
          <w:b/>
          <w:bCs/>
          <w:i/>
          <w:iCs/>
          <w:snapToGrid w:val="0"/>
          <w:kern w:val="0"/>
          <w:sz w:val="24"/>
          <w:szCs w:val="21"/>
        </w:rPr>
        <w:t>Designing computer documentation: A review of the</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relevant literature. </w:t>
      </w:r>
      <w:r>
        <w:rPr>
          <w:rFonts w:ascii="Arial" w:hAnsi="Arial" w:eastAsia="宋体" w:cs="Arial"/>
          <w:snapToGrid w:val="0"/>
          <w:kern w:val="0"/>
          <w:sz w:val="24"/>
          <w:szCs w:val="21"/>
        </w:rPr>
        <w:t>Pittsburgh, PA: Communications Design Center, Carnegie-Mellon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University.</w:t>
      </w:r>
    </w:p>
    <w:p w14:paraId="576F6386">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Schoff, G.H. &amp; Robinson, P.A. (1984). Writing &amp; Designing Operator Manuals. Belmont,</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CA, Lifetime Learning Publications.</w:t>
      </w:r>
    </w:p>
    <w:p w14:paraId="3232ECE8">
      <w:pPr>
        <w:topLinePunct/>
        <w:adjustRightInd w:val="0"/>
        <w:snapToGrid w:val="0"/>
        <w:spacing w:after="109" w:afterLines="35" w:line="288"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Simpson, H., &amp; Casey, S.M. (1988). </w:t>
      </w:r>
      <w:r>
        <w:rPr>
          <w:rFonts w:ascii="Arial" w:hAnsi="Arial" w:eastAsia="宋体" w:cs="Arial"/>
          <w:b/>
          <w:bCs/>
          <w:i/>
          <w:iCs/>
          <w:snapToGrid w:val="0"/>
          <w:kern w:val="0"/>
          <w:sz w:val="24"/>
          <w:szCs w:val="21"/>
        </w:rPr>
        <w:t>Developing effective user documentation: A hmn</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 xml:space="preserve">factors approach. </w:t>
      </w:r>
      <w:r>
        <w:rPr>
          <w:rFonts w:ascii="Arial" w:hAnsi="Arial" w:eastAsia="宋体" w:cs="Arial"/>
          <w:snapToGrid w:val="0"/>
          <w:kern w:val="0"/>
          <w:sz w:val="24"/>
          <w:szCs w:val="21"/>
        </w:rPr>
        <w:t>New York: McGraw-Hill.</w:t>
      </w:r>
    </w:p>
    <w:p w14:paraId="1C30A35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Sticht, T. (1985). Understanding readers and their uses of text. In T.M. Duffy and R. Waller (Eds.), </w:t>
      </w:r>
      <w:r>
        <w:rPr>
          <w:rFonts w:ascii="Arial" w:hAnsi="Arial" w:eastAsia="宋体" w:cs="Arial"/>
          <w:b/>
          <w:bCs/>
          <w:i/>
          <w:iCs/>
          <w:snapToGrid w:val="0"/>
          <w:kern w:val="0"/>
          <w:sz w:val="24"/>
          <w:szCs w:val="21"/>
        </w:rPr>
        <w:t>Designing usable texts (</w:t>
      </w:r>
      <w:r>
        <w:rPr>
          <w:rFonts w:ascii="Arial" w:hAnsi="Arial" w:eastAsia="宋体" w:cs="Arial"/>
          <w:snapToGrid w:val="0"/>
          <w:kern w:val="0"/>
          <w:sz w:val="24"/>
          <w:szCs w:val="21"/>
        </w:rPr>
        <w:t>pp. 315-340). New York: Academic.</w:t>
      </w:r>
    </w:p>
    <w:p w14:paraId="351B496C">
      <w:pPr>
        <w:topLinePunct/>
        <w:adjustRightInd w:val="0"/>
        <w:snapToGrid w:val="0"/>
        <w:spacing w:after="109" w:afterLines="35" w:line="288"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Sullivan, M.A., &amp; Chapanis, A. (1983). Human factoring a text editor manual. </w:t>
      </w:r>
      <w:r>
        <w:rPr>
          <w:rFonts w:ascii="Arial" w:hAnsi="Arial" w:eastAsia="宋体" w:cs="Arial"/>
          <w:b/>
          <w:bCs/>
          <w:i/>
          <w:iCs/>
          <w:snapToGrid w:val="0"/>
          <w:kern w:val="0"/>
          <w:sz w:val="24"/>
          <w:szCs w:val="21"/>
        </w:rPr>
        <w:t>Behaviond</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 xml:space="preserve">Information Technology, 2, </w:t>
      </w:r>
      <w:r>
        <w:rPr>
          <w:rFonts w:ascii="Arial" w:hAnsi="Arial" w:eastAsia="宋体" w:cs="Arial"/>
          <w:snapToGrid w:val="0"/>
          <w:kern w:val="0"/>
          <w:sz w:val="24"/>
          <w:szCs w:val="21"/>
        </w:rPr>
        <w:t>1 13- 125.</w:t>
      </w:r>
    </w:p>
    <w:p w14:paraId="72D46154">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S wezey, R.W. (1 987). Design of job aids and procedure writing. In G. Salvendy (Ed.), </w:t>
      </w:r>
      <w:r>
        <w:rPr>
          <w:rFonts w:ascii="Arial" w:hAnsi="Arial" w:eastAsia="宋体" w:cs="Arial"/>
          <w:b/>
          <w:bCs/>
          <w:i/>
          <w:iCs/>
          <w:snapToGrid w:val="0"/>
          <w:kern w:val="0"/>
          <w:sz w:val="24"/>
          <w:szCs w:val="21"/>
        </w:rPr>
        <w:t>Handbook of human factors (</w:t>
      </w:r>
      <w:r>
        <w:rPr>
          <w:rFonts w:ascii="Arial" w:hAnsi="Arial" w:eastAsia="宋体" w:cs="Arial"/>
          <w:snapToGrid w:val="0"/>
          <w:kern w:val="0"/>
          <w:sz w:val="24"/>
          <w:szCs w:val="21"/>
        </w:rPr>
        <w:t>Ch. 8.6). New York: Wiley.</w:t>
      </w:r>
    </w:p>
    <w:p w14:paraId="4CBAAD26">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Weinrnan, J. (1990). Providing written information for patients: psychological considerations.</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Jounzal of the Royal Society of Medicine, </w:t>
      </w:r>
      <w:r>
        <w:rPr>
          <w:rFonts w:ascii="Arial" w:hAnsi="Arial" w:eastAsia="宋体" w:cs="Arial"/>
          <w:snapToGrid w:val="0"/>
          <w:kern w:val="0"/>
          <w:sz w:val="24"/>
          <w:szCs w:val="21"/>
        </w:rPr>
        <w:t>83,303-305.</w:t>
      </w:r>
    </w:p>
    <w:p w14:paraId="6E1EDCE0">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Weiss, E.H. (1985). </w:t>
      </w:r>
      <w:r>
        <w:rPr>
          <w:rFonts w:ascii="Arial" w:hAnsi="Arial" w:eastAsia="宋体" w:cs="Arial"/>
          <w:b/>
          <w:bCs/>
          <w:i/>
          <w:iCs/>
          <w:snapToGrid w:val="0"/>
          <w:kern w:val="0"/>
          <w:sz w:val="24"/>
          <w:szCs w:val="21"/>
        </w:rPr>
        <w:t xml:space="preserve">How to write a usable user manual. </w:t>
      </w:r>
      <w:r>
        <w:rPr>
          <w:rFonts w:ascii="Arial" w:hAnsi="Arial" w:eastAsia="宋体" w:cs="Arial"/>
          <w:snapToGrid w:val="0"/>
          <w:kern w:val="0"/>
          <w:sz w:val="24"/>
          <w:szCs w:val="21"/>
        </w:rPr>
        <w:t xml:space="preserve">Philadelphia: </w:t>
      </w:r>
      <w:r>
        <w:rPr>
          <w:rFonts w:ascii="Arial" w:hAnsi="Arial" w:eastAsia="宋体" w:cs="Arial"/>
          <w:b/>
          <w:bCs/>
          <w:snapToGrid w:val="0"/>
          <w:kern w:val="0"/>
          <w:sz w:val="24"/>
          <w:szCs w:val="21"/>
        </w:rPr>
        <w:t xml:space="preserve">IS1 </w:t>
      </w:r>
      <w:r>
        <w:rPr>
          <w:rFonts w:ascii="Arial" w:hAnsi="Arial" w:eastAsia="宋体" w:cs="Arial"/>
          <w:snapToGrid w:val="0"/>
          <w:kern w:val="0"/>
          <w:sz w:val="24"/>
          <w:szCs w:val="21"/>
        </w:rPr>
        <w:t>Press.</w:t>
      </w:r>
    </w:p>
    <w:p w14:paraId="44AEDFC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Wheatly, D.M., &amp; Unwin, A.W. (1972). The </w:t>
      </w:r>
      <w:r>
        <w:rPr>
          <w:rFonts w:ascii="Arial" w:hAnsi="Arial" w:eastAsia="宋体" w:cs="Arial"/>
          <w:b/>
          <w:bCs/>
          <w:i/>
          <w:iCs/>
          <w:snapToGrid w:val="0"/>
          <w:kern w:val="0"/>
          <w:sz w:val="24"/>
          <w:szCs w:val="21"/>
        </w:rPr>
        <w:t xml:space="preserve">algorithm writer's guide. </w:t>
      </w:r>
      <w:r>
        <w:rPr>
          <w:rFonts w:ascii="Arial" w:hAnsi="Arial" w:eastAsia="宋体" w:cs="Arial"/>
          <w:snapToGrid w:val="0"/>
          <w:kern w:val="0"/>
          <w:sz w:val="24"/>
          <w:szCs w:val="21"/>
        </w:rPr>
        <w:t>London: Longmans.</w:t>
      </w:r>
    </w:p>
    <w:p w14:paraId="0B72C412">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Wiedman, T., &amp; Ireland, F. (1965). A new look at procedures manuals. </w:t>
      </w:r>
      <w:r>
        <w:rPr>
          <w:rFonts w:ascii="Arial" w:hAnsi="Arial" w:eastAsia="宋体" w:cs="Arial"/>
          <w:b/>
          <w:bCs/>
          <w:i/>
          <w:iCs/>
          <w:snapToGrid w:val="0"/>
          <w:kern w:val="0"/>
          <w:sz w:val="24"/>
          <w:szCs w:val="21"/>
        </w:rPr>
        <w:t xml:space="preserve">Hum Factors, </w:t>
      </w:r>
      <w:r>
        <w:rPr>
          <w:rFonts w:ascii="Arial" w:hAnsi="Arial" w:eastAsia="宋体" w:cs="Arial"/>
          <w:snapToGrid w:val="0"/>
          <w:kern w:val="0"/>
          <w:sz w:val="24"/>
          <w:szCs w:val="21"/>
        </w:rPr>
        <w:t>7,</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371-377.</w:t>
      </w:r>
    </w:p>
    <w:p w14:paraId="69AC5028">
      <w:pPr>
        <w:topLinePunct/>
        <w:adjustRightInd w:val="0"/>
        <w:snapToGrid w:val="0"/>
        <w:spacing w:after="109" w:afterLines="35" w:line="288"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Wieringa, D., Moore, C. &amp; Barnes, V. (1993) </w:t>
      </w:r>
      <w:r>
        <w:rPr>
          <w:rFonts w:ascii="Arial" w:hAnsi="Arial" w:eastAsia="宋体" w:cs="Arial"/>
          <w:b/>
          <w:bCs/>
          <w:i/>
          <w:iCs/>
          <w:snapToGrid w:val="0"/>
          <w:kern w:val="0"/>
          <w:sz w:val="24"/>
          <w:szCs w:val="21"/>
        </w:rPr>
        <w:t>Procedure Writing, Principles and Practices.</w:t>
      </w:r>
      <w:r>
        <w:rPr>
          <w:rFonts w:hint="eastAsia" w:ascii="Arial" w:hAnsi="Arial" w:eastAsia="宋体" w:cs="Arial"/>
          <w:b/>
          <w:bCs/>
          <w:i/>
          <w:iCs/>
          <w:snapToGrid w:val="0"/>
          <w:kern w:val="0"/>
          <w:sz w:val="24"/>
          <w:szCs w:val="21"/>
        </w:rPr>
        <w:t xml:space="preserve"> </w:t>
      </w:r>
      <w:r>
        <w:rPr>
          <w:rFonts w:ascii="Arial" w:hAnsi="Arial" w:eastAsia="宋体" w:cs="Arial"/>
          <w:snapToGrid w:val="0"/>
          <w:kern w:val="0"/>
          <w:sz w:val="24"/>
          <w:szCs w:val="21"/>
        </w:rPr>
        <w:t>Columbus, OH, Battelle Press.</w:t>
      </w:r>
    </w:p>
    <w:p w14:paraId="5DFCC8F5">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Wright, P. (1977). Presenting technical information: A survey of research findings.</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Instructional Science, </w:t>
      </w:r>
      <w:r>
        <w:rPr>
          <w:rFonts w:ascii="Arial" w:hAnsi="Arial" w:eastAsia="宋体" w:cs="Arial"/>
          <w:snapToGrid w:val="0"/>
          <w:kern w:val="0"/>
          <w:sz w:val="24"/>
          <w:szCs w:val="21"/>
        </w:rPr>
        <w:t>6,93- 134.</w:t>
      </w:r>
    </w:p>
    <w:p w14:paraId="0008629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Wright, P. (1980). Usability: The criterion for designing written information; </w:t>
      </w:r>
      <w:r>
        <w:rPr>
          <w:rFonts w:ascii="Arial" w:hAnsi="Arial" w:eastAsia="宋体" w:cs="Arial"/>
          <w:b/>
          <w:bCs/>
          <w:snapToGrid w:val="0"/>
          <w:kern w:val="0"/>
          <w:sz w:val="24"/>
          <w:szCs w:val="21"/>
        </w:rPr>
        <w:t xml:space="preserve">In </w:t>
      </w:r>
      <w:r>
        <w:rPr>
          <w:rFonts w:ascii="Arial" w:hAnsi="Arial" w:eastAsia="宋体" w:cs="Arial"/>
          <w:snapToGrid w:val="0"/>
          <w:kern w:val="0"/>
          <w:sz w:val="24"/>
          <w:szCs w:val="21"/>
        </w:rPr>
        <w:t>P.A. Kolers,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M.E. Wrolstad, and H. Bouma (Eds.), </w:t>
      </w:r>
      <w:r>
        <w:rPr>
          <w:rFonts w:ascii="Arial" w:hAnsi="Arial" w:eastAsia="宋体" w:cs="Arial"/>
          <w:b/>
          <w:bCs/>
          <w:i/>
          <w:iCs/>
          <w:snapToGrid w:val="0"/>
          <w:kern w:val="0"/>
          <w:sz w:val="24"/>
          <w:szCs w:val="21"/>
        </w:rPr>
        <w:t>Processing of visible language, 2 (</w:t>
      </w:r>
      <w:r>
        <w:rPr>
          <w:rFonts w:ascii="Arial" w:hAnsi="Arial" w:eastAsia="宋体" w:cs="Arial"/>
          <w:snapToGrid w:val="0"/>
          <w:kern w:val="0"/>
          <w:sz w:val="24"/>
          <w:szCs w:val="21"/>
        </w:rPr>
        <w:t>pp. 183-206). New York: Plenum.</w:t>
      </w:r>
    </w:p>
    <w:p w14:paraId="6C3BDE9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Wright, P. (1988). Issues of content and presentation in document design. In M. Helander (Ed.), </w:t>
      </w:r>
      <w:r>
        <w:rPr>
          <w:rFonts w:ascii="Arial" w:hAnsi="Arial" w:eastAsia="宋体" w:cs="Arial"/>
          <w:b/>
          <w:bCs/>
          <w:i/>
          <w:iCs/>
          <w:snapToGrid w:val="0"/>
          <w:kern w:val="0"/>
          <w:sz w:val="24"/>
          <w:szCs w:val="21"/>
        </w:rPr>
        <w:t xml:space="preserve">Handbook of human-computer interaction. (pp. </w:t>
      </w:r>
      <w:r>
        <w:rPr>
          <w:rFonts w:ascii="Arial" w:hAnsi="Arial" w:eastAsia="宋体" w:cs="Arial"/>
          <w:snapToGrid w:val="0"/>
          <w:kern w:val="0"/>
          <w:sz w:val="24"/>
          <w:szCs w:val="21"/>
        </w:rPr>
        <w:t>629-652). Amsterdam: North-Holland.</w:t>
      </w:r>
    </w:p>
    <w:p w14:paraId="6838D79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Wright, P., &amp; Reid, F. (1973). Written information: Some alternative to prose for expressing</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the outcomes of complex contingencies. </w:t>
      </w:r>
      <w:r>
        <w:rPr>
          <w:rFonts w:ascii="Arial" w:hAnsi="Arial" w:eastAsia="宋体" w:cs="Arial"/>
          <w:b/>
          <w:bCs/>
          <w:i/>
          <w:iCs/>
          <w:snapToGrid w:val="0"/>
          <w:kern w:val="0"/>
          <w:sz w:val="24"/>
          <w:szCs w:val="21"/>
        </w:rPr>
        <w:t xml:space="preserve">Journal of Applied Psychology, 57, </w:t>
      </w:r>
      <w:r>
        <w:rPr>
          <w:rFonts w:ascii="Arial" w:hAnsi="Arial" w:eastAsia="宋体" w:cs="Arial"/>
          <w:snapToGrid w:val="0"/>
          <w:kern w:val="0"/>
          <w:sz w:val="24"/>
          <w:szCs w:val="21"/>
        </w:rPr>
        <w:t>160-166.</w:t>
      </w:r>
    </w:p>
    <w:p w14:paraId="1B34DB3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Wright, P., Creighton, P., &amp; Threlfall, S.M. (1982). Some factors determining when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instructions will be </w:t>
      </w:r>
      <w:r>
        <w:rPr>
          <w:rFonts w:ascii="Arial" w:hAnsi="Arial" w:eastAsia="宋体" w:cs="Arial"/>
          <w:b/>
          <w:bCs/>
          <w:snapToGrid w:val="0"/>
          <w:kern w:val="0"/>
          <w:sz w:val="24"/>
          <w:szCs w:val="21"/>
        </w:rPr>
        <w:t xml:space="preserve">md. </w:t>
      </w:r>
      <w:r>
        <w:rPr>
          <w:rFonts w:ascii="Arial" w:hAnsi="Arial" w:eastAsia="宋体" w:cs="Arial"/>
          <w:snapToGrid w:val="0"/>
          <w:kern w:val="0"/>
          <w:sz w:val="24"/>
          <w:szCs w:val="21"/>
        </w:rPr>
        <w:t>Ergonomics, 25,225-237.</w:t>
      </w:r>
    </w:p>
    <w:p w14:paraId="7B781B45">
      <w:pPr>
        <w:pStyle w:val="3"/>
        <w:keepNext w:val="0"/>
        <w:keepLines w:val="0"/>
        <w:topLinePunct/>
        <w:adjustRightInd w:val="0"/>
        <w:snapToGrid w:val="0"/>
        <w:spacing w:beforeLines="0" w:after="109" w:afterLines="35" w:line="288" w:lineRule="auto"/>
        <w:rPr>
          <w:rFonts w:ascii="Arial" w:hAnsi="Arial" w:eastAsia="宋体" w:cs="Arial"/>
          <w:b/>
          <w:snapToGrid w:val="0"/>
          <w:kern w:val="0"/>
          <w:sz w:val="24"/>
        </w:rPr>
      </w:pPr>
      <w:bookmarkStart w:id="20" w:name="_Toc499280433"/>
      <w:r>
        <w:rPr>
          <w:rFonts w:hint="eastAsia" w:ascii="Arial" w:hAnsi="Arial" w:eastAsia="宋体" w:cs="Arial"/>
          <w:b/>
          <w:snapToGrid w:val="0"/>
          <w:kern w:val="0"/>
          <w:sz w:val="24"/>
        </w:rPr>
        <w:t>结构</w:t>
      </w:r>
      <w:bookmarkEnd w:id="20"/>
    </w:p>
    <w:p w14:paraId="291DD9C3">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Asubel, D.P. (1960). The use of advance organizers in the learning and retention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meaningful verbal material. Journal of Educational Psychology, 51,267-272.</w:t>
      </w:r>
    </w:p>
    <w:p w14:paraId="23CBEE96">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Blaiwes, A.S. (1974). Fonnats for presenting procedural instructions. Journal of Applied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Psychology, 59, 683-686.</w:t>
      </w:r>
    </w:p>
    <w:p w14:paraId="79D749A6">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Fleming, M.I. (1970). Perceptual principles for the design of instructional materials.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Viewpoints, 46, 69-200.</w:t>
      </w:r>
    </w:p>
    <w:p w14:paraId="67E108C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Fowler, R.L., &amp; Barker, A.S. (1974). Effectiveness of highlighting for retention of text</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material. Journal of Applied Psychology, 59,358-364.</w:t>
      </w:r>
    </w:p>
    <w:p w14:paraId="1B42CB6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Haney, R. (1969). The effects of format on functional testing performance. </w:t>
      </w:r>
      <w:r>
        <w:rPr>
          <w:rFonts w:ascii="Arial" w:hAnsi="Arial" w:eastAsia="宋体" w:cs="Arial"/>
          <w:b/>
          <w:bCs/>
          <w:i/>
          <w:iCs/>
          <w:snapToGrid w:val="0"/>
          <w:kern w:val="0"/>
          <w:sz w:val="24"/>
          <w:szCs w:val="21"/>
        </w:rPr>
        <w:t xml:space="preserve">Human </w:t>
      </w:r>
      <w:r>
        <w:rPr>
          <w:rFonts w:ascii="Arial" w:hAnsi="Arial" w:eastAsia="宋体" w:cs="Arial"/>
          <w:snapToGrid w:val="0"/>
          <w:kern w:val="0"/>
          <w:sz w:val="24"/>
          <w:szCs w:val="21"/>
        </w:rPr>
        <w:t>Factors,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11, 181-188.</w:t>
      </w:r>
    </w:p>
    <w:p w14:paraId="4AC7F4D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Hartley, J. (1980). Space and structure in instructional text. In J. Hartley (Ed.), The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psychology of written commzhcation (pp. 127-144). London: Kogan Page.</w:t>
      </w:r>
    </w:p>
    <w:p w14:paraId="735B6864">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Hartley, J., &amp; Jonassen, D.H. (1985). The role of headings in printed and electronic text. In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D.H. Jonassen (Ed.), The technology of text, Vol. 2. Englewood Cliffs, NJ: Educational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Technology Publications.</w:t>
      </w:r>
    </w:p>
    <w:p w14:paraId="1E8D7486">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Hartley, J., &amp; Trueman, M. (1981). The effects of changes in layout and changes in wording</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on preferences for instructional text. Visible Language, </w:t>
      </w:r>
      <w:r>
        <w:rPr>
          <w:rFonts w:ascii="Arial" w:hAnsi="Arial" w:eastAsia="宋体" w:cs="Arial"/>
          <w:b/>
          <w:bCs/>
          <w:i/>
          <w:iCs/>
          <w:snapToGrid w:val="0"/>
          <w:kern w:val="0"/>
          <w:sz w:val="24"/>
          <w:szCs w:val="21"/>
        </w:rPr>
        <w:t xml:space="preserve">XV, </w:t>
      </w:r>
      <w:r>
        <w:rPr>
          <w:rFonts w:ascii="Arial" w:hAnsi="Arial" w:eastAsia="宋体" w:cs="Arial"/>
          <w:snapToGrid w:val="0"/>
          <w:kern w:val="0"/>
          <w:sz w:val="24"/>
          <w:szCs w:val="21"/>
        </w:rPr>
        <w:t>13-31.</w:t>
      </w:r>
    </w:p>
    <w:p w14:paraId="477D549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Hartley, J., &amp; Trueman, M. (1985). A research strategy for text designers: The role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headings. Instructw~uzSl cience, I4,99- 1%.</w:t>
      </w:r>
    </w:p>
    <w:p w14:paraId="5DA5A3E6">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Hartley, J., Bartlett, S., &amp; Branthwaite, J. A. (1980). Underlining can make a differencesometimes.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Journal of Educational Research, 73,218-224.</w:t>
      </w:r>
    </w:p>
    <w:p w14:paraId="26A3A52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Judisch, J.M., Rupp, B.A., &amp; Dassinger, R.A. (1981). Effects of manual style 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performance in education and machine maintenance. </w:t>
      </w:r>
      <w:r>
        <w:rPr>
          <w:rFonts w:ascii="Arial" w:hAnsi="Arial" w:eastAsia="宋体" w:cs="Arial"/>
          <w:b/>
          <w:bCs/>
          <w:i/>
          <w:iCs/>
          <w:snapToGrid w:val="0"/>
          <w:kern w:val="0"/>
          <w:sz w:val="24"/>
          <w:szCs w:val="21"/>
        </w:rPr>
        <w:t xml:space="preserve">IBM </w:t>
      </w:r>
      <w:r>
        <w:rPr>
          <w:rFonts w:ascii="Arial" w:hAnsi="Arial" w:eastAsia="宋体" w:cs="Arial"/>
          <w:snapToGrid w:val="0"/>
          <w:kern w:val="0"/>
          <w:sz w:val="24"/>
          <w:szCs w:val="21"/>
        </w:rPr>
        <w:t>Systems Jounzal, 20, 172- 183.</w:t>
      </w:r>
    </w:p>
    <w:p w14:paraId="2EAE2C5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Karnrnann, R. (1975). The comprehensibility of printed instructions and the flowchart</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alternative. </w:t>
      </w:r>
      <w:r>
        <w:rPr>
          <w:rFonts w:ascii="Arial" w:hAnsi="Arial" w:eastAsia="宋体" w:cs="Arial"/>
          <w:b/>
          <w:bCs/>
          <w:i/>
          <w:iCs/>
          <w:snapToGrid w:val="0"/>
          <w:kern w:val="0"/>
          <w:sz w:val="24"/>
          <w:szCs w:val="21"/>
        </w:rPr>
        <w:t xml:space="preserve">Human </w:t>
      </w:r>
      <w:r>
        <w:rPr>
          <w:rFonts w:ascii="Arial" w:hAnsi="Arial" w:eastAsia="宋体" w:cs="Arial"/>
          <w:snapToGrid w:val="0"/>
          <w:kern w:val="0"/>
          <w:sz w:val="24"/>
          <w:szCs w:val="21"/>
        </w:rPr>
        <w:t>Factors, 17, 183- 19 1.</w:t>
      </w:r>
    </w:p>
    <w:p w14:paraId="4702FAC0">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Marcus, A. (1992). Graphic design for electronic documents and user interfaces. New York: ACM Press (Ch. 1, Layout, pp. 5-27) .</w:t>
      </w:r>
    </w:p>
    <w:p w14:paraId="68BFC45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Mayer, </w:t>
      </w:r>
      <w:r>
        <w:rPr>
          <w:rFonts w:ascii="Arial" w:hAnsi="Arial" w:eastAsia="宋体" w:cs="Arial"/>
          <w:b/>
          <w:bCs/>
          <w:snapToGrid w:val="0"/>
          <w:kern w:val="0"/>
          <w:sz w:val="24"/>
          <w:szCs w:val="21"/>
        </w:rPr>
        <w:t>R.E. (</w:t>
      </w:r>
      <w:r>
        <w:rPr>
          <w:rFonts w:ascii="Arial" w:hAnsi="Arial" w:eastAsia="宋体" w:cs="Arial"/>
          <w:snapToGrid w:val="0"/>
          <w:kern w:val="0"/>
          <w:sz w:val="24"/>
          <w:szCs w:val="21"/>
        </w:rPr>
        <w:t>1979). Can advance organizers influence meaningful learning? Review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Educational Research, 37.37 1-383.</w:t>
      </w:r>
    </w:p>
    <w:p w14:paraId="647E77A3">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McCarthy, R.L., Finnegan, J.P., Krumrn-Scott, S., &amp; McCarthy, </w:t>
      </w:r>
      <w:r>
        <w:rPr>
          <w:rFonts w:ascii="Arial" w:hAnsi="Arial" w:eastAsia="宋体" w:cs="Arial"/>
          <w:b/>
          <w:bCs/>
          <w:snapToGrid w:val="0"/>
          <w:kern w:val="0"/>
          <w:sz w:val="24"/>
          <w:szCs w:val="21"/>
        </w:rPr>
        <w:t>G.E. (</w:t>
      </w:r>
      <w:r>
        <w:rPr>
          <w:rFonts w:ascii="Arial" w:hAnsi="Arial" w:eastAsia="宋体" w:cs="Arial"/>
          <w:snapToGrid w:val="0"/>
          <w:kern w:val="0"/>
          <w:sz w:val="24"/>
          <w:szCs w:val="21"/>
        </w:rPr>
        <w:t>1984). Product</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information presentation, user behavior, and safety. In Proceedings of the </w:t>
      </w:r>
      <w:r>
        <w:rPr>
          <w:rFonts w:ascii="Arial" w:hAnsi="Arial" w:eastAsia="宋体" w:cs="Arial"/>
          <w:b/>
          <w:bCs/>
          <w:i/>
          <w:iCs/>
          <w:snapToGrid w:val="0"/>
          <w:kern w:val="0"/>
          <w:sz w:val="24"/>
          <w:szCs w:val="21"/>
        </w:rPr>
        <w:t xml:space="preserve">Human </w:t>
      </w:r>
      <w:r>
        <w:rPr>
          <w:rFonts w:ascii="Arial" w:hAnsi="Arial" w:eastAsia="宋体" w:cs="Arial"/>
          <w:snapToGrid w:val="0"/>
          <w:kern w:val="0"/>
          <w:sz w:val="24"/>
          <w:szCs w:val="21"/>
        </w:rPr>
        <w:t>Factors</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Society, </w:t>
      </w:r>
      <w:r>
        <w:rPr>
          <w:rFonts w:ascii="Arial" w:hAnsi="Arial" w:eastAsia="宋体" w:cs="Arial"/>
          <w:snapToGrid w:val="0"/>
          <w:kern w:val="0"/>
          <w:sz w:val="24"/>
          <w:szCs w:val="21"/>
        </w:rPr>
        <w:t>28th Annual Meeting (pp. 8 1-85). Santa Monica, CA: Human Factors Society.</w:t>
      </w:r>
    </w:p>
    <w:p w14:paraId="1227D8B2">
      <w:pPr>
        <w:topLinePunct/>
        <w:adjustRightInd w:val="0"/>
        <w:snapToGrid w:val="0"/>
        <w:spacing w:after="109" w:afterLines="35" w:line="288" w:lineRule="auto"/>
        <w:rPr>
          <w:rFonts w:ascii="Arial" w:hAnsi="Arial" w:eastAsia="宋体" w:cs="Arial"/>
          <w:snapToGrid w:val="0"/>
          <w:kern w:val="0"/>
          <w:sz w:val="24"/>
        </w:rPr>
      </w:pPr>
      <w:r>
        <w:rPr>
          <w:rFonts w:ascii="Arial" w:hAnsi="Arial" w:eastAsia="宋体" w:cs="Arial"/>
          <w:snapToGrid w:val="0"/>
          <w:kern w:val="0"/>
          <w:sz w:val="24"/>
          <w:szCs w:val="21"/>
        </w:rPr>
        <w:t>Miller, L. (February, 1991). Do the white thing. Macintosh Magazine, 48-50.</w:t>
      </w:r>
    </w:p>
    <w:p w14:paraId="3E2FB15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Reder, L.M., &amp; Anderson, </w:t>
      </w:r>
      <w:r>
        <w:rPr>
          <w:rFonts w:ascii="Arial" w:hAnsi="Arial" w:eastAsia="宋体" w:cs="Arial"/>
          <w:b/>
          <w:bCs/>
          <w:snapToGrid w:val="0"/>
          <w:kern w:val="0"/>
          <w:sz w:val="24"/>
          <w:szCs w:val="21"/>
        </w:rPr>
        <w:t>J.R. (</w:t>
      </w:r>
      <w:r>
        <w:rPr>
          <w:rFonts w:ascii="Arial" w:hAnsi="Arial" w:eastAsia="宋体" w:cs="Arial"/>
          <w:snapToGrid w:val="0"/>
          <w:kern w:val="0"/>
          <w:sz w:val="24"/>
          <w:szCs w:val="21"/>
        </w:rPr>
        <w:t>1982). Effects of spacing and embellishment on memory for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main points of a text. Memory </w:t>
      </w:r>
      <w:r>
        <w:rPr>
          <w:rFonts w:ascii="Arial" w:hAnsi="Arial" w:eastAsia="宋体" w:cs="Arial"/>
          <w:b/>
          <w:bCs/>
          <w:i/>
          <w:iCs/>
          <w:snapToGrid w:val="0"/>
          <w:kern w:val="0"/>
          <w:sz w:val="24"/>
          <w:szCs w:val="21"/>
        </w:rPr>
        <w:t xml:space="preserve">and </w:t>
      </w:r>
      <w:r>
        <w:rPr>
          <w:rFonts w:ascii="Arial" w:hAnsi="Arial" w:eastAsia="宋体" w:cs="Arial"/>
          <w:snapToGrid w:val="0"/>
          <w:kern w:val="0"/>
          <w:sz w:val="24"/>
          <w:szCs w:val="21"/>
        </w:rPr>
        <w:t>Cognition, 10.97-102.</w:t>
      </w:r>
    </w:p>
    <w:p w14:paraId="7FC0940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Wright, E.E., &amp; Pyatte, </w:t>
      </w:r>
      <w:r>
        <w:rPr>
          <w:rFonts w:ascii="Arial" w:hAnsi="Arial" w:eastAsia="宋体" w:cs="Arial"/>
          <w:b/>
          <w:bCs/>
          <w:snapToGrid w:val="0"/>
          <w:kern w:val="0"/>
          <w:sz w:val="24"/>
          <w:szCs w:val="21"/>
        </w:rPr>
        <w:t>J.A. (</w:t>
      </w:r>
      <w:r>
        <w:rPr>
          <w:rFonts w:ascii="Arial" w:hAnsi="Arial" w:eastAsia="宋体" w:cs="Arial"/>
          <w:snapToGrid w:val="0"/>
          <w:kern w:val="0"/>
          <w:sz w:val="24"/>
          <w:szCs w:val="21"/>
        </w:rPr>
        <w:t>1983). Organized content technique (</w:t>
      </w:r>
      <w:r>
        <w:rPr>
          <w:rFonts w:ascii="Arial" w:hAnsi="Arial" w:eastAsia="宋体" w:cs="Arial"/>
          <w:b/>
          <w:bCs/>
          <w:snapToGrid w:val="0"/>
          <w:kern w:val="0"/>
          <w:sz w:val="24"/>
          <w:szCs w:val="21"/>
        </w:rPr>
        <w:t xml:space="preserve">OCT): </w:t>
      </w:r>
      <w:r>
        <w:rPr>
          <w:rFonts w:ascii="Arial" w:hAnsi="Arial" w:eastAsia="宋体" w:cs="Arial"/>
          <w:snapToGrid w:val="0"/>
          <w:kern w:val="0"/>
          <w:sz w:val="24"/>
          <w:szCs w:val="21"/>
        </w:rPr>
        <w:t>A method for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presenting information in education and training. Educational Technology, 23,13-20.</w:t>
      </w:r>
    </w:p>
    <w:p w14:paraId="625D226A">
      <w:pPr>
        <w:pStyle w:val="3"/>
        <w:keepNext w:val="0"/>
        <w:keepLines w:val="0"/>
        <w:topLinePunct/>
        <w:adjustRightInd w:val="0"/>
        <w:snapToGrid w:val="0"/>
        <w:spacing w:beforeLines="0" w:after="109" w:afterLines="35" w:line="288" w:lineRule="auto"/>
        <w:rPr>
          <w:rFonts w:ascii="Arial" w:hAnsi="Arial" w:eastAsia="宋体" w:cs="Arial"/>
          <w:b/>
          <w:snapToGrid w:val="0"/>
          <w:kern w:val="0"/>
          <w:sz w:val="24"/>
        </w:rPr>
      </w:pPr>
      <w:bookmarkStart w:id="21" w:name="_Toc499280434"/>
      <w:r>
        <w:rPr>
          <w:rFonts w:hint="eastAsia" w:ascii="Arial" w:hAnsi="Arial" w:eastAsia="宋体" w:cs="Arial"/>
          <w:b/>
          <w:snapToGrid w:val="0"/>
          <w:kern w:val="0"/>
          <w:sz w:val="24"/>
        </w:rPr>
        <w:t>风险沟通</w:t>
      </w:r>
      <w:bookmarkEnd w:id="21"/>
    </w:p>
    <w:p w14:paraId="17E618E3">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National Research Council（1 989）. Improving </w:t>
      </w:r>
      <w:r>
        <w:rPr>
          <w:rFonts w:ascii="Arial" w:hAnsi="Arial" w:eastAsia="宋体" w:cs="Arial"/>
          <w:b/>
          <w:bCs/>
          <w:i/>
          <w:iCs/>
          <w:snapToGrid w:val="0"/>
          <w:kern w:val="0"/>
          <w:sz w:val="24"/>
          <w:szCs w:val="21"/>
        </w:rPr>
        <w:t xml:space="preserve">risk </w:t>
      </w:r>
      <w:r>
        <w:rPr>
          <w:rFonts w:ascii="Arial" w:hAnsi="Arial" w:eastAsia="宋体" w:cs="Arial"/>
          <w:snapToGrid w:val="0"/>
          <w:kern w:val="0"/>
          <w:sz w:val="24"/>
          <w:szCs w:val="21"/>
        </w:rPr>
        <w:t>communication. Washington, D.C.: National Academy Press.</w:t>
      </w:r>
    </w:p>
    <w:p w14:paraId="274D293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Ryan, J.P.（199 1). Design of </w:t>
      </w:r>
      <w:r>
        <w:rPr>
          <w:rFonts w:ascii="Arial" w:hAnsi="Arial" w:eastAsia="宋体" w:cs="Arial"/>
          <w:b/>
          <w:bCs/>
          <w:i/>
          <w:iCs/>
          <w:snapToGrid w:val="0"/>
          <w:kern w:val="0"/>
          <w:sz w:val="24"/>
          <w:szCs w:val="21"/>
        </w:rPr>
        <w:t xml:space="preserve">warning </w:t>
      </w:r>
      <w:r>
        <w:rPr>
          <w:rFonts w:ascii="Arial" w:hAnsi="Arial" w:eastAsia="宋体" w:cs="Arial"/>
          <w:snapToGrid w:val="0"/>
          <w:kern w:val="0"/>
          <w:sz w:val="24"/>
          <w:szCs w:val="21"/>
        </w:rPr>
        <w:t xml:space="preserve">labels </w:t>
      </w:r>
      <w:r>
        <w:rPr>
          <w:rFonts w:ascii="Arial" w:hAnsi="Arial" w:eastAsia="宋体" w:cs="Arial"/>
          <w:b/>
          <w:bCs/>
          <w:i/>
          <w:iCs/>
          <w:snapToGrid w:val="0"/>
          <w:kern w:val="0"/>
          <w:sz w:val="24"/>
          <w:szCs w:val="21"/>
        </w:rPr>
        <w:t xml:space="preserve">and </w:t>
      </w:r>
      <w:r>
        <w:rPr>
          <w:rFonts w:ascii="Arial" w:hAnsi="Arial" w:eastAsia="宋体" w:cs="Arial"/>
          <w:snapToGrid w:val="0"/>
          <w:kern w:val="0"/>
          <w:sz w:val="24"/>
          <w:szCs w:val="21"/>
        </w:rPr>
        <w:t>instructions. New York: Van Nostrand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Reinhold.</w:t>
      </w:r>
    </w:p>
    <w:p w14:paraId="57A6128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Slovic, P. （1987). Perception of risk. Science, 236,280-285.</w:t>
      </w:r>
    </w:p>
    <w:p w14:paraId="6751F398">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Weinstein, N.D. (1989). Optimistic biases about personal risks. Science, 246, 1232- 1233.</w:t>
      </w:r>
    </w:p>
    <w:p w14:paraId="0A601AD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Wogalter, </w:t>
      </w:r>
      <w:r>
        <w:rPr>
          <w:rFonts w:ascii="Arial" w:hAnsi="Arial" w:eastAsia="宋体" w:cs="Arial"/>
          <w:b/>
          <w:bCs/>
          <w:snapToGrid w:val="0"/>
          <w:kern w:val="0"/>
          <w:sz w:val="24"/>
          <w:szCs w:val="21"/>
        </w:rPr>
        <w:t xml:space="preserve">M.S., </w:t>
      </w:r>
      <w:r>
        <w:rPr>
          <w:rFonts w:ascii="Arial" w:hAnsi="Arial" w:eastAsia="宋体" w:cs="Arial"/>
          <w:snapToGrid w:val="0"/>
          <w:kern w:val="0"/>
          <w:sz w:val="24"/>
          <w:szCs w:val="21"/>
        </w:rPr>
        <w:t>Allison, S.T., &amp; McKenna,,N.A. (1989). Effects of cost and social influence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on warning compliance. Human Factors. 31,133- 140.</w:t>
      </w:r>
    </w:p>
    <w:p w14:paraId="0CA71F38">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Wogalter, M.S., Godfrey, S.S., Fontenelle, G.A., Desaulniers, D.R., Rothstein, P.R., &amp;</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Laughery, </w:t>
      </w:r>
      <w:r>
        <w:rPr>
          <w:rFonts w:ascii="Arial" w:hAnsi="Arial" w:eastAsia="宋体" w:cs="Arial"/>
          <w:b/>
          <w:bCs/>
          <w:snapToGrid w:val="0"/>
          <w:kern w:val="0"/>
          <w:sz w:val="24"/>
          <w:szCs w:val="21"/>
        </w:rPr>
        <w:t>K.R. (</w:t>
      </w:r>
      <w:r>
        <w:rPr>
          <w:rFonts w:ascii="Arial" w:hAnsi="Arial" w:eastAsia="宋体" w:cs="Arial"/>
          <w:snapToGrid w:val="0"/>
          <w:kern w:val="0"/>
          <w:sz w:val="24"/>
          <w:szCs w:val="21"/>
        </w:rPr>
        <w:t>1987). Effectiveness of warnings. Human Factors, 29,599-612.</w:t>
      </w:r>
    </w:p>
    <w:p w14:paraId="792D9CB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Young, S.L., &amp; Wogalter, M.S. (1988). Memory of instruction manual warnings: Effects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pictorial icons and conspicuous print. In Proceedings of the Human Factors Society, 32</w:t>
      </w:r>
      <w:r>
        <w:rPr>
          <w:rFonts w:ascii="Arial" w:hAnsi="Arial" w:eastAsia="宋体" w:cs="Arial"/>
          <w:snapToGrid w:val="0"/>
          <w:kern w:val="0"/>
          <w:sz w:val="24"/>
          <w:szCs w:val="21"/>
          <w:vertAlign w:val="superscript"/>
        </w:rPr>
        <w:t>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Annual Meeting @p. 905-909）. Santa Monica, CA: Human Factors Society.</w:t>
      </w:r>
    </w:p>
    <w:p w14:paraId="2F122BFB">
      <w:pPr>
        <w:pStyle w:val="3"/>
        <w:keepNext w:val="0"/>
        <w:keepLines w:val="0"/>
        <w:topLinePunct/>
        <w:adjustRightInd w:val="0"/>
        <w:snapToGrid w:val="0"/>
        <w:spacing w:beforeLines="0" w:after="109" w:afterLines="35" w:line="288" w:lineRule="auto"/>
        <w:rPr>
          <w:rFonts w:ascii="Arial" w:hAnsi="Arial" w:eastAsia="宋体" w:cs="Arial"/>
          <w:b/>
          <w:snapToGrid w:val="0"/>
          <w:kern w:val="0"/>
          <w:sz w:val="24"/>
        </w:rPr>
      </w:pPr>
      <w:bookmarkStart w:id="22" w:name="_Toc499280435"/>
      <w:r>
        <w:rPr>
          <w:rFonts w:hint="eastAsia" w:ascii="Arial" w:hAnsi="Arial" w:eastAsia="宋体" w:cs="Arial"/>
          <w:b/>
          <w:snapToGrid w:val="0"/>
          <w:kern w:val="0"/>
          <w:sz w:val="24"/>
        </w:rPr>
        <w:t>语言和易读性</w:t>
      </w:r>
      <w:bookmarkEnd w:id="22"/>
    </w:p>
    <w:p w14:paraId="0CE79EA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Armbruster, B.B., &amp; Anderson, T.H. (1985). Producing 'considerate' expository text: Or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easy reading is damned hard writing. Joumal of Curriculum Studies, 17,247-274.</w:t>
      </w:r>
    </w:p>
    <w:p w14:paraId="6D7F5F02">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Baker, G.C., Newton, D.E., Bergstresser, </w:t>
      </w:r>
      <w:r>
        <w:rPr>
          <w:rFonts w:ascii="Arial" w:hAnsi="Arial" w:eastAsia="宋体" w:cs="Arial"/>
          <w:b/>
          <w:bCs/>
          <w:snapToGrid w:val="0"/>
          <w:kern w:val="0"/>
          <w:sz w:val="24"/>
          <w:szCs w:val="21"/>
        </w:rPr>
        <w:t>P.R. (</w:t>
      </w:r>
      <w:r>
        <w:rPr>
          <w:rFonts w:ascii="Arial" w:hAnsi="Arial" w:eastAsia="宋体" w:cs="Arial"/>
          <w:snapToGrid w:val="0"/>
          <w:kern w:val="0"/>
          <w:sz w:val="24"/>
          <w:szCs w:val="21"/>
        </w:rPr>
        <w:t>1988). Increased readability improves the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comprehension of written information for patients with skin disease. Journal of the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American Academy of Dermatology, 19,113 5- 1 14 1.</w:t>
      </w:r>
    </w:p>
    <w:p w14:paraId="25E9C64E">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Booher, H.R. (1975). Relative comprehensibility of pictorial information and printed words in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proceduralized instructions. Human Factors, 17,266-267.</w:t>
      </w:r>
    </w:p>
    <w:p w14:paraId="6C023F9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Broadbent, D.E. (1977). Language and ergonomics. Applied Ergonomics, 8.1, 15-18.</w:t>
      </w:r>
    </w:p>
    <w:p w14:paraId="797E66EE">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Coke, E.U. (1976). Reading rate, readability and variations in task-induced processing.</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Journal of Educational Psychology, 68, 167-173.</w:t>
      </w:r>
    </w:p>
    <w:p w14:paraId="725ABD8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Coleman, E.B. (1962). Improving comprehensibility by shortening sentences. Jouml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Applied Psychology, 46, 13 1 - 134.</w:t>
      </w:r>
    </w:p>
    <w:p w14:paraId="0A31E46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Gopen, G.D., &amp; Swan, J.A. (1990). The science of scientific writing. American Scientist, 78,</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550-558.</w:t>
      </w:r>
    </w:p>
    <w:p w14:paraId="71E25194">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Gough, P.B. (1965). Grammatical transformations and speed of understanding. Joumal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Verbal </w:t>
      </w:r>
      <w:r>
        <w:rPr>
          <w:rFonts w:ascii="Arial" w:hAnsi="Arial" w:eastAsia="宋体" w:cs="Arial"/>
          <w:b/>
          <w:bCs/>
          <w:i/>
          <w:iCs/>
          <w:snapToGrid w:val="0"/>
          <w:kern w:val="0"/>
          <w:sz w:val="24"/>
          <w:szCs w:val="21"/>
        </w:rPr>
        <w:t xml:space="preserve">Learning </w:t>
      </w:r>
      <w:r>
        <w:rPr>
          <w:rFonts w:ascii="Arial" w:hAnsi="Arial" w:eastAsia="宋体" w:cs="Arial"/>
          <w:snapToGrid w:val="0"/>
          <w:kern w:val="0"/>
          <w:sz w:val="24"/>
          <w:szCs w:val="21"/>
        </w:rPr>
        <w:t>and Verbal Behavior, 4, 107- 1 17.</w:t>
      </w:r>
    </w:p>
    <w:p w14:paraId="7A00A48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Gunning, R. (1968). The technique of clear writing (rev. </w:t>
      </w:r>
      <w:r>
        <w:rPr>
          <w:rFonts w:ascii="Arial" w:hAnsi="Arial" w:eastAsia="宋体" w:cs="Arial"/>
          <w:b/>
          <w:bCs/>
          <w:snapToGrid w:val="0"/>
          <w:kern w:val="0"/>
          <w:sz w:val="24"/>
          <w:szCs w:val="21"/>
        </w:rPr>
        <w:t xml:space="preserve">ed.). </w:t>
      </w:r>
      <w:r>
        <w:rPr>
          <w:rFonts w:ascii="Arial" w:hAnsi="Arial" w:eastAsia="宋体" w:cs="Arial"/>
          <w:snapToGrid w:val="0"/>
          <w:kern w:val="0"/>
          <w:sz w:val="24"/>
          <w:szCs w:val="21"/>
        </w:rPr>
        <w:t>New York: McGraw-Hill.</w:t>
      </w:r>
    </w:p>
    <w:p w14:paraId="549BA039">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Kieras, D.E. (1978). Good and bad structure in simple paragraphs: Effects on apparent theme,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reading time, and </w:t>
      </w:r>
      <w:r>
        <w:rPr>
          <w:rFonts w:ascii="Arial" w:hAnsi="Arial" w:eastAsia="宋体" w:cs="Arial"/>
          <w:b/>
          <w:bCs/>
          <w:snapToGrid w:val="0"/>
          <w:kern w:val="0"/>
          <w:sz w:val="24"/>
          <w:szCs w:val="21"/>
        </w:rPr>
        <w:t xml:space="preserve">recall. </w:t>
      </w:r>
      <w:r>
        <w:rPr>
          <w:rFonts w:ascii="Arial" w:hAnsi="Arial" w:eastAsia="宋体" w:cs="Arial"/>
          <w:snapToGrid w:val="0"/>
          <w:kern w:val="0"/>
          <w:sz w:val="24"/>
          <w:szCs w:val="21"/>
        </w:rPr>
        <w:t>Journal of Verbal Learning and Verbal Behavior, 17, 13-28.</w:t>
      </w:r>
    </w:p>
    <w:p w14:paraId="1617615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Kincaid, J.P., Fishburne, R.P., Rogers, R.L., &amp; Chissom, B.S. (1975). Derivation of new</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readability formulas for Navy establishment personnel. Naval Training Command,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Research Branch Report 8-75.</w:t>
      </w:r>
    </w:p>
    <w:p w14:paraId="4D50C36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b/>
          <w:bCs/>
          <w:snapToGrid w:val="0"/>
          <w:kern w:val="0"/>
          <w:sz w:val="24"/>
          <w:szCs w:val="21"/>
        </w:rPr>
        <w:t xml:space="preserve">Klare, </w:t>
      </w:r>
      <w:r>
        <w:rPr>
          <w:rFonts w:ascii="Arial" w:hAnsi="Arial" w:eastAsia="宋体" w:cs="Arial"/>
          <w:snapToGrid w:val="0"/>
          <w:kern w:val="0"/>
          <w:sz w:val="24"/>
          <w:szCs w:val="21"/>
        </w:rPr>
        <w:t>G.R. (1979). Writing to inform: Making it readable. Infomurtion Design Journal, I, 98-105.</w:t>
      </w:r>
    </w:p>
    <w:p w14:paraId="06D820D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Mills, G.H., &amp; Walter, J.A. (1986). Technical writing (5th </w:t>
      </w:r>
      <w:r>
        <w:rPr>
          <w:rFonts w:ascii="Arial" w:hAnsi="Arial" w:eastAsia="宋体" w:cs="Arial"/>
          <w:b/>
          <w:bCs/>
          <w:snapToGrid w:val="0"/>
          <w:kern w:val="0"/>
          <w:sz w:val="24"/>
          <w:szCs w:val="21"/>
        </w:rPr>
        <w:t xml:space="preserve">ed.). </w:t>
      </w:r>
      <w:r>
        <w:rPr>
          <w:rFonts w:ascii="Arial" w:hAnsi="Arial" w:eastAsia="宋体" w:cs="Arial"/>
          <w:snapToGrid w:val="0"/>
          <w:kern w:val="0"/>
          <w:sz w:val="24"/>
          <w:szCs w:val="21"/>
        </w:rPr>
        <w:t>New York: Holt, Rinehart,</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and Winston.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Mohammed, M.A.H., &amp; Swales, J.M. (1984). Factors affecting the successful reading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technical instructions. Reading in a Foreign Language, 2,206-217.</w:t>
      </w:r>
    </w:p>
    <w:p w14:paraId="519D1B6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Monteith, M.K. (1980). How well does the average American read? Some facts, figures,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opinions. Journal of Reading, ERICRCS, 460464.</w:t>
      </w:r>
    </w:p>
    <w:p w14:paraId="276B7E2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Payne, D.E. (1967). Readability of typewritten material: Proportional versus standard spacing.</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Journal of Typographic Research, 1, 125.</w:t>
      </w:r>
    </w:p>
    <w:p w14:paraId="466D58CE">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Pichert, J.W., &amp; Elam, P. (1985). Readability formulas may fool you. Patient Education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Counseling, 7, 181-191.</w:t>
      </w:r>
    </w:p>
    <w:p w14:paraId="2AF8CC0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Smith, T.P. (1978). Readability levels of patient package inserts. American Journal of Hospital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Pharmacy, 35, 1034.</w:t>
      </w:r>
    </w:p>
    <w:p w14:paraId="77ECE90E">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Strunk, W., &amp; White, E.B. (1979). The elements of style (3rd </w:t>
      </w:r>
      <w:r>
        <w:rPr>
          <w:rFonts w:ascii="Arial" w:hAnsi="Arial" w:eastAsia="宋体" w:cs="Arial"/>
          <w:b/>
          <w:bCs/>
          <w:snapToGrid w:val="0"/>
          <w:kern w:val="0"/>
          <w:sz w:val="24"/>
          <w:szCs w:val="21"/>
        </w:rPr>
        <w:t xml:space="preserve">ed.). </w:t>
      </w:r>
      <w:r>
        <w:rPr>
          <w:rFonts w:ascii="Arial" w:hAnsi="Arial" w:eastAsia="宋体" w:cs="Arial"/>
          <w:snapToGrid w:val="0"/>
          <w:kern w:val="0"/>
          <w:sz w:val="24"/>
          <w:szCs w:val="21"/>
        </w:rPr>
        <w:t>New York: Macmillan.</w:t>
      </w:r>
    </w:p>
    <w:p w14:paraId="3E953069">
      <w:pPr>
        <w:topLinePunct/>
        <w:adjustRightInd w:val="0"/>
        <w:snapToGrid w:val="0"/>
        <w:spacing w:after="156" w:afterLines="50" w:line="288" w:lineRule="auto"/>
        <w:rPr>
          <w:rFonts w:ascii="Arial" w:hAnsi="Arial" w:eastAsia="宋体" w:cs="Arial"/>
          <w:snapToGrid w:val="0"/>
          <w:kern w:val="0"/>
          <w:sz w:val="24"/>
          <w:szCs w:val="21"/>
        </w:rPr>
      </w:pPr>
      <w:r>
        <w:rPr>
          <w:rFonts w:ascii="Arial" w:hAnsi="Arial" w:eastAsia="宋体" w:cs="Arial"/>
          <w:snapToGrid w:val="0"/>
          <w:kern w:val="0"/>
          <w:sz w:val="24"/>
          <w:szCs w:val="21"/>
        </w:rPr>
        <w:t>Walmsley, S.A., &amp; Allington, R.L. (1982). Reading abilities of elderly persons in relation to</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the difficulty of essential documents. The Gerontologist, 22,36-38.</w:t>
      </w:r>
    </w:p>
    <w:p w14:paraId="3A0E07B6">
      <w:pPr>
        <w:topLinePunct/>
        <w:adjustRightInd w:val="0"/>
        <w:snapToGrid w:val="0"/>
        <w:spacing w:after="156" w:afterLines="50"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Wright, P., &amp; Threlfall, </w:t>
      </w:r>
      <w:r>
        <w:rPr>
          <w:rFonts w:ascii="Arial" w:hAnsi="Arial" w:eastAsia="宋体" w:cs="Arial"/>
          <w:b/>
          <w:bCs/>
          <w:snapToGrid w:val="0"/>
          <w:kern w:val="0"/>
          <w:sz w:val="24"/>
          <w:szCs w:val="21"/>
        </w:rPr>
        <w:t>M.S. (</w:t>
      </w:r>
      <w:r>
        <w:rPr>
          <w:rFonts w:ascii="Arial" w:hAnsi="Arial" w:eastAsia="宋体" w:cs="Arial"/>
          <w:snapToGrid w:val="0"/>
          <w:kern w:val="0"/>
          <w:sz w:val="24"/>
          <w:szCs w:val="21"/>
        </w:rPr>
        <w:t>1980). Reader's expectations about format influence the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usability of an index. Jouml of Research Communication Studies, 2,99-106.</w:t>
      </w:r>
    </w:p>
    <w:p w14:paraId="6E618856">
      <w:pPr>
        <w:pStyle w:val="3"/>
        <w:keepNext w:val="0"/>
        <w:keepLines w:val="0"/>
        <w:topLinePunct/>
        <w:adjustRightInd w:val="0"/>
        <w:snapToGrid w:val="0"/>
        <w:spacing w:beforeLines="0" w:after="109" w:afterLines="35" w:line="288" w:lineRule="auto"/>
        <w:rPr>
          <w:rFonts w:ascii="Arial" w:hAnsi="Arial" w:eastAsia="宋体" w:cs="Arial"/>
          <w:b/>
          <w:snapToGrid w:val="0"/>
          <w:kern w:val="0"/>
          <w:sz w:val="24"/>
        </w:rPr>
      </w:pPr>
      <w:bookmarkStart w:id="23" w:name="_Toc499280436"/>
      <w:r>
        <w:rPr>
          <w:rFonts w:hint="eastAsia" w:ascii="Arial" w:hAnsi="Arial" w:eastAsia="宋体" w:cs="Arial"/>
          <w:b/>
          <w:snapToGrid w:val="0"/>
          <w:kern w:val="0"/>
          <w:sz w:val="24"/>
        </w:rPr>
        <w:t>插图和图形</w:t>
      </w:r>
      <w:bookmarkEnd w:id="23"/>
    </w:p>
    <w:p w14:paraId="59B7B6A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Barker, E., &amp; Krebs, M.J. (April 1977). Color coding efSects on human perj4ormance: An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annotated bibliography. Arlington, VA: Office of Naval Research.</w:t>
      </w:r>
    </w:p>
    <w:p w14:paraId="135630FF">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Binen, F. (1978). Color and humun response. New York: Van Nostrand Reinhold.</w:t>
      </w:r>
    </w:p>
    <w:p w14:paraId="6387C002">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Cleveland, W.S. (1985). The elements of graphing data. Monterey, CA: Wadsworth.</w:t>
      </w:r>
    </w:p>
    <w:p w14:paraId="73AA91B5">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Harrison, R.P. (1981). The cartoon: Communication to the quick. Beverly Hills, CA: Sage.</w:t>
      </w:r>
    </w:p>
    <w:p w14:paraId="2B4574D5">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Houghton, H.A., &amp; Willows, D.M. (Eds.) (1987). The psychology of illustration, Vol. 2,</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Instructional issues. New York: Springer.</w:t>
      </w:r>
    </w:p>
    <w:p w14:paraId="48FCD136">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MacDonald-Ross, M. (1977). Graphics in text: A bibliography. In L.S. Shulman (Ed.), </w:t>
      </w:r>
      <w:r>
        <w:rPr>
          <w:rFonts w:ascii="Arial" w:hAnsi="Arial" w:eastAsia="宋体" w:cs="Arial"/>
          <w:b/>
          <w:bCs/>
          <w:i/>
          <w:iCs/>
          <w:snapToGrid w:val="0"/>
          <w:kern w:val="0"/>
          <w:sz w:val="24"/>
          <w:szCs w:val="21"/>
        </w:rPr>
        <w:t xml:space="preserve">Review of research in education, </w:t>
      </w:r>
      <w:r>
        <w:rPr>
          <w:rFonts w:ascii="Arial" w:hAnsi="Arial" w:eastAsia="宋体" w:cs="Arial"/>
          <w:snapToGrid w:val="0"/>
          <w:kern w:val="0"/>
          <w:sz w:val="24"/>
          <w:szCs w:val="21"/>
        </w:rPr>
        <w:t xml:space="preserve">vol. </w:t>
      </w:r>
      <w:r>
        <w:rPr>
          <w:rFonts w:ascii="Arial" w:hAnsi="Arial" w:eastAsia="宋体" w:cs="Arial"/>
          <w:b/>
          <w:bCs/>
          <w:i/>
          <w:iCs/>
          <w:snapToGrid w:val="0"/>
          <w:kern w:val="0"/>
          <w:sz w:val="24"/>
          <w:szCs w:val="21"/>
        </w:rPr>
        <w:t xml:space="preserve">5. </w:t>
      </w:r>
      <w:r>
        <w:rPr>
          <w:rFonts w:ascii="Arial" w:hAnsi="Arial" w:eastAsia="宋体" w:cs="Arial"/>
          <w:snapToGrid w:val="0"/>
          <w:kern w:val="0"/>
          <w:sz w:val="24"/>
          <w:szCs w:val="21"/>
        </w:rPr>
        <w:t>Itasca, IL: Peacock</w:t>
      </w:r>
    </w:p>
    <w:p w14:paraId="04C861B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Marcus, A. (1992). </w:t>
      </w:r>
      <w:r>
        <w:rPr>
          <w:rFonts w:ascii="Arial" w:hAnsi="Arial" w:eastAsia="宋体" w:cs="Arial"/>
          <w:b/>
          <w:bCs/>
          <w:i/>
          <w:iCs/>
          <w:snapToGrid w:val="0"/>
          <w:kern w:val="0"/>
          <w:sz w:val="24"/>
          <w:szCs w:val="21"/>
        </w:rPr>
        <w:t>Graphic design for electronic documents and user interfaces (</w:t>
      </w:r>
      <w:r>
        <w:rPr>
          <w:rFonts w:ascii="Arial" w:hAnsi="Arial" w:eastAsia="宋体" w:cs="Arial"/>
          <w:snapToGrid w:val="0"/>
          <w:kern w:val="0"/>
          <w:sz w:val="24"/>
          <w:szCs w:val="21"/>
        </w:rPr>
        <w:t xml:space="preserve">Ch. </w:t>
      </w:r>
      <w:r>
        <w:rPr>
          <w:rFonts w:ascii="Arial" w:hAnsi="Arial" w:eastAsia="宋体" w:cs="Arial"/>
          <w:b/>
          <w:bCs/>
          <w:i/>
          <w:iCs/>
          <w:snapToGrid w:val="0"/>
          <w:kern w:val="0"/>
          <w:sz w:val="24"/>
          <w:szCs w:val="21"/>
        </w:rPr>
        <w:t xml:space="preserve">4, </w:t>
      </w:r>
      <w:r>
        <w:rPr>
          <w:rFonts w:ascii="Arial" w:hAnsi="Arial" w:eastAsia="宋体" w:cs="Arial"/>
          <w:snapToGrid w:val="0"/>
          <w:kern w:val="0"/>
          <w:sz w:val="24"/>
          <w:szCs w:val="21"/>
        </w:rPr>
        <w:t>Color,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pp. 77-96). New York: ACM Press.</w:t>
      </w:r>
    </w:p>
    <w:p w14:paraId="4775CFD9">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Marcus, A. (1992). </w:t>
      </w:r>
      <w:r>
        <w:rPr>
          <w:rFonts w:ascii="Arial" w:hAnsi="Arial" w:eastAsia="宋体" w:cs="Arial"/>
          <w:b/>
          <w:bCs/>
          <w:i/>
          <w:iCs/>
          <w:snapToGrid w:val="0"/>
          <w:kern w:val="0"/>
          <w:sz w:val="24"/>
          <w:szCs w:val="21"/>
        </w:rPr>
        <w:t xml:space="preserve">Graphic design for electronic documents and user interfaces. </w:t>
      </w:r>
      <w:r>
        <w:rPr>
          <w:rFonts w:ascii="Arial" w:hAnsi="Arial" w:eastAsia="宋体" w:cs="Arial"/>
          <w:snapToGrid w:val="0"/>
          <w:kern w:val="0"/>
          <w:sz w:val="24"/>
          <w:szCs w:val="21"/>
        </w:rPr>
        <w:t>New York: ACM Press (Ch. 5, Visualizing Knowledge: Charts, Diagrams, and Maps, pp. 97-1 16) .</w:t>
      </w:r>
    </w:p>
    <w:p w14:paraId="4E7BEF7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Stone, D.E., &amp; Glock, M.D. (1981). How do young adults read directions with and without</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pictures? </w:t>
      </w:r>
      <w:r>
        <w:rPr>
          <w:rFonts w:ascii="Arial" w:hAnsi="Arial" w:eastAsia="宋体" w:cs="Arial"/>
          <w:b/>
          <w:bCs/>
          <w:i/>
          <w:iCs/>
          <w:snapToGrid w:val="0"/>
          <w:kern w:val="0"/>
          <w:sz w:val="24"/>
          <w:szCs w:val="21"/>
        </w:rPr>
        <w:t xml:space="preserve">Joumal of Educational Psychology, </w:t>
      </w:r>
      <w:r>
        <w:rPr>
          <w:rFonts w:ascii="Arial" w:hAnsi="Arial" w:eastAsia="宋体" w:cs="Arial"/>
          <w:snapToGrid w:val="0"/>
          <w:kern w:val="0"/>
          <w:sz w:val="24"/>
          <w:szCs w:val="21"/>
        </w:rPr>
        <w:t>73,419-426.</w:t>
      </w:r>
    </w:p>
    <w:p w14:paraId="7BBBFF5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Tufte, </w:t>
      </w:r>
      <w:r>
        <w:rPr>
          <w:rFonts w:ascii="Arial" w:hAnsi="Arial" w:eastAsia="宋体" w:cs="Arial"/>
          <w:b/>
          <w:bCs/>
          <w:snapToGrid w:val="0"/>
          <w:kern w:val="0"/>
          <w:sz w:val="24"/>
          <w:szCs w:val="21"/>
        </w:rPr>
        <w:t>E.R. (</w:t>
      </w:r>
      <w:r>
        <w:rPr>
          <w:rFonts w:ascii="Arial" w:hAnsi="Arial" w:eastAsia="宋体" w:cs="Arial"/>
          <w:snapToGrid w:val="0"/>
          <w:kern w:val="0"/>
          <w:sz w:val="24"/>
          <w:szCs w:val="21"/>
        </w:rPr>
        <w:t xml:space="preserve">1983). </w:t>
      </w:r>
      <w:r>
        <w:rPr>
          <w:rFonts w:ascii="Arial" w:hAnsi="Arial" w:eastAsia="宋体" w:cs="Arial"/>
          <w:b/>
          <w:bCs/>
          <w:i/>
          <w:iCs/>
          <w:snapToGrid w:val="0"/>
          <w:kern w:val="0"/>
          <w:sz w:val="24"/>
          <w:szCs w:val="21"/>
        </w:rPr>
        <w:t xml:space="preserve">The visual display of quantitative information, </w:t>
      </w:r>
      <w:r>
        <w:rPr>
          <w:rFonts w:ascii="Arial" w:hAnsi="Arial" w:eastAsia="宋体" w:cs="Arial"/>
          <w:snapToGrid w:val="0"/>
          <w:kern w:val="0"/>
          <w:sz w:val="24"/>
          <w:szCs w:val="21"/>
        </w:rPr>
        <w:t xml:space="preserve">Cheshire, </w:t>
      </w:r>
      <w:r>
        <w:rPr>
          <w:rFonts w:ascii="Arial" w:hAnsi="Arial" w:eastAsia="宋体" w:cs="Arial"/>
          <w:b/>
          <w:bCs/>
          <w:snapToGrid w:val="0"/>
          <w:kern w:val="0"/>
          <w:sz w:val="24"/>
          <w:szCs w:val="21"/>
        </w:rPr>
        <w:t xml:space="preserve">CT: </w:t>
      </w:r>
      <w:r>
        <w:rPr>
          <w:rFonts w:ascii="Arial" w:hAnsi="Arial" w:eastAsia="宋体" w:cs="Arial"/>
          <w:snapToGrid w:val="0"/>
          <w:kern w:val="0"/>
          <w:sz w:val="24"/>
          <w:szCs w:val="21"/>
        </w:rPr>
        <w:t>Graphics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Press.</w:t>
      </w:r>
    </w:p>
    <w:p w14:paraId="32607875">
      <w:pPr>
        <w:topLinePunct/>
        <w:adjustRightInd w:val="0"/>
        <w:snapToGrid w:val="0"/>
        <w:spacing w:after="109" w:afterLines="35" w:line="288"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Twyrnan, M. (1982). The graphic presentation of language. </w:t>
      </w:r>
      <w:r>
        <w:rPr>
          <w:rFonts w:ascii="Arial" w:hAnsi="Arial" w:eastAsia="宋体" w:cs="Arial"/>
          <w:b/>
          <w:bCs/>
          <w:i/>
          <w:iCs/>
          <w:snapToGrid w:val="0"/>
          <w:kern w:val="0"/>
          <w:sz w:val="24"/>
          <w:szCs w:val="21"/>
        </w:rPr>
        <w:t>Information Design Journal,</w:t>
      </w:r>
      <w:r>
        <w:rPr>
          <w:rFonts w:hint="eastAsia" w:ascii="Arial" w:hAnsi="Arial" w:eastAsia="宋体" w:cs="Arial"/>
          <w:b/>
          <w:bCs/>
          <w:i/>
          <w:iCs/>
          <w:snapToGrid w:val="0"/>
          <w:kern w:val="0"/>
          <w:sz w:val="24"/>
          <w:szCs w:val="21"/>
        </w:rPr>
        <w:t xml:space="preserve"> </w:t>
      </w:r>
      <w:r>
        <w:rPr>
          <w:rFonts w:ascii="Arial" w:hAnsi="Arial" w:eastAsia="宋体" w:cs="Arial"/>
          <w:snapToGrid w:val="0"/>
          <w:kern w:val="0"/>
          <w:sz w:val="24"/>
          <w:szCs w:val="21"/>
        </w:rPr>
        <w:t>3, 2-22.</w:t>
      </w:r>
    </w:p>
    <w:p w14:paraId="4E08FB86">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Twyman, M. (1985). Using pictorial language: A discussion of the dimensions of the problem</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In T. M. Duffy &amp; R. Waller (</w:t>
      </w:r>
      <w:r>
        <w:rPr>
          <w:rFonts w:ascii="Arial" w:hAnsi="Arial" w:eastAsia="宋体" w:cs="Arial"/>
          <w:b/>
          <w:bCs/>
          <w:snapToGrid w:val="0"/>
          <w:kern w:val="0"/>
          <w:sz w:val="24"/>
          <w:szCs w:val="21"/>
        </w:rPr>
        <w:t xml:space="preserve">Eds.), </w:t>
      </w:r>
      <w:r>
        <w:rPr>
          <w:rFonts w:ascii="Arial" w:hAnsi="Arial" w:eastAsia="宋体" w:cs="Arial"/>
          <w:b/>
          <w:bCs/>
          <w:i/>
          <w:iCs/>
          <w:snapToGrid w:val="0"/>
          <w:kern w:val="0"/>
          <w:sz w:val="24"/>
          <w:szCs w:val="21"/>
        </w:rPr>
        <w:t>Designing dlete xts (</w:t>
      </w:r>
      <w:r>
        <w:rPr>
          <w:rFonts w:ascii="Arial" w:hAnsi="Arial" w:eastAsia="宋体" w:cs="Arial"/>
          <w:snapToGrid w:val="0"/>
          <w:kern w:val="0"/>
          <w:sz w:val="24"/>
          <w:szCs w:val="21"/>
        </w:rPr>
        <w:t>pp. 245-31 2). New York: Academic Press.</w:t>
      </w:r>
    </w:p>
    <w:p w14:paraId="54B72AC2">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Willows, D.M., &amp; Houghton, H.A. (Eds.) (1987). </w:t>
      </w:r>
      <w:r>
        <w:rPr>
          <w:rFonts w:ascii="Arial" w:hAnsi="Arial" w:eastAsia="宋体" w:cs="Arial"/>
          <w:b/>
          <w:bCs/>
          <w:i/>
          <w:iCs/>
          <w:snapToGrid w:val="0"/>
          <w:kern w:val="0"/>
          <w:sz w:val="24"/>
          <w:szCs w:val="21"/>
        </w:rPr>
        <w:t xml:space="preserve">The psychology of illustration, </w:t>
      </w:r>
      <w:r>
        <w:rPr>
          <w:rFonts w:ascii="Arial" w:hAnsi="Arial" w:eastAsia="宋体" w:cs="Arial"/>
          <w:snapToGrid w:val="0"/>
          <w:kern w:val="0"/>
          <w:sz w:val="24"/>
          <w:szCs w:val="21"/>
        </w:rPr>
        <w:t>Vol. 1,</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Basic research. New York: Springer.</w:t>
      </w:r>
    </w:p>
    <w:p w14:paraId="49DB5BA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Winn, W.D., &amp; Holliday, W.G. (1982). Design principles for diagrams and charts. In D.H.</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Jonassen (Ed.), The </w:t>
      </w:r>
      <w:r>
        <w:rPr>
          <w:rFonts w:ascii="Arial" w:hAnsi="Arial" w:eastAsia="宋体" w:cs="Arial"/>
          <w:b/>
          <w:bCs/>
          <w:i/>
          <w:iCs/>
          <w:snapToGrid w:val="0"/>
          <w:kern w:val="0"/>
          <w:sz w:val="24"/>
          <w:szCs w:val="21"/>
        </w:rPr>
        <w:t xml:space="preserve">technology of text. </w:t>
      </w:r>
      <w:r>
        <w:rPr>
          <w:rFonts w:ascii="Arial" w:hAnsi="Arial" w:eastAsia="宋体" w:cs="Arial"/>
          <w:snapToGrid w:val="0"/>
          <w:kern w:val="0"/>
          <w:sz w:val="24"/>
          <w:szCs w:val="21"/>
        </w:rPr>
        <w:t>Englewood Cliffs, NJ: Educational Technology</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Publications.</w:t>
      </w:r>
    </w:p>
    <w:p w14:paraId="3963B704">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Wright, P. (1982). A user-oriented approach to the design of tables and flow charts. In D.H.</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Jonassen (Ed.), The </w:t>
      </w:r>
      <w:r>
        <w:rPr>
          <w:rFonts w:ascii="Arial" w:hAnsi="Arial" w:eastAsia="宋体" w:cs="Arial"/>
          <w:b/>
          <w:bCs/>
          <w:i/>
          <w:iCs/>
          <w:snapToGrid w:val="0"/>
          <w:kern w:val="0"/>
          <w:sz w:val="24"/>
          <w:szCs w:val="21"/>
        </w:rPr>
        <w:t xml:space="preserve">technology of text. </w:t>
      </w:r>
      <w:r>
        <w:rPr>
          <w:rFonts w:ascii="Arial" w:hAnsi="Arial" w:eastAsia="宋体" w:cs="Arial"/>
          <w:snapToGrid w:val="0"/>
          <w:kern w:val="0"/>
          <w:sz w:val="24"/>
          <w:szCs w:val="21"/>
        </w:rPr>
        <w:t>Englkwood Cliffs, NJ: Educational Technology</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Publications.</w:t>
      </w:r>
    </w:p>
    <w:p w14:paraId="58D9CD64">
      <w:pPr>
        <w:topLinePunct/>
        <w:adjustRightInd w:val="0"/>
        <w:snapToGrid w:val="0"/>
        <w:spacing w:after="156" w:afterLines="50" w:line="288" w:lineRule="auto"/>
        <w:rPr>
          <w:rFonts w:ascii="Arial" w:hAnsi="Arial" w:eastAsia="宋体" w:cs="Arial"/>
          <w:snapToGrid w:val="0"/>
          <w:kern w:val="0"/>
          <w:sz w:val="24"/>
          <w:szCs w:val="21"/>
        </w:rPr>
      </w:pPr>
      <w:r>
        <w:rPr>
          <w:rFonts w:ascii="Arial" w:hAnsi="Arial" w:eastAsia="宋体" w:cs="Arial"/>
          <w:snapToGrid w:val="0"/>
          <w:kern w:val="0"/>
          <w:sz w:val="24"/>
          <w:szCs w:val="21"/>
        </w:rPr>
        <w:t>Young, S.L., &amp; Wogalter, M.S. (1988). Memory of instruction manual warnings: Effects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pictorial icons and conspicuous print. In </w:t>
      </w:r>
      <w:r>
        <w:rPr>
          <w:rFonts w:ascii="Arial" w:hAnsi="Arial" w:eastAsia="宋体" w:cs="Arial"/>
          <w:b/>
          <w:bCs/>
          <w:i/>
          <w:iCs/>
          <w:snapToGrid w:val="0"/>
          <w:kern w:val="0"/>
          <w:sz w:val="24"/>
          <w:szCs w:val="21"/>
        </w:rPr>
        <w:t>Proceedings of the Human Factors Society, 32</w:t>
      </w:r>
      <w:r>
        <w:rPr>
          <w:rFonts w:ascii="Arial" w:hAnsi="Arial" w:eastAsia="宋体" w:cs="Arial"/>
          <w:b/>
          <w:bCs/>
          <w:i/>
          <w:iCs/>
          <w:snapToGrid w:val="0"/>
          <w:kern w:val="0"/>
          <w:sz w:val="24"/>
          <w:szCs w:val="21"/>
          <w:vertAlign w:val="superscript"/>
        </w:rPr>
        <w:t>nd</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Annual Meeting (</w:t>
      </w:r>
      <w:r>
        <w:rPr>
          <w:rFonts w:ascii="Arial" w:hAnsi="Arial" w:eastAsia="宋体" w:cs="Arial"/>
          <w:snapToGrid w:val="0"/>
          <w:kern w:val="0"/>
          <w:sz w:val="24"/>
          <w:szCs w:val="21"/>
        </w:rPr>
        <w:t xml:space="preserve">pp. 905-909). </w:t>
      </w:r>
      <w:r>
        <w:rPr>
          <w:rFonts w:ascii="Arial" w:hAnsi="Arial" w:eastAsia="宋体" w:cs="Arial"/>
          <w:b/>
          <w:bCs/>
          <w:snapToGrid w:val="0"/>
          <w:kern w:val="0"/>
          <w:sz w:val="24"/>
          <w:szCs w:val="21"/>
        </w:rPr>
        <w:t xml:space="preserve">Santa </w:t>
      </w:r>
      <w:r>
        <w:rPr>
          <w:rFonts w:ascii="Arial" w:hAnsi="Arial" w:eastAsia="宋体" w:cs="Arial"/>
          <w:snapToGrid w:val="0"/>
          <w:kern w:val="0"/>
          <w:sz w:val="24"/>
          <w:szCs w:val="21"/>
        </w:rPr>
        <w:t>Monica, CA: Human Factors Society.</w:t>
      </w:r>
    </w:p>
    <w:p w14:paraId="6E77B8DD">
      <w:pPr>
        <w:pStyle w:val="3"/>
        <w:keepNext w:val="0"/>
        <w:keepLines w:val="0"/>
        <w:topLinePunct/>
        <w:adjustRightInd w:val="0"/>
        <w:snapToGrid w:val="0"/>
        <w:spacing w:beforeLines="0" w:after="109" w:afterLines="35" w:line="288" w:lineRule="auto"/>
        <w:rPr>
          <w:rFonts w:ascii="Arial" w:hAnsi="Arial" w:eastAsia="宋体" w:cs="Arial"/>
          <w:b/>
          <w:snapToGrid w:val="0"/>
          <w:kern w:val="0"/>
          <w:sz w:val="24"/>
        </w:rPr>
      </w:pPr>
      <w:bookmarkStart w:id="24" w:name="_Toc499280437"/>
      <w:r>
        <w:rPr>
          <w:rFonts w:hint="eastAsia" w:ascii="Arial" w:hAnsi="Arial" w:eastAsia="宋体" w:cs="Arial"/>
          <w:b/>
          <w:snapToGrid w:val="0"/>
          <w:kern w:val="0"/>
          <w:sz w:val="24"/>
        </w:rPr>
        <w:t>排版和易读性</w:t>
      </w:r>
      <w:bookmarkEnd w:id="24"/>
    </w:p>
    <w:p w14:paraId="2B98A500">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Becker, D., Heinrich, J., von Sichowsky, R.V., &amp; Wendt, D. (1970). Reader preferences for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typeface and leading. </w:t>
      </w:r>
      <w:r>
        <w:rPr>
          <w:rFonts w:ascii="Arial" w:hAnsi="Arial" w:eastAsia="宋体" w:cs="Arial"/>
          <w:b/>
          <w:bCs/>
          <w:i/>
          <w:iCs/>
          <w:snapToGrid w:val="0"/>
          <w:kern w:val="0"/>
          <w:sz w:val="24"/>
          <w:szCs w:val="21"/>
        </w:rPr>
        <w:t xml:space="preserve">Journal of Typographic Research, IV, </w:t>
      </w:r>
      <w:r>
        <w:rPr>
          <w:rFonts w:ascii="Arial" w:hAnsi="Arial" w:eastAsia="宋体" w:cs="Arial"/>
          <w:snapToGrid w:val="0"/>
          <w:kern w:val="0"/>
          <w:sz w:val="24"/>
          <w:szCs w:val="21"/>
        </w:rPr>
        <w:t>61-66.</w:t>
      </w:r>
    </w:p>
    <w:p w14:paraId="291B64B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Davenport, J.S., &amp; Smith, S.A. (1965). Effects of hyphenation, justification and type size 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readability. </w:t>
      </w:r>
      <w:r>
        <w:rPr>
          <w:rFonts w:ascii="Arial" w:hAnsi="Arial" w:eastAsia="宋体" w:cs="Arial"/>
          <w:b/>
          <w:bCs/>
          <w:i/>
          <w:iCs/>
          <w:snapToGrid w:val="0"/>
          <w:kern w:val="0"/>
          <w:sz w:val="24"/>
          <w:szCs w:val="21"/>
        </w:rPr>
        <w:t xml:space="preserve">Journalism Quarterly, XU, </w:t>
      </w:r>
      <w:r>
        <w:rPr>
          <w:rFonts w:ascii="Arial" w:hAnsi="Arial" w:eastAsia="宋体" w:cs="Arial"/>
          <w:snapToGrid w:val="0"/>
          <w:kern w:val="0"/>
          <w:sz w:val="24"/>
          <w:szCs w:val="21"/>
        </w:rPr>
        <w:t>382-388.</w:t>
      </w:r>
    </w:p>
    <w:p w14:paraId="5794F9B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Foster, J., &amp; Coles, P. (1977). An experimental study of typographic cueing in printed text.</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Ergonomics, </w:t>
      </w:r>
      <w:r>
        <w:rPr>
          <w:rFonts w:ascii="Arial" w:hAnsi="Arial" w:eastAsia="宋体" w:cs="Arial"/>
          <w:snapToGrid w:val="0"/>
          <w:kern w:val="0"/>
          <w:sz w:val="24"/>
          <w:szCs w:val="21"/>
        </w:rPr>
        <w:t>20,57-66.</w:t>
      </w:r>
    </w:p>
    <w:p w14:paraId="3DBD0D5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Hartley </w:t>
      </w:r>
      <w:r>
        <w:rPr>
          <w:rFonts w:ascii="Arial" w:hAnsi="Arial" w:eastAsia="宋体" w:cs="Arial"/>
          <w:b/>
          <w:bCs/>
          <w:snapToGrid w:val="0"/>
          <w:kern w:val="0"/>
          <w:sz w:val="24"/>
          <w:szCs w:val="21"/>
        </w:rPr>
        <w:t>1. (</w:t>
      </w:r>
      <w:r>
        <w:rPr>
          <w:rFonts w:ascii="Arial" w:hAnsi="Arial" w:eastAsia="宋体" w:cs="Arial"/>
          <w:snapToGrid w:val="0"/>
          <w:kern w:val="0"/>
          <w:sz w:val="24"/>
          <w:szCs w:val="21"/>
        </w:rPr>
        <w:t>1987). Typography and executive control processes in reading. In B.K. Britton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S.M. Glynn (Eds.), </w:t>
      </w:r>
      <w:r>
        <w:rPr>
          <w:rFonts w:ascii="Arial" w:hAnsi="Arial" w:eastAsia="宋体" w:cs="Arial"/>
          <w:b/>
          <w:bCs/>
          <w:i/>
          <w:iCs/>
          <w:snapToGrid w:val="0"/>
          <w:kern w:val="0"/>
          <w:sz w:val="24"/>
          <w:szCs w:val="21"/>
        </w:rPr>
        <w:t xml:space="preserve">Executive control processes in reading. </w:t>
      </w:r>
      <w:r>
        <w:rPr>
          <w:rFonts w:ascii="Arial" w:hAnsi="Arial" w:eastAsia="宋体" w:cs="Arial"/>
          <w:snapToGrid w:val="0"/>
          <w:kern w:val="0"/>
          <w:sz w:val="24"/>
          <w:szCs w:val="21"/>
        </w:rPr>
        <w:t xml:space="preserve">Hillsdale, </w:t>
      </w:r>
      <w:r>
        <w:rPr>
          <w:rFonts w:ascii="Arial" w:hAnsi="Arial" w:eastAsia="宋体" w:cs="Arial"/>
          <w:b/>
          <w:bCs/>
          <w:i/>
          <w:iCs/>
          <w:snapToGrid w:val="0"/>
          <w:kern w:val="0"/>
          <w:sz w:val="24"/>
          <w:szCs w:val="21"/>
        </w:rPr>
        <w:t xml:space="preserve">NJ: </w:t>
      </w:r>
      <w:r>
        <w:rPr>
          <w:rFonts w:ascii="Arial" w:hAnsi="Arial" w:eastAsia="宋体" w:cs="Arial"/>
          <w:snapToGrid w:val="0"/>
          <w:kern w:val="0"/>
          <w:sz w:val="24"/>
          <w:szCs w:val="21"/>
        </w:rPr>
        <w:t>Erlbaum.</w:t>
      </w:r>
    </w:p>
    <w:p w14:paraId="65C2CDF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Hartley, J., Fraser, S., &amp; Burnhill, P. (1974). A selected bibliography of typographical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research relevant to the production of instructional materials. Audio Visual Communication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Review, 22, 181-190.</w:t>
      </w:r>
    </w:p>
    <w:p w14:paraId="6C76583F">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Hershberger, W.A., &amp; Terry, D.F. (1965). Typographic cueing in conventional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programmed text. Journal of Applied Psychology, 49,5560.</w:t>
      </w:r>
    </w:p>
    <w:p w14:paraId="27EF1256">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Klare, G.R., Nichols, W.H., &amp; Shuford, </w:t>
      </w:r>
      <w:r>
        <w:rPr>
          <w:rFonts w:ascii="Arial" w:hAnsi="Arial" w:eastAsia="宋体" w:cs="Arial"/>
          <w:b/>
          <w:bCs/>
          <w:snapToGrid w:val="0"/>
          <w:kern w:val="0"/>
          <w:sz w:val="24"/>
          <w:szCs w:val="21"/>
        </w:rPr>
        <w:t>E.M. (</w:t>
      </w:r>
      <w:r>
        <w:rPr>
          <w:rFonts w:ascii="Arial" w:hAnsi="Arial" w:eastAsia="宋体" w:cs="Arial"/>
          <w:snapToGrid w:val="0"/>
          <w:kern w:val="0"/>
          <w:sz w:val="24"/>
          <w:szCs w:val="21"/>
        </w:rPr>
        <w:t>1957). The relationship of typographical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arrangement to the learning of technical material. Jouml of Applied Psychology, 41,41-</w:t>
      </w:r>
      <w:r>
        <w:rPr>
          <w:rFonts w:ascii="Arial" w:hAnsi="Arial" w:eastAsia="宋体" w:cs="Arial"/>
          <w:b/>
          <w:bCs/>
          <w:snapToGrid w:val="0"/>
          <w:kern w:val="0"/>
          <w:sz w:val="24"/>
          <w:szCs w:val="21"/>
        </w:rPr>
        <w:t>45.</w:t>
      </w:r>
    </w:p>
    <w:p w14:paraId="4A29455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Marcus, A. (1992). Graphic design for electronic documents and user interfaces. New York: ACM Press (Ch. 2, Typography, pp. 29-50) .</w:t>
      </w:r>
    </w:p>
    <w:p w14:paraId="71467A1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North, A.J., &amp; Jenkins, L.B. (1951). Reading speed and comprehension as a function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typography. Journal of Applied Psychology, 35,225-228.</w:t>
      </w:r>
      <w:r>
        <w:rPr>
          <w:rFonts w:hint="eastAsia" w:ascii="Arial" w:hAnsi="Arial" w:eastAsia="宋体" w:cs="Arial"/>
          <w:snapToGrid w:val="0"/>
          <w:kern w:val="0"/>
          <w:sz w:val="24"/>
          <w:szCs w:val="21"/>
        </w:rPr>
        <w:t xml:space="preserve"> </w:t>
      </w:r>
    </w:p>
    <w:p w14:paraId="2AA1E6A9">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Poulton, E.C. (1960). A note on printing to make comprehension easier. Ergonomics, 3,245-248.</w:t>
      </w:r>
    </w:p>
    <w:p w14:paraId="58272FB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Poulton, E.C. (1972). Size, style, and vertical spacing in the legibility of small typefaces.;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Journal of Applied Psychology, 56, 156-161.</w:t>
      </w:r>
    </w:p>
    <w:p w14:paraId="02E77198">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Robinson, D.O., Abbamonte, M., &amp; Evans, S.H. (1971). Why serifs are important: The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perception of small print. Visible Language, 5,353-359.</w:t>
      </w:r>
    </w:p>
    <w:p w14:paraId="23FD25D8">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Swezey, R.W. (1984). Optimizing legibility for recall and retention. In R. Easterby and H.</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Zwaga (Eds.), Information design (pp. 145-156). Chichester, England: Wiley.</w:t>
      </w:r>
    </w:p>
    <w:p w14:paraId="50A5BB6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Tinker, M.A. (1963). Legibility of print. </w:t>
      </w:r>
      <w:r>
        <w:rPr>
          <w:rFonts w:ascii="Arial" w:hAnsi="Arial" w:eastAsia="宋体" w:cs="Arial"/>
          <w:b/>
          <w:bCs/>
          <w:snapToGrid w:val="0"/>
          <w:kern w:val="0"/>
          <w:sz w:val="24"/>
          <w:szCs w:val="21"/>
        </w:rPr>
        <w:t xml:space="preserve">Ames, IA: </w:t>
      </w:r>
      <w:r>
        <w:rPr>
          <w:rFonts w:ascii="Arial" w:hAnsi="Arial" w:eastAsia="宋体" w:cs="Arial"/>
          <w:snapToGrid w:val="0"/>
          <w:kern w:val="0"/>
          <w:sz w:val="24"/>
          <w:szCs w:val="21"/>
        </w:rPr>
        <w:t>Iowa State University Press.</w:t>
      </w:r>
    </w:p>
    <w:p w14:paraId="55324144">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Waller, R.H.W. (1979). Typographic access structures for instructional text. In P.A. Kolers,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M.E. Wrolstad, and H. Bouma (Eds.), Processing of visible language. New York: Plenum.</w:t>
      </w:r>
    </w:p>
    <w:p w14:paraId="2F647262">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Waller, R.H.W. (1982). Text as diagram: Using typography to improve access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understanding. In D.H. Jonassen (Ed.), </w:t>
      </w:r>
      <w:r>
        <w:rPr>
          <w:rFonts w:ascii="Arial" w:hAnsi="Arial" w:eastAsia="宋体" w:cs="Arial"/>
          <w:b/>
          <w:bCs/>
          <w:i/>
          <w:iCs/>
          <w:snapToGrid w:val="0"/>
          <w:kern w:val="0"/>
          <w:sz w:val="24"/>
          <w:szCs w:val="21"/>
        </w:rPr>
        <w:t xml:space="preserve">The </w:t>
      </w:r>
      <w:r>
        <w:rPr>
          <w:rFonts w:ascii="Arial" w:hAnsi="Arial" w:eastAsia="宋体" w:cs="Arial"/>
          <w:snapToGrid w:val="0"/>
          <w:kern w:val="0"/>
          <w:sz w:val="24"/>
          <w:szCs w:val="21"/>
        </w:rPr>
        <w:t xml:space="preserve">technology of text, </w:t>
      </w:r>
      <w:r>
        <w:rPr>
          <w:rFonts w:ascii="Arial" w:hAnsi="Arial" w:eastAsia="宋体" w:cs="Arial"/>
          <w:i/>
          <w:iCs/>
          <w:snapToGrid w:val="0"/>
          <w:kern w:val="0"/>
          <w:sz w:val="24"/>
          <w:szCs w:val="21"/>
        </w:rPr>
        <w:t>1 (</w:t>
      </w:r>
      <w:r>
        <w:rPr>
          <w:rFonts w:ascii="Arial" w:hAnsi="Arial" w:eastAsia="宋体" w:cs="Arial"/>
          <w:snapToGrid w:val="0"/>
          <w:kern w:val="0"/>
          <w:sz w:val="24"/>
          <w:szCs w:val="21"/>
        </w:rPr>
        <w:t>pp. 137-166). Englewood Cliffs, NJ: Educational Technology Publications.</w:t>
      </w:r>
    </w:p>
    <w:p w14:paraId="41E84A0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Waller, R.H.W. (1985). Using typography to structure arguments: A critical analysis of some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examples. In D.H. Jonassen (Ed.), The technology of text, 2 (pp. 105-125). Englewood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Cliffs, NJ: Educational Technology Publications.</w:t>
      </w:r>
    </w:p>
    <w:p w14:paraId="248D8C63">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Wiggins, R.H. (1967). Effects of three typographical variables on speed of reading. Journal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Typographic Research, Vol. I, No. 1,5 -18.</w:t>
      </w:r>
    </w:p>
    <w:p w14:paraId="0C7BEB1E">
      <w:pPr>
        <w:pStyle w:val="3"/>
        <w:keepNext w:val="0"/>
        <w:keepLines w:val="0"/>
        <w:topLinePunct/>
        <w:adjustRightInd w:val="0"/>
        <w:snapToGrid w:val="0"/>
        <w:spacing w:beforeLines="0" w:after="109" w:afterLines="35" w:line="288" w:lineRule="auto"/>
        <w:rPr>
          <w:rFonts w:ascii="Arial" w:hAnsi="Arial" w:eastAsia="宋体" w:cs="Arial"/>
          <w:b/>
          <w:snapToGrid w:val="0"/>
          <w:kern w:val="0"/>
          <w:sz w:val="24"/>
        </w:rPr>
      </w:pPr>
      <w:bookmarkStart w:id="25" w:name="_Toc499280438"/>
      <w:r>
        <w:rPr>
          <w:rFonts w:hint="eastAsia" w:ascii="Arial" w:hAnsi="Arial" w:eastAsia="宋体" w:cs="Arial"/>
          <w:b/>
          <w:snapToGrid w:val="0"/>
          <w:kern w:val="0"/>
          <w:sz w:val="24"/>
        </w:rPr>
        <w:t>教学理论</w:t>
      </w:r>
      <w:bookmarkEnd w:id="25"/>
    </w:p>
    <w:p w14:paraId="28E2FEC3">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Anderson, J.R. (1982). Acquisition of cognitive skill. Psychological Review, 89, 369-406.</w:t>
      </w:r>
    </w:p>
    <w:p w14:paraId="6A26446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Britton, B.K., Glynn, S.M., Meyer, B.J.F., &amp; Penland, M.J. (1982). Effects of text structure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on use of cognitive capacity during reading. Jouml of Educational Psychology, 74,51-61.</w:t>
      </w:r>
    </w:p>
    <w:p w14:paraId="5A53B430">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Chase. W.G.. &amp; Clark, H.H. (1972). Mental operations in the comparison of sentences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pictures. In L. Gregg (Ed.), Cognition in learning and memory. New York: Wiley.</w:t>
      </w:r>
    </w:p>
    <w:p w14:paraId="72984680">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Clark, E.V. (1971). On the acquisition of the meaning of before and after. Jouml of Verbal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Learning </w:t>
      </w:r>
      <w:r>
        <w:rPr>
          <w:rFonts w:ascii="Arial" w:hAnsi="Arial" w:eastAsia="宋体" w:cs="Arial"/>
          <w:b/>
          <w:bCs/>
          <w:i/>
          <w:iCs/>
          <w:snapToGrid w:val="0"/>
          <w:kern w:val="0"/>
          <w:sz w:val="24"/>
          <w:szCs w:val="21"/>
        </w:rPr>
        <w:t xml:space="preserve">and </w:t>
      </w:r>
      <w:r>
        <w:rPr>
          <w:rFonts w:ascii="Arial" w:hAnsi="Arial" w:eastAsia="宋体" w:cs="Arial"/>
          <w:snapToGrid w:val="0"/>
          <w:kern w:val="0"/>
          <w:sz w:val="24"/>
          <w:szCs w:val="21"/>
        </w:rPr>
        <w:t>Verbal Behavior, 10,266-275.</w:t>
      </w:r>
    </w:p>
    <w:p w14:paraId="23DA2714">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Clark, H.H., &amp; Chase, W.G. (1972). On the process of comparing sentences against pictures.</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Cognitive Psychology, 3,472-5 17.</w:t>
      </w:r>
    </w:p>
    <w:p w14:paraId="035AAB07">
      <w:pPr>
        <w:topLinePunct/>
        <w:adjustRightInd w:val="0"/>
        <w:snapToGrid w:val="0"/>
        <w:spacing w:after="109" w:afterLines="35" w:line="288" w:lineRule="auto"/>
        <w:rPr>
          <w:rFonts w:ascii="Arial" w:hAnsi="Arial" w:eastAsia="宋体" w:cs="Arial"/>
          <w:b/>
          <w:bCs/>
          <w:snapToGrid w:val="0"/>
          <w:kern w:val="0"/>
          <w:sz w:val="24"/>
          <w:szCs w:val="21"/>
        </w:rPr>
      </w:pPr>
      <w:r>
        <w:rPr>
          <w:rFonts w:ascii="Arial" w:hAnsi="Arial" w:eastAsia="宋体" w:cs="Arial"/>
          <w:snapToGrid w:val="0"/>
          <w:kern w:val="0"/>
          <w:sz w:val="24"/>
          <w:szCs w:val="21"/>
        </w:rPr>
        <w:t xml:space="preserve">Collins, </w:t>
      </w:r>
      <w:r>
        <w:rPr>
          <w:rFonts w:ascii="Arial" w:hAnsi="Arial" w:eastAsia="宋体" w:cs="Arial"/>
          <w:b/>
          <w:bCs/>
          <w:snapToGrid w:val="0"/>
          <w:kern w:val="0"/>
          <w:sz w:val="24"/>
          <w:szCs w:val="21"/>
        </w:rPr>
        <w:t xml:space="preserve">A,, </w:t>
      </w:r>
      <w:r>
        <w:rPr>
          <w:rFonts w:ascii="Arial" w:hAnsi="Arial" w:eastAsia="宋体" w:cs="Arial"/>
          <w:snapToGrid w:val="0"/>
          <w:kern w:val="0"/>
          <w:sz w:val="24"/>
          <w:szCs w:val="21"/>
        </w:rPr>
        <w:t xml:space="preserve">&amp; Gentner, D. (1980). A framework for a cognitive theory of writing. In </w:t>
      </w:r>
      <w:r>
        <w:rPr>
          <w:rFonts w:ascii="Arial" w:hAnsi="Arial" w:eastAsia="宋体" w:cs="Arial"/>
          <w:b/>
          <w:bCs/>
          <w:snapToGrid w:val="0"/>
          <w:kern w:val="0"/>
          <w:sz w:val="24"/>
          <w:szCs w:val="21"/>
        </w:rPr>
        <w:t>L.W.</w:t>
      </w:r>
      <w:r>
        <w:rPr>
          <w:rFonts w:hint="eastAsia" w:ascii="Arial" w:hAnsi="Arial" w:eastAsia="宋体" w:cs="Arial"/>
          <w:b/>
          <w:bCs/>
          <w:snapToGrid w:val="0"/>
          <w:kern w:val="0"/>
          <w:sz w:val="24"/>
          <w:szCs w:val="21"/>
        </w:rPr>
        <w:t xml:space="preserve"> </w:t>
      </w:r>
      <w:r>
        <w:rPr>
          <w:rFonts w:ascii="Arial" w:hAnsi="Arial" w:eastAsia="宋体" w:cs="Arial"/>
          <w:snapToGrid w:val="0"/>
          <w:kern w:val="0"/>
          <w:sz w:val="24"/>
          <w:szCs w:val="21"/>
        </w:rPr>
        <w:t>Gregg and E.R. Steinberg (Eds.), Cognitive processes in writing (pp. 51-72). New York: Erlbaum.</w:t>
      </w:r>
    </w:p>
    <w:p w14:paraId="477A5E1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Freebody, P., &amp; Anderson, R.C. (1986). Serial position and rated importance in the recall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text. Discourse Processes, 9,3 1-36.</w:t>
      </w:r>
    </w:p>
    <w:p w14:paraId="3FA6BE43">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Gagne, R.M. (1988). Principles </w:t>
      </w:r>
      <w:r>
        <w:rPr>
          <w:rFonts w:ascii="Arial" w:hAnsi="Arial" w:eastAsia="宋体" w:cs="Arial"/>
          <w:b/>
          <w:bCs/>
          <w:i/>
          <w:iCs/>
          <w:snapToGrid w:val="0"/>
          <w:kern w:val="0"/>
          <w:sz w:val="24"/>
          <w:szCs w:val="21"/>
        </w:rPr>
        <w:t xml:space="preserve">of </w:t>
      </w:r>
      <w:r>
        <w:rPr>
          <w:rFonts w:ascii="Arial" w:hAnsi="Arial" w:eastAsia="宋体" w:cs="Arial"/>
          <w:snapToGrid w:val="0"/>
          <w:kern w:val="0"/>
          <w:sz w:val="24"/>
          <w:szCs w:val="21"/>
        </w:rPr>
        <w:t>instructional design. Fort Worth: Holt, Rinehart,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Winston.</w:t>
      </w:r>
    </w:p>
    <w:p w14:paraId="15198CF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Glaser, R. (1990). The reemergence of learning theory within instructional research. American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Psychologist, 45,29-39.</w:t>
      </w:r>
    </w:p>
    <w:p w14:paraId="1EE4EA1E">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Glaser, R., &amp; Bassok, M. (1989). Leaning theory and the study of instruction. Annual Review</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of </w:t>
      </w:r>
      <w:r>
        <w:rPr>
          <w:rFonts w:ascii="Arial" w:hAnsi="Arial" w:eastAsia="宋体" w:cs="Arial"/>
          <w:snapToGrid w:val="0"/>
          <w:kern w:val="0"/>
          <w:sz w:val="24"/>
          <w:szCs w:val="21"/>
        </w:rPr>
        <w:t xml:space="preserve">Psychology, </w:t>
      </w:r>
      <w:r>
        <w:rPr>
          <w:rFonts w:ascii="Arial" w:hAnsi="Arial" w:eastAsia="宋体" w:cs="Arial"/>
          <w:b/>
          <w:bCs/>
          <w:i/>
          <w:iCs/>
          <w:snapToGrid w:val="0"/>
          <w:kern w:val="0"/>
          <w:sz w:val="24"/>
          <w:szCs w:val="21"/>
        </w:rPr>
        <w:t xml:space="preserve">40, </w:t>
      </w:r>
      <w:r>
        <w:rPr>
          <w:rFonts w:ascii="Arial" w:hAnsi="Arial" w:eastAsia="宋体" w:cs="Arial"/>
          <w:snapToGrid w:val="0"/>
          <w:kern w:val="0"/>
          <w:sz w:val="24"/>
          <w:szCs w:val="21"/>
        </w:rPr>
        <w:t>63 1-666.</w:t>
      </w:r>
    </w:p>
    <w:p w14:paraId="7ED8F4B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b/>
          <w:bCs/>
          <w:snapToGrid w:val="0"/>
          <w:kern w:val="0"/>
          <w:sz w:val="24"/>
          <w:szCs w:val="21"/>
        </w:rPr>
        <w:t xml:space="preserve">Kern, </w:t>
      </w:r>
      <w:r>
        <w:rPr>
          <w:rFonts w:ascii="Arial" w:hAnsi="Arial" w:eastAsia="宋体" w:cs="Arial"/>
          <w:snapToGrid w:val="0"/>
          <w:kern w:val="0"/>
          <w:sz w:val="24"/>
          <w:szCs w:val="21"/>
        </w:rPr>
        <w:t xml:space="preserve">R.P. (1985). Modeling users and their use of technical manuals. In T.M. </w:t>
      </w:r>
      <w:r>
        <w:rPr>
          <w:rFonts w:ascii="Arial" w:hAnsi="Arial" w:eastAsia="宋体" w:cs="Arial"/>
          <w:b/>
          <w:bCs/>
          <w:snapToGrid w:val="0"/>
          <w:kern w:val="0"/>
          <w:sz w:val="24"/>
          <w:szCs w:val="21"/>
        </w:rPr>
        <w:t xml:space="preserve">Duffy </w:t>
      </w:r>
      <w:r>
        <w:rPr>
          <w:rFonts w:ascii="Arial" w:hAnsi="Arial" w:eastAsia="宋体" w:cs="Arial"/>
          <w:snapToGrid w:val="0"/>
          <w:kern w:val="0"/>
          <w:sz w:val="24"/>
          <w:szCs w:val="21"/>
        </w:rPr>
        <w:t>and 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Waller (</w:t>
      </w:r>
      <w:r>
        <w:rPr>
          <w:rFonts w:ascii="Arial" w:hAnsi="Arial" w:eastAsia="宋体" w:cs="Arial"/>
          <w:b/>
          <w:bCs/>
          <w:snapToGrid w:val="0"/>
          <w:kern w:val="0"/>
          <w:sz w:val="24"/>
          <w:szCs w:val="21"/>
        </w:rPr>
        <w:t xml:space="preserve">Eds.), </w:t>
      </w:r>
      <w:r>
        <w:rPr>
          <w:rFonts w:ascii="Arial" w:hAnsi="Arial" w:eastAsia="宋体" w:cs="Arial"/>
          <w:snapToGrid w:val="0"/>
          <w:kern w:val="0"/>
          <w:sz w:val="24"/>
          <w:szCs w:val="21"/>
        </w:rPr>
        <w:t>Designing usable text. New York: Academic.</w:t>
      </w:r>
    </w:p>
    <w:p w14:paraId="721A2D95">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Miller, G.A. (1956). The magical number seven, plus or </w:t>
      </w:r>
      <w:r>
        <w:rPr>
          <w:rFonts w:ascii="Arial" w:hAnsi="Arial" w:eastAsia="宋体" w:cs="Arial"/>
          <w:b/>
          <w:bCs/>
          <w:snapToGrid w:val="0"/>
          <w:kern w:val="0"/>
          <w:sz w:val="24"/>
          <w:szCs w:val="21"/>
        </w:rPr>
        <w:t xml:space="preserve">minus </w:t>
      </w:r>
      <w:r>
        <w:rPr>
          <w:rFonts w:ascii="Arial" w:hAnsi="Arial" w:eastAsia="宋体" w:cs="Arial"/>
          <w:snapToGrid w:val="0"/>
          <w:kern w:val="0"/>
          <w:sz w:val="24"/>
          <w:szCs w:val="21"/>
        </w:rPr>
        <w:t>two: Some limits on our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capacity to process information. Psychological Review, 63,81-97.</w:t>
      </w:r>
    </w:p>
    <w:p w14:paraId="18AF746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Miller, G.A. (1962). Some psychological studies of grammar. American Psychologist, 17,</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748-762.</w:t>
      </w:r>
    </w:p>
    <w:p w14:paraId="1BFE4D7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Reder, L.M., Charney, D.H., &amp; ~or~aKn.I., (1986). The role of elaborations in learning a</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skill from an instructional text. Memory and Cognition, 14.64-78.</w:t>
      </w:r>
    </w:p>
    <w:p w14:paraId="0D8B2FBF">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Ross, B. (1984). Remindings and their effects in learning a cognitive skill. Cognitive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Psychology, 16, 37 1-416.</w:t>
      </w:r>
    </w:p>
    <w:p w14:paraId="144A65D9">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Schmalhofer, F.J., &amp; Glavanov, D. (1986). Three components of understanding a</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programmer's manual: Verbatim, propositional and situational representations. Journal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Memory and Language, 25,279-294.</w:t>
      </w:r>
    </w:p>
    <w:p w14:paraId="4B7E5C71">
      <w:pPr>
        <w:pStyle w:val="3"/>
        <w:keepNext w:val="0"/>
        <w:keepLines w:val="0"/>
        <w:topLinePunct/>
        <w:adjustRightInd w:val="0"/>
        <w:snapToGrid w:val="0"/>
        <w:spacing w:beforeLines="0" w:after="156" w:line="288" w:lineRule="auto"/>
        <w:rPr>
          <w:rFonts w:ascii="Arial" w:hAnsi="Arial" w:eastAsia="宋体" w:cs="Arial"/>
          <w:b/>
          <w:snapToGrid w:val="0"/>
          <w:kern w:val="0"/>
          <w:sz w:val="24"/>
        </w:rPr>
      </w:pPr>
      <w:bookmarkStart w:id="26" w:name="_Toc499280439"/>
      <w:r>
        <w:rPr>
          <w:rFonts w:hint="eastAsia" w:ascii="Arial" w:hAnsi="Arial" w:eastAsia="宋体" w:cs="Arial"/>
          <w:b/>
          <w:snapToGrid w:val="0"/>
          <w:kern w:val="0"/>
          <w:sz w:val="24"/>
        </w:rPr>
        <w:t>医疗器械标签评估</w:t>
      </w:r>
      <w:bookmarkEnd w:id="26"/>
    </w:p>
    <w:p w14:paraId="537CF737">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Basch, C.E. (1987). Focus group interview: An underutilized research technique for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improving theory and practice in health education. Health Education Quarterly, 14.41 1-448.</w:t>
      </w:r>
    </w:p>
    <w:p w14:paraId="4C321BCF">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Bellenger, D.N., Bernhardt, K.L., &amp; Goldstucker, J.L. (1976). Qualitative research</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techniques: Focus group intewiews (pp. 7-28). Qualitative research in marketing. Chicago: American Marketing Association.</w:t>
      </w:r>
    </w:p>
    <w:p w14:paraId="5ED3DC10">
      <w:pPr>
        <w:topLinePunct/>
        <w:adjustRightInd w:val="0"/>
        <w:snapToGrid w:val="0"/>
        <w:spacing w:after="109" w:afterLines="35" w:line="288" w:lineRule="auto"/>
        <w:rPr>
          <w:rFonts w:ascii="Arial" w:hAnsi="Arial" w:eastAsia="宋体" w:cs="Arial"/>
          <w:i/>
          <w:iCs/>
          <w:snapToGrid w:val="0"/>
          <w:kern w:val="0"/>
          <w:sz w:val="24"/>
          <w:szCs w:val="21"/>
        </w:rPr>
      </w:pPr>
      <w:r>
        <w:rPr>
          <w:rFonts w:ascii="Arial" w:hAnsi="Arial" w:eastAsia="宋体" w:cs="Arial"/>
          <w:snapToGrid w:val="0"/>
          <w:kern w:val="0"/>
          <w:sz w:val="24"/>
          <w:szCs w:val="21"/>
        </w:rPr>
        <w:t>Davison, A., &amp; Green, G. (</w:t>
      </w:r>
      <w:r>
        <w:rPr>
          <w:rFonts w:ascii="Arial" w:hAnsi="Arial" w:eastAsia="宋体" w:cs="Arial"/>
          <w:b/>
          <w:bCs/>
          <w:snapToGrid w:val="0"/>
          <w:kern w:val="0"/>
          <w:sz w:val="24"/>
          <w:szCs w:val="21"/>
        </w:rPr>
        <w:t xml:space="preserve">Eds.) </w:t>
      </w:r>
      <w:r>
        <w:rPr>
          <w:rFonts w:ascii="Arial" w:hAnsi="Arial" w:eastAsia="宋体" w:cs="Arial"/>
          <w:snapToGrid w:val="0"/>
          <w:kern w:val="0"/>
          <w:sz w:val="24"/>
          <w:szCs w:val="21"/>
        </w:rPr>
        <w:t xml:space="preserve">(1987). </w:t>
      </w:r>
      <w:r>
        <w:rPr>
          <w:rFonts w:ascii="Arial" w:hAnsi="Arial" w:eastAsia="宋体" w:cs="Arial"/>
          <w:i/>
          <w:iCs/>
          <w:snapToGrid w:val="0"/>
          <w:kern w:val="0"/>
          <w:sz w:val="24"/>
          <w:szCs w:val="21"/>
        </w:rPr>
        <w:t>Linguistic complexity text comprehension: A reexamination</w:t>
      </w:r>
      <w:r>
        <w:rPr>
          <w:rFonts w:hint="eastAsia" w:ascii="Arial" w:hAnsi="Arial" w:eastAsia="宋体" w:cs="Arial"/>
          <w:i/>
          <w:iCs/>
          <w:snapToGrid w:val="0"/>
          <w:kern w:val="0"/>
          <w:sz w:val="24"/>
          <w:szCs w:val="21"/>
        </w:rPr>
        <w:t xml:space="preserve"> </w:t>
      </w:r>
      <w:r>
        <w:rPr>
          <w:rFonts w:ascii="Arial" w:hAnsi="Arial" w:eastAsia="宋体" w:cs="Arial"/>
          <w:i/>
          <w:iCs/>
          <w:snapToGrid w:val="0"/>
          <w:kern w:val="0"/>
          <w:sz w:val="24"/>
          <w:szCs w:val="21"/>
        </w:rPr>
        <w:t xml:space="preserve">of readability with alternutive views. </w:t>
      </w:r>
      <w:r>
        <w:rPr>
          <w:rFonts w:ascii="Arial" w:hAnsi="Arial" w:eastAsia="宋体" w:cs="Arial"/>
          <w:snapToGrid w:val="0"/>
          <w:kern w:val="0"/>
          <w:sz w:val="24"/>
          <w:szCs w:val="21"/>
        </w:rPr>
        <w:t xml:space="preserve">Hillsdale, </w:t>
      </w:r>
      <w:r>
        <w:rPr>
          <w:rFonts w:ascii="Arial" w:hAnsi="Arial" w:eastAsia="宋体" w:cs="Arial"/>
          <w:i/>
          <w:iCs/>
          <w:snapToGrid w:val="0"/>
          <w:kern w:val="0"/>
          <w:sz w:val="24"/>
          <w:szCs w:val="21"/>
        </w:rPr>
        <w:t xml:space="preserve">NJ: </w:t>
      </w:r>
      <w:r>
        <w:rPr>
          <w:rFonts w:ascii="Arial" w:hAnsi="Arial" w:eastAsia="宋体" w:cs="Arial"/>
          <w:snapToGrid w:val="0"/>
          <w:kern w:val="0"/>
          <w:sz w:val="24"/>
          <w:szCs w:val="21"/>
        </w:rPr>
        <w:t>Erlbaum.</w:t>
      </w:r>
    </w:p>
    <w:p w14:paraId="524A98F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Fink, A., &amp; Kosecoff, J. (1979). </w:t>
      </w:r>
      <w:r>
        <w:rPr>
          <w:rFonts w:ascii="Arial" w:hAnsi="Arial" w:eastAsia="宋体" w:cs="Arial"/>
          <w:i/>
          <w:iCs/>
          <w:snapToGrid w:val="0"/>
          <w:kern w:val="0"/>
          <w:sz w:val="24"/>
          <w:szCs w:val="21"/>
        </w:rPr>
        <w:t xml:space="preserve">An evaluation primer. </w:t>
      </w:r>
      <w:r>
        <w:rPr>
          <w:rFonts w:ascii="Arial" w:hAnsi="Arial" w:eastAsia="宋体" w:cs="Arial"/>
          <w:snapToGrid w:val="0"/>
          <w:kern w:val="0"/>
          <w:sz w:val="24"/>
          <w:szCs w:val="21"/>
        </w:rPr>
        <w:t>Beverly Hills, CA: Sage.</w:t>
      </w:r>
    </w:p>
    <w:p w14:paraId="3DADFD67">
      <w:pPr>
        <w:topLinePunct/>
        <w:adjustRightInd w:val="0"/>
        <w:snapToGrid w:val="0"/>
        <w:spacing w:after="109" w:afterLines="35" w:line="288" w:lineRule="auto"/>
        <w:rPr>
          <w:rFonts w:ascii="Arial" w:hAnsi="Arial" w:eastAsia="宋体" w:cs="Arial"/>
          <w:i/>
          <w:iCs/>
          <w:snapToGrid w:val="0"/>
          <w:kern w:val="0"/>
          <w:sz w:val="24"/>
          <w:szCs w:val="21"/>
        </w:rPr>
      </w:pPr>
      <w:r>
        <w:rPr>
          <w:rFonts w:ascii="Arial" w:hAnsi="Arial" w:eastAsia="宋体" w:cs="Arial"/>
          <w:snapToGrid w:val="0"/>
          <w:kern w:val="0"/>
          <w:sz w:val="24"/>
          <w:szCs w:val="21"/>
        </w:rPr>
        <w:t xml:space="preserve">Folch-Lyon, E., &amp; Trost, J.F. (1981). Conducting focus group sessions. </w:t>
      </w:r>
      <w:r>
        <w:rPr>
          <w:rFonts w:ascii="Arial" w:hAnsi="Arial" w:eastAsia="宋体" w:cs="Arial"/>
          <w:i/>
          <w:iCs/>
          <w:snapToGrid w:val="0"/>
          <w:kern w:val="0"/>
          <w:sz w:val="24"/>
          <w:szCs w:val="21"/>
        </w:rPr>
        <w:t>Studies in Family</w:t>
      </w:r>
      <w:r>
        <w:rPr>
          <w:rFonts w:hint="eastAsia" w:ascii="Arial" w:hAnsi="Arial" w:eastAsia="宋体" w:cs="Arial"/>
          <w:i/>
          <w:iCs/>
          <w:snapToGrid w:val="0"/>
          <w:kern w:val="0"/>
          <w:sz w:val="24"/>
          <w:szCs w:val="21"/>
        </w:rPr>
        <w:t xml:space="preserve"> </w:t>
      </w:r>
      <w:r>
        <w:rPr>
          <w:rFonts w:ascii="Arial" w:hAnsi="Arial" w:eastAsia="宋体" w:cs="Arial"/>
          <w:i/>
          <w:iCs/>
          <w:snapToGrid w:val="0"/>
          <w:kern w:val="0"/>
          <w:sz w:val="24"/>
          <w:szCs w:val="21"/>
        </w:rPr>
        <w:t xml:space="preserve">Planning, </w:t>
      </w:r>
      <w:r>
        <w:rPr>
          <w:rFonts w:ascii="Arial" w:hAnsi="Arial" w:eastAsia="宋体" w:cs="Arial"/>
          <w:snapToGrid w:val="0"/>
          <w:kern w:val="0"/>
          <w:sz w:val="24"/>
          <w:szCs w:val="21"/>
        </w:rPr>
        <w:t>12,443-449.</w:t>
      </w:r>
    </w:p>
    <w:p w14:paraId="209F44D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Gong, R., &amp; Elkerton, J. (1990). Designing minimal documentation using a </w:t>
      </w:r>
      <w:r>
        <w:rPr>
          <w:rFonts w:ascii="Arial" w:hAnsi="Arial" w:eastAsia="宋体" w:cs="Arial"/>
          <w:b/>
          <w:bCs/>
          <w:snapToGrid w:val="0"/>
          <w:kern w:val="0"/>
          <w:sz w:val="24"/>
          <w:szCs w:val="21"/>
        </w:rPr>
        <w:t xml:space="preserve">GOMS </w:t>
      </w:r>
      <w:r>
        <w:rPr>
          <w:rFonts w:ascii="Arial" w:hAnsi="Arial" w:eastAsia="宋体" w:cs="Arial"/>
          <w:snapToGrid w:val="0"/>
          <w:kern w:val="0"/>
          <w:sz w:val="24"/>
          <w:szCs w:val="21"/>
        </w:rPr>
        <w:t>model: A</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usability evaluation of an engineering approach. In </w:t>
      </w:r>
      <w:r>
        <w:rPr>
          <w:rFonts w:ascii="Arial" w:hAnsi="Arial" w:eastAsia="宋体" w:cs="Arial"/>
          <w:i/>
          <w:iCs/>
          <w:snapToGrid w:val="0"/>
          <w:kern w:val="0"/>
          <w:sz w:val="24"/>
          <w:szCs w:val="21"/>
        </w:rPr>
        <w:t xml:space="preserve">Proceedings of CHI '90: </w:t>
      </w:r>
      <w:r>
        <w:rPr>
          <w:rFonts w:ascii="Arial" w:hAnsi="Arial" w:eastAsia="宋体" w:cs="Arial"/>
          <w:b/>
          <w:bCs/>
          <w:i/>
          <w:iCs/>
          <w:snapToGrid w:val="0"/>
          <w:kern w:val="0"/>
          <w:sz w:val="24"/>
          <w:szCs w:val="21"/>
        </w:rPr>
        <w:t>Human</w:t>
      </w:r>
      <w:r>
        <w:rPr>
          <w:rFonts w:hint="eastAsia" w:ascii="Arial" w:hAnsi="Arial" w:eastAsia="宋体" w:cs="Arial"/>
          <w:snapToGrid w:val="0"/>
          <w:kern w:val="0"/>
          <w:sz w:val="24"/>
          <w:szCs w:val="21"/>
        </w:rPr>
        <w:t xml:space="preserve"> </w:t>
      </w:r>
      <w:r>
        <w:rPr>
          <w:rFonts w:ascii="Arial" w:hAnsi="Arial" w:eastAsia="宋体" w:cs="Arial"/>
          <w:i/>
          <w:iCs/>
          <w:snapToGrid w:val="0"/>
          <w:kern w:val="0"/>
          <w:sz w:val="24"/>
          <w:szCs w:val="21"/>
        </w:rPr>
        <w:t>Factors in Computing Systems (</w:t>
      </w:r>
      <w:r>
        <w:rPr>
          <w:rFonts w:ascii="Arial" w:hAnsi="Arial" w:eastAsia="宋体" w:cs="Arial"/>
          <w:snapToGrid w:val="0"/>
          <w:kern w:val="0"/>
          <w:sz w:val="24"/>
          <w:szCs w:val="21"/>
        </w:rPr>
        <w:t>pp. 99-106). New York: Association for Computing</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Machinery.</w:t>
      </w:r>
    </w:p>
    <w:p w14:paraId="5754EA48">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Hartley, J. (1990). Is this text any use? Methods for evaluating text. In J.R. Wilson and E. N.</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Corlett (Eds.), </w:t>
      </w:r>
      <w:r>
        <w:rPr>
          <w:rFonts w:ascii="Arial" w:hAnsi="Arial" w:eastAsia="宋体" w:cs="Arial"/>
          <w:i/>
          <w:iCs/>
          <w:snapToGrid w:val="0"/>
          <w:kern w:val="0"/>
          <w:sz w:val="24"/>
          <w:szCs w:val="21"/>
        </w:rPr>
        <w:t xml:space="preserve">Evaluation of </w:t>
      </w:r>
      <w:r>
        <w:rPr>
          <w:rFonts w:ascii="Arial" w:hAnsi="Arial" w:eastAsia="宋体" w:cs="Arial"/>
          <w:snapToGrid w:val="0"/>
          <w:kern w:val="0"/>
          <w:sz w:val="24"/>
          <w:szCs w:val="21"/>
        </w:rPr>
        <w:t xml:space="preserve">human </w:t>
      </w:r>
      <w:r>
        <w:rPr>
          <w:rFonts w:ascii="Arial" w:hAnsi="Arial" w:eastAsia="宋体" w:cs="Arial"/>
          <w:i/>
          <w:iCs/>
          <w:snapToGrid w:val="0"/>
          <w:kern w:val="0"/>
          <w:sz w:val="24"/>
          <w:szCs w:val="21"/>
        </w:rPr>
        <w:t>work: A practical ergonomics methodology (</w:t>
      </w:r>
      <w:r>
        <w:rPr>
          <w:rFonts w:ascii="Arial" w:hAnsi="Arial" w:eastAsia="宋体" w:cs="Arial"/>
          <w:snapToGrid w:val="0"/>
          <w:kern w:val="0"/>
          <w:sz w:val="24"/>
          <w:szCs w:val="21"/>
        </w:rPr>
        <w:t xml:space="preserve">pp. </w:t>
      </w:r>
      <w:r>
        <w:rPr>
          <w:rFonts w:ascii="Arial" w:hAnsi="Arial" w:eastAsia="宋体" w:cs="Arial"/>
          <w:b/>
          <w:bCs/>
          <w:snapToGrid w:val="0"/>
          <w:kern w:val="0"/>
          <w:sz w:val="24"/>
          <w:szCs w:val="21"/>
        </w:rPr>
        <w:t>248-</w:t>
      </w:r>
      <w:r>
        <w:rPr>
          <w:rFonts w:ascii="Arial" w:hAnsi="Arial" w:eastAsia="宋体" w:cs="Arial"/>
          <w:snapToGrid w:val="0"/>
          <w:kern w:val="0"/>
          <w:sz w:val="24"/>
          <w:szCs w:val="21"/>
        </w:rPr>
        <w:t>270). London: Taylor &amp; Francis.</w:t>
      </w:r>
    </w:p>
    <w:p w14:paraId="0A2219E4">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Higginbotham, J.B., &amp; Cox, K.K. (1979). </w:t>
      </w:r>
      <w:r>
        <w:rPr>
          <w:rFonts w:ascii="Arial" w:hAnsi="Arial" w:eastAsia="宋体" w:cs="Arial"/>
          <w:i/>
          <w:iCs/>
          <w:snapToGrid w:val="0"/>
          <w:kern w:val="0"/>
          <w:sz w:val="24"/>
          <w:szCs w:val="21"/>
        </w:rPr>
        <w:t xml:space="preserve">Focus group interviews: A reader. </w:t>
      </w:r>
      <w:r>
        <w:rPr>
          <w:rFonts w:ascii="Arial" w:hAnsi="Arial" w:eastAsia="宋体" w:cs="Arial"/>
          <w:snapToGrid w:val="0"/>
          <w:kern w:val="0"/>
          <w:sz w:val="24"/>
          <w:szCs w:val="21"/>
        </w:rPr>
        <w:t>Chicago: American Marketing Association.</w:t>
      </w:r>
    </w:p>
    <w:p w14:paraId="76DB4944">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Klare, G.R. (1974-1975). Assessing readability. </w:t>
      </w:r>
      <w:r>
        <w:rPr>
          <w:rFonts w:ascii="Arial" w:hAnsi="Arial" w:eastAsia="宋体" w:cs="Arial"/>
          <w:i/>
          <w:iCs/>
          <w:snapToGrid w:val="0"/>
          <w:kern w:val="0"/>
          <w:sz w:val="24"/>
          <w:szCs w:val="21"/>
        </w:rPr>
        <w:t xml:space="preserve">Reading Research Quarterly, </w:t>
      </w:r>
      <w:r>
        <w:rPr>
          <w:rFonts w:ascii="Arial" w:hAnsi="Arial" w:eastAsia="宋体" w:cs="Arial"/>
          <w:snapToGrid w:val="0"/>
          <w:kern w:val="0"/>
          <w:sz w:val="24"/>
          <w:szCs w:val="21"/>
        </w:rPr>
        <w:t>lO,62-162.</w:t>
      </w:r>
    </w:p>
    <w:p w14:paraId="5FCFB6A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Patton, M.Q. (1980). </w:t>
      </w:r>
      <w:r>
        <w:rPr>
          <w:rFonts w:ascii="Arial" w:hAnsi="Arial" w:eastAsia="宋体" w:cs="Arial"/>
          <w:i/>
          <w:iCs/>
          <w:snapToGrid w:val="0"/>
          <w:kern w:val="0"/>
          <w:sz w:val="24"/>
          <w:szCs w:val="21"/>
        </w:rPr>
        <w:t xml:space="preserve">Qualitative evaluation methods. </w:t>
      </w:r>
      <w:r>
        <w:rPr>
          <w:rFonts w:ascii="Arial" w:hAnsi="Arial" w:eastAsia="宋体" w:cs="Arial"/>
          <w:snapToGrid w:val="0"/>
          <w:kern w:val="0"/>
          <w:sz w:val="24"/>
          <w:szCs w:val="21"/>
        </w:rPr>
        <w:t xml:space="preserve">Beverly </w:t>
      </w:r>
      <w:r>
        <w:rPr>
          <w:rFonts w:ascii="Arial" w:hAnsi="Arial" w:eastAsia="宋体" w:cs="Arial"/>
          <w:i/>
          <w:iCs/>
          <w:snapToGrid w:val="0"/>
          <w:kern w:val="0"/>
          <w:sz w:val="24"/>
          <w:szCs w:val="21"/>
        </w:rPr>
        <w:t xml:space="preserve">Hills, CA: </w:t>
      </w:r>
      <w:r>
        <w:rPr>
          <w:rFonts w:ascii="Arial" w:hAnsi="Arial" w:eastAsia="宋体" w:cs="Arial"/>
          <w:snapToGrid w:val="0"/>
          <w:kern w:val="0"/>
          <w:sz w:val="24"/>
          <w:szCs w:val="21"/>
        </w:rPr>
        <w:t>Sage.</w:t>
      </w:r>
    </w:p>
    <w:p w14:paraId="050E60A8">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Schumacher, G.M., &amp; Waller, R (1985). Testing design alternatives: A comparison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procedures. In T.M. Duffy &amp; R. Waller (Eds.), </w:t>
      </w:r>
      <w:r>
        <w:rPr>
          <w:rFonts w:ascii="Arial" w:hAnsi="Arial" w:eastAsia="宋体" w:cs="Arial"/>
          <w:i/>
          <w:iCs/>
          <w:snapToGrid w:val="0"/>
          <w:kern w:val="0"/>
          <w:sz w:val="24"/>
          <w:szCs w:val="21"/>
        </w:rPr>
        <w:t>Designing usable texts (</w:t>
      </w:r>
      <w:r>
        <w:rPr>
          <w:rFonts w:ascii="Arial" w:hAnsi="Arial" w:eastAsia="宋体" w:cs="Arial"/>
          <w:snapToGrid w:val="0"/>
          <w:kern w:val="0"/>
          <w:sz w:val="24"/>
          <w:szCs w:val="21"/>
        </w:rPr>
        <w:t>pp. 377-403). New York: Academic.</w:t>
      </w:r>
    </w:p>
    <w:p w14:paraId="2EF67B9F">
      <w:pPr>
        <w:topLinePunct/>
        <w:adjustRightInd w:val="0"/>
        <w:snapToGrid w:val="0"/>
        <w:spacing w:after="109" w:afterLines="35" w:line="288" w:lineRule="auto"/>
        <w:rPr>
          <w:rFonts w:ascii="Arial" w:hAnsi="Arial" w:eastAsia="宋体" w:cs="Arial"/>
          <w:i/>
          <w:iCs/>
          <w:snapToGrid w:val="0"/>
          <w:kern w:val="0"/>
          <w:sz w:val="24"/>
          <w:szCs w:val="21"/>
        </w:rPr>
      </w:pPr>
      <w:r>
        <w:rPr>
          <w:rFonts w:ascii="Arial" w:hAnsi="Arial" w:eastAsia="宋体" w:cs="Arial"/>
          <w:snapToGrid w:val="0"/>
          <w:kern w:val="0"/>
          <w:sz w:val="24"/>
          <w:szCs w:val="21"/>
        </w:rPr>
        <w:t xml:space="preserve">Sink, D.S. (1983). Using the nominal group technique effectively. </w:t>
      </w:r>
      <w:r>
        <w:rPr>
          <w:rFonts w:ascii="Arial" w:hAnsi="Arial" w:eastAsia="宋体" w:cs="Arial"/>
          <w:i/>
          <w:iCs/>
          <w:snapToGrid w:val="0"/>
          <w:kern w:val="0"/>
          <w:sz w:val="24"/>
          <w:szCs w:val="21"/>
        </w:rPr>
        <w:t>National Productivity</w:t>
      </w:r>
      <w:r>
        <w:rPr>
          <w:rFonts w:hint="eastAsia" w:ascii="Arial" w:hAnsi="Arial" w:eastAsia="宋体" w:cs="Arial"/>
          <w:i/>
          <w:iCs/>
          <w:snapToGrid w:val="0"/>
          <w:kern w:val="0"/>
          <w:sz w:val="24"/>
          <w:szCs w:val="21"/>
        </w:rPr>
        <w:t xml:space="preserve"> </w:t>
      </w:r>
      <w:r>
        <w:rPr>
          <w:rFonts w:ascii="Arial" w:hAnsi="Arial" w:eastAsia="宋体" w:cs="Arial"/>
          <w:i/>
          <w:iCs/>
          <w:snapToGrid w:val="0"/>
          <w:kern w:val="0"/>
          <w:sz w:val="24"/>
          <w:szCs w:val="21"/>
        </w:rPr>
        <w:t xml:space="preserve">Review. </w:t>
      </w:r>
      <w:r>
        <w:rPr>
          <w:rFonts w:ascii="Arial" w:hAnsi="Arial" w:eastAsia="宋体" w:cs="Arial"/>
          <w:snapToGrid w:val="0"/>
          <w:kern w:val="0"/>
          <w:sz w:val="24"/>
          <w:szCs w:val="21"/>
        </w:rPr>
        <w:t>Spring 1983,25-36.</w:t>
      </w:r>
    </w:p>
    <w:p w14:paraId="266932BB">
      <w:pPr>
        <w:topLinePunct/>
        <w:adjustRightInd w:val="0"/>
        <w:snapToGrid w:val="0"/>
        <w:spacing w:after="109" w:afterLines="35" w:line="288" w:lineRule="auto"/>
        <w:rPr>
          <w:rFonts w:ascii="Arial" w:hAnsi="Arial" w:eastAsia="宋体" w:cs="Arial"/>
          <w:i/>
          <w:iCs/>
          <w:snapToGrid w:val="0"/>
          <w:kern w:val="0"/>
          <w:sz w:val="24"/>
          <w:szCs w:val="21"/>
        </w:rPr>
      </w:pPr>
      <w:r>
        <w:rPr>
          <w:rFonts w:ascii="Arial" w:hAnsi="Arial" w:eastAsia="宋体" w:cs="Arial"/>
          <w:snapToGrid w:val="0"/>
          <w:kern w:val="0"/>
          <w:sz w:val="24"/>
          <w:szCs w:val="21"/>
        </w:rPr>
        <w:t xml:space="preserve">United States, DHHS, PHs, NIH (1984). </w:t>
      </w:r>
      <w:r>
        <w:rPr>
          <w:rFonts w:ascii="Arial" w:hAnsi="Arial" w:eastAsia="宋体" w:cs="Arial"/>
          <w:i/>
          <w:iCs/>
          <w:snapToGrid w:val="0"/>
          <w:kern w:val="0"/>
          <w:sz w:val="24"/>
          <w:szCs w:val="21"/>
        </w:rPr>
        <w:t>Pretesting in health communications: Methods,</w:t>
      </w:r>
      <w:r>
        <w:rPr>
          <w:rFonts w:hint="eastAsia" w:ascii="Arial" w:hAnsi="Arial" w:eastAsia="宋体" w:cs="Arial"/>
          <w:i/>
          <w:iCs/>
          <w:snapToGrid w:val="0"/>
          <w:kern w:val="0"/>
          <w:sz w:val="24"/>
          <w:szCs w:val="21"/>
        </w:rPr>
        <w:t xml:space="preserve"> </w:t>
      </w:r>
      <w:r>
        <w:rPr>
          <w:rFonts w:ascii="Arial" w:hAnsi="Arial" w:eastAsia="宋体" w:cs="Arial"/>
          <w:i/>
          <w:iCs/>
          <w:snapToGrid w:val="0"/>
          <w:kern w:val="0"/>
          <w:sz w:val="24"/>
          <w:szCs w:val="21"/>
        </w:rPr>
        <w:t xml:space="preserve">examples, </w:t>
      </w:r>
      <w:r>
        <w:rPr>
          <w:rFonts w:ascii="Arial" w:hAnsi="Arial" w:eastAsia="宋体" w:cs="Arial"/>
          <w:b/>
          <w:bCs/>
          <w:i/>
          <w:iCs/>
          <w:snapToGrid w:val="0"/>
          <w:kern w:val="0"/>
          <w:sz w:val="24"/>
          <w:szCs w:val="21"/>
        </w:rPr>
        <w:t xml:space="preserve">and </w:t>
      </w:r>
      <w:r>
        <w:rPr>
          <w:rFonts w:ascii="Arial" w:hAnsi="Arial" w:eastAsia="宋体" w:cs="Arial"/>
          <w:i/>
          <w:iCs/>
          <w:snapToGrid w:val="0"/>
          <w:kern w:val="0"/>
          <w:sz w:val="24"/>
          <w:szCs w:val="21"/>
        </w:rPr>
        <w:t xml:space="preserve">resources for improving health messages and materials. </w:t>
      </w:r>
      <w:r>
        <w:rPr>
          <w:rFonts w:ascii="Arial" w:hAnsi="Arial" w:eastAsia="宋体" w:cs="Arial"/>
          <w:snapToGrid w:val="0"/>
          <w:kern w:val="0"/>
          <w:sz w:val="24"/>
          <w:szCs w:val="21"/>
        </w:rPr>
        <w:t>NIH Publication</w:t>
      </w:r>
      <w:r>
        <w:rPr>
          <w:rFonts w:hint="eastAsia" w:ascii="Arial" w:hAnsi="Arial" w:eastAsia="宋体" w:cs="Arial"/>
          <w:i/>
          <w:iCs/>
          <w:snapToGrid w:val="0"/>
          <w:kern w:val="0"/>
          <w:sz w:val="24"/>
          <w:szCs w:val="21"/>
        </w:rPr>
        <w:t xml:space="preserve"> </w:t>
      </w:r>
      <w:r>
        <w:rPr>
          <w:rFonts w:ascii="Arial" w:hAnsi="Arial" w:eastAsia="宋体" w:cs="Arial"/>
          <w:snapToGrid w:val="0"/>
          <w:kern w:val="0"/>
          <w:sz w:val="24"/>
          <w:szCs w:val="21"/>
        </w:rPr>
        <w:t>No. 84-1493; Appendix C, pp. 46-47.</w:t>
      </w:r>
    </w:p>
    <w:p w14:paraId="5E84B4AD">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Van de Ven, A., &amp; Delbecq, A.L. (1971). Nominal versus interacting group processes for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committee decision-making effectiveness. </w:t>
      </w:r>
      <w:r>
        <w:rPr>
          <w:rFonts w:ascii="Arial" w:hAnsi="Arial" w:eastAsia="宋体" w:cs="Arial"/>
          <w:i/>
          <w:iCs/>
          <w:snapToGrid w:val="0"/>
          <w:kern w:val="0"/>
          <w:sz w:val="24"/>
          <w:szCs w:val="21"/>
        </w:rPr>
        <w:t xml:space="preserve">Academy of Management Journal, </w:t>
      </w:r>
      <w:r>
        <w:rPr>
          <w:rFonts w:ascii="Arial" w:hAnsi="Arial" w:eastAsia="宋体" w:cs="Arial"/>
          <w:snapToGrid w:val="0"/>
          <w:kern w:val="0"/>
          <w:sz w:val="24"/>
          <w:szCs w:val="21"/>
        </w:rPr>
        <w:t xml:space="preserve">June 197 </w:t>
      </w:r>
      <w:r>
        <w:rPr>
          <w:rFonts w:ascii="Arial" w:hAnsi="Arial" w:eastAsia="宋体" w:cs="Arial"/>
          <w:i/>
          <w:iCs/>
          <w:snapToGrid w:val="0"/>
          <w:kern w:val="0"/>
          <w:sz w:val="24"/>
          <w:szCs w:val="21"/>
        </w:rPr>
        <w:t>1,</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203-212.</w:t>
      </w:r>
    </w:p>
    <w:p w14:paraId="3F95958A">
      <w:pPr>
        <w:pStyle w:val="3"/>
        <w:keepNext w:val="0"/>
        <w:keepLines w:val="0"/>
        <w:topLinePunct/>
        <w:adjustRightInd w:val="0"/>
        <w:snapToGrid w:val="0"/>
        <w:spacing w:beforeLines="0" w:after="109" w:afterLines="35" w:line="288" w:lineRule="auto"/>
        <w:rPr>
          <w:rFonts w:ascii="Arial" w:hAnsi="Arial" w:eastAsia="宋体" w:cs="Arial"/>
          <w:b/>
          <w:snapToGrid w:val="0"/>
          <w:kern w:val="0"/>
          <w:sz w:val="24"/>
        </w:rPr>
      </w:pPr>
      <w:bookmarkStart w:id="27" w:name="_Toc499280440"/>
      <w:r>
        <w:rPr>
          <w:rFonts w:hint="eastAsia" w:ascii="Arial" w:hAnsi="Arial" w:eastAsia="宋体" w:cs="Arial"/>
          <w:b/>
          <w:snapToGrid w:val="0"/>
          <w:kern w:val="0"/>
          <w:sz w:val="24"/>
        </w:rPr>
        <w:t>其它教学媒体</w:t>
      </w:r>
      <w:bookmarkEnd w:id="27"/>
    </w:p>
    <w:p w14:paraId="454545C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Black, L.F., &amp; Mitchell, M.M. (1977). Evaluation of a patient education program for chronic</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obstructive pulmonary disease. </w:t>
      </w:r>
      <w:r>
        <w:rPr>
          <w:rFonts w:ascii="Arial" w:hAnsi="Arial" w:eastAsia="宋体" w:cs="Arial"/>
          <w:i/>
          <w:iCs/>
          <w:snapToGrid w:val="0"/>
          <w:kern w:val="0"/>
          <w:sz w:val="24"/>
          <w:szCs w:val="21"/>
        </w:rPr>
        <w:t xml:space="preserve">Mayo Clinic Proceedings, 52, </w:t>
      </w:r>
      <w:r>
        <w:rPr>
          <w:rFonts w:ascii="Arial" w:hAnsi="Arial" w:eastAsia="宋体" w:cs="Arial"/>
          <w:snapToGrid w:val="0"/>
          <w:kern w:val="0"/>
          <w:sz w:val="24"/>
          <w:szCs w:val="21"/>
        </w:rPr>
        <w:t>106-1 11.</w:t>
      </w:r>
    </w:p>
    <w:p w14:paraId="3D734BA9">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Culbertson, V.L., Arthur, T.G., Rhodes, P.F., &amp; Rhodes, R.S. (1988). Consumer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preferences for verbal and written information. </w:t>
      </w:r>
      <w:r>
        <w:rPr>
          <w:rFonts w:ascii="Arial" w:hAnsi="Arial" w:eastAsia="宋体" w:cs="Arial"/>
          <w:i/>
          <w:iCs/>
          <w:snapToGrid w:val="0"/>
          <w:kern w:val="0"/>
          <w:sz w:val="24"/>
          <w:szCs w:val="21"/>
        </w:rPr>
        <w:t xml:space="preserve">Drug Intelligence </w:t>
      </w:r>
      <w:r>
        <w:rPr>
          <w:rFonts w:ascii="Arial" w:hAnsi="Arial" w:eastAsia="宋体" w:cs="Arial"/>
          <w:snapToGrid w:val="0"/>
          <w:kern w:val="0"/>
          <w:sz w:val="24"/>
          <w:szCs w:val="21"/>
        </w:rPr>
        <w:t xml:space="preserve">and </w:t>
      </w:r>
      <w:r>
        <w:rPr>
          <w:rFonts w:ascii="Arial" w:hAnsi="Arial" w:eastAsia="宋体" w:cs="Arial"/>
          <w:i/>
          <w:iCs/>
          <w:snapToGrid w:val="0"/>
          <w:kern w:val="0"/>
          <w:sz w:val="24"/>
          <w:szCs w:val="21"/>
        </w:rPr>
        <w:t>Clinical Pharmacy,</w:t>
      </w:r>
      <w:r>
        <w:rPr>
          <w:rFonts w:hint="eastAsia" w:ascii="Arial" w:hAnsi="Arial" w:eastAsia="宋体" w:cs="Arial"/>
          <w:snapToGrid w:val="0"/>
          <w:kern w:val="0"/>
          <w:sz w:val="24"/>
          <w:szCs w:val="21"/>
        </w:rPr>
        <w:t xml:space="preserve"> </w:t>
      </w:r>
      <w:r>
        <w:rPr>
          <w:rFonts w:ascii="Arial" w:hAnsi="Arial" w:eastAsia="宋体" w:cs="Arial"/>
          <w:i/>
          <w:iCs/>
          <w:snapToGrid w:val="0"/>
          <w:kern w:val="0"/>
          <w:sz w:val="24"/>
          <w:szCs w:val="21"/>
        </w:rPr>
        <w:t xml:space="preserve">22, </w:t>
      </w:r>
      <w:r>
        <w:rPr>
          <w:rFonts w:ascii="Arial" w:hAnsi="Arial" w:eastAsia="宋体" w:cs="Arial"/>
          <w:snapToGrid w:val="0"/>
          <w:kern w:val="0"/>
          <w:sz w:val="24"/>
          <w:szCs w:val="21"/>
        </w:rPr>
        <w:t>390-396.</w:t>
      </w:r>
    </w:p>
    <w:p w14:paraId="3421A482">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Gagliano, M.E. (1988). A literature review on the efficacy of video in patient education.</w:t>
      </w:r>
      <w:r>
        <w:rPr>
          <w:rFonts w:hint="eastAsia" w:ascii="Arial" w:hAnsi="Arial" w:eastAsia="宋体" w:cs="Arial"/>
          <w:snapToGrid w:val="0"/>
          <w:kern w:val="0"/>
          <w:sz w:val="24"/>
          <w:szCs w:val="21"/>
        </w:rPr>
        <w:t xml:space="preserve"> </w:t>
      </w:r>
      <w:r>
        <w:rPr>
          <w:rFonts w:ascii="Arial" w:hAnsi="Arial" w:eastAsia="宋体" w:cs="Arial"/>
          <w:i/>
          <w:iCs/>
          <w:snapToGrid w:val="0"/>
          <w:kern w:val="0"/>
          <w:sz w:val="24"/>
          <w:szCs w:val="21"/>
        </w:rPr>
        <w:t>Journal of Medical Education, 63,785-792.</w:t>
      </w:r>
    </w:p>
    <w:p w14:paraId="0D0FDD1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Gould, J.D., Alfaro, LO., Barnes, V., Finn, R., Grischkowsky, N., &amp; Minuto, A. (1987). Reading is slower from CRT displays </w:t>
      </w:r>
      <w:r>
        <w:rPr>
          <w:rFonts w:ascii="Arial" w:hAnsi="Arial" w:eastAsia="宋体" w:cs="Arial"/>
          <w:b/>
          <w:bCs/>
          <w:snapToGrid w:val="0"/>
          <w:kern w:val="0"/>
          <w:sz w:val="24"/>
          <w:szCs w:val="21"/>
        </w:rPr>
        <w:t xml:space="preserve">than </w:t>
      </w:r>
      <w:r>
        <w:rPr>
          <w:rFonts w:ascii="Arial" w:hAnsi="Arial" w:eastAsia="宋体" w:cs="Arial"/>
          <w:snapToGrid w:val="0"/>
          <w:kern w:val="0"/>
          <w:sz w:val="24"/>
          <w:szCs w:val="21"/>
        </w:rPr>
        <w:t>from paper: Attempts to isolate a single-variable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explanation. </w:t>
      </w:r>
      <w:r>
        <w:rPr>
          <w:rFonts w:ascii="Arial" w:hAnsi="Arial" w:eastAsia="宋体" w:cs="Arial"/>
          <w:b/>
          <w:bCs/>
          <w:i/>
          <w:iCs/>
          <w:snapToGrid w:val="0"/>
          <w:kern w:val="0"/>
          <w:sz w:val="24"/>
          <w:szCs w:val="21"/>
        </w:rPr>
        <w:t xml:space="preserve">Human Factors, </w:t>
      </w:r>
      <w:r>
        <w:rPr>
          <w:rFonts w:ascii="Arial" w:hAnsi="Arial" w:eastAsia="宋体" w:cs="Arial"/>
          <w:snapToGrid w:val="0"/>
          <w:kern w:val="0"/>
          <w:sz w:val="24"/>
          <w:szCs w:val="21"/>
        </w:rPr>
        <w:t>29,269-299.</w:t>
      </w:r>
    </w:p>
    <w:p w14:paraId="287920CD">
      <w:pPr>
        <w:topLinePunct/>
        <w:adjustRightInd w:val="0"/>
        <w:snapToGrid w:val="0"/>
        <w:spacing w:after="109" w:afterLines="35" w:line="288"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Hartley, J. (1987). Designing electronic text: The role of print based research. </w:t>
      </w:r>
      <w:r>
        <w:rPr>
          <w:rFonts w:ascii="Arial" w:hAnsi="Arial" w:eastAsia="宋体" w:cs="Arial"/>
          <w:b/>
          <w:bCs/>
          <w:i/>
          <w:iCs/>
          <w:snapToGrid w:val="0"/>
          <w:kern w:val="0"/>
          <w:sz w:val="24"/>
          <w:szCs w:val="21"/>
        </w:rPr>
        <w:t>Educational</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 xml:space="preserve">Communication and Technology Journal, </w:t>
      </w:r>
      <w:r>
        <w:rPr>
          <w:rFonts w:ascii="Arial" w:hAnsi="Arial" w:eastAsia="宋体" w:cs="Arial"/>
          <w:snapToGrid w:val="0"/>
          <w:kern w:val="0"/>
          <w:sz w:val="24"/>
          <w:szCs w:val="21"/>
        </w:rPr>
        <w:t>35.3-17.</w:t>
      </w:r>
    </w:p>
    <w:p w14:paraId="72D26F70">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Jenkinson, D., Davison, J., Jones, S., &amp; Hawtin, P. (1988). Comparison of effects of a self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management booklet and audiocassette for patients with asthma. </w:t>
      </w:r>
      <w:r>
        <w:rPr>
          <w:rFonts w:ascii="Arial" w:hAnsi="Arial" w:eastAsia="宋体" w:cs="Arial"/>
          <w:b/>
          <w:bCs/>
          <w:i/>
          <w:iCs/>
          <w:snapToGrid w:val="0"/>
          <w:kern w:val="0"/>
          <w:sz w:val="24"/>
          <w:szCs w:val="21"/>
        </w:rPr>
        <w:t>British Medical Journal,</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297, 267-270.</w:t>
      </w:r>
    </w:p>
    <w:p w14:paraId="499DFF9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Linde, B.J., &amp; Janz, </w:t>
      </w:r>
      <w:r>
        <w:rPr>
          <w:rFonts w:ascii="Arial" w:hAnsi="Arial" w:eastAsia="宋体" w:cs="Arial"/>
          <w:b/>
          <w:bCs/>
          <w:snapToGrid w:val="0"/>
          <w:kern w:val="0"/>
          <w:sz w:val="24"/>
          <w:szCs w:val="21"/>
        </w:rPr>
        <w:t>N.M. (</w:t>
      </w:r>
      <w:r>
        <w:rPr>
          <w:rFonts w:ascii="Arial" w:hAnsi="Arial" w:eastAsia="宋体" w:cs="Arial"/>
          <w:snapToGrid w:val="0"/>
          <w:kern w:val="0"/>
          <w:sz w:val="24"/>
          <w:szCs w:val="21"/>
        </w:rPr>
        <w:t>1979). Effect of a teaching program on knowledge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compliance of cardiac patients. </w:t>
      </w:r>
      <w:r>
        <w:rPr>
          <w:rFonts w:ascii="Arial" w:hAnsi="Arial" w:eastAsia="宋体" w:cs="Arial"/>
          <w:b/>
          <w:bCs/>
          <w:i/>
          <w:iCs/>
          <w:snapToGrid w:val="0"/>
          <w:kern w:val="0"/>
          <w:sz w:val="24"/>
          <w:szCs w:val="21"/>
        </w:rPr>
        <w:t xml:space="preserve">Nursing Research, </w:t>
      </w:r>
      <w:r>
        <w:rPr>
          <w:rFonts w:ascii="Arial" w:hAnsi="Arial" w:eastAsia="宋体" w:cs="Arial"/>
          <w:snapToGrid w:val="0"/>
          <w:kern w:val="0"/>
          <w:sz w:val="24"/>
          <w:szCs w:val="21"/>
        </w:rPr>
        <w:t>28,282-286.</w:t>
      </w:r>
    </w:p>
    <w:p w14:paraId="4E2D1B1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Milazzo, V. (1980). A study of the difference in health knowledge gained through formal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informal teaching. </w:t>
      </w:r>
      <w:r>
        <w:rPr>
          <w:rFonts w:ascii="Arial" w:hAnsi="Arial" w:eastAsia="宋体" w:cs="Arial"/>
          <w:b/>
          <w:bCs/>
          <w:i/>
          <w:iCs/>
          <w:snapToGrid w:val="0"/>
          <w:kern w:val="0"/>
          <w:sz w:val="24"/>
          <w:szCs w:val="21"/>
        </w:rPr>
        <w:t xml:space="preserve">Heart </w:t>
      </w:r>
      <w:r>
        <w:rPr>
          <w:rFonts w:ascii="Arial" w:hAnsi="Arial" w:eastAsia="宋体" w:cs="Arial"/>
          <w:snapToGrid w:val="0"/>
          <w:kern w:val="0"/>
          <w:sz w:val="24"/>
          <w:szCs w:val="21"/>
        </w:rPr>
        <w:t xml:space="preserve">&amp; </w:t>
      </w:r>
      <w:r>
        <w:rPr>
          <w:rFonts w:ascii="Arial" w:hAnsi="Arial" w:eastAsia="宋体" w:cs="Arial"/>
          <w:b/>
          <w:bCs/>
          <w:i/>
          <w:iCs/>
          <w:snapToGrid w:val="0"/>
          <w:kern w:val="0"/>
          <w:sz w:val="24"/>
          <w:szCs w:val="21"/>
        </w:rPr>
        <w:t xml:space="preserve">Lung, </w:t>
      </w:r>
      <w:r>
        <w:rPr>
          <w:rFonts w:ascii="Arial" w:hAnsi="Arial" w:eastAsia="宋体" w:cs="Arial"/>
          <w:snapToGrid w:val="0"/>
          <w:kern w:val="0"/>
          <w:sz w:val="24"/>
          <w:szCs w:val="21"/>
        </w:rPr>
        <w:t>9, 1079-1082.</w:t>
      </w:r>
    </w:p>
    <w:p w14:paraId="0DF9EBCF">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Miller, G., &amp; Shank, J.C. (1986). Patient education: Comparative effectiveness by means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presentation. </w:t>
      </w:r>
      <w:r>
        <w:rPr>
          <w:rFonts w:ascii="Arial" w:hAnsi="Arial" w:eastAsia="宋体" w:cs="Arial"/>
          <w:b/>
          <w:bCs/>
          <w:i/>
          <w:iCs/>
          <w:snapToGrid w:val="0"/>
          <w:kern w:val="0"/>
          <w:sz w:val="24"/>
          <w:szCs w:val="21"/>
        </w:rPr>
        <w:t xml:space="preserve">The Jouml of Family Practice, </w:t>
      </w:r>
      <w:r>
        <w:rPr>
          <w:rFonts w:ascii="Arial" w:hAnsi="Arial" w:eastAsia="宋体" w:cs="Arial"/>
          <w:snapToGrid w:val="0"/>
          <w:kern w:val="0"/>
          <w:sz w:val="24"/>
          <w:szCs w:val="21"/>
        </w:rPr>
        <w:t>22, 178- 18 1.</w:t>
      </w:r>
    </w:p>
    <w:p w14:paraId="6501FE3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Regner, M.J., Hermann, F., &amp; Ried, L.D. (1987). Effectiveness of a printed leaflet for</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enabling patients to use digoxin side-effect information. </w:t>
      </w:r>
      <w:r>
        <w:rPr>
          <w:rFonts w:ascii="Arial" w:hAnsi="Arial" w:eastAsia="宋体" w:cs="Arial"/>
          <w:b/>
          <w:bCs/>
          <w:i/>
          <w:iCs/>
          <w:snapToGrid w:val="0"/>
          <w:kern w:val="0"/>
          <w:sz w:val="24"/>
          <w:szCs w:val="21"/>
        </w:rPr>
        <w:t xml:space="preserve">Drug Intelligence </w:t>
      </w:r>
      <w:r>
        <w:rPr>
          <w:rFonts w:ascii="Arial" w:hAnsi="Arial" w:eastAsia="宋体" w:cs="Arial"/>
          <w:i/>
          <w:iCs/>
          <w:snapToGrid w:val="0"/>
          <w:kern w:val="0"/>
          <w:sz w:val="24"/>
          <w:szCs w:val="21"/>
        </w:rPr>
        <w:t xml:space="preserve">and </w:t>
      </w:r>
      <w:r>
        <w:rPr>
          <w:rFonts w:ascii="Arial" w:hAnsi="Arial" w:eastAsia="宋体" w:cs="Arial"/>
          <w:b/>
          <w:bCs/>
          <w:i/>
          <w:iCs/>
          <w:snapToGrid w:val="0"/>
          <w:kern w:val="0"/>
          <w:sz w:val="24"/>
          <w:szCs w:val="21"/>
        </w:rPr>
        <w:t>Clinical</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Pharmacy, </w:t>
      </w:r>
      <w:r>
        <w:rPr>
          <w:rFonts w:ascii="Arial" w:hAnsi="Arial" w:eastAsia="宋体" w:cs="Arial"/>
          <w:snapToGrid w:val="0"/>
          <w:kern w:val="0"/>
          <w:sz w:val="24"/>
          <w:szCs w:val="21"/>
        </w:rPr>
        <w:t>21,200-204.</w:t>
      </w:r>
    </w:p>
    <w:p w14:paraId="6CC2E563">
      <w:pPr>
        <w:topLinePunct/>
        <w:adjustRightInd w:val="0"/>
        <w:snapToGrid w:val="0"/>
        <w:spacing w:after="109" w:afterLines="35" w:line="288"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Reith, S., Graham, J.L., McEwan, C., &amp; Fraser, K.J. (1984). Video as a teaching aid. </w:t>
      </w:r>
      <w:r>
        <w:rPr>
          <w:rFonts w:ascii="Arial" w:hAnsi="Arial" w:eastAsia="宋体" w:cs="Arial"/>
          <w:b/>
          <w:bCs/>
          <w:i/>
          <w:iCs/>
          <w:snapToGrid w:val="0"/>
          <w:kern w:val="0"/>
          <w:sz w:val="24"/>
          <w:szCs w:val="21"/>
        </w:rPr>
        <w:t>British</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 xml:space="preserve">Medical Journal, </w:t>
      </w:r>
      <w:r>
        <w:rPr>
          <w:rFonts w:ascii="Arial" w:hAnsi="Arial" w:eastAsia="宋体" w:cs="Arial"/>
          <w:snapToGrid w:val="0"/>
          <w:kern w:val="0"/>
          <w:sz w:val="24"/>
          <w:szCs w:val="21"/>
        </w:rPr>
        <w:t>289,250.</w:t>
      </w:r>
    </w:p>
    <w:p w14:paraId="63A626F1">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Rubens, P., &amp; Krull, R. (1985). Application of research on document design to online</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displays. </w:t>
      </w:r>
      <w:r>
        <w:rPr>
          <w:rFonts w:ascii="Arial" w:hAnsi="Arial" w:eastAsia="宋体" w:cs="Arial"/>
          <w:b/>
          <w:bCs/>
          <w:i/>
          <w:iCs/>
          <w:snapToGrid w:val="0"/>
          <w:kern w:val="0"/>
          <w:sz w:val="24"/>
          <w:szCs w:val="21"/>
        </w:rPr>
        <w:t xml:space="preserve">Technical Communication, </w:t>
      </w:r>
      <w:r>
        <w:rPr>
          <w:rFonts w:ascii="Arial" w:hAnsi="Arial" w:eastAsia="宋体" w:cs="Arial"/>
          <w:snapToGrid w:val="0"/>
          <w:kern w:val="0"/>
          <w:sz w:val="24"/>
          <w:szCs w:val="21"/>
        </w:rPr>
        <w:t>32,29-34.</w:t>
      </w:r>
    </w:p>
    <w:p w14:paraId="3F64D26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Stone, S., Holden, A., Knapic, N., &amp; Ansell, </w:t>
      </w:r>
      <w:r>
        <w:rPr>
          <w:rFonts w:ascii="Arial" w:hAnsi="Arial" w:eastAsia="宋体" w:cs="Arial"/>
          <w:b/>
          <w:bCs/>
          <w:snapToGrid w:val="0"/>
          <w:kern w:val="0"/>
          <w:sz w:val="24"/>
          <w:szCs w:val="21"/>
        </w:rPr>
        <w:t xml:space="preserve">5. </w:t>
      </w:r>
      <w:r>
        <w:rPr>
          <w:rFonts w:ascii="Arial" w:hAnsi="Arial" w:eastAsia="宋体" w:cs="Arial"/>
          <w:snapToGrid w:val="0"/>
          <w:kern w:val="0"/>
          <w:sz w:val="24"/>
          <w:szCs w:val="21"/>
        </w:rPr>
        <w:t>' (1989). Comparison between videotape and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personalized patient education for anticoagulant therapy. The </w:t>
      </w:r>
      <w:r>
        <w:rPr>
          <w:rFonts w:ascii="Arial" w:hAnsi="Arial" w:eastAsia="宋体" w:cs="Arial"/>
          <w:b/>
          <w:bCs/>
          <w:i/>
          <w:iCs/>
          <w:snapToGrid w:val="0"/>
          <w:kern w:val="0"/>
          <w:sz w:val="24"/>
          <w:szCs w:val="21"/>
        </w:rPr>
        <w:t>Journal of Family Practice,</w:t>
      </w:r>
      <w:r>
        <w:rPr>
          <w:rFonts w:ascii="Arial" w:hAnsi="Arial" w:eastAsia="宋体" w:cs="Arial"/>
          <w:snapToGrid w:val="0"/>
          <w:kern w:val="0"/>
          <w:sz w:val="24"/>
          <w:szCs w:val="21"/>
        </w:rPr>
        <w:t>. 29, 55-57.</w:t>
      </w:r>
    </w:p>
    <w:p w14:paraId="39D5869A">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Young, F.K., &amp; Brooks, B.R. (1986). Patient teaching manuals improve retention of</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treatment information-A controlled clinical trial in multiple sclerosis. </w:t>
      </w:r>
      <w:r>
        <w:rPr>
          <w:rFonts w:ascii="Arial" w:hAnsi="Arial" w:eastAsia="宋体" w:cs="Arial"/>
          <w:b/>
          <w:bCs/>
          <w:i/>
          <w:iCs/>
          <w:snapToGrid w:val="0"/>
          <w:kern w:val="0"/>
          <w:sz w:val="24"/>
          <w:szCs w:val="21"/>
        </w:rPr>
        <w:t>Journal of</w:t>
      </w:r>
      <w:r>
        <w:rPr>
          <w:rFonts w:hint="eastAsia" w:ascii="Arial" w:hAnsi="Arial" w:eastAsia="宋体" w:cs="Arial"/>
          <w:snapToGrid w:val="0"/>
          <w:kern w:val="0"/>
          <w:sz w:val="24"/>
          <w:szCs w:val="21"/>
        </w:rPr>
        <w:t xml:space="preserve"> </w:t>
      </w:r>
      <w:r>
        <w:rPr>
          <w:rFonts w:ascii="Arial" w:hAnsi="Arial" w:eastAsia="宋体" w:cs="Arial"/>
          <w:b/>
          <w:bCs/>
          <w:i/>
          <w:iCs/>
          <w:snapToGrid w:val="0"/>
          <w:kern w:val="0"/>
          <w:sz w:val="24"/>
          <w:szCs w:val="21"/>
        </w:rPr>
        <w:t xml:space="preserve">Neuroscience Nursing, </w:t>
      </w:r>
      <w:r>
        <w:rPr>
          <w:rFonts w:ascii="Arial" w:hAnsi="Arial" w:eastAsia="宋体" w:cs="Arial"/>
          <w:snapToGrid w:val="0"/>
          <w:kern w:val="0"/>
          <w:sz w:val="24"/>
          <w:szCs w:val="21"/>
        </w:rPr>
        <w:t>18.26-28.</w:t>
      </w:r>
    </w:p>
    <w:p w14:paraId="5F0AA555">
      <w:pPr>
        <w:pStyle w:val="3"/>
        <w:keepNext w:val="0"/>
        <w:keepLines w:val="0"/>
        <w:topLinePunct/>
        <w:adjustRightInd w:val="0"/>
        <w:snapToGrid w:val="0"/>
        <w:spacing w:beforeLines="0" w:after="109" w:afterLines="35" w:line="288" w:lineRule="auto"/>
        <w:rPr>
          <w:rFonts w:ascii="Arial" w:hAnsi="Arial" w:eastAsia="宋体" w:cs="Arial"/>
          <w:b/>
          <w:snapToGrid w:val="0"/>
          <w:kern w:val="0"/>
          <w:sz w:val="24"/>
        </w:rPr>
      </w:pPr>
      <w:bookmarkStart w:id="28" w:name="_Toc499280441"/>
      <w:r>
        <w:rPr>
          <w:rFonts w:hint="eastAsia" w:ascii="Arial" w:hAnsi="Arial" w:eastAsia="宋体" w:cs="Arial"/>
          <w:b/>
          <w:snapToGrid w:val="0"/>
          <w:kern w:val="0"/>
          <w:sz w:val="24"/>
        </w:rPr>
        <w:t>法规、标准和指导方针</w:t>
      </w:r>
      <w:bookmarkEnd w:id="28"/>
    </w:p>
    <w:p w14:paraId="0548543B">
      <w:pPr>
        <w:topLinePunct/>
        <w:adjustRightInd w:val="0"/>
        <w:snapToGrid w:val="0"/>
        <w:spacing w:after="109" w:afterLines="35" w:line="288"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Association for the Advancement of Medical Instrumentation (1988). </w:t>
      </w:r>
      <w:r>
        <w:rPr>
          <w:rFonts w:ascii="Arial" w:hAnsi="Arial" w:eastAsia="宋体" w:cs="Arial"/>
          <w:b/>
          <w:bCs/>
          <w:i/>
          <w:iCs/>
          <w:snapToGrid w:val="0"/>
          <w:kern w:val="0"/>
          <w:sz w:val="24"/>
          <w:szCs w:val="21"/>
        </w:rPr>
        <w:t>Human factors</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engineering guidelines and preferred practices for the design of medical devices (</w:t>
      </w:r>
      <w:r>
        <w:rPr>
          <w:rFonts w:ascii="Arial" w:hAnsi="Arial" w:eastAsia="宋体" w:cs="Arial"/>
          <w:b/>
          <w:bCs/>
          <w:snapToGrid w:val="0"/>
          <w:kern w:val="0"/>
          <w:sz w:val="24"/>
          <w:szCs w:val="21"/>
        </w:rPr>
        <w:t>AAMI</w:t>
      </w:r>
      <w:r>
        <w:rPr>
          <w:rFonts w:hint="eastAsia" w:ascii="Arial" w:hAnsi="Arial" w:eastAsia="宋体" w:cs="Arial"/>
          <w:b/>
          <w:bCs/>
          <w:i/>
          <w:iCs/>
          <w:snapToGrid w:val="0"/>
          <w:kern w:val="0"/>
          <w:sz w:val="24"/>
          <w:szCs w:val="21"/>
        </w:rPr>
        <w:t xml:space="preserve"> </w:t>
      </w:r>
      <w:r>
        <w:rPr>
          <w:rFonts w:ascii="Arial" w:hAnsi="Arial" w:eastAsia="宋体" w:cs="Arial"/>
          <w:snapToGrid w:val="0"/>
          <w:kern w:val="0"/>
          <w:sz w:val="24"/>
          <w:szCs w:val="21"/>
        </w:rPr>
        <w:t>HE-1988). Arlington, VA: AAMI.</w:t>
      </w:r>
    </w:p>
    <w:p w14:paraId="0EDCA077">
      <w:pPr>
        <w:topLinePunct/>
        <w:adjustRightInd w:val="0"/>
        <w:snapToGrid w:val="0"/>
        <w:spacing w:after="109" w:afterLines="35" w:line="288"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American National Standards Institute (1989). ANSI </w:t>
      </w:r>
      <w:r>
        <w:rPr>
          <w:rFonts w:ascii="Arial" w:hAnsi="Arial" w:eastAsia="宋体" w:cs="Arial"/>
          <w:b/>
          <w:bCs/>
          <w:i/>
          <w:iCs/>
          <w:snapToGrid w:val="0"/>
          <w:kern w:val="0"/>
          <w:sz w:val="24"/>
          <w:szCs w:val="21"/>
        </w:rPr>
        <w:t>guide for developing user product</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 xml:space="preserve">information (ANSI </w:t>
      </w:r>
      <w:r>
        <w:rPr>
          <w:rFonts w:ascii="Arial" w:hAnsi="Arial" w:eastAsia="宋体" w:cs="Arial"/>
          <w:snapToGrid w:val="0"/>
          <w:kern w:val="0"/>
          <w:sz w:val="24"/>
          <w:szCs w:val="21"/>
        </w:rPr>
        <w:t>Consumer Interest Council Research Group). Unpublished work.</w:t>
      </w:r>
    </w:p>
    <w:p w14:paraId="2B8C552A">
      <w:pPr>
        <w:topLinePunct/>
        <w:adjustRightInd w:val="0"/>
        <w:snapToGrid w:val="0"/>
        <w:spacing w:after="109" w:afterLines="35" w:line="288"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 xml:space="preserve">Ralph, J.B. (1982). A geriatric visual concern: The need for publishing guidelines. </w:t>
      </w:r>
      <w:r>
        <w:rPr>
          <w:rFonts w:ascii="Arial" w:hAnsi="Arial" w:eastAsia="宋体" w:cs="Arial"/>
          <w:b/>
          <w:bCs/>
          <w:i/>
          <w:iCs/>
          <w:snapToGrid w:val="0"/>
          <w:kern w:val="0"/>
          <w:sz w:val="24"/>
          <w:szCs w:val="21"/>
        </w:rPr>
        <w:t>Journal of</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 xml:space="preserve">the American Optometric Association, </w:t>
      </w:r>
      <w:r>
        <w:rPr>
          <w:rFonts w:ascii="Arial" w:hAnsi="Arial" w:eastAsia="宋体" w:cs="Arial"/>
          <w:snapToGrid w:val="0"/>
          <w:kern w:val="0"/>
          <w:sz w:val="24"/>
          <w:szCs w:val="21"/>
        </w:rPr>
        <w:t>53,43-50.</w:t>
      </w:r>
    </w:p>
    <w:p w14:paraId="7A50906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Savol, R.M., Charles, H.C., Daniel, A., Kafka, M.T., Romano, R.M., Thilman, D.,</w:t>
      </w:r>
      <w:r>
        <w:rPr>
          <w:rFonts w:hint="eastAsia" w:ascii="Arial" w:hAnsi="Arial" w:eastAsia="宋体" w:cs="Arial"/>
          <w:snapToGrid w:val="0"/>
          <w:kern w:val="0"/>
          <w:sz w:val="24"/>
          <w:szCs w:val="21"/>
        </w:rPr>
        <w:t xml:space="preserve"> </w:t>
      </w:r>
      <w:r>
        <w:rPr>
          <w:rFonts w:ascii="Arial" w:hAnsi="Arial" w:eastAsia="宋体" w:cs="Arial"/>
          <w:snapToGrid w:val="0"/>
          <w:kern w:val="0"/>
          <w:sz w:val="24"/>
          <w:szCs w:val="21"/>
        </w:rPr>
        <w:t xml:space="preserve">Tomaszewski, J.P., &amp; Vetter, C. (1989). </w:t>
      </w:r>
      <w:r>
        <w:rPr>
          <w:rFonts w:ascii="Arial" w:hAnsi="Arial" w:eastAsia="宋体" w:cs="Arial"/>
          <w:b/>
          <w:bCs/>
          <w:i/>
          <w:iCs/>
          <w:snapToGrid w:val="0"/>
          <w:kern w:val="0"/>
          <w:sz w:val="24"/>
          <w:szCs w:val="21"/>
        </w:rPr>
        <w:t>Lubeling of home-use in vitro testing products.</w:t>
      </w:r>
    </w:p>
    <w:p w14:paraId="7F5736CC">
      <w:pPr>
        <w:topLinePunct/>
        <w:adjustRightInd w:val="0"/>
        <w:snapToGrid w:val="0"/>
        <w:spacing w:after="109" w:afterLines="35" w:line="288" w:lineRule="auto"/>
        <w:rPr>
          <w:rFonts w:ascii="Arial" w:hAnsi="Arial" w:eastAsia="宋体" w:cs="Arial"/>
          <w:snapToGrid w:val="0"/>
          <w:kern w:val="0"/>
          <w:sz w:val="24"/>
          <w:szCs w:val="24"/>
        </w:rPr>
      </w:pPr>
      <w:r>
        <w:rPr>
          <w:rFonts w:ascii="Arial" w:hAnsi="Arial" w:eastAsia="宋体" w:cs="Arial"/>
          <w:snapToGrid w:val="0"/>
          <w:kern w:val="0"/>
          <w:sz w:val="24"/>
          <w:szCs w:val="24"/>
        </w:rPr>
        <w:t xml:space="preserve">Proposed Guideline. National Committee for Clinical Laboratory Standards (NCCLS) </w:t>
      </w:r>
      <w:r>
        <w:rPr>
          <w:rFonts w:ascii="Arial" w:hAnsi="Arial" w:eastAsia="宋体" w:cs="Arial"/>
          <w:snapToGrid w:val="0"/>
          <w:kern w:val="0"/>
          <w:sz w:val="24"/>
          <w:szCs w:val="21"/>
        </w:rPr>
        <w:t>Document GP 14-P, Vol. 9, No. 8. Draft version.</w:t>
      </w:r>
    </w:p>
    <w:p w14:paraId="365094EC">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United States, Code of Federal Regulations, Food and Drugs, 21. 1985.</w:t>
      </w:r>
    </w:p>
    <w:p w14:paraId="6178625B">
      <w:pPr>
        <w:topLinePunct/>
        <w:adjustRightInd w:val="0"/>
        <w:snapToGrid w:val="0"/>
        <w:spacing w:after="109" w:afterLines="35" w:line="288" w:lineRule="auto"/>
        <w:rPr>
          <w:rFonts w:ascii="Arial" w:hAnsi="Arial" w:eastAsia="宋体" w:cs="Arial"/>
          <w:snapToGrid w:val="0"/>
          <w:kern w:val="0"/>
          <w:sz w:val="24"/>
          <w:szCs w:val="21"/>
        </w:rPr>
      </w:pPr>
      <w:r>
        <w:rPr>
          <w:rFonts w:ascii="Arial" w:hAnsi="Arial" w:eastAsia="宋体" w:cs="Arial"/>
          <w:snapToGrid w:val="0"/>
          <w:kern w:val="0"/>
          <w:sz w:val="24"/>
          <w:szCs w:val="21"/>
        </w:rPr>
        <w:t xml:space="preserve">United States, Code of Federal Regulations, Title </w:t>
      </w:r>
      <w:r>
        <w:rPr>
          <w:rFonts w:ascii="Arial" w:hAnsi="Arial" w:eastAsia="宋体" w:cs="Arial"/>
          <w:b/>
          <w:bCs/>
          <w:snapToGrid w:val="0"/>
          <w:kern w:val="0"/>
          <w:sz w:val="24"/>
          <w:szCs w:val="21"/>
        </w:rPr>
        <w:t xml:space="preserve">21 </w:t>
      </w:r>
      <w:r>
        <w:rPr>
          <w:rFonts w:ascii="Arial" w:hAnsi="Arial" w:eastAsia="宋体" w:cs="Arial"/>
          <w:snapToGrid w:val="0"/>
          <w:kern w:val="0"/>
          <w:sz w:val="24"/>
          <w:szCs w:val="21"/>
        </w:rPr>
        <w:t>Food and Drug Administration, DHHS, -</w:t>
      </w:r>
      <w:r>
        <w:rPr>
          <w:rFonts w:ascii="Arial" w:hAnsi="Arial" w:eastAsia="宋体" w:cs="Arial"/>
          <w:b/>
          <w:bCs/>
          <w:i/>
          <w:iCs/>
          <w:snapToGrid w:val="0"/>
          <w:kern w:val="0"/>
          <w:sz w:val="24"/>
          <w:szCs w:val="21"/>
        </w:rPr>
        <w:t xml:space="preserve">Part 801, </w:t>
      </w:r>
      <w:r>
        <w:rPr>
          <w:rFonts w:ascii="Arial" w:hAnsi="Arial" w:eastAsia="宋体" w:cs="Arial"/>
          <w:snapToGrid w:val="0"/>
          <w:kern w:val="0"/>
          <w:sz w:val="24"/>
          <w:szCs w:val="21"/>
        </w:rPr>
        <w:t>Labeling, Subpart C, Labeling requirements for over-the-counter devices.</w:t>
      </w:r>
    </w:p>
    <w:p w14:paraId="771ADB37">
      <w:pPr>
        <w:topLinePunct/>
        <w:adjustRightInd w:val="0"/>
        <w:snapToGrid w:val="0"/>
        <w:spacing w:after="109" w:afterLines="35" w:line="288" w:lineRule="auto"/>
        <w:rPr>
          <w:rFonts w:ascii="Arial" w:hAnsi="Arial" w:eastAsia="宋体" w:cs="Arial"/>
          <w:b/>
          <w:bCs/>
          <w:snapToGrid w:val="0"/>
          <w:kern w:val="0"/>
          <w:sz w:val="24"/>
          <w:szCs w:val="21"/>
        </w:rPr>
      </w:pPr>
      <w:r>
        <w:rPr>
          <w:rFonts w:ascii="Arial" w:hAnsi="Arial" w:eastAsia="宋体" w:cs="Arial"/>
          <w:snapToGrid w:val="0"/>
          <w:kern w:val="0"/>
          <w:sz w:val="24"/>
          <w:szCs w:val="21"/>
        </w:rPr>
        <w:t xml:space="preserve">United States, Code of Federal Regulations, Title 21 Food and Drug Administration, </w:t>
      </w:r>
      <w:r>
        <w:rPr>
          <w:rFonts w:ascii="Arial" w:hAnsi="Arial" w:eastAsia="宋体" w:cs="Arial"/>
          <w:b/>
          <w:bCs/>
          <w:snapToGrid w:val="0"/>
          <w:kern w:val="0"/>
          <w:sz w:val="24"/>
          <w:szCs w:val="21"/>
        </w:rPr>
        <w:t>DHHS,</w:t>
      </w:r>
      <w:r>
        <w:rPr>
          <w:rFonts w:hint="eastAsia" w:ascii="Arial" w:hAnsi="Arial" w:eastAsia="宋体" w:cs="Arial"/>
          <w:b/>
          <w:bCs/>
          <w:snapToGrid w:val="0"/>
          <w:kern w:val="0"/>
          <w:sz w:val="24"/>
          <w:szCs w:val="21"/>
        </w:rPr>
        <w:t xml:space="preserve"> </w:t>
      </w:r>
      <w:r>
        <w:rPr>
          <w:rFonts w:ascii="Arial" w:hAnsi="Arial" w:eastAsia="宋体" w:cs="Arial"/>
          <w:b/>
          <w:bCs/>
          <w:i/>
          <w:iCs/>
          <w:snapToGrid w:val="0"/>
          <w:kern w:val="0"/>
          <w:sz w:val="24"/>
          <w:szCs w:val="21"/>
        </w:rPr>
        <w:t xml:space="preserve">Part </w:t>
      </w:r>
      <w:r>
        <w:rPr>
          <w:rFonts w:ascii="Arial" w:hAnsi="Arial" w:eastAsia="宋体" w:cs="Arial"/>
          <w:snapToGrid w:val="0"/>
          <w:kern w:val="0"/>
          <w:sz w:val="24"/>
          <w:szCs w:val="21"/>
        </w:rPr>
        <w:t xml:space="preserve">809, </w:t>
      </w:r>
      <w:r>
        <w:rPr>
          <w:rFonts w:ascii="Arial" w:hAnsi="Arial" w:eastAsia="宋体" w:cs="Arial"/>
          <w:b/>
          <w:bCs/>
          <w:i/>
          <w:iCs/>
          <w:snapToGrid w:val="0"/>
          <w:kern w:val="0"/>
          <w:sz w:val="24"/>
          <w:szCs w:val="21"/>
        </w:rPr>
        <w:t xml:space="preserve">In vitro </w:t>
      </w:r>
      <w:r>
        <w:rPr>
          <w:rFonts w:ascii="Arial" w:hAnsi="Arial" w:eastAsia="宋体" w:cs="Arial"/>
          <w:snapToGrid w:val="0"/>
          <w:kern w:val="0"/>
          <w:sz w:val="24"/>
          <w:szCs w:val="21"/>
        </w:rPr>
        <w:t xml:space="preserve">diagnostic products for human use, Subpart B, Labeling for </w:t>
      </w:r>
      <w:r>
        <w:rPr>
          <w:rFonts w:ascii="Arial" w:hAnsi="Arial" w:eastAsia="宋体" w:cs="Arial"/>
          <w:b/>
          <w:bCs/>
          <w:i/>
          <w:iCs/>
          <w:snapToGrid w:val="0"/>
          <w:kern w:val="0"/>
          <w:sz w:val="24"/>
          <w:szCs w:val="21"/>
        </w:rPr>
        <w:t>in vitro</w:t>
      </w:r>
      <w:r>
        <w:rPr>
          <w:rFonts w:hint="eastAsia" w:ascii="Arial" w:hAnsi="Arial" w:eastAsia="宋体" w:cs="Arial"/>
          <w:b/>
          <w:bCs/>
          <w:snapToGrid w:val="0"/>
          <w:kern w:val="0"/>
          <w:sz w:val="24"/>
          <w:szCs w:val="21"/>
        </w:rPr>
        <w:t xml:space="preserve"> </w:t>
      </w:r>
      <w:r>
        <w:rPr>
          <w:rFonts w:ascii="Arial" w:hAnsi="Arial" w:eastAsia="宋体" w:cs="Arial"/>
          <w:snapToGrid w:val="0"/>
          <w:kern w:val="0"/>
          <w:sz w:val="24"/>
          <w:szCs w:val="21"/>
        </w:rPr>
        <w:t>diagnostic products.</w:t>
      </w:r>
    </w:p>
    <w:p w14:paraId="5B459A72">
      <w:pPr>
        <w:topLinePunct/>
        <w:adjustRightInd w:val="0"/>
        <w:snapToGrid w:val="0"/>
        <w:spacing w:after="109" w:afterLines="35" w:line="288" w:lineRule="auto"/>
        <w:rPr>
          <w:rFonts w:ascii="Arial" w:hAnsi="Arial" w:eastAsia="宋体" w:cs="Arial"/>
          <w:b/>
          <w:bCs/>
          <w:i/>
          <w:iCs/>
          <w:snapToGrid w:val="0"/>
          <w:kern w:val="0"/>
          <w:sz w:val="24"/>
          <w:szCs w:val="21"/>
        </w:rPr>
      </w:pPr>
      <w:r>
        <w:rPr>
          <w:rFonts w:ascii="Arial" w:hAnsi="Arial" w:eastAsia="宋体" w:cs="Arial"/>
          <w:snapToGrid w:val="0"/>
          <w:kern w:val="0"/>
          <w:sz w:val="24"/>
          <w:szCs w:val="21"/>
        </w:rPr>
        <w:t>United States, DHHS, PHs, FDA (</w:t>
      </w:r>
      <w:r>
        <w:rPr>
          <w:rFonts w:ascii="Arial" w:hAnsi="Arial" w:eastAsia="宋体" w:cs="Arial"/>
          <w:b/>
          <w:bCs/>
          <w:snapToGrid w:val="0"/>
          <w:kern w:val="0"/>
          <w:sz w:val="24"/>
          <w:szCs w:val="21"/>
        </w:rPr>
        <w:t xml:space="preserve">1986). </w:t>
      </w:r>
      <w:r>
        <w:rPr>
          <w:rFonts w:ascii="Arial" w:hAnsi="Arial" w:eastAsia="宋体" w:cs="Arial"/>
          <w:b/>
          <w:bCs/>
          <w:i/>
          <w:iCs/>
          <w:snapToGrid w:val="0"/>
          <w:kern w:val="0"/>
          <w:sz w:val="24"/>
          <w:szCs w:val="21"/>
        </w:rPr>
        <w:t>Labeling: Regulatory requirements for medical</w:t>
      </w:r>
      <w:r>
        <w:rPr>
          <w:rFonts w:hint="eastAsia" w:ascii="Arial" w:hAnsi="Arial" w:eastAsia="宋体" w:cs="Arial"/>
          <w:b/>
          <w:bCs/>
          <w:i/>
          <w:iCs/>
          <w:snapToGrid w:val="0"/>
          <w:kern w:val="0"/>
          <w:sz w:val="24"/>
          <w:szCs w:val="21"/>
        </w:rPr>
        <w:t xml:space="preserve"> </w:t>
      </w:r>
      <w:r>
        <w:rPr>
          <w:rFonts w:ascii="Arial" w:hAnsi="Arial" w:eastAsia="宋体" w:cs="Arial"/>
          <w:b/>
          <w:bCs/>
          <w:i/>
          <w:iCs/>
          <w:snapToGrid w:val="0"/>
          <w:kern w:val="0"/>
          <w:sz w:val="24"/>
          <w:szCs w:val="21"/>
        </w:rPr>
        <w:t xml:space="preserve">devices. </w:t>
      </w:r>
      <w:r>
        <w:rPr>
          <w:rFonts w:ascii="Arial" w:hAnsi="Arial" w:eastAsia="宋体" w:cs="Arial"/>
          <w:snapToGrid w:val="0"/>
          <w:kern w:val="0"/>
          <w:sz w:val="24"/>
          <w:szCs w:val="21"/>
        </w:rPr>
        <w:t xml:space="preserve">HHS Publication </w:t>
      </w:r>
      <w:r>
        <w:rPr>
          <w:rFonts w:ascii="Arial" w:hAnsi="Arial" w:eastAsia="宋体" w:cs="Arial"/>
          <w:b/>
          <w:bCs/>
          <w:i/>
          <w:iCs/>
          <w:snapToGrid w:val="0"/>
          <w:kern w:val="0"/>
          <w:sz w:val="24"/>
          <w:szCs w:val="21"/>
        </w:rPr>
        <w:t xml:space="preserve">FDA </w:t>
      </w:r>
      <w:r>
        <w:rPr>
          <w:rFonts w:ascii="Arial" w:hAnsi="Arial" w:eastAsia="宋体" w:cs="Arial"/>
          <w:b/>
          <w:bCs/>
          <w:snapToGrid w:val="0"/>
          <w:kern w:val="0"/>
          <w:sz w:val="24"/>
          <w:szCs w:val="21"/>
        </w:rPr>
        <w:t>86-4203.</w:t>
      </w:r>
    </w:p>
    <w:p w14:paraId="2284B74D">
      <w:pPr>
        <w:topLinePunct/>
        <w:adjustRightInd w:val="0"/>
        <w:snapToGrid w:val="0"/>
        <w:spacing w:after="156" w:afterLines="50" w:line="288" w:lineRule="auto"/>
        <w:rPr>
          <w:rFonts w:ascii="Arial" w:hAnsi="Arial" w:eastAsia="宋体" w:cs="Arial"/>
          <w:snapToGrid w:val="0"/>
          <w:kern w:val="0"/>
          <w:sz w:val="24"/>
        </w:rPr>
      </w:pPr>
    </w:p>
    <w:p w14:paraId="6D6B4AE7">
      <w:pPr>
        <w:topLinePunct/>
        <w:adjustRightInd w:val="0"/>
        <w:snapToGrid w:val="0"/>
        <w:spacing w:after="234" w:afterLines="75" w:line="360" w:lineRule="auto"/>
        <w:rPr>
          <w:rFonts w:hint="eastAsia" w:eastAsia="宋体"/>
          <w:lang w:eastAsia="zh-CN"/>
        </w:rPr>
      </w:pPr>
    </w:p>
    <w:p w14:paraId="4FD1F8AC">
      <w:pPr>
        <w:topLinePunct/>
        <w:adjustRightInd w:val="0"/>
        <w:snapToGrid w:val="0"/>
        <w:spacing w:after="234" w:afterLines="75" w:line="360" w:lineRule="auto"/>
        <w:jc w:val="center"/>
        <w:rPr>
          <w:rFonts w:hint="eastAsia" w:eastAsia="宋体"/>
          <w:lang w:eastAsia="zh-CN"/>
        </w:rPr>
      </w:pPr>
    </w:p>
    <w:p w14:paraId="38F75367">
      <w:pPr>
        <w:topLinePunct/>
        <w:adjustRightInd w:val="0"/>
        <w:snapToGrid w:val="0"/>
        <w:spacing w:after="234" w:afterLines="75"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5" name="图片 15" descr="2"/>
            <wp:cNvGraphicFramePr/>
            <a:graphic xmlns:a="http://schemas.openxmlformats.org/drawingml/2006/main">
              <a:graphicData uri="http://schemas.openxmlformats.org/drawingml/2006/picture">
                <pic:pic xmlns:pic="http://schemas.openxmlformats.org/drawingml/2006/picture">
                  <pic:nvPicPr>
                    <pic:cNvPr id="15" name="图片 15"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6" w:h="16838"/>
      <w:pgMar w:top="1134" w:right="1440" w:bottom="1134" w:left="1440" w:header="720"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CCB3">
    <w:pPr>
      <w:pStyle w:val="6"/>
      <w:jc w:val="center"/>
      <w:rPr>
        <w:rFonts w:ascii="Arial" w:hAnsi="Arial" w:cs="Arial"/>
        <w:sz w:val="21"/>
      </w:rPr>
    </w:pPr>
  </w:p>
  <w:p w14:paraId="64D6EAD7">
    <w:pPr>
      <w:pStyle w:val="6"/>
      <w:jc w:val="center"/>
      <w:rPr>
        <w:rFonts w:ascii="Arial" w:hAnsi="Arial" w:cs="Arial"/>
        <w:sz w:val="21"/>
      </w:rPr>
    </w:pPr>
    <w:r>
      <w:rPr>
        <w:rFonts w:ascii="Arial" w:hAnsi="Arial" w:cs="Arial"/>
        <w:sz w:val="21"/>
      </w:rPr>
      <w:fldChar w:fldCharType="begin"/>
    </w:r>
    <w:r>
      <w:rPr>
        <w:rFonts w:ascii="Arial" w:hAnsi="Arial" w:cs="Arial"/>
        <w:sz w:val="21"/>
      </w:rPr>
      <w:instrText xml:space="preserve">PAGE   \* MERGEFORMAT</w:instrText>
    </w:r>
    <w:r>
      <w:rPr>
        <w:rFonts w:ascii="Arial" w:hAnsi="Arial" w:cs="Arial"/>
        <w:sz w:val="21"/>
      </w:rPr>
      <w:fldChar w:fldCharType="separate"/>
    </w:r>
    <w:r>
      <w:rPr>
        <w:rFonts w:ascii="Arial" w:hAnsi="Arial" w:cs="Arial"/>
        <w:sz w:val="21"/>
        <w:lang w:val="zh-CN"/>
      </w:rPr>
      <w:t>35</w:t>
    </w:r>
    <w:r>
      <w:rPr>
        <w:rFonts w:ascii="Arial" w:hAnsi="Arial" w:cs="Arial"/>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7D6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9C0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A71C8"/>
    <w:multiLevelType w:val="multilevel"/>
    <w:tmpl w:val="1C5A71C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2DC078C"/>
    <w:multiLevelType w:val="multilevel"/>
    <w:tmpl w:val="22DC078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46736AF"/>
    <w:multiLevelType w:val="multilevel"/>
    <w:tmpl w:val="246736A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AAA624A"/>
    <w:multiLevelType w:val="multilevel"/>
    <w:tmpl w:val="5AAA624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D3A3CED"/>
    <w:multiLevelType w:val="multilevel"/>
    <w:tmpl w:val="5D3A3CE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0EF7E79"/>
    <w:multiLevelType w:val="multilevel"/>
    <w:tmpl w:val="60EF7E7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7D2180E"/>
    <w:multiLevelType w:val="multilevel"/>
    <w:tmpl w:val="77D2180E"/>
    <w:lvl w:ilvl="0" w:tentative="0">
      <w:start w:val="1"/>
      <w:numFmt w:val="bullet"/>
      <w:lvlText w:val="●"/>
      <w:lvlJc w:val="left"/>
      <w:pPr>
        <w:ind w:left="1695" w:hanging="420"/>
      </w:pPr>
      <w:rPr>
        <w:rFonts w:hint="default" w:ascii="Arial" w:hAnsi="Arial"/>
      </w:rPr>
    </w:lvl>
    <w:lvl w:ilvl="1" w:tentative="0">
      <w:start w:val="1"/>
      <w:numFmt w:val="bullet"/>
      <w:lvlText w:val=""/>
      <w:lvlJc w:val="left"/>
      <w:pPr>
        <w:ind w:left="2115" w:hanging="420"/>
      </w:pPr>
      <w:rPr>
        <w:rFonts w:hint="default" w:ascii="Wingdings" w:hAnsi="Wingdings"/>
      </w:rPr>
    </w:lvl>
    <w:lvl w:ilvl="2" w:tentative="0">
      <w:start w:val="1"/>
      <w:numFmt w:val="bullet"/>
      <w:lvlText w:val=""/>
      <w:lvlJc w:val="left"/>
      <w:pPr>
        <w:ind w:left="2535" w:hanging="420"/>
      </w:pPr>
      <w:rPr>
        <w:rFonts w:hint="default" w:ascii="Wingdings" w:hAnsi="Wingdings"/>
      </w:rPr>
    </w:lvl>
    <w:lvl w:ilvl="3" w:tentative="0">
      <w:start w:val="1"/>
      <w:numFmt w:val="bullet"/>
      <w:lvlText w:val=""/>
      <w:lvlJc w:val="left"/>
      <w:pPr>
        <w:ind w:left="2955" w:hanging="420"/>
      </w:pPr>
      <w:rPr>
        <w:rFonts w:hint="default" w:ascii="Wingdings" w:hAnsi="Wingdings"/>
      </w:rPr>
    </w:lvl>
    <w:lvl w:ilvl="4" w:tentative="0">
      <w:start w:val="1"/>
      <w:numFmt w:val="bullet"/>
      <w:lvlText w:val=""/>
      <w:lvlJc w:val="left"/>
      <w:pPr>
        <w:ind w:left="3375" w:hanging="420"/>
      </w:pPr>
      <w:rPr>
        <w:rFonts w:hint="default" w:ascii="Wingdings" w:hAnsi="Wingdings"/>
      </w:rPr>
    </w:lvl>
    <w:lvl w:ilvl="5" w:tentative="0">
      <w:start w:val="1"/>
      <w:numFmt w:val="bullet"/>
      <w:lvlText w:val=""/>
      <w:lvlJc w:val="left"/>
      <w:pPr>
        <w:ind w:left="3795" w:hanging="420"/>
      </w:pPr>
      <w:rPr>
        <w:rFonts w:hint="default" w:ascii="Wingdings" w:hAnsi="Wingdings"/>
      </w:rPr>
    </w:lvl>
    <w:lvl w:ilvl="6" w:tentative="0">
      <w:start w:val="1"/>
      <w:numFmt w:val="bullet"/>
      <w:lvlText w:val=""/>
      <w:lvlJc w:val="left"/>
      <w:pPr>
        <w:ind w:left="4215" w:hanging="420"/>
      </w:pPr>
      <w:rPr>
        <w:rFonts w:hint="default" w:ascii="Wingdings" w:hAnsi="Wingdings"/>
      </w:rPr>
    </w:lvl>
    <w:lvl w:ilvl="7" w:tentative="0">
      <w:start w:val="1"/>
      <w:numFmt w:val="bullet"/>
      <w:lvlText w:val=""/>
      <w:lvlJc w:val="left"/>
      <w:pPr>
        <w:ind w:left="4635" w:hanging="420"/>
      </w:pPr>
      <w:rPr>
        <w:rFonts w:hint="default" w:ascii="Wingdings" w:hAnsi="Wingdings"/>
      </w:rPr>
    </w:lvl>
    <w:lvl w:ilvl="8" w:tentative="0">
      <w:start w:val="1"/>
      <w:numFmt w:val="bullet"/>
      <w:lvlText w:val=""/>
      <w:lvlJc w:val="left"/>
      <w:pPr>
        <w:ind w:left="5055" w:hanging="420"/>
      </w:pPr>
      <w:rPr>
        <w:rFonts w:hint="default" w:ascii="Wingdings" w:hAnsi="Wingdings"/>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B1"/>
    <w:rsid w:val="000027D6"/>
    <w:rsid w:val="0000586A"/>
    <w:rsid w:val="0001681A"/>
    <w:rsid w:val="000211C6"/>
    <w:rsid w:val="00027578"/>
    <w:rsid w:val="000314B8"/>
    <w:rsid w:val="00042B4A"/>
    <w:rsid w:val="00045BE6"/>
    <w:rsid w:val="0005660C"/>
    <w:rsid w:val="0006254B"/>
    <w:rsid w:val="0007273B"/>
    <w:rsid w:val="00073D4C"/>
    <w:rsid w:val="000768F8"/>
    <w:rsid w:val="00080683"/>
    <w:rsid w:val="0008405A"/>
    <w:rsid w:val="00084926"/>
    <w:rsid w:val="000871F1"/>
    <w:rsid w:val="0009131F"/>
    <w:rsid w:val="00110BA9"/>
    <w:rsid w:val="001111A5"/>
    <w:rsid w:val="00112E41"/>
    <w:rsid w:val="00112F37"/>
    <w:rsid w:val="00122E6C"/>
    <w:rsid w:val="001319EE"/>
    <w:rsid w:val="001341A7"/>
    <w:rsid w:val="00144C1F"/>
    <w:rsid w:val="001466B3"/>
    <w:rsid w:val="00177D36"/>
    <w:rsid w:val="00184855"/>
    <w:rsid w:val="00186230"/>
    <w:rsid w:val="00187C10"/>
    <w:rsid w:val="0019188A"/>
    <w:rsid w:val="001A0940"/>
    <w:rsid w:val="001C48B8"/>
    <w:rsid w:val="001C5000"/>
    <w:rsid w:val="001D5EB8"/>
    <w:rsid w:val="001E03C5"/>
    <w:rsid w:val="001E3C25"/>
    <w:rsid w:val="001E4ADE"/>
    <w:rsid w:val="001F3EA9"/>
    <w:rsid w:val="001F4553"/>
    <w:rsid w:val="002035F8"/>
    <w:rsid w:val="00215EA8"/>
    <w:rsid w:val="0021756F"/>
    <w:rsid w:val="0022242F"/>
    <w:rsid w:val="002339B9"/>
    <w:rsid w:val="002364CE"/>
    <w:rsid w:val="00254341"/>
    <w:rsid w:val="00270D4D"/>
    <w:rsid w:val="0027117D"/>
    <w:rsid w:val="002753EC"/>
    <w:rsid w:val="002761B6"/>
    <w:rsid w:val="00286AE0"/>
    <w:rsid w:val="002921AD"/>
    <w:rsid w:val="00292434"/>
    <w:rsid w:val="002C092E"/>
    <w:rsid w:val="002D6610"/>
    <w:rsid w:val="002D684B"/>
    <w:rsid w:val="002E02E2"/>
    <w:rsid w:val="002E0457"/>
    <w:rsid w:val="002E46E8"/>
    <w:rsid w:val="002F46C5"/>
    <w:rsid w:val="002F5240"/>
    <w:rsid w:val="002F580E"/>
    <w:rsid w:val="00314EF3"/>
    <w:rsid w:val="00330039"/>
    <w:rsid w:val="00334426"/>
    <w:rsid w:val="0033619C"/>
    <w:rsid w:val="00337365"/>
    <w:rsid w:val="003423A2"/>
    <w:rsid w:val="003630D7"/>
    <w:rsid w:val="003940AA"/>
    <w:rsid w:val="00395635"/>
    <w:rsid w:val="00396A9C"/>
    <w:rsid w:val="003A3E72"/>
    <w:rsid w:val="003B2464"/>
    <w:rsid w:val="003B2927"/>
    <w:rsid w:val="003B34B5"/>
    <w:rsid w:val="003B4655"/>
    <w:rsid w:val="003C281C"/>
    <w:rsid w:val="003C4609"/>
    <w:rsid w:val="003E401D"/>
    <w:rsid w:val="003F3D74"/>
    <w:rsid w:val="0040192B"/>
    <w:rsid w:val="004056B3"/>
    <w:rsid w:val="0041197F"/>
    <w:rsid w:val="004154AF"/>
    <w:rsid w:val="0042273B"/>
    <w:rsid w:val="0045681D"/>
    <w:rsid w:val="004708A5"/>
    <w:rsid w:val="00472771"/>
    <w:rsid w:val="0047378D"/>
    <w:rsid w:val="004761BF"/>
    <w:rsid w:val="00485A7D"/>
    <w:rsid w:val="0049333E"/>
    <w:rsid w:val="00497028"/>
    <w:rsid w:val="004A3239"/>
    <w:rsid w:val="004B539E"/>
    <w:rsid w:val="004B565A"/>
    <w:rsid w:val="004C0E70"/>
    <w:rsid w:val="004C661B"/>
    <w:rsid w:val="004F3983"/>
    <w:rsid w:val="004F5CF0"/>
    <w:rsid w:val="00510143"/>
    <w:rsid w:val="005210EE"/>
    <w:rsid w:val="00526189"/>
    <w:rsid w:val="00533A84"/>
    <w:rsid w:val="005607E4"/>
    <w:rsid w:val="00560BD9"/>
    <w:rsid w:val="00561B49"/>
    <w:rsid w:val="00561E64"/>
    <w:rsid w:val="005659F4"/>
    <w:rsid w:val="00571A54"/>
    <w:rsid w:val="00571C61"/>
    <w:rsid w:val="00582084"/>
    <w:rsid w:val="00583089"/>
    <w:rsid w:val="005962C5"/>
    <w:rsid w:val="00597658"/>
    <w:rsid w:val="005A635E"/>
    <w:rsid w:val="005D21D5"/>
    <w:rsid w:val="005D6C79"/>
    <w:rsid w:val="005F3294"/>
    <w:rsid w:val="005F458E"/>
    <w:rsid w:val="006010A2"/>
    <w:rsid w:val="006276F3"/>
    <w:rsid w:val="006319AC"/>
    <w:rsid w:val="00643595"/>
    <w:rsid w:val="00643BD9"/>
    <w:rsid w:val="0064665A"/>
    <w:rsid w:val="00646CCF"/>
    <w:rsid w:val="006603C5"/>
    <w:rsid w:val="00661D15"/>
    <w:rsid w:val="00667C6B"/>
    <w:rsid w:val="00694495"/>
    <w:rsid w:val="006944C4"/>
    <w:rsid w:val="006A5056"/>
    <w:rsid w:val="006B2148"/>
    <w:rsid w:val="006C2200"/>
    <w:rsid w:val="006D607B"/>
    <w:rsid w:val="006F36F5"/>
    <w:rsid w:val="006F4329"/>
    <w:rsid w:val="007153E4"/>
    <w:rsid w:val="0073478B"/>
    <w:rsid w:val="00765B53"/>
    <w:rsid w:val="00767536"/>
    <w:rsid w:val="0077031A"/>
    <w:rsid w:val="00782E04"/>
    <w:rsid w:val="00787C68"/>
    <w:rsid w:val="007A1D20"/>
    <w:rsid w:val="007A6E8B"/>
    <w:rsid w:val="007A76CE"/>
    <w:rsid w:val="007D2F1A"/>
    <w:rsid w:val="007E07AC"/>
    <w:rsid w:val="007E1F08"/>
    <w:rsid w:val="007E3730"/>
    <w:rsid w:val="007E7770"/>
    <w:rsid w:val="007F2332"/>
    <w:rsid w:val="00801621"/>
    <w:rsid w:val="00805A1A"/>
    <w:rsid w:val="00807A65"/>
    <w:rsid w:val="0081447E"/>
    <w:rsid w:val="0084021E"/>
    <w:rsid w:val="00840F0C"/>
    <w:rsid w:val="00846A27"/>
    <w:rsid w:val="00862673"/>
    <w:rsid w:val="008644B1"/>
    <w:rsid w:val="00867D71"/>
    <w:rsid w:val="00871063"/>
    <w:rsid w:val="00873652"/>
    <w:rsid w:val="008738EE"/>
    <w:rsid w:val="00873E5D"/>
    <w:rsid w:val="008B3757"/>
    <w:rsid w:val="008B3F2F"/>
    <w:rsid w:val="008C09F3"/>
    <w:rsid w:val="008D4EDD"/>
    <w:rsid w:val="008E50B2"/>
    <w:rsid w:val="008F1184"/>
    <w:rsid w:val="00907348"/>
    <w:rsid w:val="00913954"/>
    <w:rsid w:val="00913D22"/>
    <w:rsid w:val="00920B7A"/>
    <w:rsid w:val="009244E6"/>
    <w:rsid w:val="0093261D"/>
    <w:rsid w:val="009361C5"/>
    <w:rsid w:val="009370F9"/>
    <w:rsid w:val="0094025B"/>
    <w:rsid w:val="009477EA"/>
    <w:rsid w:val="009502C5"/>
    <w:rsid w:val="00955769"/>
    <w:rsid w:val="00964CE4"/>
    <w:rsid w:val="00975E78"/>
    <w:rsid w:val="00980A09"/>
    <w:rsid w:val="009842EF"/>
    <w:rsid w:val="0099621E"/>
    <w:rsid w:val="009A1A32"/>
    <w:rsid w:val="009A4908"/>
    <w:rsid w:val="009B1052"/>
    <w:rsid w:val="009C24B5"/>
    <w:rsid w:val="009C7B39"/>
    <w:rsid w:val="009D6ADF"/>
    <w:rsid w:val="009E303D"/>
    <w:rsid w:val="009F595A"/>
    <w:rsid w:val="00A05581"/>
    <w:rsid w:val="00A067A1"/>
    <w:rsid w:val="00A10E94"/>
    <w:rsid w:val="00A11C52"/>
    <w:rsid w:val="00A16154"/>
    <w:rsid w:val="00A1641C"/>
    <w:rsid w:val="00A17119"/>
    <w:rsid w:val="00A24477"/>
    <w:rsid w:val="00A27251"/>
    <w:rsid w:val="00A331AD"/>
    <w:rsid w:val="00A41B18"/>
    <w:rsid w:val="00A50072"/>
    <w:rsid w:val="00A56D31"/>
    <w:rsid w:val="00A5760F"/>
    <w:rsid w:val="00A63733"/>
    <w:rsid w:val="00A64B7B"/>
    <w:rsid w:val="00A65A53"/>
    <w:rsid w:val="00A71935"/>
    <w:rsid w:val="00A745D5"/>
    <w:rsid w:val="00A77A88"/>
    <w:rsid w:val="00A8131A"/>
    <w:rsid w:val="00A823CB"/>
    <w:rsid w:val="00A83F13"/>
    <w:rsid w:val="00A90734"/>
    <w:rsid w:val="00A94523"/>
    <w:rsid w:val="00AB229D"/>
    <w:rsid w:val="00AD2D58"/>
    <w:rsid w:val="00AD58CF"/>
    <w:rsid w:val="00AE4636"/>
    <w:rsid w:val="00AE7D4D"/>
    <w:rsid w:val="00AF2725"/>
    <w:rsid w:val="00AF77D0"/>
    <w:rsid w:val="00B00375"/>
    <w:rsid w:val="00B07A1D"/>
    <w:rsid w:val="00B14411"/>
    <w:rsid w:val="00B1468F"/>
    <w:rsid w:val="00B27415"/>
    <w:rsid w:val="00B33A42"/>
    <w:rsid w:val="00B36652"/>
    <w:rsid w:val="00B3687D"/>
    <w:rsid w:val="00B44E76"/>
    <w:rsid w:val="00B66C3E"/>
    <w:rsid w:val="00B67326"/>
    <w:rsid w:val="00B779A3"/>
    <w:rsid w:val="00B85803"/>
    <w:rsid w:val="00B9222A"/>
    <w:rsid w:val="00B94ECB"/>
    <w:rsid w:val="00BA1142"/>
    <w:rsid w:val="00BA26CD"/>
    <w:rsid w:val="00BB413E"/>
    <w:rsid w:val="00BC7735"/>
    <w:rsid w:val="00BD30C8"/>
    <w:rsid w:val="00BE1E84"/>
    <w:rsid w:val="00BE27DF"/>
    <w:rsid w:val="00C0752E"/>
    <w:rsid w:val="00C1722E"/>
    <w:rsid w:val="00C24069"/>
    <w:rsid w:val="00C326D7"/>
    <w:rsid w:val="00C326F5"/>
    <w:rsid w:val="00C3720E"/>
    <w:rsid w:val="00C52595"/>
    <w:rsid w:val="00C62501"/>
    <w:rsid w:val="00C631A7"/>
    <w:rsid w:val="00C66F20"/>
    <w:rsid w:val="00C70D97"/>
    <w:rsid w:val="00C71F0D"/>
    <w:rsid w:val="00C820A8"/>
    <w:rsid w:val="00C91C30"/>
    <w:rsid w:val="00C91FC3"/>
    <w:rsid w:val="00C94157"/>
    <w:rsid w:val="00CA4698"/>
    <w:rsid w:val="00CA580D"/>
    <w:rsid w:val="00CB68AF"/>
    <w:rsid w:val="00CC16B9"/>
    <w:rsid w:val="00CC18F2"/>
    <w:rsid w:val="00CD4359"/>
    <w:rsid w:val="00CD6730"/>
    <w:rsid w:val="00CF3C7C"/>
    <w:rsid w:val="00D00944"/>
    <w:rsid w:val="00D13842"/>
    <w:rsid w:val="00D232ED"/>
    <w:rsid w:val="00D36C42"/>
    <w:rsid w:val="00D411CB"/>
    <w:rsid w:val="00D44365"/>
    <w:rsid w:val="00D55DD6"/>
    <w:rsid w:val="00D5753A"/>
    <w:rsid w:val="00D71190"/>
    <w:rsid w:val="00D74321"/>
    <w:rsid w:val="00D765B1"/>
    <w:rsid w:val="00D8016E"/>
    <w:rsid w:val="00D81312"/>
    <w:rsid w:val="00D8313E"/>
    <w:rsid w:val="00D95EC2"/>
    <w:rsid w:val="00DA6A73"/>
    <w:rsid w:val="00DA7A35"/>
    <w:rsid w:val="00DB1F00"/>
    <w:rsid w:val="00DB3308"/>
    <w:rsid w:val="00DB6CFB"/>
    <w:rsid w:val="00DC335E"/>
    <w:rsid w:val="00DC6B60"/>
    <w:rsid w:val="00DD3152"/>
    <w:rsid w:val="00DF1FB4"/>
    <w:rsid w:val="00E048A0"/>
    <w:rsid w:val="00E24000"/>
    <w:rsid w:val="00E44EC6"/>
    <w:rsid w:val="00E56774"/>
    <w:rsid w:val="00E57AA7"/>
    <w:rsid w:val="00E618EE"/>
    <w:rsid w:val="00E63D7E"/>
    <w:rsid w:val="00E75E72"/>
    <w:rsid w:val="00E93423"/>
    <w:rsid w:val="00EC1872"/>
    <w:rsid w:val="00EC3ACF"/>
    <w:rsid w:val="00ED40B1"/>
    <w:rsid w:val="00ED6896"/>
    <w:rsid w:val="00ED7051"/>
    <w:rsid w:val="00EE3E77"/>
    <w:rsid w:val="00EF773A"/>
    <w:rsid w:val="00F1377F"/>
    <w:rsid w:val="00F1762A"/>
    <w:rsid w:val="00F2476C"/>
    <w:rsid w:val="00F312C2"/>
    <w:rsid w:val="00F32FCB"/>
    <w:rsid w:val="00F40282"/>
    <w:rsid w:val="00F546DC"/>
    <w:rsid w:val="00F570D1"/>
    <w:rsid w:val="00F959E7"/>
    <w:rsid w:val="00FA0135"/>
    <w:rsid w:val="00FA6932"/>
    <w:rsid w:val="00FB7EA5"/>
    <w:rsid w:val="00FC0970"/>
    <w:rsid w:val="00FE2EA8"/>
    <w:rsid w:val="00FE3005"/>
    <w:rsid w:val="00FF242B"/>
    <w:rsid w:val="201E7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Lines="50" w:afterLines="50" w:line="360" w:lineRule="exact"/>
      <w:outlineLvl w:val="0"/>
    </w:pPr>
    <w:rPr>
      <w:rFonts w:ascii="Times New Roman" w:hAnsi="Times New Roman"/>
      <w:bCs/>
      <w:kern w:val="44"/>
      <w:szCs w:val="44"/>
    </w:rPr>
  </w:style>
  <w:style w:type="paragraph" w:styleId="3">
    <w:name w:val="heading 2"/>
    <w:basedOn w:val="1"/>
    <w:next w:val="1"/>
    <w:link w:val="19"/>
    <w:unhideWhenUsed/>
    <w:qFormat/>
    <w:uiPriority w:val="9"/>
    <w:pPr>
      <w:keepNext/>
      <w:keepLines/>
      <w:spacing w:beforeLines="50" w:afterLines="50" w:line="360" w:lineRule="exact"/>
      <w:outlineLvl w:val="1"/>
    </w:pPr>
    <w:rPr>
      <w:rFonts w:ascii="Times New Roman" w:hAnsi="Times New Roman" w:eastAsiaTheme="majorEastAsia" w:cstheme="majorBidi"/>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20"/>
    <w:semiHidden/>
    <w:unhideWhenUsed/>
    <w:uiPriority w:val="99"/>
    <w:pPr>
      <w:ind w:left="100" w:leftChars="2500"/>
    </w:pPr>
  </w:style>
  <w:style w:type="paragraph" w:styleId="5">
    <w:name w:val="Balloon Text"/>
    <w:basedOn w:val="1"/>
    <w:link w:val="17"/>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style>
  <w:style w:type="paragraph" w:styleId="9">
    <w:name w:val="toc 2"/>
    <w:basedOn w:val="1"/>
    <w:next w:val="1"/>
    <w:autoRedefine/>
    <w:unhideWhenUsed/>
    <w:qFormat/>
    <w:uiPriority w:val="39"/>
    <w:pPr>
      <w:ind w:left="420" w:leftChars="200"/>
    </w:pPr>
  </w:style>
  <w:style w:type="table" w:styleId="11">
    <w:name w:val="Table Grid"/>
    <w:basedOn w:val="10"/>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unhideWhenUsed/>
    <w:uiPriority w:val="99"/>
    <w:rPr>
      <w:color w:val="0000FF"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页眉 Char"/>
    <w:basedOn w:val="12"/>
    <w:link w:val="7"/>
    <w:qFormat/>
    <w:uiPriority w:val="99"/>
    <w:rPr>
      <w:sz w:val="18"/>
      <w:szCs w:val="18"/>
    </w:rPr>
  </w:style>
  <w:style w:type="character" w:customStyle="1" w:styleId="16">
    <w:name w:val="页脚 Char"/>
    <w:basedOn w:val="12"/>
    <w:link w:val="6"/>
    <w:uiPriority w:val="99"/>
    <w:rPr>
      <w:sz w:val="18"/>
      <w:szCs w:val="18"/>
    </w:rPr>
  </w:style>
  <w:style w:type="character" w:customStyle="1" w:styleId="17">
    <w:name w:val="批注框文本 Char"/>
    <w:basedOn w:val="12"/>
    <w:link w:val="5"/>
    <w:semiHidden/>
    <w:uiPriority w:val="99"/>
    <w:rPr>
      <w:sz w:val="18"/>
      <w:szCs w:val="18"/>
    </w:rPr>
  </w:style>
  <w:style w:type="character" w:customStyle="1" w:styleId="18">
    <w:name w:val="标题 1 Char"/>
    <w:basedOn w:val="12"/>
    <w:link w:val="2"/>
    <w:qFormat/>
    <w:uiPriority w:val="9"/>
    <w:rPr>
      <w:rFonts w:ascii="Times New Roman" w:hAnsi="Times New Roman"/>
      <w:bCs/>
      <w:kern w:val="44"/>
      <w:szCs w:val="44"/>
    </w:rPr>
  </w:style>
  <w:style w:type="character" w:customStyle="1" w:styleId="19">
    <w:name w:val="标题 2 Char"/>
    <w:basedOn w:val="12"/>
    <w:link w:val="3"/>
    <w:qFormat/>
    <w:uiPriority w:val="9"/>
    <w:rPr>
      <w:rFonts w:ascii="Times New Roman" w:hAnsi="Times New Roman" w:eastAsiaTheme="majorEastAsia" w:cstheme="majorBidi"/>
      <w:bCs/>
      <w:szCs w:val="32"/>
    </w:rPr>
  </w:style>
  <w:style w:type="character" w:customStyle="1" w:styleId="20">
    <w:name w:val="日期 Char"/>
    <w:basedOn w:val="12"/>
    <w:link w:val="4"/>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92BFF0-66EB-4D3B-9132-A9C12C19038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4595</Words>
  <Characters>6942</Characters>
  <Lines>356</Lines>
  <Paragraphs>100</Paragraphs>
  <TotalTime>0</TotalTime>
  <ScaleCrop>false</ScaleCrop>
  <LinksUpToDate>false</LinksUpToDate>
  <CharactersWithSpaces>7413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2017-12-18T14:49:00Z</dcterms:created>
  <dc:creator>User</dc:creator>
  <cp:lastModifiedBy>太极箫客</cp:lastModifiedBy>
  <dcterms:modified xsi:type="dcterms:W3CDTF">2025-08-14T06:28:17Z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7E7DF1F544F949908B7F333CF6B91499_12</vt:lpwstr>
  </property>
</Properties>
</file>