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AF832">
      <w:pPr>
        <w:pStyle w:val="4"/>
        <w:shd w:val="clear" w:color="auto" w:fill="FFFFFF"/>
        <w:spacing w:before="0" w:beforeAutospacing="0" w:after="150" w:afterAutospacing="0" w:line="378" w:lineRule="atLeast"/>
        <w:jc w:val="center"/>
        <w:rPr>
          <w:rFonts w:ascii="微软雅黑" w:hAnsi="微软雅黑" w:eastAsia="微软雅黑"/>
          <w:color w:val="333333"/>
          <w:sz w:val="21"/>
          <w:szCs w:val="21"/>
        </w:rPr>
      </w:pPr>
      <w:bookmarkStart w:id="0" w:name="_GoBack"/>
      <w:bookmarkEnd w:id="0"/>
      <w:r>
        <w:rPr>
          <w:rStyle w:val="7"/>
          <w:rFonts w:hint="eastAsia" w:ascii="微软雅黑" w:hAnsi="微软雅黑" w:eastAsia="微软雅黑"/>
          <w:color w:val="222222"/>
          <w:sz w:val="21"/>
          <w:szCs w:val="21"/>
        </w:rPr>
        <w:t>上海市第二类创新医疗器械特别审查程序</w:t>
      </w:r>
    </w:p>
    <w:p w14:paraId="5E704F68">
      <w:pPr>
        <w:pStyle w:val="4"/>
        <w:shd w:val="clear" w:color="auto" w:fill="FFFFFF"/>
        <w:spacing w:before="0" w:beforeAutospacing="0" w:after="150" w:afterAutospacing="0" w:line="378" w:lineRule="atLeast"/>
        <w:ind w:firstLine="480"/>
        <w:rPr>
          <w:rFonts w:hint="eastAsia" w:ascii="微软雅黑" w:hAnsi="微软雅黑" w:eastAsia="微软雅黑"/>
          <w:color w:val="222222"/>
          <w:sz w:val="21"/>
          <w:szCs w:val="21"/>
        </w:rPr>
      </w:pPr>
      <w:r>
        <w:rPr>
          <w:rFonts w:hint="eastAsia" w:ascii="微软雅黑" w:hAnsi="微软雅黑" w:eastAsia="微软雅黑"/>
          <w:color w:val="222222"/>
          <w:sz w:val="21"/>
          <w:szCs w:val="21"/>
        </w:rPr>
        <w:t>第一条  为了保障医疗器械的安全、有效，鼓励医疗器械的研究与创新，促进医疗器械新技术的推广和应用，推动本市医疗器械产业发展，根据《关于深化审评审批制度改革鼓励药品医疗器械创新的意见》《医疗器械监督管理条例》《医疗器械注册管理办法》《体外诊断试剂注册管理办法》《创新医疗器械特别审查程序》以及中共上海市委办公厅、上海市人民政府办公厅《关于深化审评审批制度改革鼓励药品医疗器械创新的实施意见》等法规、规章和规范性文件，制定本程序。</w:t>
      </w:r>
    </w:p>
    <w:p w14:paraId="15A3404B">
      <w:pPr>
        <w:pStyle w:val="4"/>
        <w:shd w:val="clear" w:color="auto" w:fill="FFFFFF"/>
        <w:spacing w:before="0" w:beforeAutospacing="0" w:after="150" w:afterAutospacing="0" w:line="378" w:lineRule="atLeast"/>
        <w:ind w:firstLine="480"/>
        <w:rPr>
          <w:rFonts w:hint="eastAsia" w:ascii="微软雅黑" w:hAnsi="微软雅黑" w:eastAsia="微软雅黑"/>
          <w:color w:val="222222"/>
          <w:sz w:val="21"/>
          <w:szCs w:val="21"/>
        </w:rPr>
      </w:pPr>
      <w:r>
        <w:rPr>
          <w:rFonts w:hint="eastAsia" w:ascii="微软雅黑" w:hAnsi="微软雅黑" w:eastAsia="微软雅黑"/>
          <w:color w:val="222222"/>
          <w:sz w:val="21"/>
          <w:szCs w:val="21"/>
        </w:rPr>
        <w:t>第二条  第二类创新医疗器械特别审查程序（以下简称创新特别审查）是根据申请人的申请，对符合本程序第三条情形的第二类医疗器械产品，在注册申请前及审评过程中，对相关检测、核查检查、技术审评、沟通交流等设立特别通道、优先服务的特别程序。</w:t>
      </w:r>
    </w:p>
    <w:p w14:paraId="32E64C39">
      <w:pPr>
        <w:pStyle w:val="4"/>
        <w:shd w:val="clear" w:color="auto" w:fill="FFFFFF"/>
        <w:spacing w:before="0" w:beforeAutospacing="0" w:after="150" w:afterAutospacing="0" w:line="378" w:lineRule="atLeast"/>
        <w:ind w:firstLine="480"/>
        <w:rPr>
          <w:rFonts w:hint="eastAsia" w:ascii="微软雅黑" w:hAnsi="微软雅黑" w:eastAsia="微软雅黑"/>
          <w:color w:val="222222"/>
          <w:sz w:val="21"/>
          <w:szCs w:val="21"/>
        </w:rPr>
      </w:pPr>
      <w:r>
        <w:rPr>
          <w:rFonts w:hint="eastAsia" w:ascii="微软雅黑" w:hAnsi="微软雅黑" w:eastAsia="微软雅黑"/>
          <w:color w:val="222222"/>
          <w:sz w:val="21"/>
          <w:szCs w:val="21"/>
        </w:rPr>
        <w:t>第三条  本程序适用于符合下列情形的拟在本市申请注册的第二类医疗器械：</w:t>
      </w:r>
    </w:p>
    <w:p w14:paraId="4806EB6B">
      <w:pPr>
        <w:pStyle w:val="4"/>
        <w:shd w:val="clear" w:color="auto" w:fill="FFFFFF"/>
        <w:spacing w:before="0" w:beforeAutospacing="0" w:after="150" w:afterAutospacing="0" w:line="378" w:lineRule="atLeast"/>
        <w:ind w:firstLine="480"/>
        <w:rPr>
          <w:rFonts w:hint="eastAsia" w:ascii="微软雅黑" w:hAnsi="微软雅黑" w:eastAsia="微软雅黑"/>
          <w:color w:val="222222"/>
          <w:sz w:val="21"/>
          <w:szCs w:val="21"/>
        </w:rPr>
      </w:pPr>
      <w:r>
        <w:rPr>
          <w:rFonts w:hint="eastAsia" w:ascii="微软雅黑" w:hAnsi="微软雅黑" w:eastAsia="微软雅黑"/>
          <w:color w:val="222222"/>
          <w:sz w:val="21"/>
          <w:szCs w:val="21"/>
        </w:rPr>
        <w:t>（一）产品主要工作原理或者作用机理为国内首创，产品性能或者安全性与同类产品比较有根本性改进，技术上处于国内领先水平，且具有显著的临床应用价值。</w:t>
      </w:r>
    </w:p>
    <w:p w14:paraId="4C823100">
      <w:pPr>
        <w:pStyle w:val="4"/>
        <w:shd w:val="clear" w:color="auto" w:fill="FFFFFF"/>
        <w:spacing w:before="0" w:beforeAutospacing="0" w:after="150" w:afterAutospacing="0" w:line="378" w:lineRule="atLeast"/>
        <w:ind w:firstLine="480"/>
        <w:rPr>
          <w:rFonts w:hint="eastAsia" w:ascii="微软雅黑" w:hAnsi="微软雅黑" w:eastAsia="微软雅黑"/>
          <w:color w:val="222222"/>
          <w:sz w:val="21"/>
          <w:szCs w:val="21"/>
        </w:rPr>
      </w:pPr>
      <w:r>
        <w:rPr>
          <w:rFonts w:hint="eastAsia" w:ascii="微软雅黑" w:hAnsi="微软雅黑" w:eastAsia="微软雅黑"/>
          <w:color w:val="222222"/>
          <w:sz w:val="21"/>
          <w:szCs w:val="21"/>
        </w:rPr>
        <w:t>（二）申请人已完成产品的前期研究并具有基本定型产品，研究过程真实和受控，研究数据完整和可溯源。</w:t>
      </w:r>
    </w:p>
    <w:p w14:paraId="399EB1A1">
      <w:pPr>
        <w:pStyle w:val="4"/>
        <w:shd w:val="clear" w:color="auto" w:fill="FFFFFF"/>
        <w:spacing w:before="0" w:beforeAutospacing="0" w:after="150" w:afterAutospacing="0" w:line="378" w:lineRule="atLeast"/>
        <w:ind w:firstLine="480"/>
        <w:rPr>
          <w:rFonts w:hint="eastAsia" w:ascii="微软雅黑" w:hAnsi="微软雅黑" w:eastAsia="微软雅黑"/>
          <w:color w:val="222222"/>
          <w:sz w:val="21"/>
          <w:szCs w:val="21"/>
        </w:rPr>
      </w:pPr>
      <w:r>
        <w:rPr>
          <w:rFonts w:hint="eastAsia" w:ascii="微软雅黑" w:hAnsi="微软雅黑" w:eastAsia="微软雅黑"/>
          <w:color w:val="222222"/>
          <w:sz w:val="21"/>
          <w:szCs w:val="21"/>
        </w:rPr>
        <w:t>（三）申请人通过其主导的技术创新活动，在中国依法拥有产品核心技术发明专利权，或者依法通过受让取得在中国发明专利权或其使用权，创新特别审查申请时间距专利授权公告日不超过5年；或者核心技术发明专利的申请已由国务院专利行政部门公开，并由国家知识产权局专利检索咨询中心出具检索报告，报告载明产品核心技术方案具备新颖性和创造性；或者产品技术国内领先，可填补本市该品种医疗器械的空白。</w:t>
      </w:r>
    </w:p>
    <w:p w14:paraId="18114528">
      <w:pPr>
        <w:pStyle w:val="4"/>
        <w:shd w:val="clear" w:color="auto" w:fill="FFFFFF"/>
        <w:spacing w:before="0" w:beforeAutospacing="0" w:after="150" w:afterAutospacing="0" w:line="378" w:lineRule="atLeast"/>
        <w:ind w:firstLine="480"/>
        <w:rPr>
          <w:rFonts w:hint="eastAsia" w:ascii="微软雅黑" w:hAnsi="微软雅黑" w:eastAsia="微软雅黑"/>
          <w:color w:val="222222"/>
          <w:sz w:val="21"/>
          <w:szCs w:val="21"/>
        </w:rPr>
      </w:pPr>
      <w:r>
        <w:rPr>
          <w:rFonts w:hint="eastAsia" w:ascii="微软雅黑" w:hAnsi="微软雅黑" w:eastAsia="微软雅黑"/>
          <w:color w:val="222222"/>
          <w:sz w:val="21"/>
          <w:szCs w:val="21"/>
        </w:rPr>
        <w:t>第四条  上海市药品监督管理局及相关技术机构，根据各自职责和本程序规定，按照早期介入、专人负责、科学审查的原则，在标准不降低、程序不减少的前提下，对创新医疗器械予以优先办理，并发挥上海市药品监督管理局各创新服务站的功能，加强与申请人的沟通交流。</w:t>
      </w:r>
    </w:p>
    <w:p w14:paraId="6996D6F0">
      <w:pPr>
        <w:pStyle w:val="4"/>
        <w:shd w:val="clear" w:color="auto" w:fill="FFFFFF"/>
        <w:spacing w:before="0" w:beforeAutospacing="0" w:after="150" w:afterAutospacing="0" w:line="378" w:lineRule="atLeast"/>
        <w:ind w:firstLine="480"/>
        <w:rPr>
          <w:rFonts w:hint="eastAsia" w:ascii="微软雅黑" w:hAnsi="微软雅黑" w:eastAsia="微软雅黑"/>
          <w:color w:val="222222"/>
          <w:sz w:val="21"/>
          <w:szCs w:val="21"/>
        </w:rPr>
      </w:pPr>
      <w:r>
        <w:rPr>
          <w:rFonts w:hint="eastAsia" w:ascii="微软雅黑" w:hAnsi="微软雅黑" w:eastAsia="微软雅黑"/>
          <w:color w:val="222222"/>
          <w:sz w:val="21"/>
          <w:szCs w:val="21"/>
        </w:rPr>
        <w:t>第五条  上海市药品监督管理局设立创新审查服务办公室，办公室设在上海市食品药品监督管理局认证审评中心，负责对创新特别审查申请的审查、组织专家审查、异议处理等具体工作。</w:t>
      </w:r>
    </w:p>
    <w:p w14:paraId="5AC092FF">
      <w:pPr>
        <w:pStyle w:val="4"/>
        <w:shd w:val="clear" w:color="auto" w:fill="FFFFFF"/>
        <w:spacing w:before="0" w:beforeAutospacing="0" w:after="150" w:afterAutospacing="0" w:line="378" w:lineRule="atLeast"/>
        <w:ind w:firstLine="480"/>
        <w:rPr>
          <w:rFonts w:hint="eastAsia" w:ascii="微软雅黑" w:hAnsi="微软雅黑" w:eastAsia="微软雅黑"/>
          <w:color w:val="222222"/>
          <w:sz w:val="21"/>
          <w:szCs w:val="21"/>
        </w:rPr>
      </w:pPr>
      <w:r>
        <w:rPr>
          <w:rFonts w:hint="eastAsia" w:ascii="微软雅黑" w:hAnsi="微软雅黑" w:eastAsia="微软雅黑"/>
          <w:color w:val="222222"/>
          <w:sz w:val="21"/>
          <w:szCs w:val="21"/>
        </w:rPr>
        <w:t>第六条  对于符合本程序第三条规定情形，需要进入创新特别审查的，申请人应在第二类医疗器械首次注册申请前，向上海市药品监督管理局提出创新特别审查的申请。</w:t>
      </w:r>
    </w:p>
    <w:p w14:paraId="28D42A5D">
      <w:pPr>
        <w:pStyle w:val="4"/>
        <w:shd w:val="clear" w:color="auto" w:fill="FFFFFF"/>
        <w:spacing w:before="0" w:beforeAutospacing="0" w:after="150" w:afterAutospacing="0" w:line="378" w:lineRule="atLeast"/>
        <w:ind w:firstLine="480"/>
        <w:rPr>
          <w:rFonts w:hint="eastAsia" w:ascii="微软雅黑" w:hAnsi="微软雅黑" w:eastAsia="微软雅黑"/>
          <w:color w:val="222222"/>
          <w:sz w:val="21"/>
          <w:szCs w:val="21"/>
        </w:rPr>
      </w:pPr>
      <w:r>
        <w:rPr>
          <w:rFonts w:hint="eastAsia" w:ascii="微软雅黑" w:hAnsi="微软雅黑" w:eastAsia="微软雅黑"/>
          <w:color w:val="222222"/>
          <w:sz w:val="21"/>
          <w:szCs w:val="21"/>
        </w:rPr>
        <w:t>第七条  申请人申请时应当填写《第二类创新医疗器械特别审查申请表》（附件1），并向上海市药品监督管理局行政受理部门提交符合本程序第三条要求的资料。资料应当包括：</w:t>
      </w:r>
    </w:p>
    <w:p w14:paraId="6E69F093">
      <w:pPr>
        <w:pStyle w:val="4"/>
        <w:shd w:val="clear" w:color="auto" w:fill="FFFFFF"/>
        <w:spacing w:before="0" w:beforeAutospacing="0" w:after="150" w:afterAutospacing="0" w:line="378" w:lineRule="atLeast"/>
        <w:ind w:firstLine="480"/>
        <w:rPr>
          <w:rFonts w:hint="eastAsia" w:ascii="微软雅黑" w:hAnsi="微软雅黑" w:eastAsia="微软雅黑"/>
          <w:color w:val="222222"/>
          <w:sz w:val="21"/>
          <w:szCs w:val="21"/>
        </w:rPr>
      </w:pPr>
      <w:r>
        <w:rPr>
          <w:rFonts w:hint="eastAsia" w:ascii="微软雅黑" w:hAnsi="微软雅黑" w:eastAsia="微软雅黑"/>
          <w:color w:val="222222"/>
          <w:sz w:val="21"/>
          <w:szCs w:val="21"/>
        </w:rPr>
        <w:t>（一）申请人企业资质证明文件。</w:t>
      </w:r>
    </w:p>
    <w:p w14:paraId="713F197B">
      <w:pPr>
        <w:pStyle w:val="4"/>
        <w:shd w:val="clear" w:color="auto" w:fill="FFFFFF"/>
        <w:spacing w:before="0" w:beforeAutospacing="0" w:after="150" w:afterAutospacing="0" w:line="378" w:lineRule="atLeast"/>
        <w:ind w:firstLine="480"/>
        <w:rPr>
          <w:rFonts w:hint="eastAsia" w:ascii="微软雅黑" w:hAnsi="微软雅黑" w:eastAsia="微软雅黑"/>
          <w:color w:val="222222"/>
          <w:sz w:val="21"/>
          <w:szCs w:val="21"/>
        </w:rPr>
      </w:pPr>
      <w:r>
        <w:rPr>
          <w:rFonts w:hint="eastAsia" w:ascii="微软雅黑" w:hAnsi="微软雅黑" w:eastAsia="微软雅黑"/>
          <w:color w:val="222222"/>
          <w:sz w:val="21"/>
          <w:szCs w:val="21"/>
        </w:rPr>
        <w:t>（二）产品知识产权情况及证明文件。</w:t>
      </w:r>
    </w:p>
    <w:p w14:paraId="1CC17B0C">
      <w:pPr>
        <w:pStyle w:val="4"/>
        <w:shd w:val="clear" w:color="auto" w:fill="FFFFFF"/>
        <w:spacing w:before="0" w:beforeAutospacing="0" w:after="150" w:afterAutospacing="0" w:line="378" w:lineRule="atLeast"/>
        <w:ind w:firstLine="480"/>
        <w:rPr>
          <w:rFonts w:hint="eastAsia" w:ascii="微软雅黑" w:hAnsi="微软雅黑" w:eastAsia="微软雅黑"/>
          <w:color w:val="222222"/>
          <w:sz w:val="21"/>
          <w:szCs w:val="21"/>
        </w:rPr>
      </w:pPr>
      <w:r>
        <w:rPr>
          <w:rFonts w:hint="eastAsia" w:ascii="微软雅黑" w:hAnsi="微软雅黑" w:eastAsia="微软雅黑"/>
          <w:color w:val="222222"/>
          <w:sz w:val="21"/>
          <w:szCs w:val="21"/>
        </w:rPr>
        <w:t>（三）产品研发过程及结果综述。</w:t>
      </w:r>
    </w:p>
    <w:p w14:paraId="459A3C79">
      <w:pPr>
        <w:pStyle w:val="4"/>
        <w:shd w:val="clear" w:color="auto" w:fill="FFFFFF"/>
        <w:spacing w:before="0" w:beforeAutospacing="0" w:after="150" w:afterAutospacing="0" w:line="378" w:lineRule="atLeast"/>
        <w:ind w:firstLine="480"/>
        <w:rPr>
          <w:rFonts w:hint="eastAsia" w:ascii="微软雅黑" w:hAnsi="微软雅黑" w:eastAsia="微软雅黑"/>
          <w:color w:val="222222"/>
          <w:sz w:val="21"/>
          <w:szCs w:val="21"/>
        </w:rPr>
      </w:pPr>
      <w:r>
        <w:rPr>
          <w:rFonts w:hint="eastAsia" w:ascii="微软雅黑" w:hAnsi="微软雅黑" w:eastAsia="微软雅黑"/>
          <w:color w:val="222222"/>
          <w:sz w:val="21"/>
          <w:szCs w:val="21"/>
        </w:rPr>
        <w:t>（四）产品技术文件，至少应当包括：</w:t>
      </w:r>
    </w:p>
    <w:p w14:paraId="490EC1E0">
      <w:pPr>
        <w:pStyle w:val="4"/>
        <w:shd w:val="clear" w:color="auto" w:fill="FFFFFF"/>
        <w:spacing w:before="0" w:beforeAutospacing="0" w:after="150" w:afterAutospacing="0" w:line="378" w:lineRule="atLeast"/>
        <w:ind w:firstLine="480"/>
        <w:rPr>
          <w:rFonts w:hint="eastAsia" w:ascii="微软雅黑" w:hAnsi="微软雅黑" w:eastAsia="微软雅黑"/>
          <w:color w:val="222222"/>
          <w:sz w:val="21"/>
          <w:szCs w:val="21"/>
        </w:rPr>
      </w:pPr>
      <w:r>
        <w:rPr>
          <w:rFonts w:hint="eastAsia" w:ascii="微软雅黑" w:hAnsi="微软雅黑" w:eastAsia="微软雅黑"/>
          <w:color w:val="222222"/>
          <w:sz w:val="21"/>
          <w:szCs w:val="21"/>
        </w:rPr>
        <w:t>1.产品的适用范围或者预期用途；</w:t>
      </w:r>
    </w:p>
    <w:p w14:paraId="563098FF">
      <w:pPr>
        <w:pStyle w:val="4"/>
        <w:shd w:val="clear" w:color="auto" w:fill="FFFFFF"/>
        <w:spacing w:before="0" w:beforeAutospacing="0" w:after="150" w:afterAutospacing="0" w:line="378" w:lineRule="atLeast"/>
        <w:ind w:firstLine="480"/>
        <w:rPr>
          <w:rFonts w:hint="eastAsia" w:ascii="微软雅黑" w:hAnsi="微软雅黑" w:eastAsia="微软雅黑"/>
          <w:color w:val="222222"/>
          <w:sz w:val="21"/>
          <w:szCs w:val="21"/>
        </w:rPr>
      </w:pPr>
      <w:r>
        <w:rPr>
          <w:rFonts w:hint="eastAsia" w:ascii="微软雅黑" w:hAnsi="微软雅黑" w:eastAsia="微软雅黑"/>
          <w:color w:val="222222"/>
          <w:sz w:val="21"/>
          <w:szCs w:val="21"/>
        </w:rPr>
        <w:t>2.产品工作原理或者作用机理；</w:t>
      </w:r>
    </w:p>
    <w:p w14:paraId="216A5AAF">
      <w:pPr>
        <w:pStyle w:val="4"/>
        <w:shd w:val="clear" w:color="auto" w:fill="FFFFFF"/>
        <w:spacing w:before="0" w:beforeAutospacing="0" w:after="150" w:afterAutospacing="0" w:line="378" w:lineRule="atLeast"/>
        <w:ind w:firstLine="480"/>
        <w:rPr>
          <w:rFonts w:hint="eastAsia" w:ascii="微软雅黑" w:hAnsi="微软雅黑" w:eastAsia="微软雅黑"/>
          <w:color w:val="222222"/>
          <w:sz w:val="21"/>
          <w:szCs w:val="21"/>
        </w:rPr>
      </w:pPr>
      <w:r>
        <w:rPr>
          <w:rFonts w:hint="eastAsia" w:ascii="微软雅黑" w:hAnsi="微软雅黑" w:eastAsia="微软雅黑"/>
          <w:color w:val="222222"/>
          <w:sz w:val="21"/>
          <w:szCs w:val="21"/>
        </w:rPr>
        <w:t>3.产品主要技术指标及确定依据，主要原材料、关键元器件的指标要求，主要生产工艺过程及流程图，主要技术指标的检验方法。</w:t>
      </w:r>
    </w:p>
    <w:p w14:paraId="0825C292">
      <w:pPr>
        <w:pStyle w:val="4"/>
        <w:shd w:val="clear" w:color="auto" w:fill="FFFFFF"/>
        <w:spacing w:before="0" w:beforeAutospacing="0" w:after="150" w:afterAutospacing="0" w:line="378" w:lineRule="atLeast"/>
        <w:ind w:firstLine="480"/>
        <w:rPr>
          <w:rFonts w:hint="eastAsia" w:ascii="微软雅黑" w:hAnsi="微软雅黑" w:eastAsia="微软雅黑"/>
          <w:color w:val="222222"/>
          <w:sz w:val="21"/>
          <w:szCs w:val="21"/>
        </w:rPr>
      </w:pPr>
      <w:r>
        <w:rPr>
          <w:rFonts w:hint="eastAsia" w:ascii="微软雅黑" w:hAnsi="微软雅黑" w:eastAsia="微软雅黑"/>
          <w:color w:val="222222"/>
          <w:sz w:val="21"/>
          <w:szCs w:val="21"/>
        </w:rPr>
        <w:t>（五）产品创新的证明性文件，至少应当包括：</w:t>
      </w:r>
    </w:p>
    <w:p w14:paraId="2BA60A18">
      <w:pPr>
        <w:pStyle w:val="4"/>
        <w:shd w:val="clear" w:color="auto" w:fill="FFFFFF"/>
        <w:spacing w:before="0" w:beforeAutospacing="0" w:after="150" w:afterAutospacing="0" w:line="378" w:lineRule="atLeast"/>
        <w:ind w:firstLine="480"/>
        <w:rPr>
          <w:rFonts w:hint="eastAsia" w:ascii="微软雅黑" w:hAnsi="微软雅黑" w:eastAsia="微软雅黑"/>
          <w:color w:val="222222"/>
          <w:sz w:val="21"/>
          <w:szCs w:val="21"/>
        </w:rPr>
      </w:pPr>
      <w:r>
        <w:rPr>
          <w:rFonts w:hint="eastAsia" w:ascii="微软雅黑" w:hAnsi="微软雅黑" w:eastAsia="微软雅黑"/>
          <w:color w:val="222222"/>
          <w:sz w:val="21"/>
          <w:szCs w:val="21"/>
        </w:rPr>
        <w:t>1.核心刊物公开发表的能够充分说明产品临床应用价值的学术论文、专著及文件综述；</w:t>
      </w:r>
    </w:p>
    <w:p w14:paraId="1BDE1742">
      <w:pPr>
        <w:pStyle w:val="4"/>
        <w:shd w:val="clear" w:color="auto" w:fill="FFFFFF"/>
        <w:spacing w:before="0" w:beforeAutospacing="0" w:after="150" w:afterAutospacing="0" w:line="378" w:lineRule="atLeast"/>
        <w:ind w:firstLine="480"/>
        <w:rPr>
          <w:rFonts w:hint="eastAsia" w:ascii="微软雅黑" w:hAnsi="微软雅黑" w:eastAsia="微软雅黑"/>
          <w:color w:val="222222"/>
          <w:sz w:val="21"/>
          <w:szCs w:val="21"/>
        </w:rPr>
      </w:pPr>
      <w:r>
        <w:rPr>
          <w:rFonts w:hint="eastAsia" w:ascii="微软雅黑" w:hAnsi="微软雅黑" w:eastAsia="微软雅黑"/>
          <w:color w:val="222222"/>
          <w:sz w:val="21"/>
          <w:szCs w:val="21"/>
        </w:rPr>
        <w:t>2.国内外已上市同类产品应用情况的分析及对比（如有）；</w:t>
      </w:r>
    </w:p>
    <w:p w14:paraId="322EFEF7">
      <w:pPr>
        <w:pStyle w:val="4"/>
        <w:shd w:val="clear" w:color="auto" w:fill="FFFFFF"/>
        <w:spacing w:before="0" w:beforeAutospacing="0" w:after="150" w:afterAutospacing="0" w:line="378" w:lineRule="atLeast"/>
        <w:ind w:firstLine="480"/>
        <w:rPr>
          <w:rFonts w:hint="eastAsia" w:ascii="微软雅黑" w:hAnsi="微软雅黑" w:eastAsia="微软雅黑"/>
          <w:color w:val="222222"/>
          <w:sz w:val="21"/>
          <w:szCs w:val="21"/>
        </w:rPr>
      </w:pPr>
      <w:r>
        <w:rPr>
          <w:rFonts w:hint="eastAsia" w:ascii="微软雅黑" w:hAnsi="微软雅黑" w:eastAsia="微软雅黑"/>
          <w:color w:val="222222"/>
          <w:sz w:val="21"/>
          <w:szCs w:val="21"/>
        </w:rPr>
        <w:t>3.产品的创新内容及在临床应用的显著价值。</w:t>
      </w:r>
    </w:p>
    <w:p w14:paraId="4FF82837">
      <w:pPr>
        <w:pStyle w:val="4"/>
        <w:shd w:val="clear" w:color="auto" w:fill="FFFFFF"/>
        <w:spacing w:before="0" w:beforeAutospacing="0" w:after="150" w:afterAutospacing="0" w:line="378" w:lineRule="atLeast"/>
        <w:ind w:firstLine="480"/>
        <w:rPr>
          <w:rFonts w:hint="eastAsia" w:ascii="微软雅黑" w:hAnsi="微软雅黑" w:eastAsia="微软雅黑"/>
          <w:color w:val="222222"/>
          <w:sz w:val="21"/>
          <w:szCs w:val="21"/>
        </w:rPr>
      </w:pPr>
      <w:r>
        <w:rPr>
          <w:rFonts w:hint="eastAsia" w:ascii="微软雅黑" w:hAnsi="微软雅黑" w:eastAsia="微软雅黑"/>
          <w:color w:val="222222"/>
          <w:sz w:val="21"/>
          <w:szCs w:val="21"/>
        </w:rPr>
        <w:t>（六）产品风险分析资料。</w:t>
      </w:r>
    </w:p>
    <w:p w14:paraId="7E2BA1B0">
      <w:pPr>
        <w:pStyle w:val="4"/>
        <w:shd w:val="clear" w:color="auto" w:fill="FFFFFF"/>
        <w:spacing w:before="0" w:beforeAutospacing="0" w:after="150" w:afterAutospacing="0" w:line="378" w:lineRule="atLeast"/>
        <w:ind w:firstLine="480"/>
        <w:rPr>
          <w:rFonts w:hint="eastAsia" w:ascii="微软雅黑" w:hAnsi="微软雅黑" w:eastAsia="微软雅黑"/>
          <w:color w:val="222222"/>
          <w:sz w:val="21"/>
          <w:szCs w:val="21"/>
        </w:rPr>
      </w:pPr>
      <w:r>
        <w:rPr>
          <w:rFonts w:hint="eastAsia" w:ascii="微软雅黑" w:hAnsi="微软雅黑" w:eastAsia="微软雅黑"/>
          <w:color w:val="222222"/>
          <w:sz w:val="21"/>
          <w:szCs w:val="21"/>
        </w:rPr>
        <w:t>（七）产品说明书（样稿）。</w:t>
      </w:r>
    </w:p>
    <w:p w14:paraId="6AE6E9BA">
      <w:pPr>
        <w:pStyle w:val="4"/>
        <w:shd w:val="clear" w:color="auto" w:fill="FFFFFF"/>
        <w:spacing w:before="0" w:beforeAutospacing="0" w:after="150" w:afterAutospacing="0" w:line="378" w:lineRule="atLeast"/>
        <w:ind w:firstLine="480"/>
        <w:rPr>
          <w:rFonts w:hint="eastAsia" w:ascii="微软雅黑" w:hAnsi="微软雅黑" w:eastAsia="微软雅黑"/>
          <w:color w:val="222222"/>
          <w:sz w:val="21"/>
          <w:szCs w:val="21"/>
        </w:rPr>
      </w:pPr>
      <w:r>
        <w:rPr>
          <w:rFonts w:hint="eastAsia" w:ascii="微软雅黑" w:hAnsi="微软雅黑" w:eastAsia="微软雅黑"/>
          <w:color w:val="222222"/>
          <w:sz w:val="21"/>
          <w:szCs w:val="21"/>
        </w:rPr>
        <w:t>（八）其他证明产品符合本程序第三条的资料。</w:t>
      </w:r>
    </w:p>
    <w:p w14:paraId="37A16A19">
      <w:pPr>
        <w:pStyle w:val="4"/>
        <w:shd w:val="clear" w:color="auto" w:fill="FFFFFF"/>
        <w:spacing w:before="0" w:beforeAutospacing="0" w:after="150" w:afterAutospacing="0" w:line="378" w:lineRule="atLeast"/>
        <w:ind w:firstLine="480"/>
        <w:rPr>
          <w:rFonts w:hint="eastAsia" w:ascii="微软雅黑" w:hAnsi="微软雅黑" w:eastAsia="微软雅黑"/>
          <w:color w:val="222222"/>
          <w:sz w:val="21"/>
          <w:szCs w:val="21"/>
        </w:rPr>
      </w:pPr>
      <w:r>
        <w:rPr>
          <w:rFonts w:hint="eastAsia" w:ascii="微软雅黑" w:hAnsi="微软雅黑" w:eastAsia="微软雅黑"/>
          <w:color w:val="222222"/>
          <w:sz w:val="21"/>
          <w:szCs w:val="21"/>
        </w:rPr>
        <w:t>（九）所提交资料真实性的自我保证声明。</w:t>
      </w:r>
    </w:p>
    <w:p w14:paraId="46701FB7">
      <w:pPr>
        <w:pStyle w:val="4"/>
        <w:shd w:val="clear" w:color="auto" w:fill="FFFFFF"/>
        <w:spacing w:before="0" w:beforeAutospacing="0" w:after="150" w:afterAutospacing="0" w:line="378" w:lineRule="atLeast"/>
        <w:ind w:firstLine="480"/>
        <w:rPr>
          <w:rFonts w:hint="eastAsia" w:ascii="微软雅黑" w:hAnsi="微软雅黑" w:eastAsia="微软雅黑"/>
          <w:color w:val="222222"/>
          <w:sz w:val="21"/>
          <w:szCs w:val="21"/>
        </w:rPr>
      </w:pPr>
      <w:r>
        <w:rPr>
          <w:rFonts w:hint="eastAsia" w:ascii="微软雅黑" w:hAnsi="微软雅黑" w:eastAsia="微软雅黑"/>
          <w:color w:val="222222"/>
          <w:sz w:val="21"/>
          <w:szCs w:val="21"/>
        </w:rPr>
        <w:t>申报资料应当使用中文。原文为外文的，应当有中文译本。</w:t>
      </w:r>
    </w:p>
    <w:p w14:paraId="567D9921">
      <w:pPr>
        <w:pStyle w:val="4"/>
        <w:shd w:val="clear" w:color="auto" w:fill="FFFFFF"/>
        <w:spacing w:before="0" w:beforeAutospacing="0" w:after="150" w:afterAutospacing="0" w:line="378" w:lineRule="atLeast"/>
        <w:ind w:firstLine="480"/>
        <w:rPr>
          <w:rFonts w:hint="eastAsia" w:ascii="微软雅黑" w:hAnsi="微软雅黑" w:eastAsia="微软雅黑"/>
          <w:color w:val="222222"/>
          <w:sz w:val="21"/>
          <w:szCs w:val="21"/>
        </w:rPr>
      </w:pPr>
      <w:r>
        <w:rPr>
          <w:rFonts w:hint="eastAsia" w:ascii="微软雅黑" w:hAnsi="微软雅黑" w:eastAsia="微软雅黑"/>
          <w:color w:val="222222"/>
          <w:sz w:val="21"/>
          <w:szCs w:val="21"/>
        </w:rPr>
        <w:t>第八条  上海市药品监督管理局行政受理部门于5个工作日内完成对创新特别审查申请资料的形式审查。对符合本程序第七条规定的形式要求的予以受理，并给予受理编号，编排方式为：沪械新××××1×××2，其中××××1为申请的年份；×××2为产品流水号。</w:t>
      </w:r>
    </w:p>
    <w:p w14:paraId="2B68652D">
      <w:pPr>
        <w:pStyle w:val="4"/>
        <w:shd w:val="clear" w:color="auto" w:fill="FFFFFF"/>
        <w:spacing w:before="0" w:beforeAutospacing="0" w:after="150" w:afterAutospacing="0" w:line="378" w:lineRule="atLeast"/>
        <w:ind w:firstLine="480"/>
        <w:rPr>
          <w:rFonts w:hint="eastAsia" w:ascii="微软雅黑" w:hAnsi="微软雅黑" w:eastAsia="微软雅黑"/>
          <w:color w:val="222222"/>
          <w:sz w:val="21"/>
          <w:szCs w:val="21"/>
        </w:rPr>
      </w:pPr>
      <w:r>
        <w:rPr>
          <w:rFonts w:hint="eastAsia" w:ascii="微软雅黑" w:hAnsi="微软雅黑" w:eastAsia="微软雅黑"/>
          <w:color w:val="222222"/>
          <w:sz w:val="21"/>
          <w:szCs w:val="21"/>
        </w:rPr>
        <w:t>对于已受理的创新特别审查申请，申请人可以在审查决定作出前，申请撤回创新特别审查申请及相关资料，并说明理由。</w:t>
      </w:r>
    </w:p>
    <w:p w14:paraId="5EFE2F2F">
      <w:pPr>
        <w:pStyle w:val="4"/>
        <w:shd w:val="clear" w:color="auto" w:fill="FFFFFF"/>
        <w:spacing w:before="0" w:beforeAutospacing="0" w:after="150" w:afterAutospacing="0" w:line="378" w:lineRule="atLeast"/>
        <w:ind w:firstLine="480"/>
        <w:rPr>
          <w:rFonts w:hint="eastAsia" w:ascii="微软雅黑" w:hAnsi="微软雅黑" w:eastAsia="微软雅黑"/>
          <w:color w:val="222222"/>
          <w:sz w:val="21"/>
          <w:szCs w:val="21"/>
        </w:rPr>
      </w:pPr>
      <w:r>
        <w:rPr>
          <w:rFonts w:hint="eastAsia" w:ascii="微软雅黑" w:hAnsi="微软雅黑" w:eastAsia="微软雅黑"/>
          <w:color w:val="222222"/>
          <w:sz w:val="21"/>
          <w:szCs w:val="21"/>
        </w:rPr>
        <w:t>第九条  对申请人提出的创新特别审查申请，创新审查服务办公室组织专家，通过会审或函审等方式进行审查后进入公示阶段。</w:t>
      </w:r>
    </w:p>
    <w:p w14:paraId="586514FC">
      <w:pPr>
        <w:pStyle w:val="4"/>
        <w:shd w:val="clear" w:color="auto" w:fill="FFFFFF"/>
        <w:spacing w:before="0" w:beforeAutospacing="0" w:after="150" w:afterAutospacing="0" w:line="378" w:lineRule="atLeast"/>
        <w:ind w:firstLine="480"/>
        <w:rPr>
          <w:rFonts w:hint="eastAsia" w:ascii="微软雅黑" w:hAnsi="微软雅黑" w:eastAsia="微软雅黑"/>
          <w:color w:val="222222"/>
          <w:sz w:val="21"/>
          <w:szCs w:val="21"/>
        </w:rPr>
      </w:pPr>
      <w:r>
        <w:rPr>
          <w:rFonts w:hint="eastAsia" w:ascii="微软雅黑" w:hAnsi="微软雅黑" w:eastAsia="微软雅黑"/>
          <w:color w:val="222222"/>
          <w:sz w:val="21"/>
          <w:szCs w:val="21"/>
        </w:rPr>
        <w:t>第十条  对拟进行创新特别审查的申请项目，经上海市药品监督管理局核准后，在局政务网站公示申请人、产品名称和规格型号，公示时间应不少于10个工作日。</w:t>
      </w:r>
    </w:p>
    <w:p w14:paraId="38E2EB81">
      <w:pPr>
        <w:pStyle w:val="4"/>
        <w:shd w:val="clear" w:color="auto" w:fill="FFFFFF"/>
        <w:spacing w:before="0" w:beforeAutospacing="0" w:after="150" w:afterAutospacing="0" w:line="378" w:lineRule="atLeast"/>
        <w:ind w:firstLine="480"/>
        <w:rPr>
          <w:rFonts w:hint="eastAsia" w:ascii="微软雅黑" w:hAnsi="微软雅黑" w:eastAsia="微软雅黑"/>
          <w:color w:val="222222"/>
          <w:sz w:val="21"/>
          <w:szCs w:val="21"/>
        </w:rPr>
      </w:pPr>
      <w:r>
        <w:rPr>
          <w:rFonts w:hint="eastAsia" w:ascii="微软雅黑" w:hAnsi="微软雅黑" w:eastAsia="微软雅黑"/>
          <w:color w:val="222222"/>
          <w:sz w:val="21"/>
          <w:szCs w:val="21"/>
        </w:rPr>
        <w:t>对公示有异议的，异议方应当在公示期内提交书面意见并说明理由（附件2）。上海市药品监督管理局在公示结束后，对相关意见进行研究，并作出最终审查决定。</w:t>
      </w:r>
    </w:p>
    <w:p w14:paraId="7471732D">
      <w:pPr>
        <w:pStyle w:val="4"/>
        <w:shd w:val="clear" w:color="auto" w:fill="FFFFFF"/>
        <w:spacing w:before="0" w:beforeAutospacing="0" w:after="150" w:afterAutospacing="0" w:line="378" w:lineRule="atLeast"/>
        <w:ind w:firstLine="480"/>
        <w:rPr>
          <w:rFonts w:hint="eastAsia" w:ascii="微软雅黑" w:hAnsi="微软雅黑" w:eastAsia="微软雅黑"/>
          <w:color w:val="222222"/>
          <w:sz w:val="21"/>
          <w:szCs w:val="21"/>
        </w:rPr>
      </w:pPr>
      <w:r>
        <w:rPr>
          <w:rFonts w:hint="eastAsia" w:ascii="微软雅黑" w:hAnsi="微软雅黑" w:eastAsia="微软雅黑"/>
          <w:color w:val="222222"/>
          <w:sz w:val="21"/>
          <w:szCs w:val="21"/>
        </w:rPr>
        <w:t>第十一条  申请资料存在以下情形之一的，上海市药品监督管理局可以不组织专家进行审查：</w:t>
      </w:r>
    </w:p>
    <w:p w14:paraId="3F5C71D8">
      <w:pPr>
        <w:pStyle w:val="4"/>
        <w:shd w:val="clear" w:color="auto" w:fill="FFFFFF"/>
        <w:spacing w:before="0" w:beforeAutospacing="0" w:after="150" w:afterAutospacing="0" w:line="378" w:lineRule="atLeast"/>
        <w:ind w:firstLine="480"/>
        <w:rPr>
          <w:rFonts w:hint="eastAsia" w:ascii="微软雅黑" w:hAnsi="微软雅黑" w:eastAsia="微软雅黑"/>
          <w:color w:val="222222"/>
          <w:sz w:val="21"/>
          <w:szCs w:val="21"/>
        </w:rPr>
      </w:pPr>
      <w:r>
        <w:rPr>
          <w:rFonts w:hint="eastAsia" w:ascii="微软雅黑" w:hAnsi="微软雅黑" w:eastAsia="微软雅黑"/>
          <w:color w:val="222222"/>
          <w:sz w:val="21"/>
          <w:szCs w:val="21"/>
        </w:rPr>
        <w:t>（一）申请资料虚假的。</w:t>
      </w:r>
    </w:p>
    <w:p w14:paraId="588845E8">
      <w:pPr>
        <w:pStyle w:val="4"/>
        <w:shd w:val="clear" w:color="auto" w:fill="FFFFFF"/>
        <w:spacing w:before="0" w:beforeAutospacing="0" w:after="150" w:afterAutospacing="0" w:line="378" w:lineRule="atLeast"/>
        <w:ind w:firstLine="480"/>
        <w:rPr>
          <w:rFonts w:hint="eastAsia" w:ascii="微软雅黑" w:hAnsi="微软雅黑" w:eastAsia="微软雅黑"/>
          <w:color w:val="222222"/>
          <w:sz w:val="21"/>
          <w:szCs w:val="21"/>
        </w:rPr>
      </w:pPr>
      <w:r>
        <w:rPr>
          <w:rFonts w:hint="eastAsia" w:ascii="微软雅黑" w:hAnsi="微软雅黑" w:eastAsia="微软雅黑"/>
          <w:color w:val="222222"/>
          <w:sz w:val="21"/>
          <w:szCs w:val="21"/>
        </w:rPr>
        <w:t>（二）申请资料内容混乱、矛盾的。</w:t>
      </w:r>
    </w:p>
    <w:p w14:paraId="7EEEB855">
      <w:pPr>
        <w:pStyle w:val="4"/>
        <w:shd w:val="clear" w:color="auto" w:fill="FFFFFF"/>
        <w:spacing w:before="0" w:beforeAutospacing="0" w:after="150" w:afterAutospacing="0" w:line="378" w:lineRule="atLeast"/>
        <w:ind w:firstLine="480"/>
        <w:rPr>
          <w:rFonts w:hint="eastAsia" w:ascii="微软雅黑" w:hAnsi="微软雅黑" w:eastAsia="微软雅黑"/>
          <w:color w:val="222222"/>
          <w:sz w:val="21"/>
          <w:szCs w:val="21"/>
        </w:rPr>
      </w:pPr>
      <w:r>
        <w:rPr>
          <w:rFonts w:hint="eastAsia" w:ascii="微软雅黑" w:hAnsi="微软雅黑" w:eastAsia="微软雅黑"/>
          <w:color w:val="222222"/>
          <w:sz w:val="21"/>
          <w:szCs w:val="21"/>
        </w:rPr>
        <w:t>（三）申请资料的内容与申报项目明显不符的。</w:t>
      </w:r>
    </w:p>
    <w:p w14:paraId="27229A07">
      <w:pPr>
        <w:pStyle w:val="4"/>
        <w:shd w:val="clear" w:color="auto" w:fill="FFFFFF"/>
        <w:spacing w:before="0" w:beforeAutospacing="0" w:after="150" w:afterAutospacing="0" w:line="378" w:lineRule="atLeast"/>
        <w:ind w:firstLine="480"/>
        <w:rPr>
          <w:rFonts w:hint="eastAsia" w:ascii="微软雅黑" w:hAnsi="微软雅黑" w:eastAsia="微软雅黑"/>
          <w:color w:val="222222"/>
          <w:sz w:val="21"/>
          <w:szCs w:val="21"/>
        </w:rPr>
      </w:pPr>
      <w:r>
        <w:rPr>
          <w:rFonts w:hint="eastAsia" w:ascii="微软雅黑" w:hAnsi="微软雅黑" w:eastAsia="微软雅黑"/>
          <w:color w:val="222222"/>
          <w:sz w:val="21"/>
          <w:szCs w:val="21"/>
        </w:rPr>
        <w:t>（四）申请资料中产品知识产权证明文件不完整、专利权不清晰的。</w:t>
      </w:r>
    </w:p>
    <w:p w14:paraId="757BCFD6">
      <w:pPr>
        <w:pStyle w:val="4"/>
        <w:shd w:val="clear" w:color="auto" w:fill="FFFFFF"/>
        <w:spacing w:before="0" w:beforeAutospacing="0" w:after="150" w:afterAutospacing="0" w:line="378" w:lineRule="atLeast"/>
        <w:ind w:firstLine="480"/>
        <w:rPr>
          <w:rFonts w:hint="eastAsia" w:ascii="微软雅黑" w:hAnsi="微软雅黑" w:eastAsia="微软雅黑"/>
          <w:color w:val="222222"/>
          <w:sz w:val="21"/>
          <w:szCs w:val="21"/>
        </w:rPr>
      </w:pPr>
      <w:r>
        <w:rPr>
          <w:rFonts w:hint="eastAsia" w:ascii="微软雅黑" w:hAnsi="微软雅黑" w:eastAsia="微软雅黑"/>
          <w:color w:val="222222"/>
          <w:sz w:val="21"/>
          <w:szCs w:val="21"/>
        </w:rPr>
        <w:t>（五）前次审查意见已明确指出产品主要工作原理或者作用机理非国内首创，且再次申请时产品设计未发生改变的。</w:t>
      </w:r>
    </w:p>
    <w:p w14:paraId="29E14805">
      <w:pPr>
        <w:pStyle w:val="4"/>
        <w:shd w:val="clear" w:color="auto" w:fill="FFFFFF"/>
        <w:spacing w:before="0" w:beforeAutospacing="0" w:after="150" w:afterAutospacing="0" w:line="378" w:lineRule="atLeast"/>
        <w:ind w:firstLine="480"/>
        <w:rPr>
          <w:rFonts w:hint="eastAsia" w:ascii="微软雅黑" w:hAnsi="微软雅黑" w:eastAsia="微软雅黑"/>
          <w:color w:val="222222"/>
          <w:sz w:val="21"/>
          <w:szCs w:val="21"/>
        </w:rPr>
      </w:pPr>
      <w:r>
        <w:rPr>
          <w:rFonts w:hint="eastAsia" w:ascii="微软雅黑" w:hAnsi="微软雅黑" w:eastAsia="微软雅黑"/>
          <w:color w:val="222222"/>
          <w:sz w:val="21"/>
          <w:szCs w:val="21"/>
        </w:rPr>
        <w:t>第十二条  对申请创新特别审查的医疗器械的管理属性存在疑问的，上海市药品监督管理局应当告知申请人先向国家药品监督管理局提出产品分类界定申请。</w:t>
      </w:r>
    </w:p>
    <w:p w14:paraId="4294A449">
      <w:pPr>
        <w:pStyle w:val="4"/>
        <w:shd w:val="clear" w:color="auto" w:fill="FFFFFF"/>
        <w:spacing w:before="0" w:beforeAutospacing="0" w:after="150" w:afterAutospacing="0" w:line="378" w:lineRule="atLeast"/>
        <w:ind w:firstLine="480"/>
        <w:rPr>
          <w:rFonts w:hint="eastAsia" w:ascii="微软雅黑" w:hAnsi="微软雅黑" w:eastAsia="微软雅黑"/>
          <w:color w:val="222222"/>
          <w:sz w:val="21"/>
          <w:szCs w:val="21"/>
        </w:rPr>
      </w:pPr>
      <w:r>
        <w:rPr>
          <w:rFonts w:hint="eastAsia" w:ascii="微软雅黑" w:hAnsi="微软雅黑" w:eastAsia="微软雅黑"/>
          <w:color w:val="222222"/>
          <w:sz w:val="21"/>
          <w:szCs w:val="21"/>
        </w:rPr>
        <w:t>经国家药品监督管理局审查界定,产品按照第二类医疗器械管理的，申请人按照本程序重新申请。</w:t>
      </w:r>
    </w:p>
    <w:p w14:paraId="5B6F4E66">
      <w:pPr>
        <w:pStyle w:val="4"/>
        <w:shd w:val="clear" w:color="auto" w:fill="FFFFFF"/>
        <w:spacing w:before="0" w:beforeAutospacing="0" w:after="150" w:afterAutospacing="0" w:line="378" w:lineRule="atLeast"/>
        <w:ind w:firstLine="480"/>
        <w:rPr>
          <w:rFonts w:hint="eastAsia" w:ascii="微软雅黑" w:hAnsi="微软雅黑" w:eastAsia="微软雅黑"/>
          <w:color w:val="222222"/>
          <w:sz w:val="21"/>
          <w:szCs w:val="21"/>
        </w:rPr>
      </w:pPr>
      <w:r>
        <w:rPr>
          <w:rFonts w:hint="eastAsia" w:ascii="微软雅黑" w:hAnsi="微软雅黑" w:eastAsia="微软雅黑"/>
          <w:color w:val="222222"/>
          <w:sz w:val="21"/>
          <w:szCs w:val="21"/>
        </w:rPr>
        <w:t>第十三条  上海市药品监督管理局应在60个工作日内作出审查决定并将结果告知申请人，公示及异议处理时间除外。</w:t>
      </w:r>
    </w:p>
    <w:p w14:paraId="581F7CA4">
      <w:pPr>
        <w:pStyle w:val="4"/>
        <w:shd w:val="clear" w:color="auto" w:fill="FFFFFF"/>
        <w:spacing w:before="0" w:beforeAutospacing="0" w:after="150" w:afterAutospacing="0" w:line="378" w:lineRule="atLeast"/>
        <w:ind w:firstLine="480"/>
        <w:rPr>
          <w:rFonts w:hint="eastAsia" w:ascii="微软雅黑" w:hAnsi="微软雅黑" w:eastAsia="微软雅黑"/>
          <w:color w:val="222222"/>
          <w:sz w:val="21"/>
          <w:szCs w:val="21"/>
        </w:rPr>
      </w:pPr>
      <w:r>
        <w:rPr>
          <w:rFonts w:hint="eastAsia" w:ascii="微软雅黑" w:hAnsi="微软雅黑" w:eastAsia="微软雅黑"/>
          <w:color w:val="222222"/>
          <w:sz w:val="21"/>
          <w:szCs w:val="21"/>
        </w:rPr>
        <w:t>经审查，对不予进行创新特别审查的申请项目，应当将研究意见和理由告知申请人，此结果不影响申请人按照正常程序申请第二类医疗器械注册。</w:t>
      </w:r>
    </w:p>
    <w:p w14:paraId="4AFD7466">
      <w:pPr>
        <w:pStyle w:val="4"/>
        <w:shd w:val="clear" w:color="auto" w:fill="FFFFFF"/>
        <w:spacing w:before="0" w:beforeAutospacing="0" w:after="150" w:afterAutospacing="0" w:line="378" w:lineRule="atLeast"/>
        <w:ind w:firstLine="480"/>
        <w:rPr>
          <w:rFonts w:hint="eastAsia" w:ascii="微软雅黑" w:hAnsi="微软雅黑" w:eastAsia="微软雅黑"/>
          <w:color w:val="222222"/>
          <w:sz w:val="21"/>
          <w:szCs w:val="21"/>
        </w:rPr>
      </w:pPr>
      <w:r>
        <w:rPr>
          <w:rFonts w:hint="eastAsia" w:ascii="微软雅黑" w:hAnsi="微软雅黑" w:eastAsia="微软雅黑"/>
          <w:color w:val="222222"/>
          <w:sz w:val="21"/>
          <w:szCs w:val="21"/>
        </w:rPr>
        <w:t>经审查，同意按本程序审查的第二类创新医疗器械，审查结果告知后5年内，未申报注册医疗器械的，不再按照本程序实施特别审查。5年后，申请人可按照本程序重新申请创新特别审查。</w:t>
      </w:r>
    </w:p>
    <w:p w14:paraId="78673834">
      <w:pPr>
        <w:pStyle w:val="4"/>
        <w:shd w:val="clear" w:color="auto" w:fill="FFFFFF"/>
        <w:spacing w:before="0" w:beforeAutospacing="0" w:after="150" w:afterAutospacing="0" w:line="378" w:lineRule="atLeast"/>
        <w:ind w:firstLine="480"/>
        <w:rPr>
          <w:rFonts w:hint="eastAsia" w:ascii="微软雅黑" w:hAnsi="微软雅黑" w:eastAsia="微软雅黑"/>
          <w:color w:val="222222"/>
          <w:sz w:val="21"/>
          <w:szCs w:val="21"/>
        </w:rPr>
      </w:pPr>
      <w:r>
        <w:rPr>
          <w:rFonts w:hint="eastAsia" w:ascii="微软雅黑" w:hAnsi="微软雅黑" w:eastAsia="微软雅黑"/>
          <w:color w:val="222222"/>
          <w:sz w:val="21"/>
          <w:szCs w:val="21"/>
        </w:rPr>
        <w:t>第十四条  对第二类创新医疗器械，上海市医疗器械检测所优先安排注册检验、开展产品技术要求预评价、加强技术服务和指导，并优先出具检验报告。</w:t>
      </w:r>
    </w:p>
    <w:p w14:paraId="2AE42A36">
      <w:pPr>
        <w:pStyle w:val="4"/>
        <w:shd w:val="clear" w:color="auto" w:fill="FFFFFF"/>
        <w:spacing w:before="0" w:beforeAutospacing="0" w:after="150" w:afterAutospacing="0" w:line="378" w:lineRule="atLeast"/>
        <w:ind w:firstLine="480"/>
        <w:rPr>
          <w:rFonts w:hint="eastAsia" w:ascii="微软雅黑" w:hAnsi="微软雅黑" w:eastAsia="微软雅黑"/>
          <w:color w:val="222222"/>
          <w:sz w:val="21"/>
          <w:szCs w:val="21"/>
        </w:rPr>
      </w:pPr>
      <w:r>
        <w:rPr>
          <w:rFonts w:hint="eastAsia" w:ascii="微软雅黑" w:hAnsi="微软雅黑" w:eastAsia="微软雅黑"/>
          <w:color w:val="222222"/>
          <w:sz w:val="21"/>
          <w:szCs w:val="21"/>
        </w:rPr>
        <w:t>第十五条  对第二类创新医疗器械，上海市药品监督管理局将加强临床试验指导，必要时组织专家给予技术指导。</w:t>
      </w:r>
    </w:p>
    <w:p w14:paraId="0E343542">
      <w:pPr>
        <w:pStyle w:val="4"/>
        <w:shd w:val="clear" w:color="auto" w:fill="FFFFFF"/>
        <w:spacing w:before="0" w:beforeAutospacing="0" w:after="150" w:afterAutospacing="0" w:line="378" w:lineRule="atLeast"/>
        <w:ind w:firstLine="480"/>
        <w:rPr>
          <w:rFonts w:hint="eastAsia" w:ascii="微软雅黑" w:hAnsi="微软雅黑" w:eastAsia="微软雅黑"/>
          <w:color w:val="222222"/>
          <w:sz w:val="21"/>
          <w:szCs w:val="21"/>
        </w:rPr>
      </w:pPr>
      <w:r>
        <w:rPr>
          <w:rFonts w:hint="eastAsia" w:ascii="微软雅黑" w:hAnsi="微软雅黑" w:eastAsia="微软雅黑"/>
          <w:color w:val="222222"/>
          <w:sz w:val="21"/>
          <w:szCs w:val="21"/>
        </w:rPr>
        <w:t>第十六条  对第二类创新医疗器械，上海市药品监督管理局将积极主动与申请人联系，在产品注册申请受理前以及审评审批过程中，安排专人与申请人就重大技术问题、重大安全性问题、临床试验方案和阶段性临床试验结果的总结与评价等方面，开展积极有效的沟通交流。</w:t>
      </w:r>
    </w:p>
    <w:p w14:paraId="03EBDE13">
      <w:pPr>
        <w:pStyle w:val="4"/>
        <w:shd w:val="clear" w:color="auto" w:fill="FFFFFF"/>
        <w:spacing w:before="0" w:beforeAutospacing="0" w:after="150" w:afterAutospacing="0" w:line="378" w:lineRule="atLeast"/>
        <w:ind w:firstLine="480"/>
        <w:rPr>
          <w:rFonts w:hint="eastAsia" w:ascii="微软雅黑" w:hAnsi="微软雅黑" w:eastAsia="微软雅黑"/>
          <w:color w:val="222222"/>
          <w:sz w:val="21"/>
          <w:szCs w:val="21"/>
        </w:rPr>
      </w:pPr>
      <w:r>
        <w:rPr>
          <w:rFonts w:hint="eastAsia" w:ascii="微软雅黑" w:hAnsi="微软雅黑" w:eastAsia="微软雅黑"/>
          <w:color w:val="222222"/>
          <w:sz w:val="21"/>
          <w:szCs w:val="21"/>
        </w:rPr>
        <w:t>沟通交流应当形成记录，作为产品后续研究及审评工作的参考。</w:t>
      </w:r>
    </w:p>
    <w:p w14:paraId="0AB3421E">
      <w:pPr>
        <w:pStyle w:val="4"/>
        <w:shd w:val="clear" w:color="auto" w:fill="FFFFFF"/>
        <w:spacing w:before="0" w:beforeAutospacing="0" w:after="150" w:afterAutospacing="0" w:line="378" w:lineRule="atLeast"/>
        <w:ind w:firstLine="480"/>
        <w:rPr>
          <w:rFonts w:hint="eastAsia" w:ascii="微软雅黑" w:hAnsi="微软雅黑" w:eastAsia="微软雅黑"/>
          <w:color w:val="222222"/>
          <w:sz w:val="21"/>
          <w:szCs w:val="21"/>
        </w:rPr>
      </w:pPr>
      <w:r>
        <w:rPr>
          <w:rFonts w:hint="eastAsia" w:ascii="微软雅黑" w:hAnsi="微软雅黑" w:eastAsia="微软雅黑"/>
          <w:color w:val="222222"/>
          <w:sz w:val="21"/>
          <w:szCs w:val="21"/>
        </w:rPr>
        <w:t>第十七条  对第二类创新医疗器械的注册申请，上海市药品监督管理局行政受理部门应当优先受理，并将该注册申请项目标记为“创新医疗器械”，及时进行注册申报资料流转。</w:t>
      </w:r>
    </w:p>
    <w:p w14:paraId="19FC29C1">
      <w:pPr>
        <w:pStyle w:val="4"/>
        <w:shd w:val="clear" w:color="auto" w:fill="FFFFFF"/>
        <w:spacing w:before="0" w:beforeAutospacing="0" w:after="150" w:afterAutospacing="0" w:line="378" w:lineRule="atLeast"/>
        <w:ind w:firstLine="480"/>
        <w:rPr>
          <w:rFonts w:hint="eastAsia" w:ascii="微软雅黑" w:hAnsi="微软雅黑" w:eastAsia="微软雅黑"/>
          <w:color w:val="222222"/>
          <w:sz w:val="21"/>
          <w:szCs w:val="21"/>
        </w:rPr>
      </w:pPr>
      <w:r>
        <w:rPr>
          <w:rFonts w:hint="eastAsia" w:ascii="微软雅黑" w:hAnsi="微软雅黑" w:eastAsia="微软雅黑"/>
          <w:color w:val="222222"/>
          <w:sz w:val="21"/>
          <w:szCs w:val="21"/>
        </w:rPr>
        <w:t>第十八条  对第二类创新医疗器械的注册申请，上海市药品监督管理局予以优先审评、优先安排体系核查、优先审批。对第二类创新医疗器械的许可事项变更申请，予以优先办理。</w:t>
      </w:r>
    </w:p>
    <w:p w14:paraId="79DA9512">
      <w:pPr>
        <w:pStyle w:val="4"/>
        <w:shd w:val="clear" w:color="auto" w:fill="FFFFFF"/>
        <w:spacing w:before="0" w:beforeAutospacing="0" w:after="150" w:afterAutospacing="0" w:line="378" w:lineRule="atLeast"/>
        <w:ind w:firstLine="480"/>
        <w:rPr>
          <w:rFonts w:hint="eastAsia" w:ascii="微软雅黑" w:hAnsi="微软雅黑" w:eastAsia="微软雅黑"/>
          <w:color w:val="222222"/>
          <w:sz w:val="21"/>
          <w:szCs w:val="21"/>
        </w:rPr>
      </w:pPr>
      <w:r>
        <w:rPr>
          <w:rFonts w:hint="eastAsia" w:ascii="微软雅黑" w:hAnsi="微软雅黑" w:eastAsia="微软雅黑"/>
          <w:color w:val="222222"/>
          <w:sz w:val="21"/>
          <w:szCs w:val="21"/>
        </w:rPr>
        <w:t>第十九条  属于下列情形之一的，上海市药品监督管理局可终止本程序并告知申请人：</w:t>
      </w:r>
    </w:p>
    <w:p w14:paraId="5195CA13">
      <w:pPr>
        <w:pStyle w:val="4"/>
        <w:shd w:val="clear" w:color="auto" w:fill="FFFFFF"/>
        <w:spacing w:before="0" w:beforeAutospacing="0" w:after="150" w:afterAutospacing="0" w:line="378" w:lineRule="atLeast"/>
        <w:ind w:firstLine="480"/>
        <w:rPr>
          <w:rFonts w:hint="eastAsia" w:ascii="微软雅黑" w:hAnsi="微软雅黑" w:eastAsia="微软雅黑"/>
          <w:color w:val="222222"/>
          <w:sz w:val="21"/>
          <w:szCs w:val="21"/>
        </w:rPr>
      </w:pPr>
      <w:r>
        <w:rPr>
          <w:rFonts w:hint="eastAsia" w:ascii="微软雅黑" w:hAnsi="微软雅黑" w:eastAsia="微软雅黑"/>
          <w:color w:val="222222"/>
          <w:sz w:val="21"/>
          <w:szCs w:val="21"/>
        </w:rPr>
        <w:t>（一）申请人主动要求终止的。</w:t>
      </w:r>
    </w:p>
    <w:p w14:paraId="7A762286">
      <w:pPr>
        <w:pStyle w:val="4"/>
        <w:shd w:val="clear" w:color="auto" w:fill="FFFFFF"/>
        <w:spacing w:before="0" w:beforeAutospacing="0" w:after="150" w:afterAutospacing="0" w:line="378" w:lineRule="atLeast"/>
        <w:ind w:firstLine="480"/>
        <w:rPr>
          <w:rFonts w:hint="eastAsia" w:ascii="微软雅黑" w:hAnsi="微软雅黑" w:eastAsia="微软雅黑"/>
          <w:color w:val="222222"/>
          <w:sz w:val="21"/>
          <w:szCs w:val="21"/>
        </w:rPr>
      </w:pPr>
      <w:r>
        <w:rPr>
          <w:rFonts w:hint="eastAsia" w:ascii="微软雅黑" w:hAnsi="微软雅黑" w:eastAsia="微软雅黑"/>
          <w:color w:val="222222"/>
          <w:sz w:val="21"/>
          <w:szCs w:val="21"/>
        </w:rPr>
        <w:t>（二）申请人未按规定的时间及要求履行相应义务的。</w:t>
      </w:r>
    </w:p>
    <w:p w14:paraId="211776E7">
      <w:pPr>
        <w:pStyle w:val="4"/>
        <w:shd w:val="clear" w:color="auto" w:fill="FFFFFF"/>
        <w:spacing w:before="0" w:beforeAutospacing="0" w:after="150" w:afterAutospacing="0" w:line="378" w:lineRule="atLeast"/>
        <w:ind w:firstLine="480"/>
        <w:rPr>
          <w:rFonts w:hint="eastAsia" w:ascii="微软雅黑" w:hAnsi="微软雅黑" w:eastAsia="微软雅黑"/>
          <w:color w:val="222222"/>
          <w:sz w:val="21"/>
          <w:szCs w:val="21"/>
        </w:rPr>
      </w:pPr>
      <w:r>
        <w:rPr>
          <w:rFonts w:hint="eastAsia" w:ascii="微软雅黑" w:hAnsi="微软雅黑" w:eastAsia="微软雅黑"/>
          <w:color w:val="222222"/>
          <w:sz w:val="21"/>
          <w:szCs w:val="21"/>
        </w:rPr>
        <w:t>（三）申请人提供伪造和虚假资料的。</w:t>
      </w:r>
    </w:p>
    <w:p w14:paraId="1C393817">
      <w:pPr>
        <w:pStyle w:val="4"/>
        <w:shd w:val="clear" w:color="auto" w:fill="FFFFFF"/>
        <w:spacing w:before="0" w:beforeAutospacing="0" w:after="150" w:afterAutospacing="0" w:line="378" w:lineRule="atLeast"/>
        <w:ind w:firstLine="480"/>
        <w:rPr>
          <w:rFonts w:hint="eastAsia" w:ascii="微软雅黑" w:hAnsi="微软雅黑" w:eastAsia="微软雅黑"/>
          <w:color w:val="222222"/>
          <w:sz w:val="21"/>
          <w:szCs w:val="21"/>
        </w:rPr>
      </w:pPr>
      <w:r>
        <w:rPr>
          <w:rFonts w:hint="eastAsia" w:ascii="微软雅黑" w:hAnsi="微软雅黑" w:eastAsia="微软雅黑"/>
          <w:color w:val="222222"/>
          <w:sz w:val="21"/>
          <w:szCs w:val="21"/>
        </w:rPr>
        <w:t>（四）全部核心技术发明专利申请被驳回或视为撤回的。</w:t>
      </w:r>
    </w:p>
    <w:p w14:paraId="5A29785C">
      <w:pPr>
        <w:pStyle w:val="4"/>
        <w:shd w:val="clear" w:color="auto" w:fill="FFFFFF"/>
        <w:spacing w:before="0" w:beforeAutospacing="0" w:after="150" w:afterAutospacing="0" w:line="378" w:lineRule="atLeast"/>
        <w:ind w:firstLine="480"/>
        <w:rPr>
          <w:rFonts w:hint="eastAsia" w:ascii="微软雅黑" w:hAnsi="微软雅黑" w:eastAsia="微软雅黑"/>
          <w:color w:val="222222"/>
          <w:sz w:val="21"/>
          <w:szCs w:val="21"/>
        </w:rPr>
      </w:pPr>
      <w:r>
        <w:rPr>
          <w:rFonts w:hint="eastAsia" w:ascii="微软雅黑" w:hAnsi="微软雅黑" w:eastAsia="微软雅黑"/>
          <w:color w:val="222222"/>
          <w:sz w:val="21"/>
          <w:szCs w:val="21"/>
        </w:rPr>
        <w:t>（五）失去产品全部核心技术发明专利专利权或者使用权。</w:t>
      </w:r>
    </w:p>
    <w:p w14:paraId="03FB4F7F">
      <w:pPr>
        <w:pStyle w:val="4"/>
        <w:shd w:val="clear" w:color="auto" w:fill="FFFFFF"/>
        <w:spacing w:before="0" w:beforeAutospacing="0" w:after="150" w:afterAutospacing="0" w:line="378" w:lineRule="atLeast"/>
        <w:ind w:firstLine="480"/>
        <w:rPr>
          <w:rFonts w:hint="eastAsia" w:ascii="微软雅黑" w:hAnsi="微软雅黑" w:eastAsia="微软雅黑"/>
          <w:color w:val="222222"/>
          <w:sz w:val="21"/>
          <w:szCs w:val="21"/>
        </w:rPr>
      </w:pPr>
      <w:r>
        <w:rPr>
          <w:rFonts w:hint="eastAsia" w:ascii="微软雅黑" w:hAnsi="微软雅黑" w:eastAsia="微软雅黑"/>
          <w:color w:val="222222"/>
          <w:sz w:val="21"/>
          <w:szCs w:val="21"/>
        </w:rPr>
        <w:t>（六）申请产品不再作为第二类医疗器械管理的。</w:t>
      </w:r>
    </w:p>
    <w:p w14:paraId="5B256818">
      <w:pPr>
        <w:pStyle w:val="4"/>
        <w:shd w:val="clear" w:color="auto" w:fill="FFFFFF"/>
        <w:spacing w:before="0" w:beforeAutospacing="0" w:after="150" w:afterAutospacing="0" w:line="378" w:lineRule="atLeast"/>
        <w:ind w:firstLine="480"/>
        <w:rPr>
          <w:rFonts w:hint="eastAsia" w:ascii="微软雅黑" w:hAnsi="微软雅黑" w:eastAsia="微软雅黑"/>
          <w:color w:val="222222"/>
          <w:sz w:val="21"/>
          <w:szCs w:val="21"/>
        </w:rPr>
      </w:pPr>
      <w:r>
        <w:rPr>
          <w:rFonts w:hint="eastAsia" w:ascii="微软雅黑" w:hAnsi="微软雅黑" w:eastAsia="微软雅黑"/>
          <w:color w:val="222222"/>
          <w:sz w:val="21"/>
          <w:szCs w:val="21"/>
        </w:rPr>
        <w:t>（七）经专家审查会议讨论确定不宜再按照本程序管理的。</w:t>
      </w:r>
    </w:p>
    <w:p w14:paraId="451739F5">
      <w:pPr>
        <w:pStyle w:val="4"/>
        <w:shd w:val="clear" w:color="auto" w:fill="FFFFFF"/>
        <w:spacing w:before="0" w:beforeAutospacing="0" w:after="150" w:afterAutospacing="0" w:line="378" w:lineRule="atLeast"/>
        <w:ind w:firstLine="480"/>
        <w:rPr>
          <w:rFonts w:hint="eastAsia" w:ascii="微软雅黑" w:hAnsi="微软雅黑" w:eastAsia="微软雅黑"/>
          <w:color w:val="222222"/>
          <w:sz w:val="21"/>
          <w:szCs w:val="21"/>
        </w:rPr>
      </w:pPr>
      <w:r>
        <w:rPr>
          <w:rFonts w:hint="eastAsia" w:ascii="微软雅黑" w:hAnsi="微软雅黑" w:eastAsia="微软雅黑"/>
          <w:color w:val="222222"/>
          <w:sz w:val="21"/>
          <w:szCs w:val="21"/>
        </w:rPr>
        <w:t>第二十条  上海市药品监督管理局在实施本程序过程中，应当加强与有关部门的沟通和交流，及时了解创新医疗器械的研发进展。</w:t>
      </w:r>
    </w:p>
    <w:p w14:paraId="271752A8">
      <w:pPr>
        <w:pStyle w:val="4"/>
        <w:shd w:val="clear" w:color="auto" w:fill="FFFFFF"/>
        <w:spacing w:before="0" w:beforeAutospacing="0" w:after="150" w:afterAutospacing="0" w:line="378" w:lineRule="atLeast"/>
        <w:ind w:firstLine="480"/>
        <w:rPr>
          <w:rFonts w:hint="eastAsia" w:ascii="微软雅黑" w:hAnsi="微软雅黑" w:eastAsia="微软雅黑"/>
          <w:color w:val="222222"/>
          <w:sz w:val="21"/>
          <w:szCs w:val="21"/>
        </w:rPr>
      </w:pPr>
      <w:r>
        <w:rPr>
          <w:rFonts w:hint="eastAsia" w:ascii="微软雅黑" w:hAnsi="微软雅黑" w:eastAsia="微软雅黑"/>
          <w:color w:val="222222"/>
          <w:sz w:val="21"/>
          <w:szCs w:val="21"/>
        </w:rPr>
        <w:t>第二十一条  当第二类创新医疗器械临床研究工作需重大变更的，如临床试验方案修订，使用方法、规格型号、预期用途、适用范围或人群的调整等，申请人应当评估变更对医疗器械安全性、有效性和质量可控性的影响。产品主要工作原理或者作用机理发生变化的，应当按照本程序重新申请。</w:t>
      </w:r>
    </w:p>
    <w:p w14:paraId="44CACB07">
      <w:pPr>
        <w:pStyle w:val="4"/>
        <w:shd w:val="clear" w:color="auto" w:fill="FFFFFF"/>
        <w:spacing w:before="0" w:beforeAutospacing="0" w:after="150" w:afterAutospacing="0" w:line="378" w:lineRule="atLeast"/>
        <w:ind w:firstLine="480"/>
        <w:rPr>
          <w:rFonts w:hint="eastAsia" w:ascii="微软雅黑" w:hAnsi="微软雅黑" w:eastAsia="微软雅黑"/>
          <w:color w:val="222222"/>
          <w:sz w:val="21"/>
          <w:szCs w:val="21"/>
        </w:rPr>
      </w:pPr>
      <w:r>
        <w:rPr>
          <w:rFonts w:hint="eastAsia" w:ascii="微软雅黑" w:hAnsi="微软雅黑" w:eastAsia="微软雅黑"/>
          <w:color w:val="222222"/>
          <w:sz w:val="21"/>
          <w:szCs w:val="21"/>
        </w:rPr>
        <w:t>第二十二条  本程序对第二类创新医疗器械注册管理未作规定的，按照《医疗器械注册管理办法》《体外诊断试剂注册管理办法》等相关规定执行。</w:t>
      </w:r>
    </w:p>
    <w:p w14:paraId="32DB96C6">
      <w:pPr>
        <w:pStyle w:val="4"/>
        <w:shd w:val="clear" w:color="auto" w:fill="FFFFFF"/>
        <w:spacing w:before="0" w:beforeAutospacing="0" w:after="150" w:afterAutospacing="0" w:line="378" w:lineRule="atLeast"/>
        <w:ind w:firstLine="480"/>
        <w:rPr>
          <w:rFonts w:hint="eastAsia" w:ascii="微软雅黑" w:hAnsi="微软雅黑" w:eastAsia="微软雅黑"/>
          <w:color w:val="222222"/>
          <w:sz w:val="21"/>
          <w:szCs w:val="21"/>
        </w:rPr>
      </w:pPr>
      <w:r>
        <w:rPr>
          <w:rFonts w:hint="eastAsia" w:ascii="微软雅黑" w:hAnsi="微软雅黑" w:eastAsia="微软雅黑"/>
          <w:color w:val="222222"/>
          <w:sz w:val="21"/>
          <w:szCs w:val="21"/>
        </w:rPr>
        <w:t>第二十三条  经国家药品监督管理局审查认定的创新医疗器械，且其管理类别经界定为第二类医疗器械的，上海市药品监督管理局可参照本程序予以优先服务。</w:t>
      </w:r>
    </w:p>
    <w:p w14:paraId="2D33EB7E">
      <w:pPr>
        <w:pStyle w:val="4"/>
        <w:shd w:val="clear" w:color="auto" w:fill="FFFFFF"/>
        <w:spacing w:before="0" w:beforeAutospacing="0" w:after="150" w:afterAutospacing="0" w:line="378" w:lineRule="atLeast"/>
        <w:ind w:firstLine="480"/>
        <w:rPr>
          <w:rFonts w:hint="eastAsia" w:ascii="微软雅黑" w:hAnsi="微软雅黑" w:eastAsia="微软雅黑"/>
          <w:color w:val="222222"/>
          <w:sz w:val="21"/>
          <w:szCs w:val="21"/>
        </w:rPr>
      </w:pPr>
      <w:r>
        <w:rPr>
          <w:rFonts w:hint="eastAsia" w:ascii="微软雅黑" w:hAnsi="微软雅黑" w:eastAsia="微软雅黑"/>
          <w:color w:val="222222"/>
          <w:sz w:val="21"/>
          <w:szCs w:val="21"/>
        </w:rPr>
        <w:t>第二十四条  本程序自2020年3月5日起实施，有效期5年。</w:t>
      </w:r>
    </w:p>
    <w:p w14:paraId="4D8D2F44"/>
    <w:p w14:paraId="2DB287B2">
      <w:pPr>
        <w:pStyle w:val="4"/>
        <w:shd w:val="clear" w:color="auto" w:fill="FFFFFF"/>
        <w:spacing w:before="0" w:beforeAutospacing="0" w:after="150" w:afterAutospacing="0" w:line="378" w:lineRule="atLeast"/>
        <w:jc w:val="center"/>
        <w:rPr>
          <w:rFonts w:hint="eastAsia" w:eastAsia="等线"/>
          <w:lang w:eastAsia="zh-CN"/>
        </w:rPr>
      </w:pPr>
    </w:p>
    <w:p w14:paraId="4CFBD73E">
      <w:pPr>
        <w:pStyle w:val="4"/>
        <w:shd w:val="clear" w:color="auto" w:fill="FFFFFF"/>
        <w:spacing w:before="0" w:beforeAutospacing="0" w:after="150" w:afterAutospacing="0" w:line="378" w:lineRule="atLeast"/>
        <w:jc w:val="center"/>
        <w:rPr>
          <w:rFonts w:hint="eastAsia" w:eastAsia="等线"/>
          <w:lang w:eastAsia="zh-CN"/>
        </w:rPr>
      </w:pPr>
    </w:p>
    <w:p w14:paraId="0CDC99B5">
      <w:pPr>
        <w:pStyle w:val="4"/>
        <w:shd w:val="clear" w:color="auto" w:fill="FFFFFF"/>
        <w:spacing w:before="0" w:beforeAutospacing="0" w:after="150" w:afterAutospacing="0" w:line="378" w:lineRule="atLeast"/>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07A"/>
    <w:rsid w:val="005A107A"/>
    <w:rsid w:val="00784B2C"/>
    <w:rsid w:val="00C248F8"/>
    <w:rsid w:val="00D91AC9"/>
    <w:rsid w:val="75D72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字符"/>
    <w:basedOn w:val="6"/>
    <w:link w:val="3"/>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3173</Words>
  <Characters>3184</Characters>
  <Lines>23</Lines>
  <Paragraphs>6</Paragraphs>
  <TotalTime>1</TotalTime>
  <ScaleCrop>false</ScaleCrop>
  <LinksUpToDate>false</LinksUpToDate>
  <CharactersWithSpaces>3232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2021-08-11T00:06:00Z</dcterms:created>
  <dc:creator>韩 健春</dc:creator>
  <cp:lastModifiedBy>太极箫客</cp:lastModifiedBy>
  <dcterms:modified xsi:type="dcterms:W3CDTF">2025-08-14T06:27:58Z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D074E4667BBD44D7BA095A338B8649B4_12</vt:lpwstr>
  </property>
</Properties>
</file>