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41643">
      <w:pPr>
        <w:pBdr>
          <w:bottom w:val="single" w:color="auto" w:sz="4" w:space="1"/>
        </w:pBdr>
        <w:spacing w:before="120" w:beforeLines="50" w:line="300" w:lineRule="auto"/>
        <w:jc w:val="center"/>
        <w:rPr>
          <w:rFonts w:cs="Times New Roman"/>
          <w:b/>
          <w:sz w:val="36"/>
          <w:szCs w:val="36"/>
          <w:lang w:eastAsia="zh-CN"/>
        </w:rPr>
      </w:pPr>
      <w:bookmarkStart w:id="0" w:name="_GoBack"/>
      <w:bookmarkEnd w:id="0"/>
      <w:r>
        <w:rPr>
          <w:rFonts w:cs="宋体"/>
          <w:b/>
          <w:sz w:val="36"/>
          <w:szCs w:val="36"/>
          <w:lang w:eastAsia="zh-CN"/>
        </w:rPr>
        <w:t>上市前申请中非临床台架性能测试信息的建议内容和格式</w:t>
      </w:r>
    </w:p>
    <w:p w14:paraId="7A06EED7">
      <w:pPr>
        <w:spacing w:before="120" w:beforeLines="50" w:line="300" w:lineRule="auto"/>
        <w:jc w:val="center"/>
        <w:rPr>
          <w:rFonts w:cs="Times New Roman"/>
          <w:b/>
          <w:sz w:val="36"/>
          <w:szCs w:val="36"/>
          <w:lang w:eastAsia="zh-CN"/>
        </w:rPr>
      </w:pPr>
      <w:r>
        <w:rPr>
          <w:rFonts w:cs="宋体"/>
          <w:b/>
          <w:sz w:val="36"/>
          <w:szCs w:val="36"/>
          <w:lang w:eastAsia="zh-CN"/>
        </w:rPr>
        <w:t>行业和美国食品药品监督管理局工作人员指南</w:t>
      </w:r>
    </w:p>
    <w:p w14:paraId="77059A86">
      <w:pPr>
        <w:spacing w:before="120" w:beforeLines="50" w:line="300" w:lineRule="auto"/>
        <w:jc w:val="center"/>
        <w:rPr>
          <w:rFonts w:cs="Times New Roman"/>
          <w:b/>
          <w:lang w:eastAsia="zh-CN"/>
        </w:rPr>
      </w:pPr>
      <w:r>
        <w:rPr>
          <w:rFonts w:cs="宋体"/>
          <w:b/>
          <w:lang w:eastAsia="zh-CN"/>
        </w:rPr>
        <w:t>文件发布日期：2019年12月20日</w:t>
      </w:r>
    </w:p>
    <w:p w14:paraId="2D060097">
      <w:pPr>
        <w:spacing w:before="120" w:beforeLines="50" w:line="300" w:lineRule="auto"/>
        <w:jc w:val="center"/>
        <w:rPr>
          <w:rFonts w:cs="Times New Roman"/>
          <w:b/>
          <w:lang w:eastAsia="zh-CN"/>
        </w:rPr>
      </w:pPr>
      <w:r>
        <w:rPr>
          <w:rFonts w:cs="宋体"/>
          <w:b/>
          <w:lang w:eastAsia="zh-CN"/>
        </w:rPr>
        <w:t>本文件初始发布日期：2019年4月26日</w:t>
      </w:r>
    </w:p>
    <w:p w14:paraId="5A5168B6">
      <w:pPr>
        <w:spacing w:before="120" w:beforeLines="50" w:line="300" w:lineRule="auto"/>
        <w:rPr>
          <w:rFonts w:cs="Times New Roman"/>
        </w:rPr>
      </w:pPr>
      <w:r>
        <w:rPr>
          <w:rFonts w:cs="宋体"/>
        </w:rPr>
        <w:t>如对本文件有关CDRH监管器械的内容有任何疑问，请发送电子邮件至</w:t>
      </w:r>
      <w:r>
        <w:rPr>
          <w:rFonts w:cs="宋体"/>
          <w:color w:val="0000FF"/>
          <w:u w:val="single"/>
        </w:rPr>
        <w:t>RPG@fda.hhs.gov</w:t>
      </w:r>
      <w:r>
        <w:rPr>
          <w:rFonts w:cs="宋体"/>
        </w:rPr>
        <w:t>联系监管顾问。对于有关本文件与CBER监管器械相关的问题，请致电1-800-835-4709或240-402-8010或发送电邮至</w:t>
      </w:r>
      <w:r>
        <w:rPr>
          <w:rFonts w:cs="宋体"/>
          <w:color w:val="0000FF"/>
          <w:u w:val="single"/>
        </w:rPr>
        <w:t>ocod@fda.hhs.gov</w:t>
      </w:r>
      <w:r>
        <w:rPr>
          <w:rFonts w:cs="宋体"/>
        </w:rPr>
        <w:t>联系CBER的交流、外联和发展办公室（OCOD）。</w:t>
      </w:r>
    </w:p>
    <w:p w14:paraId="002AEF61">
      <w:pPr>
        <w:spacing w:before="120" w:beforeLines="50" w:line="300" w:lineRule="auto"/>
        <w:rPr>
          <w:rFonts w:cs="Times New Roman"/>
          <w:lang w:eastAsia="zh-CN"/>
        </w:rPr>
      </w:pPr>
    </w:p>
    <w:p w14:paraId="0A2E06E0">
      <w:pPr>
        <w:spacing w:before="120" w:beforeLines="50" w:line="300" w:lineRule="auto"/>
        <w:rPr>
          <w:rFonts w:cs="Times New Roman"/>
          <w:lang w:eastAsia="zh-CN"/>
        </w:rPr>
      </w:pPr>
    </w:p>
    <w:p w14:paraId="22CA806B">
      <w:pPr>
        <w:spacing w:before="120" w:beforeLines="50" w:line="300" w:lineRule="auto"/>
        <w:rPr>
          <w:rFonts w:cs="Times New Roman"/>
          <w:lang w:eastAsia="zh-CN"/>
        </w:rPr>
      </w:pPr>
    </w:p>
    <w:p w14:paraId="4DAD3DD6">
      <w:pPr>
        <w:spacing w:before="120" w:beforeLines="50" w:line="300" w:lineRule="auto"/>
        <w:rPr>
          <w:rFonts w:cs="Times New Roman"/>
          <w:lang w:eastAsia="zh-CN"/>
        </w:rPr>
      </w:pPr>
    </w:p>
    <w:p w14:paraId="0A2A1572">
      <w:pPr>
        <w:spacing w:before="120" w:beforeLines="50" w:line="300" w:lineRule="auto"/>
        <w:rPr>
          <w:rFonts w:cs="Times New Roman"/>
          <w:lang w:eastAsia="zh-CN"/>
        </w:rPr>
      </w:pPr>
    </w:p>
    <w:p w14:paraId="0B85785B">
      <w:pPr>
        <w:spacing w:before="120" w:beforeLines="50" w:line="300" w:lineRule="auto"/>
        <w:rPr>
          <w:rFonts w:cs="Times New Roman"/>
          <w:lang w:eastAsia="zh-CN"/>
        </w:rPr>
      </w:pPr>
    </w:p>
    <w:p w14:paraId="1A66E88B">
      <w:pPr>
        <w:spacing w:before="120" w:beforeLines="50" w:line="300" w:lineRule="auto"/>
        <w:rPr>
          <w:rFonts w:cs="Times New Roman"/>
          <w:lang w:eastAsia="zh-CN"/>
        </w:rPr>
      </w:pPr>
    </w:p>
    <w:p w14:paraId="78F3D9C9">
      <w:pPr>
        <w:spacing w:before="120" w:beforeLines="50" w:line="300" w:lineRule="auto"/>
        <w:rPr>
          <w:rFonts w:cs="Times New Roman"/>
          <w:lang w:eastAsia="zh-CN"/>
        </w:rPr>
      </w:pPr>
    </w:p>
    <w:p w14:paraId="3DF6E430">
      <w:pPr>
        <w:spacing w:before="120" w:beforeLines="50" w:line="300" w:lineRule="auto"/>
        <w:rPr>
          <w:rFonts w:cs="Times New Roman"/>
          <w:lang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48"/>
        <w:gridCol w:w="5339"/>
      </w:tblGrid>
      <w:tr w14:paraId="0050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8" w:type="dxa"/>
          </w:tcPr>
          <w:p w14:paraId="439CDC21">
            <w:pPr>
              <w:spacing w:before="120" w:beforeLines="50" w:line="300" w:lineRule="auto"/>
              <w:rPr>
                <w:rFonts w:cs="Times New Roman"/>
                <w:lang w:eastAsia="zh-CN"/>
              </w:rPr>
            </w:pPr>
            <w:r>
              <w:rPr>
                <w:rFonts w:cs="宋体"/>
                <w:lang w:eastAsia="zh-CN"/>
              </w:rPr>
              <w:drawing>
                <wp:inline distT="0" distB="0" distL="0" distR="0">
                  <wp:extent cx="2369820" cy="495300"/>
                  <wp:effectExtent l="0" t="0" r="0" b="0"/>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ood and Drug Administration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9820" cy="495300"/>
                          </a:xfrm>
                          <a:prstGeom prst="rect">
                            <a:avLst/>
                          </a:prstGeom>
                        </pic:spPr>
                      </pic:pic>
                    </a:graphicData>
                  </a:graphic>
                </wp:inline>
              </w:drawing>
            </w:r>
          </w:p>
        </w:tc>
        <w:tc>
          <w:tcPr>
            <w:tcW w:w="5339" w:type="dxa"/>
          </w:tcPr>
          <w:p w14:paraId="73B5BDE5">
            <w:pPr>
              <w:spacing w:before="120" w:beforeLines="50" w:line="300" w:lineRule="auto"/>
              <w:jc w:val="right"/>
              <w:rPr>
                <w:rFonts w:cs="Times New Roman"/>
                <w:b/>
                <w:lang w:eastAsia="zh-CN"/>
              </w:rPr>
            </w:pPr>
            <w:r>
              <w:rPr>
                <w:rFonts w:cs="宋体"/>
                <w:b/>
                <w:lang w:eastAsia="zh-CN"/>
              </w:rPr>
              <w:t>美国卫生与公共服务部</w:t>
            </w:r>
          </w:p>
          <w:p w14:paraId="1E42E737">
            <w:pPr>
              <w:spacing w:before="120" w:beforeLines="50" w:line="300" w:lineRule="auto"/>
              <w:jc w:val="right"/>
              <w:rPr>
                <w:rFonts w:cs="Times New Roman"/>
                <w:b/>
                <w:lang w:eastAsia="zh-CN"/>
              </w:rPr>
            </w:pPr>
            <w:r>
              <w:rPr>
                <w:rFonts w:cs="宋体"/>
                <w:b/>
                <w:lang w:eastAsia="zh-CN"/>
              </w:rPr>
              <w:t>美国食品药品监督管理局</w:t>
            </w:r>
          </w:p>
          <w:p w14:paraId="07ACE78D">
            <w:pPr>
              <w:spacing w:before="120" w:beforeLines="50" w:line="300" w:lineRule="auto"/>
              <w:jc w:val="right"/>
              <w:rPr>
                <w:rFonts w:cs="Times New Roman"/>
                <w:b/>
                <w:lang w:eastAsia="zh-CN"/>
              </w:rPr>
            </w:pPr>
            <w:r>
              <w:rPr>
                <w:rFonts w:cs="宋体"/>
                <w:b/>
                <w:lang w:eastAsia="zh-CN"/>
              </w:rPr>
              <w:t>医疗器械和</w:t>
            </w:r>
            <w:r>
              <w:rPr>
                <w:rFonts w:hint="eastAsia" w:cs="宋体"/>
                <w:b/>
                <w:lang w:eastAsia="zh-CN"/>
              </w:rPr>
              <w:t>辐射健康</w:t>
            </w:r>
            <w:r>
              <w:rPr>
                <w:rFonts w:cs="宋体"/>
                <w:b/>
                <w:lang w:eastAsia="zh-CN"/>
              </w:rPr>
              <w:t>中心</w:t>
            </w:r>
          </w:p>
          <w:p w14:paraId="0F3BB30A">
            <w:pPr>
              <w:spacing w:before="120" w:beforeLines="50" w:line="300" w:lineRule="auto"/>
              <w:jc w:val="right"/>
              <w:rPr>
                <w:rFonts w:cs="Times New Roman"/>
                <w:b/>
                <w:lang w:eastAsia="zh-CN"/>
              </w:rPr>
            </w:pPr>
            <w:r>
              <w:rPr>
                <w:rFonts w:cs="宋体"/>
                <w:b/>
                <w:lang w:eastAsia="zh-CN"/>
              </w:rPr>
              <w:t>生物制品评价与研究中心</w:t>
            </w:r>
          </w:p>
        </w:tc>
      </w:tr>
    </w:tbl>
    <w:p w14:paraId="21564FE6">
      <w:pPr>
        <w:spacing w:before="120" w:beforeLines="50" w:line="300" w:lineRule="auto"/>
        <w:rPr>
          <w:rFonts w:cs="Times New Roman"/>
          <w:b/>
          <w:lang w:eastAsia="zh-CN"/>
        </w:rPr>
      </w:pPr>
      <w:r>
        <w:rPr>
          <w:rFonts w:cs="宋体"/>
          <w:lang w:eastAsia="zh-CN"/>
        </w:rPr>
        <w:br w:type="page"/>
      </w:r>
    </w:p>
    <w:p w14:paraId="0743DFD5">
      <w:pPr>
        <w:spacing w:before="120" w:beforeLines="50" w:line="300" w:lineRule="auto"/>
        <w:jc w:val="center"/>
        <w:rPr>
          <w:rFonts w:cs="Times New Roman"/>
          <w:b/>
          <w:sz w:val="36"/>
          <w:szCs w:val="36"/>
        </w:rPr>
      </w:pPr>
      <w:r>
        <w:rPr>
          <w:rFonts w:cs="宋体"/>
          <w:b/>
          <w:sz w:val="36"/>
          <w:szCs w:val="36"/>
        </w:rPr>
        <w:t>前言</w:t>
      </w:r>
    </w:p>
    <w:p w14:paraId="51EEB5DC">
      <w:pPr>
        <w:spacing w:before="120" w:beforeLines="50" w:line="300" w:lineRule="auto"/>
        <w:rPr>
          <w:rFonts w:cs="Times New Roman"/>
          <w:b/>
          <w:sz w:val="32"/>
        </w:rPr>
      </w:pPr>
      <w:r>
        <w:rPr>
          <w:rFonts w:cs="宋体"/>
          <w:b/>
          <w:sz w:val="32"/>
        </w:rPr>
        <w:t>公众意见</w:t>
      </w:r>
    </w:p>
    <w:p w14:paraId="4DC39DB3">
      <w:pPr>
        <w:spacing w:before="120" w:beforeLines="50" w:line="300" w:lineRule="auto"/>
        <w:rPr>
          <w:rFonts w:cs="Times New Roman"/>
        </w:rPr>
      </w:pPr>
      <w:r>
        <w:rPr>
          <w:rFonts w:cs="宋体"/>
        </w:rPr>
        <w:t>您可随时将电子版意见和建议提交至</w:t>
      </w:r>
      <w:r>
        <w:rPr>
          <w:rFonts w:cs="宋体"/>
          <w:color w:val="0000FF"/>
          <w:u w:val="single"/>
        </w:rPr>
        <w:t>http://www.regulations.gov</w:t>
      </w:r>
      <w:r>
        <w:rPr>
          <w:rFonts w:cs="宋体"/>
        </w:rPr>
        <w:t>，供</w:t>
      </w:r>
      <w:r>
        <w:rPr>
          <w:rFonts w:hint="eastAsia" w:cs="宋体"/>
          <w:lang w:eastAsia="zh-CN"/>
        </w:rPr>
        <w:t>FDA审议</w:t>
      </w:r>
      <w:r>
        <w:rPr>
          <w:rFonts w:cs="宋体"/>
        </w:rPr>
        <w:t>。您亦可将书面意见提交至：美国食品药品监督管理局备案文件管理部（HFA-305）, 5630 Fishers Lane, rm. 1061, Rockville, MD 20852。所有意见或建议均应注明备案文件编号FDA-2018-D-1329。在下次修订或更新本文件时，FDA将考虑实施该意见。</w:t>
      </w:r>
    </w:p>
    <w:p w14:paraId="6485C1A1">
      <w:pPr>
        <w:spacing w:before="120" w:beforeLines="50" w:line="300" w:lineRule="auto"/>
        <w:rPr>
          <w:rFonts w:cs="Times New Roman"/>
          <w:b/>
          <w:sz w:val="32"/>
          <w:lang w:eastAsia="zh-CN"/>
        </w:rPr>
      </w:pPr>
      <w:r>
        <w:rPr>
          <w:rFonts w:cs="宋体"/>
          <w:b/>
          <w:sz w:val="32"/>
          <w:lang w:eastAsia="zh-CN"/>
        </w:rPr>
        <w:t>更多副本</w:t>
      </w:r>
    </w:p>
    <w:p w14:paraId="7A622303">
      <w:pPr>
        <w:spacing w:before="120" w:beforeLines="50" w:line="300" w:lineRule="auto"/>
        <w:rPr>
          <w:rFonts w:cs="Times New Roman"/>
          <w:lang w:eastAsia="zh-CN"/>
        </w:rPr>
      </w:pPr>
      <w:r>
        <w:rPr>
          <w:rFonts w:cs="宋体"/>
          <w:lang w:eastAsia="zh-CN"/>
        </w:rPr>
        <w:t>更多副本可通过互联网获得。您也可以通过电子邮件发送请求至</w:t>
      </w:r>
      <w:r>
        <w:rPr>
          <w:rFonts w:cs="宋体"/>
          <w:color w:val="0000FF"/>
          <w:u w:val="single"/>
          <w:lang w:eastAsia="zh-CN"/>
        </w:rPr>
        <w:t>CDRH-Guidance@fda.hhs.gov</w:t>
      </w:r>
      <w:r>
        <w:rPr>
          <w:rFonts w:cs="宋体"/>
          <w:lang w:eastAsia="zh-CN"/>
        </w:rPr>
        <w:t>获取本指南的副本。请在申请中注明文件编号18011和指南的完整标题。</w:t>
      </w:r>
    </w:p>
    <w:p w14:paraId="21E62F04">
      <w:pPr>
        <w:spacing w:before="120" w:beforeLines="50" w:line="300" w:lineRule="auto"/>
        <w:rPr>
          <w:rFonts w:cs="Times New Roman"/>
          <w:b/>
          <w:sz w:val="32"/>
        </w:rPr>
      </w:pPr>
      <w:r>
        <w:rPr>
          <w:rFonts w:cs="宋体"/>
          <w:b/>
          <w:sz w:val="32"/>
        </w:rPr>
        <w:t>CBER</w:t>
      </w:r>
    </w:p>
    <w:p w14:paraId="16A668EC">
      <w:pPr>
        <w:spacing w:before="120" w:beforeLines="50" w:line="300" w:lineRule="auto"/>
        <w:rPr>
          <w:rFonts w:cs="Times New Roman"/>
        </w:rPr>
      </w:pPr>
      <w:r>
        <w:rPr>
          <w:rFonts w:cs="宋体"/>
        </w:rPr>
        <w:t>您可以提交书面申请至如下地址获得本指南的副本：生物制品评价与研究中心（CBER），交流、外联和发展办公室（OCOD），地址：10903 New Hampshire Ave., Bldg. 71, Room 3128, Silver Spring, MD 20993-0002，或致电1-800-835-4709或240-402-8010，或发送电子邮件至ocod@fda.hhs.gov，或登录网址</w:t>
      </w:r>
      <w:r>
        <w:rPr>
          <w:rFonts w:cs="宋体"/>
          <w:color w:val="0000FF"/>
          <w:u w:val="single"/>
        </w:rPr>
        <w:t>https://www.fda.gov/vaccines-blood-biologics/guidance-compliance-regulatory-information-biologics</w:t>
      </w:r>
      <w:r>
        <w:rPr>
          <w:rFonts w:cs="宋体"/>
        </w:rPr>
        <w:t>。</w:t>
      </w:r>
    </w:p>
    <w:p w14:paraId="0913EF9E">
      <w:pPr>
        <w:pBdr>
          <w:bottom w:val="single" w:color="auto" w:sz="4" w:space="1"/>
        </w:pBdr>
        <w:spacing w:before="120" w:beforeLines="50" w:line="300" w:lineRule="auto"/>
        <w:jc w:val="center"/>
        <w:rPr>
          <w:rFonts w:cs="Times New Roman"/>
          <w:b/>
          <w:sz w:val="36"/>
          <w:szCs w:val="36"/>
          <w:lang w:eastAsia="zh-CN"/>
        </w:rPr>
      </w:pPr>
      <w:r>
        <w:rPr>
          <w:rFonts w:cs="宋体"/>
          <w:lang w:eastAsia="zh-CN"/>
        </w:rPr>
        <w:br w:type="page"/>
      </w:r>
      <w:r>
        <w:rPr>
          <w:rFonts w:cs="宋体"/>
          <w:b/>
          <w:sz w:val="36"/>
          <w:szCs w:val="36"/>
          <w:lang w:eastAsia="zh-CN"/>
        </w:rPr>
        <w:t>上市前申请中非临床台架性能测试信息的建议内容和格式</w:t>
      </w:r>
    </w:p>
    <w:p w14:paraId="5CDC379F">
      <w:pPr>
        <w:spacing w:before="120" w:beforeLines="50" w:line="300" w:lineRule="auto"/>
        <w:jc w:val="center"/>
        <w:rPr>
          <w:rFonts w:cs="Times New Roman"/>
          <w:b/>
          <w:sz w:val="36"/>
          <w:szCs w:val="36"/>
          <w:lang w:eastAsia="zh-CN"/>
        </w:rPr>
      </w:pPr>
      <w:r>
        <w:rPr>
          <w:rFonts w:cs="宋体"/>
          <w:b/>
          <w:sz w:val="36"/>
          <w:szCs w:val="36"/>
          <w:lang w:eastAsia="zh-CN"/>
        </w:rPr>
        <w:t>行业和美国食品药品监督管理局工作人员指南</w:t>
      </w:r>
    </w:p>
    <w:p w14:paraId="074EA396">
      <w:pPr>
        <w:pBdr>
          <w:top w:val="single" w:color="auto" w:sz="4" w:space="1"/>
          <w:left w:val="single" w:color="auto" w:sz="4" w:space="4"/>
          <w:bottom w:val="single" w:color="auto" w:sz="4" w:space="1"/>
          <w:right w:val="single" w:color="auto" w:sz="4" w:space="4"/>
        </w:pBdr>
        <w:spacing w:before="120" w:beforeLines="50" w:line="300" w:lineRule="auto"/>
        <w:rPr>
          <w:rFonts w:cs="Times New Roman"/>
          <w:b/>
          <w:i/>
          <w:sz w:val="21"/>
          <w:lang w:eastAsia="zh-CN"/>
        </w:rPr>
      </w:pPr>
      <w:r>
        <w:rPr>
          <w:rFonts w:hint="eastAsia" w:cs="宋体"/>
          <w:b/>
          <w:i/>
          <w:sz w:val="21"/>
          <w:lang w:eastAsia="zh-CN"/>
        </w:rPr>
        <w:t>本指南代表美国食品药品监督管理局（以下简称“FDA”或“本机构”）目前关于该主题的观点。本指南并不对任何人赋予任何法律权利，也不对FDA或公众产生约束力。如有其他适用方法可以满足适用法令和法规的要求，则亦可使用其他替代方法。如需讨论替代方法，请联系标题页列出的FDA负责实施本指南的工作人员或办公室。</w:t>
      </w:r>
    </w:p>
    <w:p w14:paraId="6EE65648">
      <w:pPr>
        <w:pStyle w:val="2"/>
        <w:rPr>
          <w:lang w:eastAsia="zh-CN"/>
        </w:rPr>
      </w:pPr>
      <w:r>
        <w:rPr>
          <w:rFonts w:cs="宋体"/>
          <w:lang w:eastAsia="zh-CN"/>
        </w:rPr>
        <w:t>I.</w:t>
      </w:r>
      <w:r>
        <w:rPr>
          <w:rFonts w:cs="宋体"/>
          <w:lang w:eastAsia="zh-CN"/>
        </w:rPr>
        <w:tab/>
      </w:r>
      <w:r>
        <w:rPr>
          <w:rFonts w:cs="宋体"/>
          <w:lang w:eastAsia="zh-CN"/>
        </w:rPr>
        <w:t>引言和范围</w:t>
      </w:r>
    </w:p>
    <w:p w14:paraId="1588E91E">
      <w:pPr>
        <w:spacing w:before="120" w:beforeLines="50" w:line="300" w:lineRule="auto"/>
        <w:rPr>
          <w:rFonts w:cs="Times New Roman"/>
          <w:lang w:eastAsia="zh-CN"/>
        </w:rPr>
      </w:pPr>
      <w:r>
        <w:rPr>
          <w:rFonts w:cs="宋体"/>
          <w:lang w:eastAsia="zh-CN"/>
        </w:rPr>
        <w:t>美国食品药品监督管理局（FDA）制定本文件</w:t>
      </w:r>
      <w:r>
        <w:rPr>
          <w:rFonts w:hint="eastAsia" w:cs="宋体"/>
          <w:lang w:eastAsia="zh-CN"/>
        </w:rPr>
        <w:t>旨在</w:t>
      </w:r>
      <w:r>
        <w:rPr>
          <w:rFonts w:cs="宋体"/>
          <w:lang w:eastAsia="zh-CN"/>
        </w:rPr>
        <w:t>描述在上市前申请文件（即上市前批准（PMA）申请、人道主义器械豁免（HDE）申请、上市前通知（510(k)）申请、</w:t>
      </w:r>
      <w:r>
        <w:rPr>
          <w:rFonts w:hint="eastAsia" w:cs="宋体"/>
          <w:lang w:eastAsia="zh-CN"/>
        </w:rPr>
        <w:t>试验用</w:t>
      </w:r>
      <w:r>
        <w:rPr>
          <w:rFonts w:cs="宋体"/>
          <w:lang w:eastAsia="zh-CN"/>
        </w:rPr>
        <w:t>器械豁免（IDE）申请和重新分类申请（De Novo申请））中提供的非临床台架性能测试的测试报告总结、测试方案和完整测试报告中应包含的相关信息。</w:t>
      </w:r>
    </w:p>
    <w:p w14:paraId="4063D92C">
      <w:pPr>
        <w:spacing w:before="120" w:beforeLines="50" w:line="300" w:lineRule="auto"/>
        <w:rPr>
          <w:rFonts w:cs="Times New Roman"/>
          <w:lang w:eastAsia="zh-CN"/>
        </w:rPr>
      </w:pPr>
      <w:r>
        <w:rPr>
          <w:rFonts w:cs="宋体"/>
          <w:lang w:eastAsia="zh-CN"/>
        </w:rPr>
        <w:t>就本文件撰写的目的而言，将非临床台架性能测试定义​​为由器械制造商或第三方测试机构（例如测试实验室）进行的性能测试，包括所有台架试验，并将取决于实际器械具体情况或器械类型。非临床台架性能测试包括但不限于：机械和生物工程性能（如疲劳、磨损、抗拉强度、压缩和爆破压力）；使用离体、体外和原位动物</w:t>
      </w:r>
      <w:r>
        <w:rPr>
          <w:rFonts w:cs="宋体"/>
          <w:vertAlign w:val="superscript"/>
          <w:lang w:eastAsia="zh-CN"/>
        </w:rPr>
        <w:t>1</w:t>
      </w:r>
      <w:r>
        <w:rPr>
          <w:rFonts w:cs="宋体"/>
          <w:lang w:eastAsia="zh-CN"/>
        </w:rPr>
        <w:t>或人体组织进行的台架试验；以及动物尸体或人体尸体试验。</w:t>
      </w:r>
    </w:p>
    <w:p w14:paraId="518F4C71">
      <w:pPr>
        <w:pStyle w:val="20"/>
        <w:rPr>
          <w:lang w:eastAsia="zh-CN"/>
        </w:rPr>
      </w:pPr>
      <w:r>
        <w:rPr>
          <w:rFonts w:cs="宋体"/>
          <w:lang w:eastAsia="zh-CN"/>
        </w:rPr>
        <w:t>______________________</w:t>
      </w:r>
    </w:p>
    <w:p w14:paraId="017474A1">
      <w:pPr>
        <w:pStyle w:val="20"/>
        <w:rPr>
          <w:lang w:eastAsia="zh-CN"/>
        </w:rPr>
      </w:pPr>
      <w:r>
        <w:rPr>
          <w:rFonts w:cs="宋体"/>
          <w:vertAlign w:val="superscript"/>
          <w:lang w:eastAsia="zh-CN"/>
        </w:rPr>
        <w:t xml:space="preserve">1 </w:t>
      </w:r>
      <w:r>
        <w:rPr>
          <w:rFonts w:cs="宋体"/>
          <w:lang w:eastAsia="zh-CN"/>
        </w:rPr>
        <w:tab/>
      </w:r>
      <w:r>
        <w:rPr>
          <w:rFonts w:cs="宋体"/>
          <w:lang w:eastAsia="zh-CN"/>
        </w:rPr>
        <w:t>FDA支持“3R”原则，即在可行情况下减少</w:t>
      </w:r>
      <w:r>
        <w:rPr>
          <w:rFonts w:hint="eastAsia" w:cs="宋体"/>
          <w:lang w:eastAsia="zh-CN"/>
        </w:rPr>
        <w:t>（Reduce）</w:t>
      </w:r>
      <w:r>
        <w:rPr>
          <w:rFonts w:cs="宋体"/>
          <w:lang w:eastAsia="zh-CN"/>
        </w:rPr>
        <w:t>、改进</w:t>
      </w:r>
      <w:r>
        <w:rPr>
          <w:rFonts w:hint="eastAsia" w:cs="宋体"/>
          <w:lang w:eastAsia="zh-CN"/>
        </w:rPr>
        <w:t>（Refine）</w:t>
      </w:r>
      <w:r>
        <w:rPr>
          <w:rFonts w:cs="宋体"/>
          <w:lang w:eastAsia="zh-CN"/>
        </w:rPr>
        <w:t>和取代（Replace）试验中的动物使用。如果申办方希望使用其认为合适、充分、经确认和可行的非动物试验方法，本机构鼓励申办方与本机构协商。本机构将考虑这种备选方法是否可被评价为等同于动物试验方法。</w:t>
      </w:r>
    </w:p>
    <w:p w14:paraId="6BAAF557">
      <w:pPr>
        <w:spacing w:before="120" w:beforeLines="50" w:line="300" w:lineRule="auto"/>
        <w:rPr>
          <w:rFonts w:cs="Times New Roman"/>
          <w:lang w:eastAsia="zh-CN"/>
        </w:rPr>
      </w:pPr>
      <w:r>
        <w:rPr>
          <w:rFonts w:cs="宋体"/>
          <w:lang w:eastAsia="zh-CN"/>
        </w:rPr>
        <w:br w:type="page"/>
      </w:r>
      <w:r>
        <w:rPr>
          <w:rFonts w:cs="宋体"/>
          <w:lang w:eastAsia="zh-CN"/>
        </w:rPr>
        <w:t>非临床台架性能测试不包括生物相容性评价、返工处理或灭菌确认、人为因素、软件验证和确认以及计算机建模，因为相关指南文件中详细介绍了此类评估的相关信息。本文件也不包括临床研究、动物研究和评价体外诊断器械性能特征的研究相关的测试报告。</w:t>
      </w:r>
    </w:p>
    <w:p w14:paraId="1892F4EF">
      <w:pPr>
        <w:spacing w:before="120" w:beforeLines="50" w:line="300" w:lineRule="auto"/>
        <w:rPr>
          <w:rFonts w:cs="Times New Roman"/>
          <w:lang w:eastAsia="zh-CN"/>
        </w:rPr>
      </w:pPr>
      <w:r>
        <w:rPr>
          <w:rFonts w:cs="宋体"/>
          <w:lang w:eastAsia="zh-CN"/>
        </w:rPr>
        <w:t>下列信息旨在协助确保上市前申请中包含清晰一致的非临床台架性能测试信息。</w:t>
      </w:r>
      <w:r>
        <w:rPr>
          <w:rFonts w:cs="宋体"/>
          <w:vertAlign w:val="superscript"/>
          <w:lang w:eastAsia="zh-CN"/>
        </w:rPr>
        <w:t>2</w:t>
      </w:r>
      <w:r>
        <w:rPr>
          <w:rFonts w:cs="宋体"/>
          <w:lang w:eastAsia="zh-CN"/>
        </w:rPr>
        <w:t>本指南中的信息旨在与其他FDA指南文件（包括器械相关指南），以及与FDA认可标准中的特定测试报告建议联合使用。有关在监管提交资料中使用共识标准的更多信息，请参见标题为《</w:t>
      </w:r>
      <w:r>
        <w:rPr>
          <w:rFonts w:cs="宋体"/>
          <w:color w:val="0000FF"/>
          <w:u w:val="single"/>
          <w:lang w:eastAsia="zh-CN"/>
        </w:rPr>
        <w:t>在医疗器械上市前申请中适当使用自愿共识标准</w:t>
      </w:r>
      <w:r>
        <w:rPr>
          <w:rFonts w:cs="宋体"/>
          <w:lang w:eastAsia="zh-CN"/>
        </w:rPr>
        <w:t>》</w:t>
      </w:r>
      <w:r>
        <w:rPr>
          <w:rFonts w:cs="宋体"/>
          <w:vertAlign w:val="superscript"/>
          <w:lang w:eastAsia="zh-CN"/>
        </w:rPr>
        <w:t>3</w:t>
      </w:r>
      <w:r>
        <w:rPr>
          <w:rFonts w:cs="宋体"/>
          <w:lang w:eastAsia="zh-CN"/>
        </w:rPr>
        <w:t>和《</w:t>
      </w:r>
      <w:r>
        <w:rPr>
          <w:rFonts w:cs="宋体"/>
          <w:color w:val="0000FF"/>
          <w:u w:val="single"/>
          <w:lang w:eastAsia="zh-CN"/>
        </w:rPr>
        <w:t>生物制品评价与研究中心审查的监管提交资料中的标准制定和标准使用</w:t>
      </w:r>
      <w:r>
        <w:rPr>
          <w:rFonts w:cs="宋体"/>
          <w:lang w:eastAsia="zh-CN"/>
        </w:rPr>
        <w:t>》的FDA指南。”</w:t>
      </w:r>
      <w:r>
        <w:rPr>
          <w:rFonts w:cs="宋体"/>
          <w:vertAlign w:val="superscript"/>
          <w:lang w:eastAsia="zh-CN"/>
        </w:rPr>
        <w:t>4</w:t>
      </w:r>
    </w:p>
    <w:p w14:paraId="616C9093">
      <w:pPr>
        <w:spacing w:before="120" w:beforeLines="50" w:line="300" w:lineRule="auto"/>
        <w:rPr>
          <w:rFonts w:hint="eastAsia" w:cs="Times New Roman"/>
          <w:lang w:eastAsia="zh-CN"/>
        </w:rPr>
      </w:pPr>
      <w:r>
        <w:rPr>
          <w:rFonts w:hint="eastAsia" w:cs="Times New Roman"/>
          <w:lang w:eastAsia="zh-CN"/>
        </w:rPr>
        <w:t>FDA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0520A049">
      <w:pPr>
        <w:pStyle w:val="2"/>
        <w:rPr>
          <w:lang w:eastAsia="zh-CN"/>
        </w:rPr>
      </w:pPr>
      <w:r>
        <w:rPr>
          <w:rFonts w:cs="宋体"/>
          <w:lang w:eastAsia="zh-CN"/>
        </w:rPr>
        <w:t>II.</w:t>
      </w:r>
      <w:r>
        <w:rPr>
          <w:rFonts w:cs="宋体"/>
          <w:lang w:eastAsia="zh-CN"/>
        </w:rPr>
        <w:tab/>
      </w:r>
      <w:r>
        <w:rPr>
          <w:rFonts w:cs="宋体"/>
          <w:lang w:eastAsia="zh-CN"/>
        </w:rPr>
        <w:t>非临床台架性能测试信息的报告</w:t>
      </w:r>
    </w:p>
    <w:p w14:paraId="4FB1CB7D">
      <w:pPr>
        <w:spacing w:before="120" w:beforeLines="50" w:line="300" w:lineRule="auto"/>
        <w:rPr>
          <w:rFonts w:cs="Times New Roman"/>
          <w:lang w:eastAsia="zh-CN"/>
        </w:rPr>
      </w:pPr>
      <w:r>
        <w:rPr>
          <w:rFonts w:cs="宋体"/>
          <w:lang w:eastAsia="zh-CN"/>
        </w:rPr>
        <w:t>为便于FDA审查，本机构建议所有包含非临床台架性能测试信息的上市前申请均应包括“测试报告总结”（即上市前申请的提交者所述的已进行测试的概述）和“完整测试报告”（如适用）。您应在上市前申请的执行摘要章节中提供测试报告总结，或作为上市前申请中的单独文件提供（有关更多详细信息，请参见第II.A节）。必要时，应提供完整的测试报告，作为上市前申请的单独附件（有关更多详细信息，请参见第II.B节）。您可以提供测试方案，作为上市前申请的单独附件，或作为完整测试报告的一部分（更多详细信息，请参见第II.B和C节）。提交的概述、测试方案和测试报告应清晰、易读，并用英文书写或配有英文翻译件。</w:t>
      </w:r>
    </w:p>
    <w:p w14:paraId="72D85260">
      <w:pPr>
        <w:pStyle w:val="20"/>
        <w:rPr>
          <w:lang w:eastAsia="zh-CN"/>
        </w:rPr>
      </w:pPr>
      <w:r>
        <w:rPr>
          <w:rFonts w:cs="宋体"/>
        </w:rPr>
        <w:t>______________________</w:t>
      </w:r>
    </w:p>
    <w:p w14:paraId="6FDD1027">
      <w:pPr>
        <w:pStyle w:val="20"/>
      </w:pPr>
      <w:r>
        <w:rPr>
          <w:rFonts w:cs="宋体"/>
          <w:vertAlign w:val="superscript"/>
        </w:rPr>
        <w:t xml:space="preserve">2 </w:t>
      </w:r>
      <w:r>
        <w:rPr>
          <w:rFonts w:cs="宋体"/>
        </w:rPr>
        <w:tab/>
      </w:r>
      <w:r>
        <w:rPr>
          <w:rFonts w:cs="宋体"/>
        </w:rPr>
        <w:t>本指南中的建议符合《联邦食品、药品和化妆品法案》第513(a)、513(i)和515(c)节中最小负担原则和指南《</w:t>
      </w:r>
      <w:r>
        <w:rPr>
          <w:rFonts w:cs="宋体"/>
          <w:color w:val="0000FF"/>
          <w:u w:val="single"/>
        </w:rPr>
        <w:t>最小负担规范：概念和原则</w:t>
      </w:r>
      <w:r>
        <w:rPr>
          <w:rFonts w:cs="宋体"/>
        </w:rPr>
        <w:t>》中所述的指导原则，可登录以下网址获取：</w:t>
      </w:r>
      <w:r>
        <w:rPr>
          <w:rFonts w:cs="宋体"/>
          <w:color w:val="0000FF"/>
          <w:u w:val="single"/>
        </w:rPr>
        <w:t>https://www.fda.gov/regulatory-</w:t>
      </w:r>
      <w:r>
        <w:rPr>
          <w:rFonts w:cs="宋体"/>
          <w:color w:val="0000FF"/>
        </w:rPr>
        <w:t xml:space="preserve"> </w:t>
      </w:r>
      <w:r>
        <w:rPr>
          <w:rFonts w:cs="宋体"/>
          <w:color w:val="0000FF"/>
          <w:u w:val="single"/>
        </w:rPr>
        <w:t>information/search-fda-guidance-documents/least-burdensome-provisions-concept-and-principles</w:t>
      </w:r>
      <w:r>
        <w:rPr>
          <w:rFonts w:cs="宋体"/>
        </w:rPr>
        <w:t>。</w:t>
      </w:r>
    </w:p>
    <w:p w14:paraId="0EC19BEF">
      <w:pPr>
        <w:pStyle w:val="20"/>
      </w:pPr>
      <w:r>
        <w:rPr>
          <w:rFonts w:cs="宋体"/>
          <w:vertAlign w:val="superscript"/>
        </w:rPr>
        <w:t xml:space="preserve">3 </w:t>
      </w:r>
      <w:r>
        <w:rPr>
          <w:rFonts w:cs="宋体"/>
        </w:rPr>
        <w:tab/>
      </w:r>
      <w:r>
        <w:rPr>
          <w:rFonts w:cs="宋体"/>
        </w:rPr>
        <w:t>可登录以下网址获取：</w:t>
      </w:r>
      <w:r>
        <w:rPr>
          <w:rFonts w:cs="宋体"/>
          <w:color w:val="0000FF"/>
          <w:u w:val="single"/>
        </w:rPr>
        <w:t>https://www.fda.gov/regulatory-information/search-fda-guidance-documents/appropriate-use- voluntary-consensus-standards-premarket-submissions-medical-devices</w:t>
      </w:r>
      <w:r>
        <w:rPr>
          <w:rFonts w:cs="宋体"/>
        </w:rPr>
        <w:t>。</w:t>
      </w:r>
    </w:p>
    <w:p w14:paraId="3487EBBA">
      <w:pPr>
        <w:pStyle w:val="20"/>
      </w:pPr>
      <w:r>
        <w:rPr>
          <w:rFonts w:cs="宋体"/>
          <w:vertAlign w:val="superscript"/>
        </w:rPr>
        <w:t xml:space="preserve">4 </w:t>
      </w:r>
      <w:r>
        <w:rPr>
          <w:rFonts w:cs="宋体"/>
        </w:rPr>
        <w:tab/>
      </w:r>
      <w:r>
        <w:rPr>
          <w:rFonts w:cs="宋体"/>
        </w:rPr>
        <w:t>可登录以下网址获取：</w:t>
      </w:r>
      <w:r>
        <w:rPr>
          <w:rFonts w:cs="宋体"/>
          <w:color w:val="0000FF"/>
          <w:u w:val="single"/>
        </w:rPr>
        <w:t>https://www.fda.gov/regulatory-information/search-fda-guidance-documents/standards-development-</w:t>
      </w:r>
      <w:r>
        <w:rPr>
          <w:rFonts w:cs="宋体"/>
          <w:color w:val="0000FF"/>
        </w:rPr>
        <w:t xml:space="preserve"> </w:t>
      </w:r>
      <w:r>
        <w:rPr>
          <w:rFonts w:cs="宋体"/>
          <w:color w:val="0000FF"/>
          <w:u w:val="single"/>
        </w:rPr>
        <w:t>and-use-standards-regulatory-submissions-reviewed-center-biologics-evaluation</w:t>
      </w:r>
      <w:r>
        <w:rPr>
          <w:rFonts w:cs="宋体"/>
        </w:rPr>
        <w:t>。</w:t>
      </w:r>
    </w:p>
    <w:p w14:paraId="5D6B187C">
      <w:pPr>
        <w:spacing w:before="120" w:beforeLines="50" w:line="300" w:lineRule="auto"/>
        <w:rPr>
          <w:rFonts w:cs="Times New Roman"/>
        </w:rPr>
      </w:pPr>
      <w:r>
        <w:rPr>
          <w:rFonts w:cs="宋体"/>
        </w:rPr>
        <w:br w:type="page"/>
      </w:r>
    </w:p>
    <w:p w14:paraId="709725AF">
      <w:pPr>
        <w:spacing w:before="120" w:beforeLines="50" w:line="300" w:lineRule="auto"/>
        <w:rPr>
          <w:rFonts w:cs="Times New Roman"/>
          <w:lang w:eastAsia="zh-CN"/>
        </w:rPr>
      </w:pPr>
      <w:r>
        <w:rPr>
          <w:rFonts w:cs="宋体"/>
          <w:lang w:eastAsia="zh-CN"/>
        </w:rPr>
        <w:t>特殊510(k)和简化510(k)中提供的某些测试通常不需要完整测试报告。对于提供FDA认可共识标准的符合性声明（DOC）的上市前申请，支持DOC的信息（即补充文件）将根据共识标准所涉及的要素而有所不同，但可能包括测试报告总结、测试方案和/或完整测试报告。有关使用共识标准和DOC的更多信息，请参见标题为《</w:t>
      </w:r>
      <w:r>
        <w:rPr>
          <w:rFonts w:cs="宋体"/>
          <w:color w:val="0000FF"/>
          <w:u w:val="single"/>
          <w:lang w:eastAsia="zh-CN"/>
        </w:rPr>
        <w:t>在医疗器械上市前申请中适当使用自愿共识标准</w:t>
      </w:r>
      <w:r>
        <w:rPr>
          <w:rFonts w:cs="宋体"/>
          <w:lang w:eastAsia="zh-CN"/>
        </w:rPr>
        <w:t>》</w:t>
      </w:r>
      <w:r>
        <w:rPr>
          <w:rFonts w:cs="宋体"/>
          <w:vertAlign w:val="superscript"/>
          <w:lang w:eastAsia="zh-CN"/>
        </w:rPr>
        <w:t>5</w:t>
      </w:r>
      <w:r>
        <w:rPr>
          <w:rFonts w:cs="宋体"/>
          <w:lang w:eastAsia="zh-CN"/>
        </w:rPr>
        <w:t>和《</w:t>
      </w:r>
      <w:r>
        <w:rPr>
          <w:rFonts w:cs="宋体"/>
          <w:color w:val="0000FF"/>
          <w:u w:val="single"/>
          <w:lang w:eastAsia="zh-CN"/>
        </w:rPr>
        <w:t>生物制品评价与研究中心审查的监管申请中的标准制定和标准使用</w:t>
      </w:r>
      <w:r>
        <w:rPr>
          <w:rFonts w:cs="宋体"/>
          <w:lang w:eastAsia="zh-CN"/>
        </w:rPr>
        <w:t>》的FDA指南。”</w:t>
      </w:r>
      <w:r>
        <w:rPr>
          <w:rFonts w:cs="宋体"/>
          <w:vertAlign w:val="superscript"/>
          <w:lang w:eastAsia="zh-CN"/>
        </w:rPr>
        <w:t>6</w:t>
      </w:r>
    </w:p>
    <w:p w14:paraId="718DA634">
      <w:pPr>
        <w:spacing w:before="120" w:beforeLines="50" w:line="300" w:lineRule="auto"/>
        <w:rPr>
          <w:rFonts w:cs="Times New Roman"/>
          <w:lang w:eastAsia="zh-CN"/>
        </w:rPr>
      </w:pPr>
      <w:r>
        <w:rPr>
          <w:rFonts w:cs="宋体"/>
          <w:lang w:eastAsia="zh-CN"/>
        </w:rPr>
        <w:t>您的上市前申请还应讨论非临床台架性能测试结果支持整体申请文件（例如510(k)的实质等同性，PMA安全性和有效性的合理保证）的情形。测试结论应讨论，例如，测试证明您的器械与已确定的510(k)</w:t>
      </w:r>
      <w:r>
        <w:rPr>
          <w:rFonts w:cs="宋体"/>
          <w:vertAlign w:val="superscript"/>
          <w:lang w:eastAsia="zh-CN"/>
        </w:rPr>
        <w:t>7</w:t>
      </w:r>
      <w:r>
        <w:rPr>
          <w:rFonts w:cs="宋体"/>
          <w:lang w:eastAsia="zh-CN"/>
        </w:rPr>
        <w:t>主要等价器械的实质等同性，或证明器械对PMA</w:t>
      </w:r>
      <w:r>
        <w:rPr>
          <w:rFonts w:cs="宋体"/>
          <w:vertAlign w:val="superscript"/>
          <w:lang w:eastAsia="zh-CN"/>
        </w:rPr>
        <w:t>8</w:t>
      </w:r>
      <w:r>
        <w:rPr>
          <w:rFonts w:cs="宋体"/>
          <w:lang w:eastAsia="zh-CN"/>
        </w:rPr>
        <w:t>或重新分类申请（De Novo申请）的安全性和有效性的合理保证的相关情形。</w:t>
      </w:r>
      <w:r>
        <w:rPr>
          <w:rFonts w:cs="宋体"/>
          <w:vertAlign w:val="superscript"/>
          <w:lang w:eastAsia="zh-CN"/>
        </w:rPr>
        <w:t>9</w:t>
      </w:r>
      <w:r>
        <w:rPr>
          <w:rFonts w:cs="宋体"/>
          <w:lang w:eastAsia="zh-CN"/>
        </w:rPr>
        <w:t>可在测试报告总结（参见下文第II.A节）或上市前申请的其他位置提供此信息，并且应适当引用该信息，以便在申请文件中识别。</w:t>
      </w:r>
    </w:p>
    <w:p w14:paraId="622E0E00">
      <w:pPr>
        <w:pStyle w:val="3"/>
        <w:ind w:left="900"/>
        <w:rPr>
          <w:lang w:eastAsia="zh-CN"/>
        </w:rPr>
      </w:pPr>
      <w:r>
        <w:rPr>
          <w:rFonts w:cs="宋体"/>
          <w:lang w:eastAsia="zh-CN"/>
        </w:rPr>
        <w:t>A.</w:t>
      </w:r>
      <w:r>
        <w:rPr>
          <w:rFonts w:cs="宋体"/>
          <w:lang w:eastAsia="zh-CN"/>
        </w:rPr>
        <w:tab/>
      </w:r>
      <w:r>
        <w:rPr>
          <w:rFonts w:cs="宋体"/>
          <w:lang w:eastAsia="zh-CN"/>
        </w:rPr>
        <w:t>测试报告总结</w:t>
      </w:r>
    </w:p>
    <w:p w14:paraId="1BDC129C">
      <w:pPr>
        <w:spacing w:before="120" w:beforeLines="50" w:line="300" w:lineRule="auto"/>
        <w:ind w:left="480" w:leftChars="200"/>
        <w:rPr>
          <w:rFonts w:cs="Times New Roman"/>
        </w:rPr>
      </w:pPr>
      <w:r>
        <w:rPr>
          <w:rFonts w:cs="宋体"/>
          <w:lang w:eastAsia="zh-CN"/>
        </w:rPr>
        <w:t>本机构建议您在上市前申请的正文中提供测试报告总结，简要描述和总结为支持申请文件而执行的测试。测试报告总结可包含在上市前申请文件的执行摘要中。或者，测试报告总结可作为上市前申请中的单独文件提供（例如作为完整测试报告的前言）。</w:t>
      </w:r>
      <w:r>
        <w:rPr>
          <w:rFonts w:cs="宋体"/>
        </w:rPr>
        <w:t>测试报告总结应包括以下要素：</w:t>
      </w:r>
    </w:p>
    <w:p w14:paraId="64C2A0C5">
      <w:pPr>
        <w:pStyle w:val="20"/>
        <w:rPr>
          <w:lang w:eastAsia="zh-CN"/>
        </w:rPr>
      </w:pPr>
      <w:r>
        <w:rPr>
          <w:rFonts w:cs="宋体"/>
        </w:rPr>
        <w:t>______________________</w:t>
      </w:r>
    </w:p>
    <w:p w14:paraId="199E84F4">
      <w:pPr>
        <w:pStyle w:val="20"/>
      </w:pPr>
      <w:r>
        <w:rPr>
          <w:rFonts w:cs="宋体"/>
          <w:vertAlign w:val="superscript"/>
        </w:rPr>
        <w:t>5</w:t>
      </w:r>
      <w:r>
        <w:rPr>
          <w:rFonts w:cs="宋体"/>
        </w:rPr>
        <w:tab/>
      </w:r>
      <w:r>
        <w:rPr>
          <w:rFonts w:cs="宋体"/>
        </w:rPr>
        <w:t>可登录以下网址获取：</w:t>
      </w:r>
      <w:r>
        <w:rPr>
          <w:rFonts w:cs="宋体"/>
          <w:color w:val="0000FF"/>
          <w:u w:val="single"/>
        </w:rPr>
        <w:t>https://www.fda.gov/regulatory-information/search-fda-guidance-documents/appropriate-use- voluntary-consensus-standards-premarket-submissions-medical-devices</w:t>
      </w:r>
      <w:r>
        <w:rPr>
          <w:rFonts w:cs="宋体"/>
        </w:rPr>
        <w:t>。</w:t>
      </w:r>
    </w:p>
    <w:p w14:paraId="715F40E1">
      <w:pPr>
        <w:pStyle w:val="20"/>
      </w:pPr>
      <w:r>
        <w:rPr>
          <w:rFonts w:cs="宋体"/>
          <w:vertAlign w:val="superscript"/>
        </w:rPr>
        <w:t xml:space="preserve">6 </w:t>
      </w:r>
      <w:r>
        <w:rPr>
          <w:rFonts w:cs="宋体"/>
        </w:rPr>
        <w:tab/>
      </w:r>
      <w:r>
        <w:rPr>
          <w:rFonts w:cs="宋体"/>
        </w:rPr>
        <w:t>可登录以下网址获取：</w:t>
      </w:r>
      <w:r>
        <w:rPr>
          <w:rFonts w:cs="宋体"/>
          <w:color w:val="0000FF"/>
          <w:u w:val="single"/>
        </w:rPr>
        <w:t>https://www.fda.gov/regulatory-information/search-fda-guidance-documents/standards-development-</w:t>
      </w:r>
      <w:r>
        <w:rPr>
          <w:rFonts w:cs="宋体"/>
          <w:color w:val="0000FF"/>
        </w:rPr>
        <w:t xml:space="preserve"> </w:t>
      </w:r>
      <w:r>
        <w:rPr>
          <w:rFonts w:cs="宋体"/>
          <w:color w:val="0000FF"/>
          <w:u w:val="single"/>
        </w:rPr>
        <w:t>and-use-standards-regulatory-submissions-reviewed-center-biologics-evaluation</w:t>
      </w:r>
      <w:r>
        <w:rPr>
          <w:rFonts w:cs="宋体"/>
        </w:rPr>
        <w:t>。</w:t>
      </w:r>
    </w:p>
    <w:p w14:paraId="6E48F970">
      <w:pPr>
        <w:pStyle w:val="20"/>
      </w:pPr>
      <w:r>
        <w:rPr>
          <w:rFonts w:cs="宋体"/>
          <w:vertAlign w:val="superscript"/>
        </w:rPr>
        <w:t xml:space="preserve">7 </w:t>
      </w:r>
      <w:r>
        <w:rPr>
          <w:rFonts w:cs="宋体"/>
        </w:rPr>
        <w:tab/>
      </w:r>
      <w:r>
        <w:rPr>
          <w:rFonts w:cs="宋体"/>
        </w:rPr>
        <w:t>参见FDA指南《</w:t>
      </w:r>
      <w:r>
        <w:rPr>
          <w:rFonts w:cs="宋体"/>
          <w:color w:val="0000FF"/>
          <w:u w:val="single"/>
        </w:rPr>
        <w:t>510(k)项目：评价上市前通知[510(k)]中的实质等同性-面向行业和美国食品药品监督管理局工作人员的指南</w:t>
      </w:r>
      <w:r>
        <w:rPr>
          <w:rFonts w:cs="宋体"/>
        </w:rPr>
        <w:t>》，可登录以下网址获取：</w:t>
      </w:r>
      <w:r>
        <w:rPr>
          <w:rFonts w:cs="宋体"/>
          <w:color w:val="0000FF"/>
          <w:u w:val="single"/>
        </w:rPr>
        <w:t>https://www.fda.gov/regulatory- information/search-fda-guidance-documents/510k-program-evaluating-substantial-equivalence-premarket- notifications-510k</w:t>
      </w:r>
      <w:r>
        <w:rPr>
          <w:rFonts w:cs="宋体"/>
        </w:rPr>
        <w:t>。</w:t>
      </w:r>
    </w:p>
    <w:p w14:paraId="009627B7">
      <w:pPr>
        <w:pStyle w:val="20"/>
      </w:pPr>
      <w:r>
        <w:rPr>
          <w:rFonts w:cs="宋体"/>
          <w:vertAlign w:val="superscript"/>
        </w:rPr>
        <w:t xml:space="preserve">8 </w:t>
      </w:r>
      <w:r>
        <w:rPr>
          <w:rFonts w:cs="宋体"/>
        </w:rPr>
        <w:tab/>
      </w:r>
      <w:r>
        <w:rPr>
          <w:rFonts w:cs="宋体"/>
        </w:rPr>
        <w:t>参见21 CFR 814.20。</w:t>
      </w:r>
    </w:p>
    <w:p w14:paraId="1B7E4BDC">
      <w:pPr>
        <w:pStyle w:val="20"/>
      </w:pPr>
      <w:r>
        <w:rPr>
          <w:rFonts w:cs="宋体"/>
          <w:vertAlign w:val="superscript"/>
        </w:rPr>
        <w:t xml:space="preserve">9 </w:t>
      </w:r>
      <w:r>
        <w:rPr>
          <w:rFonts w:cs="宋体"/>
        </w:rPr>
        <w:tab/>
      </w:r>
      <w:r>
        <w:rPr>
          <w:rFonts w:cs="宋体"/>
        </w:rPr>
        <w:t>参见FDA指南《</w:t>
      </w:r>
      <w:r>
        <w:rPr>
          <w:rFonts w:cs="宋体"/>
          <w:color w:val="0000FF"/>
          <w:u w:val="single"/>
        </w:rPr>
        <w:t>重新分类过程（III类器械自动认定评价）；面向行业和美国食品药品监督管理局工作人员的指南</w:t>
      </w:r>
      <w:r>
        <w:rPr>
          <w:rFonts w:cs="宋体"/>
        </w:rPr>
        <w:t>》，可登录以下网址获取：</w:t>
      </w:r>
      <w:r>
        <w:rPr>
          <w:rFonts w:cs="宋体"/>
          <w:color w:val="0000FF"/>
          <w:u w:val="single"/>
        </w:rPr>
        <w:t>https://www.fda.gov/regulatory-</w:t>
      </w:r>
      <w:r>
        <w:rPr>
          <w:rFonts w:cs="宋体"/>
          <w:color w:val="0000FF"/>
        </w:rPr>
        <w:t xml:space="preserve"> </w:t>
      </w:r>
      <w:r>
        <w:rPr>
          <w:rFonts w:cs="宋体"/>
          <w:color w:val="0000FF"/>
          <w:u w:val="single"/>
        </w:rPr>
        <w:t>information/search-fda-guidance-documents/de-novo-classification-process-evaluation-automatic-class-iii-</w:t>
      </w:r>
      <w:r>
        <w:rPr>
          <w:rFonts w:cs="宋体"/>
          <w:color w:val="0000FF"/>
        </w:rPr>
        <w:t xml:space="preserve"> </w:t>
      </w:r>
      <w:r>
        <w:rPr>
          <w:rFonts w:cs="宋体"/>
          <w:color w:val="0000FF"/>
          <w:u w:val="single"/>
        </w:rPr>
        <w:t>designation</w:t>
      </w:r>
      <w:r>
        <w:rPr>
          <w:rFonts w:cs="宋体"/>
        </w:rPr>
        <w:t>。</w:t>
      </w:r>
    </w:p>
    <w:p w14:paraId="5730E920">
      <w:pPr>
        <w:spacing w:before="120" w:beforeLines="50" w:line="300" w:lineRule="auto"/>
        <w:ind w:left="480" w:hanging="480" w:hangingChars="200"/>
        <w:rPr>
          <w:rFonts w:cs="Times New Roman"/>
          <w:b/>
          <w:lang w:eastAsia="zh-CN"/>
        </w:rPr>
      </w:pPr>
      <w:r>
        <w:rPr>
          <w:rFonts w:cs="宋体"/>
          <w:lang w:eastAsia="zh-CN"/>
        </w:rPr>
        <w:br w:type="page"/>
      </w:r>
      <w:r>
        <w:rPr>
          <w:rFonts w:cs="宋体"/>
          <w:b/>
          <w:lang w:eastAsia="zh-CN"/>
        </w:rPr>
        <w:t>1.</w:t>
      </w:r>
      <w:r>
        <w:rPr>
          <w:rFonts w:cs="宋体"/>
          <w:lang w:eastAsia="zh-CN"/>
        </w:rPr>
        <w:tab/>
      </w:r>
      <w:r>
        <w:rPr>
          <w:rFonts w:cs="宋体"/>
          <w:b/>
          <w:lang w:eastAsia="zh-CN"/>
        </w:rPr>
        <w:t>执行的测试</w:t>
      </w:r>
    </w:p>
    <w:p w14:paraId="0A6C4A6E">
      <w:pPr>
        <w:spacing w:before="120" w:beforeLines="50" w:line="300" w:lineRule="auto"/>
        <w:ind w:left="480" w:leftChars="200"/>
        <w:rPr>
          <w:rFonts w:cs="Times New Roman"/>
          <w:lang w:eastAsia="zh-CN"/>
        </w:rPr>
      </w:pPr>
      <w:r>
        <w:rPr>
          <w:rFonts w:cs="宋体"/>
          <w:lang w:eastAsia="zh-CN"/>
        </w:rPr>
        <w:t>您应确定已经执行的测试。如果按照FDA指南文件或FDA认可的共识标准的建议</w:t>
      </w:r>
      <w:r>
        <w:rPr>
          <w:rFonts w:hint="eastAsia" w:cs="宋体"/>
          <w:lang w:eastAsia="zh-CN"/>
        </w:rPr>
        <w:t>进行了</w:t>
      </w:r>
      <w:r>
        <w:rPr>
          <w:rFonts w:cs="宋体"/>
          <w:lang w:eastAsia="zh-CN"/>
        </w:rPr>
        <w:t>测试，本机构建议您在测试报告总结中予以说明。</w:t>
      </w:r>
    </w:p>
    <w:p w14:paraId="77701900">
      <w:pPr>
        <w:spacing w:before="120" w:beforeLines="50" w:line="300" w:lineRule="auto"/>
        <w:ind w:left="482" w:hanging="482" w:hangingChars="200"/>
        <w:rPr>
          <w:rFonts w:cs="Times New Roman"/>
          <w:b/>
          <w:lang w:eastAsia="zh-CN"/>
        </w:rPr>
      </w:pPr>
      <w:r>
        <w:rPr>
          <w:rFonts w:cs="宋体"/>
          <w:b/>
          <w:lang w:eastAsia="zh-CN"/>
        </w:rPr>
        <w:t>2.</w:t>
      </w:r>
      <w:r>
        <w:rPr>
          <w:rFonts w:cs="宋体"/>
          <w:lang w:eastAsia="zh-CN"/>
        </w:rPr>
        <w:tab/>
      </w:r>
      <w:r>
        <w:rPr>
          <w:rFonts w:cs="宋体"/>
          <w:b/>
          <w:lang w:eastAsia="zh-CN"/>
        </w:rPr>
        <w:t>测试目的</w:t>
      </w:r>
    </w:p>
    <w:p w14:paraId="227C1A4D">
      <w:pPr>
        <w:spacing w:before="120" w:beforeLines="50" w:line="300" w:lineRule="auto"/>
        <w:ind w:left="480" w:leftChars="200"/>
        <w:rPr>
          <w:rFonts w:cs="Times New Roman"/>
          <w:lang w:eastAsia="zh-CN"/>
        </w:rPr>
      </w:pPr>
      <w:r>
        <w:rPr>
          <w:rFonts w:cs="宋体"/>
          <w:lang w:eastAsia="zh-CN"/>
        </w:rPr>
        <w:t>如果在上市前申请中未提供完整测试报告，您应在测试报告总结中提供测试目的。</w:t>
      </w:r>
    </w:p>
    <w:p w14:paraId="0E09B4D9">
      <w:pPr>
        <w:spacing w:before="120" w:beforeLines="50" w:line="300" w:lineRule="auto"/>
        <w:ind w:left="482" w:hanging="482" w:hangingChars="200"/>
        <w:rPr>
          <w:rFonts w:cs="Times New Roman"/>
          <w:b/>
          <w:lang w:eastAsia="zh-CN"/>
        </w:rPr>
      </w:pPr>
      <w:r>
        <w:rPr>
          <w:rFonts w:cs="宋体"/>
          <w:b/>
          <w:lang w:eastAsia="zh-CN"/>
        </w:rPr>
        <w:t>3.</w:t>
      </w:r>
      <w:r>
        <w:rPr>
          <w:rFonts w:cs="宋体"/>
          <w:lang w:eastAsia="zh-CN"/>
        </w:rPr>
        <w:tab/>
      </w:r>
      <w:r>
        <w:rPr>
          <w:rFonts w:cs="宋体"/>
          <w:b/>
          <w:lang w:eastAsia="zh-CN"/>
        </w:rPr>
        <w:t>简要描述测试方法，包括样本量、供试器械和使用的任何共识标准</w:t>
      </w:r>
    </w:p>
    <w:p w14:paraId="256B9724">
      <w:pPr>
        <w:spacing w:before="120" w:beforeLines="50" w:line="300" w:lineRule="auto"/>
        <w:ind w:left="480" w:leftChars="200"/>
        <w:rPr>
          <w:rFonts w:cs="Times New Roman"/>
          <w:lang w:eastAsia="zh-CN"/>
        </w:rPr>
      </w:pPr>
      <w:r>
        <w:rPr>
          <w:rFonts w:cs="宋体"/>
          <w:lang w:eastAsia="zh-CN"/>
        </w:rPr>
        <w:t>在测试报告总结中，您应简要描述用于所开展的台架试验的测试方法，或参考遵循的既定方法，例如用于所开展的试验的任何FDA认可的共识标准。您还应描述已测试的供试品（是否为最终成品器械），该样品是整个器械、还是一个部件或组件，以及器械的属性（例如器械的材料成分/特性或包装）。除了供试品的描述之外，您还应简要讨论样本选择（例如样本量或配置）以及样本如何代表临床相关的最坏情况。</w:t>
      </w:r>
    </w:p>
    <w:p w14:paraId="2B91FD4C">
      <w:pPr>
        <w:spacing w:before="120" w:beforeLines="50" w:line="300" w:lineRule="auto"/>
        <w:ind w:left="482" w:hanging="482" w:hangingChars="200"/>
        <w:rPr>
          <w:rFonts w:cs="Times New Roman"/>
          <w:b/>
          <w:lang w:eastAsia="zh-CN"/>
        </w:rPr>
      </w:pPr>
      <w:r>
        <w:rPr>
          <w:rFonts w:cs="宋体"/>
          <w:b/>
          <w:lang w:eastAsia="zh-CN"/>
        </w:rPr>
        <w:t>4.</w:t>
      </w:r>
      <w:r>
        <w:rPr>
          <w:rFonts w:cs="宋体"/>
          <w:lang w:eastAsia="zh-CN"/>
        </w:rPr>
        <w:tab/>
      </w:r>
      <w:r>
        <w:rPr>
          <w:rFonts w:cs="宋体"/>
          <w:b/>
          <w:lang w:eastAsia="zh-CN"/>
        </w:rPr>
        <w:t>预设的通过/未通过标准（适用时）</w:t>
      </w:r>
    </w:p>
    <w:p w14:paraId="1AAF0F73">
      <w:pPr>
        <w:spacing w:before="120" w:beforeLines="50" w:line="300" w:lineRule="auto"/>
        <w:ind w:left="480" w:leftChars="200"/>
        <w:rPr>
          <w:rFonts w:cs="Times New Roman"/>
          <w:lang w:eastAsia="zh-CN"/>
        </w:rPr>
      </w:pPr>
      <w:r>
        <w:rPr>
          <w:rFonts w:cs="宋体"/>
          <w:lang w:eastAsia="zh-CN"/>
        </w:rPr>
        <w:t>本机构建议测试报告总结包括对相应验收标准的确认（适用时），</w:t>
      </w:r>
      <w:r>
        <w:rPr>
          <w:rFonts w:hint="eastAsia" w:cs="宋体"/>
          <w:lang w:eastAsia="zh-CN"/>
        </w:rPr>
        <w:t>且该验收</w:t>
      </w:r>
      <w:r>
        <w:rPr>
          <w:rFonts w:cs="宋体"/>
          <w:lang w:eastAsia="zh-CN"/>
        </w:rPr>
        <w:t>标准是预设的并在测试期间采用。当出于表征目的开展的非临床台架性能测试没有验收标准时，应描述用于解释数据的评估标准，例如，评估空隙或裂纹时采用的涂层完整性测试的目视检查标准。</w:t>
      </w:r>
    </w:p>
    <w:p w14:paraId="48F06327">
      <w:pPr>
        <w:spacing w:before="120" w:beforeLines="50" w:line="300" w:lineRule="auto"/>
        <w:ind w:left="482" w:hanging="482" w:hangingChars="200"/>
        <w:rPr>
          <w:rFonts w:cs="Times New Roman"/>
          <w:b/>
          <w:lang w:eastAsia="zh-CN"/>
        </w:rPr>
      </w:pPr>
      <w:r>
        <w:rPr>
          <w:rFonts w:cs="宋体"/>
          <w:b/>
          <w:lang w:eastAsia="zh-CN"/>
        </w:rPr>
        <w:t>5.</w:t>
      </w:r>
      <w:r>
        <w:rPr>
          <w:rFonts w:cs="宋体"/>
          <w:lang w:eastAsia="zh-CN"/>
        </w:rPr>
        <w:tab/>
      </w:r>
      <w:r>
        <w:rPr>
          <w:rFonts w:cs="宋体"/>
          <w:b/>
          <w:lang w:eastAsia="zh-CN"/>
        </w:rPr>
        <w:t>结果总结</w:t>
      </w:r>
    </w:p>
    <w:p w14:paraId="4918A7BC">
      <w:pPr>
        <w:spacing w:before="120" w:beforeLines="50" w:line="300" w:lineRule="auto"/>
        <w:ind w:left="960" w:leftChars="200" w:hanging="480" w:hangingChars="200"/>
        <w:rPr>
          <w:rFonts w:cs="Times New Roman"/>
          <w:lang w:eastAsia="zh-CN"/>
        </w:rPr>
      </w:pPr>
      <w:r>
        <w:rPr>
          <w:rFonts w:cs="宋体"/>
          <w:lang w:eastAsia="zh-CN"/>
        </w:rPr>
        <w:t>a.</w:t>
      </w:r>
      <w:r>
        <w:rPr>
          <w:rFonts w:cs="宋体"/>
          <w:lang w:eastAsia="zh-CN"/>
        </w:rPr>
        <w:tab/>
      </w:r>
      <w:r>
        <w:rPr>
          <w:rFonts w:cs="宋体"/>
          <w:lang w:eastAsia="zh-CN"/>
        </w:rPr>
        <w:t>提供适当的数据汇总（以表格和/或文本格式），包括所进行的任何分析的汇总。例如：</w:t>
      </w:r>
    </w:p>
    <w:p w14:paraId="51E7A599">
      <w:pPr>
        <w:pStyle w:val="21"/>
        <w:numPr>
          <w:ilvl w:val="0"/>
          <w:numId w:val="1"/>
        </w:numPr>
        <w:snapToGrid w:val="0"/>
        <w:spacing w:before="120" w:beforeLines="50" w:line="300" w:lineRule="auto"/>
        <w:ind w:left="1378" w:firstLineChars="0"/>
        <w:rPr>
          <w:rFonts w:cs="Times New Roman"/>
          <w:lang w:eastAsia="zh-CN"/>
        </w:rPr>
      </w:pPr>
      <w:r>
        <w:rPr>
          <w:rFonts w:cs="宋体"/>
          <w:lang w:eastAsia="zh-CN"/>
        </w:rPr>
        <w:t>对于定量评估，请提供适当的汇总参数（例如正常数据的平均值、标准差、最小值和最大值；或每个数据分析计划的汇总参数）。</w:t>
      </w:r>
    </w:p>
    <w:p w14:paraId="3EC8B14E">
      <w:pPr>
        <w:pStyle w:val="21"/>
        <w:numPr>
          <w:ilvl w:val="0"/>
          <w:numId w:val="1"/>
        </w:numPr>
        <w:snapToGrid w:val="0"/>
        <w:spacing w:before="120" w:beforeLines="50" w:line="300" w:lineRule="auto"/>
        <w:ind w:left="1378" w:firstLineChars="0"/>
        <w:rPr>
          <w:rFonts w:cs="Times New Roman"/>
          <w:lang w:eastAsia="zh-CN"/>
        </w:rPr>
      </w:pPr>
      <w:r>
        <w:rPr>
          <w:rFonts w:cs="宋体"/>
          <w:lang w:eastAsia="zh-CN"/>
        </w:rPr>
        <w:t>对于属性或定性数据，请按类别适当汇总观察到特征的数量（例如特征存在/总观察数量，特征缺失/总观察数量）。包括置信度/可靠性水平等统计学信息（如适用）。</w:t>
      </w:r>
      <w:r>
        <w:rPr>
          <w:rFonts w:cs="宋体"/>
          <w:lang w:eastAsia="zh-CN"/>
        </w:rPr>
        <w:br w:type="page"/>
      </w:r>
    </w:p>
    <w:p w14:paraId="3446C531">
      <w:pPr>
        <w:spacing w:before="120" w:beforeLines="50" w:line="300" w:lineRule="auto"/>
        <w:ind w:left="960" w:leftChars="200" w:hanging="480" w:hangingChars="200"/>
        <w:rPr>
          <w:rFonts w:cs="Times New Roman"/>
          <w:lang w:eastAsia="zh-CN"/>
        </w:rPr>
      </w:pPr>
      <w:r>
        <w:rPr>
          <w:rFonts w:cs="宋体"/>
          <w:lang w:eastAsia="zh-CN"/>
        </w:rPr>
        <w:t>b.</w:t>
      </w:r>
      <w:r>
        <w:rPr>
          <w:rFonts w:cs="宋体"/>
          <w:lang w:eastAsia="zh-CN"/>
        </w:rPr>
        <w:tab/>
      </w:r>
      <w:r>
        <w:rPr>
          <w:rFonts w:cs="宋体"/>
          <w:lang w:eastAsia="zh-CN"/>
        </w:rPr>
        <w:t>说明是否满足验收标准（如适用）。</w:t>
      </w:r>
    </w:p>
    <w:p w14:paraId="1A07CA0F">
      <w:pPr>
        <w:spacing w:before="120" w:beforeLines="50" w:line="300" w:lineRule="auto"/>
        <w:ind w:left="960" w:leftChars="200" w:hanging="480" w:hangingChars="200"/>
        <w:rPr>
          <w:rFonts w:cs="Times New Roman"/>
          <w:lang w:eastAsia="zh-CN"/>
        </w:rPr>
      </w:pPr>
      <w:r>
        <w:rPr>
          <w:rFonts w:cs="宋体"/>
          <w:lang w:eastAsia="zh-CN"/>
        </w:rPr>
        <w:t>c.</w:t>
      </w:r>
      <w:r>
        <w:rPr>
          <w:rFonts w:cs="宋体"/>
          <w:lang w:eastAsia="zh-CN"/>
        </w:rPr>
        <w:tab/>
      </w:r>
      <w:r>
        <w:rPr>
          <w:rFonts w:cs="宋体"/>
          <w:lang w:eastAsia="zh-CN"/>
        </w:rPr>
        <w:t>简要说明不符合验收标准的研究结果，和/或可能影响研究结果、结论或数据完整性的方案偏离，并描述如何解决由此产生的问题。</w:t>
      </w:r>
    </w:p>
    <w:p w14:paraId="37DF7273">
      <w:pPr>
        <w:spacing w:before="120" w:beforeLines="50" w:line="300" w:lineRule="auto"/>
        <w:ind w:left="482" w:hanging="482" w:hangingChars="200"/>
        <w:rPr>
          <w:rFonts w:cs="Times New Roman"/>
          <w:b/>
          <w:lang w:eastAsia="zh-CN"/>
        </w:rPr>
      </w:pPr>
      <w:r>
        <w:rPr>
          <w:rFonts w:cs="宋体"/>
          <w:b/>
          <w:lang w:eastAsia="zh-CN"/>
        </w:rPr>
        <w:t>6.</w:t>
      </w:r>
      <w:r>
        <w:rPr>
          <w:rFonts w:cs="宋体"/>
          <w:lang w:eastAsia="zh-CN"/>
        </w:rPr>
        <w:tab/>
      </w:r>
      <w:r>
        <w:rPr>
          <w:rFonts w:cs="宋体"/>
          <w:b/>
          <w:lang w:eastAsia="zh-CN"/>
        </w:rPr>
        <w:t>讨论/结论</w:t>
      </w:r>
    </w:p>
    <w:p w14:paraId="123666D1">
      <w:pPr>
        <w:spacing w:before="120" w:beforeLines="50" w:line="300" w:lineRule="auto"/>
        <w:ind w:left="480" w:leftChars="200"/>
        <w:rPr>
          <w:rFonts w:cs="Times New Roman"/>
          <w:lang w:eastAsia="zh-CN"/>
        </w:rPr>
      </w:pPr>
      <w:r>
        <w:rPr>
          <w:rFonts w:cs="宋体"/>
          <w:lang w:eastAsia="zh-CN"/>
        </w:rPr>
        <w:t>您的测试报告总结应对由测试结果得出的结论进行讨论。测试报告总结的章节可用于提供有关所开展的测试和/或观察到的测试结果的附加信息（例如采用测试方法的依据、验收标准的临床/科学/工程依据、离群和异常结果）。请注意，如果方法和/或验收标准是直接从FDA认可的共识标准或指南文件中获得，则通常不需要提供方法和/或验收标准的依据。如需要，对测试方法或验收标准的讨论可以包括测试与临床实践中或文献中描述的器械使用之间的相关性。例如，跟踪试验通常使用模拟目标解剖结构的夹具。所使用的跟踪试验夹具的讨论或依据将表明试验与指定解剖位置的预期最坏情况临床使用之间的相关性。对于出于表征目的进行的非临床台架性能测试，结论应表明结果与器械预期性能之间的相关性。如上所述，有关测试结果如何支持整体申请文件的简要讨论可以包含在测试报告总结或申请文件的其他位置。</w:t>
      </w:r>
    </w:p>
    <w:p w14:paraId="4C132CE0">
      <w:pPr>
        <w:spacing w:before="120" w:beforeLines="50" w:line="300" w:lineRule="auto"/>
        <w:ind w:left="482" w:hanging="482" w:hangingChars="200"/>
        <w:rPr>
          <w:rFonts w:cs="Times New Roman"/>
          <w:b/>
          <w:lang w:eastAsia="zh-CN"/>
        </w:rPr>
      </w:pPr>
      <w:r>
        <w:rPr>
          <w:rFonts w:cs="宋体"/>
          <w:b/>
          <w:lang w:eastAsia="zh-CN"/>
        </w:rPr>
        <w:t>7.</w:t>
      </w:r>
      <w:r>
        <w:rPr>
          <w:rFonts w:cs="宋体"/>
          <w:lang w:eastAsia="zh-CN"/>
        </w:rPr>
        <w:tab/>
      </w:r>
      <w:r>
        <w:rPr>
          <w:rFonts w:cs="宋体"/>
          <w:b/>
          <w:lang w:eastAsia="zh-CN"/>
        </w:rPr>
        <w:t>完整测试报告的位置</w:t>
      </w:r>
    </w:p>
    <w:p w14:paraId="16AD7C1F">
      <w:pPr>
        <w:spacing w:before="120" w:beforeLines="50" w:line="300" w:lineRule="auto"/>
        <w:ind w:left="480" w:leftChars="200"/>
        <w:rPr>
          <w:rFonts w:cs="Times New Roman"/>
          <w:lang w:eastAsia="zh-CN"/>
        </w:rPr>
      </w:pPr>
      <w:r>
        <w:rPr>
          <w:rFonts w:cs="宋体"/>
          <w:lang w:eastAsia="zh-CN"/>
        </w:rPr>
        <w:t>本机构建议您标明每份完整测试报告的位置（例如附录和/或页码），并提供概述（如适用）。</w:t>
      </w:r>
    </w:p>
    <w:p w14:paraId="187F7693">
      <w:pPr>
        <w:spacing w:before="120" w:beforeLines="50" w:line="300" w:lineRule="auto"/>
        <w:ind w:left="482" w:hanging="482" w:hangingChars="200"/>
        <w:rPr>
          <w:rFonts w:cs="Times New Roman"/>
          <w:b/>
          <w:lang w:eastAsia="zh-CN"/>
        </w:rPr>
      </w:pPr>
      <w:r>
        <w:rPr>
          <w:rFonts w:cs="宋体"/>
          <w:b/>
          <w:lang w:eastAsia="zh-CN"/>
        </w:rPr>
        <w:t>8.</w:t>
      </w:r>
      <w:r>
        <w:rPr>
          <w:rFonts w:cs="宋体"/>
          <w:lang w:eastAsia="zh-CN"/>
        </w:rPr>
        <w:tab/>
      </w:r>
      <w:r>
        <w:rPr>
          <w:rFonts w:cs="宋体"/>
          <w:b/>
          <w:lang w:eastAsia="zh-CN"/>
        </w:rPr>
        <w:t>汇总表（可选）</w:t>
      </w:r>
    </w:p>
    <w:p w14:paraId="6CF4998D">
      <w:pPr>
        <w:spacing w:before="120" w:beforeLines="50" w:line="300" w:lineRule="auto"/>
        <w:ind w:left="480" w:leftChars="200"/>
        <w:rPr>
          <w:rFonts w:cs="Times New Roman"/>
          <w:lang w:eastAsia="zh-CN"/>
        </w:rPr>
      </w:pPr>
      <w:r>
        <w:rPr>
          <w:rFonts w:cs="宋体"/>
          <w:lang w:eastAsia="zh-CN"/>
        </w:rPr>
        <w:t>作为每个非临床台架性能测试的书面叙述的一个替代方案，可提供表格摘要来表述测试报告总结中推荐的信息（参见下文示例）。如果使用汇总表，仍建议提供对结果/结论的叙述性讨论，如上文第II.A.6节所述（如需要）。</w:t>
      </w:r>
    </w:p>
    <w:p w14:paraId="7EB3A03E">
      <w:pPr>
        <w:spacing w:before="120" w:beforeLines="50" w:line="300" w:lineRule="auto"/>
        <w:rPr>
          <w:rFonts w:cs="Times New Roman"/>
          <w:lang w:eastAsia="zh-CN"/>
        </w:rPr>
      </w:pPr>
      <w:r>
        <w:rPr>
          <w:rFonts w:cs="宋体"/>
          <w:lang w:eastAsia="zh-CN"/>
        </w:rPr>
        <w:br w:type="page"/>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6"/>
        <w:gridCol w:w="1883"/>
        <w:gridCol w:w="1852"/>
        <w:gridCol w:w="1646"/>
        <w:gridCol w:w="1809"/>
        <w:gridCol w:w="951"/>
      </w:tblGrid>
      <w:tr w14:paraId="58D4D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17" w:type="pct"/>
            <w:shd w:val="clear" w:color="auto" w:fill="F2F2F2"/>
          </w:tcPr>
          <w:p w14:paraId="4C176BA0">
            <w:pPr>
              <w:spacing w:before="36" w:beforeLines="15" w:line="276" w:lineRule="auto"/>
              <w:jc w:val="center"/>
              <w:rPr>
                <w:rFonts w:cs="Times New Roman"/>
                <w:b/>
                <w:sz w:val="18"/>
                <w:szCs w:val="18"/>
              </w:rPr>
            </w:pPr>
            <w:r>
              <w:rPr>
                <w:rFonts w:cs="宋体"/>
                <w:b/>
                <w:sz w:val="18"/>
              </w:rPr>
              <w:t>执行的测试</w:t>
            </w:r>
          </w:p>
        </w:tc>
        <w:tc>
          <w:tcPr>
            <w:tcW w:w="1014" w:type="pct"/>
            <w:shd w:val="clear" w:color="auto" w:fill="F2F2F2"/>
          </w:tcPr>
          <w:p w14:paraId="3988B1C4">
            <w:pPr>
              <w:spacing w:before="36" w:beforeLines="15" w:line="276" w:lineRule="auto"/>
              <w:jc w:val="center"/>
              <w:rPr>
                <w:rFonts w:cs="Times New Roman"/>
                <w:b/>
                <w:sz w:val="18"/>
                <w:szCs w:val="18"/>
              </w:rPr>
            </w:pPr>
            <w:r>
              <w:rPr>
                <w:rFonts w:cs="宋体"/>
                <w:b/>
                <w:sz w:val="18"/>
              </w:rPr>
              <w:t>器械描述/样本量</w:t>
            </w:r>
          </w:p>
        </w:tc>
        <w:tc>
          <w:tcPr>
            <w:tcW w:w="997" w:type="pct"/>
            <w:shd w:val="clear" w:color="auto" w:fill="F2F2F2"/>
          </w:tcPr>
          <w:p w14:paraId="4C188179">
            <w:pPr>
              <w:spacing w:before="36" w:beforeLines="15" w:line="276" w:lineRule="auto"/>
              <w:jc w:val="center"/>
              <w:rPr>
                <w:rFonts w:cs="Times New Roman"/>
                <w:b/>
                <w:sz w:val="18"/>
                <w:szCs w:val="18"/>
              </w:rPr>
            </w:pPr>
            <w:r>
              <w:rPr>
                <w:rFonts w:cs="宋体"/>
                <w:b/>
                <w:sz w:val="18"/>
              </w:rPr>
              <w:t>测试方法/适用标准</w:t>
            </w:r>
          </w:p>
        </w:tc>
        <w:tc>
          <w:tcPr>
            <w:tcW w:w="886" w:type="pct"/>
            <w:shd w:val="clear" w:color="auto" w:fill="F2F2F2"/>
          </w:tcPr>
          <w:p w14:paraId="632BCD8E">
            <w:pPr>
              <w:spacing w:before="36" w:beforeLines="15" w:line="276" w:lineRule="auto"/>
              <w:jc w:val="center"/>
              <w:rPr>
                <w:rFonts w:cs="Times New Roman"/>
                <w:b/>
                <w:sz w:val="18"/>
                <w:szCs w:val="18"/>
              </w:rPr>
            </w:pPr>
            <w:r>
              <w:rPr>
                <w:rFonts w:cs="宋体"/>
                <w:b/>
                <w:sz w:val="18"/>
              </w:rPr>
              <w:t>验收标准</w:t>
            </w:r>
          </w:p>
        </w:tc>
        <w:tc>
          <w:tcPr>
            <w:tcW w:w="974" w:type="pct"/>
            <w:shd w:val="clear" w:color="auto" w:fill="F2F2F2"/>
          </w:tcPr>
          <w:p w14:paraId="2279AF2F">
            <w:pPr>
              <w:spacing w:before="36" w:beforeLines="15" w:line="276" w:lineRule="auto"/>
              <w:jc w:val="center"/>
              <w:rPr>
                <w:rFonts w:cs="Times New Roman"/>
                <w:b/>
                <w:sz w:val="18"/>
                <w:szCs w:val="18"/>
              </w:rPr>
            </w:pPr>
            <w:r>
              <w:rPr>
                <w:rFonts w:cs="宋体"/>
                <w:b/>
                <w:sz w:val="18"/>
              </w:rPr>
              <w:t>意外结果/显著偏离</w:t>
            </w:r>
          </w:p>
        </w:tc>
        <w:tc>
          <w:tcPr>
            <w:tcW w:w="512" w:type="pct"/>
            <w:shd w:val="clear" w:color="auto" w:fill="F2F2F2"/>
          </w:tcPr>
          <w:p w14:paraId="31425573">
            <w:pPr>
              <w:spacing w:before="36" w:beforeLines="15" w:line="276" w:lineRule="auto"/>
              <w:jc w:val="center"/>
              <w:rPr>
                <w:rFonts w:cs="Times New Roman"/>
                <w:b/>
                <w:sz w:val="18"/>
                <w:szCs w:val="18"/>
              </w:rPr>
            </w:pPr>
            <w:r>
              <w:rPr>
                <w:rFonts w:cs="宋体"/>
                <w:b/>
                <w:sz w:val="18"/>
              </w:rPr>
              <w:t>结果</w:t>
            </w:r>
          </w:p>
        </w:tc>
      </w:tr>
      <w:tr w14:paraId="31688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17" w:type="pct"/>
          </w:tcPr>
          <w:p w14:paraId="789C2FE4">
            <w:pPr>
              <w:spacing w:before="36" w:beforeLines="15" w:line="276" w:lineRule="auto"/>
              <w:jc w:val="center"/>
              <w:rPr>
                <w:rFonts w:cs="Times New Roman"/>
                <w:sz w:val="18"/>
                <w:szCs w:val="18"/>
                <w:lang w:eastAsia="zh-CN"/>
              </w:rPr>
            </w:pPr>
            <w:r>
              <w:rPr>
                <w:rFonts w:cs="宋体"/>
                <w:sz w:val="18"/>
                <w:lang w:eastAsia="zh-CN"/>
              </w:rPr>
              <w:t>测试名称、文件编号、文件中的位置</w:t>
            </w:r>
          </w:p>
        </w:tc>
        <w:tc>
          <w:tcPr>
            <w:tcW w:w="1014" w:type="pct"/>
          </w:tcPr>
          <w:p w14:paraId="1AE645E7">
            <w:pPr>
              <w:spacing w:before="36" w:beforeLines="15" w:line="276" w:lineRule="auto"/>
              <w:jc w:val="center"/>
              <w:rPr>
                <w:rFonts w:cs="Times New Roman"/>
                <w:sz w:val="18"/>
                <w:szCs w:val="18"/>
                <w:lang w:eastAsia="zh-CN"/>
              </w:rPr>
            </w:pPr>
            <w:r>
              <w:rPr>
                <w:rFonts w:cs="宋体"/>
                <w:sz w:val="18"/>
                <w:lang w:eastAsia="zh-CN"/>
              </w:rPr>
              <w:t>供试品/对照品识别、样本量</w:t>
            </w:r>
          </w:p>
        </w:tc>
        <w:tc>
          <w:tcPr>
            <w:tcW w:w="997" w:type="pct"/>
          </w:tcPr>
          <w:p w14:paraId="0F145D01">
            <w:pPr>
              <w:spacing w:before="36" w:beforeLines="15" w:line="276" w:lineRule="auto"/>
              <w:jc w:val="center"/>
              <w:rPr>
                <w:rFonts w:cs="Times New Roman"/>
                <w:sz w:val="18"/>
                <w:szCs w:val="18"/>
                <w:lang w:eastAsia="zh-CN"/>
              </w:rPr>
            </w:pPr>
            <w:r>
              <w:rPr>
                <w:rFonts w:cs="宋体"/>
                <w:sz w:val="18"/>
                <w:lang w:eastAsia="zh-CN"/>
              </w:rPr>
              <w:t>测试方法、预处理、所用标准的简要概述</w:t>
            </w:r>
          </w:p>
        </w:tc>
        <w:tc>
          <w:tcPr>
            <w:tcW w:w="886" w:type="pct"/>
          </w:tcPr>
          <w:p w14:paraId="1B4097AD">
            <w:pPr>
              <w:spacing w:before="36" w:beforeLines="15" w:line="276" w:lineRule="auto"/>
              <w:jc w:val="center"/>
              <w:rPr>
                <w:rFonts w:cs="Times New Roman"/>
                <w:sz w:val="18"/>
                <w:szCs w:val="18"/>
                <w:lang w:eastAsia="zh-CN"/>
              </w:rPr>
            </w:pPr>
            <w:r>
              <w:rPr>
                <w:rFonts w:cs="宋体"/>
                <w:sz w:val="18"/>
                <w:lang w:eastAsia="zh-CN"/>
              </w:rPr>
              <w:t>包括临床/科学/工程依据</w:t>
            </w:r>
          </w:p>
        </w:tc>
        <w:tc>
          <w:tcPr>
            <w:tcW w:w="974" w:type="pct"/>
          </w:tcPr>
          <w:p w14:paraId="1807970D">
            <w:pPr>
              <w:spacing w:before="36" w:beforeLines="15" w:line="276" w:lineRule="auto"/>
              <w:jc w:val="center"/>
              <w:rPr>
                <w:rFonts w:cs="Times New Roman"/>
                <w:sz w:val="18"/>
                <w:szCs w:val="18"/>
                <w:lang w:eastAsia="zh-CN"/>
              </w:rPr>
            </w:pPr>
            <w:r>
              <w:rPr>
                <w:rFonts w:cs="宋体"/>
                <w:sz w:val="18"/>
                <w:lang w:eastAsia="zh-CN"/>
              </w:rPr>
              <w:t>报告任何意外结果或显著偏离，并说明它们不影响总体结论的原因</w:t>
            </w:r>
          </w:p>
        </w:tc>
        <w:tc>
          <w:tcPr>
            <w:tcW w:w="512" w:type="pct"/>
          </w:tcPr>
          <w:p w14:paraId="763A80F8">
            <w:pPr>
              <w:spacing w:before="36" w:beforeLines="15" w:line="276" w:lineRule="auto"/>
              <w:jc w:val="center"/>
              <w:rPr>
                <w:rFonts w:cs="Times New Roman"/>
                <w:sz w:val="18"/>
                <w:szCs w:val="18"/>
                <w:lang w:eastAsia="zh-CN"/>
              </w:rPr>
            </w:pPr>
            <w:r>
              <w:rPr>
                <w:rFonts w:cs="宋体"/>
                <w:sz w:val="18"/>
                <w:lang w:eastAsia="zh-CN"/>
              </w:rPr>
              <w:t>通过/未通过</w:t>
            </w:r>
          </w:p>
          <w:p w14:paraId="3D72B396">
            <w:pPr>
              <w:spacing w:before="36" w:beforeLines="15" w:line="276" w:lineRule="auto"/>
              <w:jc w:val="center"/>
              <w:rPr>
                <w:rFonts w:cs="Times New Roman"/>
                <w:sz w:val="18"/>
                <w:szCs w:val="18"/>
                <w:lang w:eastAsia="zh-CN"/>
              </w:rPr>
            </w:pPr>
            <w:r>
              <w:rPr>
                <w:rFonts w:cs="宋体"/>
                <w:sz w:val="18"/>
                <w:lang w:eastAsia="zh-CN"/>
              </w:rPr>
              <w:t>或</w:t>
            </w:r>
          </w:p>
          <w:p w14:paraId="74606751">
            <w:pPr>
              <w:spacing w:before="36" w:beforeLines="15" w:line="276" w:lineRule="auto"/>
              <w:jc w:val="center"/>
              <w:rPr>
                <w:rFonts w:cs="Times New Roman"/>
                <w:sz w:val="18"/>
                <w:szCs w:val="18"/>
                <w:lang w:eastAsia="zh-CN"/>
              </w:rPr>
            </w:pPr>
            <w:r>
              <w:rPr>
                <w:rFonts w:cs="宋体"/>
                <w:sz w:val="18"/>
                <w:lang w:eastAsia="zh-CN"/>
              </w:rPr>
              <w:t>最小值、最大值、平均值</w:t>
            </w:r>
          </w:p>
        </w:tc>
      </w:tr>
    </w:tbl>
    <w:p w14:paraId="12573245">
      <w:pPr>
        <w:pStyle w:val="3"/>
        <w:ind w:left="0" w:leftChars="0" w:firstLine="0"/>
        <w:rPr>
          <w:lang w:eastAsia="zh-CN"/>
        </w:rPr>
      </w:pPr>
      <w:r>
        <w:rPr>
          <w:rFonts w:cs="宋体"/>
          <w:lang w:eastAsia="zh-CN"/>
        </w:rPr>
        <w:t>B.</w:t>
      </w:r>
      <w:r>
        <w:rPr>
          <w:rFonts w:cs="宋体"/>
          <w:lang w:eastAsia="zh-CN"/>
        </w:rPr>
        <w:tab/>
      </w:r>
      <w:r>
        <w:rPr>
          <w:rFonts w:cs="宋体"/>
          <w:lang w:eastAsia="zh-CN"/>
        </w:rPr>
        <w:t>完整测试报告</w:t>
      </w:r>
    </w:p>
    <w:p w14:paraId="36304C72">
      <w:pPr>
        <w:spacing w:before="120" w:beforeLines="50" w:line="300" w:lineRule="auto"/>
        <w:rPr>
          <w:rFonts w:cs="Times New Roman"/>
          <w:lang w:eastAsia="zh-CN"/>
        </w:rPr>
      </w:pPr>
      <w:r>
        <w:rPr>
          <w:rFonts w:cs="宋体"/>
          <w:lang w:eastAsia="zh-CN"/>
        </w:rPr>
        <w:t>本机构建议上市前申请包括完整测试报告，并随附于申请文件的正文中（例如附录）。完整测试报告是指为研究提交的整套测试文件，一些提交者或测试实验室可能包含在一份单独文件中，而其他可能包含在多份单独文件中（例如测试方案和测试报告；参见第II.C节）。本机构建议尽力确保扫描的测试报告清晰易读，以减少额外需要更清晰副本的可能性。</w:t>
      </w:r>
      <w:r>
        <w:rPr>
          <w:rFonts w:cs="宋体"/>
          <w:vertAlign w:val="superscript"/>
          <w:lang w:eastAsia="zh-CN"/>
        </w:rPr>
        <w:t>10</w:t>
      </w:r>
    </w:p>
    <w:p w14:paraId="75F180E9">
      <w:pPr>
        <w:spacing w:before="120" w:beforeLines="50" w:line="300" w:lineRule="auto"/>
        <w:rPr>
          <w:rFonts w:cs="Times New Roman"/>
          <w:lang w:eastAsia="zh-CN"/>
        </w:rPr>
      </w:pPr>
      <w:r>
        <w:rPr>
          <w:rFonts w:cs="宋体"/>
          <w:lang w:eastAsia="zh-CN"/>
        </w:rPr>
        <w:t>完整测试报告应包括下述信息。</w:t>
      </w:r>
    </w:p>
    <w:p w14:paraId="4CEB6022">
      <w:pPr>
        <w:spacing w:before="120" w:beforeLines="50" w:line="300" w:lineRule="auto"/>
        <w:ind w:left="482" w:hanging="482" w:hangingChars="200"/>
        <w:rPr>
          <w:rFonts w:cs="Times New Roman"/>
          <w:b/>
          <w:lang w:eastAsia="zh-CN"/>
        </w:rPr>
      </w:pPr>
      <w:r>
        <w:rPr>
          <w:rFonts w:cs="宋体"/>
          <w:b/>
          <w:lang w:eastAsia="zh-CN"/>
        </w:rPr>
        <w:t>1.</w:t>
      </w:r>
      <w:r>
        <w:rPr>
          <w:rFonts w:cs="宋体"/>
          <w:lang w:eastAsia="zh-CN"/>
        </w:rPr>
        <w:tab/>
      </w:r>
      <w:r>
        <w:rPr>
          <w:rFonts w:cs="宋体"/>
          <w:b/>
          <w:lang w:eastAsia="zh-CN"/>
        </w:rPr>
        <w:t>执行的测试</w:t>
      </w:r>
    </w:p>
    <w:p w14:paraId="7CD3CAFE">
      <w:pPr>
        <w:spacing w:before="120" w:beforeLines="50" w:line="300" w:lineRule="auto"/>
        <w:ind w:left="480" w:leftChars="200"/>
        <w:rPr>
          <w:rFonts w:cs="Times New Roman"/>
          <w:lang w:eastAsia="zh-CN"/>
        </w:rPr>
      </w:pPr>
      <w:r>
        <w:rPr>
          <w:rFonts w:cs="宋体"/>
          <w:lang w:eastAsia="zh-CN"/>
        </w:rPr>
        <w:t>测试报告应清楚地说明已执行的测试。</w:t>
      </w:r>
    </w:p>
    <w:p w14:paraId="641F7FE3">
      <w:pPr>
        <w:spacing w:before="120" w:beforeLines="50" w:line="300" w:lineRule="auto"/>
        <w:ind w:left="482" w:hanging="482" w:hangingChars="200"/>
        <w:rPr>
          <w:rFonts w:cs="Times New Roman"/>
          <w:b/>
          <w:lang w:eastAsia="zh-CN"/>
        </w:rPr>
      </w:pPr>
      <w:r>
        <w:rPr>
          <w:rFonts w:cs="宋体"/>
          <w:b/>
          <w:lang w:eastAsia="zh-CN"/>
        </w:rPr>
        <w:t>2.</w:t>
      </w:r>
      <w:r>
        <w:rPr>
          <w:rFonts w:cs="宋体"/>
          <w:lang w:eastAsia="zh-CN"/>
        </w:rPr>
        <w:tab/>
      </w:r>
      <w:r>
        <w:rPr>
          <w:rFonts w:cs="宋体"/>
          <w:b/>
          <w:lang w:eastAsia="zh-CN"/>
        </w:rPr>
        <w:t>测试目的</w:t>
      </w:r>
    </w:p>
    <w:p w14:paraId="277A0CFF">
      <w:pPr>
        <w:spacing w:before="120" w:beforeLines="50" w:line="300" w:lineRule="auto"/>
        <w:ind w:left="480" w:leftChars="200"/>
        <w:rPr>
          <w:rFonts w:cs="Times New Roman"/>
          <w:lang w:eastAsia="zh-CN"/>
        </w:rPr>
      </w:pPr>
      <w:r>
        <w:rPr>
          <w:rFonts w:cs="宋体"/>
          <w:lang w:eastAsia="zh-CN"/>
        </w:rPr>
        <w:t>测试报告应说明已开展测试的目标。请注意，此信息也可以在测试方案中提供。</w:t>
      </w:r>
    </w:p>
    <w:p w14:paraId="10514AD6">
      <w:pPr>
        <w:spacing w:before="120" w:beforeLines="50" w:line="300" w:lineRule="auto"/>
        <w:ind w:left="482" w:hanging="482" w:hangingChars="200"/>
        <w:rPr>
          <w:rFonts w:cs="Times New Roman"/>
          <w:b/>
          <w:lang w:eastAsia="zh-CN"/>
        </w:rPr>
      </w:pPr>
      <w:r>
        <w:rPr>
          <w:rFonts w:cs="宋体"/>
          <w:b/>
          <w:lang w:eastAsia="zh-CN"/>
        </w:rPr>
        <w:t>3.</w:t>
      </w:r>
      <w:r>
        <w:rPr>
          <w:rFonts w:cs="宋体"/>
          <w:lang w:eastAsia="zh-CN"/>
        </w:rPr>
        <w:tab/>
      </w:r>
      <w:r>
        <w:rPr>
          <w:rFonts w:cs="宋体"/>
          <w:b/>
          <w:lang w:eastAsia="zh-CN"/>
        </w:rPr>
        <w:t>测试方法描述</w:t>
      </w:r>
    </w:p>
    <w:p w14:paraId="19B0B010">
      <w:pPr>
        <w:spacing w:before="120" w:beforeLines="50" w:line="300" w:lineRule="auto"/>
        <w:ind w:left="480" w:leftChars="200"/>
        <w:rPr>
          <w:rFonts w:cs="Times New Roman"/>
          <w:lang w:eastAsia="zh-CN"/>
        </w:rPr>
      </w:pPr>
      <w:r>
        <w:rPr>
          <w:rFonts w:cs="宋体"/>
          <w:lang w:eastAsia="zh-CN"/>
        </w:rPr>
        <w:t>您应对测试方法进行详细描述，以便熟悉器械类型测试的个人能够解释测试目的、测试方法以及测试设置和数据分析是否适合评估器械类型的性能。</w:t>
      </w:r>
    </w:p>
    <w:p w14:paraId="2A5F11C2">
      <w:pPr>
        <w:pStyle w:val="20"/>
        <w:rPr>
          <w:lang w:eastAsia="zh-CN"/>
        </w:rPr>
      </w:pPr>
      <w:r>
        <w:rPr>
          <w:rFonts w:cs="宋体"/>
        </w:rPr>
        <w:t>______________________</w:t>
      </w:r>
    </w:p>
    <w:p w14:paraId="1C38FEF1">
      <w:pPr>
        <w:pStyle w:val="20"/>
      </w:pPr>
      <w:r>
        <w:rPr>
          <w:rFonts w:cs="宋体"/>
          <w:vertAlign w:val="superscript"/>
        </w:rPr>
        <w:t>10</w:t>
      </w:r>
      <w:r>
        <w:rPr>
          <w:rFonts w:cs="宋体"/>
        </w:rPr>
        <w:tab/>
      </w:r>
      <w:r>
        <w:rPr>
          <w:rFonts w:cs="宋体"/>
        </w:rPr>
        <w:t>参见FDA指南《</w:t>
      </w:r>
      <w:r>
        <w:rPr>
          <w:rFonts w:cs="宋体"/>
          <w:color w:val="0000FF"/>
          <w:u w:val="single"/>
        </w:rPr>
        <w:t>针对医疗器械申请文件的电子副本（eCopy）计划 - 面向行业和美国食品药品监督管理局工作人员的指南</w:t>
      </w:r>
      <w:r>
        <w:rPr>
          <w:rFonts w:cs="宋体"/>
        </w:rPr>
        <w:t>》，可登录以下网址获取：</w:t>
      </w:r>
      <w:r>
        <w:rPr>
          <w:rFonts w:cs="宋体"/>
          <w:color w:val="0000FF"/>
          <w:u w:val="single"/>
        </w:rPr>
        <w:t>https://www.fda.gov/regulatory-information/search-fda-guidance- documents/ecopy-program-medical-device-submissions</w:t>
      </w:r>
      <w:r>
        <w:rPr>
          <w:rFonts w:cs="宋体"/>
        </w:rPr>
        <w:t>。</w:t>
      </w:r>
    </w:p>
    <w:p w14:paraId="5199379F">
      <w:pPr>
        <w:spacing w:before="120" w:beforeLines="50" w:line="300" w:lineRule="auto"/>
        <w:ind w:left="480" w:leftChars="200"/>
        <w:rPr>
          <w:rFonts w:cs="Times New Roman"/>
          <w:lang w:eastAsia="zh-CN"/>
        </w:rPr>
      </w:pPr>
      <w:r>
        <w:rPr>
          <w:rFonts w:cs="宋体"/>
          <w:lang w:eastAsia="zh-CN"/>
        </w:rPr>
        <w:br w:type="page"/>
      </w:r>
      <w:r>
        <w:rPr>
          <w:rFonts w:cs="宋体"/>
          <w:lang w:eastAsia="zh-CN"/>
        </w:rPr>
        <w:t>如果在测试过程中使用了FDA认可的共识标准，包含测试方法，则通常不需要提供详细的测试方法或测试方案，即使</w:t>
      </w:r>
      <w:r>
        <w:rPr>
          <w:rFonts w:cs="宋体"/>
          <w:i/>
          <w:lang w:eastAsia="zh-CN"/>
        </w:rPr>
        <w:t>没有</w:t>
      </w:r>
      <w:r>
        <w:rPr>
          <w:rFonts w:cs="宋体"/>
          <w:lang w:eastAsia="zh-CN"/>
        </w:rPr>
        <w:t>提供DOC标准（即共识标准的一般使用）。相反，您应提供标准的完整引用，包括版本，以及有关标准遵循程度的信息，包括与标准的偏离。同样，如果您向DOC提供FDA认可的共识标准，包括测试方法，则通常不需要提供详细的测试方法或测试方案。当FDA认可的共识标准包括下列选项内容：例如测试项目、使用的测试方法或评估符合性的性能限值，您应解释选项和所做的选择。当测试方法偏离所使用的FDA认可的共识标准时，本机构建议您向DOC提交时提供此信息，如果未向DOC提交，则在完整测试报告中提供。有关共识标准的使用、DOC和支持DOC的补充文件的更多信息，请参见标题为《</w:t>
      </w:r>
      <w:r>
        <w:rPr>
          <w:rFonts w:cs="宋体"/>
          <w:color w:val="0000FF"/>
          <w:u w:val="single"/>
          <w:lang w:eastAsia="zh-CN"/>
        </w:rPr>
        <w:t>在医疗器械上市前申请中适当使用自愿共识标准</w:t>
      </w:r>
      <w:r>
        <w:rPr>
          <w:rFonts w:cs="宋体"/>
          <w:lang w:eastAsia="zh-CN"/>
        </w:rPr>
        <w:t>》</w:t>
      </w:r>
      <w:r>
        <w:rPr>
          <w:rFonts w:cs="宋体"/>
          <w:vertAlign w:val="superscript"/>
          <w:lang w:eastAsia="zh-CN"/>
        </w:rPr>
        <w:t>11</w:t>
      </w:r>
      <w:r>
        <w:rPr>
          <w:rFonts w:cs="宋体"/>
          <w:lang w:eastAsia="zh-CN"/>
        </w:rPr>
        <w:t>和《</w:t>
      </w:r>
      <w:r>
        <w:rPr>
          <w:rFonts w:cs="宋体"/>
          <w:color w:val="0000FF"/>
          <w:u w:val="single"/>
          <w:lang w:eastAsia="zh-CN"/>
        </w:rPr>
        <w:t>生物制品评价与研究中心审查的监管申请中的标准制定和标准使用</w:t>
      </w:r>
      <w:r>
        <w:rPr>
          <w:rFonts w:cs="宋体"/>
          <w:lang w:eastAsia="zh-CN"/>
        </w:rPr>
        <w:t>》的FDA指南。”</w:t>
      </w:r>
      <w:r>
        <w:rPr>
          <w:rFonts w:cs="宋体"/>
          <w:vertAlign w:val="superscript"/>
          <w:lang w:eastAsia="zh-CN"/>
        </w:rPr>
        <w:t>12</w:t>
      </w:r>
    </w:p>
    <w:p w14:paraId="7DF7A0F4">
      <w:pPr>
        <w:spacing w:before="120" w:beforeLines="50" w:line="300" w:lineRule="auto"/>
        <w:ind w:left="962" w:leftChars="200" w:hanging="482" w:hangingChars="200"/>
        <w:rPr>
          <w:rFonts w:cs="Times New Roman"/>
          <w:b/>
          <w:lang w:eastAsia="zh-CN"/>
        </w:rPr>
      </w:pPr>
      <w:r>
        <w:rPr>
          <w:rFonts w:cs="宋体"/>
          <w:b/>
          <w:lang w:eastAsia="zh-CN"/>
        </w:rPr>
        <w:t>a.</w:t>
      </w:r>
      <w:r>
        <w:rPr>
          <w:rFonts w:cs="宋体"/>
          <w:b/>
          <w:lang w:eastAsia="zh-CN"/>
        </w:rPr>
        <w:tab/>
      </w:r>
      <w:r>
        <w:rPr>
          <w:rFonts w:cs="宋体"/>
          <w:b/>
          <w:lang w:eastAsia="zh-CN"/>
        </w:rPr>
        <w:t>测试样品信息</w:t>
      </w:r>
    </w:p>
    <w:p w14:paraId="1FE6BAD0">
      <w:pPr>
        <w:spacing w:before="120" w:beforeLines="50" w:line="300" w:lineRule="auto"/>
        <w:ind w:left="960" w:leftChars="400"/>
        <w:rPr>
          <w:rFonts w:cs="Times New Roman"/>
          <w:lang w:eastAsia="zh-CN"/>
        </w:rPr>
      </w:pPr>
      <w:r>
        <w:rPr>
          <w:rFonts w:cs="宋体"/>
          <w:lang w:eastAsia="zh-CN"/>
        </w:rPr>
        <w:t>测试报告应提供已测试的供试品的描述（是否为最终成品器械），该样品是整个器械、还是一个部件或组件，以及器械的属性（例如器械的材料成分/特性或包装）。</w:t>
      </w:r>
    </w:p>
    <w:p w14:paraId="71996EF0">
      <w:pPr>
        <w:spacing w:before="120" w:beforeLines="50" w:line="300" w:lineRule="auto"/>
        <w:ind w:left="960" w:leftChars="400"/>
        <w:rPr>
          <w:rFonts w:cs="Times New Roman"/>
          <w:lang w:eastAsia="zh-CN"/>
        </w:rPr>
      </w:pPr>
      <w:r>
        <w:rPr>
          <w:rFonts w:cs="宋体"/>
          <w:lang w:eastAsia="zh-CN"/>
        </w:rPr>
        <w:t>通常，供试器械应代表已经过“待上市”器械所有制造工艺（包括灭菌、环境调节、模拟运输等）的最终成品器械。如果您对非最终成品（例如已灭菌）产品或部件或组件的样品进行了任何测试，本机构建议您在测试报告总结和测试报告中表明这一点，如果已知的话（例如，如果测试实验室意识到供试品不是最终的成品器械），并解释为什么这种方法是合适的，因为与待上市的最终成品器械相比，任何差异均可能影响供试器械的性能。您应说明样品在测试前已经暴露的灭菌周期或其他调节（例如模拟使用、环境调节、配送模拟、老化）的次数。如果供试品的调节或灭菌方式与已上市产品的预期方式不同，本机构建议您提供依据。</w:t>
      </w:r>
    </w:p>
    <w:p w14:paraId="2641E1ED">
      <w:pPr>
        <w:spacing w:before="120" w:beforeLines="50" w:line="300" w:lineRule="auto"/>
        <w:ind w:left="962" w:leftChars="200" w:hanging="482" w:hangingChars="200"/>
        <w:rPr>
          <w:rFonts w:cs="Times New Roman"/>
          <w:b/>
        </w:rPr>
      </w:pPr>
      <w:r>
        <w:rPr>
          <w:rFonts w:cs="宋体"/>
          <w:b/>
        </w:rPr>
        <w:t>b.</w:t>
      </w:r>
      <w:r>
        <w:rPr>
          <w:rFonts w:cs="宋体"/>
          <w:b/>
        </w:rPr>
        <w:tab/>
      </w:r>
      <w:r>
        <w:rPr>
          <w:rFonts w:cs="宋体"/>
          <w:b/>
        </w:rPr>
        <w:t>测试样本量/选择</w:t>
      </w:r>
    </w:p>
    <w:p w14:paraId="48851AF0">
      <w:pPr>
        <w:pStyle w:val="20"/>
        <w:rPr>
          <w:lang w:eastAsia="zh-CN"/>
        </w:rPr>
      </w:pPr>
      <w:r>
        <w:rPr>
          <w:rFonts w:cs="宋体"/>
        </w:rPr>
        <w:t>______________________</w:t>
      </w:r>
    </w:p>
    <w:p w14:paraId="35673ADC">
      <w:pPr>
        <w:pStyle w:val="20"/>
      </w:pPr>
      <w:r>
        <w:rPr>
          <w:rFonts w:cs="宋体"/>
          <w:vertAlign w:val="superscript"/>
        </w:rPr>
        <w:t>11</w:t>
      </w:r>
      <w:r>
        <w:rPr>
          <w:rFonts w:cs="宋体"/>
        </w:rPr>
        <w:tab/>
      </w:r>
      <w:r>
        <w:rPr>
          <w:rFonts w:cs="宋体"/>
        </w:rPr>
        <w:t>可登录以下网址获取：</w:t>
      </w:r>
      <w:r>
        <w:rPr>
          <w:rFonts w:cs="宋体"/>
          <w:color w:val="0000FF"/>
          <w:u w:val="single"/>
        </w:rPr>
        <w:t>https://www.fda.gov/regulatory-information/search-fda-guidance-documents/appropriate-use-</w:t>
      </w:r>
      <w:r>
        <w:rPr>
          <w:rFonts w:cs="宋体"/>
          <w:color w:val="0000FF"/>
        </w:rPr>
        <w:t xml:space="preserve"> </w:t>
      </w:r>
      <w:r>
        <w:rPr>
          <w:rFonts w:cs="宋体"/>
          <w:color w:val="0000FF"/>
          <w:u w:val="single"/>
        </w:rPr>
        <w:t>voluntary-consensus-standards-premarket-submissions-medical-devices.</w:t>
      </w:r>
    </w:p>
    <w:p w14:paraId="5449E34F">
      <w:pPr>
        <w:pStyle w:val="20"/>
      </w:pPr>
      <w:r>
        <w:rPr>
          <w:rFonts w:cs="宋体"/>
          <w:vertAlign w:val="superscript"/>
        </w:rPr>
        <w:t>12</w:t>
      </w:r>
      <w:r>
        <w:rPr>
          <w:rFonts w:cs="宋体"/>
        </w:rPr>
        <w:tab/>
      </w:r>
      <w:r>
        <w:rPr>
          <w:rFonts w:cs="宋体"/>
        </w:rPr>
        <w:t>可登录以下网址获取：</w:t>
      </w:r>
      <w:r>
        <w:rPr>
          <w:rFonts w:cs="宋体"/>
          <w:color w:val="0000FF"/>
          <w:u w:val="single"/>
        </w:rPr>
        <w:t>https://www.fda.gov/regulatory-information/search-fda-guidance-documents/standards-development-</w:t>
      </w:r>
      <w:r>
        <w:rPr>
          <w:rFonts w:cs="宋体"/>
          <w:color w:val="0000FF"/>
        </w:rPr>
        <w:t xml:space="preserve"> </w:t>
      </w:r>
      <w:r>
        <w:rPr>
          <w:rFonts w:cs="宋体"/>
          <w:color w:val="0000FF"/>
          <w:u w:val="single"/>
        </w:rPr>
        <w:t>and-use-standards-regulatory-submissions-reviewed-center-biologics-evaluation</w:t>
      </w:r>
      <w:r>
        <w:rPr>
          <w:rFonts w:cs="宋体"/>
        </w:rPr>
        <w:t>。</w:t>
      </w:r>
    </w:p>
    <w:p w14:paraId="31A2424A">
      <w:pPr>
        <w:spacing w:before="120" w:beforeLines="50" w:line="300" w:lineRule="auto"/>
        <w:rPr>
          <w:rFonts w:cs="Times New Roman"/>
        </w:rPr>
      </w:pPr>
      <w:r>
        <w:rPr>
          <w:rFonts w:cs="宋体"/>
        </w:rPr>
        <w:br w:type="page"/>
      </w:r>
    </w:p>
    <w:p w14:paraId="38D5DCA3">
      <w:pPr>
        <w:spacing w:before="120" w:beforeLines="50" w:line="300" w:lineRule="auto"/>
        <w:ind w:left="480" w:leftChars="200"/>
        <w:rPr>
          <w:rFonts w:cs="Times New Roman"/>
          <w:lang w:eastAsia="zh-CN"/>
        </w:rPr>
      </w:pPr>
      <w:r>
        <w:rPr>
          <w:rFonts w:cs="宋体"/>
          <w:lang w:eastAsia="zh-CN"/>
        </w:rPr>
        <w:t>本机构建议您提供测试样本量的科学依据。选择的样本量应基于研究目的并得到您的风险分析和抽样计划的支持。对于根据FDA认可的共识标准或FDA指南文件中的规定进行的测试，选择的样本量应符合标准或指南的适用建议。在适用情况下，您应遵循任何器械相关的指南文件的样本选择建议。</w:t>
      </w:r>
    </w:p>
    <w:p w14:paraId="7F7E2530">
      <w:pPr>
        <w:spacing w:before="120" w:beforeLines="50" w:line="300" w:lineRule="auto"/>
        <w:ind w:left="480" w:leftChars="200"/>
        <w:rPr>
          <w:rFonts w:cs="Times New Roman"/>
          <w:lang w:eastAsia="zh-CN"/>
        </w:rPr>
      </w:pPr>
      <w:r>
        <w:rPr>
          <w:rFonts w:cs="宋体"/>
          <w:lang w:eastAsia="zh-CN"/>
        </w:rPr>
        <w:t>如果使用一个特定的器械模型来代表您申请的器械模型的整个系列（或子集），您应说明为什么供试器械能够代表整个产品系列（或子集）并解释为什么供试器械能够代表相应测试的最坏情况设计。在某些情况下，每个系列可能有多种最坏情况设计，“四角”或括号法可能适用，应提供依据。</w:t>
      </w:r>
    </w:p>
    <w:p w14:paraId="2565A9AF">
      <w:pPr>
        <w:spacing w:before="120" w:beforeLines="50" w:line="300" w:lineRule="auto"/>
        <w:ind w:left="480" w:leftChars="200"/>
        <w:rPr>
          <w:rFonts w:cs="Times New Roman"/>
          <w:lang w:eastAsia="zh-CN"/>
        </w:rPr>
      </w:pPr>
      <w:r>
        <w:rPr>
          <w:rFonts w:cs="宋体"/>
          <w:lang w:eastAsia="zh-CN"/>
        </w:rPr>
        <w:t>最后，您的供试品选择应（适当时）通过检查多个生产批次来考虑批次间和批次内的差异性（例如，当预计此类抽样可能影响测试结果和/或需要充分证明测试结果的差异性）。</w:t>
      </w:r>
    </w:p>
    <w:p w14:paraId="482B732B">
      <w:pPr>
        <w:spacing w:before="120" w:beforeLines="50" w:line="300" w:lineRule="auto"/>
        <w:rPr>
          <w:rFonts w:cs="Times New Roman"/>
          <w:b/>
          <w:lang w:eastAsia="zh-CN"/>
        </w:rPr>
      </w:pPr>
      <w:r>
        <w:rPr>
          <w:rFonts w:cs="宋体"/>
          <w:b/>
          <w:lang w:eastAsia="zh-CN"/>
        </w:rPr>
        <w:t>c.</w:t>
      </w:r>
      <w:r>
        <w:rPr>
          <w:rFonts w:cs="宋体"/>
          <w:b/>
          <w:lang w:eastAsia="zh-CN"/>
        </w:rPr>
        <w:tab/>
      </w:r>
      <w:r>
        <w:rPr>
          <w:rFonts w:cs="宋体"/>
          <w:b/>
          <w:lang w:eastAsia="zh-CN"/>
        </w:rPr>
        <w:t>测试方法</w:t>
      </w:r>
    </w:p>
    <w:p w14:paraId="45EE153C">
      <w:pPr>
        <w:spacing w:before="120" w:beforeLines="50" w:line="300" w:lineRule="auto"/>
        <w:ind w:left="480" w:leftChars="200"/>
        <w:rPr>
          <w:rFonts w:cs="Times New Roman"/>
          <w:lang w:eastAsia="zh-CN"/>
        </w:rPr>
      </w:pPr>
      <w:r>
        <w:rPr>
          <w:rFonts w:cs="宋体"/>
          <w:lang w:eastAsia="zh-CN"/>
        </w:rPr>
        <w:t>测试报告应包含对所进行测试中使用的测试方法的简明描述。您还应描述使用的材料、方法和测试参数，包括关键测试参数的解释和依据，以及（适当时）任何特定的样品制备步骤。在许多情况下，测试设置和测试夹具的标记图或照片有助于理解测试方法，并且应提供适当的文本，将其包含在测试方法中。</w:t>
      </w:r>
    </w:p>
    <w:p w14:paraId="59B165C1">
      <w:pPr>
        <w:spacing w:before="120" w:beforeLines="50" w:line="300" w:lineRule="auto"/>
        <w:rPr>
          <w:rFonts w:cs="Times New Roman"/>
          <w:b/>
          <w:lang w:eastAsia="zh-CN"/>
        </w:rPr>
      </w:pPr>
      <w:r>
        <w:rPr>
          <w:rFonts w:cs="宋体"/>
          <w:b/>
          <w:lang w:eastAsia="zh-CN"/>
        </w:rPr>
        <w:t>4.</w:t>
      </w:r>
      <w:r>
        <w:rPr>
          <w:rFonts w:cs="宋体"/>
          <w:lang w:eastAsia="zh-CN"/>
        </w:rPr>
        <w:tab/>
      </w:r>
      <w:r>
        <w:rPr>
          <w:rFonts w:cs="宋体"/>
          <w:b/>
          <w:lang w:eastAsia="zh-CN"/>
        </w:rPr>
        <w:t>通过/未通过标准</w:t>
      </w:r>
    </w:p>
    <w:p w14:paraId="0599777B">
      <w:pPr>
        <w:spacing w:before="120" w:beforeLines="50" w:line="300" w:lineRule="auto"/>
        <w:ind w:left="480" w:leftChars="200"/>
        <w:rPr>
          <w:rFonts w:cs="Times New Roman"/>
          <w:lang w:eastAsia="zh-CN"/>
        </w:rPr>
      </w:pPr>
      <w:r>
        <w:rPr>
          <w:rFonts w:cs="宋体"/>
          <w:lang w:eastAsia="zh-CN"/>
        </w:rPr>
        <w:t>您应在测试报告中描述预先确定的验收标准，包括质量标准或验收和拒绝标准，以及此类标准的临床/科学/工程依据（如适用）。验收标准应基于器械的特定性能需求和器械的预期用途。验收标准的适当临床/科学/工程依据示例包括基于临床使用的器械性能质量标准；例如，“组件的抗拉强度应为预期正常工作负载的10倍，因为组件故障会对患者造成严重伤害。”如适用，您应参考FDA认可的共识标准或FDA指南文件，了解推荐的验收标准。当出于表征目的进行非临床台架性能测试没有验收标准时，您仍应在测试报告总结中描述用于解释数据的评估标准。</w:t>
      </w:r>
    </w:p>
    <w:p w14:paraId="6B895F68">
      <w:pPr>
        <w:rPr>
          <w:rFonts w:cs="Times New Roman"/>
          <w:b/>
          <w:lang w:eastAsia="zh-CN"/>
        </w:rPr>
      </w:pPr>
      <w:r>
        <w:rPr>
          <w:rFonts w:cs="宋体"/>
          <w:b/>
          <w:lang w:eastAsia="zh-CN"/>
        </w:rPr>
        <w:br w:type="page"/>
      </w:r>
    </w:p>
    <w:p w14:paraId="101DFBB1">
      <w:pPr>
        <w:spacing w:before="120" w:beforeLines="50" w:line="300" w:lineRule="auto"/>
        <w:rPr>
          <w:rFonts w:cs="Times New Roman"/>
          <w:b/>
          <w:lang w:eastAsia="zh-CN"/>
        </w:rPr>
      </w:pPr>
      <w:r>
        <w:rPr>
          <w:rFonts w:cs="宋体"/>
          <w:b/>
          <w:lang w:eastAsia="zh-CN"/>
        </w:rPr>
        <w:t>5.</w:t>
      </w:r>
      <w:r>
        <w:rPr>
          <w:rFonts w:cs="宋体"/>
          <w:lang w:eastAsia="zh-CN"/>
        </w:rPr>
        <w:tab/>
      </w:r>
      <w:r>
        <w:rPr>
          <w:rFonts w:cs="宋体"/>
          <w:b/>
          <w:lang w:eastAsia="zh-CN"/>
        </w:rPr>
        <w:t>数据分析计划</w:t>
      </w:r>
    </w:p>
    <w:p w14:paraId="694D5FC8">
      <w:pPr>
        <w:spacing w:before="120" w:beforeLines="50" w:line="300" w:lineRule="auto"/>
        <w:ind w:left="480" w:leftChars="200"/>
        <w:rPr>
          <w:rFonts w:cs="Times New Roman"/>
          <w:lang w:eastAsia="zh-CN"/>
        </w:rPr>
      </w:pPr>
      <w:r>
        <w:rPr>
          <w:rFonts w:cs="宋体"/>
          <w:lang w:eastAsia="zh-CN"/>
        </w:rPr>
        <w:t>本机构建议测试报告应包括用于分析结果的数据分析计划。您的数据分析计划应包括所有计划的定量和/或定性评估。</w:t>
      </w:r>
    </w:p>
    <w:p w14:paraId="58607B7C">
      <w:pPr>
        <w:spacing w:before="120" w:beforeLines="50" w:line="300" w:lineRule="auto"/>
        <w:rPr>
          <w:rFonts w:cs="Times New Roman"/>
          <w:b/>
          <w:lang w:eastAsia="zh-CN"/>
        </w:rPr>
      </w:pPr>
      <w:r>
        <w:rPr>
          <w:rFonts w:cs="宋体"/>
          <w:b/>
          <w:lang w:eastAsia="zh-CN"/>
        </w:rPr>
        <w:t>6.</w:t>
      </w:r>
      <w:r>
        <w:rPr>
          <w:rFonts w:cs="宋体"/>
          <w:lang w:eastAsia="zh-CN"/>
        </w:rPr>
        <w:tab/>
      </w:r>
      <w:r>
        <w:rPr>
          <w:rFonts w:cs="宋体"/>
          <w:b/>
          <w:lang w:eastAsia="zh-CN"/>
        </w:rPr>
        <w:t>测试结果</w:t>
      </w:r>
    </w:p>
    <w:p w14:paraId="086E193E">
      <w:pPr>
        <w:spacing w:before="120" w:beforeLines="50" w:line="300" w:lineRule="auto"/>
        <w:ind w:left="480" w:leftChars="200"/>
        <w:rPr>
          <w:rFonts w:cs="Times New Roman"/>
          <w:lang w:eastAsia="zh-CN"/>
        </w:rPr>
      </w:pPr>
      <w:r>
        <w:rPr>
          <w:rFonts w:cs="宋体"/>
          <w:lang w:eastAsia="zh-CN"/>
        </w:rPr>
        <w:t>本机构建议您在测试报告的测试结果章节包含下列信息：</w:t>
      </w:r>
    </w:p>
    <w:p w14:paraId="02CB2729">
      <w:pPr>
        <w:spacing w:before="120" w:beforeLines="50" w:line="300" w:lineRule="auto"/>
        <w:ind w:left="962" w:leftChars="200" w:hanging="482" w:hangingChars="200"/>
        <w:rPr>
          <w:rFonts w:cs="Times New Roman"/>
          <w:b/>
          <w:lang w:eastAsia="zh-CN"/>
        </w:rPr>
      </w:pPr>
      <w:r>
        <w:rPr>
          <w:rFonts w:cs="宋体"/>
          <w:b/>
          <w:lang w:eastAsia="zh-CN"/>
        </w:rPr>
        <w:t>a.</w:t>
      </w:r>
      <w:r>
        <w:rPr>
          <w:rFonts w:cs="宋体"/>
          <w:b/>
          <w:lang w:eastAsia="zh-CN"/>
        </w:rPr>
        <w:tab/>
      </w:r>
      <w:r>
        <w:rPr>
          <w:rFonts w:cs="宋体"/>
          <w:b/>
          <w:lang w:eastAsia="zh-CN"/>
        </w:rPr>
        <w:t>数据</w:t>
      </w:r>
    </w:p>
    <w:p w14:paraId="46A9F5E2">
      <w:pPr>
        <w:spacing w:before="120" w:beforeLines="50" w:line="300" w:lineRule="auto"/>
        <w:ind w:left="960" w:leftChars="400"/>
        <w:rPr>
          <w:rFonts w:cs="Times New Roman"/>
          <w:lang w:eastAsia="zh-CN"/>
        </w:rPr>
      </w:pPr>
      <w:r>
        <w:rPr>
          <w:rFonts w:cs="宋体"/>
          <w:lang w:eastAsia="zh-CN"/>
        </w:rPr>
        <w:t>本机构建议您在进行测试期间提供所有供试品收集的数据（包括离群和异常结果），以支持上市前申请，可在适当情况下常规提供。结果应显示在数据表或表格中。此类数据应附有数据汇总和适用的统计学信息。此外，在可能产生更多文本的情况下，例如测试失败，应提供失效模式的图像。在整个报告中，您应使用一致的适当计量单位。数值应报告为适当的有效数字，如果数据四舍五入，则应指定使用的四舍五入方法。</w:t>
      </w:r>
    </w:p>
    <w:p w14:paraId="014ABC78">
      <w:pPr>
        <w:spacing w:before="120" w:beforeLines="50" w:line="300" w:lineRule="auto"/>
        <w:ind w:left="962" w:leftChars="200" w:hanging="482" w:hangingChars="200"/>
        <w:rPr>
          <w:rFonts w:cs="Times New Roman"/>
          <w:b/>
          <w:lang w:eastAsia="zh-CN"/>
        </w:rPr>
      </w:pPr>
      <w:r>
        <w:rPr>
          <w:rFonts w:cs="宋体"/>
          <w:b/>
          <w:lang w:eastAsia="zh-CN"/>
        </w:rPr>
        <w:t>b.</w:t>
      </w:r>
      <w:r>
        <w:rPr>
          <w:rFonts w:cs="宋体"/>
          <w:b/>
          <w:lang w:eastAsia="zh-CN"/>
        </w:rPr>
        <w:tab/>
      </w:r>
      <w:r>
        <w:rPr>
          <w:rFonts w:cs="宋体"/>
          <w:b/>
          <w:lang w:eastAsia="zh-CN"/>
        </w:rPr>
        <w:t>数据分析</w:t>
      </w:r>
    </w:p>
    <w:p w14:paraId="2B2CF826">
      <w:pPr>
        <w:spacing w:before="120" w:beforeLines="50" w:line="300" w:lineRule="auto"/>
        <w:ind w:left="960" w:leftChars="400"/>
        <w:rPr>
          <w:rFonts w:cs="Times New Roman"/>
          <w:lang w:eastAsia="zh-CN"/>
        </w:rPr>
      </w:pPr>
      <w:r>
        <w:rPr>
          <w:rFonts w:cs="宋体"/>
          <w:lang w:eastAsia="zh-CN"/>
        </w:rPr>
        <w:t>您应使用统计学分析来分析数据（适当时），包括所有离群点和异常结果，并指出是否满足验收标准。如第II.A.5节所述，此类分析可包括定量和/或定性评估。如果数据分析得出的结论是单个样品或整个样品群都不符合验收标准，本机构建议您（在测试报告或测试报告总结中）讨论测试未能通过验收标准的可能原因 ，以及确定是否需要进行重新测试及其原因。</w:t>
      </w:r>
    </w:p>
    <w:p w14:paraId="77389841">
      <w:pPr>
        <w:spacing w:before="120" w:beforeLines="50" w:line="300" w:lineRule="auto"/>
        <w:ind w:left="962" w:leftChars="200" w:hanging="482" w:hangingChars="200"/>
        <w:rPr>
          <w:rFonts w:cs="Times New Roman"/>
          <w:b/>
          <w:lang w:eastAsia="zh-CN"/>
        </w:rPr>
      </w:pPr>
      <w:r>
        <w:rPr>
          <w:rFonts w:cs="宋体"/>
          <w:b/>
          <w:lang w:eastAsia="zh-CN"/>
        </w:rPr>
        <w:t>c.</w:t>
      </w:r>
      <w:r>
        <w:rPr>
          <w:rFonts w:cs="宋体"/>
          <w:b/>
          <w:lang w:eastAsia="zh-CN"/>
        </w:rPr>
        <w:tab/>
      </w:r>
      <w:r>
        <w:rPr>
          <w:rFonts w:cs="宋体"/>
          <w:b/>
          <w:lang w:eastAsia="zh-CN"/>
        </w:rPr>
        <w:t>方案偏</w:t>
      </w:r>
      <w:r>
        <w:rPr>
          <w:rFonts w:hint="eastAsia" w:cs="宋体"/>
          <w:b/>
          <w:lang w:eastAsia="zh-CN"/>
        </w:rPr>
        <w:t>离</w:t>
      </w:r>
    </w:p>
    <w:p w14:paraId="5135E1C6">
      <w:pPr>
        <w:spacing w:before="120" w:beforeLines="50" w:line="300" w:lineRule="auto"/>
        <w:ind w:left="960" w:leftChars="400"/>
        <w:rPr>
          <w:rFonts w:cs="Times New Roman"/>
          <w:lang w:eastAsia="zh-CN"/>
        </w:rPr>
      </w:pPr>
      <w:r>
        <w:rPr>
          <w:rFonts w:cs="宋体"/>
          <w:lang w:eastAsia="zh-CN"/>
        </w:rPr>
        <w:t>本机构建议您对测试方案偏离进行描述，尤其是可能影响研究结果、结论或数据完整性的偏离。测试报告应讨论发生偏离的原因，描述为确定偏离来源而执行的任何方案，并评估它们对测试结果、结论或数据完整性的影响。</w:t>
      </w:r>
    </w:p>
    <w:p w14:paraId="1B23373B">
      <w:pPr>
        <w:spacing w:before="120" w:beforeLines="50" w:line="300" w:lineRule="auto"/>
        <w:ind w:left="480" w:hanging="480" w:hangingChars="200"/>
        <w:rPr>
          <w:rFonts w:cs="Times New Roman"/>
          <w:b/>
          <w:lang w:eastAsia="zh-CN"/>
        </w:rPr>
      </w:pPr>
      <w:r>
        <w:rPr>
          <w:rFonts w:cs="宋体"/>
          <w:lang w:eastAsia="zh-CN"/>
        </w:rPr>
        <w:br w:type="page"/>
      </w:r>
      <w:r>
        <w:rPr>
          <w:rFonts w:cs="宋体"/>
          <w:b/>
          <w:lang w:eastAsia="zh-CN"/>
        </w:rPr>
        <w:t>7.</w:t>
      </w:r>
      <w:r>
        <w:rPr>
          <w:rFonts w:cs="宋体"/>
          <w:lang w:eastAsia="zh-CN"/>
        </w:rPr>
        <w:tab/>
      </w:r>
      <w:r>
        <w:rPr>
          <w:rFonts w:cs="宋体"/>
          <w:b/>
          <w:lang w:eastAsia="zh-CN"/>
        </w:rPr>
        <w:t>讨论/结论</w:t>
      </w:r>
    </w:p>
    <w:p w14:paraId="310AA528">
      <w:pPr>
        <w:spacing w:before="120" w:beforeLines="50" w:line="300" w:lineRule="auto"/>
        <w:ind w:left="480" w:leftChars="200"/>
        <w:rPr>
          <w:rFonts w:cs="Times New Roman"/>
          <w:lang w:eastAsia="zh-CN"/>
        </w:rPr>
      </w:pPr>
      <w:r>
        <w:rPr>
          <w:rFonts w:cs="宋体"/>
          <w:lang w:eastAsia="zh-CN"/>
        </w:rPr>
        <w:t>本机构建议测试报告在考虑到规定的研究目的时，也讨论从测试结果中得出的结论。例如，测试报告结论应表明是否满足预先规定的验收标准。</w:t>
      </w:r>
    </w:p>
    <w:p w14:paraId="006EB764">
      <w:pPr>
        <w:spacing w:before="120" w:beforeLines="50" w:line="300" w:lineRule="auto"/>
        <w:ind w:left="482" w:hanging="482" w:hangingChars="200"/>
        <w:rPr>
          <w:rFonts w:cs="Times New Roman"/>
          <w:b/>
          <w:lang w:eastAsia="zh-CN"/>
        </w:rPr>
      </w:pPr>
      <w:r>
        <w:rPr>
          <w:rFonts w:cs="宋体"/>
          <w:b/>
          <w:lang w:eastAsia="zh-CN"/>
        </w:rPr>
        <w:t>C.</w:t>
      </w:r>
      <w:r>
        <w:rPr>
          <w:rFonts w:cs="宋体"/>
          <w:b/>
          <w:lang w:eastAsia="zh-CN"/>
        </w:rPr>
        <w:tab/>
      </w:r>
      <w:r>
        <w:rPr>
          <w:rFonts w:cs="宋体"/>
          <w:b/>
          <w:lang w:eastAsia="zh-CN"/>
        </w:rPr>
        <w:t>测试方案</w:t>
      </w:r>
    </w:p>
    <w:p w14:paraId="327E3239">
      <w:pPr>
        <w:spacing w:before="120" w:beforeLines="50" w:line="300" w:lineRule="auto"/>
        <w:rPr>
          <w:rFonts w:cs="Times New Roman"/>
          <w:lang w:eastAsia="zh-CN"/>
        </w:rPr>
      </w:pPr>
      <w:r>
        <w:rPr>
          <w:rFonts w:cs="宋体"/>
          <w:lang w:eastAsia="zh-CN"/>
        </w:rPr>
        <w:t>“测试方案”通常包括进行测试所用的方法（参见第II.B.3节）、测试目的（参见第II.B.2节）、预先规定的验收标准（参见第II.B.4节）和数据分析计划（参见第II.B.5节）。该信息可以在完整测试报告的上市前申请中提供，也可以作为与测试报告一起提交的单独测试方案文件提供。</w:t>
      </w:r>
    </w:p>
    <w:p w14:paraId="6894E59F">
      <w:pPr>
        <w:pBdr>
          <w:bottom w:val="single" w:color="auto" w:sz="4" w:space="1"/>
        </w:pBdr>
        <w:spacing w:before="120" w:beforeLines="50" w:line="300" w:lineRule="auto"/>
        <w:jc w:val="center"/>
        <w:rPr>
          <w:rFonts w:hint="eastAsia" w:eastAsia="宋体"/>
          <w:lang w:eastAsia="zh-CN"/>
        </w:rPr>
      </w:pPr>
    </w:p>
    <w:p w14:paraId="66A16572">
      <w:pPr>
        <w:pBdr>
          <w:bottom w:val="single" w:color="auto" w:sz="4" w:space="1"/>
        </w:pBdr>
        <w:spacing w:before="120" w:beforeLines="50" w:line="300" w:lineRule="auto"/>
        <w:jc w:val="center"/>
        <w:rPr>
          <w:rFonts w:hint="eastAsia" w:eastAsia="宋体"/>
          <w:lang w:eastAsia="zh-CN"/>
        </w:rPr>
      </w:pPr>
    </w:p>
    <w:p w14:paraId="6149F7B6">
      <w:pPr>
        <w:pBdr>
          <w:bottom w:val="single" w:color="auto" w:sz="4" w:space="1"/>
        </w:pBdr>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40"/>
      <w:pgMar w:top="1418" w:right="1418" w:bottom="1418" w:left="141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A07BD">
    <w:pPr>
      <w:pStyle w:val="8"/>
      <w:jc w:val="right"/>
      <w:rPr>
        <w:sz w:val="21"/>
        <w:szCs w:val="21"/>
      </w:rPr>
    </w:pPr>
    <w:r>
      <w:rPr>
        <w:rStyle w:val="15"/>
        <w:sz w:val="21"/>
        <w:szCs w:val="21"/>
      </w:rPr>
      <w:fldChar w:fldCharType="begin"/>
    </w:r>
    <w:r>
      <w:rPr>
        <w:rStyle w:val="15"/>
        <w:sz w:val="21"/>
        <w:szCs w:val="21"/>
      </w:rPr>
      <w:instrText xml:space="preserve"> PAGE </w:instrText>
    </w:r>
    <w:r>
      <w:rPr>
        <w:rStyle w:val="15"/>
        <w:sz w:val="21"/>
        <w:szCs w:val="21"/>
      </w:rPr>
      <w:fldChar w:fldCharType="separate"/>
    </w:r>
    <w:r>
      <w:rPr>
        <w:rStyle w:val="15"/>
        <w:sz w:val="21"/>
        <w:szCs w:val="21"/>
      </w:rPr>
      <w:t>1</w:t>
    </w:r>
    <w:r>
      <w:rPr>
        <w:rStyle w:val="15"/>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590F9">
    <w:pPr>
      <w:jc w:val="center"/>
      <w:rPr>
        <w:b/>
        <w:i/>
        <w:sz w:val="21"/>
        <w:lang w:eastAsia="zh-CN"/>
      </w:rPr>
    </w:pPr>
    <w:r>
      <w:rPr>
        <w:rFonts w:hint="eastAsia" w:cs="宋体"/>
        <w:b/>
        <w:i/>
        <w:sz w:val="20"/>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94A56"/>
    <w:multiLevelType w:val="multilevel"/>
    <w:tmpl w:val="59B94A56"/>
    <w:lvl w:ilvl="0" w:tentative="0">
      <w:start w:val="1"/>
      <w:numFmt w:val="bullet"/>
      <w:lvlText w:val=""/>
      <w:lvlJc w:val="left"/>
      <w:pPr>
        <w:ind w:left="1380" w:hanging="420"/>
      </w:pPr>
      <w:rPr>
        <w:rFonts w:hint="default" w:ascii="Wingdings" w:hAnsi="Wingdings"/>
      </w:rPr>
    </w:lvl>
    <w:lvl w:ilvl="1" w:tentative="0">
      <w:start w:val="1"/>
      <w:numFmt w:val="bullet"/>
      <w:lvlText w:val=""/>
      <w:lvlJc w:val="left"/>
      <w:pPr>
        <w:ind w:left="1800" w:hanging="420"/>
      </w:pPr>
      <w:rPr>
        <w:rFonts w:hint="default" w:ascii="Wingdings" w:hAnsi="Wingdings"/>
      </w:rPr>
    </w:lvl>
    <w:lvl w:ilvl="2" w:tentative="0">
      <w:start w:val="1"/>
      <w:numFmt w:val="bullet"/>
      <w:lvlText w:val=""/>
      <w:lvlJc w:val="left"/>
      <w:pPr>
        <w:ind w:left="2220" w:hanging="420"/>
      </w:pPr>
      <w:rPr>
        <w:rFonts w:hint="default" w:ascii="Wingdings" w:hAnsi="Wingdings"/>
      </w:rPr>
    </w:lvl>
    <w:lvl w:ilvl="3" w:tentative="0">
      <w:start w:val="1"/>
      <w:numFmt w:val="bullet"/>
      <w:lvlText w:val=""/>
      <w:lvlJc w:val="left"/>
      <w:pPr>
        <w:ind w:left="2640" w:hanging="420"/>
      </w:pPr>
      <w:rPr>
        <w:rFonts w:hint="default" w:ascii="Wingdings" w:hAnsi="Wingdings"/>
      </w:rPr>
    </w:lvl>
    <w:lvl w:ilvl="4" w:tentative="0">
      <w:start w:val="1"/>
      <w:numFmt w:val="bullet"/>
      <w:lvlText w:val=""/>
      <w:lvlJc w:val="left"/>
      <w:pPr>
        <w:ind w:left="3060" w:hanging="420"/>
      </w:pPr>
      <w:rPr>
        <w:rFonts w:hint="default" w:ascii="Wingdings" w:hAnsi="Wingdings"/>
      </w:rPr>
    </w:lvl>
    <w:lvl w:ilvl="5" w:tentative="0">
      <w:start w:val="1"/>
      <w:numFmt w:val="bullet"/>
      <w:lvlText w:val=""/>
      <w:lvlJc w:val="left"/>
      <w:pPr>
        <w:ind w:left="3480" w:hanging="420"/>
      </w:pPr>
      <w:rPr>
        <w:rFonts w:hint="default" w:ascii="Wingdings" w:hAnsi="Wingdings"/>
      </w:rPr>
    </w:lvl>
    <w:lvl w:ilvl="6" w:tentative="0">
      <w:start w:val="1"/>
      <w:numFmt w:val="bullet"/>
      <w:lvlText w:val=""/>
      <w:lvlJc w:val="left"/>
      <w:pPr>
        <w:ind w:left="3900" w:hanging="420"/>
      </w:pPr>
      <w:rPr>
        <w:rFonts w:hint="default" w:ascii="Wingdings" w:hAnsi="Wingdings"/>
      </w:rPr>
    </w:lvl>
    <w:lvl w:ilvl="7" w:tentative="0">
      <w:start w:val="1"/>
      <w:numFmt w:val="bullet"/>
      <w:lvlText w:val=""/>
      <w:lvlJc w:val="left"/>
      <w:pPr>
        <w:ind w:left="4320" w:hanging="420"/>
      </w:pPr>
      <w:rPr>
        <w:rFonts w:hint="default" w:ascii="Wingdings" w:hAnsi="Wingdings"/>
      </w:rPr>
    </w:lvl>
    <w:lvl w:ilvl="8" w:tentative="0">
      <w:start w:val="1"/>
      <w:numFmt w:val="bullet"/>
      <w:lvlText w:val=""/>
      <w:lvlJc w:val="left"/>
      <w:pPr>
        <w:ind w:left="47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8D2A5F"/>
    <w:rsid w:val="00106298"/>
    <w:rsid w:val="001742BB"/>
    <w:rsid w:val="001A2671"/>
    <w:rsid w:val="001B15C2"/>
    <w:rsid w:val="001B5115"/>
    <w:rsid w:val="001D4143"/>
    <w:rsid w:val="00296819"/>
    <w:rsid w:val="002F3FA7"/>
    <w:rsid w:val="00314F13"/>
    <w:rsid w:val="00355166"/>
    <w:rsid w:val="00375489"/>
    <w:rsid w:val="00390AA0"/>
    <w:rsid w:val="00414FC2"/>
    <w:rsid w:val="00417572"/>
    <w:rsid w:val="00460B74"/>
    <w:rsid w:val="00496030"/>
    <w:rsid w:val="004A1874"/>
    <w:rsid w:val="004B084C"/>
    <w:rsid w:val="004B17AD"/>
    <w:rsid w:val="004F181F"/>
    <w:rsid w:val="00505F0B"/>
    <w:rsid w:val="00535D43"/>
    <w:rsid w:val="00562463"/>
    <w:rsid w:val="00570A42"/>
    <w:rsid w:val="00584A71"/>
    <w:rsid w:val="00584F67"/>
    <w:rsid w:val="005C444E"/>
    <w:rsid w:val="005D1D34"/>
    <w:rsid w:val="005F1573"/>
    <w:rsid w:val="0061088F"/>
    <w:rsid w:val="00636064"/>
    <w:rsid w:val="006401BB"/>
    <w:rsid w:val="00684CA5"/>
    <w:rsid w:val="006C292B"/>
    <w:rsid w:val="006C29A3"/>
    <w:rsid w:val="006F25EA"/>
    <w:rsid w:val="00701984"/>
    <w:rsid w:val="007220C9"/>
    <w:rsid w:val="00764D46"/>
    <w:rsid w:val="007B786A"/>
    <w:rsid w:val="00835F26"/>
    <w:rsid w:val="008C65CF"/>
    <w:rsid w:val="008D2A5F"/>
    <w:rsid w:val="008E4C3F"/>
    <w:rsid w:val="009B3542"/>
    <w:rsid w:val="009C6573"/>
    <w:rsid w:val="009F0288"/>
    <w:rsid w:val="00A124CF"/>
    <w:rsid w:val="00A2207B"/>
    <w:rsid w:val="00A2626E"/>
    <w:rsid w:val="00A40E04"/>
    <w:rsid w:val="00A542AC"/>
    <w:rsid w:val="00A82F43"/>
    <w:rsid w:val="00AA0343"/>
    <w:rsid w:val="00AF0A74"/>
    <w:rsid w:val="00B046F7"/>
    <w:rsid w:val="00B76B82"/>
    <w:rsid w:val="00B9323F"/>
    <w:rsid w:val="00BA10E4"/>
    <w:rsid w:val="00BC4D3D"/>
    <w:rsid w:val="00BF2516"/>
    <w:rsid w:val="00C615FB"/>
    <w:rsid w:val="00CE30DC"/>
    <w:rsid w:val="00D207C7"/>
    <w:rsid w:val="00D20E3A"/>
    <w:rsid w:val="00D545E9"/>
    <w:rsid w:val="00D94021"/>
    <w:rsid w:val="00DC3B3B"/>
    <w:rsid w:val="00DD453A"/>
    <w:rsid w:val="00E13060"/>
    <w:rsid w:val="00E7739C"/>
    <w:rsid w:val="00EB03C3"/>
    <w:rsid w:val="00F26FEA"/>
    <w:rsid w:val="00FB4A72"/>
    <w:rsid w:val="00FD7F5D"/>
    <w:rsid w:val="00FE5DBE"/>
    <w:rsid w:val="6A7D5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1"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jc w:val="both"/>
    </w:pPr>
    <w:rPr>
      <w:rFonts w:ascii="Times New Roman" w:hAnsi="Times New Roman" w:eastAsia="宋体" w:cstheme="minorBidi"/>
      <w:sz w:val="24"/>
      <w:szCs w:val="21"/>
      <w:lang w:val="en-US" w:eastAsia="en-US" w:bidi="ar-SA"/>
    </w:rPr>
  </w:style>
  <w:style w:type="paragraph" w:styleId="2">
    <w:name w:val="heading 1"/>
    <w:basedOn w:val="1"/>
    <w:qFormat/>
    <w:uiPriority w:val="1"/>
    <w:pPr>
      <w:keepNext/>
      <w:spacing w:before="120" w:beforeLines="50" w:line="300" w:lineRule="auto"/>
      <w:ind w:left="420" w:hanging="420"/>
      <w:outlineLvl w:val="0"/>
    </w:pPr>
    <w:rPr>
      <w:rFonts w:cs="Times New Roman"/>
      <w:b/>
      <w:sz w:val="32"/>
      <w:szCs w:val="24"/>
    </w:rPr>
  </w:style>
  <w:style w:type="paragraph" w:styleId="3">
    <w:name w:val="heading 2"/>
    <w:basedOn w:val="1"/>
    <w:qFormat/>
    <w:uiPriority w:val="1"/>
    <w:pPr>
      <w:keepNext/>
      <w:spacing w:before="120" w:beforeLines="50" w:line="300" w:lineRule="auto"/>
      <w:ind w:left="840" w:leftChars="200" w:hanging="420"/>
      <w:outlineLvl w:val="1"/>
    </w:pPr>
    <w:rPr>
      <w:rFonts w:cs="Times New Roman"/>
      <w:b/>
      <w:sz w:val="28"/>
      <w:szCs w:val="24"/>
    </w:rPr>
  </w:style>
  <w:style w:type="paragraph" w:styleId="4">
    <w:name w:val="heading 3"/>
    <w:basedOn w:val="1"/>
    <w:qFormat/>
    <w:uiPriority w:val="1"/>
    <w:pPr>
      <w:ind w:left="999" w:right="597"/>
      <w:outlineLvl w:val="2"/>
    </w:pPr>
    <w:rPr>
      <w:b/>
      <w:bCs/>
      <w:sz w:val="32"/>
      <w:szCs w:val="32"/>
    </w:rPr>
  </w:style>
  <w:style w:type="paragraph" w:styleId="5">
    <w:name w:val="heading 4"/>
    <w:basedOn w:val="1"/>
    <w:qFormat/>
    <w:uiPriority w:val="1"/>
    <w:pPr>
      <w:ind w:left="1720" w:right="1593" w:hanging="1"/>
      <w:outlineLvl w:val="3"/>
    </w:pPr>
    <w:rPr>
      <w:b/>
      <w:bCs/>
      <w:sz w:val="28"/>
      <w:szCs w:val="28"/>
    </w:rPr>
  </w:style>
  <w:style w:type="paragraph" w:styleId="6">
    <w:name w:val="heading 5"/>
    <w:basedOn w:val="1"/>
    <w:link w:val="19"/>
    <w:qFormat/>
    <w:uiPriority w:val="1"/>
    <w:pPr>
      <w:ind w:left="1680" w:hanging="360"/>
      <w:outlineLvl w:val="4"/>
    </w:pPr>
    <w:rPr>
      <w:b/>
      <w:bCs/>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6"/>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left" w:pos="630"/>
        <w:tab w:val="right" w:leader="dot" w:pos="9061"/>
      </w:tabs>
      <w:spacing w:before="120" w:beforeLines="50" w:line="300" w:lineRule="auto"/>
    </w:pPr>
    <w:rPr>
      <w:szCs w:val="24"/>
    </w:rPr>
  </w:style>
  <w:style w:type="paragraph" w:styleId="11">
    <w:name w:val="toc 2"/>
    <w:basedOn w:val="1"/>
    <w:next w:val="1"/>
    <w:autoRedefine/>
    <w:unhideWhenUsed/>
    <w:qFormat/>
    <w:uiPriority w:val="39"/>
    <w:pPr>
      <w:tabs>
        <w:tab w:val="left" w:pos="840"/>
        <w:tab w:val="right" w:leader="dot" w:pos="9061"/>
      </w:tabs>
      <w:spacing w:before="120" w:beforeLines="50" w:line="300" w:lineRule="auto"/>
      <w:ind w:left="420" w:leftChars="200"/>
    </w:pPr>
    <w:rPr>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semiHidden/>
    <w:unhideWhenUsed/>
    <w:qFormat/>
    <w:uiPriority w:val="99"/>
  </w:style>
  <w:style w:type="character" w:customStyle="1" w:styleId="16">
    <w:name w:val="批注框文本 字符"/>
    <w:basedOn w:val="14"/>
    <w:link w:val="7"/>
    <w:semiHidden/>
    <w:qFormat/>
    <w:uiPriority w:val="99"/>
    <w:rPr>
      <w:sz w:val="18"/>
      <w:szCs w:val="18"/>
    </w:r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character" w:customStyle="1" w:styleId="19">
    <w:name w:val="标题 5 字符"/>
    <w:basedOn w:val="14"/>
    <w:link w:val="6"/>
    <w:qFormat/>
    <w:uiPriority w:val="1"/>
    <w:rPr>
      <w:rFonts w:ascii="Times New Roman" w:hAnsi="Times New Roman" w:eastAsia="Times New Roman" w:cs="Times New Roman"/>
      <w:b/>
      <w:bCs/>
      <w:sz w:val="24"/>
      <w:szCs w:val="24"/>
      <w:lang w:bidi="en-US"/>
    </w:rPr>
  </w:style>
  <w:style w:type="paragraph" w:customStyle="1" w:styleId="20">
    <w:name w:val="脚注新"/>
    <w:basedOn w:val="1"/>
    <w:next w:val="1"/>
    <w:qFormat/>
    <w:uiPriority w:val="1"/>
    <w:pPr>
      <w:spacing w:before="36" w:beforeLines="15" w:line="276" w:lineRule="auto"/>
    </w:pPr>
    <w:rPr>
      <w:rFonts w:cs="Times New Roman"/>
      <w:sz w:val="21"/>
    </w:rPr>
  </w:style>
  <w:style w:type="paragraph" w:styleId="21">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6574</Words>
  <Characters>8820</Characters>
  <Lines>64</Lines>
  <Paragraphs>18</Paragraphs>
  <TotalTime>51</TotalTime>
  <ScaleCrop>false</ScaleCrop>
  <LinksUpToDate>false</LinksUpToDate>
  <CharactersWithSpaces>8907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2021-11-10T10:19:00Z</dcterms:created>
  <dc:creator>Wen, Mary</dc:creator>
  <cp:lastModifiedBy>太极箫客</cp:lastModifiedBy>
  <dcterms:modified xsi:type="dcterms:W3CDTF">2025-08-14T06:27:50Z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17 for Word</vt:lpwstr>
  </property>
  <property fmtid="{D5CDD505-2E9C-101B-9397-08002B2CF9AE}" pid="4" name="LastSaved">
    <vt:filetime>2021-11-10T00:00:00Z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12873BAFCE72462FBBAD05406EC8ED3C_12</vt:lpwstr>
  </property>
</Properties>
</file>