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9A4A">
      <w:pPr>
        <w:widowControl/>
        <w:spacing w:line="520" w:lineRule="exact"/>
        <w:jc w:val="center"/>
        <w:rPr>
          <w:rFonts w:ascii="方正小标宋_GBK" w:eastAsia="方正小标宋_GBK" w:hAnsiTheme="majorEastAsia" w:cstheme="majorEastAsia"/>
          <w:color w:val="000000"/>
          <w:kern w:val="0"/>
          <w:sz w:val="44"/>
          <w:szCs w:val="44"/>
        </w:rPr>
      </w:pPr>
      <w:bookmarkStart w:id="4" w:name="_GoBack"/>
      <w:bookmarkEnd w:id="4"/>
      <w:r>
        <w:rPr>
          <w:rFonts w:hint="eastAsia" w:ascii="方正小标宋_GBK" w:eastAsia="方正小标宋_GBK" w:hAnsiTheme="majorEastAsia" w:cstheme="majorEastAsia"/>
          <w:color w:val="000000"/>
          <w:kern w:val="0"/>
          <w:sz w:val="44"/>
          <w:szCs w:val="44"/>
        </w:rPr>
        <w:t>一次性使用输尿管导引鞘注册技术审查</w:t>
      </w:r>
    </w:p>
    <w:p w14:paraId="1AC29934">
      <w:pPr>
        <w:widowControl/>
        <w:spacing w:line="520" w:lineRule="exact"/>
        <w:jc w:val="center"/>
        <w:rPr>
          <w:rFonts w:ascii="方正小标宋_GBK" w:eastAsia="方正小标宋_GBK" w:hAnsiTheme="majorEastAsia" w:cstheme="majorEastAsia"/>
          <w:color w:val="000000"/>
          <w:kern w:val="0"/>
          <w:sz w:val="44"/>
          <w:szCs w:val="44"/>
        </w:rPr>
      </w:pPr>
      <w:r>
        <w:rPr>
          <w:rFonts w:hint="eastAsia" w:ascii="方正小标宋_GBK" w:eastAsia="方正小标宋_GBK" w:hAnsiTheme="majorEastAsia" w:cstheme="majorEastAsia"/>
          <w:color w:val="000000"/>
          <w:kern w:val="0"/>
          <w:sz w:val="44"/>
          <w:szCs w:val="44"/>
        </w:rPr>
        <w:t>指导原则（征求意见稿）</w:t>
      </w:r>
    </w:p>
    <w:p w14:paraId="6852E205">
      <w:pPr>
        <w:spacing w:line="520" w:lineRule="exact"/>
        <w:ind w:firstLine="600" w:firstLineChars="200"/>
        <w:jc w:val="center"/>
        <w:rPr>
          <w:rFonts w:ascii="仿宋_GB2312" w:hAnsi="黑体" w:eastAsia="仿宋_GB2312"/>
          <w:bCs/>
          <w:sz w:val="30"/>
        </w:rPr>
      </w:pPr>
    </w:p>
    <w:p w14:paraId="167C0FBE">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本指导原则旨在为申请人进行</w:t>
      </w:r>
      <w:r>
        <w:rPr>
          <w:rFonts w:hint="eastAsia" w:ascii="仿宋_GB2312" w:hAnsi="仿宋" w:eastAsia="仿宋_GB2312" w:cs="仿宋"/>
          <w:kern w:val="0"/>
          <w:sz w:val="32"/>
          <w:szCs w:val="32"/>
        </w:rPr>
        <w:t>一次性使用输尿管导引鞘（以下简称为“输尿管导引鞘”）的产品</w:t>
      </w:r>
      <w:r>
        <w:rPr>
          <w:rFonts w:hint="eastAsia" w:ascii="仿宋_GB2312" w:eastAsia="仿宋_GB2312"/>
          <w:sz w:val="32"/>
          <w:szCs w:val="32"/>
        </w:rPr>
        <w:t xml:space="preserve">注册申报提供技术指导，同时也为药品监督管理部门对注册申报资料的审评提供技术参考。 </w:t>
      </w:r>
    </w:p>
    <w:p w14:paraId="0FE800F1">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本指导原则是对一次性使用</w:t>
      </w:r>
      <w:r>
        <w:rPr>
          <w:rFonts w:hint="eastAsia" w:ascii="仿宋_GB2312" w:hAnsi="仿宋" w:eastAsia="仿宋_GB2312" w:cs="仿宋"/>
          <w:kern w:val="0"/>
          <w:sz w:val="32"/>
          <w:szCs w:val="32"/>
        </w:rPr>
        <w:t>输尿管导引鞘</w:t>
      </w:r>
      <w:r>
        <w:rPr>
          <w:rFonts w:hint="eastAsia" w:ascii="仿宋_GB2312" w:eastAsia="仿宋_GB2312"/>
          <w:sz w:val="32"/>
          <w:szCs w:val="32"/>
        </w:rPr>
        <w:t>注册申报资料的一般要求，申请人应依据具体产品的特性对注册申报资料的内容进行充分说明和细化，并依据具体产品的特性确定其中的具体内容是否适用，若不适用，需具体阐述其理由及相应的科学依据。</w:t>
      </w:r>
    </w:p>
    <w:p w14:paraId="789F6CEE">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本指导原则是对申请人和审评人员的</w:t>
      </w:r>
      <w:r>
        <w:rPr>
          <w:rFonts w:hint="eastAsia" w:ascii="仿宋_GB2312" w:eastAsia="仿宋_GB2312"/>
          <w:color w:val="000000"/>
          <w:sz w:val="32"/>
          <w:szCs w:val="32"/>
        </w:rPr>
        <w:t>技术</w:t>
      </w:r>
      <w:r>
        <w:rPr>
          <w:rFonts w:hint="eastAsia" w:ascii="仿宋_GB2312" w:eastAsia="仿宋_GB2312"/>
          <w:sz w:val="32"/>
          <w:szCs w:val="32"/>
        </w:rPr>
        <w:t xml:space="preserve">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 </w:t>
      </w:r>
    </w:p>
    <w:p w14:paraId="265582FE">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2502A371">
      <w:pPr>
        <w:spacing w:line="520" w:lineRule="exact"/>
        <w:ind w:firstLine="640" w:firstLineChars="200"/>
        <w:outlineLvl w:val="0"/>
        <w:rPr>
          <w:rFonts w:ascii="仿宋_GB2312" w:eastAsia="仿宋_GB2312"/>
          <w:bCs/>
          <w:sz w:val="32"/>
          <w:szCs w:val="28"/>
        </w:rPr>
      </w:pPr>
      <w:r>
        <w:rPr>
          <w:rFonts w:hint="eastAsia" w:ascii="仿宋_GB2312" w:eastAsia="仿宋_GB2312"/>
          <w:bCs/>
          <w:sz w:val="32"/>
          <w:szCs w:val="28"/>
        </w:rPr>
        <w:t>一、适用范围</w:t>
      </w:r>
    </w:p>
    <w:p w14:paraId="0CD36432">
      <w:pPr>
        <w:pStyle w:val="15"/>
        <w:widowControl w:val="0"/>
        <w:spacing w:line="520" w:lineRule="exact"/>
        <w:ind w:firstLine="624"/>
        <w:rPr>
          <w:rFonts w:ascii="仿宋_GB2312" w:hAnsi="Times New Roman" w:eastAsia="仿宋_GB2312"/>
          <w:color w:val="auto"/>
          <w:sz w:val="32"/>
          <w:szCs w:val="28"/>
        </w:rPr>
      </w:pPr>
      <w:r>
        <w:rPr>
          <w:rFonts w:hint="eastAsia" w:ascii="仿宋_GB2312" w:hAnsi="仿宋" w:eastAsia="仿宋_GB2312"/>
          <w:color w:val="auto"/>
          <w:sz w:val="32"/>
          <w:szCs w:val="28"/>
        </w:rPr>
        <w:t>本指导原则适用于</w:t>
      </w:r>
      <w:r>
        <w:rPr>
          <w:rFonts w:hint="eastAsia" w:ascii="仿宋_GB2312" w:eastAsia="仿宋_GB2312"/>
          <w:sz w:val="32"/>
          <w:szCs w:val="28"/>
        </w:rPr>
        <w:t>《医疗器械分类目录》</w:t>
      </w:r>
      <w:r>
        <w:rPr>
          <w:rFonts w:hint="eastAsia" w:ascii="仿宋_GB2312" w:eastAsia="仿宋_GB2312"/>
          <w:sz w:val="32"/>
          <w:szCs w:val="32"/>
        </w:rPr>
        <w:t>（原国家食品药品监督管理总</w:t>
      </w:r>
      <w:r>
        <w:rPr>
          <w:rFonts w:hint="eastAsia" w:ascii="仿宋_GB2312" w:hAnsi="仿宋" w:eastAsia="仿宋_GB2312"/>
          <w:color w:val="auto"/>
          <w:sz w:val="32"/>
          <w:szCs w:val="28"/>
        </w:rPr>
        <w:t>局公告2017年第104号）中分类编码02-12-03（02</w:t>
      </w:r>
      <w:r>
        <w:rPr>
          <w:rFonts w:hint="eastAsia" w:ascii="仿宋_GB2312" w:hAnsi="仿宋" w:eastAsia="仿宋_GB2312"/>
          <w:sz w:val="32"/>
          <w:szCs w:val="32"/>
        </w:rPr>
        <w:t>无源手术器械--</w:t>
      </w:r>
      <w:r>
        <w:rPr>
          <w:rFonts w:hint="eastAsia" w:ascii="仿宋_GB2312" w:hAnsi="仿宋" w:eastAsia="仿宋_GB2312"/>
          <w:color w:val="auto"/>
          <w:sz w:val="32"/>
          <w:szCs w:val="28"/>
        </w:rPr>
        <w:t>12手术器械-穿刺导引器</w:t>
      </w:r>
      <w:r>
        <w:rPr>
          <w:rFonts w:ascii="仿宋_GB2312" w:hAnsi="仿宋" w:eastAsia="仿宋_GB2312"/>
          <w:sz w:val="32"/>
          <w:szCs w:val="32"/>
        </w:rPr>
        <w:t>—</w:t>
      </w:r>
      <w:r>
        <w:rPr>
          <w:rFonts w:hint="eastAsia" w:ascii="仿宋_GB2312" w:hAnsi="仿宋" w:eastAsia="仿宋_GB2312"/>
          <w:color w:val="auto"/>
          <w:sz w:val="32"/>
          <w:szCs w:val="28"/>
        </w:rPr>
        <w:t>03输送导引器）条目中的一次性使用输尿管导引鞘，</w:t>
      </w:r>
      <w:r>
        <w:rPr>
          <w:rFonts w:hint="eastAsia" w:ascii="仿宋_GB2312" w:hAnsi="Times New Roman" w:eastAsia="仿宋_GB2312"/>
          <w:color w:val="auto"/>
          <w:sz w:val="32"/>
          <w:szCs w:val="28"/>
        </w:rPr>
        <w:t>管理类别为二类。产品供泌尿外科手术中，建立内窥镜等器械进入泌尿道的通道用。</w:t>
      </w:r>
      <w:r>
        <w:rPr>
          <w:rFonts w:hint="eastAsia" w:ascii="仿宋_GB2312" w:hAnsi="仿宋" w:eastAsia="仿宋_GB2312" w:cs="仿宋"/>
          <w:kern w:val="0"/>
          <w:sz w:val="32"/>
          <w:szCs w:val="32"/>
        </w:rPr>
        <w:t>输尿管导引鞘</w:t>
      </w:r>
      <w:r>
        <w:rPr>
          <w:rFonts w:hint="eastAsia" w:ascii="仿宋_GB2312" w:hAnsi="Times New Roman" w:eastAsia="仿宋_GB2312"/>
          <w:color w:val="auto"/>
          <w:sz w:val="32"/>
          <w:szCs w:val="28"/>
        </w:rPr>
        <w:t>通常由</w:t>
      </w:r>
      <w:r>
        <w:rPr>
          <w:rFonts w:hint="eastAsia" w:ascii="仿宋_GB2312" w:hAnsi="仿宋" w:eastAsia="仿宋_GB2312"/>
          <w:sz w:val="32"/>
          <w:szCs w:val="28"/>
        </w:rPr>
        <w:t>导引鞘和扩张器</w:t>
      </w:r>
      <w:r>
        <w:rPr>
          <w:rFonts w:hint="eastAsia" w:ascii="仿宋_GB2312" w:hAnsi="Times New Roman" w:eastAsia="仿宋_GB2312"/>
          <w:color w:val="auto"/>
          <w:sz w:val="32"/>
          <w:szCs w:val="28"/>
        </w:rPr>
        <w:t>组成，也可包含导丝。无菌提供，一次性使用。</w:t>
      </w:r>
    </w:p>
    <w:p w14:paraId="534FF78C">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本指导原则适用的输尿管导引鞘包括但不限于单腔鞘管，亦不限于单腔扩张器的输尿管导引鞘。</w:t>
      </w:r>
    </w:p>
    <w:p w14:paraId="63F6F2A1">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本指导原则不适用于含药物成分的一次性使用输尿管导引鞘。本指导原则未对导丝相关内容进行阐述，若含导丝组件可参考非血管腔道导丝相关注册技术审查指导原则。</w:t>
      </w:r>
    </w:p>
    <w:p w14:paraId="2E306017">
      <w:pPr>
        <w:spacing w:line="520" w:lineRule="exact"/>
        <w:ind w:firstLine="640" w:firstLineChars="200"/>
        <w:outlineLvl w:val="0"/>
        <w:rPr>
          <w:rFonts w:ascii="仿宋_GB2312" w:eastAsia="仿宋_GB2312"/>
          <w:bCs/>
          <w:sz w:val="32"/>
          <w:szCs w:val="28"/>
        </w:rPr>
      </w:pPr>
      <w:r>
        <w:rPr>
          <w:rFonts w:hint="eastAsia" w:ascii="仿宋_GB2312" w:eastAsia="仿宋_GB2312"/>
          <w:bCs/>
          <w:sz w:val="32"/>
          <w:szCs w:val="28"/>
        </w:rPr>
        <w:t>二、技术审查要点</w:t>
      </w:r>
    </w:p>
    <w:p w14:paraId="3BFE3AFE">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（一）产品名称要求</w:t>
      </w:r>
    </w:p>
    <w:p w14:paraId="7B5E546B">
      <w:pPr>
        <w:spacing w:line="52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产品名称应符合《医疗器械通用名称命名规则》（原国家食品药品监督管理总局令第19号）、《无源手术器械通用名称命名指导原则》（2020年第79号）的要求</w:t>
      </w:r>
      <w:r>
        <w:rPr>
          <w:rFonts w:hint="eastAsia" w:ascii="仿宋_GB2312" w:hAnsi="仿宋" w:eastAsia="仿宋_GB2312"/>
          <w:sz w:val="32"/>
          <w:szCs w:val="32"/>
        </w:rPr>
        <w:t>。一般采用“特征词1（如有）+特征词2（如有）+特征词3（如有）+核</w:t>
      </w:r>
      <w:r>
        <w:rPr>
          <w:rFonts w:hint="eastAsia" w:ascii="仿宋_GB2312" w:eastAsia="仿宋_GB2312"/>
          <w:sz w:val="32"/>
          <w:szCs w:val="32"/>
        </w:rPr>
        <w:t>心词</w:t>
      </w:r>
      <w:r>
        <w:rPr>
          <w:rFonts w:hint="eastAsia" w:ascii="仿宋_GB2312" w:hAnsi="仿宋" w:eastAsia="仿宋_GB2312"/>
          <w:sz w:val="32"/>
          <w:szCs w:val="32"/>
        </w:rPr>
        <w:t>”的命名方式，特征词一般不超过3个，主要涉及使用形式、使用部位、结构特征等方面。命名举例：</w:t>
      </w:r>
      <w:r>
        <w:rPr>
          <w:rFonts w:hint="eastAsia" w:ascii="仿宋_GB2312" w:hAnsi="仿宋" w:eastAsia="仿宋_GB2312" w:cs="仿宋"/>
          <w:color w:val="000000"/>
          <w:sz w:val="32"/>
          <w:szCs w:val="32"/>
        </w:rPr>
        <w:t>一次性使用输尿管导引鞘。</w:t>
      </w:r>
    </w:p>
    <w:p w14:paraId="2BB218CC">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（二）产品的结构和组成</w:t>
      </w:r>
    </w:p>
    <w:p w14:paraId="5E68EB55">
      <w:pPr>
        <w:widowControl/>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输尿管导引鞘</w:t>
      </w:r>
      <w:r>
        <w:rPr>
          <w:rFonts w:hint="eastAsia" w:ascii="仿宋_GB2312" w:hAnsi="仿宋" w:eastAsia="仿宋_GB2312"/>
          <w:sz w:val="32"/>
          <w:szCs w:val="28"/>
        </w:rPr>
        <w:t>通常由导引鞘和扩张器组成。其中导引鞘由鞘管和鞘管座组成，扩张器由扩张器导管和扩张器中心座组成。鞘管通常由单层高分子材料或多层复合材料制成，鞘管座、扩张器导管、扩张器中心座通常由高分子材料制成。</w:t>
      </w:r>
      <w:r>
        <w:rPr>
          <w:rFonts w:hint="eastAsia" w:ascii="仿宋_GB2312" w:hAnsi="仿宋" w:eastAsia="仿宋_GB2312"/>
          <w:spacing w:val="-4"/>
          <w:sz w:val="32"/>
          <w:szCs w:val="28"/>
        </w:rPr>
        <w:t>鞘管和扩张器导管表面可有亲水润滑涂层，鞘管尖端或管身可有显影标记。</w:t>
      </w:r>
      <w:bookmarkStart w:id="0" w:name="OLE_LINK22"/>
      <w:bookmarkStart w:id="1" w:name="OLE_LINK23"/>
    </w:p>
    <w:p w14:paraId="7C385803">
      <w:pPr>
        <w:widowControl/>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产品按照鞘管的通道数可分为单腔、双腔及多腔输尿管导引鞘，按照扩张器导管通道数可分为单腔扩张器、双腔扩张器及多腔扩张器。常见产品外形结构如图1、图2和图3所示。</w:t>
      </w:r>
    </w:p>
    <w:p w14:paraId="30612061">
      <w:pPr>
        <w:widowControl/>
        <w:spacing w:line="520" w:lineRule="exact"/>
        <w:ind w:firstLine="624" w:firstLineChars="200"/>
        <w:rPr>
          <w:rFonts w:ascii="仿宋_GB2312" w:hAnsi="仿宋" w:eastAsia="仿宋_GB2312"/>
          <w:spacing w:val="-4"/>
          <w:sz w:val="32"/>
          <w:szCs w:val="28"/>
        </w:rPr>
      </w:pPr>
    </w:p>
    <w:p w14:paraId="6F7B9D28">
      <w:pPr>
        <w:widowControl/>
        <w:spacing w:line="520" w:lineRule="exact"/>
        <w:ind w:firstLine="624" w:firstLineChars="200"/>
        <w:rPr>
          <w:rFonts w:ascii="仿宋_GB2312" w:hAnsi="仿宋" w:eastAsia="仿宋_GB2312"/>
          <w:spacing w:val="-4"/>
          <w:sz w:val="32"/>
          <w:szCs w:val="28"/>
        </w:rPr>
      </w:pPr>
    </w:p>
    <w:p w14:paraId="3F3FF604">
      <w:pPr>
        <w:widowControl/>
        <w:spacing w:line="520" w:lineRule="exact"/>
        <w:ind w:firstLine="624" w:firstLineChars="200"/>
        <w:jc w:val="center"/>
        <w:rPr>
          <w:rFonts w:ascii="仿宋_GB2312" w:hAnsi="仿宋" w:eastAsia="仿宋_GB2312"/>
          <w:spacing w:val="-4"/>
          <w:sz w:val="32"/>
          <w:szCs w:val="28"/>
        </w:rPr>
      </w:pPr>
      <w:r>
        <w:rPr>
          <w:rFonts w:hint="eastAsia" w:ascii="仿宋_GB2312" w:hAnsi="仿宋" w:eastAsia="仿宋_GB2312"/>
          <w:spacing w:val="-4"/>
          <w:sz w:val="32"/>
          <w:szCs w:val="28"/>
        </w:rPr>
        <w:drawing>
          <wp:anchor distT="0" distB="0" distL="114300" distR="114300" simplePos="0" relativeHeight="251659264" behindDoc="0" locked="0" layoutInCell="1" allowOverlap="1">
            <wp:simplePos x="0" y="0"/>
            <wp:positionH relativeFrom="column">
              <wp:posOffset>-233045</wp:posOffset>
            </wp:positionH>
            <wp:positionV relativeFrom="paragraph">
              <wp:posOffset>98425</wp:posOffset>
            </wp:positionV>
            <wp:extent cx="6097270" cy="920750"/>
            <wp:effectExtent l="19050" t="0" r="0" b="0"/>
            <wp:wrapTopAndBottom/>
            <wp:docPr id="2" name="图片 1" descr="C:\Users\User\AppData\Local\Temp\WeChat Files\e7cc8bcf59611ba3ac456e7c340d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User\AppData\Local\Temp\WeChat Files\e7cc8bcf59611ba3ac456e7c340d0d9.jpg"/>
                    <pic:cNvPicPr>
                      <a:picLocks noChangeAspect="1" noChangeArrowheads="1"/>
                    </pic:cNvPicPr>
                  </pic:nvPicPr>
                  <pic:blipFill>
                    <a:blip r:embed="rId6" cstate="print"/>
                    <a:srcRect/>
                    <a:stretch>
                      <a:fillRect/>
                    </a:stretch>
                  </pic:blipFill>
                  <pic:spPr>
                    <a:xfrm>
                      <a:off x="0" y="0"/>
                      <a:ext cx="6097270" cy="920750"/>
                    </a:xfrm>
                    <a:prstGeom prst="rect">
                      <a:avLst/>
                    </a:prstGeom>
                    <a:noFill/>
                    <a:ln w="9525">
                      <a:noFill/>
                      <a:miter lim="800000"/>
                      <a:headEnd/>
                      <a:tailEnd/>
                    </a:ln>
                  </pic:spPr>
                </pic:pic>
              </a:graphicData>
            </a:graphic>
          </wp:anchor>
        </w:drawing>
      </w:r>
      <w:r>
        <w:rPr>
          <w:rFonts w:hint="eastAsia" w:ascii="仿宋_GB2312" w:hAnsi="仿宋" w:eastAsia="仿宋_GB2312"/>
          <w:spacing w:val="-4"/>
          <w:sz w:val="24"/>
          <w:szCs w:val="28"/>
        </w:rPr>
        <w:t>1-扩张器导管  2-鞘管  3-鞘管座  4-扩张器中心座</w:t>
      </w:r>
    </w:p>
    <w:p w14:paraId="00363732">
      <w:pPr>
        <w:pStyle w:val="19"/>
        <w:widowControl/>
        <w:spacing w:line="520" w:lineRule="exact"/>
        <w:ind w:firstLine="200" w:firstLineChars="0"/>
        <w:rPr>
          <w:rFonts w:ascii="仿宋_GB2312" w:hAnsi="仿宋" w:eastAsia="仿宋_GB2312"/>
          <w:spacing w:val="-4"/>
          <w:sz w:val="24"/>
          <w:szCs w:val="28"/>
        </w:rPr>
      </w:pPr>
      <w:r>
        <w:rPr>
          <w:rFonts w:hint="eastAsia" w:ascii="仿宋_GB2312" w:hAnsi="仿宋" w:eastAsia="仿宋_GB2312"/>
          <w:spacing w:val="-4"/>
          <w:sz w:val="24"/>
          <w:szCs w:val="28"/>
        </w:rPr>
        <w:t>注：本指导原则中的示意图仅说明输尿管导引鞘结构组成，并非为产品的唯一型式</w:t>
      </w:r>
    </w:p>
    <w:p w14:paraId="29713B01">
      <w:pPr>
        <w:widowControl/>
        <w:spacing w:line="520" w:lineRule="exact"/>
        <w:ind w:firstLine="200"/>
        <w:jc w:val="center"/>
        <w:rPr>
          <w:rFonts w:ascii="仿宋_GB2312" w:hAnsi="仿宋" w:eastAsia="仿宋_GB2312"/>
          <w:spacing w:val="-4"/>
          <w:sz w:val="32"/>
          <w:szCs w:val="28"/>
        </w:rPr>
      </w:pPr>
      <w:r>
        <w:rPr>
          <w:rFonts w:hint="eastAsia" w:ascii="仿宋_GB2312" w:hAnsi="仿宋" w:eastAsia="仿宋_GB2312"/>
          <w:spacing w:val="-4"/>
          <w:sz w:val="32"/>
          <w:szCs w:val="28"/>
        </w:rPr>
        <w:drawing>
          <wp:anchor distT="0" distB="0" distL="114300" distR="114300" simplePos="0" relativeHeight="251660288" behindDoc="0" locked="0" layoutInCell="1" allowOverlap="1">
            <wp:simplePos x="0" y="0"/>
            <wp:positionH relativeFrom="column">
              <wp:posOffset>64770</wp:posOffset>
            </wp:positionH>
            <wp:positionV relativeFrom="paragraph">
              <wp:posOffset>767080</wp:posOffset>
            </wp:positionV>
            <wp:extent cx="5615940" cy="768350"/>
            <wp:effectExtent l="19050" t="0" r="3810" b="0"/>
            <wp:wrapSquare wrapText="bothSides"/>
            <wp:docPr id="4" name="图片 2" descr="C:\Users\User\AppData\Local\Temp\WeChat Files\90b2adcfcd9d8d038f3b1fb7f2b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User\AppData\Local\Temp\WeChat Files\90b2adcfcd9d8d038f3b1fb7f2b0461.jpg"/>
                    <pic:cNvPicPr>
                      <a:picLocks noChangeAspect="1" noChangeArrowheads="1"/>
                    </pic:cNvPicPr>
                  </pic:nvPicPr>
                  <pic:blipFill>
                    <a:blip r:embed="rId7" cstate="print"/>
                    <a:srcRect/>
                    <a:stretch>
                      <a:fillRect/>
                    </a:stretch>
                  </pic:blipFill>
                  <pic:spPr>
                    <a:xfrm>
                      <a:off x="0" y="0"/>
                      <a:ext cx="5615940" cy="768350"/>
                    </a:xfrm>
                    <a:prstGeom prst="rect">
                      <a:avLst/>
                    </a:prstGeom>
                    <a:noFill/>
                    <a:ln w="9525">
                      <a:noFill/>
                      <a:miter lim="800000"/>
                      <a:headEnd/>
                      <a:tailEnd/>
                    </a:ln>
                  </pic:spPr>
                </pic:pic>
              </a:graphicData>
            </a:graphic>
          </wp:anchor>
        </w:drawing>
      </w:r>
      <w:r>
        <w:rPr>
          <w:rFonts w:hint="eastAsia" w:ascii="仿宋_GB2312" w:hAnsi="仿宋" w:eastAsia="仿宋_GB2312"/>
          <w:spacing w:val="-4"/>
          <w:sz w:val="32"/>
          <w:szCs w:val="28"/>
        </w:rPr>
        <w:t>图1  一次性使用输尿管导引鞘示意图</w:t>
      </w:r>
    </w:p>
    <w:p w14:paraId="051A488A">
      <w:pPr>
        <w:widowControl/>
        <w:spacing w:line="520" w:lineRule="exact"/>
        <w:ind w:firstLine="200"/>
        <w:jc w:val="center"/>
        <w:rPr>
          <w:rFonts w:ascii="仿宋_GB2312" w:hAnsi="仿宋" w:eastAsia="仿宋_GB2312"/>
          <w:spacing w:val="-4"/>
          <w:sz w:val="32"/>
          <w:szCs w:val="28"/>
        </w:rPr>
      </w:pPr>
    </w:p>
    <w:p w14:paraId="10C9EBFB">
      <w:pPr>
        <w:suppressAutoHyphens/>
        <w:spacing w:line="520" w:lineRule="exact"/>
        <w:ind w:firstLine="200"/>
        <w:jc w:val="center"/>
        <w:rPr>
          <w:rFonts w:ascii="仿宋_GB2312" w:hAnsi="仿宋" w:eastAsia="仿宋_GB2312"/>
          <w:spacing w:val="-4"/>
          <w:sz w:val="32"/>
          <w:szCs w:val="28"/>
        </w:rPr>
      </w:pPr>
    </w:p>
    <w:p w14:paraId="3A80A183">
      <w:pPr>
        <w:suppressAutoHyphens/>
        <w:spacing w:line="520" w:lineRule="exact"/>
        <w:ind w:firstLine="200"/>
        <w:jc w:val="center"/>
        <w:rPr>
          <w:rFonts w:ascii="仿宋_GB2312" w:hAnsi="仿宋" w:eastAsia="仿宋_GB2312"/>
          <w:spacing w:val="-4"/>
          <w:sz w:val="32"/>
          <w:szCs w:val="28"/>
        </w:rPr>
      </w:pPr>
      <w:r>
        <w:rPr>
          <w:rFonts w:hint="eastAsia" w:ascii="仿宋_GB2312" w:hAnsi="仿宋" w:eastAsia="仿宋_GB2312"/>
          <w:spacing w:val="-4"/>
          <w:sz w:val="32"/>
          <w:szCs w:val="28"/>
        </w:rPr>
        <w:t>图2  扩张器示意图</w:t>
      </w:r>
    </w:p>
    <w:p w14:paraId="39002875">
      <w:pPr>
        <w:suppressAutoHyphens/>
        <w:spacing w:line="520" w:lineRule="exact"/>
        <w:ind w:firstLine="200"/>
        <w:jc w:val="center"/>
        <w:rPr>
          <w:rFonts w:ascii="仿宋_GB2312" w:hAnsi="仿宋" w:eastAsia="仿宋_GB2312"/>
          <w:spacing w:val="-4"/>
          <w:sz w:val="32"/>
          <w:szCs w:val="28"/>
        </w:rPr>
      </w:pPr>
      <w:r>
        <w:rPr>
          <w:rFonts w:hint="eastAsia" w:ascii="仿宋_GB2312" w:hAnsi="仿宋" w:eastAsia="仿宋_GB2312"/>
          <w:spacing w:val="-4"/>
          <w:sz w:val="32"/>
          <w:szCs w:val="28"/>
        </w:rPr>
        <w:drawing>
          <wp:anchor distT="0" distB="0" distL="114300" distR="114300" simplePos="0" relativeHeight="251661312" behindDoc="0" locked="0" layoutInCell="1" allowOverlap="1">
            <wp:simplePos x="0" y="0"/>
            <wp:positionH relativeFrom="column">
              <wp:posOffset>113665</wp:posOffset>
            </wp:positionH>
            <wp:positionV relativeFrom="paragraph">
              <wp:posOffset>280035</wp:posOffset>
            </wp:positionV>
            <wp:extent cx="5615940" cy="1143000"/>
            <wp:effectExtent l="19050" t="0" r="3810" b="0"/>
            <wp:wrapSquare wrapText="bothSides"/>
            <wp:docPr id="7" name="图片 3" descr="C:\Users\User\AppData\Local\Temp\WeChat Files\dcecc85360957a9f725cc7fb4761c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User\AppData\Local\Temp\WeChat Files\dcecc85360957a9f725cc7fb4761c5b.jpg"/>
                    <pic:cNvPicPr>
                      <a:picLocks noChangeAspect="1" noChangeArrowheads="1"/>
                    </pic:cNvPicPr>
                  </pic:nvPicPr>
                  <pic:blipFill>
                    <a:blip r:embed="rId8" cstate="print"/>
                    <a:srcRect/>
                    <a:stretch>
                      <a:fillRect/>
                    </a:stretch>
                  </pic:blipFill>
                  <pic:spPr>
                    <a:xfrm>
                      <a:off x="0" y="0"/>
                      <a:ext cx="5615940" cy="1143000"/>
                    </a:xfrm>
                    <a:prstGeom prst="rect">
                      <a:avLst/>
                    </a:prstGeom>
                    <a:noFill/>
                    <a:ln w="9525">
                      <a:noFill/>
                      <a:miter lim="800000"/>
                      <a:headEnd/>
                      <a:tailEnd/>
                    </a:ln>
                  </pic:spPr>
                </pic:pic>
              </a:graphicData>
            </a:graphic>
          </wp:anchor>
        </w:drawing>
      </w:r>
    </w:p>
    <w:p w14:paraId="38DCF78C">
      <w:pPr>
        <w:suppressAutoHyphens/>
        <w:spacing w:line="520" w:lineRule="exact"/>
        <w:ind w:firstLine="200"/>
        <w:jc w:val="center"/>
        <w:rPr>
          <w:rFonts w:ascii="仿宋_GB2312" w:hAnsi="仿宋" w:eastAsia="仿宋_GB2312"/>
          <w:spacing w:val="-4"/>
          <w:sz w:val="32"/>
          <w:szCs w:val="28"/>
        </w:rPr>
      </w:pPr>
      <w:r>
        <w:rPr>
          <w:rFonts w:hint="eastAsia" w:ascii="仿宋_GB2312" w:hAnsi="仿宋" w:eastAsia="仿宋_GB2312"/>
          <w:spacing w:val="-4"/>
          <w:sz w:val="32"/>
          <w:szCs w:val="28"/>
        </w:rPr>
        <w:t>图3  导引鞘示意图</w:t>
      </w:r>
    </w:p>
    <w:p w14:paraId="2F73B2ED">
      <w:pPr>
        <w:suppressAutoHyphens/>
        <w:spacing w:line="520" w:lineRule="exact"/>
        <w:ind w:firstLine="200"/>
        <w:jc w:val="center"/>
        <w:rPr>
          <w:rFonts w:ascii="仿宋_GB2312" w:hAnsi="仿宋" w:eastAsia="仿宋_GB2312"/>
          <w:spacing w:val="-4"/>
          <w:sz w:val="32"/>
          <w:szCs w:val="28"/>
        </w:rPr>
      </w:pPr>
    </w:p>
    <w:bookmarkEnd w:id="0"/>
    <w:bookmarkEnd w:id="1"/>
    <w:p w14:paraId="37677238">
      <w:pPr>
        <w:pStyle w:val="15"/>
        <w:widowControl w:val="0"/>
        <w:spacing w:line="520" w:lineRule="exact"/>
        <w:ind w:firstLine="624"/>
        <w:rPr>
          <w:rFonts w:ascii="仿宋_GB2312" w:eastAsia="仿宋_GB2312"/>
          <w:bCs/>
          <w:sz w:val="32"/>
          <w:szCs w:val="32"/>
        </w:rPr>
      </w:pPr>
      <w:r>
        <w:rPr>
          <w:rFonts w:hint="eastAsia" w:ascii="仿宋_GB2312" w:eastAsia="仿宋_GB2312"/>
          <w:bCs/>
          <w:sz w:val="32"/>
          <w:szCs w:val="32"/>
        </w:rPr>
        <w:t>申请人应明确产品的结构和组成，并提供相应的</w:t>
      </w:r>
      <w:r>
        <w:rPr>
          <w:rFonts w:hint="eastAsia" w:ascii="仿宋_GB2312" w:hAnsi="仿宋" w:eastAsia="仿宋_GB2312"/>
          <w:color w:val="auto"/>
          <w:sz w:val="32"/>
          <w:szCs w:val="28"/>
        </w:rPr>
        <w:t>结构图示。</w:t>
      </w:r>
      <w:r>
        <w:rPr>
          <w:rFonts w:hint="eastAsia" w:ascii="仿宋_GB2312" w:eastAsia="仿宋_GB2312"/>
          <w:bCs/>
          <w:sz w:val="32"/>
          <w:szCs w:val="32"/>
        </w:rPr>
        <w:t>在图示中标识产品各组成部件的名称、重要尺寸信息及测量位置。对于双腔或多腔结构的鞘管或扩张器导管，建议申请人进一步提供导管的轴向剖面图、径向截面图。</w:t>
      </w:r>
    </w:p>
    <w:p w14:paraId="68C1B94E">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（三）产品工作原理/作用机理</w:t>
      </w:r>
    </w:p>
    <w:p w14:paraId="535CCF9A">
      <w:pPr>
        <w:pStyle w:val="15"/>
        <w:widowControl w:val="0"/>
        <w:spacing w:line="520" w:lineRule="exact"/>
        <w:ind w:firstLine="624"/>
        <w:rPr>
          <w:rFonts w:ascii="仿宋_GB2312" w:eastAsia="仿宋_GB2312"/>
          <w:bCs/>
          <w:sz w:val="32"/>
          <w:szCs w:val="32"/>
        </w:rPr>
      </w:pPr>
      <w:r>
        <w:rPr>
          <w:rFonts w:hint="eastAsia" w:ascii="仿宋_GB2312" w:eastAsia="仿宋_GB2312"/>
          <w:bCs/>
          <w:sz w:val="32"/>
          <w:szCs w:val="32"/>
        </w:rPr>
        <w:t>产品供泌尿外科手术中，建立内窥镜及其它器械进入泌尿道的通道用，同时具有保护内窥镜和输尿管的作用。扩张器和导引鞘组件沿导丝插入到泌尿道中，该组件放置到位后，从导引鞘中撤出扩张器。导引鞘可提供连续性的操作通道，用于置入内窥镜或其它器械。</w:t>
      </w:r>
    </w:p>
    <w:p w14:paraId="50ADAC84">
      <w:pPr>
        <w:pStyle w:val="15"/>
        <w:widowControl w:val="0"/>
        <w:spacing w:line="520" w:lineRule="exact"/>
        <w:ind w:firstLine="624"/>
        <w:rPr>
          <w:rFonts w:ascii="仿宋_GB2312" w:eastAsia="仿宋_GB2312"/>
          <w:bCs/>
          <w:sz w:val="32"/>
          <w:szCs w:val="32"/>
        </w:rPr>
      </w:pPr>
      <w:r>
        <w:rPr>
          <w:rFonts w:hint="eastAsia" w:ascii="仿宋_GB2312" w:eastAsia="仿宋_GB2312"/>
          <w:bCs/>
          <w:sz w:val="32"/>
          <w:szCs w:val="32"/>
        </w:rPr>
        <w:t>对于采用特殊结构设计、宣称具有特定功能或采用新材料制造的输尿管导引鞘，申请人应详细说明其工作原理和作用。</w:t>
      </w:r>
    </w:p>
    <w:p w14:paraId="6B8253E4">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（四）注册单元划分的原则和实例</w:t>
      </w:r>
    </w:p>
    <w:p w14:paraId="6679295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产品注册单元划分可参照</w:t>
      </w:r>
      <w:r>
        <w:rPr>
          <w:rFonts w:hint="eastAsia" w:ascii="仿宋_GB2312" w:eastAsia="仿宋_GB2312"/>
          <w:sz w:val="32"/>
          <w:szCs w:val="32"/>
        </w:rPr>
        <w:t>《医疗器械注册单元划分指导原则》（原国家食品药品监督管理总局通告2017年第187号）的要求</w:t>
      </w:r>
      <w:r>
        <w:rPr>
          <w:rFonts w:hint="eastAsia" w:ascii="仿宋_GB2312" w:hAnsi="仿宋" w:eastAsia="仿宋_GB2312"/>
          <w:sz w:val="32"/>
          <w:szCs w:val="32"/>
        </w:rPr>
        <w:t>。</w:t>
      </w:r>
      <w:r>
        <w:rPr>
          <w:rFonts w:hint="eastAsia" w:ascii="仿宋_GB2312" w:eastAsia="仿宋_GB2312"/>
          <w:sz w:val="32"/>
          <w:szCs w:val="32"/>
        </w:rPr>
        <w:t>医疗器械产品的注册单元原则上以技术原理、结构组成、性能指标和适用范围为划分依据。技术原理不同时，应划分为不同的注册单元；</w:t>
      </w:r>
      <w:r>
        <w:rPr>
          <w:rFonts w:hint="eastAsia" w:ascii="仿宋_GB2312" w:eastAsia="仿宋_GB2312"/>
          <w:color w:val="000000"/>
          <w:kern w:val="0"/>
          <w:sz w:val="32"/>
          <w:szCs w:val="32"/>
        </w:rPr>
        <w:t>产品的关键组件结构差异导致适用范围和/或性能要求</w:t>
      </w:r>
      <w:r>
        <w:rPr>
          <w:rFonts w:hint="eastAsia" w:ascii="仿宋_GB2312" w:hAnsi="仿宋" w:eastAsia="仿宋_GB2312"/>
          <w:sz w:val="32"/>
          <w:szCs w:val="32"/>
        </w:rPr>
        <w:t>不同时，原则上划分为不同的注册单元。主体材质不同的鞘管应划分为不同的注册单元。</w:t>
      </w:r>
    </w:p>
    <w:p w14:paraId="23503A5E">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 xml:space="preserve">（五）产品适用的相关国家/行业标准 </w:t>
      </w:r>
    </w:p>
    <w:p w14:paraId="2736907E">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一次性使用输尿管导引鞘应根据自身特点适用以下标准，但不限于引用以下标准：</w:t>
      </w:r>
    </w:p>
    <w:p w14:paraId="329CE212">
      <w:pPr>
        <w:spacing w:line="520" w:lineRule="exact"/>
        <w:ind w:firstLine="584" w:firstLineChars="200"/>
        <w:jc w:val="center"/>
        <w:rPr>
          <w:rFonts w:ascii="仿宋_GB2312" w:hAnsi="仿宋" w:eastAsia="仿宋_GB2312"/>
          <w:spacing w:val="-4"/>
          <w:sz w:val="30"/>
          <w:szCs w:val="30"/>
        </w:rPr>
      </w:pPr>
      <w:r>
        <w:rPr>
          <w:rFonts w:hint="eastAsia" w:ascii="仿宋_GB2312" w:hAnsi="仿宋" w:eastAsia="仿宋_GB2312"/>
          <w:spacing w:val="-4"/>
          <w:sz w:val="30"/>
          <w:szCs w:val="30"/>
        </w:rPr>
        <w:t>表1 产品相关国家/行业标准</w:t>
      </w:r>
    </w:p>
    <w:tbl>
      <w:tblPr>
        <w:tblStyle w:val="10"/>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54"/>
        <w:gridCol w:w="6804"/>
      </w:tblGrid>
      <w:tr w14:paraId="35B6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vAlign w:val="center"/>
          </w:tcPr>
          <w:p w14:paraId="17926AFC">
            <w:pPr>
              <w:spacing w:line="520" w:lineRule="exact"/>
              <w:ind w:firstLine="200"/>
              <w:jc w:val="center"/>
              <w:rPr>
                <w:rFonts w:ascii="仿宋_GB2312" w:hAnsi="仿宋" w:eastAsia="仿宋_GB2312"/>
                <w:spacing w:val="-4"/>
                <w:sz w:val="28"/>
                <w:szCs w:val="28"/>
              </w:rPr>
            </w:pPr>
            <w:r>
              <w:rPr>
                <w:rFonts w:hint="eastAsia" w:ascii="仿宋_GB2312" w:hAnsi="仿宋" w:eastAsia="仿宋_GB2312"/>
                <w:spacing w:val="-4"/>
                <w:sz w:val="28"/>
                <w:szCs w:val="28"/>
              </w:rPr>
              <w:t>标准编号</w:t>
            </w:r>
          </w:p>
        </w:tc>
        <w:tc>
          <w:tcPr>
            <w:tcW w:w="6804" w:type="dxa"/>
            <w:vAlign w:val="center"/>
          </w:tcPr>
          <w:p w14:paraId="298A860B">
            <w:pPr>
              <w:spacing w:line="520" w:lineRule="exact"/>
              <w:ind w:firstLine="200"/>
              <w:jc w:val="center"/>
              <w:rPr>
                <w:rFonts w:ascii="仿宋_GB2312" w:hAnsi="仿宋" w:eastAsia="仿宋_GB2312"/>
                <w:spacing w:val="-4"/>
                <w:sz w:val="28"/>
                <w:szCs w:val="28"/>
              </w:rPr>
            </w:pPr>
            <w:r>
              <w:rPr>
                <w:rFonts w:hint="eastAsia" w:ascii="仿宋_GB2312" w:hAnsi="仿宋" w:eastAsia="仿宋_GB2312"/>
                <w:spacing w:val="-4"/>
                <w:sz w:val="28"/>
                <w:szCs w:val="28"/>
              </w:rPr>
              <w:t>标准名称</w:t>
            </w:r>
          </w:p>
        </w:tc>
      </w:tr>
      <w:tr w14:paraId="5436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4C0102A1">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 15810-2019</w:t>
            </w:r>
          </w:p>
        </w:tc>
        <w:tc>
          <w:tcPr>
            <w:tcW w:w="6804" w:type="dxa"/>
            <w:vAlign w:val="center"/>
          </w:tcPr>
          <w:p w14:paraId="3C0CA82E">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《一次性使用无菌注射器》</w:t>
            </w:r>
          </w:p>
        </w:tc>
      </w:tr>
      <w:tr w14:paraId="6786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2AB41923">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 18279.1-2015</w:t>
            </w:r>
          </w:p>
        </w:tc>
        <w:tc>
          <w:tcPr>
            <w:tcW w:w="6804" w:type="dxa"/>
            <w:vAlign w:val="center"/>
          </w:tcPr>
          <w:p w14:paraId="0E506BE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《医疗保健产品灭菌 环氧乙烷 第1部分：医疗器械灭菌过程的开发、确认和常规控制的要求》</w:t>
            </w:r>
          </w:p>
        </w:tc>
      </w:tr>
      <w:tr w14:paraId="275D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65DDCD1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 18280.1-2015</w:t>
            </w:r>
          </w:p>
        </w:tc>
        <w:tc>
          <w:tcPr>
            <w:tcW w:w="6804" w:type="dxa"/>
            <w:vAlign w:val="center"/>
          </w:tcPr>
          <w:p w14:paraId="5F687108">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《医疗保健产品灭菌 辐射 第1部分：医疗器械灭菌过程的开发、确认和常规控制要求》</w:t>
            </w:r>
          </w:p>
        </w:tc>
      </w:tr>
      <w:tr w14:paraId="5BF8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403D973">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 18280.2-2015</w:t>
            </w:r>
          </w:p>
        </w:tc>
        <w:tc>
          <w:tcPr>
            <w:tcW w:w="6804" w:type="dxa"/>
            <w:vAlign w:val="center"/>
          </w:tcPr>
          <w:p w14:paraId="117ACE67">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《医疗保健产品灭菌 辐射 第2部分：建立灭菌剂量》</w:t>
            </w:r>
          </w:p>
        </w:tc>
      </w:tr>
      <w:tr w14:paraId="2C1A0A38">
        <w:tblPrEx>
          <w:tblCellMar>
            <w:top w:w="0" w:type="dxa"/>
            <w:left w:w="0" w:type="dxa"/>
            <w:bottom w:w="0" w:type="dxa"/>
            <w:right w:w="0" w:type="dxa"/>
          </w:tblCellMar>
        </w:tblPrEx>
        <w:trPr>
          <w:trHeight w:val="353" w:hRule="atLeast"/>
          <w:jc w:val="center"/>
        </w:trPr>
        <w:tc>
          <w:tcPr>
            <w:tcW w:w="2954" w:type="dxa"/>
            <w:vAlign w:val="center"/>
          </w:tcPr>
          <w:p w14:paraId="25F54FB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 18281.2-2015</w:t>
            </w:r>
          </w:p>
        </w:tc>
        <w:tc>
          <w:tcPr>
            <w:tcW w:w="6804" w:type="dxa"/>
            <w:vAlign w:val="center"/>
          </w:tcPr>
          <w:p w14:paraId="756E66B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《医疗保健产品灭菌 生物指示物 第2部分：环氧乙烷灭菌用生物指示物》</w:t>
            </w:r>
          </w:p>
        </w:tc>
      </w:tr>
      <w:tr w14:paraId="4460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500C14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 xml:space="preserve">GB 8368-2018 </w:t>
            </w:r>
          </w:p>
        </w:tc>
        <w:tc>
          <w:tcPr>
            <w:tcW w:w="6804" w:type="dxa"/>
            <w:vAlign w:val="center"/>
          </w:tcPr>
          <w:p w14:paraId="64CBFFF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《一次性使用输液器重力输液式》</w:t>
            </w:r>
          </w:p>
        </w:tc>
      </w:tr>
      <w:tr w14:paraId="1E6A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45803623">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12672-2009</w:t>
            </w:r>
          </w:p>
        </w:tc>
        <w:tc>
          <w:tcPr>
            <w:tcW w:w="6804" w:type="dxa"/>
            <w:vAlign w:val="center"/>
          </w:tcPr>
          <w:p w14:paraId="600315D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《丙烯腈-丁二烯-苯乙烯（ABS）树脂》</w:t>
            </w:r>
          </w:p>
        </w:tc>
      </w:tr>
      <w:tr w14:paraId="4B21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48B266F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14233.1-2008</w:t>
            </w:r>
          </w:p>
        </w:tc>
        <w:tc>
          <w:tcPr>
            <w:tcW w:w="6804" w:type="dxa"/>
            <w:vAlign w:val="center"/>
          </w:tcPr>
          <w:p w14:paraId="60BE274C">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《医用输液、输血、注射器具检验方法第1部分：化学分析方法》</w:t>
            </w:r>
          </w:p>
        </w:tc>
      </w:tr>
      <w:tr w14:paraId="4143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vAlign w:val="center"/>
          </w:tcPr>
          <w:p w14:paraId="43807AB1">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14233.2-2005</w:t>
            </w:r>
          </w:p>
        </w:tc>
        <w:tc>
          <w:tcPr>
            <w:tcW w:w="6804" w:type="dxa"/>
            <w:vAlign w:val="center"/>
          </w:tcPr>
          <w:p w14:paraId="4BC47598">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《医用输液、输血、注射器具检验方法第2部分：生物学试验方法》</w:t>
            </w:r>
          </w:p>
        </w:tc>
      </w:tr>
      <w:tr w14:paraId="32A1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vAlign w:val="center"/>
          </w:tcPr>
          <w:p w14:paraId="7C6E0E1F">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15812.1-2005</w:t>
            </w:r>
          </w:p>
        </w:tc>
        <w:tc>
          <w:tcPr>
            <w:tcW w:w="6804" w:type="dxa"/>
            <w:vAlign w:val="center"/>
          </w:tcPr>
          <w:p w14:paraId="20BC2EF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《非血管内导管 第1部分：一般性能试验方法》</w:t>
            </w:r>
          </w:p>
        </w:tc>
      </w:tr>
      <w:tr w14:paraId="1402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tcPr>
          <w:p w14:paraId="7ECC968E">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16886.1-2011</w:t>
            </w:r>
          </w:p>
        </w:tc>
        <w:tc>
          <w:tcPr>
            <w:tcW w:w="6804" w:type="dxa"/>
          </w:tcPr>
          <w:p w14:paraId="1B3717BE">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《医疗器械生物学评价 第1部分：风险管理过程中的评价与试验》</w:t>
            </w:r>
          </w:p>
        </w:tc>
      </w:tr>
      <w:tr w14:paraId="58B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tcPr>
          <w:p w14:paraId="0A40094F">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16886.5-2017</w:t>
            </w:r>
          </w:p>
        </w:tc>
        <w:tc>
          <w:tcPr>
            <w:tcW w:w="6804" w:type="dxa"/>
          </w:tcPr>
          <w:p w14:paraId="41E43ED1">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《医疗器械生物学评价 第5部分：体外细胞毒性试验》</w:t>
            </w:r>
          </w:p>
        </w:tc>
      </w:tr>
      <w:tr w14:paraId="1F78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tcPr>
          <w:p w14:paraId="636213D4">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16886.7-2015</w:t>
            </w:r>
          </w:p>
        </w:tc>
        <w:tc>
          <w:tcPr>
            <w:tcW w:w="6804" w:type="dxa"/>
          </w:tcPr>
          <w:p w14:paraId="388644A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《医疗器械生物学评价 第7部分：环氧乙烷灭菌残留量》</w:t>
            </w:r>
          </w:p>
        </w:tc>
      </w:tr>
      <w:tr w14:paraId="5F8D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tcPr>
          <w:p w14:paraId="131888F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16886.10-2017</w:t>
            </w:r>
          </w:p>
        </w:tc>
        <w:tc>
          <w:tcPr>
            <w:tcW w:w="6804" w:type="dxa"/>
          </w:tcPr>
          <w:p w14:paraId="5BD34581">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《医疗器械生物学评价第10部分：刺激与迟发型超敏反应试验》</w:t>
            </w:r>
          </w:p>
        </w:tc>
      </w:tr>
      <w:tr w14:paraId="5535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Header/>
          <w:jc w:val="center"/>
        </w:trPr>
        <w:tc>
          <w:tcPr>
            <w:tcW w:w="2954" w:type="dxa"/>
            <w:vAlign w:val="center"/>
          </w:tcPr>
          <w:p w14:paraId="3032D4E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18279.2-2015</w:t>
            </w:r>
          </w:p>
        </w:tc>
        <w:tc>
          <w:tcPr>
            <w:tcW w:w="6804" w:type="dxa"/>
            <w:vAlign w:val="center"/>
          </w:tcPr>
          <w:p w14:paraId="20C05ABB">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《医疗保健产品的灭菌 环氧乙烷 第2部分：GB 18279.1应用指南》</w:t>
            </w:r>
          </w:p>
        </w:tc>
      </w:tr>
      <w:tr w14:paraId="589E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7D9CE0D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18280.3-2015</w:t>
            </w:r>
          </w:p>
        </w:tc>
        <w:tc>
          <w:tcPr>
            <w:tcW w:w="6804" w:type="dxa"/>
            <w:vAlign w:val="center"/>
          </w:tcPr>
          <w:p w14:paraId="6CCDB9A8">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《医疗保健产品灭菌 辐射 第3部分：剂量测量指南》</w:t>
            </w:r>
          </w:p>
        </w:tc>
      </w:tr>
      <w:tr w14:paraId="226E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4031BC94">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191-2008</w:t>
            </w:r>
          </w:p>
        </w:tc>
        <w:tc>
          <w:tcPr>
            <w:tcW w:w="6804" w:type="dxa"/>
            <w:vAlign w:val="center"/>
          </w:tcPr>
          <w:p w14:paraId="2621CFCC">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《包装储运图示标志》</w:t>
            </w:r>
          </w:p>
        </w:tc>
      </w:tr>
      <w:tr w14:paraId="22F9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08A411D0">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1962.1-2015</w:t>
            </w:r>
          </w:p>
        </w:tc>
        <w:tc>
          <w:tcPr>
            <w:tcW w:w="6804" w:type="dxa"/>
            <w:vAlign w:val="center"/>
          </w:tcPr>
          <w:p w14:paraId="79E819B0">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《注射器、注射针及其他医疗器械6%(鲁尔)圆锥接头 第1部分：通用要求》</w:t>
            </w:r>
          </w:p>
        </w:tc>
      </w:tr>
      <w:tr w14:paraId="0103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016F1E0">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 xml:space="preserve">GB/T 1962.2-2001 </w:t>
            </w:r>
          </w:p>
        </w:tc>
        <w:tc>
          <w:tcPr>
            <w:tcW w:w="6804" w:type="dxa"/>
            <w:vAlign w:val="center"/>
          </w:tcPr>
          <w:p w14:paraId="401DB5C1">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《注射器、注射针及其他医疗器械6%(鲁尔)圆锥接头 第2部分：锁定接头》</w:t>
            </w:r>
          </w:p>
        </w:tc>
      </w:tr>
      <w:tr w14:paraId="7B91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3F4311B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19633.1-2015</w:t>
            </w:r>
          </w:p>
        </w:tc>
        <w:tc>
          <w:tcPr>
            <w:tcW w:w="6804" w:type="dxa"/>
          </w:tcPr>
          <w:p w14:paraId="153AE098">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《最终灭菌医疗器械包装 第1部分：材料、无菌屏障系统和包装系统的要求》</w:t>
            </w:r>
          </w:p>
        </w:tc>
      </w:tr>
      <w:tr w14:paraId="7204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570E15E0">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GB/T 19633.2-2015</w:t>
            </w:r>
          </w:p>
        </w:tc>
        <w:tc>
          <w:tcPr>
            <w:tcW w:w="6804" w:type="dxa"/>
          </w:tcPr>
          <w:p w14:paraId="1974AF3C">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《最终灭菌医疗器械包装第2部分：成形、密封和装配过程确认的要求》</w:t>
            </w:r>
          </w:p>
        </w:tc>
      </w:tr>
      <w:tr w14:paraId="42A8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6E42C175">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 0450.1-2020</w:t>
            </w:r>
          </w:p>
        </w:tc>
        <w:tc>
          <w:tcPr>
            <w:tcW w:w="6804" w:type="dxa"/>
            <w:vAlign w:val="center"/>
          </w:tcPr>
          <w:p w14:paraId="762175CC">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《一次性使用无菌血管内导管辅件 第1部分：导引器械》</w:t>
            </w:r>
          </w:p>
        </w:tc>
      </w:tr>
      <w:tr w14:paraId="670A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4D65A95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0114-2008</w:t>
            </w:r>
          </w:p>
        </w:tc>
        <w:tc>
          <w:tcPr>
            <w:tcW w:w="6804" w:type="dxa"/>
            <w:vAlign w:val="center"/>
          </w:tcPr>
          <w:p w14:paraId="0D2059C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《医用输液、输血、注射器具用聚乙烯专用料》</w:t>
            </w:r>
          </w:p>
        </w:tc>
      </w:tr>
      <w:tr w14:paraId="3C63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880210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0242-2007</w:t>
            </w:r>
          </w:p>
        </w:tc>
        <w:tc>
          <w:tcPr>
            <w:tcW w:w="6804" w:type="dxa"/>
            <w:vAlign w:val="center"/>
          </w:tcPr>
          <w:p w14:paraId="415B00FC">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《医用输液、输血、注射器具用聚丙烯专用料》</w:t>
            </w:r>
          </w:p>
        </w:tc>
      </w:tr>
      <w:tr w14:paraId="190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jc w:val="center"/>
        </w:trPr>
        <w:tc>
          <w:tcPr>
            <w:tcW w:w="2954" w:type="dxa"/>
            <w:vAlign w:val="center"/>
          </w:tcPr>
          <w:p w14:paraId="637A2E5E">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0294.1-2016</w:t>
            </w:r>
          </w:p>
        </w:tc>
        <w:tc>
          <w:tcPr>
            <w:tcW w:w="6804" w:type="dxa"/>
            <w:vAlign w:val="center"/>
          </w:tcPr>
          <w:p w14:paraId="4F9F57F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《外科器械金属材料 第1部分：不锈钢》</w:t>
            </w:r>
          </w:p>
        </w:tc>
      </w:tr>
      <w:tr w14:paraId="589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A3046B3">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0316-2016</w:t>
            </w:r>
          </w:p>
        </w:tc>
        <w:tc>
          <w:tcPr>
            <w:tcW w:w="6804" w:type="dxa"/>
            <w:vAlign w:val="center"/>
          </w:tcPr>
          <w:p w14:paraId="790DCF9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《医疗器械风险管理对医疗器械的应用》</w:t>
            </w:r>
          </w:p>
        </w:tc>
      </w:tr>
      <w:tr w14:paraId="612D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564858E6">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0466.1-2016</w:t>
            </w:r>
          </w:p>
        </w:tc>
        <w:tc>
          <w:tcPr>
            <w:tcW w:w="6804" w:type="dxa"/>
            <w:vAlign w:val="center"/>
          </w:tcPr>
          <w:p w14:paraId="7AA5DAB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《医疗器械 用于医疗器械标签、标记和提供信息的符号 第1部分：通用要求》</w:t>
            </w:r>
          </w:p>
        </w:tc>
      </w:tr>
      <w:tr w14:paraId="165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3C734E78">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0586-2016</w:t>
            </w:r>
          </w:p>
        </w:tc>
        <w:tc>
          <w:tcPr>
            <w:tcW w:w="6804" w:type="dxa"/>
            <w:vAlign w:val="center"/>
          </w:tcPr>
          <w:p w14:paraId="3FA0484E">
            <w:pPr>
              <w:tabs>
                <w:tab w:val="left" w:pos="7140"/>
              </w:tabs>
              <w:autoSpaceDE w:val="0"/>
              <w:autoSpaceDN w:val="0"/>
              <w:spacing w:line="520" w:lineRule="exact"/>
              <w:ind w:firstLine="200"/>
              <w:rPr>
                <w:rFonts w:ascii="仿宋_GB2312" w:eastAsia="仿宋_GB2312"/>
                <w:color w:val="FF0000"/>
                <w:szCs w:val="21"/>
              </w:rPr>
            </w:pPr>
            <w:r>
              <w:rPr>
                <w:rFonts w:hint="eastAsia" w:ascii="仿宋_GB2312" w:eastAsia="仿宋_GB2312"/>
                <w:szCs w:val="21"/>
              </w:rPr>
              <w:t>《医用高分子制品X射线不透性试验方法》</w:t>
            </w:r>
          </w:p>
        </w:tc>
      </w:tr>
      <w:tr w14:paraId="53BE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5916DF6F">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0615.1-2007</w:t>
            </w:r>
          </w:p>
        </w:tc>
        <w:tc>
          <w:tcPr>
            <w:tcW w:w="6804" w:type="dxa"/>
          </w:tcPr>
          <w:p w14:paraId="05F4F7EB">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《标示“无菌”医疗器械的要求 第l部分：最终灭菌医疗器械的要求》</w:t>
            </w:r>
          </w:p>
        </w:tc>
      </w:tr>
      <w:tr w14:paraId="5961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1938BC7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0681.1-2018</w:t>
            </w:r>
          </w:p>
        </w:tc>
        <w:tc>
          <w:tcPr>
            <w:tcW w:w="6804" w:type="dxa"/>
            <w:vAlign w:val="center"/>
          </w:tcPr>
          <w:p w14:paraId="6AC0396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《无菌医疗器械包装试验方法 第1部分：加速老化试验指南》</w:t>
            </w:r>
          </w:p>
        </w:tc>
      </w:tr>
      <w:tr w14:paraId="3F1A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70C9087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0681.15-2019</w:t>
            </w:r>
          </w:p>
        </w:tc>
        <w:tc>
          <w:tcPr>
            <w:tcW w:w="6804" w:type="dxa"/>
            <w:vAlign w:val="center"/>
          </w:tcPr>
          <w:p w14:paraId="01275292">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《无菌医疗器械包装试验方法 第15部分：运输容器和系统的性能试验》</w:t>
            </w:r>
          </w:p>
        </w:tc>
      </w:tr>
      <w:tr w14:paraId="7B4B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2954" w:type="dxa"/>
            <w:vAlign w:val="center"/>
          </w:tcPr>
          <w:p w14:paraId="67032E4D">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YY/T 1268-2015</w:t>
            </w:r>
          </w:p>
        </w:tc>
        <w:tc>
          <w:tcPr>
            <w:tcW w:w="6804" w:type="dxa"/>
            <w:vAlign w:val="center"/>
          </w:tcPr>
          <w:p w14:paraId="7B874419">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《环氧乙烷灭菌的产品追加和过程等效》</w:t>
            </w:r>
          </w:p>
        </w:tc>
      </w:tr>
      <w:tr w14:paraId="7300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2954" w:type="dxa"/>
          </w:tcPr>
          <w:p w14:paraId="70BBA3DA">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w:t>
            </w:r>
          </w:p>
        </w:tc>
        <w:tc>
          <w:tcPr>
            <w:tcW w:w="6804" w:type="dxa"/>
          </w:tcPr>
          <w:p w14:paraId="51974B44">
            <w:pPr>
              <w:tabs>
                <w:tab w:val="left" w:pos="7140"/>
              </w:tabs>
              <w:autoSpaceDE w:val="0"/>
              <w:autoSpaceDN w:val="0"/>
              <w:spacing w:line="520" w:lineRule="exact"/>
              <w:ind w:firstLine="200"/>
              <w:rPr>
                <w:rFonts w:ascii="仿宋_GB2312" w:eastAsia="仿宋_GB2312"/>
                <w:szCs w:val="21"/>
              </w:rPr>
            </w:pPr>
            <w:r>
              <w:rPr>
                <w:rFonts w:hint="eastAsia" w:ascii="仿宋_GB2312" w:eastAsia="仿宋_GB2312"/>
                <w:szCs w:val="21"/>
              </w:rPr>
              <w:t>中华人民共和国药典</w:t>
            </w:r>
          </w:p>
        </w:tc>
      </w:tr>
    </w:tbl>
    <w:p w14:paraId="08A0259B">
      <w:pPr>
        <w:spacing w:line="520" w:lineRule="exact"/>
        <w:ind w:firstLine="200"/>
        <w:rPr>
          <w:rFonts w:ascii="仿宋_GB2312" w:eastAsia="仿宋_GB2312"/>
          <w:spacing w:val="-4"/>
          <w:szCs w:val="21"/>
        </w:rPr>
      </w:pPr>
      <w:r>
        <w:rPr>
          <w:rFonts w:hint="eastAsia" w:ascii="仿宋_GB2312" w:eastAsia="仿宋_GB2312"/>
          <w:spacing w:val="-4"/>
          <w:szCs w:val="21"/>
        </w:rPr>
        <w:t>注:1. 正文中引用的上述标准以其标准号表述；2. 本指导原则中所列标准适用最新版本。</w:t>
      </w:r>
    </w:p>
    <w:p w14:paraId="20564EF3">
      <w:pPr>
        <w:spacing w:line="520" w:lineRule="exact"/>
        <w:ind w:firstLine="640" w:firstLineChars="200"/>
        <w:rPr>
          <w:rFonts w:ascii="仿宋_GB2312" w:eastAsia="仿宋_GB2312"/>
          <w:sz w:val="32"/>
          <w:szCs w:val="32"/>
        </w:rPr>
      </w:pPr>
      <w:r>
        <w:rPr>
          <w:rFonts w:hint="eastAsia" w:ascii="仿宋_GB2312" w:eastAsia="仿宋_GB2312"/>
          <w:sz w:val="32"/>
          <w:szCs w:val="32"/>
        </w:rPr>
        <w:t>上述标准包括了产品涉及到的常用标准。申请人还应根据产品的特点引用涉及到的其他标准。</w:t>
      </w:r>
    </w:p>
    <w:p w14:paraId="3973300F">
      <w:pPr>
        <w:spacing w:line="520" w:lineRule="exact"/>
        <w:ind w:firstLine="640" w:firstLineChars="200"/>
        <w:rPr>
          <w:rFonts w:ascii="仿宋_GB2312" w:eastAsia="仿宋_GB2312"/>
          <w:sz w:val="32"/>
          <w:szCs w:val="32"/>
        </w:rPr>
      </w:pPr>
      <w:r>
        <w:rPr>
          <w:rFonts w:hint="eastAsia" w:ascii="仿宋_GB2312" w:eastAsia="仿宋_GB2312"/>
          <w:sz w:val="32"/>
          <w:szCs w:val="32"/>
        </w:rPr>
        <w:t>首先，引用标准应齐全、适宜。应确保产品技术要求引用了产品相关的国家标准、行业标准，引用标准与产品技术特征相适宜。引用标准的编号、年代号有效，标准名称完整规范。</w:t>
      </w:r>
    </w:p>
    <w:p w14:paraId="79165ABD">
      <w:pPr>
        <w:spacing w:line="520" w:lineRule="exact"/>
        <w:ind w:firstLine="640" w:firstLineChars="200"/>
        <w:rPr>
          <w:rFonts w:ascii="仿宋_GB2312" w:eastAsia="仿宋_GB2312"/>
          <w:sz w:val="32"/>
          <w:szCs w:val="32"/>
        </w:rPr>
      </w:pPr>
      <w:r>
        <w:rPr>
          <w:rFonts w:hint="eastAsia" w:ascii="仿宋_GB2312" w:eastAsia="仿宋_GB2312"/>
          <w:sz w:val="32"/>
          <w:szCs w:val="32"/>
        </w:rPr>
        <w:t>其次，应对引用标准的采纳情况进行说明。即所引用的标准中的条款要求，是否在产品技术要求中进行了实质性的引用。文字表述繁多内容复杂的可以直接引用标准及条文号，比较简单的也可以直接引述具体要求。</w:t>
      </w:r>
    </w:p>
    <w:p w14:paraId="55B61665">
      <w:pPr>
        <w:spacing w:line="520" w:lineRule="exact"/>
        <w:ind w:firstLine="640" w:firstLineChars="200"/>
        <w:rPr>
          <w:rFonts w:ascii="仿宋_GB2312" w:eastAsia="仿宋_GB2312"/>
          <w:sz w:val="32"/>
          <w:szCs w:val="32"/>
        </w:rPr>
      </w:pPr>
      <w:r>
        <w:rPr>
          <w:rFonts w:hint="eastAsia" w:ascii="仿宋_GB2312" w:eastAsia="仿宋_GB2312"/>
          <w:sz w:val="32"/>
          <w:szCs w:val="32"/>
        </w:rPr>
        <w:t>如有新版强制性国家标准、行业标准发布实施，产品性能指标等要求应符合最新版本的国家标准、行业标准。</w:t>
      </w:r>
    </w:p>
    <w:p w14:paraId="1178057E">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（六）产品的适用范围/预期用途、禁忌症</w:t>
      </w:r>
    </w:p>
    <w:p w14:paraId="57F7E671">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（1）适用范围：输尿管导引鞘供在泌尿外科手术中，建立内窥镜及其它器械进入泌尿道的通道用。</w:t>
      </w:r>
    </w:p>
    <w:p w14:paraId="163240B5">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（2）禁忌症：本产品禁止用于不能耐受泌尿科内镜手术的患者。</w:t>
      </w:r>
    </w:p>
    <w:p w14:paraId="615CC47F">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申请人应当明确产品的适用范围，明确目标用户及操作该产品应当具备的技能/知识/培训；说明预期与其配合使用的医疗器械。</w:t>
      </w:r>
    </w:p>
    <w:p w14:paraId="46B02AAE">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申请人应当明确该产品禁忌应用的特定人群、疾病种类等。明确说明该器械不适宜的某些疾病、情况或特定的人群及部位。</w:t>
      </w:r>
    </w:p>
    <w:p w14:paraId="4F52EC33">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（七）产品的主要风险</w:t>
      </w:r>
    </w:p>
    <w:p w14:paraId="1B55FB24">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应按照YY/T 0316《医疗器械风险管理对医疗器械的应用》的要求，对产品生命周期全过程实施风险管理。产品风险管理过程包括风险分析、风险评价、风险控制、综合剩余风险的可接受性评价、生产和生产后信息。产品风险分析应包含产品原材料选择、设计开发、生产加工过程、产品包装、灭菌、运输存储、使用、最终停用和处置等产品生命周期的各个环节。</w:t>
      </w:r>
    </w:p>
    <w:p w14:paraId="1C1B50D6">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1.风险分析方法</w:t>
      </w:r>
    </w:p>
    <w:p w14:paraId="321DBD83">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sz w:val="32"/>
          <w:szCs w:val="32"/>
        </w:rPr>
        <w:t>在对风险的判定及分析中，</w:t>
      </w:r>
      <w:r>
        <w:rPr>
          <w:rFonts w:hint="eastAsia" w:ascii="仿宋_GB2312" w:eastAsia="仿宋_GB2312"/>
          <w:color w:val="000000"/>
          <w:sz w:val="32"/>
          <w:szCs w:val="32"/>
        </w:rPr>
        <w:t>应考虑合理的可预见的情况，包括：正常使用条件下、非正常使用条件下。</w:t>
      </w:r>
    </w:p>
    <w:p w14:paraId="4E7F966C">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（2）危险（源）的识别应包括：对于患者的危险（源）；对于操作者的危险（源）；对于环境的危险（源）。</w:t>
      </w:r>
    </w:p>
    <w:p w14:paraId="655940E1">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（3）风险形成的初始原因应包括：人为因素包括不合理的操作；产品结构的因素；原材料因素；生产因素；环境条件；综合因素。</w:t>
      </w:r>
    </w:p>
    <w:p w14:paraId="3739DC30">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风险判定及分析考虑的问题包括：产品原材料生物学危险（源）；产品质量是否会导致使用中出现不正常结果；操作信息，包括警示性语言、注意事项以及使用方法的准确性；使用可能存在的危险（源）等。</w:t>
      </w:r>
    </w:p>
    <w:p w14:paraId="70B58956">
      <w:pPr>
        <w:spacing w:line="520" w:lineRule="exact"/>
        <w:ind w:firstLine="640" w:firstLineChars="200"/>
        <w:rPr>
          <w:rFonts w:ascii="仿宋_GB2312" w:hAnsi="仿宋" w:eastAsia="仿宋_GB2312"/>
          <w:sz w:val="32"/>
          <w:szCs w:val="28"/>
        </w:rPr>
      </w:pPr>
      <w:r>
        <w:rPr>
          <w:rFonts w:hint="eastAsia" w:ascii="仿宋_GB2312" w:eastAsia="仿宋_GB2312"/>
          <w:sz w:val="32"/>
          <w:szCs w:val="32"/>
        </w:rPr>
        <w:t xml:space="preserve">2. </w:t>
      </w:r>
      <w:r>
        <w:rPr>
          <w:rFonts w:hint="eastAsia" w:ascii="仿宋_GB2312" w:hAnsi="仿宋" w:eastAsia="仿宋_GB2312"/>
          <w:sz w:val="32"/>
          <w:szCs w:val="28"/>
        </w:rPr>
        <w:t>产品风险管理报告审查要点至少包括：</w:t>
      </w:r>
    </w:p>
    <w:p w14:paraId="7572F4B3">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（1）</w:t>
      </w:r>
      <w:r>
        <w:rPr>
          <w:rFonts w:hint="eastAsia" w:ascii="仿宋_GB2312" w:eastAsia="仿宋_GB2312"/>
          <w:sz w:val="32"/>
          <w:szCs w:val="32"/>
        </w:rPr>
        <w:t>产品安全特征清单：与产品安全性有关特征的判定是否准确（依据YY/T 0316-2016附录C）；</w:t>
      </w:r>
    </w:p>
    <w:p w14:paraId="512F0505">
      <w:pPr>
        <w:tabs>
          <w:tab w:val="left" w:pos="7140"/>
        </w:tabs>
        <w:autoSpaceDE w:val="0"/>
        <w:autoSpaceDN w:val="0"/>
        <w:spacing w:line="520" w:lineRule="exact"/>
        <w:ind w:firstLine="640" w:firstLineChars="200"/>
        <w:rPr>
          <w:rFonts w:ascii="仿宋_GB2312" w:eastAsia="仿宋_GB2312"/>
          <w:sz w:val="32"/>
          <w:szCs w:val="32"/>
        </w:rPr>
      </w:pPr>
      <w:r>
        <w:rPr>
          <w:rFonts w:hint="eastAsia" w:ascii="仿宋_GB2312" w:hAnsi="仿宋" w:eastAsia="仿宋_GB2312"/>
          <w:sz w:val="32"/>
          <w:szCs w:val="28"/>
        </w:rPr>
        <w:t>（2）产品可预见的事件序列及危险情况分析清单：</w:t>
      </w:r>
      <w:r>
        <w:rPr>
          <w:rFonts w:hint="eastAsia" w:ascii="仿宋_GB2312" w:eastAsia="仿宋_GB2312"/>
          <w:sz w:val="32"/>
          <w:szCs w:val="32"/>
        </w:rPr>
        <w:t>危险（源）的识别和分析是否全面，说明危险（源）、可预见事件序列、危险情况和可能发生的伤害之间的关系（依据YY/T 0316-2016附录E）；</w:t>
      </w:r>
    </w:p>
    <w:p w14:paraId="6BDBE7A2">
      <w:pPr>
        <w:spacing w:line="520" w:lineRule="exact"/>
        <w:ind w:firstLine="640" w:firstLineChars="200"/>
        <w:rPr>
          <w:rFonts w:ascii="仿宋_GB2312" w:eastAsia="仿宋_GB2312"/>
          <w:sz w:val="32"/>
          <w:szCs w:val="32"/>
        </w:rPr>
      </w:pPr>
      <w:r>
        <w:rPr>
          <w:rFonts w:hint="eastAsia" w:ascii="仿宋_GB2312" w:hAnsi="仿宋" w:eastAsia="仿宋_GB2312"/>
          <w:sz w:val="32"/>
          <w:szCs w:val="28"/>
        </w:rPr>
        <w:t>（3）风险评价、风险控制措施以及剩余风险评价汇总表：风险控制措施的有效性是否经过验证，例如是否达到了相关国家标准或行业标准的要求。</w:t>
      </w:r>
      <w:r>
        <w:rPr>
          <w:rFonts w:hint="eastAsia" w:ascii="仿宋_GB2312" w:eastAsia="仿宋_GB2312"/>
          <w:sz w:val="32"/>
          <w:szCs w:val="32"/>
        </w:rPr>
        <w:t>降低风险的措施及采取措施后剩余风险的可接收程度，是否有新的风险产生（依据YY/T 0316-2016</w:t>
      </w:r>
      <w:r>
        <w:rPr>
          <w:rFonts w:hint="eastAsia" w:ascii="仿宋_GB2312" w:eastAsia="仿宋_GB2312"/>
          <w:spacing w:val="-2"/>
          <w:sz w:val="32"/>
          <w:szCs w:val="28"/>
        </w:rPr>
        <w:t>的附录F、附录G、附录J）</w:t>
      </w:r>
      <w:r>
        <w:rPr>
          <w:rFonts w:hint="eastAsia" w:ascii="仿宋_GB2312" w:eastAsia="仿宋_GB2312"/>
          <w:sz w:val="32"/>
          <w:szCs w:val="32"/>
        </w:rPr>
        <w:t>。</w:t>
      </w:r>
    </w:p>
    <w:p w14:paraId="3EF19EBC">
      <w:pPr>
        <w:spacing w:line="520" w:lineRule="exact"/>
        <w:ind w:firstLine="640" w:firstLineChars="200"/>
        <w:rPr>
          <w:rFonts w:ascii="仿宋_GB2312" w:eastAsia="仿宋_GB2312"/>
          <w:color w:val="000000"/>
          <w:sz w:val="32"/>
          <w:szCs w:val="32"/>
        </w:rPr>
      </w:pPr>
      <w:r>
        <w:rPr>
          <w:rFonts w:hint="eastAsia" w:ascii="仿宋_GB2312" w:hAnsi="仿宋" w:eastAsia="仿宋_GB2312"/>
          <w:sz w:val="32"/>
          <w:szCs w:val="28"/>
        </w:rPr>
        <w:t>申请人</w:t>
      </w:r>
      <w:r>
        <w:rPr>
          <w:rFonts w:hint="eastAsia" w:ascii="仿宋_GB2312" w:eastAsia="仿宋_GB2312"/>
          <w:color w:val="000000"/>
          <w:sz w:val="32"/>
          <w:szCs w:val="32"/>
        </w:rPr>
        <w:t>在进行风险分析时，至少应</w:t>
      </w:r>
      <w:r>
        <w:rPr>
          <w:rFonts w:hint="eastAsia" w:ascii="仿宋_GB2312" w:hAnsi="仿宋" w:eastAsia="仿宋_GB2312"/>
          <w:sz w:val="32"/>
          <w:szCs w:val="28"/>
        </w:rPr>
        <w:t>考虑</w:t>
      </w:r>
      <w:r>
        <w:rPr>
          <w:rFonts w:hint="eastAsia" w:ascii="仿宋_GB2312" w:eastAsia="仿宋_GB2312"/>
          <w:sz w:val="32"/>
          <w:szCs w:val="32"/>
        </w:rPr>
        <w:t>表2中</w:t>
      </w:r>
      <w:r>
        <w:rPr>
          <w:rFonts w:hint="eastAsia" w:ascii="仿宋_GB2312" w:eastAsia="仿宋_GB2312"/>
          <w:color w:val="000000"/>
          <w:sz w:val="32"/>
          <w:szCs w:val="32"/>
        </w:rPr>
        <w:t>主要危险（源），企业还应根据自身产品特点确定其他危险（源），</w:t>
      </w:r>
      <w:r>
        <w:rPr>
          <w:rFonts w:hint="eastAsia" w:ascii="仿宋_GB2312" w:eastAsia="仿宋_GB2312"/>
          <w:sz w:val="32"/>
          <w:szCs w:val="32"/>
        </w:rPr>
        <w:t>详述危</w:t>
      </w:r>
      <w:r>
        <w:rPr>
          <w:rFonts w:hint="eastAsia" w:ascii="仿宋_GB2312" w:eastAsia="仿宋_GB2312"/>
          <w:color w:val="000000"/>
          <w:sz w:val="32"/>
          <w:szCs w:val="32"/>
        </w:rPr>
        <w:t>险（源）</w:t>
      </w:r>
      <w:r>
        <w:rPr>
          <w:rFonts w:hint="eastAsia" w:ascii="仿宋_GB2312" w:eastAsia="仿宋_GB2312"/>
          <w:sz w:val="32"/>
          <w:szCs w:val="32"/>
        </w:rPr>
        <w:t>发生的原因、危害水平、采取的降低危</w:t>
      </w:r>
      <w:r>
        <w:rPr>
          <w:rFonts w:hint="eastAsia" w:ascii="仿宋_GB2312" w:eastAsia="仿宋_GB2312"/>
          <w:color w:val="000000"/>
          <w:sz w:val="32"/>
          <w:szCs w:val="32"/>
        </w:rPr>
        <w:t>险（源）</w:t>
      </w:r>
      <w:r>
        <w:rPr>
          <w:rFonts w:hint="eastAsia" w:ascii="仿宋_GB2312" w:eastAsia="仿宋_GB2312"/>
          <w:sz w:val="32"/>
          <w:szCs w:val="32"/>
        </w:rPr>
        <w:t>的措施以及剩余危害可接受性评定。</w:t>
      </w:r>
      <w:r>
        <w:rPr>
          <w:rFonts w:hint="eastAsia" w:ascii="仿宋_GB2312" w:eastAsia="仿宋_GB2312"/>
          <w:color w:val="000000"/>
          <w:sz w:val="32"/>
          <w:szCs w:val="32"/>
        </w:rPr>
        <w:t>确保风险降低到可接受的程度，或经风险分析，受益大于风险。</w:t>
      </w:r>
    </w:p>
    <w:p w14:paraId="245AA7F1">
      <w:pPr>
        <w:spacing w:line="520" w:lineRule="exact"/>
        <w:rPr>
          <w:rFonts w:ascii="仿宋_GB2312" w:eastAsia="仿宋_GB2312"/>
          <w:color w:val="000000"/>
          <w:sz w:val="32"/>
          <w:szCs w:val="32"/>
        </w:rPr>
      </w:pPr>
    </w:p>
    <w:p w14:paraId="285D82FD">
      <w:pPr>
        <w:spacing w:line="520" w:lineRule="exact"/>
        <w:rPr>
          <w:rFonts w:ascii="仿宋_GB2312" w:eastAsia="仿宋_GB2312"/>
          <w:color w:val="000000"/>
          <w:sz w:val="32"/>
          <w:szCs w:val="32"/>
        </w:rPr>
      </w:pPr>
    </w:p>
    <w:p w14:paraId="01E37932">
      <w:pPr>
        <w:spacing w:line="520" w:lineRule="exact"/>
        <w:rPr>
          <w:rFonts w:ascii="仿宋_GB2312" w:eastAsia="仿宋_GB2312"/>
          <w:color w:val="000000"/>
          <w:sz w:val="32"/>
          <w:szCs w:val="32"/>
        </w:rPr>
      </w:pPr>
    </w:p>
    <w:p w14:paraId="5F05BCC5">
      <w:pPr>
        <w:widowControl/>
        <w:spacing w:line="520" w:lineRule="exact"/>
        <w:ind w:firstLine="544" w:firstLineChars="200"/>
        <w:jc w:val="center"/>
        <w:rPr>
          <w:rFonts w:ascii="仿宋_GB2312" w:hAnsi="仿宋" w:eastAsia="仿宋_GB2312"/>
          <w:spacing w:val="-4"/>
          <w:kern w:val="0"/>
          <w:sz w:val="28"/>
          <w:szCs w:val="28"/>
        </w:rPr>
      </w:pPr>
      <w:r>
        <w:rPr>
          <w:rFonts w:hint="eastAsia" w:ascii="仿宋_GB2312" w:hAnsi="仿宋" w:eastAsia="仿宋_GB2312"/>
          <w:spacing w:val="-4"/>
          <w:kern w:val="0"/>
          <w:sz w:val="28"/>
          <w:szCs w:val="28"/>
        </w:rPr>
        <w:t>表2 产品主要危险（源）（举例）</w:t>
      </w:r>
    </w:p>
    <w:tbl>
      <w:tblPr>
        <w:tblStyle w:val="10"/>
        <w:tblW w:w="10070" w:type="dxa"/>
        <w:jc w:val="center"/>
        <w:tblLayout w:type="autofit"/>
        <w:tblCellMar>
          <w:top w:w="0" w:type="dxa"/>
          <w:left w:w="0" w:type="dxa"/>
          <w:bottom w:w="0" w:type="dxa"/>
          <w:right w:w="0" w:type="dxa"/>
        </w:tblCellMar>
      </w:tblPr>
      <w:tblGrid>
        <w:gridCol w:w="1565"/>
        <w:gridCol w:w="3260"/>
        <w:gridCol w:w="2410"/>
        <w:gridCol w:w="2835"/>
      </w:tblGrid>
      <w:tr w14:paraId="6A3B9D71">
        <w:tblPrEx>
          <w:tblCellMar>
            <w:top w:w="0" w:type="dxa"/>
            <w:left w:w="0" w:type="dxa"/>
            <w:bottom w:w="0" w:type="dxa"/>
            <w:right w:w="0" w:type="dxa"/>
          </w:tblCellMar>
        </w:tblPrEx>
        <w:trPr>
          <w:tblHeader/>
          <w:jc w:val="center"/>
        </w:trPr>
        <w:tc>
          <w:tcPr>
            <w:tcW w:w="1565" w:type="dxa"/>
            <w:tcBorders>
              <w:top w:val="single" w:color="000000" w:sz="4" w:space="0"/>
              <w:left w:val="single" w:color="000000" w:sz="4" w:space="0"/>
              <w:bottom w:val="single" w:color="000000" w:sz="4" w:space="0"/>
              <w:right w:val="single" w:color="000000" w:sz="4" w:space="0"/>
            </w:tcBorders>
          </w:tcPr>
          <w:p w14:paraId="69574094">
            <w:pPr>
              <w:pStyle w:val="26"/>
              <w:kinsoku w:val="0"/>
              <w:spacing w:line="520" w:lineRule="exact"/>
              <w:ind w:firstLine="200"/>
              <w:jc w:val="center"/>
              <w:rPr>
                <w:rFonts w:ascii="仿宋_GB2312" w:hAnsi="仿宋" w:eastAsia="仿宋_GB2312"/>
                <w:sz w:val="28"/>
                <w:szCs w:val="28"/>
              </w:rPr>
            </w:pPr>
            <w:r>
              <w:rPr>
                <w:rFonts w:hint="eastAsia" w:ascii="仿宋_GB2312" w:hAnsi="仿宋" w:eastAsia="仿宋_GB2312"/>
                <w:sz w:val="28"/>
                <w:szCs w:val="28"/>
              </w:rPr>
              <w:t>危险（源）</w:t>
            </w:r>
          </w:p>
        </w:tc>
        <w:tc>
          <w:tcPr>
            <w:tcW w:w="3260" w:type="dxa"/>
            <w:tcBorders>
              <w:top w:val="single" w:color="000000" w:sz="4" w:space="0"/>
              <w:left w:val="single" w:color="000000" w:sz="4" w:space="0"/>
              <w:bottom w:val="single" w:color="000000" w:sz="4" w:space="0"/>
              <w:right w:val="single" w:color="000000" w:sz="4" w:space="0"/>
            </w:tcBorders>
          </w:tcPr>
          <w:p w14:paraId="6A19154E">
            <w:pPr>
              <w:pStyle w:val="26"/>
              <w:kinsoku w:val="0"/>
              <w:spacing w:line="520" w:lineRule="exact"/>
              <w:ind w:firstLine="200"/>
              <w:jc w:val="center"/>
              <w:rPr>
                <w:rFonts w:ascii="仿宋_GB2312" w:hAnsi="仿宋" w:eastAsia="仿宋_GB2312"/>
                <w:sz w:val="28"/>
                <w:szCs w:val="28"/>
              </w:rPr>
            </w:pPr>
            <w:r>
              <w:rPr>
                <w:rFonts w:hint="eastAsia" w:ascii="仿宋_GB2312" w:hAnsi="仿宋" w:eastAsia="仿宋_GB2312" w:cs="仿宋"/>
                <w:sz w:val="28"/>
                <w:szCs w:val="28"/>
              </w:rPr>
              <w:t>可预见的事件序列</w:t>
            </w:r>
          </w:p>
        </w:tc>
        <w:tc>
          <w:tcPr>
            <w:tcW w:w="2410" w:type="dxa"/>
            <w:tcBorders>
              <w:top w:val="single" w:color="000000" w:sz="4" w:space="0"/>
              <w:left w:val="single" w:color="000000" w:sz="4" w:space="0"/>
              <w:bottom w:val="single" w:color="000000" w:sz="4" w:space="0"/>
              <w:right w:val="single" w:color="000000" w:sz="4" w:space="0"/>
            </w:tcBorders>
          </w:tcPr>
          <w:p w14:paraId="5FC65BA7">
            <w:pPr>
              <w:pStyle w:val="26"/>
              <w:kinsoku w:val="0"/>
              <w:spacing w:line="520" w:lineRule="exact"/>
              <w:ind w:firstLine="200"/>
              <w:jc w:val="center"/>
              <w:rPr>
                <w:rFonts w:ascii="仿宋_GB2312" w:hAnsi="仿宋" w:eastAsia="仿宋_GB2312"/>
                <w:sz w:val="28"/>
                <w:szCs w:val="28"/>
              </w:rPr>
            </w:pPr>
            <w:r>
              <w:rPr>
                <w:rFonts w:hint="eastAsia" w:ascii="仿宋_GB2312" w:hAnsi="仿宋" w:eastAsia="仿宋_GB2312"/>
                <w:sz w:val="28"/>
                <w:szCs w:val="28"/>
              </w:rPr>
              <w:t>危险情况</w:t>
            </w:r>
          </w:p>
        </w:tc>
        <w:tc>
          <w:tcPr>
            <w:tcW w:w="2835" w:type="dxa"/>
            <w:tcBorders>
              <w:top w:val="single" w:color="000000" w:sz="4" w:space="0"/>
              <w:left w:val="single" w:color="000000" w:sz="4" w:space="0"/>
              <w:bottom w:val="single" w:color="000000" w:sz="4" w:space="0"/>
              <w:right w:val="single" w:color="000000" w:sz="4" w:space="0"/>
            </w:tcBorders>
          </w:tcPr>
          <w:p w14:paraId="5CA9A64F">
            <w:pPr>
              <w:pStyle w:val="26"/>
              <w:kinsoku w:val="0"/>
              <w:spacing w:line="520" w:lineRule="exact"/>
              <w:ind w:firstLine="200"/>
              <w:jc w:val="center"/>
              <w:rPr>
                <w:rFonts w:ascii="仿宋_GB2312" w:hAnsi="仿宋" w:eastAsia="仿宋_GB2312"/>
                <w:sz w:val="28"/>
                <w:szCs w:val="28"/>
              </w:rPr>
            </w:pPr>
            <w:r>
              <w:rPr>
                <w:rFonts w:hint="eastAsia" w:ascii="仿宋_GB2312" w:hAnsi="仿宋" w:eastAsia="仿宋_GB2312" w:cs="仿宋"/>
                <w:sz w:val="28"/>
                <w:szCs w:val="28"/>
              </w:rPr>
              <w:t>伤害</w:t>
            </w:r>
          </w:p>
        </w:tc>
      </w:tr>
      <w:tr w14:paraId="450BEA04">
        <w:tblPrEx>
          <w:tblCellMar>
            <w:top w:w="0" w:type="dxa"/>
            <w:left w:w="0" w:type="dxa"/>
            <w:bottom w:w="0" w:type="dxa"/>
            <w:right w:w="0" w:type="dxa"/>
          </w:tblCellMar>
        </w:tblPrEx>
        <w:trPr>
          <w:trHeight w:val="1712" w:hRule="exact"/>
          <w:jc w:val="center"/>
        </w:trPr>
        <w:tc>
          <w:tcPr>
            <w:tcW w:w="1565" w:type="dxa"/>
            <w:vMerge w:val="restart"/>
            <w:tcBorders>
              <w:top w:val="single" w:color="000000" w:sz="4" w:space="0"/>
              <w:left w:val="single" w:color="000000" w:sz="4" w:space="0"/>
              <w:right w:val="single" w:color="000000" w:sz="4" w:space="0"/>
            </w:tcBorders>
            <w:vAlign w:val="center"/>
          </w:tcPr>
          <w:p w14:paraId="23257714">
            <w:pPr>
              <w:pStyle w:val="26"/>
              <w:kinsoku w:val="0"/>
              <w:spacing w:line="520" w:lineRule="exact"/>
              <w:ind w:firstLine="200"/>
              <w:jc w:val="center"/>
              <w:rPr>
                <w:rFonts w:ascii="仿宋_GB2312" w:hAnsi="仿宋" w:eastAsia="仿宋_GB2312"/>
                <w:sz w:val="28"/>
                <w:szCs w:val="28"/>
              </w:rPr>
            </w:pPr>
            <w:r>
              <w:rPr>
                <w:rFonts w:hint="eastAsia" w:ascii="仿宋_GB2312" w:hAnsi="仿宋" w:eastAsia="仿宋_GB2312" w:cs="仿宋"/>
                <w:sz w:val="28"/>
                <w:szCs w:val="28"/>
              </w:rPr>
              <w:t>生物学和化学危险（源）</w:t>
            </w:r>
          </w:p>
        </w:tc>
        <w:tc>
          <w:tcPr>
            <w:tcW w:w="3260" w:type="dxa"/>
            <w:tcBorders>
              <w:top w:val="single" w:color="000000" w:sz="4" w:space="0"/>
              <w:left w:val="single" w:color="000000" w:sz="4" w:space="0"/>
              <w:bottom w:val="single" w:color="000000" w:sz="4" w:space="0"/>
              <w:right w:val="single" w:color="000000" w:sz="4" w:space="0"/>
            </w:tcBorders>
          </w:tcPr>
          <w:p w14:paraId="28A3A6B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1"/>
                <w:w w:val="95"/>
                <w:sz w:val="28"/>
                <w:szCs w:val="28"/>
              </w:rPr>
              <w:t>产</w:t>
            </w:r>
            <w:r>
              <w:rPr>
                <w:rFonts w:hint="eastAsia" w:ascii="仿宋_GB2312" w:hAnsi="仿宋" w:eastAsia="仿宋_GB2312" w:cs="仿宋"/>
                <w:spacing w:val="1"/>
                <w:w w:val="95"/>
                <w:sz w:val="28"/>
                <w:szCs w:val="28"/>
              </w:rPr>
              <w:t>品原</w:t>
            </w:r>
            <w:r>
              <w:rPr>
                <w:rFonts w:hint="eastAsia" w:ascii="仿宋_GB2312" w:hAnsi="仿宋" w:eastAsia="仿宋_GB2312" w:cs="仿宋"/>
                <w:spacing w:val="-1"/>
                <w:w w:val="95"/>
                <w:sz w:val="28"/>
                <w:szCs w:val="28"/>
              </w:rPr>
              <w:t>材</w:t>
            </w:r>
            <w:r>
              <w:rPr>
                <w:rFonts w:hint="eastAsia" w:ascii="仿宋_GB2312" w:hAnsi="仿宋" w:eastAsia="仿宋_GB2312" w:cs="仿宋"/>
                <w:spacing w:val="1"/>
                <w:w w:val="95"/>
                <w:sz w:val="28"/>
                <w:szCs w:val="28"/>
              </w:rPr>
              <w:t>料及初包装材料</w:t>
            </w:r>
            <w:r>
              <w:rPr>
                <w:rFonts w:hint="eastAsia" w:ascii="仿宋_GB2312" w:hAnsi="仿宋" w:eastAsia="仿宋_GB2312" w:cs="仿宋"/>
                <w:spacing w:val="-1"/>
                <w:w w:val="95"/>
                <w:sz w:val="28"/>
                <w:szCs w:val="28"/>
              </w:rPr>
              <w:t>不具有良好的生</w:t>
            </w:r>
            <w:r>
              <w:rPr>
                <w:rFonts w:hint="eastAsia" w:ascii="仿宋_GB2312" w:hAnsi="仿宋" w:eastAsia="仿宋_GB2312" w:cs="仿宋"/>
                <w:spacing w:val="1"/>
                <w:w w:val="95"/>
                <w:sz w:val="28"/>
                <w:szCs w:val="28"/>
              </w:rPr>
              <w:t>物</w:t>
            </w:r>
            <w:r>
              <w:rPr>
                <w:rFonts w:hint="eastAsia" w:ascii="仿宋_GB2312" w:hAnsi="仿宋" w:eastAsia="仿宋_GB2312" w:cs="仿宋"/>
                <w:spacing w:val="-1"/>
                <w:w w:val="95"/>
                <w:sz w:val="28"/>
                <w:szCs w:val="28"/>
              </w:rPr>
              <w:t>相容性</w:t>
            </w:r>
          </w:p>
        </w:tc>
        <w:tc>
          <w:tcPr>
            <w:tcW w:w="2410" w:type="dxa"/>
            <w:tcBorders>
              <w:top w:val="single" w:color="000000" w:sz="4" w:space="0"/>
              <w:left w:val="single" w:color="000000" w:sz="4" w:space="0"/>
              <w:bottom w:val="single" w:color="000000" w:sz="4" w:space="0"/>
              <w:right w:val="single" w:color="000000" w:sz="4" w:space="0"/>
            </w:tcBorders>
          </w:tcPr>
          <w:p w14:paraId="269BF8FB">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z w:val="28"/>
                <w:szCs w:val="28"/>
              </w:rPr>
              <w:t>生物相容性差的材料接触患者</w:t>
            </w:r>
          </w:p>
        </w:tc>
        <w:tc>
          <w:tcPr>
            <w:tcW w:w="2835" w:type="dxa"/>
            <w:tcBorders>
              <w:top w:val="single" w:color="000000" w:sz="4" w:space="0"/>
              <w:left w:val="single" w:color="000000" w:sz="4" w:space="0"/>
              <w:bottom w:val="single" w:color="000000" w:sz="4" w:space="0"/>
              <w:right w:val="single" w:color="000000" w:sz="4" w:space="0"/>
            </w:tcBorders>
          </w:tcPr>
          <w:p w14:paraId="7BBCA6E2">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5"/>
                <w:w w:val="95"/>
                <w:sz w:val="28"/>
                <w:szCs w:val="28"/>
              </w:rPr>
              <w:t>出现中毒、过敏等症状，</w:t>
            </w:r>
            <w:r>
              <w:rPr>
                <w:rFonts w:hint="eastAsia" w:ascii="仿宋_GB2312" w:eastAsia="仿宋_GB2312"/>
                <w:sz w:val="28"/>
                <w:szCs w:val="28"/>
              </w:rPr>
              <w:t>危害患者健康，严重时危及生命</w:t>
            </w:r>
          </w:p>
        </w:tc>
      </w:tr>
      <w:tr w14:paraId="75DA7122">
        <w:tblPrEx>
          <w:tblCellMar>
            <w:top w:w="0" w:type="dxa"/>
            <w:left w:w="0" w:type="dxa"/>
            <w:bottom w:w="0" w:type="dxa"/>
            <w:right w:w="0" w:type="dxa"/>
          </w:tblCellMar>
        </w:tblPrEx>
        <w:trPr>
          <w:trHeight w:val="2160" w:hRule="exact"/>
          <w:jc w:val="center"/>
        </w:trPr>
        <w:tc>
          <w:tcPr>
            <w:tcW w:w="1565" w:type="dxa"/>
            <w:vMerge w:val="continue"/>
            <w:tcBorders>
              <w:left w:val="single" w:color="000000" w:sz="4" w:space="0"/>
              <w:right w:val="single" w:color="000000" w:sz="4" w:space="0"/>
            </w:tcBorders>
          </w:tcPr>
          <w:p w14:paraId="2F0D413A">
            <w:pPr>
              <w:pStyle w:val="26"/>
              <w:kinsoku w:val="0"/>
              <w:spacing w:line="520" w:lineRule="exact"/>
              <w:ind w:firstLine="200"/>
              <w:jc w:val="both"/>
              <w:rPr>
                <w:rFonts w:ascii="仿宋_GB2312" w:hAnsi="仿宋" w:eastAsia="仿宋_GB2312"/>
                <w:b/>
                <w:bCs/>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171629F3">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1"/>
                <w:w w:val="95"/>
                <w:sz w:val="28"/>
                <w:szCs w:val="28"/>
              </w:rPr>
              <w:t>生</w:t>
            </w:r>
            <w:r>
              <w:rPr>
                <w:rFonts w:hint="eastAsia" w:ascii="仿宋_GB2312" w:hAnsi="仿宋" w:eastAsia="仿宋_GB2312" w:cs="仿宋"/>
                <w:spacing w:val="1"/>
                <w:w w:val="95"/>
                <w:sz w:val="28"/>
                <w:szCs w:val="28"/>
              </w:rPr>
              <w:t>产</w:t>
            </w:r>
            <w:r>
              <w:rPr>
                <w:rFonts w:hint="eastAsia" w:ascii="仿宋_GB2312" w:hAnsi="仿宋" w:eastAsia="仿宋_GB2312" w:cs="仿宋"/>
                <w:spacing w:val="-1"/>
                <w:w w:val="95"/>
                <w:sz w:val="28"/>
                <w:szCs w:val="28"/>
              </w:rPr>
              <w:t>过</w:t>
            </w:r>
            <w:r>
              <w:rPr>
                <w:rFonts w:hint="eastAsia" w:ascii="仿宋_GB2312" w:hAnsi="仿宋" w:eastAsia="仿宋_GB2312" w:cs="仿宋"/>
                <w:spacing w:val="1"/>
                <w:w w:val="95"/>
                <w:sz w:val="28"/>
                <w:szCs w:val="28"/>
              </w:rPr>
              <w:t>程</w:t>
            </w:r>
            <w:r>
              <w:rPr>
                <w:rFonts w:hint="eastAsia" w:ascii="仿宋_GB2312" w:hAnsi="仿宋" w:eastAsia="仿宋_GB2312" w:cs="仿宋"/>
                <w:spacing w:val="-1"/>
                <w:w w:val="95"/>
                <w:sz w:val="28"/>
                <w:szCs w:val="28"/>
              </w:rPr>
              <w:t>中</w:t>
            </w:r>
            <w:r>
              <w:rPr>
                <w:rFonts w:hint="eastAsia" w:ascii="仿宋_GB2312" w:hAnsi="仿宋" w:eastAsia="仿宋_GB2312" w:cs="仿宋"/>
                <w:spacing w:val="1"/>
                <w:w w:val="95"/>
                <w:sz w:val="28"/>
                <w:szCs w:val="28"/>
              </w:rPr>
              <w:t>原</w:t>
            </w:r>
            <w:r>
              <w:rPr>
                <w:rFonts w:hint="eastAsia" w:ascii="仿宋_GB2312" w:hAnsi="仿宋" w:eastAsia="仿宋_GB2312" w:cs="仿宋"/>
                <w:spacing w:val="-1"/>
                <w:w w:val="95"/>
                <w:sz w:val="28"/>
                <w:szCs w:val="28"/>
              </w:rPr>
              <w:t>材</w:t>
            </w:r>
            <w:r>
              <w:rPr>
                <w:rFonts w:hint="eastAsia" w:ascii="仿宋_GB2312" w:hAnsi="仿宋" w:eastAsia="仿宋_GB2312" w:cs="仿宋"/>
                <w:spacing w:val="1"/>
                <w:w w:val="95"/>
                <w:sz w:val="28"/>
                <w:szCs w:val="28"/>
              </w:rPr>
              <w:t>料</w:t>
            </w:r>
            <w:r>
              <w:rPr>
                <w:rFonts w:hint="eastAsia" w:ascii="仿宋_GB2312" w:hAnsi="仿宋" w:eastAsia="仿宋_GB2312" w:cs="仿宋"/>
                <w:spacing w:val="-33"/>
                <w:w w:val="95"/>
                <w:sz w:val="28"/>
                <w:szCs w:val="28"/>
              </w:rPr>
              <w:t>、</w:t>
            </w:r>
            <w:r>
              <w:rPr>
                <w:rFonts w:hint="eastAsia" w:ascii="仿宋_GB2312" w:hAnsi="仿宋" w:eastAsia="仿宋_GB2312" w:cs="仿宋"/>
                <w:spacing w:val="-1"/>
                <w:w w:val="95"/>
                <w:sz w:val="28"/>
                <w:szCs w:val="28"/>
              </w:rPr>
              <w:t>包</w:t>
            </w:r>
            <w:r>
              <w:rPr>
                <w:rFonts w:hint="eastAsia" w:ascii="仿宋_GB2312" w:hAnsi="仿宋" w:eastAsia="仿宋_GB2312" w:cs="仿宋"/>
                <w:spacing w:val="1"/>
                <w:w w:val="95"/>
                <w:sz w:val="28"/>
                <w:szCs w:val="28"/>
              </w:rPr>
              <w:t>装</w:t>
            </w:r>
            <w:r>
              <w:rPr>
                <w:rFonts w:hint="eastAsia" w:ascii="仿宋_GB2312" w:hAnsi="仿宋" w:eastAsia="仿宋_GB2312" w:cs="仿宋"/>
                <w:spacing w:val="-1"/>
                <w:w w:val="95"/>
                <w:sz w:val="28"/>
                <w:szCs w:val="28"/>
              </w:rPr>
              <w:t>材</w:t>
            </w:r>
            <w:r>
              <w:rPr>
                <w:rFonts w:hint="eastAsia" w:ascii="仿宋_GB2312" w:hAnsi="仿宋" w:eastAsia="仿宋_GB2312" w:cs="仿宋"/>
                <w:spacing w:val="1"/>
                <w:w w:val="95"/>
                <w:sz w:val="28"/>
                <w:szCs w:val="28"/>
              </w:rPr>
              <w:t>料</w:t>
            </w:r>
            <w:r>
              <w:rPr>
                <w:rFonts w:hint="eastAsia" w:ascii="仿宋_GB2312" w:hAnsi="仿宋" w:eastAsia="仿宋_GB2312" w:cs="仿宋"/>
                <w:spacing w:val="-1"/>
                <w:w w:val="95"/>
                <w:sz w:val="28"/>
                <w:szCs w:val="28"/>
              </w:rPr>
              <w:t>等受到</w:t>
            </w:r>
            <w:r>
              <w:rPr>
                <w:rFonts w:hint="eastAsia" w:ascii="仿宋_GB2312" w:hAnsi="仿宋" w:eastAsia="仿宋_GB2312" w:cs="仿宋"/>
                <w:spacing w:val="1"/>
                <w:w w:val="95"/>
                <w:sz w:val="28"/>
                <w:szCs w:val="28"/>
              </w:rPr>
              <w:t>微</w:t>
            </w:r>
            <w:r>
              <w:rPr>
                <w:rFonts w:hint="eastAsia" w:ascii="仿宋_GB2312" w:hAnsi="仿宋" w:eastAsia="仿宋_GB2312" w:cs="仿宋"/>
                <w:spacing w:val="-1"/>
                <w:w w:val="95"/>
                <w:sz w:val="28"/>
                <w:szCs w:val="28"/>
              </w:rPr>
              <w:t>生</w:t>
            </w:r>
            <w:r>
              <w:rPr>
                <w:rFonts w:hint="eastAsia" w:ascii="仿宋_GB2312" w:hAnsi="仿宋" w:eastAsia="仿宋_GB2312" w:cs="仿宋"/>
                <w:w w:val="95"/>
                <w:sz w:val="28"/>
                <w:szCs w:val="28"/>
              </w:rPr>
              <w:t>物</w:t>
            </w:r>
            <w:r>
              <w:rPr>
                <w:rFonts w:hint="eastAsia" w:ascii="仿宋_GB2312" w:hAnsi="仿宋" w:eastAsia="仿宋_GB2312" w:cs="仿宋"/>
                <w:spacing w:val="-2"/>
                <w:w w:val="95"/>
                <w:sz w:val="28"/>
                <w:szCs w:val="28"/>
              </w:rPr>
              <w:t>污染，导致产品菌落</w:t>
            </w:r>
            <w:r>
              <w:rPr>
                <w:rFonts w:hint="eastAsia" w:ascii="仿宋_GB2312" w:hAnsi="仿宋" w:eastAsia="仿宋_GB2312" w:cs="仿宋"/>
                <w:spacing w:val="-1"/>
                <w:w w:val="95"/>
                <w:sz w:val="28"/>
                <w:szCs w:val="28"/>
              </w:rPr>
              <w:t>超标，产品灭菌不彻底</w:t>
            </w:r>
          </w:p>
        </w:tc>
        <w:tc>
          <w:tcPr>
            <w:tcW w:w="2410" w:type="dxa"/>
            <w:tcBorders>
              <w:top w:val="single" w:color="000000" w:sz="4" w:space="0"/>
              <w:left w:val="single" w:color="000000" w:sz="4" w:space="0"/>
              <w:bottom w:val="single" w:color="000000" w:sz="4" w:space="0"/>
              <w:right w:val="single" w:color="000000" w:sz="4" w:space="0"/>
            </w:tcBorders>
          </w:tcPr>
          <w:p w14:paraId="1BB9112D">
            <w:pPr>
              <w:pStyle w:val="26"/>
              <w:kinsoku w:val="0"/>
              <w:spacing w:line="520" w:lineRule="exact"/>
              <w:ind w:firstLine="200"/>
              <w:jc w:val="both"/>
              <w:rPr>
                <w:rFonts w:ascii="仿宋_GB2312" w:hAnsi="仿宋" w:eastAsia="仿宋_GB2312"/>
                <w:sz w:val="28"/>
                <w:szCs w:val="28"/>
              </w:rPr>
            </w:pPr>
            <w:r>
              <w:rPr>
                <w:rFonts w:hint="eastAsia" w:ascii="仿宋_GB2312" w:eastAsia="仿宋_GB2312"/>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2CEC7ECF">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5"/>
                <w:w w:val="95"/>
                <w:sz w:val="28"/>
                <w:szCs w:val="28"/>
              </w:rPr>
              <w:t>患者被感染，严重时导</w:t>
            </w:r>
            <w:r>
              <w:rPr>
                <w:rFonts w:hint="eastAsia" w:ascii="仿宋_GB2312" w:hAnsi="仿宋" w:eastAsia="仿宋_GB2312" w:cs="仿宋"/>
                <w:sz w:val="28"/>
                <w:szCs w:val="28"/>
              </w:rPr>
              <w:t>致发热、休克</w:t>
            </w:r>
          </w:p>
        </w:tc>
      </w:tr>
      <w:tr w14:paraId="2BC7E699">
        <w:tblPrEx>
          <w:tblCellMar>
            <w:top w:w="0" w:type="dxa"/>
            <w:left w:w="0" w:type="dxa"/>
            <w:bottom w:w="0" w:type="dxa"/>
            <w:right w:w="0" w:type="dxa"/>
          </w:tblCellMar>
        </w:tblPrEx>
        <w:trPr>
          <w:trHeight w:val="1270" w:hRule="exact"/>
          <w:jc w:val="center"/>
        </w:trPr>
        <w:tc>
          <w:tcPr>
            <w:tcW w:w="1565" w:type="dxa"/>
            <w:vMerge w:val="continue"/>
            <w:tcBorders>
              <w:left w:val="single" w:color="000000" w:sz="4" w:space="0"/>
              <w:right w:val="single" w:color="000000" w:sz="4" w:space="0"/>
            </w:tcBorders>
          </w:tcPr>
          <w:p w14:paraId="4E857E26">
            <w:pPr>
              <w:pStyle w:val="26"/>
              <w:kinsoku w:val="0"/>
              <w:spacing w:line="520" w:lineRule="exact"/>
              <w:ind w:firstLine="200"/>
              <w:jc w:val="both"/>
              <w:rPr>
                <w:rFonts w:ascii="仿宋_GB2312" w:hAnsi="仿宋" w:eastAsia="仿宋_GB2312"/>
                <w:b/>
                <w:bCs/>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51CB2D86">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1"/>
                <w:w w:val="95"/>
                <w:sz w:val="28"/>
                <w:szCs w:val="28"/>
              </w:rPr>
              <w:t>生</w:t>
            </w:r>
            <w:r>
              <w:rPr>
                <w:rFonts w:hint="eastAsia" w:ascii="仿宋_GB2312" w:hAnsi="仿宋" w:eastAsia="仿宋_GB2312" w:cs="仿宋"/>
                <w:spacing w:val="1"/>
                <w:w w:val="95"/>
                <w:sz w:val="28"/>
                <w:szCs w:val="28"/>
              </w:rPr>
              <w:t>产</w:t>
            </w:r>
            <w:r>
              <w:rPr>
                <w:rFonts w:hint="eastAsia" w:ascii="仿宋_GB2312" w:hAnsi="仿宋" w:eastAsia="仿宋_GB2312" w:cs="仿宋"/>
                <w:spacing w:val="-1"/>
                <w:w w:val="95"/>
                <w:sz w:val="28"/>
                <w:szCs w:val="28"/>
              </w:rPr>
              <w:t>环</w:t>
            </w:r>
            <w:r>
              <w:rPr>
                <w:rFonts w:hint="eastAsia" w:ascii="仿宋_GB2312" w:hAnsi="仿宋" w:eastAsia="仿宋_GB2312" w:cs="仿宋"/>
                <w:spacing w:val="1"/>
                <w:w w:val="95"/>
                <w:sz w:val="28"/>
                <w:szCs w:val="28"/>
              </w:rPr>
              <w:t>境</w:t>
            </w:r>
            <w:r>
              <w:rPr>
                <w:rFonts w:hint="eastAsia" w:ascii="仿宋_GB2312" w:hAnsi="仿宋" w:eastAsia="仿宋_GB2312" w:cs="仿宋"/>
                <w:spacing w:val="-1"/>
                <w:w w:val="95"/>
                <w:sz w:val="28"/>
                <w:szCs w:val="28"/>
              </w:rPr>
              <w:t>的</w:t>
            </w:r>
            <w:r>
              <w:rPr>
                <w:rFonts w:hint="eastAsia" w:ascii="仿宋_GB2312" w:hAnsi="仿宋" w:eastAsia="仿宋_GB2312" w:cs="仿宋"/>
                <w:spacing w:val="1"/>
                <w:w w:val="95"/>
                <w:sz w:val="28"/>
                <w:szCs w:val="28"/>
              </w:rPr>
              <w:t>微</w:t>
            </w:r>
            <w:r>
              <w:rPr>
                <w:rFonts w:hint="eastAsia" w:ascii="仿宋_GB2312" w:hAnsi="仿宋" w:eastAsia="仿宋_GB2312" w:cs="仿宋"/>
                <w:spacing w:val="-1"/>
                <w:w w:val="95"/>
                <w:sz w:val="28"/>
                <w:szCs w:val="28"/>
              </w:rPr>
              <w:t>生</w:t>
            </w:r>
            <w:r>
              <w:rPr>
                <w:rFonts w:hint="eastAsia" w:ascii="仿宋_GB2312" w:hAnsi="仿宋" w:eastAsia="仿宋_GB2312" w:cs="仿宋"/>
                <w:spacing w:val="1"/>
                <w:w w:val="95"/>
                <w:sz w:val="28"/>
                <w:szCs w:val="28"/>
              </w:rPr>
              <w:t>物</w:t>
            </w:r>
            <w:r>
              <w:rPr>
                <w:rFonts w:hint="eastAsia" w:ascii="仿宋_GB2312" w:hAnsi="仿宋" w:eastAsia="仿宋_GB2312" w:cs="仿宋"/>
                <w:spacing w:val="-1"/>
                <w:w w:val="95"/>
                <w:sz w:val="28"/>
                <w:szCs w:val="28"/>
              </w:rPr>
              <w:t>超</w:t>
            </w:r>
            <w:r>
              <w:rPr>
                <w:rFonts w:hint="eastAsia" w:ascii="仿宋_GB2312" w:hAnsi="仿宋" w:eastAsia="仿宋_GB2312" w:cs="仿宋"/>
                <w:spacing w:val="1"/>
                <w:w w:val="95"/>
                <w:sz w:val="28"/>
                <w:szCs w:val="28"/>
              </w:rPr>
              <w:t>标</w:t>
            </w:r>
            <w:r>
              <w:rPr>
                <w:rFonts w:hint="eastAsia" w:ascii="仿宋_GB2312" w:hAnsi="仿宋" w:eastAsia="仿宋_GB2312" w:cs="仿宋"/>
                <w:spacing w:val="-33"/>
                <w:w w:val="95"/>
                <w:sz w:val="28"/>
                <w:szCs w:val="28"/>
              </w:rPr>
              <w:t>，</w:t>
            </w:r>
            <w:r>
              <w:rPr>
                <w:rFonts w:hint="eastAsia" w:ascii="仿宋_GB2312" w:hAnsi="仿宋" w:eastAsia="仿宋_GB2312" w:cs="仿宋"/>
                <w:spacing w:val="-1"/>
                <w:w w:val="95"/>
                <w:sz w:val="28"/>
                <w:szCs w:val="28"/>
              </w:rPr>
              <w:t>导</w:t>
            </w:r>
            <w:r>
              <w:rPr>
                <w:rFonts w:hint="eastAsia" w:ascii="仿宋_GB2312" w:hAnsi="仿宋" w:eastAsia="仿宋_GB2312" w:cs="仿宋"/>
                <w:spacing w:val="1"/>
                <w:w w:val="95"/>
                <w:sz w:val="28"/>
                <w:szCs w:val="28"/>
              </w:rPr>
              <w:t>致</w:t>
            </w:r>
            <w:r>
              <w:rPr>
                <w:rFonts w:hint="eastAsia" w:ascii="仿宋_GB2312" w:hAnsi="仿宋" w:eastAsia="仿宋_GB2312" w:cs="仿宋"/>
                <w:spacing w:val="-1"/>
                <w:w w:val="95"/>
                <w:sz w:val="28"/>
                <w:szCs w:val="28"/>
              </w:rPr>
              <w:t>灭</w:t>
            </w:r>
            <w:r>
              <w:rPr>
                <w:rFonts w:hint="eastAsia" w:ascii="仿宋_GB2312" w:hAnsi="仿宋" w:eastAsia="仿宋_GB2312" w:cs="仿宋"/>
                <w:spacing w:val="1"/>
                <w:w w:val="95"/>
                <w:sz w:val="28"/>
                <w:szCs w:val="28"/>
              </w:rPr>
              <w:t>菌</w:t>
            </w:r>
            <w:r>
              <w:rPr>
                <w:rFonts w:hint="eastAsia" w:ascii="仿宋_GB2312" w:hAnsi="仿宋" w:eastAsia="仿宋_GB2312" w:cs="仿宋"/>
                <w:spacing w:val="-1"/>
                <w:w w:val="95"/>
                <w:sz w:val="28"/>
                <w:szCs w:val="28"/>
              </w:rPr>
              <w:t>不</w:t>
            </w:r>
            <w:r>
              <w:rPr>
                <w:rFonts w:hint="eastAsia" w:ascii="仿宋_GB2312" w:hAnsi="仿宋" w:eastAsia="仿宋_GB2312" w:cs="仿宋"/>
                <w:w w:val="95"/>
                <w:sz w:val="28"/>
                <w:szCs w:val="28"/>
              </w:rPr>
              <w:t>彻</w:t>
            </w:r>
            <w:r>
              <w:rPr>
                <w:rFonts w:hint="eastAsia" w:ascii="仿宋_GB2312" w:hAnsi="仿宋" w:eastAsia="仿宋_GB2312" w:cs="仿宋"/>
                <w:sz w:val="28"/>
                <w:szCs w:val="28"/>
              </w:rPr>
              <w:t>底，产品带菌</w:t>
            </w:r>
          </w:p>
        </w:tc>
        <w:tc>
          <w:tcPr>
            <w:tcW w:w="2410" w:type="dxa"/>
            <w:tcBorders>
              <w:top w:val="single" w:color="000000" w:sz="4" w:space="0"/>
              <w:left w:val="single" w:color="000000" w:sz="4" w:space="0"/>
              <w:bottom w:val="single" w:color="000000" w:sz="4" w:space="0"/>
              <w:right w:val="single" w:color="000000" w:sz="4" w:space="0"/>
            </w:tcBorders>
          </w:tcPr>
          <w:p w14:paraId="388B7354">
            <w:pPr>
              <w:spacing w:line="520" w:lineRule="exact"/>
              <w:ind w:firstLine="200"/>
              <w:rPr>
                <w:rFonts w:ascii="仿宋_GB2312" w:eastAsia="仿宋_GB2312"/>
              </w:rPr>
            </w:pPr>
            <w:r>
              <w:rPr>
                <w:rFonts w:hint="eastAsia" w:ascii="仿宋_GB2312" w:eastAsia="仿宋_GB2312"/>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3F1CE788">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5"/>
                <w:w w:val="95"/>
                <w:sz w:val="28"/>
                <w:szCs w:val="28"/>
              </w:rPr>
              <w:t>患者被感染，严重时导致发</w:t>
            </w:r>
            <w:r>
              <w:rPr>
                <w:rFonts w:hint="eastAsia" w:ascii="仿宋_GB2312" w:hAnsi="仿宋" w:eastAsia="仿宋_GB2312" w:cs="仿宋"/>
                <w:sz w:val="28"/>
                <w:szCs w:val="28"/>
              </w:rPr>
              <w:t>热、休克</w:t>
            </w:r>
          </w:p>
        </w:tc>
      </w:tr>
      <w:tr w14:paraId="2E9BD01E">
        <w:tblPrEx>
          <w:tblCellMar>
            <w:top w:w="0" w:type="dxa"/>
            <w:left w:w="0" w:type="dxa"/>
            <w:bottom w:w="0" w:type="dxa"/>
            <w:right w:w="0" w:type="dxa"/>
          </w:tblCellMar>
        </w:tblPrEx>
        <w:trPr>
          <w:trHeight w:val="1675" w:hRule="exact"/>
          <w:jc w:val="center"/>
        </w:trPr>
        <w:tc>
          <w:tcPr>
            <w:tcW w:w="1565" w:type="dxa"/>
            <w:vMerge w:val="continue"/>
            <w:tcBorders>
              <w:left w:val="single" w:color="000000" w:sz="4" w:space="0"/>
              <w:right w:val="single" w:color="000000" w:sz="4" w:space="0"/>
            </w:tcBorders>
          </w:tcPr>
          <w:p w14:paraId="2C510617">
            <w:pPr>
              <w:pStyle w:val="26"/>
              <w:kinsoku w:val="0"/>
              <w:spacing w:line="520" w:lineRule="exact"/>
              <w:ind w:firstLine="200"/>
              <w:jc w:val="both"/>
              <w:rPr>
                <w:rFonts w:ascii="仿宋_GB2312" w:hAnsi="仿宋" w:eastAsia="仿宋_GB2312"/>
                <w:b/>
                <w:bCs/>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3887B605">
            <w:pPr>
              <w:pStyle w:val="26"/>
              <w:kinsoku w:val="0"/>
              <w:spacing w:line="520" w:lineRule="exact"/>
              <w:ind w:firstLine="200"/>
              <w:jc w:val="both"/>
              <w:rPr>
                <w:rFonts w:ascii="仿宋_GB2312" w:hAnsi="仿宋" w:eastAsia="仿宋_GB2312" w:cs="仿宋"/>
                <w:spacing w:val="-1"/>
                <w:w w:val="95"/>
                <w:sz w:val="28"/>
                <w:szCs w:val="28"/>
              </w:rPr>
            </w:pPr>
            <w:r>
              <w:rPr>
                <w:rFonts w:hint="eastAsia" w:ascii="仿宋_GB2312" w:hAnsi="仿宋" w:eastAsia="仿宋_GB2312" w:cs="仿宋"/>
                <w:spacing w:val="-1"/>
                <w:w w:val="95"/>
                <w:sz w:val="28"/>
                <w:szCs w:val="28"/>
              </w:rPr>
              <w:t>包装材料不适合所用的灭菌方式，灭菌后包装材料完整性被破坏</w:t>
            </w:r>
          </w:p>
        </w:tc>
        <w:tc>
          <w:tcPr>
            <w:tcW w:w="2410" w:type="dxa"/>
            <w:tcBorders>
              <w:top w:val="single" w:color="000000" w:sz="4" w:space="0"/>
              <w:left w:val="single" w:color="000000" w:sz="4" w:space="0"/>
              <w:bottom w:val="single" w:color="000000" w:sz="4" w:space="0"/>
              <w:right w:val="single" w:color="000000" w:sz="4" w:space="0"/>
            </w:tcBorders>
          </w:tcPr>
          <w:p w14:paraId="60482C5C">
            <w:pPr>
              <w:spacing w:line="520" w:lineRule="exact"/>
              <w:ind w:firstLine="200"/>
              <w:rPr>
                <w:rFonts w:ascii="仿宋_GB2312" w:eastAsia="仿宋_GB2312"/>
              </w:rPr>
            </w:pPr>
            <w:r>
              <w:rPr>
                <w:rFonts w:hint="eastAsia" w:ascii="仿宋_GB2312" w:eastAsia="仿宋_GB2312"/>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45AAF50F">
            <w:pPr>
              <w:pStyle w:val="26"/>
              <w:kinsoku w:val="0"/>
              <w:spacing w:line="520" w:lineRule="exact"/>
              <w:ind w:firstLine="200"/>
              <w:jc w:val="both"/>
              <w:rPr>
                <w:rFonts w:ascii="仿宋_GB2312" w:hAnsi="仿宋" w:eastAsia="仿宋_GB2312" w:cs="仿宋"/>
                <w:spacing w:val="5"/>
                <w:w w:val="95"/>
                <w:sz w:val="28"/>
                <w:szCs w:val="28"/>
              </w:rPr>
            </w:pPr>
            <w:r>
              <w:rPr>
                <w:rFonts w:hint="eastAsia" w:ascii="仿宋_GB2312" w:hAnsi="仿宋" w:eastAsia="仿宋_GB2312" w:cs="仿宋"/>
                <w:spacing w:val="5"/>
                <w:w w:val="95"/>
                <w:sz w:val="28"/>
                <w:szCs w:val="28"/>
              </w:rPr>
              <w:t>患者被感染，严重时导</w:t>
            </w:r>
            <w:r>
              <w:rPr>
                <w:rFonts w:hint="eastAsia" w:ascii="仿宋_GB2312" w:hAnsi="仿宋" w:eastAsia="仿宋_GB2312" w:cs="仿宋"/>
                <w:sz w:val="28"/>
                <w:szCs w:val="28"/>
              </w:rPr>
              <w:t>致发热、休克</w:t>
            </w:r>
          </w:p>
        </w:tc>
      </w:tr>
      <w:tr w14:paraId="7A13E293">
        <w:tblPrEx>
          <w:tblCellMar>
            <w:top w:w="0" w:type="dxa"/>
            <w:left w:w="0" w:type="dxa"/>
            <w:bottom w:w="0" w:type="dxa"/>
            <w:right w:w="0" w:type="dxa"/>
          </w:tblCellMar>
        </w:tblPrEx>
        <w:trPr>
          <w:trHeight w:val="1846" w:hRule="exact"/>
          <w:jc w:val="center"/>
        </w:trPr>
        <w:tc>
          <w:tcPr>
            <w:tcW w:w="1565" w:type="dxa"/>
            <w:vMerge w:val="continue"/>
            <w:tcBorders>
              <w:left w:val="single" w:color="000000" w:sz="4" w:space="0"/>
              <w:right w:val="single" w:color="000000" w:sz="4" w:space="0"/>
            </w:tcBorders>
          </w:tcPr>
          <w:p w14:paraId="4985AEC8">
            <w:pPr>
              <w:pStyle w:val="26"/>
              <w:kinsoku w:val="0"/>
              <w:spacing w:line="520" w:lineRule="exact"/>
              <w:ind w:firstLine="200"/>
              <w:rPr>
                <w:rFonts w:ascii="仿宋_GB2312" w:hAnsi="仿宋" w:eastAsia="仿宋_GB2312"/>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706712D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1"/>
                <w:sz w:val="28"/>
                <w:szCs w:val="28"/>
              </w:rPr>
              <w:t>产</w:t>
            </w:r>
            <w:r>
              <w:rPr>
                <w:rFonts w:hint="eastAsia" w:ascii="仿宋_GB2312" w:hAnsi="仿宋" w:eastAsia="仿宋_GB2312" w:cs="仿宋"/>
                <w:spacing w:val="2"/>
                <w:sz w:val="28"/>
                <w:szCs w:val="28"/>
              </w:rPr>
              <w:t>品</w:t>
            </w:r>
            <w:r>
              <w:rPr>
                <w:rFonts w:hint="eastAsia" w:ascii="仿宋_GB2312" w:hAnsi="仿宋" w:eastAsia="仿宋_GB2312" w:cs="仿宋"/>
                <w:spacing w:val="-1"/>
                <w:sz w:val="28"/>
                <w:szCs w:val="28"/>
              </w:rPr>
              <w:t>未</w:t>
            </w:r>
            <w:r>
              <w:rPr>
                <w:rFonts w:hint="eastAsia" w:ascii="仿宋_GB2312" w:hAnsi="仿宋" w:eastAsia="仿宋_GB2312" w:cs="仿宋"/>
                <w:spacing w:val="2"/>
                <w:sz w:val="28"/>
                <w:szCs w:val="28"/>
              </w:rPr>
              <w:t>灭菌</w:t>
            </w:r>
            <w:r>
              <w:rPr>
                <w:rFonts w:hint="eastAsia" w:ascii="仿宋_GB2312" w:hAnsi="仿宋" w:eastAsia="仿宋_GB2312" w:cs="仿宋"/>
                <w:spacing w:val="-38"/>
                <w:sz w:val="28"/>
                <w:szCs w:val="28"/>
              </w:rPr>
              <w:t>，</w:t>
            </w:r>
            <w:r>
              <w:rPr>
                <w:rFonts w:hint="eastAsia" w:ascii="仿宋_GB2312" w:hAnsi="仿宋" w:eastAsia="仿宋_GB2312" w:cs="仿宋"/>
                <w:spacing w:val="-1"/>
                <w:sz w:val="28"/>
                <w:szCs w:val="28"/>
              </w:rPr>
              <w:t>或</w:t>
            </w:r>
            <w:r>
              <w:rPr>
                <w:rFonts w:hint="eastAsia" w:ascii="仿宋_GB2312" w:hAnsi="仿宋" w:eastAsia="仿宋_GB2312" w:cs="仿宋"/>
                <w:spacing w:val="2"/>
                <w:sz w:val="28"/>
                <w:szCs w:val="28"/>
              </w:rPr>
              <w:t>未</w:t>
            </w:r>
            <w:r>
              <w:rPr>
                <w:rFonts w:hint="eastAsia" w:ascii="仿宋_GB2312" w:hAnsi="仿宋" w:eastAsia="仿宋_GB2312" w:cs="仿宋"/>
                <w:spacing w:val="-1"/>
                <w:sz w:val="28"/>
                <w:szCs w:val="28"/>
              </w:rPr>
              <w:t>按</w:t>
            </w:r>
            <w:r>
              <w:rPr>
                <w:rFonts w:hint="eastAsia" w:ascii="仿宋_GB2312" w:hAnsi="仿宋" w:eastAsia="仿宋_GB2312" w:cs="仿宋"/>
                <w:spacing w:val="2"/>
                <w:sz w:val="28"/>
                <w:szCs w:val="28"/>
              </w:rPr>
              <w:t>已</w:t>
            </w:r>
            <w:r>
              <w:rPr>
                <w:rFonts w:hint="eastAsia" w:ascii="仿宋_GB2312" w:hAnsi="仿宋" w:eastAsia="仿宋_GB2312" w:cs="仿宋"/>
                <w:spacing w:val="-1"/>
                <w:sz w:val="28"/>
                <w:szCs w:val="28"/>
              </w:rPr>
              <w:t>确</w:t>
            </w:r>
            <w:r>
              <w:rPr>
                <w:rFonts w:hint="eastAsia" w:ascii="仿宋_GB2312" w:hAnsi="仿宋" w:eastAsia="仿宋_GB2312" w:cs="仿宋"/>
                <w:spacing w:val="2"/>
                <w:sz w:val="28"/>
                <w:szCs w:val="28"/>
              </w:rPr>
              <w:t>定</w:t>
            </w:r>
            <w:r>
              <w:rPr>
                <w:rFonts w:hint="eastAsia" w:ascii="仿宋_GB2312" w:hAnsi="仿宋" w:eastAsia="仿宋_GB2312" w:cs="仿宋"/>
                <w:spacing w:val="-1"/>
                <w:sz w:val="28"/>
                <w:szCs w:val="28"/>
              </w:rPr>
              <w:t>的</w:t>
            </w:r>
            <w:r>
              <w:rPr>
                <w:rFonts w:hint="eastAsia" w:ascii="仿宋_GB2312" w:hAnsi="仿宋" w:eastAsia="仿宋_GB2312" w:cs="仿宋"/>
                <w:spacing w:val="2"/>
                <w:sz w:val="28"/>
                <w:szCs w:val="28"/>
              </w:rPr>
              <w:t>工</w:t>
            </w:r>
            <w:r>
              <w:rPr>
                <w:rFonts w:hint="eastAsia" w:ascii="仿宋_GB2312" w:hAnsi="仿宋" w:eastAsia="仿宋_GB2312" w:cs="仿宋"/>
                <w:spacing w:val="-1"/>
                <w:sz w:val="28"/>
                <w:szCs w:val="28"/>
              </w:rPr>
              <w:t>艺</w:t>
            </w:r>
            <w:r>
              <w:rPr>
                <w:rFonts w:hint="eastAsia" w:ascii="仿宋_GB2312" w:hAnsi="仿宋" w:eastAsia="仿宋_GB2312" w:cs="仿宋"/>
                <w:spacing w:val="2"/>
                <w:sz w:val="28"/>
                <w:szCs w:val="28"/>
              </w:rPr>
              <w:t>实</w:t>
            </w:r>
            <w:r>
              <w:rPr>
                <w:rFonts w:hint="eastAsia" w:ascii="仿宋_GB2312" w:hAnsi="仿宋" w:eastAsia="仿宋_GB2312" w:cs="仿宋"/>
                <w:sz w:val="28"/>
                <w:szCs w:val="28"/>
              </w:rPr>
              <w:t>施</w:t>
            </w:r>
            <w:r>
              <w:rPr>
                <w:rFonts w:hint="eastAsia" w:ascii="仿宋_GB2312" w:hAnsi="仿宋" w:eastAsia="仿宋_GB2312" w:cs="仿宋"/>
                <w:spacing w:val="-1"/>
                <w:w w:val="95"/>
                <w:sz w:val="28"/>
                <w:szCs w:val="28"/>
              </w:rPr>
              <w:t>灭</w:t>
            </w:r>
            <w:r>
              <w:rPr>
                <w:rFonts w:hint="eastAsia" w:ascii="仿宋_GB2312" w:hAnsi="仿宋" w:eastAsia="仿宋_GB2312" w:cs="仿宋"/>
                <w:spacing w:val="1"/>
                <w:w w:val="95"/>
                <w:sz w:val="28"/>
                <w:szCs w:val="28"/>
              </w:rPr>
              <w:t>菌</w:t>
            </w:r>
            <w:r>
              <w:rPr>
                <w:rFonts w:hint="eastAsia" w:ascii="仿宋_GB2312" w:hAnsi="仿宋" w:eastAsia="仿宋_GB2312" w:cs="仿宋"/>
                <w:spacing w:val="-68"/>
                <w:w w:val="95"/>
                <w:sz w:val="28"/>
                <w:szCs w:val="28"/>
              </w:rPr>
              <w:t>，</w:t>
            </w:r>
            <w:r>
              <w:rPr>
                <w:rFonts w:hint="eastAsia" w:ascii="仿宋_GB2312" w:hAnsi="仿宋" w:eastAsia="仿宋_GB2312" w:cs="仿宋"/>
                <w:spacing w:val="-1"/>
                <w:w w:val="95"/>
                <w:sz w:val="28"/>
                <w:szCs w:val="28"/>
              </w:rPr>
              <w:t>导致产品无菌性能不合格</w:t>
            </w:r>
          </w:p>
        </w:tc>
        <w:tc>
          <w:tcPr>
            <w:tcW w:w="2410" w:type="dxa"/>
            <w:tcBorders>
              <w:top w:val="single" w:color="000000" w:sz="4" w:space="0"/>
              <w:left w:val="single" w:color="000000" w:sz="4" w:space="0"/>
              <w:bottom w:val="single" w:color="000000" w:sz="4" w:space="0"/>
              <w:right w:val="single" w:color="000000" w:sz="4" w:space="0"/>
            </w:tcBorders>
          </w:tcPr>
          <w:p w14:paraId="6DD9600D">
            <w:pPr>
              <w:pStyle w:val="26"/>
              <w:kinsoku w:val="0"/>
              <w:spacing w:line="520" w:lineRule="exact"/>
              <w:ind w:firstLine="200"/>
              <w:jc w:val="both"/>
              <w:rPr>
                <w:rFonts w:ascii="仿宋_GB2312" w:hAnsi="仿宋" w:eastAsia="仿宋_GB2312"/>
                <w:sz w:val="28"/>
                <w:szCs w:val="28"/>
              </w:rPr>
            </w:pPr>
            <w:r>
              <w:rPr>
                <w:rFonts w:hint="eastAsia" w:ascii="仿宋_GB2312" w:eastAsia="仿宋_GB2312"/>
                <w:sz w:val="28"/>
                <w:szCs w:val="28"/>
              </w:rPr>
              <w:t>受微生物污染的器械应用于人体</w:t>
            </w:r>
          </w:p>
        </w:tc>
        <w:tc>
          <w:tcPr>
            <w:tcW w:w="2835" w:type="dxa"/>
            <w:tcBorders>
              <w:top w:val="single" w:color="000000" w:sz="4" w:space="0"/>
              <w:left w:val="single" w:color="000000" w:sz="4" w:space="0"/>
              <w:bottom w:val="single" w:color="000000" w:sz="4" w:space="0"/>
              <w:right w:val="single" w:color="000000" w:sz="4" w:space="0"/>
            </w:tcBorders>
          </w:tcPr>
          <w:p w14:paraId="19CC4DAA">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5"/>
                <w:w w:val="95"/>
                <w:sz w:val="28"/>
                <w:szCs w:val="28"/>
              </w:rPr>
              <w:t>患者被感染，严重时导</w:t>
            </w:r>
            <w:r>
              <w:rPr>
                <w:rFonts w:hint="eastAsia" w:ascii="仿宋_GB2312" w:hAnsi="仿宋" w:eastAsia="仿宋_GB2312" w:cs="仿宋"/>
                <w:sz w:val="28"/>
                <w:szCs w:val="28"/>
              </w:rPr>
              <w:t>致发热、休克</w:t>
            </w:r>
          </w:p>
        </w:tc>
      </w:tr>
      <w:tr w14:paraId="23CEC29E">
        <w:tblPrEx>
          <w:tblCellMar>
            <w:top w:w="0" w:type="dxa"/>
            <w:left w:w="0" w:type="dxa"/>
            <w:bottom w:w="0" w:type="dxa"/>
            <w:right w:w="0" w:type="dxa"/>
          </w:tblCellMar>
        </w:tblPrEx>
        <w:trPr>
          <w:trHeight w:val="2419" w:hRule="exact"/>
          <w:jc w:val="center"/>
        </w:trPr>
        <w:tc>
          <w:tcPr>
            <w:tcW w:w="1565" w:type="dxa"/>
            <w:vMerge w:val="continue"/>
            <w:tcBorders>
              <w:left w:val="single" w:color="000000" w:sz="4" w:space="0"/>
              <w:right w:val="single" w:color="000000" w:sz="4" w:space="0"/>
            </w:tcBorders>
          </w:tcPr>
          <w:p w14:paraId="7011A9C9">
            <w:pPr>
              <w:pStyle w:val="26"/>
              <w:kinsoku w:val="0"/>
              <w:spacing w:line="520" w:lineRule="exact"/>
              <w:ind w:firstLine="200"/>
              <w:rPr>
                <w:rFonts w:ascii="仿宋_GB2312" w:hAnsi="仿宋" w:eastAsia="仿宋_GB2312"/>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69E18967">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pacing w:val="-1"/>
                <w:w w:val="95"/>
                <w:sz w:val="28"/>
                <w:szCs w:val="28"/>
              </w:rPr>
              <w:t>对</w:t>
            </w:r>
            <w:r>
              <w:rPr>
                <w:rFonts w:hint="eastAsia" w:ascii="仿宋_GB2312" w:hAnsi="仿宋" w:eastAsia="仿宋_GB2312" w:cs="仿宋"/>
                <w:spacing w:val="1"/>
                <w:w w:val="95"/>
                <w:sz w:val="28"/>
                <w:szCs w:val="28"/>
              </w:rPr>
              <w:t>环</w:t>
            </w:r>
            <w:r>
              <w:rPr>
                <w:rFonts w:hint="eastAsia" w:ascii="仿宋_GB2312" w:hAnsi="仿宋" w:eastAsia="仿宋_GB2312" w:cs="仿宋"/>
                <w:spacing w:val="-1"/>
                <w:w w:val="95"/>
                <w:sz w:val="28"/>
                <w:szCs w:val="28"/>
              </w:rPr>
              <w:t>氧</w:t>
            </w:r>
            <w:r>
              <w:rPr>
                <w:rFonts w:hint="eastAsia" w:ascii="仿宋_GB2312" w:hAnsi="仿宋" w:eastAsia="仿宋_GB2312" w:cs="仿宋"/>
                <w:spacing w:val="1"/>
                <w:w w:val="95"/>
                <w:sz w:val="28"/>
                <w:szCs w:val="28"/>
              </w:rPr>
              <w:t>乙</w:t>
            </w:r>
            <w:r>
              <w:rPr>
                <w:rFonts w:hint="eastAsia" w:ascii="仿宋_GB2312" w:hAnsi="仿宋" w:eastAsia="仿宋_GB2312" w:cs="仿宋"/>
                <w:spacing w:val="-1"/>
                <w:w w:val="95"/>
                <w:sz w:val="28"/>
                <w:szCs w:val="28"/>
              </w:rPr>
              <w:t>烷</w:t>
            </w:r>
            <w:r>
              <w:rPr>
                <w:rFonts w:hint="eastAsia" w:ascii="仿宋_GB2312" w:hAnsi="仿宋" w:eastAsia="仿宋_GB2312" w:cs="仿宋"/>
                <w:w w:val="95"/>
                <w:sz w:val="28"/>
                <w:szCs w:val="28"/>
              </w:rPr>
              <w:t>残</w:t>
            </w:r>
            <w:r>
              <w:rPr>
                <w:rFonts w:hint="eastAsia" w:ascii="仿宋_GB2312" w:hAnsi="仿宋" w:eastAsia="仿宋_GB2312" w:cs="仿宋"/>
                <w:spacing w:val="-1"/>
                <w:w w:val="95"/>
                <w:sz w:val="28"/>
                <w:szCs w:val="28"/>
              </w:rPr>
              <w:t>留</w:t>
            </w:r>
            <w:r>
              <w:rPr>
                <w:rFonts w:hint="eastAsia" w:ascii="仿宋_GB2312" w:hAnsi="仿宋" w:eastAsia="仿宋_GB2312" w:cs="仿宋"/>
                <w:spacing w:val="1"/>
                <w:w w:val="95"/>
                <w:sz w:val="28"/>
                <w:szCs w:val="28"/>
              </w:rPr>
              <w:t>量</w:t>
            </w:r>
            <w:r>
              <w:rPr>
                <w:rFonts w:hint="eastAsia" w:ascii="仿宋_GB2312" w:hAnsi="仿宋" w:eastAsia="仿宋_GB2312" w:cs="仿宋"/>
                <w:spacing w:val="-1"/>
                <w:w w:val="95"/>
                <w:sz w:val="28"/>
                <w:szCs w:val="28"/>
              </w:rPr>
              <w:t>的</w:t>
            </w:r>
            <w:r>
              <w:rPr>
                <w:rFonts w:hint="eastAsia" w:ascii="仿宋_GB2312" w:hAnsi="仿宋" w:eastAsia="仿宋_GB2312" w:cs="仿宋"/>
                <w:spacing w:val="1"/>
                <w:w w:val="95"/>
                <w:sz w:val="28"/>
                <w:szCs w:val="28"/>
              </w:rPr>
              <w:t>控</w:t>
            </w:r>
            <w:r>
              <w:rPr>
                <w:rFonts w:hint="eastAsia" w:ascii="仿宋_GB2312" w:hAnsi="仿宋" w:eastAsia="仿宋_GB2312" w:cs="仿宋"/>
                <w:spacing w:val="-1"/>
                <w:w w:val="95"/>
                <w:sz w:val="28"/>
                <w:szCs w:val="28"/>
              </w:rPr>
              <w:t>制</w:t>
            </w:r>
            <w:r>
              <w:rPr>
                <w:rFonts w:hint="eastAsia" w:ascii="仿宋_GB2312" w:hAnsi="仿宋" w:eastAsia="仿宋_GB2312" w:cs="仿宋"/>
                <w:spacing w:val="1"/>
                <w:w w:val="95"/>
                <w:sz w:val="28"/>
                <w:szCs w:val="28"/>
              </w:rPr>
              <w:t>未</w:t>
            </w:r>
            <w:r>
              <w:rPr>
                <w:rFonts w:hint="eastAsia" w:ascii="仿宋_GB2312" w:hAnsi="仿宋" w:eastAsia="仿宋_GB2312" w:cs="仿宋"/>
                <w:spacing w:val="-1"/>
                <w:w w:val="95"/>
                <w:sz w:val="28"/>
                <w:szCs w:val="28"/>
              </w:rPr>
              <w:t>确</w:t>
            </w:r>
            <w:r>
              <w:rPr>
                <w:rFonts w:hint="eastAsia" w:ascii="仿宋_GB2312" w:hAnsi="仿宋" w:eastAsia="仿宋_GB2312" w:cs="仿宋"/>
                <w:spacing w:val="1"/>
                <w:w w:val="95"/>
                <w:sz w:val="28"/>
                <w:szCs w:val="28"/>
              </w:rPr>
              <w:t>认</w:t>
            </w:r>
            <w:r>
              <w:rPr>
                <w:rFonts w:hint="eastAsia" w:ascii="仿宋_GB2312" w:hAnsi="仿宋" w:eastAsia="仿宋_GB2312" w:cs="仿宋"/>
                <w:spacing w:val="-33"/>
                <w:w w:val="95"/>
                <w:sz w:val="28"/>
                <w:szCs w:val="28"/>
              </w:rPr>
              <w:t>，</w:t>
            </w:r>
            <w:r>
              <w:rPr>
                <w:rFonts w:hint="eastAsia" w:ascii="仿宋_GB2312" w:hAnsi="仿宋" w:eastAsia="仿宋_GB2312" w:cs="仿宋"/>
                <w:spacing w:val="-1"/>
                <w:w w:val="95"/>
                <w:sz w:val="28"/>
                <w:szCs w:val="28"/>
              </w:rPr>
              <w:t>或</w:t>
            </w:r>
            <w:r>
              <w:rPr>
                <w:rFonts w:hint="eastAsia" w:ascii="仿宋_GB2312" w:hAnsi="仿宋" w:eastAsia="仿宋_GB2312" w:cs="仿宋"/>
                <w:spacing w:val="1"/>
                <w:w w:val="95"/>
                <w:sz w:val="28"/>
                <w:szCs w:val="28"/>
              </w:rPr>
              <w:t>未</w:t>
            </w:r>
            <w:r>
              <w:rPr>
                <w:rFonts w:hint="eastAsia" w:ascii="仿宋_GB2312" w:hAnsi="仿宋" w:eastAsia="仿宋_GB2312" w:cs="仿宋"/>
                <w:spacing w:val="-1"/>
                <w:w w:val="95"/>
                <w:sz w:val="28"/>
                <w:szCs w:val="28"/>
              </w:rPr>
              <w:t>能</w:t>
            </w:r>
            <w:r>
              <w:rPr>
                <w:rFonts w:hint="eastAsia" w:ascii="仿宋_GB2312" w:hAnsi="仿宋" w:eastAsia="仿宋_GB2312" w:cs="仿宋"/>
                <w:spacing w:val="1"/>
                <w:w w:val="95"/>
                <w:sz w:val="28"/>
                <w:szCs w:val="28"/>
              </w:rPr>
              <w:t>按</w:t>
            </w:r>
            <w:r>
              <w:rPr>
                <w:rFonts w:hint="eastAsia" w:ascii="仿宋_GB2312" w:hAnsi="仿宋" w:eastAsia="仿宋_GB2312" w:cs="仿宋"/>
                <w:spacing w:val="-1"/>
                <w:w w:val="95"/>
                <w:sz w:val="28"/>
                <w:szCs w:val="28"/>
              </w:rPr>
              <w:t>确</w:t>
            </w:r>
            <w:r>
              <w:rPr>
                <w:rFonts w:hint="eastAsia" w:ascii="仿宋_GB2312" w:hAnsi="仿宋" w:eastAsia="仿宋_GB2312" w:cs="仿宋"/>
                <w:spacing w:val="1"/>
                <w:w w:val="95"/>
                <w:sz w:val="28"/>
                <w:szCs w:val="28"/>
              </w:rPr>
              <w:t>认</w:t>
            </w:r>
            <w:r>
              <w:rPr>
                <w:rFonts w:hint="eastAsia" w:ascii="仿宋_GB2312" w:hAnsi="仿宋" w:eastAsia="仿宋_GB2312" w:cs="仿宋"/>
                <w:spacing w:val="-1"/>
                <w:w w:val="95"/>
                <w:sz w:val="28"/>
                <w:szCs w:val="28"/>
              </w:rPr>
              <w:t>的</w:t>
            </w:r>
            <w:r>
              <w:rPr>
                <w:rFonts w:hint="eastAsia" w:ascii="仿宋_GB2312" w:hAnsi="仿宋" w:eastAsia="仿宋_GB2312" w:cs="仿宋"/>
                <w:w w:val="95"/>
                <w:sz w:val="28"/>
                <w:szCs w:val="28"/>
              </w:rPr>
              <w:t>结</w:t>
            </w:r>
            <w:r>
              <w:rPr>
                <w:rFonts w:hint="eastAsia" w:ascii="仿宋_GB2312" w:hAnsi="仿宋" w:eastAsia="仿宋_GB2312" w:cs="仿宋"/>
                <w:spacing w:val="-2"/>
                <w:w w:val="95"/>
                <w:sz w:val="28"/>
                <w:szCs w:val="28"/>
              </w:rPr>
              <w:t>果实施控制，解析不充分，致使环氧乙</w:t>
            </w:r>
            <w:r>
              <w:rPr>
                <w:rFonts w:hint="eastAsia" w:ascii="仿宋_GB2312" w:hAnsi="仿宋" w:eastAsia="仿宋_GB2312" w:cs="仿宋"/>
                <w:sz w:val="28"/>
                <w:szCs w:val="28"/>
              </w:rPr>
              <w:t>烷残留量超标</w:t>
            </w:r>
          </w:p>
        </w:tc>
        <w:tc>
          <w:tcPr>
            <w:tcW w:w="2410" w:type="dxa"/>
            <w:tcBorders>
              <w:top w:val="single" w:color="000000" w:sz="4" w:space="0"/>
              <w:left w:val="single" w:color="000000" w:sz="4" w:space="0"/>
              <w:bottom w:val="single" w:color="000000" w:sz="4" w:space="0"/>
              <w:right w:val="single" w:color="000000" w:sz="4" w:space="0"/>
            </w:tcBorders>
          </w:tcPr>
          <w:p w14:paraId="48DB97C5">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z w:val="28"/>
                <w:szCs w:val="28"/>
              </w:rPr>
              <w:t>超限量的环氧乙烷输入人体</w:t>
            </w:r>
          </w:p>
        </w:tc>
        <w:tc>
          <w:tcPr>
            <w:tcW w:w="2835" w:type="dxa"/>
            <w:tcBorders>
              <w:top w:val="single" w:color="000000" w:sz="4" w:space="0"/>
              <w:left w:val="single" w:color="000000" w:sz="4" w:space="0"/>
              <w:bottom w:val="single" w:color="000000" w:sz="4" w:space="0"/>
              <w:right w:val="single" w:color="000000" w:sz="4" w:space="0"/>
            </w:tcBorders>
          </w:tcPr>
          <w:p w14:paraId="48A6AD73">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z w:val="28"/>
                <w:szCs w:val="28"/>
              </w:rPr>
              <w:t>产生毒性或刺激</w:t>
            </w:r>
          </w:p>
        </w:tc>
      </w:tr>
      <w:tr w14:paraId="7268268F">
        <w:tblPrEx>
          <w:tblCellMar>
            <w:top w:w="0" w:type="dxa"/>
            <w:left w:w="0" w:type="dxa"/>
            <w:bottom w:w="0" w:type="dxa"/>
            <w:right w:w="0" w:type="dxa"/>
          </w:tblCellMar>
        </w:tblPrEx>
        <w:trPr>
          <w:trHeight w:val="1405" w:hRule="exact"/>
          <w:jc w:val="center"/>
        </w:trPr>
        <w:tc>
          <w:tcPr>
            <w:tcW w:w="1565" w:type="dxa"/>
            <w:vMerge w:val="continue"/>
            <w:tcBorders>
              <w:left w:val="single" w:color="000000" w:sz="4" w:space="0"/>
              <w:right w:val="single" w:color="000000" w:sz="4" w:space="0"/>
            </w:tcBorders>
          </w:tcPr>
          <w:p w14:paraId="0C60B160">
            <w:pPr>
              <w:pStyle w:val="26"/>
              <w:kinsoku w:val="0"/>
              <w:spacing w:line="520" w:lineRule="exact"/>
              <w:ind w:firstLine="200"/>
              <w:rPr>
                <w:rFonts w:ascii="仿宋_GB2312" w:hAnsi="仿宋" w:eastAsia="仿宋_GB2312"/>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29B722E3">
            <w:pPr>
              <w:pStyle w:val="26"/>
              <w:kinsoku w:val="0"/>
              <w:spacing w:line="520" w:lineRule="exact"/>
              <w:ind w:firstLine="200"/>
              <w:jc w:val="both"/>
              <w:rPr>
                <w:rFonts w:ascii="仿宋_GB2312" w:hAnsi="仿宋" w:eastAsia="仿宋_GB2312" w:cs="仿宋"/>
                <w:spacing w:val="-2"/>
                <w:w w:val="95"/>
                <w:sz w:val="28"/>
                <w:szCs w:val="28"/>
              </w:rPr>
            </w:pPr>
            <w:r>
              <w:rPr>
                <w:rFonts w:hint="eastAsia" w:ascii="仿宋_GB2312" w:hAnsi="仿宋" w:eastAsia="仿宋_GB2312" w:cs="仿宋"/>
                <w:spacing w:val="-2"/>
                <w:w w:val="95"/>
                <w:sz w:val="28"/>
                <w:szCs w:val="28"/>
              </w:rPr>
              <w:t>未按照工艺要求配料，添加剂或助剂使用比例不正确</w:t>
            </w:r>
          </w:p>
        </w:tc>
        <w:tc>
          <w:tcPr>
            <w:tcW w:w="2410" w:type="dxa"/>
            <w:tcBorders>
              <w:top w:val="single" w:color="000000" w:sz="4" w:space="0"/>
              <w:left w:val="single" w:color="000000" w:sz="4" w:space="0"/>
              <w:bottom w:val="single" w:color="000000" w:sz="4" w:space="0"/>
              <w:right w:val="single" w:color="000000" w:sz="4" w:space="0"/>
            </w:tcBorders>
          </w:tcPr>
          <w:p w14:paraId="29EDDFF7">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化学残留物超标的产品使用于人体</w:t>
            </w:r>
          </w:p>
        </w:tc>
        <w:tc>
          <w:tcPr>
            <w:tcW w:w="2835" w:type="dxa"/>
            <w:tcBorders>
              <w:top w:val="single" w:color="000000" w:sz="4" w:space="0"/>
              <w:left w:val="single" w:color="000000" w:sz="4" w:space="0"/>
              <w:bottom w:val="single" w:color="000000" w:sz="4" w:space="0"/>
              <w:right w:val="single" w:color="000000" w:sz="4" w:space="0"/>
            </w:tcBorders>
          </w:tcPr>
          <w:p w14:paraId="177009DD">
            <w:pPr>
              <w:spacing w:line="520" w:lineRule="exact"/>
              <w:ind w:firstLine="200"/>
              <w:rPr>
                <w:rFonts w:ascii="仿宋_GB2312" w:hAnsi="仿宋" w:eastAsia="仿宋_GB2312"/>
                <w:kern w:val="0"/>
                <w:sz w:val="28"/>
                <w:szCs w:val="28"/>
              </w:rPr>
            </w:pPr>
            <w:r>
              <w:rPr>
                <w:rFonts w:hint="eastAsia" w:ascii="仿宋_GB2312" w:hAnsi="仿宋" w:eastAsia="仿宋_GB2312"/>
                <w:kern w:val="0"/>
                <w:sz w:val="28"/>
                <w:szCs w:val="28"/>
              </w:rPr>
              <w:t>产生毒性或刺激</w:t>
            </w:r>
          </w:p>
        </w:tc>
      </w:tr>
      <w:tr w14:paraId="2AB50189">
        <w:tblPrEx>
          <w:tblCellMar>
            <w:top w:w="0" w:type="dxa"/>
            <w:left w:w="0" w:type="dxa"/>
            <w:bottom w:w="0" w:type="dxa"/>
            <w:right w:w="0" w:type="dxa"/>
          </w:tblCellMar>
        </w:tblPrEx>
        <w:trPr>
          <w:trHeight w:val="1612" w:hRule="exact"/>
          <w:jc w:val="center"/>
        </w:trPr>
        <w:tc>
          <w:tcPr>
            <w:tcW w:w="1565" w:type="dxa"/>
            <w:vMerge w:val="continue"/>
            <w:tcBorders>
              <w:left w:val="single" w:color="000000" w:sz="4" w:space="0"/>
              <w:right w:val="single" w:color="000000" w:sz="4" w:space="0"/>
            </w:tcBorders>
          </w:tcPr>
          <w:p w14:paraId="639AA2D7">
            <w:pPr>
              <w:pStyle w:val="26"/>
              <w:kinsoku w:val="0"/>
              <w:spacing w:line="520" w:lineRule="exact"/>
              <w:ind w:firstLine="200"/>
              <w:rPr>
                <w:rFonts w:ascii="仿宋_GB2312" w:hAnsi="仿宋" w:eastAsia="仿宋_GB2312"/>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0F8E3C97">
            <w:pPr>
              <w:pStyle w:val="26"/>
              <w:kinsoku w:val="0"/>
              <w:spacing w:line="520" w:lineRule="exact"/>
              <w:ind w:firstLine="200"/>
              <w:jc w:val="both"/>
              <w:rPr>
                <w:rFonts w:ascii="仿宋_GB2312" w:hAnsi="仿宋" w:eastAsia="仿宋_GB2312" w:cs="仿宋"/>
                <w:spacing w:val="-2"/>
                <w:w w:val="95"/>
                <w:sz w:val="28"/>
                <w:szCs w:val="28"/>
              </w:rPr>
            </w:pPr>
            <w:r>
              <w:rPr>
                <w:rFonts w:hint="eastAsia" w:ascii="仿宋_GB2312" w:hAnsi="仿宋" w:eastAsia="仿宋_GB2312" w:cs="仿宋"/>
                <w:spacing w:val="-2"/>
                <w:w w:val="95"/>
                <w:sz w:val="28"/>
                <w:szCs w:val="28"/>
              </w:rPr>
              <w:t>产品及包装材料中有害物质析出</w:t>
            </w:r>
          </w:p>
        </w:tc>
        <w:tc>
          <w:tcPr>
            <w:tcW w:w="2410" w:type="dxa"/>
            <w:tcBorders>
              <w:top w:val="single" w:color="000000" w:sz="4" w:space="0"/>
              <w:left w:val="single" w:color="000000" w:sz="4" w:space="0"/>
              <w:bottom w:val="single" w:color="000000" w:sz="4" w:space="0"/>
              <w:right w:val="single" w:color="000000" w:sz="4" w:space="0"/>
            </w:tcBorders>
          </w:tcPr>
          <w:p w14:paraId="0541F365">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含有有害化学物质的产品使用于人体</w:t>
            </w:r>
          </w:p>
        </w:tc>
        <w:tc>
          <w:tcPr>
            <w:tcW w:w="2835" w:type="dxa"/>
            <w:tcBorders>
              <w:top w:val="single" w:color="000000" w:sz="4" w:space="0"/>
              <w:left w:val="single" w:color="000000" w:sz="4" w:space="0"/>
              <w:bottom w:val="single" w:color="000000" w:sz="4" w:space="0"/>
              <w:right w:val="single" w:color="000000" w:sz="4" w:space="0"/>
            </w:tcBorders>
          </w:tcPr>
          <w:p w14:paraId="0D13CAF8">
            <w:pPr>
              <w:spacing w:line="520" w:lineRule="exact"/>
              <w:ind w:firstLine="200"/>
              <w:rPr>
                <w:rFonts w:ascii="仿宋_GB2312" w:hAnsi="仿宋" w:eastAsia="仿宋_GB2312"/>
                <w:kern w:val="0"/>
                <w:sz w:val="28"/>
                <w:szCs w:val="28"/>
              </w:rPr>
            </w:pPr>
            <w:r>
              <w:rPr>
                <w:rFonts w:hint="eastAsia" w:ascii="仿宋_GB2312" w:hAnsi="仿宋" w:eastAsia="仿宋_GB2312"/>
                <w:kern w:val="0"/>
                <w:sz w:val="28"/>
                <w:szCs w:val="28"/>
              </w:rPr>
              <w:t>产生毒性或刺激</w:t>
            </w:r>
          </w:p>
        </w:tc>
      </w:tr>
      <w:tr w14:paraId="3DBC6A54">
        <w:tblPrEx>
          <w:tblCellMar>
            <w:top w:w="0" w:type="dxa"/>
            <w:left w:w="0" w:type="dxa"/>
            <w:bottom w:w="0" w:type="dxa"/>
            <w:right w:w="0" w:type="dxa"/>
          </w:tblCellMar>
        </w:tblPrEx>
        <w:trPr>
          <w:trHeight w:val="1859" w:hRule="exact"/>
          <w:jc w:val="center"/>
        </w:trPr>
        <w:tc>
          <w:tcPr>
            <w:tcW w:w="1565" w:type="dxa"/>
            <w:vMerge w:val="continue"/>
            <w:tcBorders>
              <w:left w:val="single" w:color="000000" w:sz="4" w:space="0"/>
              <w:right w:val="single" w:color="000000" w:sz="4" w:space="0"/>
            </w:tcBorders>
          </w:tcPr>
          <w:p w14:paraId="6474DE75">
            <w:pPr>
              <w:pStyle w:val="26"/>
              <w:kinsoku w:val="0"/>
              <w:spacing w:line="520" w:lineRule="exact"/>
              <w:ind w:firstLine="200"/>
              <w:rPr>
                <w:rFonts w:ascii="仿宋_GB2312" w:hAnsi="仿宋" w:eastAsia="仿宋_GB2312"/>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4D132655">
            <w:pPr>
              <w:pStyle w:val="26"/>
              <w:kinsoku w:val="0"/>
              <w:spacing w:line="520" w:lineRule="exact"/>
              <w:ind w:firstLine="200"/>
              <w:jc w:val="both"/>
              <w:rPr>
                <w:rFonts w:ascii="仿宋_GB2312" w:hAnsi="仿宋" w:eastAsia="仿宋_GB2312" w:cs="仿宋"/>
                <w:sz w:val="28"/>
                <w:szCs w:val="28"/>
              </w:rPr>
            </w:pPr>
            <w:r>
              <w:rPr>
                <w:rFonts w:hint="eastAsia" w:ascii="仿宋_GB2312" w:hAnsi="仿宋" w:eastAsia="仿宋_GB2312" w:cs="仿宋"/>
                <w:spacing w:val="-1"/>
                <w:w w:val="95"/>
                <w:sz w:val="28"/>
                <w:szCs w:val="28"/>
              </w:rPr>
              <w:t>在</w:t>
            </w:r>
            <w:r>
              <w:rPr>
                <w:rFonts w:hint="eastAsia" w:ascii="仿宋_GB2312" w:hAnsi="仿宋" w:eastAsia="仿宋_GB2312" w:cs="仿宋"/>
                <w:spacing w:val="1"/>
                <w:w w:val="95"/>
                <w:sz w:val="28"/>
                <w:szCs w:val="28"/>
              </w:rPr>
              <w:t>标</w:t>
            </w:r>
            <w:r>
              <w:rPr>
                <w:rFonts w:hint="eastAsia" w:ascii="仿宋_GB2312" w:hAnsi="仿宋" w:eastAsia="仿宋_GB2312" w:cs="仿宋"/>
                <w:spacing w:val="-1"/>
                <w:w w:val="95"/>
                <w:sz w:val="28"/>
                <w:szCs w:val="28"/>
              </w:rPr>
              <w:t>签</w:t>
            </w:r>
            <w:r>
              <w:rPr>
                <w:rFonts w:hint="eastAsia" w:ascii="仿宋_GB2312" w:hAnsi="仿宋" w:eastAsia="仿宋_GB2312" w:cs="仿宋"/>
                <w:spacing w:val="1"/>
                <w:w w:val="95"/>
                <w:sz w:val="28"/>
                <w:szCs w:val="28"/>
              </w:rPr>
              <w:t>注</w:t>
            </w:r>
            <w:r>
              <w:rPr>
                <w:rFonts w:hint="eastAsia" w:ascii="仿宋_GB2312" w:hAnsi="仿宋" w:eastAsia="仿宋_GB2312" w:cs="仿宋"/>
                <w:spacing w:val="-1"/>
                <w:w w:val="95"/>
                <w:sz w:val="28"/>
                <w:szCs w:val="28"/>
              </w:rPr>
              <w:t>明</w:t>
            </w:r>
            <w:r>
              <w:rPr>
                <w:rFonts w:hint="eastAsia" w:ascii="仿宋_GB2312" w:hAnsi="仿宋" w:eastAsia="仿宋_GB2312" w:cs="仿宋"/>
                <w:spacing w:val="1"/>
                <w:w w:val="95"/>
                <w:sz w:val="28"/>
                <w:szCs w:val="28"/>
              </w:rPr>
              <w:t>的</w:t>
            </w:r>
            <w:r>
              <w:rPr>
                <w:rFonts w:hint="eastAsia" w:ascii="仿宋_GB2312" w:hAnsi="仿宋" w:eastAsia="仿宋_GB2312" w:cs="仿宋"/>
                <w:spacing w:val="-1"/>
                <w:w w:val="95"/>
                <w:sz w:val="28"/>
                <w:szCs w:val="28"/>
              </w:rPr>
              <w:t>有</w:t>
            </w:r>
            <w:r>
              <w:rPr>
                <w:rFonts w:hint="eastAsia" w:ascii="仿宋_GB2312" w:hAnsi="仿宋" w:eastAsia="仿宋_GB2312" w:cs="仿宋"/>
                <w:spacing w:val="1"/>
                <w:w w:val="95"/>
                <w:sz w:val="28"/>
                <w:szCs w:val="28"/>
              </w:rPr>
              <w:t>效期内，包装材料破损或包装材料老化已不</w:t>
            </w:r>
            <w:r>
              <w:rPr>
                <w:rFonts w:hint="eastAsia" w:ascii="仿宋_GB2312" w:hAnsi="仿宋" w:eastAsia="仿宋_GB2312" w:cs="仿宋"/>
                <w:sz w:val="28"/>
                <w:szCs w:val="28"/>
              </w:rPr>
              <w:t>能保持无菌</w:t>
            </w:r>
          </w:p>
        </w:tc>
        <w:tc>
          <w:tcPr>
            <w:tcW w:w="2410" w:type="dxa"/>
            <w:tcBorders>
              <w:top w:val="single" w:color="000000" w:sz="4" w:space="0"/>
              <w:left w:val="single" w:color="000000" w:sz="4" w:space="0"/>
              <w:bottom w:val="single" w:color="000000" w:sz="4" w:space="0"/>
              <w:right w:val="single" w:color="000000" w:sz="4" w:space="0"/>
            </w:tcBorders>
          </w:tcPr>
          <w:p w14:paraId="32569667">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患者使用带菌的产品或产品质量问题影响使用</w:t>
            </w:r>
          </w:p>
        </w:tc>
        <w:tc>
          <w:tcPr>
            <w:tcW w:w="2835" w:type="dxa"/>
            <w:tcBorders>
              <w:top w:val="single" w:color="000000" w:sz="4" w:space="0"/>
              <w:left w:val="single" w:color="000000" w:sz="4" w:space="0"/>
              <w:bottom w:val="single" w:color="000000" w:sz="4" w:space="0"/>
              <w:right w:val="single" w:color="000000" w:sz="4" w:space="0"/>
            </w:tcBorders>
          </w:tcPr>
          <w:p w14:paraId="49A0F64E">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患者被感染，严重时导致发热、休克</w:t>
            </w:r>
          </w:p>
        </w:tc>
      </w:tr>
      <w:tr w14:paraId="559322D1">
        <w:tblPrEx>
          <w:tblCellMar>
            <w:top w:w="0" w:type="dxa"/>
            <w:left w:w="0" w:type="dxa"/>
            <w:bottom w:w="0" w:type="dxa"/>
            <w:right w:w="0" w:type="dxa"/>
          </w:tblCellMar>
        </w:tblPrEx>
        <w:trPr>
          <w:trHeight w:val="2279" w:hRule="exact"/>
          <w:jc w:val="center"/>
        </w:trPr>
        <w:tc>
          <w:tcPr>
            <w:tcW w:w="1565" w:type="dxa"/>
            <w:vMerge w:val="restart"/>
            <w:tcBorders>
              <w:top w:val="single" w:color="000000" w:sz="4" w:space="0"/>
              <w:left w:val="single" w:color="000000" w:sz="4" w:space="0"/>
              <w:right w:val="single" w:color="000000" w:sz="4" w:space="0"/>
            </w:tcBorders>
            <w:vAlign w:val="center"/>
          </w:tcPr>
          <w:p w14:paraId="127190E3">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cs="仿宋"/>
                <w:sz w:val="28"/>
                <w:szCs w:val="28"/>
              </w:rPr>
              <w:t>操作危险（源）</w:t>
            </w:r>
          </w:p>
        </w:tc>
        <w:tc>
          <w:tcPr>
            <w:tcW w:w="3260" w:type="dxa"/>
            <w:tcBorders>
              <w:top w:val="single" w:color="000000" w:sz="4" w:space="0"/>
              <w:left w:val="single" w:color="000000" w:sz="4" w:space="0"/>
              <w:bottom w:val="single" w:color="000000" w:sz="4" w:space="0"/>
              <w:right w:val="single" w:color="000000" w:sz="4" w:space="0"/>
            </w:tcBorders>
          </w:tcPr>
          <w:p w14:paraId="05EED2E4">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导引鞘鞘管和鞘管座脱落；</w:t>
            </w:r>
          </w:p>
          <w:p w14:paraId="62B9130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扩张器导管和中心座脱落；</w:t>
            </w:r>
          </w:p>
          <w:p w14:paraId="04F98815">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扩张器和导引鞘配合不好，无法撤回</w:t>
            </w:r>
          </w:p>
        </w:tc>
        <w:tc>
          <w:tcPr>
            <w:tcW w:w="2410" w:type="dxa"/>
            <w:tcBorders>
              <w:top w:val="single" w:color="000000" w:sz="4" w:space="0"/>
              <w:left w:val="single" w:color="000000" w:sz="4" w:space="0"/>
              <w:bottom w:val="single" w:color="000000" w:sz="4" w:space="0"/>
              <w:right w:val="single" w:color="000000" w:sz="4" w:space="0"/>
            </w:tcBorders>
          </w:tcPr>
          <w:p w14:paraId="447A034F">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导引鞘和/或扩张器留入患者体内</w:t>
            </w:r>
          </w:p>
        </w:tc>
        <w:tc>
          <w:tcPr>
            <w:tcW w:w="2835" w:type="dxa"/>
            <w:tcBorders>
              <w:top w:val="single" w:color="000000" w:sz="4" w:space="0"/>
              <w:left w:val="single" w:color="000000" w:sz="4" w:space="0"/>
              <w:bottom w:val="single" w:color="000000" w:sz="4" w:space="0"/>
              <w:right w:val="single" w:color="000000" w:sz="4" w:space="0"/>
            </w:tcBorders>
          </w:tcPr>
          <w:p w14:paraId="48AC529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需要二次手术或借助其他工具取出体内留</w:t>
            </w:r>
          </w:p>
          <w:p w14:paraId="416305D8">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置物</w:t>
            </w:r>
          </w:p>
        </w:tc>
      </w:tr>
      <w:tr w14:paraId="51154933">
        <w:tblPrEx>
          <w:tblCellMar>
            <w:top w:w="0" w:type="dxa"/>
            <w:left w:w="0" w:type="dxa"/>
            <w:bottom w:w="0" w:type="dxa"/>
            <w:right w:w="0" w:type="dxa"/>
          </w:tblCellMar>
        </w:tblPrEx>
        <w:trPr>
          <w:trHeight w:val="1287" w:hRule="exact"/>
          <w:jc w:val="center"/>
        </w:trPr>
        <w:tc>
          <w:tcPr>
            <w:tcW w:w="1565" w:type="dxa"/>
            <w:vMerge w:val="continue"/>
            <w:tcBorders>
              <w:left w:val="single" w:color="000000" w:sz="4" w:space="0"/>
              <w:right w:val="single" w:color="000000" w:sz="4" w:space="0"/>
            </w:tcBorders>
            <w:vAlign w:val="center"/>
          </w:tcPr>
          <w:p w14:paraId="4C244122">
            <w:pPr>
              <w:pStyle w:val="26"/>
              <w:kinsoku w:val="0"/>
              <w:spacing w:line="520" w:lineRule="exact"/>
              <w:ind w:firstLine="200"/>
              <w:jc w:val="both"/>
              <w:rPr>
                <w:rFonts w:ascii="仿宋_GB2312" w:hAnsi="仿宋" w:eastAsia="仿宋_GB2312" w:cs="仿宋"/>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6F81A152">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由不熟练/未经培训的人员使用</w:t>
            </w:r>
          </w:p>
        </w:tc>
        <w:tc>
          <w:tcPr>
            <w:tcW w:w="2410" w:type="dxa"/>
            <w:tcBorders>
              <w:top w:val="single" w:color="000000" w:sz="4" w:space="0"/>
              <w:left w:val="single" w:color="000000" w:sz="4" w:space="0"/>
              <w:bottom w:val="single" w:color="000000" w:sz="4" w:space="0"/>
              <w:right w:val="single" w:color="000000" w:sz="4" w:space="0"/>
            </w:tcBorders>
          </w:tcPr>
          <w:p w14:paraId="4EF2295F">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操作不熟练、操作失误</w:t>
            </w:r>
          </w:p>
        </w:tc>
        <w:tc>
          <w:tcPr>
            <w:tcW w:w="2835" w:type="dxa"/>
            <w:tcBorders>
              <w:top w:val="single" w:color="000000" w:sz="4" w:space="0"/>
              <w:left w:val="single" w:color="000000" w:sz="4" w:space="0"/>
              <w:bottom w:val="single" w:color="000000" w:sz="4" w:space="0"/>
              <w:right w:val="single" w:color="000000" w:sz="4" w:space="0"/>
            </w:tcBorders>
          </w:tcPr>
          <w:p w14:paraId="006863CD">
            <w:pPr>
              <w:pStyle w:val="26"/>
              <w:kinsoku w:val="0"/>
              <w:spacing w:line="520" w:lineRule="exact"/>
              <w:ind w:firstLine="200"/>
              <w:rPr>
                <w:rFonts w:ascii="仿宋_GB2312" w:hAnsi="仿宋" w:eastAsia="仿宋_GB2312"/>
                <w:sz w:val="28"/>
                <w:szCs w:val="28"/>
              </w:rPr>
            </w:pPr>
            <w:r>
              <w:rPr>
                <w:rFonts w:hint="eastAsia" w:ascii="仿宋_GB2312" w:hAnsi="仿宋" w:eastAsia="仿宋_GB2312"/>
                <w:sz w:val="28"/>
                <w:szCs w:val="28"/>
              </w:rPr>
              <w:t>手术失败，造成输尿管损伤</w:t>
            </w:r>
          </w:p>
        </w:tc>
      </w:tr>
      <w:tr w14:paraId="4D8D9441">
        <w:tblPrEx>
          <w:tblCellMar>
            <w:top w:w="0" w:type="dxa"/>
            <w:left w:w="0" w:type="dxa"/>
            <w:bottom w:w="0" w:type="dxa"/>
            <w:right w:w="0" w:type="dxa"/>
          </w:tblCellMar>
        </w:tblPrEx>
        <w:trPr>
          <w:trHeight w:val="1229" w:hRule="exact"/>
          <w:jc w:val="center"/>
        </w:trPr>
        <w:tc>
          <w:tcPr>
            <w:tcW w:w="1565" w:type="dxa"/>
            <w:vMerge w:val="continue"/>
            <w:tcBorders>
              <w:left w:val="single" w:color="000000" w:sz="4" w:space="0"/>
              <w:right w:val="single" w:color="000000" w:sz="4" w:space="0"/>
            </w:tcBorders>
          </w:tcPr>
          <w:p w14:paraId="6CF6F72E">
            <w:pPr>
              <w:pStyle w:val="26"/>
              <w:kinsoku w:val="0"/>
              <w:spacing w:line="520" w:lineRule="exact"/>
              <w:ind w:firstLine="200"/>
              <w:rPr>
                <w:rFonts w:ascii="仿宋_GB2312" w:hAnsi="仿宋" w:eastAsia="仿宋_GB2312" w:cs="仿宋"/>
                <w:sz w:val="28"/>
                <w:szCs w:val="28"/>
              </w:rPr>
            </w:pPr>
          </w:p>
        </w:tc>
        <w:tc>
          <w:tcPr>
            <w:tcW w:w="3260" w:type="dxa"/>
            <w:tcBorders>
              <w:top w:val="single" w:color="000000" w:sz="4" w:space="0"/>
              <w:left w:val="single" w:color="000000" w:sz="4" w:space="0"/>
              <w:bottom w:val="single" w:color="auto" w:sz="4" w:space="0"/>
              <w:right w:val="single" w:color="000000" w:sz="4" w:space="0"/>
            </w:tcBorders>
          </w:tcPr>
          <w:p w14:paraId="77282803">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尺寸选择或产品使用不当</w:t>
            </w:r>
          </w:p>
        </w:tc>
        <w:tc>
          <w:tcPr>
            <w:tcW w:w="2410" w:type="dxa"/>
            <w:tcBorders>
              <w:top w:val="single" w:color="000000" w:sz="4" w:space="0"/>
              <w:left w:val="single" w:color="000000" w:sz="4" w:space="0"/>
              <w:bottom w:val="single" w:color="auto" w:sz="4" w:space="0"/>
              <w:right w:val="single" w:color="000000" w:sz="4" w:space="0"/>
            </w:tcBorders>
          </w:tcPr>
          <w:p w14:paraId="69A49037">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手术失败</w:t>
            </w:r>
          </w:p>
        </w:tc>
        <w:tc>
          <w:tcPr>
            <w:tcW w:w="2835" w:type="dxa"/>
            <w:tcBorders>
              <w:top w:val="single" w:color="000000" w:sz="4" w:space="0"/>
              <w:left w:val="single" w:color="000000" w:sz="4" w:space="0"/>
              <w:bottom w:val="single" w:color="auto" w:sz="4" w:space="0"/>
              <w:right w:val="single" w:color="000000" w:sz="4" w:space="0"/>
            </w:tcBorders>
          </w:tcPr>
          <w:p w14:paraId="50FCE5F4">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伤害输尿管腔道，引起炎症反应</w:t>
            </w:r>
          </w:p>
        </w:tc>
      </w:tr>
      <w:tr w14:paraId="0F93177C">
        <w:tblPrEx>
          <w:tblCellMar>
            <w:top w:w="0" w:type="dxa"/>
            <w:left w:w="0" w:type="dxa"/>
            <w:bottom w:w="0" w:type="dxa"/>
            <w:right w:w="0" w:type="dxa"/>
          </w:tblCellMar>
        </w:tblPrEx>
        <w:trPr>
          <w:trHeight w:val="1180" w:hRule="exact"/>
          <w:jc w:val="center"/>
        </w:trPr>
        <w:tc>
          <w:tcPr>
            <w:tcW w:w="1565" w:type="dxa"/>
            <w:vMerge w:val="continue"/>
            <w:tcBorders>
              <w:left w:val="single" w:color="000000" w:sz="4" w:space="0"/>
              <w:right w:val="single" w:color="auto" w:sz="4" w:space="0"/>
            </w:tcBorders>
          </w:tcPr>
          <w:p w14:paraId="06D9762E">
            <w:pPr>
              <w:pStyle w:val="26"/>
              <w:kinsoku w:val="0"/>
              <w:spacing w:line="520" w:lineRule="exact"/>
              <w:ind w:firstLine="200"/>
              <w:rPr>
                <w:rFonts w:ascii="仿宋_GB2312" w:hAnsi="仿宋" w:eastAsia="仿宋_GB2312" w:cs="仿宋"/>
                <w:sz w:val="28"/>
                <w:szCs w:val="28"/>
              </w:rPr>
            </w:pPr>
          </w:p>
        </w:tc>
        <w:tc>
          <w:tcPr>
            <w:tcW w:w="3260" w:type="dxa"/>
            <w:tcBorders>
              <w:top w:val="single" w:color="auto" w:sz="4" w:space="0"/>
              <w:left w:val="single" w:color="auto" w:sz="4" w:space="0"/>
              <w:bottom w:val="single" w:color="auto" w:sz="4" w:space="0"/>
              <w:right w:val="single" w:color="auto" w:sz="4" w:space="0"/>
            </w:tcBorders>
          </w:tcPr>
          <w:p w14:paraId="205413C4">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鞘管内表面粗糙</w:t>
            </w:r>
          </w:p>
        </w:tc>
        <w:tc>
          <w:tcPr>
            <w:tcW w:w="2410" w:type="dxa"/>
            <w:tcBorders>
              <w:top w:val="single" w:color="auto" w:sz="4" w:space="0"/>
              <w:left w:val="single" w:color="auto" w:sz="4" w:space="0"/>
              <w:bottom w:val="single" w:color="auto" w:sz="4" w:space="0"/>
              <w:right w:val="single" w:color="auto" w:sz="4" w:space="0"/>
            </w:tcBorders>
          </w:tcPr>
          <w:p w14:paraId="36C4A3D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损坏配套内窥镜器械</w:t>
            </w:r>
          </w:p>
        </w:tc>
        <w:tc>
          <w:tcPr>
            <w:tcW w:w="2835" w:type="dxa"/>
            <w:tcBorders>
              <w:top w:val="single" w:color="auto" w:sz="4" w:space="0"/>
              <w:left w:val="single" w:color="auto" w:sz="4" w:space="0"/>
              <w:bottom w:val="single" w:color="auto" w:sz="4" w:space="0"/>
              <w:right w:val="single" w:color="auto" w:sz="4" w:space="0"/>
            </w:tcBorders>
          </w:tcPr>
          <w:p w14:paraId="03836448">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缩短内窥镜使用寿命</w:t>
            </w:r>
          </w:p>
        </w:tc>
      </w:tr>
      <w:tr w14:paraId="6CF4DEED">
        <w:tblPrEx>
          <w:tblCellMar>
            <w:top w:w="0" w:type="dxa"/>
            <w:left w:w="0" w:type="dxa"/>
            <w:bottom w:w="0" w:type="dxa"/>
            <w:right w:w="0" w:type="dxa"/>
          </w:tblCellMar>
        </w:tblPrEx>
        <w:trPr>
          <w:trHeight w:val="1180" w:hRule="exact"/>
          <w:jc w:val="center"/>
        </w:trPr>
        <w:tc>
          <w:tcPr>
            <w:tcW w:w="1565" w:type="dxa"/>
            <w:vMerge w:val="continue"/>
            <w:tcBorders>
              <w:left w:val="single" w:color="000000" w:sz="4" w:space="0"/>
              <w:right w:val="single" w:color="auto" w:sz="4" w:space="0"/>
            </w:tcBorders>
          </w:tcPr>
          <w:p w14:paraId="231A7251">
            <w:pPr>
              <w:pStyle w:val="26"/>
              <w:kinsoku w:val="0"/>
              <w:spacing w:line="520" w:lineRule="exact"/>
              <w:ind w:firstLine="200"/>
              <w:rPr>
                <w:rFonts w:ascii="仿宋_GB2312" w:hAnsi="仿宋" w:eastAsia="仿宋_GB2312" w:cs="仿宋"/>
                <w:sz w:val="28"/>
                <w:szCs w:val="28"/>
              </w:rPr>
            </w:pPr>
          </w:p>
        </w:tc>
        <w:tc>
          <w:tcPr>
            <w:tcW w:w="3260" w:type="dxa"/>
            <w:tcBorders>
              <w:top w:val="single" w:color="auto" w:sz="4" w:space="0"/>
              <w:left w:val="single" w:color="auto" w:sz="4" w:space="0"/>
              <w:bottom w:val="single" w:color="auto" w:sz="4" w:space="0"/>
              <w:right w:val="single" w:color="auto" w:sz="4" w:space="0"/>
            </w:tcBorders>
          </w:tcPr>
          <w:p w14:paraId="4FEC5526">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鞘管过硬无法顺畅放置</w:t>
            </w:r>
          </w:p>
        </w:tc>
        <w:tc>
          <w:tcPr>
            <w:tcW w:w="2410" w:type="dxa"/>
            <w:tcBorders>
              <w:top w:val="single" w:color="auto" w:sz="4" w:space="0"/>
              <w:left w:val="single" w:color="auto" w:sz="4" w:space="0"/>
              <w:bottom w:val="single" w:color="auto" w:sz="4" w:space="0"/>
              <w:right w:val="single" w:color="auto" w:sz="4" w:space="0"/>
            </w:tcBorders>
          </w:tcPr>
          <w:p w14:paraId="5A66CBD7">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损伤输尿管</w:t>
            </w:r>
          </w:p>
        </w:tc>
        <w:tc>
          <w:tcPr>
            <w:tcW w:w="2835" w:type="dxa"/>
            <w:tcBorders>
              <w:top w:val="single" w:color="auto" w:sz="4" w:space="0"/>
              <w:left w:val="single" w:color="auto" w:sz="4" w:space="0"/>
              <w:bottom w:val="single" w:color="auto" w:sz="4" w:space="0"/>
              <w:right w:val="single" w:color="auto" w:sz="4" w:space="0"/>
            </w:tcBorders>
          </w:tcPr>
          <w:p w14:paraId="6E1F648A">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伤害输尿管腔道，引起炎症反应</w:t>
            </w:r>
          </w:p>
        </w:tc>
      </w:tr>
      <w:tr w14:paraId="485FD66A">
        <w:tblPrEx>
          <w:tblCellMar>
            <w:top w:w="0" w:type="dxa"/>
            <w:left w:w="0" w:type="dxa"/>
            <w:bottom w:w="0" w:type="dxa"/>
            <w:right w:w="0" w:type="dxa"/>
          </w:tblCellMar>
        </w:tblPrEx>
        <w:trPr>
          <w:trHeight w:val="1694" w:hRule="exact"/>
          <w:jc w:val="center"/>
        </w:trPr>
        <w:tc>
          <w:tcPr>
            <w:tcW w:w="1565" w:type="dxa"/>
            <w:vMerge w:val="continue"/>
            <w:tcBorders>
              <w:left w:val="single" w:color="000000" w:sz="4" w:space="0"/>
              <w:right w:val="single" w:color="000000" w:sz="4" w:space="0"/>
            </w:tcBorders>
          </w:tcPr>
          <w:p w14:paraId="322D8CFA">
            <w:pPr>
              <w:pStyle w:val="26"/>
              <w:kinsoku w:val="0"/>
              <w:spacing w:line="520" w:lineRule="exact"/>
              <w:ind w:firstLine="200"/>
              <w:rPr>
                <w:rFonts w:ascii="仿宋_GB2312" w:hAnsi="仿宋" w:eastAsia="仿宋_GB2312" w:cs="仿宋"/>
                <w:sz w:val="28"/>
                <w:szCs w:val="28"/>
              </w:rPr>
            </w:pPr>
          </w:p>
        </w:tc>
        <w:tc>
          <w:tcPr>
            <w:tcW w:w="3260" w:type="dxa"/>
            <w:tcBorders>
              <w:top w:val="single" w:color="auto" w:sz="4" w:space="0"/>
              <w:left w:val="single" w:color="000000" w:sz="4" w:space="0"/>
              <w:bottom w:val="single" w:color="000000" w:sz="4" w:space="0"/>
              <w:right w:val="single" w:color="000000" w:sz="4" w:space="0"/>
            </w:tcBorders>
          </w:tcPr>
          <w:p w14:paraId="71C21F18">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产品不具备显影效果或显影效果不佳</w:t>
            </w:r>
          </w:p>
        </w:tc>
        <w:tc>
          <w:tcPr>
            <w:tcW w:w="2410" w:type="dxa"/>
            <w:tcBorders>
              <w:top w:val="single" w:color="auto" w:sz="4" w:space="0"/>
              <w:left w:val="single" w:color="000000" w:sz="4" w:space="0"/>
              <w:bottom w:val="single" w:color="000000" w:sz="4" w:space="0"/>
              <w:right w:val="single" w:color="000000" w:sz="4" w:space="0"/>
            </w:tcBorders>
          </w:tcPr>
          <w:p w14:paraId="526923E6">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医护人员在操作时看不清到达的部位</w:t>
            </w:r>
          </w:p>
        </w:tc>
        <w:tc>
          <w:tcPr>
            <w:tcW w:w="2835" w:type="dxa"/>
            <w:tcBorders>
              <w:top w:val="single" w:color="auto" w:sz="4" w:space="0"/>
              <w:left w:val="single" w:color="000000" w:sz="4" w:space="0"/>
              <w:bottom w:val="single" w:color="000000" w:sz="4" w:space="0"/>
              <w:right w:val="single" w:color="000000" w:sz="4" w:space="0"/>
            </w:tcBorders>
          </w:tcPr>
          <w:p w14:paraId="3525E4B2">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延长手术时间，增加患者痛苦</w:t>
            </w:r>
          </w:p>
        </w:tc>
      </w:tr>
      <w:tr w14:paraId="43BE5928">
        <w:tblPrEx>
          <w:tblCellMar>
            <w:top w:w="0" w:type="dxa"/>
            <w:left w:w="0" w:type="dxa"/>
            <w:bottom w:w="0" w:type="dxa"/>
            <w:right w:w="0" w:type="dxa"/>
          </w:tblCellMar>
        </w:tblPrEx>
        <w:trPr>
          <w:trHeight w:val="1276" w:hRule="exact"/>
          <w:jc w:val="center"/>
        </w:trPr>
        <w:tc>
          <w:tcPr>
            <w:tcW w:w="1565" w:type="dxa"/>
            <w:vMerge w:val="continue"/>
            <w:tcBorders>
              <w:left w:val="single" w:color="000000" w:sz="4" w:space="0"/>
              <w:right w:val="single" w:color="000000" w:sz="4" w:space="0"/>
            </w:tcBorders>
          </w:tcPr>
          <w:p w14:paraId="58E43C35">
            <w:pPr>
              <w:pStyle w:val="26"/>
              <w:kinsoku w:val="0"/>
              <w:spacing w:line="520" w:lineRule="exact"/>
              <w:ind w:firstLine="200"/>
              <w:rPr>
                <w:rFonts w:ascii="仿宋_GB2312" w:hAnsi="仿宋" w:eastAsia="仿宋_GB2312" w:cs="仿宋"/>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3E391AD1">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使用后的产品没有按照要求集中销毁</w:t>
            </w:r>
          </w:p>
        </w:tc>
        <w:tc>
          <w:tcPr>
            <w:tcW w:w="2410" w:type="dxa"/>
            <w:tcBorders>
              <w:top w:val="single" w:color="000000" w:sz="4" w:space="0"/>
              <w:left w:val="single" w:color="000000" w:sz="4" w:space="0"/>
              <w:bottom w:val="single" w:color="000000" w:sz="4" w:space="0"/>
              <w:right w:val="single" w:color="000000" w:sz="4" w:space="0"/>
            </w:tcBorders>
          </w:tcPr>
          <w:p w14:paraId="56F8CAD4">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随意丢弃的产品上带有细菌</w:t>
            </w:r>
          </w:p>
        </w:tc>
        <w:tc>
          <w:tcPr>
            <w:tcW w:w="2835" w:type="dxa"/>
            <w:tcBorders>
              <w:top w:val="single" w:color="000000" w:sz="4" w:space="0"/>
              <w:left w:val="single" w:color="000000" w:sz="4" w:space="0"/>
              <w:bottom w:val="single" w:color="000000" w:sz="4" w:space="0"/>
              <w:right w:val="single" w:color="000000" w:sz="4" w:space="0"/>
            </w:tcBorders>
          </w:tcPr>
          <w:p w14:paraId="4BC7F205">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造成环境污染或者细菌的交叉感染。</w:t>
            </w:r>
          </w:p>
        </w:tc>
      </w:tr>
      <w:tr w14:paraId="5E86281C">
        <w:tblPrEx>
          <w:tblCellMar>
            <w:top w:w="0" w:type="dxa"/>
            <w:left w:w="0" w:type="dxa"/>
            <w:bottom w:w="0" w:type="dxa"/>
            <w:right w:w="0" w:type="dxa"/>
          </w:tblCellMar>
        </w:tblPrEx>
        <w:trPr>
          <w:trHeight w:val="1092" w:hRule="exact"/>
          <w:jc w:val="center"/>
        </w:trPr>
        <w:tc>
          <w:tcPr>
            <w:tcW w:w="1565" w:type="dxa"/>
            <w:vMerge w:val="continue"/>
            <w:tcBorders>
              <w:left w:val="single" w:color="000000" w:sz="4" w:space="0"/>
              <w:bottom w:val="single" w:color="auto" w:sz="4" w:space="0"/>
              <w:right w:val="single" w:color="000000" w:sz="4" w:space="0"/>
            </w:tcBorders>
          </w:tcPr>
          <w:p w14:paraId="40E7ED28">
            <w:pPr>
              <w:pStyle w:val="26"/>
              <w:kinsoku w:val="0"/>
              <w:spacing w:line="520" w:lineRule="exact"/>
              <w:ind w:firstLine="200"/>
              <w:rPr>
                <w:rFonts w:ascii="仿宋_GB2312" w:hAnsi="仿宋" w:eastAsia="仿宋_GB2312" w:cs="仿宋"/>
                <w:sz w:val="28"/>
                <w:szCs w:val="28"/>
              </w:rPr>
            </w:pPr>
          </w:p>
        </w:tc>
        <w:tc>
          <w:tcPr>
            <w:tcW w:w="3260" w:type="dxa"/>
            <w:tcBorders>
              <w:top w:val="single" w:color="000000" w:sz="4" w:space="0"/>
              <w:left w:val="single" w:color="000000" w:sz="4" w:space="0"/>
              <w:bottom w:val="single" w:color="000000" w:sz="4" w:space="0"/>
              <w:right w:val="single" w:color="000000" w:sz="4" w:space="0"/>
            </w:tcBorders>
          </w:tcPr>
          <w:p w14:paraId="6E1BF646">
            <w:pPr>
              <w:pStyle w:val="26"/>
              <w:kinsoku w:val="0"/>
              <w:spacing w:line="520" w:lineRule="exact"/>
              <w:ind w:firstLine="200"/>
              <w:jc w:val="both"/>
              <w:rPr>
                <w:rFonts w:ascii="仿宋_GB2312" w:hAnsi="仿宋" w:eastAsia="仿宋_GB2312" w:cs="仿宋"/>
                <w:spacing w:val="1"/>
                <w:w w:val="95"/>
                <w:sz w:val="28"/>
                <w:szCs w:val="28"/>
              </w:rPr>
            </w:pPr>
            <w:r>
              <w:rPr>
                <w:rFonts w:hint="eastAsia" w:ascii="仿宋_GB2312" w:hAnsi="仿宋" w:eastAsia="仿宋_GB2312" w:cs="仿宋"/>
                <w:spacing w:val="1"/>
                <w:w w:val="95"/>
                <w:sz w:val="28"/>
                <w:szCs w:val="28"/>
              </w:rPr>
              <w:t>一次性使用产品被多次使用</w:t>
            </w:r>
          </w:p>
        </w:tc>
        <w:tc>
          <w:tcPr>
            <w:tcW w:w="2410" w:type="dxa"/>
            <w:tcBorders>
              <w:top w:val="single" w:color="000000" w:sz="4" w:space="0"/>
              <w:left w:val="single" w:color="000000" w:sz="4" w:space="0"/>
              <w:bottom w:val="single" w:color="000000" w:sz="4" w:space="0"/>
              <w:right w:val="single" w:color="000000" w:sz="4" w:space="0"/>
            </w:tcBorders>
          </w:tcPr>
          <w:p w14:paraId="76AAB11F">
            <w:pPr>
              <w:pStyle w:val="26"/>
              <w:kinsoku w:val="0"/>
              <w:spacing w:line="520" w:lineRule="exact"/>
              <w:ind w:firstLine="200"/>
              <w:jc w:val="both"/>
              <w:rPr>
                <w:rFonts w:ascii="仿宋_GB2312" w:hAnsi="仿宋" w:eastAsia="仿宋_GB2312" w:cs="仿宋"/>
                <w:spacing w:val="1"/>
                <w:w w:val="95"/>
                <w:sz w:val="28"/>
                <w:szCs w:val="28"/>
              </w:rPr>
            </w:pPr>
            <w:r>
              <w:rPr>
                <w:rFonts w:hint="eastAsia" w:ascii="仿宋_GB2312" w:hAnsi="仿宋" w:eastAsia="仿宋_GB2312" w:cs="仿宋"/>
                <w:spacing w:val="1"/>
                <w:w w:val="95"/>
                <w:sz w:val="28"/>
                <w:szCs w:val="28"/>
              </w:rPr>
              <w:t>被多次使用的产品接触患者</w:t>
            </w:r>
          </w:p>
        </w:tc>
        <w:tc>
          <w:tcPr>
            <w:tcW w:w="2835" w:type="dxa"/>
            <w:tcBorders>
              <w:top w:val="single" w:color="000000" w:sz="4" w:space="0"/>
              <w:left w:val="single" w:color="000000" w:sz="4" w:space="0"/>
              <w:bottom w:val="single" w:color="000000" w:sz="4" w:space="0"/>
              <w:right w:val="single" w:color="000000" w:sz="4" w:space="0"/>
            </w:tcBorders>
          </w:tcPr>
          <w:p w14:paraId="3C024D0E">
            <w:pPr>
              <w:pStyle w:val="26"/>
              <w:kinsoku w:val="0"/>
              <w:spacing w:line="520" w:lineRule="exact"/>
              <w:ind w:firstLine="200"/>
              <w:jc w:val="both"/>
              <w:rPr>
                <w:rFonts w:ascii="仿宋_GB2312" w:hAnsi="仿宋" w:eastAsia="仿宋_GB2312" w:cs="仿宋"/>
                <w:spacing w:val="1"/>
                <w:w w:val="95"/>
                <w:sz w:val="28"/>
                <w:szCs w:val="28"/>
              </w:rPr>
            </w:pPr>
            <w:r>
              <w:rPr>
                <w:rFonts w:hint="eastAsia" w:ascii="仿宋_GB2312" w:hAnsi="仿宋" w:eastAsia="仿宋_GB2312" w:cs="仿宋"/>
                <w:spacing w:val="1"/>
                <w:w w:val="95"/>
                <w:sz w:val="28"/>
                <w:szCs w:val="28"/>
              </w:rPr>
              <w:t>引起交叉感染</w:t>
            </w:r>
          </w:p>
        </w:tc>
      </w:tr>
      <w:tr w14:paraId="4D83D809">
        <w:tblPrEx>
          <w:tblCellMar>
            <w:top w:w="0" w:type="dxa"/>
            <w:left w:w="0" w:type="dxa"/>
            <w:bottom w:w="0" w:type="dxa"/>
            <w:right w:w="0" w:type="dxa"/>
          </w:tblCellMar>
        </w:tblPrEx>
        <w:trPr>
          <w:trHeight w:val="2975" w:hRule="exact"/>
          <w:jc w:val="center"/>
        </w:trPr>
        <w:tc>
          <w:tcPr>
            <w:tcW w:w="1565" w:type="dxa"/>
            <w:tcBorders>
              <w:top w:val="single" w:color="auto" w:sz="4" w:space="0"/>
              <w:left w:val="single" w:color="auto" w:sz="4" w:space="0"/>
              <w:bottom w:val="single" w:color="auto" w:sz="4" w:space="0"/>
              <w:right w:val="single" w:color="auto" w:sz="4" w:space="0"/>
            </w:tcBorders>
          </w:tcPr>
          <w:p w14:paraId="29D8AB56">
            <w:pPr>
              <w:pStyle w:val="26"/>
              <w:kinsoku w:val="0"/>
              <w:spacing w:line="520" w:lineRule="exact"/>
              <w:ind w:firstLine="200"/>
              <w:rPr>
                <w:rFonts w:ascii="仿宋_GB2312" w:hAnsi="仿宋" w:eastAsia="仿宋_GB2312"/>
                <w:sz w:val="28"/>
                <w:szCs w:val="28"/>
              </w:rPr>
            </w:pPr>
            <w:r>
              <w:rPr>
                <w:rFonts w:hint="eastAsia" w:ascii="仿宋_GB2312" w:hAnsi="仿宋" w:eastAsia="仿宋_GB2312"/>
                <w:sz w:val="28"/>
                <w:szCs w:val="28"/>
              </w:rPr>
              <w:t>信息危险（源）</w:t>
            </w:r>
          </w:p>
        </w:tc>
        <w:tc>
          <w:tcPr>
            <w:tcW w:w="3260" w:type="dxa"/>
            <w:tcBorders>
              <w:top w:val="single" w:color="000000" w:sz="4" w:space="0"/>
              <w:left w:val="single" w:color="auto" w:sz="4" w:space="0"/>
              <w:bottom w:val="single" w:color="000000" w:sz="4" w:space="0"/>
              <w:right w:val="single" w:color="000000" w:sz="4" w:space="0"/>
            </w:tcBorders>
          </w:tcPr>
          <w:p w14:paraId="3233763A">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标签或说明书标识不完整，如未包括产品使用期限、一次性使用等；</w:t>
            </w:r>
          </w:p>
          <w:p w14:paraId="7D8CE394">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使用说明不完整或错误的操作信息，警告信息不充。</w:t>
            </w:r>
          </w:p>
        </w:tc>
        <w:tc>
          <w:tcPr>
            <w:tcW w:w="2410" w:type="dxa"/>
            <w:tcBorders>
              <w:top w:val="single" w:color="000000" w:sz="4" w:space="0"/>
              <w:left w:val="single" w:color="000000" w:sz="4" w:space="0"/>
              <w:bottom w:val="single" w:color="000000" w:sz="4" w:space="0"/>
              <w:right w:val="single" w:color="000000" w:sz="4" w:space="0"/>
            </w:tcBorders>
          </w:tcPr>
          <w:p w14:paraId="650F264A">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使用超期产品；</w:t>
            </w:r>
          </w:p>
          <w:p w14:paraId="2C208D70">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未按要求贮存产品；</w:t>
            </w:r>
          </w:p>
          <w:p w14:paraId="1BDD5066">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未能正确使用相应规格的产品</w:t>
            </w:r>
          </w:p>
        </w:tc>
        <w:tc>
          <w:tcPr>
            <w:tcW w:w="2835" w:type="dxa"/>
            <w:tcBorders>
              <w:top w:val="single" w:color="000000" w:sz="4" w:space="0"/>
              <w:left w:val="single" w:color="000000" w:sz="4" w:space="0"/>
              <w:bottom w:val="single" w:color="000000" w:sz="4" w:space="0"/>
              <w:right w:val="single" w:color="000000" w:sz="4" w:space="0"/>
            </w:tcBorders>
          </w:tcPr>
          <w:p w14:paraId="2D8C427A">
            <w:pPr>
              <w:pStyle w:val="26"/>
              <w:kinsoku w:val="0"/>
              <w:spacing w:line="520" w:lineRule="exact"/>
              <w:ind w:firstLine="200"/>
              <w:jc w:val="both"/>
              <w:rPr>
                <w:rFonts w:ascii="仿宋_GB2312" w:hAnsi="仿宋" w:eastAsia="仿宋_GB2312"/>
                <w:sz w:val="28"/>
                <w:szCs w:val="28"/>
              </w:rPr>
            </w:pPr>
            <w:r>
              <w:rPr>
                <w:rFonts w:hint="eastAsia" w:ascii="仿宋_GB2312" w:hAnsi="仿宋" w:eastAsia="仿宋_GB2312"/>
                <w:sz w:val="28"/>
                <w:szCs w:val="28"/>
              </w:rPr>
              <w:t>患者被细菌感染，产品达不到预期用途</w:t>
            </w:r>
          </w:p>
        </w:tc>
      </w:tr>
    </w:tbl>
    <w:p w14:paraId="173FEBD8">
      <w:pPr>
        <w:spacing w:line="520" w:lineRule="exact"/>
        <w:ind w:firstLine="640" w:firstLineChars="200"/>
        <w:outlineLvl w:val="1"/>
        <w:rPr>
          <w:rFonts w:ascii="仿宋_GB2312" w:eastAsia="仿宋_GB2312"/>
          <w:bCs/>
          <w:sz w:val="32"/>
          <w:szCs w:val="28"/>
        </w:rPr>
      </w:pPr>
    </w:p>
    <w:p w14:paraId="23B16B3F">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（八）产品的研究要求</w:t>
      </w:r>
    </w:p>
    <w:p w14:paraId="2C9211A2">
      <w:pPr>
        <w:pStyle w:val="4"/>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至少应包含如下内容：</w:t>
      </w:r>
    </w:p>
    <w:p w14:paraId="520F311F">
      <w:pPr>
        <w:pStyle w:val="4"/>
        <w:numPr>
          <w:ilvl w:val="0"/>
          <w:numId w:val="1"/>
        </w:numPr>
        <w:spacing w:line="520" w:lineRule="exact"/>
        <w:ind w:left="0" w:firstLine="200"/>
        <w:rPr>
          <w:rFonts w:ascii="仿宋_GB2312" w:hAnsi="Times New Roman" w:eastAsia="仿宋_GB2312"/>
          <w:color w:val="000000"/>
          <w:sz w:val="32"/>
          <w:szCs w:val="32"/>
        </w:rPr>
      </w:pPr>
      <w:r>
        <w:rPr>
          <w:rFonts w:hint="eastAsia" w:ascii="仿宋_GB2312" w:hAnsi="Times New Roman" w:eastAsia="仿宋_GB2312"/>
          <w:color w:val="000000"/>
          <w:sz w:val="32"/>
          <w:szCs w:val="32"/>
        </w:rPr>
        <w:t>原材料控制</w:t>
      </w:r>
    </w:p>
    <w:p w14:paraId="5F1951B0">
      <w:pPr>
        <w:tabs>
          <w:tab w:val="left" w:pos="6078"/>
        </w:tabs>
        <w:spacing w:line="520" w:lineRule="exact"/>
        <w:ind w:firstLine="640" w:firstLineChars="200"/>
        <w:rPr>
          <w:rFonts w:ascii="仿宋_GB2312" w:hAnsi="仿宋" w:eastAsia="仿宋_GB2312"/>
          <w:spacing w:val="-4"/>
          <w:sz w:val="32"/>
          <w:szCs w:val="28"/>
        </w:rPr>
      </w:pPr>
      <w:r>
        <w:rPr>
          <w:rFonts w:hint="eastAsia" w:ascii="仿宋_GB2312" w:eastAsia="仿宋_GB2312"/>
          <w:color w:val="000000"/>
          <w:sz w:val="32"/>
          <w:szCs w:val="32"/>
        </w:rPr>
        <w:t>申请人应说明原材料的选择依据，原材料应具有稳定的供货渠道以保证产品质量。若原材料外购，需提供原材料采购质量标准及测试报告、材料安全数据表（若有）等。若原材料为自行加工，应提供材料生产过程中的质量控制标准及相关的验证报告。</w:t>
      </w:r>
    </w:p>
    <w:p w14:paraId="27409BB9">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申请人应明确产品所有原材料（包括主体材料和润滑剂、粘合剂、增塑剂、染料/颜料、显影剂等辅助材料、初包装材料）的通用名称/化学名称、商品名/牌号（若有）、CAS号、化学结构式/分子式、分子量及分子量分布、使用量/组成比例、纯度、供应商/生产商名称、符合的标准以及是否适用于预期医疗用途等基本信息。建议以列表的形式提供，部件名称应与产品结构图示中的标识相对应。</w:t>
      </w:r>
    </w:p>
    <w:p w14:paraId="423C017F">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对于采用分层/分段结构设计的部件（如鞘管通常采用三层结构设计），应逐层/逐段分别描述其原材料信息。如产品带有涂层，应列明涂层的化学成分、纯度和比例信息。</w:t>
      </w:r>
    </w:p>
    <w:p w14:paraId="7FB63EE9">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对于首次应用于医疗器械的新材料，申请人应提交原材料的物理特性、化学特性、生物学评价等研究资料以及材料在生产加工过程中可能产生或残留引起机体反应的有毒物质的相关研究报告。以证明该材料适用于产品预期临床用途。</w:t>
      </w:r>
    </w:p>
    <w:p w14:paraId="4EF13AAB">
      <w:pPr>
        <w:pStyle w:val="4"/>
        <w:numPr>
          <w:ilvl w:val="0"/>
          <w:numId w:val="1"/>
        </w:numPr>
        <w:spacing w:line="520" w:lineRule="exact"/>
        <w:ind w:left="0" w:firstLine="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产品性能研究</w:t>
      </w:r>
      <w:r>
        <w:rPr>
          <w:rFonts w:hint="eastAsia" w:ascii="仿宋_GB2312" w:hAnsi="Times New Roman" w:eastAsia="仿宋_GB2312"/>
          <w:color w:val="000000"/>
          <w:sz w:val="32"/>
          <w:szCs w:val="32"/>
        </w:rPr>
        <w:tab/>
      </w:r>
    </w:p>
    <w:p w14:paraId="65AB7C68">
      <w:pPr>
        <w:spacing w:line="520" w:lineRule="exact"/>
        <w:ind w:firstLine="640" w:firstLineChars="200"/>
        <w:rPr>
          <w:rFonts w:ascii="仿宋_GB2312" w:eastAsia="仿宋_GB2312"/>
          <w:bCs/>
          <w:sz w:val="32"/>
          <w:szCs w:val="32"/>
        </w:rPr>
      </w:pPr>
      <w:r>
        <w:rPr>
          <w:rFonts w:hint="eastAsia" w:ascii="仿宋_GB2312" w:eastAsia="仿宋_GB2312"/>
          <w:color w:val="000000"/>
          <w:sz w:val="32"/>
          <w:szCs w:val="32"/>
        </w:rPr>
        <w:t>申请人应提供产品性能研究资料</w:t>
      </w:r>
      <w:r>
        <w:rPr>
          <w:rFonts w:hint="eastAsia" w:ascii="仿宋_GB2312" w:eastAsia="仿宋_GB2312"/>
          <w:spacing w:val="-4"/>
          <w:sz w:val="32"/>
          <w:szCs w:val="28"/>
        </w:rPr>
        <w:t>以及产品技术要求的编制说明</w:t>
      </w:r>
      <w:r>
        <w:rPr>
          <w:rFonts w:hint="eastAsia" w:ascii="仿宋_GB2312" w:eastAsia="仿宋_GB2312"/>
          <w:color w:val="000000"/>
          <w:sz w:val="32"/>
          <w:szCs w:val="32"/>
        </w:rPr>
        <w:t>，包括</w:t>
      </w:r>
      <w:r>
        <w:rPr>
          <w:rFonts w:hint="eastAsia" w:ascii="仿宋_GB2312" w:eastAsia="仿宋_GB2312"/>
          <w:spacing w:val="-4"/>
          <w:sz w:val="32"/>
          <w:szCs w:val="28"/>
        </w:rPr>
        <w:t>功能</w:t>
      </w:r>
      <w:r>
        <w:rPr>
          <w:rFonts w:hint="eastAsia" w:ascii="仿宋_GB2312" w:eastAsia="仿宋_GB2312"/>
          <w:color w:val="000000"/>
          <w:sz w:val="32"/>
          <w:szCs w:val="32"/>
        </w:rPr>
        <w:t>性、安全性指标以及与质量控制相关的其他指标的确定依据，所采用的标准或方法、采用的原因及理论基础。</w:t>
      </w:r>
    </w:p>
    <w:p w14:paraId="5EF1EE5E">
      <w:pPr>
        <w:spacing w:line="520" w:lineRule="exact"/>
        <w:ind w:firstLine="640" w:firstLineChars="200"/>
        <w:rPr>
          <w:rFonts w:ascii="仿宋_GB2312" w:eastAsia="仿宋_GB2312"/>
          <w:bCs/>
          <w:sz w:val="32"/>
          <w:szCs w:val="32"/>
        </w:rPr>
      </w:pPr>
      <w:r>
        <w:rPr>
          <w:rFonts w:hint="eastAsia" w:ascii="仿宋_GB2312" w:eastAsia="仿宋_GB2312"/>
          <w:color w:val="000000"/>
          <w:sz w:val="32"/>
          <w:szCs w:val="32"/>
        </w:rPr>
        <w:t>申请人应根据产品的性能特点，制定适合产品的技术指标并进行验证。例如对于预期经医学影像引导下使用的产品，建议申请人根据其特点和在临床上所需达到的性能，进行相应的研究和验证工作；对于双腔或多腔输尿管导引鞘，申请人应说明各腔的作用、结构特征，通过性能验证和/或模拟使用等方式评价产品的性能，如产品的抗扭结力、抗压缩力等，以及与配合使用器械的兼容性；对于表面覆有涂层的产品，建议对涂层进行研究并列入产品技术要求，同时提</w:t>
      </w:r>
      <w:r>
        <w:rPr>
          <w:rFonts w:hint="eastAsia" w:ascii="仿宋_GB2312" w:eastAsia="仿宋_GB2312"/>
          <w:bCs/>
          <w:sz w:val="32"/>
          <w:szCs w:val="32"/>
        </w:rPr>
        <w:t>供涂层定性、定量分析（如适用）、使用性能评价（如亲水性涂层润滑性能）、脱落率（如适用）和安全性评价等研究资料。</w:t>
      </w:r>
    </w:p>
    <w:p w14:paraId="51B92A70">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对于采用新材料制造的产品、具有其他特殊性能的产品以及有功能性宣称的产品，企业应根据产品特点制定相应的性能要求，设计相关性能的试验方法，阐明试验方法的来源或提供方法学验证资料。</w:t>
      </w:r>
    </w:p>
    <w:p w14:paraId="26019AF9">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申请人需提供产品性能验证报告，验证报告至少包含以下内容：①验证目的；②验证样品型号规格的选择依据；③验证样本数量及其确定依据；④验证项目及其接受标准、试验方法，验证项目应包括已识别出的影响终产品使用性能的所有项目；⑤验证结果，适用时进行统计学分析；⑥偏差分析，当与验证方案发生偏离时，需对偏离情况详细说明并分析偏离对验证结果的影响；⑦验证结论。</w:t>
      </w:r>
    </w:p>
    <w:p w14:paraId="081EACD1">
      <w:pPr>
        <w:pStyle w:val="4"/>
        <w:numPr>
          <w:ilvl w:val="0"/>
          <w:numId w:val="1"/>
        </w:numPr>
        <w:spacing w:line="520" w:lineRule="exact"/>
        <w:ind w:left="0" w:firstLine="200"/>
        <w:rPr>
          <w:rFonts w:ascii="仿宋_GB2312" w:hAnsi="Times New Roman" w:eastAsia="仿宋_GB2312"/>
          <w:color w:val="000000"/>
          <w:sz w:val="32"/>
          <w:szCs w:val="32"/>
        </w:rPr>
      </w:pPr>
      <w:r>
        <w:rPr>
          <w:rFonts w:hint="eastAsia" w:ascii="仿宋_GB2312" w:hAnsi="Times New Roman" w:eastAsia="仿宋_GB2312"/>
          <w:color w:val="000000"/>
          <w:sz w:val="32"/>
          <w:szCs w:val="32"/>
        </w:rPr>
        <w:t>生物相容性评价研究</w:t>
      </w:r>
    </w:p>
    <w:p w14:paraId="270633CB">
      <w:pPr>
        <w:spacing w:line="520" w:lineRule="exact"/>
        <w:ind w:firstLine="640" w:firstLineChars="200"/>
        <w:rPr>
          <w:rFonts w:ascii="仿宋_GB2312" w:eastAsia="仿宋_GB2312"/>
          <w:bCs/>
          <w:sz w:val="32"/>
          <w:szCs w:val="32"/>
        </w:rPr>
      </w:pPr>
      <w:r>
        <w:rPr>
          <w:rFonts w:hint="eastAsia" w:ascii="仿宋_GB2312" w:eastAsia="仿宋_GB2312"/>
          <w:bCs/>
          <w:sz w:val="32"/>
          <w:szCs w:val="32"/>
        </w:rPr>
        <w:t>产品预期与人体直接或间接接触的部分，应进行生物相容性评价，必要时进行生物学试验。生物相容性评价资料包括：</w:t>
      </w:r>
    </w:p>
    <w:p w14:paraId="2667906A">
      <w:pPr>
        <w:tabs>
          <w:tab w:val="left" w:pos="540"/>
        </w:tabs>
        <w:spacing w:line="520" w:lineRule="exact"/>
        <w:ind w:firstLine="640" w:firstLineChars="200"/>
        <w:rPr>
          <w:rFonts w:ascii="仿宋_GB2312" w:eastAsia="仿宋_GB2312"/>
          <w:sz w:val="32"/>
          <w:szCs w:val="32"/>
        </w:rPr>
      </w:pPr>
      <w:r>
        <w:rPr>
          <w:rFonts w:hint="eastAsia" w:ascii="仿宋_GB2312" w:eastAsia="仿宋_GB2312"/>
          <w:sz w:val="32"/>
          <w:szCs w:val="32"/>
        </w:rPr>
        <w:t>（1）生物相容性评价的依据、项目和方法。</w:t>
      </w:r>
    </w:p>
    <w:p w14:paraId="22610708">
      <w:pPr>
        <w:tabs>
          <w:tab w:val="left" w:pos="540"/>
        </w:tabs>
        <w:spacing w:line="520" w:lineRule="exact"/>
        <w:ind w:firstLine="640" w:firstLineChars="200"/>
        <w:rPr>
          <w:rFonts w:ascii="仿宋_GB2312" w:eastAsia="仿宋_GB2312"/>
          <w:sz w:val="32"/>
          <w:szCs w:val="32"/>
        </w:rPr>
      </w:pPr>
      <w:r>
        <w:rPr>
          <w:rFonts w:hint="eastAsia" w:ascii="仿宋_GB2312" w:eastAsia="仿宋_GB2312"/>
          <w:sz w:val="32"/>
          <w:szCs w:val="32"/>
        </w:rPr>
        <w:t>（2）产品所用材料的描述及与人体接触的性质。</w:t>
      </w:r>
    </w:p>
    <w:p w14:paraId="2689D3C5">
      <w:pPr>
        <w:tabs>
          <w:tab w:val="left" w:pos="540"/>
        </w:tabs>
        <w:spacing w:line="520" w:lineRule="exact"/>
        <w:ind w:firstLine="640" w:firstLineChars="200"/>
        <w:rPr>
          <w:rFonts w:ascii="仿宋_GB2312" w:eastAsia="仿宋_GB2312"/>
          <w:sz w:val="32"/>
          <w:szCs w:val="32"/>
        </w:rPr>
      </w:pPr>
      <w:r>
        <w:rPr>
          <w:rFonts w:hint="eastAsia" w:ascii="仿宋_GB2312" w:eastAsia="仿宋_GB2312"/>
          <w:sz w:val="32"/>
          <w:szCs w:val="32"/>
        </w:rPr>
        <w:t>（3）实施或豁免生物学试验的理由和论证。</w:t>
      </w:r>
    </w:p>
    <w:p w14:paraId="1AA293C5">
      <w:pPr>
        <w:tabs>
          <w:tab w:val="left" w:pos="540"/>
        </w:tabs>
        <w:spacing w:line="520" w:lineRule="exact"/>
        <w:ind w:firstLine="640" w:firstLineChars="200"/>
        <w:rPr>
          <w:rFonts w:ascii="仿宋_GB2312" w:eastAsia="仿宋_GB2312"/>
          <w:sz w:val="32"/>
          <w:szCs w:val="32"/>
        </w:rPr>
      </w:pPr>
      <w:r>
        <w:rPr>
          <w:rFonts w:hint="eastAsia" w:ascii="仿宋_GB2312" w:eastAsia="仿宋_GB2312"/>
          <w:sz w:val="32"/>
          <w:szCs w:val="32"/>
        </w:rPr>
        <w:t>（4）对于现有数据或试验结果的评价。</w:t>
      </w:r>
    </w:p>
    <w:p w14:paraId="6E522302">
      <w:pPr>
        <w:spacing w:line="52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本产品属于表面接触器械，与输尿管黏膜直接接触，接触时间为短期，</w:t>
      </w:r>
      <w:r>
        <w:rPr>
          <w:rFonts w:hint="eastAsia" w:ascii="仿宋_GB2312" w:eastAsia="仿宋_GB2312"/>
          <w:sz w:val="32"/>
          <w:szCs w:val="32"/>
        </w:rPr>
        <w:t>根据GB/T 16886《医疗器械生物学评价》系列标准，需考虑的生物相容性试验项目至少应包括：细胞毒性、致敏、刺激或皮内反应、热原。</w:t>
      </w:r>
    </w:p>
    <w:p w14:paraId="2FF6A94B">
      <w:pPr>
        <w:pStyle w:val="4"/>
        <w:numPr>
          <w:ilvl w:val="0"/>
          <w:numId w:val="1"/>
        </w:numPr>
        <w:spacing w:line="520" w:lineRule="exact"/>
        <w:ind w:left="0" w:firstLine="200"/>
        <w:rPr>
          <w:rFonts w:ascii="仿宋_GB2312" w:hAnsi="Times New Roman" w:eastAsia="仿宋_GB2312"/>
          <w:color w:val="000000"/>
          <w:sz w:val="32"/>
          <w:szCs w:val="32"/>
        </w:rPr>
      </w:pPr>
      <w:r>
        <w:rPr>
          <w:rFonts w:hint="eastAsia" w:ascii="仿宋_GB2312" w:hAnsi="Times New Roman" w:eastAsia="仿宋_GB2312"/>
          <w:color w:val="000000"/>
          <w:sz w:val="32"/>
          <w:szCs w:val="32"/>
        </w:rPr>
        <w:t>灭菌工艺研究</w:t>
      </w:r>
    </w:p>
    <w:p w14:paraId="04628B21">
      <w:pPr>
        <w:spacing w:line="520" w:lineRule="exact"/>
        <w:ind w:firstLine="640" w:firstLineChars="200"/>
        <w:rPr>
          <w:rFonts w:ascii="仿宋_GB2312" w:eastAsia="仿宋_GB2312"/>
          <w:color w:val="000000"/>
          <w:sz w:val="32"/>
          <w:szCs w:val="32"/>
        </w:rPr>
      </w:pPr>
      <w:r>
        <w:rPr>
          <w:rFonts w:hint="eastAsia" w:ascii="仿宋_GB2312" w:hAnsi="仿宋" w:eastAsia="仿宋_GB2312"/>
          <w:bCs/>
          <w:sz w:val="32"/>
          <w:szCs w:val="32"/>
        </w:rPr>
        <w:t>（1）应明确灭菌工艺（方法和参数）和无菌保证水平（SAL），</w:t>
      </w:r>
      <w:r>
        <w:rPr>
          <w:rFonts w:hint="eastAsia" w:ascii="仿宋_GB2312" w:eastAsia="仿宋_GB2312"/>
          <w:color w:val="000000"/>
          <w:sz w:val="32"/>
          <w:szCs w:val="32"/>
        </w:rPr>
        <w:t>无菌保证水平需达到10</w:t>
      </w:r>
      <w:r>
        <w:rPr>
          <w:rFonts w:hint="eastAsia" w:ascii="仿宋_GB2312" w:eastAsia="仿宋_GB2312"/>
          <w:color w:val="000000"/>
          <w:sz w:val="32"/>
          <w:szCs w:val="32"/>
          <w:vertAlign w:val="superscript"/>
        </w:rPr>
        <w:t>-6</w:t>
      </w:r>
      <w:r>
        <w:rPr>
          <w:rFonts w:hint="eastAsia" w:ascii="仿宋_GB2312" w:eastAsia="仿宋_GB2312"/>
          <w:color w:val="000000"/>
          <w:sz w:val="32"/>
          <w:szCs w:val="32"/>
        </w:rPr>
        <w:t>。提供灭菌确认报告，报告内容可参考GB 18279《医疗保健产品灭菌 环氧乙烷》系列标准、GB 18280《医疗保健产品灭菌 辐射》系列标准等的规定。灭菌确认应考虑产品与灭菌过程的适应性、包装和标签与灭菌过程的适应性等内容。</w:t>
      </w:r>
    </w:p>
    <w:p w14:paraId="2B73C2C2">
      <w:pPr>
        <w:pStyle w:val="4"/>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（2）残留毒性：若灭菌使用的方法容易出现残留,如环氧乙烷灭菌，应当参考GB/T 16886.7《医疗器械生物学评价第7部分：环氧乙烷灭菌残留量》明确残留物信息</w:t>
      </w:r>
      <w:r>
        <w:rPr>
          <w:rFonts w:hint="eastAsia" w:ascii="仿宋_GB2312" w:eastAsia="仿宋_GB2312"/>
          <w:color w:val="000000"/>
          <w:sz w:val="32"/>
          <w:szCs w:val="32"/>
        </w:rPr>
        <w:t>（EO、ECH）</w:t>
      </w:r>
      <w:r>
        <w:rPr>
          <w:rFonts w:hint="eastAsia" w:ascii="仿宋_GB2312" w:hAnsi="仿宋" w:eastAsia="仿宋_GB2312"/>
          <w:bCs/>
          <w:sz w:val="32"/>
          <w:szCs w:val="32"/>
        </w:rPr>
        <w:t>及采取的</w:t>
      </w:r>
      <w:r>
        <w:rPr>
          <w:rFonts w:hint="eastAsia" w:ascii="仿宋_GB2312" w:eastAsia="仿宋_GB2312"/>
          <w:color w:val="000000"/>
          <w:sz w:val="32"/>
          <w:szCs w:val="32"/>
        </w:rPr>
        <w:t>处理方法和条件</w:t>
      </w:r>
      <w:r>
        <w:rPr>
          <w:rFonts w:hint="eastAsia" w:ascii="仿宋_GB2312" w:hAnsi="仿宋" w:eastAsia="仿宋_GB2312"/>
          <w:bCs/>
          <w:sz w:val="32"/>
          <w:szCs w:val="32"/>
        </w:rPr>
        <w:t>，并提供研究资料。</w:t>
      </w:r>
    </w:p>
    <w:p w14:paraId="243F9765">
      <w:pPr>
        <w:pStyle w:val="4"/>
        <w:numPr>
          <w:ilvl w:val="0"/>
          <w:numId w:val="1"/>
        </w:numPr>
        <w:spacing w:line="520" w:lineRule="exact"/>
        <w:ind w:left="0" w:firstLine="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产品有效期和包装研究</w:t>
      </w:r>
    </w:p>
    <w:p w14:paraId="34C83C51">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（1）有效期研究资料</w:t>
      </w:r>
    </w:p>
    <w:p w14:paraId="3D7B7F1A">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产品有效期验证可采用实时老化或加速老化的方式进行研究。如果首次注册时提交的是加速老化验证资料，申请人需继续进行实时稳定性试验。当加速老化试验结果与其不一致时，以实时稳定性试验结果为准。</w:t>
      </w:r>
    </w:p>
    <w:p w14:paraId="5547638A">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在进行实时老化试验时，申请人宜根据产品的实际运输和储存条件确定适当的温度、湿度、光照等条件，在设定的时间间隔内对产品进行验证。加速老化试验具体可参考YY/T 0681.1《无菌医疗器械包装试验方法 第1部分:加速老化试验指南》。</w:t>
      </w:r>
    </w:p>
    <w:p w14:paraId="2103204B">
      <w:pPr>
        <w:overflowPunct w:val="0"/>
        <w:spacing w:line="520" w:lineRule="exact"/>
        <w:ind w:firstLine="640" w:firstLineChars="200"/>
        <w:rPr>
          <w:rFonts w:ascii="仿宋_GB2312" w:eastAsia="仿宋_GB2312"/>
          <w:bCs/>
          <w:sz w:val="32"/>
          <w:szCs w:val="32"/>
        </w:rPr>
      </w:pPr>
      <w:r>
        <w:rPr>
          <w:rFonts w:hint="eastAsia" w:ascii="仿宋_GB2312" w:eastAsia="仿宋_GB2312"/>
          <w:color w:val="000000"/>
          <w:sz w:val="32"/>
          <w:szCs w:val="32"/>
        </w:rPr>
        <w:t>货架有效期验证试验需采用与常规生产相同的终产品进行。</w:t>
      </w:r>
      <w:r>
        <w:rPr>
          <w:rFonts w:hint="eastAsia" w:ascii="仿宋_GB2312" w:eastAsia="仿宋_GB2312"/>
          <w:bCs/>
          <w:sz w:val="32"/>
          <w:szCs w:val="32"/>
        </w:rPr>
        <w:t>验证项目包括产品自身性能验证和包装系统性能验证两方面。前者需选择与医疗器械货架有效期密切相关的物理、化学、微生物检测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14:paraId="688D9E2F">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（2）包装研究资料</w:t>
      </w:r>
    </w:p>
    <w:p w14:paraId="461097B1">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申请人可依据有关国内、国际标准（如GB/T 19633.1、GB/T 19633.2、YY/T 0681.15、ASTM F2475、ASTM D4169、ISTA 2A等）对产品包装进行分析研究和评价。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w:t>
      </w:r>
    </w:p>
    <w:p w14:paraId="41DEB100">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（九）产品技术要求</w:t>
      </w:r>
      <w:r>
        <w:rPr>
          <w:rFonts w:hint="eastAsia" w:ascii="仿宋_GB2312" w:eastAsia="仿宋_GB2312"/>
          <w:sz w:val="32"/>
          <w:szCs w:val="32"/>
        </w:rPr>
        <w:t>的主要性能指标</w:t>
      </w:r>
    </w:p>
    <w:p w14:paraId="23F63F66">
      <w:pPr>
        <w:spacing w:line="520" w:lineRule="exact"/>
        <w:ind w:firstLine="640" w:firstLineChars="200"/>
        <w:rPr>
          <w:rFonts w:ascii="仿宋_GB2312" w:eastAsia="仿宋_GB2312"/>
          <w:sz w:val="32"/>
          <w:szCs w:val="32"/>
        </w:rPr>
      </w:pPr>
      <w:r>
        <w:rPr>
          <w:rFonts w:hint="eastAsia" w:ascii="仿宋_GB2312" w:eastAsia="仿宋_GB2312"/>
          <w:sz w:val="32"/>
          <w:szCs w:val="32"/>
        </w:rPr>
        <w:t>产品技术要求的制定应符合《医疗器械产品技术要求编写指导原则》（原国家食品药品监督管理总局通告2014年第9号）的要求。产品技术要求中应明确型号规格及其划分说明、产品性能指标及检验方法、产品描述一般信息（原材料、结构组成、附件、结构图等）。</w:t>
      </w:r>
    </w:p>
    <w:p w14:paraId="0E8271F0">
      <w:pPr>
        <w:spacing w:line="520" w:lineRule="exact"/>
        <w:ind w:firstLine="656" w:firstLineChars="200"/>
        <w:rPr>
          <w:rFonts w:ascii="仿宋_GB2312" w:eastAsia="仿宋_GB2312"/>
          <w:spacing w:val="4"/>
          <w:sz w:val="32"/>
          <w:szCs w:val="32"/>
        </w:rPr>
      </w:pPr>
      <w:r>
        <w:rPr>
          <w:rFonts w:hint="eastAsia" w:ascii="仿宋_GB2312" w:eastAsia="仿宋_GB2312"/>
          <w:spacing w:val="4"/>
          <w:sz w:val="32"/>
          <w:szCs w:val="32"/>
        </w:rPr>
        <w:t>申请人应根据产品的技术特征和临床使用情况来确定产品安全有效、质量可控的性能指标和检验方法。</w:t>
      </w:r>
      <w:r>
        <w:rPr>
          <w:rFonts w:hint="eastAsia" w:ascii="仿宋_GB2312" w:eastAsia="仿宋_GB2312"/>
          <w:color w:val="000000" w:themeColor="text1"/>
          <w:sz w:val="32"/>
          <w:szCs w:val="32"/>
        </w:rPr>
        <w:t>对申请人宣称的产品的所有技术参数和功能，应在产品技术要求中予以规定。技术指标应不低于相关的国家标准或行业标准，产品技术要求中的试验方法均应为已验证的方法。</w:t>
      </w:r>
      <w:r>
        <w:rPr>
          <w:rFonts w:hint="eastAsia" w:ascii="仿宋_GB2312" w:eastAsia="仿宋_GB2312"/>
          <w:spacing w:val="4"/>
          <w:sz w:val="32"/>
          <w:szCs w:val="32"/>
        </w:rPr>
        <w:t>可参照YY 0450.1《一次性使用无菌血管内导管辅件 第1部分：导引器械》等相关标准。</w:t>
      </w:r>
      <w:r>
        <w:rPr>
          <w:rFonts w:hint="eastAsia" w:ascii="仿宋_GB2312" w:eastAsia="仿宋_GB2312"/>
          <w:sz w:val="32"/>
          <w:szCs w:val="32"/>
        </w:rPr>
        <w:t>检验方法应具有可操作性和可重现性，必要时可附相应图示进行说明，文本较大的可以附录形式提供。</w:t>
      </w:r>
      <w:r>
        <w:rPr>
          <w:rFonts w:hint="eastAsia" w:ascii="仿宋_GB2312" w:eastAsia="仿宋_GB2312"/>
          <w:spacing w:val="4"/>
          <w:sz w:val="32"/>
          <w:szCs w:val="32"/>
        </w:rPr>
        <w:t>若以下相关性能指标要求（包括国家标准或行业标准中规定的要求）不适用，企业应在研究资料中对不适用情况进行合理的说明。</w:t>
      </w:r>
    </w:p>
    <w:p w14:paraId="4E07629A">
      <w:pPr>
        <w:pStyle w:val="4"/>
        <w:spacing w:line="520" w:lineRule="exact"/>
        <w:ind w:firstLine="640" w:firstLineChars="200"/>
        <w:rPr>
          <w:rFonts w:ascii="仿宋_GB2312" w:hAnsi="仿宋" w:eastAsia="仿宋_GB2312"/>
          <w:color w:val="000000"/>
          <w:sz w:val="32"/>
          <w:szCs w:val="32"/>
        </w:rPr>
      </w:pPr>
      <w:bookmarkStart w:id="2" w:name="_Hlk523654385"/>
      <w:r>
        <w:rPr>
          <w:rFonts w:hint="eastAsia" w:ascii="仿宋_GB2312" w:hAnsi="仿宋" w:eastAsia="仿宋_GB2312"/>
          <w:color w:val="000000"/>
          <w:sz w:val="32"/>
          <w:szCs w:val="32"/>
        </w:rPr>
        <w:t>性能指标应至少包括以下要求：</w:t>
      </w:r>
    </w:p>
    <w:bookmarkEnd w:id="2"/>
    <w:p w14:paraId="79910E4E">
      <w:pPr>
        <w:pStyle w:val="19"/>
        <w:numPr>
          <w:ilvl w:val="0"/>
          <w:numId w:val="2"/>
        </w:numPr>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物理性能</w:t>
      </w:r>
    </w:p>
    <w:p w14:paraId="583CA191">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外观</w:t>
      </w:r>
    </w:p>
    <w:p w14:paraId="376E0313">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尺寸：至少包含鞘管工作长度、鞘管外径、鞘管最小内径以及鞘管各腔道内径（如适用），扩张器工作长度、扩张器最大外径、扩张器尖端内径或各腔道内径（如适用）、扩张器伸出鞘管长度。</w:t>
      </w:r>
    </w:p>
    <w:p w14:paraId="2D4EA2B6">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鲁尔接头/座</w:t>
      </w:r>
    </w:p>
    <w:p w14:paraId="09A3CF2B">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通畅性</w:t>
      </w:r>
    </w:p>
    <w:p w14:paraId="770E1AFE">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渗漏性</w:t>
      </w:r>
    </w:p>
    <w:p w14:paraId="054402A5">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牢固度/断裂力：至少包括鞘管管身、鞘管与座连接处的断裂力、扩张器管身以及扩张器与座连接处的断裂力。</w:t>
      </w:r>
    </w:p>
    <w:p w14:paraId="650E2F3A">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 xml:space="preserve">韧性 /耐弯曲性 </w:t>
      </w:r>
    </w:p>
    <w:p w14:paraId="468E5FE7">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配合性（包括扩张器与导引鞘之间的配合性、扩张器与导丝之间的配合性）</w:t>
      </w:r>
    </w:p>
    <w:p w14:paraId="1655C64C">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射线可探测性（如适用）</w:t>
      </w:r>
    </w:p>
    <w:p w14:paraId="4936F8F8">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涂层性能（如适用）</w:t>
      </w:r>
    </w:p>
    <w:p w14:paraId="35DE1FF3">
      <w:pPr>
        <w:pStyle w:val="19"/>
        <w:numPr>
          <w:ilvl w:val="0"/>
          <w:numId w:val="3"/>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根据产品宣称的技术特点制定的其他性能要求</w:t>
      </w:r>
    </w:p>
    <w:p w14:paraId="07D89972">
      <w:pPr>
        <w:pStyle w:val="19"/>
        <w:numPr>
          <w:ilvl w:val="0"/>
          <w:numId w:val="2"/>
        </w:numPr>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化学性能</w:t>
      </w:r>
    </w:p>
    <w:p w14:paraId="4A1E75D4">
      <w:pPr>
        <w:pStyle w:val="19"/>
        <w:numPr>
          <w:ilvl w:val="0"/>
          <w:numId w:val="4"/>
        </w:numPr>
        <w:spacing w:line="520" w:lineRule="exact"/>
        <w:ind w:firstLineChars="0"/>
        <w:rPr>
          <w:rFonts w:ascii="仿宋_GB2312" w:hAnsi="仿宋" w:eastAsia="仿宋_GB2312"/>
          <w:spacing w:val="-4"/>
          <w:sz w:val="32"/>
          <w:szCs w:val="28"/>
        </w:rPr>
      </w:pPr>
      <w:r>
        <w:rPr>
          <w:rFonts w:hint="eastAsia" w:ascii="仿宋_GB2312" w:hAnsi="仿宋" w:eastAsia="仿宋_GB2312"/>
          <w:spacing w:val="-4"/>
          <w:sz w:val="32"/>
          <w:szCs w:val="28"/>
        </w:rPr>
        <w:t>重金属含量</w:t>
      </w:r>
    </w:p>
    <w:p w14:paraId="7FAD4B84">
      <w:pPr>
        <w:pStyle w:val="19"/>
        <w:numPr>
          <w:ilvl w:val="0"/>
          <w:numId w:val="4"/>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酸碱度</w:t>
      </w:r>
    </w:p>
    <w:p w14:paraId="38280997">
      <w:pPr>
        <w:pStyle w:val="19"/>
        <w:numPr>
          <w:ilvl w:val="0"/>
          <w:numId w:val="4"/>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蒸发残渣</w:t>
      </w:r>
    </w:p>
    <w:p w14:paraId="1FF4623F">
      <w:pPr>
        <w:pStyle w:val="19"/>
        <w:numPr>
          <w:ilvl w:val="0"/>
          <w:numId w:val="4"/>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还原物质（如不适用，应说明理由）</w:t>
      </w:r>
    </w:p>
    <w:p w14:paraId="50181469">
      <w:pPr>
        <w:pStyle w:val="19"/>
        <w:numPr>
          <w:ilvl w:val="0"/>
          <w:numId w:val="4"/>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紫外吸光度</w:t>
      </w:r>
    </w:p>
    <w:p w14:paraId="1035866F">
      <w:pPr>
        <w:pStyle w:val="19"/>
        <w:numPr>
          <w:ilvl w:val="0"/>
          <w:numId w:val="4"/>
        </w:numPr>
        <w:spacing w:line="520" w:lineRule="exact"/>
        <w:ind w:left="0" w:firstLine="624"/>
        <w:rPr>
          <w:rFonts w:ascii="仿宋_GB2312" w:hAnsi="仿宋" w:eastAsia="仿宋_GB2312"/>
          <w:spacing w:val="-4"/>
          <w:sz w:val="32"/>
          <w:szCs w:val="28"/>
        </w:rPr>
      </w:pPr>
      <w:r>
        <w:rPr>
          <w:rFonts w:hint="eastAsia" w:ascii="仿宋_GB2312" w:hAnsi="仿宋" w:eastAsia="仿宋_GB2312"/>
          <w:spacing w:val="-4"/>
          <w:sz w:val="32"/>
          <w:szCs w:val="28"/>
        </w:rPr>
        <w:t>环氧乙烷残留量（如适用）</w:t>
      </w:r>
    </w:p>
    <w:p w14:paraId="66BE75CF">
      <w:pPr>
        <w:pStyle w:val="19"/>
        <w:numPr>
          <w:ilvl w:val="0"/>
          <w:numId w:val="2"/>
        </w:numPr>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其他性能</w:t>
      </w:r>
    </w:p>
    <w:p w14:paraId="3B40F482">
      <w:pPr>
        <w:pStyle w:val="19"/>
        <w:numPr>
          <w:ilvl w:val="0"/>
          <w:numId w:val="5"/>
        </w:numPr>
        <w:spacing w:line="520" w:lineRule="exact"/>
        <w:ind w:firstLineChars="0"/>
        <w:rPr>
          <w:rFonts w:ascii="仿宋_GB2312" w:hAnsi="仿宋" w:eastAsia="仿宋_GB2312"/>
          <w:spacing w:val="-4"/>
          <w:sz w:val="32"/>
          <w:szCs w:val="28"/>
        </w:rPr>
      </w:pPr>
      <w:r>
        <w:rPr>
          <w:rFonts w:hint="eastAsia" w:ascii="仿宋_GB2312" w:hAnsi="仿宋" w:eastAsia="仿宋_GB2312"/>
          <w:spacing w:val="-4"/>
          <w:sz w:val="32"/>
          <w:szCs w:val="28"/>
        </w:rPr>
        <w:t>无菌</w:t>
      </w:r>
    </w:p>
    <w:p w14:paraId="3C49294A">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（十）同一注册单元内检验典型性产品确定原则和实例</w:t>
      </w:r>
    </w:p>
    <w:p w14:paraId="32D2B8D3">
      <w:pPr>
        <w:pStyle w:val="4"/>
        <w:spacing w:line="520" w:lineRule="exact"/>
        <w:ind w:firstLine="640" w:firstLineChars="200"/>
        <w:jc w:val="left"/>
        <w:outlineLvl w:val="1"/>
        <w:rPr>
          <w:rFonts w:ascii="仿宋_GB2312" w:hAnsi="仿宋" w:eastAsia="仿宋_GB2312"/>
          <w:bCs/>
          <w:sz w:val="32"/>
          <w:szCs w:val="32"/>
        </w:rPr>
      </w:pPr>
      <w:r>
        <w:rPr>
          <w:rFonts w:hint="eastAsia" w:ascii="仿宋_GB2312" w:hAnsi="仿宋" w:eastAsia="仿宋_GB2312"/>
          <w:bCs/>
          <w:sz w:val="32"/>
          <w:szCs w:val="32"/>
        </w:rPr>
        <w:t>同一注册单元中的典型性产品是指能够代表本注册单元内其他产品安全性和有效性的产品。原则上应选取结构最复杂、功能最齐全、风险最高的型号规格作为典型性产品。若一个型号规格不能覆盖所有产品，除选择典型性产品进行全性能检验外，还需选择其他型号规格产品进行未覆盖项目的检验。</w:t>
      </w:r>
    </w:p>
    <w:p w14:paraId="2589B14F">
      <w:pPr>
        <w:pStyle w:val="4"/>
        <w:spacing w:line="520" w:lineRule="exact"/>
        <w:ind w:firstLine="640" w:firstLineChars="200"/>
        <w:jc w:val="left"/>
        <w:outlineLvl w:val="1"/>
        <w:rPr>
          <w:rFonts w:ascii="仿宋_GB2312" w:hAnsi="仿宋" w:eastAsia="仿宋_GB2312"/>
          <w:bCs/>
          <w:sz w:val="32"/>
          <w:szCs w:val="32"/>
        </w:rPr>
      </w:pPr>
      <w:r>
        <w:rPr>
          <w:rFonts w:hint="eastAsia" w:ascii="仿宋_GB2312" w:hAnsi="仿宋" w:eastAsia="仿宋_GB2312"/>
          <w:bCs/>
          <w:sz w:val="32"/>
          <w:szCs w:val="32"/>
        </w:rPr>
        <w:t>典型性产品的确定可以通过比较同一注册单元内所有产品的技术结构、性能指标和预期用途等相应资料，说明其能够代表本注册单元内其他产品的安全性和有效性。</w:t>
      </w:r>
    </w:p>
    <w:p w14:paraId="5FEF4266">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（十一）产品生产制造相关的要求</w:t>
      </w:r>
    </w:p>
    <w:p w14:paraId="66D5FC29">
      <w:pPr>
        <w:spacing w:line="520" w:lineRule="exact"/>
        <w:ind w:firstLine="640" w:firstLineChars="200"/>
        <w:rPr>
          <w:rFonts w:ascii="仿宋_GB2312" w:eastAsia="仿宋_GB2312"/>
          <w:sz w:val="32"/>
          <w:szCs w:val="32"/>
        </w:rPr>
      </w:pPr>
      <w:r>
        <w:rPr>
          <w:rFonts w:hint="eastAsia" w:ascii="仿宋_GB2312" w:eastAsia="仿宋_GB2312"/>
          <w:sz w:val="32"/>
          <w:szCs w:val="32"/>
        </w:rPr>
        <w:t>应当明确产品生产加工工艺，注明关键工艺和特殊工艺，并说明其过程控制点</w:t>
      </w:r>
      <w:r>
        <w:rPr>
          <w:rFonts w:hint="eastAsia" w:ascii="仿宋_GB2312" w:eastAsia="仿宋_GB2312"/>
          <w:bCs/>
          <w:sz w:val="32"/>
          <w:szCs w:val="32"/>
        </w:rPr>
        <w:t>。例如，对于表面有涂层的输尿管导引鞘，应明确涂层的涂覆方式、涂覆范围等。</w:t>
      </w:r>
    </w:p>
    <w:p w14:paraId="6E28A531">
      <w:pPr>
        <w:spacing w:line="520" w:lineRule="exact"/>
        <w:ind w:firstLine="640" w:firstLineChars="200"/>
        <w:rPr>
          <w:rFonts w:ascii="仿宋_GB2312" w:eastAsia="仿宋_GB2312"/>
          <w:bCs/>
          <w:sz w:val="32"/>
          <w:szCs w:val="32"/>
        </w:rPr>
      </w:pPr>
      <w:r>
        <w:rPr>
          <w:rFonts w:hint="eastAsia" w:ascii="仿宋_GB2312" w:eastAsia="仿宋_GB2312"/>
          <w:sz w:val="32"/>
          <w:szCs w:val="32"/>
        </w:rPr>
        <w:t>明确生产过程中各种加工助剂（如粘合剂等）的使用情况及杂质</w:t>
      </w:r>
      <w:r>
        <w:rPr>
          <w:rFonts w:hint="eastAsia" w:ascii="仿宋_GB2312" w:eastAsia="仿宋_GB2312"/>
          <w:bCs/>
          <w:sz w:val="32"/>
          <w:szCs w:val="32"/>
        </w:rPr>
        <w:t>（如残留单体、小分子残留物等）的控制情况和接受标准。</w:t>
      </w:r>
    </w:p>
    <w:p w14:paraId="1B8D8D6B">
      <w:pPr>
        <w:pStyle w:val="27"/>
        <w:spacing w:line="520" w:lineRule="exact"/>
        <w:ind w:firstLine="624"/>
        <w:rPr>
          <w:rFonts w:ascii="仿宋_GB2312" w:eastAsia="仿宋_GB2312"/>
          <w:spacing w:val="-4"/>
          <w:sz w:val="32"/>
          <w:szCs w:val="28"/>
        </w:rPr>
      </w:pPr>
      <w:r>
        <w:rPr>
          <w:rFonts w:hint="eastAsia" w:ascii="仿宋_GB2312" w:eastAsia="仿宋_GB2312"/>
          <w:spacing w:val="-4"/>
          <w:sz w:val="32"/>
          <w:szCs w:val="28"/>
        </w:rPr>
        <w:t>提交研制、生产场地的相关信息。</w:t>
      </w:r>
      <w:r>
        <w:rPr>
          <w:rFonts w:hint="eastAsia" w:ascii="仿宋_GB2312" w:eastAsia="仿宋_GB2312"/>
          <w:bCs/>
          <w:sz w:val="32"/>
          <w:szCs w:val="32"/>
        </w:rPr>
        <w:t>有多个研制、生产场地，应当概述每个研制、生产场地的实际情况。</w:t>
      </w:r>
    </w:p>
    <w:p w14:paraId="288AE958">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（十二）产品临床评价细化要求</w:t>
      </w:r>
    </w:p>
    <w:p w14:paraId="7F08846B">
      <w:pPr>
        <w:pStyle w:val="19"/>
        <w:spacing w:line="520" w:lineRule="exact"/>
        <w:ind w:firstLine="640"/>
        <w:rPr>
          <w:rFonts w:ascii="仿宋_GB2312" w:eastAsia="仿宋_GB2312"/>
          <w:sz w:val="32"/>
          <w:szCs w:val="32"/>
        </w:rPr>
      </w:pPr>
      <w:bookmarkStart w:id="3" w:name="OLE_LINK10"/>
      <w:r>
        <w:rPr>
          <w:rFonts w:hint="eastAsia" w:ascii="仿宋_GB2312" w:eastAsia="仿宋_GB2312"/>
          <w:sz w:val="32"/>
          <w:szCs w:val="32"/>
        </w:rPr>
        <w:t>一次性使用输尿管导引鞘属于</w:t>
      </w:r>
      <w:r>
        <w:rPr>
          <w:rFonts w:hint="eastAsia" w:ascii="仿宋_GB2312" w:eastAsia="仿宋_GB2312"/>
          <w:color w:val="000000"/>
          <w:sz w:val="32"/>
          <w:szCs w:val="32"/>
        </w:rPr>
        <w:t>《关于公布新修订免于进行临床试验医疗器械目录的通告》（国家药品监督管理局通告2018年第94号，以下简称《目录》）中的产品。通常豁免情况不包括使用新型材料、新作用机理、新功能的产品。</w:t>
      </w:r>
    </w:p>
    <w:p w14:paraId="7F58F328">
      <w:pPr>
        <w:pStyle w:val="19"/>
        <w:spacing w:line="520" w:lineRule="exact"/>
        <w:ind w:firstLine="624"/>
        <w:rPr>
          <w:rFonts w:ascii="仿宋_GB2312" w:hAnsi="仿宋" w:eastAsia="仿宋_GB2312"/>
          <w:spacing w:val="-4"/>
          <w:sz w:val="32"/>
          <w:szCs w:val="28"/>
        </w:rPr>
      </w:pPr>
      <w:r>
        <w:rPr>
          <w:rFonts w:hint="eastAsia" w:ascii="仿宋_GB2312" w:hAnsi="仿宋" w:eastAsia="仿宋_GB2312"/>
          <w:spacing w:val="-4"/>
          <w:sz w:val="32"/>
          <w:szCs w:val="28"/>
        </w:rPr>
        <w:t>申请人应按照《医疗器械临床评价技术指导原则》（原国家食品药品监督管理总局通告2015年第14号）的要求进行临床评价。</w:t>
      </w:r>
    </w:p>
    <w:p w14:paraId="200E17F3">
      <w:pPr>
        <w:spacing w:line="520" w:lineRule="exact"/>
        <w:ind w:firstLine="640" w:firstLineChars="200"/>
        <w:rPr>
          <w:rFonts w:ascii="仿宋_GB2312" w:hAnsi="仿宋" w:eastAsia="仿宋_GB2312"/>
          <w:spacing w:val="-4"/>
          <w:sz w:val="32"/>
          <w:szCs w:val="28"/>
        </w:rPr>
      </w:pPr>
      <w:r>
        <w:rPr>
          <w:rFonts w:hint="eastAsia" w:ascii="仿宋_GB2312" w:eastAsia="仿宋_GB2312"/>
          <w:sz w:val="32"/>
          <w:szCs w:val="32"/>
        </w:rPr>
        <w:t>对于符合</w:t>
      </w:r>
      <w:r>
        <w:rPr>
          <w:rFonts w:hint="eastAsia" w:ascii="仿宋_GB2312" w:eastAsia="仿宋_GB2312"/>
          <w:color w:val="000000"/>
          <w:sz w:val="32"/>
          <w:szCs w:val="32"/>
        </w:rPr>
        <w:t>《目录》</w:t>
      </w:r>
      <w:r>
        <w:rPr>
          <w:rFonts w:hint="eastAsia" w:ascii="仿宋_GB2312" w:eastAsia="仿宋_GB2312"/>
          <w:sz w:val="32"/>
          <w:szCs w:val="32"/>
        </w:rPr>
        <w:t>的产品，临床评价资料包括：</w:t>
      </w:r>
    </w:p>
    <w:p w14:paraId="36ED4B37">
      <w:pPr>
        <w:pStyle w:val="19"/>
        <w:spacing w:line="520" w:lineRule="exact"/>
        <w:ind w:firstLine="624"/>
        <w:rPr>
          <w:rFonts w:ascii="仿宋_GB2312" w:hAnsi="仿宋" w:eastAsia="仿宋_GB2312"/>
          <w:spacing w:val="-4"/>
          <w:sz w:val="32"/>
          <w:szCs w:val="28"/>
        </w:rPr>
      </w:pPr>
      <w:r>
        <w:rPr>
          <w:rFonts w:hint="eastAsia" w:ascii="仿宋_GB2312" w:hAnsi="仿宋" w:eastAsia="仿宋_GB2312"/>
          <w:spacing w:val="-4"/>
          <w:sz w:val="32"/>
          <w:szCs w:val="28"/>
        </w:rPr>
        <w:t>1.提交申报产品相关信息与《目录》所述内容的对比资料；</w:t>
      </w:r>
    </w:p>
    <w:p w14:paraId="04B8D378">
      <w:pPr>
        <w:pStyle w:val="19"/>
        <w:spacing w:line="520" w:lineRule="exact"/>
        <w:ind w:firstLine="624"/>
        <w:rPr>
          <w:rFonts w:ascii="仿宋_GB2312" w:hAnsi="仿宋" w:eastAsia="仿宋_GB2312"/>
          <w:spacing w:val="-4"/>
          <w:sz w:val="32"/>
          <w:szCs w:val="28"/>
        </w:rPr>
      </w:pPr>
      <w:r>
        <w:rPr>
          <w:rFonts w:hint="eastAsia" w:ascii="仿宋_GB2312" w:hAnsi="仿宋" w:eastAsia="仿宋_GB2312"/>
          <w:spacing w:val="-4"/>
          <w:sz w:val="32"/>
          <w:szCs w:val="28"/>
        </w:rPr>
        <w:t>2.提交申报产品与《目录》中已获准境内注册医疗器械的对比说明</w:t>
      </w:r>
      <w:r>
        <w:rPr>
          <w:rFonts w:hint="eastAsia" w:ascii="仿宋_GB2312" w:eastAsia="仿宋_GB2312"/>
          <w:sz w:val="32"/>
          <w:szCs w:val="32"/>
        </w:rPr>
        <w:t>。</w:t>
      </w:r>
      <w:r>
        <w:rPr>
          <w:rFonts w:hint="eastAsia" w:ascii="仿宋_GB2312" w:hAnsi="仿宋" w:eastAsia="仿宋_GB2312"/>
          <w:spacing w:val="-4"/>
          <w:sz w:val="32"/>
          <w:szCs w:val="28"/>
        </w:rPr>
        <w:t>对比项目包括但不限于：基本原理（工作原理/作用机理）、结构组成、产品制造材料或与人体接触部分的制造材料、性能要求、灭菌方式、适用范围、使用方法、其他功能等，应针对差异性进行分析并提供相应支持性资料。</w:t>
      </w:r>
    </w:p>
    <w:p w14:paraId="18E0C300">
      <w:pPr>
        <w:pStyle w:val="19"/>
        <w:spacing w:line="520" w:lineRule="exact"/>
        <w:ind w:firstLine="624"/>
        <w:rPr>
          <w:rFonts w:ascii="仿宋_GB2312" w:hAnsi="仿宋" w:eastAsia="仿宋_GB2312"/>
          <w:spacing w:val="-4"/>
          <w:sz w:val="32"/>
          <w:szCs w:val="28"/>
        </w:rPr>
      </w:pPr>
      <w:r>
        <w:rPr>
          <w:rFonts w:hint="eastAsia" w:ascii="仿宋_GB2312" w:hAnsi="仿宋" w:eastAsia="仿宋_GB2312"/>
          <w:spacing w:val="-4"/>
          <w:sz w:val="32"/>
          <w:szCs w:val="28"/>
        </w:rPr>
        <w:t>若申报产品与《目录》中产品不一致的，可通过同品种医疗器械临床试验或临床使用获得的数据进行分析评价；或按照相关要求开展临床试验进行评价。</w:t>
      </w:r>
    </w:p>
    <w:p w14:paraId="2F9440E2">
      <w:pPr>
        <w:spacing w:line="520" w:lineRule="exact"/>
        <w:ind w:firstLine="624" w:firstLineChars="200"/>
        <w:rPr>
          <w:rFonts w:ascii="仿宋_GB2312" w:hAnsi="仿宋" w:eastAsia="仿宋_GB2312"/>
        </w:rPr>
      </w:pPr>
      <w:r>
        <w:rPr>
          <w:rFonts w:hint="eastAsia" w:ascii="仿宋_GB2312" w:hAnsi="仿宋" w:eastAsia="仿宋_GB2312"/>
          <w:spacing w:val="-4"/>
          <w:sz w:val="32"/>
          <w:szCs w:val="28"/>
        </w:rPr>
        <w:t>如果选择通过同品种医疗器械临床试验或临床使用获得的数据进行分析评价，需首先将申报产品与一个或多个同品种医疗器械进行对比，证明二者之间基本等同。与同品种医疗器械进行对比的内容包括定性和定量数据、验证和确认结果，应详述二者的相同性和差异性，对差异性是否对产品的安全有效性产生不利影响，应通过申报产品自身的数据进行验证和/或确认，如申报产品的非临床研究数据、临床文献数据、临床经验数据、针对差异性在中国境内开展的临床试验的数据。</w:t>
      </w:r>
    </w:p>
    <w:p w14:paraId="782196E6">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如果选择进行临床试验，则应严格按照《医疗器械临床试验质量管理规范》进行临床试验，并提交完整的临床试验资料。</w:t>
      </w:r>
    </w:p>
    <w:bookmarkEnd w:id="3"/>
    <w:p w14:paraId="03F18AD6">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（十三）产品的不良事件历史记录</w:t>
      </w:r>
    </w:p>
    <w:p w14:paraId="5D831016">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输尿管导引鞘在临床中出现的问题主要有：输尿管损伤或穿孔、结石残留、全身炎症反应、尿外渗等。</w:t>
      </w:r>
    </w:p>
    <w:p w14:paraId="597D9F02">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 xml:space="preserve">查询国家药品监督管理局发布的《医疗器械警戒快讯》和《医疗器械不良事件信息通报》，未查询到一次性使用输尿管导引鞘临床使用出现不良反应的信息。 </w:t>
      </w:r>
    </w:p>
    <w:p w14:paraId="66C98EC9">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查美国FDA数据库（MAUDE），同类产品不良事件主要有产品断裂、器械故障（如操作时滑动、内衬损坏等）、涂层脱落、感染、穿孔等。</w:t>
      </w:r>
    </w:p>
    <w:p w14:paraId="344D9F66">
      <w:pPr>
        <w:spacing w:line="520" w:lineRule="exact"/>
        <w:ind w:firstLine="640" w:firstLineChars="200"/>
        <w:outlineLvl w:val="1"/>
        <w:rPr>
          <w:rFonts w:ascii="仿宋_GB2312" w:eastAsia="仿宋_GB2312"/>
          <w:bCs/>
          <w:sz w:val="32"/>
          <w:szCs w:val="28"/>
        </w:rPr>
      </w:pPr>
      <w:r>
        <w:rPr>
          <w:rFonts w:hint="eastAsia" w:ascii="仿宋_GB2312" w:eastAsia="仿宋_GB2312"/>
          <w:bCs/>
          <w:sz w:val="32"/>
          <w:szCs w:val="28"/>
        </w:rPr>
        <w:t>（十四）产品说明书和标签要求</w:t>
      </w:r>
    </w:p>
    <w:p w14:paraId="3E7675D9">
      <w:pPr>
        <w:spacing w:line="520" w:lineRule="exact"/>
        <w:ind w:firstLine="624" w:firstLineChars="200"/>
        <w:rPr>
          <w:rFonts w:ascii="仿宋_GB2312" w:eastAsia="仿宋_GB2312"/>
          <w:color w:val="FF0000"/>
          <w:spacing w:val="6"/>
          <w:sz w:val="32"/>
          <w:szCs w:val="32"/>
        </w:rPr>
      </w:pPr>
      <w:r>
        <w:rPr>
          <w:rFonts w:hint="eastAsia" w:ascii="仿宋_GB2312" w:hAnsi="仿宋" w:eastAsia="仿宋_GB2312"/>
          <w:spacing w:val="-4"/>
          <w:sz w:val="32"/>
          <w:szCs w:val="28"/>
        </w:rPr>
        <w:t>产品的说明书和标签应符合《医疗器械说明书和标签管理规定》（原国家食品药品监督管理总局局令第6号）</w:t>
      </w:r>
      <w:r>
        <w:rPr>
          <w:rFonts w:hint="eastAsia" w:ascii="仿宋_GB2312" w:eastAsia="仿宋_GB2312"/>
          <w:sz w:val="32"/>
          <w:szCs w:val="32"/>
        </w:rPr>
        <w:t>和YY/T 0466.1《医疗器械用于医疗器械标签、标记和提供信息的符号 第1部分：通用要求》的要求</w:t>
      </w:r>
      <w:r>
        <w:rPr>
          <w:rFonts w:hint="eastAsia" w:ascii="仿宋_GB2312" w:hAnsi="仿宋" w:eastAsia="仿宋_GB2312"/>
          <w:spacing w:val="-4"/>
          <w:sz w:val="32"/>
          <w:szCs w:val="28"/>
        </w:rPr>
        <w:t>。同时应注意以下要求：</w:t>
      </w:r>
    </w:p>
    <w:p w14:paraId="561DC53E">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产品结构组成：说明产品是否带有涂层及涂层部位、涂层主要成分或功能；产品是否具有显影功能。</w:t>
      </w:r>
    </w:p>
    <w:p w14:paraId="0029B059">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适应症：明确产品的</w:t>
      </w:r>
      <w:r>
        <w:rPr>
          <w:rFonts w:hint="eastAsia" w:ascii="仿宋_GB2312" w:eastAsia="仿宋_GB2312"/>
          <w:bCs/>
          <w:sz w:val="32"/>
          <w:szCs w:val="32"/>
        </w:rPr>
        <w:t>目标患者人群信息、</w:t>
      </w:r>
      <w:r>
        <w:rPr>
          <w:rFonts w:hint="eastAsia" w:ascii="仿宋_GB2312" w:eastAsia="仿宋_GB2312"/>
          <w:bCs/>
          <w:spacing w:val="-6"/>
          <w:sz w:val="32"/>
          <w:szCs w:val="32"/>
        </w:rPr>
        <w:t>患者选择标准信息</w:t>
      </w:r>
      <w:r>
        <w:rPr>
          <w:rFonts w:hint="eastAsia" w:ascii="仿宋_GB2312" w:hAnsi="仿宋" w:eastAsia="仿宋_GB2312"/>
          <w:spacing w:val="-4"/>
          <w:sz w:val="32"/>
          <w:szCs w:val="28"/>
        </w:rPr>
        <w:t>、适用手术类型等信息。</w:t>
      </w:r>
    </w:p>
    <w:p w14:paraId="10F49D33">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禁忌症：</w:t>
      </w:r>
      <w:r>
        <w:rPr>
          <w:rFonts w:hint="eastAsia" w:ascii="仿宋_GB2312" w:eastAsia="仿宋_GB2312"/>
          <w:bCs/>
          <w:sz w:val="32"/>
          <w:szCs w:val="32"/>
        </w:rPr>
        <w:t>明确说明该器械不适宜的某些疾病、情况或特定的人群及部位。如应提示有下尿路梗阻、对产品材料过敏者禁用。对于输尿管狭窄较长、严重闭锁、输尿管周围严重纤维化的患者禁用。</w:t>
      </w:r>
    </w:p>
    <w:p w14:paraId="20514FB7">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注意事项：针对不同人群的型号规格选用提示；产品需要同其他医疗器械联合使用时，应当注明联合使用器械的要求、使用方法、注意事项，如配合使用的内窥镜通道的尺寸要求、兼容的导丝尺寸要求；</w:t>
      </w:r>
      <w:r>
        <w:rPr>
          <w:rFonts w:hint="eastAsia" w:ascii="仿宋_GB2312" w:eastAsia="仿宋_GB2312"/>
          <w:bCs/>
          <w:sz w:val="32"/>
          <w:szCs w:val="32"/>
        </w:rPr>
        <w:t>明确目标用户及操作该产品应当具备的技能/知识/培训；</w:t>
      </w:r>
      <w:r>
        <w:rPr>
          <w:rFonts w:hint="eastAsia" w:ascii="仿宋_GB2312" w:hAnsi="仿宋" w:eastAsia="仿宋_GB2312"/>
          <w:spacing w:val="-4"/>
          <w:sz w:val="32"/>
          <w:szCs w:val="28"/>
        </w:rPr>
        <w:t>医疗器械废弃处理时应当注意的事项等。</w:t>
      </w:r>
    </w:p>
    <w:p w14:paraId="0CC08634">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警示以及提示的内容：应提示一次性使用，用后销毁，包装如有破损，严禁使用；产品的使用限制；产品使用中可能带来的不良事件等。</w:t>
      </w:r>
    </w:p>
    <w:p w14:paraId="581CA127">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安装和使用说明或者图示：应包含使用产品时的准备、检查与操作说明。</w:t>
      </w:r>
    </w:p>
    <w:p w14:paraId="5A27086E">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医疗器械标签所用的图形、符号、缩写等内容的解释。</w:t>
      </w:r>
    </w:p>
    <w:p w14:paraId="139B2733">
      <w:pPr>
        <w:pStyle w:val="19"/>
        <w:numPr>
          <w:ilvl w:val="0"/>
          <w:numId w:val="6"/>
        </w:numPr>
        <w:tabs>
          <w:tab w:val="left" w:pos="284"/>
          <w:tab w:val="left" w:pos="426"/>
        </w:tabs>
        <w:spacing w:line="520" w:lineRule="exact"/>
        <w:ind w:left="0" w:firstLine="200" w:firstLineChars="0"/>
        <w:rPr>
          <w:rFonts w:ascii="仿宋_GB2312" w:hAnsi="仿宋" w:eastAsia="仿宋_GB2312"/>
          <w:spacing w:val="-4"/>
          <w:sz w:val="32"/>
          <w:szCs w:val="28"/>
        </w:rPr>
      </w:pPr>
      <w:r>
        <w:rPr>
          <w:rFonts w:hint="eastAsia" w:ascii="仿宋_GB2312" w:hAnsi="仿宋" w:eastAsia="仿宋_GB2312"/>
          <w:spacing w:val="-4"/>
          <w:sz w:val="32"/>
          <w:szCs w:val="28"/>
        </w:rPr>
        <w:t>产品灭菌方式及有效期。</w:t>
      </w:r>
    </w:p>
    <w:p w14:paraId="49585DD4">
      <w:pPr>
        <w:spacing w:line="520" w:lineRule="exact"/>
        <w:ind w:firstLine="640" w:firstLineChars="200"/>
        <w:outlineLvl w:val="0"/>
        <w:rPr>
          <w:rFonts w:ascii="仿宋_GB2312" w:eastAsia="仿宋_GB2312"/>
          <w:bCs/>
          <w:sz w:val="32"/>
          <w:szCs w:val="28"/>
        </w:rPr>
      </w:pPr>
      <w:r>
        <w:rPr>
          <w:rFonts w:hint="eastAsia" w:ascii="仿宋_GB2312" w:eastAsia="仿宋_GB2312"/>
          <w:bCs/>
          <w:sz w:val="32"/>
          <w:szCs w:val="28"/>
        </w:rPr>
        <w:t>三、审查关注点</w:t>
      </w:r>
    </w:p>
    <w:p w14:paraId="6F3F1545">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（一）</w:t>
      </w:r>
      <w:r>
        <w:rPr>
          <w:rFonts w:hint="eastAsia" w:ascii="仿宋_GB2312" w:eastAsia="仿宋_GB2312"/>
          <w:sz w:val="32"/>
          <w:szCs w:val="32"/>
        </w:rPr>
        <w:t>产品管理类别是否准确，注册单元划分是否准确，产品名称是否符合《</w:t>
      </w:r>
      <w:r>
        <w:rPr>
          <w:rFonts w:hint="eastAsia" w:ascii="仿宋_GB2312" w:hAnsi="仿宋" w:eastAsia="仿宋_GB2312" w:cs="仿宋"/>
          <w:sz w:val="32"/>
          <w:szCs w:val="32"/>
        </w:rPr>
        <w:t>无源手术器械通用名称命名指导原则》、《</w:t>
      </w:r>
      <w:r>
        <w:rPr>
          <w:rFonts w:hint="eastAsia" w:ascii="仿宋_GB2312" w:eastAsia="仿宋_GB2312"/>
          <w:sz w:val="32"/>
          <w:szCs w:val="32"/>
        </w:rPr>
        <w:t>医疗器械通用名称命名规则》的要求。如含有导丝作为选配件，应注意其产品名称的规范性并提供导丝相关的验证资料。</w:t>
      </w:r>
    </w:p>
    <w:p w14:paraId="63A206CA">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（二）产品性能研究资料：产品性能指标和检验方法的确定是否科学合理，自建检验方法是否经验证。</w:t>
      </w:r>
    </w:p>
    <w:p w14:paraId="4C9425A1">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（三）产品生物学评价资料：关注评价内容是否完整，生物学试验样品制备及浸提方法是否合理，是否符合GB/T 16886系列标准的要求，可接受准则是否合理。</w:t>
      </w:r>
    </w:p>
    <w:p w14:paraId="0072A044">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四）灭菌工艺研究资料：对于采用环氧乙烷灭菌的，应关注负载最难灭菌部位的识别是否准确，经确认的灭菌参数与确认过程是否一致；对于采用环氧乙烷灭菌追加的产品，需重点关注产品族的建立和追加是否严格按照YY/T 1268《环氧乙烷灭菌的产品追加和过程等效》进行评价；对于经辐照灭菌的产品，需重点关注最大可接受剂量和灭菌剂量是否严格按照GB 18280系列标准的规定进行建立。</w:t>
      </w:r>
    </w:p>
    <w:p w14:paraId="7AFB1FA6">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（五）有效期和包装研究资料：关注有效期和包装验证中加速老化条件是否合理，验证样品是否具有代表性。</w:t>
      </w:r>
    </w:p>
    <w:p w14:paraId="509F2090">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六）临床评价资料：选择通过同品种医疗器械临床试验或临床使用获得的数据进行分析评价提交临床评价资料时，需特别关注同品种医疗器械的判定，同品种医疗器械临床数据分析评价，如使用了同品种医疗器械的生产工艺、临床数据等资料，申请人应提交相应资料的使用授权书。</w:t>
      </w:r>
    </w:p>
    <w:p w14:paraId="701D6A01">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（七）产品检验报告：应关注检测的典型型号是否覆盖所有性能要求，检验报告所附照片中的产品结构组成、标识标签等信息，是否与其他申报资料描述相同。</w:t>
      </w:r>
    </w:p>
    <w:p w14:paraId="5519B5A3">
      <w:pPr>
        <w:pStyle w:val="15"/>
        <w:widowControl w:val="0"/>
        <w:spacing w:line="520" w:lineRule="exact"/>
        <w:ind w:firstLine="624"/>
        <w:rPr>
          <w:rFonts w:ascii="仿宋_GB2312" w:eastAsia="仿宋_GB2312"/>
          <w:sz w:val="32"/>
          <w:szCs w:val="32"/>
        </w:rPr>
      </w:pPr>
      <w:r>
        <w:rPr>
          <w:rFonts w:hint="eastAsia" w:ascii="仿宋_GB2312" w:eastAsia="仿宋_GB2312"/>
          <w:sz w:val="32"/>
          <w:szCs w:val="32"/>
        </w:rPr>
        <w:t>（八）使用说明书：关注适用范围、适应症和禁忌症是否与临床评价资料结论一致。</w:t>
      </w:r>
    </w:p>
    <w:p w14:paraId="6F6F37B3">
      <w:pPr>
        <w:spacing w:line="520" w:lineRule="exact"/>
        <w:ind w:firstLine="640" w:firstLineChars="200"/>
        <w:rPr>
          <w:rFonts w:ascii="仿宋_GB2312" w:hAnsi="仿宋" w:eastAsia="仿宋_GB2312"/>
          <w:spacing w:val="-4"/>
          <w:sz w:val="32"/>
          <w:szCs w:val="28"/>
        </w:rPr>
      </w:pPr>
      <w:r>
        <w:rPr>
          <w:rFonts w:hint="eastAsia" w:ascii="仿宋_GB2312" w:eastAsia="仿宋_GB2312"/>
          <w:bCs/>
          <w:kern w:val="28"/>
          <w:sz w:val="32"/>
          <w:szCs w:val="32"/>
        </w:rPr>
        <w:t>五、编写单位</w:t>
      </w:r>
    </w:p>
    <w:p w14:paraId="3A1BADCE">
      <w:pPr>
        <w:spacing w:line="520" w:lineRule="exact"/>
        <w:ind w:firstLine="640" w:firstLineChars="200"/>
        <w:rPr>
          <w:rFonts w:ascii="仿宋_GB2312" w:hAnsi="仿宋" w:eastAsia="仿宋_GB2312"/>
          <w:kern w:val="0"/>
          <w:sz w:val="32"/>
          <w:szCs w:val="32"/>
        </w:rPr>
        <w:sectPr>
          <w:headerReference r:id="rId3" w:type="default"/>
          <w:footerReference r:id="rId4" w:type="default"/>
          <w:endnotePr>
            <w:numFmt w:val="decimal"/>
          </w:endnotePr>
          <w:pgSz w:w="11906" w:h="16838"/>
          <w:pgMar w:top="1928" w:right="1531" w:bottom="1814" w:left="1531" w:header="851" w:footer="992" w:gutter="0"/>
          <w:pgNumType w:start="1"/>
          <w:cols w:space="720" w:num="1"/>
          <w:docGrid w:type="lines" w:linePitch="312" w:charSpace="0"/>
        </w:sectPr>
      </w:pPr>
      <w:r>
        <w:rPr>
          <w:rFonts w:hint="eastAsia" w:ascii="仿宋_GB2312" w:eastAsia="仿宋_GB2312"/>
          <w:sz w:val="32"/>
          <w:szCs w:val="32"/>
        </w:rPr>
        <w:t>上海市医疗器械化妆品审评核查中心</w:t>
      </w:r>
    </w:p>
    <w:p w14:paraId="589F31BC">
      <w:pPr>
        <w:spacing w:line="520" w:lineRule="exact"/>
        <w:ind w:firstLine="880" w:firstLineChars="200"/>
        <w:jc w:val="center"/>
        <w:rPr>
          <w:rFonts w:ascii="仿宋_GB2312" w:hAnsi="黑体" w:eastAsia="仿宋_GB2312"/>
          <w:bCs/>
          <w:sz w:val="44"/>
          <w:szCs w:val="36"/>
        </w:rPr>
      </w:pPr>
      <w:r>
        <w:rPr>
          <w:rFonts w:hint="eastAsia" w:ascii="仿宋_GB2312" w:hAnsi="黑体" w:eastAsia="仿宋_GB2312"/>
          <w:bCs/>
          <w:sz w:val="44"/>
          <w:szCs w:val="36"/>
        </w:rPr>
        <w:t>一次性使用输尿管导引鞘产品注册技术审查指导原则编制说明</w:t>
      </w:r>
    </w:p>
    <w:p w14:paraId="08B66842">
      <w:pPr>
        <w:spacing w:line="520" w:lineRule="exact"/>
        <w:ind w:firstLine="600" w:firstLineChars="200"/>
        <w:jc w:val="center"/>
        <w:rPr>
          <w:rFonts w:ascii="仿宋_GB2312" w:eastAsia="仿宋_GB2312"/>
          <w:sz w:val="30"/>
          <w:szCs w:val="30"/>
        </w:rPr>
      </w:pPr>
    </w:p>
    <w:p w14:paraId="020DF827">
      <w:pPr>
        <w:numPr>
          <w:ilvl w:val="0"/>
          <w:numId w:val="7"/>
        </w:numPr>
        <w:spacing w:line="520" w:lineRule="exact"/>
        <w:ind w:left="0" w:firstLine="640" w:firstLineChars="200"/>
        <w:rPr>
          <w:rFonts w:ascii="仿宋_GB2312" w:eastAsia="仿宋_GB2312"/>
          <w:sz w:val="32"/>
          <w:szCs w:val="28"/>
        </w:rPr>
      </w:pPr>
      <w:r>
        <w:rPr>
          <w:rFonts w:hint="eastAsia" w:ascii="仿宋_GB2312" w:eastAsia="仿宋_GB2312"/>
          <w:sz w:val="32"/>
          <w:szCs w:val="28"/>
        </w:rPr>
        <w:t>指导原则制订的目的</w:t>
      </w:r>
    </w:p>
    <w:p w14:paraId="48B4BCC6">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1.本指导原则制订的目的是为了能够满足新法规、新标准的要求，并</w:t>
      </w:r>
      <w:r>
        <w:rPr>
          <w:rFonts w:hint="eastAsia" w:ascii="仿宋_GB2312" w:eastAsia="仿宋_GB2312"/>
          <w:sz w:val="32"/>
          <w:szCs w:val="32"/>
        </w:rPr>
        <w:t>为申请人进行</w:t>
      </w:r>
      <w:r>
        <w:rPr>
          <w:rFonts w:hint="eastAsia" w:ascii="仿宋_GB2312" w:hAnsi="仿宋" w:eastAsia="仿宋_GB2312" w:cs="仿宋"/>
          <w:kern w:val="0"/>
          <w:sz w:val="32"/>
          <w:szCs w:val="32"/>
        </w:rPr>
        <w:t>一次性使用输尿管导引鞘的产品</w:t>
      </w:r>
      <w:r>
        <w:rPr>
          <w:rFonts w:hint="eastAsia" w:ascii="仿宋_GB2312" w:eastAsia="仿宋_GB2312"/>
          <w:sz w:val="32"/>
          <w:szCs w:val="32"/>
        </w:rPr>
        <w:t>注册申报提供技术指导，</w:t>
      </w:r>
      <w:r>
        <w:rPr>
          <w:rFonts w:hint="eastAsia" w:ascii="仿宋_GB2312" w:hAnsi="仿宋" w:eastAsia="仿宋_GB2312"/>
          <w:spacing w:val="-4"/>
          <w:sz w:val="32"/>
          <w:szCs w:val="28"/>
        </w:rPr>
        <w:t>同时也可供审查人员对一次性使用输尿管导引鞘产品注册申报资料的技术审评作参考。</w:t>
      </w:r>
    </w:p>
    <w:p w14:paraId="5388F129">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2.本指导原则旨在让初次接触该类产品的注册审查人员对产品机理、结构、主要性能、预期用途等各个方面有个基本了解，同时让技术审查人员在产品注册技术审评时把握基本的要求尺度，以确保产品的安全、有效。</w:t>
      </w:r>
    </w:p>
    <w:p w14:paraId="0B1FC1A1">
      <w:pPr>
        <w:spacing w:line="520" w:lineRule="exact"/>
        <w:ind w:firstLine="640" w:firstLineChars="200"/>
        <w:rPr>
          <w:rFonts w:ascii="仿宋_GB2312" w:eastAsia="仿宋_GB2312"/>
          <w:sz w:val="32"/>
          <w:szCs w:val="28"/>
        </w:rPr>
      </w:pPr>
      <w:r>
        <w:rPr>
          <w:rFonts w:hint="eastAsia" w:ascii="仿宋_GB2312" w:eastAsia="仿宋_GB2312"/>
          <w:sz w:val="32"/>
          <w:szCs w:val="28"/>
        </w:rPr>
        <w:t>二、指导原则编制的依据</w:t>
      </w:r>
    </w:p>
    <w:p w14:paraId="79B50A33">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（一）《医疗器械监督管理条例》（国务院令第680号）</w:t>
      </w:r>
    </w:p>
    <w:p w14:paraId="51E4AEFE">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（二）《医疗器械注册管理办法》（原国家食品药品监督管理总局令第4号）</w:t>
      </w:r>
    </w:p>
    <w:p w14:paraId="76085363">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（三）《医疗器械说明书和标签管理规定》（原国家食品药品监督管理总局令第6号）</w:t>
      </w:r>
    </w:p>
    <w:p w14:paraId="1FCF3EDF">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（四）《医疗器械通用名称命名规则》（原国家食品药品监督管理总局令第19号）</w:t>
      </w:r>
    </w:p>
    <w:p w14:paraId="24960005">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（五）《医疗器械临床试验质量管理规范》（原国家食品药品监督管理总局国家卫生和计划生育委员会令第25号）</w:t>
      </w:r>
    </w:p>
    <w:p w14:paraId="4022ECE1">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（六）《关于发布医疗器械产品技术要求编写指导原则的通告》（原国家食品药品监督管理总局通告2014年第9号）</w:t>
      </w:r>
    </w:p>
    <w:p w14:paraId="4924406B">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（七）《医疗器械临床评价技术指导原则》（原国家食品药品监督管理总局通告2015年第14号）</w:t>
      </w:r>
    </w:p>
    <w:p w14:paraId="596D44AE">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（八）《关于公布医疗器械注册申报资料要求和批准证明文件格式的公告》（原国家食品药品监督管理总局公告2014年第43号）</w:t>
      </w:r>
    </w:p>
    <w:p w14:paraId="2A9B6CA8">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（九）关于印发《境内第二类医疗器械注册审批操作规范的通知》（食药监械管〔2014〕209号）</w:t>
      </w:r>
    </w:p>
    <w:p w14:paraId="35FE45A6">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（十）《关于公布新修订免于进行临床试验医疗器械目录的通告》（国家药品监督管理局通告2018年第94号）</w:t>
      </w:r>
    </w:p>
    <w:p w14:paraId="3F98C854">
      <w:pPr>
        <w:spacing w:line="520" w:lineRule="exact"/>
        <w:ind w:firstLine="624" w:firstLineChars="200"/>
        <w:rPr>
          <w:rFonts w:ascii="仿宋_GB2312" w:hAnsi="仿宋" w:eastAsia="仿宋_GB2312"/>
          <w:sz w:val="32"/>
          <w:szCs w:val="28"/>
        </w:rPr>
      </w:pPr>
      <w:r>
        <w:rPr>
          <w:rFonts w:hint="eastAsia" w:ascii="仿宋_GB2312" w:hAnsi="仿宋" w:eastAsia="仿宋_GB2312"/>
          <w:spacing w:val="-4"/>
          <w:sz w:val="32"/>
          <w:szCs w:val="28"/>
        </w:rPr>
        <w:t>（十一）</w:t>
      </w:r>
      <w:r>
        <w:rPr>
          <w:rFonts w:hint="eastAsia" w:ascii="仿宋_GB2312" w:hAnsi="仿宋" w:eastAsia="仿宋_GB2312"/>
          <w:sz w:val="32"/>
          <w:szCs w:val="28"/>
        </w:rPr>
        <w:t>《关于发布医疗器械分类目录的公告》（2017年第104号）。</w:t>
      </w:r>
    </w:p>
    <w:p w14:paraId="1E1034A1">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（十二）《关于实施《医疗器械分类目录》有关事项的通告》（2017年第143号）</w:t>
      </w:r>
    </w:p>
    <w:p w14:paraId="531842BD">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（十三）《关于发布医疗器械注册单元划分指导原则的通告》（2017年第187号）</w:t>
      </w:r>
    </w:p>
    <w:p w14:paraId="4EE25C99">
      <w:pPr>
        <w:spacing w:line="520" w:lineRule="exact"/>
        <w:ind w:firstLine="640" w:firstLineChars="200"/>
        <w:rPr>
          <w:rFonts w:ascii="仿宋_GB2312" w:hAnsi="仿宋" w:eastAsia="仿宋_GB2312"/>
          <w:spacing w:val="-4"/>
          <w:sz w:val="32"/>
          <w:szCs w:val="28"/>
        </w:rPr>
      </w:pPr>
      <w:r>
        <w:rPr>
          <w:rFonts w:hint="eastAsia" w:ascii="仿宋_GB2312" w:hAnsi="仿宋" w:eastAsia="仿宋_GB2312"/>
          <w:sz w:val="32"/>
          <w:szCs w:val="28"/>
        </w:rPr>
        <w:t>（十四）</w:t>
      </w:r>
      <w:r>
        <w:rPr>
          <w:rFonts w:hint="eastAsia" w:ascii="仿宋_GB2312" w:hAnsi="仿宋" w:eastAsia="仿宋_GB2312" w:cs="仿宋"/>
          <w:color w:val="000000"/>
          <w:sz w:val="32"/>
          <w:szCs w:val="32"/>
        </w:rPr>
        <w:t>《无源手术器械通用名称命名指导原则》（2020年第79号）</w:t>
      </w:r>
    </w:p>
    <w:p w14:paraId="772CADFF">
      <w:pPr>
        <w:spacing w:line="520" w:lineRule="exact"/>
        <w:ind w:firstLine="640" w:firstLineChars="200"/>
        <w:rPr>
          <w:rFonts w:ascii="仿宋_GB2312" w:hAnsi="仿宋" w:eastAsia="仿宋_GB2312"/>
          <w:sz w:val="32"/>
          <w:szCs w:val="28"/>
        </w:rPr>
      </w:pPr>
      <w:r>
        <w:rPr>
          <w:rFonts w:hint="eastAsia" w:ascii="仿宋_GB2312" w:hAnsi="仿宋" w:eastAsia="仿宋_GB2312"/>
          <w:sz w:val="32"/>
          <w:szCs w:val="28"/>
        </w:rPr>
        <w:t>（十五）国家食品药品监督管理部门发布的其他规范性文件</w:t>
      </w:r>
    </w:p>
    <w:p w14:paraId="502377B7">
      <w:pPr>
        <w:spacing w:line="520" w:lineRule="exact"/>
        <w:ind w:firstLine="640" w:firstLineChars="200"/>
        <w:rPr>
          <w:rFonts w:ascii="仿宋_GB2312" w:eastAsia="仿宋_GB2312"/>
          <w:bCs/>
          <w:sz w:val="32"/>
          <w:szCs w:val="28"/>
        </w:rPr>
      </w:pPr>
      <w:r>
        <w:rPr>
          <w:rFonts w:hint="eastAsia" w:ascii="仿宋_GB2312" w:eastAsia="仿宋_GB2312"/>
          <w:bCs/>
          <w:sz w:val="32"/>
          <w:szCs w:val="28"/>
        </w:rPr>
        <w:t>三、指导原则中具体内容的编写考虑</w:t>
      </w:r>
    </w:p>
    <w:p w14:paraId="1D76051F">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（一）本指导原则仅适用于</w:t>
      </w:r>
      <w:r>
        <w:rPr>
          <w:rFonts w:hint="eastAsia" w:ascii="仿宋_GB2312" w:hAnsi="仿宋" w:eastAsia="仿宋_GB2312"/>
          <w:sz w:val="32"/>
          <w:szCs w:val="28"/>
        </w:rPr>
        <w:t>供在泌尿外科手术或内窥镜检查中，建立内窥镜及其它器械进入泌尿道的通道用</w:t>
      </w:r>
      <w:r>
        <w:rPr>
          <w:rFonts w:hint="eastAsia" w:ascii="仿宋_GB2312" w:hAnsi="仿宋" w:eastAsia="仿宋_GB2312"/>
          <w:color w:val="auto"/>
          <w:sz w:val="32"/>
          <w:szCs w:val="28"/>
        </w:rPr>
        <w:t>的一次性使用输尿管导引鞘</w:t>
      </w:r>
      <w:r>
        <w:rPr>
          <w:rFonts w:hint="eastAsia" w:ascii="仿宋_GB2312" w:hAnsi="仿宋" w:eastAsia="仿宋_GB2312"/>
          <w:sz w:val="32"/>
          <w:szCs w:val="28"/>
        </w:rPr>
        <w:t>。</w:t>
      </w:r>
    </w:p>
    <w:p w14:paraId="1CBBEDCD">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对于采用全新的工作原理、结构设计的产品，限于指导原则的编写范围，可在产品注册资料准备和注册资料技术审评时可以参考本指导原则。</w:t>
      </w:r>
    </w:p>
    <w:p w14:paraId="5B6B5001">
      <w:pPr>
        <w:spacing w:line="520" w:lineRule="exact"/>
        <w:ind w:firstLine="624" w:firstLineChars="200"/>
        <w:rPr>
          <w:rFonts w:ascii="仿宋_GB2312" w:hAnsi="仿宋" w:eastAsia="仿宋_GB2312"/>
          <w:spacing w:val="-4"/>
          <w:sz w:val="32"/>
          <w:szCs w:val="28"/>
        </w:rPr>
      </w:pPr>
      <w:r>
        <w:rPr>
          <w:rFonts w:hint="eastAsia" w:ascii="仿宋_GB2312" w:hAnsi="仿宋" w:eastAsia="仿宋_GB2312"/>
          <w:spacing w:val="-4"/>
          <w:sz w:val="32"/>
          <w:szCs w:val="28"/>
        </w:rPr>
        <w:t>（二）</w:t>
      </w:r>
      <w:r>
        <w:rPr>
          <w:rFonts w:hint="eastAsia" w:ascii="仿宋_GB2312" w:hAnsi="仿宋" w:eastAsia="仿宋_GB2312"/>
          <w:sz w:val="32"/>
          <w:szCs w:val="28"/>
        </w:rPr>
        <w:t>产品的名称、适用范围、类别代号和品名举例采用《医疗器械分类目录》（总局关于发布医疗器械分类目录的公告（2017年第104号））、</w:t>
      </w:r>
      <w:r>
        <w:rPr>
          <w:rFonts w:hint="eastAsia" w:ascii="仿宋_GB2312" w:eastAsia="仿宋_GB2312"/>
          <w:color w:val="000000"/>
          <w:sz w:val="32"/>
          <w:szCs w:val="32"/>
        </w:rPr>
        <w:t>《关于公布新修订免于进行临床试验医疗器械目录的通告》（国家药品监督管理局通告2018年第94号）</w:t>
      </w:r>
      <w:r>
        <w:rPr>
          <w:rFonts w:hint="eastAsia" w:ascii="仿宋_GB2312" w:hAnsi="仿宋" w:eastAsia="仿宋_GB2312"/>
          <w:sz w:val="32"/>
          <w:szCs w:val="28"/>
        </w:rPr>
        <w:t>。</w:t>
      </w:r>
    </w:p>
    <w:p w14:paraId="312A7F22">
      <w:pPr>
        <w:pStyle w:val="15"/>
        <w:widowControl w:val="0"/>
        <w:spacing w:line="520" w:lineRule="exact"/>
        <w:ind w:firstLine="624"/>
        <w:rPr>
          <w:rFonts w:ascii="仿宋_GB2312" w:hAnsi="仿宋" w:eastAsia="仿宋_GB2312"/>
          <w:color w:val="auto"/>
          <w:sz w:val="32"/>
          <w:szCs w:val="28"/>
        </w:rPr>
      </w:pPr>
      <w:r>
        <w:rPr>
          <w:rFonts w:hint="eastAsia" w:ascii="仿宋_GB2312" w:hAnsi="仿宋" w:eastAsia="仿宋_GB2312"/>
          <w:color w:val="auto"/>
          <w:sz w:val="32"/>
          <w:szCs w:val="28"/>
        </w:rPr>
        <w:t>（三）产品的结构和组成内容中，增加了输尿管导引鞘的结构示意图，不代表固定的结构设计，仅用于增加审评人员的感性认识。</w:t>
      </w:r>
    </w:p>
    <w:p w14:paraId="3E698B3F">
      <w:pPr>
        <w:spacing w:line="520" w:lineRule="exact"/>
        <w:ind w:firstLine="640" w:firstLineChars="200"/>
        <w:jc w:val="left"/>
        <w:rPr>
          <w:rFonts w:ascii="仿宋_GB2312" w:eastAsia="仿宋_GB2312"/>
          <w:sz w:val="32"/>
          <w:szCs w:val="28"/>
        </w:rPr>
      </w:pPr>
      <w:r>
        <w:rPr>
          <w:rFonts w:hint="eastAsia" w:ascii="仿宋_GB2312" w:eastAsia="仿宋_GB2312"/>
          <w:bCs/>
          <w:sz w:val="32"/>
          <w:szCs w:val="28"/>
        </w:rPr>
        <w:t>四、指导原则制订</w:t>
      </w:r>
      <w:r>
        <w:rPr>
          <w:rFonts w:hint="eastAsia" w:ascii="仿宋_GB2312" w:eastAsia="仿宋_GB2312"/>
          <w:sz w:val="32"/>
          <w:szCs w:val="28"/>
        </w:rPr>
        <w:t>单位</w:t>
      </w:r>
    </w:p>
    <w:p w14:paraId="1360271F">
      <w:pPr>
        <w:pStyle w:val="15"/>
        <w:widowControl w:val="0"/>
        <w:spacing w:line="520" w:lineRule="exact"/>
        <w:ind w:firstLine="624"/>
        <w:rPr>
          <w:rFonts w:ascii="仿宋_GB2312" w:hAnsi="仿宋" w:eastAsia="仿宋_GB2312"/>
          <w:sz w:val="32"/>
          <w:szCs w:val="28"/>
        </w:rPr>
      </w:pPr>
      <w:r>
        <w:rPr>
          <w:rFonts w:hint="eastAsia" w:ascii="仿宋_GB2312" w:hAnsi="仿宋" w:eastAsia="仿宋_GB2312"/>
          <w:color w:val="auto"/>
          <w:sz w:val="32"/>
          <w:szCs w:val="28"/>
        </w:rPr>
        <w:t>本指导原则起草单位为上海市医疗器械化妆品审评核查中心，参与单位为国家药品监督管理局医疗器械技术审评中心、广东省药品监督管理局审评认证中心、江苏省食品药品监督管理局认证审评中心</w:t>
      </w:r>
      <w:r>
        <w:rPr>
          <w:rFonts w:hint="eastAsia" w:ascii="仿宋_GB2312" w:hAnsi="仿宋" w:eastAsia="仿宋_GB2312"/>
          <w:sz w:val="32"/>
          <w:szCs w:val="28"/>
        </w:rPr>
        <w:t>。</w:t>
      </w:r>
    </w:p>
    <w:p w14:paraId="692942A8">
      <w:pPr>
        <w:spacing w:line="520" w:lineRule="exact"/>
        <w:ind w:firstLine="420" w:firstLineChars="200"/>
        <w:rPr>
          <w:rFonts w:ascii="仿宋_GB2312" w:eastAsia="仿宋_GB2312"/>
        </w:rPr>
      </w:pPr>
    </w:p>
    <w:p w14:paraId="6B3E9659">
      <w:pPr>
        <w:spacing w:line="520" w:lineRule="exact"/>
        <w:ind w:firstLine="420" w:firstLineChars="200"/>
        <w:rPr>
          <w:rFonts w:ascii="仿宋_GB2312" w:eastAsia="仿宋_GB2312"/>
        </w:rPr>
      </w:pPr>
    </w:p>
    <w:p w14:paraId="6BCAA154">
      <w:pPr>
        <w:widowControl/>
        <w:spacing w:line="520" w:lineRule="exact"/>
        <w:jc w:val="center"/>
        <w:rPr>
          <w:rFonts w:hint="eastAsia" w:eastAsia="宋体"/>
          <w:lang w:eastAsia="zh-CN"/>
        </w:rPr>
      </w:pPr>
    </w:p>
    <w:p w14:paraId="66D2A46B">
      <w:pPr>
        <w:widowControl/>
        <w:spacing w:line="520" w:lineRule="exact"/>
        <w:jc w:val="center"/>
        <w:rPr>
          <w:rFonts w:hint="eastAsia" w:eastAsia="宋体"/>
          <w:lang w:eastAsia="zh-CN"/>
        </w:rPr>
      </w:pPr>
    </w:p>
    <w:p w14:paraId="6B01B45C">
      <w:pPr>
        <w:widowControl/>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endnotePr>
        <w:numFmt w:val="decimal"/>
      </w:endnotePr>
      <w:pgSz w:w="11906" w:h="16838"/>
      <w:pgMar w:top="1928" w:right="1531" w:bottom="1814"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1A3A13-C720-4252-8C4E-D73A703C97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5C5DC93-28A1-49C4-956A-89EE68938EE7}"/>
  </w:font>
  <w:font w:name="Courier New">
    <w:panose1 w:val="02070309020205020404"/>
    <w:charset w:val="00"/>
    <w:family w:val="modern"/>
    <w:pitch w:val="default"/>
    <w:sig w:usb0="E0002EFF" w:usb1="C0007843" w:usb2="00000009" w:usb3="00000000" w:csb0="400001FF" w:csb1="FFFF0000"/>
  </w:font>
  <w:font w:name="MHeiGB">
    <w:altName w:val="宋体"/>
    <w:panose1 w:val="00000000000000000000"/>
    <w:charset w:val="86"/>
    <w:family w:val="swiss"/>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3" w:fontKey="{58C3E9EC-8F1C-4198-A07C-599E06D3C254}"/>
  </w:font>
  <w:font w:name="仿宋_GB2312">
    <w:altName w:val="仿宋"/>
    <w:panose1 w:val="02010609030101010101"/>
    <w:charset w:val="86"/>
    <w:family w:val="modern"/>
    <w:pitch w:val="default"/>
    <w:sig w:usb0="00000000" w:usb1="00000000" w:usb2="00000010" w:usb3="00000000" w:csb0="00040000" w:csb1="00000000"/>
    <w:embedRegular r:id="rId4" w:fontKey="{39405DF6-5461-4EB5-86DC-0BBF062D58D9}"/>
  </w:font>
  <w:font w:name="仿宋">
    <w:panose1 w:val="02010609060101010101"/>
    <w:charset w:val="86"/>
    <w:family w:val="modern"/>
    <w:pitch w:val="default"/>
    <w:sig w:usb0="800002BF" w:usb1="38CF7CFA" w:usb2="00000016" w:usb3="00000000" w:csb0="00040001" w:csb1="00000000"/>
    <w:embedRegular r:id="rId5" w:fontKey="{8E32D6AA-2663-43FB-AB3C-BC96580AF348}"/>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91A9">
    <w:pPr>
      <w:pStyle w:val="6"/>
      <w:jc w:val="right"/>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1</w:t>
    </w:r>
    <w:r>
      <w:rPr>
        <w:rFonts w:hint="eastAsia" w:ascii="仿宋_GB2312" w:eastAsia="仿宋_GB2312"/>
        <w:sz w:val="28"/>
        <w:szCs w:val="24"/>
      </w:rPr>
      <w:fldChar w:fldCharType="end"/>
    </w:r>
    <w:r>
      <w:rPr>
        <w:rFonts w:hint="eastAsia" w:asciiTheme="majorHAnsi" w:hAnsiTheme="majorHAnsi"/>
        <w:sz w:val="28"/>
        <w:szCs w:val="28"/>
        <w:lang w:val="zh-CN"/>
      </w:rPr>
      <w:t>—</w:t>
    </w:r>
    <w:r>
      <w:rPr>
        <w:rFonts w:asciiTheme="majorHAnsi" w:hAnsiTheme="majorHAnsi"/>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477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C1790"/>
    <w:multiLevelType w:val="multilevel"/>
    <w:tmpl w:val="052C1790"/>
    <w:lvl w:ilvl="0" w:tentative="0">
      <w:start w:val="1"/>
      <w:numFmt w:val="decimal"/>
      <w:lvlText w:val="（%1）"/>
      <w:lvlJc w:val="left"/>
      <w:pPr>
        <w:ind w:left="1029" w:hanging="420"/>
      </w:pPr>
      <w:rPr>
        <w:rFonts w:hint="eastAsia"/>
      </w:rPr>
    </w:lvl>
    <w:lvl w:ilvl="1" w:tentative="0">
      <w:start w:val="1"/>
      <w:numFmt w:val="lowerLetter"/>
      <w:lvlText w:val="%2)"/>
      <w:lvlJc w:val="left"/>
      <w:pPr>
        <w:ind w:left="1449" w:hanging="420"/>
      </w:pPr>
    </w:lvl>
    <w:lvl w:ilvl="2" w:tentative="0">
      <w:start w:val="1"/>
      <w:numFmt w:val="lowerRoman"/>
      <w:lvlText w:val="%3."/>
      <w:lvlJc w:val="right"/>
      <w:pPr>
        <w:ind w:left="1869" w:hanging="420"/>
      </w:pPr>
    </w:lvl>
    <w:lvl w:ilvl="3" w:tentative="0">
      <w:start w:val="1"/>
      <w:numFmt w:val="decimal"/>
      <w:lvlText w:val="%4."/>
      <w:lvlJc w:val="left"/>
      <w:pPr>
        <w:ind w:left="2289" w:hanging="420"/>
      </w:pPr>
    </w:lvl>
    <w:lvl w:ilvl="4" w:tentative="0">
      <w:start w:val="1"/>
      <w:numFmt w:val="lowerLetter"/>
      <w:lvlText w:val="%5)"/>
      <w:lvlJc w:val="left"/>
      <w:pPr>
        <w:ind w:left="2709" w:hanging="420"/>
      </w:pPr>
    </w:lvl>
    <w:lvl w:ilvl="5" w:tentative="0">
      <w:start w:val="1"/>
      <w:numFmt w:val="lowerRoman"/>
      <w:lvlText w:val="%6."/>
      <w:lvlJc w:val="right"/>
      <w:pPr>
        <w:ind w:left="3129" w:hanging="420"/>
      </w:pPr>
    </w:lvl>
    <w:lvl w:ilvl="6" w:tentative="0">
      <w:start w:val="1"/>
      <w:numFmt w:val="decimal"/>
      <w:lvlText w:val="%7."/>
      <w:lvlJc w:val="left"/>
      <w:pPr>
        <w:ind w:left="3549" w:hanging="420"/>
      </w:pPr>
    </w:lvl>
    <w:lvl w:ilvl="7" w:tentative="0">
      <w:start w:val="1"/>
      <w:numFmt w:val="lowerLetter"/>
      <w:lvlText w:val="%8)"/>
      <w:lvlJc w:val="left"/>
      <w:pPr>
        <w:ind w:left="3969" w:hanging="420"/>
      </w:pPr>
    </w:lvl>
    <w:lvl w:ilvl="8" w:tentative="0">
      <w:start w:val="1"/>
      <w:numFmt w:val="lowerRoman"/>
      <w:lvlText w:val="%9."/>
      <w:lvlJc w:val="right"/>
      <w:pPr>
        <w:ind w:left="4389" w:hanging="420"/>
      </w:pPr>
    </w:lvl>
  </w:abstractNum>
  <w:abstractNum w:abstractNumId="1">
    <w:nsid w:val="07C114CC"/>
    <w:multiLevelType w:val="multilevel"/>
    <w:tmpl w:val="07C114CC"/>
    <w:lvl w:ilvl="0" w:tentative="0">
      <w:start w:val="1"/>
      <w:numFmt w:val="japaneseCounting"/>
      <w:suff w:val="nothing"/>
      <w:lvlText w:val="%1、"/>
      <w:lvlJc w:val="left"/>
      <w:pPr>
        <w:ind w:left="1280" w:hanging="72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2">
    <w:nsid w:val="235063B4"/>
    <w:multiLevelType w:val="multilevel"/>
    <w:tmpl w:val="235063B4"/>
    <w:lvl w:ilvl="0" w:tentative="0">
      <w:start w:val="1"/>
      <w:numFmt w:val="decimal"/>
      <w:lvlText w:val="（%1）"/>
      <w:lvlJc w:val="left"/>
      <w:pPr>
        <w:ind w:left="1029" w:hanging="420"/>
      </w:pPr>
      <w:rPr>
        <w:rFonts w:hint="eastAsia"/>
      </w:rPr>
    </w:lvl>
    <w:lvl w:ilvl="1" w:tentative="0">
      <w:start w:val="1"/>
      <w:numFmt w:val="lowerLetter"/>
      <w:lvlText w:val="%2)"/>
      <w:lvlJc w:val="left"/>
      <w:pPr>
        <w:ind w:left="1449" w:hanging="420"/>
      </w:pPr>
    </w:lvl>
    <w:lvl w:ilvl="2" w:tentative="0">
      <w:start w:val="1"/>
      <w:numFmt w:val="lowerRoman"/>
      <w:lvlText w:val="%3."/>
      <w:lvlJc w:val="right"/>
      <w:pPr>
        <w:ind w:left="1869" w:hanging="420"/>
      </w:pPr>
    </w:lvl>
    <w:lvl w:ilvl="3" w:tentative="0">
      <w:start w:val="1"/>
      <w:numFmt w:val="decimal"/>
      <w:lvlText w:val="%4."/>
      <w:lvlJc w:val="left"/>
      <w:pPr>
        <w:ind w:left="2289" w:hanging="420"/>
      </w:pPr>
    </w:lvl>
    <w:lvl w:ilvl="4" w:tentative="0">
      <w:start w:val="1"/>
      <w:numFmt w:val="lowerLetter"/>
      <w:lvlText w:val="%5)"/>
      <w:lvlJc w:val="left"/>
      <w:pPr>
        <w:ind w:left="2709" w:hanging="420"/>
      </w:pPr>
    </w:lvl>
    <w:lvl w:ilvl="5" w:tentative="0">
      <w:start w:val="1"/>
      <w:numFmt w:val="lowerRoman"/>
      <w:lvlText w:val="%6."/>
      <w:lvlJc w:val="right"/>
      <w:pPr>
        <w:ind w:left="3129" w:hanging="420"/>
      </w:pPr>
    </w:lvl>
    <w:lvl w:ilvl="6" w:tentative="0">
      <w:start w:val="1"/>
      <w:numFmt w:val="decimal"/>
      <w:lvlText w:val="%7."/>
      <w:lvlJc w:val="left"/>
      <w:pPr>
        <w:ind w:left="3549" w:hanging="420"/>
      </w:pPr>
    </w:lvl>
    <w:lvl w:ilvl="7" w:tentative="0">
      <w:start w:val="1"/>
      <w:numFmt w:val="lowerLetter"/>
      <w:lvlText w:val="%8)"/>
      <w:lvlJc w:val="left"/>
      <w:pPr>
        <w:ind w:left="3969" w:hanging="420"/>
      </w:pPr>
    </w:lvl>
    <w:lvl w:ilvl="8" w:tentative="0">
      <w:start w:val="1"/>
      <w:numFmt w:val="lowerRoman"/>
      <w:lvlText w:val="%9."/>
      <w:lvlJc w:val="right"/>
      <w:pPr>
        <w:ind w:left="4389" w:hanging="420"/>
      </w:pPr>
    </w:lvl>
  </w:abstractNum>
  <w:abstractNum w:abstractNumId="3">
    <w:nsid w:val="236178AC"/>
    <w:multiLevelType w:val="multilevel"/>
    <w:tmpl w:val="236178AC"/>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1D506E2"/>
    <w:multiLevelType w:val="multilevel"/>
    <w:tmpl w:val="31D506E2"/>
    <w:lvl w:ilvl="0" w:tentative="0">
      <w:start w:val="1"/>
      <w:numFmt w:val="decimal"/>
      <w:lvlText w:val="（%1）"/>
      <w:lvlJc w:val="left"/>
      <w:pPr>
        <w:ind w:left="1029" w:hanging="420"/>
      </w:pPr>
      <w:rPr>
        <w:rFonts w:hint="eastAsia"/>
      </w:rPr>
    </w:lvl>
    <w:lvl w:ilvl="1" w:tentative="0">
      <w:start w:val="1"/>
      <w:numFmt w:val="lowerLetter"/>
      <w:lvlText w:val="%2)"/>
      <w:lvlJc w:val="left"/>
      <w:pPr>
        <w:ind w:left="1449" w:hanging="420"/>
      </w:pPr>
    </w:lvl>
    <w:lvl w:ilvl="2" w:tentative="0">
      <w:start w:val="1"/>
      <w:numFmt w:val="lowerRoman"/>
      <w:lvlText w:val="%3."/>
      <w:lvlJc w:val="right"/>
      <w:pPr>
        <w:ind w:left="1869" w:hanging="420"/>
      </w:pPr>
    </w:lvl>
    <w:lvl w:ilvl="3" w:tentative="0">
      <w:start w:val="1"/>
      <w:numFmt w:val="decimal"/>
      <w:lvlText w:val="%4."/>
      <w:lvlJc w:val="left"/>
      <w:pPr>
        <w:ind w:left="2289" w:hanging="420"/>
      </w:pPr>
    </w:lvl>
    <w:lvl w:ilvl="4" w:tentative="0">
      <w:start w:val="1"/>
      <w:numFmt w:val="lowerLetter"/>
      <w:lvlText w:val="%5)"/>
      <w:lvlJc w:val="left"/>
      <w:pPr>
        <w:ind w:left="2709" w:hanging="420"/>
      </w:pPr>
    </w:lvl>
    <w:lvl w:ilvl="5" w:tentative="0">
      <w:start w:val="1"/>
      <w:numFmt w:val="lowerRoman"/>
      <w:lvlText w:val="%6."/>
      <w:lvlJc w:val="right"/>
      <w:pPr>
        <w:ind w:left="3129" w:hanging="420"/>
      </w:pPr>
    </w:lvl>
    <w:lvl w:ilvl="6" w:tentative="0">
      <w:start w:val="1"/>
      <w:numFmt w:val="decimal"/>
      <w:lvlText w:val="%7."/>
      <w:lvlJc w:val="left"/>
      <w:pPr>
        <w:ind w:left="3549" w:hanging="420"/>
      </w:pPr>
    </w:lvl>
    <w:lvl w:ilvl="7" w:tentative="0">
      <w:start w:val="1"/>
      <w:numFmt w:val="lowerLetter"/>
      <w:lvlText w:val="%8)"/>
      <w:lvlJc w:val="left"/>
      <w:pPr>
        <w:ind w:left="3969" w:hanging="420"/>
      </w:pPr>
    </w:lvl>
    <w:lvl w:ilvl="8" w:tentative="0">
      <w:start w:val="1"/>
      <w:numFmt w:val="lowerRoman"/>
      <w:lvlText w:val="%9."/>
      <w:lvlJc w:val="right"/>
      <w:pPr>
        <w:ind w:left="4389" w:hanging="420"/>
      </w:pPr>
    </w:lvl>
  </w:abstractNum>
  <w:abstractNum w:abstractNumId="5">
    <w:nsid w:val="5F296D85"/>
    <w:multiLevelType w:val="multilevel"/>
    <w:tmpl w:val="5F296D85"/>
    <w:lvl w:ilvl="0" w:tentative="0">
      <w:start w:val="1"/>
      <w:numFmt w:val="decimal"/>
      <w:lvlText w:val="%1."/>
      <w:lvlJc w:val="left"/>
      <w:pPr>
        <w:ind w:left="984" w:hanging="360"/>
      </w:pPr>
      <w:rPr>
        <w:rFonts w:hint="default"/>
      </w:r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6">
    <w:nsid w:val="6B626675"/>
    <w:multiLevelType w:val="multilevel"/>
    <w:tmpl w:val="6B626675"/>
    <w:lvl w:ilvl="0" w:tentative="0">
      <w:start w:val="1"/>
      <w:numFmt w:val="decimal"/>
      <w:lvlText w:val="%1."/>
      <w:lvlJc w:val="left"/>
      <w:pPr>
        <w:ind w:left="984" w:hanging="360"/>
      </w:pPr>
      <w:rPr>
        <w:rFonts w:hint="default"/>
      </w:rPr>
    </w:lvl>
    <w:lvl w:ilvl="1" w:tentative="0">
      <w:start w:val="1"/>
      <w:numFmt w:val="decimal"/>
      <w:lvlText w:val="%2."/>
      <w:lvlJc w:val="left"/>
      <w:pPr>
        <w:ind w:left="1704" w:hanging="720"/>
      </w:pPr>
      <w:rPr>
        <w:rFonts w:hint="default"/>
      </w:rPr>
    </w:lvl>
    <w:lvl w:ilvl="2" w:tentative="0">
      <w:start w:val="1"/>
      <w:numFmt w:val="decimal"/>
      <w:isLgl/>
      <w:lvlText w:val="%1.%2.%3"/>
      <w:lvlJc w:val="left"/>
      <w:pPr>
        <w:ind w:left="2424" w:hanging="1080"/>
      </w:pPr>
      <w:rPr>
        <w:rFonts w:hint="default"/>
      </w:rPr>
    </w:lvl>
    <w:lvl w:ilvl="3" w:tentative="0">
      <w:start w:val="1"/>
      <w:numFmt w:val="decimal"/>
      <w:isLgl/>
      <w:lvlText w:val="%1.%2.%3.%4"/>
      <w:lvlJc w:val="left"/>
      <w:pPr>
        <w:ind w:left="3144" w:hanging="1440"/>
      </w:pPr>
      <w:rPr>
        <w:rFonts w:hint="default"/>
      </w:rPr>
    </w:lvl>
    <w:lvl w:ilvl="4" w:tentative="0">
      <w:start w:val="1"/>
      <w:numFmt w:val="decimal"/>
      <w:isLgl/>
      <w:lvlText w:val="%1.%2.%3.%4.%5"/>
      <w:lvlJc w:val="left"/>
      <w:pPr>
        <w:ind w:left="3504" w:hanging="1440"/>
      </w:pPr>
      <w:rPr>
        <w:rFonts w:hint="default"/>
      </w:rPr>
    </w:lvl>
    <w:lvl w:ilvl="5" w:tentative="0">
      <w:start w:val="1"/>
      <w:numFmt w:val="decimal"/>
      <w:isLgl/>
      <w:lvlText w:val="%1.%2.%3.%4.%5.%6"/>
      <w:lvlJc w:val="left"/>
      <w:pPr>
        <w:ind w:left="4224" w:hanging="1800"/>
      </w:pPr>
      <w:rPr>
        <w:rFonts w:hint="default"/>
      </w:rPr>
    </w:lvl>
    <w:lvl w:ilvl="6" w:tentative="0">
      <w:start w:val="1"/>
      <w:numFmt w:val="decimal"/>
      <w:isLgl/>
      <w:lvlText w:val="%1.%2.%3.%4.%5.%6.%7"/>
      <w:lvlJc w:val="left"/>
      <w:pPr>
        <w:ind w:left="4944" w:hanging="2160"/>
      </w:pPr>
      <w:rPr>
        <w:rFonts w:hint="default"/>
      </w:rPr>
    </w:lvl>
    <w:lvl w:ilvl="7" w:tentative="0">
      <w:start w:val="1"/>
      <w:numFmt w:val="decimal"/>
      <w:isLgl/>
      <w:lvlText w:val="%1.%2.%3.%4.%5.%6.%7.%8"/>
      <w:lvlJc w:val="left"/>
      <w:pPr>
        <w:ind w:left="5664" w:hanging="2520"/>
      </w:pPr>
      <w:rPr>
        <w:rFonts w:hint="default"/>
      </w:rPr>
    </w:lvl>
    <w:lvl w:ilvl="8" w:tentative="0">
      <w:start w:val="1"/>
      <w:numFmt w:val="decimal"/>
      <w:isLgl/>
      <w:lvlText w:val="%1.%2.%3.%4.%5.%6.%7.%8.%9"/>
      <w:lvlJc w:val="left"/>
      <w:pPr>
        <w:ind w:left="6384" w:hanging="288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0759"/>
    <w:rsid w:val="00004D7B"/>
    <w:rsid w:val="00014371"/>
    <w:rsid w:val="000153F5"/>
    <w:rsid w:val="00016823"/>
    <w:rsid w:val="00023C61"/>
    <w:rsid w:val="00024D1A"/>
    <w:rsid w:val="0002618E"/>
    <w:rsid w:val="000275D0"/>
    <w:rsid w:val="00030443"/>
    <w:rsid w:val="000306F9"/>
    <w:rsid w:val="00031654"/>
    <w:rsid w:val="00031B66"/>
    <w:rsid w:val="000359A1"/>
    <w:rsid w:val="0003761B"/>
    <w:rsid w:val="00045A43"/>
    <w:rsid w:val="00052A7C"/>
    <w:rsid w:val="00053850"/>
    <w:rsid w:val="00061686"/>
    <w:rsid w:val="0006586A"/>
    <w:rsid w:val="00066401"/>
    <w:rsid w:val="00070E5B"/>
    <w:rsid w:val="0007523C"/>
    <w:rsid w:val="0007588A"/>
    <w:rsid w:val="00086419"/>
    <w:rsid w:val="00090A19"/>
    <w:rsid w:val="00091542"/>
    <w:rsid w:val="00092785"/>
    <w:rsid w:val="00092EE4"/>
    <w:rsid w:val="0009426B"/>
    <w:rsid w:val="000951AF"/>
    <w:rsid w:val="00097127"/>
    <w:rsid w:val="000A0185"/>
    <w:rsid w:val="000A04EF"/>
    <w:rsid w:val="000A193D"/>
    <w:rsid w:val="000A2300"/>
    <w:rsid w:val="000A4ADA"/>
    <w:rsid w:val="000A5813"/>
    <w:rsid w:val="000A6471"/>
    <w:rsid w:val="000A6B52"/>
    <w:rsid w:val="000A7553"/>
    <w:rsid w:val="000A7F37"/>
    <w:rsid w:val="000B428C"/>
    <w:rsid w:val="000C017F"/>
    <w:rsid w:val="000C0627"/>
    <w:rsid w:val="000C1011"/>
    <w:rsid w:val="000C13FD"/>
    <w:rsid w:val="000C2045"/>
    <w:rsid w:val="000C2BC6"/>
    <w:rsid w:val="000C4C2F"/>
    <w:rsid w:val="000C74F2"/>
    <w:rsid w:val="000D183C"/>
    <w:rsid w:val="000D1A26"/>
    <w:rsid w:val="000D2D2C"/>
    <w:rsid w:val="000D2F6E"/>
    <w:rsid w:val="000D32E1"/>
    <w:rsid w:val="000E1230"/>
    <w:rsid w:val="000E3C61"/>
    <w:rsid w:val="000E6810"/>
    <w:rsid w:val="000E6F73"/>
    <w:rsid w:val="000E76BF"/>
    <w:rsid w:val="000E7D98"/>
    <w:rsid w:val="000F1CDD"/>
    <w:rsid w:val="000F32A8"/>
    <w:rsid w:val="000F4341"/>
    <w:rsid w:val="000F6816"/>
    <w:rsid w:val="000F70C4"/>
    <w:rsid w:val="00101BD1"/>
    <w:rsid w:val="001039EF"/>
    <w:rsid w:val="00104B20"/>
    <w:rsid w:val="00106D10"/>
    <w:rsid w:val="00106E15"/>
    <w:rsid w:val="00107377"/>
    <w:rsid w:val="00110DF7"/>
    <w:rsid w:val="0011339E"/>
    <w:rsid w:val="00113712"/>
    <w:rsid w:val="00113EE4"/>
    <w:rsid w:val="00117D54"/>
    <w:rsid w:val="001204D4"/>
    <w:rsid w:val="001243B3"/>
    <w:rsid w:val="00126C4B"/>
    <w:rsid w:val="001317C2"/>
    <w:rsid w:val="00134EE2"/>
    <w:rsid w:val="00135AE9"/>
    <w:rsid w:val="00136FF3"/>
    <w:rsid w:val="0013717C"/>
    <w:rsid w:val="001374E9"/>
    <w:rsid w:val="0014203D"/>
    <w:rsid w:val="00142E00"/>
    <w:rsid w:val="001447AE"/>
    <w:rsid w:val="00145506"/>
    <w:rsid w:val="001460C6"/>
    <w:rsid w:val="00147128"/>
    <w:rsid w:val="0015263F"/>
    <w:rsid w:val="0015294E"/>
    <w:rsid w:val="001529E8"/>
    <w:rsid w:val="00152E96"/>
    <w:rsid w:val="00154242"/>
    <w:rsid w:val="00155294"/>
    <w:rsid w:val="00155998"/>
    <w:rsid w:val="00160114"/>
    <w:rsid w:val="00163393"/>
    <w:rsid w:val="001635A2"/>
    <w:rsid w:val="00164BD8"/>
    <w:rsid w:val="001656AF"/>
    <w:rsid w:val="00170D7C"/>
    <w:rsid w:val="00171E5C"/>
    <w:rsid w:val="00173371"/>
    <w:rsid w:val="00174744"/>
    <w:rsid w:val="001757D8"/>
    <w:rsid w:val="0017751C"/>
    <w:rsid w:val="00180897"/>
    <w:rsid w:val="00180C08"/>
    <w:rsid w:val="001811FA"/>
    <w:rsid w:val="00182097"/>
    <w:rsid w:val="00182913"/>
    <w:rsid w:val="001831C0"/>
    <w:rsid w:val="001834DE"/>
    <w:rsid w:val="00183E40"/>
    <w:rsid w:val="00190A1A"/>
    <w:rsid w:val="0019374B"/>
    <w:rsid w:val="00194811"/>
    <w:rsid w:val="001970D6"/>
    <w:rsid w:val="001A0EDF"/>
    <w:rsid w:val="001A0F3B"/>
    <w:rsid w:val="001A2049"/>
    <w:rsid w:val="001A2443"/>
    <w:rsid w:val="001A2B03"/>
    <w:rsid w:val="001A3195"/>
    <w:rsid w:val="001B42ED"/>
    <w:rsid w:val="001B4918"/>
    <w:rsid w:val="001B50BF"/>
    <w:rsid w:val="001C04BD"/>
    <w:rsid w:val="001C54BA"/>
    <w:rsid w:val="001C553F"/>
    <w:rsid w:val="001C6782"/>
    <w:rsid w:val="001D2851"/>
    <w:rsid w:val="001D2AAD"/>
    <w:rsid w:val="001D34C4"/>
    <w:rsid w:val="001D5191"/>
    <w:rsid w:val="001D5649"/>
    <w:rsid w:val="001D5E3A"/>
    <w:rsid w:val="001E04A2"/>
    <w:rsid w:val="001E04E7"/>
    <w:rsid w:val="001E190B"/>
    <w:rsid w:val="001E1DCD"/>
    <w:rsid w:val="001E1E30"/>
    <w:rsid w:val="001E2F83"/>
    <w:rsid w:val="001E55F2"/>
    <w:rsid w:val="001E638B"/>
    <w:rsid w:val="001F252D"/>
    <w:rsid w:val="001F4A0B"/>
    <w:rsid w:val="001F5982"/>
    <w:rsid w:val="001F7086"/>
    <w:rsid w:val="00200A01"/>
    <w:rsid w:val="00201684"/>
    <w:rsid w:val="002025AE"/>
    <w:rsid w:val="002032BA"/>
    <w:rsid w:val="002035B0"/>
    <w:rsid w:val="002046A9"/>
    <w:rsid w:val="00206B92"/>
    <w:rsid w:val="00210151"/>
    <w:rsid w:val="00210252"/>
    <w:rsid w:val="00210EF3"/>
    <w:rsid w:val="0021133D"/>
    <w:rsid w:val="00211C91"/>
    <w:rsid w:val="00212639"/>
    <w:rsid w:val="00213F14"/>
    <w:rsid w:val="00214289"/>
    <w:rsid w:val="00217272"/>
    <w:rsid w:val="00217E2C"/>
    <w:rsid w:val="00220F86"/>
    <w:rsid w:val="0022301C"/>
    <w:rsid w:val="0022315B"/>
    <w:rsid w:val="002243D0"/>
    <w:rsid w:val="0022550D"/>
    <w:rsid w:val="00226924"/>
    <w:rsid w:val="002270F6"/>
    <w:rsid w:val="00227F54"/>
    <w:rsid w:val="002307E2"/>
    <w:rsid w:val="002315D1"/>
    <w:rsid w:val="0023196F"/>
    <w:rsid w:val="0023242B"/>
    <w:rsid w:val="00233274"/>
    <w:rsid w:val="002345CC"/>
    <w:rsid w:val="0023560A"/>
    <w:rsid w:val="002363AE"/>
    <w:rsid w:val="0023665D"/>
    <w:rsid w:val="00237182"/>
    <w:rsid w:val="00240645"/>
    <w:rsid w:val="0024124F"/>
    <w:rsid w:val="00241740"/>
    <w:rsid w:val="00241F53"/>
    <w:rsid w:val="0024270B"/>
    <w:rsid w:val="00243CBF"/>
    <w:rsid w:val="00243CE9"/>
    <w:rsid w:val="00245A9D"/>
    <w:rsid w:val="0024647A"/>
    <w:rsid w:val="00246BA1"/>
    <w:rsid w:val="00247A4F"/>
    <w:rsid w:val="00247B61"/>
    <w:rsid w:val="00247BF7"/>
    <w:rsid w:val="00252C8A"/>
    <w:rsid w:val="002534EF"/>
    <w:rsid w:val="0025371C"/>
    <w:rsid w:val="00254E00"/>
    <w:rsid w:val="0025591B"/>
    <w:rsid w:val="00255B3B"/>
    <w:rsid w:val="00255D6B"/>
    <w:rsid w:val="00257DC9"/>
    <w:rsid w:val="00260103"/>
    <w:rsid w:val="00261509"/>
    <w:rsid w:val="0026195D"/>
    <w:rsid w:val="0026302C"/>
    <w:rsid w:val="0026324F"/>
    <w:rsid w:val="002632E7"/>
    <w:rsid w:val="002633EB"/>
    <w:rsid w:val="00265A76"/>
    <w:rsid w:val="00266B99"/>
    <w:rsid w:val="002725BA"/>
    <w:rsid w:val="00273148"/>
    <w:rsid w:val="00274071"/>
    <w:rsid w:val="0027445F"/>
    <w:rsid w:val="0027596A"/>
    <w:rsid w:val="002768F0"/>
    <w:rsid w:val="00280EE8"/>
    <w:rsid w:val="002814E8"/>
    <w:rsid w:val="00283C65"/>
    <w:rsid w:val="00285989"/>
    <w:rsid w:val="002861BA"/>
    <w:rsid w:val="002872CD"/>
    <w:rsid w:val="0029292E"/>
    <w:rsid w:val="00293EB5"/>
    <w:rsid w:val="00295B01"/>
    <w:rsid w:val="0029711B"/>
    <w:rsid w:val="00297487"/>
    <w:rsid w:val="00297D13"/>
    <w:rsid w:val="002A2F62"/>
    <w:rsid w:val="002A75AE"/>
    <w:rsid w:val="002B019B"/>
    <w:rsid w:val="002B1CD4"/>
    <w:rsid w:val="002B6A15"/>
    <w:rsid w:val="002C2163"/>
    <w:rsid w:val="002C2606"/>
    <w:rsid w:val="002C2A1C"/>
    <w:rsid w:val="002C4902"/>
    <w:rsid w:val="002C6921"/>
    <w:rsid w:val="002D02E8"/>
    <w:rsid w:val="002D2777"/>
    <w:rsid w:val="002D3A4B"/>
    <w:rsid w:val="002E1B9A"/>
    <w:rsid w:val="002E3252"/>
    <w:rsid w:val="002E50BE"/>
    <w:rsid w:val="002E6B09"/>
    <w:rsid w:val="002E727E"/>
    <w:rsid w:val="002E7365"/>
    <w:rsid w:val="002F15E9"/>
    <w:rsid w:val="002F18CE"/>
    <w:rsid w:val="002F3F71"/>
    <w:rsid w:val="002F3FCA"/>
    <w:rsid w:val="00301F83"/>
    <w:rsid w:val="00302FB0"/>
    <w:rsid w:val="00303F95"/>
    <w:rsid w:val="00304CB9"/>
    <w:rsid w:val="00304E55"/>
    <w:rsid w:val="003057ED"/>
    <w:rsid w:val="00307790"/>
    <w:rsid w:val="003123EB"/>
    <w:rsid w:val="00312FD4"/>
    <w:rsid w:val="00313147"/>
    <w:rsid w:val="00313C10"/>
    <w:rsid w:val="00313DBE"/>
    <w:rsid w:val="00313EF5"/>
    <w:rsid w:val="00313F60"/>
    <w:rsid w:val="00314CE5"/>
    <w:rsid w:val="00315652"/>
    <w:rsid w:val="00315921"/>
    <w:rsid w:val="00316B7A"/>
    <w:rsid w:val="003178EE"/>
    <w:rsid w:val="00317C4C"/>
    <w:rsid w:val="003229E9"/>
    <w:rsid w:val="0032416E"/>
    <w:rsid w:val="003248EA"/>
    <w:rsid w:val="003277FD"/>
    <w:rsid w:val="003317B6"/>
    <w:rsid w:val="00335DEA"/>
    <w:rsid w:val="00336B37"/>
    <w:rsid w:val="00337E97"/>
    <w:rsid w:val="00340001"/>
    <w:rsid w:val="00340FA3"/>
    <w:rsid w:val="0034125E"/>
    <w:rsid w:val="00343220"/>
    <w:rsid w:val="00344C52"/>
    <w:rsid w:val="00344C60"/>
    <w:rsid w:val="00345D1F"/>
    <w:rsid w:val="0034662E"/>
    <w:rsid w:val="00346C09"/>
    <w:rsid w:val="00350408"/>
    <w:rsid w:val="0035046A"/>
    <w:rsid w:val="00352669"/>
    <w:rsid w:val="00354B7A"/>
    <w:rsid w:val="00355B7C"/>
    <w:rsid w:val="00357C88"/>
    <w:rsid w:val="00357E67"/>
    <w:rsid w:val="00360E74"/>
    <w:rsid w:val="00361A46"/>
    <w:rsid w:val="00361C34"/>
    <w:rsid w:val="00363A88"/>
    <w:rsid w:val="00364D70"/>
    <w:rsid w:val="00366626"/>
    <w:rsid w:val="00366ED2"/>
    <w:rsid w:val="00370F00"/>
    <w:rsid w:val="003716D6"/>
    <w:rsid w:val="003716DC"/>
    <w:rsid w:val="003726E4"/>
    <w:rsid w:val="00373C5A"/>
    <w:rsid w:val="00374EB7"/>
    <w:rsid w:val="0037564F"/>
    <w:rsid w:val="0038146A"/>
    <w:rsid w:val="0038363F"/>
    <w:rsid w:val="00384620"/>
    <w:rsid w:val="00386461"/>
    <w:rsid w:val="0039064F"/>
    <w:rsid w:val="00391BFE"/>
    <w:rsid w:val="00392F89"/>
    <w:rsid w:val="00396506"/>
    <w:rsid w:val="00396CDB"/>
    <w:rsid w:val="003972BD"/>
    <w:rsid w:val="003A03E2"/>
    <w:rsid w:val="003A24F1"/>
    <w:rsid w:val="003A3F2A"/>
    <w:rsid w:val="003A4520"/>
    <w:rsid w:val="003A762B"/>
    <w:rsid w:val="003B0720"/>
    <w:rsid w:val="003B2704"/>
    <w:rsid w:val="003B32A4"/>
    <w:rsid w:val="003B3795"/>
    <w:rsid w:val="003B4882"/>
    <w:rsid w:val="003B5829"/>
    <w:rsid w:val="003B5A5B"/>
    <w:rsid w:val="003B6FCD"/>
    <w:rsid w:val="003B79A7"/>
    <w:rsid w:val="003C11DF"/>
    <w:rsid w:val="003C30A3"/>
    <w:rsid w:val="003C3FDD"/>
    <w:rsid w:val="003C42E8"/>
    <w:rsid w:val="003C47A2"/>
    <w:rsid w:val="003C6576"/>
    <w:rsid w:val="003C7003"/>
    <w:rsid w:val="003C77C9"/>
    <w:rsid w:val="003D0278"/>
    <w:rsid w:val="003D0B17"/>
    <w:rsid w:val="003D2CDC"/>
    <w:rsid w:val="003D46A7"/>
    <w:rsid w:val="003D782C"/>
    <w:rsid w:val="003E1FDD"/>
    <w:rsid w:val="003E2626"/>
    <w:rsid w:val="003E2B5C"/>
    <w:rsid w:val="003E36E9"/>
    <w:rsid w:val="003E4590"/>
    <w:rsid w:val="003E4A8C"/>
    <w:rsid w:val="003E5AD5"/>
    <w:rsid w:val="003E5FB4"/>
    <w:rsid w:val="003E70C0"/>
    <w:rsid w:val="003F01CB"/>
    <w:rsid w:val="003F0649"/>
    <w:rsid w:val="003F06D7"/>
    <w:rsid w:val="003F085E"/>
    <w:rsid w:val="003F1C8B"/>
    <w:rsid w:val="003F4FFE"/>
    <w:rsid w:val="003F5671"/>
    <w:rsid w:val="00400042"/>
    <w:rsid w:val="00403B66"/>
    <w:rsid w:val="00405E73"/>
    <w:rsid w:val="00407B15"/>
    <w:rsid w:val="00410792"/>
    <w:rsid w:val="00410A36"/>
    <w:rsid w:val="004123B4"/>
    <w:rsid w:val="00414F83"/>
    <w:rsid w:val="0041576C"/>
    <w:rsid w:val="00416FC1"/>
    <w:rsid w:val="004218EF"/>
    <w:rsid w:val="00423F8C"/>
    <w:rsid w:val="004324DA"/>
    <w:rsid w:val="00432DF3"/>
    <w:rsid w:val="00435466"/>
    <w:rsid w:val="00435B2F"/>
    <w:rsid w:val="0044061B"/>
    <w:rsid w:val="00440A12"/>
    <w:rsid w:val="00440D22"/>
    <w:rsid w:val="00441727"/>
    <w:rsid w:val="00442CD5"/>
    <w:rsid w:val="004447AE"/>
    <w:rsid w:val="0044596C"/>
    <w:rsid w:val="00450901"/>
    <w:rsid w:val="00452A9F"/>
    <w:rsid w:val="00453455"/>
    <w:rsid w:val="00455D70"/>
    <w:rsid w:val="0045628C"/>
    <w:rsid w:val="0045797C"/>
    <w:rsid w:val="00463EB3"/>
    <w:rsid w:val="004656BB"/>
    <w:rsid w:val="00465EBA"/>
    <w:rsid w:val="00470388"/>
    <w:rsid w:val="00471068"/>
    <w:rsid w:val="004716B6"/>
    <w:rsid w:val="004725D1"/>
    <w:rsid w:val="00473985"/>
    <w:rsid w:val="00474FD9"/>
    <w:rsid w:val="00475918"/>
    <w:rsid w:val="00481099"/>
    <w:rsid w:val="004834DD"/>
    <w:rsid w:val="00484450"/>
    <w:rsid w:val="004848AF"/>
    <w:rsid w:val="00485AD6"/>
    <w:rsid w:val="00490C97"/>
    <w:rsid w:val="0049123F"/>
    <w:rsid w:val="00492325"/>
    <w:rsid w:val="00492488"/>
    <w:rsid w:val="00492952"/>
    <w:rsid w:val="004939AC"/>
    <w:rsid w:val="00493A4B"/>
    <w:rsid w:val="0049417A"/>
    <w:rsid w:val="004956DA"/>
    <w:rsid w:val="00496F8A"/>
    <w:rsid w:val="00497B87"/>
    <w:rsid w:val="004A50C0"/>
    <w:rsid w:val="004A6754"/>
    <w:rsid w:val="004B00FE"/>
    <w:rsid w:val="004B0BAF"/>
    <w:rsid w:val="004B5567"/>
    <w:rsid w:val="004B7E28"/>
    <w:rsid w:val="004C1182"/>
    <w:rsid w:val="004C1718"/>
    <w:rsid w:val="004C17C4"/>
    <w:rsid w:val="004C3115"/>
    <w:rsid w:val="004C6102"/>
    <w:rsid w:val="004C7755"/>
    <w:rsid w:val="004C7984"/>
    <w:rsid w:val="004D193B"/>
    <w:rsid w:val="004D2753"/>
    <w:rsid w:val="004D28E9"/>
    <w:rsid w:val="004D575B"/>
    <w:rsid w:val="004D74BB"/>
    <w:rsid w:val="004E1090"/>
    <w:rsid w:val="004E14A0"/>
    <w:rsid w:val="004E19CD"/>
    <w:rsid w:val="004E1D17"/>
    <w:rsid w:val="004E25E6"/>
    <w:rsid w:val="004E41DF"/>
    <w:rsid w:val="004E4EB9"/>
    <w:rsid w:val="004E57B6"/>
    <w:rsid w:val="004E6D60"/>
    <w:rsid w:val="004E7E31"/>
    <w:rsid w:val="004F04BB"/>
    <w:rsid w:val="004F34C2"/>
    <w:rsid w:val="004F421E"/>
    <w:rsid w:val="004F4E7E"/>
    <w:rsid w:val="004F5046"/>
    <w:rsid w:val="005000D7"/>
    <w:rsid w:val="005019F8"/>
    <w:rsid w:val="00504447"/>
    <w:rsid w:val="00504472"/>
    <w:rsid w:val="005061BE"/>
    <w:rsid w:val="005141DF"/>
    <w:rsid w:val="00521511"/>
    <w:rsid w:val="00521D1F"/>
    <w:rsid w:val="00521EDF"/>
    <w:rsid w:val="005228E2"/>
    <w:rsid w:val="00527AFA"/>
    <w:rsid w:val="00530F52"/>
    <w:rsid w:val="00532032"/>
    <w:rsid w:val="00532470"/>
    <w:rsid w:val="00533905"/>
    <w:rsid w:val="00534800"/>
    <w:rsid w:val="005358ED"/>
    <w:rsid w:val="00536B0A"/>
    <w:rsid w:val="00541C68"/>
    <w:rsid w:val="00542B2A"/>
    <w:rsid w:val="00542B8A"/>
    <w:rsid w:val="00543C5E"/>
    <w:rsid w:val="00545BF7"/>
    <w:rsid w:val="00551492"/>
    <w:rsid w:val="005532B7"/>
    <w:rsid w:val="00554253"/>
    <w:rsid w:val="0055597D"/>
    <w:rsid w:val="005569CF"/>
    <w:rsid w:val="00557501"/>
    <w:rsid w:val="00561A34"/>
    <w:rsid w:val="00561BD6"/>
    <w:rsid w:val="0056358D"/>
    <w:rsid w:val="005635E0"/>
    <w:rsid w:val="00564D8D"/>
    <w:rsid w:val="00566A5D"/>
    <w:rsid w:val="00571599"/>
    <w:rsid w:val="005718DF"/>
    <w:rsid w:val="00572EBE"/>
    <w:rsid w:val="0057351A"/>
    <w:rsid w:val="00575759"/>
    <w:rsid w:val="0057576A"/>
    <w:rsid w:val="00582FFC"/>
    <w:rsid w:val="00583677"/>
    <w:rsid w:val="0058741C"/>
    <w:rsid w:val="0059059B"/>
    <w:rsid w:val="005909BB"/>
    <w:rsid w:val="00592067"/>
    <w:rsid w:val="005923BA"/>
    <w:rsid w:val="005946BB"/>
    <w:rsid w:val="00595815"/>
    <w:rsid w:val="005962F6"/>
    <w:rsid w:val="005A159D"/>
    <w:rsid w:val="005A4F56"/>
    <w:rsid w:val="005A5477"/>
    <w:rsid w:val="005A5E00"/>
    <w:rsid w:val="005A7968"/>
    <w:rsid w:val="005B0913"/>
    <w:rsid w:val="005B115C"/>
    <w:rsid w:val="005B267D"/>
    <w:rsid w:val="005B46F2"/>
    <w:rsid w:val="005B5956"/>
    <w:rsid w:val="005C142F"/>
    <w:rsid w:val="005C179B"/>
    <w:rsid w:val="005C1D1B"/>
    <w:rsid w:val="005C3984"/>
    <w:rsid w:val="005C3B1A"/>
    <w:rsid w:val="005C7FE7"/>
    <w:rsid w:val="005D424A"/>
    <w:rsid w:val="005D490E"/>
    <w:rsid w:val="005E18B5"/>
    <w:rsid w:val="005E41AF"/>
    <w:rsid w:val="005E490A"/>
    <w:rsid w:val="005E6464"/>
    <w:rsid w:val="005E797A"/>
    <w:rsid w:val="005F1A60"/>
    <w:rsid w:val="005F2ED4"/>
    <w:rsid w:val="005F5D3C"/>
    <w:rsid w:val="0060014A"/>
    <w:rsid w:val="00601B88"/>
    <w:rsid w:val="00602765"/>
    <w:rsid w:val="00603D33"/>
    <w:rsid w:val="006050C8"/>
    <w:rsid w:val="006053ED"/>
    <w:rsid w:val="00605AC4"/>
    <w:rsid w:val="00605D72"/>
    <w:rsid w:val="00606823"/>
    <w:rsid w:val="00610D62"/>
    <w:rsid w:val="0062062F"/>
    <w:rsid w:val="00623E5F"/>
    <w:rsid w:val="0062616C"/>
    <w:rsid w:val="006324B5"/>
    <w:rsid w:val="006324F4"/>
    <w:rsid w:val="00632753"/>
    <w:rsid w:val="00633CE6"/>
    <w:rsid w:val="006343B0"/>
    <w:rsid w:val="006350F2"/>
    <w:rsid w:val="006359E0"/>
    <w:rsid w:val="006410A3"/>
    <w:rsid w:val="006457D8"/>
    <w:rsid w:val="00650BC2"/>
    <w:rsid w:val="00650CBA"/>
    <w:rsid w:val="00650FC1"/>
    <w:rsid w:val="00651D11"/>
    <w:rsid w:val="00653521"/>
    <w:rsid w:val="00653847"/>
    <w:rsid w:val="00654078"/>
    <w:rsid w:val="00654181"/>
    <w:rsid w:val="00657E98"/>
    <w:rsid w:val="00660107"/>
    <w:rsid w:val="006626ED"/>
    <w:rsid w:val="00663B05"/>
    <w:rsid w:val="00664348"/>
    <w:rsid w:val="0066674C"/>
    <w:rsid w:val="00666D3E"/>
    <w:rsid w:val="0067116F"/>
    <w:rsid w:val="00674BBA"/>
    <w:rsid w:val="006762F4"/>
    <w:rsid w:val="00676DD5"/>
    <w:rsid w:val="00685A97"/>
    <w:rsid w:val="00685D7F"/>
    <w:rsid w:val="00686D1F"/>
    <w:rsid w:val="006870AB"/>
    <w:rsid w:val="006924AB"/>
    <w:rsid w:val="00693319"/>
    <w:rsid w:val="0069638D"/>
    <w:rsid w:val="006974FE"/>
    <w:rsid w:val="006A0F21"/>
    <w:rsid w:val="006A341B"/>
    <w:rsid w:val="006A386F"/>
    <w:rsid w:val="006A451A"/>
    <w:rsid w:val="006A4553"/>
    <w:rsid w:val="006A4D9E"/>
    <w:rsid w:val="006A7E6C"/>
    <w:rsid w:val="006B467A"/>
    <w:rsid w:val="006B54A5"/>
    <w:rsid w:val="006B6115"/>
    <w:rsid w:val="006B6855"/>
    <w:rsid w:val="006C0F1D"/>
    <w:rsid w:val="006C1D2E"/>
    <w:rsid w:val="006C2E0B"/>
    <w:rsid w:val="006C2FDD"/>
    <w:rsid w:val="006C3F42"/>
    <w:rsid w:val="006C63B0"/>
    <w:rsid w:val="006C7EA6"/>
    <w:rsid w:val="006D0436"/>
    <w:rsid w:val="006D48A7"/>
    <w:rsid w:val="006D491A"/>
    <w:rsid w:val="006D4B7E"/>
    <w:rsid w:val="006D4B91"/>
    <w:rsid w:val="006D4FB3"/>
    <w:rsid w:val="006D530F"/>
    <w:rsid w:val="006D564D"/>
    <w:rsid w:val="006D6830"/>
    <w:rsid w:val="006E0963"/>
    <w:rsid w:val="006E34A0"/>
    <w:rsid w:val="006E41B6"/>
    <w:rsid w:val="006E48CE"/>
    <w:rsid w:val="006F018A"/>
    <w:rsid w:val="006F2180"/>
    <w:rsid w:val="006F2477"/>
    <w:rsid w:val="006F4774"/>
    <w:rsid w:val="006F4ECA"/>
    <w:rsid w:val="006F571F"/>
    <w:rsid w:val="006F66F8"/>
    <w:rsid w:val="006F6FDD"/>
    <w:rsid w:val="006F7BA8"/>
    <w:rsid w:val="006F7CCC"/>
    <w:rsid w:val="006F7D5A"/>
    <w:rsid w:val="007019C1"/>
    <w:rsid w:val="00702954"/>
    <w:rsid w:val="00702EB5"/>
    <w:rsid w:val="007033DE"/>
    <w:rsid w:val="00704705"/>
    <w:rsid w:val="00705DAB"/>
    <w:rsid w:val="00710F72"/>
    <w:rsid w:val="0071279A"/>
    <w:rsid w:val="0071677F"/>
    <w:rsid w:val="007177ED"/>
    <w:rsid w:val="007207D7"/>
    <w:rsid w:val="00720F4B"/>
    <w:rsid w:val="00722E22"/>
    <w:rsid w:val="00723505"/>
    <w:rsid w:val="00723CB4"/>
    <w:rsid w:val="0072458F"/>
    <w:rsid w:val="00732396"/>
    <w:rsid w:val="007333C8"/>
    <w:rsid w:val="0073494A"/>
    <w:rsid w:val="0073588F"/>
    <w:rsid w:val="00740BD9"/>
    <w:rsid w:val="00741A21"/>
    <w:rsid w:val="00742356"/>
    <w:rsid w:val="00743279"/>
    <w:rsid w:val="00747FFC"/>
    <w:rsid w:val="0075016D"/>
    <w:rsid w:val="00750E07"/>
    <w:rsid w:val="00751E70"/>
    <w:rsid w:val="007562DC"/>
    <w:rsid w:val="00757075"/>
    <w:rsid w:val="007612C8"/>
    <w:rsid w:val="007614CD"/>
    <w:rsid w:val="00761DF4"/>
    <w:rsid w:val="00761F10"/>
    <w:rsid w:val="0076238A"/>
    <w:rsid w:val="00762392"/>
    <w:rsid w:val="007629A9"/>
    <w:rsid w:val="00764A64"/>
    <w:rsid w:val="00765931"/>
    <w:rsid w:val="00767E53"/>
    <w:rsid w:val="007707A9"/>
    <w:rsid w:val="0077118C"/>
    <w:rsid w:val="0077204A"/>
    <w:rsid w:val="00772E74"/>
    <w:rsid w:val="00773C89"/>
    <w:rsid w:val="00774D98"/>
    <w:rsid w:val="007758AB"/>
    <w:rsid w:val="00777E1F"/>
    <w:rsid w:val="007829DF"/>
    <w:rsid w:val="00782F52"/>
    <w:rsid w:val="0078552A"/>
    <w:rsid w:val="00790980"/>
    <w:rsid w:val="00794C3C"/>
    <w:rsid w:val="007A020D"/>
    <w:rsid w:val="007A1AEC"/>
    <w:rsid w:val="007A5101"/>
    <w:rsid w:val="007B2290"/>
    <w:rsid w:val="007B32EE"/>
    <w:rsid w:val="007B33C1"/>
    <w:rsid w:val="007B480C"/>
    <w:rsid w:val="007B60C3"/>
    <w:rsid w:val="007B7E77"/>
    <w:rsid w:val="007C1D8F"/>
    <w:rsid w:val="007C3555"/>
    <w:rsid w:val="007C410D"/>
    <w:rsid w:val="007C5E5B"/>
    <w:rsid w:val="007C68B1"/>
    <w:rsid w:val="007C6B1D"/>
    <w:rsid w:val="007D0CAA"/>
    <w:rsid w:val="007D1638"/>
    <w:rsid w:val="007D2032"/>
    <w:rsid w:val="007D4974"/>
    <w:rsid w:val="007D4E4F"/>
    <w:rsid w:val="007D589E"/>
    <w:rsid w:val="007D74EF"/>
    <w:rsid w:val="007D76EE"/>
    <w:rsid w:val="007E2113"/>
    <w:rsid w:val="007E5958"/>
    <w:rsid w:val="007E7AD1"/>
    <w:rsid w:val="007F1A42"/>
    <w:rsid w:val="007F2536"/>
    <w:rsid w:val="007F28CD"/>
    <w:rsid w:val="007F413C"/>
    <w:rsid w:val="007F456E"/>
    <w:rsid w:val="007F6FBF"/>
    <w:rsid w:val="007F769F"/>
    <w:rsid w:val="007F78A3"/>
    <w:rsid w:val="00800949"/>
    <w:rsid w:val="00803738"/>
    <w:rsid w:val="00804DA7"/>
    <w:rsid w:val="00807635"/>
    <w:rsid w:val="00813149"/>
    <w:rsid w:val="00814822"/>
    <w:rsid w:val="00814DAE"/>
    <w:rsid w:val="0081510F"/>
    <w:rsid w:val="008164B8"/>
    <w:rsid w:val="0081653C"/>
    <w:rsid w:val="0081773A"/>
    <w:rsid w:val="00820B7D"/>
    <w:rsid w:val="00820CD6"/>
    <w:rsid w:val="00822C88"/>
    <w:rsid w:val="00823489"/>
    <w:rsid w:val="008236E2"/>
    <w:rsid w:val="0082472A"/>
    <w:rsid w:val="00825AE5"/>
    <w:rsid w:val="00826E06"/>
    <w:rsid w:val="00831837"/>
    <w:rsid w:val="008328D4"/>
    <w:rsid w:val="00832E07"/>
    <w:rsid w:val="008365F3"/>
    <w:rsid w:val="008371DB"/>
    <w:rsid w:val="00837D08"/>
    <w:rsid w:val="00842687"/>
    <w:rsid w:val="0084473D"/>
    <w:rsid w:val="008479F6"/>
    <w:rsid w:val="008511DB"/>
    <w:rsid w:val="00851CE7"/>
    <w:rsid w:val="00851F55"/>
    <w:rsid w:val="0085224E"/>
    <w:rsid w:val="008549A6"/>
    <w:rsid w:val="0086294F"/>
    <w:rsid w:val="00862E1F"/>
    <w:rsid w:val="00864352"/>
    <w:rsid w:val="00864F86"/>
    <w:rsid w:val="008725B9"/>
    <w:rsid w:val="008732A5"/>
    <w:rsid w:val="00873927"/>
    <w:rsid w:val="008753ED"/>
    <w:rsid w:val="00876285"/>
    <w:rsid w:val="00877BC0"/>
    <w:rsid w:val="0088013B"/>
    <w:rsid w:val="008804F7"/>
    <w:rsid w:val="00881BED"/>
    <w:rsid w:val="00881FC3"/>
    <w:rsid w:val="008831FA"/>
    <w:rsid w:val="0088428C"/>
    <w:rsid w:val="00884934"/>
    <w:rsid w:val="00885981"/>
    <w:rsid w:val="008933B3"/>
    <w:rsid w:val="008958F8"/>
    <w:rsid w:val="008A3315"/>
    <w:rsid w:val="008A468B"/>
    <w:rsid w:val="008A4AFC"/>
    <w:rsid w:val="008A4ECE"/>
    <w:rsid w:val="008A6A10"/>
    <w:rsid w:val="008A6E5B"/>
    <w:rsid w:val="008B1E8C"/>
    <w:rsid w:val="008B277F"/>
    <w:rsid w:val="008B337F"/>
    <w:rsid w:val="008B34D4"/>
    <w:rsid w:val="008B4B0F"/>
    <w:rsid w:val="008B4C1C"/>
    <w:rsid w:val="008C0269"/>
    <w:rsid w:val="008C34D9"/>
    <w:rsid w:val="008C36AE"/>
    <w:rsid w:val="008C45EB"/>
    <w:rsid w:val="008C5952"/>
    <w:rsid w:val="008D01EE"/>
    <w:rsid w:val="008D43FE"/>
    <w:rsid w:val="008D4B10"/>
    <w:rsid w:val="008D6232"/>
    <w:rsid w:val="008D668D"/>
    <w:rsid w:val="008D6E09"/>
    <w:rsid w:val="008D7FC2"/>
    <w:rsid w:val="008E08E8"/>
    <w:rsid w:val="008E1376"/>
    <w:rsid w:val="008E349C"/>
    <w:rsid w:val="008E7D7E"/>
    <w:rsid w:val="008F3CBC"/>
    <w:rsid w:val="008F6BB4"/>
    <w:rsid w:val="008F7A48"/>
    <w:rsid w:val="0090213E"/>
    <w:rsid w:val="00902553"/>
    <w:rsid w:val="00904819"/>
    <w:rsid w:val="009050FD"/>
    <w:rsid w:val="00907177"/>
    <w:rsid w:val="00911828"/>
    <w:rsid w:val="00912DBB"/>
    <w:rsid w:val="00915EE7"/>
    <w:rsid w:val="009170C5"/>
    <w:rsid w:val="00917219"/>
    <w:rsid w:val="00917A0B"/>
    <w:rsid w:val="00920960"/>
    <w:rsid w:val="00920EE1"/>
    <w:rsid w:val="00923BE3"/>
    <w:rsid w:val="00923F9B"/>
    <w:rsid w:val="00924B06"/>
    <w:rsid w:val="009259EF"/>
    <w:rsid w:val="009262A4"/>
    <w:rsid w:val="00926F09"/>
    <w:rsid w:val="00927C29"/>
    <w:rsid w:val="00931D79"/>
    <w:rsid w:val="0094061E"/>
    <w:rsid w:val="0094190E"/>
    <w:rsid w:val="00941D35"/>
    <w:rsid w:val="00941F53"/>
    <w:rsid w:val="00942211"/>
    <w:rsid w:val="009436C5"/>
    <w:rsid w:val="00945127"/>
    <w:rsid w:val="009451BF"/>
    <w:rsid w:val="009462AB"/>
    <w:rsid w:val="00946E55"/>
    <w:rsid w:val="00950589"/>
    <w:rsid w:val="00950B17"/>
    <w:rsid w:val="00951193"/>
    <w:rsid w:val="00951A0A"/>
    <w:rsid w:val="00951D5D"/>
    <w:rsid w:val="00953112"/>
    <w:rsid w:val="00953CA8"/>
    <w:rsid w:val="0096057F"/>
    <w:rsid w:val="00962C9E"/>
    <w:rsid w:val="009642DD"/>
    <w:rsid w:val="009656D1"/>
    <w:rsid w:val="009670EC"/>
    <w:rsid w:val="0096767E"/>
    <w:rsid w:val="00971D32"/>
    <w:rsid w:val="00973086"/>
    <w:rsid w:val="00980A3A"/>
    <w:rsid w:val="00980EBA"/>
    <w:rsid w:val="009817EE"/>
    <w:rsid w:val="00981B71"/>
    <w:rsid w:val="0098248F"/>
    <w:rsid w:val="00982595"/>
    <w:rsid w:val="009826D7"/>
    <w:rsid w:val="00983646"/>
    <w:rsid w:val="00983762"/>
    <w:rsid w:val="00983D54"/>
    <w:rsid w:val="0098402A"/>
    <w:rsid w:val="009853EC"/>
    <w:rsid w:val="00990D19"/>
    <w:rsid w:val="009920C7"/>
    <w:rsid w:val="009931BD"/>
    <w:rsid w:val="009970B6"/>
    <w:rsid w:val="009A0F27"/>
    <w:rsid w:val="009A2332"/>
    <w:rsid w:val="009A2AD8"/>
    <w:rsid w:val="009A2DC0"/>
    <w:rsid w:val="009A4425"/>
    <w:rsid w:val="009A46BB"/>
    <w:rsid w:val="009A5CAB"/>
    <w:rsid w:val="009B0BF6"/>
    <w:rsid w:val="009B0F91"/>
    <w:rsid w:val="009B2528"/>
    <w:rsid w:val="009B303A"/>
    <w:rsid w:val="009B5DCA"/>
    <w:rsid w:val="009B67CD"/>
    <w:rsid w:val="009B68F6"/>
    <w:rsid w:val="009C471F"/>
    <w:rsid w:val="009C6AC8"/>
    <w:rsid w:val="009D2ED2"/>
    <w:rsid w:val="009D7AA9"/>
    <w:rsid w:val="009E123E"/>
    <w:rsid w:val="009E208E"/>
    <w:rsid w:val="009E37D0"/>
    <w:rsid w:val="009E4C26"/>
    <w:rsid w:val="009E66C7"/>
    <w:rsid w:val="009E6C03"/>
    <w:rsid w:val="009E6F2D"/>
    <w:rsid w:val="009F0B9B"/>
    <w:rsid w:val="009F112D"/>
    <w:rsid w:val="009F1610"/>
    <w:rsid w:val="009F4374"/>
    <w:rsid w:val="009F4881"/>
    <w:rsid w:val="009F6CEF"/>
    <w:rsid w:val="009F6D10"/>
    <w:rsid w:val="00A00FA4"/>
    <w:rsid w:val="00A011A9"/>
    <w:rsid w:val="00A02AD5"/>
    <w:rsid w:val="00A04B3F"/>
    <w:rsid w:val="00A07169"/>
    <w:rsid w:val="00A07CA5"/>
    <w:rsid w:val="00A1033A"/>
    <w:rsid w:val="00A17588"/>
    <w:rsid w:val="00A17974"/>
    <w:rsid w:val="00A17ADC"/>
    <w:rsid w:val="00A17C86"/>
    <w:rsid w:val="00A17E97"/>
    <w:rsid w:val="00A211B1"/>
    <w:rsid w:val="00A22D98"/>
    <w:rsid w:val="00A24B28"/>
    <w:rsid w:val="00A31789"/>
    <w:rsid w:val="00A32328"/>
    <w:rsid w:val="00A3294F"/>
    <w:rsid w:val="00A33C90"/>
    <w:rsid w:val="00A341C4"/>
    <w:rsid w:val="00A360EC"/>
    <w:rsid w:val="00A36317"/>
    <w:rsid w:val="00A36357"/>
    <w:rsid w:val="00A37C52"/>
    <w:rsid w:val="00A452D9"/>
    <w:rsid w:val="00A4567C"/>
    <w:rsid w:val="00A45914"/>
    <w:rsid w:val="00A47630"/>
    <w:rsid w:val="00A53C4C"/>
    <w:rsid w:val="00A55009"/>
    <w:rsid w:val="00A57AA4"/>
    <w:rsid w:val="00A60000"/>
    <w:rsid w:val="00A600EB"/>
    <w:rsid w:val="00A669F6"/>
    <w:rsid w:val="00A727C7"/>
    <w:rsid w:val="00A74244"/>
    <w:rsid w:val="00A7724A"/>
    <w:rsid w:val="00A8042D"/>
    <w:rsid w:val="00A80EFD"/>
    <w:rsid w:val="00A81D13"/>
    <w:rsid w:val="00A82393"/>
    <w:rsid w:val="00A8308B"/>
    <w:rsid w:val="00A833F7"/>
    <w:rsid w:val="00A84011"/>
    <w:rsid w:val="00A84617"/>
    <w:rsid w:val="00A84AE8"/>
    <w:rsid w:val="00A85099"/>
    <w:rsid w:val="00A85E2D"/>
    <w:rsid w:val="00A8672D"/>
    <w:rsid w:val="00A871E2"/>
    <w:rsid w:val="00A906FD"/>
    <w:rsid w:val="00A95191"/>
    <w:rsid w:val="00AA1BDE"/>
    <w:rsid w:val="00AA24D1"/>
    <w:rsid w:val="00AA4122"/>
    <w:rsid w:val="00AA5107"/>
    <w:rsid w:val="00AA5285"/>
    <w:rsid w:val="00AA6121"/>
    <w:rsid w:val="00AB2519"/>
    <w:rsid w:val="00AB6033"/>
    <w:rsid w:val="00AB68BA"/>
    <w:rsid w:val="00AC07ED"/>
    <w:rsid w:val="00AC369A"/>
    <w:rsid w:val="00AC3FA8"/>
    <w:rsid w:val="00AC670C"/>
    <w:rsid w:val="00AC7B7E"/>
    <w:rsid w:val="00AD0982"/>
    <w:rsid w:val="00AD74F2"/>
    <w:rsid w:val="00AE0988"/>
    <w:rsid w:val="00AE135E"/>
    <w:rsid w:val="00AE205C"/>
    <w:rsid w:val="00AE39F2"/>
    <w:rsid w:val="00AE6486"/>
    <w:rsid w:val="00AF31C0"/>
    <w:rsid w:val="00AF5950"/>
    <w:rsid w:val="00AF6DA8"/>
    <w:rsid w:val="00B01630"/>
    <w:rsid w:val="00B04496"/>
    <w:rsid w:val="00B05083"/>
    <w:rsid w:val="00B065F4"/>
    <w:rsid w:val="00B07923"/>
    <w:rsid w:val="00B11DBD"/>
    <w:rsid w:val="00B11E7B"/>
    <w:rsid w:val="00B12299"/>
    <w:rsid w:val="00B13BD1"/>
    <w:rsid w:val="00B15F11"/>
    <w:rsid w:val="00B17906"/>
    <w:rsid w:val="00B17EA2"/>
    <w:rsid w:val="00B2417B"/>
    <w:rsid w:val="00B254F1"/>
    <w:rsid w:val="00B313CC"/>
    <w:rsid w:val="00B31A88"/>
    <w:rsid w:val="00B31F23"/>
    <w:rsid w:val="00B338D4"/>
    <w:rsid w:val="00B34C6B"/>
    <w:rsid w:val="00B35A72"/>
    <w:rsid w:val="00B369FC"/>
    <w:rsid w:val="00B41CA1"/>
    <w:rsid w:val="00B42DF8"/>
    <w:rsid w:val="00B435AF"/>
    <w:rsid w:val="00B43686"/>
    <w:rsid w:val="00B46E98"/>
    <w:rsid w:val="00B508D8"/>
    <w:rsid w:val="00B54956"/>
    <w:rsid w:val="00B552B6"/>
    <w:rsid w:val="00B5645A"/>
    <w:rsid w:val="00B56E2F"/>
    <w:rsid w:val="00B57D7A"/>
    <w:rsid w:val="00B61DC4"/>
    <w:rsid w:val="00B63B78"/>
    <w:rsid w:val="00B646B7"/>
    <w:rsid w:val="00B70C90"/>
    <w:rsid w:val="00B71626"/>
    <w:rsid w:val="00B72718"/>
    <w:rsid w:val="00B72C45"/>
    <w:rsid w:val="00B7337F"/>
    <w:rsid w:val="00B7677F"/>
    <w:rsid w:val="00B80055"/>
    <w:rsid w:val="00B81627"/>
    <w:rsid w:val="00B816C3"/>
    <w:rsid w:val="00B82454"/>
    <w:rsid w:val="00B82B70"/>
    <w:rsid w:val="00B8705F"/>
    <w:rsid w:val="00B878FB"/>
    <w:rsid w:val="00B90D1E"/>
    <w:rsid w:val="00B91EBF"/>
    <w:rsid w:val="00B9287B"/>
    <w:rsid w:val="00B92C1D"/>
    <w:rsid w:val="00B933BF"/>
    <w:rsid w:val="00B94120"/>
    <w:rsid w:val="00B94489"/>
    <w:rsid w:val="00B9522D"/>
    <w:rsid w:val="00BA1666"/>
    <w:rsid w:val="00BA38E2"/>
    <w:rsid w:val="00BA3E40"/>
    <w:rsid w:val="00BA4263"/>
    <w:rsid w:val="00BA45B4"/>
    <w:rsid w:val="00BA759B"/>
    <w:rsid w:val="00BB1134"/>
    <w:rsid w:val="00BB4751"/>
    <w:rsid w:val="00BB557B"/>
    <w:rsid w:val="00BB5E5E"/>
    <w:rsid w:val="00BB5FAF"/>
    <w:rsid w:val="00BB6B3C"/>
    <w:rsid w:val="00BC63E8"/>
    <w:rsid w:val="00BC7E14"/>
    <w:rsid w:val="00BD0C18"/>
    <w:rsid w:val="00BD20B9"/>
    <w:rsid w:val="00BD3849"/>
    <w:rsid w:val="00BD3D5E"/>
    <w:rsid w:val="00BE2D56"/>
    <w:rsid w:val="00BE50D9"/>
    <w:rsid w:val="00BE58C1"/>
    <w:rsid w:val="00BE632E"/>
    <w:rsid w:val="00BE7E7F"/>
    <w:rsid w:val="00BF0D07"/>
    <w:rsid w:val="00BF33FC"/>
    <w:rsid w:val="00BF67A6"/>
    <w:rsid w:val="00C02B22"/>
    <w:rsid w:val="00C05334"/>
    <w:rsid w:val="00C07BEE"/>
    <w:rsid w:val="00C139BE"/>
    <w:rsid w:val="00C13EB5"/>
    <w:rsid w:val="00C1535E"/>
    <w:rsid w:val="00C16EDF"/>
    <w:rsid w:val="00C1747D"/>
    <w:rsid w:val="00C20EB1"/>
    <w:rsid w:val="00C23076"/>
    <w:rsid w:val="00C2489D"/>
    <w:rsid w:val="00C27DB8"/>
    <w:rsid w:val="00C317A7"/>
    <w:rsid w:val="00C3227B"/>
    <w:rsid w:val="00C340B6"/>
    <w:rsid w:val="00C341DD"/>
    <w:rsid w:val="00C3493E"/>
    <w:rsid w:val="00C35297"/>
    <w:rsid w:val="00C3556E"/>
    <w:rsid w:val="00C36B81"/>
    <w:rsid w:val="00C403FD"/>
    <w:rsid w:val="00C40FB8"/>
    <w:rsid w:val="00C445F9"/>
    <w:rsid w:val="00C47107"/>
    <w:rsid w:val="00C51EA1"/>
    <w:rsid w:val="00C52A56"/>
    <w:rsid w:val="00C53197"/>
    <w:rsid w:val="00C536E1"/>
    <w:rsid w:val="00C54FEE"/>
    <w:rsid w:val="00C55563"/>
    <w:rsid w:val="00C6097C"/>
    <w:rsid w:val="00C63E25"/>
    <w:rsid w:val="00C6769A"/>
    <w:rsid w:val="00C67E0B"/>
    <w:rsid w:val="00C70759"/>
    <w:rsid w:val="00C715D3"/>
    <w:rsid w:val="00C722E2"/>
    <w:rsid w:val="00C72F0C"/>
    <w:rsid w:val="00C72F95"/>
    <w:rsid w:val="00C73FE2"/>
    <w:rsid w:val="00C74068"/>
    <w:rsid w:val="00C7566E"/>
    <w:rsid w:val="00C75E90"/>
    <w:rsid w:val="00C75F66"/>
    <w:rsid w:val="00C80690"/>
    <w:rsid w:val="00C80FD7"/>
    <w:rsid w:val="00C8289D"/>
    <w:rsid w:val="00C82B35"/>
    <w:rsid w:val="00C830EB"/>
    <w:rsid w:val="00C901A7"/>
    <w:rsid w:val="00C91F5A"/>
    <w:rsid w:val="00C922CE"/>
    <w:rsid w:val="00C94795"/>
    <w:rsid w:val="00C949C1"/>
    <w:rsid w:val="00C9656B"/>
    <w:rsid w:val="00C96738"/>
    <w:rsid w:val="00CA37E1"/>
    <w:rsid w:val="00CA4162"/>
    <w:rsid w:val="00CA5FB9"/>
    <w:rsid w:val="00CA6448"/>
    <w:rsid w:val="00CB3AF6"/>
    <w:rsid w:val="00CB3D34"/>
    <w:rsid w:val="00CB4C90"/>
    <w:rsid w:val="00CB5847"/>
    <w:rsid w:val="00CB704E"/>
    <w:rsid w:val="00CB78FB"/>
    <w:rsid w:val="00CB7F9F"/>
    <w:rsid w:val="00CC0987"/>
    <w:rsid w:val="00CC0CCE"/>
    <w:rsid w:val="00CC5AA9"/>
    <w:rsid w:val="00CC708F"/>
    <w:rsid w:val="00CD1781"/>
    <w:rsid w:val="00CD2A4B"/>
    <w:rsid w:val="00CD3AF0"/>
    <w:rsid w:val="00CE29EB"/>
    <w:rsid w:val="00CE7D9B"/>
    <w:rsid w:val="00CF02CB"/>
    <w:rsid w:val="00CF0DBB"/>
    <w:rsid w:val="00CF1A6E"/>
    <w:rsid w:val="00CF206D"/>
    <w:rsid w:val="00CF40F7"/>
    <w:rsid w:val="00CF5F6D"/>
    <w:rsid w:val="00CF78BF"/>
    <w:rsid w:val="00D031C8"/>
    <w:rsid w:val="00D06C92"/>
    <w:rsid w:val="00D10439"/>
    <w:rsid w:val="00D1264A"/>
    <w:rsid w:val="00D13350"/>
    <w:rsid w:val="00D17A91"/>
    <w:rsid w:val="00D17F1A"/>
    <w:rsid w:val="00D2076A"/>
    <w:rsid w:val="00D217D3"/>
    <w:rsid w:val="00D22CF5"/>
    <w:rsid w:val="00D2395D"/>
    <w:rsid w:val="00D23B17"/>
    <w:rsid w:val="00D23C17"/>
    <w:rsid w:val="00D249DD"/>
    <w:rsid w:val="00D25AD2"/>
    <w:rsid w:val="00D266E5"/>
    <w:rsid w:val="00D31064"/>
    <w:rsid w:val="00D32DD2"/>
    <w:rsid w:val="00D37B9A"/>
    <w:rsid w:val="00D42807"/>
    <w:rsid w:val="00D42D7F"/>
    <w:rsid w:val="00D432FB"/>
    <w:rsid w:val="00D45DDF"/>
    <w:rsid w:val="00D46C05"/>
    <w:rsid w:val="00D50915"/>
    <w:rsid w:val="00D526A9"/>
    <w:rsid w:val="00D52C30"/>
    <w:rsid w:val="00D55304"/>
    <w:rsid w:val="00D5615B"/>
    <w:rsid w:val="00D6000E"/>
    <w:rsid w:val="00D6201D"/>
    <w:rsid w:val="00D62C70"/>
    <w:rsid w:val="00D67A88"/>
    <w:rsid w:val="00D7053F"/>
    <w:rsid w:val="00D707E9"/>
    <w:rsid w:val="00D715EF"/>
    <w:rsid w:val="00D71FD6"/>
    <w:rsid w:val="00D72667"/>
    <w:rsid w:val="00D72E61"/>
    <w:rsid w:val="00D806F5"/>
    <w:rsid w:val="00D81E62"/>
    <w:rsid w:val="00D829B6"/>
    <w:rsid w:val="00D83AFB"/>
    <w:rsid w:val="00D83B7A"/>
    <w:rsid w:val="00D85F58"/>
    <w:rsid w:val="00D86247"/>
    <w:rsid w:val="00D90241"/>
    <w:rsid w:val="00D9039E"/>
    <w:rsid w:val="00D91519"/>
    <w:rsid w:val="00D92497"/>
    <w:rsid w:val="00D932B3"/>
    <w:rsid w:val="00D93E5B"/>
    <w:rsid w:val="00D94A64"/>
    <w:rsid w:val="00D9745D"/>
    <w:rsid w:val="00DA3A13"/>
    <w:rsid w:val="00DA490A"/>
    <w:rsid w:val="00DA4A5A"/>
    <w:rsid w:val="00DA5A00"/>
    <w:rsid w:val="00DA6112"/>
    <w:rsid w:val="00DA6980"/>
    <w:rsid w:val="00DA793C"/>
    <w:rsid w:val="00DB1A75"/>
    <w:rsid w:val="00DB2BD0"/>
    <w:rsid w:val="00DB3208"/>
    <w:rsid w:val="00DB33CE"/>
    <w:rsid w:val="00DB3A95"/>
    <w:rsid w:val="00DB6312"/>
    <w:rsid w:val="00DB7415"/>
    <w:rsid w:val="00DB78D8"/>
    <w:rsid w:val="00DC07DA"/>
    <w:rsid w:val="00DC0B43"/>
    <w:rsid w:val="00DC2AB8"/>
    <w:rsid w:val="00DC3487"/>
    <w:rsid w:val="00DC5E68"/>
    <w:rsid w:val="00DC72C7"/>
    <w:rsid w:val="00DC7E75"/>
    <w:rsid w:val="00DD0B67"/>
    <w:rsid w:val="00DD1A10"/>
    <w:rsid w:val="00DD2FAF"/>
    <w:rsid w:val="00DD38CB"/>
    <w:rsid w:val="00DD38E3"/>
    <w:rsid w:val="00DD4551"/>
    <w:rsid w:val="00DD6C8D"/>
    <w:rsid w:val="00DD726A"/>
    <w:rsid w:val="00DD79E1"/>
    <w:rsid w:val="00DE2E25"/>
    <w:rsid w:val="00DE573C"/>
    <w:rsid w:val="00DF0275"/>
    <w:rsid w:val="00DF1384"/>
    <w:rsid w:val="00DF1961"/>
    <w:rsid w:val="00DF1ED6"/>
    <w:rsid w:val="00DF3AB5"/>
    <w:rsid w:val="00DF7871"/>
    <w:rsid w:val="00E01F2A"/>
    <w:rsid w:val="00E03B01"/>
    <w:rsid w:val="00E0439B"/>
    <w:rsid w:val="00E05CE1"/>
    <w:rsid w:val="00E062B8"/>
    <w:rsid w:val="00E107C2"/>
    <w:rsid w:val="00E113B9"/>
    <w:rsid w:val="00E13DA5"/>
    <w:rsid w:val="00E14461"/>
    <w:rsid w:val="00E14AE1"/>
    <w:rsid w:val="00E166C8"/>
    <w:rsid w:val="00E16C41"/>
    <w:rsid w:val="00E1772F"/>
    <w:rsid w:val="00E301E9"/>
    <w:rsid w:val="00E332B1"/>
    <w:rsid w:val="00E332B8"/>
    <w:rsid w:val="00E33909"/>
    <w:rsid w:val="00E3511A"/>
    <w:rsid w:val="00E37FB2"/>
    <w:rsid w:val="00E40D6D"/>
    <w:rsid w:val="00E413A4"/>
    <w:rsid w:val="00E4224F"/>
    <w:rsid w:val="00E423C1"/>
    <w:rsid w:val="00E43346"/>
    <w:rsid w:val="00E443A4"/>
    <w:rsid w:val="00E4485D"/>
    <w:rsid w:val="00E478F8"/>
    <w:rsid w:val="00E479E0"/>
    <w:rsid w:val="00E508BF"/>
    <w:rsid w:val="00E53B0E"/>
    <w:rsid w:val="00E541A1"/>
    <w:rsid w:val="00E54D85"/>
    <w:rsid w:val="00E5770B"/>
    <w:rsid w:val="00E6050E"/>
    <w:rsid w:val="00E61BBF"/>
    <w:rsid w:val="00E6268E"/>
    <w:rsid w:val="00E62CAB"/>
    <w:rsid w:val="00E648E6"/>
    <w:rsid w:val="00E649C7"/>
    <w:rsid w:val="00E67468"/>
    <w:rsid w:val="00E6757E"/>
    <w:rsid w:val="00E67F18"/>
    <w:rsid w:val="00E7120C"/>
    <w:rsid w:val="00E72E22"/>
    <w:rsid w:val="00E75770"/>
    <w:rsid w:val="00E76AB3"/>
    <w:rsid w:val="00E76EAD"/>
    <w:rsid w:val="00E818AF"/>
    <w:rsid w:val="00E82D7F"/>
    <w:rsid w:val="00E82D83"/>
    <w:rsid w:val="00E83D68"/>
    <w:rsid w:val="00E841C6"/>
    <w:rsid w:val="00E86078"/>
    <w:rsid w:val="00E86AC0"/>
    <w:rsid w:val="00E87BF9"/>
    <w:rsid w:val="00E9302E"/>
    <w:rsid w:val="00E950EC"/>
    <w:rsid w:val="00E974F5"/>
    <w:rsid w:val="00EA0382"/>
    <w:rsid w:val="00EA06E5"/>
    <w:rsid w:val="00EA34C4"/>
    <w:rsid w:val="00EA3B3A"/>
    <w:rsid w:val="00EB161C"/>
    <w:rsid w:val="00EB47E6"/>
    <w:rsid w:val="00EB6952"/>
    <w:rsid w:val="00EB72E4"/>
    <w:rsid w:val="00EB7715"/>
    <w:rsid w:val="00EC0B0A"/>
    <w:rsid w:val="00EC159E"/>
    <w:rsid w:val="00EC2439"/>
    <w:rsid w:val="00EC558A"/>
    <w:rsid w:val="00EC56B1"/>
    <w:rsid w:val="00EC5DF8"/>
    <w:rsid w:val="00ED2275"/>
    <w:rsid w:val="00ED6858"/>
    <w:rsid w:val="00EE013F"/>
    <w:rsid w:val="00EE04D9"/>
    <w:rsid w:val="00EF0514"/>
    <w:rsid w:val="00EF0A94"/>
    <w:rsid w:val="00EF471F"/>
    <w:rsid w:val="00EF5A89"/>
    <w:rsid w:val="00F01681"/>
    <w:rsid w:val="00F0489D"/>
    <w:rsid w:val="00F0595C"/>
    <w:rsid w:val="00F05A21"/>
    <w:rsid w:val="00F10A23"/>
    <w:rsid w:val="00F10AE4"/>
    <w:rsid w:val="00F10CF0"/>
    <w:rsid w:val="00F12657"/>
    <w:rsid w:val="00F16F58"/>
    <w:rsid w:val="00F1706C"/>
    <w:rsid w:val="00F17685"/>
    <w:rsid w:val="00F20CAD"/>
    <w:rsid w:val="00F224B1"/>
    <w:rsid w:val="00F23A5F"/>
    <w:rsid w:val="00F24352"/>
    <w:rsid w:val="00F24B53"/>
    <w:rsid w:val="00F24E91"/>
    <w:rsid w:val="00F25563"/>
    <w:rsid w:val="00F259A6"/>
    <w:rsid w:val="00F31ACC"/>
    <w:rsid w:val="00F32603"/>
    <w:rsid w:val="00F3303D"/>
    <w:rsid w:val="00F332B0"/>
    <w:rsid w:val="00F41488"/>
    <w:rsid w:val="00F42C0D"/>
    <w:rsid w:val="00F44F8D"/>
    <w:rsid w:val="00F4529C"/>
    <w:rsid w:val="00F45A8A"/>
    <w:rsid w:val="00F51BD9"/>
    <w:rsid w:val="00F53F3C"/>
    <w:rsid w:val="00F5428A"/>
    <w:rsid w:val="00F54549"/>
    <w:rsid w:val="00F549EB"/>
    <w:rsid w:val="00F55078"/>
    <w:rsid w:val="00F62A4E"/>
    <w:rsid w:val="00F62BCE"/>
    <w:rsid w:val="00F62DBC"/>
    <w:rsid w:val="00F63E1A"/>
    <w:rsid w:val="00F667C6"/>
    <w:rsid w:val="00F66893"/>
    <w:rsid w:val="00F70646"/>
    <w:rsid w:val="00F75EF6"/>
    <w:rsid w:val="00F772F1"/>
    <w:rsid w:val="00F77B7D"/>
    <w:rsid w:val="00F8059B"/>
    <w:rsid w:val="00F845AD"/>
    <w:rsid w:val="00F853EB"/>
    <w:rsid w:val="00F85C95"/>
    <w:rsid w:val="00F862DF"/>
    <w:rsid w:val="00F8651F"/>
    <w:rsid w:val="00F86C1F"/>
    <w:rsid w:val="00F8792C"/>
    <w:rsid w:val="00F90074"/>
    <w:rsid w:val="00F90E34"/>
    <w:rsid w:val="00F92B3C"/>
    <w:rsid w:val="00F92BB7"/>
    <w:rsid w:val="00F931E9"/>
    <w:rsid w:val="00F934D9"/>
    <w:rsid w:val="00F95824"/>
    <w:rsid w:val="00FA151F"/>
    <w:rsid w:val="00FA32FC"/>
    <w:rsid w:val="00FA4DAF"/>
    <w:rsid w:val="00FA7E9B"/>
    <w:rsid w:val="00FB1769"/>
    <w:rsid w:val="00FB3EE5"/>
    <w:rsid w:val="00FB688A"/>
    <w:rsid w:val="00FB6F09"/>
    <w:rsid w:val="00FC048C"/>
    <w:rsid w:val="00FC0B44"/>
    <w:rsid w:val="00FC2CB3"/>
    <w:rsid w:val="00FC485B"/>
    <w:rsid w:val="00FC781E"/>
    <w:rsid w:val="00FD198E"/>
    <w:rsid w:val="00FD26D6"/>
    <w:rsid w:val="00FD6D8B"/>
    <w:rsid w:val="00FD7757"/>
    <w:rsid w:val="00FE04DD"/>
    <w:rsid w:val="00FE1B97"/>
    <w:rsid w:val="00FE68C7"/>
    <w:rsid w:val="00FF0410"/>
    <w:rsid w:val="00FF0AFB"/>
    <w:rsid w:val="00FF1D7F"/>
    <w:rsid w:val="00FF1FB1"/>
    <w:rsid w:val="00FF2D6F"/>
    <w:rsid w:val="00FF5507"/>
    <w:rsid w:val="00FF649E"/>
    <w:rsid w:val="00FF6A78"/>
    <w:rsid w:val="046A4043"/>
    <w:rsid w:val="13827447"/>
    <w:rsid w:val="208C4698"/>
    <w:rsid w:val="26F9488F"/>
    <w:rsid w:val="2D603924"/>
    <w:rsid w:val="332E4BC8"/>
    <w:rsid w:val="56D470A5"/>
    <w:rsid w:val="6D283292"/>
    <w:rsid w:val="6E126C88"/>
    <w:rsid w:val="7EB55862"/>
    <w:rsid w:val="7F920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ody Text"/>
    <w:basedOn w:val="1"/>
    <w:link w:val="16"/>
    <w:semiHidden/>
    <w:unhideWhenUsed/>
    <w:qFormat/>
    <w:uiPriority w:val="99"/>
    <w:pPr>
      <w:spacing w:after="120"/>
    </w:pPr>
  </w:style>
  <w:style w:type="paragraph" w:styleId="4">
    <w:name w:val="Plain Text"/>
    <w:basedOn w:val="1"/>
    <w:link w:val="21"/>
    <w:unhideWhenUsed/>
    <w:qFormat/>
    <w:uiPriority w:val="99"/>
    <w:rPr>
      <w:rFonts w:ascii="宋体" w:hAnsi="Courier New"/>
      <w:kern w:val="0"/>
      <w:sz w:val="20"/>
      <w:szCs w:val="21"/>
    </w:rPr>
  </w:style>
  <w:style w:type="paragraph" w:styleId="5">
    <w:name w:val="Balloon Text"/>
    <w:basedOn w:val="1"/>
    <w:link w:val="23"/>
    <w:semiHidden/>
    <w:unhideWhenUsed/>
    <w:qFormat/>
    <w:uiPriority w:val="99"/>
    <w:rPr>
      <w:sz w:val="18"/>
      <w:szCs w:val="18"/>
    </w:rPr>
  </w:style>
  <w:style w:type="paragraph" w:styleId="6">
    <w:name w:val="footer"/>
    <w:basedOn w:val="1"/>
    <w:link w:val="14"/>
    <w:uiPriority w:val="99"/>
    <w:pPr>
      <w:tabs>
        <w:tab w:val="center" w:pos="4153"/>
        <w:tab w:val="right" w:pos="8306"/>
      </w:tabs>
      <w:snapToGrid w:val="0"/>
      <w:jc w:val="left"/>
    </w:pPr>
    <w:rPr>
      <w:sz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rPr>
  </w:style>
  <w:style w:type="paragraph" w:styleId="8">
    <w:name w:val="annotation subject"/>
    <w:basedOn w:val="2"/>
    <w:next w:val="2"/>
    <w:link w:val="28"/>
    <w:semiHidden/>
    <w:unhideWhenUsed/>
    <w:qFormat/>
    <w:uiPriority w:val="99"/>
    <w:rPr>
      <w:b/>
      <w:bCs/>
    </w:rPr>
  </w:style>
  <w:style w:type="paragraph" w:styleId="9">
    <w:name w:val="Body Text First Indent"/>
    <w:basedOn w:val="3"/>
    <w:link w:val="13"/>
    <w:uiPriority w:val="0"/>
    <w:pPr>
      <w:ind w:firstLine="420" w:firstLineChars="100"/>
    </w:pPr>
    <w:rPr>
      <w:rFonts w:asciiTheme="minorHAnsi" w:hAnsiTheme="minorHAnsi" w:eastAsiaTheme="minorEastAsia" w:cstheme="minorBidi"/>
      <w:szCs w:val="22"/>
    </w:rPr>
  </w:style>
  <w:style w:type="character" w:styleId="12">
    <w:name w:val="annotation reference"/>
    <w:basedOn w:val="11"/>
    <w:semiHidden/>
    <w:unhideWhenUsed/>
    <w:qFormat/>
    <w:uiPriority w:val="99"/>
    <w:rPr>
      <w:sz w:val="21"/>
      <w:szCs w:val="21"/>
    </w:rPr>
  </w:style>
  <w:style w:type="character" w:customStyle="1" w:styleId="13">
    <w:name w:val="正文首行缩进 字符"/>
    <w:link w:val="9"/>
    <w:qFormat/>
    <w:uiPriority w:val="0"/>
  </w:style>
  <w:style w:type="character" w:customStyle="1" w:styleId="14">
    <w:name w:val="页脚 字符"/>
    <w:basedOn w:val="11"/>
    <w:link w:val="6"/>
    <w:qFormat/>
    <w:uiPriority w:val="99"/>
    <w:rPr>
      <w:rFonts w:ascii="Times New Roman" w:hAnsi="Times New Roman" w:eastAsia="宋体" w:cs="Times New Roman"/>
      <w:sz w:val="18"/>
      <w:szCs w:val="20"/>
    </w:rPr>
  </w:style>
  <w:style w:type="paragraph" w:customStyle="1" w:styleId="15">
    <w:name w:val="王奕改内文"/>
    <w:basedOn w:val="1"/>
    <w:link w:val="20"/>
    <w:qFormat/>
    <w:uiPriority w:val="0"/>
    <w:pPr>
      <w:widowControl/>
      <w:spacing w:line="360" w:lineRule="auto"/>
      <w:ind w:firstLine="200" w:firstLineChars="200"/>
    </w:pPr>
    <w:rPr>
      <w:rFonts w:ascii="宋体" w:hAnsi="宋体"/>
      <w:color w:val="000000"/>
      <w:spacing w:val="-4"/>
      <w:sz w:val="24"/>
    </w:rPr>
  </w:style>
  <w:style w:type="character" w:customStyle="1" w:styleId="16">
    <w:name w:val="正文文本 字符"/>
    <w:basedOn w:val="11"/>
    <w:link w:val="3"/>
    <w:semiHidden/>
    <w:qFormat/>
    <w:uiPriority w:val="99"/>
    <w:rPr>
      <w:rFonts w:ascii="Times New Roman" w:hAnsi="Times New Roman" w:eastAsia="宋体" w:cs="Times New Roman"/>
      <w:szCs w:val="20"/>
    </w:rPr>
  </w:style>
  <w:style w:type="character" w:customStyle="1" w:styleId="17">
    <w:name w:val="正文首行缩进 Char1"/>
    <w:basedOn w:val="16"/>
    <w:semiHidden/>
    <w:qFormat/>
    <w:uiPriority w:val="99"/>
    <w:rPr>
      <w:rFonts w:ascii="Times New Roman" w:hAnsi="Times New Roman" w:eastAsia="宋体" w:cs="Times New Roman"/>
      <w:szCs w:val="20"/>
    </w:rPr>
  </w:style>
  <w:style w:type="character" w:customStyle="1" w:styleId="18">
    <w:name w:val="页眉 字符"/>
    <w:basedOn w:val="11"/>
    <w:link w:val="7"/>
    <w:qFormat/>
    <w:uiPriority w:val="0"/>
    <w:rPr>
      <w:rFonts w:ascii="Times New Roman" w:hAnsi="Times New Roman" w:eastAsia="宋体" w:cs="Times New Roman"/>
      <w:sz w:val="18"/>
      <w:szCs w:val="20"/>
    </w:rPr>
  </w:style>
  <w:style w:type="paragraph" w:styleId="19">
    <w:name w:val="List Paragraph"/>
    <w:basedOn w:val="1"/>
    <w:qFormat/>
    <w:uiPriority w:val="34"/>
    <w:pPr>
      <w:ind w:firstLine="420" w:firstLineChars="200"/>
    </w:pPr>
  </w:style>
  <w:style w:type="character" w:customStyle="1" w:styleId="20">
    <w:name w:val="王奕改内文 Char"/>
    <w:link w:val="15"/>
    <w:qFormat/>
    <w:uiPriority w:val="0"/>
    <w:rPr>
      <w:rFonts w:ascii="宋体" w:hAnsi="宋体" w:eastAsia="宋体" w:cs="Times New Roman"/>
      <w:color w:val="000000"/>
      <w:spacing w:val="-4"/>
      <w:sz w:val="24"/>
      <w:szCs w:val="20"/>
    </w:rPr>
  </w:style>
  <w:style w:type="character" w:customStyle="1" w:styleId="21">
    <w:name w:val="纯文本 字符"/>
    <w:basedOn w:val="11"/>
    <w:link w:val="4"/>
    <w:qFormat/>
    <w:uiPriority w:val="99"/>
    <w:rPr>
      <w:rFonts w:ascii="宋体" w:hAnsi="Courier New" w:eastAsia="宋体" w:cs="Times New Roman"/>
      <w:kern w:val="0"/>
      <w:sz w:val="20"/>
      <w:szCs w:val="21"/>
    </w:rPr>
  </w:style>
  <w:style w:type="character" w:customStyle="1" w:styleId="22">
    <w:name w:val="批注文字 字符"/>
    <w:basedOn w:val="11"/>
    <w:link w:val="2"/>
    <w:qFormat/>
    <w:uiPriority w:val="99"/>
    <w:rPr>
      <w:rFonts w:ascii="Times New Roman" w:hAnsi="Times New Roman" w:eastAsia="宋体" w:cs="Times New Roman"/>
      <w:szCs w:val="20"/>
    </w:rPr>
  </w:style>
  <w:style w:type="character" w:customStyle="1" w:styleId="23">
    <w:name w:val="批注框文本 字符"/>
    <w:basedOn w:val="11"/>
    <w:link w:val="5"/>
    <w:semiHidden/>
    <w:qFormat/>
    <w:uiPriority w:val="99"/>
    <w:rPr>
      <w:rFonts w:ascii="Times New Roman" w:hAnsi="Times New Roman" w:eastAsia="宋体" w:cs="Times New Roman"/>
      <w:sz w:val="18"/>
      <w:szCs w:val="18"/>
    </w:rPr>
  </w:style>
  <w:style w:type="character" w:customStyle="1" w:styleId="24">
    <w:name w:val="A4"/>
    <w:unhideWhenUsed/>
    <w:uiPriority w:val="99"/>
    <w:rPr>
      <w:rFonts w:hint="eastAsia"/>
      <w:color w:val="211D1E"/>
      <w:sz w:val="16"/>
    </w:rPr>
  </w:style>
  <w:style w:type="paragraph" w:customStyle="1" w:styleId="25">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26">
    <w:name w:val="Table Paragraph"/>
    <w:basedOn w:val="1"/>
    <w:qFormat/>
    <w:uiPriority w:val="1"/>
    <w:pPr>
      <w:autoSpaceDE w:val="0"/>
      <w:autoSpaceDN w:val="0"/>
      <w:adjustRightInd w:val="0"/>
      <w:jc w:val="left"/>
    </w:pPr>
    <w:rPr>
      <w:rFonts w:eastAsiaTheme="minorEastAsia"/>
      <w:kern w:val="0"/>
      <w:sz w:val="24"/>
      <w:szCs w:val="24"/>
    </w:rPr>
  </w:style>
  <w:style w:type="paragraph" w:customStyle="1" w:styleId="27">
    <w:name w:val="列出段落1"/>
    <w:basedOn w:val="1"/>
    <w:qFormat/>
    <w:uiPriority w:val="34"/>
    <w:pPr>
      <w:ind w:firstLine="420" w:firstLineChars="200"/>
    </w:pPr>
  </w:style>
  <w:style w:type="character" w:customStyle="1" w:styleId="28">
    <w:name w:val="批注主题 字符"/>
    <w:basedOn w:val="22"/>
    <w:link w:val="8"/>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8F743-A5E0-4C25-9380-0C9AC8947960}">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24</Pages>
  <Words>4423</Words>
  <Characters>4915</Characters>
  <Lines>90</Lines>
  <Paragraphs>25</Paragraphs>
  <TotalTime>1034</TotalTime>
  <ScaleCrop>false</ScaleCrop>
  <LinksUpToDate>false</LinksUpToDate>
  <CharactersWithSpaces>5000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2020-09-02T06:33:00Z</dcterms:created>
  <dc:creator>储云高</dc:creator>
  <cp:lastModifiedBy>太极箫客</cp:lastModifiedBy>
  <dcterms:modified xsi:type="dcterms:W3CDTF">2025-08-14T06:27:04Z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67D8D017F909424F9106EAD153C40F39_12</vt:lpwstr>
  </property>
</Properties>
</file>