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3967">
      <w:pPr>
        <w:rPr>
          <w:rFonts w:ascii="黑体" w:hAnsi="黑体" w:eastAsia="黑体"/>
          <w:sz w:val="32"/>
          <w:szCs w:val="32"/>
        </w:rPr>
      </w:pPr>
      <w:bookmarkStart w:id="2" w:name="_GoBack"/>
      <w:bookmarkEnd w:id="2"/>
      <w:r>
        <w:rPr>
          <w:rFonts w:ascii="黑体" w:hAnsi="黑体" w:eastAsia="黑体"/>
          <w:sz w:val="32"/>
          <w:szCs w:val="32"/>
        </w:rPr>
        <w:t>附件2</w:t>
      </w:r>
    </w:p>
    <w:p w14:paraId="7EE2DAB1">
      <w:pPr>
        <w:spacing w:line="600" w:lineRule="exact"/>
        <w:jc w:val="center"/>
        <w:rPr>
          <w:rFonts w:eastAsia="黑体"/>
          <w:sz w:val="32"/>
          <w:szCs w:val="32"/>
        </w:rPr>
      </w:pPr>
    </w:p>
    <w:p w14:paraId="6FD85150">
      <w:pPr>
        <w:spacing w:line="600" w:lineRule="exact"/>
        <w:jc w:val="center"/>
        <w:rPr>
          <w:rFonts w:eastAsia="方正小标宋简体"/>
          <w:bCs/>
          <w:sz w:val="44"/>
          <w:szCs w:val="44"/>
        </w:rPr>
      </w:pPr>
      <w:r>
        <w:rPr>
          <w:rFonts w:eastAsia="方正小标宋简体"/>
          <w:bCs/>
          <w:sz w:val="44"/>
          <w:szCs w:val="44"/>
        </w:rPr>
        <w:t>一次性使用心电电极注册技术审查指导原则</w:t>
      </w:r>
    </w:p>
    <w:p w14:paraId="7623CF5D">
      <w:pPr>
        <w:spacing w:line="600" w:lineRule="exact"/>
        <w:jc w:val="center"/>
        <w:rPr>
          <w:rFonts w:eastAsia="仿宋_GB2312"/>
          <w:bCs/>
          <w:sz w:val="32"/>
          <w:szCs w:val="32"/>
        </w:rPr>
      </w:pPr>
    </w:p>
    <w:p w14:paraId="0A30FD2D">
      <w:pPr>
        <w:spacing w:line="590" w:lineRule="exact"/>
        <w:ind w:firstLine="640" w:firstLineChars="200"/>
        <w:rPr>
          <w:rFonts w:eastAsia="仿宋_GB2312"/>
          <w:sz w:val="32"/>
          <w:szCs w:val="32"/>
        </w:rPr>
      </w:pPr>
      <w:r>
        <w:rPr>
          <w:rFonts w:eastAsia="仿宋_GB2312"/>
          <w:sz w:val="32"/>
          <w:szCs w:val="32"/>
        </w:rPr>
        <w:t>本指导原则是对一次性使用心电电极产品的一般要求，申请人应依据具体产品的特性对注册申报资料的内容进行充实和细化。申请人还应依据具体产品的特性确定其中的具体内容是否适用，若不适用，需具体阐述其理由及相应的科学依据。</w:t>
      </w:r>
    </w:p>
    <w:p w14:paraId="2ED45E32">
      <w:pPr>
        <w:spacing w:line="590" w:lineRule="exact"/>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4173DA0E">
      <w:pPr>
        <w:spacing w:line="59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2175EEE6">
      <w:pPr>
        <w:spacing w:line="590" w:lineRule="exact"/>
        <w:ind w:firstLine="640" w:firstLineChars="200"/>
        <w:rPr>
          <w:rFonts w:ascii="黑体" w:hAnsi="黑体" w:eastAsia="黑体"/>
          <w:bCs/>
          <w:sz w:val="32"/>
          <w:szCs w:val="32"/>
        </w:rPr>
      </w:pPr>
      <w:r>
        <w:rPr>
          <w:rFonts w:ascii="黑体" w:hAnsi="黑体" w:eastAsia="黑体"/>
          <w:bCs/>
          <w:sz w:val="32"/>
          <w:szCs w:val="32"/>
        </w:rPr>
        <w:t>一、适用范围</w:t>
      </w:r>
    </w:p>
    <w:p w14:paraId="55962829">
      <w:pPr>
        <w:spacing w:line="590" w:lineRule="exact"/>
        <w:ind w:firstLine="640" w:firstLineChars="200"/>
        <w:rPr>
          <w:rFonts w:eastAsia="仿宋_GB2312"/>
          <w:sz w:val="32"/>
          <w:szCs w:val="32"/>
        </w:rPr>
      </w:pPr>
      <w:r>
        <w:rPr>
          <w:rFonts w:eastAsia="仿宋_GB2312"/>
          <w:sz w:val="32"/>
          <w:szCs w:val="32"/>
        </w:rPr>
        <w:t>本指导原则的适用范围为《医疗器械分类目录》（国药监械〔2002〕302号）中第</w:t>
      </w:r>
      <w:r>
        <w:rPr>
          <w:rFonts w:hint="eastAsia" w:ascii="仿宋" w:hAnsi="仿宋" w:eastAsia="仿宋" w:cs="宋体"/>
          <w:sz w:val="32"/>
          <w:szCs w:val="32"/>
        </w:rPr>
        <w:t>Ⅱ</w:t>
      </w:r>
      <w:r>
        <w:rPr>
          <w:rFonts w:eastAsia="仿宋_GB2312"/>
          <w:sz w:val="32"/>
          <w:szCs w:val="32"/>
        </w:rPr>
        <w:t>类一次性使用心电电极产品，分类代号为6821。一次性使用心电电极系统是心电图采集设备附件，由传感元件和电解质组成，带或不带连接导线，适用于心电信号测量和监测。电极由基衬材料、导电膏、电极扣等组成。基衬材料采用透气纸、水刺布、无纺布、发泡纸、棉布或PE等加涂医用压敏胶制成，形状可分为圆形、椭圆形、方形等，尺寸可分为若干规格。</w:t>
      </w:r>
    </w:p>
    <w:p w14:paraId="4EFDE6DC">
      <w:pPr>
        <w:spacing w:line="590" w:lineRule="exact"/>
        <w:ind w:firstLine="640" w:firstLineChars="200"/>
        <w:rPr>
          <w:rFonts w:eastAsia="仿宋_GB2312"/>
          <w:sz w:val="32"/>
          <w:szCs w:val="32"/>
        </w:rPr>
      </w:pPr>
      <w:r>
        <w:rPr>
          <w:rFonts w:eastAsia="仿宋_GB2312"/>
          <w:sz w:val="32"/>
          <w:szCs w:val="32"/>
        </w:rPr>
        <w:t>本指导原则不适用于活性电极、针状电极、可重复使用（非一次性使用）电极、用于传递能量的电极和主要设计用来测量心电以外的生理信号的电极（例如：用于呼吸暂停监护中非心电用途的电极，如电阻描迹）。</w:t>
      </w:r>
    </w:p>
    <w:p w14:paraId="60E250D4">
      <w:pPr>
        <w:spacing w:line="590" w:lineRule="exact"/>
        <w:ind w:firstLine="640" w:firstLineChars="200"/>
        <w:rPr>
          <w:rFonts w:ascii="黑体" w:hAnsi="黑体" w:eastAsia="黑体"/>
          <w:bCs/>
          <w:sz w:val="32"/>
          <w:szCs w:val="32"/>
        </w:rPr>
      </w:pPr>
      <w:r>
        <w:rPr>
          <w:rFonts w:ascii="黑体" w:hAnsi="黑体" w:eastAsia="黑体"/>
          <w:bCs/>
          <w:sz w:val="32"/>
          <w:szCs w:val="32"/>
        </w:rPr>
        <w:t>二、技术审查要点</w:t>
      </w:r>
    </w:p>
    <w:p w14:paraId="5D0CD5BA">
      <w:pPr>
        <w:spacing w:line="59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（一）产品名称要求</w:t>
      </w:r>
    </w:p>
    <w:p w14:paraId="3B177537">
      <w:pPr>
        <w:spacing w:line="590" w:lineRule="exact"/>
        <w:ind w:firstLine="640" w:firstLineChars="200"/>
        <w:rPr>
          <w:rFonts w:eastAsia="仿宋_GB2312"/>
          <w:color w:val="FF0000"/>
          <w:sz w:val="32"/>
          <w:szCs w:val="32"/>
        </w:rPr>
      </w:pPr>
      <w:r>
        <w:rPr>
          <w:rFonts w:eastAsia="仿宋_GB2312"/>
          <w:sz w:val="32"/>
          <w:szCs w:val="32"/>
        </w:rPr>
        <w:t>一次性使用心电电极产品的命名应采用《医疗器械分类目录》（国药监械〔2002〕302号）或国家标准、行业标准中的通用名称。</w:t>
      </w:r>
    </w:p>
    <w:p w14:paraId="4C1B32D5">
      <w:pPr>
        <w:spacing w:line="590" w:lineRule="exact"/>
        <w:ind w:firstLine="640" w:firstLineChars="200"/>
        <w:rPr>
          <w:rFonts w:ascii="楷体_GB2312" w:hAnsi="黑体" w:eastAsia="楷体_GB2312"/>
          <w:bCs/>
          <w:sz w:val="32"/>
          <w:szCs w:val="32"/>
        </w:rPr>
      </w:pPr>
      <w:r>
        <w:rPr>
          <w:rFonts w:ascii="楷体_GB2312" w:hAnsi="黑体" w:eastAsia="楷体_GB2312"/>
          <w:bCs/>
          <w:sz w:val="32"/>
          <w:szCs w:val="32"/>
        </w:rPr>
        <w:t>（二）产品的结构和组成</w:t>
      </w:r>
    </w:p>
    <w:p w14:paraId="5E341CA1">
      <w:pPr>
        <w:spacing w:line="590" w:lineRule="exact"/>
        <w:ind w:firstLine="640" w:firstLineChars="200"/>
        <w:rPr>
          <w:rFonts w:eastAsia="仿宋_GB2312"/>
          <w:sz w:val="32"/>
          <w:szCs w:val="32"/>
        </w:rPr>
      </w:pPr>
      <w:r>
        <w:rPr>
          <w:rFonts w:eastAsia="仿宋_GB2312"/>
          <w:sz w:val="32"/>
          <w:szCs w:val="32"/>
        </w:rPr>
        <w:t>一次性使用心电电极产品按结构和连接方式可分为扣式、膜式、线缆式等。</w:t>
      </w:r>
    </w:p>
    <w:p w14:paraId="199965A4">
      <w:pPr>
        <w:spacing w:line="590" w:lineRule="exact"/>
        <w:ind w:firstLine="640" w:firstLineChars="200"/>
        <w:rPr>
          <w:rFonts w:eastAsia="仿宋_GB2312"/>
          <w:sz w:val="32"/>
          <w:szCs w:val="32"/>
        </w:rPr>
      </w:pPr>
      <w:r>
        <w:rPr>
          <w:rFonts w:eastAsia="仿宋_GB2312"/>
          <w:sz w:val="32"/>
          <w:szCs w:val="32"/>
        </w:rPr>
        <w:t>1.扣式结构</w:t>
      </w:r>
    </w:p>
    <w:p w14:paraId="3B8B132F">
      <w:pPr>
        <w:spacing w:line="590" w:lineRule="exact"/>
        <w:ind w:firstLine="643" w:firstLineChars="200"/>
        <w:rPr>
          <w:rFonts w:eastAsia="仿宋_GB2312"/>
          <w:sz w:val="32"/>
          <w:szCs w:val="32"/>
        </w:rPr>
      </w:pPr>
      <w:r>
        <w:rPr>
          <w:rFonts w:eastAsia="仿宋_GB2312"/>
          <w:b/>
          <w:sz w:val="32"/>
          <w:szCs w:val="32"/>
        </w:rPr>
        <w:drawing>
          <wp:anchor distT="36195" distB="36195" distL="114300" distR="114300" simplePos="0" relativeHeight="251659264" behindDoc="0" locked="0" layoutInCell="1" allowOverlap="0">
            <wp:simplePos x="0" y="0"/>
            <wp:positionH relativeFrom="column">
              <wp:posOffset>1118235</wp:posOffset>
            </wp:positionH>
            <wp:positionV relativeFrom="paragraph">
              <wp:posOffset>107950</wp:posOffset>
            </wp:positionV>
            <wp:extent cx="3342005" cy="1287145"/>
            <wp:effectExtent l="0" t="0" r="0" b="825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42005" cy="1287145"/>
                    </a:xfrm>
                    <a:prstGeom prst="rect">
                      <a:avLst/>
                    </a:prstGeom>
                    <a:noFill/>
                  </pic:spPr>
                </pic:pic>
              </a:graphicData>
            </a:graphic>
          </wp:anchor>
        </w:drawing>
      </w:r>
    </w:p>
    <w:p w14:paraId="28165D24">
      <w:pPr>
        <w:spacing w:line="590" w:lineRule="exact"/>
        <w:ind w:firstLine="640" w:firstLineChars="200"/>
        <w:rPr>
          <w:rFonts w:eastAsia="仿宋_GB2312"/>
          <w:sz w:val="32"/>
          <w:szCs w:val="32"/>
        </w:rPr>
      </w:pPr>
    </w:p>
    <w:p w14:paraId="2F64196D">
      <w:pPr>
        <w:spacing w:line="590" w:lineRule="exact"/>
        <w:ind w:firstLine="640" w:firstLineChars="200"/>
        <w:rPr>
          <w:rFonts w:eastAsia="仿宋_GB2312"/>
          <w:sz w:val="32"/>
          <w:szCs w:val="32"/>
        </w:rPr>
      </w:pPr>
    </w:p>
    <w:p w14:paraId="752D1EA2">
      <w:pPr>
        <w:spacing w:line="590" w:lineRule="exact"/>
        <w:ind w:firstLine="640" w:firstLineChars="200"/>
        <w:rPr>
          <w:rFonts w:eastAsia="仿宋_GB2312"/>
          <w:sz w:val="32"/>
          <w:szCs w:val="32"/>
        </w:rPr>
      </w:pPr>
    </w:p>
    <w:p w14:paraId="57141863">
      <w:pPr>
        <w:spacing w:line="590" w:lineRule="exact"/>
        <w:jc w:val="center"/>
        <w:rPr>
          <w:rFonts w:eastAsia="仿宋_GB2312"/>
          <w:sz w:val="28"/>
          <w:szCs w:val="32"/>
        </w:rPr>
      </w:pPr>
      <w:r>
        <w:rPr>
          <w:rFonts w:eastAsia="仿宋_GB2312"/>
          <w:sz w:val="28"/>
          <w:szCs w:val="32"/>
        </w:rPr>
        <w:t>图1 扣式结构示例图。</w:t>
      </w:r>
    </w:p>
    <w:p w14:paraId="2D8AAA86">
      <w:pPr>
        <w:spacing w:line="590" w:lineRule="exact"/>
        <w:ind w:firstLine="560" w:firstLineChars="200"/>
        <w:rPr>
          <w:rFonts w:eastAsia="仿宋_GB2312"/>
          <w:sz w:val="28"/>
          <w:szCs w:val="32"/>
        </w:rPr>
      </w:pPr>
      <w:r>
        <w:rPr>
          <w:rFonts w:eastAsia="仿宋_GB2312"/>
          <w:sz w:val="28"/>
          <w:szCs w:val="32"/>
        </w:rPr>
        <w:t>1）电极扣，2）胶带，3）基衬材料，4）导电膏，5）防粘膜。</w:t>
      </w:r>
    </w:p>
    <w:p w14:paraId="5B5927CC">
      <w:pPr>
        <w:spacing w:line="590" w:lineRule="exact"/>
        <w:ind w:firstLine="640" w:firstLineChars="200"/>
        <w:rPr>
          <w:rFonts w:eastAsia="仿宋_GB2312"/>
          <w:sz w:val="32"/>
          <w:szCs w:val="32"/>
        </w:rPr>
      </w:pPr>
      <w:r>
        <w:rPr>
          <w:rFonts w:eastAsia="仿宋_GB2312"/>
          <w:sz w:val="32"/>
          <w:szCs w:val="32"/>
        </w:rPr>
        <w:t>2.膜式结构</w:t>
      </w:r>
    </w:p>
    <w:p w14:paraId="3E4AAA56">
      <w:pPr>
        <w:tabs>
          <w:tab w:val="left" w:pos="284"/>
          <w:tab w:val="left" w:pos="426"/>
        </w:tabs>
        <w:jc w:val="center"/>
        <w:rPr>
          <w:rFonts w:eastAsia="仿宋_GB2312"/>
          <w:sz w:val="32"/>
          <w:szCs w:val="32"/>
        </w:rPr>
      </w:pPr>
      <w:r>
        <w:rPr>
          <w:rFonts w:eastAsia="仿宋_GB2312"/>
          <w:sz w:val="32"/>
          <w:szCs w:val="32"/>
        </w:rPr>
        <w:drawing>
          <wp:inline distT="0" distB="0" distL="0" distR="0">
            <wp:extent cx="3429000" cy="2124075"/>
            <wp:effectExtent l="0" t="0" r="0" b="9525"/>
            <wp:docPr id="8" name="图片 8" descr="肌电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肌电极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29000" cy="2124075"/>
                    </a:xfrm>
                    <a:prstGeom prst="rect">
                      <a:avLst/>
                    </a:prstGeom>
                    <a:noFill/>
                    <a:ln>
                      <a:noFill/>
                    </a:ln>
                  </pic:spPr>
                </pic:pic>
              </a:graphicData>
            </a:graphic>
          </wp:inline>
        </w:drawing>
      </w:r>
    </w:p>
    <w:p w14:paraId="500349F8">
      <w:pPr>
        <w:spacing w:line="590" w:lineRule="exact"/>
        <w:jc w:val="center"/>
        <w:rPr>
          <w:rFonts w:eastAsia="仿宋_GB2312"/>
          <w:sz w:val="28"/>
          <w:szCs w:val="32"/>
        </w:rPr>
      </w:pPr>
      <w:r>
        <w:rPr>
          <w:rFonts w:eastAsia="仿宋_GB2312"/>
          <w:sz w:val="28"/>
          <w:szCs w:val="32"/>
        </w:rPr>
        <w:t>图2 膜式结构示例图。</w:t>
      </w:r>
    </w:p>
    <w:p w14:paraId="2932D7A2">
      <w:pPr>
        <w:spacing w:line="590" w:lineRule="exact"/>
        <w:ind w:firstLine="560" w:firstLineChars="200"/>
        <w:rPr>
          <w:rFonts w:eastAsia="仿宋_GB2312"/>
          <w:sz w:val="28"/>
          <w:szCs w:val="32"/>
        </w:rPr>
      </w:pPr>
      <w:r>
        <w:rPr>
          <w:rFonts w:eastAsia="仿宋_GB2312"/>
          <w:sz w:val="28"/>
          <w:szCs w:val="32"/>
        </w:rPr>
        <w:t>1）电极片，2）导电膏，3）防粘膜。</w:t>
      </w:r>
    </w:p>
    <w:p w14:paraId="132E5844">
      <w:pPr>
        <w:spacing w:line="590" w:lineRule="exact"/>
        <w:ind w:firstLine="640" w:firstLineChars="200"/>
        <w:rPr>
          <w:rFonts w:eastAsia="仿宋_GB2312"/>
          <w:sz w:val="32"/>
          <w:szCs w:val="32"/>
        </w:rPr>
      </w:pPr>
      <w:r>
        <w:rPr>
          <w:rFonts w:eastAsia="仿宋_GB2312"/>
          <w:sz w:val="32"/>
          <w:szCs w:val="32"/>
        </w:rPr>
        <w:t>3.线缆式结构</w:t>
      </w:r>
    </w:p>
    <w:p w14:paraId="0582CB66">
      <w:pPr>
        <w:tabs>
          <w:tab w:val="left" w:pos="284"/>
          <w:tab w:val="left" w:pos="426"/>
        </w:tabs>
        <w:jc w:val="center"/>
        <w:rPr>
          <w:rFonts w:eastAsia="仿宋_GB2312"/>
          <w:sz w:val="32"/>
          <w:szCs w:val="32"/>
        </w:rPr>
      </w:pPr>
      <w:r>
        <w:rPr>
          <w:rFonts w:eastAsia="仿宋_GB2312"/>
          <w:sz w:val="32"/>
          <w:szCs w:val="32"/>
        </w:rPr>
        <w:drawing>
          <wp:inline distT="0" distB="0" distL="0" distR="0">
            <wp:extent cx="2324100" cy="1543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24100" cy="1543050"/>
                    </a:xfrm>
                    <a:prstGeom prst="rect">
                      <a:avLst/>
                    </a:prstGeom>
                    <a:noFill/>
                    <a:ln>
                      <a:noFill/>
                    </a:ln>
                  </pic:spPr>
                </pic:pic>
              </a:graphicData>
            </a:graphic>
          </wp:inline>
        </w:drawing>
      </w:r>
    </w:p>
    <w:p w14:paraId="3F6DE82D">
      <w:pPr>
        <w:spacing w:line="560" w:lineRule="exact"/>
        <w:jc w:val="center"/>
        <w:rPr>
          <w:rFonts w:eastAsia="仿宋_GB2312"/>
          <w:sz w:val="28"/>
          <w:szCs w:val="32"/>
        </w:rPr>
      </w:pPr>
      <w:r>
        <w:rPr>
          <w:rFonts w:eastAsia="仿宋_GB2312"/>
          <w:sz w:val="28"/>
          <w:szCs w:val="32"/>
        </w:rPr>
        <w:t>图3 线缆式结构示例图。</w:t>
      </w:r>
    </w:p>
    <w:p w14:paraId="152E3020">
      <w:pPr>
        <w:spacing w:line="560" w:lineRule="exact"/>
        <w:ind w:firstLine="560" w:firstLineChars="200"/>
        <w:rPr>
          <w:rFonts w:eastAsia="仿宋_GB2312"/>
          <w:sz w:val="32"/>
          <w:szCs w:val="32"/>
        </w:rPr>
      </w:pPr>
      <w:r>
        <w:rPr>
          <w:rFonts w:eastAsia="仿宋_GB2312"/>
          <w:sz w:val="28"/>
          <w:szCs w:val="32"/>
        </w:rPr>
        <w:t>1）导电膏，2）基衬材料，3）海绵胶带，4）导线，5）防粘膜。</w:t>
      </w:r>
    </w:p>
    <w:p w14:paraId="0DC8DE50">
      <w:pPr>
        <w:spacing w:line="590" w:lineRule="exact"/>
        <w:ind w:firstLine="640" w:firstLineChars="200"/>
        <w:rPr>
          <w:rFonts w:eastAsia="楷体_GB2312"/>
          <w:bCs/>
          <w:sz w:val="32"/>
          <w:szCs w:val="32"/>
        </w:rPr>
      </w:pPr>
      <w:r>
        <w:rPr>
          <w:rFonts w:eastAsia="楷体_GB2312"/>
          <w:bCs/>
          <w:sz w:val="32"/>
          <w:szCs w:val="32"/>
        </w:rPr>
        <w:t>（三）产品工作原理/作用机理</w:t>
      </w:r>
    </w:p>
    <w:p w14:paraId="6BFA2863">
      <w:pPr>
        <w:spacing w:line="560" w:lineRule="exact"/>
        <w:ind w:firstLine="640" w:firstLineChars="200"/>
        <w:rPr>
          <w:rFonts w:eastAsia="仿宋_GB2312"/>
          <w:color w:val="FF0000"/>
          <w:sz w:val="32"/>
          <w:szCs w:val="32"/>
        </w:rPr>
      </w:pPr>
      <w:r>
        <w:rPr>
          <w:rFonts w:eastAsia="仿宋_GB2312"/>
          <w:sz w:val="32"/>
          <w:szCs w:val="32"/>
        </w:rPr>
        <w:t>一次性使用心电电极产品利用放置于人体皮肤表面的电极，感知人体体表的生理电信号，适用于心电图设备的信号采集。</w:t>
      </w:r>
    </w:p>
    <w:p w14:paraId="3C88B1C5">
      <w:pPr>
        <w:spacing w:line="560" w:lineRule="exact"/>
        <w:ind w:firstLine="640" w:firstLineChars="200"/>
        <w:rPr>
          <w:rFonts w:eastAsia="楷体_GB2312"/>
          <w:bCs/>
          <w:sz w:val="32"/>
          <w:szCs w:val="32"/>
        </w:rPr>
      </w:pPr>
      <w:r>
        <w:rPr>
          <w:rFonts w:eastAsia="楷体_GB2312"/>
          <w:bCs/>
          <w:sz w:val="32"/>
          <w:szCs w:val="32"/>
        </w:rPr>
        <w:t>（四）注册单元划分的原则和实例</w:t>
      </w:r>
    </w:p>
    <w:p w14:paraId="25D4636E">
      <w:pPr>
        <w:spacing w:line="560" w:lineRule="exact"/>
        <w:ind w:firstLine="640" w:firstLineChars="200"/>
        <w:rPr>
          <w:rFonts w:eastAsia="仿宋_GB2312"/>
          <w:sz w:val="32"/>
          <w:szCs w:val="32"/>
        </w:rPr>
      </w:pPr>
      <w:r>
        <w:rPr>
          <w:rFonts w:eastAsia="仿宋_GB2312"/>
          <w:sz w:val="32"/>
          <w:szCs w:val="32"/>
        </w:rPr>
        <w:t>医疗器械注册单元原则上以产品的技术原理、结构组成、性能指标和适用范围为划分依据。例如扣式、膜式、线缆式应分成不同注册单元进行注册。</w:t>
      </w:r>
    </w:p>
    <w:p w14:paraId="5D66CC6F">
      <w:pPr>
        <w:spacing w:line="560" w:lineRule="exact"/>
        <w:ind w:firstLine="640" w:firstLineChars="200"/>
        <w:rPr>
          <w:rFonts w:eastAsia="仿宋_GB2312"/>
          <w:sz w:val="32"/>
          <w:szCs w:val="32"/>
        </w:rPr>
      </w:pPr>
      <w:r>
        <w:rPr>
          <w:rFonts w:eastAsia="仿宋_GB2312"/>
          <w:sz w:val="32"/>
          <w:szCs w:val="32"/>
        </w:rPr>
        <w:t>例如：</w:t>
      </w:r>
    </w:p>
    <w:p w14:paraId="59A973AA">
      <w:pPr>
        <w:spacing w:line="560" w:lineRule="exact"/>
        <w:ind w:firstLine="640" w:firstLineChars="200"/>
        <w:rPr>
          <w:rFonts w:eastAsia="仿宋_GB2312"/>
          <w:sz w:val="32"/>
          <w:szCs w:val="32"/>
        </w:rPr>
      </w:pPr>
      <w:r>
        <w:rPr>
          <w:rFonts w:eastAsia="仿宋_GB2312"/>
          <w:sz w:val="32"/>
          <w:szCs w:val="32"/>
        </w:rPr>
        <w:t>无菌和非无菌电极应分别作为独立的注册单元；</w:t>
      </w:r>
    </w:p>
    <w:p w14:paraId="5C6BD2F5">
      <w:pPr>
        <w:spacing w:line="560" w:lineRule="exact"/>
        <w:ind w:firstLine="640" w:firstLineChars="200"/>
        <w:rPr>
          <w:rFonts w:eastAsia="仿宋_GB2312"/>
          <w:sz w:val="32"/>
          <w:szCs w:val="32"/>
        </w:rPr>
      </w:pPr>
      <w:r>
        <w:rPr>
          <w:rFonts w:eastAsia="仿宋_GB2312"/>
          <w:sz w:val="32"/>
          <w:szCs w:val="32"/>
        </w:rPr>
        <w:t>涂层不同的产品可以作为同一注册单元。</w:t>
      </w:r>
    </w:p>
    <w:p w14:paraId="7D8A9D8B">
      <w:pPr>
        <w:spacing w:line="560" w:lineRule="exact"/>
        <w:ind w:firstLine="640" w:firstLineChars="200"/>
        <w:rPr>
          <w:rFonts w:ascii="楷体_GB2312" w:eastAsia="楷体_GB2312"/>
          <w:sz w:val="32"/>
          <w:szCs w:val="32"/>
        </w:rPr>
      </w:pPr>
      <w:r>
        <w:rPr>
          <w:rFonts w:hint="eastAsia" w:ascii="楷体_GB2312" w:eastAsia="楷体_GB2312"/>
          <w:sz w:val="32"/>
          <w:szCs w:val="32"/>
        </w:rPr>
        <w:t>（五）产品适用的相关标准</w:t>
      </w:r>
    </w:p>
    <w:p w14:paraId="344A9D10">
      <w:pPr>
        <w:spacing w:line="200" w:lineRule="exact"/>
        <w:jc w:val="center"/>
        <w:rPr>
          <w:rFonts w:ascii="楷体_GB2312" w:eastAsia="楷体_GB2312"/>
          <w:sz w:val="32"/>
          <w:szCs w:val="32"/>
        </w:rPr>
      </w:pPr>
    </w:p>
    <w:p w14:paraId="7B5C6005">
      <w:pPr>
        <w:spacing w:line="560" w:lineRule="exact"/>
        <w:ind w:firstLine="560" w:firstLineChars="200"/>
        <w:jc w:val="center"/>
        <w:rPr>
          <w:rFonts w:ascii="黑体" w:hAnsi="黑体" w:eastAsia="黑体"/>
          <w:sz w:val="28"/>
          <w:szCs w:val="32"/>
        </w:rPr>
      </w:pPr>
      <w:r>
        <w:rPr>
          <w:rFonts w:ascii="黑体" w:hAnsi="黑体" w:eastAsia="黑体"/>
          <w:sz w:val="28"/>
          <w:szCs w:val="32"/>
        </w:rPr>
        <w:t>表1 相关产品标准</w:t>
      </w:r>
    </w:p>
    <w:p w14:paraId="4B17CE6D">
      <w:pPr>
        <w:spacing w:line="200" w:lineRule="exact"/>
        <w:jc w:val="center"/>
        <w:rPr>
          <w:rFonts w:ascii="黑体" w:hAnsi="黑体" w:eastAsia="黑体"/>
          <w:sz w:val="28"/>
          <w:szCs w:val="32"/>
        </w:rPr>
      </w:pPr>
    </w:p>
    <w:tbl>
      <w:tblPr>
        <w:tblStyle w:val="6"/>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3" w:type="dxa"/>
          <w:bottom w:w="28" w:type="dxa"/>
          <w:right w:w="57" w:type="dxa"/>
        </w:tblCellMar>
      </w:tblPr>
      <w:tblGrid>
        <w:gridCol w:w="2836"/>
        <w:gridCol w:w="5954"/>
      </w:tblGrid>
      <w:tr w14:paraId="2F67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90" w:hRule="atLeast"/>
          <w:jc w:val="center"/>
        </w:trPr>
        <w:tc>
          <w:tcPr>
            <w:tcW w:w="2836" w:type="dxa"/>
            <w:vAlign w:val="center"/>
          </w:tcPr>
          <w:p w14:paraId="70DBF0FC">
            <w:pPr>
              <w:spacing w:line="440" w:lineRule="exact"/>
              <w:jc w:val="center"/>
              <w:rPr>
                <w:rFonts w:ascii="黑体" w:hAnsi="黑体" w:eastAsia="黑体"/>
                <w:sz w:val="28"/>
                <w:szCs w:val="28"/>
              </w:rPr>
            </w:pPr>
            <w:r>
              <w:rPr>
                <w:rFonts w:ascii="黑体" w:hAnsi="黑体" w:eastAsia="黑体"/>
                <w:sz w:val="28"/>
                <w:szCs w:val="28"/>
              </w:rPr>
              <w:t>标准编号</w:t>
            </w:r>
          </w:p>
        </w:tc>
        <w:tc>
          <w:tcPr>
            <w:tcW w:w="5954" w:type="dxa"/>
            <w:vAlign w:val="center"/>
          </w:tcPr>
          <w:p w14:paraId="34867168">
            <w:pPr>
              <w:spacing w:line="440" w:lineRule="exact"/>
              <w:ind w:firstLine="420"/>
              <w:jc w:val="center"/>
              <w:rPr>
                <w:rFonts w:ascii="黑体" w:hAnsi="黑体" w:eastAsia="黑体"/>
                <w:sz w:val="28"/>
                <w:szCs w:val="28"/>
              </w:rPr>
            </w:pPr>
            <w:r>
              <w:rPr>
                <w:rFonts w:ascii="黑体" w:hAnsi="黑体" w:eastAsia="黑体"/>
                <w:sz w:val="28"/>
                <w:szCs w:val="28"/>
              </w:rPr>
              <w:t>标准名称</w:t>
            </w:r>
          </w:p>
        </w:tc>
      </w:tr>
      <w:tr w14:paraId="68BC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0F002AE8">
            <w:pPr>
              <w:spacing w:line="440" w:lineRule="exact"/>
              <w:jc w:val="center"/>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5954" w:type="dxa"/>
            <w:vAlign w:val="center"/>
          </w:tcPr>
          <w:p w14:paraId="70C6411C">
            <w:pPr>
              <w:spacing w:line="440" w:lineRule="exact"/>
              <w:rPr>
                <w:rFonts w:eastAsia="仿宋_GB2312"/>
                <w:sz w:val="28"/>
                <w:szCs w:val="28"/>
              </w:rPr>
            </w:pPr>
            <w:r>
              <w:rPr>
                <w:rFonts w:eastAsia="仿宋_GB2312"/>
                <w:sz w:val="28"/>
                <w:szCs w:val="28"/>
              </w:rPr>
              <w:t>医用电气设备 第1部分：安全通用要求</w:t>
            </w:r>
          </w:p>
        </w:tc>
      </w:tr>
      <w:tr w14:paraId="4130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54676531">
            <w:pPr>
              <w:spacing w:line="440" w:lineRule="exact"/>
              <w:jc w:val="center"/>
              <w:rPr>
                <w:rFonts w:eastAsia="仿宋_GB2312"/>
                <w:sz w:val="28"/>
                <w:szCs w:val="28"/>
              </w:rPr>
            </w:pPr>
            <w:r>
              <w:rPr>
                <w:rFonts w:eastAsia="仿宋_GB2312"/>
                <w:sz w:val="28"/>
                <w:szCs w:val="28"/>
              </w:rPr>
              <w:t>GB 15979</w:t>
            </w:r>
            <w:r>
              <w:rPr>
                <w:rFonts w:hint="eastAsia" w:ascii="仿宋_GB2312" w:eastAsia="仿宋_GB2312"/>
                <w:sz w:val="28"/>
                <w:szCs w:val="28"/>
              </w:rPr>
              <w:t>—</w:t>
            </w:r>
            <w:r>
              <w:rPr>
                <w:rFonts w:eastAsia="仿宋_GB2312"/>
                <w:sz w:val="28"/>
                <w:szCs w:val="28"/>
              </w:rPr>
              <w:t>2002</w:t>
            </w:r>
          </w:p>
        </w:tc>
        <w:tc>
          <w:tcPr>
            <w:tcW w:w="5954" w:type="dxa"/>
            <w:vAlign w:val="center"/>
          </w:tcPr>
          <w:p w14:paraId="4E888A9D">
            <w:pPr>
              <w:spacing w:line="440" w:lineRule="exact"/>
              <w:rPr>
                <w:rFonts w:eastAsia="仿宋_GB2312"/>
                <w:sz w:val="28"/>
                <w:szCs w:val="28"/>
              </w:rPr>
            </w:pPr>
            <w:r>
              <w:rPr>
                <w:rFonts w:eastAsia="仿宋_GB2312"/>
                <w:sz w:val="28"/>
                <w:szCs w:val="28"/>
              </w:rPr>
              <w:t>一次性使用卫生用品卫生标准</w:t>
            </w:r>
          </w:p>
        </w:tc>
      </w:tr>
      <w:tr w14:paraId="4FBC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1D4481DB">
            <w:pPr>
              <w:spacing w:line="440" w:lineRule="exact"/>
              <w:jc w:val="center"/>
              <w:rPr>
                <w:rFonts w:eastAsia="仿宋_GB2312"/>
                <w:sz w:val="28"/>
                <w:szCs w:val="28"/>
              </w:rPr>
            </w:pPr>
            <w:r>
              <w:rPr>
                <w:rFonts w:eastAsia="仿宋_GB2312"/>
                <w:sz w:val="28"/>
                <w:szCs w:val="28"/>
              </w:rPr>
              <w:t>GB 15980</w:t>
            </w:r>
            <w:r>
              <w:rPr>
                <w:rFonts w:hint="eastAsia" w:ascii="仿宋_GB2312" w:eastAsia="仿宋_GB2312"/>
                <w:sz w:val="28"/>
                <w:szCs w:val="28"/>
              </w:rPr>
              <w:t>—</w:t>
            </w:r>
            <w:r>
              <w:rPr>
                <w:rFonts w:eastAsia="仿宋_GB2312"/>
                <w:sz w:val="28"/>
                <w:szCs w:val="28"/>
              </w:rPr>
              <w:t>1995</w:t>
            </w:r>
          </w:p>
        </w:tc>
        <w:tc>
          <w:tcPr>
            <w:tcW w:w="5954" w:type="dxa"/>
            <w:vAlign w:val="center"/>
          </w:tcPr>
          <w:p w14:paraId="75EA4C99">
            <w:pPr>
              <w:spacing w:line="440" w:lineRule="exact"/>
              <w:rPr>
                <w:rFonts w:eastAsia="仿宋_GB2312"/>
                <w:sz w:val="28"/>
                <w:szCs w:val="28"/>
              </w:rPr>
            </w:pPr>
            <w:r>
              <w:rPr>
                <w:rFonts w:eastAsia="仿宋_GB2312"/>
                <w:sz w:val="28"/>
                <w:szCs w:val="28"/>
              </w:rPr>
              <w:t>一次性使用医疗用品卫生标准</w:t>
            </w:r>
          </w:p>
        </w:tc>
      </w:tr>
      <w:tr w14:paraId="6837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57CDA847">
            <w:pPr>
              <w:spacing w:line="440" w:lineRule="exact"/>
              <w:jc w:val="center"/>
              <w:rPr>
                <w:rFonts w:eastAsia="仿宋_GB2312"/>
                <w:sz w:val="28"/>
                <w:szCs w:val="28"/>
              </w:rPr>
            </w:pPr>
            <w:r>
              <w:rPr>
                <w:rFonts w:eastAsia="仿宋_GB2312"/>
                <w:sz w:val="28"/>
                <w:szCs w:val="28"/>
              </w:rPr>
              <w:t>GB 18279</w:t>
            </w:r>
            <w:r>
              <w:rPr>
                <w:rFonts w:hint="eastAsia" w:ascii="仿宋_GB2312" w:eastAsia="仿宋_GB2312"/>
                <w:sz w:val="28"/>
                <w:szCs w:val="28"/>
              </w:rPr>
              <w:t>—</w:t>
            </w:r>
            <w:r>
              <w:rPr>
                <w:rFonts w:eastAsia="仿宋_GB2312"/>
                <w:sz w:val="28"/>
                <w:szCs w:val="28"/>
              </w:rPr>
              <w:t>2000</w:t>
            </w:r>
          </w:p>
        </w:tc>
        <w:tc>
          <w:tcPr>
            <w:tcW w:w="5954" w:type="dxa"/>
            <w:vAlign w:val="center"/>
          </w:tcPr>
          <w:p w14:paraId="65539703">
            <w:pPr>
              <w:spacing w:line="440" w:lineRule="exact"/>
              <w:rPr>
                <w:rFonts w:eastAsia="仿宋_GB2312"/>
                <w:sz w:val="28"/>
                <w:szCs w:val="28"/>
              </w:rPr>
            </w:pPr>
            <w:r>
              <w:rPr>
                <w:rFonts w:eastAsia="仿宋_GB2312"/>
                <w:sz w:val="28"/>
                <w:szCs w:val="28"/>
              </w:rPr>
              <w:t>医疗器械 环氧乙烷灭菌确认和常规控制</w:t>
            </w:r>
          </w:p>
        </w:tc>
      </w:tr>
      <w:tr w14:paraId="6CF5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39CCBDC7">
            <w:pPr>
              <w:spacing w:line="440" w:lineRule="exact"/>
              <w:jc w:val="center"/>
              <w:rPr>
                <w:rFonts w:eastAsia="仿宋_GB2312"/>
                <w:sz w:val="28"/>
                <w:szCs w:val="28"/>
              </w:rPr>
            </w:pPr>
            <w:r>
              <w:rPr>
                <w:rFonts w:eastAsia="仿宋_GB2312"/>
                <w:sz w:val="28"/>
                <w:szCs w:val="28"/>
              </w:rPr>
              <w:t>GB/T 1.1</w:t>
            </w:r>
            <w:r>
              <w:rPr>
                <w:rFonts w:hint="eastAsia" w:ascii="仿宋_GB2312" w:eastAsia="仿宋_GB2312"/>
                <w:sz w:val="28"/>
                <w:szCs w:val="28"/>
              </w:rPr>
              <w:t>—</w:t>
            </w:r>
            <w:r>
              <w:rPr>
                <w:rFonts w:eastAsia="仿宋_GB2312"/>
                <w:sz w:val="28"/>
                <w:szCs w:val="28"/>
              </w:rPr>
              <w:t>2009</w:t>
            </w:r>
          </w:p>
        </w:tc>
        <w:tc>
          <w:tcPr>
            <w:tcW w:w="5954" w:type="dxa"/>
            <w:vAlign w:val="center"/>
          </w:tcPr>
          <w:p w14:paraId="685498C3">
            <w:pPr>
              <w:spacing w:line="440" w:lineRule="exact"/>
              <w:rPr>
                <w:rFonts w:eastAsia="仿宋_GB2312"/>
                <w:sz w:val="28"/>
                <w:szCs w:val="28"/>
              </w:rPr>
            </w:pPr>
            <w:r>
              <w:rPr>
                <w:rFonts w:eastAsia="仿宋_GB2312"/>
                <w:sz w:val="28"/>
                <w:szCs w:val="28"/>
              </w:rPr>
              <w:t>标准化工作导则 第1部分：标准的结构和编写</w:t>
            </w:r>
          </w:p>
        </w:tc>
      </w:tr>
      <w:tr w14:paraId="423C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239F7976">
            <w:pPr>
              <w:spacing w:line="440" w:lineRule="exact"/>
              <w:jc w:val="center"/>
              <w:rPr>
                <w:rFonts w:eastAsia="仿宋_GB2312"/>
                <w:sz w:val="28"/>
                <w:szCs w:val="28"/>
              </w:rPr>
            </w:pPr>
            <w:r>
              <w:rPr>
                <w:rFonts w:eastAsia="仿宋_GB2312"/>
                <w:sz w:val="28"/>
                <w:szCs w:val="28"/>
              </w:rPr>
              <w:t>GB/T 191</w:t>
            </w:r>
            <w:r>
              <w:rPr>
                <w:rFonts w:hint="eastAsia" w:ascii="仿宋_GB2312" w:eastAsia="仿宋_GB2312"/>
                <w:sz w:val="28"/>
                <w:szCs w:val="28"/>
              </w:rPr>
              <w:t>—</w:t>
            </w:r>
            <w:r>
              <w:rPr>
                <w:rFonts w:eastAsia="仿宋_GB2312"/>
                <w:sz w:val="28"/>
                <w:szCs w:val="28"/>
              </w:rPr>
              <w:t>2008</w:t>
            </w:r>
          </w:p>
        </w:tc>
        <w:tc>
          <w:tcPr>
            <w:tcW w:w="5954" w:type="dxa"/>
            <w:vAlign w:val="center"/>
          </w:tcPr>
          <w:p w14:paraId="23A18A46">
            <w:pPr>
              <w:spacing w:line="440" w:lineRule="exact"/>
              <w:rPr>
                <w:rFonts w:eastAsia="仿宋_GB2312"/>
                <w:sz w:val="28"/>
                <w:szCs w:val="28"/>
              </w:rPr>
            </w:pPr>
            <w:r>
              <w:rPr>
                <w:rFonts w:eastAsia="仿宋_GB2312"/>
                <w:sz w:val="28"/>
                <w:szCs w:val="28"/>
              </w:rPr>
              <w:t>包装储运图示标志</w:t>
            </w:r>
          </w:p>
        </w:tc>
      </w:tr>
      <w:tr w14:paraId="3AA0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20" w:hRule="atLeast"/>
          <w:jc w:val="center"/>
        </w:trPr>
        <w:tc>
          <w:tcPr>
            <w:tcW w:w="2836" w:type="dxa"/>
            <w:vAlign w:val="center"/>
          </w:tcPr>
          <w:p w14:paraId="6076F67F">
            <w:pPr>
              <w:spacing w:line="440" w:lineRule="exact"/>
              <w:jc w:val="center"/>
              <w:rPr>
                <w:rFonts w:eastAsia="仿宋_GB2312"/>
                <w:sz w:val="28"/>
                <w:szCs w:val="28"/>
              </w:rPr>
            </w:pPr>
            <w:r>
              <w:rPr>
                <w:rFonts w:eastAsia="仿宋_GB2312"/>
                <w:sz w:val="28"/>
                <w:szCs w:val="28"/>
              </w:rPr>
              <w:t>GB/T 14233.1</w:t>
            </w:r>
            <w:r>
              <w:rPr>
                <w:rFonts w:hint="eastAsia" w:ascii="仿宋_GB2312" w:eastAsia="仿宋_GB2312"/>
                <w:sz w:val="28"/>
                <w:szCs w:val="28"/>
              </w:rPr>
              <w:t>—</w:t>
            </w:r>
            <w:r>
              <w:rPr>
                <w:rFonts w:eastAsia="仿宋_GB2312"/>
                <w:sz w:val="28"/>
                <w:szCs w:val="28"/>
              </w:rPr>
              <w:t>2008</w:t>
            </w:r>
          </w:p>
        </w:tc>
        <w:tc>
          <w:tcPr>
            <w:tcW w:w="5954" w:type="dxa"/>
            <w:vAlign w:val="center"/>
          </w:tcPr>
          <w:p w14:paraId="1E970A78">
            <w:pPr>
              <w:spacing w:line="440" w:lineRule="exact"/>
              <w:rPr>
                <w:rFonts w:eastAsia="仿宋_GB2312"/>
                <w:sz w:val="28"/>
                <w:szCs w:val="28"/>
              </w:rPr>
            </w:pPr>
            <w:r>
              <w:rPr>
                <w:rFonts w:eastAsia="仿宋_GB2312"/>
                <w:sz w:val="28"/>
                <w:szCs w:val="28"/>
              </w:rPr>
              <w:t>医用输液、输血、注射器具检验方法 第1部分：化学分析方法</w:t>
            </w:r>
          </w:p>
        </w:tc>
      </w:tr>
      <w:tr w14:paraId="6405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20" w:hRule="atLeast"/>
          <w:jc w:val="center"/>
        </w:trPr>
        <w:tc>
          <w:tcPr>
            <w:tcW w:w="2836" w:type="dxa"/>
            <w:vAlign w:val="center"/>
          </w:tcPr>
          <w:p w14:paraId="5AD9C6FB">
            <w:pPr>
              <w:spacing w:line="440" w:lineRule="exact"/>
              <w:jc w:val="center"/>
              <w:rPr>
                <w:rFonts w:eastAsia="仿宋_GB2312"/>
                <w:sz w:val="28"/>
                <w:szCs w:val="28"/>
              </w:rPr>
            </w:pPr>
            <w:r>
              <w:rPr>
                <w:rFonts w:eastAsia="仿宋_GB2312"/>
                <w:sz w:val="28"/>
                <w:szCs w:val="28"/>
              </w:rPr>
              <w:t>GB/T 14233.2</w:t>
            </w:r>
            <w:r>
              <w:rPr>
                <w:rFonts w:hint="eastAsia" w:ascii="仿宋_GB2312" w:eastAsia="仿宋_GB2312"/>
                <w:sz w:val="28"/>
                <w:szCs w:val="28"/>
              </w:rPr>
              <w:t>—</w:t>
            </w:r>
            <w:r>
              <w:rPr>
                <w:rFonts w:eastAsia="仿宋_GB2312"/>
                <w:sz w:val="28"/>
                <w:szCs w:val="28"/>
              </w:rPr>
              <w:t>2005</w:t>
            </w:r>
          </w:p>
        </w:tc>
        <w:tc>
          <w:tcPr>
            <w:tcW w:w="5954" w:type="dxa"/>
            <w:vAlign w:val="center"/>
          </w:tcPr>
          <w:p w14:paraId="238D61B4">
            <w:pPr>
              <w:spacing w:line="440" w:lineRule="exact"/>
              <w:rPr>
                <w:rFonts w:eastAsia="仿宋_GB2312"/>
                <w:sz w:val="28"/>
                <w:szCs w:val="28"/>
              </w:rPr>
            </w:pPr>
            <w:r>
              <w:rPr>
                <w:rFonts w:eastAsia="仿宋_GB2312"/>
                <w:sz w:val="28"/>
                <w:szCs w:val="28"/>
              </w:rPr>
              <w:t>医用输液、输血、注射器具检验方法 第2部分：生物学试验方法</w:t>
            </w:r>
          </w:p>
        </w:tc>
      </w:tr>
      <w:tr w14:paraId="1905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20" w:hRule="atLeast"/>
          <w:jc w:val="center"/>
        </w:trPr>
        <w:tc>
          <w:tcPr>
            <w:tcW w:w="2836" w:type="dxa"/>
            <w:vAlign w:val="center"/>
          </w:tcPr>
          <w:p w14:paraId="11DBD033">
            <w:pPr>
              <w:spacing w:line="440" w:lineRule="exact"/>
              <w:jc w:val="center"/>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5954" w:type="dxa"/>
            <w:vAlign w:val="center"/>
          </w:tcPr>
          <w:p w14:paraId="728C23E2">
            <w:pPr>
              <w:spacing w:line="440" w:lineRule="exact"/>
              <w:rPr>
                <w:rFonts w:eastAsia="仿宋_GB2312"/>
                <w:sz w:val="28"/>
                <w:szCs w:val="28"/>
              </w:rPr>
            </w:pPr>
            <w:r>
              <w:rPr>
                <w:rFonts w:eastAsia="仿宋_GB2312"/>
                <w:sz w:val="28"/>
                <w:szCs w:val="28"/>
              </w:rPr>
              <w:t>医疗器械生物学评价 第1部分：风险管理过程中的评价与试验</w:t>
            </w:r>
          </w:p>
        </w:tc>
      </w:tr>
      <w:tr w14:paraId="0FB6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20" w:hRule="atLeast"/>
          <w:jc w:val="center"/>
        </w:trPr>
        <w:tc>
          <w:tcPr>
            <w:tcW w:w="2836" w:type="dxa"/>
            <w:vAlign w:val="center"/>
          </w:tcPr>
          <w:p w14:paraId="7FFA54E7">
            <w:pPr>
              <w:spacing w:line="440" w:lineRule="exact"/>
              <w:jc w:val="center"/>
              <w:rPr>
                <w:rFonts w:eastAsia="仿宋_GB2312"/>
                <w:sz w:val="28"/>
                <w:szCs w:val="28"/>
              </w:rPr>
            </w:pPr>
            <w:r>
              <w:rPr>
                <w:rFonts w:eastAsia="仿宋_GB2312"/>
                <w:sz w:val="28"/>
                <w:szCs w:val="28"/>
              </w:rPr>
              <w:t>GB/T 16886.5</w:t>
            </w:r>
            <w:r>
              <w:rPr>
                <w:rFonts w:hint="eastAsia" w:ascii="仿宋_GB2312" w:eastAsia="仿宋_GB2312"/>
                <w:sz w:val="28"/>
                <w:szCs w:val="28"/>
              </w:rPr>
              <w:t>—</w:t>
            </w:r>
            <w:r>
              <w:rPr>
                <w:rFonts w:eastAsia="仿宋_GB2312"/>
                <w:sz w:val="28"/>
                <w:szCs w:val="28"/>
              </w:rPr>
              <w:t>2003</w:t>
            </w:r>
          </w:p>
        </w:tc>
        <w:tc>
          <w:tcPr>
            <w:tcW w:w="5954" w:type="dxa"/>
            <w:vAlign w:val="center"/>
          </w:tcPr>
          <w:p w14:paraId="6603A6B9">
            <w:pPr>
              <w:spacing w:line="440" w:lineRule="exact"/>
              <w:rPr>
                <w:rFonts w:eastAsia="仿宋_GB2312"/>
                <w:sz w:val="28"/>
                <w:szCs w:val="28"/>
              </w:rPr>
            </w:pPr>
            <w:r>
              <w:rPr>
                <w:rFonts w:eastAsia="仿宋_GB2312"/>
                <w:sz w:val="28"/>
                <w:szCs w:val="28"/>
              </w:rPr>
              <w:t>医疗器械生物学评价 第5部分：体外细胞毒性试验</w:t>
            </w:r>
          </w:p>
        </w:tc>
      </w:tr>
      <w:tr w14:paraId="4BD9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20" w:hRule="atLeast"/>
          <w:jc w:val="center"/>
        </w:trPr>
        <w:tc>
          <w:tcPr>
            <w:tcW w:w="2836" w:type="dxa"/>
            <w:vAlign w:val="center"/>
          </w:tcPr>
          <w:p w14:paraId="21ED122B">
            <w:pPr>
              <w:spacing w:line="440" w:lineRule="exact"/>
              <w:jc w:val="center"/>
              <w:rPr>
                <w:rFonts w:eastAsia="仿宋_GB2312"/>
                <w:sz w:val="28"/>
                <w:szCs w:val="28"/>
              </w:rPr>
            </w:pPr>
            <w:r>
              <w:rPr>
                <w:rFonts w:eastAsia="仿宋_GB2312"/>
                <w:sz w:val="28"/>
                <w:szCs w:val="28"/>
              </w:rPr>
              <w:t>GB/T 16886.7</w:t>
            </w:r>
            <w:r>
              <w:rPr>
                <w:rFonts w:hint="eastAsia" w:ascii="仿宋_GB2312" w:eastAsia="仿宋_GB2312"/>
                <w:sz w:val="28"/>
                <w:szCs w:val="28"/>
              </w:rPr>
              <w:t>—</w:t>
            </w:r>
            <w:r>
              <w:rPr>
                <w:rFonts w:eastAsia="仿宋_GB2312"/>
                <w:sz w:val="28"/>
                <w:szCs w:val="28"/>
              </w:rPr>
              <w:t>2001</w:t>
            </w:r>
          </w:p>
        </w:tc>
        <w:tc>
          <w:tcPr>
            <w:tcW w:w="5954" w:type="dxa"/>
            <w:vAlign w:val="center"/>
          </w:tcPr>
          <w:p w14:paraId="1D212F0C">
            <w:pPr>
              <w:spacing w:line="440" w:lineRule="exact"/>
              <w:rPr>
                <w:rFonts w:eastAsia="仿宋_GB2312"/>
                <w:sz w:val="28"/>
                <w:szCs w:val="28"/>
              </w:rPr>
            </w:pPr>
            <w:r>
              <w:rPr>
                <w:rFonts w:eastAsia="仿宋_GB2312"/>
                <w:sz w:val="28"/>
                <w:szCs w:val="28"/>
              </w:rPr>
              <w:t>医疗器械生物学评价 第7部分：环氧乙烷灭菌残留量</w:t>
            </w:r>
          </w:p>
        </w:tc>
      </w:tr>
      <w:tr w14:paraId="3FEB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20" w:hRule="atLeast"/>
          <w:jc w:val="center"/>
        </w:trPr>
        <w:tc>
          <w:tcPr>
            <w:tcW w:w="2836" w:type="dxa"/>
            <w:vAlign w:val="center"/>
          </w:tcPr>
          <w:p w14:paraId="76B35784">
            <w:pPr>
              <w:spacing w:line="440" w:lineRule="exact"/>
              <w:jc w:val="center"/>
              <w:rPr>
                <w:rFonts w:eastAsia="仿宋_GB2312"/>
                <w:sz w:val="28"/>
                <w:szCs w:val="28"/>
              </w:rPr>
            </w:pPr>
            <w:r>
              <w:rPr>
                <w:rFonts w:eastAsia="仿宋_GB2312"/>
                <w:sz w:val="28"/>
                <w:szCs w:val="28"/>
              </w:rPr>
              <w:t>GB/T 16886.10</w:t>
            </w:r>
            <w:r>
              <w:rPr>
                <w:rFonts w:hint="eastAsia" w:ascii="仿宋_GB2312" w:eastAsia="仿宋_GB2312"/>
                <w:sz w:val="28"/>
                <w:szCs w:val="28"/>
              </w:rPr>
              <w:t>—</w:t>
            </w:r>
            <w:r>
              <w:rPr>
                <w:rFonts w:eastAsia="仿宋_GB2312"/>
                <w:sz w:val="28"/>
                <w:szCs w:val="28"/>
              </w:rPr>
              <w:t>2005</w:t>
            </w:r>
          </w:p>
        </w:tc>
        <w:tc>
          <w:tcPr>
            <w:tcW w:w="5954" w:type="dxa"/>
            <w:vAlign w:val="center"/>
          </w:tcPr>
          <w:p w14:paraId="2C7557BA">
            <w:pPr>
              <w:spacing w:line="440" w:lineRule="exact"/>
              <w:rPr>
                <w:rFonts w:eastAsia="仿宋_GB2312"/>
                <w:sz w:val="28"/>
                <w:szCs w:val="28"/>
              </w:rPr>
            </w:pPr>
            <w:r>
              <w:rPr>
                <w:rFonts w:eastAsia="仿宋_GB2312"/>
                <w:sz w:val="28"/>
                <w:szCs w:val="28"/>
              </w:rPr>
              <w:t>医疗器械生物学评价 第10部分：刺激与致敏反应试验</w:t>
            </w:r>
          </w:p>
        </w:tc>
      </w:tr>
      <w:tr w14:paraId="5466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1049F041">
            <w:pPr>
              <w:spacing w:line="440" w:lineRule="exact"/>
              <w:jc w:val="center"/>
              <w:rPr>
                <w:rFonts w:eastAsia="仿宋_GB2312"/>
                <w:sz w:val="28"/>
                <w:szCs w:val="28"/>
              </w:rPr>
            </w:pPr>
            <w:r>
              <w:rPr>
                <w:rFonts w:eastAsia="仿宋_GB2312"/>
                <w:sz w:val="28"/>
                <w:szCs w:val="28"/>
              </w:rPr>
              <w:t>GB/T 19633</w:t>
            </w:r>
            <w:r>
              <w:rPr>
                <w:rFonts w:hint="eastAsia" w:ascii="仿宋_GB2312" w:eastAsia="仿宋_GB2312"/>
                <w:sz w:val="28"/>
                <w:szCs w:val="28"/>
              </w:rPr>
              <w:t>—</w:t>
            </w:r>
            <w:r>
              <w:rPr>
                <w:rFonts w:eastAsia="仿宋_GB2312"/>
                <w:sz w:val="28"/>
                <w:szCs w:val="28"/>
              </w:rPr>
              <w:t>2005</w:t>
            </w:r>
          </w:p>
        </w:tc>
        <w:tc>
          <w:tcPr>
            <w:tcW w:w="5954" w:type="dxa"/>
            <w:vAlign w:val="center"/>
          </w:tcPr>
          <w:p w14:paraId="1D131764">
            <w:pPr>
              <w:spacing w:line="440" w:lineRule="exact"/>
              <w:rPr>
                <w:rFonts w:eastAsia="仿宋_GB2312"/>
                <w:sz w:val="28"/>
                <w:szCs w:val="28"/>
              </w:rPr>
            </w:pPr>
            <w:r>
              <w:rPr>
                <w:rFonts w:eastAsia="仿宋_GB2312"/>
                <w:sz w:val="28"/>
                <w:szCs w:val="28"/>
              </w:rPr>
              <w:t>最终灭菌医疗器械的包装</w:t>
            </w:r>
          </w:p>
        </w:tc>
      </w:tr>
      <w:tr w14:paraId="5E0A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5C8D5DAE">
            <w:pPr>
              <w:spacing w:line="440" w:lineRule="exact"/>
              <w:jc w:val="center"/>
              <w:rPr>
                <w:rFonts w:eastAsia="仿宋_GB2312"/>
                <w:sz w:val="28"/>
                <w:szCs w:val="28"/>
              </w:rPr>
            </w:pPr>
            <w:r>
              <w:rPr>
                <w:rFonts w:eastAsia="仿宋_GB2312"/>
                <w:sz w:val="28"/>
                <w:szCs w:val="28"/>
              </w:rPr>
              <w:t>YY/T 0196</w:t>
            </w:r>
            <w:r>
              <w:rPr>
                <w:rFonts w:hint="eastAsia" w:ascii="仿宋_GB2312" w:eastAsia="仿宋_GB2312"/>
                <w:sz w:val="28"/>
                <w:szCs w:val="28"/>
              </w:rPr>
              <w:t>—</w:t>
            </w:r>
            <w:r>
              <w:rPr>
                <w:rFonts w:eastAsia="仿宋_GB2312"/>
                <w:sz w:val="28"/>
                <w:szCs w:val="28"/>
              </w:rPr>
              <w:t>2005</w:t>
            </w:r>
          </w:p>
        </w:tc>
        <w:tc>
          <w:tcPr>
            <w:tcW w:w="5954" w:type="dxa"/>
            <w:vAlign w:val="center"/>
          </w:tcPr>
          <w:p w14:paraId="56602018">
            <w:pPr>
              <w:spacing w:line="440" w:lineRule="exact"/>
              <w:rPr>
                <w:rFonts w:eastAsia="仿宋_GB2312"/>
                <w:sz w:val="28"/>
                <w:szCs w:val="28"/>
              </w:rPr>
            </w:pPr>
            <w:r>
              <w:rPr>
                <w:rFonts w:eastAsia="仿宋_GB2312"/>
                <w:sz w:val="28"/>
                <w:szCs w:val="28"/>
              </w:rPr>
              <w:t>一次性使用心电电极</w:t>
            </w:r>
          </w:p>
        </w:tc>
      </w:tr>
      <w:tr w14:paraId="2046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454" w:hRule="atLeast"/>
          <w:jc w:val="center"/>
        </w:trPr>
        <w:tc>
          <w:tcPr>
            <w:tcW w:w="2836" w:type="dxa"/>
            <w:vAlign w:val="center"/>
          </w:tcPr>
          <w:p w14:paraId="6CD3959C">
            <w:pPr>
              <w:spacing w:line="440" w:lineRule="exact"/>
              <w:jc w:val="center"/>
              <w:rPr>
                <w:rFonts w:eastAsia="仿宋_GB2312"/>
                <w:sz w:val="28"/>
                <w:szCs w:val="28"/>
              </w:rPr>
            </w:pPr>
            <w:r>
              <w:rPr>
                <w:rFonts w:eastAsia="仿宋_GB2312"/>
                <w:sz w:val="28"/>
                <w:szCs w:val="28"/>
              </w:rPr>
              <w:t>YY/T 0316</w:t>
            </w:r>
            <w:r>
              <w:rPr>
                <w:rFonts w:hint="eastAsia" w:ascii="仿宋_GB2312" w:eastAsia="仿宋_GB2312"/>
                <w:sz w:val="28"/>
                <w:szCs w:val="28"/>
              </w:rPr>
              <w:t>—</w:t>
            </w:r>
            <w:r>
              <w:rPr>
                <w:rFonts w:eastAsia="仿宋_GB2312"/>
                <w:sz w:val="28"/>
                <w:szCs w:val="28"/>
              </w:rPr>
              <w:t>2016</w:t>
            </w:r>
          </w:p>
        </w:tc>
        <w:tc>
          <w:tcPr>
            <w:tcW w:w="5954" w:type="dxa"/>
            <w:vAlign w:val="center"/>
          </w:tcPr>
          <w:p w14:paraId="6428DA67">
            <w:pPr>
              <w:spacing w:line="440" w:lineRule="exact"/>
              <w:rPr>
                <w:rFonts w:eastAsia="仿宋_GB2312"/>
                <w:sz w:val="28"/>
                <w:szCs w:val="28"/>
              </w:rPr>
            </w:pPr>
            <w:r>
              <w:rPr>
                <w:rFonts w:eastAsia="仿宋_GB2312"/>
                <w:sz w:val="28"/>
                <w:szCs w:val="28"/>
              </w:rPr>
              <w:t>医疗器械 风险管理对医疗器械的应用</w:t>
            </w:r>
          </w:p>
        </w:tc>
      </w:tr>
      <w:tr w14:paraId="67CD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57" w:type="dxa"/>
          </w:tblCellMar>
        </w:tblPrEx>
        <w:trPr>
          <w:trHeight w:val="567" w:hRule="atLeast"/>
          <w:jc w:val="center"/>
        </w:trPr>
        <w:tc>
          <w:tcPr>
            <w:tcW w:w="2836" w:type="dxa"/>
            <w:vAlign w:val="center"/>
          </w:tcPr>
          <w:p w14:paraId="3AC2AF7B">
            <w:pPr>
              <w:spacing w:line="440" w:lineRule="exact"/>
              <w:jc w:val="center"/>
              <w:rPr>
                <w:rFonts w:eastAsia="仿宋_GB2312"/>
                <w:sz w:val="28"/>
                <w:szCs w:val="28"/>
              </w:rPr>
            </w:pPr>
            <w:r>
              <w:rPr>
                <w:rFonts w:eastAsia="仿宋_GB2312"/>
                <w:sz w:val="28"/>
                <w:szCs w:val="28"/>
              </w:rPr>
              <w:t>YY/T 0466.1</w:t>
            </w:r>
            <w:r>
              <w:rPr>
                <w:rFonts w:hint="eastAsia" w:ascii="仿宋_GB2312" w:eastAsia="仿宋_GB2312"/>
                <w:sz w:val="28"/>
                <w:szCs w:val="28"/>
              </w:rPr>
              <w:t>—</w:t>
            </w:r>
            <w:r>
              <w:rPr>
                <w:rFonts w:eastAsia="仿宋_GB2312"/>
                <w:sz w:val="28"/>
                <w:szCs w:val="28"/>
              </w:rPr>
              <w:t>2009</w:t>
            </w:r>
          </w:p>
        </w:tc>
        <w:tc>
          <w:tcPr>
            <w:tcW w:w="5954" w:type="dxa"/>
            <w:vAlign w:val="center"/>
          </w:tcPr>
          <w:p w14:paraId="0D97688E">
            <w:pPr>
              <w:spacing w:line="440" w:lineRule="exact"/>
              <w:rPr>
                <w:rFonts w:eastAsia="仿宋_GB2312"/>
                <w:sz w:val="28"/>
                <w:szCs w:val="28"/>
              </w:rPr>
            </w:pPr>
            <w:r>
              <w:rPr>
                <w:rFonts w:eastAsia="仿宋_GB2312"/>
                <w:sz w:val="28"/>
                <w:szCs w:val="28"/>
              </w:rPr>
              <w:t>医疗器械 用于医疗器械标签、标记和提供信息的符号 第1部分：通用要求</w:t>
            </w:r>
          </w:p>
        </w:tc>
      </w:tr>
    </w:tbl>
    <w:p w14:paraId="6D22720B">
      <w:pPr>
        <w:spacing w:line="540" w:lineRule="exact"/>
        <w:ind w:firstLine="640" w:firstLineChars="200"/>
        <w:rPr>
          <w:rFonts w:eastAsia="仿宋_GB2312"/>
          <w:sz w:val="32"/>
          <w:szCs w:val="32"/>
        </w:rPr>
      </w:pPr>
      <w:r>
        <w:rPr>
          <w:rFonts w:eastAsia="仿宋_GB2312"/>
          <w:sz w:val="32"/>
          <w:szCs w:val="32"/>
        </w:rPr>
        <w:t>上</w:t>
      </w:r>
      <w:r>
        <w:rPr>
          <w:rFonts w:eastAsia="仿宋_GB2312"/>
          <w:spacing w:val="-6"/>
          <w:sz w:val="32"/>
          <w:szCs w:val="32"/>
        </w:rPr>
        <w:t>述标准包括了产品技术要求中经常涉及的标准。某些企业还会根据自身产品的特点引用一些行业外标准和较为特殊的标准。</w:t>
      </w:r>
    </w:p>
    <w:p w14:paraId="1035B9FA">
      <w:pPr>
        <w:spacing w:line="540" w:lineRule="exact"/>
        <w:ind w:firstLine="640" w:firstLineChars="200"/>
        <w:rPr>
          <w:rFonts w:eastAsia="仿宋_GB2312"/>
          <w:sz w:val="32"/>
          <w:szCs w:val="32"/>
        </w:rPr>
      </w:pPr>
      <w:r>
        <w:rPr>
          <w:rFonts w:eastAsia="仿宋_GB2312"/>
          <w:sz w:val="32"/>
          <w:szCs w:val="32"/>
        </w:rPr>
        <w:t>产品适用标准的引用应注意以下两点：1）引用标准的齐全性和适用性。编写产品技术要求时应引用相关适用的国家标准、行业标准，应注意标准编号、标准名称是否完整规范，年代号是否有效；2）合理的引用标准方式。对于适用的强制性标准，产品技术要求中应明确全面执行相关标准，无须引用具体条款。对于推荐性标准，建议在产品技术要求直接引用相关标准及条款号，无须复述标准原文内容。</w:t>
      </w:r>
    </w:p>
    <w:p w14:paraId="4BC7DA75">
      <w:pPr>
        <w:spacing w:line="540" w:lineRule="exact"/>
        <w:ind w:firstLine="640" w:firstLineChars="20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407F0B60">
      <w:pPr>
        <w:spacing w:line="540" w:lineRule="exact"/>
        <w:ind w:firstLine="640" w:firstLineChars="200"/>
        <w:rPr>
          <w:rFonts w:eastAsia="楷体_GB2312"/>
          <w:sz w:val="32"/>
          <w:szCs w:val="32"/>
        </w:rPr>
      </w:pPr>
      <w:r>
        <w:rPr>
          <w:rFonts w:eastAsia="楷体_GB2312"/>
          <w:sz w:val="32"/>
          <w:szCs w:val="32"/>
        </w:rPr>
        <w:t>（六）产品的适用范围/预期用途、禁忌症</w:t>
      </w:r>
    </w:p>
    <w:p w14:paraId="00AA077A">
      <w:pPr>
        <w:spacing w:line="540" w:lineRule="exact"/>
        <w:ind w:firstLine="640" w:firstLineChars="200"/>
        <w:rPr>
          <w:rFonts w:eastAsia="仿宋_GB2312"/>
          <w:sz w:val="32"/>
          <w:szCs w:val="32"/>
        </w:rPr>
      </w:pPr>
      <w:r>
        <w:rPr>
          <w:rFonts w:eastAsia="仿宋_GB2312"/>
          <w:sz w:val="32"/>
          <w:szCs w:val="32"/>
        </w:rPr>
        <w:t>一次性使用心电电极产品的适用范围为：适用于心电信号测量和监测。</w:t>
      </w:r>
    </w:p>
    <w:p w14:paraId="0F169133">
      <w:pPr>
        <w:spacing w:line="540" w:lineRule="exact"/>
        <w:ind w:firstLine="640" w:firstLineChars="200"/>
        <w:rPr>
          <w:rFonts w:eastAsia="仿宋_GB2312"/>
          <w:sz w:val="32"/>
          <w:szCs w:val="32"/>
        </w:rPr>
      </w:pPr>
      <w:r>
        <w:rPr>
          <w:rFonts w:eastAsia="仿宋_GB2312"/>
          <w:sz w:val="32"/>
          <w:szCs w:val="32"/>
        </w:rPr>
        <w:t>禁忌症：皮肤破损、对材质过敏者。</w:t>
      </w:r>
    </w:p>
    <w:p w14:paraId="638EFD7B">
      <w:pPr>
        <w:spacing w:line="540" w:lineRule="exact"/>
        <w:ind w:firstLine="640" w:firstLineChars="200"/>
        <w:rPr>
          <w:rFonts w:eastAsia="楷体_GB2312"/>
          <w:sz w:val="32"/>
          <w:szCs w:val="32"/>
        </w:rPr>
      </w:pPr>
      <w:r>
        <w:rPr>
          <w:rFonts w:eastAsia="楷体_GB2312"/>
          <w:sz w:val="32"/>
          <w:szCs w:val="32"/>
        </w:rPr>
        <w:t>（七）产品的主要风险及研究要求</w:t>
      </w:r>
    </w:p>
    <w:p w14:paraId="05822151">
      <w:pPr>
        <w:spacing w:line="570" w:lineRule="exact"/>
        <w:ind w:firstLine="640" w:firstLineChars="200"/>
        <w:rPr>
          <w:rFonts w:eastAsia="仿宋_GB2312"/>
          <w:sz w:val="32"/>
          <w:szCs w:val="32"/>
        </w:rPr>
      </w:pPr>
      <w:r>
        <w:rPr>
          <w:rFonts w:eastAsia="仿宋_GB2312"/>
          <w:sz w:val="32"/>
          <w:szCs w:val="32"/>
        </w:rPr>
        <w:t>1.风险分析方法</w:t>
      </w:r>
    </w:p>
    <w:p w14:paraId="01ABCDD9">
      <w:pPr>
        <w:spacing w:line="570" w:lineRule="exact"/>
        <w:ind w:firstLine="640" w:firstLineChars="200"/>
        <w:rPr>
          <w:rFonts w:eastAsia="仿宋_GB2312"/>
          <w:sz w:val="32"/>
          <w:szCs w:val="32"/>
        </w:rPr>
      </w:pPr>
      <w:r>
        <w:rPr>
          <w:rFonts w:eastAsia="仿宋_GB2312"/>
          <w:sz w:val="32"/>
          <w:szCs w:val="32"/>
        </w:rPr>
        <w:t>（1）风险的判定及分析中，要考虑合理的可预见的情况，包括：正常使用条件和非正常使用条件。</w:t>
      </w:r>
    </w:p>
    <w:p w14:paraId="702DE415">
      <w:pPr>
        <w:spacing w:line="590" w:lineRule="exact"/>
        <w:ind w:firstLine="640" w:firstLineChars="200"/>
        <w:rPr>
          <w:rFonts w:eastAsia="仿宋_GB2312"/>
          <w:sz w:val="32"/>
          <w:szCs w:val="32"/>
        </w:rPr>
      </w:pPr>
      <w:r>
        <w:rPr>
          <w:rFonts w:eastAsia="仿宋_GB2312"/>
          <w:sz w:val="32"/>
          <w:szCs w:val="32"/>
        </w:rPr>
        <w:t>（2）风险判定及分析应包括：对于患者、操作者和环境的危害。</w:t>
      </w:r>
    </w:p>
    <w:p w14:paraId="2AB9F945">
      <w:pPr>
        <w:spacing w:line="590" w:lineRule="exact"/>
        <w:ind w:firstLine="640" w:firstLineChars="200"/>
        <w:rPr>
          <w:rFonts w:eastAsia="仿宋_GB2312"/>
          <w:sz w:val="32"/>
          <w:szCs w:val="32"/>
        </w:rPr>
      </w:pPr>
      <w:r>
        <w:rPr>
          <w:rFonts w:eastAsia="仿宋_GB2312"/>
          <w:sz w:val="32"/>
          <w:szCs w:val="32"/>
        </w:rPr>
        <w:t>（3）产品每项危害产生的伤害和侵害的定量或定性的风险评估。</w:t>
      </w:r>
    </w:p>
    <w:p w14:paraId="365CD064">
      <w:pPr>
        <w:spacing w:line="590" w:lineRule="exact"/>
        <w:ind w:firstLine="640" w:firstLineChars="200"/>
        <w:rPr>
          <w:rFonts w:eastAsia="仿宋_GB2312"/>
          <w:sz w:val="32"/>
          <w:szCs w:val="32"/>
        </w:rPr>
      </w:pPr>
      <w:r>
        <w:rPr>
          <w:rFonts w:eastAsia="仿宋_GB2312"/>
          <w:sz w:val="32"/>
          <w:szCs w:val="32"/>
        </w:rPr>
        <w:t>（4）风险形成的初始原因应包括：人为因素（包括不合理的操作）、产品结构的危害、原材料危害、综合危害和环境条件。</w:t>
      </w:r>
    </w:p>
    <w:p w14:paraId="1DD7C241">
      <w:pPr>
        <w:spacing w:line="590" w:lineRule="exact"/>
        <w:ind w:firstLine="640" w:firstLineChars="200"/>
        <w:rPr>
          <w:rFonts w:eastAsia="仿宋_GB2312"/>
          <w:sz w:val="32"/>
          <w:szCs w:val="32"/>
        </w:rPr>
      </w:pPr>
      <w:r>
        <w:rPr>
          <w:rFonts w:eastAsia="仿宋_GB2312"/>
          <w:sz w:val="32"/>
          <w:szCs w:val="32"/>
        </w:rPr>
        <w:t>（5）风险判定及分析考虑的问题包括：产品原材料生物学危害；产品质量是否会导致使用中出现不正常结果；操作信息（包括警示性语言、注意事项以及使用方法）的准确性等。</w:t>
      </w:r>
    </w:p>
    <w:p w14:paraId="2B8C1CB0">
      <w:pPr>
        <w:spacing w:line="590" w:lineRule="exact"/>
        <w:ind w:firstLine="640" w:firstLineChars="200"/>
        <w:rPr>
          <w:rFonts w:eastAsia="仿宋_GB2312"/>
          <w:sz w:val="32"/>
          <w:szCs w:val="32"/>
        </w:rPr>
      </w:pPr>
      <w:r>
        <w:rPr>
          <w:rFonts w:eastAsia="仿宋_GB2312"/>
          <w:sz w:val="32"/>
          <w:szCs w:val="32"/>
        </w:rPr>
        <w:t>2.风险分析清单</w:t>
      </w:r>
    </w:p>
    <w:p w14:paraId="7EAE139F">
      <w:pPr>
        <w:spacing w:line="590" w:lineRule="exact"/>
        <w:ind w:firstLine="640" w:firstLineChars="200"/>
        <w:rPr>
          <w:rFonts w:eastAsia="仿宋_GB2312"/>
          <w:sz w:val="32"/>
          <w:szCs w:val="32"/>
        </w:rPr>
      </w:pPr>
      <w:r>
        <w:rPr>
          <w:rFonts w:eastAsia="仿宋_GB2312"/>
          <w:sz w:val="32"/>
          <w:szCs w:val="32"/>
        </w:rPr>
        <w:t>一次性使用心电电极产品的风险管理报告应符合YY/T 0316</w:t>
      </w:r>
      <w:r>
        <w:rPr>
          <w:rFonts w:hint="eastAsia" w:ascii="仿宋_GB2312" w:eastAsia="仿宋_GB2312"/>
          <w:sz w:val="32"/>
          <w:szCs w:val="32"/>
        </w:rPr>
        <w:t>—</w:t>
      </w:r>
      <w:r>
        <w:rPr>
          <w:rFonts w:eastAsia="仿宋_GB2312"/>
          <w:sz w:val="32"/>
          <w:szCs w:val="32"/>
        </w:rPr>
        <w:t>2016《医疗器械 风险管理对医疗器械的应用》的有关要求，审查要点包括：</w:t>
      </w:r>
    </w:p>
    <w:p w14:paraId="674EBE25">
      <w:pPr>
        <w:spacing w:line="590" w:lineRule="exact"/>
        <w:ind w:firstLine="640" w:firstLineChars="200"/>
        <w:rPr>
          <w:rFonts w:eastAsia="仿宋_GB2312"/>
          <w:sz w:val="32"/>
          <w:szCs w:val="32"/>
        </w:rPr>
      </w:pPr>
      <w:r>
        <w:rPr>
          <w:rFonts w:eastAsia="仿宋_GB2312"/>
          <w:sz w:val="32"/>
          <w:szCs w:val="32"/>
        </w:rPr>
        <w:t>（1）产品定性定量分析是否准确（依据YY/T 0316</w:t>
      </w:r>
      <w:r>
        <w:rPr>
          <w:rFonts w:hint="eastAsia" w:ascii="仿宋_GB2312" w:eastAsia="仿宋_GB2312"/>
          <w:sz w:val="32"/>
          <w:szCs w:val="32"/>
        </w:rPr>
        <w:t>—</w:t>
      </w:r>
      <w:r>
        <w:rPr>
          <w:rFonts w:eastAsia="仿宋_GB2312"/>
          <w:sz w:val="32"/>
          <w:szCs w:val="32"/>
        </w:rPr>
        <w:t>2016《医疗器械 风险管理对医疗器械的应用》附录C）。</w:t>
      </w:r>
    </w:p>
    <w:p w14:paraId="496C2130">
      <w:pPr>
        <w:spacing w:line="590" w:lineRule="exact"/>
        <w:ind w:firstLine="640" w:firstLineChars="200"/>
        <w:rPr>
          <w:rFonts w:eastAsia="仿宋_GB2312"/>
          <w:sz w:val="32"/>
          <w:szCs w:val="32"/>
        </w:rPr>
      </w:pPr>
      <w:r>
        <w:rPr>
          <w:rFonts w:eastAsia="仿宋_GB2312"/>
          <w:sz w:val="32"/>
          <w:szCs w:val="32"/>
        </w:rPr>
        <w:t>（2）危害分析是否全面（依据YY/T 0316</w:t>
      </w:r>
      <w:r>
        <w:rPr>
          <w:rFonts w:hint="eastAsia" w:ascii="仿宋_GB2312" w:eastAsia="仿宋_GB2312"/>
          <w:sz w:val="32"/>
          <w:szCs w:val="32"/>
        </w:rPr>
        <w:t>—</w:t>
      </w:r>
      <w:r>
        <w:rPr>
          <w:rFonts w:eastAsia="仿宋_GB2312"/>
          <w:sz w:val="32"/>
          <w:szCs w:val="32"/>
        </w:rPr>
        <w:t>2016《医疗器械 风险管理对医疗器械的应用》附录E）。</w:t>
      </w:r>
    </w:p>
    <w:p w14:paraId="2145ACA3">
      <w:pPr>
        <w:spacing w:line="590" w:lineRule="exact"/>
        <w:ind w:firstLine="640" w:firstLineChars="200"/>
        <w:rPr>
          <w:rFonts w:eastAsia="仿宋_GB2312"/>
          <w:sz w:val="32"/>
          <w:szCs w:val="32"/>
        </w:rPr>
      </w:pPr>
      <w:r>
        <w:rPr>
          <w:rFonts w:eastAsia="仿宋_GB2312"/>
          <w:sz w:val="32"/>
          <w:szCs w:val="32"/>
        </w:rPr>
        <w:t>（3）风险可接收准则。</w:t>
      </w:r>
    </w:p>
    <w:p w14:paraId="3DF883B9">
      <w:pPr>
        <w:spacing w:line="590" w:lineRule="exact"/>
        <w:ind w:firstLine="640" w:firstLineChars="200"/>
        <w:rPr>
          <w:rFonts w:eastAsia="仿宋_GB2312"/>
          <w:sz w:val="32"/>
          <w:szCs w:val="32"/>
        </w:rPr>
      </w:pPr>
      <w:r>
        <w:rPr>
          <w:rFonts w:eastAsia="仿宋_GB2312"/>
          <w:sz w:val="32"/>
          <w:szCs w:val="32"/>
        </w:rPr>
        <w:t>（4）产品风险评估。降低风险的措施及采取措施后风险的可接受程度，是否有新的风险产生。</w:t>
      </w:r>
    </w:p>
    <w:p w14:paraId="0E2265ED">
      <w:pPr>
        <w:spacing w:line="590" w:lineRule="exact"/>
        <w:ind w:firstLine="640" w:firstLineChars="200"/>
        <w:rPr>
          <w:rFonts w:eastAsia="仿宋_GB2312"/>
          <w:sz w:val="32"/>
          <w:szCs w:val="32"/>
        </w:rPr>
      </w:pPr>
      <w:r>
        <w:rPr>
          <w:rFonts w:eastAsia="仿宋_GB2312"/>
          <w:sz w:val="32"/>
          <w:szCs w:val="32"/>
        </w:rPr>
        <w:t>根据YY/T 0316</w:t>
      </w:r>
      <w:r>
        <w:rPr>
          <w:rFonts w:hint="eastAsia" w:ascii="仿宋_GB2312" w:eastAsia="仿宋_GB2312"/>
          <w:sz w:val="32"/>
          <w:szCs w:val="32"/>
        </w:rPr>
        <w:t>—</w:t>
      </w:r>
      <w:r>
        <w:rPr>
          <w:rFonts w:eastAsia="仿宋_GB2312"/>
          <w:sz w:val="32"/>
          <w:szCs w:val="32"/>
        </w:rPr>
        <w:t>2016《医疗器械 风险管理对医疗器械的应用》附录E对“一次性使用心电电极”已知或可预见的风险进行判定，产品在进行风险分析时至少应包括以下的主要危害，企业还应根据自身产品特点确定其他危害。针对产品的各项风险，企业应采取应对措施，确保风险降到可接受的程度。</w:t>
      </w:r>
    </w:p>
    <w:p w14:paraId="3ACEFF16">
      <w:pPr>
        <w:spacing w:line="200" w:lineRule="exact"/>
        <w:ind w:firstLine="640" w:firstLineChars="200"/>
        <w:rPr>
          <w:rFonts w:eastAsia="仿宋_GB2312"/>
          <w:sz w:val="32"/>
          <w:szCs w:val="32"/>
        </w:rPr>
      </w:pPr>
    </w:p>
    <w:p w14:paraId="10BB3BB4">
      <w:pPr>
        <w:spacing w:line="560" w:lineRule="exact"/>
        <w:jc w:val="center"/>
        <w:rPr>
          <w:rFonts w:ascii="黑体" w:hAnsi="黑体" w:eastAsia="黑体"/>
          <w:sz w:val="28"/>
          <w:szCs w:val="32"/>
        </w:rPr>
      </w:pPr>
      <w:r>
        <w:rPr>
          <w:rFonts w:ascii="黑体" w:hAnsi="黑体" w:eastAsia="黑体"/>
          <w:sz w:val="28"/>
          <w:szCs w:val="32"/>
        </w:rPr>
        <w:t>表2 危害类型及形成因素</w:t>
      </w:r>
    </w:p>
    <w:p w14:paraId="63C46EE9">
      <w:pPr>
        <w:spacing w:line="200" w:lineRule="exact"/>
        <w:jc w:val="center"/>
        <w:rPr>
          <w:rFonts w:ascii="黑体" w:hAnsi="黑体" w:eastAsia="黑体"/>
          <w:sz w:val="28"/>
          <w:szCs w:val="32"/>
        </w:rPr>
      </w:pPr>
    </w:p>
    <w:tbl>
      <w:tblPr>
        <w:tblStyle w:val="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87"/>
        <w:gridCol w:w="2381"/>
        <w:gridCol w:w="4890"/>
      </w:tblGrid>
      <w:tr w14:paraId="1A51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blHeader/>
          <w:jc w:val="center"/>
        </w:trPr>
        <w:tc>
          <w:tcPr>
            <w:tcW w:w="1587" w:type="dxa"/>
            <w:vAlign w:val="center"/>
          </w:tcPr>
          <w:p w14:paraId="6621B937">
            <w:pPr>
              <w:spacing w:line="400" w:lineRule="exact"/>
              <w:jc w:val="center"/>
              <w:rPr>
                <w:rFonts w:ascii="黑体" w:hAnsi="黑体" w:eastAsia="黑体"/>
                <w:bCs/>
                <w:sz w:val="28"/>
                <w:szCs w:val="28"/>
              </w:rPr>
            </w:pPr>
            <w:r>
              <w:rPr>
                <w:rFonts w:ascii="黑体" w:hAnsi="黑体" w:eastAsia="黑体"/>
                <w:bCs/>
                <w:sz w:val="28"/>
                <w:szCs w:val="28"/>
              </w:rPr>
              <w:t>危害类型</w:t>
            </w:r>
          </w:p>
        </w:tc>
        <w:tc>
          <w:tcPr>
            <w:tcW w:w="2381" w:type="dxa"/>
            <w:vAlign w:val="center"/>
          </w:tcPr>
          <w:p w14:paraId="663BE34B">
            <w:pPr>
              <w:spacing w:line="400" w:lineRule="exact"/>
              <w:jc w:val="center"/>
              <w:rPr>
                <w:rFonts w:ascii="黑体" w:hAnsi="黑体" w:eastAsia="黑体"/>
                <w:bCs/>
                <w:sz w:val="28"/>
                <w:szCs w:val="28"/>
              </w:rPr>
            </w:pPr>
            <w:r>
              <w:rPr>
                <w:rFonts w:ascii="黑体" w:hAnsi="黑体" w:eastAsia="黑体"/>
                <w:bCs/>
                <w:sz w:val="28"/>
                <w:szCs w:val="28"/>
              </w:rPr>
              <w:t>可能产生的危害</w:t>
            </w:r>
          </w:p>
        </w:tc>
        <w:tc>
          <w:tcPr>
            <w:tcW w:w="4890" w:type="dxa"/>
            <w:vAlign w:val="center"/>
          </w:tcPr>
          <w:p w14:paraId="42AADF86">
            <w:pPr>
              <w:spacing w:line="400" w:lineRule="exact"/>
              <w:jc w:val="center"/>
              <w:rPr>
                <w:rFonts w:ascii="黑体" w:hAnsi="黑体" w:eastAsia="黑体"/>
                <w:bCs/>
                <w:sz w:val="28"/>
                <w:szCs w:val="28"/>
              </w:rPr>
            </w:pPr>
            <w:r>
              <w:rPr>
                <w:rFonts w:ascii="黑体" w:hAnsi="黑体" w:eastAsia="黑体"/>
                <w:bCs/>
                <w:sz w:val="28"/>
                <w:szCs w:val="28"/>
              </w:rPr>
              <w:t>形成因素</w:t>
            </w:r>
          </w:p>
        </w:tc>
      </w:tr>
      <w:tr w14:paraId="6AF8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587" w:type="dxa"/>
            <w:vMerge w:val="restart"/>
            <w:vAlign w:val="center"/>
          </w:tcPr>
          <w:p w14:paraId="730C2012">
            <w:pPr>
              <w:spacing w:line="400" w:lineRule="exact"/>
              <w:jc w:val="center"/>
              <w:rPr>
                <w:rFonts w:eastAsia="仿宋_GB2312"/>
                <w:sz w:val="28"/>
                <w:szCs w:val="28"/>
              </w:rPr>
            </w:pPr>
            <w:r>
              <w:rPr>
                <w:rFonts w:eastAsia="仿宋_GB2312"/>
                <w:sz w:val="28"/>
                <w:szCs w:val="28"/>
              </w:rPr>
              <w:t>生物学危害</w:t>
            </w:r>
          </w:p>
        </w:tc>
        <w:tc>
          <w:tcPr>
            <w:tcW w:w="2381" w:type="dxa"/>
            <w:vAlign w:val="center"/>
          </w:tcPr>
          <w:p w14:paraId="0A646E88">
            <w:pPr>
              <w:spacing w:line="400" w:lineRule="exact"/>
              <w:textAlignment w:val="baseline"/>
              <w:rPr>
                <w:rFonts w:eastAsia="仿宋_GB2312"/>
                <w:sz w:val="28"/>
                <w:szCs w:val="28"/>
              </w:rPr>
            </w:pPr>
            <w:r>
              <w:rPr>
                <w:rFonts w:eastAsia="仿宋_GB2312"/>
                <w:sz w:val="28"/>
                <w:szCs w:val="28"/>
              </w:rPr>
              <w:t>生物污染</w:t>
            </w:r>
          </w:p>
        </w:tc>
        <w:tc>
          <w:tcPr>
            <w:tcW w:w="4890" w:type="dxa"/>
            <w:vAlign w:val="center"/>
          </w:tcPr>
          <w:p w14:paraId="2596E33C">
            <w:pPr>
              <w:spacing w:line="400" w:lineRule="exact"/>
              <w:textAlignment w:val="baseline"/>
              <w:rPr>
                <w:rFonts w:eastAsia="仿宋_GB2312"/>
                <w:sz w:val="28"/>
                <w:szCs w:val="28"/>
              </w:rPr>
            </w:pPr>
            <w:r>
              <w:rPr>
                <w:rFonts w:eastAsia="仿宋_GB2312"/>
                <w:sz w:val="28"/>
                <w:szCs w:val="28"/>
              </w:rPr>
              <w:t>产品没有消毒/灭菌或消毒/灭菌没有达到标准。</w:t>
            </w:r>
          </w:p>
        </w:tc>
      </w:tr>
      <w:tr w14:paraId="10D8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2" w:hRule="atLeast"/>
          <w:jc w:val="center"/>
        </w:trPr>
        <w:tc>
          <w:tcPr>
            <w:tcW w:w="1587" w:type="dxa"/>
            <w:vMerge w:val="continue"/>
            <w:vAlign w:val="center"/>
          </w:tcPr>
          <w:p w14:paraId="7920DC95">
            <w:pPr>
              <w:spacing w:line="400" w:lineRule="exact"/>
              <w:jc w:val="center"/>
              <w:rPr>
                <w:rFonts w:eastAsia="仿宋_GB2312"/>
                <w:sz w:val="28"/>
                <w:szCs w:val="28"/>
              </w:rPr>
            </w:pPr>
          </w:p>
        </w:tc>
        <w:tc>
          <w:tcPr>
            <w:tcW w:w="2381" w:type="dxa"/>
            <w:vAlign w:val="center"/>
          </w:tcPr>
          <w:p w14:paraId="6DABEC05">
            <w:pPr>
              <w:spacing w:line="400" w:lineRule="exact"/>
              <w:rPr>
                <w:rFonts w:eastAsia="仿宋_GB2312"/>
                <w:sz w:val="28"/>
                <w:szCs w:val="28"/>
              </w:rPr>
            </w:pPr>
            <w:r>
              <w:rPr>
                <w:rFonts w:eastAsia="仿宋_GB2312"/>
                <w:sz w:val="28"/>
                <w:szCs w:val="28"/>
              </w:rPr>
              <w:t>生物相容性</w:t>
            </w:r>
          </w:p>
        </w:tc>
        <w:tc>
          <w:tcPr>
            <w:tcW w:w="4890" w:type="dxa"/>
            <w:vAlign w:val="center"/>
          </w:tcPr>
          <w:p w14:paraId="563AC660">
            <w:pPr>
              <w:spacing w:line="400" w:lineRule="exact"/>
              <w:rPr>
                <w:rFonts w:eastAsia="仿宋_GB2312"/>
                <w:sz w:val="28"/>
                <w:szCs w:val="28"/>
              </w:rPr>
            </w:pPr>
            <w:r>
              <w:rPr>
                <w:rFonts w:eastAsia="仿宋_GB2312"/>
                <w:sz w:val="28"/>
                <w:szCs w:val="28"/>
              </w:rPr>
              <w:t>生产引入的外来有害物质没有被有效去除；环氧乙烷残留量超标。</w:t>
            </w:r>
          </w:p>
          <w:p w14:paraId="46E62B63">
            <w:pPr>
              <w:spacing w:line="400" w:lineRule="exact"/>
              <w:rPr>
                <w:rFonts w:eastAsia="仿宋_GB2312"/>
                <w:sz w:val="28"/>
                <w:szCs w:val="28"/>
              </w:rPr>
            </w:pPr>
            <w:r>
              <w:rPr>
                <w:rFonts w:eastAsia="仿宋_GB2312"/>
                <w:sz w:val="28"/>
                <w:szCs w:val="28"/>
              </w:rPr>
              <w:t>产品细胞毒性 2级。</w:t>
            </w:r>
          </w:p>
          <w:p w14:paraId="4946CC1C">
            <w:pPr>
              <w:spacing w:line="400" w:lineRule="exact"/>
              <w:rPr>
                <w:rFonts w:eastAsia="仿宋_GB2312"/>
                <w:b/>
                <w:color w:val="FF0000"/>
                <w:sz w:val="28"/>
                <w:szCs w:val="28"/>
                <w:u w:val="single"/>
              </w:rPr>
            </w:pPr>
            <w:r>
              <w:rPr>
                <w:rFonts w:eastAsia="仿宋_GB2312"/>
                <w:sz w:val="28"/>
                <w:szCs w:val="28"/>
              </w:rPr>
              <w:t>生物相容性不好的产品会引起电极附着的皮肤表面瘙痒、红肿、或起泡；即使生物相容性在规定的范围内的产品，也会引起部分患者的皮肤症状。</w:t>
            </w:r>
          </w:p>
        </w:tc>
      </w:tr>
      <w:tr w14:paraId="663B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restart"/>
            <w:vAlign w:val="center"/>
          </w:tcPr>
          <w:p w14:paraId="41BA170A">
            <w:pPr>
              <w:spacing w:line="400" w:lineRule="exact"/>
              <w:jc w:val="center"/>
              <w:rPr>
                <w:rFonts w:eastAsia="仿宋_GB2312"/>
                <w:sz w:val="28"/>
                <w:szCs w:val="28"/>
              </w:rPr>
            </w:pPr>
            <w:r>
              <w:rPr>
                <w:rFonts w:eastAsia="仿宋_GB2312"/>
                <w:sz w:val="28"/>
                <w:szCs w:val="28"/>
              </w:rPr>
              <w:t>与医疗器械使用有关的危害</w:t>
            </w:r>
          </w:p>
        </w:tc>
        <w:tc>
          <w:tcPr>
            <w:tcW w:w="2381" w:type="dxa"/>
            <w:vMerge w:val="restart"/>
            <w:vAlign w:val="center"/>
          </w:tcPr>
          <w:p w14:paraId="3090D709">
            <w:pPr>
              <w:spacing w:line="400" w:lineRule="exact"/>
              <w:rPr>
                <w:rFonts w:eastAsia="仿宋_GB2312"/>
                <w:sz w:val="28"/>
                <w:szCs w:val="28"/>
              </w:rPr>
            </w:pPr>
            <w:r>
              <w:rPr>
                <w:rFonts w:eastAsia="仿宋_GB2312"/>
                <w:sz w:val="28"/>
                <w:szCs w:val="28"/>
              </w:rPr>
              <w:t>不适当的操作说明</w:t>
            </w:r>
          </w:p>
        </w:tc>
        <w:tc>
          <w:tcPr>
            <w:tcW w:w="4890" w:type="dxa"/>
            <w:vAlign w:val="center"/>
          </w:tcPr>
          <w:p w14:paraId="05C85179">
            <w:pPr>
              <w:spacing w:line="400" w:lineRule="exact"/>
              <w:rPr>
                <w:rFonts w:eastAsia="仿宋_GB2312"/>
                <w:sz w:val="28"/>
                <w:szCs w:val="28"/>
              </w:rPr>
            </w:pPr>
            <w:r>
              <w:rPr>
                <w:rFonts w:eastAsia="仿宋_GB2312"/>
                <w:sz w:val="28"/>
                <w:szCs w:val="28"/>
              </w:rPr>
              <w:t>与心电图采集设备连接器不匹配。</w:t>
            </w:r>
          </w:p>
        </w:tc>
      </w:tr>
      <w:tr w14:paraId="6291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17AB114C">
            <w:pPr>
              <w:spacing w:line="400" w:lineRule="exact"/>
              <w:jc w:val="center"/>
              <w:rPr>
                <w:rFonts w:eastAsia="仿宋_GB2312"/>
                <w:sz w:val="28"/>
                <w:szCs w:val="28"/>
              </w:rPr>
            </w:pPr>
          </w:p>
        </w:tc>
        <w:tc>
          <w:tcPr>
            <w:tcW w:w="2381" w:type="dxa"/>
            <w:vMerge w:val="continue"/>
            <w:vAlign w:val="center"/>
          </w:tcPr>
          <w:p w14:paraId="2D6F3CB2">
            <w:pPr>
              <w:spacing w:line="400" w:lineRule="exact"/>
              <w:rPr>
                <w:rFonts w:eastAsia="仿宋_GB2312"/>
                <w:sz w:val="28"/>
                <w:szCs w:val="28"/>
              </w:rPr>
            </w:pPr>
          </w:p>
        </w:tc>
        <w:tc>
          <w:tcPr>
            <w:tcW w:w="4890" w:type="dxa"/>
            <w:vAlign w:val="center"/>
          </w:tcPr>
          <w:p w14:paraId="0E3A4E58">
            <w:pPr>
              <w:spacing w:line="400" w:lineRule="exact"/>
              <w:rPr>
                <w:rFonts w:eastAsia="仿宋_GB2312"/>
                <w:sz w:val="28"/>
                <w:szCs w:val="28"/>
              </w:rPr>
            </w:pPr>
            <w:r>
              <w:rPr>
                <w:rFonts w:eastAsia="仿宋_GB2312"/>
                <w:sz w:val="28"/>
                <w:szCs w:val="28"/>
              </w:rPr>
              <w:t>包装破损。</w:t>
            </w:r>
          </w:p>
        </w:tc>
      </w:tr>
      <w:tr w14:paraId="7B8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587" w:type="dxa"/>
            <w:vMerge w:val="continue"/>
            <w:vAlign w:val="center"/>
          </w:tcPr>
          <w:p w14:paraId="59412F47">
            <w:pPr>
              <w:spacing w:line="400" w:lineRule="exact"/>
              <w:jc w:val="center"/>
              <w:rPr>
                <w:rFonts w:eastAsia="仿宋_GB2312"/>
                <w:sz w:val="28"/>
                <w:szCs w:val="28"/>
              </w:rPr>
            </w:pPr>
          </w:p>
        </w:tc>
        <w:tc>
          <w:tcPr>
            <w:tcW w:w="2381" w:type="dxa"/>
            <w:vMerge w:val="continue"/>
            <w:vAlign w:val="center"/>
          </w:tcPr>
          <w:p w14:paraId="43862EF9">
            <w:pPr>
              <w:spacing w:line="400" w:lineRule="exact"/>
              <w:rPr>
                <w:rFonts w:eastAsia="仿宋_GB2312"/>
                <w:sz w:val="28"/>
                <w:szCs w:val="28"/>
              </w:rPr>
            </w:pPr>
          </w:p>
        </w:tc>
        <w:tc>
          <w:tcPr>
            <w:tcW w:w="4890" w:type="dxa"/>
            <w:vAlign w:val="center"/>
          </w:tcPr>
          <w:p w14:paraId="2E8DE7D3">
            <w:pPr>
              <w:spacing w:line="400" w:lineRule="exact"/>
              <w:rPr>
                <w:rFonts w:eastAsia="仿宋_GB2312"/>
                <w:sz w:val="28"/>
                <w:szCs w:val="28"/>
              </w:rPr>
            </w:pPr>
            <w:r>
              <w:rPr>
                <w:rFonts w:eastAsia="仿宋_GB2312"/>
                <w:sz w:val="28"/>
                <w:szCs w:val="28"/>
              </w:rPr>
              <w:t>对非无菌产品使用前未进行消毒/灭菌说明。</w:t>
            </w:r>
          </w:p>
        </w:tc>
      </w:tr>
      <w:tr w14:paraId="58BC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7A717C23">
            <w:pPr>
              <w:spacing w:line="400" w:lineRule="exact"/>
              <w:jc w:val="center"/>
              <w:rPr>
                <w:rFonts w:eastAsia="仿宋_GB2312"/>
                <w:sz w:val="28"/>
                <w:szCs w:val="28"/>
              </w:rPr>
            </w:pPr>
          </w:p>
        </w:tc>
        <w:tc>
          <w:tcPr>
            <w:tcW w:w="2381" w:type="dxa"/>
            <w:vMerge w:val="continue"/>
            <w:vAlign w:val="center"/>
          </w:tcPr>
          <w:p w14:paraId="423870B3">
            <w:pPr>
              <w:spacing w:line="400" w:lineRule="exact"/>
              <w:rPr>
                <w:rFonts w:eastAsia="仿宋_GB2312"/>
                <w:sz w:val="28"/>
                <w:szCs w:val="28"/>
              </w:rPr>
            </w:pPr>
          </w:p>
        </w:tc>
        <w:tc>
          <w:tcPr>
            <w:tcW w:w="4890" w:type="dxa"/>
            <w:vAlign w:val="center"/>
          </w:tcPr>
          <w:p w14:paraId="7F927E4C">
            <w:pPr>
              <w:spacing w:line="400" w:lineRule="exact"/>
              <w:rPr>
                <w:rFonts w:eastAsia="仿宋_GB2312"/>
                <w:sz w:val="28"/>
                <w:szCs w:val="28"/>
              </w:rPr>
            </w:pPr>
            <w:r>
              <w:rPr>
                <w:rFonts w:eastAsia="仿宋_GB2312"/>
                <w:sz w:val="28"/>
                <w:szCs w:val="28"/>
              </w:rPr>
              <w:t>心电电极使用时未与人体粘贴可靠。</w:t>
            </w:r>
          </w:p>
        </w:tc>
      </w:tr>
      <w:tr w14:paraId="3412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1587" w:type="dxa"/>
            <w:vMerge w:val="continue"/>
            <w:vAlign w:val="center"/>
          </w:tcPr>
          <w:p w14:paraId="350CD9B4">
            <w:pPr>
              <w:spacing w:line="400" w:lineRule="exact"/>
              <w:jc w:val="center"/>
              <w:rPr>
                <w:rFonts w:eastAsia="仿宋_GB2312"/>
                <w:sz w:val="28"/>
                <w:szCs w:val="28"/>
              </w:rPr>
            </w:pPr>
          </w:p>
        </w:tc>
        <w:tc>
          <w:tcPr>
            <w:tcW w:w="2381" w:type="dxa"/>
            <w:vAlign w:val="center"/>
          </w:tcPr>
          <w:p w14:paraId="6D21BA6D">
            <w:pPr>
              <w:spacing w:line="400" w:lineRule="exact"/>
              <w:rPr>
                <w:rFonts w:eastAsia="仿宋_GB2312"/>
                <w:sz w:val="28"/>
                <w:szCs w:val="28"/>
              </w:rPr>
            </w:pPr>
            <w:r>
              <w:rPr>
                <w:rFonts w:eastAsia="仿宋_GB2312"/>
                <w:sz w:val="28"/>
                <w:szCs w:val="28"/>
              </w:rPr>
              <w:t>由未经培训的人员使用</w:t>
            </w:r>
          </w:p>
        </w:tc>
        <w:tc>
          <w:tcPr>
            <w:tcW w:w="4890" w:type="dxa"/>
            <w:vAlign w:val="center"/>
          </w:tcPr>
          <w:p w14:paraId="4DF349AB">
            <w:pPr>
              <w:spacing w:line="400" w:lineRule="exact"/>
              <w:rPr>
                <w:rFonts w:eastAsia="仿宋_GB2312"/>
                <w:sz w:val="28"/>
                <w:szCs w:val="28"/>
              </w:rPr>
            </w:pPr>
            <w:r>
              <w:rPr>
                <w:rFonts w:eastAsia="仿宋_GB2312"/>
                <w:sz w:val="28"/>
                <w:szCs w:val="28"/>
              </w:rPr>
              <w:t>对心电电极使用方法不熟悉。</w:t>
            </w:r>
          </w:p>
        </w:tc>
      </w:tr>
      <w:tr w14:paraId="5AF4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587" w:type="dxa"/>
            <w:vMerge w:val="restart"/>
            <w:vAlign w:val="center"/>
          </w:tcPr>
          <w:p w14:paraId="37CCC42D">
            <w:pPr>
              <w:spacing w:line="400" w:lineRule="exact"/>
              <w:jc w:val="center"/>
              <w:rPr>
                <w:rFonts w:eastAsia="仿宋_GB2312"/>
                <w:sz w:val="28"/>
                <w:szCs w:val="28"/>
              </w:rPr>
            </w:pPr>
            <w:r>
              <w:rPr>
                <w:rFonts w:eastAsia="仿宋_GB2312"/>
                <w:sz w:val="28"/>
                <w:szCs w:val="28"/>
              </w:rPr>
              <w:t>信息危害</w:t>
            </w:r>
          </w:p>
        </w:tc>
        <w:tc>
          <w:tcPr>
            <w:tcW w:w="2381" w:type="dxa"/>
            <w:vAlign w:val="center"/>
          </w:tcPr>
          <w:p w14:paraId="13ADAA94">
            <w:pPr>
              <w:spacing w:line="400" w:lineRule="exact"/>
              <w:rPr>
                <w:rFonts w:eastAsia="仿宋_GB2312"/>
                <w:sz w:val="28"/>
                <w:szCs w:val="28"/>
              </w:rPr>
            </w:pPr>
            <w:r>
              <w:rPr>
                <w:rFonts w:eastAsia="仿宋_GB2312"/>
                <w:sz w:val="28"/>
                <w:szCs w:val="28"/>
              </w:rPr>
              <w:t>不适当的标记</w:t>
            </w:r>
          </w:p>
        </w:tc>
        <w:tc>
          <w:tcPr>
            <w:tcW w:w="4890" w:type="dxa"/>
            <w:vAlign w:val="center"/>
          </w:tcPr>
          <w:p w14:paraId="4D473945">
            <w:pPr>
              <w:spacing w:line="400" w:lineRule="exact"/>
              <w:rPr>
                <w:rFonts w:eastAsia="仿宋_GB2312"/>
                <w:sz w:val="28"/>
                <w:szCs w:val="28"/>
              </w:rPr>
            </w:pPr>
            <w:r>
              <w:rPr>
                <w:rFonts w:eastAsia="仿宋_GB2312"/>
                <w:sz w:val="28"/>
                <w:szCs w:val="28"/>
              </w:rPr>
              <w:t>心电电极外部标记不全面、标记不正确或不能够清楚易认，以及标记不能够永久贴牢。</w:t>
            </w:r>
          </w:p>
        </w:tc>
      </w:tr>
      <w:tr w14:paraId="7530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85" w:hRule="atLeast"/>
          <w:jc w:val="center"/>
        </w:trPr>
        <w:tc>
          <w:tcPr>
            <w:tcW w:w="1587" w:type="dxa"/>
            <w:vMerge w:val="continue"/>
            <w:vAlign w:val="center"/>
          </w:tcPr>
          <w:p w14:paraId="74DC603A">
            <w:pPr>
              <w:spacing w:line="400" w:lineRule="exact"/>
              <w:jc w:val="center"/>
              <w:rPr>
                <w:rFonts w:eastAsia="仿宋_GB2312"/>
                <w:sz w:val="28"/>
                <w:szCs w:val="28"/>
              </w:rPr>
            </w:pPr>
          </w:p>
        </w:tc>
        <w:tc>
          <w:tcPr>
            <w:tcW w:w="2381" w:type="dxa"/>
            <w:vAlign w:val="center"/>
          </w:tcPr>
          <w:p w14:paraId="21E16F09">
            <w:pPr>
              <w:spacing w:line="400" w:lineRule="exact"/>
              <w:rPr>
                <w:rFonts w:eastAsia="仿宋_GB2312"/>
                <w:sz w:val="28"/>
                <w:szCs w:val="28"/>
              </w:rPr>
            </w:pPr>
            <w:r>
              <w:rPr>
                <w:rFonts w:eastAsia="仿宋_GB2312"/>
                <w:sz w:val="28"/>
                <w:szCs w:val="28"/>
              </w:rPr>
              <w:t>不完整的说明书</w:t>
            </w:r>
          </w:p>
        </w:tc>
        <w:tc>
          <w:tcPr>
            <w:tcW w:w="4890" w:type="dxa"/>
            <w:vAlign w:val="center"/>
          </w:tcPr>
          <w:p w14:paraId="25899944">
            <w:pPr>
              <w:spacing w:line="400" w:lineRule="exact"/>
              <w:rPr>
                <w:rFonts w:eastAsia="仿宋_GB2312"/>
                <w:sz w:val="28"/>
                <w:szCs w:val="28"/>
              </w:rPr>
            </w:pPr>
            <w:r>
              <w:rPr>
                <w:rFonts w:eastAsia="仿宋_GB2312"/>
                <w:sz w:val="28"/>
                <w:szCs w:val="28"/>
              </w:rPr>
              <w:t>说明书中对产品预期用途、禁忌症、副作用等描述不规范、不完整，导致心电电极的非预期或超范围使用。</w:t>
            </w:r>
          </w:p>
          <w:p w14:paraId="4776E238">
            <w:pPr>
              <w:spacing w:line="400" w:lineRule="exact"/>
              <w:rPr>
                <w:rFonts w:eastAsia="仿宋_GB2312"/>
                <w:sz w:val="28"/>
                <w:szCs w:val="28"/>
              </w:rPr>
            </w:pPr>
            <w:r>
              <w:rPr>
                <w:rFonts w:eastAsia="仿宋_GB2312"/>
                <w:sz w:val="28"/>
                <w:szCs w:val="28"/>
              </w:rPr>
              <w:t>一次性使用心电电极粘贴的皮肤应无损伤、无疤痕；在粘贴满24小时必须更换。若贴在损伤皮肤上，可能会导致感染；粘贴于疤痕上不利于心电信号的传输。心电电极粘贴超过24小时，可能会带来皮肤瘙痒、红肿等风险。</w:t>
            </w:r>
          </w:p>
        </w:tc>
      </w:tr>
      <w:tr w14:paraId="355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87" w:type="dxa"/>
            <w:vMerge w:val="continue"/>
            <w:vAlign w:val="center"/>
          </w:tcPr>
          <w:p w14:paraId="18BF7C6E">
            <w:pPr>
              <w:spacing w:line="400" w:lineRule="exact"/>
              <w:jc w:val="center"/>
              <w:rPr>
                <w:rFonts w:eastAsia="仿宋_GB2312"/>
                <w:sz w:val="28"/>
                <w:szCs w:val="28"/>
              </w:rPr>
            </w:pPr>
          </w:p>
        </w:tc>
        <w:tc>
          <w:tcPr>
            <w:tcW w:w="2381" w:type="dxa"/>
            <w:vAlign w:val="center"/>
          </w:tcPr>
          <w:p w14:paraId="64CE3272">
            <w:pPr>
              <w:spacing w:line="400" w:lineRule="exact"/>
              <w:rPr>
                <w:rFonts w:eastAsia="仿宋_GB2312"/>
                <w:sz w:val="28"/>
                <w:szCs w:val="28"/>
              </w:rPr>
            </w:pPr>
            <w:r>
              <w:rPr>
                <w:rFonts w:eastAsia="仿宋_GB2312"/>
                <w:sz w:val="28"/>
                <w:szCs w:val="28"/>
              </w:rPr>
              <w:t>不适当的操作说明</w:t>
            </w:r>
          </w:p>
        </w:tc>
        <w:tc>
          <w:tcPr>
            <w:tcW w:w="4890" w:type="dxa"/>
            <w:vAlign w:val="center"/>
          </w:tcPr>
          <w:p w14:paraId="38009654">
            <w:pPr>
              <w:spacing w:line="400" w:lineRule="exact"/>
              <w:rPr>
                <w:rFonts w:eastAsia="仿宋_GB2312"/>
                <w:sz w:val="28"/>
                <w:szCs w:val="28"/>
              </w:rPr>
            </w:pPr>
            <w:r>
              <w:rPr>
                <w:rFonts w:eastAsia="仿宋_GB2312"/>
                <w:sz w:val="28"/>
                <w:szCs w:val="28"/>
              </w:rPr>
              <w:t>心电电极安置位置不正确。</w:t>
            </w:r>
          </w:p>
        </w:tc>
      </w:tr>
      <w:tr w14:paraId="7CEC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587" w:type="dxa"/>
            <w:vAlign w:val="center"/>
          </w:tcPr>
          <w:p w14:paraId="33CF7789">
            <w:pPr>
              <w:spacing w:line="400" w:lineRule="exact"/>
              <w:jc w:val="center"/>
              <w:rPr>
                <w:rFonts w:eastAsia="仿宋_GB2312"/>
                <w:sz w:val="28"/>
                <w:szCs w:val="28"/>
              </w:rPr>
            </w:pPr>
            <w:r>
              <w:rPr>
                <w:rFonts w:eastAsia="仿宋_GB2312"/>
                <w:sz w:val="28"/>
                <w:szCs w:val="28"/>
              </w:rPr>
              <w:t>人机工程</w:t>
            </w:r>
          </w:p>
        </w:tc>
        <w:tc>
          <w:tcPr>
            <w:tcW w:w="2381" w:type="dxa"/>
            <w:vAlign w:val="center"/>
          </w:tcPr>
          <w:p w14:paraId="474E9266">
            <w:pPr>
              <w:spacing w:line="400" w:lineRule="exact"/>
              <w:rPr>
                <w:rFonts w:eastAsia="仿宋_GB2312"/>
                <w:sz w:val="28"/>
                <w:szCs w:val="28"/>
              </w:rPr>
            </w:pPr>
            <w:r>
              <w:rPr>
                <w:rFonts w:eastAsia="仿宋_GB2312"/>
                <w:sz w:val="28"/>
                <w:szCs w:val="28"/>
              </w:rPr>
              <w:t>复杂的控制系统</w:t>
            </w:r>
          </w:p>
        </w:tc>
        <w:tc>
          <w:tcPr>
            <w:tcW w:w="4890" w:type="dxa"/>
            <w:vAlign w:val="center"/>
          </w:tcPr>
          <w:p w14:paraId="5F29A7BC">
            <w:pPr>
              <w:spacing w:line="400" w:lineRule="exact"/>
              <w:rPr>
                <w:rFonts w:eastAsia="仿宋_GB2312"/>
                <w:sz w:val="28"/>
                <w:szCs w:val="28"/>
              </w:rPr>
            </w:pPr>
            <w:r>
              <w:rPr>
                <w:rFonts w:eastAsia="仿宋_GB2312"/>
                <w:sz w:val="28"/>
                <w:szCs w:val="28"/>
              </w:rPr>
              <w:t>不同心电电极可能有颜色区分其安置位置，标示不清，导致不适当的操作，不能满足预期要求。</w:t>
            </w:r>
          </w:p>
        </w:tc>
      </w:tr>
      <w:tr w14:paraId="04C1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1587" w:type="dxa"/>
            <w:vMerge w:val="restart"/>
            <w:vAlign w:val="center"/>
          </w:tcPr>
          <w:p w14:paraId="571F269A">
            <w:pPr>
              <w:spacing w:line="400" w:lineRule="exact"/>
              <w:jc w:val="center"/>
              <w:rPr>
                <w:rFonts w:eastAsia="仿宋_GB2312"/>
                <w:sz w:val="28"/>
                <w:szCs w:val="28"/>
              </w:rPr>
            </w:pPr>
            <w:r>
              <w:rPr>
                <w:rFonts w:eastAsia="仿宋_GB2312"/>
                <w:sz w:val="28"/>
                <w:szCs w:val="28"/>
              </w:rPr>
              <w:t>功能失效</w:t>
            </w:r>
          </w:p>
          <w:p w14:paraId="11F607D4">
            <w:pPr>
              <w:spacing w:line="400" w:lineRule="exact"/>
              <w:jc w:val="center"/>
              <w:rPr>
                <w:rFonts w:eastAsia="仿宋_GB2312"/>
                <w:sz w:val="28"/>
                <w:szCs w:val="28"/>
              </w:rPr>
            </w:pPr>
            <w:r>
              <w:rPr>
                <w:rFonts w:eastAsia="仿宋_GB2312"/>
                <w:sz w:val="28"/>
                <w:szCs w:val="28"/>
              </w:rPr>
              <w:t>老化</w:t>
            </w:r>
          </w:p>
        </w:tc>
        <w:tc>
          <w:tcPr>
            <w:tcW w:w="2381" w:type="dxa"/>
            <w:vAlign w:val="center"/>
          </w:tcPr>
          <w:p w14:paraId="72537641">
            <w:pPr>
              <w:spacing w:line="400" w:lineRule="exact"/>
              <w:rPr>
                <w:rFonts w:eastAsia="仿宋_GB2312"/>
                <w:sz w:val="28"/>
                <w:szCs w:val="28"/>
              </w:rPr>
            </w:pPr>
            <w:r>
              <w:rPr>
                <w:rFonts w:eastAsia="仿宋_GB2312"/>
                <w:sz w:val="28"/>
                <w:szCs w:val="28"/>
              </w:rPr>
              <w:t>电极寿命终止</w:t>
            </w:r>
          </w:p>
        </w:tc>
        <w:tc>
          <w:tcPr>
            <w:tcW w:w="4890" w:type="dxa"/>
            <w:vAlign w:val="center"/>
          </w:tcPr>
          <w:p w14:paraId="00BD9623">
            <w:pPr>
              <w:spacing w:line="400" w:lineRule="exact"/>
              <w:rPr>
                <w:rFonts w:eastAsia="仿宋_GB2312"/>
                <w:sz w:val="28"/>
                <w:szCs w:val="28"/>
              </w:rPr>
            </w:pPr>
            <w:r>
              <w:rPr>
                <w:rFonts w:eastAsia="仿宋_GB2312"/>
                <w:sz w:val="28"/>
                <w:szCs w:val="28"/>
              </w:rPr>
              <w:t>心电电极使用寿命规定不明确，电极主要元件失效可能导致产品失控给患者造成危害。</w:t>
            </w:r>
          </w:p>
        </w:tc>
      </w:tr>
      <w:tr w14:paraId="2CE6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587" w:type="dxa"/>
            <w:vMerge w:val="continue"/>
            <w:vAlign w:val="center"/>
          </w:tcPr>
          <w:p w14:paraId="50C70BDF">
            <w:pPr>
              <w:spacing w:line="400" w:lineRule="exact"/>
              <w:jc w:val="center"/>
              <w:rPr>
                <w:rFonts w:eastAsia="仿宋_GB2312"/>
                <w:sz w:val="28"/>
                <w:szCs w:val="28"/>
              </w:rPr>
            </w:pPr>
          </w:p>
        </w:tc>
        <w:tc>
          <w:tcPr>
            <w:tcW w:w="2381" w:type="dxa"/>
            <w:vAlign w:val="center"/>
          </w:tcPr>
          <w:p w14:paraId="11317871">
            <w:pPr>
              <w:spacing w:line="400" w:lineRule="exact"/>
              <w:rPr>
                <w:rFonts w:eastAsia="仿宋_GB2312"/>
                <w:sz w:val="28"/>
                <w:szCs w:val="28"/>
              </w:rPr>
            </w:pPr>
            <w:r>
              <w:rPr>
                <w:rFonts w:eastAsia="仿宋_GB2312"/>
                <w:sz w:val="28"/>
                <w:szCs w:val="28"/>
              </w:rPr>
              <w:t>储存、运输不当</w:t>
            </w:r>
          </w:p>
        </w:tc>
        <w:tc>
          <w:tcPr>
            <w:tcW w:w="4890" w:type="dxa"/>
            <w:vAlign w:val="center"/>
          </w:tcPr>
          <w:p w14:paraId="79134F1E">
            <w:pPr>
              <w:spacing w:line="400" w:lineRule="exact"/>
              <w:rPr>
                <w:rFonts w:eastAsia="仿宋_GB2312"/>
                <w:sz w:val="28"/>
                <w:szCs w:val="28"/>
              </w:rPr>
            </w:pPr>
            <w:r>
              <w:rPr>
                <w:rFonts w:eastAsia="仿宋_GB2312"/>
                <w:sz w:val="28"/>
                <w:szCs w:val="28"/>
              </w:rPr>
              <w:t>运输、储存环境条件规定不明确，或未按规定条件运输储存，可能导致心电电极损坏或不能正常工作。</w:t>
            </w:r>
          </w:p>
        </w:tc>
      </w:tr>
      <w:tr w14:paraId="37DB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587" w:type="dxa"/>
            <w:vMerge w:val="continue"/>
            <w:vAlign w:val="center"/>
          </w:tcPr>
          <w:p w14:paraId="5F8F1CD5">
            <w:pPr>
              <w:spacing w:line="400" w:lineRule="exact"/>
              <w:jc w:val="center"/>
              <w:rPr>
                <w:rFonts w:eastAsia="仿宋_GB2312"/>
                <w:sz w:val="28"/>
                <w:szCs w:val="28"/>
              </w:rPr>
            </w:pPr>
          </w:p>
        </w:tc>
        <w:tc>
          <w:tcPr>
            <w:tcW w:w="2381" w:type="dxa"/>
            <w:vAlign w:val="center"/>
          </w:tcPr>
          <w:p w14:paraId="34292B6A">
            <w:pPr>
              <w:spacing w:line="400" w:lineRule="exact"/>
              <w:rPr>
                <w:rFonts w:eastAsia="仿宋_GB2312"/>
                <w:sz w:val="28"/>
                <w:szCs w:val="28"/>
              </w:rPr>
            </w:pPr>
            <w:r>
              <w:rPr>
                <w:rFonts w:eastAsia="仿宋_GB2312"/>
                <w:sz w:val="28"/>
                <w:szCs w:val="28"/>
              </w:rPr>
              <w:t>功能缺失</w:t>
            </w:r>
          </w:p>
        </w:tc>
        <w:tc>
          <w:tcPr>
            <w:tcW w:w="4890" w:type="dxa"/>
            <w:vAlign w:val="center"/>
          </w:tcPr>
          <w:p w14:paraId="1C81A0DA">
            <w:pPr>
              <w:spacing w:line="400" w:lineRule="exact"/>
              <w:rPr>
                <w:rFonts w:eastAsia="仿宋_GB2312"/>
                <w:sz w:val="28"/>
                <w:szCs w:val="28"/>
              </w:rPr>
            </w:pPr>
            <w:r>
              <w:rPr>
                <w:rFonts w:eastAsia="仿宋_GB2312"/>
                <w:sz w:val="28"/>
                <w:szCs w:val="28"/>
              </w:rPr>
              <w:t>抗除颤，在病人进行除颤时，一次性心电电极的Ag-AgCl涂层熔断，电极毁坏；心电信号无法传输至设备。</w:t>
            </w:r>
          </w:p>
        </w:tc>
      </w:tr>
      <w:tr w14:paraId="0E86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87" w:type="dxa"/>
            <w:vMerge w:val="restart"/>
            <w:vAlign w:val="center"/>
          </w:tcPr>
          <w:p w14:paraId="1F5DAD79">
            <w:pPr>
              <w:spacing w:line="400" w:lineRule="exact"/>
              <w:jc w:val="center"/>
              <w:rPr>
                <w:rFonts w:eastAsia="仿宋_GB2312"/>
                <w:sz w:val="28"/>
                <w:szCs w:val="28"/>
              </w:rPr>
            </w:pPr>
            <w:r>
              <w:rPr>
                <w:rFonts w:eastAsia="仿宋_GB2312"/>
                <w:sz w:val="28"/>
                <w:szCs w:val="28"/>
              </w:rPr>
              <w:t>环境危害</w:t>
            </w:r>
          </w:p>
        </w:tc>
        <w:tc>
          <w:tcPr>
            <w:tcW w:w="2381" w:type="dxa"/>
            <w:vAlign w:val="center"/>
          </w:tcPr>
          <w:p w14:paraId="7797A01B">
            <w:pPr>
              <w:spacing w:line="400" w:lineRule="exact"/>
              <w:rPr>
                <w:rFonts w:eastAsia="仿宋_GB2312"/>
                <w:sz w:val="28"/>
                <w:szCs w:val="28"/>
              </w:rPr>
            </w:pPr>
            <w:r>
              <w:rPr>
                <w:rFonts w:eastAsia="仿宋_GB2312"/>
                <w:sz w:val="28"/>
                <w:szCs w:val="28"/>
              </w:rPr>
              <w:t>废物处置</w:t>
            </w:r>
          </w:p>
        </w:tc>
        <w:tc>
          <w:tcPr>
            <w:tcW w:w="4890" w:type="dxa"/>
            <w:vAlign w:val="center"/>
          </w:tcPr>
          <w:p w14:paraId="63D91E98">
            <w:pPr>
              <w:spacing w:line="400" w:lineRule="exact"/>
              <w:rPr>
                <w:rFonts w:eastAsia="仿宋_GB2312"/>
                <w:sz w:val="28"/>
                <w:szCs w:val="28"/>
              </w:rPr>
            </w:pPr>
            <w:r>
              <w:rPr>
                <w:rFonts w:eastAsia="仿宋_GB2312"/>
                <w:sz w:val="28"/>
                <w:szCs w:val="28"/>
              </w:rPr>
              <w:t>使用过的心电电极任意丢弃。</w:t>
            </w:r>
          </w:p>
        </w:tc>
      </w:tr>
      <w:tr w14:paraId="2F64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587" w:type="dxa"/>
            <w:vMerge w:val="continue"/>
            <w:vAlign w:val="center"/>
          </w:tcPr>
          <w:p w14:paraId="01B01E5C">
            <w:pPr>
              <w:spacing w:line="400" w:lineRule="exact"/>
              <w:jc w:val="center"/>
              <w:rPr>
                <w:rFonts w:eastAsia="仿宋_GB2312"/>
                <w:sz w:val="28"/>
                <w:szCs w:val="28"/>
              </w:rPr>
            </w:pPr>
          </w:p>
        </w:tc>
        <w:tc>
          <w:tcPr>
            <w:tcW w:w="2381" w:type="dxa"/>
            <w:vAlign w:val="center"/>
          </w:tcPr>
          <w:p w14:paraId="0DCD7A83">
            <w:pPr>
              <w:spacing w:line="400" w:lineRule="exact"/>
              <w:rPr>
                <w:rFonts w:eastAsia="仿宋_GB2312"/>
                <w:sz w:val="28"/>
                <w:szCs w:val="28"/>
              </w:rPr>
            </w:pPr>
            <w:r>
              <w:rPr>
                <w:rFonts w:eastAsia="仿宋_GB2312"/>
                <w:sz w:val="28"/>
                <w:szCs w:val="28"/>
              </w:rPr>
              <w:t>不适当的能量供应</w:t>
            </w:r>
          </w:p>
        </w:tc>
        <w:tc>
          <w:tcPr>
            <w:tcW w:w="4890" w:type="dxa"/>
            <w:vAlign w:val="center"/>
          </w:tcPr>
          <w:p w14:paraId="66C48490">
            <w:pPr>
              <w:spacing w:line="400" w:lineRule="exact"/>
              <w:rPr>
                <w:rFonts w:eastAsia="仿宋_GB2312"/>
                <w:sz w:val="28"/>
                <w:szCs w:val="28"/>
              </w:rPr>
            </w:pPr>
            <w:r>
              <w:rPr>
                <w:rFonts w:eastAsia="仿宋_GB2312"/>
                <w:sz w:val="28"/>
                <w:szCs w:val="28"/>
              </w:rPr>
              <w:t>带强电导体与心电电极连接，造成人体触电。</w:t>
            </w:r>
          </w:p>
        </w:tc>
      </w:tr>
    </w:tbl>
    <w:p w14:paraId="1582C926">
      <w:pPr>
        <w:spacing w:line="560" w:lineRule="exact"/>
        <w:ind w:firstLine="640" w:firstLineChars="200"/>
        <w:rPr>
          <w:rFonts w:eastAsia="仿宋_GB2312"/>
          <w:sz w:val="32"/>
          <w:szCs w:val="32"/>
        </w:rPr>
      </w:pPr>
      <w:r>
        <w:rPr>
          <w:rFonts w:eastAsia="仿宋_GB2312"/>
          <w:sz w:val="32"/>
          <w:szCs w:val="32"/>
        </w:rPr>
        <w:t>3.产品性能研究</w:t>
      </w:r>
    </w:p>
    <w:p w14:paraId="066F2719">
      <w:pPr>
        <w:spacing w:line="56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应当提供产品性能研究资料以及产品技术要求的研究和编制说明，包括功能性、安全性指标以及与质量控制相关的其他指标的确定依据，所采用的标准或方法、采用原因及理论基础。</w:t>
      </w:r>
    </w:p>
    <w:p w14:paraId="7525029D">
      <w:pPr>
        <w:spacing w:line="560" w:lineRule="exact"/>
        <w:ind w:firstLine="640" w:firstLineChars="200"/>
        <w:rPr>
          <w:rFonts w:eastAsia="仿宋_GB2312"/>
          <w:sz w:val="32"/>
          <w:szCs w:val="32"/>
        </w:rPr>
      </w:pPr>
      <w:r>
        <w:rPr>
          <w:rFonts w:eastAsia="仿宋_GB2312"/>
          <w:sz w:val="32"/>
          <w:szCs w:val="32"/>
        </w:rPr>
        <w:t>（1）电极扣：材质通常有金属和碳素纤维两种，电极扣和感应片全部经过镀银/氯化银处理。</w:t>
      </w:r>
    </w:p>
    <w:p w14:paraId="02561CE7">
      <w:pPr>
        <w:spacing w:line="560" w:lineRule="exact"/>
        <w:ind w:firstLine="640" w:firstLineChars="200"/>
        <w:rPr>
          <w:rFonts w:eastAsia="仿宋_GB2312"/>
          <w:sz w:val="32"/>
          <w:szCs w:val="32"/>
        </w:rPr>
      </w:pPr>
      <w:r>
        <w:rPr>
          <w:rFonts w:eastAsia="仿宋_GB2312"/>
          <w:sz w:val="32"/>
          <w:szCs w:val="32"/>
        </w:rPr>
        <w:t>膜式：涂布在基材上的Ag-AgCl材料的厚度必须达到企业规定的要求。</w:t>
      </w:r>
    </w:p>
    <w:p w14:paraId="64D57A8D">
      <w:pPr>
        <w:spacing w:line="560" w:lineRule="exact"/>
        <w:ind w:firstLine="640" w:firstLineChars="200"/>
        <w:rPr>
          <w:rFonts w:eastAsia="仿宋_GB2312"/>
          <w:sz w:val="32"/>
          <w:szCs w:val="32"/>
        </w:rPr>
      </w:pPr>
      <w:r>
        <w:rPr>
          <w:rFonts w:eastAsia="仿宋_GB2312"/>
          <w:sz w:val="32"/>
          <w:szCs w:val="32"/>
        </w:rPr>
        <w:t>线缆式：电极的导线两端应连接牢固，且导电性能良好。</w:t>
      </w:r>
    </w:p>
    <w:p w14:paraId="758FDDA6">
      <w:pPr>
        <w:spacing w:line="560" w:lineRule="exact"/>
        <w:ind w:firstLine="640" w:firstLineChars="200"/>
        <w:rPr>
          <w:rFonts w:eastAsia="仿宋_GB2312"/>
          <w:sz w:val="32"/>
          <w:szCs w:val="32"/>
        </w:rPr>
      </w:pPr>
      <w:r>
        <w:rPr>
          <w:rFonts w:eastAsia="仿宋_GB2312"/>
          <w:sz w:val="32"/>
          <w:szCs w:val="32"/>
        </w:rPr>
        <w:t>（2）导电膏：导电膏面积越大，氯离子越多，电信号传导越好，但是需考虑氯离子过多会影响生物学指标。</w:t>
      </w:r>
    </w:p>
    <w:p w14:paraId="52F64ABC">
      <w:pPr>
        <w:spacing w:line="560" w:lineRule="exact"/>
        <w:ind w:firstLine="640" w:firstLineChars="200"/>
        <w:rPr>
          <w:rFonts w:eastAsia="仿宋_GB2312"/>
          <w:sz w:val="32"/>
          <w:szCs w:val="32"/>
        </w:rPr>
      </w:pPr>
      <w:r>
        <w:rPr>
          <w:rFonts w:eastAsia="仿宋_GB2312"/>
          <w:sz w:val="32"/>
          <w:szCs w:val="32"/>
        </w:rPr>
        <w:t>（3）持粘性：企业在进行产品的持粘性验证时需考虑在恶劣情形下（例如人体容易出汗，人体剧烈运动）的验证，同时还需考虑粘贴物残留的控制要求。</w:t>
      </w:r>
    </w:p>
    <w:p w14:paraId="7A929D99">
      <w:pPr>
        <w:spacing w:line="560" w:lineRule="exact"/>
        <w:ind w:firstLine="640" w:firstLineChars="200"/>
        <w:rPr>
          <w:rFonts w:eastAsia="仿宋_GB2312"/>
          <w:sz w:val="32"/>
          <w:szCs w:val="32"/>
        </w:rPr>
      </w:pPr>
      <w:r>
        <w:rPr>
          <w:rFonts w:eastAsia="仿宋_GB2312"/>
          <w:sz w:val="32"/>
          <w:szCs w:val="32"/>
        </w:rPr>
        <w:t>4.生物相容性研究</w:t>
      </w:r>
    </w:p>
    <w:p w14:paraId="2367382D">
      <w:pPr>
        <w:spacing w:line="560" w:lineRule="exact"/>
        <w:ind w:firstLine="640" w:firstLineChars="200"/>
        <w:rPr>
          <w:rFonts w:eastAsia="仿宋_GB2312"/>
          <w:sz w:val="32"/>
          <w:szCs w:val="32"/>
        </w:rPr>
      </w:pPr>
      <w:r>
        <w:rPr>
          <w:rFonts w:eastAsia="仿宋_GB2312"/>
          <w:sz w:val="32"/>
          <w:szCs w:val="32"/>
        </w:rPr>
        <w:t>应对成品（主要考虑与患者和使用者直接或间接接触的材料）的生物相容性进行评价。生物相容性评价研究资料应当包括：生物相容性评价的依据和方法，产品所用材料的描述及与人体接触的性质，实施或豁免生物学试验的理由和论证，对于现有数据或试验结果的评价。</w:t>
      </w:r>
    </w:p>
    <w:p w14:paraId="1B0F0410">
      <w:pPr>
        <w:spacing w:line="560" w:lineRule="exact"/>
        <w:ind w:firstLine="640" w:firstLineChars="200"/>
        <w:rPr>
          <w:rFonts w:eastAsia="仿宋_GB2312"/>
          <w:color w:val="FF0000"/>
          <w:sz w:val="32"/>
          <w:szCs w:val="32"/>
        </w:rPr>
      </w:pPr>
      <w:r>
        <w:rPr>
          <w:rFonts w:eastAsia="仿宋_GB2312"/>
          <w:sz w:val="32"/>
          <w:szCs w:val="32"/>
        </w:rPr>
        <w:t>一次性使用心电电极产品在使用中需直接接触患者皮肤，因此需对产品进行生物相容性评价。生物相容性评价根据GB/T 16886.1</w:t>
      </w:r>
      <w:r>
        <w:rPr>
          <w:rFonts w:hint="eastAsia" w:ascii="仿宋_GB2312" w:eastAsia="仿宋_GB2312"/>
          <w:sz w:val="32"/>
          <w:szCs w:val="32"/>
        </w:rPr>
        <w:t>—</w:t>
      </w:r>
      <w:r>
        <w:rPr>
          <w:rFonts w:eastAsia="仿宋_GB2312"/>
          <w:sz w:val="32"/>
          <w:szCs w:val="32"/>
        </w:rPr>
        <w:t>2011《医疗器械生物学评价 第1部分：风险管理过程中的评价与试验》标准进行。</w:t>
      </w:r>
    </w:p>
    <w:p w14:paraId="3E9DEEEB">
      <w:pPr>
        <w:spacing w:line="560" w:lineRule="exact"/>
        <w:ind w:firstLine="640" w:firstLineChars="200"/>
        <w:rPr>
          <w:rFonts w:eastAsia="仿宋_GB2312"/>
          <w:sz w:val="32"/>
          <w:szCs w:val="32"/>
        </w:rPr>
      </w:pPr>
      <w:r>
        <w:rPr>
          <w:rFonts w:eastAsia="仿宋_GB2312"/>
          <w:sz w:val="32"/>
          <w:szCs w:val="32"/>
        </w:rPr>
        <w:t>生物学评价过程中应当注重运用已有信息（包括材料、文献资料、体外和体内试验数据、临床经验），当生物学评价确定需要进行生物学试验时，应当由</w:t>
      </w:r>
      <w:bookmarkStart w:id="0" w:name="OLE_LINK3"/>
      <w:bookmarkStart w:id="1" w:name="OLE_LINK4"/>
      <w:r>
        <w:rPr>
          <w:rFonts w:eastAsia="仿宋_GB2312"/>
          <w:sz w:val="32"/>
          <w:szCs w:val="32"/>
        </w:rPr>
        <w:t>国家食品药品监督管理总局认可的，并具有相应生物学试验资质的医疗器械检验机构</w:t>
      </w:r>
      <w:bookmarkEnd w:id="0"/>
      <w:bookmarkEnd w:id="1"/>
      <w:r>
        <w:rPr>
          <w:rFonts w:eastAsia="仿宋_GB2312"/>
          <w:sz w:val="32"/>
          <w:szCs w:val="32"/>
        </w:rPr>
        <w:t>进行。</w:t>
      </w:r>
    </w:p>
    <w:p w14:paraId="7F0B6BF7">
      <w:pPr>
        <w:spacing w:line="560" w:lineRule="exact"/>
        <w:ind w:firstLine="640" w:firstLineChars="200"/>
        <w:rPr>
          <w:rFonts w:eastAsia="仿宋_GB2312"/>
          <w:sz w:val="32"/>
          <w:szCs w:val="32"/>
        </w:rPr>
      </w:pPr>
      <w:r>
        <w:rPr>
          <w:rFonts w:eastAsia="仿宋_GB2312"/>
          <w:sz w:val="32"/>
          <w:szCs w:val="32"/>
        </w:rPr>
        <w:t>一次性使用心电电极生物相容性要求应至少符合以下要求：细胞毒性不大于2级；应无迟发型超敏反应；皮肤刺激应不大于1级。</w:t>
      </w:r>
    </w:p>
    <w:p w14:paraId="27A153AD">
      <w:pPr>
        <w:spacing w:line="560" w:lineRule="exact"/>
        <w:ind w:firstLine="640" w:firstLineChars="200"/>
        <w:rPr>
          <w:rFonts w:eastAsia="仿宋_GB2312"/>
          <w:sz w:val="32"/>
          <w:szCs w:val="32"/>
        </w:rPr>
      </w:pPr>
      <w:r>
        <w:rPr>
          <w:rFonts w:eastAsia="仿宋_GB2312"/>
          <w:sz w:val="32"/>
          <w:szCs w:val="32"/>
        </w:rPr>
        <w:t>5.灭菌/微生物控制工艺研究</w:t>
      </w:r>
    </w:p>
    <w:p w14:paraId="7DB3CCFD">
      <w:pPr>
        <w:spacing w:line="560" w:lineRule="exact"/>
        <w:ind w:firstLine="640" w:firstLineChars="200"/>
        <w:rPr>
          <w:rFonts w:eastAsia="仿宋_GB2312"/>
          <w:sz w:val="32"/>
          <w:szCs w:val="32"/>
        </w:rPr>
      </w:pPr>
      <w:r>
        <w:rPr>
          <w:rFonts w:eastAsia="仿宋_GB2312"/>
          <w:sz w:val="32"/>
          <w:szCs w:val="32"/>
        </w:rPr>
        <w:t>（1）生产企业灭菌：应明确灭菌工艺（方法和参数）和无菌保证水平（SAL），并提供灭菌确认报告。</w:t>
      </w:r>
    </w:p>
    <w:p w14:paraId="406B506D">
      <w:pPr>
        <w:spacing w:line="560" w:lineRule="exact"/>
        <w:ind w:firstLine="640" w:firstLineChars="200"/>
        <w:rPr>
          <w:rFonts w:eastAsia="仿宋_GB2312"/>
          <w:sz w:val="32"/>
          <w:szCs w:val="32"/>
        </w:rPr>
      </w:pPr>
      <w:r>
        <w:rPr>
          <w:rFonts w:eastAsia="仿宋_GB2312"/>
          <w:sz w:val="32"/>
          <w:szCs w:val="32"/>
        </w:rPr>
        <w:t>（2）终端用户灭菌：应当明确推荐的灭菌工艺（方法和参数）及所推荐的灭菌方法确定的依据。</w:t>
      </w:r>
    </w:p>
    <w:p w14:paraId="49522DCE">
      <w:pPr>
        <w:spacing w:line="560" w:lineRule="exact"/>
        <w:ind w:firstLine="640" w:firstLineChars="200"/>
        <w:rPr>
          <w:rFonts w:eastAsia="仿宋_GB2312"/>
          <w:sz w:val="32"/>
          <w:szCs w:val="32"/>
        </w:rPr>
      </w:pPr>
      <w:r>
        <w:rPr>
          <w:rFonts w:eastAsia="仿宋_GB2312"/>
          <w:sz w:val="32"/>
          <w:szCs w:val="32"/>
        </w:rPr>
        <w:t>（3）残留毒性：如采用环氧乙烷灭菌，应当明确残留物信息及采取的处理方法，并提供研究资料，企业需提供保证产品出厂时环氧乙烷残留量不得大于10μg/g的处理方法。</w:t>
      </w:r>
    </w:p>
    <w:p w14:paraId="4BAE16DC">
      <w:pPr>
        <w:spacing w:line="560" w:lineRule="exact"/>
        <w:ind w:firstLine="640" w:firstLineChars="200"/>
        <w:rPr>
          <w:rFonts w:eastAsia="仿宋_GB2312"/>
          <w:sz w:val="32"/>
          <w:szCs w:val="32"/>
        </w:rPr>
      </w:pPr>
      <w:r>
        <w:rPr>
          <w:rFonts w:eastAsia="仿宋_GB2312"/>
          <w:sz w:val="32"/>
          <w:szCs w:val="32"/>
        </w:rPr>
        <w:t>（4）微生物控制：环境控制要求，生产过程控制要求</w:t>
      </w:r>
    </w:p>
    <w:p w14:paraId="7CFD77EE">
      <w:pPr>
        <w:spacing w:line="560" w:lineRule="exact"/>
        <w:ind w:firstLine="640" w:firstLineChars="200"/>
        <w:rPr>
          <w:rFonts w:eastAsia="仿宋_GB2312"/>
          <w:sz w:val="32"/>
          <w:szCs w:val="32"/>
        </w:rPr>
      </w:pPr>
      <w:r>
        <w:rPr>
          <w:rFonts w:eastAsia="仿宋_GB2312"/>
          <w:sz w:val="32"/>
          <w:szCs w:val="32"/>
        </w:rPr>
        <w:t>6.有效期和包装研究</w:t>
      </w:r>
    </w:p>
    <w:p w14:paraId="38B6B0BA">
      <w:pPr>
        <w:spacing w:line="560" w:lineRule="exact"/>
        <w:ind w:firstLine="640" w:firstLineChars="200"/>
        <w:rPr>
          <w:rFonts w:eastAsia="仿宋_GB2312"/>
          <w:sz w:val="32"/>
          <w:szCs w:val="32"/>
        </w:rPr>
      </w:pPr>
      <w:r>
        <w:rPr>
          <w:rFonts w:eastAsia="仿宋_GB2312"/>
          <w:sz w:val="32"/>
          <w:szCs w:val="32"/>
        </w:rPr>
        <w:t>（1）有效期的确定：应当提供产品有效期的验证报告。</w:t>
      </w:r>
    </w:p>
    <w:p w14:paraId="273783FF">
      <w:pPr>
        <w:spacing w:line="560" w:lineRule="exact"/>
        <w:ind w:firstLine="640" w:firstLineChars="200"/>
        <w:rPr>
          <w:rFonts w:eastAsia="仿宋_GB2312"/>
          <w:sz w:val="32"/>
          <w:szCs w:val="32"/>
        </w:rPr>
      </w:pPr>
      <w:r>
        <w:rPr>
          <w:rFonts w:eastAsia="仿宋_GB2312"/>
          <w:sz w:val="32"/>
          <w:szCs w:val="32"/>
        </w:rPr>
        <w:t>（2）包装及包装完整性：在宣称的有效期内以及运输储存条件下，保持包装完整性的依据。</w:t>
      </w:r>
      <w:r>
        <w:rPr>
          <w:rFonts w:hint="eastAsia" w:ascii="宋体" w:hAnsi="宋体" w:cs="宋体"/>
          <w:sz w:val="32"/>
          <w:szCs w:val="32"/>
        </w:rPr>
        <w:t>①</w:t>
      </w:r>
      <w:r>
        <w:rPr>
          <w:rFonts w:eastAsia="仿宋_GB2312"/>
          <w:sz w:val="32"/>
          <w:szCs w:val="32"/>
        </w:rPr>
        <w:t>小包装（例如3或6只装，一次性用完），企业需考虑产品性能和包装性能在有效期内的验证；</w:t>
      </w:r>
      <w:r>
        <w:rPr>
          <w:rFonts w:hint="eastAsia" w:ascii="宋体" w:hAnsi="宋体" w:cs="宋体"/>
          <w:sz w:val="32"/>
          <w:szCs w:val="32"/>
        </w:rPr>
        <w:t>②</w:t>
      </w:r>
      <w:r>
        <w:rPr>
          <w:rFonts w:eastAsia="仿宋_GB2312"/>
          <w:sz w:val="32"/>
          <w:szCs w:val="32"/>
        </w:rPr>
        <w:t>大包装，考虑到开袋过程，导电膏会发生干结或者从电极上脱落，企业需规定开袋后多少天内使用，并通过产品性能的验证来保证。</w:t>
      </w:r>
    </w:p>
    <w:p w14:paraId="2F921694">
      <w:pPr>
        <w:spacing w:line="560" w:lineRule="exact"/>
        <w:ind w:firstLine="640" w:firstLineChars="200"/>
        <w:rPr>
          <w:rFonts w:ascii="楷体_GB2312" w:eastAsia="楷体_GB2312"/>
          <w:sz w:val="32"/>
          <w:szCs w:val="32"/>
        </w:rPr>
      </w:pPr>
      <w:r>
        <w:rPr>
          <w:rFonts w:hint="eastAsia" w:ascii="楷体_GB2312" w:eastAsia="楷体_GB2312"/>
          <w:sz w:val="32"/>
          <w:szCs w:val="32"/>
        </w:rPr>
        <w:t>（八）产品技术要求应包括的主要性能指标</w:t>
      </w:r>
    </w:p>
    <w:p w14:paraId="3A3E1F85">
      <w:pPr>
        <w:spacing w:line="560" w:lineRule="exact"/>
        <w:ind w:firstLine="640" w:firstLineChars="200"/>
        <w:rPr>
          <w:rFonts w:eastAsia="仿宋_GB2312"/>
          <w:sz w:val="32"/>
          <w:szCs w:val="32"/>
        </w:rPr>
      </w:pPr>
      <w:r>
        <w:rPr>
          <w:rFonts w:eastAsia="仿宋_GB2312"/>
          <w:sz w:val="32"/>
          <w:szCs w:val="32"/>
        </w:rPr>
        <w:t>本条款给出一次性使用心电电极产品需要满足的主要技术指标，其他技术指标企业可参考相应的国家标准、行业标准，根据企业自身产品的技术特点制定相应的要求，但不得低于相关强制性国家标准、行业标准的有关要求。如有不适用条款（包括国家标准、行业标准要求），企业在研究资料的产品性能研究中必须说明理由。</w:t>
      </w:r>
    </w:p>
    <w:p w14:paraId="41343B1E">
      <w:pPr>
        <w:spacing w:line="560" w:lineRule="exact"/>
        <w:ind w:firstLine="640" w:firstLineChars="200"/>
        <w:rPr>
          <w:rFonts w:eastAsia="仿宋_GB2312"/>
          <w:sz w:val="32"/>
          <w:szCs w:val="32"/>
        </w:rPr>
      </w:pPr>
      <w:r>
        <w:rPr>
          <w:rFonts w:eastAsia="仿宋_GB2312"/>
          <w:sz w:val="32"/>
          <w:szCs w:val="32"/>
        </w:rPr>
        <w:t>企业制定产品技术要求，则标准中应明确规格/型号的划分、产品的结构组成等内容，且性能指标应能满足以下要求：</w:t>
      </w:r>
    </w:p>
    <w:p w14:paraId="487111D7">
      <w:pPr>
        <w:spacing w:line="560" w:lineRule="exact"/>
        <w:ind w:firstLine="640" w:firstLineChars="200"/>
        <w:rPr>
          <w:rFonts w:eastAsia="仿宋_GB2312"/>
          <w:sz w:val="32"/>
          <w:szCs w:val="32"/>
        </w:rPr>
      </w:pPr>
      <w:r>
        <w:rPr>
          <w:rFonts w:eastAsia="仿宋_GB2312"/>
          <w:sz w:val="32"/>
          <w:szCs w:val="32"/>
        </w:rPr>
        <w:t>1.型号/规格及其划分说明</w:t>
      </w:r>
    </w:p>
    <w:p w14:paraId="377FD875">
      <w:pPr>
        <w:spacing w:line="560" w:lineRule="exact"/>
        <w:ind w:firstLine="640" w:firstLineChars="200"/>
        <w:rPr>
          <w:rFonts w:eastAsia="仿宋_GB2312"/>
          <w:sz w:val="32"/>
          <w:szCs w:val="32"/>
        </w:rPr>
      </w:pPr>
      <w:r>
        <w:rPr>
          <w:rFonts w:eastAsia="仿宋_GB2312"/>
          <w:sz w:val="32"/>
          <w:szCs w:val="32"/>
        </w:rPr>
        <w:t>2.性能指标</w:t>
      </w:r>
    </w:p>
    <w:p w14:paraId="03A4E23E">
      <w:pPr>
        <w:spacing w:line="560" w:lineRule="exact"/>
        <w:ind w:firstLine="640" w:firstLineChars="200"/>
        <w:rPr>
          <w:rFonts w:eastAsia="仿宋_GB2312"/>
          <w:sz w:val="32"/>
          <w:szCs w:val="32"/>
        </w:rPr>
      </w:pPr>
      <w:r>
        <w:rPr>
          <w:rFonts w:eastAsia="仿宋_GB2312"/>
          <w:sz w:val="32"/>
          <w:szCs w:val="32"/>
        </w:rPr>
        <w:t>2.1外观：应整齐、清洁，无异物。</w:t>
      </w:r>
    </w:p>
    <w:p w14:paraId="3F4C22DF">
      <w:pPr>
        <w:spacing w:line="560" w:lineRule="exact"/>
        <w:ind w:firstLine="640" w:firstLineChars="200"/>
        <w:rPr>
          <w:rFonts w:eastAsia="仿宋_GB2312"/>
          <w:sz w:val="32"/>
          <w:szCs w:val="32"/>
        </w:rPr>
      </w:pPr>
      <w:r>
        <w:rPr>
          <w:rFonts w:eastAsia="仿宋_GB2312"/>
          <w:sz w:val="32"/>
          <w:szCs w:val="32"/>
        </w:rPr>
        <w:t>2.2尺寸：电极尺寸（外径或高度、宽度），线缆长度（线缆式心电电极适用）：由生产企业根据实际产品具体编写。</w:t>
      </w:r>
    </w:p>
    <w:p w14:paraId="2A57A101">
      <w:pPr>
        <w:spacing w:line="560" w:lineRule="exact"/>
        <w:ind w:firstLine="640" w:firstLineChars="200"/>
        <w:rPr>
          <w:rFonts w:eastAsia="仿宋_GB2312"/>
          <w:sz w:val="32"/>
          <w:szCs w:val="32"/>
        </w:rPr>
      </w:pPr>
      <w:r>
        <w:rPr>
          <w:rFonts w:eastAsia="仿宋_GB2312"/>
          <w:sz w:val="32"/>
          <w:szCs w:val="32"/>
        </w:rPr>
        <w:t>2.3电极导线两段连接处牢固度（线缆式心电电极适用）：由生产企业根据实际产品具体编写。</w:t>
      </w:r>
    </w:p>
    <w:p w14:paraId="21ABEED3">
      <w:pPr>
        <w:spacing w:line="560" w:lineRule="exact"/>
        <w:ind w:firstLine="640" w:firstLineChars="200"/>
        <w:rPr>
          <w:rFonts w:eastAsia="仿宋_GB2312"/>
          <w:sz w:val="32"/>
          <w:szCs w:val="32"/>
        </w:rPr>
      </w:pPr>
      <w:r>
        <w:rPr>
          <w:rFonts w:eastAsia="仿宋_GB2312"/>
          <w:sz w:val="32"/>
          <w:szCs w:val="32"/>
        </w:rPr>
        <w:t>2.4电气性能</w:t>
      </w:r>
    </w:p>
    <w:p w14:paraId="2C2F15AA">
      <w:pPr>
        <w:spacing w:line="560" w:lineRule="exact"/>
        <w:ind w:firstLine="640" w:firstLineChars="200"/>
        <w:rPr>
          <w:rFonts w:eastAsia="仿宋_GB2312"/>
          <w:sz w:val="32"/>
          <w:szCs w:val="32"/>
        </w:rPr>
      </w:pPr>
      <w:r>
        <w:rPr>
          <w:rFonts w:eastAsia="仿宋_GB2312"/>
          <w:sz w:val="32"/>
          <w:szCs w:val="32"/>
        </w:rPr>
        <w:t>2.4.1交流阻抗</w:t>
      </w:r>
    </w:p>
    <w:p w14:paraId="6B4DD02E">
      <w:pPr>
        <w:spacing w:line="560" w:lineRule="exact"/>
        <w:ind w:firstLine="640" w:firstLineChars="200"/>
        <w:rPr>
          <w:rFonts w:eastAsia="仿宋_GB2312"/>
          <w:sz w:val="32"/>
          <w:szCs w:val="32"/>
        </w:rPr>
      </w:pPr>
      <w:r>
        <w:rPr>
          <w:rFonts w:eastAsia="仿宋_GB2312"/>
          <w:sz w:val="32"/>
          <w:szCs w:val="32"/>
        </w:rPr>
        <w:t>至少12对胶对胶连接的心电电极对，在10Hz、不超过100μA（峰-峰）的外加电流下，其阻抗平均值应不超过2kΩ。每一单独的胶对胶连接的心电电极对的阻抗应不超过3kΩ。</w:t>
      </w:r>
    </w:p>
    <w:p w14:paraId="09C2BF23">
      <w:pPr>
        <w:spacing w:line="560" w:lineRule="exact"/>
        <w:ind w:firstLine="640" w:firstLineChars="200"/>
        <w:rPr>
          <w:rFonts w:eastAsia="仿宋_GB2312"/>
          <w:sz w:val="32"/>
          <w:szCs w:val="32"/>
        </w:rPr>
      </w:pPr>
      <w:r>
        <w:rPr>
          <w:rFonts w:eastAsia="仿宋_GB2312"/>
          <w:sz w:val="32"/>
          <w:szCs w:val="32"/>
        </w:rPr>
        <w:t>2.4.2直流失调电压</w:t>
      </w:r>
    </w:p>
    <w:p w14:paraId="671F3B7D">
      <w:pPr>
        <w:spacing w:line="560" w:lineRule="exact"/>
        <w:ind w:firstLine="640" w:firstLineChars="200"/>
        <w:rPr>
          <w:rFonts w:eastAsia="仿宋_GB2312"/>
          <w:sz w:val="32"/>
          <w:szCs w:val="32"/>
        </w:rPr>
      </w:pPr>
      <w:r>
        <w:rPr>
          <w:rFonts w:eastAsia="仿宋_GB2312"/>
          <w:sz w:val="32"/>
          <w:szCs w:val="32"/>
        </w:rPr>
        <w:t>一对胶对胶连接的心电电极对经1min的稳定期后，出现的失调电压应不大于100mV。</w:t>
      </w:r>
    </w:p>
    <w:p w14:paraId="4BED6777">
      <w:pPr>
        <w:spacing w:line="560" w:lineRule="exact"/>
        <w:ind w:firstLine="640" w:firstLineChars="200"/>
        <w:rPr>
          <w:rFonts w:eastAsia="仿宋_GB2312"/>
          <w:sz w:val="32"/>
          <w:szCs w:val="32"/>
        </w:rPr>
      </w:pPr>
      <w:r>
        <w:rPr>
          <w:rFonts w:eastAsia="仿宋_GB2312"/>
          <w:sz w:val="32"/>
          <w:szCs w:val="32"/>
        </w:rPr>
        <w:t>2.4.3复合失调不稳定性和内部噪声</w:t>
      </w:r>
    </w:p>
    <w:p w14:paraId="00D24570">
      <w:pPr>
        <w:spacing w:line="560" w:lineRule="exact"/>
        <w:ind w:firstLine="640" w:firstLineChars="200"/>
        <w:rPr>
          <w:rFonts w:eastAsia="仿宋_GB2312"/>
          <w:spacing w:val="4"/>
          <w:sz w:val="32"/>
          <w:szCs w:val="32"/>
        </w:rPr>
      </w:pPr>
      <w:r>
        <w:rPr>
          <w:rFonts w:eastAsia="仿宋_GB2312"/>
          <w:sz w:val="32"/>
          <w:szCs w:val="32"/>
        </w:rPr>
        <w:t>一</w:t>
      </w:r>
      <w:r>
        <w:rPr>
          <w:rFonts w:eastAsia="仿宋_GB2312"/>
          <w:spacing w:val="4"/>
          <w:sz w:val="32"/>
          <w:szCs w:val="32"/>
        </w:rPr>
        <w:t>对胶对胶连接的心电电极对经1min的稳定期后，在0.5Hz</w:t>
      </w:r>
      <w:r>
        <w:rPr>
          <w:rFonts w:hint="eastAsia" w:ascii="仿宋_GB2312" w:eastAsia="仿宋_GB2312"/>
          <w:spacing w:val="4"/>
          <w:sz w:val="32"/>
          <w:szCs w:val="32"/>
        </w:rPr>
        <w:t>—</w:t>
      </w:r>
      <w:r>
        <w:rPr>
          <w:rFonts w:eastAsia="仿宋_GB2312"/>
          <w:spacing w:val="4"/>
          <w:sz w:val="32"/>
          <w:szCs w:val="32"/>
        </w:rPr>
        <w:t>100Hz的频带（一阶频响）下产生的电压，在随后5min内应不大于150μV（峰-峰）。</w:t>
      </w:r>
    </w:p>
    <w:p w14:paraId="4448C3A4">
      <w:pPr>
        <w:spacing w:line="560" w:lineRule="exact"/>
        <w:ind w:firstLine="640" w:firstLineChars="200"/>
        <w:rPr>
          <w:rFonts w:eastAsia="仿宋_GB2312"/>
          <w:sz w:val="32"/>
          <w:szCs w:val="32"/>
        </w:rPr>
      </w:pPr>
      <w:r>
        <w:rPr>
          <w:rFonts w:eastAsia="仿宋_GB2312"/>
          <w:sz w:val="32"/>
          <w:szCs w:val="32"/>
        </w:rPr>
        <w:t>2.4.4除颤过载恢复</w:t>
      </w:r>
    </w:p>
    <w:p w14:paraId="7347DD7F">
      <w:pPr>
        <w:spacing w:line="560" w:lineRule="exact"/>
        <w:ind w:firstLine="640" w:firstLineChars="200"/>
        <w:rPr>
          <w:rFonts w:eastAsia="仿宋_GB2312"/>
          <w:sz w:val="32"/>
          <w:szCs w:val="32"/>
        </w:rPr>
      </w:pPr>
      <w:r>
        <w:rPr>
          <w:rFonts w:eastAsia="仿宋_GB2312"/>
          <w:sz w:val="32"/>
          <w:szCs w:val="32"/>
        </w:rPr>
        <w:t>充电至200V的10μF电容器，通过心电电极对与阻值为100Ω的电阻串联的回路放电，在电容器开始放电后的第5s，胶对胶连接的心电电极对的极化电动势的绝对值不超过100mV；在此后的30s内，剩余极化电动势的变化率不大于±1mV/s。在按本要求进行上述实验后，心电电极对的10Hz交流阻抗应不大于3kΩ。</w:t>
      </w:r>
    </w:p>
    <w:p w14:paraId="10C34022">
      <w:pPr>
        <w:spacing w:line="560" w:lineRule="exact"/>
        <w:ind w:firstLine="640" w:firstLineChars="200"/>
        <w:rPr>
          <w:rFonts w:eastAsia="仿宋_GB2312"/>
          <w:sz w:val="32"/>
          <w:szCs w:val="32"/>
        </w:rPr>
      </w:pPr>
      <w:r>
        <w:rPr>
          <w:rFonts w:eastAsia="仿宋_GB2312"/>
          <w:sz w:val="32"/>
          <w:szCs w:val="32"/>
        </w:rPr>
        <w:t>2.4.5偏置电流耐受度</w:t>
      </w:r>
    </w:p>
    <w:p w14:paraId="72940D8E">
      <w:pPr>
        <w:spacing w:line="560" w:lineRule="exact"/>
        <w:ind w:firstLine="640" w:firstLineChars="200"/>
        <w:rPr>
          <w:rFonts w:eastAsia="仿宋_GB2312"/>
          <w:sz w:val="32"/>
          <w:szCs w:val="32"/>
        </w:rPr>
      </w:pPr>
      <w:r>
        <w:rPr>
          <w:rFonts w:eastAsia="仿宋_GB2312"/>
          <w:sz w:val="32"/>
          <w:szCs w:val="32"/>
        </w:rPr>
        <w:t>给胶对胶连接的心电电极对施加200nA直流电流，持续时间为制造商推荐的心电电极临床使用时间，在整个持续时间内观测的心电电极对两端的电压变化不大于100mV。在任何情况下，持续时间不应小于8h。</w:t>
      </w:r>
    </w:p>
    <w:p w14:paraId="76C839E0">
      <w:pPr>
        <w:spacing w:line="560" w:lineRule="exact"/>
        <w:ind w:firstLine="640" w:firstLineChars="200"/>
        <w:rPr>
          <w:rFonts w:eastAsia="仿宋_GB2312"/>
          <w:sz w:val="32"/>
          <w:szCs w:val="32"/>
        </w:rPr>
      </w:pPr>
      <w:r>
        <w:rPr>
          <w:rFonts w:eastAsia="仿宋_GB2312"/>
          <w:sz w:val="32"/>
          <w:szCs w:val="32"/>
        </w:rPr>
        <w:t>2.4.6预连接导线的安全性</w:t>
      </w:r>
    </w:p>
    <w:p w14:paraId="48860A34">
      <w:pPr>
        <w:spacing w:line="560" w:lineRule="exact"/>
        <w:ind w:firstLine="640" w:firstLineChars="200"/>
        <w:rPr>
          <w:rFonts w:eastAsia="仿宋_GB2312"/>
          <w:sz w:val="32"/>
          <w:szCs w:val="32"/>
        </w:rPr>
      </w:pPr>
      <w:r>
        <w:rPr>
          <w:rFonts w:eastAsia="仿宋_GB2312"/>
          <w:sz w:val="32"/>
          <w:szCs w:val="32"/>
        </w:rPr>
        <w:t>有预连接（永久性连接）导线的电极应被制造成用于连接仪器主干电缆的导线连接器不会触及地面及其他可能危险的电压。尤其是，该连接器应制造得可以防止插入网电源插座或可拆卸的电源线。</w:t>
      </w:r>
    </w:p>
    <w:p w14:paraId="16A6A5EC">
      <w:pPr>
        <w:spacing w:line="560" w:lineRule="exact"/>
        <w:ind w:firstLine="640" w:firstLineChars="200"/>
        <w:rPr>
          <w:rFonts w:eastAsia="仿宋_GB2312"/>
          <w:sz w:val="32"/>
          <w:szCs w:val="32"/>
        </w:rPr>
      </w:pPr>
      <w:r>
        <w:rPr>
          <w:rFonts w:eastAsia="仿宋_GB2312"/>
          <w:sz w:val="32"/>
          <w:szCs w:val="32"/>
        </w:rPr>
        <w:t>2</w:t>
      </w:r>
      <w:r>
        <w:rPr>
          <w:rFonts w:eastAsia="仿宋_GB2312"/>
          <w:spacing w:val="-4"/>
          <w:sz w:val="32"/>
          <w:szCs w:val="32"/>
        </w:rPr>
        <w:t>.4.7预连接导线阻抗（线缆式）：导线的直流阻抗由企业自定。</w:t>
      </w:r>
    </w:p>
    <w:p w14:paraId="12FEF9CC">
      <w:pPr>
        <w:spacing w:line="560" w:lineRule="exact"/>
        <w:ind w:firstLine="640" w:firstLineChars="200"/>
        <w:rPr>
          <w:rFonts w:eastAsia="仿宋_GB2312"/>
          <w:sz w:val="32"/>
          <w:szCs w:val="32"/>
        </w:rPr>
      </w:pPr>
      <w:r>
        <w:rPr>
          <w:rFonts w:eastAsia="仿宋_GB2312"/>
          <w:sz w:val="32"/>
          <w:szCs w:val="32"/>
        </w:rPr>
        <w:t>2.5微生物性能</w:t>
      </w:r>
    </w:p>
    <w:p w14:paraId="3438BF3F">
      <w:pPr>
        <w:spacing w:line="560" w:lineRule="exact"/>
        <w:ind w:firstLine="640" w:firstLineChars="200"/>
        <w:rPr>
          <w:rFonts w:eastAsia="仿宋_GB2312"/>
          <w:sz w:val="32"/>
          <w:szCs w:val="32"/>
        </w:rPr>
      </w:pPr>
      <w:r>
        <w:rPr>
          <w:rFonts w:eastAsia="仿宋_GB2312"/>
          <w:sz w:val="32"/>
          <w:szCs w:val="32"/>
        </w:rPr>
        <w:t>2.5.1生产企业灭菌产品应满足：经确认过的灭菌过程后应无菌。</w:t>
      </w:r>
    </w:p>
    <w:p w14:paraId="71B2743B">
      <w:pPr>
        <w:spacing w:line="560" w:lineRule="exact"/>
        <w:ind w:firstLine="640" w:firstLineChars="200"/>
        <w:rPr>
          <w:rFonts w:eastAsia="仿宋_GB2312"/>
          <w:sz w:val="32"/>
          <w:szCs w:val="32"/>
        </w:rPr>
      </w:pPr>
      <w:r>
        <w:rPr>
          <w:rFonts w:eastAsia="仿宋_GB2312"/>
          <w:sz w:val="32"/>
          <w:szCs w:val="32"/>
        </w:rPr>
        <w:t>2.5.2终端用户灭菌产品应满足：初始污染菌≤100cfu/件次或重量（g），不得检出致病菌。</w:t>
      </w:r>
    </w:p>
    <w:p w14:paraId="7C58FA55">
      <w:pPr>
        <w:spacing w:line="560" w:lineRule="exact"/>
        <w:ind w:firstLine="640" w:firstLineChars="200"/>
        <w:rPr>
          <w:rFonts w:eastAsia="仿宋_GB2312"/>
          <w:sz w:val="32"/>
          <w:szCs w:val="32"/>
        </w:rPr>
      </w:pPr>
      <w:r>
        <w:rPr>
          <w:rFonts w:eastAsia="仿宋_GB2312"/>
          <w:sz w:val="32"/>
          <w:szCs w:val="32"/>
        </w:rPr>
        <w:t>2.5.3微生物控制产品应满足：细菌菌落总数≤200cfu/g，真菌菌落总数≤100cfu/g，并不得检出大肠菌群和致病性化脓菌。</w:t>
      </w:r>
    </w:p>
    <w:p w14:paraId="0BF0E410">
      <w:pPr>
        <w:spacing w:line="560" w:lineRule="exact"/>
        <w:ind w:firstLine="640" w:firstLineChars="200"/>
        <w:rPr>
          <w:rFonts w:eastAsia="仿宋_GB2312"/>
          <w:sz w:val="32"/>
          <w:szCs w:val="32"/>
        </w:rPr>
      </w:pPr>
      <w:r>
        <w:rPr>
          <w:rFonts w:eastAsia="仿宋_GB2312"/>
          <w:sz w:val="32"/>
          <w:szCs w:val="32"/>
        </w:rPr>
        <w:t>2.6化学性能</w:t>
      </w:r>
    </w:p>
    <w:p w14:paraId="00931A96">
      <w:pPr>
        <w:spacing w:line="560" w:lineRule="exact"/>
        <w:ind w:firstLine="640" w:firstLineChars="200"/>
        <w:rPr>
          <w:rFonts w:eastAsia="仿宋_GB2312"/>
          <w:sz w:val="32"/>
          <w:szCs w:val="32"/>
        </w:rPr>
      </w:pPr>
      <w:r>
        <w:rPr>
          <w:rFonts w:eastAsia="仿宋_GB2312"/>
          <w:sz w:val="32"/>
          <w:szCs w:val="32"/>
        </w:rPr>
        <w:t>环氧乙烷残留量（若采用环氧乙烷灭菌）：不得大于10μg/g。</w:t>
      </w:r>
    </w:p>
    <w:p w14:paraId="481673DA">
      <w:pPr>
        <w:spacing w:line="560" w:lineRule="exact"/>
        <w:ind w:firstLine="640" w:firstLineChars="200"/>
        <w:rPr>
          <w:rFonts w:eastAsia="仿宋_GB2312"/>
          <w:sz w:val="32"/>
          <w:szCs w:val="32"/>
        </w:rPr>
      </w:pPr>
      <w:r>
        <w:rPr>
          <w:rFonts w:eastAsia="仿宋_GB2312"/>
          <w:sz w:val="32"/>
          <w:szCs w:val="32"/>
        </w:rPr>
        <w:t>3.检验方法：应根据技术性能指标设定，检验方法一般应采用已颁布的标准试验方法。</w:t>
      </w:r>
    </w:p>
    <w:p w14:paraId="71F443E5">
      <w:pPr>
        <w:spacing w:line="560" w:lineRule="exact"/>
        <w:ind w:firstLine="640" w:firstLineChars="200"/>
        <w:rPr>
          <w:rFonts w:ascii="楷体_GB2312" w:eastAsia="楷体_GB2312"/>
          <w:sz w:val="32"/>
          <w:szCs w:val="32"/>
        </w:rPr>
      </w:pPr>
      <w:r>
        <w:rPr>
          <w:rFonts w:hint="eastAsia" w:ascii="楷体_GB2312" w:eastAsia="楷体_GB2312"/>
          <w:sz w:val="32"/>
          <w:szCs w:val="32"/>
        </w:rPr>
        <w:t>（九）同一注册单元中典型产品的确定原则和实例</w:t>
      </w:r>
    </w:p>
    <w:p w14:paraId="560920D7">
      <w:pPr>
        <w:spacing w:line="560" w:lineRule="exact"/>
        <w:ind w:firstLine="640" w:firstLineChars="200"/>
        <w:rPr>
          <w:rFonts w:eastAsia="仿宋_GB2312"/>
          <w:sz w:val="32"/>
          <w:szCs w:val="32"/>
        </w:rPr>
      </w:pPr>
      <w:r>
        <w:rPr>
          <w:rFonts w:eastAsia="仿宋_GB2312"/>
          <w:sz w:val="32"/>
          <w:szCs w:val="32"/>
        </w:rPr>
        <w:t>同一注册单元内的检验产品应是可代表本注册单元内其他产品安全性和有效性的典型产品。</w:t>
      </w:r>
    </w:p>
    <w:p w14:paraId="29223223">
      <w:pPr>
        <w:spacing w:line="560" w:lineRule="exact"/>
        <w:ind w:firstLine="640" w:firstLineChars="200"/>
        <w:rPr>
          <w:rFonts w:eastAsia="仿宋_GB2312"/>
          <w:sz w:val="32"/>
          <w:szCs w:val="32"/>
        </w:rPr>
      </w:pPr>
      <w:r>
        <w:rPr>
          <w:rFonts w:eastAsia="仿宋_GB2312"/>
          <w:sz w:val="32"/>
          <w:szCs w:val="32"/>
        </w:rPr>
        <w:t>原材料不同的产品须分别检验；原材料相同但产品结构组成不同，应当检验结构最复杂、能够覆盖其他型号的产品。</w:t>
      </w:r>
    </w:p>
    <w:p w14:paraId="2BE2DE4E">
      <w:pPr>
        <w:spacing w:line="560" w:lineRule="exact"/>
        <w:ind w:firstLine="640" w:firstLineChars="200"/>
        <w:rPr>
          <w:rFonts w:ascii="楷体_GB2312" w:eastAsia="楷体_GB2312"/>
          <w:sz w:val="32"/>
          <w:szCs w:val="32"/>
        </w:rPr>
      </w:pPr>
      <w:r>
        <w:rPr>
          <w:rFonts w:ascii="楷体_GB2312" w:eastAsia="楷体_GB2312"/>
          <w:sz w:val="32"/>
          <w:szCs w:val="32"/>
        </w:rPr>
        <w:t>（十）产品生产制造相关要求</w:t>
      </w:r>
    </w:p>
    <w:p w14:paraId="09925668">
      <w:pPr>
        <w:spacing w:line="560" w:lineRule="exact"/>
        <w:ind w:firstLine="640" w:firstLineChars="200"/>
        <w:rPr>
          <w:rFonts w:eastAsia="仿宋_GB2312"/>
          <w:sz w:val="32"/>
          <w:szCs w:val="32"/>
        </w:rPr>
      </w:pPr>
      <w:r>
        <w:rPr>
          <w:rFonts w:eastAsia="仿宋_GB2312"/>
          <w:sz w:val="32"/>
          <w:szCs w:val="32"/>
        </w:rPr>
        <w:t>应当明确产品生产工艺，注明关键工序和特殊过程，可采用流程图的形式，并说明其过程控制点。</w:t>
      </w:r>
    </w:p>
    <w:p w14:paraId="7098CB69">
      <w:pPr>
        <w:spacing w:line="560" w:lineRule="exact"/>
        <w:ind w:firstLine="640" w:firstLineChars="200"/>
        <w:rPr>
          <w:rFonts w:eastAsia="仿宋_GB2312"/>
          <w:sz w:val="32"/>
          <w:szCs w:val="32"/>
        </w:rPr>
      </w:pPr>
      <w:r>
        <w:rPr>
          <w:rFonts w:eastAsia="仿宋_GB2312"/>
          <w:sz w:val="32"/>
          <w:szCs w:val="32"/>
        </w:rPr>
        <w:t>1.外扣和内扣铆合牢固度控制：对于生产过程中电极扣铆合的过程需定期进行成品检测，并调整铆合设备。</w:t>
      </w:r>
    </w:p>
    <w:p w14:paraId="450DDC44">
      <w:pPr>
        <w:spacing w:line="560" w:lineRule="exact"/>
        <w:ind w:firstLine="640" w:firstLineChars="200"/>
        <w:rPr>
          <w:rFonts w:eastAsia="仿宋_GB2312"/>
          <w:sz w:val="32"/>
          <w:szCs w:val="32"/>
        </w:rPr>
      </w:pPr>
      <w:r>
        <w:rPr>
          <w:rFonts w:eastAsia="仿宋_GB2312"/>
          <w:sz w:val="32"/>
          <w:szCs w:val="32"/>
        </w:rPr>
        <w:t>膜式的涂层工序控制：Ag-AgCl涂层应在企业规定的范围内。采用千分卡尺测量涂层的厚度。</w:t>
      </w:r>
    </w:p>
    <w:p w14:paraId="7D575E92">
      <w:pPr>
        <w:spacing w:line="560" w:lineRule="exact"/>
        <w:ind w:firstLine="640" w:firstLineChars="200"/>
        <w:rPr>
          <w:rFonts w:eastAsia="仿宋_GB2312"/>
          <w:sz w:val="32"/>
          <w:szCs w:val="32"/>
        </w:rPr>
      </w:pPr>
      <w:r>
        <w:rPr>
          <w:rFonts w:eastAsia="仿宋_GB2312"/>
          <w:sz w:val="32"/>
          <w:szCs w:val="32"/>
        </w:rPr>
        <w:t>线</w:t>
      </w:r>
      <w:r>
        <w:rPr>
          <w:rFonts w:eastAsia="仿宋_GB2312"/>
          <w:spacing w:val="-4"/>
          <w:sz w:val="32"/>
          <w:szCs w:val="32"/>
        </w:rPr>
        <w:t>缆式的工序控制：测量导线与导线两端连接处的导电性能。</w:t>
      </w:r>
    </w:p>
    <w:p w14:paraId="1F170394">
      <w:pPr>
        <w:spacing w:line="560" w:lineRule="exact"/>
        <w:ind w:firstLine="640" w:firstLineChars="200"/>
        <w:rPr>
          <w:rFonts w:eastAsia="仿宋_GB2312"/>
          <w:sz w:val="32"/>
          <w:szCs w:val="32"/>
        </w:rPr>
      </w:pPr>
      <w:r>
        <w:rPr>
          <w:rFonts w:eastAsia="仿宋_GB2312"/>
          <w:sz w:val="32"/>
          <w:szCs w:val="32"/>
        </w:rPr>
        <w:t>2.</w:t>
      </w:r>
      <w:r>
        <w:rPr>
          <w:rFonts w:eastAsia="仿宋_GB2312"/>
          <w:spacing w:val="-4"/>
          <w:sz w:val="32"/>
          <w:szCs w:val="32"/>
        </w:rPr>
        <w:t>导电膏：目前存在企业自己配制和直接外购成品两种情况。</w:t>
      </w:r>
    </w:p>
    <w:p w14:paraId="021CCF37">
      <w:pPr>
        <w:spacing w:line="560" w:lineRule="exact"/>
        <w:ind w:firstLine="640" w:firstLineChars="200"/>
        <w:rPr>
          <w:rFonts w:eastAsia="仿宋_GB2312"/>
          <w:sz w:val="32"/>
          <w:szCs w:val="32"/>
        </w:rPr>
      </w:pPr>
      <w:r>
        <w:rPr>
          <w:rFonts w:eastAsia="仿宋_GB2312"/>
          <w:sz w:val="32"/>
          <w:szCs w:val="32"/>
        </w:rPr>
        <w:t>（1）对于自己配制的成品，需进行外观、导电性能（例如交流阻抗，直流失调电压，复合失调不稳定性和内部噪声）测试；</w:t>
      </w:r>
    </w:p>
    <w:p w14:paraId="7534DC9A">
      <w:pPr>
        <w:spacing w:line="560" w:lineRule="exact"/>
        <w:ind w:firstLine="640" w:firstLineChars="200"/>
        <w:rPr>
          <w:rFonts w:eastAsia="仿宋_GB2312"/>
          <w:sz w:val="32"/>
          <w:szCs w:val="32"/>
        </w:rPr>
      </w:pPr>
      <w:r>
        <w:rPr>
          <w:rFonts w:eastAsia="仿宋_GB2312"/>
          <w:sz w:val="32"/>
          <w:szCs w:val="32"/>
        </w:rPr>
        <w:t>（2）对于直接外购的成品，同样需进行外观、导电性能的进货检验，保证原材料的质量，同时需对导电膏的储存条件（温度、湿度、光照等）进行规定和控制。</w:t>
      </w:r>
    </w:p>
    <w:p w14:paraId="582C1AD6">
      <w:pPr>
        <w:spacing w:line="560" w:lineRule="exact"/>
        <w:ind w:firstLine="640" w:firstLineChars="200"/>
        <w:rPr>
          <w:rFonts w:eastAsia="仿宋_GB2312"/>
          <w:sz w:val="32"/>
          <w:szCs w:val="32"/>
        </w:rPr>
      </w:pPr>
      <w:r>
        <w:rPr>
          <w:rFonts w:eastAsia="仿宋_GB2312"/>
          <w:sz w:val="32"/>
          <w:szCs w:val="32"/>
        </w:rPr>
        <w:t>3.微生物控制</w:t>
      </w:r>
    </w:p>
    <w:p w14:paraId="3EE8DB03">
      <w:pPr>
        <w:spacing w:line="560" w:lineRule="exact"/>
        <w:ind w:firstLine="640" w:firstLineChars="200"/>
        <w:rPr>
          <w:rFonts w:eastAsia="仿宋_GB2312"/>
          <w:sz w:val="32"/>
          <w:szCs w:val="32"/>
        </w:rPr>
      </w:pPr>
      <w:r>
        <w:rPr>
          <w:rFonts w:eastAsia="仿宋_GB2312"/>
          <w:sz w:val="32"/>
          <w:szCs w:val="32"/>
        </w:rPr>
        <w:t>（1）无菌产品：对于以无菌状态提供的一次性使用心电电极产品，企业需按照《关于发布医疗器械生产质量管理规范附录无菌医疗器械的公告》（国家食品药品监督管理总局公告2015年第101号）的要求对生产环境和包装封口进行确认和控制。</w:t>
      </w:r>
    </w:p>
    <w:p w14:paraId="606F606C">
      <w:pPr>
        <w:spacing w:line="560" w:lineRule="exact"/>
        <w:ind w:firstLine="640" w:firstLineChars="200"/>
        <w:rPr>
          <w:rFonts w:eastAsia="仿宋_GB2312"/>
          <w:sz w:val="32"/>
          <w:szCs w:val="32"/>
        </w:rPr>
      </w:pPr>
      <w:r>
        <w:rPr>
          <w:rFonts w:eastAsia="仿宋_GB2312"/>
          <w:sz w:val="32"/>
          <w:szCs w:val="32"/>
        </w:rPr>
        <w:t>（2）微生物控制产品：对于以微生物控制状态提供的一次性使用心电电极产品，企业需按照GB 15979</w:t>
      </w:r>
      <w:r>
        <w:rPr>
          <w:rFonts w:hint="eastAsia" w:ascii="仿宋_GB2312" w:eastAsia="仿宋_GB2312"/>
          <w:sz w:val="32"/>
          <w:szCs w:val="32"/>
        </w:rPr>
        <w:t>—</w:t>
      </w:r>
      <w:r>
        <w:rPr>
          <w:rFonts w:eastAsia="仿宋_GB2312"/>
          <w:sz w:val="32"/>
          <w:szCs w:val="32"/>
        </w:rPr>
        <w:t>2002《一次性使用卫生用品卫生标准》对原材料卫生要求，生产环境与过程卫生要求和人员要求进行规定和控制。</w:t>
      </w:r>
    </w:p>
    <w:p w14:paraId="536F378C">
      <w:pPr>
        <w:spacing w:line="560" w:lineRule="exact"/>
        <w:ind w:firstLine="640" w:firstLineChars="200"/>
        <w:rPr>
          <w:rFonts w:ascii="楷体_GB2312" w:eastAsia="楷体_GB2312"/>
          <w:sz w:val="32"/>
          <w:szCs w:val="32"/>
        </w:rPr>
      </w:pPr>
      <w:r>
        <w:rPr>
          <w:rFonts w:ascii="楷体_GB2312" w:eastAsia="楷体_GB2312"/>
          <w:sz w:val="32"/>
          <w:szCs w:val="32"/>
        </w:rPr>
        <w:t>（十一）产品的临床评价细化要求</w:t>
      </w:r>
    </w:p>
    <w:p w14:paraId="54A8BC01">
      <w:pPr>
        <w:spacing w:line="560" w:lineRule="exact"/>
        <w:ind w:firstLine="640" w:firstLineChars="200"/>
        <w:rPr>
          <w:rFonts w:eastAsia="仿宋_GB2312"/>
          <w:sz w:val="32"/>
          <w:szCs w:val="32"/>
        </w:rPr>
      </w:pPr>
      <w:r>
        <w:rPr>
          <w:rFonts w:eastAsia="仿宋_GB2312"/>
          <w:sz w:val="32"/>
          <w:szCs w:val="32"/>
        </w:rPr>
        <w:t>根据《关于发布免于进行临床试验的第二类医疗器械目录的通告》（国家食品药品监督管理总局通告2014年第12号），“产品名称：一次性使用心电电极，分类编码：6821”包含在免于进行临床试验的第二类医疗器械目录中，注册申请人需按照《关于医疗器械（含体外诊断试剂）注册申报有关问题的公告》（国家食品药品监督管理总局公告2014年第129号）和《</w:t>
      </w:r>
      <w:r>
        <w:rPr>
          <w:rFonts w:eastAsia="仿宋_GB2312"/>
          <w:spacing w:val="-8"/>
          <w:kern w:val="0"/>
          <w:sz w:val="32"/>
          <w:szCs w:val="32"/>
        </w:rPr>
        <w:t>关于发布</w:t>
      </w:r>
      <w:r>
        <w:rPr>
          <w:rFonts w:eastAsia="仿宋_GB2312"/>
          <w:sz w:val="32"/>
          <w:szCs w:val="32"/>
        </w:rPr>
        <w:t>医疗器械临床评价技术指导原则</w:t>
      </w:r>
      <w:r>
        <w:rPr>
          <w:rFonts w:eastAsia="仿宋_GB2312"/>
          <w:color w:val="000000"/>
          <w:kern w:val="0"/>
          <w:sz w:val="32"/>
          <w:szCs w:val="32"/>
        </w:rPr>
        <w:t>的通告》（</w:t>
      </w:r>
      <w:r>
        <w:rPr>
          <w:rFonts w:eastAsia="仿宋_GB2312"/>
          <w:sz w:val="32"/>
          <w:szCs w:val="32"/>
        </w:rPr>
        <w:t>国家食品药品监督管理总局通告</w:t>
      </w:r>
      <w:r>
        <w:rPr>
          <w:rFonts w:eastAsia="仿宋_GB2312"/>
          <w:color w:val="000000"/>
          <w:kern w:val="0"/>
          <w:sz w:val="32"/>
          <w:szCs w:val="32"/>
        </w:rPr>
        <w:t>2015年第14号）</w:t>
      </w:r>
      <w:r>
        <w:rPr>
          <w:rFonts w:eastAsia="仿宋_GB2312"/>
          <w:sz w:val="32"/>
          <w:szCs w:val="32"/>
        </w:rPr>
        <w:t>的要求提交临床评价资料。</w:t>
      </w:r>
    </w:p>
    <w:p w14:paraId="70B8EC04">
      <w:pPr>
        <w:spacing w:line="560" w:lineRule="exact"/>
        <w:ind w:firstLine="640" w:firstLineChars="200"/>
        <w:rPr>
          <w:rFonts w:ascii="楷体_GB2312" w:eastAsia="楷体_GB2312"/>
          <w:sz w:val="32"/>
          <w:szCs w:val="32"/>
        </w:rPr>
      </w:pPr>
      <w:r>
        <w:rPr>
          <w:rFonts w:ascii="楷体_GB2312" w:eastAsia="楷体_GB2312"/>
          <w:sz w:val="32"/>
          <w:szCs w:val="32"/>
        </w:rPr>
        <w:t>（十二）产品的不良事件历史记录</w:t>
      </w:r>
    </w:p>
    <w:p w14:paraId="5EBCD61A">
      <w:pPr>
        <w:spacing w:line="560" w:lineRule="exact"/>
        <w:ind w:firstLine="640" w:firstLineChars="200"/>
        <w:rPr>
          <w:rFonts w:eastAsia="仿宋_GB2312"/>
          <w:sz w:val="32"/>
          <w:szCs w:val="32"/>
        </w:rPr>
      </w:pPr>
      <w:r>
        <w:rPr>
          <w:rFonts w:eastAsia="仿宋_GB2312"/>
          <w:sz w:val="32"/>
          <w:szCs w:val="32"/>
        </w:rPr>
        <w:t>根据前人文献研究，一次性使用心电电极粘贴皮肤后，存在多例患者局部皮肤出现发红、发痒、皮疹、表皮破损等的不良事件，导致患者治疗过程的不舒适感。制造商应积极收集并全面分析上报一次性使用心电电极相关可疑不良事件，有益于最大限度地控制医疗器械潜在风险，促进产品技术更新，保证产品安全有效地使用。</w:t>
      </w:r>
    </w:p>
    <w:p w14:paraId="3422BB96">
      <w:pPr>
        <w:spacing w:line="560" w:lineRule="exact"/>
        <w:ind w:firstLine="640" w:firstLineChars="200"/>
        <w:rPr>
          <w:rFonts w:ascii="楷体_GB2312" w:eastAsia="楷体_GB2312"/>
          <w:sz w:val="32"/>
          <w:szCs w:val="32"/>
        </w:rPr>
      </w:pPr>
      <w:r>
        <w:rPr>
          <w:rFonts w:ascii="楷体_GB2312" w:eastAsia="楷体_GB2312"/>
          <w:sz w:val="32"/>
          <w:szCs w:val="32"/>
        </w:rPr>
        <w:t>（十三）产品说明书和标签要求</w:t>
      </w:r>
    </w:p>
    <w:p w14:paraId="32B1372F">
      <w:pPr>
        <w:spacing w:line="560" w:lineRule="exact"/>
        <w:ind w:firstLine="640" w:firstLineChars="200"/>
        <w:rPr>
          <w:rFonts w:eastAsia="仿宋_GB2312"/>
          <w:sz w:val="32"/>
          <w:szCs w:val="32"/>
        </w:rPr>
      </w:pPr>
      <w:r>
        <w:rPr>
          <w:rFonts w:eastAsia="仿宋_GB2312"/>
          <w:sz w:val="32"/>
          <w:szCs w:val="32"/>
        </w:rPr>
        <w:t>一次性使用心电电极产品的说明书和标签应符合《医疗器械说明书和标签管理规定》（国家食品药品监督管理总局令第6号）和YY/T 0466.1</w:t>
      </w:r>
      <w:r>
        <w:rPr>
          <w:rFonts w:hint="eastAsia" w:ascii="仿宋_GB2312" w:eastAsia="仿宋_GB2312"/>
          <w:sz w:val="32"/>
          <w:szCs w:val="32"/>
        </w:rPr>
        <w:t>—</w:t>
      </w:r>
      <w:r>
        <w:rPr>
          <w:rFonts w:eastAsia="仿宋_GB2312"/>
          <w:sz w:val="32"/>
          <w:szCs w:val="32"/>
        </w:rPr>
        <w:t>2009《医疗器械 用于医疗器械标签、标记和提供信息的符号 第1部分：通用要求》中的相关要求。说明书、标签的内容应当真实、完整、科学，并与产品特性相一致，文字内容必须使用中文，可以附加其他语种。说明书、标签、包装标识中的文字、符号、图形、表格、数据等应相互一致，并符合相关标准和规范要求。</w:t>
      </w:r>
    </w:p>
    <w:p w14:paraId="5BCD6B09">
      <w:pPr>
        <w:spacing w:line="560" w:lineRule="exact"/>
        <w:ind w:firstLine="640" w:firstLineChars="200"/>
        <w:rPr>
          <w:rFonts w:eastAsia="仿宋_GB2312"/>
          <w:sz w:val="32"/>
          <w:szCs w:val="32"/>
        </w:rPr>
      </w:pPr>
      <w:r>
        <w:rPr>
          <w:rFonts w:eastAsia="仿宋_GB2312"/>
          <w:sz w:val="32"/>
          <w:szCs w:val="32"/>
        </w:rPr>
        <w:t>1.一次性使用心电电极与心电监测设备配合使用，在使用过程中应考虑以下注意事项：</w:t>
      </w:r>
    </w:p>
    <w:p w14:paraId="394EB433">
      <w:pPr>
        <w:spacing w:line="560" w:lineRule="exact"/>
        <w:ind w:firstLine="640" w:firstLineChars="200"/>
        <w:rPr>
          <w:rFonts w:eastAsia="仿宋_GB2312"/>
          <w:sz w:val="32"/>
          <w:szCs w:val="32"/>
        </w:rPr>
      </w:pPr>
      <w:r>
        <w:rPr>
          <w:rFonts w:eastAsia="仿宋_GB2312"/>
          <w:sz w:val="32"/>
          <w:szCs w:val="32"/>
        </w:rPr>
        <w:t>1.1一次性使用心电电极使用前请检查失效期，若为无菌一次性使用产品，则包装破损，严禁使用；</w:t>
      </w:r>
    </w:p>
    <w:p w14:paraId="081EEFFB">
      <w:pPr>
        <w:spacing w:line="560" w:lineRule="exact"/>
        <w:ind w:firstLine="640" w:firstLineChars="200"/>
        <w:rPr>
          <w:rFonts w:eastAsia="仿宋_GB2312"/>
          <w:sz w:val="32"/>
          <w:szCs w:val="32"/>
        </w:rPr>
      </w:pPr>
      <w:r>
        <w:rPr>
          <w:rFonts w:eastAsia="仿宋_GB2312"/>
          <w:sz w:val="32"/>
          <w:szCs w:val="32"/>
        </w:rPr>
        <w:t>1.2一次性使用心电电极不得粘贴在皮肤破损部位；</w:t>
      </w:r>
    </w:p>
    <w:p w14:paraId="32F0D4F3">
      <w:pPr>
        <w:spacing w:line="560" w:lineRule="exact"/>
        <w:ind w:firstLine="640" w:firstLineChars="200"/>
        <w:rPr>
          <w:rFonts w:eastAsia="仿宋_GB2312"/>
          <w:sz w:val="32"/>
          <w:szCs w:val="32"/>
        </w:rPr>
      </w:pPr>
      <w:r>
        <w:rPr>
          <w:rFonts w:eastAsia="仿宋_GB2312"/>
          <w:sz w:val="32"/>
          <w:szCs w:val="32"/>
        </w:rPr>
        <w:t>1.3一次性使用心电电极电缆应避免与其他导线接触。</w:t>
      </w:r>
    </w:p>
    <w:p w14:paraId="406734C2">
      <w:pPr>
        <w:spacing w:line="560" w:lineRule="exact"/>
        <w:ind w:firstLine="640" w:firstLineChars="200"/>
        <w:rPr>
          <w:rFonts w:eastAsia="仿宋_GB2312"/>
          <w:sz w:val="32"/>
          <w:szCs w:val="32"/>
        </w:rPr>
      </w:pPr>
      <w:r>
        <w:rPr>
          <w:rFonts w:eastAsia="仿宋_GB2312"/>
          <w:sz w:val="32"/>
          <w:szCs w:val="32"/>
        </w:rPr>
        <w:t>2.使用说明书应包含下列主要内容：</w:t>
      </w:r>
    </w:p>
    <w:p w14:paraId="2EC40C45">
      <w:pPr>
        <w:spacing w:line="560" w:lineRule="exact"/>
        <w:ind w:firstLine="640" w:firstLineChars="200"/>
        <w:rPr>
          <w:rFonts w:eastAsia="仿宋_GB2312"/>
          <w:sz w:val="32"/>
          <w:szCs w:val="32"/>
        </w:rPr>
      </w:pPr>
      <w:r>
        <w:rPr>
          <w:rFonts w:eastAsia="仿宋_GB2312"/>
          <w:sz w:val="32"/>
          <w:szCs w:val="32"/>
        </w:rPr>
        <w:t>2.1产品名称、型号、规格；</w:t>
      </w:r>
    </w:p>
    <w:p w14:paraId="1119548A">
      <w:pPr>
        <w:spacing w:line="560" w:lineRule="exact"/>
        <w:ind w:firstLine="640" w:firstLineChars="200"/>
        <w:rPr>
          <w:rFonts w:eastAsia="仿宋_GB2312"/>
          <w:sz w:val="32"/>
          <w:szCs w:val="32"/>
        </w:rPr>
      </w:pPr>
      <w:r>
        <w:rPr>
          <w:rFonts w:eastAsia="仿宋_GB2312"/>
          <w:sz w:val="32"/>
          <w:szCs w:val="32"/>
        </w:rPr>
        <w:t>2.2注册人的名称、住所、联系方式及售后服务单位；</w:t>
      </w:r>
    </w:p>
    <w:p w14:paraId="24D75CC8">
      <w:pPr>
        <w:spacing w:line="560" w:lineRule="exact"/>
        <w:ind w:firstLine="640" w:firstLineChars="200"/>
        <w:rPr>
          <w:rFonts w:eastAsia="仿宋_GB2312"/>
          <w:sz w:val="32"/>
          <w:szCs w:val="32"/>
        </w:rPr>
      </w:pPr>
      <w:r>
        <w:rPr>
          <w:rFonts w:eastAsia="仿宋_GB2312"/>
          <w:sz w:val="32"/>
          <w:szCs w:val="32"/>
        </w:rPr>
        <w:t>2.3生产企业名称、住所、生产地址、联系方式及生产许可证编号，委托生产的还应当标准受托企业的名称、住所、生产地址、生产许可证编号；</w:t>
      </w:r>
    </w:p>
    <w:p w14:paraId="096BDD6A">
      <w:pPr>
        <w:spacing w:line="560" w:lineRule="exact"/>
        <w:ind w:firstLine="640" w:firstLineChars="200"/>
        <w:rPr>
          <w:rFonts w:eastAsia="仿宋_GB2312"/>
          <w:sz w:val="32"/>
          <w:szCs w:val="32"/>
        </w:rPr>
      </w:pPr>
      <w:r>
        <w:rPr>
          <w:rFonts w:eastAsia="仿宋_GB2312"/>
          <w:sz w:val="32"/>
          <w:szCs w:val="32"/>
        </w:rPr>
        <w:t>2.4医疗器械注册证编号；</w:t>
      </w:r>
    </w:p>
    <w:p w14:paraId="0E9D4B1F">
      <w:pPr>
        <w:spacing w:line="560" w:lineRule="exact"/>
        <w:ind w:firstLine="640" w:firstLineChars="200"/>
        <w:rPr>
          <w:rFonts w:eastAsia="仿宋_GB2312"/>
          <w:sz w:val="32"/>
          <w:szCs w:val="32"/>
        </w:rPr>
      </w:pPr>
      <w:r>
        <w:rPr>
          <w:rFonts w:eastAsia="仿宋_GB2312"/>
          <w:sz w:val="32"/>
          <w:szCs w:val="32"/>
        </w:rPr>
        <w:t>2.5产品技术要求的编号；</w:t>
      </w:r>
    </w:p>
    <w:p w14:paraId="5B2DACBB">
      <w:pPr>
        <w:spacing w:line="560" w:lineRule="exact"/>
        <w:ind w:firstLine="640" w:firstLineChars="200"/>
        <w:rPr>
          <w:rFonts w:eastAsia="仿宋_GB2312"/>
          <w:sz w:val="32"/>
          <w:szCs w:val="32"/>
        </w:rPr>
      </w:pPr>
      <w:r>
        <w:rPr>
          <w:rFonts w:eastAsia="仿宋_GB2312"/>
          <w:sz w:val="32"/>
          <w:szCs w:val="32"/>
        </w:rPr>
        <w:t>2.6产品的性能、结构组成或者成分、适用范围；</w:t>
      </w:r>
    </w:p>
    <w:p w14:paraId="5B7C654C">
      <w:pPr>
        <w:spacing w:line="560" w:lineRule="exact"/>
        <w:ind w:firstLine="640" w:firstLineChars="200"/>
        <w:rPr>
          <w:rFonts w:eastAsia="仿宋_GB2312"/>
          <w:sz w:val="32"/>
          <w:szCs w:val="32"/>
        </w:rPr>
      </w:pPr>
      <w:r>
        <w:rPr>
          <w:rFonts w:eastAsia="仿宋_GB2312"/>
          <w:sz w:val="32"/>
          <w:szCs w:val="32"/>
        </w:rPr>
        <w:t>2.7禁忌症、注意事项、警示（例如：粘贴本产品时不能接受X射线成像、磁共振成像检查）以及提示的内容；</w:t>
      </w:r>
    </w:p>
    <w:p w14:paraId="0594D7E8">
      <w:pPr>
        <w:spacing w:line="560" w:lineRule="exact"/>
        <w:ind w:firstLine="640" w:firstLineChars="200"/>
        <w:rPr>
          <w:rFonts w:eastAsia="仿宋_GB2312"/>
          <w:sz w:val="32"/>
          <w:szCs w:val="32"/>
        </w:rPr>
      </w:pPr>
      <w:r>
        <w:rPr>
          <w:rFonts w:eastAsia="仿宋_GB2312"/>
          <w:sz w:val="32"/>
          <w:szCs w:val="32"/>
        </w:rPr>
        <w:t>2.8使用说明或者图示，例如：</w:t>
      </w:r>
    </w:p>
    <w:p w14:paraId="5C86762F">
      <w:pPr>
        <w:spacing w:line="560" w:lineRule="exact"/>
        <w:ind w:firstLine="640" w:firstLineChars="200"/>
        <w:rPr>
          <w:rFonts w:eastAsia="仿宋_GB2312"/>
          <w:sz w:val="32"/>
          <w:szCs w:val="32"/>
        </w:rPr>
      </w:pPr>
      <w:r>
        <w:rPr>
          <w:rFonts w:eastAsia="仿宋_GB2312"/>
          <w:sz w:val="32"/>
          <w:szCs w:val="32"/>
        </w:rPr>
        <w:t>（1）在粘贴电极之前，应先清洁电极粘贴部位皮肤，去除皮肤表面多余油脂，如粘贴部位毛发过长，应先剪去长毛发；</w:t>
      </w:r>
    </w:p>
    <w:p w14:paraId="45BA3FDB">
      <w:pPr>
        <w:spacing w:line="560" w:lineRule="exact"/>
        <w:ind w:firstLine="640" w:firstLineChars="200"/>
        <w:rPr>
          <w:rFonts w:eastAsia="仿宋_GB2312"/>
          <w:sz w:val="32"/>
          <w:szCs w:val="32"/>
        </w:rPr>
      </w:pPr>
      <w:r>
        <w:rPr>
          <w:rFonts w:eastAsia="仿宋_GB2312"/>
          <w:sz w:val="32"/>
          <w:szCs w:val="32"/>
        </w:rPr>
        <w:t>（2）为了得到最好的描记曲线，可先用皮肤打磨砂片，对局部皮肤进行打磨；</w:t>
      </w:r>
    </w:p>
    <w:p w14:paraId="19B61DDF">
      <w:pPr>
        <w:spacing w:line="560" w:lineRule="exact"/>
        <w:ind w:firstLine="640" w:firstLineChars="200"/>
        <w:rPr>
          <w:rFonts w:eastAsia="仿宋_GB2312"/>
          <w:sz w:val="32"/>
          <w:szCs w:val="32"/>
        </w:rPr>
      </w:pPr>
      <w:r>
        <w:rPr>
          <w:rFonts w:eastAsia="仿宋_GB2312"/>
          <w:sz w:val="32"/>
          <w:szCs w:val="32"/>
        </w:rPr>
        <w:t>（3）从包装袋中取出电极，避免触及粘胶表面。</w:t>
      </w:r>
    </w:p>
    <w:p w14:paraId="4624C3E7">
      <w:pPr>
        <w:spacing w:line="560" w:lineRule="exact"/>
        <w:ind w:firstLine="640" w:firstLineChars="200"/>
        <w:rPr>
          <w:rFonts w:eastAsia="仿宋_GB2312"/>
          <w:sz w:val="32"/>
          <w:szCs w:val="32"/>
        </w:rPr>
      </w:pPr>
      <w:r>
        <w:rPr>
          <w:rFonts w:eastAsia="仿宋_GB2312"/>
          <w:sz w:val="32"/>
          <w:szCs w:val="32"/>
        </w:rPr>
        <w:t>2.9产品的储存、运输条件、方法；</w:t>
      </w:r>
    </w:p>
    <w:p w14:paraId="6759A497">
      <w:pPr>
        <w:spacing w:line="560" w:lineRule="exact"/>
        <w:ind w:firstLine="640" w:firstLineChars="200"/>
        <w:rPr>
          <w:rFonts w:eastAsia="仿宋_GB2312"/>
          <w:sz w:val="32"/>
          <w:szCs w:val="32"/>
        </w:rPr>
      </w:pPr>
      <w:r>
        <w:rPr>
          <w:rFonts w:eastAsia="仿宋_GB2312"/>
          <w:sz w:val="32"/>
          <w:szCs w:val="32"/>
        </w:rPr>
        <w:t>2.10生产日期、使用期限或者失效日期；</w:t>
      </w:r>
    </w:p>
    <w:p w14:paraId="35E2FE24">
      <w:pPr>
        <w:spacing w:line="560" w:lineRule="exact"/>
        <w:ind w:firstLine="640" w:firstLineChars="200"/>
        <w:rPr>
          <w:rFonts w:eastAsia="仿宋_GB2312"/>
          <w:sz w:val="32"/>
          <w:szCs w:val="32"/>
        </w:rPr>
      </w:pPr>
      <w:r>
        <w:rPr>
          <w:rFonts w:eastAsia="仿宋_GB2312"/>
          <w:sz w:val="32"/>
          <w:szCs w:val="32"/>
        </w:rPr>
        <w:t>2.11医疗器械标签所用的图形、符号、缩写等内容的解释；</w:t>
      </w:r>
    </w:p>
    <w:p w14:paraId="3FBAFF51">
      <w:pPr>
        <w:spacing w:line="560" w:lineRule="exact"/>
        <w:ind w:firstLine="640" w:firstLineChars="200"/>
        <w:rPr>
          <w:rFonts w:eastAsia="仿宋_GB2312"/>
          <w:sz w:val="32"/>
          <w:szCs w:val="32"/>
        </w:rPr>
      </w:pPr>
      <w:r>
        <w:rPr>
          <w:rFonts w:eastAsia="仿宋_GB2312"/>
          <w:sz w:val="32"/>
          <w:szCs w:val="32"/>
        </w:rPr>
        <w:t>2.12说明书的编制或者修订日期；</w:t>
      </w:r>
    </w:p>
    <w:p w14:paraId="4B0B444B">
      <w:pPr>
        <w:spacing w:line="560" w:lineRule="exact"/>
        <w:ind w:firstLine="640" w:firstLineChars="200"/>
        <w:rPr>
          <w:rFonts w:eastAsia="仿宋_GB2312"/>
          <w:sz w:val="32"/>
          <w:szCs w:val="32"/>
        </w:rPr>
      </w:pPr>
      <w:r>
        <w:rPr>
          <w:rFonts w:eastAsia="仿宋_GB2312"/>
          <w:sz w:val="32"/>
          <w:szCs w:val="32"/>
        </w:rPr>
        <w:t>2.13一次性使用产品应当注明“一次性使用”字样或者符号，已灭菌产品应当注明灭菌方式以及灭菌包装损坏后的处理方法。</w:t>
      </w:r>
    </w:p>
    <w:p w14:paraId="5AA4122A">
      <w:pPr>
        <w:spacing w:line="560" w:lineRule="exact"/>
        <w:ind w:firstLine="640" w:firstLineChars="200"/>
        <w:rPr>
          <w:rFonts w:eastAsia="仿宋_GB2312"/>
          <w:sz w:val="32"/>
          <w:szCs w:val="32"/>
        </w:rPr>
      </w:pPr>
      <w:r>
        <w:rPr>
          <w:rFonts w:eastAsia="仿宋_GB2312"/>
          <w:sz w:val="32"/>
          <w:szCs w:val="32"/>
        </w:rPr>
        <w:t>3.标签至少应包括以下信息：</w:t>
      </w:r>
    </w:p>
    <w:p w14:paraId="4A2BFB1A">
      <w:pPr>
        <w:spacing w:line="560" w:lineRule="exact"/>
        <w:ind w:firstLine="640" w:firstLineChars="200"/>
        <w:rPr>
          <w:rFonts w:eastAsia="仿宋_GB2312"/>
          <w:sz w:val="32"/>
          <w:szCs w:val="32"/>
        </w:rPr>
      </w:pPr>
      <w:r>
        <w:rPr>
          <w:rFonts w:eastAsia="仿宋_GB2312"/>
          <w:sz w:val="32"/>
          <w:szCs w:val="32"/>
        </w:rPr>
        <w:t>3.1产品名称、型号、规格；</w:t>
      </w:r>
    </w:p>
    <w:p w14:paraId="0D4723AF">
      <w:pPr>
        <w:spacing w:line="560" w:lineRule="exact"/>
        <w:ind w:firstLine="640" w:firstLineChars="200"/>
        <w:rPr>
          <w:rFonts w:eastAsia="仿宋_GB2312"/>
          <w:sz w:val="32"/>
          <w:szCs w:val="32"/>
        </w:rPr>
      </w:pPr>
      <w:r>
        <w:rPr>
          <w:rFonts w:eastAsia="仿宋_GB2312"/>
          <w:sz w:val="32"/>
          <w:szCs w:val="32"/>
        </w:rPr>
        <w:t>3.2注册人的名称、住所、联系方式及售后服务单位；</w:t>
      </w:r>
    </w:p>
    <w:p w14:paraId="04557740">
      <w:pPr>
        <w:spacing w:line="560" w:lineRule="exact"/>
        <w:ind w:firstLine="640" w:firstLineChars="200"/>
        <w:rPr>
          <w:rFonts w:eastAsia="仿宋_GB2312"/>
          <w:sz w:val="32"/>
          <w:szCs w:val="32"/>
        </w:rPr>
      </w:pPr>
      <w:r>
        <w:rPr>
          <w:rFonts w:eastAsia="仿宋_GB2312"/>
          <w:sz w:val="32"/>
          <w:szCs w:val="32"/>
        </w:rPr>
        <w:t>3.3医疗器械注册证编号；</w:t>
      </w:r>
    </w:p>
    <w:p w14:paraId="62335F18">
      <w:pPr>
        <w:spacing w:line="560" w:lineRule="exact"/>
        <w:ind w:firstLine="640" w:firstLineChars="200"/>
        <w:rPr>
          <w:rFonts w:eastAsia="仿宋_GB2312"/>
          <w:sz w:val="32"/>
          <w:szCs w:val="32"/>
        </w:rPr>
      </w:pPr>
      <w:r>
        <w:rPr>
          <w:rFonts w:eastAsia="仿宋_GB2312"/>
          <w:sz w:val="32"/>
          <w:szCs w:val="32"/>
        </w:rPr>
        <w:t>3.4生产企业名称、住所、生产地址、联系方式及生产许可证编号，委托生产的还应当标准受托企业的名称、住所、生产地址、生产许可证编号；</w:t>
      </w:r>
    </w:p>
    <w:p w14:paraId="1D455516">
      <w:pPr>
        <w:spacing w:line="560" w:lineRule="exact"/>
        <w:ind w:firstLine="640" w:firstLineChars="200"/>
        <w:rPr>
          <w:rFonts w:eastAsia="仿宋_GB2312"/>
          <w:sz w:val="32"/>
          <w:szCs w:val="32"/>
        </w:rPr>
      </w:pPr>
      <w:r>
        <w:rPr>
          <w:rFonts w:eastAsia="仿宋_GB2312"/>
          <w:sz w:val="32"/>
          <w:szCs w:val="32"/>
        </w:rPr>
        <w:t>3.5声明有效期，在此有效期后，不能保证电极与本技术要求相符合（例如：“有效期至_______”）和批号，或声明生产日期，有效期和批号；</w:t>
      </w:r>
    </w:p>
    <w:p w14:paraId="605F666D">
      <w:pPr>
        <w:spacing w:line="560" w:lineRule="exact"/>
        <w:ind w:firstLine="640" w:firstLineChars="200"/>
        <w:rPr>
          <w:rFonts w:eastAsia="仿宋_GB2312"/>
          <w:sz w:val="32"/>
          <w:szCs w:val="32"/>
        </w:rPr>
      </w:pPr>
      <w:r>
        <w:rPr>
          <w:rFonts w:eastAsia="仿宋_GB2312"/>
          <w:sz w:val="32"/>
          <w:szCs w:val="32"/>
        </w:rPr>
        <w:t>3.6合适的预防措施和警告，包括电极的使用期限和关于电极包装应在使用时才打开或者打开后多少天内使用的警告；</w:t>
      </w:r>
    </w:p>
    <w:p w14:paraId="1DAE9C06">
      <w:pPr>
        <w:spacing w:line="560" w:lineRule="exact"/>
        <w:ind w:firstLine="640" w:firstLineChars="200"/>
        <w:rPr>
          <w:rFonts w:eastAsia="仿宋_GB2312"/>
          <w:sz w:val="32"/>
          <w:szCs w:val="32"/>
        </w:rPr>
      </w:pPr>
      <w:r>
        <w:rPr>
          <w:rFonts w:eastAsia="仿宋_GB2312"/>
          <w:sz w:val="32"/>
          <w:szCs w:val="32"/>
        </w:rPr>
        <w:t>3.7</w:t>
      </w:r>
      <w:r>
        <w:rPr>
          <w:rFonts w:eastAsia="仿宋_GB2312"/>
          <w:spacing w:val="-6"/>
          <w:sz w:val="32"/>
          <w:szCs w:val="32"/>
        </w:rPr>
        <w:t>合适的适用说明书，包括对皮肤的处理程序，如果电极式未预置胶的，还应包括电极的准备（例如胶的类型和用胶的数量）；</w:t>
      </w:r>
    </w:p>
    <w:p w14:paraId="0DCB3BB7">
      <w:pPr>
        <w:spacing w:line="560" w:lineRule="exact"/>
        <w:ind w:firstLine="640" w:firstLineChars="200"/>
        <w:rPr>
          <w:rFonts w:eastAsia="仿宋_GB2312"/>
          <w:sz w:val="32"/>
          <w:szCs w:val="32"/>
        </w:rPr>
      </w:pPr>
      <w:r>
        <w:rPr>
          <w:rFonts w:eastAsia="仿宋_GB2312"/>
          <w:sz w:val="32"/>
          <w:szCs w:val="32"/>
        </w:rPr>
        <w:t>3.8有关贮存要求的说明；</w:t>
      </w:r>
    </w:p>
    <w:p w14:paraId="0336B672">
      <w:pPr>
        <w:spacing w:line="560" w:lineRule="exact"/>
        <w:ind w:firstLine="640" w:firstLineChars="200"/>
        <w:rPr>
          <w:rFonts w:eastAsia="仿宋_GB2312"/>
          <w:sz w:val="32"/>
          <w:szCs w:val="32"/>
        </w:rPr>
      </w:pPr>
      <w:r>
        <w:rPr>
          <w:rFonts w:eastAsia="仿宋_GB2312"/>
          <w:sz w:val="32"/>
          <w:szCs w:val="32"/>
        </w:rPr>
        <w:t>3.9一次性使用产品应当注明“一次性使用”字样或者符号，已灭菌产品应当注明灭菌方式以及灭菌包装损坏后的处理方法。</w:t>
      </w:r>
    </w:p>
    <w:p w14:paraId="7ACF811A">
      <w:pPr>
        <w:spacing w:line="560" w:lineRule="exact"/>
        <w:ind w:firstLine="640" w:firstLineChars="200"/>
        <w:rPr>
          <w:rFonts w:ascii="黑体" w:hAnsi="黑体" w:eastAsia="黑体"/>
          <w:sz w:val="32"/>
          <w:szCs w:val="32"/>
        </w:rPr>
      </w:pPr>
      <w:r>
        <w:rPr>
          <w:rFonts w:ascii="黑体" w:hAnsi="黑体" w:eastAsia="黑体"/>
          <w:sz w:val="32"/>
          <w:szCs w:val="32"/>
        </w:rPr>
        <w:t>三、审查关注点</w:t>
      </w:r>
    </w:p>
    <w:p w14:paraId="7A5259DB">
      <w:pPr>
        <w:spacing w:line="560" w:lineRule="exact"/>
        <w:ind w:firstLine="640" w:firstLineChars="200"/>
        <w:rPr>
          <w:rFonts w:ascii="楷体_GB2312" w:eastAsia="楷体_GB2312"/>
          <w:sz w:val="32"/>
          <w:szCs w:val="32"/>
        </w:rPr>
      </w:pPr>
      <w:r>
        <w:rPr>
          <w:rFonts w:ascii="楷体_GB2312" w:eastAsia="楷体_GB2312"/>
          <w:sz w:val="32"/>
          <w:szCs w:val="32"/>
        </w:rPr>
        <w:t>（一）产品技术要求</w:t>
      </w:r>
    </w:p>
    <w:p w14:paraId="648E515E">
      <w:pPr>
        <w:spacing w:line="560" w:lineRule="exact"/>
        <w:ind w:firstLine="640" w:firstLineChars="200"/>
        <w:rPr>
          <w:rFonts w:eastAsia="仿宋_GB2312"/>
          <w:sz w:val="32"/>
          <w:szCs w:val="32"/>
        </w:rPr>
      </w:pPr>
      <w:r>
        <w:rPr>
          <w:rFonts w:eastAsia="仿宋_GB2312"/>
          <w:sz w:val="32"/>
          <w:szCs w:val="32"/>
        </w:rPr>
        <w:t>一次性使用心电电极产品技术要求编写的规范性，引用标准的适用性、准确性。</w:t>
      </w:r>
    </w:p>
    <w:p w14:paraId="5A866A12">
      <w:pPr>
        <w:spacing w:line="560" w:lineRule="exact"/>
        <w:ind w:firstLine="640" w:firstLineChars="200"/>
        <w:rPr>
          <w:rFonts w:ascii="楷体_GB2312" w:eastAsia="楷体_GB2312"/>
          <w:sz w:val="32"/>
          <w:szCs w:val="32"/>
        </w:rPr>
      </w:pPr>
      <w:r>
        <w:rPr>
          <w:rFonts w:ascii="楷体_GB2312" w:eastAsia="楷体_GB2312"/>
          <w:sz w:val="32"/>
          <w:szCs w:val="32"/>
        </w:rPr>
        <w:t>（二）产品研究资料和生产制造相关要求</w:t>
      </w:r>
    </w:p>
    <w:p w14:paraId="61B589E5">
      <w:pPr>
        <w:spacing w:line="560" w:lineRule="exact"/>
        <w:ind w:firstLine="640" w:firstLineChars="200"/>
        <w:rPr>
          <w:rFonts w:eastAsia="仿宋_GB2312"/>
          <w:sz w:val="32"/>
          <w:szCs w:val="32"/>
        </w:rPr>
      </w:pPr>
      <w:r>
        <w:rPr>
          <w:rFonts w:eastAsia="仿宋_GB2312"/>
          <w:sz w:val="32"/>
          <w:szCs w:val="32"/>
        </w:rPr>
        <w:t>一次性使用心电电极产品的质量控制要求，主要包括原材料和生产工艺。制造商应对产品的原材料进行控制，明确材料的来源及质量要求，材料应具有相对稳定的生产工艺及供货来源以保证产品的质量。</w:t>
      </w:r>
    </w:p>
    <w:p w14:paraId="1AF6AB6F">
      <w:pPr>
        <w:spacing w:line="560" w:lineRule="exact"/>
        <w:ind w:firstLine="640" w:firstLineChars="200"/>
        <w:rPr>
          <w:rFonts w:eastAsia="仿宋_GB2312"/>
          <w:sz w:val="32"/>
          <w:szCs w:val="32"/>
        </w:rPr>
      </w:pPr>
      <w:r>
        <w:rPr>
          <w:rFonts w:eastAsia="仿宋_GB2312"/>
          <w:sz w:val="32"/>
          <w:szCs w:val="32"/>
        </w:rPr>
        <w:t>生产工艺：扣式的传感器的铆合工艺（铆合力）；铆合完成后需要对电极进行导通测试（抽检）。膜式的涂层工艺：涂层的厚度，完成涂层后进行涂层的厚度检测（抽检）。线缆式的导线与电极两端连接后应作导通测试。</w:t>
      </w:r>
    </w:p>
    <w:p w14:paraId="21AF65FC">
      <w:pPr>
        <w:spacing w:line="560" w:lineRule="exact"/>
        <w:ind w:firstLine="640" w:firstLineChars="200"/>
        <w:rPr>
          <w:rFonts w:ascii="楷体_GB2312" w:eastAsia="楷体_GB2312"/>
          <w:sz w:val="32"/>
          <w:szCs w:val="32"/>
        </w:rPr>
      </w:pPr>
      <w:r>
        <w:rPr>
          <w:rFonts w:ascii="楷体_GB2312" w:eastAsia="楷体_GB2312"/>
          <w:sz w:val="32"/>
          <w:szCs w:val="32"/>
        </w:rPr>
        <w:t>（三）产品说明书要求</w:t>
      </w:r>
    </w:p>
    <w:p w14:paraId="5551EEAE">
      <w:pPr>
        <w:spacing w:line="560" w:lineRule="exact"/>
        <w:ind w:firstLine="640" w:firstLineChars="200"/>
        <w:rPr>
          <w:rFonts w:eastAsia="仿宋_GB2312"/>
          <w:sz w:val="32"/>
          <w:szCs w:val="32"/>
        </w:rPr>
      </w:pPr>
      <w:r>
        <w:rPr>
          <w:rFonts w:eastAsia="仿宋_GB2312"/>
          <w:sz w:val="32"/>
          <w:szCs w:val="32"/>
        </w:rPr>
        <w:t>说明书宣称的产品结构、尺寸和其他技术指标应与产品技术要求及注册检验报告一致。</w:t>
      </w:r>
    </w:p>
    <w:p w14:paraId="3A48F398">
      <w:pPr>
        <w:spacing w:line="560" w:lineRule="exact"/>
        <w:ind w:firstLine="640" w:firstLineChars="200"/>
        <w:rPr>
          <w:rFonts w:ascii="楷体_GB2312" w:eastAsia="楷体_GB2312"/>
          <w:sz w:val="32"/>
          <w:szCs w:val="32"/>
        </w:rPr>
      </w:pPr>
      <w:r>
        <w:rPr>
          <w:rFonts w:ascii="楷体_GB2312" w:eastAsia="楷体_GB2312"/>
          <w:sz w:val="32"/>
          <w:szCs w:val="32"/>
        </w:rPr>
        <w:t>（四）注册检验的典型产品</w:t>
      </w:r>
    </w:p>
    <w:p w14:paraId="36256B1A">
      <w:pPr>
        <w:spacing w:line="560" w:lineRule="exact"/>
        <w:ind w:firstLine="640" w:firstLineChars="200"/>
        <w:rPr>
          <w:rFonts w:eastAsia="仿宋_GB2312"/>
          <w:sz w:val="32"/>
          <w:szCs w:val="32"/>
        </w:rPr>
      </w:pPr>
      <w:r>
        <w:rPr>
          <w:rFonts w:eastAsia="仿宋_GB2312"/>
          <w:sz w:val="32"/>
          <w:szCs w:val="32"/>
        </w:rPr>
        <w:t>注册检验产品应能够代表本注册单元内其他产品安全性和有效性。</w:t>
      </w:r>
    </w:p>
    <w:p w14:paraId="7DC047B3">
      <w:pPr>
        <w:spacing w:line="560" w:lineRule="exact"/>
        <w:ind w:firstLine="640" w:firstLineChars="200"/>
        <w:rPr>
          <w:rFonts w:ascii="黑体" w:hAnsi="黑体" w:eastAsia="黑体"/>
          <w:sz w:val="32"/>
          <w:szCs w:val="32"/>
        </w:rPr>
      </w:pPr>
      <w:r>
        <w:rPr>
          <w:rFonts w:ascii="黑体" w:hAnsi="黑体" w:eastAsia="黑体"/>
          <w:sz w:val="32"/>
          <w:szCs w:val="32"/>
        </w:rPr>
        <w:t>四、编写单位</w:t>
      </w:r>
    </w:p>
    <w:p w14:paraId="5DB36BBF">
      <w:pPr>
        <w:tabs>
          <w:tab w:val="left" w:pos="3948"/>
        </w:tabs>
        <w:spacing w:line="560" w:lineRule="exact"/>
        <w:ind w:firstLine="640" w:firstLineChars="200"/>
        <w:rPr>
          <w:rFonts w:eastAsia="仿宋_GB2312"/>
          <w:sz w:val="28"/>
          <w:szCs w:val="28"/>
        </w:rPr>
      </w:pPr>
      <w:r>
        <w:rPr>
          <w:rFonts w:eastAsia="仿宋_GB2312"/>
          <w:sz w:val="32"/>
          <w:szCs w:val="32"/>
        </w:rPr>
        <w:t>上海市食品药品监督管理局认证审评中心</w:t>
      </w:r>
    </w:p>
    <w:p w14:paraId="56C9C6B5"/>
    <w:p w14:paraId="6EDA1505">
      <w:pPr>
        <w:rPr>
          <w:rFonts w:hint="eastAsia" w:eastAsia="宋体"/>
          <w:lang w:eastAsia="zh-CN"/>
        </w:rPr>
      </w:pPr>
    </w:p>
    <w:p w14:paraId="0412F37D">
      <w:pPr>
        <w:jc w:val="center"/>
        <w:rPr>
          <w:rFonts w:hint="eastAsia" w:eastAsia="宋体"/>
          <w:lang w:eastAsia="zh-CN"/>
        </w:rPr>
      </w:pPr>
    </w:p>
    <w:p w14:paraId="4EA80B2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9B79">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23251061">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A93E">
    <w:pPr>
      <w:pStyle w:val="4"/>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6EB7E2A7">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5C1F"/>
    <w:rsid w:val="000D7696"/>
    <w:rsid w:val="00115C1F"/>
    <w:rsid w:val="00257CC2"/>
    <w:rsid w:val="003C5461"/>
    <w:rsid w:val="004E7F4B"/>
    <w:rsid w:val="00505CB3"/>
    <w:rsid w:val="00591C3C"/>
    <w:rsid w:val="006742F0"/>
    <w:rsid w:val="00846D36"/>
    <w:rsid w:val="00AB1176"/>
    <w:rsid w:val="00CC11BF"/>
    <w:rsid w:val="00F86A5E"/>
    <w:rsid w:val="00FC464E"/>
    <w:rsid w:val="0266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qFormat/>
    <w:uiPriority w:val="0"/>
    <w:pPr>
      <w:shd w:val="clear" w:color="auto" w:fill="000080"/>
    </w:pPr>
  </w:style>
  <w:style w:type="paragraph" w:styleId="3">
    <w:name w:val="Balloon Text"/>
    <w:basedOn w:val="1"/>
    <w:link w:val="14"/>
    <w:qFormat/>
    <w:uiPriority w:val="0"/>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文档结构图 Char"/>
    <w:basedOn w:val="7"/>
    <w:link w:val="2"/>
    <w:semiHidden/>
    <w:qFormat/>
    <w:uiPriority w:val="0"/>
    <w:rPr>
      <w:rFonts w:ascii="Times New Roman" w:hAnsi="Times New Roman" w:eastAsia="宋体" w:cs="Times New Roman"/>
      <w:szCs w:val="24"/>
      <w:shd w:val="clear" w:color="auto" w:fill="000080"/>
    </w:rPr>
  </w:style>
  <w:style w:type="paragraph" w:customStyle="1" w:styleId="12">
    <w:name w:val="List Paragraph1"/>
    <w:basedOn w:val="1"/>
    <w:uiPriority w:val="0"/>
    <w:pPr>
      <w:widowControl/>
      <w:spacing w:before="120" w:after="120" w:line="276" w:lineRule="exact"/>
      <w:ind w:left="720"/>
      <w:contextualSpacing/>
      <w:jc w:val="left"/>
    </w:pPr>
    <w:rPr>
      <w:rFonts w:ascii="Tahoma" w:hAnsi="Tahoma" w:eastAsia="PMingLiU"/>
      <w:kern w:val="0"/>
      <w:sz w:val="20"/>
      <w:lang w:eastAsia="en-US"/>
    </w:rPr>
  </w:style>
  <w:style w:type="character" w:customStyle="1" w:styleId="13">
    <w:name w:val="f101"/>
    <w:qFormat/>
    <w:uiPriority w:val="0"/>
    <w:rPr>
      <w:spacing w:val="500"/>
      <w:sz w:val="24"/>
      <w:szCs w:val="24"/>
    </w:rPr>
  </w:style>
  <w:style w:type="character" w:customStyle="1" w:styleId="14">
    <w:name w:val="批注框文本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18</Pages>
  <Words>7756</Words>
  <Characters>8279</Characters>
  <Lines>61</Lines>
  <Paragraphs>17</Paragraphs>
  <TotalTime>1</TotalTime>
  <ScaleCrop>false</ScaleCrop>
  <LinksUpToDate>false</LinksUpToDate>
  <CharactersWithSpaces>8327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2017-10-09T10:05:00Z</dcterms:created>
  <dc:creator>果靓</dc:creator>
  <cp:lastModifiedBy>太极箫客</cp:lastModifiedBy>
  <dcterms:modified xsi:type="dcterms:W3CDTF">2025-08-14T06:26:29Z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9ADD69F1E4EB4FEAB2727442ADFB1972_12</vt:lpwstr>
  </property>
</Properties>
</file>