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148A">
      <w:pPr>
        <w:spacing w:line="520" w:lineRule="exact"/>
        <w:jc w:val="center"/>
        <w:rPr>
          <w:rFonts w:eastAsia="方正小标宋简体"/>
          <w:color w:val="000000" w:themeColor="text1"/>
          <w:sz w:val="44"/>
          <w:szCs w:val="44"/>
        </w:rPr>
      </w:pPr>
      <w:bookmarkStart w:id="15" w:name="_GoBack"/>
      <w:bookmarkEnd w:id="15"/>
      <w:r>
        <w:rPr>
          <w:rFonts w:hint="eastAsia" w:eastAsia="方正小标宋简体"/>
          <w:color w:val="000000" w:themeColor="text1"/>
          <w:sz w:val="44"/>
          <w:szCs w:val="44"/>
        </w:rPr>
        <w:t>一次性使用</w:t>
      </w:r>
      <w:bookmarkStart w:id="0" w:name="_Hlk101442427"/>
      <w:r>
        <w:rPr>
          <w:rFonts w:hint="eastAsia" w:eastAsia="方正小标宋简体"/>
          <w:sz w:val="44"/>
          <w:szCs w:val="44"/>
        </w:rPr>
        <w:t>人体</w:t>
      </w:r>
      <w:r>
        <w:rPr>
          <w:rFonts w:hint="eastAsia" w:eastAsia="方正小标宋简体"/>
          <w:color w:val="000000" w:themeColor="text1"/>
          <w:sz w:val="44"/>
          <w:szCs w:val="44"/>
        </w:rPr>
        <w:t>动脉血样采集器</w:t>
      </w:r>
      <w:bookmarkEnd w:id="0"/>
    </w:p>
    <w:p w14:paraId="63BC3AE5">
      <w:pPr>
        <w:spacing w:line="520" w:lineRule="exact"/>
        <w:jc w:val="center"/>
        <w:rPr>
          <w:rFonts w:eastAsia="方正小标宋简体"/>
          <w:color w:val="000000" w:themeColor="text1"/>
          <w:sz w:val="44"/>
          <w:szCs w:val="44"/>
        </w:rPr>
      </w:pPr>
      <w:r>
        <w:rPr>
          <w:rFonts w:hint="eastAsia" w:eastAsia="方正小标宋简体"/>
          <w:color w:val="000000" w:themeColor="text1"/>
          <w:sz w:val="44"/>
          <w:szCs w:val="44"/>
        </w:rPr>
        <w:t>注册审查指导原则（征求意见稿）</w:t>
      </w:r>
    </w:p>
    <w:p w14:paraId="1D753C1F">
      <w:pPr>
        <w:spacing w:line="520" w:lineRule="exact"/>
        <w:jc w:val="center"/>
        <w:rPr>
          <w:color w:val="000000" w:themeColor="text1"/>
        </w:rPr>
      </w:pPr>
    </w:p>
    <w:p w14:paraId="56DA35FD">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本指导原则旨在帮助和指导</w:t>
      </w:r>
      <w:r>
        <w:rPr>
          <w:rFonts w:hint="eastAsia" w:eastAsia="仿宋_GB2312"/>
          <w:color w:val="000000" w:themeColor="text1"/>
          <w:sz w:val="32"/>
          <w:szCs w:val="32"/>
        </w:rPr>
        <w:t>注册</w:t>
      </w:r>
      <w:r>
        <w:rPr>
          <w:rFonts w:eastAsia="仿宋_GB2312"/>
          <w:color w:val="000000" w:themeColor="text1"/>
          <w:sz w:val="32"/>
          <w:szCs w:val="32"/>
        </w:rPr>
        <w:t>申请人对</w:t>
      </w:r>
      <w:r>
        <w:rPr>
          <w:rFonts w:hint="eastAsia" w:eastAsia="仿宋_GB2312"/>
          <w:color w:val="000000" w:themeColor="text1"/>
          <w:sz w:val="32"/>
          <w:szCs w:val="32"/>
        </w:rPr>
        <w:t>一次性使用人体动脉血样采集器</w:t>
      </w:r>
      <w:r>
        <w:rPr>
          <w:rFonts w:eastAsia="仿宋_GB2312"/>
          <w:color w:val="000000" w:themeColor="text1"/>
          <w:sz w:val="32"/>
          <w:szCs w:val="32"/>
        </w:rPr>
        <w:t>产品的注册申报资料进行准备，以满足技术审评的基本要求。同时有助于审评机构对该类产品进行科学规范的审评，提高审评工作的质量和效率。</w:t>
      </w:r>
    </w:p>
    <w:p w14:paraId="45BC5A2A">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本指导原则是对</w:t>
      </w:r>
      <w:r>
        <w:rPr>
          <w:rFonts w:hint="eastAsia" w:eastAsia="仿宋_GB2312"/>
          <w:color w:val="000000" w:themeColor="text1"/>
          <w:sz w:val="32"/>
          <w:szCs w:val="32"/>
        </w:rPr>
        <w:t>一次性使用人体动脉血样采集器</w:t>
      </w:r>
      <w:r>
        <w:rPr>
          <w:rFonts w:eastAsia="仿宋_GB2312"/>
          <w:color w:val="000000" w:themeColor="text1"/>
          <w:sz w:val="32"/>
          <w:szCs w:val="32"/>
        </w:rPr>
        <w:t>产品注册申报资料的一般要求，</w:t>
      </w:r>
      <w:r>
        <w:rPr>
          <w:rFonts w:hint="eastAsia" w:eastAsia="仿宋_GB2312"/>
          <w:color w:val="000000" w:themeColor="text1"/>
          <w:sz w:val="32"/>
          <w:szCs w:val="32"/>
        </w:rPr>
        <w:t>注册</w:t>
      </w:r>
      <w:r>
        <w:rPr>
          <w:rFonts w:eastAsia="仿宋_GB2312"/>
          <w:color w:val="000000" w:themeColor="text1"/>
          <w:sz w:val="32"/>
          <w:szCs w:val="32"/>
        </w:rPr>
        <w:t>申请人应依据具体产品的特性对注册申报资料的内容进行充实和细化</w:t>
      </w:r>
      <w:r>
        <w:rPr>
          <w:rFonts w:hint="eastAsia" w:eastAsia="仿宋_GB2312"/>
          <w:color w:val="000000" w:themeColor="text1"/>
          <w:sz w:val="32"/>
          <w:szCs w:val="32"/>
        </w:rPr>
        <w:t>，</w:t>
      </w:r>
      <w:r>
        <w:rPr>
          <w:rFonts w:eastAsia="仿宋_GB2312"/>
          <w:color w:val="000000" w:themeColor="text1"/>
          <w:sz w:val="32"/>
          <w:szCs w:val="32"/>
        </w:rPr>
        <w:t>还</w:t>
      </w:r>
      <w:r>
        <w:rPr>
          <w:rFonts w:hint="eastAsia" w:eastAsia="仿宋_GB2312"/>
          <w:color w:val="000000" w:themeColor="text1"/>
          <w:sz w:val="32"/>
          <w:szCs w:val="32"/>
        </w:rPr>
        <w:t>可</w:t>
      </w:r>
      <w:r>
        <w:rPr>
          <w:rFonts w:eastAsia="仿宋_GB2312"/>
          <w:color w:val="000000" w:themeColor="text1"/>
          <w:sz w:val="32"/>
          <w:szCs w:val="32"/>
        </w:rPr>
        <w:t>依据具体产品的特性确定其中的具体内容是否适用，若不适用，需具体阐述其理由及相应的科学依据。</w:t>
      </w:r>
    </w:p>
    <w:p w14:paraId="3B7685C8">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本指导原则是对</w:t>
      </w:r>
      <w:r>
        <w:rPr>
          <w:rFonts w:hint="eastAsia" w:eastAsia="仿宋_GB2312"/>
          <w:color w:val="000000" w:themeColor="text1"/>
          <w:sz w:val="32"/>
          <w:szCs w:val="32"/>
        </w:rPr>
        <w:t>注册</w:t>
      </w:r>
      <w:r>
        <w:rPr>
          <w:rFonts w:eastAsia="仿宋_GB2312"/>
          <w:color w:val="000000" w:themeColor="text1"/>
          <w:sz w:val="32"/>
          <w:szCs w:val="32"/>
        </w:rPr>
        <w:t>申请人和审查人员的指导性文件</w:t>
      </w:r>
      <w:r>
        <w:rPr>
          <w:rFonts w:hint="eastAsia" w:eastAsia="仿宋_GB2312"/>
          <w:color w:val="000000" w:themeColor="text1"/>
          <w:sz w:val="32"/>
          <w:szCs w:val="32"/>
        </w:rPr>
        <w:t>，</w:t>
      </w:r>
      <w:r>
        <w:rPr>
          <w:rFonts w:eastAsia="仿宋_GB2312"/>
          <w:color w:val="000000" w:themeColor="text1"/>
          <w:sz w:val="32"/>
          <w:szCs w:val="32"/>
        </w:rPr>
        <w:t>但不包括注册审批所涉及的行政事项，亦不作为法规强制执行</w:t>
      </w:r>
      <w:r>
        <w:rPr>
          <w:rFonts w:hint="eastAsia" w:eastAsia="仿宋_GB2312"/>
          <w:color w:val="000000" w:themeColor="text1"/>
          <w:sz w:val="32"/>
          <w:szCs w:val="32"/>
        </w:rPr>
        <w:t>。</w:t>
      </w:r>
      <w:r>
        <w:rPr>
          <w:rFonts w:eastAsia="仿宋_GB2312"/>
          <w:color w:val="000000" w:themeColor="text1"/>
          <w:sz w:val="32"/>
          <w:szCs w:val="32"/>
        </w:rPr>
        <w:t>如果有能够满足相关法规要求的其他方法，也可以采用，但是需要提供详细的研究资料和验证资料。应在遵循相关法规的前提下使用本指导原则。</w:t>
      </w:r>
    </w:p>
    <w:p w14:paraId="6A3056EA">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本指导原则是在现行法规和标准体系以及当前认知水平下制定的，随着法规和标准的不断完善，以及科学技术的不断发展，本指导原则相关内容也将进行适时的调整。</w:t>
      </w:r>
    </w:p>
    <w:p w14:paraId="69D7DD1F">
      <w:pPr>
        <w:adjustRightInd w:val="0"/>
        <w:snapToGrid w:val="0"/>
        <w:spacing w:line="520" w:lineRule="exact"/>
        <w:ind w:firstLine="640" w:firstLineChars="200"/>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w:t>
      </w:r>
      <w:r>
        <w:rPr>
          <w:rFonts w:ascii="黑体" w:hAnsi="黑体" w:eastAsia="黑体" w:cs="黑体"/>
          <w:color w:val="000000" w:themeColor="text1"/>
          <w:sz w:val="32"/>
          <w:szCs w:val="32"/>
        </w:rPr>
        <w:t>、</w:t>
      </w:r>
      <w:r>
        <w:rPr>
          <w:rFonts w:hint="eastAsia" w:ascii="黑体" w:hAnsi="黑体" w:eastAsia="黑体" w:cs="黑体"/>
          <w:color w:val="000000" w:themeColor="text1"/>
          <w:sz w:val="32"/>
          <w:szCs w:val="32"/>
        </w:rPr>
        <w:t>适用范围</w:t>
      </w:r>
    </w:p>
    <w:p w14:paraId="013D68CF">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本指导原则适用于作为医疗器械管理的</w:t>
      </w:r>
      <w:r>
        <w:rPr>
          <w:rFonts w:hint="eastAsia" w:eastAsia="仿宋_GB2312"/>
          <w:color w:val="000000" w:themeColor="text1"/>
          <w:sz w:val="32"/>
          <w:szCs w:val="32"/>
        </w:rPr>
        <w:t>一次性使用人体动脉血样采集器</w:t>
      </w:r>
      <w:r>
        <w:rPr>
          <w:rFonts w:eastAsia="仿宋_GB2312"/>
          <w:color w:val="000000" w:themeColor="text1"/>
          <w:sz w:val="32"/>
          <w:szCs w:val="32"/>
        </w:rPr>
        <w:t>产品注册申报资料的准备及产品技术审评的参考。</w:t>
      </w:r>
    </w:p>
    <w:p w14:paraId="586249A5">
      <w:pPr>
        <w:adjustRightInd w:val="0"/>
        <w:snapToGrid w:val="0"/>
        <w:spacing w:line="520" w:lineRule="exact"/>
        <w:ind w:firstLine="640" w:firstLineChars="200"/>
        <w:rPr>
          <w:rFonts w:eastAsia="仿宋_GB2312"/>
          <w:color w:val="000000" w:themeColor="text1"/>
          <w:kern w:val="0"/>
          <w:sz w:val="32"/>
          <w:szCs w:val="32"/>
        </w:rPr>
      </w:pPr>
      <w:r>
        <w:rPr>
          <w:rFonts w:eastAsia="仿宋_GB2312"/>
          <w:color w:val="000000" w:themeColor="text1"/>
          <w:sz w:val="32"/>
          <w:szCs w:val="32"/>
        </w:rPr>
        <w:t>本指导原则</w:t>
      </w:r>
      <w:r>
        <w:rPr>
          <w:rFonts w:hint="eastAsia" w:eastAsia="仿宋_GB2312"/>
          <w:color w:val="000000" w:themeColor="text1"/>
          <w:sz w:val="32"/>
          <w:szCs w:val="32"/>
        </w:rPr>
        <w:t>规定的一次性使用人体动脉血样采集器为</w:t>
      </w:r>
      <w:r>
        <w:rPr>
          <w:rFonts w:eastAsia="仿宋_GB2312"/>
          <w:color w:val="000000" w:themeColor="text1"/>
          <w:sz w:val="32"/>
          <w:szCs w:val="32"/>
        </w:rPr>
        <w:t>无源医疗器械</w:t>
      </w:r>
      <w:r>
        <w:rPr>
          <w:rFonts w:hint="eastAsia" w:eastAsia="仿宋_GB2312"/>
          <w:color w:val="000000" w:themeColor="text1"/>
          <w:sz w:val="32"/>
          <w:szCs w:val="32"/>
        </w:rPr>
        <w:t>，</w:t>
      </w:r>
      <w:r>
        <w:rPr>
          <w:rFonts w:eastAsia="仿宋_GB2312"/>
          <w:color w:val="000000" w:themeColor="text1"/>
          <w:sz w:val="32"/>
          <w:szCs w:val="32"/>
        </w:rPr>
        <w:t>通常</w:t>
      </w:r>
      <w:r>
        <w:rPr>
          <w:rFonts w:hint="eastAsia" w:eastAsia="仿宋_GB2312"/>
          <w:color w:val="000000" w:themeColor="text1"/>
          <w:sz w:val="32"/>
          <w:szCs w:val="32"/>
        </w:rPr>
        <w:t>由贮样器、采血针、护套、密封件和添加剂</w:t>
      </w:r>
      <w:r>
        <w:rPr>
          <w:rFonts w:hint="eastAsia" w:eastAsia="仿宋_GB2312"/>
          <w:color w:val="000000" w:themeColor="text1"/>
          <w:kern w:val="0"/>
          <w:sz w:val="32"/>
          <w:szCs w:val="32"/>
        </w:rPr>
        <w:t>等</w:t>
      </w:r>
      <w:r>
        <w:rPr>
          <w:rFonts w:eastAsia="仿宋_GB2312"/>
          <w:color w:val="000000" w:themeColor="text1"/>
          <w:kern w:val="0"/>
          <w:sz w:val="32"/>
          <w:szCs w:val="32"/>
        </w:rPr>
        <w:t>部件</w:t>
      </w:r>
      <w:r>
        <w:rPr>
          <w:rFonts w:hint="eastAsia" w:eastAsia="仿宋_GB2312"/>
          <w:color w:val="000000" w:themeColor="text1"/>
          <w:kern w:val="0"/>
          <w:sz w:val="32"/>
          <w:szCs w:val="32"/>
        </w:rPr>
        <w:t>组成。</w:t>
      </w:r>
      <w:r>
        <w:rPr>
          <w:rFonts w:hint="eastAsia" w:eastAsia="仿宋_GB2312"/>
          <w:color w:val="000000" w:themeColor="text1"/>
          <w:sz w:val="32"/>
          <w:szCs w:val="32"/>
        </w:rPr>
        <w:t>动脉血样采集器</w:t>
      </w:r>
      <w:r>
        <w:rPr>
          <w:rFonts w:hint="eastAsia" w:eastAsia="仿宋_GB2312"/>
          <w:color w:val="000000" w:themeColor="text1"/>
          <w:kern w:val="0"/>
          <w:sz w:val="32"/>
          <w:szCs w:val="32"/>
        </w:rPr>
        <w:t>贮样器内的添加剂一般为肝素类物质。</w:t>
      </w:r>
      <w:r>
        <w:rPr>
          <w:rFonts w:eastAsia="仿宋_GB2312"/>
          <w:color w:val="000000" w:themeColor="text1"/>
          <w:sz w:val="32"/>
          <w:szCs w:val="32"/>
        </w:rPr>
        <w:t>无菌提供，一次性使用，管理类别为第三类</w:t>
      </w:r>
      <w:r>
        <w:rPr>
          <w:rFonts w:hint="eastAsia" w:eastAsia="仿宋_GB2312"/>
          <w:color w:val="000000" w:themeColor="text1"/>
          <w:sz w:val="32"/>
          <w:szCs w:val="32"/>
        </w:rPr>
        <w:t>医疗</w:t>
      </w:r>
      <w:r>
        <w:rPr>
          <w:rFonts w:eastAsia="仿宋_GB2312"/>
          <w:color w:val="000000" w:themeColor="text1"/>
          <w:sz w:val="32"/>
          <w:szCs w:val="32"/>
        </w:rPr>
        <w:t>器械。</w:t>
      </w:r>
    </w:p>
    <w:p w14:paraId="17EDA853">
      <w:pPr>
        <w:adjustRightInd w:val="0"/>
        <w:snapToGrid w:val="0"/>
        <w:spacing w:line="520" w:lineRule="exact"/>
        <w:ind w:firstLine="640" w:firstLineChars="200"/>
        <w:outlineLvl w:val="0"/>
        <w:rPr>
          <w:rFonts w:ascii="黑体" w:hAnsi="黑体" w:eastAsia="黑体" w:cs="黑体"/>
          <w:color w:val="000000" w:themeColor="text1"/>
          <w:sz w:val="32"/>
          <w:szCs w:val="32"/>
        </w:rPr>
      </w:pPr>
      <w:bookmarkStart w:id="1" w:name="_Toc363650875"/>
      <w:bookmarkStart w:id="2" w:name="_Toc431215854"/>
      <w:bookmarkStart w:id="3" w:name="_Toc431215376"/>
      <w:r>
        <w:rPr>
          <w:rFonts w:hint="eastAsia" w:ascii="黑体" w:hAnsi="黑体" w:eastAsia="黑体" w:cs="黑体"/>
          <w:color w:val="000000" w:themeColor="text1"/>
          <w:sz w:val="32"/>
          <w:szCs w:val="32"/>
        </w:rPr>
        <w:t>二、</w:t>
      </w:r>
      <w:bookmarkEnd w:id="1"/>
      <w:bookmarkEnd w:id="2"/>
      <w:bookmarkEnd w:id="3"/>
      <w:r>
        <w:rPr>
          <w:rFonts w:hint="eastAsia" w:ascii="黑体" w:hAnsi="黑体" w:eastAsia="黑体" w:cs="黑体"/>
          <w:color w:val="000000" w:themeColor="text1"/>
          <w:sz w:val="32"/>
          <w:szCs w:val="32"/>
        </w:rPr>
        <w:t>注册审查要点</w:t>
      </w:r>
    </w:p>
    <w:p w14:paraId="0C28F55B">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（一）监管信息</w:t>
      </w:r>
    </w:p>
    <w:p w14:paraId="7FC01EA6">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包括申请表、</w:t>
      </w:r>
      <w:r>
        <w:rPr>
          <w:rFonts w:eastAsia="仿宋_GB2312"/>
          <w:color w:val="000000" w:themeColor="text1"/>
          <w:sz w:val="32"/>
          <w:szCs w:val="32"/>
        </w:rPr>
        <w:t>术语</w:t>
      </w:r>
      <w:r>
        <w:rPr>
          <w:rFonts w:hint="eastAsia" w:eastAsia="仿宋_GB2312"/>
          <w:color w:val="000000" w:themeColor="text1"/>
          <w:sz w:val="32"/>
          <w:szCs w:val="32"/>
        </w:rPr>
        <w:t>和</w:t>
      </w:r>
      <w:r>
        <w:rPr>
          <w:rFonts w:eastAsia="仿宋_GB2312"/>
          <w:color w:val="000000" w:themeColor="text1"/>
          <w:sz w:val="32"/>
          <w:szCs w:val="32"/>
        </w:rPr>
        <w:t>缩写词列表</w:t>
      </w:r>
      <w:r>
        <w:rPr>
          <w:rFonts w:hint="eastAsia" w:eastAsia="仿宋_GB2312"/>
          <w:color w:val="000000" w:themeColor="text1"/>
          <w:sz w:val="32"/>
          <w:szCs w:val="32"/>
        </w:rPr>
        <w:t>（</w:t>
      </w:r>
      <w:r>
        <w:rPr>
          <w:rFonts w:eastAsia="仿宋_GB2312"/>
          <w:color w:val="000000" w:themeColor="text1"/>
          <w:sz w:val="32"/>
          <w:szCs w:val="32"/>
        </w:rPr>
        <w:t>如适用）</w:t>
      </w:r>
      <w:r>
        <w:rPr>
          <w:rFonts w:hint="eastAsia" w:eastAsia="仿宋_GB2312"/>
          <w:color w:val="000000" w:themeColor="text1"/>
          <w:sz w:val="32"/>
          <w:szCs w:val="32"/>
        </w:rPr>
        <w:t>、产品列表、既往沟通记录（</w:t>
      </w:r>
      <w:r>
        <w:rPr>
          <w:rFonts w:eastAsia="仿宋_GB2312"/>
          <w:color w:val="000000" w:themeColor="text1"/>
          <w:sz w:val="32"/>
          <w:szCs w:val="32"/>
        </w:rPr>
        <w:t>如适用）</w:t>
      </w:r>
      <w:r>
        <w:rPr>
          <w:rFonts w:hint="eastAsia" w:eastAsia="仿宋_GB2312"/>
          <w:color w:val="000000" w:themeColor="text1"/>
          <w:sz w:val="32"/>
          <w:szCs w:val="32"/>
        </w:rPr>
        <w:t>、主文档授权信（</w:t>
      </w:r>
      <w:r>
        <w:rPr>
          <w:rFonts w:eastAsia="仿宋_GB2312"/>
          <w:color w:val="000000" w:themeColor="text1"/>
          <w:sz w:val="32"/>
          <w:szCs w:val="32"/>
        </w:rPr>
        <w:t>如适用）</w:t>
      </w:r>
      <w:r>
        <w:rPr>
          <w:rFonts w:hint="eastAsia" w:eastAsia="仿宋_GB2312"/>
          <w:color w:val="000000" w:themeColor="text1"/>
          <w:sz w:val="32"/>
          <w:szCs w:val="32"/>
        </w:rPr>
        <w:t>以及</w:t>
      </w:r>
      <w:r>
        <w:rPr>
          <w:rFonts w:eastAsia="仿宋_GB2312"/>
          <w:color w:val="000000" w:themeColor="text1"/>
          <w:sz w:val="32"/>
          <w:szCs w:val="32"/>
        </w:rPr>
        <w:t>符合性声明</w:t>
      </w:r>
      <w:r>
        <w:rPr>
          <w:rFonts w:hint="eastAsia" w:eastAsia="仿宋_GB2312"/>
          <w:color w:val="000000" w:themeColor="text1"/>
          <w:sz w:val="32"/>
          <w:szCs w:val="32"/>
        </w:rPr>
        <w:t>等，</w:t>
      </w:r>
      <w:r>
        <w:rPr>
          <w:rFonts w:eastAsia="仿宋_GB2312"/>
          <w:color w:val="000000" w:themeColor="text1"/>
          <w:sz w:val="32"/>
          <w:szCs w:val="32"/>
        </w:rPr>
        <w:t>应符合</w:t>
      </w:r>
      <w:r>
        <w:rPr>
          <w:rFonts w:hint="eastAsia" w:eastAsia="仿宋_GB2312"/>
          <w:color w:val="000000" w:themeColor="text1"/>
          <w:sz w:val="32"/>
          <w:szCs w:val="32"/>
        </w:rPr>
        <w:t>《医疗器械注册申报资料要求及说明</w:t>
      </w:r>
      <w:r>
        <w:rPr>
          <w:rFonts w:eastAsia="仿宋_GB2312"/>
          <w:color w:val="000000" w:themeColor="text1"/>
          <w:sz w:val="32"/>
          <w:szCs w:val="32"/>
        </w:rPr>
        <w:t>》</w:t>
      </w:r>
      <w:r>
        <w:rPr>
          <w:rFonts w:hint="eastAsia" w:eastAsia="仿宋_GB2312"/>
          <w:color w:val="000000" w:themeColor="text1"/>
          <w:sz w:val="32"/>
          <w:szCs w:val="32"/>
        </w:rPr>
        <w:t>的</w:t>
      </w:r>
      <w:r>
        <w:rPr>
          <w:rFonts w:eastAsia="仿宋_GB2312"/>
          <w:color w:val="000000" w:themeColor="text1"/>
          <w:sz w:val="32"/>
          <w:szCs w:val="32"/>
        </w:rPr>
        <w:t>要求。按照填表要求填写</w:t>
      </w:r>
      <w:r>
        <w:rPr>
          <w:rFonts w:hint="eastAsia" w:eastAsia="仿宋_GB2312"/>
          <w:color w:val="000000" w:themeColor="text1"/>
          <w:sz w:val="32"/>
          <w:szCs w:val="32"/>
        </w:rPr>
        <w:t>申请表，</w:t>
      </w:r>
      <w:r>
        <w:rPr>
          <w:rFonts w:eastAsia="仿宋_GB2312"/>
          <w:color w:val="000000" w:themeColor="text1"/>
          <w:sz w:val="32"/>
          <w:szCs w:val="32"/>
        </w:rPr>
        <w:t>以表格形式列出拟申报产品的型号、规格、结构及组成、附件，以及每个型号规格的标识</w:t>
      </w:r>
      <w:r>
        <w:rPr>
          <w:rFonts w:hint="eastAsia" w:eastAsia="仿宋_GB2312"/>
          <w:color w:val="000000" w:themeColor="text1"/>
          <w:sz w:val="32"/>
          <w:szCs w:val="32"/>
        </w:rPr>
        <w:t>。</w:t>
      </w:r>
    </w:p>
    <w:p w14:paraId="0FDAD87C">
      <w:pPr>
        <w:adjustRightInd w:val="0"/>
        <w:snapToGrid w:val="0"/>
        <w:spacing w:line="520" w:lineRule="exact"/>
        <w:ind w:firstLine="640" w:firstLineChars="200"/>
        <w:rPr>
          <w:rFonts w:eastAsia="仿宋_GB2312"/>
          <w:color w:val="000000" w:themeColor="text1"/>
          <w:sz w:val="32"/>
          <w:szCs w:val="32"/>
        </w:rPr>
      </w:pPr>
      <w:bookmarkStart w:id="4" w:name="_Toc431215377"/>
      <w:bookmarkStart w:id="5" w:name="_Toc431215855"/>
      <w:r>
        <w:rPr>
          <w:rFonts w:hint="eastAsia" w:eastAsia="仿宋_GB2312"/>
          <w:color w:val="000000" w:themeColor="text1"/>
          <w:sz w:val="32"/>
          <w:szCs w:val="32"/>
        </w:rPr>
        <w:t>（二）综述资料</w:t>
      </w:r>
      <w:bookmarkEnd w:id="4"/>
      <w:bookmarkEnd w:id="5"/>
    </w:p>
    <w:p w14:paraId="69201202">
      <w:pPr>
        <w:adjustRightInd w:val="0"/>
        <w:snapToGrid w:val="0"/>
        <w:spacing w:line="520" w:lineRule="exact"/>
        <w:ind w:firstLine="640" w:firstLineChars="200"/>
        <w:rPr>
          <w:rFonts w:ascii="仿宋_GB2312" w:eastAsia="仿宋_GB2312"/>
          <w:color w:val="000000" w:themeColor="text1"/>
          <w:sz w:val="32"/>
          <w:szCs w:val="32"/>
        </w:rPr>
      </w:pPr>
      <w:bookmarkStart w:id="6" w:name="_Toc431215378"/>
      <w:r>
        <w:rPr>
          <w:rFonts w:hint="eastAsia" w:ascii="仿宋_GB2312" w:eastAsia="仿宋_GB2312"/>
          <w:color w:val="000000" w:themeColor="text1"/>
          <w:sz w:val="32"/>
          <w:szCs w:val="32"/>
        </w:rPr>
        <w:t>1.概述</w:t>
      </w:r>
      <w:bookmarkEnd w:id="6"/>
    </w:p>
    <w:p w14:paraId="51260DB9">
      <w:pPr>
        <w:adjustRightInd w:val="0"/>
        <w:snapToGrid w:val="0"/>
        <w:spacing w:line="520" w:lineRule="exact"/>
        <w:ind w:firstLine="640" w:firstLineChars="200"/>
        <w:rPr>
          <w:rFonts w:eastAsia="仿宋_GB2312"/>
          <w:color w:val="000000" w:themeColor="text1"/>
          <w:sz w:val="32"/>
          <w:szCs w:val="32"/>
        </w:rPr>
      </w:pPr>
      <w:r>
        <w:rPr>
          <w:rFonts w:hint="eastAsia" w:ascii="仿宋_GB2312" w:eastAsia="仿宋_GB2312"/>
          <w:color w:val="000000" w:themeColor="text1"/>
          <w:sz w:val="32"/>
          <w:szCs w:val="32"/>
        </w:rPr>
        <w:t>描述申报产品通用名称及其确定依据、管理类别、分类编码、适用范围等。该产品属于《医疗器械分类目录》中22临床检验器械目录下11采样设备和器具项下01动静脉采血</w:t>
      </w:r>
      <w:r>
        <w:rPr>
          <w:rFonts w:hint="eastAsia" w:eastAsia="仿宋_GB2312"/>
          <w:color w:val="000000" w:themeColor="text1"/>
          <w:sz w:val="32"/>
          <w:szCs w:val="32"/>
        </w:rPr>
        <w:t>针及连接件，</w:t>
      </w:r>
      <w:r>
        <w:rPr>
          <w:rFonts w:eastAsia="仿宋_GB2312"/>
          <w:color w:val="000000" w:themeColor="text1"/>
          <w:sz w:val="32"/>
          <w:szCs w:val="32"/>
        </w:rPr>
        <w:t>按照第三类医疗器械管理。产品名称应符合《医疗器械通用名称命名规则》</w:t>
      </w:r>
      <w:r>
        <w:rPr>
          <w:rFonts w:hint="eastAsia" w:eastAsia="仿宋_GB2312"/>
          <w:color w:val="000000" w:themeColor="text1"/>
          <w:sz w:val="32"/>
          <w:szCs w:val="32"/>
        </w:rPr>
        <w:t>《临床检验器械通用名称命名指导原则》</w:t>
      </w:r>
      <w:r>
        <w:rPr>
          <w:rFonts w:eastAsia="仿宋_GB2312"/>
          <w:color w:val="000000" w:themeColor="text1"/>
          <w:sz w:val="32"/>
          <w:szCs w:val="32"/>
        </w:rPr>
        <w:t>及有关规定。</w:t>
      </w:r>
      <w:bookmarkStart w:id="7" w:name="_Toc431215379"/>
    </w:p>
    <w:p w14:paraId="7C3483C8">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依据《医疗器械注册单元划分指导原则》等文件，主要原材料或添加剂不同、采样原理不同等，建议区分不同注册单元，提供各自完整的注册申报资料。</w:t>
      </w:r>
    </w:p>
    <w:p w14:paraId="5223A3E3">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2.产品描述</w:t>
      </w:r>
      <w:bookmarkEnd w:id="7"/>
    </w:p>
    <w:p w14:paraId="1C2F259C">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sz w:val="32"/>
          <w:szCs w:val="32"/>
        </w:rPr>
        <w:t>产品描述应全面、详细，至少应包括申报产品名称、工作原理、结构组成及相应图示</w:t>
      </w:r>
      <w:r>
        <w:rPr>
          <w:rFonts w:hint="eastAsia" w:eastAsia="仿宋_GB2312"/>
          <w:color w:val="000000" w:themeColor="text1"/>
          <w:sz w:val="32"/>
          <w:szCs w:val="32"/>
        </w:rPr>
        <w:t>、</w:t>
      </w:r>
      <w:r>
        <w:rPr>
          <w:rFonts w:eastAsia="仿宋_GB2312"/>
          <w:color w:val="000000" w:themeColor="text1"/>
          <w:sz w:val="32"/>
          <w:szCs w:val="32"/>
        </w:rPr>
        <w:t>规格型号的划分及依据</w:t>
      </w:r>
      <w:r>
        <w:rPr>
          <w:rFonts w:hint="eastAsia" w:eastAsia="仿宋_GB2312"/>
          <w:color w:val="000000" w:themeColor="text1"/>
          <w:sz w:val="32"/>
          <w:szCs w:val="32"/>
        </w:rPr>
        <w:t>、</w:t>
      </w:r>
      <w:r>
        <w:rPr>
          <w:rFonts w:eastAsia="仿宋_GB2312"/>
          <w:color w:val="000000" w:themeColor="text1"/>
          <w:sz w:val="32"/>
          <w:szCs w:val="32"/>
        </w:rPr>
        <w:t>尺寸、</w:t>
      </w:r>
      <w:r>
        <w:rPr>
          <w:rFonts w:hint="eastAsia" w:eastAsia="仿宋_GB2312"/>
          <w:color w:val="000000" w:themeColor="text1"/>
          <w:sz w:val="32"/>
          <w:szCs w:val="32"/>
        </w:rPr>
        <w:t>各组件</w:t>
      </w:r>
      <w:r>
        <w:rPr>
          <w:rFonts w:eastAsia="仿宋_GB2312"/>
          <w:color w:val="000000" w:themeColor="text1"/>
          <w:sz w:val="32"/>
          <w:szCs w:val="32"/>
        </w:rPr>
        <w:t>原材料（</w:t>
      </w:r>
      <w:r>
        <w:rPr>
          <w:rFonts w:hint="eastAsia" w:eastAsia="仿宋_GB2312"/>
          <w:color w:val="000000" w:themeColor="text1"/>
          <w:sz w:val="32"/>
          <w:szCs w:val="32"/>
        </w:rPr>
        <w:t>如</w:t>
      </w:r>
      <w:r>
        <w:rPr>
          <w:rFonts w:eastAsia="仿宋_GB2312"/>
          <w:color w:val="000000" w:themeColor="text1"/>
          <w:sz w:val="32"/>
          <w:szCs w:val="32"/>
        </w:rPr>
        <w:t>化学名称</w:t>
      </w:r>
      <w:r>
        <w:rPr>
          <w:rFonts w:hint="eastAsia" w:eastAsia="仿宋_GB2312"/>
          <w:color w:val="000000" w:themeColor="text1"/>
          <w:sz w:val="32"/>
          <w:szCs w:val="32"/>
        </w:rPr>
        <w:t>、金属</w:t>
      </w:r>
      <w:r>
        <w:rPr>
          <w:rFonts w:eastAsia="仿宋_GB2312"/>
          <w:color w:val="000000" w:themeColor="text1"/>
          <w:sz w:val="32"/>
          <w:szCs w:val="32"/>
        </w:rPr>
        <w:t>牌号</w:t>
      </w:r>
      <w:r>
        <w:rPr>
          <w:rFonts w:hint="eastAsia" w:eastAsia="仿宋_GB2312"/>
          <w:color w:val="000000" w:themeColor="text1"/>
          <w:sz w:val="32"/>
          <w:szCs w:val="32"/>
        </w:rPr>
        <w:t>等</w:t>
      </w:r>
      <w:r>
        <w:rPr>
          <w:rFonts w:eastAsia="仿宋_GB2312"/>
          <w:color w:val="000000" w:themeColor="text1"/>
          <w:sz w:val="32"/>
          <w:szCs w:val="32"/>
        </w:rPr>
        <w:t>）、</w:t>
      </w:r>
      <w:r>
        <w:rPr>
          <w:rFonts w:hint="eastAsia" w:eastAsia="仿宋_GB2312"/>
          <w:color w:val="000000" w:themeColor="text1"/>
          <w:sz w:val="32"/>
          <w:szCs w:val="32"/>
        </w:rPr>
        <w:t>添加成分（如润滑剂、添加剂等）、</w:t>
      </w:r>
      <w:r>
        <w:rPr>
          <w:rFonts w:eastAsia="仿宋_GB2312"/>
          <w:color w:val="000000" w:themeColor="text1"/>
          <w:sz w:val="32"/>
          <w:szCs w:val="32"/>
        </w:rPr>
        <w:t>技术性能指标、</w:t>
      </w:r>
      <w:r>
        <w:rPr>
          <w:rFonts w:hint="eastAsia" w:eastAsia="仿宋_GB2312"/>
          <w:color w:val="000000" w:themeColor="text1"/>
          <w:sz w:val="32"/>
          <w:szCs w:val="32"/>
        </w:rPr>
        <w:t>灭菌方式、</w:t>
      </w:r>
      <w:r>
        <w:rPr>
          <w:rFonts w:eastAsia="仿宋_GB2312"/>
          <w:color w:val="000000" w:themeColor="text1"/>
          <w:sz w:val="32"/>
          <w:szCs w:val="32"/>
        </w:rPr>
        <w:t>预期用途、</w:t>
      </w:r>
      <w:r>
        <w:rPr>
          <w:rFonts w:hint="eastAsia" w:eastAsia="仿宋_GB2312"/>
          <w:color w:val="000000" w:themeColor="text1"/>
          <w:sz w:val="32"/>
          <w:szCs w:val="32"/>
        </w:rPr>
        <w:t>适用部位、配合使用的产品信息、</w:t>
      </w:r>
      <w:r>
        <w:rPr>
          <w:rFonts w:eastAsia="仿宋_GB2312"/>
          <w:color w:val="000000" w:themeColor="text1"/>
          <w:sz w:val="32"/>
          <w:szCs w:val="32"/>
        </w:rPr>
        <w:t>区别于其他同类产品的特征</w:t>
      </w:r>
      <w:r>
        <w:rPr>
          <w:rFonts w:hint="eastAsia" w:eastAsia="仿宋_GB2312"/>
          <w:color w:val="000000" w:themeColor="text1"/>
          <w:sz w:val="32"/>
          <w:szCs w:val="32"/>
        </w:rPr>
        <w:t>、</w:t>
      </w:r>
      <w:r>
        <w:rPr>
          <w:rFonts w:eastAsia="仿宋_GB2312"/>
          <w:color w:val="000000" w:themeColor="text1"/>
          <w:sz w:val="32"/>
          <w:szCs w:val="32"/>
        </w:rPr>
        <w:t>是否符合相关标准等</w:t>
      </w:r>
      <w:r>
        <w:rPr>
          <w:rFonts w:hint="eastAsia" w:eastAsia="仿宋_GB2312"/>
          <w:color w:val="000000" w:themeColor="text1"/>
          <w:sz w:val="32"/>
          <w:szCs w:val="32"/>
        </w:rPr>
        <w:t>。</w:t>
      </w:r>
    </w:p>
    <w:p w14:paraId="77C81345">
      <w:pPr>
        <w:adjustRightInd w:val="0"/>
        <w:snapToGrid w:val="0"/>
        <w:spacing w:line="520" w:lineRule="exact"/>
        <w:ind w:firstLine="640" w:firstLineChars="200"/>
        <w:rPr>
          <w:rFonts w:eastAsia="仿宋_GB2312"/>
          <w:color w:val="000000" w:themeColor="text1"/>
          <w:sz w:val="32"/>
          <w:szCs w:val="32"/>
        </w:rPr>
      </w:pPr>
      <w:r>
        <w:rPr>
          <w:rFonts w:hint="eastAsia" w:eastAsia="仿宋_GB2312"/>
          <w:color w:val="000000" w:themeColor="text1"/>
          <w:sz w:val="32"/>
          <w:szCs w:val="32"/>
        </w:rPr>
        <w:t>人体动脉血样采集器示例如图1所示：</w:t>
      </w:r>
    </w:p>
    <w:p w14:paraId="412F6542">
      <w:pPr>
        <w:adjustRightInd w:val="0"/>
        <w:snapToGrid w:val="0"/>
        <w:spacing w:line="520" w:lineRule="exact"/>
        <w:ind w:firstLine="480" w:firstLineChars="200"/>
        <w:jc w:val="center"/>
        <w:rPr>
          <w:rFonts w:eastAsia="仿宋_GB2312"/>
          <w:color w:val="000000" w:themeColor="text1"/>
          <w:sz w:val="24"/>
          <w:szCs w:val="24"/>
        </w:rPr>
      </w:pPr>
      <w:r>
        <w:rPr>
          <w:rFonts w:hint="eastAsia" w:eastAsia="仿宋_GB2312"/>
          <w:color w:val="000000" w:themeColor="text1"/>
          <w:sz w:val="24"/>
          <w:szCs w:val="24"/>
        </w:rPr>
        <w:drawing>
          <wp:anchor distT="0" distB="0" distL="114300" distR="114300" simplePos="0" relativeHeight="251659264" behindDoc="0" locked="0" layoutInCell="1" allowOverlap="1">
            <wp:simplePos x="0" y="0"/>
            <wp:positionH relativeFrom="margin">
              <wp:posOffset>561975</wp:posOffset>
            </wp:positionH>
            <wp:positionV relativeFrom="margin">
              <wp:posOffset>1390650</wp:posOffset>
            </wp:positionV>
            <wp:extent cx="4133850" cy="324802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33850" cy="3248025"/>
                    </a:xfrm>
                    <a:prstGeom prst="rect">
                      <a:avLst/>
                    </a:prstGeom>
                  </pic:spPr>
                </pic:pic>
              </a:graphicData>
            </a:graphic>
          </wp:anchor>
        </w:drawing>
      </w:r>
      <w:r>
        <w:rPr>
          <w:rFonts w:hint="eastAsia" w:eastAsia="仿宋_GB2312"/>
          <w:color w:val="000000" w:themeColor="text1"/>
          <w:sz w:val="24"/>
          <w:szCs w:val="24"/>
        </w:rPr>
        <w:t>图1</w:t>
      </w:r>
      <w:r>
        <w:rPr>
          <w:rFonts w:eastAsia="仿宋_GB2312"/>
          <w:color w:val="000000" w:themeColor="text1"/>
          <w:sz w:val="24"/>
          <w:szCs w:val="24"/>
        </w:rPr>
        <w:t xml:space="preserve">. </w:t>
      </w:r>
      <w:r>
        <w:rPr>
          <w:rFonts w:hint="eastAsia" w:eastAsia="仿宋_GB2312"/>
          <w:color w:val="000000" w:themeColor="text1"/>
          <w:sz w:val="24"/>
          <w:szCs w:val="24"/>
        </w:rPr>
        <w:t>人体动脉血样采集器示意图</w:t>
      </w:r>
    </w:p>
    <w:p w14:paraId="2A592717">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3.型号规格</w:t>
      </w:r>
    </w:p>
    <w:p w14:paraId="776823CE">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7A75B67F">
      <w:pPr>
        <w:tabs>
          <w:tab w:val="left" w:pos="993"/>
        </w:tabs>
        <w:spacing w:line="520" w:lineRule="exact"/>
        <w:ind w:firstLine="640" w:firstLineChars="200"/>
        <w:rPr>
          <w:rFonts w:ascii="仿宋_GB2312" w:eastAsia="仿宋_GB2312"/>
          <w:color w:val="000000" w:themeColor="text1"/>
          <w:sz w:val="32"/>
          <w:szCs w:val="32"/>
        </w:rPr>
      </w:pPr>
      <w:bookmarkStart w:id="8" w:name="_Toc431215381"/>
      <w:r>
        <w:rPr>
          <w:rFonts w:hint="eastAsia" w:ascii="仿宋_GB2312" w:eastAsia="仿宋_GB2312"/>
          <w:color w:val="000000" w:themeColor="text1"/>
          <w:sz w:val="32"/>
          <w:szCs w:val="32"/>
        </w:rPr>
        <w:t>4.包装说明</w:t>
      </w:r>
      <w:bookmarkEnd w:id="8"/>
    </w:p>
    <w:p w14:paraId="0ECCFB39">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说明产品的包装层次，明确产品各层次包装（初包装、中包装、大包装）的材料信息；特别应当说明其无菌屏障系统（包括与灭菌方法相适应的初包装）的材料信息。</w:t>
      </w:r>
    </w:p>
    <w:p w14:paraId="7D1EF869">
      <w:pPr>
        <w:tabs>
          <w:tab w:val="left" w:pos="993"/>
        </w:tabs>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5.与同类和/或前代产品的参考和比较</w:t>
      </w:r>
    </w:p>
    <w:p w14:paraId="2B372692">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列表比较说明申报产品与同类产品和/或前代产品在工作原理、结构组成、制造材料、性能指标、作用方式，以及适用范围等方面的异同。</w:t>
      </w:r>
    </w:p>
    <w:p w14:paraId="282E8982">
      <w:pPr>
        <w:adjustRightInd w:val="0"/>
        <w:snapToGrid w:val="0"/>
        <w:spacing w:line="520" w:lineRule="exact"/>
        <w:ind w:firstLine="640" w:firstLineChars="200"/>
        <w:rPr>
          <w:rFonts w:ascii="仿宋_GB2312" w:eastAsia="仿宋_GB2312"/>
          <w:color w:val="000000" w:themeColor="text1"/>
          <w:sz w:val="32"/>
          <w:szCs w:val="32"/>
        </w:rPr>
      </w:pPr>
      <w:bookmarkStart w:id="9" w:name="_Toc431215382"/>
      <w:r>
        <w:rPr>
          <w:rFonts w:hint="eastAsia" w:ascii="仿宋_GB2312" w:eastAsia="仿宋_GB2312"/>
          <w:color w:val="000000" w:themeColor="text1"/>
          <w:sz w:val="32"/>
          <w:szCs w:val="32"/>
        </w:rPr>
        <w:t>6.适用范围</w:t>
      </w:r>
      <w:bookmarkEnd w:id="9"/>
      <w:r>
        <w:rPr>
          <w:rFonts w:hint="eastAsia" w:ascii="仿宋_GB2312" w:eastAsia="仿宋_GB2312"/>
          <w:color w:val="000000" w:themeColor="text1"/>
          <w:sz w:val="32"/>
          <w:szCs w:val="32"/>
        </w:rPr>
        <w:t>和禁忌证</w:t>
      </w:r>
    </w:p>
    <w:p w14:paraId="07344CED">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1EF68E3B">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（1）适用范围：应当明确具体的适用范围。</w:t>
      </w:r>
    </w:p>
    <w:p w14:paraId="1DCC1AD6">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（2）预期使用环境：明确预期使用的地点（如医疗机构），说明可能影响其安全性和有效性的环境条件。</w:t>
      </w:r>
    </w:p>
    <w:p w14:paraId="1D7E10C6">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（3）适用人群：说明该器械目标患者人群信息，以及不适宜应用的某些疾病、情况或特定人群（如适用）。</w:t>
      </w:r>
    </w:p>
    <w:p w14:paraId="573F448F">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（4）禁忌证（如适用）。</w:t>
      </w:r>
    </w:p>
    <w:p w14:paraId="7A0216D3">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4.申报产品上市历史</w:t>
      </w:r>
    </w:p>
    <w:p w14:paraId="2B113C4A">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1F24138E">
      <w:pPr>
        <w:adjustRightInd w:val="0"/>
        <w:snapToGrid w:val="0"/>
        <w:spacing w:line="520" w:lineRule="exact"/>
        <w:ind w:firstLine="640" w:firstLineChars="200"/>
        <w:outlineLvl w:val="1"/>
        <w:rPr>
          <w:rFonts w:ascii="仿宋_GB2312" w:hAnsi="楷体_GB2312" w:eastAsia="仿宋_GB2312" w:cs="楷体_GB2312"/>
          <w:color w:val="000000" w:themeColor="text1"/>
          <w:sz w:val="32"/>
          <w:szCs w:val="32"/>
        </w:rPr>
      </w:pPr>
      <w:r>
        <w:rPr>
          <w:rFonts w:hint="eastAsia" w:ascii="仿宋_GB2312" w:hAnsi="楷体_GB2312" w:eastAsia="仿宋_GB2312" w:cs="楷体_GB2312"/>
          <w:color w:val="000000" w:themeColor="text1"/>
          <w:sz w:val="32"/>
          <w:szCs w:val="32"/>
        </w:rPr>
        <w:t>（三）非临床资料</w:t>
      </w:r>
    </w:p>
    <w:p w14:paraId="76F6F315">
      <w:pPr>
        <w:adjustRightInd w:val="0"/>
        <w:snapToGrid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1.产品风险管理资料</w:t>
      </w:r>
    </w:p>
    <w:p w14:paraId="7155A43A">
      <w:pPr>
        <w:overflowPunct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按照YY/T 0316《医疗器械风险管理对医疗器械的应用》标准的要求，对产品生命周期全过程实施风险管理。制定该文件时，应充分考虑内动脉血样采集器产品的组件、临床使用方式等因素。</w:t>
      </w:r>
    </w:p>
    <w:p w14:paraId="7641DAB9">
      <w:pPr>
        <w:overflowPunct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3DDCAF23">
      <w:pPr>
        <w:overflowPunct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采血部位选择不当、排气操作不规范、采样后保存时间过长、误采静脉血、出现动脉痉挛、血肿等并发症）、灭菌过程可能产生的危害（如灭菌方式对产品不适宜、灭菌不完全）、产品包装可能产生的危害（如包装破损、标识不清）等。</w:t>
      </w:r>
    </w:p>
    <w:p w14:paraId="39B3C1A0">
      <w:pPr>
        <w:adjustRightInd w:val="0"/>
        <w:snapToGrid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2.医疗器械安全和性能基本原则清单</w:t>
      </w:r>
    </w:p>
    <w:p w14:paraId="347BD540">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sz w:val="32"/>
          <w:szCs w:val="32"/>
        </w:rPr>
        <w:t>说明产品符合《医疗器械安全和性能基本原则清单》各项适用要求所采用的方法，以及证明其符合性的文件。对于《医疗器械安全和性能基本原则清单》中不适用的各项要求，应当说明理由。</w:t>
      </w:r>
    </w:p>
    <w:p w14:paraId="585112D8">
      <w:pPr>
        <w:adjustRightInd w:val="0"/>
        <w:snapToGrid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3.产品技术要求</w:t>
      </w:r>
    </w:p>
    <w:p w14:paraId="695595CB">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产品技术要求的制定应符合《医疗器械产品技术要求编写指导原则》的要求，应根据产品的技术特征和临床使用情况来确定产品安全有效、质量可控的性能指标与检验方法。对宣称的所有与产品安全有效性相关、可以客观判断的技术参数和功能，以及</w:t>
      </w:r>
      <w:r>
        <w:rPr>
          <w:rFonts w:hint="eastAsia" w:ascii="仿宋_GB2312" w:eastAsia="仿宋_GB2312"/>
          <w:color w:val="000000" w:themeColor="text1"/>
          <w:sz w:val="32"/>
          <w:szCs w:val="32"/>
        </w:rPr>
        <w:t>特殊设计、性能和结构，</w:t>
      </w:r>
      <w:r>
        <w:rPr>
          <w:rFonts w:hint="eastAsia" w:ascii="仿宋_GB2312" w:hAnsi="Times New Roman" w:eastAsia="仿宋_GB2312"/>
          <w:color w:val="000000" w:themeColor="text1"/>
          <w:sz w:val="32"/>
          <w:szCs w:val="32"/>
        </w:rPr>
        <w:t>应在产品技术要求中予以规定。产品技术要求中的性能指标应不低于相关的国家标准和行业标准。</w:t>
      </w:r>
      <w:r>
        <w:rPr>
          <w:rFonts w:hint="eastAsia" w:ascii="仿宋_GB2312" w:eastAsia="仿宋_GB2312"/>
          <w:color w:val="000000" w:themeColor="text1"/>
          <w:sz w:val="32"/>
          <w:szCs w:val="32"/>
        </w:rPr>
        <w:t>产品技术要求中的检验方法均应为已验证的方法。对于相关国家标准、行业标准中不适用的推荐要求条款，应说明不适用的原因。</w:t>
      </w:r>
    </w:p>
    <w:p w14:paraId="6F7DFC8C">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产品技术要求中应明确产品型号规格并阐明各型号规格之间的区别和划分依据，提供产品结构及示意图。明确产品各组件的原材料及相应润滑剂、添加剂，与人体直接或间接接触的部件，应写明其原材料牌号或者应符合的国家/行业标准。描述产品灭菌方法、有效期等信息。</w:t>
      </w:r>
    </w:p>
    <w:p w14:paraId="6190CB4C">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常见的通用技术指标包括以下项目：</w:t>
      </w:r>
    </w:p>
    <w:p w14:paraId="03469FD8">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物理和使用性能：</w:t>
      </w:r>
    </w:p>
    <w:p w14:paraId="450DD9A8">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贮样器：洁净度、刻度标尺、外套、容量允差、圆锥接头、器身密合性（抽血型血样采集器的贮样器适用）、排气性和密合性（预设型血样采集器的贮样器适用）；</w:t>
      </w:r>
    </w:p>
    <w:p w14:paraId="68F888BF">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采血针：清洁、色标、正直、针座与针管连接牢固度、畅通性、针座与护套配合性、针尖锋利无缺陷、针管（润滑剂残留、清洁无异物、长度）、针座外观及接头类型、防针刺保护装置（激发力、破坏力、抗跌落）（如适用）；</w:t>
      </w:r>
    </w:p>
    <w:p w14:paraId="6535D8CE">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其他：密封件密合性；</w:t>
      </w:r>
    </w:p>
    <w:p w14:paraId="4EB925B1">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化学性能：重金属含量、酸碱度、环氧乙烷残留量（如适用）；</w:t>
      </w:r>
    </w:p>
    <w:p w14:paraId="096551BA">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生物性能：无菌、细菌内毒素；</w:t>
      </w:r>
    </w:p>
    <w:p w14:paraId="2F8DE8FF">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添加剂性能：标识、含量。</w:t>
      </w:r>
    </w:p>
    <w:p w14:paraId="3373420F">
      <w:pPr>
        <w:adjustRightInd w:val="0"/>
        <w:snapToGrid w:val="0"/>
        <w:spacing w:line="520" w:lineRule="exact"/>
        <w:ind w:firstLine="640" w:firstLineChars="200"/>
        <w:rPr>
          <w:rFonts w:ascii="仿宋_GB2312" w:eastAsia="仿宋_GB2312"/>
          <w:bCs/>
          <w:color w:val="000000" w:themeColor="text1"/>
          <w:sz w:val="32"/>
          <w:szCs w:val="32"/>
        </w:rPr>
      </w:pPr>
      <w:r>
        <w:rPr>
          <w:rFonts w:hint="eastAsia" w:ascii="仿宋_GB2312" w:eastAsia="仿宋_GB2312"/>
          <w:bCs/>
          <w:color w:val="000000" w:themeColor="text1"/>
          <w:sz w:val="32"/>
          <w:szCs w:val="32"/>
        </w:rPr>
        <w:t>4.产品检验</w:t>
      </w:r>
    </w:p>
    <w:p w14:paraId="717ACB00">
      <w:pPr>
        <w:pStyle w:val="3"/>
        <w:adjustRightInd w:val="0"/>
        <w:snapToGrid w:val="0"/>
        <w:spacing w:line="520" w:lineRule="exact"/>
        <w:ind w:firstLine="640" w:firstLineChars="200"/>
        <w:jc w:val="left"/>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06D35297">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5.研究资料</w:t>
      </w:r>
    </w:p>
    <w:p w14:paraId="19A15CDC">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根据申报产品适用范围和技术特征，提供非临床研究综述，逐项描述所开展的研究，概述研究方法和研究结论。</w:t>
      </w:r>
    </w:p>
    <w:p w14:paraId="4DF22DAC">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应当从技术层面论述申报产品的设计、技术特征、性能指标及制定依据、生物学特性研究、灭菌研究等，内容至少应包含但不限于以下方面：</w:t>
      </w:r>
    </w:p>
    <w:p w14:paraId="0F4B3F54">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5.1设计特征</w:t>
      </w:r>
    </w:p>
    <w:p w14:paraId="238BA8A0">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应列明产品各组件的名称、材料、结构和功能，提交各部件功能与实现功能的工作原理、途径。</w:t>
      </w:r>
    </w:p>
    <w:p w14:paraId="03A3E459">
      <w:pPr>
        <w:adjustRightInd w:val="0"/>
        <w:snapToGrid w:val="0"/>
        <w:spacing w:line="520" w:lineRule="exact"/>
        <w:ind w:firstLine="640" w:firstLineChars="200"/>
        <w:rPr>
          <w:rFonts w:ascii="仿宋_GB2312" w:eastAsia="仿宋_GB2312"/>
          <w:color w:val="000000" w:themeColor="text1"/>
          <w:sz w:val="32"/>
          <w:szCs w:val="32"/>
        </w:rPr>
      </w:pPr>
      <w:bookmarkStart w:id="10" w:name="_Toc431215386"/>
      <w:r>
        <w:rPr>
          <w:rFonts w:hint="eastAsia" w:ascii="仿宋_GB2312" w:eastAsia="仿宋_GB2312"/>
          <w:color w:val="000000" w:themeColor="text1"/>
          <w:sz w:val="32"/>
          <w:szCs w:val="32"/>
        </w:rPr>
        <w:t>5.</w:t>
      </w:r>
      <w:bookmarkEnd w:id="10"/>
      <w:bookmarkStart w:id="11" w:name="_Toc431215388"/>
      <w:r>
        <w:rPr>
          <w:rFonts w:hint="eastAsia" w:ascii="仿宋_GB2312" w:eastAsia="仿宋_GB2312"/>
          <w:color w:val="000000" w:themeColor="text1"/>
          <w:sz w:val="32"/>
          <w:szCs w:val="32"/>
        </w:rPr>
        <w:t>2产品性能</w:t>
      </w:r>
      <w:bookmarkEnd w:id="11"/>
      <w:r>
        <w:rPr>
          <w:rFonts w:hint="eastAsia" w:ascii="仿宋_GB2312" w:eastAsia="仿宋_GB2312"/>
          <w:color w:val="000000" w:themeColor="text1"/>
          <w:sz w:val="32"/>
          <w:szCs w:val="32"/>
        </w:rPr>
        <w:t>研究</w:t>
      </w:r>
    </w:p>
    <w:p w14:paraId="76CBAF12">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注册申请人应提供产品性能研究资料。包括有效性、安全性指标以及与质量控制相关的其他指标的确定依据，所采用的标准或方法、采用的理由及理论基础。</w:t>
      </w:r>
    </w:p>
    <w:p w14:paraId="37BFEFB0">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产品各部件的使用性能均应进行研究和验证，其结果应能证明符合临床使用要求。常见性能研究指标可参考技术要求中性能指标要求。</w:t>
      </w:r>
    </w:p>
    <w:p w14:paraId="1E63C5E1">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以下对性能研究中的关注点予以说明：</w:t>
      </w:r>
    </w:p>
    <w:p w14:paraId="2BA77B50">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5.2.1 预设型血样采集器的采血性能</w:t>
      </w:r>
    </w:p>
    <w:p w14:paraId="28DEFE4B">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预设型动脉采血器在临床使用时将针栓拉到预设位置后实施动脉血样采集，待动脉血自动充盈采血器至预设位置时结束采集。排气装置发挥排出空气、遇血液封闭作用。应首先明确排气装置的材料及工作原理，如尺寸（直径、厚度）、孔径、吸液性等。其次结合产品自身特性和临床使用特点，开展排气性能和密合性能研究，建议考虑静压头、压力值、模拟血液等因素的影响。</w:t>
      </w:r>
    </w:p>
    <w:p w14:paraId="5C344350">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5.2.2添加剂对样本分析结果的干扰</w:t>
      </w:r>
    </w:p>
    <w:p w14:paraId="492CF4C7">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应考虑添加剂对样本分析结果的干扰，目前使用的抗凝剂为肝素。目前已知的肝素对结果的干扰包括稀释作用、肝素钠导致钠离子检测结果偏高、肝素锂结合钙离子导致钙离子检测结果偏低、影响酸碱度等情形。对于标称可用于检验血液中相应项目（如酸碱度、钾、钠、钙、氯等电解质、血红蛋白、红细胞压积、葡萄糖和乳酸等）的产品，应提交申报产品不对血液中的这些电解质的检验带来影响、或影响可接受的研究资料。</w:t>
      </w:r>
    </w:p>
    <w:p w14:paraId="1A564FC0">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5.2.3</w:t>
      </w:r>
      <w:bookmarkStart w:id="12" w:name="_Hlk101447793"/>
      <w:r>
        <w:rPr>
          <w:rFonts w:hint="eastAsia" w:ascii="仿宋_GB2312" w:eastAsia="仿宋_GB2312"/>
          <w:color w:val="000000" w:themeColor="text1"/>
          <w:sz w:val="32"/>
          <w:szCs w:val="32"/>
        </w:rPr>
        <w:t>采血针结构及性能</w:t>
      </w:r>
    </w:p>
    <w:bookmarkEnd w:id="12"/>
    <w:p w14:paraId="63CA6EE0">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采血针是用于刺入动脉并经过它使动脉血样流入贮样器的部件。若有，采血针应符合 </w:t>
      </w:r>
      <w:r>
        <w:rPr>
          <w:rFonts w:hint="eastAsia" w:ascii="仿宋_GB2312" w:eastAsia="仿宋_GB2312" w:hAnsiTheme="minorHAnsi" w:cstheme="minorBidi"/>
          <w:color w:val="000000" w:themeColor="text1"/>
          <w:sz w:val="32"/>
          <w:szCs w:val="32"/>
        </w:rPr>
        <w:t>GB 15811</w:t>
      </w:r>
      <w:r>
        <w:rPr>
          <w:rFonts w:hint="eastAsia" w:ascii="仿宋_GB2312" w:eastAsia="仿宋_GB2312"/>
          <w:color w:val="000000" w:themeColor="text1"/>
          <w:sz w:val="32"/>
          <w:szCs w:val="32"/>
        </w:rPr>
        <w:t>的规定。针尖第一斜面角宜采用短斜面角，若申报产品使用特殊设计的针尖结构，应提供结构示意图、必要时提供穿刺性能研究资料。为防止采血针的规格色标与添加剂色标相混淆，不推荐采血针规格的色标。明确针管管壁类型，提交针管刚性、韧性、耐腐蚀性等研究资料。</w:t>
      </w:r>
    </w:p>
    <w:p w14:paraId="3E003532">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5.2.4 </w:t>
      </w:r>
      <w:bookmarkStart w:id="13" w:name="_Hlk101447806"/>
      <w:r>
        <w:rPr>
          <w:rFonts w:hint="eastAsia" w:ascii="仿宋_GB2312" w:eastAsia="仿宋_GB2312"/>
          <w:color w:val="000000" w:themeColor="text1"/>
          <w:sz w:val="32"/>
          <w:szCs w:val="32"/>
        </w:rPr>
        <w:t>密封件结构及性能</w:t>
      </w:r>
      <w:bookmarkEnd w:id="13"/>
    </w:p>
    <w:p w14:paraId="2474DC72">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密封件用于将采血后的贮样器密封,使采集的动脉血样与空气隔绝。若申报产品带有密封件，应明确其接头种类，提供密封性能研究资料。若密封件含有其他特殊设计，应提供相关研究资料，如排气功能。</w:t>
      </w:r>
    </w:p>
    <w:p w14:paraId="34340C67">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5.2.5 </w:t>
      </w:r>
      <w:bookmarkStart w:id="14" w:name="_Hlk101447814"/>
      <w:r>
        <w:rPr>
          <w:rFonts w:hint="eastAsia" w:ascii="仿宋_GB2312" w:eastAsia="仿宋_GB2312"/>
          <w:color w:val="000000" w:themeColor="text1"/>
          <w:sz w:val="32"/>
          <w:szCs w:val="32"/>
        </w:rPr>
        <w:t>防针刺装置</w:t>
      </w:r>
      <w:bookmarkEnd w:id="14"/>
    </w:p>
    <w:p w14:paraId="6B9831B6">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防针刺装置不应对器械预期的性能和特征及正常使用后的处理产生负面影响，不应妨碍或者影响对器械预期的临床使用性能，在预期的使用环境中应该能预防误激活。建议提供防针刺装置的激活力（如拉力、压力、扭力）、破坏力、抗跌落等性能研究资料。一旦器械进入安全模式，意外接触锐器的风险应被降低到最低限度，提供安全模式下的针尖接触测试评价资料。应提供防针刺装置模拟临床使用测试的研究资料，提供样本量确定依据、对模拟临床使用测试结果的分析以及结果和结论的总结。</w:t>
      </w:r>
    </w:p>
    <w:p w14:paraId="1289B63B">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5.2.6特殊设计、功能和结构</w:t>
      </w:r>
    </w:p>
    <w:p w14:paraId="67A37FCA">
      <w:pPr>
        <w:pStyle w:val="3"/>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如果产品具有特殊设计、性能和结构，针对特殊之处提供对应研究和验证资料。若有不符合国家/行业标准的情形，应说明原因，提交特殊设计的科学性和合理性验证资料。</w:t>
      </w:r>
    </w:p>
    <w:p w14:paraId="573CA315">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5.3原材料控制</w:t>
      </w:r>
    </w:p>
    <w:p w14:paraId="58EB88D1">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原材料特性是产品最终质量控制的重要因素。应说明原材料的选择依据，列明生产过程中所需全部材料（包括润滑剂、添加剂、粘接剂及相应加工助剂）的化学名称、商品名/材料代号、化学结构式/分子式、不锈钢或合金牌号、符合的标准等基本信息，建议以列表的形式提供。</w:t>
      </w:r>
    </w:p>
    <w:p w14:paraId="490A677B">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注册申请人应提供产品全部原材料符合相应标准的质量控制资料，对于首次用于医疗器械方面的新材料，应提供该材料适合用于人体的预期使用部位的相关研究资料。</w:t>
      </w:r>
    </w:p>
    <w:p w14:paraId="0021AD17">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5.4生物学特性研究</w:t>
      </w:r>
    </w:p>
    <w:p w14:paraId="70CFA24B">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生物学评价资料应当包括：生物相容性评价的依据、项目和方法；产品所用材料的描述及与人体接触的性质；实施或豁免生物学试验的理由和论证；对于现有数据或试验结果的评价。建议按照GB/T 16886.1标准，以及产品与人体接触方式、接触时间等，提供生物学评价文件。</w:t>
      </w:r>
    </w:p>
    <w:p w14:paraId="2C24B408">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通常情况下，应评价的项目包括细胞毒性、致敏反应、皮内反应、急性全身毒性、溶血、热原。</w:t>
      </w:r>
    </w:p>
    <w:p w14:paraId="4E8BA2FD">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5.6灭菌研究</w:t>
      </w:r>
    </w:p>
    <w:p w14:paraId="31E55B8D">
      <w:pPr>
        <w:tabs>
          <w:tab w:val="left" w:pos="540"/>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参考GB 18280《医疗保健产品灭菌辐射》系列标准、GB 18279《医疗保健产品灭菌环氧乙烷》系列标准和GB/T 16886.7《医疗器械生物学评价第7部分：环氧乙烷灭菌残留量》等相应标准规定，提交产品包装及灭菌方法选择的依据，经过确认并进行常规控制，开展以下方面的确认：</w:t>
      </w:r>
    </w:p>
    <w:p w14:paraId="555AC0A7">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（1）产品与灭菌过程的适应性：应考察灭菌工艺过程对于产品的影响。</w:t>
      </w:r>
    </w:p>
    <w:p w14:paraId="7C5589AA">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（2）包装与灭菌过程的适应性。</w:t>
      </w:r>
    </w:p>
    <w:p w14:paraId="3B75E8C2">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（3）应明确灭菌工艺（方法和参数）和无菌保证水平（SAL），并提供灭菌确认报告。无菌保证水平（SAL）应达到1×10</w:t>
      </w:r>
      <w:r>
        <w:rPr>
          <w:rFonts w:hint="eastAsia" w:ascii="仿宋_GB2312" w:eastAsia="仿宋_GB2312"/>
          <w:color w:val="000000" w:themeColor="text1"/>
          <w:sz w:val="32"/>
          <w:szCs w:val="32"/>
          <w:vertAlign w:val="superscript"/>
        </w:rPr>
        <w:t>-6</w:t>
      </w:r>
      <w:r>
        <w:rPr>
          <w:rFonts w:hint="eastAsia" w:ascii="仿宋_GB2312" w:eastAsia="仿宋_GB2312"/>
          <w:color w:val="000000" w:themeColor="text1"/>
          <w:sz w:val="32"/>
          <w:szCs w:val="32"/>
        </w:rPr>
        <w:t>。</w:t>
      </w:r>
    </w:p>
    <w:p w14:paraId="5D8E4DAB">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（4）残留毒性：若灭菌使用的方法容易出现残留，如环氧乙烷灭菌，应当明确残留物信息及采取的处理方法，并提供其解析的研究资料。</w:t>
      </w:r>
    </w:p>
    <w:p w14:paraId="36FB47B8">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5.7其他资料</w:t>
      </w:r>
    </w:p>
    <w:p w14:paraId="0B9AB4CF">
      <w:pPr>
        <w:pStyle w:val="3"/>
        <w:adjustRightInd w:val="0"/>
        <w:snapToGrid w:val="0"/>
        <w:spacing w:line="520" w:lineRule="exact"/>
        <w:ind w:firstLine="640" w:firstLineChars="200"/>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结合申报产品的特点，证明产品安全性、有效性的其他研究资料。</w:t>
      </w:r>
      <w:r>
        <w:rPr>
          <w:rFonts w:hint="eastAsia" w:ascii="仿宋_GB2312" w:eastAsia="仿宋_GB2312"/>
          <w:bCs/>
          <w:color w:val="000000"/>
          <w:sz w:val="32"/>
          <w:szCs w:val="32"/>
        </w:rPr>
        <w:t>对于一次性使用的医疗器械，还应当提供证明其无法重复使用的支持性资料。</w:t>
      </w:r>
    </w:p>
    <w:p w14:paraId="3BC849AB">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6.稳定性研究</w:t>
      </w:r>
    </w:p>
    <w:p w14:paraId="55684D5C">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提供产品稳定性验证资料，包括货架有效期、运输稳定性等。</w:t>
      </w:r>
    </w:p>
    <w:p w14:paraId="7240AB3E">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bCs/>
          <w:color w:val="000000"/>
          <w:sz w:val="32"/>
          <w:szCs w:val="32"/>
        </w:rPr>
        <w:t>提供货架有效期和包装研究资料，证明在货架有效期内，在生产企业规定的运输贮存条件下，产品可保持性能满足使用要求，以无菌状态交付的产品还应保持无菌状态。</w:t>
      </w:r>
      <w:r>
        <w:rPr>
          <w:rFonts w:hint="eastAsia" w:ascii="仿宋_GB2312" w:eastAsia="仿宋_GB2312"/>
          <w:color w:val="000000" w:themeColor="text1"/>
          <w:sz w:val="32"/>
          <w:szCs w:val="32"/>
        </w:rPr>
        <w:t>本产品的货架有效期验证试验可采用加速稳定性试验、实时稳定性试验等。必要时考虑湿度等因素对产品稳定性的影响。</w:t>
      </w:r>
    </w:p>
    <w:p w14:paraId="4E02A98F">
      <w:pPr>
        <w:spacing w:line="560" w:lineRule="exact"/>
        <w:ind w:firstLine="640" w:firstLineChars="200"/>
        <w:rPr>
          <w:rFonts w:ascii="仿宋_GB2312" w:eastAsia="仿宋_GB2312"/>
          <w:color w:val="000000" w:themeColor="text1"/>
          <w:kern w:val="0"/>
          <w:sz w:val="32"/>
          <w:szCs w:val="32"/>
        </w:rPr>
      </w:pPr>
      <w:r>
        <w:rPr>
          <w:rFonts w:hint="eastAsia" w:ascii="仿宋_GB2312" w:eastAsia="仿宋_GB2312"/>
          <w:bCs/>
          <w:color w:val="000000"/>
          <w:sz w:val="32"/>
          <w:szCs w:val="32"/>
        </w:rPr>
        <w:t>提供运输稳定性和包装研究资料，证明在生产企业规定的运输条件下，运输过程中的环境条件不会对产品的特性和性能造成不利影响。</w:t>
      </w:r>
      <w:r>
        <w:rPr>
          <w:rFonts w:hint="eastAsia" w:ascii="仿宋_GB2312" w:hAnsi="Times New Roman" w:eastAsia="仿宋_GB2312"/>
          <w:color w:val="000000" w:themeColor="text1"/>
          <w:sz w:val="32"/>
          <w:szCs w:val="32"/>
        </w:rPr>
        <w:t>产品包装验证可根据有关标准进行，如</w:t>
      </w:r>
      <w:r>
        <w:rPr>
          <w:rFonts w:hint="eastAsia" w:ascii="仿宋_GB2312" w:eastAsia="仿宋_GB2312"/>
          <w:color w:val="000000" w:themeColor="text1"/>
          <w:sz w:val="32"/>
          <w:szCs w:val="32"/>
        </w:rPr>
        <w:t>GB/T 19633《最终灭菌医疗器械包装》系列标准、YY/T 0681《无菌医疗器械包装试验方法》系列标准、YY/T 0698《最终灭菌医疗器械包装材料》系列标准</w:t>
      </w:r>
      <w:r>
        <w:rPr>
          <w:rFonts w:hint="eastAsia" w:ascii="仿宋_GB2312" w:hAnsi="Times New Roman" w:eastAsia="仿宋_GB2312"/>
          <w:color w:val="000000" w:themeColor="text1"/>
          <w:sz w:val="32"/>
          <w:szCs w:val="32"/>
        </w:rPr>
        <w:t>等，提交产品的包装验证报告。</w:t>
      </w:r>
      <w:r>
        <w:rPr>
          <w:rFonts w:hint="eastAsia" w:ascii="仿宋_GB2312" w:eastAsia="仿宋_GB2312"/>
          <w:color w:val="000000" w:themeColor="text1"/>
          <w:kern w:val="0"/>
          <w:sz w:val="32"/>
          <w:szCs w:val="32"/>
        </w:rPr>
        <w:t>申报产品的初包装材料应能保证产品在灭菌、贮存和运输过程中，对产品性能和安全性不产生不利影响。提供初包装材料的质量控制标准及验证数据资料。</w:t>
      </w:r>
    </w:p>
    <w:p w14:paraId="3E2397EC">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7.其他资料</w:t>
      </w:r>
    </w:p>
    <w:p w14:paraId="14F55C69">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一次性使用人体动脉血样采集器已经列入《免于进行临床评价医疗器械目录》。注册申请人应当按照《列入免于进行临床评价医疗器械目录产品对比说明技术指导原则》，从基本原理、结构组成、产品制造材料、性能要求、灭菌方式、适用范围、使用方法等方面，证明产品的安全有效性。</w:t>
      </w:r>
    </w:p>
    <w:p w14:paraId="1DB82560">
      <w:pPr>
        <w:adjustRightInd w:val="0"/>
        <w:snapToGrid w:val="0"/>
        <w:spacing w:line="520" w:lineRule="exact"/>
        <w:ind w:firstLine="640" w:firstLineChars="200"/>
        <w:outlineLvl w:val="1"/>
        <w:rPr>
          <w:rFonts w:ascii="仿宋_GB2312" w:hAnsi="楷体_GB2312" w:eastAsia="仿宋_GB2312" w:cs="楷体_GB2312"/>
          <w:color w:val="000000" w:themeColor="text1"/>
          <w:sz w:val="32"/>
          <w:szCs w:val="32"/>
        </w:rPr>
      </w:pPr>
      <w:r>
        <w:rPr>
          <w:rFonts w:hint="eastAsia" w:ascii="仿宋_GB2312" w:hAnsi="楷体_GB2312" w:eastAsia="仿宋_GB2312" w:cs="楷体_GB2312"/>
          <w:color w:val="000000" w:themeColor="text1"/>
          <w:sz w:val="32"/>
          <w:szCs w:val="32"/>
        </w:rPr>
        <w:t>（四）临床评价资料</w:t>
      </w:r>
    </w:p>
    <w:p w14:paraId="77EBEB01">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对于不符合豁免临床评价目录的产品，注册申请人应按照临床评价指导原则的要求通过开展临床试验，或者通过对同品种医疗器械临床文献资料、临床数据进行分析评价，证明医疗器械安全、有效，提交相应的临床评价资料。</w:t>
      </w:r>
    </w:p>
    <w:p w14:paraId="36653F7A">
      <w:pPr>
        <w:adjustRightInd w:val="0"/>
        <w:snapToGrid w:val="0"/>
        <w:spacing w:line="520" w:lineRule="exact"/>
        <w:ind w:firstLine="640" w:firstLineChars="200"/>
        <w:outlineLvl w:val="1"/>
        <w:rPr>
          <w:rFonts w:ascii="仿宋_GB2312" w:hAnsi="楷体_GB2312" w:eastAsia="仿宋_GB2312" w:cs="楷体_GB2312"/>
          <w:color w:val="000000" w:themeColor="text1"/>
          <w:sz w:val="32"/>
          <w:szCs w:val="32"/>
        </w:rPr>
      </w:pPr>
      <w:r>
        <w:rPr>
          <w:rFonts w:hint="eastAsia" w:ascii="仿宋_GB2312" w:hAnsi="楷体_GB2312" w:eastAsia="仿宋_GB2312" w:cs="楷体_GB2312"/>
          <w:color w:val="000000" w:themeColor="text1"/>
          <w:sz w:val="32"/>
          <w:szCs w:val="32"/>
        </w:rPr>
        <w:t>（五）产品说明书和标签样稿</w:t>
      </w:r>
    </w:p>
    <w:p w14:paraId="5FC429CA">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63A0E3CF">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1.产品一般信息及结构示意图，包括产品结构及组成、产品主要原材料等。</w:t>
      </w:r>
    </w:p>
    <w:p w14:paraId="2FA196E1">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2.进口产品说明书中内容应忠实于原文，提交产品随附的完整版原文说明书、标签及中文翻译件。</w:t>
      </w:r>
    </w:p>
    <w:p w14:paraId="5B668AD8">
      <w:pPr>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3.产品适用范围及相关性能介绍所宣称内容应有充分的支持资料，不能夸大。</w:t>
      </w:r>
    </w:p>
    <w:p w14:paraId="3BE1C091">
      <w:p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4.应详细说明所申报产品实际应用时具体的操作步骤，可以提供图示。</w:t>
      </w:r>
    </w:p>
    <w:p w14:paraId="7CD84CF4">
      <w:pPr>
        <w:numPr>
          <w:ilvl w:val="255"/>
          <w:numId w:val="0"/>
        </w:numPr>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5.在说明书中明确产品的禁忌证、针对产品特点的特殊注意事项、警示信息、可能的不良事件及处理措施等。</w:t>
      </w:r>
    </w:p>
    <w:p w14:paraId="4E856271">
      <w:pPr>
        <w:pStyle w:val="14"/>
        <w:tabs>
          <w:tab w:val="left" w:pos="1432"/>
        </w:tabs>
        <w:adjustRightInd w:val="0"/>
        <w:snapToGrid w:val="0"/>
        <w:spacing w:line="520" w:lineRule="exact"/>
        <w:ind w:firstLine="640"/>
        <w:rPr>
          <w:rFonts w:ascii="仿宋_GB2312" w:hAnsi="Times New Roman" w:eastAsia="仿宋_GB2312"/>
          <w:color w:val="000000" w:themeColor="text1"/>
          <w:sz w:val="32"/>
          <w:szCs w:val="32"/>
        </w:rPr>
      </w:pPr>
      <w:r>
        <w:rPr>
          <w:rFonts w:hint="eastAsia" w:ascii="仿宋_GB2312" w:eastAsia="仿宋_GB2312"/>
          <w:color w:val="000000" w:themeColor="text1"/>
          <w:sz w:val="32"/>
          <w:szCs w:val="32"/>
        </w:rPr>
        <w:t>6.</w:t>
      </w:r>
      <w:r>
        <w:rPr>
          <w:rFonts w:hint="eastAsia" w:ascii="仿宋_GB2312" w:hAnsi="Times New Roman" w:eastAsia="仿宋_GB2312"/>
          <w:color w:val="000000" w:themeColor="text1"/>
          <w:sz w:val="32"/>
          <w:szCs w:val="32"/>
        </w:rPr>
        <w:t>运输和储存条件。企业确定的运输和储存条件均应经过验证，特别是储存的温度和湿度，应被产品有效期验证的条件所覆盖。</w:t>
      </w:r>
    </w:p>
    <w:p w14:paraId="29DFC5CC">
      <w:pPr>
        <w:tabs>
          <w:tab w:val="left" w:pos="6015"/>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7.建议注明“本产品的使用应符合医疗部门相关操作规范及相关法规的要求，仅限于经培训的医护人员使用”或类似的警示性语言。</w:t>
      </w:r>
    </w:p>
    <w:p w14:paraId="6857ECF9">
      <w:pPr>
        <w:tabs>
          <w:tab w:val="left" w:pos="6015"/>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8.建议注明添加剂类型，并说明其对何种分析结果产生影响。</w:t>
      </w:r>
    </w:p>
    <w:p w14:paraId="0F5F8696">
      <w:pPr>
        <w:tabs>
          <w:tab w:val="left" w:pos="6015"/>
        </w:tabs>
        <w:adjustRightInd w:val="0"/>
        <w:snapToGrid w:val="0"/>
        <w:spacing w:line="52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9.其他应载明的内容。</w:t>
      </w:r>
    </w:p>
    <w:p w14:paraId="485E6D57">
      <w:pPr>
        <w:adjustRightInd w:val="0"/>
        <w:snapToGrid w:val="0"/>
        <w:spacing w:line="520" w:lineRule="exact"/>
        <w:ind w:firstLine="640" w:firstLineChars="200"/>
        <w:rPr>
          <w:rFonts w:eastAsia="黑体"/>
          <w:bCs/>
          <w:color w:val="000000" w:themeColor="text1"/>
          <w:sz w:val="32"/>
          <w:szCs w:val="32"/>
        </w:rPr>
      </w:pPr>
      <w:r>
        <w:rPr>
          <w:rFonts w:hint="eastAsia" w:eastAsia="黑体"/>
          <w:bCs/>
          <w:color w:val="000000" w:themeColor="text1"/>
          <w:sz w:val="32"/>
          <w:szCs w:val="32"/>
        </w:rPr>
        <w:t>三</w:t>
      </w:r>
      <w:r>
        <w:rPr>
          <w:rFonts w:eastAsia="黑体"/>
          <w:bCs/>
          <w:color w:val="000000" w:themeColor="text1"/>
          <w:sz w:val="32"/>
          <w:szCs w:val="32"/>
        </w:rPr>
        <w:t>、参考文献</w:t>
      </w:r>
    </w:p>
    <w:p w14:paraId="7427EB9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[1]医疗器械监督管理条例[Z].</w:t>
      </w:r>
    </w:p>
    <w:p w14:paraId="297EB79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[2]医疗器械注册与备案管理办法[Z].</w:t>
      </w:r>
    </w:p>
    <w:p w14:paraId="75D0029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[3]医疗器械说明书和标签管理规定[Z].</w:t>
      </w:r>
    </w:p>
    <w:p w14:paraId="05CBD5E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[4]关于公布医疗器械注册申报资料要求和批准证明文件格式的公告[Z].</w:t>
      </w:r>
    </w:p>
    <w:p w14:paraId="15F3EF28">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[5]医疗器械产品技术要求编写指导原则[Z].</w:t>
      </w:r>
    </w:p>
    <w:p w14:paraId="4B40EF6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[6]医疗器械注册自检管理规定[Z].</w:t>
      </w:r>
    </w:p>
    <w:p w14:paraId="50D7027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[7]医疗器械通用名称命名规则[Z].</w:t>
      </w:r>
    </w:p>
    <w:p w14:paraId="4FE44C22">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[8]医疗器械分类目录[Z].</w:t>
      </w:r>
    </w:p>
    <w:p w14:paraId="01C6006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[9]临床检验器械通用名称命名指导原则[Z].</w:t>
      </w:r>
    </w:p>
    <w:p w14:paraId="70160907">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[10]GB/T 16886.</w:t>
      </w:r>
      <w:r>
        <w:rPr>
          <w:rFonts w:hint="eastAsia" w:ascii="Times New Roman" w:hAnsi="Times New Roman" w:eastAsia="仿宋_GB2312" w:cs="Times New Roman"/>
          <w:color w:val="000000" w:themeColor="text1"/>
          <w:sz w:val="32"/>
          <w:szCs w:val="32"/>
        </w:rPr>
        <w:t>1,</w:t>
      </w:r>
      <w:r>
        <w:rPr>
          <w:rFonts w:ascii="Times New Roman" w:hAnsi="Times New Roman" w:eastAsia="仿宋_GB2312" w:cs="Times New Roman"/>
          <w:color w:val="000000" w:themeColor="text1"/>
          <w:sz w:val="32"/>
          <w:szCs w:val="32"/>
        </w:rPr>
        <w:t>医疗器械生物学评价第1部分：风险管理过程中的评价与试验[S].</w:t>
      </w:r>
    </w:p>
    <w:p w14:paraId="3B990A95">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[11]YY/T 0681.1</w:t>
      </w:r>
      <w:r>
        <w:rPr>
          <w:rFonts w:hint="eastAsia" w:ascii="Times New Roman" w:hAnsi="Times New Roman" w:eastAsia="仿宋_GB2312" w:cs="Times New Roman"/>
          <w:color w:val="000000" w:themeColor="text1"/>
          <w:sz w:val="32"/>
          <w:szCs w:val="32"/>
        </w:rPr>
        <w:t>,</w:t>
      </w:r>
      <w:r>
        <w:rPr>
          <w:rFonts w:ascii="Times New Roman" w:hAnsi="Times New Roman" w:eastAsia="仿宋_GB2312" w:cs="Times New Roman"/>
          <w:color w:val="000000" w:themeColor="text1"/>
          <w:sz w:val="32"/>
          <w:szCs w:val="32"/>
        </w:rPr>
        <w:t>无菌医疗器械包装试验方法第1部分：加速老化试验指南[S].</w:t>
      </w:r>
    </w:p>
    <w:p w14:paraId="78734314">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[12]YY/T 031</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,医疗器械风险管理对医疗器械的应用[S].</w:t>
      </w:r>
    </w:p>
    <w:p w14:paraId="0A4DC04A">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[13]YY 0612,一次性使用人体动脉血样采集器（动脉血气针）[S].</w:t>
      </w:r>
    </w:p>
    <w:p w14:paraId="34CBADB6">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[14]医疗器械注册单元划分指导原则[Z].</w:t>
      </w:r>
    </w:p>
    <w:p w14:paraId="4849B7AF">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[15]动脉血气分析临床操作实践标准[J].</w:t>
      </w:r>
    </w:p>
    <w:p w14:paraId="1503B14E">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[16]Blood Gas and pH Analysis and RelatedMeasurements; Approved Guideline-Second Edition[M].</w:t>
      </w:r>
    </w:p>
    <w:p w14:paraId="7DF92003">
      <w:pPr>
        <w:adjustRightInd w:val="0"/>
        <w:snapToGrid w:val="0"/>
        <w:spacing w:line="520" w:lineRule="exact"/>
        <w:ind w:firstLine="640" w:firstLineChars="20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[17]WHO guidelines on drawing blood: best practices in phlebotomy[Z].</w:t>
      </w:r>
    </w:p>
    <w:p w14:paraId="116D0A80">
      <w:pPr>
        <w:adjustRightInd w:val="0"/>
        <w:snapToGrid w:val="0"/>
        <w:spacing w:line="520" w:lineRule="exact"/>
        <w:ind w:firstLine="640" w:firstLineChars="200"/>
        <w:rPr>
          <w:rFonts w:eastAsia="仿宋_GB2312"/>
          <w:color w:val="000000" w:themeColor="text1"/>
          <w:sz w:val="32"/>
          <w:szCs w:val="32"/>
        </w:rPr>
      </w:pPr>
      <w:r>
        <w:rPr>
          <w:rFonts w:hint="eastAsia" w:eastAsia="黑体"/>
          <w:bCs/>
          <w:color w:val="000000" w:themeColor="text1"/>
          <w:sz w:val="32"/>
          <w:szCs w:val="32"/>
        </w:rPr>
        <w:t>四</w:t>
      </w:r>
      <w:r>
        <w:rPr>
          <w:rFonts w:eastAsia="黑体"/>
          <w:bCs/>
          <w:color w:val="000000" w:themeColor="text1"/>
          <w:sz w:val="32"/>
          <w:szCs w:val="32"/>
        </w:rPr>
        <w:t>、</w:t>
      </w:r>
      <w:r>
        <w:rPr>
          <w:rFonts w:hint="eastAsia" w:eastAsia="黑体"/>
          <w:bCs/>
          <w:color w:val="000000" w:themeColor="text1"/>
          <w:sz w:val="32"/>
          <w:szCs w:val="32"/>
        </w:rPr>
        <w:t>编写</w:t>
      </w:r>
      <w:r>
        <w:rPr>
          <w:rFonts w:eastAsia="黑体"/>
          <w:bCs/>
          <w:color w:val="000000" w:themeColor="text1"/>
          <w:sz w:val="32"/>
          <w:szCs w:val="32"/>
        </w:rPr>
        <w:t>单位</w:t>
      </w:r>
    </w:p>
    <w:p w14:paraId="32302EA1">
      <w:pPr>
        <w:adjustRightInd w:val="0"/>
        <w:snapToGrid w:val="0"/>
        <w:spacing w:line="520" w:lineRule="exact"/>
        <w:ind w:firstLine="640" w:firstLineChars="200"/>
        <w:rPr>
          <w:rFonts w:eastAsia="仿宋_GB2312"/>
          <w:color w:val="000000" w:themeColor="text1"/>
          <w:sz w:val="32"/>
          <w:szCs w:val="32"/>
        </w:rPr>
      </w:pPr>
      <w:r>
        <w:rPr>
          <w:rFonts w:eastAsia="仿宋_GB2312"/>
          <w:color w:val="000000" w:themeColor="text1"/>
          <w:kern w:val="0"/>
          <w:sz w:val="32"/>
          <w:szCs w:val="32"/>
        </w:rPr>
        <w:t>国家药品监督管理局</w:t>
      </w:r>
      <w:r>
        <w:rPr>
          <w:rFonts w:eastAsia="仿宋_GB2312"/>
          <w:bCs/>
          <w:color w:val="000000" w:themeColor="text1"/>
          <w:sz w:val="32"/>
          <w:szCs w:val="32"/>
        </w:rPr>
        <w:t>医疗器械技术审评中心</w:t>
      </w:r>
      <w:r>
        <w:rPr>
          <w:rFonts w:hint="eastAsia" w:eastAsia="仿宋_GB2312"/>
          <w:bCs/>
          <w:color w:val="000000" w:themeColor="text1"/>
          <w:sz w:val="32"/>
          <w:szCs w:val="32"/>
        </w:rPr>
        <w:t>。</w:t>
      </w:r>
    </w:p>
    <w:p w14:paraId="31A91380">
      <w:pPr>
        <w:spacing w:line="520" w:lineRule="exact"/>
        <w:jc w:val="center"/>
        <w:rPr>
          <w:rFonts w:hint="eastAsia" w:eastAsia="宋体"/>
          <w:lang w:eastAsia="zh-CN"/>
        </w:rPr>
      </w:pPr>
    </w:p>
    <w:p w14:paraId="4261C05B">
      <w:pPr>
        <w:spacing w:line="520" w:lineRule="exact"/>
        <w:jc w:val="center"/>
        <w:rPr>
          <w:rFonts w:hint="eastAsia" w:eastAsia="宋体"/>
          <w:lang w:eastAsia="zh-CN"/>
        </w:rPr>
      </w:pPr>
    </w:p>
    <w:p w14:paraId="1B74F3BC">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026207"/>
      <w:docPartObj>
        <w:docPartGallery w:val="AutoText"/>
      </w:docPartObj>
    </w:sdtPr>
    <w:sdtContent>
      <w:p w14:paraId="723B5D3D">
        <w:pPr>
          <w:pStyle w:val="5"/>
          <w:jc w:val="center"/>
        </w:pPr>
        <w:r>
          <w:fldChar w:fldCharType="begin"/>
        </w:r>
        <w:r>
          <w:instrText xml:space="preserve">PAGE   \* MERGEFORMAT</w:instrText>
        </w:r>
        <w:r>
          <w:fldChar w:fldCharType="separate"/>
        </w:r>
        <w:r>
          <w:rPr>
            <w:lang w:val="zh-CN"/>
          </w:rPr>
          <w:t>1</w:t>
        </w:r>
        <w:r>
          <w:fldChar w:fldCharType="end"/>
        </w:r>
      </w:p>
    </w:sdtContent>
  </w:sdt>
  <w:p w14:paraId="7CDB068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0594"/>
    <w:rsid w:val="000056A2"/>
    <w:rsid w:val="00013B16"/>
    <w:rsid w:val="000208D0"/>
    <w:rsid w:val="0003473E"/>
    <w:rsid w:val="000540E9"/>
    <w:rsid w:val="000637A8"/>
    <w:rsid w:val="00076D6A"/>
    <w:rsid w:val="00083E14"/>
    <w:rsid w:val="000B32DF"/>
    <w:rsid w:val="000D524C"/>
    <w:rsid w:val="000E0C4A"/>
    <w:rsid w:val="000E24D5"/>
    <w:rsid w:val="000E46F8"/>
    <w:rsid w:val="000F0966"/>
    <w:rsid w:val="000F635B"/>
    <w:rsid w:val="00101429"/>
    <w:rsid w:val="00122E9F"/>
    <w:rsid w:val="001234E3"/>
    <w:rsid w:val="00133AB1"/>
    <w:rsid w:val="00135BB0"/>
    <w:rsid w:val="00135CCA"/>
    <w:rsid w:val="00154EB7"/>
    <w:rsid w:val="001556D6"/>
    <w:rsid w:val="001602EE"/>
    <w:rsid w:val="00174DAB"/>
    <w:rsid w:val="001772DE"/>
    <w:rsid w:val="001910B9"/>
    <w:rsid w:val="001A08AD"/>
    <w:rsid w:val="001A1F90"/>
    <w:rsid w:val="001B5242"/>
    <w:rsid w:val="001B7839"/>
    <w:rsid w:val="001C11F5"/>
    <w:rsid w:val="001C5B80"/>
    <w:rsid w:val="001D2148"/>
    <w:rsid w:val="001D582E"/>
    <w:rsid w:val="001D7625"/>
    <w:rsid w:val="001E583A"/>
    <w:rsid w:val="00201D08"/>
    <w:rsid w:val="0021177C"/>
    <w:rsid w:val="002242DB"/>
    <w:rsid w:val="00245E00"/>
    <w:rsid w:val="00280387"/>
    <w:rsid w:val="00281BF7"/>
    <w:rsid w:val="00282EA5"/>
    <w:rsid w:val="002916BB"/>
    <w:rsid w:val="002B12CB"/>
    <w:rsid w:val="002B2D3C"/>
    <w:rsid w:val="002C71FC"/>
    <w:rsid w:val="002C7E76"/>
    <w:rsid w:val="002D3FF2"/>
    <w:rsid w:val="002F1E5C"/>
    <w:rsid w:val="002F4DD2"/>
    <w:rsid w:val="002F77AA"/>
    <w:rsid w:val="00303B4F"/>
    <w:rsid w:val="003054FA"/>
    <w:rsid w:val="00317C94"/>
    <w:rsid w:val="00317DC2"/>
    <w:rsid w:val="00324280"/>
    <w:rsid w:val="00325C26"/>
    <w:rsid w:val="00325EE7"/>
    <w:rsid w:val="0032767A"/>
    <w:rsid w:val="00334942"/>
    <w:rsid w:val="0033520E"/>
    <w:rsid w:val="003369E2"/>
    <w:rsid w:val="00337306"/>
    <w:rsid w:val="0034332B"/>
    <w:rsid w:val="00357C5B"/>
    <w:rsid w:val="00360594"/>
    <w:rsid w:val="00381BB5"/>
    <w:rsid w:val="00385AA1"/>
    <w:rsid w:val="00392693"/>
    <w:rsid w:val="003C0859"/>
    <w:rsid w:val="003C0A32"/>
    <w:rsid w:val="003C0C85"/>
    <w:rsid w:val="003C65D9"/>
    <w:rsid w:val="003F628D"/>
    <w:rsid w:val="003F63E7"/>
    <w:rsid w:val="004062DD"/>
    <w:rsid w:val="004203E1"/>
    <w:rsid w:val="0042198D"/>
    <w:rsid w:val="004422B3"/>
    <w:rsid w:val="00461965"/>
    <w:rsid w:val="0047027F"/>
    <w:rsid w:val="00480E48"/>
    <w:rsid w:val="00487EDC"/>
    <w:rsid w:val="00494582"/>
    <w:rsid w:val="004A5C74"/>
    <w:rsid w:val="004B10FE"/>
    <w:rsid w:val="004C25BE"/>
    <w:rsid w:val="004C7D4E"/>
    <w:rsid w:val="004D4C87"/>
    <w:rsid w:val="004D4F52"/>
    <w:rsid w:val="004F291F"/>
    <w:rsid w:val="00503658"/>
    <w:rsid w:val="0051049E"/>
    <w:rsid w:val="00517EF8"/>
    <w:rsid w:val="005209A4"/>
    <w:rsid w:val="00521F76"/>
    <w:rsid w:val="00526B5C"/>
    <w:rsid w:val="0053202D"/>
    <w:rsid w:val="0053318D"/>
    <w:rsid w:val="00540B7F"/>
    <w:rsid w:val="0054314D"/>
    <w:rsid w:val="0055696C"/>
    <w:rsid w:val="00567B17"/>
    <w:rsid w:val="005900F9"/>
    <w:rsid w:val="005903C1"/>
    <w:rsid w:val="005B1667"/>
    <w:rsid w:val="005B29DF"/>
    <w:rsid w:val="005B720E"/>
    <w:rsid w:val="005D7678"/>
    <w:rsid w:val="006063D8"/>
    <w:rsid w:val="006166D3"/>
    <w:rsid w:val="00616771"/>
    <w:rsid w:val="006228D8"/>
    <w:rsid w:val="00625AED"/>
    <w:rsid w:val="00625EA8"/>
    <w:rsid w:val="00633B58"/>
    <w:rsid w:val="006343CB"/>
    <w:rsid w:val="00637D15"/>
    <w:rsid w:val="00644B00"/>
    <w:rsid w:val="00645A89"/>
    <w:rsid w:val="00683E4E"/>
    <w:rsid w:val="00693124"/>
    <w:rsid w:val="006936AB"/>
    <w:rsid w:val="006B04AC"/>
    <w:rsid w:val="006B3867"/>
    <w:rsid w:val="006B631E"/>
    <w:rsid w:val="006C3130"/>
    <w:rsid w:val="006C6360"/>
    <w:rsid w:val="006D2D9E"/>
    <w:rsid w:val="006D5A60"/>
    <w:rsid w:val="006E04A2"/>
    <w:rsid w:val="00700E6F"/>
    <w:rsid w:val="00716208"/>
    <w:rsid w:val="0071673C"/>
    <w:rsid w:val="00741E96"/>
    <w:rsid w:val="0074571C"/>
    <w:rsid w:val="00745AA6"/>
    <w:rsid w:val="00754EB6"/>
    <w:rsid w:val="007557A3"/>
    <w:rsid w:val="00761CD8"/>
    <w:rsid w:val="00785144"/>
    <w:rsid w:val="007941AB"/>
    <w:rsid w:val="007A4BA6"/>
    <w:rsid w:val="007B1FA8"/>
    <w:rsid w:val="007C608B"/>
    <w:rsid w:val="007C6739"/>
    <w:rsid w:val="007D08A0"/>
    <w:rsid w:val="007D7908"/>
    <w:rsid w:val="007E160B"/>
    <w:rsid w:val="007E28DD"/>
    <w:rsid w:val="007E29BC"/>
    <w:rsid w:val="007E7229"/>
    <w:rsid w:val="00832A92"/>
    <w:rsid w:val="008436D1"/>
    <w:rsid w:val="008467F7"/>
    <w:rsid w:val="00860848"/>
    <w:rsid w:val="00870CD6"/>
    <w:rsid w:val="00870FF1"/>
    <w:rsid w:val="0087309E"/>
    <w:rsid w:val="00873270"/>
    <w:rsid w:val="00875093"/>
    <w:rsid w:val="008756CF"/>
    <w:rsid w:val="0087780D"/>
    <w:rsid w:val="008844E4"/>
    <w:rsid w:val="008A6236"/>
    <w:rsid w:val="008B1B1A"/>
    <w:rsid w:val="008B2CED"/>
    <w:rsid w:val="008B5246"/>
    <w:rsid w:val="008B606A"/>
    <w:rsid w:val="008C2448"/>
    <w:rsid w:val="008C3A34"/>
    <w:rsid w:val="008C6866"/>
    <w:rsid w:val="008D0EAA"/>
    <w:rsid w:val="008D2986"/>
    <w:rsid w:val="008E2444"/>
    <w:rsid w:val="008F3EAC"/>
    <w:rsid w:val="008F75D7"/>
    <w:rsid w:val="0090278E"/>
    <w:rsid w:val="0090630E"/>
    <w:rsid w:val="00924E10"/>
    <w:rsid w:val="009276C7"/>
    <w:rsid w:val="00933906"/>
    <w:rsid w:val="0093781F"/>
    <w:rsid w:val="009467FF"/>
    <w:rsid w:val="009477A2"/>
    <w:rsid w:val="0095388B"/>
    <w:rsid w:val="00962E72"/>
    <w:rsid w:val="00964150"/>
    <w:rsid w:val="00972502"/>
    <w:rsid w:val="0097480E"/>
    <w:rsid w:val="00975C75"/>
    <w:rsid w:val="00984BFE"/>
    <w:rsid w:val="0098753C"/>
    <w:rsid w:val="009938F7"/>
    <w:rsid w:val="0099547B"/>
    <w:rsid w:val="00996C20"/>
    <w:rsid w:val="009B2C38"/>
    <w:rsid w:val="009C34C7"/>
    <w:rsid w:val="009C6842"/>
    <w:rsid w:val="009F5F56"/>
    <w:rsid w:val="00A15E1B"/>
    <w:rsid w:val="00A15E47"/>
    <w:rsid w:val="00A23098"/>
    <w:rsid w:val="00A40DA7"/>
    <w:rsid w:val="00A43ECE"/>
    <w:rsid w:val="00A63DF7"/>
    <w:rsid w:val="00A653C2"/>
    <w:rsid w:val="00A7673D"/>
    <w:rsid w:val="00A8215F"/>
    <w:rsid w:val="00A92C28"/>
    <w:rsid w:val="00A936FE"/>
    <w:rsid w:val="00AA23AA"/>
    <w:rsid w:val="00AA4BA2"/>
    <w:rsid w:val="00AD757F"/>
    <w:rsid w:val="00AE12DC"/>
    <w:rsid w:val="00AE20BD"/>
    <w:rsid w:val="00AE6E0B"/>
    <w:rsid w:val="00B00A82"/>
    <w:rsid w:val="00B11288"/>
    <w:rsid w:val="00B363BB"/>
    <w:rsid w:val="00B40188"/>
    <w:rsid w:val="00B435A6"/>
    <w:rsid w:val="00B447D2"/>
    <w:rsid w:val="00B50231"/>
    <w:rsid w:val="00B52D38"/>
    <w:rsid w:val="00B56717"/>
    <w:rsid w:val="00B739BB"/>
    <w:rsid w:val="00B745B6"/>
    <w:rsid w:val="00B757AC"/>
    <w:rsid w:val="00B87A42"/>
    <w:rsid w:val="00BB62D8"/>
    <w:rsid w:val="00BC2402"/>
    <w:rsid w:val="00BD6A32"/>
    <w:rsid w:val="00BD7260"/>
    <w:rsid w:val="00C00BF5"/>
    <w:rsid w:val="00C07AF8"/>
    <w:rsid w:val="00C200DD"/>
    <w:rsid w:val="00C21058"/>
    <w:rsid w:val="00C30C6C"/>
    <w:rsid w:val="00C738AA"/>
    <w:rsid w:val="00C808E6"/>
    <w:rsid w:val="00C813EF"/>
    <w:rsid w:val="00C8645A"/>
    <w:rsid w:val="00C93F4A"/>
    <w:rsid w:val="00CB3015"/>
    <w:rsid w:val="00CB56EE"/>
    <w:rsid w:val="00CE7DB2"/>
    <w:rsid w:val="00CF3741"/>
    <w:rsid w:val="00CF69C2"/>
    <w:rsid w:val="00D134C6"/>
    <w:rsid w:val="00D16CC8"/>
    <w:rsid w:val="00D3635C"/>
    <w:rsid w:val="00D47F9C"/>
    <w:rsid w:val="00D504F0"/>
    <w:rsid w:val="00D625A4"/>
    <w:rsid w:val="00D7163A"/>
    <w:rsid w:val="00D90A5E"/>
    <w:rsid w:val="00D91950"/>
    <w:rsid w:val="00D9681E"/>
    <w:rsid w:val="00DB1460"/>
    <w:rsid w:val="00DC088A"/>
    <w:rsid w:val="00DC4D66"/>
    <w:rsid w:val="00DC670C"/>
    <w:rsid w:val="00DD2B53"/>
    <w:rsid w:val="00DE50F7"/>
    <w:rsid w:val="00DE7FC0"/>
    <w:rsid w:val="00DF6A31"/>
    <w:rsid w:val="00E12B6F"/>
    <w:rsid w:val="00E13327"/>
    <w:rsid w:val="00E150C1"/>
    <w:rsid w:val="00E15F29"/>
    <w:rsid w:val="00E45D1E"/>
    <w:rsid w:val="00E479EE"/>
    <w:rsid w:val="00E56A69"/>
    <w:rsid w:val="00E61343"/>
    <w:rsid w:val="00E643EF"/>
    <w:rsid w:val="00E6567D"/>
    <w:rsid w:val="00E677D6"/>
    <w:rsid w:val="00E742F2"/>
    <w:rsid w:val="00E74C3C"/>
    <w:rsid w:val="00E8531E"/>
    <w:rsid w:val="00E903DE"/>
    <w:rsid w:val="00E90C29"/>
    <w:rsid w:val="00E926CA"/>
    <w:rsid w:val="00EB0FF3"/>
    <w:rsid w:val="00EB3DE4"/>
    <w:rsid w:val="00EB53F1"/>
    <w:rsid w:val="00ED526C"/>
    <w:rsid w:val="00EE3BD2"/>
    <w:rsid w:val="00EE3CD9"/>
    <w:rsid w:val="00F11B0F"/>
    <w:rsid w:val="00F136D2"/>
    <w:rsid w:val="00F13E82"/>
    <w:rsid w:val="00F220F1"/>
    <w:rsid w:val="00F26F14"/>
    <w:rsid w:val="00F364D2"/>
    <w:rsid w:val="00F37A26"/>
    <w:rsid w:val="00F51B88"/>
    <w:rsid w:val="00F65A80"/>
    <w:rsid w:val="00F7116C"/>
    <w:rsid w:val="00F71896"/>
    <w:rsid w:val="00F73F11"/>
    <w:rsid w:val="00F75159"/>
    <w:rsid w:val="00FA292E"/>
    <w:rsid w:val="00FA5108"/>
    <w:rsid w:val="00FB392D"/>
    <w:rsid w:val="00FC26D8"/>
    <w:rsid w:val="00FC5931"/>
    <w:rsid w:val="00FD0B93"/>
    <w:rsid w:val="00FE738C"/>
    <w:rsid w:val="00FF3C57"/>
    <w:rsid w:val="00FF6EA9"/>
    <w:rsid w:val="00FF77B3"/>
    <w:rsid w:val="17502F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Plain Text"/>
    <w:basedOn w:val="1"/>
    <w:link w:val="13"/>
    <w:unhideWhenUsed/>
    <w:qFormat/>
    <w:uiPriority w:val="99"/>
    <w:rPr>
      <w:rFonts w:ascii="宋体" w:hAnsi="Courier New" w:eastAsia="宋体" w:cs="Times New Roman"/>
      <w:szCs w:val="21"/>
    </w:rPr>
  </w:style>
  <w:style w:type="paragraph" w:styleId="4">
    <w:name w:val="Balloon Text"/>
    <w:basedOn w:val="1"/>
    <w:link w:val="15"/>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uiPriority w:val="99"/>
    <w:rPr>
      <w:sz w:val="18"/>
      <w:szCs w:val="18"/>
    </w:rPr>
  </w:style>
  <w:style w:type="character" w:customStyle="1" w:styleId="13">
    <w:name w:val="纯文本 Char"/>
    <w:basedOn w:val="9"/>
    <w:link w:val="3"/>
    <w:qFormat/>
    <w:uiPriority w:val="99"/>
    <w:rPr>
      <w:rFonts w:ascii="宋体" w:hAnsi="Courier New" w:eastAsia="宋体" w:cs="Times New Roman"/>
      <w:szCs w:val="21"/>
    </w:rPr>
  </w:style>
  <w:style w:type="paragraph" w:customStyle="1" w:styleId="14">
    <w:name w:val="列出段落1"/>
    <w:basedOn w:val="1"/>
    <w:qFormat/>
    <w:uiPriority w:val="0"/>
    <w:pPr>
      <w:ind w:firstLine="420" w:firstLineChars="200"/>
    </w:pPr>
    <w:rPr>
      <w:rFonts w:ascii="Calibri" w:hAnsi="Calibri" w:eastAsia="宋体" w:cs="Times New Roman"/>
    </w:rPr>
  </w:style>
  <w:style w:type="character" w:customStyle="1" w:styleId="15">
    <w:name w:val="批注框文本 Char"/>
    <w:basedOn w:val="9"/>
    <w:link w:val="4"/>
    <w:semiHidden/>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Char"/>
    <w:basedOn w:val="9"/>
    <w:link w:val="2"/>
    <w:semiHidden/>
    <w:qFormat/>
    <w:uiPriority w:val="99"/>
  </w:style>
  <w:style w:type="character" w:customStyle="1" w:styleId="18">
    <w:name w:val="批注主题 Char"/>
    <w:basedOn w:val="17"/>
    <w:link w:val="7"/>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F153D-7085-47CC-9F83-02EEA0A8C408}">
  <ds:schemaRefs/>
</ds:datastoreItem>
</file>

<file path=docProps/app.xml><?xml version="1.0" encoding="utf-8"?>
<Properties xmlns="http://schemas.openxmlformats.org/officeDocument/2006/extended-properties" xmlns:vt="http://schemas.openxmlformats.org/officeDocument/2006/docPropsVTypes">
  <Template>Normal</Template>
  <Pages>13</Pages>
  <Words>6318</Words>
  <Characters>6687</Characters>
  <Lines>48</Lines>
  <Paragraphs>13</Paragraphs>
  <TotalTime>175</TotalTime>
  <ScaleCrop>false</ScaleCrop>
  <LinksUpToDate>false</LinksUpToDate>
  <CharactersWithSpaces>6722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2022-08-15T03:16:00Z</dcterms:created>
  <dc:creator>tf</dc:creator>
  <cp:lastModifiedBy>太极箫客</cp:lastModifiedBy>
  <cp:lastPrinted>2022-08-22T01:21:00Z</cp:lastPrinted>
  <dcterms:modified xsi:type="dcterms:W3CDTF">2025-08-14T06:26:11Z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38AB709AB61F4522AF5343C02361A632_12</vt:lpwstr>
  </property>
</Properties>
</file>