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54" w:rsidRPr="0099546F" w:rsidRDefault="00083154" w:rsidP="005578AA">
      <w:pPr>
        <w:overflowPunct w:val="0"/>
        <w:snapToGrid w:val="0"/>
        <w:spacing w:afterLines="100" w:after="24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3154" w:rsidRDefault="00083154" w:rsidP="005578AA">
      <w:pPr>
        <w:overflowPunct w:val="0"/>
        <w:snapToGrid w:val="0"/>
        <w:spacing w:afterLines="100" w:after="24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3154" w:rsidRDefault="00083154" w:rsidP="005578AA">
      <w:pPr>
        <w:overflowPunct w:val="0"/>
        <w:snapToGrid w:val="0"/>
        <w:spacing w:afterLines="100" w:after="24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3154" w:rsidRDefault="00083154" w:rsidP="005578AA">
      <w:pPr>
        <w:overflowPunct w:val="0"/>
        <w:snapToGrid w:val="0"/>
        <w:spacing w:afterLines="100" w:after="24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3154" w:rsidRDefault="0099546F" w:rsidP="005578AA">
      <w:pPr>
        <w:overflowPunct w:val="0"/>
        <w:snapToGrid w:val="0"/>
        <w:spacing w:afterLines="100" w:after="240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 xml:space="preserve">325.100 </w:t>
      </w:r>
      <w:proofErr w:type="spellStart"/>
      <w:r>
        <w:rPr>
          <w:rFonts w:ascii="Arial" w:eastAsia="宋体" w:hint="eastAsia"/>
          <w:b/>
          <w:sz w:val="64"/>
        </w:rPr>
        <w:t>Karaya</w:t>
      </w:r>
      <w:proofErr w:type="spellEnd"/>
      <w:r>
        <w:rPr>
          <w:rFonts w:ascii="Arial" w:eastAsia="宋体" w:hint="eastAsia"/>
          <w:b/>
          <w:sz w:val="64"/>
        </w:rPr>
        <w:t>橡胶粉和造口者使用的相关器械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背景：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橡胶粉和由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橡胶粉制成的用于造口者的器械已成为召回的对象，因为该器械还有机会性病原体。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通过环氧乙烷和辐照对这些器械进行灭菌的工作未成功。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橡胶的环氧乙烷灭菌通常是无效的。如果辐射剂量很强烈，则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橡胶粉的消费者试模容器的辐照灭菌是有效的。然而，以这种方式灭菌的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橡胶粉和器械的性能认为是不令人满意的，因为该辐射破坏了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橡胶的品质并且使得这些产品对于其预期目的没有作用。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1976</w:t>
      </w:r>
      <w:r w:rsidRPr="005578AA">
        <w:rPr>
          <w:rFonts w:hint="eastAsia"/>
          <w:sz w:val="28"/>
          <w:szCs w:val="28"/>
        </w:rPr>
        <w:t>年</w:t>
      </w:r>
      <w:r w:rsidRPr="005578AA">
        <w:rPr>
          <w:rFonts w:hint="eastAsia"/>
          <w:sz w:val="28"/>
          <w:szCs w:val="28"/>
        </w:rPr>
        <w:t>11</w:t>
      </w:r>
      <w:r w:rsidRPr="005578AA">
        <w:rPr>
          <w:rFonts w:hint="eastAsia"/>
          <w:sz w:val="28"/>
          <w:szCs w:val="28"/>
        </w:rPr>
        <w:t>月，向所有已知的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橡胶器械制造商发送了信息信函，建议这些公司应将这些器械标记为非无菌，并且该器械在发红、磨损或剥落的皮肤上的使用是禁忌的。从该标签要求中排除无菌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橡胶粉。该政策是基于这样一个事实，即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树胶是造口术用具的一个必不可少的附件，我们知道市场上没有令人满意的替代品。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后续信息表明，这种标签要求已经引起了专业界的混淆，医学专家认为这种标签可能会导致造口者停止使用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橡胶产品，从而导致试图成功管理造口</w:t>
      </w:r>
      <w:proofErr w:type="gramStart"/>
      <w:r w:rsidRPr="005578AA">
        <w:rPr>
          <w:rFonts w:hint="eastAsia"/>
          <w:sz w:val="28"/>
          <w:szCs w:val="28"/>
        </w:rPr>
        <w:t>术其他</w:t>
      </w:r>
      <w:proofErr w:type="gramEnd"/>
      <w:r w:rsidRPr="005578AA">
        <w:rPr>
          <w:rFonts w:hint="eastAsia"/>
          <w:sz w:val="28"/>
          <w:szCs w:val="28"/>
        </w:rPr>
        <w:t>问题。此外，</w:t>
      </w:r>
      <w:r w:rsidRPr="005578AA">
        <w:rPr>
          <w:rFonts w:hint="eastAsia"/>
          <w:sz w:val="28"/>
          <w:szCs w:val="28"/>
        </w:rPr>
        <w:t>FDA</w:t>
      </w:r>
      <w:r w:rsidRPr="005578AA">
        <w:rPr>
          <w:rFonts w:hint="eastAsia"/>
          <w:sz w:val="28"/>
          <w:szCs w:val="28"/>
        </w:rPr>
        <w:t>还没有看到任何由于使用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造口术产品而导致感染的记录证据。因此，器械和放射卫生中心重新考虑了非无菌的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>产品中的微生物在产品使用、产品性质和对使用者的潜在危害方面的重要性，并得出结论，获得的收益超过潜在的危害。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因此，根据</w:t>
      </w:r>
      <w:r w:rsidRPr="005578AA">
        <w:rPr>
          <w:rFonts w:hint="eastAsia"/>
          <w:sz w:val="28"/>
          <w:szCs w:val="28"/>
        </w:rPr>
        <w:t>1977</w:t>
      </w:r>
      <w:r w:rsidRPr="005578AA">
        <w:rPr>
          <w:rFonts w:hint="eastAsia"/>
          <w:sz w:val="28"/>
          <w:szCs w:val="28"/>
        </w:rPr>
        <w:t>年</w:t>
      </w:r>
      <w:r w:rsidRPr="005578AA">
        <w:rPr>
          <w:rFonts w:hint="eastAsia"/>
          <w:sz w:val="28"/>
          <w:szCs w:val="28"/>
        </w:rPr>
        <w:t>5</w:t>
      </w:r>
      <w:r w:rsidRPr="005578AA">
        <w:rPr>
          <w:rFonts w:hint="eastAsia"/>
          <w:sz w:val="28"/>
          <w:szCs w:val="28"/>
        </w:rPr>
        <w:t>月</w:t>
      </w:r>
      <w:r w:rsidRPr="005578AA">
        <w:rPr>
          <w:rFonts w:hint="eastAsia"/>
          <w:sz w:val="28"/>
          <w:szCs w:val="28"/>
        </w:rPr>
        <w:t>5</w:t>
      </w:r>
      <w:r w:rsidRPr="005578AA">
        <w:rPr>
          <w:rFonts w:hint="eastAsia"/>
          <w:sz w:val="28"/>
          <w:szCs w:val="28"/>
        </w:rPr>
        <w:t>日的备忘录，</w:t>
      </w:r>
      <w:r w:rsidRPr="005578AA">
        <w:rPr>
          <w:rFonts w:hint="eastAsia"/>
          <w:sz w:val="28"/>
          <w:szCs w:val="28"/>
        </w:rPr>
        <w:t>*</w:t>
      </w:r>
      <w:r w:rsidRPr="005578AA">
        <w:rPr>
          <w:rFonts w:hint="eastAsia"/>
          <w:sz w:val="28"/>
          <w:szCs w:val="28"/>
        </w:rPr>
        <w:t>器械和放射卫生中心</w:t>
      </w:r>
      <w:r w:rsidRPr="005578AA">
        <w:rPr>
          <w:rFonts w:hint="eastAsia"/>
          <w:sz w:val="28"/>
          <w:szCs w:val="28"/>
        </w:rPr>
        <w:t>*</w:t>
      </w:r>
      <w:r w:rsidRPr="005578AA">
        <w:rPr>
          <w:rFonts w:hint="eastAsia"/>
          <w:sz w:val="28"/>
          <w:szCs w:val="28"/>
        </w:rPr>
        <w:t>要求各地区向所有收到</w:t>
      </w:r>
      <w:r w:rsidRPr="005578AA">
        <w:rPr>
          <w:rFonts w:hint="eastAsia"/>
          <w:sz w:val="28"/>
          <w:szCs w:val="28"/>
        </w:rPr>
        <w:t>1976</w:t>
      </w:r>
      <w:r w:rsidRPr="005578AA">
        <w:rPr>
          <w:rFonts w:hint="eastAsia"/>
          <w:sz w:val="28"/>
          <w:szCs w:val="28"/>
        </w:rPr>
        <w:t>年</w:t>
      </w:r>
      <w:r w:rsidRPr="005578AA">
        <w:rPr>
          <w:rFonts w:hint="eastAsia"/>
          <w:sz w:val="28"/>
          <w:szCs w:val="28"/>
        </w:rPr>
        <w:t>11</w:t>
      </w:r>
      <w:r w:rsidRPr="005578AA">
        <w:rPr>
          <w:rFonts w:hint="eastAsia"/>
          <w:sz w:val="28"/>
          <w:szCs w:val="28"/>
        </w:rPr>
        <w:t>月信函的所有公司发送一封后续信函，如前段所述，通知公司我们新立场的信息信函。</w:t>
      </w:r>
    </w:p>
    <w:p w:rsidR="005578AA" w:rsidRPr="005578AA" w:rsidRDefault="005578AA" w:rsidP="005578AA">
      <w:pPr>
        <w:overflowPunct w:val="0"/>
        <w:jc w:val="both"/>
        <w:rPr>
          <w:sz w:val="28"/>
          <w:szCs w:val="28"/>
        </w:rPr>
      </w:pPr>
      <w:r w:rsidRPr="005578AA">
        <w:rPr>
          <w:sz w:val="28"/>
          <w:szCs w:val="28"/>
        </w:rPr>
        <w:br w:type="page"/>
      </w:r>
    </w:p>
    <w:p w:rsidR="00083154" w:rsidRPr="005578AA" w:rsidRDefault="0099546F" w:rsidP="005578AA">
      <w:pPr>
        <w:overflowPunct w:val="0"/>
        <w:snapToGrid w:val="0"/>
        <w:spacing w:afterLines="100" w:after="240" w:line="300" w:lineRule="auto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lastRenderedPageBreak/>
        <w:t>政策：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*</w:t>
      </w:r>
      <w:r w:rsidRPr="005578AA">
        <w:rPr>
          <w:rFonts w:hint="eastAsia"/>
          <w:sz w:val="28"/>
          <w:szCs w:val="28"/>
        </w:rPr>
        <w:t>要求非无菌的</w:t>
      </w:r>
      <w:r w:rsidRPr="005578AA">
        <w:rPr>
          <w:rFonts w:hint="eastAsia"/>
          <w:sz w:val="28"/>
          <w:szCs w:val="28"/>
        </w:rPr>
        <w:t xml:space="preserve"> </w:t>
      </w:r>
      <w:proofErr w:type="spellStart"/>
      <w:r w:rsidRPr="005578AA">
        <w:rPr>
          <w:rFonts w:hint="eastAsia"/>
          <w:sz w:val="28"/>
          <w:szCs w:val="28"/>
        </w:rPr>
        <w:t>karaya</w:t>
      </w:r>
      <w:proofErr w:type="spellEnd"/>
      <w:r w:rsidRPr="005578AA">
        <w:rPr>
          <w:rFonts w:hint="eastAsia"/>
          <w:sz w:val="28"/>
          <w:szCs w:val="28"/>
        </w:rPr>
        <w:t xml:space="preserve"> </w:t>
      </w:r>
      <w:r w:rsidRPr="005578AA">
        <w:rPr>
          <w:rFonts w:hint="eastAsia"/>
          <w:sz w:val="28"/>
          <w:szCs w:val="28"/>
        </w:rPr>
        <w:t>橡胶器械标记为非无菌，并且禁止将其用于发红、磨损和剥落的皮肤上，这并非强制性，前提条件是该器械必须符合美国药典（美国药典，</w:t>
      </w:r>
      <w:r w:rsidRPr="005578AA">
        <w:rPr>
          <w:rFonts w:hint="eastAsia"/>
          <w:sz w:val="28"/>
          <w:szCs w:val="28"/>
        </w:rPr>
        <w:t>XXI</w:t>
      </w:r>
      <w:r w:rsidRPr="005578AA">
        <w:rPr>
          <w:rFonts w:hint="eastAsia"/>
          <w:sz w:val="28"/>
          <w:szCs w:val="28"/>
        </w:rPr>
        <w:t>，第</w:t>
      </w:r>
      <w:r w:rsidRPr="005578AA">
        <w:rPr>
          <w:rFonts w:hint="eastAsia"/>
          <w:sz w:val="28"/>
          <w:szCs w:val="28"/>
        </w:rPr>
        <w:t>1329</w:t>
      </w:r>
      <w:r w:rsidRPr="005578AA">
        <w:rPr>
          <w:rFonts w:hint="eastAsia"/>
          <w:sz w:val="28"/>
          <w:szCs w:val="28"/>
        </w:rPr>
        <w:t>页</w:t>
      </w:r>
      <w:r w:rsidRPr="005578AA">
        <w:rPr>
          <w:rFonts w:hint="eastAsia"/>
          <w:sz w:val="28"/>
          <w:szCs w:val="28"/>
        </w:rPr>
        <w:t>*</w:t>
      </w:r>
      <w:r w:rsidRPr="005578AA">
        <w:rPr>
          <w:rFonts w:hint="eastAsia"/>
          <w:sz w:val="28"/>
          <w:szCs w:val="28"/>
        </w:rPr>
        <w:t>）所规定的“非无菌药品的微生物特性”。</w:t>
      </w:r>
    </w:p>
    <w:p w:rsidR="0099546F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*</w:t>
      </w:r>
      <w:r w:rsidRPr="005578AA">
        <w:rPr>
          <w:rFonts w:hint="eastAsia"/>
          <w:sz w:val="28"/>
          <w:szCs w:val="28"/>
        </w:rPr>
        <w:t>星号之间的材料是新材料或改进材料</w:t>
      </w:r>
      <w:r w:rsidRPr="005578AA">
        <w:rPr>
          <w:rFonts w:hint="eastAsia"/>
          <w:sz w:val="28"/>
          <w:szCs w:val="28"/>
        </w:rPr>
        <w:t>*</w:t>
      </w:r>
    </w:p>
    <w:p w:rsidR="00083154" w:rsidRPr="005578AA" w:rsidRDefault="0099546F" w:rsidP="00B723B2">
      <w:pPr>
        <w:pStyle w:val="a3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发布日期：</w:t>
      </w:r>
      <w:r w:rsidRPr="005578AA">
        <w:rPr>
          <w:rFonts w:hint="eastAsia"/>
          <w:sz w:val="28"/>
          <w:szCs w:val="28"/>
        </w:rPr>
        <w:t>1977</w:t>
      </w:r>
      <w:r w:rsidRPr="005578AA">
        <w:rPr>
          <w:rFonts w:hint="eastAsia"/>
          <w:sz w:val="28"/>
          <w:szCs w:val="28"/>
        </w:rPr>
        <w:t>年</w:t>
      </w:r>
      <w:r w:rsidRPr="005578AA">
        <w:rPr>
          <w:rFonts w:hint="eastAsia"/>
          <w:sz w:val="28"/>
          <w:szCs w:val="28"/>
        </w:rPr>
        <w:t>11</w:t>
      </w:r>
      <w:r w:rsidRPr="005578AA">
        <w:rPr>
          <w:rFonts w:hint="eastAsia"/>
          <w:sz w:val="28"/>
          <w:szCs w:val="28"/>
        </w:rPr>
        <w:t>月</w:t>
      </w:r>
      <w:r w:rsidRPr="005578AA">
        <w:rPr>
          <w:rFonts w:hint="eastAsia"/>
          <w:sz w:val="28"/>
          <w:szCs w:val="28"/>
        </w:rPr>
        <w:t>15</w:t>
      </w:r>
      <w:r w:rsidRPr="005578AA">
        <w:rPr>
          <w:rFonts w:hint="eastAsia"/>
          <w:sz w:val="28"/>
          <w:szCs w:val="28"/>
        </w:rPr>
        <w:t>日</w:t>
      </w:r>
    </w:p>
    <w:p w:rsidR="0099546F" w:rsidRPr="005578AA" w:rsidRDefault="0099546F" w:rsidP="00B723B2">
      <w:pPr>
        <w:pStyle w:val="a3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再发行日期：</w:t>
      </w:r>
      <w:r w:rsidRPr="005578AA">
        <w:rPr>
          <w:rFonts w:hint="eastAsia"/>
          <w:sz w:val="28"/>
          <w:szCs w:val="28"/>
        </w:rPr>
        <w:t>1980</w:t>
      </w:r>
      <w:r w:rsidRPr="005578AA">
        <w:rPr>
          <w:rFonts w:hint="eastAsia"/>
          <w:sz w:val="28"/>
          <w:szCs w:val="28"/>
        </w:rPr>
        <w:t>年</w:t>
      </w:r>
      <w:r w:rsidRPr="005578AA">
        <w:rPr>
          <w:rFonts w:hint="eastAsia"/>
          <w:sz w:val="28"/>
          <w:szCs w:val="28"/>
        </w:rPr>
        <w:t>10</w:t>
      </w:r>
      <w:r w:rsidRPr="005578AA">
        <w:rPr>
          <w:rFonts w:hint="eastAsia"/>
          <w:sz w:val="28"/>
          <w:szCs w:val="28"/>
        </w:rPr>
        <w:t>月</w:t>
      </w:r>
      <w:r w:rsidRPr="005578AA">
        <w:rPr>
          <w:rFonts w:hint="eastAsia"/>
          <w:sz w:val="28"/>
          <w:szCs w:val="28"/>
        </w:rPr>
        <w:t>1</w:t>
      </w:r>
      <w:r w:rsidRPr="005578AA">
        <w:rPr>
          <w:rFonts w:hint="eastAsia"/>
          <w:sz w:val="28"/>
          <w:szCs w:val="28"/>
        </w:rPr>
        <w:t>日</w:t>
      </w:r>
    </w:p>
    <w:p w:rsidR="00083154" w:rsidRPr="005578AA" w:rsidRDefault="0099546F" w:rsidP="005578A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5578AA">
        <w:rPr>
          <w:rFonts w:hint="eastAsia"/>
          <w:sz w:val="28"/>
          <w:szCs w:val="28"/>
        </w:rPr>
        <w:t>修订日期：</w:t>
      </w:r>
      <w:r w:rsidRPr="005578AA">
        <w:rPr>
          <w:rFonts w:hint="eastAsia"/>
          <w:sz w:val="28"/>
          <w:szCs w:val="28"/>
        </w:rPr>
        <w:t>1987</w:t>
      </w:r>
      <w:r w:rsidRPr="005578AA">
        <w:rPr>
          <w:rFonts w:hint="eastAsia"/>
          <w:sz w:val="28"/>
          <w:szCs w:val="28"/>
        </w:rPr>
        <w:t>年</w:t>
      </w:r>
      <w:r w:rsidRPr="005578AA">
        <w:rPr>
          <w:rFonts w:hint="eastAsia"/>
          <w:sz w:val="28"/>
          <w:szCs w:val="28"/>
        </w:rPr>
        <w:t>9</w:t>
      </w:r>
      <w:r w:rsidRPr="005578AA">
        <w:rPr>
          <w:rFonts w:hint="eastAsia"/>
          <w:sz w:val="28"/>
          <w:szCs w:val="28"/>
        </w:rPr>
        <w:t>月</w:t>
      </w:r>
      <w:r w:rsidRPr="005578AA">
        <w:rPr>
          <w:rFonts w:hint="eastAsia"/>
          <w:sz w:val="28"/>
          <w:szCs w:val="28"/>
        </w:rPr>
        <w:t>24</w:t>
      </w:r>
      <w:r w:rsidRPr="005578AA"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083154" w:rsidRDefault="00083154" w:rsidP="005578AA">
      <w:pPr>
        <w:overflowPunct w:val="0"/>
        <w:snapToGrid w:val="0"/>
        <w:spacing w:afterLines="100" w:after="240" w:line="30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D11659" w:rsidTr="00D11659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D11659" w:rsidRDefault="00BC7412" w:rsidP="00D1165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de-DE" w:eastAsia="en-US"/>
              </w:rPr>
            </w:pPr>
            <w:hyperlink r:id="rId7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更多的合</w:t>
              </w:r>
              <w:proofErr w:type="gramStart"/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规</w:t>
              </w:r>
              <w:proofErr w:type="gramEnd"/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政策指南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Manual/default.htm)</w:t>
              </w:r>
            </w:hyperlink>
          </w:p>
        </w:tc>
      </w:tr>
      <w:tr w:rsidR="00D11659" w:rsidTr="00D11659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11659" w:rsidRDefault="00BC7412" w:rsidP="00D1165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de-DE" w:eastAsia="en-US"/>
              </w:rPr>
            </w:pPr>
            <w:hyperlink r:id="rId8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前言：合</w:t>
              </w:r>
              <w:proofErr w:type="gramStart"/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规</w:t>
              </w:r>
              <w:proofErr w:type="gramEnd"/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政策指南（</w:t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CPG</w:t>
              </w:r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）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Manual/ucm116271.htm)</w:t>
              </w:r>
            </w:hyperlink>
          </w:p>
        </w:tc>
      </w:tr>
      <w:tr w:rsidR="00D11659" w:rsidTr="00D1165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11659" w:rsidRDefault="00BC7412" w:rsidP="00D1165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de-DE" w:eastAsia="en-US"/>
              </w:rPr>
            </w:pPr>
            <w:hyperlink r:id="rId9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第一章</w:t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通则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Manual/ucm116280.htm)</w:t>
              </w:r>
            </w:hyperlink>
          </w:p>
        </w:tc>
      </w:tr>
      <w:tr w:rsidR="00D11659" w:rsidTr="00D1165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11659" w:rsidRDefault="00BC7412" w:rsidP="00D1165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de-DE" w:eastAsia="en-US"/>
              </w:rPr>
            </w:pPr>
            <w:hyperlink r:id="rId10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第二章</w:t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生物制剂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Manual/ucm116336.htm)</w:t>
              </w:r>
            </w:hyperlink>
          </w:p>
        </w:tc>
      </w:tr>
      <w:tr w:rsidR="00D11659" w:rsidTr="00D1165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11659" w:rsidRDefault="00BC7412" w:rsidP="00D1165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eastAsia="en-US"/>
              </w:rPr>
            </w:pPr>
            <w:hyperlink r:id="rId11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第三章</w:t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器械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Manual/ucm116801.htm)</w:t>
              </w:r>
            </w:hyperlink>
          </w:p>
        </w:tc>
      </w:tr>
      <w:tr w:rsidR="00D11659" w:rsidTr="00D1165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11659" w:rsidRDefault="00BC7412" w:rsidP="00D1165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de-DE" w:eastAsia="en-US"/>
              </w:rPr>
            </w:pPr>
            <w:hyperlink r:id="rId12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第四章</w:t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人用药品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Manual/ucm119572.htm)</w:t>
              </w:r>
            </w:hyperlink>
          </w:p>
        </w:tc>
      </w:tr>
      <w:tr w:rsidR="00D11659" w:rsidTr="00D1165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11659" w:rsidRDefault="00BC7412" w:rsidP="00D1165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de-DE" w:eastAsia="en-US"/>
              </w:rPr>
            </w:pPr>
            <w:hyperlink r:id="rId13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第五章</w:t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食品、颜料和化妆品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Manual/ucm119194.htm)</w:t>
              </w:r>
            </w:hyperlink>
          </w:p>
        </w:tc>
      </w:tr>
      <w:tr w:rsidR="00D11659" w:rsidTr="00D1165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11659" w:rsidRDefault="00BC7412" w:rsidP="00D11659">
            <w:pPr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de-DE" w:eastAsia="en-US"/>
              </w:rPr>
            </w:pPr>
            <w:hyperlink r:id="rId14" w:history="1"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第六章</w:t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D11659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</w:rPr>
                <w:t>兽医医学</w:t>
              </w:r>
              <w:r w:rsidR="00D11659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D11659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Manual/ucm117042.htm)</w:t>
              </w:r>
            </w:hyperlink>
          </w:p>
        </w:tc>
      </w:tr>
    </w:tbl>
    <w:p w:rsidR="00443D36" w:rsidRDefault="00443D36" w:rsidP="009C415E">
      <w:pPr>
        <w:overflowPunct w:val="0"/>
        <w:snapToGrid w:val="0"/>
        <w:spacing w:afterLines="100" w:after="240" w:line="300" w:lineRule="auto"/>
        <w:jc w:val="both"/>
      </w:pPr>
    </w:p>
    <w:sectPr w:rsidR="00443D36" w:rsidSect="005578AA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12" w:rsidRDefault="00BC7412">
      <w:r>
        <w:separator/>
      </w:r>
    </w:p>
  </w:endnote>
  <w:endnote w:type="continuationSeparator" w:id="0">
    <w:p w:rsidR="00BC7412" w:rsidRDefault="00BC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95" w:rsidRPr="00A31D95" w:rsidRDefault="00A31D95" w:rsidP="00A31D95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A31D95">
      <w:rPr>
        <w:rFonts w:ascii="Arial" w:eastAsia="宋体" w:hAnsi="Arial" w:cs="Arial"/>
        <w:sz w:val="15"/>
        <w:szCs w:val="15"/>
      </w:rPr>
      <w:t>https://</w:t>
    </w:r>
    <w:hyperlink r:id="rId1">
      <w:r w:rsidRPr="00A31D95">
        <w:rPr>
          <w:rFonts w:ascii="Arial" w:eastAsia="宋体" w:hAnsi="Arial" w:cs="Arial"/>
          <w:sz w:val="15"/>
          <w:szCs w:val="15"/>
        </w:rPr>
        <w:t>www.fda.gov/ICECI/ComplianceManuals/CompliancePolicyGuidanceManual/ucm073897.htm</w:t>
      </w:r>
    </w:hyperlink>
    <w:r w:rsidRPr="00A31D95">
      <w:rPr>
        <w:rFonts w:ascii="Arial" w:eastAsia="宋体" w:hAnsi="Arial" w:cs="Arial"/>
        <w:sz w:val="15"/>
        <w:szCs w:val="15"/>
      </w:rPr>
      <w:tab/>
    </w:r>
    <w:r w:rsidRPr="00A31D95">
      <w:rPr>
        <w:rFonts w:ascii="Arial" w:hAnsi="Arial" w:cs="Arial"/>
        <w:sz w:val="15"/>
        <w:szCs w:val="15"/>
      </w:rPr>
      <w:fldChar w:fldCharType="begin"/>
    </w:r>
    <w:r w:rsidRPr="00A31D95">
      <w:rPr>
        <w:rFonts w:ascii="Arial" w:eastAsia="宋体" w:hAnsi="Arial" w:cs="Arial"/>
        <w:sz w:val="15"/>
        <w:szCs w:val="15"/>
      </w:rPr>
      <w:instrText xml:space="preserve"> PAGE </w:instrText>
    </w:r>
    <w:r w:rsidRPr="00A31D95">
      <w:rPr>
        <w:rFonts w:ascii="Arial" w:hAnsi="Arial" w:cs="Arial"/>
        <w:sz w:val="15"/>
        <w:szCs w:val="15"/>
      </w:rPr>
      <w:fldChar w:fldCharType="separate"/>
    </w:r>
    <w:r w:rsidR="00403C52">
      <w:rPr>
        <w:rFonts w:ascii="Arial" w:eastAsia="宋体" w:hAnsi="Arial" w:cs="Arial"/>
        <w:noProof/>
        <w:sz w:val="15"/>
        <w:szCs w:val="15"/>
      </w:rPr>
      <w:t>2</w:t>
    </w:r>
    <w:r w:rsidRPr="00A31D95">
      <w:rPr>
        <w:rFonts w:ascii="Arial" w:hAnsi="Arial" w:cs="Arial"/>
        <w:sz w:val="15"/>
        <w:szCs w:val="15"/>
      </w:rPr>
      <w:fldChar w:fldCharType="end"/>
    </w:r>
    <w:r w:rsidRPr="00A31D95">
      <w:rPr>
        <w:rFonts w:ascii="Arial" w:eastAsia="宋体" w:hAnsi="Arial" w:cs="Arial"/>
        <w:sz w:val="15"/>
        <w:szCs w:val="15"/>
      </w:rPr>
      <w:t>/2</w:t>
    </w:r>
  </w:p>
  <w:p w:rsidR="00083154" w:rsidRPr="00A31D95" w:rsidRDefault="00083154" w:rsidP="00A31D95">
    <w:pPr>
      <w:tabs>
        <w:tab w:val="right" w:pos="10773"/>
      </w:tabs>
      <w:spacing w:line="14" w:lineRule="auto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12" w:rsidRDefault="00BC7412">
      <w:r>
        <w:separator/>
      </w:r>
    </w:p>
  </w:footnote>
  <w:footnote w:type="continuationSeparator" w:id="0">
    <w:p w:rsidR="00BC7412" w:rsidRDefault="00BC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95" w:rsidRPr="00A31D95" w:rsidRDefault="00A31D95" w:rsidP="00A31D95">
    <w:pPr>
      <w:tabs>
        <w:tab w:val="left" w:pos="3119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A31D95">
      <w:rPr>
        <w:rFonts w:ascii="Arial" w:eastAsia="宋体" w:hint="eastAsia"/>
        <w:sz w:val="15"/>
        <w:szCs w:val="15"/>
      </w:rPr>
      <w:t>2017</w:t>
    </w:r>
    <w:r w:rsidRPr="00A31D95">
      <w:rPr>
        <w:rFonts w:ascii="Arial" w:eastAsia="宋体" w:hint="eastAsia"/>
        <w:sz w:val="15"/>
        <w:szCs w:val="15"/>
      </w:rPr>
      <w:t>年</w:t>
    </w:r>
    <w:r w:rsidRPr="00A31D95">
      <w:rPr>
        <w:rFonts w:ascii="Arial" w:eastAsia="宋体" w:hint="eastAsia"/>
        <w:sz w:val="15"/>
        <w:szCs w:val="15"/>
      </w:rPr>
      <w:t>8</w:t>
    </w:r>
    <w:r w:rsidRPr="00A31D95">
      <w:rPr>
        <w:rFonts w:ascii="Arial" w:eastAsia="宋体" w:hint="eastAsia"/>
        <w:sz w:val="15"/>
        <w:szCs w:val="15"/>
      </w:rPr>
      <w:t>月</w:t>
    </w:r>
    <w:r w:rsidRPr="00A31D95">
      <w:rPr>
        <w:rFonts w:ascii="Arial" w:eastAsia="宋体" w:hint="eastAsia"/>
        <w:sz w:val="15"/>
        <w:szCs w:val="15"/>
      </w:rPr>
      <w:t>10</w:t>
    </w:r>
    <w:r w:rsidRPr="00A31D95">
      <w:rPr>
        <w:rFonts w:ascii="Arial" w:eastAsia="宋体" w:hint="eastAsia"/>
        <w:sz w:val="15"/>
        <w:szCs w:val="15"/>
      </w:rPr>
      <w:t>日</w:t>
    </w:r>
    <w:r w:rsidRPr="00A31D95">
      <w:rPr>
        <w:rFonts w:ascii="Arial" w:eastAsia="宋体" w:hint="eastAsia"/>
        <w:sz w:val="15"/>
        <w:szCs w:val="15"/>
      </w:rPr>
      <w:tab/>
    </w:r>
    <w:r w:rsidRPr="00A31D95">
      <w:rPr>
        <w:rFonts w:ascii="Arial" w:eastAsia="宋体" w:hint="eastAsia"/>
        <w:sz w:val="15"/>
        <w:szCs w:val="15"/>
      </w:rPr>
      <w:t>合</w:t>
    </w:r>
    <w:proofErr w:type="gramStart"/>
    <w:r w:rsidRPr="00A31D95">
      <w:rPr>
        <w:rFonts w:ascii="Arial" w:eastAsia="宋体" w:hint="eastAsia"/>
        <w:sz w:val="15"/>
        <w:szCs w:val="15"/>
      </w:rPr>
      <w:t>规</w:t>
    </w:r>
    <w:proofErr w:type="gramEnd"/>
    <w:r w:rsidRPr="00A31D95">
      <w:rPr>
        <w:rFonts w:ascii="Arial" w:eastAsia="宋体" w:hint="eastAsia"/>
        <w:sz w:val="15"/>
        <w:szCs w:val="15"/>
      </w:rPr>
      <w:t>政策指南</w:t>
    </w:r>
    <w:r w:rsidRPr="00A31D95">
      <w:rPr>
        <w:rFonts w:ascii="Arial" w:eastAsia="宋体" w:hint="eastAsia"/>
        <w:sz w:val="15"/>
        <w:szCs w:val="15"/>
      </w:rPr>
      <w:t>&gt;CPG</w:t>
    </w:r>
    <w:r w:rsidRPr="00A31D95">
      <w:rPr>
        <w:rFonts w:ascii="Arial" w:eastAsia="宋体" w:hint="eastAsia"/>
        <w:sz w:val="15"/>
        <w:szCs w:val="15"/>
      </w:rPr>
      <w:t>章节</w:t>
    </w:r>
    <w:r w:rsidRPr="00A31D95">
      <w:rPr>
        <w:rFonts w:ascii="Arial" w:eastAsia="宋体" w:hint="eastAsia"/>
        <w:sz w:val="15"/>
        <w:szCs w:val="15"/>
      </w:rPr>
      <w:t xml:space="preserve">325.100 </w:t>
    </w:r>
    <w:proofErr w:type="spellStart"/>
    <w:r w:rsidRPr="00A31D95">
      <w:rPr>
        <w:rFonts w:ascii="Arial" w:eastAsia="宋体" w:hint="eastAsia"/>
        <w:sz w:val="15"/>
        <w:szCs w:val="15"/>
      </w:rPr>
      <w:t>Karaya</w:t>
    </w:r>
    <w:proofErr w:type="spellEnd"/>
    <w:r w:rsidRPr="00A31D95">
      <w:rPr>
        <w:rFonts w:ascii="Arial" w:eastAsia="宋体" w:hint="eastAsia"/>
        <w:sz w:val="15"/>
        <w:szCs w:val="15"/>
      </w:rPr>
      <w:t>橡胶粉和造口者使用的相关器械</w:t>
    </w:r>
  </w:p>
  <w:p w:rsidR="00A31D95" w:rsidRPr="00A31D95" w:rsidRDefault="00A31D95" w:rsidP="00A31D9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A31D95" w:rsidRPr="00A31D95" w:rsidRDefault="00A31D95" w:rsidP="00A31D9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A31D95" w:rsidRPr="00A31D95" w:rsidRDefault="00A31D95" w:rsidP="00A31D9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083154" w:rsidRPr="00A31D95" w:rsidRDefault="00083154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54"/>
    <w:rsid w:val="000242CC"/>
    <w:rsid w:val="00083154"/>
    <w:rsid w:val="00403C52"/>
    <w:rsid w:val="00443D36"/>
    <w:rsid w:val="004471D3"/>
    <w:rsid w:val="005578AA"/>
    <w:rsid w:val="0099546F"/>
    <w:rsid w:val="009C415E"/>
    <w:rsid w:val="00A31D95"/>
    <w:rsid w:val="00B723B2"/>
    <w:rsid w:val="00BC7412"/>
    <w:rsid w:val="00D11659"/>
    <w:rsid w:val="00E8143A"/>
    <w:rsid w:val="00F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31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1D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1D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1D9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116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31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1D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1D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1D9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11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9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2017-11-10T01:16:00Z</dcterms:created>
  <dcterms:modified xsi:type="dcterms:W3CDTF">2017-11-10T01:16:00Z</dcterms:modified>
</cp:coreProperties>
</file>