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EDD" w:rsidRDefault="00377EDD" w:rsidP="00377EDD">
      <w:pPr>
        <w:spacing w:before="187"/>
      </w:pPr>
    </w:p>
    <w:p w:rsidR="00A1280D" w:rsidRPr="00377EDD" w:rsidRDefault="00A1280D" w:rsidP="00377EDD">
      <w:pPr>
        <w:pBdr>
          <w:bottom w:val="single" w:sz="4" w:space="1" w:color="auto"/>
        </w:pBdr>
        <w:spacing w:before="187"/>
        <w:jc w:val="center"/>
        <w:rPr>
          <w:b/>
          <w:sz w:val="48"/>
          <w:szCs w:val="48"/>
        </w:rPr>
      </w:pPr>
      <w:r w:rsidRPr="00377EDD">
        <w:rPr>
          <w:rFonts w:hint="eastAsia"/>
          <w:b/>
          <w:sz w:val="48"/>
          <w:szCs w:val="48"/>
        </w:rPr>
        <w:t>申办方</w:t>
      </w:r>
      <w:r w:rsidRPr="00377EDD">
        <w:rPr>
          <w:b/>
          <w:sz w:val="48"/>
          <w:szCs w:val="48"/>
        </w:rPr>
        <w:t>、</w:t>
      </w:r>
      <w:r w:rsidRPr="00377EDD">
        <w:rPr>
          <w:rFonts w:hint="eastAsia"/>
          <w:b/>
          <w:sz w:val="48"/>
          <w:szCs w:val="48"/>
        </w:rPr>
        <w:t>机构审查委员会、临床研究者和</w:t>
      </w:r>
      <w:r w:rsidRPr="00377EDD">
        <w:rPr>
          <w:b/>
          <w:sz w:val="48"/>
          <w:szCs w:val="48"/>
        </w:rPr>
        <w:t>FDA</w:t>
      </w:r>
      <w:r w:rsidRPr="00377EDD">
        <w:rPr>
          <w:rFonts w:hint="eastAsia"/>
          <w:b/>
          <w:sz w:val="48"/>
          <w:szCs w:val="48"/>
        </w:rPr>
        <w:t>工作人员指南</w:t>
      </w:r>
    </w:p>
    <w:p w:rsidR="00A1280D" w:rsidRPr="00377EDD" w:rsidRDefault="00A1280D" w:rsidP="00377EDD">
      <w:pPr>
        <w:spacing w:before="187"/>
        <w:jc w:val="center"/>
        <w:rPr>
          <w:b/>
          <w:sz w:val="44"/>
          <w:szCs w:val="44"/>
        </w:rPr>
      </w:pPr>
      <w:r w:rsidRPr="00377EDD">
        <w:rPr>
          <w:rFonts w:hint="eastAsia"/>
          <w:b/>
          <w:sz w:val="44"/>
          <w:szCs w:val="44"/>
        </w:rPr>
        <w:t>使用不能单独识别的剩余人类受试者进行体外诊断试剂研究的知情同意指南</w:t>
      </w:r>
    </w:p>
    <w:p w:rsidR="00377EDD" w:rsidRDefault="00377EDD" w:rsidP="00377EDD">
      <w:pPr>
        <w:spacing w:before="187"/>
      </w:pPr>
      <w:bookmarkStart w:id="0" w:name="_GoBack"/>
      <w:bookmarkEnd w:id="0"/>
    </w:p>
    <w:p w:rsidR="00A1280D" w:rsidRPr="00377EDD" w:rsidRDefault="00A1280D" w:rsidP="00377EDD">
      <w:pPr>
        <w:spacing w:before="187"/>
        <w:jc w:val="center"/>
        <w:rPr>
          <w:b/>
        </w:rPr>
      </w:pPr>
      <w:r w:rsidRPr="00377EDD">
        <w:rPr>
          <w:rFonts w:hint="eastAsia"/>
          <w:b/>
        </w:rPr>
        <w:t>文件发布日期</w:t>
      </w:r>
      <w:r w:rsidRPr="00377EDD">
        <w:rPr>
          <w:b/>
        </w:rPr>
        <w:t>2006</w:t>
      </w:r>
      <w:r w:rsidRPr="00377EDD">
        <w:rPr>
          <w:rFonts w:hint="eastAsia"/>
          <w:b/>
        </w:rPr>
        <w:t>年</w:t>
      </w:r>
      <w:r w:rsidRPr="00377EDD">
        <w:rPr>
          <w:b/>
        </w:rPr>
        <w:t>4</w:t>
      </w:r>
      <w:r w:rsidRPr="00377EDD">
        <w:rPr>
          <w:rFonts w:hint="eastAsia"/>
          <w:b/>
        </w:rPr>
        <w:t>月</w:t>
      </w:r>
      <w:r w:rsidRPr="00377EDD">
        <w:rPr>
          <w:b/>
        </w:rPr>
        <w:t>25</w:t>
      </w:r>
      <w:r w:rsidRPr="00377EDD">
        <w:rPr>
          <w:rFonts w:hint="eastAsia"/>
          <w:b/>
        </w:rPr>
        <w:t>日</w:t>
      </w:r>
    </w:p>
    <w:p w:rsidR="00A1280D" w:rsidRPr="00377EDD" w:rsidRDefault="00A1280D" w:rsidP="00377EDD">
      <w:pPr>
        <w:spacing w:before="187"/>
      </w:pPr>
      <w:r w:rsidRPr="00377EDD">
        <w:rPr>
          <w:rFonts w:hint="eastAsia"/>
        </w:rPr>
        <w:t>有关本文件的问题，请联系</w:t>
      </w:r>
      <w:r w:rsidRPr="00377EDD">
        <w:t xml:space="preserve">Sally </w:t>
      </w:r>
      <w:proofErr w:type="spellStart"/>
      <w:r w:rsidRPr="00377EDD">
        <w:t>Hojvat</w:t>
      </w:r>
      <w:proofErr w:type="spellEnd"/>
      <w:r w:rsidRPr="00377EDD">
        <w:rPr>
          <w:rFonts w:hint="eastAsia"/>
        </w:rPr>
        <w:t>博士，电话：</w:t>
      </w:r>
      <w:r w:rsidRPr="00377EDD">
        <w:t>240-276-0496</w:t>
      </w:r>
      <w:r w:rsidRPr="00377EDD">
        <w:rPr>
          <w:rFonts w:hint="eastAsia"/>
        </w:rPr>
        <w:t>或发送电子邮件至</w:t>
      </w:r>
      <w:r w:rsidRPr="00377EDD">
        <w:t>sally.hojvat@fda.hhs.gov</w:t>
      </w:r>
      <w:r w:rsidRPr="00377EDD">
        <w:rPr>
          <w:rFonts w:hint="eastAsia"/>
        </w:rPr>
        <w:t>。</w:t>
      </w:r>
    </w:p>
    <w:p w:rsidR="00A1280D" w:rsidRDefault="00A1280D" w:rsidP="00377EDD">
      <w:pPr>
        <w:spacing w:before="187"/>
      </w:pPr>
    </w:p>
    <w:p w:rsidR="00377EDD" w:rsidRPr="00377EDD" w:rsidRDefault="00377EDD" w:rsidP="00377EDD">
      <w:pPr>
        <w:spacing w:before="187"/>
      </w:pPr>
    </w:p>
    <w:p w:rsidR="00377EDD" w:rsidRPr="00377EDD" w:rsidRDefault="00A1280D" w:rsidP="00377EDD">
      <w:pPr>
        <w:spacing w:before="187"/>
        <w:jc w:val="right"/>
      </w:pPr>
      <w:r w:rsidRPr="00377EDD">
        <w:rPr>
          <w:b/>
          <w:noProof/>
        </w:rPr>
        <w:drawing>
          <wp:anchor distT="0" distB="250190" distL="63500" distR="951230" simplePos="0" relativeHeight="251659264" behindDoc="1" locked="0" layoutInCell="1" allowOverlap="1" wp14:anchorId="61CF1774" wp14:editId="60C3B58C">
            <wp:simplePos x="0" y="0"/>
            <wp:positionH relativeFrom="margin">
              <wp:posOffset>-107315</wp:posOffset>
            </wp:positionH>
            <wp:positionV relativeFrom="paragraph">
              <wp:posOffset>98425</wp:posOffset>
            </wp:positionV>
            <wp:extent cx="883920" cy="987425"/>
            <wp:effectExtent l="0" t="0" r="0" b="3175"/>
            <wp:wrapSquare wrapText="right"/>
            <wp:docPr id="4" name="图片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3920" cy="987425"/>
                    </a:xfrm>
                    <a:prstGeom prst="rect">
                      <a:avLst/>
                    </a:prstGeom>
                    <a:noFill/>
                  </pic:spPr>
                </pic:pic>
              </a:graphicData>
            </a:graphic>
            <wp14:sizeRelH relativeFrom="page">
              <wp14:pctWidth>0</wp14:pctWidth>
            </wp14:sizeRelH>
            <wp14:sizeRelV relativeFrom="page">
              <wp14:pctHeight>0</wp14:pctHeight>
            </wp14:sizeRelV>
          </wp:anchor>
        </w:drawing>
      </w:r>
      <w:r w:rsidRPr="00377EDD">
        <w:rPr>
          <w:rFonts w:hint="eastAsia"/>
          <w:b/>
        </w:rPr>
        <w:t>美国卫生与公众服务部</w:t>
      </w:r>
      <w:r w:rsidR="00377EDD" w:rsidRPr="00377EDD">
        <w:rPr>
          <w:b/>
        </w:rPr>
        <w:br/>
      </w:r>
      <w:r w:rsidRPr="00377EDD">
        <w:rPr>
          <w:rFonts w:hint="eastAsia"/>
          <w:b/>
        </w:rPr>
        <w:t>食品药品监督管理局</w:t>
      </w:r>
      <w:r w:rsidR="00377EDD" w:rsidRPr="00377EDD">
        <w:rPr>
          <w:b/>
        </w:rPr>
        <w:br/>
      </w:r>
      <w:r w:rsidRPr="00377EDD">
        <w:rPr>
          <w:rFonts w:hint="eastAsia"/>
          <w:b/>
        </w:rPr>
        <w:t>器械与放射健康中心</w:t>
      </w:r>
      <w:r w:rsidR="00377EDD" w:rsidRPr="00377EDD">
        <w:rPr>
          <w:b/>
        </w:rPr>
        <w:br/>
      </w:r>
      <w:r w:rsidR="00377EDD" w:rsidRPr="00377EDD">
        <w:rPr>
          <w:rFonts w:hint="eastAsia"/>
          <w:b/>
        </w:rPr>
        <w:t>体外诊断试剂评估和安全办公室</w:t>
      </w:r>
    </w:p>
    <w:p w:rsidR="00A1280D" w:rsidRPr="00377EDD" w:rsidRDefault="00A1280D" w:rsidP="00377EDD">
      <w:pPr>
        <w:spacing w:before="187"/>
        <w:jc w:val="right"/>
        <w:rPr>
          <w:b/>
        </w:rPr>
      </w:pPr>
      <w:r w:rsidRPr="00377EDD">
        <w:rPr>
          <w:rFonts w:hint="eastAsia"/>
          <w:b/>
        </w:rPr>
        <w:t>生物学评价和研究中心</w:t>
      </w:r>
      <w:r w:rsidR="00377EDD" w:rsidRPr="00377EDD">
        <w:rPr>
          <w:b/>
        </w:rPr>
        <w:br/>
      </w:r>
      <w:r w:rsidRPr="00377EDD">
        <w:rPr>
          <w:rFonts w:hint="eastAsia"/>
          <w:b/>
        </w:rPr>
        <w:t>血液研究和审查办公室</w:t>
      </w:r>
    </w:p>
    <w:p w:rsidR="00A1280D" w:rsidRDefault="00A1280D" w:rsidP="00377EDD">
      <w:pPr>
        <w:spacing w:before="187"/>
      </w:pPr>
    </w:p>
    <w:p w:rsidR="00377EDD" w:rsidRPr="00377EDD" w:rsidRDefault="00377EDD" w:rsidP="00377EDD">
      <w:pPr>
        <w:spacing w:before="187"/>
      </w:pPr>
    </w:p>
    <w:p w:rsidR="00A1280D" w:rsidRPr="00377EDD" w:rsidRDefault="00A1280D" w:rsidP="00377EDD">
      <w:pPr>
        <w:spacing w:before="187"/>
        <w:jc w:val="center"/>
        <w:rPr>
          <w:b/>
        </w:rPr>
      </w:pPr>
      <w:r w:rsidRPr="00377EDD">
        <w:rPr>
          <w:rFonts w:hint="eastAsia"/>
          <w:b/>
        </w:rPr>
        <w:t>管理和预算办公室</w:t>
      </w:r>
      <w:r w:rsidRPr="00377EDD">
        <w:rPr>
          <w:rFonts w:hint="eastAsia"/>
          <w:b/>
        </w:rPr>
        <w:t xml:space="preserve"> </w:t>
      </w:r>
      <w:r w:rsidRPr="00377EDD">
        <w:rPr>
          <w:rFonts w:hint="eastAsia"/>
          <w:b/>
        </w:rPr>
        <w:t>控制编号</w:t>
      </w:r>
      <w:r w:rsidRPr="00377EDD">
        <w:rPr>
          <w:b/>
        </w:rPr>
        <w:t>0910-0582</w:t>
      </w:r>
    </w:p>
    <w:p w:rsidR="00A1280D" w:rsidRPr="00377EDD" w:rsidRDefault="00A1280D" w:rsidP="00377EDD">
      <w:pPr>
        <w:spacing w:before="187"/>
        <w:jc w:val="center"/>
        <w:rPr>
          <w:b/>
        </w:rPr>
      </w:pPr>
      <w:r w:rsidRPr="00377EDD">
        <w:rPr>
          <w:rFonts w:hint="eastAsia"/>
          <w:b/>
        </w:rPr>
        <w:t>截止日期：</w:t>
      </w:r>
      <w:r w:rsidRPr="00377EDD">
        <w:rPr>
          <w:rFonts w:hint="eastAsia"/>
          <w:b/>
        </w:rPr>
        <w:t>2016</w:t>
      </w:r>
      <w:r w:rsidRPr="00377EDD">
        <w:rPr>
          <w:rFonts w:hint="eastAsia"/>
          <w:b/>
        </w:rPr>
        <w:t>年</w:t>
      </w:r>
      <w:r w:rsidRPr="00377EDD">
        <w:rPr>
          <w:b/>
        </w:rPr>
        <w:t>4</w:t>
      </w:r>
      <w:r w:rsidRPr="00377EDD">
        <w:rPr>
          <w:rFonts w:hint="eastAsia"/>
          <w:b/>
        </w:rPr>
        <w:t>月</w:t>
      </w:r>
      <w:r w:rsidRPr="00377EDD">
        <w:rPr>
          <w:rFonts w:hint="eastAsia"/>
          <w:b/>
        </w:rPr>
        <w:t>30</w:t>
      </w:r>
      <w:r w:rsidRPr="00377EDD">
        <w:rPr>
          <w:rFonts w:hint="eastAsia"/>
          <w:b/>
        </w:rPr>
        <w:t>日</w:t>
      </w:r>
    </w:p>
    <w:p w:rsidR="00377EDD" w:rsidRPr="00377EDD" w:rsidRDefault="00A1280D" w:rsidP="00377EDD">
      <w:pPr>
        <w:spacing w:before="187"/>
        <w:jc w:val="center"/>
        <w:rPr>
          <w:b/>
        </w:rPr>
      </w:pPr>
      <w:r w:rsidRPr="00377EDD">
        <w:rPr>
          <w:rFonts w:hint="eastAsia"/>
          <w:b/>
        </w:rPr>
        <w:t>请参阅本指南第</w:t>
      </w:r>
      <w:r w:rsidRPr="00377EDD">
        <w:rPr>
          <w:b/>
        </w:rPr>
        <w:t>8</w:t>
      </w:r>
      <w:r w:rsidRPr="00377EDD">
        <w:rPr>
          <w:rFonts w:hint="eastAsia"/>
          <w:b/>
        </w:rPr>
        <w:t>节附加的文书削减法声明</w:t>
      </w:r>
    </w:p>
    <w:p w:rsidR="00A1280D" w:rsidRPr="00377EDD" w:rsidRDefault="00A1280D" w:rsidP="00377EDD">
      <w:pPr>
        <w:spacing w:before="187"/>
      </w:pPr>
      <w:r w:rsidRPr="00377EDD">
        <w:br w:type="page"/>
      </w:r>
    </w:p>
    <w:p w:rsidR="00A1280D" w:rsidRPr="00E64BF4" w:rsidRDefault="00A1280D" w:rsidP="00377EDD">
      <w:pPr>
        <w:spacing w:before="187"/>
        <w:jc w:val="center"/>
        <w:rPr>
          <w:b/>
          <w:sz w:val="44"/>
          <w:szCs w:val="44"/>
        </w:rPr>
      </w:pPr>
      <w:r w:rsidRPr="00E64BF4">
        <w:rPr>
          <w:rFonts w:hint="eastAsia"/>
          <w:b/>
          <w:sz w:val="44"/>
          <w:szCs w:val="44"/>
        </w:rPr>
        <w:lastRenderedPageBreak/>
        <w:t>前言</w:t>
      </w:r>
    </w:p>
    <w:p w:rsidR="00A1280D" w:rsidRPr="00377EDD" w:rsidRDefault="00A1280D" w:rsidP="00377EDD">
      <w:pPr>
        <w:spacing w:before="187"/>
        <w:rPr>
          <w:b/>
          <w:sz w:val="30"/>
          <w:szCs w:val="30"/>
        </w:rPr>
      </w:pPr>
      <w:r w:rsidRPr="00377EDD">
        <w:rPr>
          <w:rFonts w:hint="eastAsia"/>
          <w:b/>
          <w:sz w:val="30"/>
          <w:szCs w:val="30"/>
        </w:rPr>
        <w:t>公共评论</w:t>
      </w:r>
    </w:p>
    <w:p w:rsidR="00A1280D" w:rsidRPr="00377EDD" w:rsidRDefault="00A1280D" w:rsidP="00377EDD">
      <w:pPr>
        <w:spacing w:before="187"/>
      </w:pPr>
      <w:r w:rsidRPr="00377EDD">
        <w:t>书面</w:t>
      </w:r>
      <w:r w:rsidRPr="00377EDD">
        <w:rPr>
          <w:rFonts w:hint="eastAsia"/>
        </w:rPr>
        <w:t>评论</w:t>
      </w:r>
      <w:r w:rsidRPr="00377EDD">
        <w:t>和建议可以随时提交给食品药</w:t>
      </w:r>
      <w:r w:rsidRPr="00377EDD">
        <w:rPr>
          <w:rFonts w:hint="eastAsia"/>
        </w:rPr>
        <w:t>品</w:t>
      </w:r>
      <w:r w:rsidRPr="00377EDD">
        <w:t>监督管理局文档管理部，</w:t>
      </w:r>
      <w:r w:rsidRPr="00377EDD">
        <w:t>5630 Fishers Lane</w:t>
      </w:r>
      <w:r w:rsidRPr="00377EDD">
        <w:t>，</w:t>
      </w:r>
      <w:r w:rsidRPr="00377EDD">
        <w:t>1061</w:t>
      </w:r>
      <w:r w:rsidRPr="00377EDD">
        <w:t>室（</w:t>
      </w:r>
      <w:r w:rsidRPr="00377EDD">
        <w:t>HFA-305</w:t>
      </w:r>
      <w:r w:rsidRPr="00C565C7">
        <w:rPr>
          <w:rFonts w:hint="eastAsia"/>
        </w:rPr>
        <w:t>），</w:t>
      </w:r>
      <w:r w:rsidRPr="00377EDD">
        <w:t>Rockville, MD, 20852</w:t>
      </w:r>
      <w:r w:rsidRPr="00377EDD">
        <w:rPr>
          <w:rFonts w:hint="eastAsia"/>
        </w:rPr>
        <w:t>，</w:t>
      </w:r>
      <w:proofErr w:type="gramStart"/>
      <w:r w:rsidRPr="00377EDD">
        <w:rPr>
          <w:rFonts w:hint="eastAsia"/>
        </w:rPr>
        <w:t>供部门</w:t>
      </w:r>
      <w:proofErr w:type="gramEnd"/>
      <w:r w:rsidRPr="00377EDD">
        <w:rPr>
          <w:rFonts w:hint="eastAsia"/>
        </w:rPr>
        <w:t>审议。</w:t>
      </w:r>
      <w:r w:rsidRPr="00377EDD">
        <w:t>或者可以提交电子</w:t>
      </w:r>
      <w:r w:rsidRPr="00377EDD">
        <w:rPr>
          <w:rFonts w:hint="eastAsia"/>
        </w:rPr>
        <w:t>评论</w:t>
      </w:r>
      <w:r w:rsidRPr="00377EDD">
        <w:t>到</w:t>
      </w:r>
      <w:r w:rsidRPr="00377EDD">
        <w:t>http://www.fda.gov/dockets/ecomments</w:t>
      </w:r>
      <w:r w:rsidRPr="00377EDD">
        <w:t>。请使用</w:t>
      </w:r>
      <w:r w:rsidRPr="00377EDD">
        <w:rPr>
          <w:rFonts w:hint="eastAsia"/>
        </w:rPr>
        <w:t>文档</w:t>
      </w:r>
      <w:r w:rsidRPr="00377EDD">
        <w:t>号</w:t>
      </w:r>
      <w:r w:rsidRPr="00377EDD">
        <w:t>2006D-0150</w:t>
      </w:r>
      <w:r w:rsidRPr="00377EDD">
        <w:t>标识贵公司的</w:t>
      </w:r>
      <w:r w:rsidRPr="00377EDD">
        <w:rPr>
          <w:rFonts w:hint="eastAsia"/>
        </w:rPr>
        <w:t>评论</w:t>
      </w:r>
      <w:r w:rsidRPr="00377EDD">
        <w:t>。可能直到文件下次修订或更新时，意见才会被机构受理。</w:t>
      </w:r>
    </w:p>
    <w:p w:rsidR="00A1280D" w:rsidRPr="00377EDD" w:rsidRDefault="00A1280D" w:rsidP="00377EDD">
      <w:pPr>
        <w:spacing w:before="187"/>
        <w:rPr>
          <w:b/>
          <w:sz w:val="30"/>
          <w:szCs w:val="30"/>
        </w:rPr>
      </w:pPr>
      <w:r w:rsidRPr="00377EDD">
        <w:rPr>
          <w:rFonts w:hint="eastAsia"/>
          <w:b/>
          <w:sz w:val="30"/>
          <w:szCs w:val="30"/>
        </w:rPr>
        <w:t>其他副本</w:t>
      </w:r>
    </w:p>
    <w:p w:rsidR="00A1280D" w:rsidRPr="00377EDD" w:rsidRDefault="00A1280D" w:rsidP="00377EDD">
      <w:pPr>
        <w:spacing w:before="187"/>
      </w:pPr>
      <w:r w:rsidRPr="00377EDD">
        <w:t>其他副本可从互联网获得，网址为：</w:t>
      </w:r>
    </w:p>
    <w:p w:rsidR="00A1280D" w:rsidRPr="00377EDD" w:rsidRDefault="00A1280D" w:rsidP="00377EDD">
      <w:pPr>
        <w:spacing w:before="187"/>
      </w:pPr>
      <w:r w:rsidRPr="00377EDD">
        <w:t>http://www.fda.gov/cdrh/oivd/guidance/1588.pdf</w:t>
      </w:r>
      <w:r w:rsidRPr="00377EDD">
        <w:t>，或者要通过传真机接收此文档，请使用按键式电话致电</w:t>
      </w:r>
      <w:r w:rsidRPr="00377EDD">
        <w:t>CDRH</w:t>
      </w:r>
      <w:bookmarkStart w:id="1" w:name="OLE_LINK53"/>
      <w:bookmarkStart w:id="2" w:name="OLE_LINK54"/>
      <w:r w:rsidRPr="00377EDD">
        <w:t>资源索取自动回传系统</w:t>
      </w:r>
      <w:bookmarkEnd w:id="1"/>
      <w:bookmarkEnd w:id="2"/>
      <w:r w:rsidRPr="00377EDD">
        <w:t>800-899-0381</w:t>
      </w:r>
      <w:r w:rsidRPr="00377EDD">
        <w:t>或</w:t>
      </w:r>
      <w:r w:rsidRPr="00377EDD">
        <w:t>301-827- 0111</w:t>
      </w:r>
      <w:r w:rsidRPr="00377EDD">
        <w:t>。按</w:t>
      </w:r>
      <w:r w:rsidRPr="00377EDD">
        <w:t>1</w:t>
      </w:r>
      <w:r w:rsidRPr="00377EDD">
        <w:t>进入系统。在第二个语音提示下，按</w:t>
      </w:r>
      <w:r w:rsidRPr="00377EDD">
        <w:t>1</w:t>
      </w:r>
      <w:r w:rsidRPr="00377EDD">
        <w:t>订购文档。输入</w:t>
      </w:r>
      <w:r w:rsidRPr="00377EDD">
        <w:rPr>
          <w:rFonts w:hint="eastAsia"/>
        </w:rPr>
        <w:t>文档</w:t>
      </w:r>
      <w:r w:rsidRPr="00377EDD">
        <w:t>编号（</w:t>
      </w:r>
      <w:r w:rsidRPr="00377EDD">
        <w:t>1588</w:t>
      </w:r>
      <w:r w:rsidRPr="00377EDD">
        <w:t>），</w:t>
      </w:r>
      <w:r w:rsidRPr="00377EDD">
        <w:rPr>
          <w:rFonts w:hint="eastAsia"/>
        </w:rPr>
        <w:t>之后</w:t>
      </w:r>
      <w:proofErr w:type="gramStart"/>
      <w:r w:rsidRPr="00377EDD">
        <w:rPr>
          <w:rFonts w:hint="eastAsia"/>
        </w:rPr>
        <w:t>按</w:t>
      </w:r>
      <w:r w:rsidRPr="00377EDD">
        <w:t>井号</w:t>
      </w:r>
      <w:r w:rsidRPr="00377EDD">
        <w:rPr>
          <w:rFonts w:hint="eastAsia"/>
        </w:rPr>
        <w:t>键</w:t>
      </w:r>
      <w:proofErr w:type="gramEnd"/>
      <w:r w:rsidRPr="00377EDD">
        <w:t>（＃）。按照剩余的语音提示完成请求。</w:t>
      </w:r>
    </w:p>
    <w:p w:rsidR="00A1280D" w:rsidRDefault="00A1280D" w:rsidP="00377EDD">
      <w:pPr>
        <w:spacing w:before="187"/>
      </w:pPr>
      <w:r w:rsidRPr="00377EDD">
        <w:rPr>
          <w:rFonts w:hint="eastAsia"/>
        </w:rPr>
        <w:t>有关本指南使用或解释的问题，请联系：</w:t>
      </w:r>
      <w:r w:rsidRPr="00377EDD">
        <w:t xml:space="preserve">Sally </w:t>
      </w:r>
      <w:proofErr w:type="spellStart"/>
      <w:r w:rsidRPr="00377EDD">
        <w:t>Hojvat</w:t>
      </w:r>
      <w:proofErr w:type="spellEnd"/>
      <w:r w:rsidRPr="00377EDD">
        <w:rPr>
          <w:rFonts w:hint="eastAsia"/>
        </w:rPr>
        <w:t>，博士，电话</w:t>
      </w:r>
      <w:r w:rsidRPr="00377EDD">
        <w:t>240-276-0496</w:t>
      </w:r>
      <w:r w:rsidRPr="00377EDD">
        <w:rPr>
          <w:rFonts w:hint="eastAsia"/>
        </w:rPr>
        <w:t>或发送电子邮件至</w:t>
      </w:r>
      <w:r w:rsidRPr="00377EDD">
        <w:t>sally.hojvat@fda.hhs.gov</w:t>
      </w:r>
      <w:r w:rsidRPr="00377EDD">
        <w:rPr>
          <w:rFonts w:hint="eastAsia"/>
        </w:rPr>
        <w:t>。</w:t>
      </w:r>
    </w:p>
    <w:p w:rsidR="00377EDD" w:rsidRDefault="00377EDD" w:rsidP="00377EDD">
      <w:pPr>
        <w:spacing w:before="187"/>
      </w:pPr>
      <w:r>
        <w:br w:type="page"/>
      </w:r>
    </w:p>
    <w:p w:rsidR="00377EDD" w:rsidRPr="00377EDD" w:rsidRDefault="00377EDD" w:rsidP="00377EDD">
      <w:pPr>
        <w:spacing w:before="187"/>
        <w:jc w:val="center"/>
        <w:rPr>
          <w:b/>
          <w:sz w:val="32"/>
          <w:szCs w:val="32"/>
        </w:rPr>
      </w:pPr>
      <w:r w:rsidRPr="00377EDD">
        <w:rPr>
          <w:rFonts w:hint="eastAsia"/>
          <w:b/>
          <w:sz w:val="32"/>
          <w:szCs w:val="32"/>
        </w:rPr>
        <w:lastRenderedPageBreak/>
        <w:t>目录</w:t>
      </w:r>
    </w:p>
    <w:p w:rsidR="000B50B9" w:rsidRDefault="000B50B9" w:rsidP="000B50B9">
      <w:pPr>
        <w:pStyle w:val="12"/>
        <w:tabs>
          <w:tab w:val="left" w:pos="630"/>
          <w:tab w:val="right" w:leader="dot" w:pos="9060"/>
        </w:tabs>
        <w:spacing w:before="78"/>
        <w:ind w:left="480" w:right="480" w:hanging="480"/>
        <w:rPr>
          <w:rFonts w:asciiTheme="minorHAnsi" w:eastAsiaTheme="minorEastAsia" w:hAnsiTheme="minorHAnsi" w:cstheme="minorBidi"/>
          <w:noProof/>
          <w:color w:val="auto"/>
          <w:kern w:val="2"/>
          <w:sz w:val="21"/>
          <w:szCs w:val="22"/>
          <w:lang w:eastAsia="zh-CN" w:bidi="ar-SA"/>
        </w:rPr>
      </w:pPr>
      <w:r>
        <w:fldChar w:fldCharType="begin"/>
      </w:r>
      <w:r>
        <w:instrText xml:space="preserve"> </w:instrText>
      </w:r>
      <w:r>
        <w:rPr>
          <w:rFonts w:hint="eastAsia"/>
        </w:rPr>
        <w:instrText>TOC \o \h \z \u</w:instrText>
      </w:r>
      <w:r>
        <w:instrText xml:space="preserve"> </w:instrText>
      </w:r>
      <w:r>
        <w:fldChar w:fldCharType="separate"/>
      </w:r>
      <w:hyperlink w:anchor="_Toc479438308" w:history="1">
        <w:r w:rsidRPr="00874FC9">
          <w:rPr>
            <w:rStyle w:val="a7"/>
            <w:b/>
            <w:noProof/>
          </w:rPr>
          <w:t>1.</w:t>
        </w:r>
        <w:r>
          <w:rPr>
            <w:rFonts w:asciiTheme="minorHAnsi" w:eastAsiaTheme="minorEastAsia" w:hAnsiTheme="minorHAnsi" w:cstheme="minorBidi"/>
            <w:noProof/>
            <w:color w:val="auto"/>
            <w:kern w:val="2"/>
            <w:sz w:val="21"/>
            <w:szCs w:val="22"/>
            <w:lang w:eastAsia="zh-CN" w:bidi="ar-SA"/>
          </w:rPr>
          <w:tab/>
        </w:r>
        <w:r w:rsidRPr="00874FC9">
          <w:rPr>
            <w:rStyle w:val="a7"/>
            <w:rFonts w:hint="eastAsia"/>
            <w:b/>
            <w:noProof/>
          </w:rPr>
          <w:t>介绍</w:t>
        </w:r>
        <w:r>
          <w:rPr>
            <w:noProof/>
            <w:webHidden/>
          </w:rPr>
          <w:tab/>
        </w:r>
        <w:r>
          <w:rPr>
            <w:noProof/>
            <w:webHidden/>
          </w:rPr>
          <w:fldChar w:fldCharType="begin"/>
        </w:r>
        <w:r>
          <w:rPr>
            <w:noProof/>
            <w:webHidden/>
          </w:rPr>
          <w:instrText xml:space="preserve"> PAGEREF _Toc479438308 \h </w:instrText>
        </w:r>
        <w:r>
          <w:rPr>
            <w:noProof/>
            <w:webHidden/>
          </w:rPr>
        </w:r>
        <w:r>
          <w:rPr>
            <w:noProof/>
            <w:webHidden/>
          </w:rPr>
          <w:fldChar w:fldCharType="separate"/>
        </w:r>
        <w:r>
          <w:rPr>
            <w:noProof/>
            <w:webHidden/>
          </w:rPr>
          <w:t>4</w:t>
        </w:r>
        <w:r>
          <w:rPr>
            <w:noProof/>
            <w:webHidden/>
          </w:rPr>
          <w:fldChar w:fldCharType="end"/>
        </w:r>
      </w:hyperlink>
    </w:p>
    <w:p w:rsidR="000B50B9" w:rsidRDefault="00C565C7" w:rsidP="000B50B9">
      <w:pPr>
        <w:pStyle w:val="12"/>
        <w:tabs>
          <w:tab w:val="left" w:pos="630"/>
          <w:tab w:val="right" w:leader="dot" w:pos="9060"/>
        </w:tabs>
        <w:spacing w:before="78"/>
        <w:ind w:left="480" w:right="480" w:hanging="480"/>
        <w:rPr>
          <w:rFonts w:asciiTheme="minorHAnsi" w:eastAsiaTheme="minorEastAsia" w:hAnsiTheme="minorHAnsi" w:cstheme="minorBidi"/>
          <w:noProof/>
          <w:color w:val="auto"/>
          <w:kern w:val="2"/>
          <w:sz w:val="21"/>
          <w:szCs w:val="22"/>
          <w:lang w:eastAsia="zh-CN" w:bidi="ar-SA"/>
        </w:rPr>
      </w:pPr>
      <w:hyperlink w:anchor="_Toc479438309" w:history="1">
        <w:r w:rsidR="000B50B9" w:rsidRPr="00874FC9">
          <w:rPr>
            <w:rStyle w:val="a7"/>
            <w:b/>
            <w:noProof/>
          </w:rPr>
          <w:t>2.</w:t>
        </w:r>
        <w:r w:rsidR="000B50B9">
          <w:rPr>
            <w:rFonts w:asciiTheme="minorHAnsi" w:eastAsiaTheme="minorEastAsia" w:hAnsiTheme="minorHAnsi" w:cstheme="minorBidi"/>
            <w:noProof/>
            <w:color w:val="auto"/>
            <w:kern w:val="2"/>
            <w:sz w:val="21"/>
            <w:szCs w:val="22"/>
            <w:lang w:eastAsia="zh-CN" w:bidi="ar-SA"/>
          </w:rPr>
          <w:tab/>
        </w:r>
        <w:r w:rsidR="000B50B9" w:rsidRPr="00874FC9">
          <w:rPr>
            <w:rStyle w:val="a7"/>
            <w:rFonts w:hint="eastAsia"/>
            <w:b/>
            <w:noProof/>
          </w:rPr>
          <w:t>范围</w:t>
        </w:r>
        <w:r w:rsidR="000B50B9">
          <w:rPr>
            <w:noProof/>
            <w:webHidden/>
          </w:rPr>
          <w:tab/>
        </w:r>
        <w:r w:rsidR="000B50B9">
          <w:rPr>
            <w:noProof/>
            <w:webHidden/>
          </w:rPr>
          <w:fldChar w:fldCharType="begin"/>
        </w:r>
        <w:r w:rsidR="000B50B9">
          <w:rPr>
            <w:noProof/>
            <w:webHidden/>
          </w:rPr>
          <w:instrText xml:space="preserve"> PAGEREF _Toc479438309 \h </w:instrText>
        </w:r>
        <w:r w:rsidR="000B50B9">
          <w:rPr>
            <w:noProof/>
            <w:webHidden/>
          </w:rPr>
        </w:r>
        <w:r w:rsidR="000B50B9">
          <w:rPr>
            <w:noProof/>
            <w:webHidden/>
          </w:rPr>
          <w:fldChar w:fldCharType="separate"/>
        </w:r>
        <w:r w:rsidR="000B50B9">
          <w:rPr>
            <w:noProof/>
            <w:webHidden/>
          </w:rPr>
          <w:t>5</w:t>
        </w:r>
        <w:r w:rsidR="000B50B9">
          <w:rPr>
            <w:noProof/>
            <w:webHidden/>
          </w:rPr>
          <w:fldChar w:fldCharType="end"/>
        </w:r>
      </w:hyperlink>
    </w:p>
    <w:p w:rsidR="000B50B9" w:rsidRDefault="00C565C7" w:rsidP="000B50B9">
      <w:pPr>
        <w:pStyle w:val="12"/>
        <w:tabs>
          <w:tab w:val="left" w:pos="630"/>
          <w:tab w:val="right" w:leader="dot" w:pos="9060"/>
        </w:tabs>
        <w:spacing w:before="78"/>
        <w:ind w:left="480" w:right="480" w:hanging="480"/>
        <w:rPr>
          <w:rFonts w:asciiTheme="minorHAnsi" w:eastAsiaTheme="minorEastAsia" w:hAnsiTheme="minorHAnsi" w:cstheme="minorBidi"/>
          <w:noProof/>
          <w:color w:val="auto"/>
          <w:kern w:val="2"/>
          <w:sz w:val="21"/>
          <w:szCs w:val="22"/>
          <w:lang w:eastAsia="zh-CN" w:bidi="ar-SA"/>
        </w:rPr>
      </w:pPr>
      <w:hyperlink w:anchor="_Toc479438310" w:history="1">
        <w:r w:rsidR="000B50B9" w:rsidRPr="00874FC9">
          <w:rPr>
            <w:rStyle w:val="a7"/>
            <w:b/>
            <w:noProof/>
          </w:rPr>
          <w:t>3.</w:t>
        </w:r>
        <w:r w:rsidR="000B50B9">
          <w:rPr>
            <w:rFonts w:asciiTheme="minorHAnsi" w:eastAsiaTheme="minorEastAsia" w:hAnsiTheme="minorHAnsi" w:cstheme="minorBidi"/>
            <w:noProof/>
            <w:color w:val="auto"/>
            <w:kern w:val="2"/>
            <w:sz w:val="21"/>
            <w:szCs w:val="22"/>
            <w:lang w:eastAsia="zh-CN" w:bidi="ar-SA"/>
          </w:rPr>
          <w:tab/>
        </w:r>
        <w:r w:rsidR="000B50B9" w:rsidRPr="00874FC9">
          <w:rPr>
            <w:rStyle w:val="a7"/>
            <w:rFonts w:hint="eastAsia"/>
            <w:b/>
            <w:noProof/>
          </w:rPr>
          <w:t>背景</w:t>
        </w:r>
        <w:r w:rsidR="000B50B9">
          <w:rPr>
            <w:noProof/>
            <w:webHidden/>
          </w:rPr>
          <w:tab/>
        </w:r>
        <w:r w:rsidR="000B50B9">
          <w:rPr>
            <w:noProof/>
            <w:webHidden/>
          </w:rPr>
          <w:fldChar w:fldCharType="begin"/>
        </w:r>
        <w:r w:rsidR="000B50B9">
          <w:rPr>
            <w:noProof/>
            <w:webHidden/>
          </w:rPr>
          <w:instrText xml:space="preserve"> PAGEREF _Toc479438310 \h </w:instrText>
        </w:r>
        <w:r w:rsidR="000B50B9">
          <w:rPr>
            <w:noProof/>
            <w:webHidden/>
          </w:rPr>
        </w:r>
        <w:r w:rsidR="000B50B9">
          <w:rPr>
            <w:noProof/>
            <w:webHidden/>
          </w:rPr>
          <w:fldChar w:fldCharType="separate"/>
        </w:r>
        <w:r w:rsidR="000B50B9">
          <w:rPr>
            <w:noProof/>
            <w:webHidden/>
          </w:rPr>
          <w:t>6</w:t>
        </w:r>
        <w:r w:rsidR="000B50B9">
          <w:rPr>
            <w:noProof/>
            <w:webHidden/>
          </w:rPr>
          <w:fldChar w:fldCharType="end"/>
        </w:r>
      </w:hyperlink>
    </w:p>
    <w:p w:rsidR="000B50B9" w:rsidRDefault="00C565C7" w:rsidP="000B50B9">
      <w:pPr>
        <w:pStyle w:val="12"/>
        <w:tabs>
          <w:tab w:val="left" w:pos="630"/>
          <w:tab w:val="right" w:leader="dot" w:pos="9060"/>
        </w:tabs>
        <w:spacing w:before="78"/>
        <w:ind w:left="480" w:right="480" w:hanging="480"/>
        <w:rPr>
          <w:rFonts w:asciiTheme="minorHAnsi" w:eastAsiaTheme="minorEastAsia" w:hAnsiTheme="minorHAnsi" w:cstheme="minorBidi"/>
          <w:noProof/>
          <w:color w:val="auto"/>
          <w:kern w:val="2"/>
          <w:sz w:val="21"/>
          <w:szCs w:val="22"/>
          <w:lang w:eastAsia="zh-CN" w:bidi="ar-SA"/>
        </w:rPr>
      </w:pPr>
      <w:hyperlink w:anchor="_Toc479438311" w:history="1">
        <w:r w:rsidR="000B50B9" w:rsidRPr="00874FC9">
          <w:rPr>
            <w:rStyle w:val="a7"/>
            <w:b/>
            <w:noProof/>
          </w:rPr>
          <w:t>4.</w:t>
        </w:r>
        <w:r w:rsidR="000B50B9">
          <w:rPr>
            <w:rFonts w:asciiTheme="minorHAnsi" w:eastAsiaTheme="minorEastAsia" w:hAnsiTheme="minorHAnsi" w:cstheme="minorBidi"/>
            <w:noProof/>
            <w:color w:val="auto"/>
            <w:kern w:val="2"/>
            <w:sz w:val="21"/>
            <w:szCs w:val="22"/>
            <w:lang w:eastAsia="zh-CN" w:bidi="ar-SA"/>
          </w:rPr>
          <w:tab/>
        </w:r>
        <w:r w:rsidR="000B50B9" w:rsidRPr="00874FC9">
          <w:rPr>
            <w:rStyle w:val="a7"/>
            <w:rFonts w:hint="eastAsia"/>
            <w:b/>
            <w:noProof/>
          </w:rPr>
          <w:t>在什么情况下</w:t>
        </w:r>
        <w:r w:rsidR="000B50B9" w:rsidRPr="00874FC9">
          <w:rPr>
            <w:rStyle w:val="a7"/>
            <w:b/>
            <w:noProof/>
          </w:rPr>
          <w:t>FDA</w:t>
        </w:r>
        <w:r w:rsidR="000B50B9" w:rsidRPr="00874FC9">
          <w:rPr>
            <w:rStyle w:val="a7"/>
            <w:rFonts w:hint="eastAsia"/>
            <w:b/>
            <w:noProof/>
          </w:rPr>
          <w:t>行使强制自由裁量权，符合</w:t>
        </w:r>
        <w:r w:rsidR="000B50B9" w:rsidRPr="00874FC9">
          <w:rPr>
            <w:rStyle w:val="a7"/>
            <w:b/>
            <w:noProof/>
          </w:rPr>
          <w:t>FDA</w:t>
        </w:r>
        <w:r w:rsidR="000B50B9" w:rsidRPr="00874FC9">
          <w:rPr>
            <w:rStyle w:val="a7"/>
            <w:rFonts w:hint="eastAsia"/>
            <w:b/>
            <w:noProof/>
          </w:rPr>
          <w:t>监管体外诊断试剂研究中有关使用标本的信息的要求？</w:t>
        </w:r>
        <w:r w:rsidR="000B50B9">
          <w:rPr>
            <w:noProof/>
            <w:webHidden/>
          </w:rPr>
          <w:tab/>
        </w:r>
        <w:r w:rsidR="000B50B9">
          <w:rPr>
            <w:noProof/>
            <w:webHidden/>
          </w:rPr>
          <w:fldChar w:fldCharType="begin"/>
        </w:r>
        <w:r w:rsidR="000B50B9">
          <w:rPr>
            <w:noProof/>
            <w:webHidden/>
          </w:rPr>
          <w:instrText xml:space="preserve"> PAGEREF _Toc479438311 \h </w:instrText>
        </w:r>
        <w:r w:rsidR="000B50B9">
          <w:rPr>
            <w:noProof/>
            <w:webHidden/>
          </w:rPr>
        </w:r>
        <w:r w:rsidR="000B50B9">
          <w:rPr>
            <w:noProof/>
            <w:webHidden/>
          </w:rPr>
          <w:fldChar w:fldCharType="separate"/>
        </w:r>
        <w:r w:rsidR="000B50B9">
          <w:rPr>
            <w:noProof/>
            <w:webHidden/>
          </w:rPr>
          <w:t>7</w:t>
        </w:r>
        <w:r w:rsidR="000B50B9">
          <w:rPr>
            <w:noProof/>
            <w:webHidden/>
          </w:rPr>
          <w:fldChar w:fldCharType="end"/>
        </w:r>
      </w:hyperlink>
    </w:p>
    <w:p w:rsidR="000B50B9" w:rsidRDefault="00C565C7" w:rsidP="000B50B9">
      <w:pPr>
        <w:pStyle w:val="12"/>
        <w:tabs>
          <w:tab w:val="left" w:pos="630"/>
          <w:tab w:val="right" w:leader="dot" w:pos="9060"/>
        </w:tabs>
        <w:spacing w:before="78"/>
        <w:ind w:left="480" w:right="480" w:hanging="480"/>
        <w:rPr>
          <w:rFonts w:asciiTheme="minorHAnsi" w:eastAsiaTheme="minorEastAsia" w:hAnsiTheme="minorHAnsi" w:cstheme="minorBidi"/>
          <w:noProof/>
          <w:color w:val="auto"/>
          <w:kern w:val="2"/>
          <w:sz w:val="21"/>
          <w:szCs w:val="22"/>
          <w:lang w:eastAsia="zh-CN" w:bidi="ar-SA"/>
        </w:rPr>
      </w:pPr>
      <w:hyperlink w:anchor="_Toc479438312" w:history="1">
        <w:r w:rsidR="000B50B9" w:rsidRPr="00874FC9">
          <w:rPr>
            <w:rStyle w:val="a7"/>
            <w:b/>
            <w:noProof/>
          </w:rPr>
          <w:t>5.</w:t>
        </w:r>
        <w:r w:rsidR="000B50B9">
          <w:rPr>
            <w:rFonts w:asciiTheme="minorHAnsi" w:eastAsiaTheme="minorEastAsia" w:hAnsiTheme="minorHAnsi" w:cstheme="minorBidi"/>
            <w:noProof/>
            <w:color w:val="auto"/>
            <w:kern w:val="2"/>
            <w:sz w:val="21"/>
            <w:szCs w:val="22"/>
            <w:lang w:eastAsia="zh-CN" w:bidi="ar-SA"/>
          </w:rPr>
          <w:tab/>
        </w:r>
        <w:r w:rsidR="000B50B9" w:rsidRPr="00874FC9">
          <w:rPr>
            <w:rStyle w:val="a7"/>
            <w:rFonts w:hint="eastAsia"/>
            <w:b/>
            <w:noProof/>
          </w:rPr>
          <w:t>对于这些类型的研究应保持什么类型记录</w:t>
        </w:r>
        <w:r w:rsidR="000B50B9">
          <w:rPr>
            <w:noProof/>
            <w:webHidden/>
          </w:rPr>
          <w:tab/>
        </w:r>
        <w:r w:rsidR="000B50B9">
          <w:rPr>
            <w:noProof/>
            <w:webHidden/>
          </w:rPr>
          <w:fldChar w:fldCharType="begin"/>
        </w:r>
        <w:r w:rsidR="000B50B9">
          <w:rPr>
            <w:noProof/>
            <w:webHidden/>
          </w:rPr>
          <w:instrText xml:space="preserve"> PAGEREF _Toc479438312 \h </w:instrText>
        </w:r>
        <w:r w:rsidR="000B50B9">
          <w:rPr>
            <w:noProof/>
            <w:webHidden/>
          </w:rPr>
        </w:r>
        <w:r w:rsidR="000B50B9">
          <w:rPr>
            <w:noProof/>
            <w:webHidden/>
          </w:rPr>
          <w:fldChar w:fldCharType="separate"/>
        </w:r>
        <w:r w:rsidR="000B50B9">
          <w:rPr>
            <w:noProof/>
            <w:webHidden/>
          </w:rPr>
          <w:t>9</w:t>
        </w:r>
        <w:r w:rsidR="000B50B9">
          <w:rPr>
            <w:noProof/>
            <w:webHidden/>
          </w:rPr>
          <w:fldChar w:fldCharType="end"/>
        </w:r>
      </w:hyperlink>
    </w:p>
    <w:p w:rsidR="000B50B9" w:rsidRDefault="00C565C7" w:rsidP="000B50B9">
      <w:pPr>
        <w:pStyle w:val="12"/>
        <w:tabs>
          <w:tab w:val="left" w:pos="630"/>
          <w:tab w:val="right" w:leader="dot" w:pos="9060"/>
        </w:tabs>
        <w:spacing w:before="78"/>
        <w:ind w:left="480" w:right="480" w:hanging="480"/>
        <w:rPr>
          <w:rFonts w:asciiTheme="minorHAnsi" w:eastAsiaTheme="minorEastAsia" w:hAnsiTheme="minorHAnsi" w:cstheme="minorBidi"/>
          <w:noProof/>
          <w:color w:val="auto"/>
          <w:kern w:val="2"/>
          <w:sz w:val="21"/>
          <w:szCs w:val="22"/>
          <w:lang w:eastAsia="zh-CN" w:bidi="ar-SA"/>
        </w:rPr>
      </w:pPr>
      <w:hyperlink w:anchor="_Toc479438313" w:history="1">
        <w:r w:rsidR="000B50B9" w:rsidRPr="00874FC9">
          <w:rPr>
            <w:rStyle w:val="a7"/>
            <w:b/>
            <w:noProof/>
          </w:rPr>
          <w:t>6.</w:t>
        </w:r>
        <w:r w:rsidR="000B50B9">
          <w:rPr>
            <w:rFonts w:asciiTheme="minorHAnsi" w:eastAsiaTheme="minorEastAsia" w:hAnsiTheme="minorHAnsi" w:cstheme="minorBidi"/>
            <w:noProof/>
            <w:color w:val="auto"/>
            <w:kern w:val="2"/>
            <w:sz w:val="21"/>
            <w:szCs w:val="22"/>
            <w:lang w:eastAsia="zh-CN" w:bidi="ar-SA"/>
          </w:rPr>
          <w:tab/>
        </w:r>
        <w:r w:rsidR="000B50B9" w:rsidRPr="00874FC9">
          <w:rPr>
            <w:rStyle w:val="a7"/>
            <w:rFonts w:hint="eastAsia"/>
            <w:b/>
            <w:noProof/>
          </w:rPr>
          <w:t>申办方是否在决定是否进行可能受本指南行使强制自由裁量权的研究时考虑其他事项？</w:t>
        </w:r>
        <w:r w:rsidR="000B50B9">
          <w:rPr>
            <w:noProof/>
            <w:webHidden/>
          </w:rPr>
          <w:tab/>
        </w:r>
        <w:r w:rsidR="000B50B9">
          <w:rPr>
            <w:noProof/>
            <w:webHidden/>
          </w:rPr>
          <w:fldChar w:fldCharType="begin"/>
        </w:r>
        <w:r w:rsidR="000B50B9">
          <w:rPr>
            <w:noProof/>
            <w:webHidden/>
          </w:rPr>
          <w:instrText xml:space="preserve"> PAGEREF _Toc479438313 \h </w:instrText>
        </w:r>
        <w:r w:rsidR="000B50B9">
          <w:rPr>
            <w:noProof/>
            <w:webHidden/>
          </w:rPr>
        </w:r>
        <w:r w:rsidR="000B50B9">
          <w:rPr>
            <w:noProof/>
            <w:webHidden/>
          </w:rPr>
          <w:fldChar w:fldCharType="separate"/>
        </w:r>
        <w:r w:rsidR="000B50B9">
          <w:rPr>
            <w:noProof/>
            <w:webHidden/>
          </w:rPr>
          <w:t>9</w:t>
        </w:r>
        <w:r w:rsidR="000B50B9">
          <w:rPr>
            <w:noProof/>
            <w:webHidden/>
          </w:rPr>
          <w:fldChar w:fldCharType="end"/>
        </w:r>
      </w:hyperlink>
    </w:p>
    <w:p w:rsidR="000B50B9" w:rsidRDefault="00C565C7" w:rsidP="000B50B9">
      <w:pPr>
        <w:pStyle w:val="12"/>
        <w:tabs>
          <w:tab w:val="left" w:pos="630"/>
          <w:tab w:val="right" w:leader="dot" w:pos="9060"/>
        </w:tabs>
        <w:spacing w:before="78"/>
        <w:ind w:left="480" w:right="480" w:hanging="480"/>
        <w:rPr>
          <w:rFonts w:asciiTheme="minorHAnsi" w:eastAsiaTheme="minorEastAsia" w:hAnsiTheme="minorHAnsi" w:cstheme="minorBidi"/>
          <w:noProof/>
          <w:color w:val="auto"/>
          <w:kern w:val="2"/>
          <w:sz w:val="21"/>
          <w:szCs w:val="22"/>
          <w:lang w:eastAsia="zh-CN" w:bidi="ar-SA"/>
        </w:rPr>
      </w:pPr>
      <w:hyperlink w:anchor="_Toc479438314" w:history="1">
        <w:r w:rsidR="000B50B9" w:rsidRPr="00874FC9">
          <w:rPr>
            <w:rStyle w:val="a7"/>
            <w:b/>
            <w:noProof/>
          </w:rPr>
          <w:t>7.</w:t>
        </w:r>
        <w:r w:rsidR="000B50B9">
          <w:rPr>
            <w:rFonts w:asciiTheme="minorHAnsi" w:eastAsiaTheme="minorEastAsia" w:hAnsiTheme="minorHAnsi" w:cstheme="minorBidi"/>
            <w:noProof/>
            <w:color w:val="auto"/>
            <w:kern w:val="2"/>
            <w:sz w:val="21"/>
            <w:szCs w:val="22"/>
            <w:lang w:eastAsia="zh-CN" w:bidi="ar-SA"/>
          </w:rPr>
          <w:tab/>
        </w:r>
        <w:r w:rsidR="000B50B9" w:rsidRPr="00874FC9">
          <w:rPr>
            <w:rStyle w:val="a7"/>
            <w:rFonts w:hint="eastAsia"/>
            <w:b/>
            <w:noProof/>
          </w:rPr>
          <w:t>在审查本指南重点的体外诊断试剂研究类型时，伦理委员会应该做什么？</w:t>
        </w:r>
        <w:r w:rsidR="000B50B9">
          <w:rPr>
            <w:noProof/>
            <w:webHidden/>
          </w:rPr>
          <w:tab/>
        </w:r>
        <w:r w:rsidR="000B50B9">
          <w:rPr>
            <w:noProof/>
            <w:webHidden/>
          </w:rPr>
          <w:fldChar w:fldCharType="begin"/>
        </w:r>
        <w:r w:rsidR="000B50B9">
          <w:rPr>
            <w:noProof/>
            <w:webHidden/>
          </w:rPr>
          <w:instrText xml:space="preserve"> PAGEREF _Toc479438314 \h </w:instrText>
        </w:r>
        <w:r w:rsidR="000B50B9">
          <w:rPr>
            <w:noProof/>
            <w:webHidden/>
          </w:rPr>
        </w:r>
        <w:r w:rsidR="000B50B9">
          <w:rPr>
            <w:noProof/>
            <w:webHidden/>
          </w:rPr>
          <w:fldChar w:fldCharType="separate"/>
        </w:r>
        <w:r w:rsidR="000B50B9">
          <w:rPr>
            <w:noProof/>
            <w:webHidden/>
          </w:rPr>
          <w:t>9</w:t>
        </w:r>
        <w:r w:rsidR="000B50B9">
          <w:rPr>
            <w:noProof/>
            <w:webHidden/>
          </w:rPr>
          <w:fldChar w:fldCharType="end"/>
        </w:r>
      </w:hyperlink>
    </w:p>
    <w:p w:rsidR="000B50B9" w:rsidRDefault="00C565C7" w:rsidP="000B50B9">
      <w:pPr>
        <w:pStyle w:val="12"/>
        <w:tabs>
          <w:tab w:val="left" w:pos="630"/>
          <w:tab w:val="right" w:leader="dot" w:pos="9060"/>
        </w:tabs>
        <w:spacing w:before="78"/>
        <w:ind w:left="480" w:right="480" w:hanging="480"/>
        <w:rPr>
          <w:rFonts w:asciiTheme="minorHAnsi" w:eastAsiaTheme="minorEastAsia" w:hAnsiTheme="minorHAnsi" w:cstheme="minorBidi"/>
          <w:noProof/>
          <w:color w:val="auto"/>
          <w:kern w:val="2"/>
          <w:sz w:val="21"/>
          <w:szCs w:val="22"/>
          <w:lang w:eastAsia="zh-CN" w:bidi="ar-SA"/>
        </w:rPr>
      </w:pPr>
      <w:hyperlink w:anchor="_Toc479438315" w:history="1">
        <w:r w:rsidR="000B50B9" w:rsidRPr="00874FC9">
          <w:rPr>
            <w:rStyle w:val="a7"/>
            <w:b/>
            <w:noProof/>
          </w:rPr>
          <w:t>8.</w:t>
        </w:r>
        <w:r w:rsidR="000B50B9">
          <w:rPr>
            <w:rFonts w:asciiTheme="minorHAnsi" w:eastAsiaTheme="minorEastAsia" w:hAnsiTheme="minorHAnsi" w:cstheme="minorBidi"/>
            <w:noProof/>
            <w:color w:val="auto"/>
            <w:kern w:val="2"/>
            <w:sz w:val="21"/>
            <w:szCs w:val="22"/>
            <w:lang w:eastAsia="zh-CN" w:bidi="ar-SA"/>
          </w:rPr>
          <w:tab/>
        </w:r>
        <w:r w:rsidR="000B50B9" w:rsidRPr="00874FC9">
          <w:rPr>
            <w:rStyle w:val="a7"/>
            <w:b/>
            <w:noProof/>
          </w:rPr>
          <w:t>1995</w:t>
        </w:r>
        <w:r w:rsidR="000B50B9" w:rsidRPr="00874FC9">
          <w:rPr>
            <w:rStyle w:val="a7"/>
            <w:rFonts w:hint="eastAsia"/>
            <w:b/>
            <w:noProof/>
          </w:rPr>
          <w:t>年文书削减法</w:t>
        </w:r>
        <w:r w:rsidR="000B50B9">
          <w:rPr>
            <w:noProof/>
            <w:webHidden/>
          </w:rPr>
          <w:tab/>
        </w:r>
        <w:r w:rsidR="000B50B9">
          <w:rPr>
            <w:noProof/>
            <w:webHidden/>
          </w:rPr>
          <w:fldChar w:fldCharType="begin"/>
        </w:r>
        <w:r w:rsidR="000B50B9">
          <w:rPr>
            <w:noProof/>
            <w:webHidden/>
          </w:rPr>
          <w:instrText xml:space="preserve"> PAGEREF _Toc479438315 \h </w:instrText>
        </w:r>
        <w:r w:rsidR="000B50B9">
          <w:rPr>
            <w:noProof/>
            <w:webHidden/>
          </w:rPr>
        </w:r>
        <w:r w:rsidR="000B50B9">
          <w:rPr>
            <w:noProof/>
            <w:webHidden/>
          </w:rPr>
          <w:fldChar w:fldCharType="separate"/>
        </w:r>
        <w:r w:rsidR="000B50B9">
          <w:rPr>
            <w:noProof/>
            <w:webHidden/>
          </w:rPr>
          <w:t>10</w:t>
        </w:r>
        <w:r w:rsidR="000B50B9">
          <w:rPr>
            <w:noProof/>
            <w:webHidden/>
          </w:rPr>
          <w:fldChar w:fldCharType="end"/>
        </w:r>
      </w:hyperlink>
    </w:p>
    <w:p w:rsidR="000B50B9" w:rsidRDefault="000B50B9" w:rsidP="00377EDD">
      <w:pPr>
        <w:spacing w:before="187"/>
      </w:pPr>
      <w:r>
        <w:fldChar w:fldCharType="end"/>
      </w:r>
    </w:p>
    <w:p w:rsidR="00377EDD" w:rsidRDefault="00377EDD" w:rsidP="00377EDD">
      <w:pPr>
        <w:spacing w:before="187"/>
      </w:pPr>
      <w:r>
        <w:br w:type="page"/>
      </w:r>
    </w:p>
    <w:p w:rsidR="00A1280D" w:rsidRPr="00377EDD" w:rsidRDefault="00A1280D" w:rsidP="00377EDD">
      <w:pPr>
        <w:spacing w:before="187"/>
        <w:jc w:val="center"/>
        <w:rPr>
          <w:sz w:val="36"/>
          <w:szCs w:val="36"/>
        </w:rPr>
      </w:pPr>
      <w:r w:rsidRPr="00377EDD">
        <w:rPr>
          <w:rFonts w:hint="eastAsia"/>
          <w:sz w:val="36"/>
          <w:szCs w:val="36"/>
        </w:rPr>
        <w:lastRenderedPageBreak/>
        <w:t>申办方、机构审查委员会、临床研究者和</w:t>
      </w:r>
      <w:r w:rsidRPr="00377EDD">
        <w:rPr>
          <w:sz w:val="36"/>
          <w:szCs w:val="36"/>
        </w:rPr>
        <w:t>FDA</w:t>
      </w:r>
      <w:r w:rsidR="00377EDD">
        <w:rPr>
          <w:rFonts w:hint="eastAsia"/>
          <w:sz w:val="36"/>
          <w:szCs w:val="36"/>
        </w:rPr>
        <w:br/>
      </w:r>
      <w:r w:rsidRPr="00377EDD">
        <w:rPr>
          <w:rFonts w:hint="eastAsia"/>
          <w:sz w:val="36"/>
          <w:szCs w:val="36"/>
        </w:rPr>
        <w:t>工作人员指南</w:t>
      </w:r>
    </w:p>
    <w:p w:rsidR="00377EDD" w:rsidRPr="00377EDD" w:rsidRDefault="00377EDD" w:rsidP="00377EDD">
      <w:pPr>
        <w:spacing w:before="187"/>
        <w:jc w:val="center"/>
        <w:rPr>
          <w:b/>
          <w:sz w:val="36"/>
          <w:szCs w:val="36"/>
        </w:rPr>
      </w:pPr>
      <w:r w:rsidRPr="00377EDD">
        <w:rPr>
          <w:rFonts w:hint="eastAsia"/>
          <w:b/>
          <w:sz w:val="36"/>
          <w:szCs w:val="36"/>
        </w:rPr>
        <w:t>使用不能单独识别的剩余人类受试者进行体外诊断试剂</w:t>
      </w:r>
      <w:r>
        <w:rPr>
          <w:b/>
          <w:sz w:val="36"/>
          <w:szCs w:val="36"/>
        </w:rPr>
        <w:br/>
      </w:r>
      <w:r w:rsidRPr="00377EDD">
        <w:rPr>
          <w:rFonts w:hint="eastAsia"/>
          <w:b/>
          <w:sz w:val="36"/>
          <w:szCs w:val="36"/>
        </w:rPr>
        <w:t>研究的知情同意指南</w:t>
      </w:r>
    </w:p>
    <w:p w:rsidR="00A1280D" w:rsidRPr="00377EDD" w:rsidRDefault="00A1280D" w:rsidP="00377EDD">
      <w:pPr>
        <w:spacing w:before="187"/>
      </w:pPr>
    </w:p>
    <w:tbl>
      <w:tblPr>
        <w:tblStyle w:val="af3"/>
        <w:tblW w:w="0" w:type="auto"/>
        <w:tblLook w:val="04A0" w:firstRow="1" w:lastRow="0" w:firstColumn="1" w:lastColumn="0" w:noHBand="0" w:noVBand="1"/>
      </w:tblPr>
      <w:tblGrid>
        <w:gridCol w:w="9286"/>
      </w:tblGrid>
      <w:tr w:rsidR="00377EDD" w:rsidRPr="00DA5E86" w:rsidTr="00377EDD">
        <w:tc>
          <w:tcPr>
            <w:tcW w:w="9286" w:type="dxa"/>
          </w:tcPr>
          <w:p w:rsidR="00377EDD" w:rsidRPr="00DA5E86" w:rsidRDefault="00377EDD" w:rsidP="00377EDD">
            <w:pPr>
              <w:spacing w:before="187"/>
              <w:rPr>
                <w:b/>
                <w:i/>
              </w:rPr>
            </w:pPr>
            <w:r w:rsidRPr="00DA5E86">
              <w:rPr>
                <w:rFonts w:ascii="宋体" w:eastAsia="宋体" w:hAnsi="宋体" w:cs="宋体" w:hint="eastAsia"/>
                <w:b/>
                <w:i/>
                <w:color w:val="000000" w:themeColor="text1"/>
              </w:rPr>
              <w:t>本指南代表食品药品监督管理局（</w:t>
            </w:r>
            <w:r w:rsidRPr="00DA5E86">
              <w:rPr>
                <w:b/>
                <w:i/>
                <w:color w:val="000000" w:themeColor="text1"/>
              </w:rPr>
              <w:t>FDA</w:t>
            </w:r>
            <w:r w:rsidRPr="00DA5E86">
              <w:rPr>
                <w:rFonts w:ascii="宋体" w:eastAsia="宋体" w:hAnsi="宋体" w:cs="宋体" w:hint="eastAsia"/>
                <w:b/>
                <w:i/>
                <w:color w:val="000000" w:themeColor="text1"/>
              </w:rPr>
              <w:t>）目前对这一主题的思考。</w:t>
            </w:r>
            <w:r w:rsidRPr="00DA5E86">
              <w:rPr>
                <w:rFonts w:ascii="宋体" w:eastAsia="宋体" w:hAnsi="宋体" w:cs="宋体" w:hint="eastAsia"/>
                <w:b/>
                <w:i/>
              </w:rPr>
              <w:t>其不会为任何人创造或赋予任何权利，也不对</w:t>
            </w:r>
            <w:r w:rsidRPr="00DA5E86">
              <w:rPr>
                <w:b/>
                <w:i/>
              </w:rPr>
              <w:t>FDA</w:t>
            </w:r>
            <w:r w:rsidRPr="00DA5E86">
              <w:rPr>
                <w:rFonts w:ascii="宋体" w:eastAsia="宋体" w:hAnsi="宋体" w:cs="宋体" w:hint="eastAsia"/>
                <w:b/>
                <w:i/>
              </w:rPr>
              <w:t>或公众具有约束力。如果替代方法满足适用的法律、法规或其两者的要求，可以使用替代方法。如果贵公司希望讨论一种替代方法，请联系负责实施本指南的</w:t>
            </w:r>
            <w:r w:rsidRPr="00DA5E86">
              <w:rPr>
                <w:b/>
                <w:i/>
              </w:rPr>
              <w:t>FDA</w:t>
            </w:r>
            <w:r w:rsidRPr="00DA5E86">
              <w:rPr>
                <w:rFonts w:ascii="宋体" w:eastAsia="宋体" w:hAnsi="宋体" w:cs="宋体" w:hint="eastAsia"/>
                <w:b/>
                <w:i/>
              </w:rPr>
              <w:t>工作人员。如果贵公司无法确定适当的</w:t>
            </w:r>
            <w:r w:rsidRPr="00DA5E86">
              <w:rPr>
                <w:b/>
                <w:i/>
              </w:rPr>
              <w:t>FDA</w:t>
            </w:r>
            <w:r w:rsidRPr="00DA5E86">
              <w:rPr>
                <w:rFonts w:ascii="宋体" w:eastAsia="宋体" w:hAnsi="宋体" w:cs="宋体" w:hint="eastAsia"/>
                <w:b/>
                <w:i/>
              </w:rPr>
              <w:t>工作人员，请拨打本指南标题页上列出的合适的电话号码。</w:t>
            </w:r>
          </w:p>
        </w:tc>
      </w:tr>
    </w:tbl>
    <w:p w:rsidR="00A1280D" w:rsidRPr="00377EDD" w:rsidRDefault="00A1280D" w:rsidP="00377EDD">
      <w:pPr>
        <w:spacing w:before="187"/>
      </w:pPr>
    </w:p>
    <w:p w:rsidR="00A1280D" w:rsidRPr="00377EDD" w:rsidRDefault="00A1280D" w:rsidP="00C63569">
      <w:pPr>
        <w:pStyle w:val="a3"/>
        <w:numPr>
          <w:ilvl w:val="0"/>
          <w:numId w:val="24"/>
        </w:numPr>
        <w:tabs>
          <w:tab w:val="left" w:pos="720"/>
        </w:tabs>
        <w:spacing w:beforeLines="100" w:before="312" w:afterLines="50" w:after="156"/>
        <w:ind w:left="0" w:firstLineChars="0" w:firstLine="0"/>
        <w:outlineLvl w:val="0"/>
        <w:rPr>
          <w:b/>
          <w:sz w:val="30"/>
          <w:szCs w:val="30"/>
        </w:rPr>
      </w:pPr>
      <w:bookmarkStart w:id="3" w:name="_Toc475198987"/>
      <w:bookmarkStart w:id="4" w:name="_Toc479438307"/>
      <w:bookmarkStart w:id="5" w:name="_Toc479438364"/>
      <w:bookmarkStart w:id="6" w:name="_Toc475199163"/>
      <w:bookmarkStart w:id="7" w:name="_Toc475215549"/>
      <w:bookmarkStart w:id="8" w:name="_Toc479438308"/>
      <w:bookmarkStart w:id="9" w:name="_Toc479438365"/>
      <w:bookmarkEnd w:id="3"/>
      <w:bookmarkEnd w:id="4"/>
      <w:bookmarkEnd w:id="5"/>
      <w:r w:rsidRPr="00377EDD">
        <w:rPr>
          <w:rFonts w:hint="eastAsia"/>
          <w:b/>
          <w:sz w:val="30"/>
          <w:szCs w:val="30"/>
        </w:rPr>
        <w:t>介绍</w:t>
      </w:r>
      <w:bookmarkEnd w:id="6"/>
      <w:bookmarkEnd w:id="7"/>
      <w:bookmarkEnd w:id="8"/>
      <w:bookmarkEnd w:id="9"/>
    </w:p>
    <w:p w:rsidR="00377EDD" w:rsidRDefault="00A1280D" w:rsidP="00377EDD">
      <w:pPr>
        <w:spacing w:before="187"/>
      </w:pPr>
      <w:r w:rsidRPr="00377EDD">
        <w:t>FDA</w:t>
      </w:r>
      <w:r w:rsidRPr="00377EDD">
        <w:rPr>
          <w:rFonts w:hint="eastAsia"/>
        </w:rPr>
        <w:t>发布本指南，通知申办方、机构审查委员会（</w:t>
      </w:r>
      <w:r w:rsidRPr="00377EDD">
        <w:t>IRB</w:t>
      </w:r>
      <w:r w:rsidRPr="00377EDD">
        <w:rPr>
          <w:rFonts w:hint="eastAsia"/>
        </w:rPr>
        <w:t>）、临床研究者和机构工作人员，</w:t>
      </w:r>
      <w:r w:rsidRPr="00377EDD">
        <w:t>FDA</w:t>
      </w:r>
      <w:r w:rsidRPr="00377EDD">
        <w:rPr>
          <w:rFonts w:hint="eastAsia"/>
        </w:rPr>
        <w:t>在某些情况下，对用于</w:t>
      </w:r>
      <w:r w:rsidRPr="00377EDD">
        <w:t>FDA</w:t>
      </w:r>
      <w:r w:rsidRPr="00377EDD">
        <w:rPr>
          <w:rFonts w:hint="eastAsia"/>
        </w:rPr>
        <w:t>相关体外诊断（</w:t>
      </w:r>
      <w:r w:rsidRPr="00377EDD">
        <w:t>IVD</w:t>
      </w:r>
      <w:r w:rsidRPr="00377EDD">
        <w:rPr>
          <w:rFonts w:hint="eastAsia"/>
        </w:rPr>
        <w:t>）</w:t>
      </w:r>
      <w:r w:rsidR="007B3904">
        <w:rPr>
          <w:rStyle w:val="af2"/>
        </w:rPr>
        <w:footnoteReference w:id="1"/>
      </w:r>
      <w:r w:rsidRPr="00377EDD">
        <w:rPr>
          <w:rFonts w:hint="eastAsia"/>
        </w:rPr>
        <w:t>试剂的研究关于知情同意要求的条例目前行使强制自由</w:t>
      </w:r>
      <w:r w:rsidR="007B3904" w:rsidRPr="007B3904">
        <w:rPr>
          <w:rFonts w:hint="eastAsia"/>
        </w:rPr>
        <w:t>裁量权。如下所述，</w:t>
      </w:r>
      <w:r w:rsidRPr="00377EDD">
        <w:t>FDA</w:t>
      </w:r>
      <w:r w:rsidRPr="00377EDD">
        <w:rPr>
          <w:rFonts w:hint="eastAsia"/>
        </w:rPr>
        <w:t>不打算反对在没有知情同意的情况下</w:t>
      </w:r>
      <w:bookmarkStart w:id="10" w:name="OLE_LINK1"/>
      <w:bookmarkStart w:id="11" w:name="OLE_LINK2"/>
      <w:r w:rsidRPr="00377EDD">
        <w:rPr>
          <w:rFonts w:hint="eastAsia"/>
        </w:rPr>
        <w:t>将剩余</w:t>
      </w:r>
      <w:bookmarkEnd w:id="10"/>
      <w:bookmarkEnd w:id="11"/>
      <w:r w:rsidRPr="00377EDD">
        <w:rPr>
          <w:rFonts w:hint="eastAsia"/>
        </w:rPr>
        <w:t>人类受试者用于</w:t>
      </w:r>
      <w:r w:rsidRPr="00377EDD">
        <w:t xml:space="preserve"> - </w:t>
      </w:r>
      <w:r w:rsidRPr="00377EDD">
        <w:rPr>
          <w:rFonts w:hint="eastAsia"/>
        </w:rPr>
        <w:t>收集用于常规临床护理或分析的标本残余物，这些残余物</w:t>
      </w:r>
      <w:r w:rsidRPr="00377EDD">
        <w:t>如果不被利用</w:t>
      </w:r>
      <w:r w:rsidRPr="00377EDD">
        <w:rPr>
          <w:rFonts w:hint="eastAsia"/>
        </w:rPr>
        <w:t>将被丢弃</w:t>
      </w:r>
      <w:r w:rsidRPr="00377EDD">
        <w:t xml:space="preserve"> - </w:t>
      </w:r>
      <w:r w:rsidRPr="00377EDD">
        <w:rPr>
          <w:rFonts w:hint="eastAsia"/>
        </w:rPr>
        <w:t>符合豁免标准的研究中，根据</w:t>
      </w:r>
      <w:r w:rsidRPr="00377EDD">
        <w:t>21 CFR 812.2</w:t>
      </w:r>
      <w:r w:rsidRPr="00377EDD">
        <w:t>（</w:t>
      </w:r>
      <w:r w:rsidRPr="00377EDD">
        <w:t>c</w:t>
      </w:r>
      <w:r w:rsidRPr="00377EDD">
        <w:t>）（</w:t>
      </w:r>
      <w:r w:rsidRPr="00377EDD">
        <w:t>3</w:t>
      </w:r>
      <w:r w:rsidRPr="00377EDD">
        <w:t>）</w:t>
      </w:r>
      <w:r w:rsidRPr="00377EDD">
        <w:rPr>
          <w:rFonts w:hint="eastAsia"/>
        </w:rPr>
        <w:t>的调查器械豁免（</w:t>
      </w:r>
      <w:r w:rsidRPr="00377EDD">
        <w:t>IDE</w:t>
      </w:r>
      <w:r w:rsidRPr="00377EDD">
        <w:rPr>
          <w:rFonts w:hint="eastAsia"/>
        </w:rPr>
        <w:t>）规定，只要</w:t>
      </w:r>
      <w:r w:rsidRPr="00377EDD">
        <w:t>在</w:t>
      </w:r>
      <w:r w:rsidRPr="00377EDD">
        <w:rPr>
          <w:rFonts w:hint="eastAsia"/>
        </w:rPr>
        <w:t>使用不能单独识别的标本时，标本</w:t>
      </w:r>
      <w:r w:rsidRPr="00377EDD">
        <w:t>的</w:t>
      </w:r>
      <w:r w:rsidRPr="00377EDD">
        <w:rPr>
          <w:rFonts w:hint="eastAsia"/>
        </w:rPr>
        <w:t>隐私</w:t>
      </w:r>
      <w:r w:rsidRPr="00377EDD">
        <w:t>被</w:t>
      </w:r>
      <w:r w:rsidRPr="00377EDD">
        <w:rPr>
          <w:rFonts w:hint="eastAsia"/>
        </w:rPr>
        <w:t>保护。只要这些样品不是可单独识别的</w:t>
      </w:r>
      <w:r w:rsidR="007B3904">
        <w:rPr>
          <w:rFonts w:hint="eastAsia"/>
        </w:rPr>
        <w:t>，</w:t>
      </w:r>
      <w:r w:rsidRPr="00377EDD">
        <w:t>FDA</w:t>
      </w:r>
      <w:r w:rsidRPr="00377EDD">
        <w:rPr>
          <w:rFonts w:hint="eastAsia"/>
        </w:rPr>
        <w:t>还打算在此政策中包括从样品库</w:t>
      </w:r>
      <w:r w:rsidR="007B3904">
        <w:rPr>
          <w:rStyle w:val="af2"/>
        </w:rPr>
        <w:footnoteReference w:id="2"/>
      </w:r>
      <w:r w:rsidRPr="00377EDD">
        <w:rPr>
          <w:rFonts w:hint="eastAsia"/>
        </w:rPr>
        <w:t>获得的样品和从之前为其他无关研究收集的样品残留物。</w:t>
      </w:r>
    </w:p>
    <w:p w:rsidR="00A1280D" w:rsidRPr="00377EDD" w:rsidRDefault="00A1280D" w:rsidP="00377EDD">
      <w:pPr>
        <w:spacing w:before="187"/>
      </w:pPr>
      <w:r w:rsidRPr="00377EDD">
        <w:br w:type="page"/>
      </w:r>
    </w:p>
    <w:p w:rsidR="00A1280D" w:rsidRPr="00377EDD" w:rsidRDefault="00A1280D" w:rsidP="00377EDD">
      <w:pPr>
        <w:spacing w:before="187"/>
      </w:pPr>
      <w:r w:rsidRPr="00377EDD">
        <w:lastRenderedPageBreak/>
        <w:t>根据</w:t>
      </w:r>
      <w:r w:rsidRPr="00377EDD">
        <w:t>FDA</w:t>
      </w:r>
      <w:r w:rsidRPr="00377EDD">
        <w:t>的关于进行体外诊断试剂研究的现行法规，人类</w:t>
      </w:r>
      <w:r w:rsidRPr="00377EDD">
        <w:rPr>
          <w:rFonts w:hint="eastAsia"/>
        </w:rPr>
        <w:t>受试者</w:t>
      </w:r>
      <w:r w:rsidRPr="00377EDD">
        <w:t>的定义</w:t>
      </w:r>
      <w:r w:rsidRPr="00377EDD">
        <w:rPr>
          <w:rFonts w:hint="eastAsia"/>
        </w:rPr>
        <w:t>是</w:t>
      </w:r>
      <w:r w:rsidRPr="00377EDD">
        <w:t>其标本用于研究器械的个体</w:t>
      </w:r>
      <w:r w:rsidRPr="00377EDD">
        <w:t>[</w:t>
      </w:r>
      <w:r w:rsidRPr="00377EDD">
        <w:t>见</w:t>
      </w:r>
      <w:r w:rsidRPr="00377EDD">
        <w:t>21CFR812.3</w:t>
      </w:r>
      <w:r w:rsidRPr="00377EDD">
        <w:t>（</w:t>
      </w:r>
      <w:r w:rsidRPr="00377EDD">
        <w:t>p</w:t>
      </w:r>
      <w:r w:rsidRPr="00377EDD">
        <w:t>）</w:t>
      </w:r>
      <w:r w:rsidRPr="00377EDD">
        <w:t>]</w:t>
      </w:r>
      <w:r w:rsidRPr="00377EDD">
        <w:t>。因为这些法规要求</w:t>
      </w:r>
      <w:r w:rsidRPr="00377EDD">
        <w:t>FDA</w:t>
      </w:r>
      <w:r w:rsidRPr="00377EDD">
        <w:t>监管的人类受试者研究需获得知情同意，法规规定的</w:t>
      </w:r>
      <w:r w:rsidRPr="00377EDD">
        <w:rPr>
          <w:rFonts w:hint="eastAsia"/>
        </w:rPr>
        <w:t>特定</w:t>
      </w:r>
      <w:r w:rsidRPr="00377EDD">
        <w:t>情况</w:t>
      </w:r>
      <w:r w:rsidR="00DA5E86" w:rsidRPr="00DA5E86">
        <w:rPr>
          <w:rFonts w:hint="eastAsia"/>
        </w:rPr>
        <w:t>除外下，</w:t>
      </w:r>
      <w:r w:rsidR="00DA5E86">
        <w:rPr>
          <w:rStyle w:val="af2"/>
        </w:rPr>
        <w:footnoteReference w:id="3"/>
      </w:r>
      <w:r w:rsidRPr="00377EDD">
        <w:t>需要先获得知情同意，才能将其样品用于</w:t>
      </w:r>
      <w:r w:rsidRPr="00377EDD">
        <w:t>FDA</w:t>
      </w:r>
      <w:r w:rsidRPr="00377EDD">
        <w:t>监管的研究</w:t>
      </w:r>
      <w:r w:rsidRPr="00377EDD">
        <w:t>[</w:t>
      </w:r>
      <w:r w:rsidRPr="00377EDD">
        <w:t>见</w:t>
      </w:r>
      <w:r w:rsidRPr="00377EDD">
        <w:t>21 CFR</w:t>
      </w:r>
      <w:r w:rsidRPr="00377EDD">
        <w:t>第</w:t>
      </w:r>
      <w:r w:rsidRPr="00377EDD">
        <w:t>50</w:t>
      </w:r>
      <w:r w:rsidRPr="00377EDD">
        <w:t>部分</w:t>
      </w:r>
      <w:r w:rsidRPr="00377EDD">
        <w:t>]</w:t>
      </w:r>
      <w:r w:rsidRPr="00377EDD">
        <w:t>。</w:t>
      </w:r>
    </w:p>
    <w:p w:rsidR="00A1280D" w:rsidRPr="00377EDD" w:rsidRDefault="00A1280D" w:rsidP="00377EDD">
      <w:pPr>
        <w:spacing w:before="187"/>
      </w:pPr>
      <w:r w:rsidRPr="00377EDD">
        <w:t>FDA</w:t>
      </w:r>
      <w:r w:rsidRPr="00377EDD">
        <w:t>保护人类受试者的这一方面法规对于开发体外诊断试剂的研究者造成混乱和困难。许多临床医生、研究医院和公司已经认为对使用</w:t>
      </w:r>
      <w:r w:rsidRPr="00377EDD">
        <w:rPr>
          <w:rFonts w:hint="eastAsia"/>
        </w:rPr>
        <w:t>剩余标本</w:t>
      </w:r>
      <w:r w:rsidRPr="00377EDD">
        <w:t>进行体外诊断试剂研究，要求知情同意，对人类受试者进行保护是不必要的，并且过于繁重和昂贵。</w:t>
      </w:r>
    </w:p>
    <w:p w:rsidR="00A1280D" w:rsidRPr="00377EDD" w:rsidRDefault="00A1280D" w:rsidP="00377EDD">
      <w:pPr>
        <w:spacing w:before="187"/>
      </w:pPr>
      <w:r w:rsidRPr="00377EDD">
        <w:t>FDA</w:t>
      </w:r>
      <w:r w:rsidRPr="00377EDD">
        <w:rPr>
          <w:rFonts w:hint="eastAsia"/>
        </w:rPr>
        <w:t>最近</w:t>
      </w:r>
      <w:r w:rsidR="00DA5E86" w:rsidRPr="00DA5E86">
        <w:rPr>
          <w:rFonts w:hint="eastAsia"/>
        </w:rPr>
        <w:t>的“关键路径”</w:t>
      </w:r>
      <w:r w:rsidR="00DA5E86">
        <w:rPr>
          <w:rStyle w:val="af2"/>
        </w:rPr>
        <w:footnoteReference w:id="4"/>
      </w:r>
      <w:r w:rsidR="00DA5E86" w:rsidRPr="00DA5E86">
        <w:rPr>
          <w:rFonts w:hint="eastAsia"/>
        </w:rPr>
        <w:t>倡议也集中重</w:t>
      </w:r>
      <w:r w:rsidRPr="00377EDD">
        <w:rPr>
          <w:rFonts w:hint="eastAsia"/>
        </w:rPr>
        <w:t>点关注该机构对医疗产品开发中不必要障碍。该机构已经收到来自贸易协会和研究机构的评论，指出使用剩余标本时</w:t>
      </w:r>
      <w:r w:rsidRPr="00377EDD">
        <w:t>需</w:t>
      </w:r>
      <w:r w:rsidRPr="00377EDD">
        <w:rPr>
          <w:rFonts w:hint="eastAsia"/>
        </w:rPr>
        <w:t>获得知情同意这一挑战是研究工作中不必要的障碍和花费。剩余标本可用时，通常很难找到捐助者并获得同意，即使这并非不可能。这种困难可能阻碍制造商的研究工作，这将使安全和有效的体外诊断无法更快上市。同时，许多研究者认为，对于这种特定类型的研究，知情同意旨在确保人类受试者的保护价值观，或者不涉及，或者</w:t>
      </w:r>
      <w:r w:rsidRPr="00377EDD">
        <w:t>可以</w:t>
      </w:r>
      <w:r w:rsidRPr="00377EDD">
        <w:rPr>
          <w:rFonts w:hint="eastAsia"/>
        </w:rPr>
        <w:t>通过较少繁琐的措施得到充分保护。</w:t>
      </w:r>
    </w:p>
    <w:p w:rsidR="00A1280D" w:rsidRPr="00377EDD" w:rsidRDefault="00A1280D" w:rsidP="00377EDD">
      <w:pPr>
        <w:spacing w:before="187"/>
      </w:pPr>
      <w:r w:rsidRPr="00377EDD">
        <w:rPr>
          <w:rFonts w:hint="eastAsia"/>
        </w:rPr>
        <w:t>关于对体外诊断试剂的研究要求知情同意的混淆，以及对产品开发带来不必要障碍的关注，促使</w:t>
      </w:r>
      <w:r w:rsidRPr="00377EDD">
        <w:t>FDA</w:t>
      </w:r>
      <w:r w:rsidRPr="00377EDD">
        <w:rPr>
          <w:rFonts w:hint="eastAsia"/>
        </w:rPr>
        <w:t>发布本指南文件。</w:t>
      </w:r>
      <w:r w:rsidRPr="00377EDD">
        <w:t>FDA</w:t>
      </w:r>
      <w:r w:rsidRPr="00377EDD">
        <w:rPr>
          <w:rFonts w:hint="eastAsia"/>
        </w:rPr>
        <w:t>认为，该指南将以与人类受试者保护的价值观相一致的方式促进产品开发。</w:t>
      </w:r>
      <w:r w:rsidRPr="00377EDD">
        <w:t>FDA</w:t>
      </w:r>
      <w:r w:rsidRPr="00377EDD">
        <w:rPr>
          <w:rFonts w:hint="eastAsia"/>
        </w:rPr>
        <w:t>打算立即开始行使对本指南的强制自由裁量权。根据该机构的</w:t>
      </w:r>
      <w:proofErr w:type="gramStart"/>
      <w:r w:rsidRPr="00377EDD">
        <w:rPr>
          <w:rFonts w:hint="eastAsia"/>
        </w:rPr>
        <w:t>良好指导</w:t>
      </w:r>
      <w:proofErr w:type="gramEnd"/>
      <w:r w:rsidRPr="00377EDD">
        <w:rPr>
          <w:rFonts w:hint="eastAsia"/>
        </w:rPr>
        <w:t>规范法规</w:t>
      </w:r>
      <w:r w:rsidRPr="00377EDD">
        <w:t>21 CFR 10.115</w:t>
      </w:r>
      <w:r w:rsidRPr="00377EDD">
        <w:rPr>
          <w:rFonts w:hint="eastAsia"/>
        </w:rPr>
        <w:t>，贵公司可以随时提交对本指南的评论。机构将考虑贵公司的</w:t>
      </w:r>
      <w:bookmarkStart w:id="12" w:name="OLE_LINK3"/>
      <w:bookmarkStart w:id="13" w:name="OLE_LINK4"/>
      <w:r w:rsidRPr="00377EDD">
        <w:rPr>
          <w:rFonts w:hint="eastAsia"/>
        </w:rPr>
        <w:t>评论</w:t>
      </w:r>
      <w:bookmarkEnd w:id="12"/>
      <w:bookmarkEnd w:id="13"/>
      <w:r w:rsidRPr="00377EDD">
        <w:rPr>
          <w:rFonts w:hint="eastAsia"/>
        </w:rPr>
        <w:t>，并决定是否在以后修订该指南。</w:t>
      </w:r>
    </w:p>
    <w:p w:rsidR="00A1280D" w:rsidRPr="00DA5E86" w:rsidRDefault="00A1280D" w:rsidP="00C63569">
      <w:pPr>
        <w:pStyle w:val="a3"/>
        <w:numPr>
          <w:ilvl w:val="0"/>
          <w:numId w:val="24"/>
        </w:numPr>
        <w:tabs>
          <w:tab w:val="left" w:pos="720"/>
        </w:tabs>
        <w:spacing w:beforeLines="100" w:before="312" w:afterLines="50" w:after="156"/>
        <w:ind w:left="0" w:firstLineChars="0" w:firstLine="0"/>
        <w:outlineLvl w:val="0"/>
        <w:rPr>
          <w:b/>
          <w:sz w:val="30"/>
          <w:szCs w:val="30"/>
        </w:rPr>
      </w:pPr>
      <w:bookmarkStart w:id="14" w:name="_Toc475199164"/>
      <w:bookmarkStart w:id="15" w:name="_Toc475215550"/>
      <w:bookmarkStart w:id="16" w:name="_Toc479438309"/>
      <w:bookmarkStart w:id="17" w:name="_Toc479438366"/>
      <w:r w:rsidRPr="00DA5E86">
        <w:rPr>
          <w:b/>
          <w:sz w:val="30"/>
          <w:szCs w:val="30"/>
        </w:rPr>
        <w:t>范围</w:t>
      </w:r>
      <w:bookmarkEnd w:id="14"/>
      <w:bookmarkEnd w:id="15"/>
      <w:bookmarkEnd w:id="16"/>
      <w:bookmarkEnd w:id="17"/>
    </w:p>
    <w:p w:rsidR="00DA5E86" w:rsidRDefault="00A1280D" w:rsidP="00377EDD">
      <w:pPr>
        <w:spacing w:before="187"/>
      </w:pPr>
      <w:r w:rsidRPr="00377EDD">
        <w:t>本文件仅适用于由</w:t>
      </w:r>
      <w:r w:rsidRPr="00377EDD">
        <w:t>FDA</w:t>
      </w:r>
      <w:r w:rsidRPr="00377EDD">
        <w:t>根据联邦食品</w:t>
      </w:r>
      <w:r w:rsidRPr="00377EDD">
        <w:rPr>
          <w:rFonts w:hint="eastAsia"/>
        </w:rPr>
        <w:t>、</w:t>
      </w:r>
      <w:r w:rsidRPr="00377EDD">
        <w:t>药品和化妆品法案（</w:t>
      </w:r>
      <w:r w:rsidRPr="00377EDD">
        <w:rPr>
          <w:rFonts w:hint="eastAsia"/>
        </w:rPr>
        <w:t>简称</w:t>
      </w:r>
      <w:r w:rsidRPr="00377EDD">
        <w:t>法案）第</w:t>
      </w:r>
      <w:r w:rsidRPr="00377EDD">
        <w:t>21 USC 360j</w:t>
      </w:r>
      <w:r w:rsidRPr="00377EDD">
        <w:t>（</w:t>
      </w:r>
      <w:r w:rsidRPr="00377EDD">
        <w:t>g</w:t>
      </w:r>
      <w:r w:rsidRPr="00377EDD">
        <w:t>）节第</w:t>
      </w:r>
      <w:r w:rsidRPr="00377EDD">
        <w:t>520</w:t>
      </w:r>
      <w:r w:rsidRPr="00377EDD">
        <w:t>（</w:t>
      </w:r>
      <w:r w:rsidRPr="00377EDD">
        <w:t>g</w:t>
      </w:r>
      <w:r w:rsidRPr="00377EDD">
        <w:t>）</w:t>
      </w:r>
      <w:r w:rsidRPr="00377EDD">
        <w:rPr>
          <w:rFonts w:hint="eastAsia"/>
        </w:rPr>
        <w:t>部分</w:t>
      </w:r>
      <w:r w:rsidRPr="00377EDD">
        <w:t>规定的</w:t>
      </w:r>
      <w:r w:rsidRPr="00377EDD">
        <w:rPr>
          <w:rFonts w:hint="eastAsia"/>
        </w:rPr>
        <w:t>体外诊断</w:t>
      </w:r>
      <w:r w:rsidRPr="00377EDD">
        <w:t>试剂研究，该研究根据</w:t>
      </w:r>
      <w:r w:rsidRPr="00377EDD">
        <w:t>21 CFR 812.2</w:t>
      </w:r>
      <w:r w:rsidRPr="00377EDD">
        <w:t>（</w:t>
      </w:r>
      <w:r w:rsidRPr="00377EDD">
        <w:t>c</w:t>
      </w:r>
      <w:r w:rsidRPr="00377EDD">
        <w:t>）（</w:t>
      </w:r>
      <w:r w:rsidRPr="00377EDD">
        <w:t>3</w:t>
      </w:r>
      <w:r w:rsidRPr="00377EDD">
        <w:t>）豁免</w:t>
      </w:r>
      <w:r w:rsidRPr="00377EDD">
        <w:t>IDE</w:t>
      </w:r>
      <w:r w:rsidRPr="00377EDD">
        <w:rPr>
          <w:rFonts w:hint="eastAsia"/>
        </w:rPr>
        <w:t>法规</w:t>
      </w:r>
      <w:r w:rsidRPr="00377EDD">
        <w:t>的大多数要求（</w:t>
      </w:r>
      <w:r w:rsidRPr="00377EDD">
        <w:t>21 CFR 812</w:t>
      </w:r>
      <w:r w:rsidRPr="00377EDD">
        <w:t>），并使用不能单独识别的剩余标本。</w:t>
      </w:r>
      <w:bookmarkStart w:id="18" w:name="OLE_LINK5"/>
      <w:bookmarkStart w:id="19" w:name="OLE_LINK6"/>
      <w:r w:rsidRPr="00377EDD">
        <w:t>剩余标本</w:t>
      </w:r>
      <w:bookmarkEnd w:id="18"/>
      <w:bookmarkEnd w:id="19"/>
      <w:r w:rsidRPr="00377EDD">
        <w:t>是收集用于常规临床护理或分析的人类标本残余物，</w:t>
      </w:r>
      <w:r w:rsidRPr="00377EDD">
        <w:rPr>
          <w:rFonts w:hint="eastAsia"/>
        </w:rPr>
        <w:t>如果</w:t>
      </w:r>
      <w:r w:rsidRPr="00377EDD">
        <w:t>不</w:t>
      </w:r>
      <w:r w:rsidRPr="00377EDD">
        <w:rPr>
          <w:rFonts w:hint="eastAsia"/>
        </w:rPr>
        <w:t>使用则会</w:t>
      </w:r>
      <w:r w:rsidRPr="00377EDD">
        <w:t>被丢弃。研究者或与研究相关的任何其他个人（包括申办方）不知道或</w:t>
      </w:r>
      <w:r w:rsidRPr="00377EDD">
        <w:rPr>
          <w:rFonts w:hint="eastAsia"/>
        </w:rPr>
        <w:t>很难</w:t>
      </w:r>
      <w:r w:rsidRPr="00377EDD">
        <w:t>确定受试者的身份时，</w:t>
      </w:r>
      <w:r w:rsidRPr="00377EDD">
        <w:rPr>
          <w:rFonts w:hint="eastAsia"/>
        </w:rPr>
        <w:t>则为</w:t>
      </w:r>
      <w:r w:rsidRPr="00377EDD">
        <w:t>标本不能单独</w:t>
      </w:r>
      <w:r w:rsidRPr="00377EDD">
        <w:rPr>
          <w:rFonts w:hint="eastAsia"/>
        </w:rPr>
        <w:t>识别</w:t>
      </w:r>
      <w:r w:rsidRPr="00377EDD">
        <w:t>。（见下文第</w:t>
      </w:r>
      <w:r w:rsidRPr="00377EDD">
        <w:t>4</w:t>
      </w:r>
      <w:r w:rsidRPr="00377EDD">
        <w:t>节）。本指南也适用于以前收集用于其他无关研究且无法单独识别的</w:t>
      </w:r>
      <w:r w:rsidRPr="00377EDD">
        <w:rPr>
          <w:rFonts w:hint="eastAsia"/>
        </w:rPr>
        <w:t>标本</w:t>
      </w:r>
      <w:r w:rsidRPr="00377EDD">
        <w:t>。</w:t>
      </w:r>
      <w:r w:rsidR="00DA5E86">
        <w:br w:type="page"/>
      </w:r>
    </w:p>
    <w:p w:rsidR="00A1280D" w:rsidRPr="00377EDD" w:rsidRDefault="00A1280D" w:rsidP="00377EDD">
      <w:pPr>
        <w:spacing w:before="187"/>
      </w:pPr>
      <w:r w:rsidRPr="00377EDD">
        <w:rPr>
          <w:rFonts w:hint="eastAsia"/>
        </w:rPr>
        <w:lastRenderedPageBreak/>
        <w:t>本指南将在发布之日实施。其适用于指南发布日期内现有剩余标本进行的研究，以及将在本指南发布后收集标本进行的研究，前提是标本和研究符合下述情况（见第</w:t>
      </w:r>
      <w:r w:rsidRPr="00377EDD">
        <w:t>4</w:t>
      </w:r>
      <w:r w:rsidRPr="00377EDD">
        <w:rPr>
          <w:rFonts w:hint="eastAsia"/>
        </w:rPr>
        <w:t>节）。</w:t>
      </w:r>
    </w:p>
    <w:p w:rsidR="00A1280D" w:rsidRPr="00DA5E86" w:rsidRDefault="00A1280D" w:rsidP="00C63569">
      <w:pPr>
        <w:pStyle w:val="a3"/>
        <w:numPr>
          <w:ilvl w:val="0"/>
          <w:numId w:val="24"/>
        </w:numPr>
        <w:tabs>
          <w:tab w:val="left" w:pos="720"/>
        </w:tabs>
        <w:spacing w:beforeLines="100" w:before="312" w:afterLines="50" w:after="156"/>
        <w:ind w:left="0" w:firstLineChars="0" w:firstLine="0"/>
        <w:outlineLvl w:val="0"/>
        <w:rPr>
          <w:b/>
          <w:sz w:val="30"/>
          <w:szCs w:val="30"/>
        </w:rPr>
      </w:pPr>
      <w:bookmarkStart w:id="20" w:name="_Toc475199165"/>
      <w:bookmarkStart w:id="21" w:name="_Toc475215551"/>
      <w:bookmarkStart w:id="22" w:name="_Toc479438310"/>
      <w:bookmarkStart w:id="23" w:name="_Toc479438367"/>
      <w:r w:rsidRPr="00DA5E86">
        <w:rPr>
          <w:rFonts w:hint="eastAsia"/>
          <w:b/>
          <w:sz w:val="30"/>
          <w:szCs w:val="30"/>
        </w:rPr>
        <w:t>背景</w:t>
      </w:r>
      <w:bookmarkEnd w:id="20"/>
      <w:bookmarkEnd w:id="21"/>
      <w:bookmarkEnd w:id="22"/>
      <w:bookmarkEnd w:id="23"/>
    </w:p>
    <w:p w:rsidR="00A1280D" w:rsidRPr="00377EDD" w:rsidRDefault="00A1280D" w:rsidP="00377EDD">
      <w:pPr>
        <w:spacing w:before="187"/>
      </w:pPr>
      <w:r w:rsidRPr="00377EDD">
        <w:t>FDA</w:t>
      </w:r>
      <w:r w:rsidRPr="00377EDD">
        <w:rPr>
          <w:rFonts w:hint="eastAsia"/>
        </w:rPr>
        <w:t>的研究器械法规定旨在鼓励符合公共卫生和安全以及符合道德标准的方式开发新型有效</w:t>
      </w:r>
      <w:r w:rsidRPr="00377EDD">
        <w:t>的器械</w:t>
      </w:r>
      <w:r w:rsidRPr="00377EDD">
        <w:rPr>
          <w:rFonts w:hint="eastAsia"/>
        </w:rPr>
        <w:t>。（参见</w:t>
      </w:r>
      <w:r w:rsidRPr="00377EDD">
        <w:t>21 U.S.C. 360j</w:t>
      </w:r>
      <w:r w:rsidRPr="00377EDD">
        <w:rPr>
          <w:rFonts w:hint="eastAsia"/>
        </w:rPr>
        <w:t>（</w:t>
      </w:r>
      <w:r w:rsidRPr="00377EDD">
        <w:t>g</w:t>
      </w:r>
      <w:r w:rsidRPr="00377EDD">
        <w:rPr>
          <w:rFonts w:hint="eastAsia"/>
        </w:rPr>
        <w:t>））。研究者应该有自由去追求实现这一目标的最小负担方法。然而，为了确保产品开发与保护公共卫生安全以及道德标准之间保持平衡，</w:t>
      </w:r>
      <w:r w:rsidRPr="00377EDD">
        <w:t>FDA</w:t>
      </w:r>
      <w:r w:rsidRPr="00377EDD">
        <w:rPr>
          <w:rFonts w:hint="eastAsia"/>
        </w:rPr>
        <w:t>已制定人类受试者保护法规，满足知情同意和伦理</w:t>
      </w:r>
      <w:r w:rsidRPr="00377EDD">
        <w:t>委员会</w:t>
      </w:r>
      <w:r w:rsidRPr="00377EDD">
        <w:rPr>
          <w:rFonts w:hint="eastAsia"/>
        </w:rPr>
        <w:t>审查的要求，这些要求适用于涉及人类的所有</w:t>
      </w:r>
      <w:r w:rsidRPr="00377EDD">
        <w:t>FDA</w:t>
      </w:r>
      <w:r w:rsidRPr="00377EDD">
        <w:rPr>
          <w:rFonts w:hint="eastAsia"/>
        </w:rPr>
        <w:t>监管的临床研究。特别的是，知情同意要求进一步考虑安全和伦理因素，允许潜在受试者在同意参加试验的情况下</w:t>
      </w:r>
      <w:r w:rsidRPr="00377EDD">
        <w:t>，</w:t>
      </w:r>
      <w:r w:rsidRPr="00377EDD">
        <w:rPr>
          <w:rFonts w:hint="eastAsia"/>
        </w:rPr>
        <w:t>考虑他们面对的生理和隐私风险。</w:t>
      </w:r>
    </w:p>
    <w:p w:rsidR="00A1280D" w:rsidRPr="00377EDD" w:rsidRDefault="00A1280D" w:rsidP="00377EDD">
      <w:pPr>
        <w:spacing w:before="187"/>
      </w:pPr>
      <w:r w:rsidRPr="00377EDD">
        <w:rPr>
          <w:rFonts w:hint="eastAsia"/>
        </w:rPr>
        <w:t>根据</w:t>
      </w:r>
      <w:r w:rsidRPr="00377EDD">
        <w:t>FDA</w:t>
      </w:r>
      <w:r w:rsidRPr="00377EDD">
        <w:rPr>
          <w:rFonts w:hint="eastAsia"/>
        </w:rPr>
        <w:t>规定，使用人类标本进行的支持</w:t>
      </w:r>
      <w:r w:rsidRPr="00377EDD">
        <w:t>FDA</w:t>
      </w:r>
      <w:r w:rsidRPr="00377EDD">
        <w:rPr>
          <w:rFonts w:hint="eastAsia"/>
        </w:rPr>
        <w:t>上市前提交的临床研究被认为是人类受试者研究</w:t>
      </w:r>
      <w:r w:rsidRPr="00377EDD">
        <w:t>[</w:t>
      </w:r>
      <w:r w:rsidRPr="00377EDD">
        <w:rPr>
          <w:rFonts w:hint="eastAsia"/>
        </w:rPr>
        <w:t>见</w:t>
      </w:r>
      <w:r w:rsidRPr="00377EDD">
        <w:t>21 CFR 812.3</w:t>
      </w:r>
      <w:r w:rsidRPr="00377EDD">
        <w:rPr>
          <w:rFonts w:hint="eastAsia"/>
        </w:rPr>
        <w:t>（</w:t>
      </w:r>
      <w:r w:rsidRPr="00377EDD">
        <w:t>p</w:t>
      </w:r>
      <w:r w:rsidRPr="00377EDD">
        <w:rPr>
          <w:rFonts w:hint="eastAsia"/>
        </w:rPr>
        <w:t>）</w:t>
      </w:r>
      <w:r w:rsidRPr="00377EDD">
        <w:t>]</w:t>
      </w:r>
      <w:r w:rsidRPr="00377EDD">
        <w:rPr>
          <w:rFonts w:hint="eastAsia"/>
        </w:rPr>
        <w:t>。</w:t>
      </w:r>
      <w:r w:rsidRPr="00377EDD">
        <w:t>21 CFR 812.2</w:t>
      </w:r>
      <w:r w:rsidRPr="00377EDD">
        <w:rPr>
          <w:rFonts w:hint="eastAsia"/>
        </w:rPr>
        <w:t>（</w:t>
      </w:r>
      <w:r w:rsidRPr="00377EDD">
        <w:t>c</w:t>
      </w:r>
      <w:r w:rsidRPr="00377EDD">
        <w:rPr>
          <w:rFonts w:hint="eastAsia"/>
        </w:rPr>
        <w:t>）（</w:t>
      </w:r>
      <w:r w:rsidRPr="00377EDD">
        <w:t>3</w:t>
      </w:r>
      <w:r w:rsidRPr="00377EDD">
        <w:rPr>
          <w:rFonts w:hint="eastAsia"/>
        </w:rPr>
        <w:t>）的调查器械豁免条款下，许多体外诊断试剂研究依据</w:t>
      </w:r>
      <w:r w:rsidRPr="00377EDD">
        <w:t>21 CFR</w:t>
      </w:r>
      <w:r w:rsidRPr="00377EDD">
        <w:rPr>
          <w:rFonts w:hint="eastAsia"/>
        </w:rPr>
        <w:t>第</w:t>
      </w:r>
      <w:r w:rsidRPr="00377EDD">
        <w:t>812</w:t>
      </w:r>
      <w:r w:rsidRPr="00377EDD">
        <w:rPr>
          <w:rFonts w:hint="eastAsia"/>
        </w:rPr>
        <w:t>部分的</w:t>
      </w:r>
      <w:r w:rsidRPr="00377EDD">
        <w:t>大多数规定而</w:t>
      </w:r>
      <w:r w:rsidRPr="00377EDD">
        <w:rPr>
          <w:rFonts w:hint="eastAsia"/>
        </w:rPr>
        <w:t>豁免，但</w:t>
      </w:r>
      <w:r w:rsidRPr="00377EDD">
        <w:t>FDA</w:t>
      </w:r>
      <w:r w:rsidRPr="00377EDD">
        <w:rPr>
          <w:rFonts w:hint="eastAsia"/>
        </w:rPr>
        <w:t>关于保护人类受试者的规定（</w:t>
      </w:r>
      <w:r w:rsidRPr="00377EDD">
        <w:t>21 CFR</w:t>
      </w:r>
      <w:r w:rsidRPr="00377EDD">
        <w:rPr>
          <w:rFonts w:hint="eastAsia"/>
        </w:rPr>
        <w:t>第</w:t>
      </w:r>
      <w:r w:rsidRPr="00377EDD">
        <w:t>50</w:t>
      </w:r>
      <w:r w:rsidRPr="00377EDD">
        <w:rPr>
          <w:rFonts w:hint="eastAsia"/>
        </w:rPr>
        <w:t>和</w:t>
      </w:r>
      <w:r w:rsidRPr="00377EDD">
        <w:t>56</w:t>
      </w:r>
      <w:r w:rsidRPr="00377EDD">
        <w:rPr>
          <w:rFonts w:hint="eastAsia"/>
        </w:rPr>
        <w:t>部分）适用于所有由</w:t>
      </w:r>
      <w:r w:rsidRPr="00377EDD">
        <w:t>FDA</w:t>
      </w:r>
      <w:r w:rsidRPr="00377EDD">
        <w:rPr>
          <w:rFonts w:hint="eastAsia"/>
        </w:rPr>
        <w:t>监管的临床研究</w:t>
      </w:r>
      <w:r w:rsidRPr="00377EDD">
        <w:t>[</w:t>
      </w:r>
      <w:r w:rsidRPr="00377EDD">
        <w:rPr>
          <w:rFonts w:hint="eastAsia"/>
        </w:rPr>
        <w:t>见</w:t>
      </w:r>
      <w:r w:rsidRPr="00377EDD">
        <w:t>21 CFR 50.1</w:t>
      </w:r>
      <w:r w:rsidR="00DA5E86">
        <w:rPr>
          <w:rFonts w:hint="eastAsia"/>
        </w:rPr>
        <w:t>；</w:t>
      </w:r>
      <w:r w:rsidRPr="00377EDD">
        <w:t>21 CFR 56.1</w:t>
      </w:r>
      <w:r w:rsidR="00DA5E86">
        <w:rPr>
          <w:rFonts w:hint="eastAsia"/>
        </w:rPr>
        <w:t>；</w:t>
      </w:r>
      <w:r w:rsidRPr="00377EDD">
        <w:t>21 U.S.C. 360j</w:t>
      </w:r>
      <w:r w:rsidRPr="00377EDD">
        <w:rPr>
          <w:rFonts w:hint="eastAsia"/>
        </w:rPr>
        <w:t>（</w:t>
      </w:r>
      <w:r w:rsidRPr="00377EDD">
        <w:t>g</w:t>
      </w:r>
      <w:r w:rsidRPr="00377EDD">
        <w:rPr>
          <w:rFonts w:hint="eastAsia"/>
        </w:rPr>
        <w:t>）（</w:t>
      </w:r>
      <w:r w:rsidRPr="00377EDD">
        <w:t>3</w:t>
      </w:r>
      <w:r w:rsidRPr="00377EDD">
        <w:rPr>
          <w:rFonts w:hint="eastAsia"/>
        </w:rPr>
        <w:t>）（</w:t>
      </w:r>
      <w:r w:rsidRPr="00377EDD">
        <w:t>A</w:t>
      </w:r>
      <w:r w:rsidRPr="00377EDD">
        <w:rPr>
          <w:rFonts w:hint="eastAsia"/>
        </w:rPr>
        <w:t>）＆（</w:t>
      </w:r>
      <w:r w:rsidRPr="00377EDD">
        <w:t>D</w:t>
      </w:r>
      <w:r w:rsidRPr="00377EDD">
        <w:rPr>
          <w:rFonts w:hint="eastAsia"/>
        </w:rPr>
        <w:t>）</w:t>
      </w:r>
      <w:r w:rsidRPr="00377EDD">
        <w:t>]</w:t>
      </w:r>
      <w:r w:rsidRPr="00377EDD">
        <w:rPr>
          <w:rFonts w:hint="eastAsia"/>
        </w:rPr>
        <w:t>。</w:t>
      </w:r>
    </w:p>
    <w:p w:rsidR="00A1280D" w:rsidRDefault="00A1280D" w:rsidP="00377EDD">
      <w:pPr>
        <w:spacing w:before="187"/>
      </w:pPr>
      <w:r w:rsidRPr="00377EDD">
        <w:t>FDA</w:t>
      </w:r>
      <w:r w:rsidRPr="00377EDD">
        <w:rPr>
          <w:rFonts w:hint="eastAsia"/>
        </w:rPr>
        <w:t>确实对某些紧急和军</w:t>
      </w:r>
      <w:r w:rsidR="00DA5E86" w:rsidRPr="00DA5E86">
        <w:rPr>
          <w:rFonts w:hint="eastAsia"/>
        </w:rPr>
        <w:t>事研究的知情</w:t>
      </w:r>
      <w:r w:rsidRPr="00377EDD">
        <w:rPr>
          <w:rFonts w:hint="eastAsia"/>
        </w:rPr>
        <w:t>同意通用要求有</w:t>
      </w:r>
      <w:r w:rsidR="0059036D" w:rsidRPr="0059036D">
        <w:rPr>
          <w:rFonts w:hint="eastAsia"/>
        </w:rPr>
        <w:t>狭义的例外</w:t>
      </w:r>
      <w:r w:rsidR="0059036D">
        <w:rPr>
          <w:rFonts w:hint="eastAsia"/>
        </w:rPr>
        <w:t>，</w:t>
      </w:r>
      <w:r w:rsidR="0059036D">
        <w:rPr>
          <w:rStyle w:val="af2"/>
        </w:rPr>
        <w:footnoteReference w:id="5"/>
      </w:r>
      <w:r w:rsidR="0059036D" w:rsidRPr="0059036D">
        <w:rPr>
          <w:rFonts w:hint="eastAsia"/>
        </w:rPr>
        <w:t>但</w:t>
      </w:r>
      <w:r w:rsidR="0059036D" w:rsidRPr="0059036D">
        <w:rPr>
          <w:rFonts w:hint="eastAsia"/>
        </w:rPr>
        <w:t>FDA</w:t>
      </w:r>
      <w:r w:rsidR="0059036D" w:rsidRPr="0059036D">
        <w:rPr>
          <w:rFonts w:hint="eastAsia"/>
        </w:rPr>
        <w:t>法规里允</w:t>
      </w:r>
      <w:r w:rsidRPr="00377EDD">
        <w:rPr>
          <w:rFonts w:hint="eastAsia"/>
        </w:rPr>
        <w:t>许只有</w:t>
      </w:r>
      <w:r w:rsidRPr="00377EDD">
        <w:t>在</w:t>
      </w:r>
      <w:r w:rsidRPr="00377EDD">
        <w:rPr>
          <w:rFonts w:hint="eastAsia"/>
        </w:rPr>
        <w:t>标本不可识别或者收集用于常规临床护理或分析的人体标本残留物不使用将被丢弃时，才能例外地未经知情同意。</w:t>
      </w:r>
      <w:r w:rsidRPr="00377EDD">
        <w:t>FDA</w:t>
      </w:r>
      <w:r w:rsidRPr="00377EDD">
        <w:rPr>
          <w:rFonts w:hint="eastAsia"/>
        </w:rPr>
        <w:t>法规也不允许伦理委员会决定是否放弃对涉及残留或无法识别标本的研究的知情同意要求。</w:t>
      </w:r>
    </w:p>
    <w:p w:rsidR="00DA5E86" w:rsidRDefault="00DA5E86" w:rsidP="00377EDD">
      <w:pPr>
        <w:spacing w:before="187"/>
      </w:pPr>
      <w:r>
        <w:br w:type="page"/>
      </w:r>
    </w:p>
    <w:p w:rsidR="00A1280D" w:rsidRPr="00377EDD" w:rsidRDefault="00A1280D" w:rsidP="00377EDD">
      <w:pPr>
        <w:spacing w:before="187"/>
      </w:pPr>
      <w:r w:rsidRPr="00377EDD">
        <w:rPr>
          <w:rFonts w:hint="eastAsia"/>
        </w:rPr>
        <w:lastRenderedPageBreak/>
        <w:t>剩余标本经常用于可行性研究和表征新型体外诊断试剂的性能研究有几个原因。新型体外诊断试剂的评价通常需要使用具有特定实验室特征的标本，例如对于特定疾病标志物为阳性或阴性，满足研究的纳入标准。常规临床护理检验可以提供关于标本的实验室特征信息，这使得研究者快速确定标本是否可以满足研究入选标准。因此，对于患者没有价值并且准备丢弃时，这些标本的残余物对研究很有价值。这些标本的成本较之前瞻性地用于研究的标本的成本要低，使得使用剩余标本的研究负担更低，允许制造商进行原本不可能进行的研究。此外，所存储的剩余标本是充足</w:t>
      </w:r>
      <w:r w:rsidRPr="00377EDD">
        <w:t>、</w:t>
      </w:r>
      <w:r w:rsidRPr="00377EDD">
        <w:rPr>
          <w:rFonts w:hint="eastAsia"/>
        </w:rPr>
        <w:t>独特并且可能是稀有标本的来源，能够允许快速完成研究</w:t>
      </w:r>
      <w:r w:rsidRPr="00377EDD">
        <w:t>，而这些研究</w:t>
      </w:r>
      <w:r w:rsidRPr="00377EDD">
        <w:rPr>
          <w:rFonts w:hint="eastAsia"/>
        </w:rPr>
        <w:t>在没有这些标本的情况下不可能在合理的时间框架进行</w:t>
      </w:r>
      <w:r w:rsidRPr="00377EDD">
        <w:t>。</w:t>
      </w:r>
    </w:p>
    <w:p w:rsidR="00A1280D" w:rsidRPr="00377EDD" w:rsidRDefault="00A1280D" w:rsidP="00377EDD">
      <w:pPr>
        <w:spacing w:before="187"/>
      </w:pPr>
      <w:r w:rsidRPr="00377EDD">
        <w:t>FDA</w:t>
      </w:r>
      <w:r w:rsidRPr="00377EDD">
        <w:rPr>
          <w:rFonts w:hint="eastAsia"/>
        </w:rPr>
        <w:t>认为在某些情况下可以使用未经知情同意获得的剩余标本进行体外诊断试剂的研究，同时保护作为此类标本来源的人类受试者。体外诊断试剂研究申办方使用剩余标本，其受试者不能被识别，并且研究检验的结果不被传达给所识别的受试者或以其他方式与所识别的受试者相关联时，则可最小化减小隐私相关的担忧。此外，这些研究不会给最初收集标本的受试者造成新的医疗风险：患者</w:t>
      </w:r>
      <w:r w:rsidRPr="00377EDD">
        <w:t>作为</w:t>
      </w:r>
      <w:r w:rsidRPr="00377EDD">
        <w:rPr>
          <w:rFonts w:hint="eastAsia"/>
        </w:rPr>
        <w:t>受试者参与研究之前，患者</w:t>
      </w:r>
      <w:r w:rsidRPr="00377EDD">
        <w:t>的</w:t>
      </w:r>
      <w:r w:rsidRPr="00377EDD">
        <w:rPr>
          <w:rFonts w:hint="eastAsia"/>
        </w:rPr>
        <w:t>标本被收集用于自己的临床需要，来自标本收集的任何风险均</w:t>
      </w:r>
      <w:r w:rsidRPr="00377EDD">
        <w:t>消除</w:t>
      </w:r>
      <w:r w:rsidRPr="00377EDD">
        <w:rPr>
          <w:rFonts w:hint="eastAsia"/>
        </w:rPr>
        <w:t>，由于检验结果不用于受试者的临床管理，因此不存在来自错误检验结果的风险。与已收集用于常规临床护理的剩余标本一样，之前为其他研究目而收集的剩余标本的研究使用不涉及额外的医疗风险，并且通过本指南限制不可识别标本的适用性，减小隐私风险。</w:t>
      </w:r>
    </w:p>
    <w:p w:rsidR="00A1280D" w:rsidRPr="00AE4478" w:rsidRDefault="00A1280D" w:rsidP="00C63569">
      <w:pPr>
        <w:pStyle w:val="a3"/>
        <w:numPr>
          <w:ilvl w:val="0"/>
          <w:numId w:val="24"/>
        </w:numPr>
        <w:tabs>
          <w:tab w:val="left" w:pos="720"/>
        </w:tabs>
        <w:spacing w:beforeLines="100" w:before="312" w:afterLines="50" w:after="156"/>
        <w:ind w:left="753" w:hangingChars="250" w:hanging="753"/>
        <w:outlineLvl w:val="0"/>
        <w:rPr>
          <w:b/>
          <w:sz w:val="30"/>
          <w:szCs w:val="30"/>
        </w:rPr>
      </w:pPr>
      <w:bookmarkStart w:id="24" w:name="_Toc475199166"/>
      <w:bookmarkStart w:id="25" w:name="_Toc475215552"/>
      <w:bookmarkStart w:id="26" w:name="_Toc479438311"/>
      <w:bookmarkStart w:id="27" w:name="_Toc479438368"/>
      <w:r w:rsidRPr="00AE4478">
        <w:rPr>
          <w:rFonts w:hint="eastAsia"/>
          <w:b/>
          <w:sz w:val="30"/>
          <w:szCs w:val="30"/>
        </w:rPr>
        <w:t>在什么情况下</w:t>
      </w:r>
      <w:r w:rsidRPr="00AE4478">
        <w:rPr>
          <w:b/>
          <w:sz w:val="30"/>
          <w:szCs w:val="30"/>
        </w:rPr>
        <w:t>FDA</w:t>
      </w:r>
      <w:r w:rsidRPr="00AE4478">
        <w:rPr>
          <w:rFonts w:hint="eastAsia"/>
          <w:b/>
          <w:sz w:val="30"/>
          <w:szCs w:val="30"/>
        </w:rPr>
        <w:t>行使强制自由裁量权，符合</w:t>
      </w:r>
      <w:r w:rsidRPr="00AE4478">
        <w:rPr>
          <w:b/>
          <w:sz w:val="30"/>
          <w:szCs w:val="30"/>
        </w:rPr>
        <w:t>FDA</w:t>
      </w:r>
      <w:r w:rsidRPr="00AE4478">
        <w:rPr>
          <w:b/>
          <w:sz w:val="30"/>
          <w:szCs w:val="30"/>
        </w:rPr>
        <w:t>监管体外诊断</w:t>
      </w:r>
      <w:r w:rsidRPr="00AE4478">
        <w:rPr>
          <w:rFonts w:hint="eastAsia"/>
          <w:b/>
          <w:sz w:val="30"/>
          <w:szCs w:val="30"/>
        </w:rPr>
        <w:t>试剂研究中有关使用标本的信息的要求？</w:t>
      </w:r>
      <w:bookmarkEnd w:id="24"/>
      <w:bookmarkEnd w:id="25"/>
      <w:bookmarkEnd w:id="26"/>
      <w:bookmarkEnd w:id="27"/>
    </w:p>
    <w:p w:rsidR="00A1280D" w:rsidRPr="00377EDD" w:rsidRDefault="00A1280D" w:rsidP="00377EDD">
      <w:pPr>
        <w:spacing w:before="187"/>
      </w:pPr>
      <w:r w:rsidRPr="00377EDD">
        <w:rPr>
          <w:rFonts w:hint="eastAsia"/>
        </w:rPr>
        <w:t>如果要进行体外诊断试剂的研究并且所有以下情况都是真实的，</w:t>
      </w:r>
      <w:r w:rsidRPr="00377EDD">
        <w:t>FDA</w:t>
      </w:r>
      <w:r w:rsidRPr="00377EDD">
        <w:rPr>
          <w:rFonts w:hint="eastAsia"/>
        </w:rPr>
        <w:t>打算对临床研究者、申办方和伦理委员会的知情同意要求行使强制自由裁量权：</w:t>
      </w:r>
    </w:p>
    <w:p w:rsidR="00A1280D" w:rsidRPr="00377EDD" w:rsidRDefault="00A1280D" w:rsidP="00AE4478">
      <w:pPr>
        <w:pStyle w:val="a3"/>
        <w:numPr>
          <w:ilvl w:val="1"/>
          <w:numId w:val="26"/>
        </w:numPr>
        <w:spacing w:before="187"/>
        <w:ind w:leftChars="200" w:left="960" w:hangingChars="200" w:hanging="480"/>
      </w:pPr>
      <w:r w:rsidRPr="00377EDD">
        <w:rPr>
          <w:rFonts w:hint="eastAsia"/>
        </w:rPr>
        <w:t>研究符合</w:t>
      </w:r>
      <w:r w:rsidRPr="00377EDD">
        <w:t>21 CFR 812.2</w:t>
      </w:r>
      <w:r w:rsidRPr="00377EDD">
        <w:rPr>
          <w:rFonts w:hint="eastAsia"/>
        </w:rPr>
        <w:t>（</w:t>
      </w:r>
      <w:r w:rsidRPr="00377EDD">
        <w:t>c</w:t>
      </w:r>
      <w:r w:rsidRPr="00377EDD">
        <w:rPr>
          <w:rFonts w:hint="eastAsia"/>
        </w:rPr>
        <w:t>）（</w:t>
      </w:r>
      <w:r w:rsidRPr="00377EDD">
        <w:t>3</w:t>
      </w:r>
      <w:r w:rsidRPr="00377EDD">
        <w:rPr>
          <w:rFonts w:hint="eastAsia"/>
        </w:rPr>
        <w:t>）的调查器械豁免标准。</w:t>
      </w:r>
    </w:p>
    <w:p w:rsidR="00A1280D" w:rsidRPr="00377EDD" w:rsidRDefault="00A1280D" w:rsidP="00377EDD">
      <w:pPr>
        <w:spacing w:before="187"/>
      </w:pPr>
      <w:r w:rsidRPr="00377EDD">
        <w:br w:type="page"/>
      </w:r>
    </w:p>
    <w:p w:rsidR="00A1280D" w:rsidRPr="00377EDD" w:rsidRDefault="00A1280D" w:rsidP="00AE4478">
      <w:pPr>
        <w:pStyle w:val="a3"/>
        <w:numPr>
          <w:ilvl w:val="1"/>
          <w:numId w:val="26"/>
        </w:numPr>
        <w:spacing w:before="187"/>
        <w:ind w:leftChars="200" w:left="960" w:hangingChars="200" w:hanging="480"/>
      </w:pPr>
      <w:r w:rsidRPr="00377EDD">
        <w:rPr>
          <w:rFonts w:hint="eastAsia"/>
        </w:rPr>
        <w:lastRenderedPageBreak/>
        <w:t>研究使用剩余标本，即收集用于常规</w:t>
      </w:r>
      <w:bookmarkStart w:id="28" w:name="OLE_LINK7"/>
      <w:bookmarkStart w:id="29" w:name="OLE_LINK8"/>
      <w:r w:rsidRPr="00377EDD">
        <w:rPr>
          <w:rFonts w:hint="eastAsia"/>
        </w:rPr>
        <w:t>临床护理</w:t>
      </w:r>
      <w:bookmarkEnd w:id="28"/>
      <w:bookmarkEnd w:id="29"/>
      <w:r w:rsidRPr="00377EDD">
        <w:rPr>
          <w:rFonts w:hint="eastAsia"/>
        </w:rPr>
        <w:t>或分析的标本残留物，不使用将丢弃。研究还可以使用标本库中之前为其他研究目而收集的标本或剩余标本。</w:t>
      </w:r>
    </w:p>
    <w:p w:rsidR="00A1280D" w:rsidRPr="00377EDD" w:rsidRDefault="008D193D" w:rsidP="008D193D">
      <w:pPr>
        <w:pStyle w:val="a3"/>
        <w:numPr>
          <w:ilvl w:val="1"/>
          <w:numId w:val="26"/>
        </w:numPr>
        <w:spacing w:before="187"/>
        <w:ind w:firstLineChars="0"/>
      </w:pPr>
      <w:r w:rsidRPr="008D193D">
        <w:rPr>
          <w:rFonts w:hint="eastAsia"/>
        </w:rPr>
        <w:t>标本不能单独识别，即，研究人员研究者或与研究相关的任何其他个人（包括主办者申办方）不知道并且很难确定受试者的身份</w:t>
      </w:r>
      <w:r>
        <w:rPr>
          <w:rStyle w:val="af2"/>
        </w:rPr>
        <w:footnoteReference w:id="6"/>
      </w:r>
      <w:r w:rsidRPr="008D193D">
        <w:rPr>
          <w:rFonts w:hint="eastAsia"/>
        </w:rPr>
        <w:t>。如果样本标本是有编码的，研究人员研究者或与研究相关联的任何其他个人或主办者申办方都不能将样本标本与收集样本标本的受试者直接或</w:t>
      </w:r>
      <w:r w:rsidRPr="008D193D">
        <w:rPr>
          <w:rFonts w:hint="eastAsia"/>
        </w:rPr>
        <w:t xml:space="preserve"> </w:t>
      </w:r>
      <w:r w:rsidRPr="008D193D">
        <w:rPr>
          <w:rFonts w:hint="eastAsia"/>
        </w:rPr>
        <w:t>间接通过编码系统关联，则被认为不是</w:t>
      </w:r>
      <w:proofErr w:type="gramStart"/>
      <w:r w:rsidRPr="008D193D">
        <w:rPr>
          <w:rFonts w:hint="eastAsia"/>
        </w:rPr>
        <w:t>单独可</w:t>
      </w:r>
      <w:proofErr w:type="gramEnd"/>
      <w:r w:rsidRPr="008D193D">
        <w:rPr>
          <w:rFonts w:hint="eastAsia"/>
        </w:rPr>
        <w:t>识别的。</w:t>
      </w:r>
    </w:p>
    <w:p w:rsidR="00A1280D" w:rsidRPr="00377EDD" w:rsidRDefault="00A1280D" w:rsidP="00AE4478">
      <w:pPr>
        <w:pStyle w:val="a3"/>
        <w:numPr>
          <w:ilvl w:val="1"/>
          <w:numId w:val="26"/>
        </w:numPr>
        <w:spacing w:before="187"/>
        <w:ind w:leftChars="200" w:left="960" w:hangingChars="200" w:hanging="480"/>
      </w:pPr>
      <w:r w:rsidRPr="00377EDD">
        <w:rPr>
          <w:rFonts w:hint="eastAsia"/>
        </w:rPr>
        <w:t>标本可能附有临床信息，只要此信息不使研究者或与研究相关的任何其他个人（包括申办方）能够识别标本来源即可。</w:t>
      </w:r>
    </w:p>
    <w:p w:rsidR="00A1280D" w:rsidRPr="00377EDD" w:rsidRDefault="00A1280D" w:rsidP="00AE4478">
      <w:pPr>
        <w:pStyle w:val="a3"/>
        <w:numPr>
          <w:ilvl w:val="1"/>
          <w:numId w:val="26"/>
        </w:numPr>
        <w:spacing w:before="187"/>
        <w:ind w:leftChars="200" w:left="960" w:hangingChars="200" w:hanging="480"/>
      </w:pPr>
      <w:r w:rsidRPr="00377EDD">
        <w:rPr>
          <w:rFonts w:hint="eastAsia"/>
        </w:rPr>
        <w:t>照顾患者的个人与进行研究的人不同并且</w:t>
      </w:r>
      <w:proofErr w:type="gramStart"/>
      <w:r w:rsidRPr="00377EDD">
        <w:rPr>
          <w:rFonts w:hint="eastAsia"/>
        </w:rPr>
        <w:t>不</w:t>
      </w:r>
      <w:proofErr w:type="gramEnd"/>
      <w:r w:rsidRPr="00377EDD">
        <w:rPr>
          <w:rFonts w:hint="eastAsia"/>
        </w:rPr>
        <w:t>共享关于患者的信息。</w:t>
      </w:r>
    </w:p>
    <w:p w:rsidR="00A1280D" w:rsidRPr="00377EDD" w:rsidRDefault="00A1280D" w:rsidP="00AE4478">
      <w:pPr>
        <w:pStyle w:val="a3"/>
        <w:numPr>
          <w:ilvl w:val="1"/>
          <w:numId w:val="26"/>
        </w:numPr>
        <w:spacing w:before="187"/>
        <w:ind w:leftChars="200" w:left="960" w:hangingChars="200" w:hanging="480"/>
      </w:pPr>
      <w:r w:rsidRPr="00377EDD">
        <w:rPr>
          <w:rFonts w:hint="eastAsia"/>
        </w:rPr>
        <w:t>将标本提供给没有识别符的研究者，并且标本的供应商制定防止个人信息泄露的政策和程序。</w:t>
      </w:r>
    </w:p>
    <w:p w:rsidR="00A1280D" w:rsidRPr="00377EDD" w:rsidRDefault="00A1280D" w:rsidP="00AE4478">
      <w:pPr>
        <w:pStyle w:val="a3"/>
        <w:numPr>
          <w:ilvl w:val="1"/>
          <w:numId w:val="26"/>
        </w:numPr>
        <w:spacing w:before="187"/>
        <w:ind w:leftChars="200" w:left="960" w:hangingChars="200" w:hanging="480"/>
      </w:pPr>
      <w:r w:rsidRPr="00377EDD">
        <w:rPr>
          <w:rFonts w:hint="eastAsia"/>
        </w:rPr>
        <w:t>伦理委员会根据</w:t>
      </w:r>
      <w:r w:rsidRPr="00377EDD">
        <w:t>21 CFR</w:t>
      </w:r>
      <w:r w:rsidRPr="00377EDD">
        <w:rPr>
          <w:rFonts w:hint="eastAsia"/>
        </w:rPr>
        <w:t>第</w:t>
      </w:r>
      <w:r w:rsidRPr="00377EDD">
        <w:t>56</w:t>
      </w:r>
      <w:r w:rsidRPr="00377EDD">
        <w:rPr>
          <w:rFonts w:hint="eastAsia"/>
        </w:rPr>
        <w:t>部分对该研究进行审查，本指南文件第</w:t>
      </w:r>
      <w:r w:rsidRPr="00377EDD">
        <w:t>7</w:t>
      </w:r>
      <w:r w:rsidRPr="00377EDD">
        <w:rPr>
          <w:rFonts w:hint="eastAsia"/>
        </w:rPr>
        <w:t>部分对此作了说明。</w:t>
      </w:r>
    </w:p>
    <w:p w:rsidR="00A1280D" w:rsidRPr="008D193D" w:rsidRDefault="00A1280D" w:rsidP="00377EDD">
      <w:pPr>
        <w:spacing w:before="187"/>
        <w:rPr>
          <w:b/>
        </w:rPr>
      </w:pPr>
      <w:r w:rsidRPr="008D193D">
        <w:rPr>
          <w:rFonts w:hint="eastAsia"/>
          <w:b/>
        </w:rPr>
        <w:t>不在本指南中预期执行强制自由裁量权范围内的研究包括（但不限于）以下任何情况的研究：</w:t>
      </w:r>
    </w:p>
    <w:p w:rsidR="00A1280D" w:rsidRPr="00377EDD" w:rsidRDefault="00A1280D" w:rsidP="008D193D">
      <w:pPr>
        <w:pStyle w:val="a3"/>
        <w:numPr>
          <w:ilvl w:val="0"/>
          <w:numId w:val="27"/>
        </w:numPr>
        <w:spacing w:before="187"/>
        <w:ind w:leftChars="200" w:left="960" w:hangingChars="200" w:hanging="480"/>
      </w:pPr>
      <w:r w:rsidRPr="00377EDD">
        <w:rPr>
          <w:rFonts w:hint="eastAsia"/>
        </w:rPr>
        <w:t>该研究不符合</w:t>
      </w:r>
      <w:r w:rsidRPr="00377EDD">
        <w:t>21 CFR 812.2</w:t>
      </w:r>
      <w:r w:rsidRPr="00377EDD">
        <w:rPr>
          <w:rFonts w:hint="eastAsia"/>
        </w:rPr>
        <w:t>（</w:t>
      </w:r>
      <w:r w:rsidRPr="00377EDD">
        <w:t>c</w:t>
      </w:r>
      <w:r w:rsidRPr="00377EDD">
        <w:rPr>
          <w:rFonts w:hint="eastAsia"/>
        </w:rPr>
        <w:t>）（</w:t>
      </w:r>
      <w:r w:rsidRPr="00377EDD">
        <w:t>3</w:t>
      </w:r>
      <w:r w:rsidRPr="00377EDD">
        <w:rPr>
          <w:rFonts w:hint="eastAsia"/>
        </w:rPr>
        <w:t>）的调查器械豁免标准；</w:t>
      </w:r>
    </w:p>
    <w:p w:rsidR="00A1280D" w:rsidRPr="00377EDD" w:rsidRDefault="00A1280D" w:rsidP="008D193D">
      <w:pPr>
        <w:pStyle w:val="a3"/>
        <w:numPr>
          <w:ilvl w:val="0"/>
          <w:numId w:val="27"/>
        </w:numPr>
        <w:spacing w:before="187"/>
        <w:ind w:leftChars="200" w:left="960" w:hangingChars="200" w:hanging="480"/>
      </w:pPr>
      <w:r w:rsidRPr="00377EDD">
        <w:rPr>
          <w:rFonts w:hint="eastAsia"/>
        </w:rPr>
        <w:t>标本是可单独识别的，即研究者或与研究相关联的任何其他个人（包括主办者）已知或可容易确定受试者的身份。</w:t>
      </w:r>
    </w:p>
    <w:p w:rsidR="00A1280D" w:rsidRPr="00377EDD" w:rsidRDefault="00A1280D" w:rsidP="008D193D">
      <w:pPr>
        <w:pStyle w:val="a3"/>
        <w:numPr>
          <w:ilvl w:val="0"/>
          <w:numId w:val="27"/>
        </w:numPr>
        <w:spacing w:before="187"/>
        <w:ind w:leftChars="200" w:left="960" w:hangingChars="200" w:hanging="480"/>
      </w:pPr>
      <w:r w:rsidRPr="00377EDD">
        <w:rPr>
          <w:rFonts w:hint="eastAsia"/>
        </w:rPr>
        <w:t>专门为提议的研究收集标本。也就是说，标本不会在常规临床护理或分析中剩余，也不会在其他研究中剩余。</w:t>
      </w:r>
    </w:p>
    <w:p w:rsidR="00A1280D" w:rsidRPr="00377EDD" w:rsidRDefault="00A1280D" w:rsidP="008D193D">
      <w:pPr>
        <w:pStyle w:val="a3"/>
        <w:numPr>
          <w:ilvl w:val="0"/>
          <w:numId w:val="27"/>
        </w:numPr>
        <w:spacing w:before="187"/>
        <w:ind w:leftChars="200" w:left="960" w:hangingChars="200" w:hanging="480"/>
      </w:pPr>
      <w:r w:rsidRPr="00377EDD">
        <w:rPr>
          <w:rFonts w:hint="eastAsia"/>
        </w:rPr>
        <w:t>研究所需的标本量比常规收集的用于常规临床分析的标本剩余量多</w:t>
      </w:r>
    </w:p>
    <w:p w:rsidR="00A1280D" w:rsidRPr="00377EDD" w:rsidRDefault="00A1280D" w:rsidP="00377EDD">
      <w:pPr>
        <w:spacing w:before="187"/>
      </w:pPr>
      <w:r w:rsidRPr="00377EDD">
        <w:rPr>
          <w:rFonts w:hint="eastAsia"/>
        </w:rPr>
        <w:t>或者，</w:t>
      </w:r>
    </w:p>
    <w:p w:rsidR="008D193D" w:rsidRDefault="008D193D" w:rsidP="00377EDD">
      <w:pPr>
        <w:spacing w:before="187"/>
      </w:pPr>
      <w:r>
        <w:br w:type="page"/>
      </w:r>
    </w:p>
    <w:p w:rsidR="00A1280D" w:rsidRPr="00377EDD" w:rsidRDefault="00A1280D" w:rsidP="00D86495">
      <w:pPr>
        <w:pStyle w:val="a3"/>
        <w:numPr>
          <w:ilvl w:val="0"/>
          <w:numId w:val="27"/>
        </w:numPr>
        <w:spacing w:before="187"/>
        <w:ind w:leftChars="200" w:left="960" w:hangingChars="200" w:hanging="480"/>
      </w:pPr>
      <w:r w:rsidRPr="00377EDD">
        <w:rPr>
          <w:rFonts w:hint="eastAsia"/>
        </w:rPr>
        <w:lastRenderedPageBreak/>
        <w:t>将检验结果报告给受试者的医护人员。例如，在涉及炭疽芽孢杆菌检验器械的比较研究过程中，如果研究过程中发现阳性结果，那么不报告阳性结果是不合适的。</w:t>
      </w:r>
    </w:p>
    <w:p w:rsidR="00A1280D" w:rsidRPr="00D86495" w:rsidRDefault="00A1280D" w:rsidP="00C63569">
      <w:pPr>
        <w:pStyle w:val="a3"/>
        <w:numPr>
          <w:ilvl w:val="0"/>
          <w:numId w:val="24"/>
        </w:numPr>
        <w:tabs>
          <w:tab w:val="left" w:pos="720"/>
        </w:tabs>
        <w:spacing w:beforeLines="100" w:before="312" w:afterLines="50" w:after="156"/>
        <w:ind w:left="753" w:hangingChars="250" w:hanging="753"/>
        <w:outlineLvl w:val="0"/>
        <w:rPr>
          <w:b/>
          <w:sz w:val="30"/>
          <w:szCs w:val="30"/>
        </w:rPr>
      </w:pPr>
      <w:bookmarkStart w:id="30" w:name="_Toc475199167"/>
      <w:bookmarkStart w:id="31" w:name="_Toc475215553"/>
      <w:bookmarkStart w:id="32" w:name="_Toc479438312"/>
      <w:bookmarkStart w:id="33" w:name="_Toc479438369"/>
      <w:r w:rsidRPr="00D86495">
        <w:rPr>
          <w:b/>
          <w:sz w:val="30"/>
          <w:szCs w:val="30"/>
        </w:rPr>
        <w:t>对于这些类型的研究应保持什么类型记录</w:t>
      </w:r>
      <w:bookmarkEnd w:id="30"/>
      <w:bookmarkEnd w:id="31"/>
      <w:bookmarkEnd w:id="32"/>
      <w:bookmarkEnd w:id="33"/>
    </w:p>
    <w:p w:rsidR="00A1280D" w:rsidRPr="00377EDD" w:rsidRDefault="00A1280D" w:rsidP="00377EDD">
      <w:pPr>
        <w:spacing w:before="187"/>
      </w:pPr>
      <w:r w:rsidRPr="00377EDD">
        <w:rPr>
          <w:rFonts w:hint="eastAsia"/>
        </w:rPr>
        <w:t>我们建议申办方保留关于本指南第</w:t>
      </w:r>
      <w:r w:rsidRPr="00377EDD">
        <w:t>4</w:t>
      </w:r>
      <w:r w:rsidRPr="00377EDD">
        <w:rPr>
          <w:rFonts w:hint="eastAsia"/>
        </w:rPr>
        <w:t>（</w:t>
      </w:r>
      <w:r w:rsidRPr="00377EDD">
        <w:t>a</w:t>
      </w:r>
      <w:r w:rsidRPr="00377EDD">
        <w:rPr>
          <w:rFonts w:hint="eastAsia"/>
        </w:rPr>
        <w:t>）</w:t>
      </w:r>
      <w:r w:rsidRPr="00377EDD">
        <w:t>-</w:t>
      </w:r>
      <w:r w:rsidRPr="00377EDD">
        <w:rPr>
          <w:rFonts w:hint="eastAsia"/>
        </w:rPr>
        <w:t>（</w:t>
      </w:r>
      <w:r w:rsidRPr="00377EDD">
        <w:t>g</w:t>
      </w:r>
      <w:r w:rsidRPr="00377EDD">
        <w:rPr>
          <w:rFonts w:hint="eastAsia"/>
        </w:rPr>
        <w:t>）部分所述因素的书面文件，包括标本提供者遵循的政策和程序，确保不能识别该</w:t>
      </w:r>
      <w:r w:rsidRPr="00377EDD">
        <w:t>受试者</w:t>
      </w:r>
      <w:r w:rsidRPr="00377EDD">
        <w:rPr>
          <w:rFonts w:hint="eastAsia"/>
        </w:rPr>
        <w:t>。</w:t>
      </w:r>
      <w:r w:rsidRPr="00377EDD">
        <w:t>FDA</w:t>
      </w:r>
      <w:r w:rsidRPr="00377EDD">
        <w:rPr>
          <w:rFonts w:hint="eastAsia"/>
        </w:rPr>
        <w:t>可能要求检查本文件。</w:t>
      </w:r>
      <w:r w:rsidRPr="00377EDD">
        <w:t>FDA</w:t>
      </w:r>
      <w:r w:rsidRPr="00377EDD">
        <w:rPr>
          <w:rFonts w:hint="eastAsia"/>
        </w:rPr>
        <w:t>建议伦理委员会在批准研究之前审查本文件，特别注意隐私和保密性以及临床患者管理研究信息的潜在</w:t>
      </w:r>
      <w:r w:rsidRPr="00377EDD">
        <w:t>使用</w:t>
      </w:r>
      <w:r w:rsidRPr="00377EDD">
        <w:rPr>
          <w:rFonts w:hint="eastAsia"/>
        </w:rPr>
        <w:t>。</w:t>
      </w:r>
    </w:p>
    <w:p w:rsidR="00A1280D" w:rsidRPr="00D86495" w:rsidRDefault="00A1280D" w:rsidP="00C63569">
      <w:pPr>
        <w:pStyle w:val="a3"/>
        <w:numPr>
          <w:ilvl w:val="0"/>
          <w:numId w:val="24"/>
        </w:numPr>
        <w:tabs>
          <w:tab w:val="left" w:pos="720"/>
        </w:tabs>
        <w:spacing w:beforeLines="100" w:before="312" w:afterLines="50" w:after="156"/>
        <w:ind w:left="753" w:hangingChars="250" w:hanging="753"/>
        <w:outlineLvl w:val="0"/>
        <w:rPr>
          <w:b/>
          <w:sz w:val="30"/>
          <w:szCs w:val="30"/>
        </w:rPr>
      </w:pPr>
      <w:bookmarkStart w:id="34" w:name="_Toc475199168"/>
      <w:bookmarkStart w:id="35" w:name="_Toc475215554"/>
      <w:bookmarkStart w:id="36" w:name="_Toc479438313"/>
      <w:bookmarkStart w:id="37" w:name="_Toc479438370"/>
      <w:r w:rsidRPr="00D86495">
        <w:rPr>
          <w:rFonts w:hint="eastAsia"/>
          <w:b/>
          <w:sz w:val="30"/>
          <w:szCs w:val="30"/>
        </w:rPr>
        <w:t>申办方是否在决定是否进行可能受本指南行使强制自由裁量权的研究时考虑其他事项？</w:t>
      </w:r>
      <w:bookmarkEnd w:id="34"/>
      <w:bookmarkEnd w:id="35"/>
      <w:bookmarkEnd w:id="36"/>
      <w:bookmarkEnd w:id="37"/>
    </w:p>
    <w:p w:rsidR="00A1280D" w:rsidRPr="00377EDD" w:rsidRDefault="00A1280D" w:rsidP="00377EDD">
      <w:pPr>
        <w:spacing w:before="187"/>
      </w:pPr>
      <w:r w:rsidRPr="00377EDD">
        <w:t>申办方应考虑研究是否符合第</w:t>
      </w:r>
      <w:r w:rsidRPr="00377EDD">
        <w:t>4</w:t>
      </w:r>
      <w:r w:rsidRPr="00377EDD">
        <w:t>节所述的执行强制自由裁量权相关条款，是否有足够的数据来支持他们正在考虑的产品申请。虽然</w:t>
      </w:r>
      <w:r w:rsidRPr="00377EDD">
        <w:t>FDA</w:t>
      </w:r>
      <w:r w:rsidRPr="00377EDD">
        <w:t>不打算仅仅是因为没有遵守</w:t>
      </w:r>
      <w:r w:rsidRPr="00377EDD">
        <w:t>21 CFR</w:t>
      </w:r>
      <w:r w:rsidRPr="00377EDD">
        <w:t>第</w:t>
      </w:r>
      <w:r w:rsidRPr="00377EDD">
        <w:t>50</w:t>
      </w:r>
      <w:r w:rsidRPr="00377EDD">
        <w:t>部分中知情同意要求，而拒绝第</w:t>
      </w:r>
      <w:r w:rsidRPr="00377EDD">
        <w:t>4</w:t>
      </w:r>
      <w:r w:rsidRPr="00377EDD">
        <w:t>节所述条款中所述研究的研究数据，</w:t>
      </w:r>
      <w:r w:rsidRPr="00377EDD">
        <w:t>FDA</w:t>
      </w:r>
      <w:r w:rsidRPr="00377EDD">
        <w:t>也不保证符合这些特征的研究所得数据将足以支持上市前许可或批准。</w:t>
      </w:r>
      <w:r w:rsidRPr="00377EDD">
        <w:t>FDA</w:t>
      </w:r>
      <w:r w:rsidRPr="00377EDD">
        <w:t>可以确定额外的临床信息对于评估检验结果</w:t>
      </w:r>
      <w:r w:rsidRPr="00377EDD">
        <w:rPr>
          <w:rFonts w:hint="eastAsia"/>
        </w:rPr>
        <w:t>的</w:t>
      </w:r>
      <w:r w:rsidRPr="00377EDD">
        <w:t>重要</w:t>
      </w:r>
      <w:r w:rsidRPr="00377EDD">
        <w:rPr>
          <w:rFonts w:hint="eastAsia"/>
        </w:rPr>
        <w:t>性</w:t>
      </w:r>
      <w:r w:rsidRPr="00377EDD">
        <w:t>。对于一些研究，隐藏临床信息可能会有问题并且可能收集带偏差的数据。申办方应该理解，即使选择与本指南相一致的方式进行研究，但未经知情同意，他们也应接</w:t>
      </w:r>
      <w:proofErr w:type="gramStart"/>
      <w:r w:rsidRPr="00377EDD">
        <w:t>受可能</w:t>
      </w:r>
      <w:proofErr w:type="gramEnd"/>
      <w:r w:rsidRPr="00377EDD">
        <w:t>无法提供足够的信息</w:t>
      </w:r>
      <w:r w:rsidRPr="00377EDD">
        <w:rPr>
          <w:rFonts w:hint="eastAsia"/>
        </w:rPr>
        <w:t>来</w:t>
      </w:r>
      <w:r w:rsidRPr="00377EDD">
        <w:t>满足</w:t>
      </w:r>
      <w:r w:rsidRPr="00377EDD">
        <w:t>FDA</w:t>
      </w:r>
      <w:r w:rsidRPr="00377EDD">
        <w:t>的上市前审查需求的风险。</w:t>
      </w:r>
    </w:p>
    <w:p w:rsidR="00A1280D" w:rsidRPr="00D86495" w:rsidRDefault="00A1280D" w:rsidP="00C63569">
      <w:pPr>
        <w:pStyle w:val="a3"/>
        <w:numPr>
          <w:ilvl w:val="0"/>
          <w:numId w:val="24"/>
        </w:numPr>
        <w:tabs>
          <w:tab w:val="left" w:pos="720"/>
        </w:tabs>
        <w:spacing w:beforeLines="100" w:before="312" w:afterLines="50" w:after="156"/>
        <w:ind w:left="753" w:hangingChars="250" w:hanging="753"/>
        <w:outlineLvl w:val="0"/>
        <w:rPr>
          <w:b/>
          <w:sz w:val="30"/>
          <w:szCs w:val="30"/>
        </w:rPr>
      </w:pPr>
      <w:bookmarkStart w:id="38" w:name="_Toc475199169"/>
      <w:bookmarkStart w:id="39" w:name="_Toc475215555"/>
      <w:bookmarkStart w:id="40" w:name="_Toc479438314"/>
      <w:bookmarkStart w:id="41" w:name="_Toc479438371"/>
      <w:r w:rsidRPr="00D86495">
        <w:rPr>
          <w:rFonts w:hint="eastAsia"/>
          <w:b/>
          <w:sz w:val="30"/>
          <w:szCs w:val="30"/>
        </w:rPr>
        <w:t>在审查本指南重点的体外诊断试剂研究类型时，伦理委员会应该做什么？</w:t>
      </w:r>
      <w:bookmarkEnd w:id="38"/>
      <w:bookmarkEnd w:id="39"/>
      <w:bookmarkEnd w:id="40"/>
      <w:bookmarkEnd w:id="41"/>
    </w:p>
    <w:p w:rsidR="00A1280D" w:rsidRDefault="00A1280D" w:rsidP="00377EDD">
      <w:pPr>
        <w:spacing w:before="187"/>
      </w:pPr>
      <w:r w:rsidRPr="00377EDD">
        <w:t>为了促进体外诊断试剂的开发，</w:t>
      </w:r>
      <w:r w:rsidRPr="00377EDD">
        <w:t>FDA</w:t>
      </w:r>
      <w:r w:rsidRPr="00377EDD">
        <w:t>打算对伦理委员会行使强制自由裁量权，伦理委员会批准与本指南第</w:t>
      </w:r>
      <w:r w:rsidRPr="00377EDD">
        <w:t>4</w:t>
      </w:r>
      <w:r w:rsidRPr="00377EDD">
        <w:t>部分中的条款一致的体外诊断试剂研究，伦理委员会的职责应根据</w:t>
      </w:r>
      <w:r w:rsidRPr="00377EDD">
        <w:t>21 CFR</w:t>
      </w:r>
      <w:r w:rsidRPr="00377EDD">
        <w:t>第</w:t>
      </w:r>
      <w:r w:rsidRPr="00377EDD">
        <w:t>56</w:t>
      </w:r>
      <w:r w:rsidRPr="00377EDD">
        <w:t>部分关于这些研究的知情同意要求。（不符合</w:t>
      </w:r>
      <w:r w:rsidRPr="00377EDD">
        <w:t>21CFR</w:t>
      </w:r>
      <w:r w:rsidRPr="00377EDD">
        <w:t>第</w:t>
      </w:r>
      <w:r w:rsidRPr="00377EDD">
        <w:t>56</w:t>
      </w:r>
      <w:r w:rsidRPr="00377EDD">
        <w:t>部分与知情同意无关的要求不受本指南的强制自由裁量权）。我们建议伦理委员会审查申办方关于第</w:t>
      </w:r>
      <w:r w:rsidRPr="00377EDD">
        <w:t>4</w:t>
      </w:r>
      <w:r w:rsidRPr="00377EDD">
        <w:t>节（</w:t>
      </w:r>
      <w:r w:rsidRPr="00377EDD">
        <w:t>a</w:t>
      </w:r>
      <w:r w:rsidRPr="00377EDD">
        <w:t>）至（</w:t>
      </w:r>
      <w:r w:rsidRPr="00377EDD">
        <w:t>f</w:t>
      </w:r>
      <w:r w:rsidRPr="00377EDD">
        <w:t>）条款所述的文件，包括标本提供者遵循的政策和程序，确保受试者不能被识别。伦理委员会应将现有的</w:t>
      </w:r>
      <w:r w:rsidRPr="00377EDD">
        <w:t>FDA</w:t>
      </w:r>
      <w:r w:rsidRPr="00377EDD">
        <w:t>法规，包括所有知情同意要求，应用于任何其他体外诊断试剂研究。如果对本指南或正在接受的特定研究有疑问，我们鼓励伦理委员会联系</w:t>
      </w:r>
      <w:r w:rsidRPr="00377EDD">
        <w:t>FDA</w:t>
      </w:r>
      <w:r w:rsidRPr="00377EDD">
        <w:t>（见本指南标题页上的</w:t>
      </w:r>
      <w:r w:rsidRPr="00377EDD">
        <w:t>FDA</w:t>
      </w:r>
      <w:r w:rsidRPr="00377EDD">
        <w:t>联系信息）。</w:t>
      </w:r>
    </w:p>
    <w:p w:rsidR="00324125" w:rsidRDefault="00324125" w:rsidP="00377EDD">
      <w:pPr>
        <w:spacing w:before="187"/>
      </w:pPr>
      <w:r>
        <w:br w:type="page"/>
      </w:r>
    </w:p>
    <w:p w:rsidR="00A1280D" w:rsidRPr="00324125" w:rsidRDefault="00A1280D" w:rsidP="00C63569">
      <w:pPr>
        <w:pStyle w:val="a3"/>
        <w:numPr>
          <w:ilvl w:val="0"/>
          <w:numId w:val="24"/>
        </w:numPr>
        <w:tabs>
          <w:tab w:val="left" w:pos="720"/>
        </w:tabs>
        <w:spacing w:beforeLines="100" w:before="312" w:afterLines="50" w:after="156"/>
        <w:ind w:left="753" w:hangingChars="250" w:hanging="753"/>
        <w:outlineLvl w:val="0"/>
        <w:rPr>
          <w:b/>
          <w:sz w:val="30"/>
          <w:szCs w:val="30"/>
        </w:rPr>
      </w:pPr>
      <w:bookmarkStart w:id="42" w:name="_Toc475199170"/>
      <w:bookmarkStart w:id="43" w:name="_Toc475215556"/>
      <w:bookmarkStart w:id="44" w:name="_Toc479438315"/>
      <w:bookmarkStart w:id="45" w:name="_Toc479438372"/>
      <w:r w:rsidRPr="00324125">
        <w:rPr>
          <w:b/>
          <w:sz w:val="30"/>
          <w:szCs w:val="30"/>
        </w:rPr>
        <w:lastRenderedPageBreak/>
        <w:t>1995</w:t>
      </w:r>
      <w:r w:rsidRPr="00324125">
        <w:rPr>
          <w:rFonts w:hint="eastAsia"/>
          <w:b/>
          <w:sz w:val="30"/>
          <w:szCs w:val="30"/>
        </w:rPr>
        <w:t>年</w:t>
      </w:r>
      <w:bookmarkEnd w:id="42"/>
      <w:bookmarkEnd w:id="43"/>
      <w:r w:rsidRPr="00324125">
        <w:rPr>
          <w:rFonts w:hint="eastAsia"/>
          <w:b/>
          <w:sz w:val="30"/>
          <w:szCs w:val="30"/>
        </w:rPr>
        <w:t>文书削减法</w:t>
      </w:r>
      <w:bookmarkEnd w:id="44"/>
      <w:bookmarkEnd w:id="45"/>
    </w:p>
    <w:p w:rsidR="00A1280D" w:rsidRPr="00377EDD" w:rsidRDefault="00A1280D" w:rsidP="00377EDD">
      <w:pPr>
        <w:spacing w:before="187"/>
      </w:pPr>
      <w:r w:rsidRPr="00377EDD">
        <w:rPr>
          <w:rFonts w:hint="eastAsia"/>
        </w:rPr>
        <w:t>本指南包含信息收集规定，需要由管理和预算办公室根据</w:t>
      </w:r>
      <w:r w:rsidRPr="00377EDD">
        <w:t>1995</w:t>
      </w:r>
      <w:r w:rsidRPr="00377EDD">
        <w:rPr>
          <w:rFonts w:hint="eastAsia"/>
        </w:rPr>
        <w:t>年文书削减法（</w:t>
      </w:r>
      <w:r w:rsidRPr="00377EDD">
        <w:t>44 U.S.C. 3501-3520</w:t>
      </w:r>
      <w:r w:rsidRPr="00377EDD">
        <w:rPr>
          <w:rFonts w:hint="eastAsia"/>
        </w:rPr>
        <w:t>）进行审查。</w:t>
      </w:r>
    </w:p>
    <w:p w:rsidR="00A1280D" w:rsidRPr="00377EDD" w:rsidRDefault="00A1280D" w:rsidP="00377EDD">
      <w:pPr>
        <w:spacing w:before="187"/>
      </w:pPr>
      <w:r w:rsidRPr="00377EDD">
        <w:rPr>
          <w:rFonts w:hint="eastAsia"/>
        </w:rPr>
        <w:t>完成此信息收集所需的时间估计每次回复平均为</w:t>
      </w:r>
      <w:r w:rsidRPr="00377EDD">
        <w:t>4</w:t>
      </w:r>
      <w:r w:rsidRPr="00377EDD">
        <w:rPr>
          <w:rFonts w:hint="eastAsia"/>
        </w:rPr>
        <w:t>小时，包括审查说明，搜索现有数据源，收集所需数据以及完成和查看信息收集的时间。关于减少这种负担的</w:t>
      </w:r>
      <w:proofErr w:type="gramStart"/>
      <w:r w:rsidRPr="00377EDD">
        <w:rPr>
          <w:rFonts w:hint="eastAsia"/>
        </w:rPr>
        <w:t>的</w:t>
      </w:r>
      <w:proofErr w:type="gramEnd"/>
      <w:r w:rsidRPr="00377EDD">
        <w:rPr>
          <w:rFonts w:hint="eastAsia"/>
        </w:rPr>
        <w:t>评价或建议发送到：</w:t>
      </w:r>
    </w:p>
    <w:p w:rsidR="00324125" w:rsidRPr="00377EDD" w:rsidDel="00787999" w:rsidRDefault="00324125" w:rsidP="00324125">
      <w:pPr>
        <w:spacing w:before="187"/>
      </w:pPr>
      <w:r w:rsidRPr="00377EDD">
        <w:rPr>
          <w:rFonts w:hint="eastAsia"/>
        </w:rPr>
        <w:t>卫生与公众服务部</w:t>
      </w:r>
      <w:r>
        <w:br/>
      </w:r>
      <w:r w:rsidRPr="00377EDD">
        <w:rPr>
          <w:rFonts w:hint="eastAsia"/>
        </w:rPr>
        <w:t>食品药品监督管理局</w:t>
      </w:r>
      <w:r>
        <w:br/>
      </w:r>
      <w:r w:rsidRPr="00377EDD">
        <w:rPr>
          <w:rFonts w:hint="eastAsia"/>
        </w:rPr>
        <w:t>首席信息官办公室</w:t>
      </w:r>
      <w:r>
        <w:br/>
      </w:r>
      <w:r w:rsidRPr="00377EDD">
        <w:rPr>
          <w:rFonts w:hint="eastAsia"/>
        </w:rPr>
        <w:t>文书削减法（</w:t>
      </w:r>
      <w:r w:rsidRPr="00377EDD">
        <w:t>PRA</w:t>
      </w:r>
      <w:r w:rsidRPr="00377EDD">
        <w:rPr>
          <w:rFonts w:hint="eastAsia"/>
        </w:rPr>
        <w:t>）员工</w:t>
      </w:r>
      <w:r>
        <w:br/>
      </w:r>
      <w:r w:rsidRPr="00377EDD">
        <w:t>1350</w:t>
      </w:r>
      <w:r w:rsidRPr="00377EDD">
        <w:rPr>
          <w:rFonts w:hint="eastAsia"/>
        </w:rPr>
        <w:t xml:space="preserve"> </w:t>
      </w:r>
      <w:r w:rsidRPr="00377EDD">
        <w:t>Piccard Drive</w:t>
      </w:r>
      <w:r w:rsidRPr="00377EDD">
        <w:rPr>
          <w:rFonts w:hint="eastAsia"/>
        </w:rPr>
        <w:t>，</w:t>
      </w:r>
      <w:r w:rsidRPr="00377EDD">
        <w:t>400</w:t>
      </w:r>
      <w:r w:rsidRPr="00377EDD">
        <w:rPr>
          <w:rFonts w:hint="eastAsia"/>
        </w:rPr>
        <w:t>室</w:t>
      </w:r>
      <w:r w:rsidRPr="00377EDD">
        <w:t xml:space="preserve"> </w:t>
      </w:r>
      <w:r>
        <w:rPr>
          <w:rFonts w:hint="eastAsia"/>
        </w:rPr>
        <w:br/>
      </w:r>
      <w:r w:rsidRPr="00C565C7">
        <w:t>Rockville, MD 20850</w:t>
      </w:r>
    </w:p>
    <w:p w:rsidR="00324125" w:rsidRDefault="00324125" w:rsidP="00377EDD">
      <w:pPr>
        <w:spacing w:before="187"/>
      </w:pPr>
    </w:p>
    <w:p w:rsidR="00324125" w:rsidRDefault="00324125" w:rsidP="00377EDD">
      <w:pPr>
        <w:spacing w:before="187"/>
      </w:pPr>
    </w:p>
    <w:tbl>
      <w:tblPr>
        <w:tblStyle w:val="af3"/>
        <w:tblW w:w="0" w:type="auto"/>
        <w:tblLook w:val="04A0" w:firstRow="1" w:lastRow="0" w:firstColumn="1" w:lastColumn="0" w:noHBand="0" w:noVBand="1"/>
      </w:tblPr>
      <w:tblGrid>
        <w:gridCol w:w="9286"/>
      </w:tblGrid>
      <w:tr w:rsidR="00324125" w:rsidTr="00324125">
        <w:tc>
          <w:tcPr>
            <w:tcW w:w="9286" w:type="dxa"/>
          </w:tcPr>
          <w:p w:rsidR="00324125" w:rsidRDefault="00324125" w:rsidP="00324125">
            <w:pPr>
              <w:spacing w:before="187"/>
              <w:jc w:val="center"/>
            </w:pPr>
            <w:r w:rsidRPr="00377EDD">
              <w:rPr>
                <w:rFonts w:hint="eastAsia"/>
              </w:rPr>
              <w:t>除非显示当前有效的管理和预算办公室控制编号，</w:t>
            </w:r>
            <w:r w:rsidRPr="00377EDD">
              <w:t>否则</w:t>
            </w:r>
            <w:r w:rsidRPr="00377EDD">
              <w:rPr>
                <w:rFonts w:hint="eastAsia"/>
              </w:rPr>
              <w:t>机构和申办方不得收集信息，并且个人不需要回复收集的信息。收集信息的管理和预算办公室控制编号为</w:t>
            </w:r>
            <w:r w:rsidRPr="00377EDD">
              <w:t>0910-0582</w:t>
            </w:r>
            <w:r w:rsidRPr="00377EDD">
              <w:rPr>
                <w:rFonts w:hint="eastAsia"/>
              </w:rPr>
              <w:t>，截止日期为</w:t>
            </w:r>
            <w:r w:rsidRPr="00377EDD">
              <w:rPr>
                <w:rFonts w:hint="eastAsia"/>
              </w:rPr>
              <w:t>2016</w:t>
            </w:r>
            <w:r w:rsidRPr="00377EDD">
              <w:rPr>
                <w:rFonts w:hint="eastAsia"/>
              </w:rPr>
              <w:t>年</w:t>
            </w:r>
            <w:r w:rsidRPr="00377EDD">
              <w:t>4</w:t>
            </w:r>
            <w:r w:rsidRPr="00377EDD">
              <w:rPr>
                <w:rFonts w:hint="eastAsia"/>
              </w:rPr>
              <w:t>月</w:t>
            </w:r>
            <w:r w:rsidRPr="00377EDD">
              <w:rPr>
                <w:rFonts w:hint="eastAsia"/>
              </w:rPr>
              <w:t>30</w:t>
            </w:r>
            <w:r w:rsidRPr="00377EDD">
              <w:rPr>
                <w:rFonts w:hint="eastAsia"/>
              </w:rPr>
              <w:t>日。</w:t>
            </w:r>
          </w:p>
        </w:tc>
      </w:tr>
    </w:tbl>
    <w:p w:rsidR="00A1280D" w:rsidRPr="00377EDD" w:rsidRDefault="00A1280D" w:rsidP="00377EDD">
      <w:pPr>
        <w:spacing w:before="187"/>
      </w:pPr>
    </w:p>
    <w:sectPr w:rsidR="00A1280D" w:rsidRPr="00377EDD" w:rsidSect="00377EDD">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418" w:header="720" w:footer="720"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B89" w:rsidRDefault="00596B89" w:rsidP="00104A9F">
      <w:pPr>
        <w:spacing w:before="144" w:line="240" w:lineRule="auto"/>
      </w:pPr>
      <w:r>
        <w:separator/>
      </w:r>
    </w:p>
  </w:endnote>
  <w:endnote w:type="continuationSeparator" w:id="0">
    <w:p w:rsidR="00596B89" w:rsidRDefault="00596B89" w:rsidP="00104A9F">
      <w:pPr>
        <w:spacing w:before="144"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MingLiU">
    <w:altName w:val="細明體"/>
    <w:panose1 w:val="02020509000000000000"/>
    <w:charset w:val="88"/>
    <w:family w:val="modern"/>
    <w:notTrueType/>
    <w:pitch w:val="fixed"/>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EDD" w:rsidRDefault="00377EDD" w:rsidP="00377EDD">
    <w:pPr>
      <w:pStyle w:val="a6"/>
      <w:spacing w:before="14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48B" w:rsidRDefault="001E448B" w:rsidP="00E64BF4">
    <w:pPr>
      <w:pStyle w:val="a6"/>
      <w:spacing w:beforeLines="30" w:before="72" w:line="264" w:lineRule="auto"/>
      <w:jc w:val="center"/>
    </w:pPr>
    <w:r w:rsidRPr="00092AA9">
      <w:rPr>
        <w:sz w:val="20"/>
        <w:szCs w:val="20"/>
      </w:rPr>
      <w:fldChar w:fldCharType="begin"/>
    </w:r>
    <w:r w:rsidRPr="00092AA9">
      <w:rPr>
        <w:sz w:val="20"/>
        <w:szCs w:val="20"/>
      </w:rPr>
      <w:instrText>PAGE   \* MERGEFORMAT</w:instrText>
    </w:r>
    <w:r w:rsidRPr="00092AA9">
      <w:rPr>
        <w:sz w:val="20"/>
        <w:szCs w:val="20"/>
      </w:rPr>
      <w:fldChar w:fldCharType="separate"/>
    </w:r>
    <w:r w:rsidR="00C565C7" w:rsidRPr="00C565C7">
      <w:rPr>
        <w:noProof/>
        <w:sz w:val="20"/>
        <w:szCs w:val="20"/>
        <w:lang w:val="zh-CN"/>
      </w:rPr>
      <w:t>10</w:t>
    </w:r>
    <w:r w:rsidRPr="00092AA9">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AA9" w:rsidRPr="00377EDD" w:rsidRDefault="00092AA9" w:rsidP="00377EDD">
    <w:pPr>
      <w:pStyle w:val="a6"/>
      <w:spacing w:before="14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B89" w:rsidRDefault="00596B89" w:rsidP="00104A9F">
      <w:pPr>
        <w:spacing w:before="144" w:line="240" w:lineRule="auto"/>
      </w:pPr>
      <w:r>
        <w:separator/>
      </w:r>
    </w:p>
  </w:footnote>
  <w:footnote w:type="continuationSeparator" w:id="0">
    <w:p w:rsidR="00596B89" w:rsidRDefault="00596B89" w:rsidP="00104A9F">
      <w:pPr>
        <w:spacing w:before="144" w:line="240" w:lineRule="auto"/>
      </w:pPr>
      <w:r>
        <w:continuationSeparator/>
      </w:r>
    </w:p>
  </w:footnote>
  <w:footnote w:id="1">
    <w:p w:rsidR="007B3904" w:rsidRPr="007B3904" w:rsidRDefault="007B3904" w:rsidP="00E64BF4">
      <w:pPr>
        <w:spacing w:beforeLines="30" w:before="93" w:line="264" w:lineRule="auto"/>
        <w:rPr>
          <w:sz w:val="18"/>
          <w:szCs w:val="18"/>
        </w:rPr>
      </w:pPr>
      <w:r w:rsidRPr="007B3904">
        <w:rPr>
          <w:rStyle w:val="af2"/>
          <w:sz w:val="18"/>
          <w:szCs w:val="18"/>
        </w:rPr>
        <w:footnoteRef/>
      </w:r>
      <w:r w:rsidRPr="007B3904">
        <w:rPr>
          <w:sz w:val="18"/>
          <w:szCs w:val="18"/>
        </w:rPr>
        <w:t>体外诊断产品旨在用于诊断疾病或其他病症（包括确定健康状态，治愈、减轻、治疗或预防疾病或其后遗症）的那些试剂、</w:t>
      </w:r>
      <w:r w:rsidRPr="007B3904">
        <w:rPr>
          <w:rFonts w:hint="eastAsia"/>
          <w:sz w:val="18"/>
          <w:szCs w:val="18"/>
        </w:rPr>
        <w:t>工具</w:t>
      </w:r>
      <w:r w:rsidRPr="007B3904">
        <w:rPr>
          <w:sz w:val="18"/>
          <w:szCs w:val="18"/>
        </w:rPr>
        <w:t>和系统。此类产品旨在用于收集、制备和检查从人体采集的样本。</w:t>
      </w:r>
      <w:r w:rsidRPr="007B3904">
        <w:rPr>
          <w:sz w:val="18"/>
          <w:szCs w:val="18"/>
        </w:rPr>
        <w:t>21 CFR 809.3</w:t>
      </w:r>
      <w:r w:rsidRPr="007B3904">
        <w:rPr>
          <w:sz w:val="18"/>
          <w:szCs w:val="18"/>
        </w:rPr>
        <w:t>（</w:t>
      </w:r>
      <w:r w:rsidRPr="007B3904">
        <w:rPr>
          <w:sz w:val="18"/>
          <w:szCs w:val="18"/>
        </w:rPr>
        <w:t>a</w:t>
      </w:r>
      <w:r w:rsidRPr="007B3904">
        <w:rPr>
          <w:sz w:val="18"/>
          <w:szCs w:val="18"/>
        </w:rPr>
        <w:t>）。</w:t>
      </w:r>
    </w:p>
  </w:footnote>
  <w:footnote w:id="2">
    <w:p w:rsidR="007B3904" w:rsidRPr="007B3904" w:rsidRDefault="007B3904" w:rsidP="00E64BF4">
      <w:pPr>
        <w:spacing w:beforeLines="30" w:before="93" w:line="264" w:lineRule="auto"/>
        <w:rPr>
          <w:sz w:val="18"/>
          <w:szCs w:val="18"/>
        </w:rPr>
      </w:pPr>
      <w:r w:rsidRPr="007B3904">
        <w:rPr>
          <w:rStyle w:val="af2"/>
          <w:sz w:val="18"/>
          <w:szCs w:val="18"/>
        </w:rPr>
        <w:footnoteRef/>
      </w:r>
      <w:r w:rsidRPr="007B3904">
        <w:rPr>
          <w:sz w:val="18"/>
          <w:szCs w:val="18"/>
        </w:rPr>
        <w:t>样本库是用于存储可用于研究的人类生物标本的通常地点。</w:t>
      </w:r>
    </w:p>
  </w:footnote>
  <w:footnote w:id="3">
    <w:p w:rsidR="00DA5E86" w:rsidRPr="00DA5E86" w:rsidRDefault="00DA5E86" w:rsidP="00E64BF4">
      <w:pPr>
        <w:spacing w:beforeLines="30" w:before="93" w:line="264" w:lineRule="auto"/>
        <w:rPr>
          <w:sz w:val="18"/>
          <w:szCs w:val="18"/>
        </w:rPr>
      </w:pPr>
      <w:r w:rsidRPr="00DA5E86">
        <w:rPr>
          <w:rStyle w:val="af2"/>
          <w:sz w:val="18"/>
          <w:szCs w:val="18"/>
        </w:rPr>
        <w:footnoteRef/>
      </w:r>
      <w:r w:rsidRPr="00DA5E86">
        <w:rPr>
          <w:rFonts w:hint="eastAsia"/>
          <w:sz w:val="18"/>
          <w:szCs w:val="18"/>
        </w:rPr>
        <w:t>参见</w:t>
      </w:r>
      <w:r w:rsidRPr="00DA5E86">
        <w:rPr>
          <w:sz w:val="18"/>
          <w:szCs w:val="18"/>
        </w:rPr>
        <w:t>21 CFR 50.23</w:t>
      </w:r>
      <w:r w:rsidRPr="00DA5E86">
        <w:rPr>
          <w:sz w:val="18"/>
          <w:szCs w:val="18"/>
        </w:rPr>
        <w:t>（</w:t>
      </w:r>
      <w:r w:rsidRPr="00DA5E86">
        <w:rPr>
          <w:sz w:val="18"/>
          <w:szCs w:val="18"/>
        </w:rPr>
        <w:t>a</w:t>
      </w:r>
      <w:r w:rsidRPr="00DA5E86">
        <w:rPr>
          <w:sz w:val="18"/>
          <w:szCs w:val="18"/>
        </w:rPr>
        <w:t>）和</w:t>
      </w:r>
      <w:r w:rsidRPr="00DA5E86">
        <w:rPr>
          <w:sz w:val="18"/>
          <w:szCs w:val="18"/>
        </w:rPr>
        <w:t>50.24</w:t>
      </w:r>
      <w:r w:rsidRPr="00DA5E86">
        <w:rPr>
          <w:sz w:val="18"/>
          <w:szCs w:val="18"/>
        </w:rPr>
        <w:t>。</w:t>
      </w:r>
    </w:p>
  </w:footnote>
  <w:footnote w:id="4">
    <w:p w:rsidR="00DA5E86" w:rsidRPr="00DA5E86" w:rsidRDefault="00DA5E86" w:rsidP="00E64BF4">
      <w:pPr>
        <w:spacing w:beforeLines="30" w:before="93" w:line="264" w:lineRule="auto"/>
        <w:rPr>
          <w:sz w:val="18"/>
          <w:szCs w:val="18"/>
        </w:rPr>
      </w:pPr>
      <w:r w:rsidRPr="00DA5E86">
        <w:rPr>
          <w:rStyle w:val="af2"/>
          <w:sz w:val="18"/>
          <w:szCs w:val="18"/>
        </w:rPr>
        <w:footnoteRef/>
      </w:r>
      <w:r w:rsidRPr="00DA5E86">
        <w:rPr>
          <w:sz w:val="18"/>
          <w:szCs w:val="18"/>
        </w:rPr>
        <w:t xml:space="preserve"> </w:t>
      </w:r>
      <w:r w:rsidRPr="00DA5E86">
        <w:rPr>
          <w:rFonts w:hint="eastAsia"/>
          <w:sz w:val="18"/>
          <w:szCs w:val="18"/>
        </w:rPr>
        <w:t>“创新或停滞？</w:t>
      </w:r>
      <w:r w:rsidRPr="00DA5E86">
        <w:rPr>
          <w:rFonts w:hint="eastAsia"/>
          <w:sz w:val="18"/>
          <w:szCs w:val="18"/>
        </w:rPr>
        <w:t xml:space="preserve">- </w:t>
      </w:r>
      <w:r w:rsidRPr="00DA5E86">
        <w:rPr>
          <w:rFonts w:hint="eastAsia"/>
          <w:sz w:val="18"/>
          <w:szCs w:val="18"/>
        </w:rPr>
        <w:t>新医药产品关键路径的挑战与机遇”</w:t>
      </w:r>
      <w:r>
        <w:rPr>
          <w:sz w:val="18"/>
          <w:szCs w:val="18"/>
        </w:rPr>
        <w:br/>
      </w:r>
      <w:r w:rsidRPr="00DA5E86">
        <w:rPr>
          <w:rFonts w:hint="eastAsia"/>
          <w:sz w:val="18"/>
          <w:szCs w:val="18"/>
        </w:rPr>
        <w:t>FDA</w:t>
      </w:r>
      <w:r w:rsidRPr="00DA5E86">
        <w:rPr>
          <w:rFonts w:hint="eastAsia"/>
          <w:sz w:val="18"/>
          <w:szCs w:val="18"/>
        </w:rPr>
        <w:t>报告于</w:t>
      </w:r>
      <w:r w:rsidRPr="00DA5E86">
        <w:rPr>
          <w:rFonts w:hint="eastAsia"/>
          <w:sz w:val="18"/>
          <w:szCs w:val="18"/>
        </w:rPr>
        <w:t>2004</w:t>
      </w:r>
      <w:r w:rsidRPr="00DA5E86">
        <w:rPr>
          <w:rFonts w:hint="eastAsia"/>
          <w:sz w:val="18"/>
          <w:szCs w:val="18"/>
        </w:rPr>
        <w:t>年</w:t>
      </w:r>
      <w:r w:rsidRPr="00DA5E86">
        <w:rPr>
          <w:rFonts w:hint="eastAsia"/>
          <w:sz w:val="18"/>
          <w:szCs w:val="18"/>
        </w:rPr>
        <w:t>3</w:t>
      </w:r>
      <w:r w:rsidRPr="00DA5E86">
        <w:rPr>
          <w:rFonts w:hint="eastAsia"/>
          <w:sz w:val="18"/>
          <w:szCs w:val="18"/>
        </w:rPr>
        <w:t>月</w:t>
      </w:r>
      <w:r w:rsidRPr="00DA5E86">
        <w:rPr>
          <w:rFonts w:hint="eastAsia"/>
          <w:sz w:val="18"/>
          <w:szCs w:val="18"/>
        </w:rPr>
        <w:t>16</w:t>
      </w:r>
      <w:r w:rsidRPr="00DA5E86">
        <w:rPr>
          <w:rFonts w:hint="eastAsia"/>
          <w:sz w:val="18"/>
          <w:szCs w:val="18"/>
        </w:rPr>
        <w:t>日发布。本文档可在以下网址获得：</w:t>
      </w:r>
      <w:r>
        <w:rPr>
          <w:sz w:val="18"/>
          <w:szCs w:val="18"/>
        </w:rPr>
        <w:br/>
      </w:r>
      <w:r w:rsidRPr="00DA5E86">
        <w:rPr>
          <w:sz w:val="18"/>
          <w:szCs w:val="18"/>
        </w:rPr>
        <w:t>http://www.fda.gov/oc/initiatives/criticalpath/whitepaper.html</w:t>
      </w:r>
    </w:p>
  </w:footnote>
  <w:footnote w:id="5">
    <w:p w:rsidR="0059036D" w:rsidRPr="0059036D" w:rsidRDefault="0059036D" w:rsidP="00E64BF4">
      <w:pPr>
        <w:spacing w:beforeLines="30" w:before="93" w:line="264" w:lineRule="auto"/>
        <w:rPr>
          <w:sz w:val="18"/>
          <w:szCs w:val="18"/>
        </w:rPr>
      </w:pPr>
      <w:r w:rsidRPr="0059036D">
        <w:rPr>
          <w:rStyle w:val="af2"/>
          <w:sz w:val="18"/>
          <w:szCs w:val="18"/>
        </w:rPr>
        <w:footnoteRef/>
      </w:r>
      <w:r w:rsidRPr="0059036D">
        <w:rPr>
          <w:sz w:val="18"/>
          <w:szCs w:val="18"/>
        </w:rPr>
        <w:t xml:space="preserve"> </w:t>
      </w:r>
      <w:proofErr w:type="gramStart"/>
      <w:r w:rsidRPr="0059036D">
        <w:rPr>
          <w:sz w:val="18"/>
          <w:szCs w:val="18"/>
        </w:rPr>
        <w:t>21 CFR 50.23 and 50.24.</w:t>
      </w:r>
      <w:proofErr w:type="gramEnd"/>
    </w:p>
  </w:footnote>
  <w:footnote w:id="6">
    <w:p w:rsidR="008D193D" w:rsidRPr="008D193D" w:rsidRDefault="008D193D" w:rsidP="00E64BF4">
      <w:pPr>
        <w:spacing w:beforeLines="30" w:before="93" w:line="264" w:lineRule="auto"/>
        <w:rPr>
          <w:sz w:val="18"/>
          <w:szCs w:val="18"/>
        </w:rPr>
      </w:pPr>
      <w:r w:rsidRPr="008D193D">
        <w:rPr>
          <w:rStyle w:val="af2"/>
          <w:sz w:val="18"/>
          <w:szCs w:val="18"/>
        </w:rPr>
        <w:footnoteRef/>
      </w:r>
      <w:r w:rsidRPr="008D193D">
        <w:rPr>
          <w:rFonts w:hint="eastAsia"/>
          <w:sz w:val="18"/>
          <w:szCs w:val="18"/>
        </w:rPr>
        <w:t>关于本文件，编码意味：</w:t>
      </w:r>
      <w:r w:rsidRPr="008D193D">
        <w:rPr>
          <w:rFonts w:hint="eastAsia"/>
          <w:sz w:val="18"/>
          <w:szCs w:val="18"/>
        </w:rPr>
        <w:t>1</w:t>
      </w:r>
      <w:r w:rsidRPr="008D193D">
        <w:rPr>
          <w:rFonts w:hint="eastAsia"/>
          <w:sz w:val="18"/>
          <w:szCs w:val="18"/>
        </w:rPr>
        <w:t>）数字，字母，符号或其组合（即代码）已替代能够使研究者或任何方面的识别信息（例如姓名或社会保险号），识别信息可使调查有关的其他个人（包括申办方）容易确定该标本所属的个人身份；和</w:t>
      </w:r>
      <w:r w:rsidRPr="008D193D">
        <w:rPr>
          <w:rFonts w:hint="eastAsia"/>
          <w:sz w:val="18"/>
          <w:szCs w:val="18"/>
        </w:rPr>
        <w:t>2</w:t>
      </w:r>
      <w:r w:rsidRPr="008D193D">
        <w:rPr>
          <w:rFonts w:hint="eastAsia"/>
          <w:sz w:val="18"/>
          <w:szCs w:val="18"/>
        </w:rPr>
        <w:t>）解密代码的钥匙，可连接识别信息与标本</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7EDD" w:rsidRDefault="00377EDD" w:rsidP="00377EDD">
    <w:pPr>
      <w:pStyle w:val="a5"/>
      <w:spacing w:before="14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AA9" w:rsidRPr="00377EDD" w:rsidRDefault="00377EDD" w:rsidP="00E64BF4">
    <w:pPr>
      <w:pStyle w:val="a5"/>
      <w:pBdr>
        <w:bottom w:val="none" w:sz="0" w:space="0" w:color="auto"/>
      </w:pBdr>
      <w:spacing w:beforeLines="30" w:before="72" w:line="264" w:lineRule="auto"/>
      <w:rPr>
        <w:b/>
        <w:i/>
        <w:sz w:val="21"/>
        <w:szCs w:val="21"/>
      </w:rPr>
    </w:pPr>
    <w:r w:rsidRPr="00377EDD">
      <w:rPr>
        <w:rFonts w:hint="eastAsia"/>
        <w:b/>
        <w:i/>
        <w:sz w:val="21"/>
        <w:szCs w:val="21"/>
      </w:rPr>
      <w:t>包含非约束性建议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4691" w:rsidRPr="00377EDD" w:rsidRDefault="00A64691" w:rsidP="00377EDD">
    <w:pPr>
      <w:pStyle w:val="a5"/>
      <w:pBdr>
        <w:bottom w:val="none" w:sz="0" w:space="0" w:color="auto"/>
      </w:pBdr>
      <w:spacing w:before="14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06223"/>
    <w:multiLevelType w:val="hybridMultilevel"/>
    <w:tmpl w:val="17CC6FA2"/>
    <w:lvl w:ilvl="0" w:tplc="EF4E450A">
      <w:start w:val="1"/>
      <w:numFmt w:val="lowerLetter"/>
      <w:lvlText w:val="%1)"/>
      <w:lvlJc w:val="left"/>
      <w:pPr>
        <w:ind w:left="720" w:hanging="360"/>
      </w:pPr>
      <w:rPr>
        <w:rFonts w:hint="default"/>
      </w:rPr>
    </w:lvl>
    <w:lvl w:ilvl="1" w:tplc="28A80C36">
      <w:start w:val="1"/>
      <w:numFmt w:val="decimal"/>
      <w:lvlText w:val="%2."/>
      <w:lvlJc w:val="left"/>
      <w:pPr>
        <w:ind w:left="1140" w:hanging="360"/>
      </w:pPr>
      <w:rPr>
        <w:rFonts w:hint="default"/>
      </w:r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nsid w:val="02093644"/>
    <w:multiLevelType w:val="hybridMultilevel"/>
    <w:tmpl w:val="22EC2970"/>
    <w:lvl w:ilvl="0" w:tplc="E8185D26">
      <w:start w:val="1"/>
      <w:numFmt w:val="bullet"/>
      <w:lvlText w:val=""/>
      <w:lvlJc w:val="left"/>
      <w:pPr>
        <w:ind w:left="258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4850183"/>
    <w:multiLevelType w:val="multilevel"/>
    <w:tmpl w:val="481006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181F03"/>
    <w:multiLevelType w:val="hybridMultilevel"/>
    <w:tmpl w:val="13AAAB16"/>
    <w:lvl w:ilvl="0" w:tplc="00EC9A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670289B"/>
    <w:multiLevelType w:val="hybridMultilevel"/>
    <w:tmpl w:val="E80819DE"/>
    <w:lvl w:ilvl="0" w:tplc="38FC66D8">
      <w:start w:val="1"/>
      <w:numFmt w:val="decimal"/>
      <w:lvlText w:val="%1."/>
      <w:lvlJc w:val="left"/>
      <w:pPr>
        <w:ind w:left="78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DDE4275"/>
    <w:multiLevelType w:val="multilevel"/>
    <w:tmpl w:val="A8A072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4B3516A"/>
    <w:multiLevelType w:val="hybridMultilevel"/>
    <w:tmpl w:val="34AE72A2"/>
    <w:lvl w:ilvl="0" w:tplc="EF4E450A">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0EC9A5A">
      <w:start w:val="1"/>
      <w:numFmt w:val="decimal"/>
      <w:lvlText w:val="%3."/>
      <w:lvlJc w:val="left"/>
      <w:pPr>
        <w:ind w:left="1260" w:hanging="42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5187F03"/>
    <w:multiLevelType w:val="hybridMultilevel"/>
    <w:tmpl w:val="DC844FAE"/>
    <w:lvl w:ilvl="0" w:tplc="4A28620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56457DC"/>
    <w:multiLevelType w:val="hybridMultilevel"/>
    <w:tmpl w:val="C76C2ED2"/>
    <w:lvl w:ilvl="0" w:tplc="E8185D26">
      <w:start w:val="1"/>
      <w:numFmt w:val="bullet"/>
      <w:lvlText w:val=""/>
      <w:lvlJc w:val="left"/>
      <w:pPr>
        <w:ind w:left="2580" w:hanging="420"/>
      </w:pPr>
      <w:rPr>
        <w:rFonts w:ascii="Wingdings 2" w:hAnsi="Wingdings 2"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E8185D26">
      <w:start w:val="1"/>
      <w:numFmt w:val="bullet"/>
      <w:lvlText w:val=""/>
      <w:lvlJc w:val="left"/>
      <w:pPr>
        <w:ind w:left="2100" w:hanging="420"/>
      </w:pPr>
      <w:rPr>
        <w:rFonts w:ascii="Wingdings 2" w:hAnsi="Wingdings 2"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18C57429"/>
    <w:multiLevelType w:val="hybridMultilevel"/>
    <w:tmpl w:val="5A062154"/>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0">
    <w:nsid w:val="1FC040BD"/>
    <w:multiLevelType w:val="hybridMultilevel"/>
    <w:tmpl w:val="B5728C32"/>
    <w:lvl w:ilvl="0" w:tplc="38FC66D8">
      <w:start w:val="1"/>
      <w:numFmt w:val="decimal"/>
      <w:lvlText w:val="%1."/>
      <w:lvlJc w:val="left"/>
      <w:pPr>
        <w:ind w:left="1140" w:hanging="42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nsid w:val="233A2AF8"/>
    <w:multiLevelType w:val="hybridMultilevel"/>
    <w:tmpl w:val="1A3E44C6"/>
    <w:lvl w:ilvl="0" w:tplc="0409000F">
      <w:start w:val="1"/>
      <w:numFmt w:val="decimal"/>
      <w:lvlText w:val="%1."/>
      <w:lvlJc w:val="left"/>
      <w:pPr>
        <w:ind w:left="420" w:hanging="420"/>
      </w:pPr>
    </w:lvl>
    <w:lvl w:ilvl="1" w:tplc="B9EE7C52">
      <w:start w:val="1"/>
      <w:numFmt w:val="lowerLetter"/>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4D65FA0"/>
    <w:multiLevelType w:val="hybridMultilevel"/>
    <w:tmpl w:val="914A6F0E"/>
    <w:lvl w:ilvl="0" w:tplc="EF4E450A">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BA93A86"/>
    <w:multiLevelType w:val="hybridMultilevel"/>
    <w:tmpl w:val="80E66E84"/>
    <w:lvl w:ilvl="0" w:tplc="BC98C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C5B5F1F"/>
    <w:multiLevelType w:val="hybridMultilevel"/>
    <w:tmpl w:val="E0D0108E"/>
    <w:lvl w:ilvl="0" w:tplc="00EC9A5A">
      <w:start w:val="1"/>
      <w:numFmt w:val="decimal"/>
      <w:lvlText w:val="%1."/>
      <w:lvlJc w:val="left"/>
      <w:pPr>
        <w:ind w:left="420" w:hanging="420"/>
      </w:pPr>
      <w:rPr>
        <w:rFonts w:hint="default"/>
      </w:rPr>
    </w:lvl>
    <w:lvl w:ilvl="1" w:tplc="00EC9A5A">
      <w:start w:val="1"/>
      <w:numFmt w:val="decimal"/>
      <w:lvlText w:val="%2."/>
      <w:lvlJc w:val="left"/>
      <w:pPr>
        <w:ind w:left="840"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43E6D0D"/>
    <w:multiLevelType w:val="multilevel"/>
    <w:tmpl w:val="69DE09D6"/>
    <w:lvl w:ilvl="0">
      <w:start w:val="2"/>
      <w:numFmt w:val="decimal"/>
      <w:lvlText w:val="%1."/>
      <w:lvlJc w:val="left"/>
      <w:pPr>
        <w:ind w:left="0" w:firstLine="0"/>
      </w:pPr>
      <w:rPr>
        <w:rFonts w:ascii="Times New Roman" w:eastAsia="宋体" w:hAnsi="Times New Roman" w:cs="Times New Roman" w:hint="eastAsia"/>
        <w:b/>
        <w:bCs/>
        <w:i w:val="0"/>
        <w:iCs w:val="0"/>
        <w:smallCaps w:val="0"/>
        <w:strike w:val="0"/>
        <w:color w:val="000000"/>
        <w:spacing w:val="0"/>
        <w:w w:val="100"/>
        <w:position w:val="0"/>
        <w:sz w:val="36"/>
        <w:szCs w:val="36"/>
        <w:u w:val="none"/>
        <w:lang w:val="en-US" w:eastAsia="en-US" w:bidi="en-US"/>
      </w:rPr>
    </w:lvl>
    <w:lvl w:ilvl="1">
      <w:numFmt w:val="decimal"/>
      <w:lvlText w:val=""/>
      <w:lvlJc w:val="left"/>
      <w:pPr>
        <w:ind w:left="0" w:firstLine="0"/>
      </w:pPr>
      <w:rPr>
        <w:rFonts w:hint="eastAsia"/>
      </w:rPr>
    </w:lvl>
    <w:lvl w:ilvl="2">
      <w:numFmt w:val="decimal"/>
      <w:lvlText w:val=""/>
      <w:lvlJc w:val="left"/>
      <w:pPr>
        <w:ind w:left="0" w:firstLine="0"/>
      </w:pPr>
      <w:rPr>
        <w:rFonts w:hint="eastAsia"/>
      </w:rPr>
    </w:lvl>
    <w:lvl w:ilvl="3">
      <w:numFmt w:val="decimal"/>
      <w:lvlText w:val=""/>
      <w:lvlJc w:val="left"/>
      <w:pPr>
        <w:ind w:left="0" w:firstLine="0"/>
      </w:pPr>
      <w:rPr>
        <w:rFonts w:hint="eastAsia"/>
      </w:rPr>
    </w:lvl>
    <w:lvl w:ilvl="4">
      <w:numFmt w:val="decimal"/>
      <w:lvlText w:val=""/>
      <w:lvlJc w:val="left"/>
      <w:pPr>
        <w:ind w:left="0" w:firstLine="0"/>
      </w:pPr>
      <w:rPr>
        <w:rFonts w:hint="eastAsia"/>
      </w:rPr>
    </w:lvl>
    <w:lvl w:ilvl="5">
      <w:numFmt w:val="decimal"/>
      <w:lvlText w:val=""/>
      <w:lvlJc w:val="left"/>
      <w:pPr>
        <w:ind w:left="0" w:firstLine="0"/>
      </w:pPr>
      <w:rPr>
        <w:rFonts w:hint="eastAsia"/>
      </w:rPr>
    </w:lvl>
    <w:lvl w:ilvl="6">
      <w:numFmt w:val="decimal"/>
      <w:lvlText w:val=""/>
      <w:lvlJc w:val="left"/>
      <w:pPr>
        <w:ind w:left="0" w:firstLine="0"/>
      </w:pPr>
      <w:rPr>
        <w:rFonts w:hint="eastAsia"/>
      </w:rPr>
    </w:lvl>
    <w:lvl w:ilvl="7">
      <w:numFmt w:val="decimal"/>
      <w:lvlText w:val=""/>
      <w:lvlJc w:val="left"/>
      <w:pPr>
        <w:ind w:left="0" w:firstLine="0"/>
      </w:pPr>
      <w:rPr>
        <w:rFonts w:hint="eastAsia"/>
      </w:rPr>
    </w:lvl>
    <w:lvl w:ilvl="8">
      <w:numFmt w:val="decimal"/>
      <w:lvlText w:val=""/>
      <w:lvlJc w:val="left"/>
      <w:pPr>
        <w:ind w:left="0" w:firstLine="0"/>
      </w:pPr>
      <w:rPr>
        <w:rFonts w:hint="eastAsia"/>
      </w:rPr>
    </w:lvl>
  </w:abstractNum>
  <w:abstractNum w:abstractNumId="16">
    <w:nsid w:val="34C11469"/>
    <w:multiLevelType w:val="hybridMultilevel"/>
    <w:tmpl w:val="C9D0E5F4"/>
    <w:lvl w:ilvl="0" w:tplc="FF8AF0B4">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BBA7E3A"/>
    <w:multiLevelType w:val="hybridMultilevel"/>
    <w:tmpl w:val="32067686"/>
    <w:lvl w:ilvl="0" w:tplc="30E2C40A">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C780557"/>
    <w:multiLevelType w:val="hybridMultilevel"/>
    <w:tmpl w:val="5E543182"/>
    <w:lvl w:ilvl="0" w:tplc="AF12B77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3C47676"/>
    <w:multiLevelType w:val="hybridMultilevel"/>
    <w:tmpl w:val="4A784D06"/>
    <w:lvl w:ilvl="0" w:tplc="04090019">
      <w:start w:val="1"/>
      <w:numFmt w:val="lowerLetter"/>
      <w:lvlText w:val="%1)"/>
      <w:lvlJc w:val="left"/>
      <w:pPr>
        <w:ind w:left="420" w:hanging="420"/>
      </w:pPr>
    </w:lvl>
    <w:lvl w:ilvl="1" w:tplc="04090019">
      <w:start w:val="1"/>
      <w:numFmt w:val="lowerLetter"/>
      <w:lvlText w:val="%2)"/>
      <w:lvlJc w:val="left"/>
      <w:pPr>
        <w:ind w:left="840" w:hanging="420"/>
      </w:pPr>
    </w:lvl>
    <w:lvl w:ilvl="2" w:tplc="7070D1F6">
      <w:start w:val="1"/>
      <w:numFmt w:val="bullet"/>
      <w:lvlText w:val="•"/>
      <w:lvlJc w:val="left"/>
      <w:pPr>
        <w:ind w:left="1200" w:hanging="360"/>
      </w:pPr>
      <w:rPr>
        <w:rFonts w:ascii="宋体" w:eastAsia="宋体" w:hAnsi="宋体" w:cstheme="minorBidi"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5383422"/>
    <w:multiLevelType w:val="multilevel"/>
    <w:tmpl w:val="949E02E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E015224"/>
    <w:multiLevelType w:val="hybridMultilevel"/>
    <w:tmpl w:val="0F5EC74A"/>
    <w:lvl w:ilvl="0" w:tplc="00EC9A5A">
      <w:start w:val="1"/>
      <w:numFmt w:val="decimal"/>
      <w:lvlText w:val="%1."/>
      <w:lvlJc w:val="left"/>
      <w:pPr>
        <w:ind w:left="420" w:hanging="4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3FF24A9"/>
    <w:multiLevelType w:val="hybridMultilevel"/>
    <w:tmpl w:val="3FC25C3C"/>
    <w:lvl w:ilvl="0" w:tplc="38FC66D8">
      <w:start w:val="1"/>
      <w:numFmt w:val="decimal"/>
      <w:lvlText w:val="%1."/>
      <w:lvlJc w:val="left"/>
      <w:pPr>
        <w:ind w:left="1140" w:hanging="42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3">
    <w:nsid w:val="5E6D5220"/>
    <w:multiLevelType w:val="hybridMultilevel"/>
    <w:tmpl w:val="6402042E"/>
    <w:lvl w:ilvl="0" w:tplc="91B6933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71CB41B8"/>
    <w:multiLevelType w:val="hybridMultilevel"/>
    <w:tmpl w:val="C8A4F1A6"/>
    <w:lvl w:ilvl="0" w:tplc="38FC66D8">
      <w:start w:val="1"/>
      <w:numFmt w:val="decimal"/>
      <w:lvlText w:val="%1."/>
      <w:lvlJc w:val="left"/>
      <w:pPr>
        <w:ind w:left="780" w:hanging="42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5">
    <w:nsid w:val="75CB49F9"/>
    <w:multiLevelType w:val="hybridMultilevel"/>
    <w:tmpl w:val="6FA23B9A"/>
    <w:lvl w:ilvl="0" w:tplc="3A4607F4">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9586A6B"/>
    <w:multiLevelType w:val="hybridMultilevel"/>
    <w:tmpl w:val="AA70FCC6"/>
    <w:lvl w:ilvl="0" w:tplc="EF4E450A">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5"/>
  </w:num>
  <w:num w:numId="2">
    <w:abstractNumId w:val="4"/>
  </w:num>
  <w:num w:numId="3">
    <w:abstractNumId w:val="9"/>
  </w:num>
  <w:num w:numId="4">
    <w:abstractNumId w:val="22"/>
  </w:num>
  <w:num w:numId="5">
    <w:abstractNumId w:val="10"/>
  </w:num>
  <w:num w:numId="6">
    <w:abstractNumId w:val="24"/>
  </w:num>
  <w:num w:numId="7">
    <w:abstractNumId w:val="16"/>
  </w:num>
  <w:num w:numId="8">
    <w:abstractNumId w:val="3"/>
  </w:num>
  <w:num w:numId="9">
    <w:abstractNumId w:val="0"/>
  </w:num>
  <w:num w:numId="10">
    <w:abstractNumId w:val="18"/>
  </w:num>
  <w:num w:numId="11">
    <w:abstractNumId w:val="23"/>
  </w:num>
  <w:num w:numId="12">
    <w:abstractNumId w:val="17"/>
  </w:num>
  <w:num w:numId="13">
    <w:abstractNumId w:val="12"/>
  </w:num>
  <w:num w:numId="14">
    <w:abstractNumId w:val="26"/>
  </w:num>
  <w:num w:numId="15">
    <w:abstractNumId w:val="6"/>
  </w:num>
  <w:num w:numId="16">
    <w:abstractNumId w:val="1"/>
  </w:num>
  <w:num w:numId="17">
    <w:abstractNumId w:val="8"/>
  </w:num>
  <w:num w:numId="18">
    <w:abstractNumId w:val="21"/>
  </w:num>
  <w:num w:numId="19">
    <w:abstractNumId w:val="14"/>
  </w:num>
  <w:num w:numId="20">
    <w:abstractNumId w:val="20"/>
  </w:num>
  <w:num w:numId="21">
    <w:abstractNumId w:val="15"/>
  </w:num>
  <w:num w:numId="22">
    <w:abstractNumId w:val="5"/>
  </w:num>
  <w:num w:numId="23">
    <w:abstractNumId w:val="2"/>
  </w:num>
  <w:num w:numId="24">
    <w:abstractNumId w:val="11"/>
  </w:num>
  <w:num w:numId="25">
    <w:abstractNumId w:val="13"/>
  </w:num>
  <w:num w:numId="26">
    <w:abstractNumId w:val="19"/>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bordersDoNotSurroundHeader/>
  <w:bordersDoNotSurroundFooter/>
  <w:proofState w:spelling="clean" w:grammar="clean"/>
  <w:defaultTabStop w:val="480"/>
  <w:drawingGridHorizontalSpacing w:val="11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A2B"/>
    <w:rsid w:val="000555B8"/>
    <w:rsid w:val="000648ED"/>
    <w:rsid w:val="00092AA9"/>
    <w:rsid w:val="000B50B9"/>
    <w:rsid w:val="000C7D15"/>
    <w:rsid w:val="000E4487"/>
    <w:rsid w:val="00104A9F"/>
    <w:rsid w:val="001560D9"/>
    <w:rsid w:val="001E448B"/>
    <w:rsid w:val="0024404D"/>
    <w:rsid w:val="00263B99"/>
    <w:rsid w:val="002B603E"/>
    <w:rsid w:val="002C33B7"/>
    <w:rsid w:val="002D6376"/>
    <w:rsid w:val="00305A9F"/>
    <w:rsid w:val="00306884"/>
    <w:rsid w:val="00324125"/>
    <w:rsid w:val="003241B8"/>
    <w:rsid w:val="0036520A"/>
    <w:rsid w:val="00376F12"/>
    <w:rsid w:val="00377EDD"/>
    <w:rsid w:val="003933A5"/>
    <w:rsid w:val="00396623"/>
    <w:rsid w:val="003F2807"/>
    <w:rsid w:val="003F2ADF"/>
    <w:rsid w:val="003F5564"/>
    <w:rsid w:val="00423416"/>
    <w:rsid w:val="00430973"/>
    <w:rsid w:val="004D6493"/>
    <w:rsid w:val="004E1633"/>
    <w:rsid w:val="005050D5"/>
    <w:rsid w:val="00527551"/>
    <w:rsid w:val="0059036D"/>
    <w:rsid w:val="00596B89"/>
    <w:rsid w:val="00696E14"/>
    <w:rsid w:val="006D2F7D"/>
    <w:rsid w:val="007079B4"/>
    <w:rsid w:val="00712081"/>
    <w:rsid w:val="00726260"/>
    <w:rsid w:val="00775E2F"/>
    <w:rsid w:val="007B3904"/>
    <w:rsid w:val="007C76F0"/>
    <w:rsid w:val="00805725"/>
    <w:rsid w:val="0082349B"/>
    <w:rsid w:val="00843C18"/>
    <w:rsid w:val="008732FF"/>
    <w:rsid w:val="008D1411"/>
    <w:rsid w:val="008D193D"/>
    <w:rsid w:val="00910A2B"/>
    <w:rsid w:val="0094737C"/>
    <w:rsid w:val="0095729F"/>
    <w:rsid w:val="0095759B"/>
    <w:rsid w:val="00957C3D"/>
    <w:rsid w:val="009916B0"/>
    <w:rsid w:val="009C145A"/>
    <w:rsid w:val="009C41D1"/>
    <w:rsid w:val="009F2C2B"/>
    <w:rsid w:val="00A1280D"/>
    <w:rsid w:val="00A17E36"/>
    <w:rsid w:val="00A3070A"/>
    <w:rsid w:val="00A64691"/>
    <w:rsid w:val="00A904F2"/>
    <w:rsid w:val="00AA097A"/>
    <w:rsid w:val="00AB605C"/>
    <w:rsid w:val="00AE4478"/>
    <w:rsid w:val="00B52287"/>
    <w:rsid w:val="00B728CC"/>
    <w:rsid w:val="00B8462F"/>
    <w:rsid w:val="00BA2FCD"/>
    <w:rsid w:val="00C565C7"/>
    <w:rsid w:val="00C60868"/>
    <w:rsid w:val="00C63569"/>
    <w:rsid w:val="00C7092D"/>
    <w:rsid w:val="00C87E54"/>
    <w:rsid w:val="00CC2E9E"/>
    <w:rsid w:val="00CF06AA"/>
    <w:rsid w:val="00D313CC"/>
    <w:rsid w:val="00D45E21"/>
    <w:rsid w:val="00D86495"/>
    <w:rsid w:val="00DA5E86"/>
    <w:rsid w:val="00DC4CFD"/>
    <w:rsid w:val="00DF36F0"/>
    <w:rsid w:val="00E64BF4"/>
    <w:rsid w:val="00E7678C"/>
    <w:rsid w:val="00EF7462"/>
    <w:rsid w:val="00F269F5"/>
    <w:rsid w:val="00F45AEE"/>
    <w:rsid w:val="00F92A35"/>
    <w:rsid w:val="00FB00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BF4"/>
    <w:pPr>
      <w:widowControl w:val="0"/>
      <w:adjustRightInd w:val="0"/>
      <w:snapToGrid w:val="0"/>
      <w:spacing w:beforeLines="60" w:before="60" w:line="312" w:lineRule="auto"/>
      <w:jc w:val="both"/>
    </w:pPr>
    <w:rPr>
      <w:rFonts w:ascii="Arial" w:hAnsi="Arial"/>
      <w:sz w:val="24"/>
    </w:rPr>
  </w:style>
  <w:style w:type="paragraph" w:styleId="1">
    <w:name w:val="heading 1"/>
    <w:basedOn w:val="a"/>
    <w:next w:val="a"/>
    <w:link w:val="1Char"/>
    <w:uiPriority w:val="9"/>
    <w:qFormat/>
    <w:rsid w:val="00A1280D"/>
    <w:pPr>
      <w:keepNext/>
      <w:keepLines/>
      <w:adjustRightInd/>
      <w:snapToGrid/>
      <w:spacing w:beforeLines="0" w:before="340" w:after="330" w:line="578" w:lineRule="auto"/>
      <w:jc w:val="left"/>
      <w:outlineLvl w:val="0"/>
    </w:pPr>
    <w:rPr>
      <w:rFonts w:ascii="MingLiU_HKSCS" w:eastAsia="MingLiU_HKSCS" w:hAnsi="MingLiU_HKSCS" w:cs="MingLiU_HKSCS"/>
      <w:b/>
      <w:bCs/>
      <w:color w:val="000000"/>
      <w:kern w:val="44"/>
      <w:sz w:val="44"/>
      <w:szCs w:val="44"/>
      <w:lang w:eastAsia="en-US" w:bidi="en-US"/>
    </w:rPr>
  </w:style>
  <w:style w:type="paragraph" w:styleId="2">
    <w:name w:val="heading 2"/>
    <w:basedOn w:val="a"/>
    <w:next w:val="a"/>
    <w:link w:val="2Char"/>
    <w:uiPriority w:val="9"/>
    <w:semiHidden/>
    <w:unhideWhenUsed/>
    <w:qFormat/>
    <w:rsid w:val="000B50B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0B50B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404D"/>
    <w:pPr>
      <w:ind w:firstLineChars="200" w:firstLine="420"/>
    </w:pPr>
  </w:style>
  <w:style w:type="paragraph" w:styleId="a4">
    <w:name w:val="Balloon Text"/>
    <w:basedOn w:val="a"/>
    <w:link w:val="Char"/>
    <w:uiPriority w:val="99"/>
    <w:semiHidden/>
    <w:unhideWhenUsed/>
    <w:rsid w:val="009916B0"/>
    <w:rPr>
      <w:sz w:val="18"/>
      <w:szCs w:val="18"/>
    </w:rPr>
  </w:style>
  <w:style w:type="character" w:customStyle="1" w:styleId="Char">
    <w:name w:val="批注框文本 Char"/>
    <w:basedOn w:val="a0"/>
    <w:link w:val="a4"/>
    <w:uiPriority w:val="99"/>
    <w:semiHidden/>
    <w:rsid w:val="009916B0"/>
    <w:rPr>
      <w:sz w:val="18"/>
      <w:szCs w:val="18"/>
    </w:rPr>
  </w:style>
  <w:style w:type="paragraph" w:styleId="a5">
    <w:name w:val="header"/>
    <w:basedOn w:val="a"/>
    <w:link w:val="Char0"/>
    <w:uiPriority w:val="99"/>
    <w:unhideWhenUsed/>
    <w:rsid w:val="0036520A"/>
    <w:pPr>
      <w:pBdr>
        <w:bottom w:val="single" w:sz="6" w:space="1" w:color="auto"/>
      </w:pBdr>
      <w:tabs>
        <w:tab w:val="center" w:pos="4153"/>
        <w:tab w:val="right" w:pos="8306"/>
      </w:tabs>
      <w:spacing w:line="240" w:lineRule="auto"/>
      <w:jc w:val="center"/>
    </w:pPr>
    <w:rPr>
      <w:sz w:val="18"/>
      <w:szCs w:val="18"/>
    </w:rPr>
  </w:style>
  <w:style w:type="character" w:customStyle="1" w:styleId="Char0">
    <w:name w:val="页眉 Char"/>
    <w:basedOn w:val="a0"/>
    <w:link w:val="a5"/>
    <w:uiPriority w:val="99"/>
    <w:rsid w:val="0036520A"/>
    <w:rPr>
      <w:rFonts w:ascii="Arial" w:hAnsi="Arial"/>
      <w:sz w:val="18"/>
      <w:szCs w:val="18"/>
    </w:rPr>
  </w:style>
  <w:style w:type="paragraph" w:styleId="a6">
    <w:name w:val="footer"/>
    <w:basedOn w:val="a"/>
    <w:link w:val="Char1"/>
    <w:uiPriority w:val="99"/>
    <w:unhideWhenUsed/>
    <w:rsid w:val="0036520A"/>
    <w:pPr>
      <w:tabs>
        <w:tab w:val="center" w:pos="4153"/>
        <w:tab w:val="right" w:pos="8306"/>
      </w:tabs>
      <w:spacing w:line="240" w:lineRule="auto"/>
      <w:jc w:val="left"/>
    </w:pPr>
    <w:rPr>
      <w:sz w:val="18"/>
      <w:szCs w:val="18"/>
    </w:rPr>
  </w:style>
  <w:style w:type="character" w:customStyle="1" w:styleId="Char1">
    <w:name w:val="页脚 Char"/>
    <w:basedOn w:val="a0"/>
    <w:link w:val="a6"/>
    <w:uiPriority w:val="99"/>
    <w:rsid w:val="0036520A"/>
    <w:rPr>
      <w:rFonts w:ascii="Arial" w:hAnsi="Arial"/>
      <w:sz w:val="18"/>
      <w:szCs w:val="18"/>
    </w:rPr>
  </w:style>
  <w:style w:type="character" w:customStyle="1" w:styleId="1Char">
    <w:name w:val="标题 1 Char"/>
    <w:basedOn w:val="a0"/>
    <w:link w:val="1"/>
    <w:uiPriority w:val="9"/>
    <w:rsid w:val="00A1280D"/>
    <w:rPr>
      <w:rFonts w:ascii="MingLiU_HKSCS" w:eastAsia="MingLiU_HKSCS" w:hAnsi="MingLiU_HKSCS" w:cs="MingLiU_HKSCS"/>
      <w:b/>
      <w:bCs/>
      <w:color w:val="000000"/>
      <w:kern w:val="44"/>
      <w:sz w:val="44"/>
      <w:szCs w:val="44"/>
      <w:lang w:eastAsia="en-US" w:bidi="en-US"/>
    </w:rPr>
  </w:style>
  <w:style w:type="character" w:styleId="a7">
    <w:name w:val="Hyperlink"/>
    <w:basedOn w:val="a0"/>
    <w:uiPriority w:val="99"/>
    <w:rsid w:val="00A1280D"/>
    <w:rPr>
      <w:color w:val="0066CC"/>
      <w:u w:val="single"/>
    </w:rPr>
  </w:style>
  <w:style w:type="character" w:customStyle="1" w:styleId="a8">
    <w:name w:val="脚注_"/>
    <w:basedOn w:val="a0"/>
    <w:rsid w:val="00A1280D"/>
    <w:rPr>
      <w:rFonts w:ascii="Times New Roman" w:eastAsia="Times New Roman" w:hAnsi="Times New Roman" w:cs="Times New Roman"/>
      <w:b w:val="0"/>
      <w:bCs w:val="0"/>
      <w:i w:val="0"/>
      <w:iCs w:val="0"/>
      <w:smallCaps w:val="0"/>
      <w:strike w:val="0"/>
      <w:sz w:val="20"/>
      <w:szCs w:val="20"/>
      <w:u w:val="none"/>
    </w:rPr>
  </w:style>
  <w:style w:type="character" w:customStyle="1" w:styleId="MingLiU">
    <w:name w:val="脚注 + MingLiU"/>
    <w:aliases w:val="9.5 pt"/>
    <w:basedOn w:val="a8"/>
    <w:rsid w:val="00A1280D"/>
    <w:rPr>
      <w:rFonts w:ascii="MingLiU" w:eastAsia="MingLiU" w:hAnsi="MingLiU" w:cs="MingLiU"/>
      <w:b w:val="0"/>
      <w:bCs w:val="0"/>
      <w:i w:val="0"/>
      <w:iCs w:val="0"/>
      <w:smallCaps w:val="0"/>
      <w:strike w:val="0"/>
      <w:color w:val="000000"/>
      <w:spacing w:val="0"/>
      <w:w w:val="100"/>
      <w:position w:val="0"/>
      <w:sz w:val="19"/>
      <w:szCs w:val="19"/>
      <w:u w:val="none"/>
      <w:lang w:val="zh-TW" w:eastAsia="zh-TW" w:bidi="zh-TW"/>
    </w:rPr>
  </w:style>
  <w:style w:type="character" w:customStyle="1" w:styleId="a9">
    <w:name w:val="脚注"/>
    <w:basedOn w:val="a8"/>
    <w:rsid w:val="00A1280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aa">
    <w:name w:val="脚注 + 斜体"/>
    <w:basedOn w:val="a8"/>
    <w:rsid w:val="00A1280D"/>
    <w:rPr>
      <w:rFonts w:ascii="Times New Roman" w:eastAsia="Times New Roman" w:hAnsi="Times New Roman" w:cs="Times New Roman"/>
      <w:b w:val="0"/>
      <w:bCs w:val="0"/>
      <w:i/>
      <w:iCs/>
      <w:smallCaps w:val="0"/>
      <w:strike w:val="0"/>
      <w:color w:val="000000"/>
      <w:spacing w:val="0"/>
      <w:w w:val="100"/>
      <w:position w:val="0"/>
      <w:sz w:val="20"/>
      <w:szCs w:val="20"/>
      <w:u w:val="none"/>
      <w:lang w:val="en-US" w:eastAsia="en-US" w:bidi="en-US"/>
    </w:rPr>
  </w:style>
  <w:style w:type="character" w:customStyle="1" w:styleId="30">
    <w:name w:val="正文文本 (3)_"/>
    <w:basedOn w:val="a0"/>
    <w:link w:val="31"/>
    <w:rsid w:val="00A1280D"/>
    <w:rPr>
      <w:rFonts w:ascii="Times New Roman" w:eastAsia="Times New Roman" w:hAnsi="Times New Roman" w:cs="Times New Roman"/>
      <w:b/>
      <w:bCs/>
      <w:sz w:val="60"/>
      <w:szCs w:val="60"/>
      <w:shd w:val="clear" w:color="auto" w:fill="FFFFFF"/>
    </w:rPr>
  </w:style>
  <w:style w:type="character" w:customStyle="1" w:styleId="32">
    <w:name w:val="正文文本 (3) + 斜体"/>
    <w:basedOn w:val="30"/>
    <w:rsid w:val="00A1280D"/>
    <w:rPr>
      <w:rFonts w:ascii="Times New Roman" w:eastAsia="Times New Roman" w:hAnsi="Times New Roman" w:cs="Times New Roman"/>
      <w:b/>
      <w:bCs/>
      <w:i/>
      <w:iCs/>
      <w:color w:val="000000"/>
      <w:spacing w:val="0"/>
      <w:w w:val="100"/>
      <w:position w:val="0"/>
      <w:sz w:val="60"/>
      <w:szCs w:val="60"/>
      <w:shd w:val="clear" w:color="auto" w:fill="FFFFFF"/>
      <w:lang w:val="en-US" w:eastAsia="en-US" w:bidi="en-US"/>
    </w:rPr>
  </w:style>
  <w:style w:type="character" w:customStyle="1" w:styleId="4">
    <w:name w:val="正文文本 (4)_"/>
    <w:basedOn w:val="a0"/>
    <w:link w:val="40"/>
    <w:rsid w:val="00A1280D"/>
    <w:rPr>
      <w:rFonts w:ascii="Times New Roman" w:eastAsia="Times New Roman" w:hAnsi="Times New Roman" w:cs="Times New Roman"/>
      <w:b/>
      <w:bCs/>
      <w:sz w:val="28"/>
      <w:szCs w:val="28"/>
      <w:shd w:val="clear" w:color="auto" w:fill="FFFFFF"/>
    </w:rPr>
  </w:style>
  <w:style w:type="character" w:customStyle="1" w:styleId="20">
    <w:name w:val="正文文本 (2)_"/>
    <w:basedOn w:val="a0"/>
    <w:rsid w:val="00A1280D"/>
    <w:rPr>
      <w:rFonts w:ascii="Times New Roman" w:eastAsia="Times New Roman" w:hAnsi="Times New Roman" w:cs="Times New Roman"/>
      <w:b w:val="0"/>
      <w:bCs w:val="0"/>
      <w:i w:val="0"/>
      <w:iCs w:val="0"/>
      <w:smallCaps w:val="0"/>
      <w:strike w:val="0"/>
      <w:u w:val="none"/>
    </w:rPr>
  </w:style>
  <w:style w:type="character" w:customStyle="1" w:styleId="5">
    <w:name w:val="正文文本 (5)_"/>
    <w:basedOn w:val="a0"/>
    <w:link w:val="50"/>
    <w:rsid w:val="00A1280D"/>
    <w:rPr>
      <w:rFonts w:ascii="Times New Roman" w:eastAsia="Times New Roman" w:hAnsi="Times New Roman" w:cs="Times New Roman"/>
      <w:b/>
      <w:bCs/>
      <w:shd w:val="clear" w:color="auto" w:fill="FFFFFF"/>
    </w:rPr>
  </w:style>
  <w:style w:type="character" w:customStyle="1" w:styleId="51">
    <w:name w:val="正文文本 (5) + 斜体"/>
    <w:basedOn w:val="5"/>
    <w:rsid w:val="00A1280D"/>
    <w:rPr>
      <w:rFonts w:ascii="Times New Roman" w:eastAsia="Times New Roman" w:hAnsi="Times New Roman" w:cs="Times New Roman"/>
      <w:b/>
      <w:bCs/>
      <w:i/>
      <w:iCs/>
      <w:color w:val="000000"/>
      <w:spacing w:val="0"/>
      <w:w w:val="100"/>
      <w:position w:val="0"/>
      <w:sz w:val="24"/>
      <w:szCs w:val="24"/>
      <w:shd w:val="clear" w:color="auto" w:fill="FFFFFF"/>
      <w:lang w:val="en-US" w:eastAsia="en-US" w:bidi="en-US"/>
    </w:rPr>
  </w:style>
  <w:style w:type="character" w:customStyle="1" w:styleId="10">
    <w:name w:val="标题 #1_"/>
    <w:basedOn w:val="a0"/>
    <w:link w:val="11"/>
    <w:rsid w:val="00A1280D"/>
    <w:rPr>
      <w:rFonts w:ascii="Times New Roman" w:eastAsia="Times New Roman" w:hAnsi="Times New Roman" w:cs="Times New Roman"/>
      <w:b/>
      <w:bCs/>
      <w:sz w:val="48"/>
      <w:szCs w:val="48"/>
      <w:shd w:val="clear" w:color="auto" w:fill="FFFFFF"/>
    </w:rPr>
  </w:style>
  <w:style w:type="character" w:customStyle="1" w:styleId="ab">
    <w:name w:val="页眉或页脚_"/>
    <w:basedOn w:val="a0"/>
    <w:rsid w:val="00A1280D"/>
    <w:rPr>
      <w:rFonts w:ascii="Times New Roman" w:eastAsia="Times New Roman" w:hAnsi="Times New Roman" w:cs="Times New Roman"/>
      <w:b/>
      <w:bCs/>
      <w:i/>
      <w:iCs/>
      <w:smallCaps w:val="0"/>
      <w:strike w:val="0"/>
      <w:u w:val="none"/>
    </w:rPr>
  </w:style>
  <w:style w:type="character" w:customStyle="1" w:styleId="ac">
    <w:name w:val="页眉或页脚"/>
    <w:basedOn w:val="ab"/>
    <w:rsid w:val="00A1280D"/>
    <w:rPr>
      <w:rFonts w:ascii="Times New Roman" w:eastAsia="Times New Roman" w:hAnsi="Times New Roman" w:cs="Times New Roman"/>
      <w:b/>
      <w:bCs/>
      <w:i/>
      <w:iCs/>
      <w:smallCaps w:val="0"/>
      <w:strike w:val="0"/>
      <w:color w:val="000000"/>
      <w:spacing w:val="0"/>
      <w:w w:val="100"/>
      <w:position w:val="0"/>
      <w:sz w:val="24"/>
      <w:szCs w:val="24"/>
      <w:u w:val="none"/>
      <w:lang w:val="en-US" w:eastAsia="en-US" w:bidi="en-US"/>
    </w:rPr>
  </w:style>
  <w:style w:type="character" w:customStyle="1" w:styleId="11pt">
    <w:name w:val="页眉或页脚 + 11 pt"/>
    <w:aliases w:val="非粗体,非斜体"/>
    <w:basedOn w:val="ab"/>
    <w:rsid w:val="00A1280D"/>
    <w:rPr>
      <w:rFonts w:ascii="Times New Roman" w:eastAsia="Times New Roman" w:hAnsi="Times New Roman" w:cs="Times New Roman"/>
      <w:b/>
      <w:bCs/>
      <w:i/>
      <w:iCs/>
      <w:smallCaps w:val="0"/>
      <w:strike w:val="0"/>
      <w:color w:val="000000"/>
      <w:spacing w:val="0"/>
      <w:w w:val="100"/>
      <w:position w:val="0"/>
      <w:sz w:val="22"/>
      <w:szCs w:val="22"/>
      <w:u w:val="none"/>
      <w:lang w:val="en-US" w:eastAsia="en-US" w:bidi="en-US"/>
    </w:rPr>
  </w:style>
  <w:style w:type="character" w:customStyle="1" w:styleId="33">
    <w:name w:val="标题 #3_"/>
    <w:basedOn w:val="a0"/>
    <w:link w:val="34"/>
    <w:rsid w:val="00A1280D"/>
    <w:rPr>
      <w:rFonts w:ascii="Times New Roman" w:eastAsia="Times New Roman" w:hAnsi="Times New Roman" w:cs="Times New Roman"/>
      <w:b/>
      <w:bCs/>
      <w:sz w:val="36"/>
      <w:szCs w:val="36"/>
      <w:shd w:val="clear" w:color="auto" w:fill="FFFFFF"/>
    </w:rPr>
  </w:style>
  <w:style w:type="character" w:customStyle="1" w:styleId="21">
    <w:name w:val="正文文本 (2)"/>
    <w:basedOn w:val="20"/>
    <w:rsid w:val="00A1280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3Char0">
    <w:name w:val="目录 3 Char"/>
    <w:basedOn w:val="a0"/>
    <w:link w:val="35"/>
    <w:rsid w:val="00A1280D"/>
    <w:rPr>
      <w:rFonts w:ascii="Times New Roman" w:eastAsia="Times New Roman" w:hAnsi="Times New Roman" w:cs="Times New Roman"/>
      <w:b/>
      <w:bCs/>
      <w:shd w:val="clear" w:color="auto" w:fill="FFFFFF"/>
    </w:rPr>
  </w:style>
  <w:style w:type="character" w:customStyle="1" w:styleId="ad">
    <w:name w:val="目录"/>
    <w:basedOn w:val="3Char0"/>
    <w:rsid w:val="00A1280D"/>
    <w:rPr>
      <w:rFonts w:ascii="Times New Roman" w:eastAsia="Times New Roman" w:hAnsi="Times New Roman" w:cs="Times New Roman"/>
      <w:b/>
      <w:bCs/>
      <w:color w:val="000000"/>
      <w:spacing w:val="0"/>
      <w:w w:val="100"/>
      <w:position w:val="0"/>
      <w:sz w:val="24"/>
      <w:szCs w:val="24"/>
      <w:u w:val="single"/>
      <w:shd w:val="clear" w:color="auto" w:fill="FFFFFF"/>
      <w:lang w:val="en-US" w:eastAsia="en-US" w:bidi="en-US"/>
    </w:rPr>
  </w:style>
  <w:style w:type="character" w:customStyle="1" w:styleId="7Exact">
    <w:name w:val="正文文本 (7) Exact"/>
    <w:basedOn w:val="a0"/>
    <w:link w:val="7"/>
    <w:rsid w:val="00A1280D"/>
    <w:rPr>
      <w:rFonts w:ascii="Times New Roman" w:eastAsia="Times New Roman" w:hAnsi="Times New Roman" w:cs="Times New Roman"/>
      <w:b/>
      <w:bCs/>
      <w:i/>
      <w:iCs/>
      <w:shd w:val="clear" w:color="auto" w:fill="FFFFFF"/>
    </w:rPr>
  </w:style>
  <w:style w:type="character" w:customStyle="1" w:styleId="2Exact">
    <w:name w:val="正文文本 (2) Exact"/>
    <w:basedOn w:val="a0"/>
    <w:rsid w:val="00A1280D"/>
    <w:rPr>
      <w:rFonts w:ascii="Times New Roman" w:eastAsia="Times New Roman" w:hAnsi="Times New Roman" w:cs="Times New Roman"/>
      <w:b w:val="0"/>
      <w:bCs w:val="0"/>
      <w:i w:val="0"/>
      <w:iCs w:val="0"/>
      <w:smallCaps w:val="0"/>
      <w:strike w:val="0"/>
      <w:u w:val="none"/>
    </w:rPr>
  </w:style>
  <w:style w:type="character" w:customStyle="1" w:styleId="22">
    <w:name w:val="标题 #2_"/>
    <w:basedOn w:val="a0"/>
    <w:link w:val="23"/>
    <w:rsid w:val="00A1280D"/>
    <w:rPr>
      <w:rFonts w:ascii="Times New Roman" w:eastAsia="Times New Roman" w:hAnsi="Times New Roman" w:cs="Times New Roman"/>
      <w:sz w:val="48"/>
      <w:szCs w:val="48"/>
      <w:shd w:val="clear" w:color="auto" w:fill="FFFFFF"/>
    </w:rPr>
  </w:style>
  <w:style w:type="character" w:customStyle="1" w:styleId="6">
    <w:name w:val="正文文本 (6)_"/>
    <w:basedOn w:val="a0"/>
    <w:link w:val="60"/>
    <w:rsid w:val="00A1280D"/>
    <w:rPr>
      <w:rFonts w:ascii="Times New Roman" w:eastAsia="Times New Roman" w:hAnsi="Times New Roman" w:cs="Times New Roman"/>
      <w:b/>
      <w:bCs/>
      <w:sz w:val="48"/>
      <w:szCs w:val="48"/>
      <w:shd w:val="clear" w:color="auto" w:fill="FFFFFF"/>
    </w:rPr>
  </w:style>
  <w:style w:type="character" w:customStyle="1" w:styleId="61">
    <w:name w:val="正文文本 (6) + 斜体"/>
    <w:basedOn w:val="6"/>
    <w:rsid w:val="00A1280D"/>
    <w:rPr>
      <w:rFonts w:ascii="Times New Roman" w:eastAsia="Times New Roman" w:hAnsi="Times New Roman" w:cs="Times New Roman"/>
      <w:b/>
      <w:bCs/>
      <w:i/>
      <w:iCs/>
      <w:color w:val="000000"/>
      <w:spacing w:val="0"/>
      <w:w w:val="100"/>
      <w:position w:val="0"/>
      <w:sz w:val="48"/>
      <w:szCs w:val="48"/>
      <w:shd w:val="clear" w:color="auto" w:fill="FFFFFF"/>
      <w:lang w:val="en-US" w:eastAsia="en-US" w:bidi="en-US"/>
    </w:rPr>
  </w:style>
  <w:style w:type="character" w:customStyle="1" w:styleId="24">
    <w:name w:val="正文文本 (2) + 斜体"/>
    <w:basedOn w:val="20"/>
    <w:rsid w:val="00A1280D"/>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8">
    <w:name w:val="正文文本 (8)_"/>
    <w:basedOn w:val="a0"/>
    <w:link w:val="80"/>
    <w:rsid w:val="00A1280D"/>
    <w:rPr>
      <w:rFonts w:ascii="Times New Roman" w:eastAsia="Times New Roman" w:hAnsi="Times New Roman" w:cs="Times New Roman"/>
      <w:b/>
      <w:bCs/>
      <w:sz w:val="36"/>
      <w:szCs w:val="36"/>
      <w:shd w:val="clear" w:color="auto" w:fill="FFFFFF"/>
    </w:rPr>
  </w:style>
  <w:style w:type="character" w:customStyle="1" w:styleId="2MingLiU">
    <w:name w:val="正文文本 (2) + MingLiU"/>
    <w:aliases w:val="11 pt"/>
    <w:basedOn w:val="20"/>
    <w:rsid w:val="00A1280D"/>
    <w:rPr>
      <w:rFonts w:ascii="MingLiU" w:eastAsia="MingLiU" w:hAnsi="MingLiU" w:cs="MingLiU"/>
      <w:b w:val="0"/>
      <w:bCs w:val="0"/>
      <w:i w:val="0"/>
      <w:iCs w:val="0"/>
      <w:smallCaps w:val="0"/>
      <w:strike w:val="0"/>
      <w:color w:val="000000"/>
      <w:spacing w:val="0"/>
      <w:w w:val="100"/>
      <w:position w:val="0"/>
      <w:sz w:val="22"/>
      <w:szCs w:val="22"/>
      <w:u w:val="none"/>
      <w:lang w:val="en-US" w:eastAsia="en-US" w:bidi="en-US"/>
    </w:rPr>
  </w:style>
  <w:style w:type="paragraph" w:customStyle="1" w:styleId="31">
    <w:name w:val="正文文本 (3)"/>
    <w:basedOn w:val="a"/>
    <w:link w:val="30"/>
    <w:rsid w:val="00A1280D"/>
    <w:pPr>
      <w:shd w:val="clear" w:color="auto" w:fill="FFFFFF"/>
      <w:adjustRightInd/>
      <w:snapToGrid/>
      <w:spacing w:beforeLines="0" w:before="0" w:after="540" w:line="686" w:lineRule="exact"/>
      <w:jc w:val="center"/>
    </w:pPr>
    <w:rPr>
      <w:rFonts w:ascii="Times New Roman" w:eastAsia="Times New Roman" w:hAnsi="Times New Roman" w:cs="Times New Roman"/>
      <w:b/>
      <w:bCs/>
      <w:sz w:val="60"/>
      <w:szCs w:val="60"/>
    </w:rPr>
  </w:style>
  <w:style w:type="paragraph" w:customStyle="1" w:styleId="40">
    <w:name w:val="正文文本 (4)"/>
    <w:basedOn w:val="a"/>
    <w:link w:val="4"/>
    <w:rsid w:val="00A1280D"/>
    <w:pPr>
      <w:shd w:val="clear" w:color="auto" w:fill="FFFFFF"/>
      <w:adjustRightInd/>
      <w:snapToGrid/>
      <w:spacing w:beforeLines="0" w:before="240" w:line="278" w:lineRule="exact"/>
      <w:jc w:val="center"/>
    </w:pPr>
    <w:rPr>
      <w:rFonts w:ascii="Times New Roman" w:eastAsia="Times New Roman" w:hAnsi="Times New Roman" w:cs="Times New Roman"/>
      <w:b/>
      <w:bCs/>
      <w:sz w:val="28"/>
      <w:szCs w:val="28"/>
    </w:rPr>
  </w:style>
  <w:style w:type="paragraph" w:customStyle="1" w:styleId="50">
    <w:name w:val="正文文本 (5)"/>
    <w:basedOn w:val="a"/>
    <w:link w:val="5"/>
    <w:rsid w:val="00A1280D"/>
    <w:pPr>
      <w:shd w:val="clear" w:color="auto" w:fill="FFFFFF"/>
      <w:adjustRightInd/>
      <w:snapToGrid/>
      <w:spacing w:beforeLines="0" w:before="780" w:after="240" w:line="274" w:lineRule="exact"/>
      <w:jc w:val="right"/>
    </w:pPr>
    <w:rPr>
      <w:rFonts w:ascii="Times New Roman" w:eastAsia="Times New Roman" w:hAnsi="Times New Roman" w:cs="Times New Roman"/>
      <w:b/>
      <w:bCs/>
      <w:sz w:val="21"/>
    </w:rPr>
  </w:style>
  <w:style w:type="paragraph" w:customStyle="1" w:styleId="11">
    <w:name w:val="标题 #1"/>
    <w:basedOn w:val="a"/>
    <w:link w:val="10"/>
    <w:rsid w:val="00A1280D"/>
    <w:pPr>
      <w:shd w:val="clear" w:color="auto" w:fill="FFFFFF"/>
      <w:adjustRightInd/>
      <w:snapToGrid/>
      <w:spacing w:beforeLines="0" w:before="0" w:after="480" w:line="0" w:lineRule="atLeast"/>
      <w:jc w:val="center"/>
      <w:outlineLvl w:val="0"/>
    </w:pPr>
    <w:rPr>
      <w:rFonts w:ascii="Times New Roman" w:eastAsia="Times New Roman" w:hAnsi="Times New Roman" w:cs="Times New Roman"/>
      <w:b/>
      <w:bCs/>
      <w:sz w:val="48"/>
      <w:szCs w:val="48"/>
    </w:rPr>
  </w:style>
  <w:style w:type="paragraph" w:customStyle="1" w:styleId="34">
    <w:name w:val="标题 #3"/>
    <w:basedOn w:val="a"/>
    <w:link w:val="33"/>
    <w:rsid w:val="00A1280D"/>
    <w:pPr>
      <w:shd w:val="clear" w:color="auto" w:fill="FFFFFF"/>
      <w:adjustRightInd/>
      <w:snapToGrid/>
      <w:spacing w:beforeLines="0" w:before="480" w:after="480" w:line="0" w:lineRule="atLeast"/>
      <w:jc w:val="left"/>
      <w:outlineLvl w:val="2"/>
    </w:pPr>
    <w:rPr>
      <w:rFonts w:ascii="Times New Roman" w:eastAsia="Times New Roman" w:hAnsi="Times New Roman" w:cs="Times New Roman"/>
      <w:b/>
      <w:bCs/>
      <w:sz w:val="36"/>
      <w:szCs w:val="36"/>
    </w:rPr>
  </w:style>
  <w:style w:type="paragraph" w:styleId="35">
    <w:name w:val="toc 3"/>
    <w:basedOn w:val="a"/>
    <w:link w:val="3Char0"/>
    <w:autoRedefine/>
    <w:rsid w:val="00A1280D"/>
    <w:pPr>
      <w:shd w:val="clear" w:color="auto" w:fill="FFFFFF"/>
      <w:adjustRightInd/>
      <w:snapToGrid/>
      <w:spacing w:beforeLines="0" w:before="780" w:line="394" w:lineRule="exact"/>
    </w:pPr>
    <w:rPr>
      <w:rFonts w:ascii="Times New Roman" w:eastAsia="Times New Roman" w:hAnsi="Times New Roman" w:cs="Times New Roman"/>
      <w:b/>
      <w:bCs/>
      <w:sz w:val="21"/>
    </w:rPr>
  </w:style>
  <w:style w:type="paragraph" w:customStyle="1" w:styleId="7">
    <w:name w:val="正文文本 (7)"/>
    <w:basedOn w:val="a"/>
    <w:link w:val="7Exact"/>
    <w:rsid w:val="00A1280D"/>
    <w:pPr>
      <w:shd w:val="clear" w:color="auto" w:fill="FFFFFF"/>
      <w:adjustRightInd/>
      <w:snapToGrid/>
      <w:spacing w:beforeLines="0" w:before="0" w:line="274" w:lineRule="exact"/>
      <w:jc w:val="left"/>
    </w:pPr>
    <w:rPr>
      <w:rFonts w:ascii="Times New Roman" w:eastAsia="Times New Roman" w:hAnsi="Times New Roman" w:cs="Times New Roman"/>
      <w:b/>
      <w:bCs/>
      <w:i/>
      <w:iCs/>
      <w:sz w:val="21"/>
    </w:rPr>
  </w:style>
  <w:style w:type="paragraph" w:customStyle="1" w:styleId="23">
    <w:name w:val="标题 #2"/>
    <w:basedOn w:val="a"/>
    <w:link w:val="22"/>
    <w:rsid w:val="00A1280D"/>
    <w:pPr>
      <w:shd w:val="clear" w:color="auto" w:fill="FFFFFF"/>
      <w:adjustRightInd/>
      <w:snapToGrid/>
      <w:spacing w:beforeLines="0" w:before="0" w:after="360" w:line="552" w:lineRule="exact"/>
      <w:jc w:val="center"/>
      <w:outlineLvl w:val="1"/>
    </w:pPr>
    <w:rPr>
      <w:rFonts w:ascii="Times New Roman" w:eastAsia="Times New Roman" w:hAnsi="Times New Roman" w:cs="Times New Roman"/>
      <w:sz w:val="48"/>
      <w:szCs w:val="48"/>
    </w:rPr>
  </w:style>
  <w:style w:type="paragraph" w:customStyle="1" w:styleId="60">
    <w:name w:val="正文文本 (6)"/>
    <w:basedOn w:val="a"/>
    <w:link w:val="6"/>
    <w:rsid w:val="00A1280D"/>
    <w:pPr>
      <w:shd w:val="clear" w:color="auto" w:fill="FFFFFF"/>
      <w:adjustRightInd/>
      <w:snapToGrid/>
      <w:spacing w:beforeLines="0" w:before="360" w:after="780" w:line="547" w:lineRule="exact"/>
      <w:jc w:val="center"/>
    </w:pPr>
    <w:rPr>
      <w:rFonts w:ascii="Times New Roman" w:eastAsia="Times New Roman" w:hAnsi="Times New Roman" w:cs="Times New Roman"/>
      <w:b/>
      <w:bCs/>
      <w:sz w:val="48"/>
      <w:szCs w:val="48"/>
    </w:rPr>
  </w:style>
  <w:style w:type="paragraph" w:customStyle="1" w:styleId="80">
    <w:name w:val="正文文本 (8)"/>
    <w:basedOn w:val="a"/>
    <w:link w:val="8"/>
    <w:rsid w:val="00A1280D"/>
    <w:pPr>
      <w:shd w:val="clear" w:color="auto" w:fill="FFFFFF"/>
      <w:adjustRightInd/>
      <w:snapToGrid/>
      <w:spacing w:beforeLines="0" w:before="360" w:after="120" w:line="413" w:lineRule="exact"/>
      <w:ind w:hanging="760"/>
      <w:jc w:val="left"/>
    </w:pPr>
    <w:rPr>
      <w:rFonts w:ascii="Times New Roman" w:eastAsia="Times New Roman" w:hAnsi="Times New Roman" w:cs="Times New Roman"/>
      <w:b/>
      <w:bCs/>
      <w:sz w:val="36"/>
      <w:szCs w:val="36"/>
    </w:rPr>
  </w:style>
  <w:style w:type="character" w:styleId="ae">
    <w:name w:val="Emphasis"/>
    <w:basedOn w:val="a0"/>
    <w:uiPriority w:val="20"/>
    <w:qFormat/>
    <w:rsid w:val="00A1280D"/>
    <w:rPr>
      <w:i w:val="0"/>
      <w:iCs w:val="0"/>
      <w:color w:val="CC0000"/>
    </w:rPr>
  </w:style>
  <w:style w:type="character" w:customStyle="1" w:styleId="opdicttext22">
    <w:name w:val="op_dict_text22"/>
    <w:basedOn w:val="a0"/>
    <w:rsid w:val="00A1280D"/>
  </w:style>
  <w:style w:type="paragraph" w:styleId="12">
    <w:name w:val="toc 1"/>
    <w:basedOn w:val="a"/>
    <w:next w:val="a"/>
    <w:autoRedefine/>
    <w:uiPriority w:val="39"/>
    <w:unhideWhenUsed/>
    <w:rsid w:val="000B50B9"/>
    <w:pPr>
      <w:tabs>
        <w:tab w:val="left" w:pos="480"/>
        <w:tab w:val="right" w:leader="dot" w:pos="9120"/>
      </w:tabs>
      <w:spacing w:beforeLines="25" w:before="25" w:line="288" w:lineRule="auto"/>
      <w:ind w:rightChars="200" w:right="200" w:hangingChars="200" w:hanging="200"/>
    </w:pPr>
    <w:rPr>
      <w:rFonts w:eastAsia="宋体" w:cs="MingLiU_HKSCS"/>
      <w:color w:val="000000"/>
      <w:kern w:val="0"/>
      <w:szCs w:val="24"/>
      <w:lang w:eastAsia="en-US" w:bidi="en-US"/>
    </w:rPr>
  </w:style>
  <w:style w:type="paragraph" w:styleId="25">
    <w:name w:val="toc 2"/>
    <w:basedOn w:val="a"/>
    <w:next w:val="a"/>
    <w:autoRedefine/>
    <w:uiPriority w:val="39"/>
    <w:unhideWhenUsed/>
    <w:rsid w:val="00A1280D"/>
    <w:pPr>
      <w:adjustRightInd/>
      <w:snapToGrid/>
      <w:spacing w:beforeLines="0" w:before="0" w:line="240" w:lineRule="auto"/>
      <w:ind w:leftChars="200" w:left="420"/>
      <w:jc w:val="left"/>
    </w:pPr>
    <w:rPr>
      <w:rFonts w:ascii="MingLiU_HKSCS" w:eastAsia="MingLiU_HKSCS" w:hAnsi="MingLiU_HKSCS" w:cs="MingLiU_HKSCS"/>
      <w:color w:val="000000"/>
      <w:kern w:val="0"/>
      <w:szCs w:val="24"/>
      <w:lang w:eastAsia="en-US" w:bidi="en-US"/>
    </w:rPr>
  </w:style>
  <w:style w:type="paragraph" w:styleId="af">
    <w:name w:val="endnote text"/>
    <w:basedOn w:val="a"/>
    <w:link w:val="Char2"/>
    <w:uiPriority w:val="99"/>
    <w:semiHidden/>
    <w:unhideWhenUsed/>
    <w:rsid w:val="00A1280D"/>
    <w:pPr>
      <w:adjustRightInd/>
      <w:spacing w:beforeLines="0" w:before="0" w:line="240" w:lineRule="auto"/>
      <w:jc w:val="left"/>
    </w:pPr>
    <w:rPr>
      <w:rFonts w:ascii="MingLiU_HKSCS" w:eastAsia="MingLiU_HKSCS" w:hAnsi="MingLiU_HKSCS" w:cs="MingLiU_HKSCS"/>
      <w:color w:val="000000"/>
      <w:kern w:val="0"/>
      <w:szCs w:val="24"/>
      <w:lang w:eastAsia="en-US" w:bidi="en-US"/>
    </w:rPr>
  </w:style>
  <w:style w:type="character" w:customStyle="1" w:styleId="Char2">
    <w:name w:val="尾注文本 Char"/>
    <w:basedOn w:val="a0"/>
    <w:link w:val="af"/>
    <w:uiPriority w:val="99"/>
    <w:semiHidden/>
    <w:rsid w:val="00A1280D"/>
    <w:rPr>
      <w:rFonts w:ascii="MingLiU_HKSCS" w:eastAsia="MingLiU_HKSCS" w:hAnsi="MingLiU_HKSCS" w:cs="MingLiU_HKSCS"/>
      <w:color w:val="000000"/>
      <w:kern w:val="0"/>
      <w:sz w:val="24"/>
      <w:szCs w:val="24"/>
      <w:lang w:eastAsia="en-US" w:bidi="en-US"/>
    </w:rPr>
  </w:style>
  <w:style w:type="character" w:styleId="af0">
    <w:name w:val="endnote reference"/>
    <w:basedOn w:val="a0"/>
    <w:uiPriority w:val="99"/>
    <w:semiHidden/>
    <w:unhideWhenUsed/>
    <w:rsid w:val="00A1280D"/>
    <w:rPr>
      <w:vertAlign w:val="superscript"/>
    </w:rPr>
  </w:style>
  <w:style w:type="paragraph" w:styleId="af1">
    <w:name w:val="footnote text"/>
    <w:basedOn w:val="a"/>
    <w:link w:val="Char3"/>
    <w:uiPriority w:val="99"/>
    <w:semiHidden/>
    <w:unhideWhenUsed/>
    <w:rsid w:val="00A1280D"/>
    <w:pPr>
      <w:adjustRightInd/>
      <w:spacing w:beforeLines="0" w:before="0" w:line="240" w:lineRule="auto"/>
      <w:jc w:val="left"/>
    </w:pPr>
    <w:rPr>
      <w:rFonts w:ascii="MingLiU_HKSCS" w:eastAsia="MingLiU_HKSCS" w:hAnsi="MingLiU_HKSCS" w:cs="MingLiU_HKSCS"/>
      <w:color w:val="000000"/>
      <w:kern w:val="0"/>
      <w:sz w:val="18"/>
      <w:szCs w:val="18"/>
      <w:lang w:eastAsia="en-US" w:bidi="en-US"/>
    </w:rPr>
  </w:style>
  <w:style w:type="character" w:customStyle="1" w:styleId="Char3">
    <w:name w:val="脚注文本 Char"/>
    <w:basedOn w:val="a0"/>
    <w:link w:val="af1"/>
    <w:uiPriority w:val="99"/>
    <w:semiHidden/>
    <w:rsid w:val="00A1280D"/>
    <w:rPr>
      <w:rFonts w:ascii="MingLiU_HKSCS" w:eastAsia="MingLiU_HKSCS" w:hAnsi="MingLiU_HKSCS" w:cs="MingLiU_HKSCS"/>
      <w:color w:val="000000"/>
      <w:kern w:val="0"/>
      <w:sz w:val="18"/>
      <w:szCs w:val="18"/>
      <w:lang w:eastAsia="en-US" w:bidi="en-US"/>
    </w:rPr>
  </w:style>
  <w:style w:type="character" w:styleId="af2">
    <w:name w:val="footnote reference"/>
    <w:basedOn w:val="a0"/>
    <w:uiPriority w:val="99"/>
    <w:semiHidden/>
    <w:unhideWhenUsed/>
    <w:rsid w:val="00A1280D"/>
    <w:rPr>
      <w:vertAlign w:val="superscript"/>
    </w:rPr>
  </w:style>
  <w:style w:type="paragraph" w:styleId="TOC">
    <w:name w:val="TOC Heading"/>
    <w:basedOn w:val="1"/>
    <w:next w:val="a"/>
    <w:uiPriority w:val="39"/>
    <w:unhideWhenUsed/>
    <w:qFormat/>
    <w:rsid w:val="00A1280D"/>
    <w:pPr>
      <w:widowControl/>
      <w:spacing w:before="240" w:after="0" w:line="259" w:lineRule="auto"/>
      <w:outlineLvl w:val="9"/>
    </w:pPr>
    <w:rPr>
      <w:rFonts w:asciiTheme="majorHAnsi" w:eastAsiaTheme="majorEastAsia" w:hAnsiTheme="majorHAnsi" w:cstheme="majorBidi"/>
      <w:b w:val="0"/>
      <w:bCs w:val="0"/>
      <w:color w:val="365F91" w:themeColor="accent1" w:themeShade="BF"/>
      <w:kern w:val="0"/>
      <w:sz w:val="32"/>
      <w:szCs w:val="32"/>
      <w:lang w:eastAsia="zh-CN" w:bidi="ar-SA"/>
    </w:rPr>
  </w:style>
  <w:style w:type="table" w:styleId="af3">
    <w:name w:val="Table Grid"/>
    <w:basedOn w:val="a1"/>
    <w:uiPriority w:val="59"/>
    <w:rsid w:val="00377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标题 3 Char"/>
    <w:basedOn w:val="a0"/>
    <w:link w:val="3"/>
    <w:uiPriority w:val="9"/>
    <w:semiHidden/>
    <w:rsid w:val="000B50B9"/>
    <w:rPr>
      <w:rFonts w:ascii="Arial" w:hAnsi="Arial"/>
      <w:b/>
      <w:bCs/>
      <w:sz w:val="32"/>
      <w:szCs w:val="32"/>
    </w:rPr>
  </w:style>
  <w:style w:type="character" w:customStyle="1" w:styleId="2Char">
    <w:name w:val="标题 2 Char"/>
    <w:basedOn w:val="a0"/>
    <w:link w:val="2"/>
    <w:uiPriority w:val="9"/>
    <w:semiHidden/>
    <w:rsid w:val="000B50B9"/>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BF4"/>
    <w:pPr>
      <w:widowControl w:val="0"/>
      <w:adjustRightInd w:val="0"/>
      <w:snapToGrid w:val="0"/>
      <w:spacing w:beforeLines="60" w:before="60" w:line="312" w:lineRule="auto"/>
      <w:jc w:val="both"/>
    </w:pPr>
    <w:rPr>
      <w:rFonts w:ascii="Arial" w:hAnsi="Arial"/>
      <w:sz w:val="24"/>
    </w:rPr>
  </w:style>
  <w:style w:type="paragraph" w:styleId="1">
    <w:name w:val="heading 1"/>
    <w:basedOn w:val="a"/>
    <w:next w:val="a"/>
    <w:link w:val="1Char"/>
    <w:uiPriority w:val="9"/>
    <w:qFormat/>
    <w:rsid w:val="00A1280D"/>
    <w:pPr>
      <w:keepNext/>
      <w:keepLines/>
      <w:adjustRightInd/>
      <w:snapToGrid/>
      <w:spacing w:beforeLines="0" w:before="340" w:after="330" w:line="578" w:lineRule="auto"/>
      <w:jc w:val="left"/>
      <w:outlineLvl w:val="0"/>
    </w:pPr>
    <w:rPr>
      <w:rFonts w:ascii="MingLiU_HKSCS" w:eastAsia="MingLiU_HKSCS" w:hAnsi="MingLiU_HKSCS" w:cs="MingLiU_HKSCS"/>
      <w:b/>
      <w:bCs/>
      <w:color w:val="000000"/>
      <w:kern w:val="44"/>
      <w:sz w:val="44"/>
      <w:szCs w:val="44"/>
      <w:lang w:eastAsia="en-US" w:bidi="en-US"/>
    </w:rPr>
  </w:style>
  <w:style w:type="paragraph" w:styleId="2">
    <w:name w:val="heading 2"/>
    <w:basedOn w:val="a"/>
    <w:next w:val="a"/>
    <w:link w:val="2Char"/>
    <w:uiPriority w:val="9"/>
    <w:semiHidden/>
    <w:unhideWhenUsed/>
    <w:qFormat/>
    <w:rsid w:val="000B50B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0B50B9"/>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4404D"/>
    <w:pPr>
      <w:ind w:firstLineChars="200" w:firstLine="420"/>
    </w:pPr>
  </w:style>
  <w:style w:type="paragraph" w:styleId="a4">
    <w:name w:val="Balloon Text"/>
    <w:basedOn w:val="a"/>
    <w:link w:val="Char"/>
    <w:uiPriority w:val="99"/>
    <w:semiHidden/>
    <w:unhideWhenUsed/>
    <w:rsid w:val="009916B0"/>
    <w:rPr>
      <w:sz w:val="18"/>
      <w:szCs w:val="18"/>
    </w:rPr>
  </w:style>
  <w:style w:type="character" w:customStyle="1" w:styleId="Char">
    <w:name w:val="批注框文本 Char"/>
    <w:basedOn w:val="a0"/>
    <w:link w:val="a4"/>
    <w:uiPriority w:val="99"/>
    <w:semiHidden/>
    <w:rsid w:val="009916B0"/>
    <w:rPr>
      <w:sz w:val="18"/>
      <w:szCs w:val="18"/>
    </w:rPr>
  </w:style>
  <w:style w:type="paragraph" w:styleId="a5">
    <w:name w:val="header"/>
    <w:basedOn w:val="a"/>
    <w:link w:val="Char0"/>
    <w:uiPriority w:val="99"/>
    <w:unhideWhenUsed/>
    <w:rsid w:val="0036520A"/>
    <w:pPr>
      <w:pBdr>
        <w:bottom w:val="single" w:sz="6" w:space="1" w:color="auto"/>
      </w:pBdr>
      <w:tabs>
        <w:tab w:val="center" w:pos="4153"/>
        <w:tab w:val="right" w:pos="8306"/>
      </w:tabs>
      <w:spacing w:line="240" w:lineRule="auto"/>
      <w:jc w:val="center"/>
    </w:pPr>
    <w:rPr>
      <w:sz w:val="18"/>
      <w:szCs w:val="18"/>
    </w:rPr>
  </w:style>
  <w:style w:type="character" w:customStyle="1" w:styleId="Char0">
    <w:name w:val="页眉 Char"/>
    <w:basedOn w:val="a0"/>
    <w:link w:val="a5"/>
    <w:uiPriority w:val="99"/>
    <w:rsid w:val="0036520A"/>
    <w:rPr>
      <w:rFonts w:ascii="Arial" w:hAnsi="Arial"/>
      <w:sz w:val="18"/>
      <w:szCs w:val="18"/>
    </w:rPr>
  </w:style>
  <w:style w:type="paragraph" w:styleId="a6">
    <w:name w:val="footer"/>
    <w:basedOn w:val="a"/>
    <w:link w:val="Char1"/>
    <w:uiPriority w:val="99"/>
    <w:unhideWhenUsed/>
    <w:rsid w:val="0036520A"/>
    <w:pPr>
      <w:tabs>
        <w:tab w:val="center" w:pos="4153"/>
        <w:tab w:val="right" w:pos="8306"/>
      </w:tabs>
      <w:spacing w:line="240" w:lineRule="auto"/>
      <w:jc w:val="left"/>
    </w:pPr>
    <w:rPr>
      <w:sz w:val="18"/>
      <w:szCs w:val="18"/>
    </w:rPr>
  </w:style>
  <w:style w:type="character" w:customStyle="1" w:styleId="Char1">
    <w:name w:val="页脚 Char"/>
    <w:basedOn w:val="a0"/>
    <w:link w:val="a6"/>
    <w:uiPriority w:val="99"/>
    <w:rsid w:val="0036520A"/>
    <w:rPr>
      <w:rFonts w:ascii="Arial" w:hAnsi="Arial"/>
      <w:sz w:val="18"/>
      <w:szCs w:val="18"/>
    </w:rPr>
  </w:style>
  <w:style w:type="character" w:customStyle="1" w:styleId="1Char">
    <w:name w:val="标题 1 Char"/>
    <w:basedOn w:val="a0"/>
    <w:link w:val="1"/>
    <w:uiPriority w:val="9"/>
    <w:rsid w:val="00A1280D"/>
    <w:rPr>
      <w:rFonts w:ascii="MingLiU_HKSCS" w:eastAsia="MingLiU_HKSCS" w:hAnsi="MingLiU_HKSCS" w:cs="MingLiU_HKSCS"/>
      <w:b/>
      <w:bCs/>
      <w:color w:val="000000"/>
      <w:kern w:val="44"/>
      <w:sz w:val="44"/>
      <w:szCs w:val="44"/>
      <w:lang w:eastAsia="en-US" w:bidi="en-US"/>
    </w:rPr>
  </w:style>
  <w:style w:type="character" w:styleId="a7">
    <w:name w:val="Hyperlink"/>
    <w:basedOn w:val="a0"/>
    <w:uiPriority w:val="99"/>
    <w:rsid w:val="00A1280D"/>
    <w:rPr>
      <w:color w:val="0066CC"/>
      <w:u w:val="single"/>
    </w:rPr>
  </w:style>
  <w:style w:type="character" w:customStyle="1" w:styleId="a8">
    <w:name w:val="脚注_"/>
    <w:basedOn w:val="a0"/>
    <w:rsid w:val="00A1280D"/>
    <w:rPr>
      <w:rFonts w:ascii="Times New Roman" w:eastAsia="Times New Roman" w:hAnsi="Times New Roman" w:cs="Times New Roman"/>
      <w:b w:val="0"/>
      <w:bCs w:val="0"/>
      <w:i w:val="0"/>
      <w:iCs w:val="0"/>
      <w:smallCaps w:val="0"/>
      <w:strike w:val="0"/>
      <w:sz w:val="20"/>
      <w:szCs w:val="20"/>
      <w:u w:val="none"/>
    </w:rPr>
  </w:style>
  <w:style w:type="character" w:customStyle="1" w:styleId="MingLiU">
    <w:name w:val="脚注 + MingLiU"/>
    <w:aliases w:val="9.5 pt"/>
    <w:basedOn w:val="a8"/>
    <w:rsid w:val="00A1280D"/>
    <w:rPr>
      <w:rFonts w:ascii="MingLiU" w:eastAsia="MingLiU" w:hAnsi="MingLiU" w:cs="MingLiU"/>
      <w:b w:val="0"/>
      <w:bCs w:val="0"/>
      <w:i w:val="0"/>
      <w:iCs w:val="0"/>
      <w:smallCaps w:val="0"/>
      <w:strike w:val="0"/>
      <w:color w:val="000000"/>
      <w:spacing w:val="0"/>
      <w:w w:val="100"/>
      <w:position w:val="0"/>
      <w:sz w:val="19"/>
      <w:szCs w:val="19"/>
      <w:u w:val="none"/>
      <w:lang w:val="zh-TW" w:eastAsia="zh-TW" w:bidi="zh-TW"/>
    </w:rPr>
  </w:style>
  <w:style w:type="character" w:customStyle="1" w:styleId="a9">
    <w:name w:val="脚注"/>
    <w:basedOn w:val="a8"/>
    <w:rsid w:val="00A1280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aa">
    <w:name w:val="脚注 + 斜体"/>
    <w:basedOn w:val="a8"/>
    <w:rsid w:val="00A1280D"/>
    <w:rPr>
      <w:rFonts w:ascii="Times New Roman" w:eastAsia="Times New Roman" w:hAnsi="Times New Roman" w:cs="Times New Roman"/>
      <w:b w:val="0"/>
      <w:bCs w:val="0"/>
      <w:i/>
      <w:iCs/>
      <w:smallCaps w:val="0"/>
      <w:strike w:val="0"/>
      <w:color w:val="000000"/>
      <w:spacing w:val="0"/>
      <w:w w:val="100"/>
      <w:position w:val="0"/>
      <w:sz w:val="20"/>
      <w:szCs w:val="20"/>
      <w:u w:val="none"/>
      <w:lang w:val="en-US" w:eastAsia="en-US" w:bidi="en-US"/>
    </w:rPr>
  </w:style>
  <w:style w:type="character" w:customStyle="1" w:styleId="30">
    <w:name w:val="正文文本 (3)_"/>
    <w:basedOn w:val="a0"/>
    <w:link w:val="31"/>
    <w:rsid w:val="00A1280D"/>
    <w:rPr>
      <w:rFonts w:ascii="Times New Roman" w:eastAsia="Times New Roman" w:hAnsi="Times New Roman" w:cs="Times New Roman"/>
      <w:b/>
      <w:bCs/>
      <w:sz w:val="60"/>
      <w:szCs w:val="60"/>
      <w:shd w:val="clear" w:color="auto" w:fill="FFFFFF"/>
    </w:rPr>
  </w:style>
  <w:style w:type="character" w:customStyle="1" w:styleId="32">
    <w:name w:val="正文文本 (3) + 斜体"/>
    <w:basedOn w:val="30"/>
    <w:rsid w:val="00A1280D"/>
    <w:rPr>
      <w:rFonts w:ascii="Times New Roman" w:eastAsia="Times New Roman" w:hAnsi="Times New Roman" w:cs="Times New Roman"/>
      <w:b/>
      <w:bCs/>
      <w:i/>
      <w:iCs/>
      <w:color w:val="000000"/>
      <w:spacing w:val="0"/>
      <w:w w:val="100"/>
      <w:position w:val="0"/>
      <w:sz w:val="60"/>
      <w:szCs w:val="60"/>
      <w:shd w:val="clear" w:color="auto" w:fill="FFFFFF"/>
      <w:lang w:val="en-US" w:eastAsia="en-US" w:bidi="en-US"/>
    </w:rPr>
  </w:style>
  <w:style w:type="character" w:customStyle="1" w:styleId="4">
    <w:name w:val="正文文本 (4)_"/>
    <w:basedOn w:val="a0"/>
    <w:link w:val="40"/>
    <w:rsid w:val="00A1280D"/>
    <w:rPr>
      <w:rFonts w:ascii="Times New Roman" w:eastAsia="Times New Roman" w:hAnsi="Times New Roman" w:cs="Times New Roman"/>
      <w:b/>
      <w:bCs/>
      <w:sz w:val="28"/>
      <w:szCs w:val="28"/>
      <w:shd w:val="clear" w:color="auto" w:fill="FFFFFF"/>
    </w:rPr>
  </w:style>
  <w:style w:type="character" w:customStyle="1" w:styleId="20">
    <w:name w:val="正文文本 (2)_"/>
    <w:basedOn w:val="a0"/>
    <w:rsid w:val="00A1280D"/>
    <w:rPr>
      <w:rFonts w:ascii="Times New Roman" w:eastAsia="Times New Roman" w:hAnsi="Times New Roman" w:cs="Times New Roman"/>
      <w:b w:val="0"/>
      <w:bCs w:val="0"/>
      <w:i w:val="0"/>
      <w:iCs w:val="0"/>
      <w:smallCaps w:val="0"/>
      <w:strike w:val="0"/>
      <w:u w:val="none"/>
    </w:rPr>
  </w:style>
  <w:style w:type="character" w:customStyle="1" w:styleId="5">
    <w:name w:val="正文文本 (5)_"/>
    <w:basedOn w:val="a0"/>
    <w:link w:val="50"/>
    <w:rsid w:val="00A1280D"/>
    <w:rPr>
      <w:rFonts w:ascii="Times New Roman" w:eastAsia="Times New Roman" w:hAnsi="Times New Roman" w:cs="Times New Roman"/>
      <w:b/>
      <w:bCs/>
      <w:shd w:val="clear" w:color="auto" w:fill="FFFFFF"/>
    </w:rPr>
  </w:style>
  <w:style w:type="character" w:customStyle="1" w:styleId="51">
    <w:name w:val="正文文本 (5) + 斜体"/>
    <w:basedOn w:val="5"/>
    <w:rsid w:val="00A1280D"/>
    <w:rPr>
      <w:rFonts w:ascii="Times New Roman" w:eastAsia="Times New Roman" w:hAnsi="Times New Roman" w:cs="Times New Roman"/>
      <w:b/>
      <w:bCs/>
      <w:i/>
      <w:iCs/>
      <w:color w:val="000000"/>
      <w:spacing w:val="0"/>
      <w:w w:val="100"/>
      <w:position w:val="0"/>
      <w:sz w:val="24"/>
      <w:szCs w:val="24"/>
      <w:shd w:val="clear" w:color="auto" w:fill="FFFFFF"/>
      <w:lang w:val="en-US" w:eastAsia="en-US" w:bidi="en-US"/>
    </w:rPr>
  </w:style>
  <w:style w:type="character" w:customStyle="1" w:styleId="10">
    <w:name w:val="标题 #1_"/>
    <w:basedOn w:val="a0"/>
    <w:link w:val="11"/>
    <w:rsid w:val="00A1280D"/>
    <w:rPr>
      <w:rFonts w:ascii="Times New Roman" w:eastAsia="Times New Roman" w:hAnsi="Times New Roman" w:cs="Times New Roman"/>
      <w:b/>
      <w:bCs/>
      <w:sz w:val="48"/>
      <w:szCs w:val="48"/>
      <w:shd w:val="clear" w:color="auto" w:fill="FFFFFF"/>
    </w:rPr>
  </w:style>
  <w:style w:type="character" w:customStyle="1" w:styleId="ab">
    <w:name w:val="页眉或页脚_"/>
    <w:basedOn w:val="a0"/>
    <w:rsid w:val="00A1280D"/>
    <w:rPr>
      <w:rFonts w:ascii="Times New Roman" w:eastAsia="Times New Roman" w:hAnsi="Times New Roman" w:cs="Times New Roman"/>
      <w:b/>
      <w:bCs/>
      <w:i/>
      <w:iCs/>
      <w:smallCaps w:val="0"/>
      <w:strike w:val="0"/>
      <w:u w:val="none"/>
    </w:rPr>
  </w:style>
  <w:style w:type="character" w:customStyle="1" w:styleId="ac">
    <w:name w:val="页眉或页脚"/>
    <w:basedOn w:val="ab"/>
    <w:rsid w:val="00A1280D"/>
    <w:rPr>
      <w:rFonts w:ascii="Times New Roman" w:eastAsia="Times New Roman" w:hAnsi="Times New Roman" w:cs="Times New Roman"/>
      <w:b/>
      <w:bCs/>
      <w:i/>
      <w:iCs/>
      <w:smallCaps w:val="0"/>
      <w:strike w:val="0"/>
      <w:color w:val="000000"/>
      <w:spacing w:val="0"/>
      <w:w w:val="100"/>
      <w:position w:val="0"/>
      <w:sz w:val="24"/>
      <w:szCs w:val="24"/>
      <w:u w:val="none"/>
      <w:lang w:val="en-US" w:eastAsia="en-US" w:bidi="en-US"/>
    </w:rPr>
  </w:style>
  <w:style w:type="character" w:customStyle="1" w:styleId="11pt">
    <w:name w:val="页眉或页脚 + 11 pt"/>
    <w:aliases w:val="非粗体,非斜体"/>
    <w:basedOn w:val="ab"/>
    <w:rsid w:val="00A1280D"/>
    <w:rPr>
      <w:rFonts w:ascii="Times New Roman" w:eastAsia="Times New Roman" w:hAnsi="Times New Roman" w:cs="Times New Roman"/>
      <w:b/>
      <w:bCs/>
      <w:i/>
      <w:iCs/>
      <w:smallCaps w:val="0"/>
      <w:strike w:val="0"/>
      <w:color w:val="000000"/>
      <w:spacing w:val="0"/>
      <w:w w:val="100"/>
      <w:position w:val="0"/>
      <w:sz w:val="22"/>
      <w:szCs w:val="22"/>
      <w:u w:val="none"/>
      <w:lang w:val="en-US" w:eastAsia="en-US" w:bidi="en-US"/>
    </w:rPr>
  </w:style>
  <w:style w:type="character" w:customStyle="1" w:styleId="33">
    <w:name w:val="标题 #3_"/>
    <w:basedOn w:val="a0"/>
    <w:link w:val="34"/>
    <w:rsid w:val="00A1280D"/>
    <w:rPr>
      <w:rFonts w:ascii="Times New Roman" w:eastAsia="Times New Roman" w:hAnsi="Times New Roman" w:cs="Times New Roman"/>
      <w:b/>
      <w:bCs/>
      <w:sz w:val="36"/>
      <w:szCs w:val="36"/>
      <w:shd w:val="clear" w:color="auto" w:fill="FFFFFF"/>
    </w:rPr>
  </w:style>
  <w:style w:type="character" w:customStyle="1" w:styleId="21">
    <w:name w:val="正文文本 (2)"/>
    <w:basedOn w:val="20"/>
    <w:rsid w:val="00A1280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3Char0">
    <w:name w:val="目录 3 Char"/>
    <w:basedOn w:val="a0"/>
    <w:link w:val="35"/>
    <w:rsid w:val="00A1280D"/>
    <w:rPr>
      <w:rFonts w:ascii="Times New Roman" w:eastAsia="Times New Roman" w:hAnsi="Times New Roman" w:cs="Times New Roman"/>
      <w:b/>
      <w:bCs/>
      <w:shd w:val="clear" w:color="auto" w:fill="FFFFFF"/>
    </w:rPr>
  </w:style>
  <w:style w:type="character" w:customStyle="1" w:styleId="ad">
    <w:name w:val="目录"/>
    <w:basedOn w:val="3Char0"/>
    <w:rsid w:val="00A1280D"/>
    <w:rPr>
      <w:rFonts w:ascii="Times New Roman" w:eastAsia="Times New Roman" w:hAnsi="Times New Roman" w:cs="Times New Roman"/>
      <w:b/>
      <w:bCs/>
      <w:color w:val="000000"/>
      <w:spacing w:val="0"/>
      <w:w w:val="100"/>
      <w:position w:val="0"/>
      <w:sz w:val="24"/>
      <w:szCs w:val="24"/>
      <w:u w:val="single"/>
      <w:shd w:val="clear" w:color="auto" w:fill="FFFFFF"/>
      <w:lang w:val="en-US" w:eastAsia="en-US" w:bidi="en-US"/>
    </w:rPr>
  </w:style>
  <w:style w:type="character" w:customStyle="1" w:styleId="7Exact">
    <w:name w:val="正文文本 (7) Exact"/>
    <w:basedOn w:val="a0"/>
    <w:link w:val="7"/>
    <w:rsid w:val="00A1280D"/>
    <w:rPr>
      <w:rFonts w:ascii="Times New Roman" w:eastAsia="Times New Roman" w:hAnsi="Times New Roman" w:cs="Times New Roman"/>
      <w:b/>
      <w:bCs/>
      <w:i/>
      <w:iCs/>
      <w:shd w:val="clear" w:color="auto" w:fill="FFFFFF"/>
    </w:rPr>
  </w:style>
  <w:style w:type="character" w:customStyle="1" w:styleId="2Exact">
    <w:name w:val="正文文本 (2) Exact"/>
    <w:basedOn w:val="a0"/>
    <w:rsid w:val="00A1280D"/>
    <w:rPr>
      <w:rFonts w:ascii="Times New Roman" w:eastAsia="Times New Roman" w:hAnsi="Times New Roman" w:cs="Times New Roman"/>
      <w:b w:val="0"/>
      <w:bCs w:val="0"/>
      <w:i w:val="0"/>
      <w:iCs w:val="0"/>
      <w:smallCaps w:val="0"/>
      <w:strike w:val="0"/>
      <w:u w:val="none"/>
    </w:rPr>
  </w:style>
  <w:style w:type="character" w:customStyle="1" w:styleId="22">
    <w:name w:val="标题 #2_"/>
    <w:basedOn w:val="a0"/>
    <w:link w:val="23"/>
    <w:rsid w:val="00A1280D"/>
    <w:rPr>
      <w:rFonts w:ascii="Times New Roman" w:eastAsia="Times New Roman" w:hAnsi="Times New Roman" w:cs="Times New Roman"/>
      <w:sz w:val="48"/>
      <w:szCs w:val="48"/>
      <w:shd w:val="clear" w:color="auto" w:fill="FFFFFF"/>
    </w:rPr>
  </w:style>
  <w:style w:type="character" w:customStyle="1" w:styleId="6">
    <w:name w:val="正文文本 (6)_"/>
    <w:basedOn w:val="a0"/>
    <w:link w:val="60"/>
    <w:rsid w:val="00A1280D"/>
    <w:rPr>
      <w:rFonts w:ascii="Times New Roman" w:eastAsia="Times New Roman" w:hAnsi="Times New Roman" w:cs="Times New Roman"/>
      <w:b/>
      <w:bCs/>
      <w:sz w:val="48"/>
      <w:szCs w:val="48"/>
      <w:shd w:val="clear" w:color="auto" w:fill="FFFFFF"/>
    </w:rPr>
  </w:style>
  <w:style w:type="character" w:customStyle="1" w:styleId="61">
    <w:name w:val="正文文本 (6) + 斜体"/>
    <w:basedOn w:val="6"/>
    <w:rsid w:val="00A1280D"/>
    <w:rPr>
      <w:rFonts w:ascii="Times New Roman" w:eastAsia="Times New Roman" w:hAnsi="Times New Roman" w:cs="Times New Roman"/>
      <w:b/>
      <w:bCs/>
      <w:i/>
      <w:iCs/>
      <w:color w:val="000000"/>
      <w:spacing w:val="0"/>
      <w:w w:val="100"/>
      <w:position w:val="0"/>
      <w:sz w:val="48"/>
      <w:szCs w:val="48"/>
      <w:shd w:val="clear" w:color="auto" w:fill="FFFFFF"/>
      <w:lang w:val="en-US" w:eastAsia="en-US" w:bidi="en-US"/>
    </w:rPr>
  </w:style>
  <w:style w:type="character" w:customStyle="1" w:styleId="24">
    <w:name w:val="正文文本 (2) + 斜体"/>
    <w:basedOn w:val="20"/>
    <w:rsid w:val="00A1280D"/>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8">
    <w:name w:val="正文文本 (8)_"/>
    <w:basedOn w:val="a0"/>
    <w:link w:val="80"/>
    <w:rsid w:val="00A1280D"/>
    <w:rPr>
      <w:rFonts w:ascii="Times New Roman" w:eastAsia="Times New Roman" w:hAnsi="Times New Roman" w:cs="Times New Roman"/>
      <w:b/>
      <w:bCs/>
      <w:sz w:val="36"/>
      <w:szCs w:val="36"/>
      <w:shd w:val="clear" w:color="auto" w:fill="FFFFFF"/>
    </w:rPr>
  </w:style>
  <w:style w:type="character" w:customStyle="1" w:styleId="2MingLiU">
    <w:name w:val="正文文本 (2) + MingLiU"/>
    <w:aliases w:val="11 pt"/>
    <w:basedOn w:val="20"/>
    <w:rsid w:val="00A1280D"/>
    <w:rPr>
      <w:rFonts w:ascii="MingLiU" w:eastAsia="MingLiU" w:hAnsi="MingLiU" w:cs="MingLiU"/>
      <w:b w:val="0"/>
      <w:bCs w:val="0"/>
      <w:i w:val="0"/>
      <w:iCs w:val="0"/>
      <w:smallCaps w:val="0"/>
      <w:strike w:val="0"/>
      <w:color w:val="000000"/>
      <w:spacing w:val="0"/>
      <w:w w:val="100"/>
      <w:position w:val="0"/>
      <w:sz w:val="22"/>
      <w:szCs w:val="22"/>
      <w:u w:val="none"/>
      <w:lang w:val="en-US" w:eastAsia="en-US" w:bidi="en-US"/>
    </w:rPr>
  </w:style>
  <w:style w:type="paragraph" w:customStyle="1" w:styleId="31">
    <w:name w:val="正文文本 (3)"/>
    <w:basedOn w:val="a"/>
    <w:link w:val="30"/>
    <w:rsid w:val="00A1280D"/>
    <w:pPr>
      <w:shd w:val="clear" w:color="auto" w:fill="FFFFFF"/>
      <w:adjustRightInd/>
      <w:snapToGrid/>
      <w:spacing w:beforeLines="0" w:before="0" w:after="540" w:line="686" w:lineRule="exact"/>
      <w:jc w:val="center"/>
    </w:pPr>
    <w:rPr>
      <w:rFonts w:ascii="Times New Roman" w:eastAsia="Times New Roman" w:hAnsi="Times New Roman" w:cs="Times New Roman"/>
      <w:b/>
      <w:bCs/>
      <w:sz w:val="60"/>
      <w:szCs w:val="60"/>
    </w:rPr>
  </w:style>
  <w:style w:type="paragraph" w:customStyle="1" w:styleId="40">
    <w:name w:val="正文文本 (4)"/>
    <w:basedOn w:val="a"/>
    <w:link w:val="4"/>
    <w:rsid w:val="00A1280D"/>
    <w:pPr>
      <w:shd w:val="clear" w:color="auto" w:fill="FFFFFF"/>
      <w:adjustRightInd/>
      <w:snapToGrid/>
      <w:spacing w:beforeLines="0" w:before="240" w:line="278" w:lineRule="exact"/>
      <w:jc w:val="center"/>
    </w:pPr>
    <w:rPr>
      <w:rFonts w:ascii="Times New Roman" w:eastAsia="Times New Roman" w:hAnsi="Times New Roman" w:cs="Times New Roman"/>
      <w:b/>
      <w:bCs/>
      <w:sz w:val="28"/>
      <w:szCs w:val="28"/>
    </w:rPr>
  </w:style>
  <w:style w:type="paragraph" w:customStyle="1" w:styleId="50">
    <w:name w:val="正文文本 (5)"/>
    <w:basedOn w:val="a"/>
    <w:link w:val="5"/>
    <w:rsid w:val="00A1280D"/>
    <w:pPr>
      <w:shd w:val="clear" w:color="auto" w:fill="FFFFFF"/>
      <w:adjustRightInd/>
      <w:snapToGrid/>
      <w:spacing w:beforeLines="0" w:before="780" w:after="240" w:line="274" w:lineRule="exact"/>
      <w:jc w:val="right"/>
    </w:pPr>
    <w:rPr>
      <w:rFonts w:ascii="Times New Roman" w:eastAsia="Times New Roman" w:hAnsi="Times New Roman" w:cs="Times New Roman"/>
      <w:b/>
      <w:bCs/>
      <w:sz w:val="21"/>
    </w:rPr>
  </w:style>
  <w:style w:type="paragraph" w:customStyle="1" w:styleId="11">
    <w:name w:val="标题 #1"/>
    <w:basedOn w:val="a"/>
    <w:link w:val="10"/>
    <w:rsid w:val="00A1280D"/>
    <w:pPr>
      <w:shd w:val="clear" w:color="auto" w:fill="FFFFFF"/>
      <w:adjustRightInd/>
      <w:snapToGrid/>
      <w:spacing w:beforeLines="0" w:before="0" w:after="480" w:line="0" w:lineRule="atLeast"/>
      <w:jc w:val="center"/>
      <w:outlineLvl w:val="0"/>
    </w:pPr>
    <w:rPr>
      <w:rFonts w:ascii="Times New Roman" w:eastAsia="Times New Roman" w:hAnsi="Times New Roman" w:cs="Times New Roman"/>
      <w:b/>
      <w:bCs/>
      <w:sz w:val="48"/>
      <w:szCs w:val="48"/>
    </w:rPr>
  </w:style>
  <w:style w:type="paragraph" w:customStyle="1" w:styleId="34">
    <w:name w:val="标题 #3"/>
    <w:basedOn w:val="a"/>
    <w:link w:val="33"/>
    <w:rsid w:val="00A1280D"/>
    <w:pPr>
      <w:shd w:val="clear" w:color="auto" w:fill="FFFFFF"/>
      <w:adjustRightInd/>
      <w:snapToGrid/>
      <w:spacing w:beforeLines="0" w:before="480" w:after="480" w:line="0" w:lineRule="atLeast"/>
      <w:jc w:val="left"/>
      <w:outlineLvl w:val="2"/>
    </w:pPr>
    <w:rPr>
      <w:rFonts w:ascii="Times New Roman" w:eastAsia="Times New Roman" w:hAnsi="Times New Roman" w:cs="Times New Roman"/>
      <w:b/>
      <w:bCs/>
      <w:sz w:val="36"/>
      <w:szCs w:val="36"/>
    </w:rPr>
  </w:style>
  <w:style w:type="paragraph" w:styleId="35">
    <w:name w:val="toc 3"/>
    <w:basedOn w:val="a"/>
    <w:link w:val="3Char0"/>
    <w:autoRedefine/>
    <w:rsid w:val="00A1280D"/>
    <w:pPr>
      <w:shd w:val="clear" w:color="auto" w:fill="FFFFFF"/>
      <w:adjustRightInd/>
      <w:snapToGrid/>
      <w:spacing w:beforeLines="0" w:before="780" w:line="394" w:lineRule="exact"/>
    </w:pPr>
    <w:rPr>
      <w:rFonts w:ascii="Times New Roman" w:eastAsia="Times New Roman" w:hAnsi="Times New Roman" w:cs="Times New Roman"/>
      <w:b/>
      <w:bCs/>
      <w:sz w:val="21"/>
    </w:rPr>
  </w:style>
  <w:style w:type="paragraph" w:customStyle="1" w:styleId="7">
    <w:name w:val="正文文本 (7)"/>
    <w:basedOn w:val="a"/>
    <w:link w:val="7Exact"/>
    <w:rsid w:val="00A1280D"/>
    <w:pPr>
      <w:shd w:val="clear" w:color="auto" w:fill="FFFFFF"/>
      <w:adjustRightInd/>
      <w:snapToGrid/>
      <w:spacing w:beforeLines="0" w:before="0" w:line="274" w:lineRule="exact"/>
      <w:jc w:val="left"/>
    </w:pPr>
    <w:rPr>
      <w:rFonts w:ascii="Times New Roman" w:eastAsia="Times New Roman" w:hAnsi="Times New Roman" w:cs="Times New Roman"/>
      <w:b/>
      <w:bCs/>
      <w:i/>
      <w:iCs/>
      <w:sz w:val="21"/>
    </w:rPr>
  </w:style>
  <w:style w:type="paragraph" w:customStyle="1" w:styleId="23">
    <w:name w:val="标题 #2"/>
    <w:basedOn w:val="a"/>
    <w:link w:val="22"/>
    <w:rsid w:val="00A1280D"/>
    <w:pPr>
      <w:shd w:val="clear" w:color="auto" w:fill="FFFFFF"/>
      <w:adjustRightInd/>
      <w:snapToGrid/>
      <w:spacing w:beforeLines="0" w:before="0" w:after="360" w:line="552" w:lineRule="exact"/>
      <w:jc w:val="center"/>
      <w:outlineLvl w:val="1"/>
    </w:pPr>
    <w:rPr>
      <w:rFonts w:ascii="Times New Roman" w:eastAsia="Times New Roman" w:hAnsi="Times New Roman" w:cs="Times New Roman"/>
      <w:sz w:val="48"/>
      <w:szCs w:val="48"/>
    </w:rPr>
  </w:style>
  <w:style w:type="paragraph" w:customStyle="1" w:styleId="60">
    <w:name w:val="正文文本 (6)"/>
    <w:basedOn w:val="a"/>
    <w:link w:val="6"/>
    <w:rsid w:val="00A1280D"/>
    <w:pPr>
      <w:shd w:val="clear" w:color="auto" w:fill="FFFFFF"/>
      <w:adjustRightInd/>
      <w:snapToGrid/>
      <w:spacing w:beforeLines="0" w:before="360" w:after="780" w:line="547" w:lineRule="exact"/>
      <w:jc w:val="center"/>
    </w:pPr>
    <w:rPr>
      <w:rFonts w:ascii="Times New Roman" w:eastAsia="Times New Roman" w:hAnsi="Times New Roman" w:cs="Times New Roman"/>
      <w:b/>
      <w:bCs/>
      <w:sz w:val="48"/>
      <w:szCs w:val="48"/>
    </w:rPr>
  </w:style>
  <w:style w:type="paragraph" w:customStyle="1" w:styleId="80">
    <w:name w:val="正文文本 (8)"/>
    <w:basedOn w:val="a"/>
    <w:link w:val="8"/>
    <w:rsid w:val="00A1280D"/>
    <w:pPr>
      <w:shd w:val="clear" w:color="auto" w:fill="FFFFFF"/>
      <w:adjustRightInd/>
      <w:snapToGrid/>
      <w:spacing w:beforeLines="0" w:before="360" w:after="120" w:line="413" w:lineRule="exact"/>
      <w:ind w:hanging="760"/>
      <w:jc w:val="left"/>
    </w:pPr>
    <w:rPr>
      <w:rFonts w:ascii="Times New Roman" w:eastAsia="Times New Roman" w:hAnsi="Times New Roman" w:cs="Times New Roman"/>
      <w:b/>
      <w:bCs/>
      <w:sz w:val="36"/>
      <w:szCs w:val="36"/>
    </w:rPr>
  </w:style>
  <w:style w:type="character" w:styleId="ae">
    <w:name w:val="Emphasis"/>
    <w:basedOn w:val="a0"/>
    <w:uiPriority w:val="20"/>
    <w:qFormat/>
    <w:rsid w:val="00A1280D"/>
    <w:rPr>
      <w:i w:val="0"/>
      <w:iCs w:val="0"/>
      <w:color w:val="CC0000"/>
    </w:rPr>
  </w:style>
  <w:style w:type="character" w:customStyle="1" w:styleId="opdicttext22">
    <w:name w:val="op_dict_text22"/>
    <w:basedOn w:val="a0"/>
    <w:rsid w:val="00A1280D"/>
  </w:style>
  <w:style w:type="paragraph" w:styleId="12">
    <w:name w:val="toc 1"/>
    <w:basedOn w:val="a"/>
    <w:next w:val="a"/>
    <w:autoRedefine/>
    <w:uiPriority w:val="39"/>
    <w:unhideWhenUsed/>
    <w:rsid w:val="000B50B9"/>
    <w:pPr>
      <w:tabs>
        <w:tab w:val="left" w:pos="480"/>
        <w:tab w:val="right" w:leader="dot" w:pos="9120"/>
      </w:tabs>
      <w:spacing w:beforeLines="25" w:before="25" w:line="288" w:lineRule="auto"/>
      <w:ind w:rightChars="200" w:right="200" w:hangingChars="200" w:hanging="200"/>
    </w:pPr>
    <w:rPr>
      <w:rFonts w:eastAsia="宋体" w:cs="MingLiU_HKSCS"/>
      <w:color w:val="000000"/>
      <w:kern w:val="0"/>
      <w:szCs w:val="24"/>
      <w:lang w:eastAsia="en-US" w:bidi="en-US"/>
    </w:rPr>
  </w:style>
  <w:style w:type="paragraph" w:styleId="25">
    <w:name w:val="toc 2"/>
    <w:basedOn w:val="a"/>
    <w:next w:val="a"/>
    <w:autoRedefine/>
    <w:uiPriority w:val="39"/>
    <w:unhideWhenUsed/>
    <w:rsid w:val="00A1280D"/>
    <w:pPr>
      <w:adjustRightInd/>
      <w:snapToGrid/>
      <w:spacing w:beforeLines="0" w:before="0" w:line="240" w:lineRule="auto"/>
      <w:ind w:leftChars="200" w:left="420"/>
      <w:jc w:val="left"/>
    </w:pPr>
    <w:rPr>
      <w:rFonts w:ascii="MingLiU_HKSCS" w:eastAsia="MingLiU_HKSCS" w:hAnsi="MingLiU_HKSCS" w:cs="MingLiU_HKSCS"/>
      <w:color w:val="000000"/>
      <w:kern w:val="0"/>
      <w:szCs w:val="24"/>
      <w:lang w:eastAsia="en-US" w:bidi="en-US"/>
    </w:rPr>
  </w:style>
  <w:style w:type="paragraph" w:styleId="af">
    <w:name w:val="endnote text"/>
    <w:basedOn w:val="a"/>
    <w:link w:val="Char2"/>
    <w:uiPriority w:val="99"/>
    <w:semiHidden/>
    <w:unhideWhenUsed/>
    <w:rsid w:val="00A1280D"/>
    <w:pPr>
      <w:adjustRightInd/>
      <w:spacing w:beforeLines="0" w:before="0" w:line="240" w:lineRule="auto"/>
      <w:jc w:val="left"/>
    </w:pPr>
    <w:rPr>
      <w:rFonts w:ascii="MingLiU_HKSCS" w:eastAsia="MingLiU_HKSCS" w:hAnsi="MingLiU_HKSCS" w:cs="MingLiU_HKSCS"/>
      <w:color w:val="000000"/>
      <w:kern w:val="0"/>
      <w:szCs w:val="24"/>
      <w:lang w:eastAsia="en-US" w:bidi="en-US"/>
    </w:rPr>
  </w:style>
  <w:style w:type="character" w:customStyle="1" w:styleId="Char2">
    <w:name w:val="尾注文本 Char"/>
    <w:basedOn w:val="a0"/>
    <w:link w:val="af"/>
    <w:uiPriority w:val="99"/>
    <w:semiHidden/>
    <w:rsid w:val="00A1280D"/>
    <w:rPr>
      <w:rFonts w:ascii="MingLiU_HKSCS" w:eastAsia="MingLiU_HKSCS" w:hAnsi="MingLiU_HKSCS" w:cs="MingLiU_HKSCS"/>
      <w:color w:val="000000"/>
      <w:kern w:val="0"/>
      <w:sz w:val="24"/>
      <w:szCs w:val="24"/>
      <w:lang w:eastAsia="en-US" w:bidi="en-US"/>
    </w:rPr>
  </w:style>
  <w:style w:type="character" w:styleId="af0">
    <w:name w:val="endnote reference"/>
    <w:basedOn w:val="a0"/>
    <w:uiPriority w:val="99"/>
    <w:semiHidden/>
    <w:unhideWhenUsed/>
    <w:rsid w:val="00A1280D"/>
    <w:rPr>
      <w:vertAlign w:val="superscript"/>
    </w:rPr>
  </w:style>
  <w:style w:type="paragraph" w:styleId="af1">
    <w:name w:val="footnote text"/>
    <w:basedOn w:val="a"/>
    <w:link w:val="Char3"/>
    <w:uiPriority w:val="99"/>
    <w:semiHidden/>
    <w:unhideWhenUsed/>
    <w:rsid w:val="00A1280D"/>
    <w:pPr>
      <w:adjustRightInd/>
      <w:spacing w:beforeLines="0" w:before="0" w:line="240" w:lineRule="auto"/>
      <w:jc w:val="left"/>
    </w:pPr>
    <w:rPr>
      <w:rFonts w:ascii="MingLiU_HKSCS" w:eastAsia="MingLiU_HKSCS" w:hAnsi="MingLiU_HKSCS" w:cs="MingLiU_HKSCS"/>
      <w:color w:val="000000"/>
      <w:kern w:val="0"/>
      <w:sz w:val="18"/>
      <w:szCs w:val="18"/>
      <w:lang w:eastAsia="en-US" w:bidi="en-US"/>
    </w:rPr>
  </w:style>
  <w:style w:type="character" w:customStyle="1" w:styleId="Char3">
    <w:name w:val="脚注文本 Char"/>
    <w:basedOn w:val="a0"/>
    <w:link w:val="af1"/>
    <w:uiPriority w:val="99"/>
    <w:semiHidden/>
    <w:rsid w:val="00A1280D"/>
    <w:rPr>
      <w:rFonts w:ascii="MingLiU_HKSCS" w:eastAsia="MingLiU_HKSCS" w:hAnsi="MingLiU_HKSCS" w:cs="MingLiU_HKSCS"/>
      <w:color w:val="000000"/>
      <w:kern w:val="0"/>
      <w:sz w:val="18"/>
      <w:szCs w:val="18"/>
      <w:lang w:eastAsia="en-US" w:bidi="en-US"/>
    </w:rPr>
  </w:style>
  <w:style w:type="character" w:styleId="af2">
    <w:name w:val="footnote reference"/>
    <w:basedOn w:val="a0"/>
    <w:uiPriority w:val="99"/>
    <w:semiHidden/>
    <w:unhideWhenUsed/>
    <w:rsid w:val="00A1280D"/>
    <w:rPr>
      <w:vertAlign w:val="superscript"/>
    </w:rPr>
  </w:style>
  <w:style w:type="paragraph" w:styleId="TOC">
    <w:name w:val="TOC Heading"/>
    <w:basedOn w:val="1"/>
    <w:next w:val="a"/>
    <w:uiPriority w:val="39"/>
    <w:unhideWhenUsed/>
    <w:qFormat/>
    <w:rsid w:val="00A1280D"/>
    <w:pPr>
      <w:widowControl/>
      <w:spacing w:before="240" w:after="0" w:line="259" w:lineRule="auto"/>
      <w:outlineLvl w:val="9"/>
    </w:pPr>
    <w:rPr>
      <w:rFonts w:asciiTheme="majorHAnsi" w:eastAsiaTheme="majorEastAsia" w:hAnsiTheme="majorHAnsi" w:cstheme="majorBidi"/>
      <w:b w:val="0"/>
      <w:bCs w:val="0"/>
      <w:color w:val="365F91" w:themeColor="accent1" w:themeShade="BF"/>
      <w:kern w:val="0"/>
      <w:sz w:val="32"/>
      <w:szCs w:val="32"/>
      <w:lang w:eastAsia="zh-CN" w:bidi="ar-SA"/>
    </w:rPr>
  </w:style>
  <w:style w:type="table" w:styleId="af3">
    <w:name w:val="Table Grid"/>
    <w:basedOn w:val="a1"/>
    <w:uiPriority w:val="59"/>
    <w:rsid w:val="00377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标题 3 Char"/>
    <w:basedOn w:val="a0"/>
    <w:link w:val="3"/>
    <w:uiPriority w:val="9"/>
    <w:semiHidden/>
    <w:rsid w:val="000B50B9"/>
    <w:rPr>
      <w:rFonts w:ascii="Arial" w:hAnsi="Arial"/>
      <w:b/>
      <w:bCs/>
      <w:sz w:val="32"/>
      <w:szCs w:val="32"/>
    </w:rPr>
  </w:style>
  <w:style w:type="character" w:customStyle="1" w:styleId="2Char">
    <w:name w:val="标题 2 Char"/>
    <w:basedOn w:val="a0"/>
    <w:link w:val="2"/>
    <w:uiPriority w:val="9"/>
    <w:semiHidden/>
    <w:rsid w:val="000B50B9"/>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2668193">
      <w:bodyDiv w:val="1"/>
      <w:marLeft w:val="0"/>
      <w:marRight w:val="0"/>
      <w:marTop w:val="0"/>
      <w:marBottom w:val="0"/>
      <w:divBdr>
        <w:top w:val="none" w:sz="0" w:space="0" w:color="auto"/>
        <w:left w:val="none" w:sz="0" w:space="0" w:color="auto"/>
        <w:bottom w:val="none" w:sz="0" w:space="0" w:color="auto"/>
        <w:right w:val="none" w:sz="0" w:space="0" w:color="auto"/>
      </w:divBdr>
      <w:divsChild>
        <w:div w:id="956761813">
          <w:marLeft w:val="0"/>
          <w:marRight w:val="0"/>
          <w:marTop w:val="0"/>
          <w:marBottom w:val="0"/>
          <w:divBdr>
            <w:top w:val="none" w:sz="0" w:space="0" w:color="auto"/>
            <w:left w:val="none" w:sz="0" w:space="0" w:color="auto"/>
            <w:bottom w:val="none" w:sz="0" w:space="0" w:color="auto"/>
            <w:right w:val="none" w:sz="0" w:space="0" w:color="auto"/>
          </w:divBdr>
          <w:divsChild>
            <w:div w:id="1376277011">
              <w:marLeft w:val="0"/>
              <w:marRight w:val="0"/>
              <w:marTop w:val="0"/>
              <w:marBottom w:val="0"/>
              <w:divBdr>
                <w:top w:val="none" w:sz="0" w:space="0" w:color="auto"/>
                <w:left w:val="none" w:sz="0" w:space="0" w:color="auto"/>
                <w:bottom w:val="none" w:sz="0" w:space="0" w:color="auto"/>
                <w:right w:val="none" w:sz="0" w:space="0" w:color="auto"/>
              </w:divBdr>
              <w:divsChild>
                <w:div w:id="1406220601">
                  <w:marLeft w:val="0"/>
                  <w:marRight w:val="0"/>
                  <w:marTop w:val="0"/>
                  <w:marBottom w:val="15"/>
                  <w:divBdr>
                    <w:top w:val="none" w:sz="0" w:space="0" w:color="auto"/>
                    <w:left w:val="none" w:sz="0" w:space="0" w:color="auto"/>
                    <w:bottom w:val="none" w:sz="0" w:space="0" w:color="auto"/>
                    <w:right w:val="none" w:sz="0" w:space="0" w:color="auto"/>
                  </w:divBdr>
                  <w:divsChild>
                    <w:div w:id="56972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CE513-1937-45B9-9A51-13D173EE5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936</Words>
  <Characters>5341</Characters>
  <Application>Microsoft Office Word</Application>
  <DocSecurity>0</DocSecurity>
  <Lines>44</Lines>
  <Paragraphs>12</Paragraphs>
  <ScaleCrop>false</ScaleCrop>
  <Company>Microsoft</Company>
  <LinksUpToDate>false</LinksUpToDate>
  <CharactersWithSpaces>6265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daphne&amp;will</dc:creator>
  <cp:lastModifiedBy>lxd</cp:lastModifiedBy>
  <cp:revision>2</cp:revision>
  <dcterms:created xsi:type="dcterms:W3CDTF">2017-04-10T09:59:00Z</dcterms:created>
  <dcterms:modified xsi:type="dcterms:W3CDTF">2017-04-10T09:59:00Z</dcterms:modified>
</cp:coreProperties>
</file>