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53" w:rsidRPr="007665A3" w:rsidRDefault="00494653" w:rsidP="0081297A">
      <w:pPr>
        <w:snapToGrid w:val="0"/>
        <w:spacing w:afterLines="50" w:after="120" w:line="300" w:lineRule="auto"/>
        <w:jc w:val="both"/>
        <w:rPr>
          <w:rFonts w:eastAsiaTheme="minorEastAsia" w:hint="eastAsia"/>
          <w:sz w:val="19"/>
          <w:szCs w:val="19"/>
          <w:lang w:eastAsia="zh-CN"/>
        </w:rPr>
      </w:pPr>
    </w:p>
    <w:p w:rsidR="00494653" w:rsidRDefault="00494653" w:rsidP="0081297A">
      <w:pPr>
        <w:snapToGrid w:val="0"/>
        <w:spacing w:afterLines="50" w:after="120" w:line="300" w:lineRule="auto"/>
        <w:jc w:val="both"/>
        <w:rPr>
          <w:sz w:val="19"/>
          <w:szCs w:val="19"/>
        </w:rPr>
      </w:pPr>
    </w:p>
    <w:p w:rsidR="00494653" w:rsidRDefault="00494653" w:rsidP="0081297A">
      <w:pPr>
        <w:snapToGrid w:val="0"/>
        <w:spacing w:afterLines="50" w:after="120" w:line="300" w:lineRule="auto"/>
        <w:jc w:val="both"/>
        <w:rPr>
          <w:sz w:val="19"/>
          <w:szCs w:val="19"/>
        </w:rPr>
      </w:pPr>
    </w:p>
    <w:p w:rsidR="00494653" w:rsidRDefault="00494653" w:rsidP="0081297A">
      <w:pPr>
        <w:snapToGrid w:val="0"/>
        <w:spacing w:afterLines="50" w:after="120" w:line="300" w:lineRule="auto"/>
        <w:jc w:val="both"/>
        <w:rPr>
          <w:sz w:val="19"/>
          <w:szCs w:val="19"/>
        </w:rPr>
      </w:pPr>
    </w:p>
    <w:p w:rsidR="00494653" w:rsidRPr="007E6380" w:rsidRDefault="007A03E1" w:rsidP="007E6380">
      <w:pPr>
        <w:pStyle w:val="30"/>
        <w:shd w:val="clear" w:color="auto" w:fill="auto"/>
        <w:snapToGrid w:val="0"/>
        <w:spacing w:afterLines="50" w:after="120" w:line="300" w:lineRule="auto"/>
        <w:rPr>
          <w:sz w:val="64"/>
          <w:szCs w:val="64"/>
          <w:lang w:eastAsia="zh-CN"/>
        </w:rPr>
      </w:pPr>
      <w:r w:rsidRPr="007E6380">
        <w:rPr>
          <w:sz w:val="64"/>
          <w:szCs w:val="64"/>
          <w:lang w:eastAsia="zh-CN"/>
        </w:rPr>
        <w:t>CPG章节 390.400根据21 CFR 1000.15（a）符合报告要求的电子产品示例</w:t>
      </w:r>
    </w:p>
    <w:p w:rsidR="00494653" w:rsidRPr="003F5FC1" w:rsidRDefault="007A03E1" w:rsidP="003F5FC1">
      <w:pPr>
        <w:pStyle w:val="20"/>
        <w:shd w:val="clear" w:color="auto" w:fill="auto"/>
        <w:snapToGrid w:val="0"/>
        <w:spacing w:before="0" w:afterLines="100" w:after="240" w:line="300" w:lineRule="auto"/>
        <w:jc w:val="both"/>
        <w:rPr>
          <w:sz w:val="28"/>
          <w:szCs w:val="28"/>
          <w:lang w:eastAsia="zh-CN"/>
        </w:rPr>
      </w:pPr>
      <w:r w:rsidRPr="003F5FC1">
        <w:rPr>
          <w:sz w:val="28"/>
          <w:szCs w:val="28"/>
          <w:lang w:eastAsia="zh-CN"/>
        </w:rPr>
        <w:t>背景：</w:t>
      </w:r>
    </w:p>
    <w:p w:rsidR="00494653" w:rsidRPr="003F5FC1" w:rsidRDefault="007A03E1" w:rsidP="003F5FC1">
      <w:pPr>
        <w:pStyle w:val="20"/>
        <w:shd w:val="clear" w:color="auto" w:fill="auto"/>
        <w:snapToGrid w:val="0"/>
        <w:spacing w:before="0" w:afterLines="100" w:after="240" w:line="300" w:lineRule="auto"/>
        <w:jc w:val="both"/>
        <w:rPr>
          <w:sz w:val="28"/>
          <w:szCs w:val="28"/>
          <w:lang w:eastAsia="zh-CN"/>
        </w:rPr>
      </w:pPr>
      <w:r w:rsidRPr="003F5FC1">
        <w:rPr>
          <w:sz w:val="28"/>
          <w:szCs w:val="28"/>
          <w:lang w:eastAsia="zh-CN"/>
        </w:rPr>
        <w:t>一家公司生产一种安装在X射线衍射发生器上的快门系统</w:t>
      </w:r>
      <w:r w:rsidR="00C366EC" w:rsidRPr="003F5FC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3F5FC1">
        <w:rPr>
          <w:sz w:val="28"/>
          <w:szCs w:val="28"/>
          <w:lang w:eastAsia="zh-CN"/>
        </w:rPr>
        <w:t>然而，该公司不生产根据B子部分第1000.15段规定的设备</w:t>
      </w:r>
      <w:r w:rsidR="00C366EC" w:rsidRPr="003F5FC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3F5FC1">
        <w:rPr>
          <w:sz w:val="28"/>
          <w:szCs w:val="28"/>
          <w:lang w:eastAsia="zh-CN"/>
        </w:rPr>
        <w:t>该快门系统不会产生辐射；该设备的报告要求是否可</w:t>
      </w:r>
      <w:r w:rsidR="009F2670">
        <w:rPr>
          <w:rFonts w:eastAsiaTheme="minorEastAsia" w:hint="eastAsia"/>
          <w:sz w:val="28"/>
          <w:szCs w:val="28"/>
          <w:lang w:eastAsia="zh-CN"/>
        </w:rPr>
        <w:t>豁免</w:t>
      </w:r>
      <w:r w:rsidRPr="003F5FC1">
        <w:rPr>
          <w:sz w:val="28"/>
          <w:szCs w:val="28"/>
          <w:lang w:eastAsia="zh-CN"/>
        </w:rPr>
        <w:t>？</w:t>
      </w:r>
    </w:p>
    <w:p w:rsidR="00494653" w:rsidRPr="003F5FC1" w:rsidRDefault="007A03E1" w:rsidP="003F5FC1">
      <w:pPr>
        <w:pStyle w:val="20"/>
        <w:shd w:val="clear" w:color="auto" w:fill="auto"/>
        <w:snapToGrid w:val="0"/>
        <w:spacing w:before="0" w:afterLines="100" w:after="240" w:line="300" w:lineRule="auto"/>
        <w:jc w:val="both"/>
        <w:rPr>
          <w:sz w:val="28"/>
          <w:szCs w:val="28"/>
          <w:lang w:eastAsia="zh-CN"/>
        </w:rPr>
      </w:pPr>
      <w:r w:rsidRPr="003F5FC1">
        <w:rPr>
          <w:sz w:val="28"/>
          <w:szCs w:val="28"/>
          <w:lang w:eastAsia="zh-CN"/>
        </w:rPr>
        <w:t>政策：</w:t>
      </w:r>
    </w:p>
    <w:p w:rsidR="00494653" w:rsidRPr="003F5FC1" w:rsidRDefault="007A03E1" w:rsidP="003F5FC1">
      <w:pPr>
        <w:pStyle w:val="20"/>
        <w:shd w:val="clear" w:color="auto" w:fill="auto"/>
        <w:snapToGrid w:val="0"/>
        <w:spacing w:before="0" w:afterLines="100" w:after="240" w:line="300" w:lineRule="auto"/>
        <w:jc w:val="both"/>
        <w:rPr>
          <w:sz w:val="28"/>
          <w:szCs w:val="28"/>
          <w:lang w:eastAsia="zh-CN"/>
        </w:rPr>
      </w:pPr>
      <w:r w:rsidRPr="003F5FC1">
        <w:rPr>
          <w:sz w:val="28"/>
          <w:szCs w:val="28"/>
          <w:lang w:eastAsia="zh-CN"/>
        </w:rPr>
        <w:t>的确，该产品不会产生x射线，但是其会影响正在使用的x辐射的数量和/或质量和/或方向，并受到《联邦食品、药品和化妆品法》第C章 - 电子产品辐射控制的监管</w:t>
      </w:r>
      <w:r w:rsidR="00C366EC" w:rsidRPr="003F5FC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3F5FC1">
        <w:rPr>
          <w:sz w:val="28"/>
          <w:szCs w:val="28"/>
          <w:lang w:eastAsia="zh-CN"/>
        </w:rPr>
        <w:t>然而，此时根据*21 CFR 1002.1*，快门系统不</w:t>
      </w:r>
      <w:r w:rsidRPr="005008D4">
        <w:rPr>
          <w:rFonts w:ascii="宋体" w:eastAsia="宋体" w:hAnsi="宋体"/>
          <w:sz w:val="28"/>
          <w:szCs w:val="28"/>
          <w:lang w:eastAsia="zh-CN"/>
        </w:rPr>
        <w:t>是“上市的电子产品”，</w:t>
      </w:r>
      <w:r w:rsidRPr="003F5FC1">
        <w:rPr>
          <w:sz w:val="28"/>
          <w:szCs w:val="28"/>
          <w:lang w:eastAsia="zh-CN"/>
        </w:rPr>
        <w:t>制造商无需提交初始报告、年度报告或型号变更报告</w:t>
      </w:r>
      <w:r w:rsidR="00C366EC" w:rsidRPr="003F5FC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9F2670">
        <w:rPr>
          <w:rFonts w:eastAsiaTheme="minorEastAsia" w:hint="eastAsia"/>
          <w:sz w:val="28"/>
          <w:szCs w:val="28"/>
          <w:lang w:eastAsia="zh-CN"/>
        </w:rPr>
        <w:t>但是</w:t>
      </w:r>
      <w:r w:rsidRPr="003F5FC1">
        <w:rPr>
          <w:sz w:val="28"/>
          <w:szCs w:val="28"/>
          <w:lang w:eastAsia="zh-CN"/>
        </w:rPr>
        <w:t>，其负责报告21 CFR 1002.20规定的与其产品相关的意外辐射事件。</w:t>
      </w:r>
    </w:p>
    <w:p w:rsidR="00494653" w:rsidRPr="003F5FC1" w:rsidRDefault="007A03E1" w:rsidP="003F5FC1">
      <w:pPr>
        <w:pStyle w:val="20"/>
        <w:shd w:val="clear" w:color="auto" w:fill="auto"/>
        <w:snapToGrid w:val="0"/>
        <w:spacing w:before="0" w:afterLines="100" w:after="240" w:line="300" w:lineRule="auto"/>
        <w:jc w:val="both"/>
        <w:rPr>
          <w:sz w:val="28"/>
          <w:szCs w:val="28"/>
          <w:lang w:eastAsia="zh-CN"/>
        </w:rPr>
      </w:pPr>
      <w:r w:rsidRPr="003F5FC1">
        <w:rPr>
          <w:sz w:val="28"/>
          <w:szCs w:val="28"/>
          <w:lang w:eastAsia="zh-CN"/>
        </w:rPr>
        <w:t>*星号之间的材料是新材料或改进材料*</w:t>
      </w:r>
    </w:p>
    <w:p w:rsidR="00C366EC" w:rsidRPr="003F5FC1" w:rsidRDefault="007A03E1" w:rsidP="003F5FC1">
      <w:pPr>
        <w:pStyle w:val="20"/>
        <w:shd w:val="clear" w:color="auto" w:fill="auto"/>
        <w:snapToGrid w:val="0"/>
        <w:spacing w:before="0" w:after="0" w:line="300" w:lineRule="auto"/>
        <w:jc w:val="both"/>
        <w:rPr>
          <w:rFonts w:eastAsiaTheme="minorEastAsia"/>
          <w:sz w:val="28"/>
          <w:szCs w:val="28"/>
          <w:lang w:eastAsia="zh-CN"/>
        </w:rPr>
      </w:pPr>
      <w:r w:rsidRPr="003F5FC1">
        <w:rPr>
          <w:sz w:val="28"/>
          <w:szCs w:val="28"/>
          <w:lang w:eastAsia="zh-CN"/>
        </w:rPr>
        <w:t>发布日期：1980年10月1日</w:t>
      </w:r>
    </w:p>
    <w:p w:rsidR="00C366EC" w:rsidRPr="003F5FC1" w:rsidRDefault="007A03E1" w:rsidP="003F5FC1">
      <w:pPr>
        <w:pStyle w:val="20"/>
        <w:shd w:val="clear" w:color="auto" w:fill="auto"/>
        <w:snapToGrid w:val="0"/>
        <w:spacing w:before="0" w:afterLines="100" w:after="240" w:line="300" w:lineRule="auto"/>
        <w:jc w:val="both"/>
        <w:rPr>
          <w:rFonts w:eastAsiaTheme="minorEastAsia"/>
          <w:sz w:val="28"/>
          <w:szCs w:val="28"/>
          <w:lang w:eastAsia="zh-CN"/>
        </w:rPr>
      </w:pPr>
      <w:r w:rsidRPr="003F5FC1">
        <w:rPr>
          <w:sz w:val="28"/>
          <w:szCs w:val="28"/>
          <w:lang w:eastAsia="zh-CN"/>
        </w:rPr>
        <w:t>修订日期：1995年3月、2005年3月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0796"/>
      </w:tblGrid>
      <w:tr w:rsidR="003F5FC1" w:rsidRPr="00E658F8" w:rsidTr="00801D5A">
        <w:tc>
          <w:tcPr>
            <w:tcW w:w="5000" w:type="pct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3F5FC1" w:rsidRPr="003F2030" w:rsidRDefault="003F2030" w:rsidP="00801D5A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  <w:u w:val="single"/>
              </w:rPr>
            </w:pPr>
            <w:hyperlink r:id="rId7">
              <w:r w:rsidR="003F5FC1" w:rsidRPr="003F2030">
                <w:rPr>
                  <w:rFonts w:ascii="Arial" w:eastAsia="宋体" w:hAnsi="Arial" w:cs="Arial"/>
                  <w:b/>
                  <w:sz w:val="24"/>
                  <w:szCs w:val="24"/>
                  <w:u w:val="single"/>
                </w:rPr>
                <w:t>合规政策指南的更多信息</w:t>
              </w:r>
              <w:r w:rsidR="003F5FC1" w:rsidRPr="003F2030">
                <w:rPr>
                  <w:rFonts w:ascii="Arial" w:eastAsia="宋体" w:hAnsi="Arial" w:cs="Arial"/>
                  <w:b/>
                  <w:sz w:val="24"/>
                  <w:szCs w:val="24"/>
                  <w:u w:val="single"/>
                </w:rPr>
                <w:br/>
                <w:t>(/ICECI/Compliance Manuals/Compliance PolicyGuidance Manual/default.htm)</w:t>
              </w:r>
            </w:hyperlink>
          </w:p>
        </w:tc>
      </w:tr>
      <w:tr w:rsidR="003F5FC1" w:rsidRPr="00E658F8" w:rsidTr="00801D5A">
        <w:tc>
          <w:tcPr>
            <w:tcW w:w="5000" w:type="pct"/>
            <w:tcBorders>
              <w:top w:val="single" w:sz="12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3F5FC1" w:rsidRPr="00E658F8" w:rsidRDefault="003F2030" w:rsidP="00801D5A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8"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前言：合规政策指南（</w:t>
              </w:r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CPG</w:t>
              </w:r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）</w:t>
              </w:r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br/>
                <w:t>(/ICECI/Compliance Manuals/Compliance PolicyGuidance Manual/ucm116271.htm)</w:t>
              </w:r>
            </w:hyperlink>
          </w:p>
        </w:tc>
      </w:tr>
      <w:tr w:rsidR="003F5FC1" w:rsidRPr="00E658F8" w:rsidTr="00801D5A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3F5FC1" w:rsidRPr="00E658F8" w:rsidRDefault="000308C9" w:rsidP="00801D5A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9"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第一章</w:t>
              </w:r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通则</w:t>
              </w:r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br/>
                <w:t>(/ICECI/Compliance Manuals/Compliance PolicyGuidance Manual/ucm116280.htm)</w:t>
              </w:r>
            </w:hyperlink>
          </w:p>
        </w:tc>
      </w:tr>
      <w:tr w:rsidR="003F5FC1" w:rsidRPr="00E658F8" w:rsidTr="00801D5A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3F5FC1" w:rsidRPr="00E658F8" w:rsidRDefault="000308C9" w:rsidP="00801D5A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10"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第二章</w:t>
              </w:r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生物制剂</w:t>
              </w:r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br/>
              </w:r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lastRenderedPageBreak/>
                <w:t>(/ICECI/Compliance Manuals/Compliance PolicyGuidance Manual/ucm116336.htm)</w:t>
              </w:r>
            </w:hyperlink>
          </w:p>
        </w:tc>
      </w:tr>
      <w:tr w:rsidR="003F5FC1" w:rsidRPr="003F5FC1" w:rsidTr="00801D5A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3F5FC1" w:rsidRPr="00E658F8" w:rsidRDefault="000308C9" w:rsidP="00801D5A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  <w:lang w:val="en-US"/>
              </w:rPr>
            </w:pPr>
            <w:hyperlink r:id="rId11"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第三章</w:t>
              </w:r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val="en-US"/>
                </w:rPr>
                <w:t>-</w:t>
              </w:r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器械</w:t>
              </w:r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val="en-US"/>
                </w:rPr>
                <w:br/>
                <w:t>(/ICECI/Compliance Manuals/Compliance PolicyGuidance Manual/ucm116801.htm)</w:t>
              </w:r>
            </w:hyperlink>
          </w:p>
        </w:tc>
      </w:tr>
      <w:tr w:rsidR="003F5FC1" w:rsidRPr="00E658F8" w:rsidTr="00801D5A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3F5FC1" w:rsidRPr="00E658F8" w:rsidRDefault="000308C9" w:rsidP="00801D5A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12"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第四章</w:t>
              </w:r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人用药品</w:t>
              </w:r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br/>
                <w:t>(/ICECI/Compliance Manuals/Compliance PolicyGuidance Manual/ucm119572.htm)</w:t>
              </w:r>
            </w:hyperlink>
          </w:p>
        </w:tc>
      </w:tr>
      <w:tr w:rsidR="003F5FC1" w:rsidRPr="00E658F8" w:rsidTr="00801D5A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3F5FC1" w:rsidRPr="00E658F8" w:rsidRDefault="000308C9" w:rsidP="00801D5A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13"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第五章</w:t>
              </w:r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食品、颜料和化妆品</w:t>
              </w:r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br/>
                <w:t>(/ICECI/Compliance Manuals/Compliance PolicyGuidance Manual/ucm119194.htm)</w:t>
              </w:r>
            </w:hyperlink>
          </w:p>
        </w:tc>
      </w:tr>
      <w:tr w:rsidR="003F5FC1" w:rsidRPr="00E658F8" w:rsidTr="00801D5A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3F5FC1" w:rsidRPr="00E658F8" w:rsidRDefault="000308C9" w:rsidP="00801D5A">
            <w:pPr>
              <w:overflowPunct w:val="0"/>
              <w:snapToGrid w:val="0"/>
              <w:spacing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14"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第六章</w:t>
              </w:r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兽医医学</w:t>
              </w:r>
              <w:r w:rsidR="003F5FC1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br/>
                <w:t>(/ICECI/Compliance Manuals/Compliance PolicyGuidance Manual/ucm117042.htm)</w:t>
              </w:r>
            </w:hyperlink>
          </w:p>
        </w:tc>
      </w:tr>
    </w:tbl>
    <w:p w:rsidR="00494653" w:rsidRDefault="00494653" w:rsidP="0081297A">
      <w:pPr>
        <w:pStyle w:val="50"/>
        <w:shd w:val="clear" w:color="auto" w:fill="auto"/>
        <w:snapToGrid w:val="0"/>
        <w:spacing w:before="0" w:afterLines="50" w:after="120" w:line="300" w:lineRule="auto"/>
        <w:jc w:val="both"/>
      </w:pPr>
      <w:bookmarkStart w:id="0" w:name="_GoBack"/>
      <w:bookmarkEnd w:id="0"/>
    </w:p>
    <w:sectPr w:rsidR="00494653" w:rsidSect="003F5FC1">
      <w:headerReference w:type="default" r:id="rId15"/>
      <w:footerReference w:type="default" r:id="rId16"/>
      <w:type w:val="continuous"/>
      <w:pgSz w:w="11900" w:h="16840"/>
      <w:pgMar w:top="567" w:right="567" w:bottom="567" w:left="567" w:header="283" w:footer="2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8C9" w:rsidRDefault="000308C9">
      <w:r>
        <w:separator/>
      </w:r>
    </w:p>
  </w:endnote>
  <w:endnote w:type="continuationSeparator" w:id="0">
    <w:p w:rsidR="000308C9" w:rsidRDefault="0003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JhengHei Ligh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FC1" w:rsidRPr="003F5FC1" w:rsidRDefault="003F5FC1" w:rsidP="003F5FC1">
    <w:pPr>
      <w:tabs>
        <w:tab w:val="right" w:pos="10773"/>
      </w:tabs>
      <w:rPr>
        <w:rFonts w:ascii="Arial" w:eastAsiaTheme="minorEastAsia" w:hAnsi="Arial" w:cs="Arial"/>
        <w:sz w:val="15"/>
        <w:szCs w:val="15"/>
        <w:lang w:eastAsia="zh-CN"/>
      </w:rPr>
    </w:pPr>
    <w:r w:rsidRPr="003F5FC1">
      <w:rPr>
        <w:rFonts w:ascii="Arial" w:hAnsi="Arial" w:cs="Arial"/>
        <w:sz w:val="15"/>
        <w:szCs w:val="15"/>
      </w:rPr>
      <w:t>https://www.fda.gov/ICECI/ComplianceManuals/CompliancePolicyGuidanceManual/ucm07391</w:t>
    </w:r>
    <w:r w:rsidRPr="003F5FC1">
      <w:rPr>
        <w:rFonts w:ascii="Arial" w:eastAsiaTheme="minorEastAsia" w:hAnsi="Arial" w:cs="Arial"/>
        <w:sz w:val="15"/>
        <w:szCs w:val="15"/>
        <w:lang w:eastAsia="zh-CN"/>
      </w:rPr>
      <w:t>4</w:t>
    </w:r>
    <w:r w:rsidRPr="003F5FC1">
      <w:rPr>
        <w:rFonts w:ascii="Arial" w:hAnsi="Arial" w:cs="Arial"/>
        <w:sz w:val="15"/>
        <w:szCs w:val="15"/>
      </w:rPr>
      <w:t>.htm</w:t>
    </w:r>
    <w:r w:rsidRPr="003F5FC1">
      <w:rPr>
        <w:rFonts w:ascii="Arial" w:hAnsi="Arial" w:cs="Arial"/>
        <w:sz w:val="15"/>
        <w:szCs w:val="15"/>
      </w:rPr>
      <w:tab/>
    </w:r>
    <w:r w:rsidRPr="003F5FC1">
      <w:rPr>
        <w:rFonts w:ascii="Arial" w:hAnsi="Arial" w:cs="Arial"/>
        <w:b/>
        <w:sz w:val="15"/>
        <w:szCs w:val="15"/>
      </w:rPr>
      <w:fldChar w:fldCharType="begin"/>
    </w:r>
    <w:r w:rsidRPr="003F5FC1">
      <w:rPr>
        <w:rFonts w:ascii="Arial" w:hAnsi="Arial" w:cs="Arial"/>
        <w:sz w:val="15"/>
        <w:szCs w:val="15"/>
      </w:rPr>
      <w:instrText xml:space="preserve"> PAGE \* MERGEFORMAT </w:instrText>
    </w:r>
    <w:r w:rsidRPr="003F5FC1">
      <w:rPr>
        <w:rFonts w:ascii="Arial" w:hAnsi="Arial" w:cs="Arial"/>
        <w:b/>
        <w:sz w:val="15"/>
        <w:szCs w:val="15"/>
      </w:rPr>
      <w:fldChar w:fldCharType="separate"/>
    </w:r>
    <w:r w:rsidR="00197E9A" w:rsidRPr="00197E9A">
      <w:rPr>
        <w:rFonts w:ascii="Arial" w:hAnsi="Arial" w:cs="Arial"/>
        <w:bCs/>
        <w:noProof/>
        <w:sz w:val="15"/>
        <w:szCs w:val="15"/>
      </w:rPr>
      <w:t>1</w:t>
    </w:r>
    <w:r w:rsidRPr="003F5FC1">
      <w:rPr>
        <w:rFonts w:ascii="Arial" w:hAnsi="Arial" w:cs="Arial"/>
        <w:bCs/>
        <w:sz w:val="15"/>
        <w:szCs w:val="15"/>
      </w:rPr>
      <w:fldChar w:fldCharType="end"/>
    </w:r>
    <w:r w:rsidRPr="003F5FC1">
      <w:rPr>
        <w:rFonts w:ascii="Arial" w:hAnsi="Arial" w:cs="Arial"/>
        <w:sz w:val="15"/>
        <w:szCs w:val="15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8C9" w:rsidRDefault="000308C9"/>
  </w:footnote>
  <w:footnote w:type="continuationSeparator" w:id="0">
    <w:p w:rsidR="000308C9" w:rsidRDefault="000308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FC1" w:rsidRDefault="003F5FC1" w:rsidP="003F5FC1">
    <w:pPr>
      <w:pStyle w:val="a5"/>
      <w:shd w:val="clear" w:color="auto" w:fill="auto"/>
      <w:tabs>
        <w:tab w:val="left" w:pos="2977"/>
      </w:tabs>
      <w:spacing w:line="240" w:lineRule="auto"/>
      <w:rPr>
        <w:rStyle w:val="a6"/>
        <w:rFonts w:eastAsiaTheme="minorEastAsia"/>
        <w:bCs/>
        <w:lang w:eastAsia="zh-CN"/>
      </w:rPr>
    </w:pPr>
    <w:r w:rsidRPr="003F5FC1">
      <w:rPr>
        <w:rStyle w:val="a6"/>
        <w:bCs/>
        <w:lang w:eastAsia="zh-CN"/>
      </w:rPr>
      <w:t>2017年8月9日</w:t>
    </w:r>
    <w:r w:rsidRPr="003F5FC1">
      <w:rPr>
        <w:rStyle w:val="a6"/>
        <w:rFonts w:eastAsiaTheme="minorEastAsia" w:hint="eastAsia"/>
        <w:bCs/>
        <w:lang w:eastAsia="zh-CN"/>
      </w:rPr>
      <w:tab/>
    </w:r>
    <w:r w:rsidRPr="003F5FC1">
      <w:rPr>
        <w:rStyle w:val="a6"/>
        <w:bCs/>
        <w:lang w:eastAsia="zh-CN"/>
      </w:rPr>
      <w:t>合</w:t>
    </w:r>
    <w:proofErr w:type="gramStart"/>
    <w:r w:rsidRPr="003F5FC1">
      <w:rPr>
        <w:rStyle w:val="a6"/>
        <w:bCs/>
        <w:lang w:eastAsia="zh-CN"/>
      </w:rPr>
      <w:t>规</w:t>
    </w:r>
    <w:proofErr w:type="gramEnd"/>
    <w:r w:rsidRPr="003F5FC1">
      <w:rPr>
        <w:rStyle w:val="a6"/>
        <w:bCs/>
        <w:lang w:eastAsia="zh-CN"/>
      </w:rPr>
      <w:t>政策指南&gt;CPG章节 390.400根据21 CFR 1000.15（a）符合报告要求的电子产品示例</w:t>
    </w:r>
  </w:p>
  <w:p w:rsidR="003F5FC1" w:rsidRDefault="003F5FC1" w:rsidP="003F5FC1">
    <w:pPr>
      <w:pStyle w:val="a5"/>
      <w:shd w:val="clear" w:color="auto" w:fill="auto"/>
      <w:tabs>
        <w:tab w:val="left" w:pos="2977"/>
      </w:tabs>
      <w:spacing w:line="240" w:lineRule="auto"/>
      <w:rPr>
        <w:rStyle w:val="a6"/>
        <w:rFonts w:eastAsiaTheme="minorEastAsia"/>
        <w:bCs/>
        <w:lang w:eastAsia="zh-CN"/>
      </w:rPr>
    </w:pPr>
  </w:p>
  <w:p w:rsidR="003F5FC1" w:rsidRDefault="003F5FC1" w:rsidP="003F5FC1">
    <w:pPr>
      <w:pStyle w:val="a5"/>
      <w:shd w:val="clear" w:color="auto" w:fill="auto"/>
      <w:tabs>
        <w:tab w:val="left" w:pos="2977"/>
      </w:tabs>
      <w:spacing w:line="240" w:lineRule="auto"/>
      <w:rPr>
        <w:rStyle w:val="a6"/>
        <w:rFonts w:eastAsiaTheme="minorEastAsia"/>
        <w:bCs/>
        <w:lang w:eastAsia="zh-CN"/>
      </w:rPr>
    </w:pPr>
  </w:p>
  <w:p w:rsidR="003F5FC1" w:rsidRPr="003F5FC1" w:rsidRDefault="003F5FC1" w:rsidP="003F5FC1">
    <w:pPr>
      <w:pStyle w:val="a5"/>
      <w:shd w:val="clear" w:color="auto" w:fill="auto"/>
      <w:tabs>
        <w:tab w:val="left" w:pos="2977"/>
      </w:tabs>
      <w:spacing w:line="240" w:lineRule="auto"/>
      <w:rPr>
        <w:rFonts w:eastAsiaTheme="minorEastAsia"/>
        <w:lang w:eastAsia="zh-CN"/>
      </w:rPr>
    </w:pPr>
  </w:p>
  <w:p w:rsidR="00494653" w:rsidRPr="003F5FC1" w:rsidRDefault="00494653" w:rsidP="003F5FC1">
    <w:pPr>
      <w:tabs>
        <w:tab w:val="left" w:pos="2977"/>
      </w:tabs>
      <w:rPr>
        <w:sz w:val="2"/>
        <w:szCs w:val="2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53"/>
    <w:rsid w:val="000308C9"/>
    <w:rsid w:val="000705B4"/>
    <w:rsid w:val="00197E9A"/>
    <w:rsid w:val="003F2030"/>
    <w:rsid w:val="003F5FC1"/>
    <w:rsid w:val="00494653"/>
    <w:rsid w:val="005008D4"/>
    <w:rsid w:val="006072B4"/>
    <w:rsid w:val="007665A3"/>
    <w:rsid w:val="007A03E1"/>
    <w:rsid w:val="007E6380"/>
    <w:rsid w:val="0081297A"/>
    <w:rsid w:val="009F2670"/>
    <w:rsid w:val="00C366EC"/>
    <w:rsid w:val="00CA7780"/>
    <w:rsid w:val="00F448E7"/>
    <w:rsid w:val="00F8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de-DE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Microsoft JhengHei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正文文本 (4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正文文本 (4) Exact"/>
    <w:basedOn w:val="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6Exact">
    <w:name w:val="正文文本 (6) Exact"/>
    <w:basedOn w:val="a0"/>
    <w:link w:val="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7Exact">
    <w:name w:val="正文文本 (7) Exact"/>
    <w:basedOn w:val="a0"/>
    <w:link w:val="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正文文本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62"/>
      <w:szCs w:val="62"/>
      <w:u w:val="none"/>
    </w:rPr>
  </w:style>
  <w:style w:type="character" w:customStyle="1" w:styleId="a4">
    <w:name w:val="页眉或页脚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a6">
    <w:name w:val="页眉或页脚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en-US" w:bidi="en-US"/>
    </w:rPr>
  </w:style>
  <w:style w:type="character" w:customStyle="1" w:styleId="2">
    <w:name w:val="正文文本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4">
    <w:name w:val="正文文本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正文文本 (4)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de-DE" w:eastAsia="en-US" w:bidi="en-US"/>
    </w:rPr>
  </w:style>
  <w:style w:type="character" w:customStyle="1" w:styleId="5">
    <w:name w:val="正文文本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paragraph" w:customStyle="1" w:styleId="40">
    <w:name w:val="正文文本 (4)"/>
    <w:basedOn w:val="a"/>
    <w:link w:val="4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6">
    <w:name w:val="正文文本 (6)"/>
    <w:basedOn w:val="a"/>
    <w:link w:val="6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7">
    <w:name w:val="正文文本 (7)"/>
    <w:basedOn w:val="a"/>
    <w:link w:val="7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30">
    <w:name w:val="正文文本 (3)"/>
    <w:basedOn w:val="a"/>
    <w:link w:val="3"/>
    <w:pPr>
      <w:shd w:val="clear" w:color="auto" w:fill="FFFFFF"/>
      <w:spacing w:after="60" w:line="638" w:lineRule="exact"/>
    </w:pPr>
    <w:rPr>
      <w:rFonts w:ascii="Arial" w:eastAsia="Arial" w:hAnsi="Arial" w:cs="Arial"/>
      <w:b/>
      <w:bCs/>
      <w:spacing w:val="-10"/>
      <w:sz w:val="62"/>
      <w:szCs w:val="62"/>
    </w:rPr>
  </w:style>
  <w:style w:type="paragraph" w:customStyle="1" w:styleId="a5">
    <w:name w:val="页眉或页脚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20">
    <w:name w:val="正文文本 (2)"/>
    <w:basedOn w:val="a"/>
    <w:link w:val="2"/>
    <w:pPr>
      <w:shd w:val="clear" w:color="auto" w:fill="FFFFFF"/>
      <w:spacing w:before="60" w:after="360" w:line="0" w:lineRule="atLeast"/>
    </w:pPr>
    <w:rPr>
      <w:rFonts w:ascii="Arial" w:eastAsia="Arial" w:hAnsi="Arial" w:cs="Arial"/>
    </w:rPr>
  </w:style>
  <w:style w:type="paragraph" w:customStyle="1" w:styleId="50">
    <w:name w:val="正文文本 (5)"/>
    <w:basedOn w:val="a"/>
    <w:link w:val="5"/>
    <w:pPr>
      <w:shd w:val="clear" w:color="auto" w:fill="FFFFFF"/>
      <w:spacing w:before="1080" w:line="0" w:lineRule="atLeast"/>
    </w:pPr>
    <w:rPr>
      <w:rFonts w:ascii="Arial" w:eastAsia="Arial" w:hAnsi="Arial" w:cs="Arial"/>
      <w:sz w:val="14"/>
      <w:szCs w:val="14"/>
    </w:rPr>
  </w:style>
  <w:style w:type="paragraph" w:styleId="a7">
    <w:name w:val="header"/>
    <w:basedOn w:val="a"/>
    <w:link w:val="Char"/>
    <w:uiPriority w:val="99"/>
    <w:unhideWhenUsed/>
    <w:rsid w:val="003F5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3F5FC1"/>
    <w:rPr>
      <w:rFonts w:eastAsia="Microsoft JhengHei Light"/>
      <w:color w:val="000000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3F5FC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3F5FC1"/>
    <w:rPr>
      <w:rFonts w:eastAsia="Microsoft JhengHei Light"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F5FC1"/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5FC1"/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de-DE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Microsoft JhengHei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正文文本 (4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正文文本 (4) Exact"/>
    <w:basedOn w:val="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6Exact">
    <w:name w:val="正文文本 (6) Exact"/>
    <w:basedOn w:val="a0"/>
    <w:link w:val="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7Exact">
    <w:name w:val="正文文本 (7) Exact"/>
    <w:basedOn w:val="a0"/>
    <w:link w:val="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正文文本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62"/>
      <w:szCs w:val="62"/>
      <w:u w:val="none"/>
    </w:rPr>
  </w:style>
  <w:style w:type="character" w:customStyle="1" w:styleId="a4">
    <w:name w:val="页眉或页脚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a6">
    <w:name w:val="页眉或页脚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en-US" w:bidi="en-US"/>
    </w:rPr>
  </w:style>
  <w:style w:type="character" w:customStyle="1" w:styleId="2">
    <w:name w:val="正文文本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4">
    <w:name w:val="正文文本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正文文本 (4)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de-DE" w:eastAsia="en-US" w:bidi="en-US"/>
    </w:rPr>
  </w:style>
  <w:style w:type="character" w:customStyle="1" w:styleId="5">
    <w:name w:val="正文文本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paragraph" w:customStyle="1" w:styleId="40">
    <w:name w:val="正文文本 (4)"/>
    <w:basedOn w:val="a"/>
    <w:link w:val="4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6">
    <w:name w:val="正文文本 (6)"/>
    <w:basedOn w:val="a"/>
    <w:link w:val="6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7">
    <w:name w:val="正文文本 (7)"/>
    <w:basedOn w:val="a"/>
    <w:link w:val="7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30">
    <w:name w:val="正文文本 (3)"/>
    <w:basedOn w:val="a"/>
    <w:link w:val="3"/>
    <w:pPr>
      <w:shd w:val="clear" w:color="auto" w:fill="FFFFFF"/>
      <w:spacing w:after="60" w:line="638" w:lineRule="exact"/>
    </w:pPr>
    <w:rPr>
      <w:rFonts w:ascii="Arial" w:eastAsia="Arial" w:hAnsi="Arial" w:cs="Arial"/>
      <w:b/>
      <w:bCs/>
      <w:spacing w:val="-10"/>
      <w:sz w:val="62"/>
      <w:szCs w:val="62"/>
    </w:rPr>
  </w:style>
  <w:style w:type="paragraph" w:customStyle="1" w:styleId="a5">
    <w:name w:val="页眉或页脚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20">
    <w:name w:val="正文文本 (2)"/>
    <w:basedOn w:val="a"/>
    <w:link w:val="2"/>
    <w:pPr>
      <w:shd w:val="clear" w:color="auto" w:fill="FFFFFF"/>
      <w:spacing w:before="60" w:after="360" w:line="0" w:lineRule="atLeast"/>
    </w:pPr>
    <w:rPr>
      <w:rFonts w:ascii="Arial" w:eastAsia="Arial" w:hAnsi="Arial" w:cs="Arial"/>
    </w:rPr>
  </w:style>
  <w:style w:type="paragraph" w:customStyle="1" w:styleId="50">
    <w:name w:val="正文文本 (5)"/>
    <w:basedOn w:val="a"/>
    <w:link w:val="5"/>
    <w:pPr>
      <w:shd w:val="clear" w:color="auto" w:fill="FFFFFF"/>
      <w:spacing w:before="1080" w:line="0" w:lineRule="atLeast"/>
    </w:pPr>
    <w:rPr>
      <w:rFonts w:ascii="Arial" w:eastAsia="Arial" w:hAnsi="Arial" w:cs="Arial"/>
      <w:sz w:val="14"/>
      <w:szCs w:val="14"/>
    </w:rPr>
  </w:style>
  <w:style w:type="paragraph" w:styleId="a7">
    <w:name w:val="header"/>
    <w:basedOn w:val="a"/>
    <w:link w:val="Char"/>
    <w:uiPriority w:val="99"/>
    <w:unhideWhenUsed/>
    <w:rsid w:val="003F5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3F5FC1"/>
    <w:rPr>
      <w:rFonts w:eastAsia="Microsoft JhengHei Light"/>
      <w:color w:val="000000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3F5FC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3F5FC1"/>
    <w:rPr>
      <w:rFonts w:eastAsia="Microsoft JhengHei Light"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F5FC1"/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5FC1"/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ucm116271.htm" TargetMode="External"/><Relationship Id="rId13" Type="http://schemas.openxmlformats.org/officeDocument/2006/relationships/hyperlink" Target="https://www.fda.gov/ICECI/ComplianceManuals/CompliancePolicyGuidanceManual/ucm119194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da.gov/ICECI/ComplianceManuals/CompliancePolicyGuidanceManual/default.htm" TargetMode="External"/><Relationship Id="rId12" Type="http://schemas.openxmlformats.org/officeDocument/2006/relationships/hyperlink" Target="https://www.fda.gov/ICECI/ComplianceManuals/CompliancePolicyGuidanceManual/ucm119572.ht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da.gov/ICECI/ComplianceManuals/CompliancePolicyGuidanceManual/ucm116801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da.gov/ICECI/ComplianceManuals/CompliancePolicyGuidanceManual/ucm11633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da.gov/ICECI/ComplianceManuals/CompliancePolicyGuidanceManual/ucm116280.htm" TargetMode="External"/><Relationship Id="rId14" Type="http://schemas.openxmlformats.org/officeDocument/2006/relationships/hyperlink" Target="https://www.fda.gov/ICECI/ComplianceManuals/CompliancePolicyGuidanceManual/ucm117042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Company>China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wenrongzhen</dc:creator>
  <cp:lastModifiedBy>wrz</cp:lastModifiedBy>
  <cp:revision>3</cp:revision>
  <dcterms:created xsi:type="dcterms:W3CDTF">2017-11-10T00:47:00Z</dcterms:created>
  <dcterms:modified xsi:type="dcterms:W3CDTF">2017-11-10T00:47:00Z</dcterms:modified>
</cp:coreProperties>
</file>