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80" w:rsidRPr="00154CC1" w:rsidRDefault="00CC3180" w:rsidP="00F82F12">
      <w:pPr>
        <w:overflowPunct w:val="0"/>
        <w:snapToGrid w:val="0"/>
        <w:spacing w:line="300" w:lineRule="auto"/>
        <w:jc w:val="both"/>
        <w:rPr>
          <w:rFonts w:ascii="Times New Roman" w:hAnsi="Times New Roman" w:cs="Times New Roman" w:hint="eastAsia"/>
          <w:sz w:val="20"/>
          <w:szCs w:val="20"/>
        </w:rPr>
      </w:pPr>
    </w:p>
    <w:p w:rsidR="00CC3180" w:rsidRDefault="00CC3180" w:rsidP="00F82F12">
      <w:pPr>
        <w:overflowPunct w:val="0"/>
        <w:snapToGrid w:val="0"/>
        <w:spacing w:line="300" w:lineRule="auto"/>
        <w:jc w:val="both"/>
        <w:rPr>
          <w:rFonts w:ascii="Times New Roman" w:eastAsia="Times New Roman" w:hAnsi="Times New Roman" w:cs="Times New Roman"/>
          <w:sz w:val="20"/>
          <w:szCs w:val="20"/>
        </w:rPr>
      </w:pPr>
    </w:p>
    <w:p w:rsidR="00CC3180" w:rsidRDefault="00CC3180" w:rsidP="00F82F12">
      <w:pPr>
        <w:overflowPunct w:val="0"/>
        <w:snapToGrid w:val="0"/>
        <w:spacing w:line="300" w:lineRule="auto"/>
        <w:jc w:val="both"/>
        <w:rPr>
          <w:rFonts w:ascii="Times New Roman" w:eastAsia="Times New Roman" w:hAnsi="Times New Roman" w:cs="Times New Roman"/>
          <w:sz w:val="20"/>
          <w:szCs w:val="20"/>
        </w:rPr>
      </w:pPr>
    </w:p>
    <w:p w:rsidR="00CC3180" w:rsidRDefault="00CC3180" w:rsidP="00F82F12">
      <w:pPr>
        <w:overflowPunct w:val="0"/>
        <w:snapToGrid w:val="0"/>
        <w:spacing w:line="300" w:lineRule="auto"/>
        <w:jc w:val="both"/>
        <w:rPr>
          <w:rFonts w:ascii="Times New Roman" w:eastAsia="Times New Roman" w:hAnsi="Times New Roman" w:cs="Times New Roman"/>
          <w:sz w:val="20"/>
          <w:szCs w:val="20"/>
        </w:rPr>
      </w:pPr>
    </w:p>
    <w:p w:rsidR="00CC3180" w:rsidRPr="00F82F12" w:rsidRDefault="00D30B49" w:rsidP="00F82F12">
      <w:pPr>
        <w:overflowPunct w:val="0"/>
        <w:snapToGrid w:val="0"/>
        <w:spacing w:before="128" w:line="300" w:lineRule="auto"/>
        <w:jc w:val="both"/>
        <w:rPr>
          <w:rFonts w:ascii="Arial" w:eastAsia="宋体" w:hAnsi="Arial" w:cs="Arial"/>
          <w:b/>
          <w:sz w:val="68"/>
          <w:szCs w:val="68"/>
        </w:rPr>
      </w:pPr>
      <w:r w:rsidRPr="00F82F12">
        <w:rPr>
          <w:rFonts w:ascii="Arial" w:eastAsia="宋体" w:hint="eastAsia"/>
          <w:b/>
          <w:sz w:val="68"/>
        </w:rPr>
        <w:t>CPG</w:t>
      </w:r>
      <w:r w:rsidR="00B926E6">
        <w:rPr>
          <w:rFonts w:ascii="Arial" w:eastAsia="宋体" w:hint="eastAsia"/>
          <w:b/>
          <w:sz w:val="68"/>
        </w:rPr>
        <w:t>章节</w:t>
      </w:r>
      <w:r w:rsidRPr="00F82F12">
        <w:rPr>
          <w:rFonts w:ascii="Arial" w:eastAsia="宋体" w:hint="eastAsia"/>
          <w:b/>
          <w:sz w:val="68"/>
        </w:rPr>
        <w:t>390.300</w:t>
      </w:r>
      <w:r w:rsidRPr="00F82F12">
        <w:rPr>
          <w:rFonts w:ascii="Arial" w:eastAsia="宋体" w:hint="eastAsia"/>
          <w:b/>
          <w:sz w:val="68"/>
        </w:rPr>
        <w:t>对电子产品制造商和进口商的民事处罚评估</w:t>
      </w:r>
    </w:p>
    <w:p w:rsidR="00CC3180" w:rsidRPr="00FF7F68" w:rsidRDefault="00D30B49" w:rsidP="00F82F12">
      <w:pPr>
        <w:overflowPunct w:val="0"/>
        <w:snapToGrid w:val="0"/>
        <w:spacing w:before="396" w:line="300" w:lineRule="auto"/>
        <w:jc w:val="both"/>
        <w:rPr>
          <w:rFonts w:ascii="Arial" w:eastAsia="宋体" w:hAnsi="Arial" w:cs="Arial"/>
          <w:sz w:val="24"/>
          <w:szCs w:val="24"/>
        </w:rPr>
      </w:pPr>
      <w:r w:rsidRPr="00FF7F68">
        <w:rPr>
          <w:rFonts w:ascii="Arial" w:eastAsia="宋体" w:hint="eastAsia"/>
          <w:sz w:val="24"/>
          <w:szCs w:val="24"/>
        </w:rPr>
        <w:t>背景：</w:t>
      </w:r>
    </w:p>
    <w:p w:rsidR="00CC3180" w:rsidRPr="00FF7F68" w:rsidRDefault="00CC3180" w:rsidP="00F82F12">
      <w:pPr>
        <w:overflowPunct w:val="0"/>
        <w:snapToGrid w:val="0"/>
        <w:spacing w:before="7"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本</w:t>
      </w:r>
      <w:r w:rsidR="00B926E6">
        <w:rPr>
          <w:rFonts w:hint="eastAsia"/>
          <w:sz w:val="24"/>
          <w:szCs w:val="24"/>
        </w:rPr>
        <w:t>合</w:t>
      </w:r>
      <w:proofErr w:type="gramStart"/>
      <w:r w:rsidR="00B926E6">
        <w:rPr>
          <w:rFonts w:hint="eastAsia"/>
          <w:sz w:val="24"/>
          <w:szCs w:val="24"/>
        </w:rPr>
        <w:t>规</w:t>
      </w:r>
      <w:proofErr w:type="gramEnd"/>
      <w:r w:rsidR="00B926E6">
        <w:rPr>
          <w:rFonts w:hint="eastAsia"/>
          <w:sz w:val="24"/>
          <w:szCs w:val="24"/>
        </w:rPr>
        <w:t>政策指南</w:t>
      </w:r>
      <w:r w:rsidRPr="00FF7F68">
        <w:rPr>
          <w:rFonts w:hint="eastAsia"/>
          <w:sz w:val="24"/>
          <w:szCs w:val="24"/>
        </w:rPr>
        <w:t>旨在说明本机构进行民事处罚的情况。</w:t>
      </w:r>
    </w:p>
    <w:p w:rsidR="00CC3180" w:rsidRPr="00FF7F68" w:rsidRDefault="00CC3180" w:rsidP="00F82F12">
      <w:pPr>
        <w:overflowPunct w:val="0"/>
        <w:snapToGrid w:val="0"/>
        <w:spacing w:before="8"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联邦食品、</w:t>
      </w:r>
      <w:r w:rsidR="00B926E6">
        <w:rPr>
          <w:rFonts w:hint="eastAsia"/>
          <w:sz w:val="24"/>
          <w:szCs w:val="24"/>
        </w:rPr>
        <w:t>药品</w:t>
      </w:r>
      <w:r w:rsidRPr="00FF7F68">
        <w:rPr>
          <w:rFonts w:hint="eastAsia"/>
          <w:sz w:val="24"/>
          <w:szCs w:val="24"/>
        </w:rPr>
        <w:t>和化妆品法案（</w:t>
      </w:r>
      <w:r w:rsidRPr="00FF7F68">
        <w:rPr>
          <w:rFonts w:hint="eastAsia"/>
          <w:sz w:val="24"/>
          <w:szCs w:val="24"/>
        </w:rPr>
        <w:t>FFDCA</w:t>
      </w:r>
      <w:r w:rsidRPr="00FF7F68">
        <w:rPr>
          <w:rFonts w:hint="eastAsia"/>
          <w:sz w:val="24"/>
          <w:szCs w:val="24"/>
        </w:rPr>
        <w:t>）第</w:t>
      </w:r>
      <w:r w:rsidRPr="00FF7F68">
        <w:rPr>
          <w:rFonts w:hint="eastAsia"/>
          <w:sz w:val="24"/>
          <w:szCs w:val="24"/>
        </w:rPr>
        <w:t>539</w:t>
      </w:r>
      <w:r w:rsidRPr="00FF7F68">
        <w:rPr>
          <w:rFonts w:hint="eastAsia"/>
          <w:sz w:val="24"/>
          <w:szCs w:val="24"/>
        </w:rPr>
        <w:t>（</w:t>
      </w:r>
      <w:r w:rsidRPr="00FF7F68">
        <w:rPr>
          <w:rFonts w:hint="eastAsia"/>
          <w:sz w:val="24"/>
          <w:szCs w:val="24"/>
        </w:rPr>
        <w:t>b</w:t>
      </w:r>
      <w:r w:rsidRPr="00FF7F68">
        <w:rPr>
          <w:rFonts w:hint="eastAsia"/>
          <w:sz w:val="24"/>
          <w:szCs w:val="24"/>
        </w:rPr>
        <w:t>）（</w:t>
      </w:r>
      <w:r w:rsidRPr="00FF7F68">
        <w:rPr>
          <w:rFonts w:hint="eastAsia"/>
          <w:sz w:val="24"/>
          <w:szCs w:val="24"/>
        </w:rPr>
        <w:t>1</w:t>
      </w:r>
      <w:r w:rsidRPr="00FF7F68">
        <w:rPr>
          <w:rFonts w:hint="eastAsia"/>
          <w:sz w:val="24"/>
          <w:szCs w:val="24"/>
        </w:rPr>
        <w:t>）</w:t>
      </w:r>
      <w:r w:rsidR="00B926E6">
        <w:rPr>
          <w:rFonts w:hint="eastAsia"/>
          <w:sz w:val="24"/>
          <w:szCs w:val="24"/>
        </w:rPr>
        <w:t>部分子章节</w:t>
      </w:r>
      <w:r w:rsidRPr="00FF7F68">
        <w:rPr>
          <w:rFonts w:hint="eastAsia"/>
          <w:sz w:val="24"/>
          <w:szCs w:val="24"/>
        </w:rPr>
        <w:t>C</w:t>
      </w:r>
      <w:r w:rsidRPr="00FF7F68">
        <w:rPr>
          <w:rFonts w:hint="eastAsia"/>
          <w:sz w:val="24"/>
          <w:szCs w:val="24"/>
        </w:rPr>
        <w:t>——电子产品辐射控制（</w:t>
      </w:r>
      <w:r w:rsidRPr="00FF7F68">
        <w:rPr>
          <w:rFonts w:hint="eastAsia"/>
          <w:sz w:val="24"/>
          <w:szCs w:val="24"/>
        </w:rPr>
        <w:t>P.L.90-602</w:t>
      </w:r>
      <w:r w:rsidRPr="00FF7F68">
        <w:rPr>
          <w:rFonts w:hint="eastAsia"/>
          <w:sz w:val="24"/>
          <w:szCs w:val="24"/>
        </w:rPr>
        <w:t>）规定，违反</w:t>
      </w:r>
      <w:r w:rsidR="00B926E6">
        <w:rPr>
          <w:rFonts w:hint="eastAsia"/>
          <w:sz w:val="24"/>
          <w:szCs w:val="24"/>
        </w:rPr>
        <w:t>该</w:t>
      </w:r>
      <w:r w:rsidR="0096131B">
        <w:rPr>
          <w:rFonts w:hint="eastAsia"/>
          <w:sz w:val="24"/>
          <w:szCs w:val="24"/>
        </w:rPr>
        <w:t>法律</w:t>
      </w:r>
      <w:r w:rsidRPr="00FF7F68">
        <w:rPr>
          <w:rFonts w:hint="eastAsia"/>
          <w:sz w:val="24"/>
          <w:szCs w:val="24"/>
        </w:rPr>
        <w:t>禁止行为的，处以</w:t>
      </w:r>
      <w:proofErr w:type="gramStart"/>
      <w:r w:rsidRPr="00FF7F68">
        <w:rPr>
          <w:rFonts w:hint="eastAsia"/>
          <w:sz w:val="24"/>
          <w:szCs w:val="24"/>
        </w:rPr>
        <w:t>1</w:t>
      </w:r>
      <w:r w:rsidRPr="00FF7F68">
        <w:rPr>
          <w:rFonts w:hint="eastAsia"/>
          <w:sz w:val="24"/>
          <w:szCs w:val="24"/>
        </w:rPr>
        <w:t>千美元</w:t>
      </w:r>
      <w:r w:rsidR="0096131B">
        <w:rPr>
          <w:rFonts w:hint="eastAsia"/>
          <w:sz w:val="24"/>
          <w:szCs w:val="24"/>
        </w:rPr>
        <w:t>以下</w:t>
      </w:r>
      <w:proofErr w:type="gramEnd"/>
      <w:r w:rsidRPr="00FF7F68">
        <w:rPr>
          <w:rFonts w:hint="eastAsia"/>
          <w:sz w:val="24"/>
          <w:szCs w:val="24"/>
        </w:rPr>
        <w:t>民事处罚。该</w:t>
      </w:r>
      <w:r w:rsidR="0096131B">
        <w:rPr>
          <w:rFonts w:hint="eastAsia"/>
          <w:sz w:val="24"/>
          <w:szCs w:val="24"/>
        </w:rPr>
        <w:t>法律</w:t>
      </w:r>
      <w:r w:rsidRPr="00FF7F68">
        <w:rPr>
          <w:rFonts w:hint="eastAsia"/>
          <w:sz w:val="24"/>
          <w:szCs w:val="24"/>
        </w:rPr>
        <w:t>规定：“就本</w:t>
      </w:r>
      <w:r w:rsidR="00AF295A">
        <w:rPr>
          <w:rFonts w:hint="eastAsia"/>
          <w:sz w:val="24"/>
          <w:szCs w:val="24"/>
        </w:rPr>
        <w:t>条款</w:t>
      </w:r>
      <w:r w:rsidRPr="00FF7F68">
        <w:rPr>
          <w:rFonts w:hint="eastAsia"/>
          <w:sz w:val="24"/>
          <w:szCs w:val="24"/>
        </w:rPr>
        <w:t>而言，对于所涉及的每种电子产品，或对于第</w:t>
      </w:r>
      <w:r w:rsidRPr="00FF7F68">
        <w:rPr>
          <w:rFonts w:hint="eastAsia"/>
          <w:sz w:val="24"/>
          <w:szCs w:val="24"/>
        </w:rPr>
        <w:t>538</w:t>
      </w:r>
      <w:r w:rsidRPr="00FF7F68">
        <w:rPr>
          <w:rFonts w:hint="eastAsia"/>
          <w:sz w:val="24"/>
          <w:szCs w:val="24"/>
        </w:rPr>
        <w:t>条规定的非法行为或不作为，任何此类违规行为均构成单次违规事件，但根据本</w:t>
      </w:r>
      <w:r w:rsidR="00AF295A">
        <w:rPr>
          <w:rFonts w:hint="eastAsia"/>
          <w:sz w:val="24"/>
          <w:szCs w:val="24"/>
        </w:rPr>
        <w:t>条款</w:t>
      </w:r>
      <w:r w:rsidRPr="00FF7F68">
        <w:rPr>
          <w:rFonts w:hint="eastAsia"/>
          <w:sz w:val="24"/>
          <w:szCs w:val="24"/>
        </w:rPr>
        <w:t>对实施任何相关系列违规行为的人员的民事处罚不得超过</w:t>
      </w:r>
      <w:r w:rsidRPr="00FF7F68">
        <w:rPr>
          <w:rFonts w:hint="eastAsia"/>
          <w:sz w:val="24"/>
          <w:szCs w:val="24"/>
        </w:rPr>
        <w:t>30</w:t>
      </w:r>
      <w:r w:rsidRPr="00FF7F68">
        <w:rPr>
          <w:rFonts w:hint="eastAsia"/>
          <w:sz w:val="24"/>
          <w:szCs w:val="24"/>
        </w:rPr>
        <w:t>万美元。</w:t>
      </w:r>
      <w:r w:rsidRPr="00FF7F68">
        <w:rPr>
          <w:rFonts w:hint="eastAsia"/>
          <w:sz w:val="24"/>
          <w:szCs w:val="24"/>
        </w:rPr>
        <w:t>*</w:t>
      </w:r>
      <w:r w:rsidRPr="00FF7F68">
        <w:rPr>
          <w:rFonts w:hint="eastAsia"/>
          <w:sz w:val="24"/>
          <w:szCs w:val="24"/>
        </w:rPr>
        <w:t>（请注意，民事处罚金额将定期</w:t>
      </w:r>
      <w:r w:rsidR="009F5A08">
        <w:rPr>
          <w:rFonts w:hint="eastAsia"/>
          <w:sz w:val="24"/>
          <w:szCs w:val="24"/>
        </w:rPr>
        <w:t>修改</w:t>
      </w:r>
      <w:r w:rsidRPr="00FF7F68">
        <w:rPr>
          <w:rFonts w:hint="eastAsia"/>
          <w:sz w:val="24"/>
          <w:szCs w:val="24"/>
        </w:rPr>
        <w:t>，以符合</w:t>
      </w:r>
      <w:r w:rsidRPr="00FF7F68">
        <w:rPr>
          <w:rFonts w:hint="eastAsia"/>
          <w:sz w:val="24"/>
          <w:szCs w:val="24"/>
        </w:rPr>
        <w:t>1990</w:t>
      </w:r>
      <w:r w:rsidRPr="00FF7F68">
        <w:rPr>
          <w:rFonts w:hint="eastAsia"/>
          <w:sz w:val="24"/>
          <w:szCs w:val="24"/>
        </w:rPr>
        <w:t>年“联邦民事通缉通货膨胀调整法”。在</w:t>
      </w:r>
      <w:r w:rsidRPr="00FF7F68">
        <w:rPr>
          <w:rFonts w:hint="eastAsia"/>
          <w:sz w:val="24"/>
          <w:szCs w:val="24"/>
        </w:rPr>
        <w:t>2004</w:t>
      </w:r>
      <w:r w:rsidRPr="00FF7F68">
        <w:rPr>
          <w:rFonts w:hint="eastAsia"/>
          <w:sz w:val="24"/>
          <w:szCs w:val="24"/>
        </w:rPr>
        <w:t>年，上述处罚已</w:t>
      </w:r>
      <w:proofErr w:type="gramStart"/>
      <w:r w:rsidRPr="00FF7F68">
        <w:rPr>
          <w:rFonts w:hint="eastAsia"/>
          <w:sz w:val="24"/>
          <w:szCs w:val="24"/>
        </w:rPr>
        <w:t>提升至单次</w:t>
      </w:r>
      <w:proofErr w:type="gramEnd"/>
      <w:r w:rsidRPr="00FF7F68">
        <w:rPr>
          <w:rFonts w:hint="eastAsia"/>
          <w:sz w:val="24"/>
          <w:szCs w:val="24"/>
        </w:rPr>
        <w:t>违规</w:t>
      </w:r>
      <w:r w:rsidRPr="00FF7F68">
        <w:rPr>
          <w:rFonts w:hint="eastAsia"/>
          <w:sz w:val="24"/>
          <w:szCs w:val="24"/>
        </w:rPr>
        <w:t>1</w:t>
      </w:r>
      <w:r w:rsidR="009F5A08">
        <w:rPr>
          <w:rFonts w:hint="eastAsia"/>
          <w:sz w:val="24"/>
          <w:szCs w:val="24"/>
        </w:rPr>
        <w:t>,</w:t>
      </w:r>
      <w:r w:rsidRPr="00FF7F68">
        <w:rPr>
          <w:rFonts w:hint="eastAsia"/>
          <w:sz w:val="24"/>
          <w:szCs w:val="24"/>
        </w:rPr>
        <w:t>1</w:t>
      </w:r>
      <w:r w:rsidR="009F5A08">
        <w:rPr>
          <w:rFonts w:hint="eastAsia"/>
          <w:sz w:val="24"/>
          <w:szCs w:val="24"/>
        </w:rPr>
        <w:t>00</w:t>
      </w:r>
      <w:r w:rsidRPr="00FF7F68">
        <w:rPr>
          <w:rFonts w:hint="eastAsia"/>
          <w:sz w:val="24"/>
          <w:szCs w:val="24"/>
        </w:rPr>
        <w:t>美元，最高为</w:t>
      </w:r>
      <w:r w:rsidRPr="00FF7F68">
        <w:rPr>
          <w:rFonts w:hint="eastAsia"/>
          <w:sz w:val="24"/>
          <w:szCs w:val="24"/>
        </w:rPr>
        <w:t>33</w:t>
      </w:r>
      <w:r w:rsidRPr="00FF7F68">
        <w:rPr>
          <w:rFonts w:hint="eastAsia"/>
          <w:sz w:val="24"/>
          <w:szCs w:val="24"/>
        </w:rPr>
        <w:t>万美元。民事处罚金额更新将在</w:t>
      </w:r>
      <w:r w:rsidRPr="00FF7F68">
        <w:rPr>
          <w:rFonts w:hint="eastAsia"/>
          <w:sz w:val="24"/>
          <w:szCs w:val="24"/>
        </w:rPr>
        <w:t>21 CFR 17.2</w:t>
      </w:r>
      <w:r w:rsidRPr="00FF7F68">
        <w:rPr>
          <w:rFonts w:hint="eastAsia"/>
          <w:sz w:val="24"/>
          <w:szCs w:val="24"/>
        </w:rPr>
        <w:t>中发布。）</w:t>
      </w:r>
      <w:r w:rsidRPr="00FF7F68">
        <w:rPr>
          <w:rFonts w:hint="eastAsia"/>
          <w:sz w:val="24"/>
          <w:szCs w:val="24"/>
        </w:rPr>
        <w:t>*</w:t>
      </w:r>
    </w:p>
    <w:p w:rsidR="00CC3180" w:rsidRPr="00751D02" w:rsidRDefault="00CC3180" w:rsidP="00F82F12">
      <w:pPr>
        <w:overflowPunct w:val="0"/>
        <w:snapToGrid w:val="0"/>
        <w:spacing w:before="10"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备注：为此，术语“制造商”和“进口商”不包括</w:t>
      </w:r>
      <w:r w:rsidR="00A7587D">
        <w:rPr>
          <w:rFonts w:hint="eastAsia"/>
          <w:sz w:val="24"/>
          <w:szCs w:val="24"/>
        </w:rPr>
        <w:t>取出和</w:t>
      </w:r>
      <w:r w:rsidRPr="00FF7F68">
        <w:rPr>
          <w:rFonts w:hint="eastAsia"/>
          <w:sz w:val="24"/>
          <w:szCs w:val="24"/>
        </w:rPr>
        <w:t>组装、更换或将组件安装在系统中的组装商。关于诊断</w:t>
      </w:r>
      <w:r w:rsidRPr="00FF7F68">
        <w:rPr>
          <w:rFonts w:hint="eastAsia"/>
          <w:sz w:val="24"/>
          <w:szCs w:val="24"/>
        </w:rPr>
        <w:t>X</w:t>
      </w:r>
      <w:r w:rsidRPr="00FF7F68">
        <w:rPr>
          <w:rFonts w:hint="eastAsia"/>
          <w:sz w:val="24"/>
          <w:szCs w:val="24"/>
        </w:rPr>
        <w:t>射线设备系统</w:t>
      </w:r>
      <w:proofErr w:type="gramStart"/>
      <w:r w:rsidRPr="00FF7F68">
        <w:rPr>
          <w:rFonts w:hint="eastAsia"/>
          <w:sz w:val="24"/>
          <w:szCs w:val="24"/>
        </w:rPr>
        <w:t>组装商</w:t>
      </w:r>
      <w:proofErr w:type="gramEnd"/>
      <w:r w:rsidRPr="00FF7F68">
        <w:rPr>
          <w:rFonts w:hint="eastAsia"/>
          <w:sz w:val="24"/>
          <w:szCs w:val="24"/>
        </w:rPr>
        <w:t>的指南，请参阅</w:t>
      </w:r>
      <w:r w:rsidRPr="00FF7F68">
        <w:rPr>
          <w:rFonts w:hint="eastAsia"/>
          <w:sz w:val="24"/>
          <w:szCs w:val="24"/>
        </w:rPr>
        <w:t>CPG 7133.12</w:t>
      </w:r>
      <w:r w:rsidRPr="00FF7F68">
        <w:rPr>
          <w:rFonts w:hint="eastAsia"/>
          <w:sz w:val="24"/>
          <w:szCs w:val="24"/>
        </w:rPr>
        <w:t>（请</w:t>
      </w:r>
      <w:proofErr w:type="gramStart"/>
      <w:r w:rsidRPr="00FF7F68">
        <w:rPr>
          <w:rFonts w:hint="eastAsia"/>
          <w:sz w:val="24"/>
          <w:szCs w:val="24"/>
        </w:rPr>
        <w:t>参见第</w:t>
      </w:r>
      <w:proofErr w:type="gramEnd"/>
      <w:r w:rsidR="00AF295A" w:rsidRPr="00FF7F68">
        <w:rPr>
          <w:rFonts w:hint="eastAsia"/>
          <w:sz w:val="24"/>
          <w:szCs w:val="24"/>
        </w:rPr>
        <w:t>3</w:t>
      </w:r>
      <w:r w:rsidR="00AF295A">
        <w:rPr>
          <w:rFonts w:hint="eastAsia"/>
          <w:sz w:val="24"/>
          <w:szCs w:val="24"/>
        </w:rPr>
        <w:t>98</w:t>
      </w:r>
      <w:r w:rsidRPr="00FF7F68">
        <w:rPr>
          <w:rFonts w:hint="eastAsia"/>
          <w:sz w:val="24"/>
          <w:szCs w:val="24"/>
        </w:rPr>
        <w:t>.325</w:t>
      </w:r>
      <w:r w:rsidRPr="00FF7F68">
        <w:rPr>
          <w:rFonts w:hint="eastAsia"/>
          <w:sz w:val="24"/>
          <w:szCs w:val="24"/>
        </w:rPr>
        <w:t>节）</w:t>
      </w:r>
    </w:p>
    <w:p w:rsidR="00CC3180" w:rsidRPr="00FF7F68" w:rsidRDefault="00CC3180" w:rsidP="00F82F12">
      <w:pPr>
        <w:overflowPunct w:val="0"/>
        <w:snapToGrid w:val="0"/>
        <w:spacing w:before="8"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政策</w:t>
      </w:r>
      <w:r w:rsidR="00A7587D">
        <w:rPr>
          <w:rFonts w:hint="eastAsia"/>
          <w:sz w:val="24"/>
          <w:szCs w:val="24"/>
        </w:rPr>
        <w:t>：</w:t>
      </w:r>
    </w:p>
    <w:p w:rsidR="00CC3180" w:rsidRPr="00FF7F68" w:rsidRDefault="00CC3180" w:rsidP="00F82F12">
      <w:pPr>
        <w:overflowPunct w:val="0"/>
        <w:snapToGrid w:val="0"/>
        <w:spacing w:before="9" w:line="300" w:lineRule="auto"/>
        <w:jc w:val="both"/>
        <w:rPr>
          <w:rFonts w:ascii="Arial" w:eastAsia="Arial" w:hAnsi="Arial" w:cs="Arial"/>
          <w:sz w:val="24"/>
          <w:szCs w:val="24"/>
        </w:rPr>
      </w:pPr>
    </w:p>
    <w:p w:rsidR="00CC3180" w:rsidRPr="00FF7F68" w:rsidRDefault="00D30B49" w:rsidP="00154CC1">
      <w:pPr>
        <w:pStyle w:val="a3"/>
        <w:overflowPunct w:val="0"/>
        <w:snapToGrid w:val="0"/>
        <w:spacing w:before="67" w:line="300" w:lineRule="auto"/>
        <w:ind w:left="0"/>
        <w:jc w:val="both"/>
        <w:rPr>
          <w:sz w:val="24"/>
          <w:szCs w:val="24"/>
        </w:rPr>
      </w:pPr>
      <w:r w:rsidRPr="00FF7F68">
        <w:rPr>
          <w:rFonts w:hint="eastAsia"/>
          <w:sz w:val="24"/>
          <w:szCs w:val="24"/>
        </w:rPr>
        <w:t>如果</w:t>
      </w:r>
      <w:r w:rsidR="00A7587D">
        <w:rPr>
          <w:rFonts w:hint="eastAsia"/>
          <w:sz w:val="24"/>
          <w:szCs w:val="24"/>
        </w:rPr>
        <w:t>存在因</w:t>
      </w:r>
      <w:r w:rsidRPr="00FF7F68">
        <w:rPr>
          <w:rFonts w:hint="eastAsia"/>
          <w:sz w:val="24"/>
          <w:szCs w:val="24"/>
        </w:rPr>
        <w:t>使用或接触违法产品导致严重不良健康后果或死亡</w:t>
      </w:r>
      <w:r w:rsidR="00A7587D">
        <w:rPr>
          <w:rFonts w:hint="eastAsia"/>
          <w:sz w:val="24"/>
          <w:szCs w:val="24"/>
        </w:rPr>
        <w:t>的合理可能性</w:t>
      </w:r>
      <w:r w:rsidRPr="00FF7F68">
        <w:rPr>
          <w:rFonts w:hint="eastAsia"/>
          <w:sz w:val="24"/>
          <w:szCs w:val="24"/>
        </w:rPr>
        <w:t>，或责任人有意无视法律，则本机构可在未进行事先警告的情况下处以民事处罚。例如：</w:t>
      </w:r>
    </w:p>
    <w:p w:rsidR="00CC3180" w:rsidRPr="00FF7F68" w:rsidRDefault="00CC3180" w:rsidP="00F82F12">
      <w:pPr>
        <w:overflowPunct w:val="0"/>
        <w:snapToGrid w:val="0"/>
        <w:spacing w:line="300" w:lineRule="auto"/>
        <w:jc w:val="both"/>
        <w:rPr>
          <w:rFonts w:ascii="Arial" w:eastAsia="Arial" w:hAnsi="Arial" w:cs="Arial"/>
          <w:sz w:val="24"/>
          <w:szCs w:val="24"/>
        </w:rPr>
      </w:pPr>
    </w:p>
    <w:p w:rsidR="00CC3180" w:rsidRPr="00FF7F68" w:rsidRDefault="00D30B49" w:rsidP="00F82F12">
      <w:pPr>
        <w:pStyle w:val="a4"/>
        <w:numPr>
          <w:ilvl w:val="0"/>
          <w:numId w:val="2"/>
        </w:numPr>
        <w:tabs>
          <w:tab w:val="left" w:pos="637"/>
        </w:tabs>
        <w:overflowPunct w:val="0"/>
        <w:snapToGrid w:val="0"/>
        <w:spacing w:line="300" w:lineRule="auto"/>
        <w:ind w:left="0" w:firstLine="0"/>
        <w:jc w:val="both"/>
        <w:rPr>
          <w:rFonts w:ascii="Arial" w:eastAsia="宋体" w:hAnsi="Arial" w:cs="Arial"/>
          <w:sz w:val="24"/>
          <w:szCs w:val="24"/>
        </w:rPr>
      </w:pPr>
      <w:r w:rsidRPr="00FF7F68">
        <w:rPr>
          <w:rFonts w:ascii="Arial" w:eastAsia="宋体" w:hint="eastAsia"/>
          <w:sz w:val="24"/>
          <w:szCs w:val="24"/>
        </w:rPr>
        <w:t>制造商在发现</w:t>
      </w:r>
      <w:r w:rsidR="006B340B">
        <w:rPr>
          <w:rFonts w:ascii="Arial" w:eastAsia="宋体" w:hint="eastAsia"/>
          <w:sz w:val="24"/>
          <w:szCs w:val="24"/>
        </w:rPr>
        <w:t>产品（已离开产地）</w:t>
      </w:r>
      <w:r w:rsidRPr="00FF7F68">
        <w:rPr>
          <w:rFonts w:ascii="Arial" w:eastAsia="宋体" w:hint="eastAsia"/>
          <w:sz w:val="24"/>
          <w:szCs w:val="24"/>
        </w:rPr>
        <w:t>存在缺陷或不符合</w:t>
      </w:r>
      <w:r w:rsidR="00A7587D">
        <w:rPr>
          <w:rFonts w:ascii="Arial" w:eastAsia="宋体" w:hint="eastAsia"/>
          <w:sz w:val="24"/>
          <w:szCs w:val="24"/>
        </w:rPr>
        <w:t>适用的</w:t>
      </w:r>
      <w:r w:rsidRPr="00FF7F68">
        <w:rPr>
          <w:rFonts w:ascii="Arial" w:eastAsia="宋体" w:hint="eastAsia"/>
          <w:sz w:val="24"/>
          <w:szCs w:val="24"/>
        </w:rPr>
        <w:t>性能标准时未通知</w:t>
      </w:r>
      <w:r w:rsidRPr="00FF7F68">
        <w:rPr>
          <w:rFonts w:ascii="Arial" w:eastAsia="宋体" w:hint="eastAsia"/>
          <w:sz w:val="24"/>
          <w:szCs w:val="24"/>
        </w:rPr>
        <w:t>FDA</w:t>
      </w:r>
      <w:r w:rsidRPr="00FF7F68">
        <w:rPr>
          <w:rFonts w:ascii="Arial" w:eastAsia="宋体" w:hint="eastAsia"/>
          <w:sz w:val="24"/>
          <w:szCs w:val="24"/>
        </w:rPr>
        <w:t>；</w:t>
      </w: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或</w:t>
      </w:r>
    </w:p>
    <w:p w:rsidR="0099670E" w:rsidRPr="00FF7F68" w:rsidRDefault="0099670E">
      <w:pPr>
        <w:rPr>
          <w:sz w:val="24"/>
          <w:szCs w:val="24"/>
        </w:rPr>
      </w:pPr>
      <w:r w:rsidRPr="00FF7F68">
        <w:rPr>
          <w:sz w:val="24"/>
          <w:szCs w:val="24"/>
        </w:rPr>
        <w:br w:type="page"/>
      </w:r>
    </w:p>
    <w:p w:rsidR="00CC3180" w:rsidRPr="00FF7F68" w:rsidRDefault="00D30B49" w:rsidP="00F82F12">
      <w:pPr>
        <w:pStyle w:val="a4"/>
        <w:numPr>
          <w:ilvl w:val="0"/>
          <w:numId w:val="2"/>
        </w:numPr>
        <w:tabs>
          <w:tab w:val="left" w:pos="637"/>
        </w:tabs>
        <w:overflowPunct w:val="0"/>
        <w:snapToGrid w:val="0"/>
        <w:spacing w:before="211" w:line="300" w:lineRule="auto"/>
        <w:ind w:left="0" w:firstLine="0"/>
        <w:jc w:val="both"/>
        <w:rPr>
          <w:rFonts w:ascii="Arial" w:eastAsia="宋体" w:hAnsi="Arial" w:cs="Arial"/>
          <w:sz w:val="24"/>
          <w:szCs w:val="24"/>
        </w:rPr>
      </w:pPr>
      <w:r w:rsidRPr="00FF7F68">
        <w:rPr>
          <w:rFonts w:ascii="Arial" w:eastAsia="宋体" w:hint="eastAsia"/>
          <w:sz w:val="24"/>
          <w:szCs w:val="24"/>
        </w:rPr>
        <w:lastRenderedPageBreak/>
        <w:t>制造商未能提交</w:t>
      </w:r>
      <w:r w:rsidR="006B340B">
        <w:rPr>
          <w:rFonts w:ascii="Arial" w:eastAsia="宋体" w:hint="eastAsia"/>
          <w:sz w:val="24"/>
          <w:szCs w:val="24"/>
        </w:rPr>
        <w:t>含有以下证据的</w:t>
      </w:r>
      <w:r w:rsidRPr="00FF7F68">
        <w:rPr>
          <w:rFonts w:ascii="Arial" w:eastAsia="宋体" w:hint="eastAsia"/>
          <w:sz w:val="24"/>
          <w:szCs w:val="24"/>
        </w:rPr>
        <w:t>所需报告</w:t>
      </w:r>
      <w:r w:rsidR="006B340B">
        <w:rPr>
          <w:rFonts w:ascii="Arial" w:eastAsia="宋体" w:hint="eastAsia"/>
          <w:sz w:val="24"/>
          <w:szCs w:val="24"/>
        </w:rPr>
        <w:t>：</w:t>
      </w:r>
    </w:p>
    <w:p w:rsidR="00CC3180" w:rsidRPr="00FF7F68" w:rsidRDefault="00CC3180" w:rsidP="00F82F12">
      <w:pPr>
        <w:overflowPunct w:val="0"/>
        <w:snapToGrid w:val="0"/>
        <w:spacing w:line="300" w:lineRule="auto"/>
        <w:jc w:val="both"/>
        <w:rPr>
          <w:rFonts w:ascii="Arial" w:eastAsia="Arial" w:hAnsi="Arial" w:cs="Arial"/>
          <w:sz w:val="24"/>
          <w:szCs w:val="24"/>
        </w:rPr>
      </w:pPr>
    </w:p>
    <w:p w:rsidR="00CC3180" w:rsidRPr="00FF7F68" w:rsidRDefault="00D30B49" w:rsidP="00FF7F68">
      <w:pPr>
        <w:pStyle w:val="a4"/>
        <w:numPr>
          <w:ilvl w:val="1"/>
          <w:numId w:val="2"/>
        </w:numPr>
        <w:tabs>
          <w:tab w:val="left" w:pos="1131"/>
        </w:tabs>
        <w:overflowPunct w:val="0"/>
        <w:snapToGrid w:val="0"/>
        <w:spacing w:line="300" w:lineRule="auto"/>
        <w:ind w:left="0" w:firstLineChars="252" w:firstLine="605"/>
        <w:jc w:val="both"/>
        <w:rPr>
          <w:rFonts w:ascii="Arial" w:eastAsia="宋体" w:hAnsi="Arial" w:cs="Arial"/>
          <w:sz w:val="24"/>
          <w:szCs w:val="24"/>
        </w:rPr>
      </w:pPr>
      <w:r w:rsidRPr="00FF7F68">
        <w:rPr>
          <w:rFonts w:ascii="Arial" w:eastAsia="宋体" w:hint="eastAsia"/>
          <w:sz w:val="24"/>
          <w:szCs w:val="24"/>
        </w:rPr>
        <w:t>不符合性能标准的产品</w:t>
      </w:r>
      <w:r w:rsidR="00BC09B9">
        <w:rPr>
          <w:rFonts w:ascii="Arial" w:eastAsia="宋体" w:hint="eastAsia"/>
          <w:sz w:val="24"/>
          <w:szCs w:val="24"/>
        </w:rPr>
        <w:t>分销</w:t>
      </w:r>
      <w:r w:rsidRPr="00FF7F68">
        <w:rPr>
          <w:rFonts w:ascii="Arial" w:eastAsia="宋体" w:hint="eastAsia"/>
          <w:sz w:val="24"/>
          <w:szCs w:val="24"/>
        </w:rPr>
        <w:t>证据</w:t>
      </w:r>
      <w:r w:rsidR="006B340B">
        <w:rPr>
          <w:rFonts w:ascii="Arial" w:eastAsia="宋体" w:hint="eastAsia"/>
          <w:sz w:val="24"/>
          <w:szCs w:val="24"/>
        </w:rPr>
        <w:t>；</w:t>
      </w:r>
    </w:p>
    <w:p w:rsidR="00CC3180" w:rsidRPr="00FF7F68" w:rsidRDefault="00D30B49" w:rsidP="0087566A">
      <w:pPr>
        <w:pStyle w:val="a3"/>
        <w:overflowPunct w:val="0"/>
        <w:snapToGrid w:val="0"/>
        <w:spacing w:before="53" w:line="300" w:lineRule="auto"/>
        <w:ind w:left="0" w:firstLineChars="455" w:firstLine="1092"/>
        <w:jc w:val="both"/>
        <w:rPr>
          <w:sz w:val="24"/>
          <w:szCs w:val="24"/>
        </w:rPr>
      </w:pPr>
      <w:r w:rsidRPr="00FF7F68">
        <w:rPr>
          <w:rFonts w:hint="eastAsia"/>
          <w:sz w:val="24"/>
          <w:szCs w:val="24"/>
        </w:rPr>
        <w:t>或</w:t>
      </w:r>
    </w:p>
    <w:p w:rsidR="00CC3180" w:rsidRPr="00FF7F68" w:rsidRDefault="00D30B49" w:rsidP="00481EF0">
      <w:pPr>
        <w:pStyle w:val="a4"/>
        <w:numPr>
          <w:ilvl w:val="1"/>
          <w:numId w:val="2"/>
        </w:numPr>
        <w:tabs>
          <w:tab w:val="left" w:pos="1131"/>
        </w:tabs>
        <w:overflowPunct w:val="0"/>
        <w:snapToGrid w:val="0"/>
        <w:spacing w:line="300" w:lineRule="auto"/>
        <w:ind w:left="0" w:firstLineChars="252" w:firstLine="605"/>
        <w:jc w:val="both"/>
        <w:rPr>
          <w:rFonts w:ascii="Arial" w:eastAsia="宋体" w:hAnsi="Arial" w:cs="Arial"/>
          <w:sz w:val="24"/>
          <w:szCs w:val="24"/>
        </w:rPr>
      </w:pPr>
      <w:r w:rsidRPr="00FF7F68">
        <w:rPr>
          <w:rFonts w:ascii="Arial" w:eastAsia="宋体" w:hint="eastAsia"/>
          <w:sz w:val="24"/>
          <w:szCs w:val="24"/>
        </w:rPr>
        <w:t>存在缺陷且此类缺陷可造成重大</w:t>
      </w:r>
      <w:r w:rsidR="006B340B">
        <w:rPr>
          <w:rFonts w:ascii="Arial" w:eastAsia="宋体" w:hint="eastAsia"/>
          <w:sz w:val="24"/>
          <w:szCs w:val="24"/>
        </w:rPr>
        <w:t>损伤</w:t>
      </w:r>
      <w:r w:rsidRPr="00FF7F68">
        <w:rPr>
          <w:rFonts w:ascii="Arial" w:eastAsia="宋体" w:hint="eastAsia"/>
          <w:sz w:val="24"/>
          <w:szCs w:val="24"/>
        </w:rPr>
        <w:t>风险的产品</w:t>
      </w:r>
      <w:r w:rsidR="00BC09B9">
        <w:rPr>
          <w:rFonts w:ascii="Arial" w:eastAsia="宋体" w:hint="eastAsia"/>
          <w:sz w:val="24"/>
          <w:szCs w:val="24"/>
        </w:rPr>
        <w:t>分销</w:t>
      </w:r>
      <w:r w:rsidRPr="00FF7F68">
        <w:rPr>
          <w:rFonts w:ascii="Arial" w:eastAsia="宋体" w:hint="eastAsia"/>
          <w:sz w:val="24"/>
          <w:szCs w:val="24"/>
        </w:rPr>
        <w:t>证据</w:t>
      </w:r>
      <w:r w:rsidR="006B340B">
        <w:rPr>
          <w:rFonts w:ascii="Arial" w:eastAsia="宋体" w:hint="eastAsia"/>
          <w:sz w:val="24"/>
          <w:szCs w:val="24"/>
        </w:rPr>
        <w:t>；</w:t>
      </w:r>
      <w:r w:rsidRPr="00FF7F68">
        <w:rPr>
          <w:rFonts w:ascii="Arial" w:eastAsia="宋体" w:hint="eastAsia"/>
          <w:sz w:val="24"/>
          <w:szCs w:val="24"/>
        </w:rPr>
        <w:t>或</w:t>
      </w:r>
    </w:p>
    <w:p w:rsidR="00CC3180" w:rsidRPr="00FF7F68" w:rsidRDefault="00D30B49" w:rsidP="00F82F12">
      <w:pPr>
        <w:pStyle w:val="a4"/>
        <w:numPr>
          <w:ilvl w:val="0"/>
          <w:numId w:val="2"/>
        </w:numPr>
        <w:tabs>
          <w:tab w:val="left" w:pos="637"/>
        </w:tabs>
        <w:overflowPunct w:val="0"/>
        <w:snapToGrid w:val="0"/>
        <w:spacing w:before="2" w:line="300" w:lineRule="auto"/>
        <w:ind w:left="0" w:firstLine="0"/>
        <w:jc w:val="both"/>
        <w:rPr>
          <w:rFonts w:ascii="Arial" w:eastAsia="宋体" w:hAnsi="Arial" w:cs="Arial"/>
          <w:sz w:val="24"/>
          <w:szCs w:val="24"/>
        </w:rPr>
      </w:pPr>
      <w:r w:rsidRPr="00FF7F68">
        <w:rPr>
          <w:rFonts w:ascii="Arial" w:eastAsia="宋体" w:hint="eastAsia"/>
          <w:sz w:val="24"/>
          <w:szCs w:val="24"/>
        </w:rPr>
        <w:t>发行人在履行合理注意义务后，知道该证明为虚假证明或具有误导性的情况下仍发行虚假证明</w:t>
      </w:r>
      <w:r w:rsidR="006B340B">
        <w:rPr>
          <w:rFonts w:ascii="Arial" w:eastAsia="宋体" w:hint="eastAsia"/>
          <w:sz w:val="24"/>
          <w:szCs w:val="24"/>
        </w:rPr>
        <w:t>；</w:t>
      </w:r>
    </w:p>
    <w:p w:rsidR="00CC3180" w:rsidRPr="00FF7F68" w:rsidRDefault="00D30B49" w:rsidP="0087566A">
      <w:pPr>
        <w:pStyle w:val="a3"/>
        <w:overflowPunct w:val="0"/>
        <w:snapToGrid w:val="0"/>
        <w:spacing w:line="300" w:lineRule="auto"/>
        <w:ind w:left="0" w:firstLineChars="449" w:firstLine="1078"/>
        <w:jc w:val="both"/>
        <w:rPr>
          <w:sz w:val="24"/>
          <w:szCs w:val="24"/>
        </w:rPr>
      </w:pPr>
      <w:r w:rsidRPr="00FF7F68">
        <w:rPr>
          <w:rFonts w:hint="eastAsia"/>
          <w:sz w:val="24"/>
          <w:szCs w:val="24"/>
        </w:rPr>
        <w:t>或</w:t>
      </w:r>
    </w:p>
    <w:p w:rsidR="00CC3180" w:rsidRPr="00FF7F68" w:rsidRDefault="00D30B49" w:rsidP="0087566A">
      <w:pPr>
        <w:pStyle w:val="a4"/>
        <w:numPr>
          <w:ilvl w:val="0"/>
          <w:numId w:val="2"/>
        </w:numPr>
        <w:tabs>
          <w:tab w:val="left" w:pos="632"/>
        </w:tabs>
        <w:overflowPunct w:val="0"/>
        <w:snapToGrid w:val="0"/>
        <w:spacing w:before="56" w:line="300" w:lineRule="auto"/>
        <w:ind w:left="643" w:hangingChars="268" w:hanging="643"/>
        <w:jc w:val="both"/>
        <w:rPr>
          <w:rFonts w:ascii="Arial" w:eastAsia="宋体" w:hAnsi="Arial" w:cs="Arial"/>
          <w:sz w:val="24"/>
          <w:szCs w:val="24"/>
        </w:rPr>
      </w:pPr>
      <w:r w:rsidRPr="00FF7F68">
        <w:rPr>
          <w:rFonts w:ascii="Arial" w:eastAsia="宋体" w:hint="eastAsia"/>
          <w:sz w:val="24"/>
          <w:szCs w:val="24"/>
        </w:rPr>
        <w:t>拒绝进入或检验，或拒绝正式授权代表根据</w:t>
      </w:r>
      <w:r w:rsidRPr="00FF7F68">
        <w:rPr>
          <w:rFonts w:ascii="Arial" w:eastAsia="宋体" w:hint="eastAsia"/>
          <w:sz w:val="24"/>
          <w:szCs w:val="24"/>
        </w:rPr>
        <w:t>FFDCA</w:t>
      </w:r>
      <w:r w:rsidRPr="00FF7F68">
        <w:rPr>
          <w:rFonts w:ascii="Arial" w:eastAsia="宋体" w:hint="eastAsia"/>
          <w:sz w:val="24"/>
          <w:szCs w:val="24"/>
        </w:rPr>
        <w:t>要求访问或复制记录，且此类拒绝无视检验授权书。</w:t>
      </w:r>
    </w:p>
    <w:p w:rsidR="00CC3180" w:rsidRPr="00FF7F68" w:rsidRDefault="00D30B49" w:rsidP="0087566A">
      <w:pPr>
        <w:pStyle w:val="a3"/>
        <w:overflowPunct w:val="0"/>
        <w:snapToGrid w:val="0"/>
        <w:spacing w:before="2" w:line="300" w:lineRule="auto"/>
        <w:ind w:left="0" w:firstLineChars="280" w:firstLine="672"/>
        <w:jc w:val="both"/>
        <w:rPr>
          <w:sz w:val="24"/>
          <w:szCs w:val="24"/>
        </w:rPr>
      </w:pPr>
      <w:r w:rsidRPr="00FF7F68">
        <w:rPr>
          <w:rFonts w:hint="eastAsia"/>
          <w:sz w:val="24"/>
          <w:szCs w:val="24"/>
        </w:rPr>
        <w:t>或</w:t>
      </w:r>
    </w:p>
    <w:p w:rsidR="00CC3180" w:rsidRPr="00FF7F68" w:rsidRDefault="00D30B49" w:rsidP="0037617C">
      <w:pPr>
        <w:pStyle w:val="a4"/>
        <w:numPr>
          <w:ilvl w:val="0"/>
          <w:numId w:val="2"/>
        </w:numPr>
        <w:tabs>
          <w:tab w:val="left" w:pos="632"/>
        </w:tabs>
        <w:overflowPunct w:val="0"/>
        <w:snapToGrid w:val="0"/>
        <w:spacing w:before="56" w:line="300" w:lineRule="auto"/>
        <w:ind w:left="643" w:hangingChars="268" w:hanging="643"/>
        <w:jc w:val="both"/>
        <w:rPr>
          <w:rFonts w:ascii="Arial" w:eastAsia="宋体" w:hAnsi="Arial" w:cs="Arial"/>
          <w:sz w:val="24"/>
          <w:szCs w:val="24"/>
        </w:rPr>
      </w:pPr>
      <w:r w:rsidRPr="00FF7F68">
        <w:rPr>
          <w:rFonts w:ascii="Arial" w:eastAsia="宋体" w:hint="eastAsia"/>
          <w:sz w:val="24"/>
          <w:szCs w:val="24"/>
        </w:rPr>
        <w:t>制造商销售因与强制召回产品相同或相似的原因而不合格的产品或在已知产品不合格的情况下仍销售该产品</w:t>
      </w:r>
      <w:r w:rsidR="006B340B">
        <w:rPr>
          <w:rFonts w:ascii="Arial" w:eastAsia="宋体" w:hint="eastAsia"/>
          <w:sz w:val="24"/>
          <w:szCs w:val="24"/>
        </w:rPr>
        <w:t>；</w:t>
      </w:r>
    </w:p>
    <w:p w:rsidR="00CC3180" w:rsidRPr="00FF7F68" w:rsidRDefault="00CC3180" w:rsidP="00F82F12">
      <w:pPr>
        <w:overflowPunct w:val="0"/>
        <w:snapToGrid w:val="0"/>
        <w:spacing w:before="7" w:line="300" w:lineRule="auto"/>
        <w:jc w:val="both"/>
        <w:rPr>
          <w:rFonts w:ascii="Arial" w:eastAsia="Arial" w:hAnsi="Arial" w:cs="Arial"/>
          <w:sz w:val="24"/>
          <w:szCs w:val="24"/>
        </w:rPr>
      </w:pPr>
    </w:p>
    <w:p w:rsidR="00CC3180" w:rsidRPr="00FF7F68" w:rsidRDefault="00D30B49" w:rsidP="00F82F12">
      <w:pPr>
        <w:pStyle w:val="a4"/>
        <w:numPr>
          <w:ilvl w:val="0"/>
          <w:numId w:val="2"/>
        </w:numPr>
        <w:tabs>
          <w:tab w:val="left" w:pos="632"/>
        </w:tabs>
        <w:overflowPunct w:val="0"/>
        <w:snapToGrid w:val="0"/>
        <w:spacing w:line="300" w:lineRule="auto"/>
        <w:ind w:left="0" w:firstLine="0"/>
        <w:jc w:val="both"/>
        <w:rPr>
          <w:rFonts w:ascii="Arial" w:eastAsia="宋体" w:hAnsi="Arial" w:cs="Arial"/>
          <w:sz w:val="24"/>
          <w:szCs w:val="24"/>
        </w:rPr>
      </w:pPr>
      <w:r w:rsidRPr="00FF7F68">
        <w:rPr>
          <w:rFonts w:ascii="Arial" w:eastAsia="宋体" w:hint="eastAsia"/>
          <w:sz w:val="24"/>
          <w:szCs w:val="24"/>
        </w:rPr>
        <w:t>在</w:t>
      </w:r>
      <w:r w:rsidRPr="00FF7F68">
        <w:rPr>
          <w:rFonts w:ascii="Arial" w:eastAsia="宋体" w:hint="eastAsia"/>
          <w:sz w:val="24"/>
          <w:szCs w:val="24"/>
        </w:rPr>
        <w:t>CDRH</w:t>
      </w:r>
      <w:r w:rsidRPr="00FF7F68">
        <w:rPr>
          <w:rFonts w:ascii="Arial" w:eastAsia="宋体" w:hint="eastAsia"/>
          <w:sz w:val="24"/>
          <w:szCs w:val="24"/>
        </w:rPr>
        <w:t>适当通知后拒绝启动纠正措施（召回）。</w:t>
      </w:r>
    </w:p>
    <w:p w:rsidR="00CC3180" w:rsidRPr="00FF7F68" w:rsidRDefault="00CC3180" w:rsidP="00F82F12">
      <w:pPr>
        <w:overflowPunct w:val="0"/>
        <w:snapToGrid w:val="0"/>
        <w:spacing w:before="2"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在首次通知违反</w:t>
      </w:r>
      <w:r w:rsidRPr="00FF7F68">
        <w:rPr>
          <w:rFonts w:hint="eastAsia"/>
          <w:sz w:val="24"/>
          <w:szCs w:val="24"/>
        </w:rPr>
        <w:t>FFDCA</w:t>
      </w:r>
      <w:r w:rsidRPr="00FF7F68">
        <w:rPr>
          <w:rFonts w:hint="eastAsia"/>
          <w:sz w:val="24"/>
          <w:szCs w:val="24"/>
        </w:rPr>
        <w:t>且这种违规行为不会造成严重健康后果时以及未有意无视法律时，本机构一般不会考虑进行民事处罚。如果此类违规行为未得到纠正或继续发生，或在</w:t>
      </w:r>
      <w:proofErr w:type="gramStart"/>
      <w:r w:rsidRPr="00FF7F68">
        <w:rPr>
          <w:rFonts w:hint="eastAsia"/>
          <w:sz w:val="24"/>
          <w:szCs w:val="24"/>
        </w:rPr>
        <w:t>适当警告</w:t>
      </w:r>
      <w:proofErr w:type="gramEnd"/>
      <w:r w:rsidRPr="00FF7F68">
        <w:rPr>
          <w:rFonts w:hint="eastAsia"/>
          <w:sz w:val="24"/>
          <w:szCs w:val="24"/>
        </w:rPr>
        <w:t>后再次发生，将考虑进行民事处罚。</w:t>
      </w:r>
      <w:r w:rsidRPr="00FF7F68">
        <w:rPr>
          <w:rFonts w:hint="eastAsia"/>
          <w:sz w:val="24"/>
          <w:szCs w:val="24"/>
        </w:rPr>
        <w:t>FDA</w:t>
      </w:r>
      <w:r w:rsidRPr="00FF7F68">
        <w:rPr>
          <w:rFonts w:hint="eastAsia"/>
          <w:sz w:val="24"/>
          <w:szCs w:val="24"/>
        </w:rPr>
        <w:t>将通过书面</w:t>
      </w:r>
      <w:r w:rsidR="00751D02">
        <w:rPr>
          <w:rFonts w:hint="eastAsia"/>
          <w:sz w:val="24"/>
          <w:szCs w:val="24"/>
        </w:rPr>
        <w:t>形式</w:t>
      </w:r>
      <w:r w:rsidRPr="00FF7F68">
        <w:rPr>
          <w:rFonts w:hint="eastAsia"/>
          <w:sz w:val="24"/>
          <w:szCs w:val="24"/>
        </w:rPr>
        <w:t>通知所有违规行为的责任方。如果在收到此通知后，此类违规行为仍未得到纠正或类似违规行为继续发生，本机构通常会发出警告函</w:t>
      </w:r>
      <w:r w:rsidR="00751D02">
        <w:rPr>
          <w:rFonts w:hint="eastAsia"/>
          <w:sz w:val="24"/>
          <w:szCs w:val="24"/>
        </w:rPr>
        <w:t>，</w:t>
      </w:r>
      <w:r w:rsidRPr="00FF7F68">
        <w:rPr>
          <w:rFonts w:hint="eastAsia"/>
          <w:sz w:val="24"/>
          <w:szCs w:val="24"/>
        </w:rPr>
        <w:t>以要求合</w:t>
      </w:r>
      <w:proofErr w:type="gramStart"/>
      <w:r w:rsidRPr="00FF7F68">
        <w:rPr>
          <w:rFonts w:hint="eastAsia"/>
          <w:sz w:val="24"/>
          <w:szCs w:val="24"/>
        </w:rPr>
        <w:t>规</w:t>
      </w:r>
      <w:proofErr w:type="gramEnd"/>
      <w:r w:rsidRPr="00FF7F68">
        <w:rPr>
          <w:rFonts w:hint="eastAsia"/>
          <w:sz w:val="24"/>
          <w:szCs w:val="24"/>
        </w:rPr>
        <w:t>。如果此工作未见成效，将考虑进行民事处罚。</w:t>
      </w:r>
    </w:p>
    <w:p w:rsidR="00CC3180" w:rsidRPr="00FF7F68" w:rsidRDefault="00CC3180" w:rsidP="00F82F12">
      <w:pPr>
        <w:overflowPunct w:val="0"/>
        <w:snapToGrid w:val="0"/>
        <w:spacing w:before="5" w:line="300" w:lineRule="auto"/>
        <w:jc w:val="both"/>
        <w:rPr>
          <w:rFonts w:ascii="Arial" w:eastAsia="Arial" w:hAnsi="Arial" w:cs="Arial"/>
          <w:sz w:val="24"/>
          <w:szCs w:val="24"/>
        </w:rPr>
      </w:pP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rPr>
        <w:t>事先警告后仍未纠正，导致处以民事处罚的违规行为示例包括但不限于：</w:t>
      </w:r>
    </w:p>
    <w:p w:rsidR="00CC3180" w:rsidRPr="00FF7F68" w:rsidRDefault="00CC3180" w:rsidP="00F82F12">
      <w:pPr>
        <w:overflowPunct w:val="0"/>
        <w:snapToGrid w:val="0"/>
        <w:spacing w:before="8" w:line="300" w:lineRule="auto"/>
        <w:jc w:val="both"/>
        <w:rPr>
          <w:rFonts w:ascii="Arial" w:eastAsia="Arial" w:hAnsi="Arial" w:cs="Arial"/>
          <w:sz w:val="24"/>
          <w:szCs w:val="24"/>
        </w:rPr>
      </w:pPr>
    </w:p>
    <w:p w:rsidR="00CC3180" w:rsidRPr="00FF7F68" w:rsidRDefault="00751D02" w:rsidP="00F82F12">
      <w:pPr>
        <w:pStyle w:val="a4"/>
        <w:numPr>
          <w:ilvl w:val="0"/>
          <w:numId w:val="1"/>
        </w:numPr>
        <w:tabs>
          <w:tab w:val="left" w:pos="632"/>
        </w:tabs>
        <w:overflowPunct w:val="0"/>
        <w:snapToGrid w:val="0"/>
        <w:spacing w:line="300" w:lineRule="auto"/>
        <w:ind w:left="0" w:firstLine="0"/>
        <w:jc w:val="both"/>
        <w:rPr>
          <w:rFonts w:ascii="Arial" w:eastAsia="宋体" w:hAnsi="Arial" w:cs="Arial"/>
          <w:sz w:val="24"/>
          <w:szCs w:val="24"/>
        </w:rPr>
      </w:pPr>
      <w:r>
        <w:rPr>
          <w:rFonts w:ascii="Arial" w:eastAsia="宋体" w:hint="eastAsia"/>
          <w:sz w:val="24"/>
          <w:szCs w:val="24"/>
        </w:rPr>
        <w:t>分销</w:t>
      </w:r>
      <w:r w:rsidR="00D30B49" w:rsidRPr="00FF7F68">
        <w:rPr>
          <w:rFonts w:ascii="Arial" w:eastAsia="宋体" w:hint="eastAsia"/>
          <w:sz w:val="24"/>
          <w:szCs w:val="24"/>
        </w:rPr>
        <w:t>不符合适用性能标准且本机构认为严重违反该性能标准的产品。</w:t>
      </w:r>
    </w:p>
    <w:p w:rsidR="00CC3180" w:rsidRPr="00FF7F68" w:rsidRDefault="00D30B49" w:rsidP="00F82F12">
      <w:pPr>
        <w:pStyle w:val="a4"/>
        <w:numPr>
          <w:ilvl w:val="0"/>
          <w:numId w:val="1"/>
        </w:numPr>
        <w:tabs>
          <w:tab w:val="left" w:pos="632"/>
        </w:tabs>
        <w:overflowPunct w:val="0"/>
        <w:snapToGrid w:val="0"/>
        <w:spacing w:before="126" w:line="300" w:lineRule="auto"/>
        <w:ind w:left="0" w:firstLine="0"/>
        <w:jc w:val="both"/>
        <w:rPr>
          <w:rFonts w:ascii="Arial" w:eastAsia="宋体" w:hAnsi="Arial" w:cs="Arial"/>
          <w:sz w:val="24"/>
          <w:szCs w:val="24"/>
        </w:rPr>
      </w:pPr>
      <w:r w:rsidRPr="00FF7F68">
        <w:rPr>
          <w:rFonts w:ascii="Arial" w:eastAsia="宋体" w:hint="eastAsia"/>
          <w:sz w:val="24"/>
          <w:szCs w:val="24"/>
        </w:rPr>
        <w:t>拒绝通知</w:t>
      </w:r>
      <w:r w:rsidR="00751D02">
        <w:rPr>
          <w:rFonts w:ascii="Arial" w:eastAsia="宋体" w:hint="eastAsia"/>
          <w:sz w:val="24"/>
          <w:szCs w:val="24"/>
        </w:rPr>
        <w:t>买方</w:t>
      </w:r>
      <w:r w:rsidRPr="00FF7F68">
        <w:rPr>
          <w:rFonts w:ascii="Arial" w:eastAsia="宋体" w:hint="eastAsia"/>
          <w:sz w:val="24"/>
          <w:szCs w:val="24"/>
        </w:rPr>
        <w:t>。</w:t>
      </w:r>
    </w:p>
    <w:p w:rsidR="00CC3180" w:rsidRPr="00FF7F68" w:rsidRDefault="00D30B49" w:rsidP="00F82F12">
      <w:pPr>
        <w:pStyle w:val="a4"/>
        <w:numPr>
          <w:ilvl w:val="0"/>
          <w:numId w:val="1"/>
        </w:numPr>
        <w:tabs>
          <w:tab w:val="left" w:pos="637"/>
        </w:tabs>
        <w:overflowPunct w:val="0"/>
        <w:snapToGrid w:val="0"/>
        <w:spacing w:before="181" w:line="300" w:lineRule="auto"/>
        <w:ind w:left="0" w:firstLine="0"/>
        <w:jc w:val="both"/>
        <w:rPr>
          <w:rFonts w:ascii="Arial" w:eastAsia="宋体" w:hAnsi="Arial" w:cs="Arial"/>
          <w:sz w:val="24"/>
          <w:szCs w:val="24"/>
        </w:rPr>
      </w:pPr>
      <w:r w:rsidRPr="00FF7F68">
        <w:rPr>
          <w:rFonts w:ascii="Arial" w:eastAsia="宋体" w:hint="eastAsia"/>
          <w:sz w:val="24"/>
          <w:szCs w:val="24"/>
        </w:rPr>
        <w:t>未能在合理时间内进行通知。</w:t>
      </w:r>
    </w:p>
    <w:p w:rsidR="00CC3180" w:rsidRPr="00FF7F68" w:rsidRDefault="00D30B49" w:rsidP="00F82F12">
      <w:pPr>
        <w:pStyle w:val="a4"/>
        <w:numPr>
          <w:ilvl w:val="0"/>
          <w:numId w:val="1"/>
        </w:numPr>
        <w:tabs>
          <w:tab w:val="left" w:pos="637"/>
        </w:tabs>
        <w:overflowPunct w:val="0"/>
        <w:snapToGrid w:val="0"/>
        <w:spacing w:before="181" w:line="300" w:lineRule="auto"/>
        <w:ind w:left="0" w:firstLine="0"/>
        <w:jc w:val="both"/>
        <w:rPr>
          <w:rFonts w:ascii="Arial" w:eastAsia="宋体" w:hAnsi="Arial" w:cs="Arial"/>
          <w:sz w:val="24"/>
          <w:szCs w:val="24"/>
        </w:rPr>
      </w:pPr>
      <w:r w:rsidRPr="00FF7F68">
        <w:rPr>
          <w:rFonts w:ascii="Arial" w:eastAsia="宋体" w:hint="eastAsia"/>
          <w:sz w:val="24"/>
          <w:szCs w:val="24"/>
        </w:rPr>
        <w:t>未提交报告或提交不完整或不充分的报告。</w:t>
      </w:r>
    </w:p>
    <w:p w:rsidR="00CC3180" w:rsidRPr="00FF7F68" w:rsidRDefault="00D30B49" w:rsidP="00565D75">
      <w:pPr>
        <w:pStyle w:val="a4"/>
        <w:numPr>
          <w:ilvl w:val="0"/>
          <w:numId w:val="1"/>
        </w:numPr>
        <w:tabs>
          <w:tab w:val="left" w:pos="637"/>
        </w:tabs>
        <w:overflowPunct w:val="0"/>
        <w:snapToGrid w:val="0"/>
        <w:spacing w:before="181" w:line="300" w:lineRule="auto"/>
        <w:ind w:left="614" w:hangingChars="256" w:hanging="614"/>
        <w:jc w:val="both"/>
        <w:rPr>
          <w:rFonts w:ascii="Arial" w:eastAsia="宋体" w:hAnsi="Arial" w:cs="Arial"/>
          <w:sz w:val="24"/>
          <w:szCs w:val="24"/>
        </w:rPr>
      </w:pPr>
      <w:r w:rsidRPr="00FF7F68">
        <w:rPr>
          <w:rFonts w:ascii="Arial" w:eastAsia="宋体" w:hAnsi="Arial" w:hint="eastAsia"/>
          <w:sz w:val="24"/>
          <w:szCs w:val="24"/>
        </w:rPr>
        <w:t>未能建立和维护记录或制造商的记录保存系统中存在可能导致召回（如果需要召回）失效的严重缺陷。</w:t>
      </w:r>
    </w:p>
    <w:p w:rsidR="00CC3180" w:rsidRPr="00FF7F68" w:rsidRDefault="00D30B49" w:rsidP="00F82F12">
      <w:pPr>
        <w:pStyle w:val="a4"/>
        <w:numPr>
          <w:ilvl w:val="0"/>
          <w:numId w:val="1"/>
        </w:numPr>
        <w:tabs>
          <w:tab w:val="left" w:pos="637"/>
        </w:tabs>
        <w:overflowPunct w:val="0"/>
        <w:snapToGrid w:val="0"/>
        <w:spacing w:before="100" w:line="300" w:lineRule="auto"/>
        <w:ind w:left="0" w:firstLine="0"/>
        <w:jc w:val="both"/>
        <w:rPr>
          <w:rFonts w:ascii="Arial" w:eastAsia="宋体" w:hAnsi="Arial" w:cs="Arial"/>
          <w:sz w:val="24"/>
          <w:szCs w:val="24"/>
        </w:rPr>
      </w:pPr>
      <w:r w:rsidRPr="00FF7F68">
        <w:rPr>
          <w:rFonts w:ascii="Arial" w:eastAsia="宋体" w:hint="eastAsia"/>
          <w:sz w:val="24"/>
          <w:szCs w:val="24"/>
        </w:rPr>
        <w:t>由于制造商</w:t>
      </w:r>
      <w:r w:rsidR="00751D02">
        <w:rPr>
          <w:rFonts w:ascii="Arial" w:eastAsia="宋体" w:hint="eastAsia"/>
          <w:sz w:val="24"/>
          <w:szCs w:val="24"/>
        </w:rPr>
        <w:t>分销</w:t>
      </w:r>
      <w:r w:rsidRPr="00FF7F68">
        <w:rPr>
          <w:rFonts w:ascii="Arial" w:eastAsia="宋体" w:hint="eastAsia"/>
          <w:sz w:val="24"/>
          <w:szCs w:val="24"/>
        </w:rPr>
        <w:t>记录不存在或不充分而未能充分召回。</w:t>
      </w:r>
      <w:r w:rsidRPr="00FF7F68">
        <w:rPr>
          <w:rFonts w:ascii="Arial" w:eastAsia="宋体" w:hint="eastAsia"/>
          <w:sz w:val="24"/>
          <w:szCs w:val="24"/>
          <w:vertAlign w:val="superscript"/>
        </w:rPr>
        <w:t>1</w:t>
      </w:r>
    </w:p>
    <w:p w:rsidR="0099670E" w:rsidRPr="00FF7F68" w:rsidRDefault="00D30B49" w:rsidP="00154CC1">
      <w:pPr>
        <w:overflowPunct w:val="0"/>
        <w:snapToGrid w:val="0"/>
        <w:spacing w:before="305" w:line="300" w:lineRule="auto"/>
        <w:jc w:val="both"/>
        <w:rPr>
          <w:rFonts w:ascii="Arial" w:eastAsia="Arial" w:hAnsi="Arial" w:cs="Arial"/>
          <w:sz w:val="24"/>
          <w:szCs w:val="24"/>
        </w:rPr>
      </w:pPr>
      <w:r w:rsidRPr="00FF7F68">
        <w:rPr>
          <w:rFonts w:ascii="Arial" w:eastAsia="宋体" w:hint="eastAsia"/>
          <w:sz w:val="24"/>
          <w:szCs w:val="24"/>
        </w:rPr>
        <w:t>一般而言，通常不会对轻微违规行为进行民事处罚。</w:t>
      </w:r>
      <w:r w:rsidR="0099670E" w:rsidRPr="00FF7F68">
        <w:rPr>
          <w:rFonts w:ascii="Arial" w:eastAsia="Arial" w:hAnsi="Arial" w:cs="Arial"/>
          <w:sz w:val="24"/>
          <w:szCs w:val="24"/>
        </w:rPr>
        <w:br w:type="page"/>
      </w:r>
    </w:p>
    <w:p w:rsidR="00CC3180" w:rsidRPr="00FF7F68" w:rsidRDefault="00D30B49" w:rsidP="00F82F12">
      <w:pPr>
        <w:pStyle w:val="a3"/>
        <w:overflowPunct w:val="0"/>
        <w:snapToGrid w:val="0"/>
        <w:spacing w:before="202" w:line="300" w:lineRule="auto"/>
        <w:ind w:left="0"/>
        <w:jc w:val="both"/>
        <w:rPr>
          <w:sz w:val="24"/>
          <w:szCs w:val="24"/>
        </w:rPr>
      </w:pPr>
      <w:r w:rsidRPr="00FF7F68">
        <w:rPr>
          <w:rFonts w:hint="eastAsia"/>
          <w:sz w:val="24"/>
          <w:szCs w:val="24"/>
        </w:rPr>
        <w:lastRenderedPageBreak/>
        <w:t>本机构认为，轻微违规行为指仅会造成较小或不会造成受伤风险或健康危害的</w:t>
      </w:r>
      <w:r w:rsidRPr="00FF7F68">
        <w:rPr>
          <w:rFonts w:hint="eastAsia"/>
          <w:sz w:val="24"/>
          <w:szCs w:val="24"/>
        </w:rPr>
        <w:t>FFDCA</w:t>
      </w:r>
      <w:r w:rsidRPr="00FF7F68">
        <w:rPr>
          <w:rFonts w:hint="eastAsia"/>
          <w:sz w:val="24"/>
          <w:szCs w:val="24"/>
        </w:rPr>
        <w:t>违规行为。对于轻微违规行为，本机构将根据第</w:t>
      </w:r>
      <w:r w:rsidRPr="00FF7F68">
        <w:rPr>
          <w:rFonts w:hint="eastAsia"/>
          <w:sz w:val="24"/>
          <w:szCs w:val="24"/>
        </w:rPr>
        <w:t>539</w:t>
      </w:r>
      <w:r w:rsidRPr="00FF7F68">
        <w:rPr>
          <w:rFonts w:hint="eastAsia"/>
          <w:sz w:val="24"/>
          <w:szCs w:val="24"/>
        </w:rPr>
        <w:t>（</w:t>
      </w:r>
      <w:r w:rsidRPr="00FF7F68">
        <w:rPr>
          <w:rFonts w:hint="eastAsia"/>
          <w:sz w:val="24"/>
          <w:szCs w:val="24"/>
        </w:rPr>
        <w:t>d</w:t>
      </w:r>
      <w:r w:rsidRPr="00FF7F68">
        <w:rPr>
          <w:rFonts w:hint="eastAsia"/>
          <w:sz w:val="24"/>
          <w:szCs w:val="24"/>
        </w:rPr>
        <w:t>）</w:t>
      </w:r>
      <w:proofErr w:type="gramStart"/>
      <w:r w:rsidRPr="00FF7F68">
        <w:rPr>
          <w:rFonts w:hint="eastAsia"/>
          <w:sz w:val="24"/>
          <w:szCs w:val="24"/>
        </w:rPr>
        <w:t>条向责任人</w:t>
      </w:r>
      <w:proofErr w:type="gramEnd"/>
      <w:r w:rsidRPr="00FF7F68">
        <w:rPr>
          <w:rFonts w:hint="eastAsia"/>
          <w:sz w:val="24"/>
          <w:szCs w:val="24"/>
        </w:rPr>
        <w:t>发出书面警告和</w:t>
      </w:r>
      <w:r w:rsidRPr="00FF7F68">
        <w:rPr>
          <w:rFonts w:hint="eastAsia"/>
          <w:sz w:val="24"/>
          <w:szCs w:val="24"/>
        </w:rPr>
        <w:t>/</w:t>
      </w:r>
      <w:r w:rsidRPr="00FF7F68">
        <w:rPr>
          <w:rFonts w:hint="eastAsia"/>
          <w:sz w:val="24"/>
          <w:szCs w:val="24"/>
        </w:rPr>
        <w:t>或通知，并考虑</w:t>
      </w:r>
      <w:proofErr w:type="gramStart"/>
      <w:r w:rsidRPr="00FF7F68">
        <w:rPr>
          <w:rFonts w:hint="eastAsia"/>
          <w:sz w:val="24"/>
          <w:szCs w:val="24"/>
        </w:rPr>
        <w:t>其他最</w:t>
      </w:r>
      <w:proofErr w:type="gramEnd"/>
      <w:r w:rsidRPr="00FF7F68">
        <w:rPr>
          <w:rFonts w:hint="eastAsia"/>
          <w:sz w:val="24"/>
          <w:szCs w:val="24"/>
        </w:rPr>
        <w:t>符合公众利益的</w:t>
      </w:r>
      <w:r w:rsidR="009A7FF8">
        <w:rPr>
          <w:rFonts w:hint="eastAsia"/>
          <w:sz w:val="24"/>
          <w:szCs w:val="24"/>
        </w:rPr>
        <w:t>管理</w:t>
      </w:r>
      <w:r w:rsidRPr="00FF7F68">
        <w:rPr>
          <w:rFonts w:hint="eastAsia"/>
          <w:sz w:val="24"/>
          <w:szCs w:val="24"/>
        </w:rPr>
        <w:t>/</w:t>
      </w:r>
      <w:r w:rsidRPr="00FF7F68">
        <w:rPr>
          <w:rFonts w:hint="eastAsia"/>
          <w:sz w:val="24"/>
          <w:szCs w:val="24"/>
        </w:rPr>
        <w:t>监管行动。轻微违规行为示例包括标签无法永久附在产品上，或制造商报告未充分说明试验程序。</w:t>
      </w:r>
    </w:p>
    <w:p w:rsidR="00CC3180" w:rsidRPr="00FF7F68" w:rsidRDefault="00CC3180" w:rsidP="00F82F12">
      <w:pPr>
        <w:overflowPunct w:val="0"/>
        <w:snapToGrid w:val="0"/>
        <w:spacing w:before="10" w:line="300" w:lineRule="auto"/>
        <w:jc w:val="both"/>
        <w:rPr>
          <w:rFonts w:ascii="Arial" w:eastAsia="Arial" w:hAnsi="Arial" w:cs="Arial"/>
          <w:sz w:val="24"/>
          <w:szCs w:val="24"/>
        </w:rPr>
      </w:pPr>
    </w:p>
    <w:p w:rsidR="00CC3180" w:rsidRPr="00FF7F68" w:rsidRDefault="00D30B49" w:rsidP="00F82F12">
      <w:pPr>
        <w:overflowPunct w:val="0"/>
        <w:snapToGrid w:val="0"/>
        <w:spacing w:line="300" w:lineRule="auto"/>
        <w:jc w:val="both"/>
        <w:rPr>
          <w:rFonts w:ascii="Arial" w:eastAsia="宋体" w:hAnsi="Arial" w:cs="Arial"/>
          <w:sz w:val="24"/>
          <w:szCs w:val="24"/>
        </w:rPr>
      </w:pPr>
      <w:r w:rsidRPr="00FF7F68">
        <w:rPr>
          <w:rFonts w:ascii="Arial" w:eastAsia="宋体" w:hint="eastAsia"/>
          <w:sz w:val="24"/>
          <w:szCs w:val="24"/>
        </w:rPr>
        <w:t>*</w:t>
      </w:r>
      <w:r w:rsidRPr="00FF7F68">
        <w:rPr>
          <w:rFonts w:ascii="Arial" w:eastAsia="宋体" w:hint="eastAsia"/>
          <w:sz w:val="24"/>
          <w:szCs w:val="24"/>
        </w:rPr>
        <w:t>星号之间的材料为新材料或</w:t>
      </w:r>
      <w:r w:rsidR="00751D02">
        <w:rPr>
          <w:rFonts w:ascii="Arial" w:eastAsia="宋体" w:hint="eastAsia"/>
          <w:sz w:val="24"/>
          <w:szCs w:val="24"/>
        </w:rPr>
        <w:t>修改</w:t>
      </w:r>
      <w:r w:rsidRPr="00FF7F68">
        <w:rPr>
          <w:rFonts w:ascii="Arial" w:eastAsia="宋体" w:hint="eastAsia"/>
          <w:sz w:val="24"/>
          <w:szCs w:val="24"/>
        </w:rPr>
        <w:t>材料</w:t>
      </w:r>
      <w:r w:rsidR="009A7FF8" w:rsidRPr="00FF7F68">
        <w:rPr>
          <w:rFonts w:ascii="Arial" w:eastAsia="宋体" w:hint="eastAsia"/>
          <w:sz w:val="24"/>
          <w:szCs w:val="24"/>
        </w:rPr>
        <w:t>*</w:t>
      </w:r>
    </w:p>
    <w:p w:rsidR="00CC3180" w:rsidRPr="00FF7F68" w:rsidRDefault="00CC3180" w:rsidP="00F82F12">
      <w:pPr>
        <w:overflowPunct w:val="0"/>
        <w:snapToGrid w:val="0"/>
        <w:spacing w:before="4" w:line="300" w:lineRule="auto"/>
        <w:jc w:val="both"/>
        <w:rPr>
          <w:rFonts w:ascii="Arial" w:eastAsia="Arial" w:hAnsi="Arial" w:cs="Arial"/>
          <w:sz w:val="24"/>
          <w:szCs w:val="24"/>
        </w:rPr>
      </w:pPr>
    </w:p>
    <w:p w:rsidR="00CC3180" w:rsidRPr="00FF7F68" w:rsidRDefault="00D30B49" w:rsidP="006523AA">
      <w:pPr>
        <w:overflowPunct w:val="0"/>
        <w:snapToGrid w:val="0"/>
        <w:spacing w:line="300" w:lineRule="auto"/>
        <w:rPr>
          <w:rFonts w:ascii="Arial" w:eastAsia="宋体" w:hAnsi="Arial" w:cs="Arial"/>
          <w:sz w:val="24"/>
          <w:szCs w:val="24"/>
        </w:rPr>
      </w:pPr>
      <w:r w:rsidRPr="00FF7F68">
        <w:rPr>
          <w:rFonts w:ascii="Arial" w:eastAsia="宋体" w:hint="eastAsia"/>
          <w:sz w:val="24"/>
          <w:szCs w:val="24"/>
        </w:rPr>
        <w:t>发布日期：</w:t>
      </w:r>
      <w:r w:rsidRPr="00FF7F68">
        <w:rPr>
          <w:rFonts w:ascii="Arial" w:eastAsia="宋体" w:hint="eastAsia"/>
          <w:sz w:val="24"/>
          <w:szCs w:val="24"/>
        </w:rPr>
        <w:t>1983/3/1</w:t>
      </w:r>
      <w:r w:rsidRPr="00FF7F68">
        <w:rPr>
          <w:rFonts w:ascii="Arial" w:eastAsia="宋体" w:hint="eastAsia"/>
          <w:sz w:val="24"/>
          <w:szCs w:val="24"/>
        </w:rPr>
        <w:br/>
      </w:r>
      <w:r w:rsidRPr="00FF7F68">
        <w:rPr>
          <w:rFonts w:ascii="Arial" w:eastAsia="宋体" w:hint="eastAsia"/>
          <w:sz w:val="24"/>
          <w:szCs w:val="24"/>
        </w:rPr>
        <w:t>修订日期：</w:t>
      </w:r>
      <w:r w:rsidRPr="00FF7F68">
        <w:rPr>
          <w:rFonts w:ascii="Arial" w:eastAsia="宋体" w:hint="eastAsia"/>
          <w:sz w:val="24"/>
          <w:szCs w:val="24"/>
        </w:rPr>
        <w:t>1995/3</w:t>
      </w:r>
      <w:r w:rsidRPr="00FF7F68">
        <w:rPr>
          <w:rFonts w:ascii="Arial" w:eastAsia="宋体" w:hint="eastAsia"/>
          <w:sz w:val="24"/>
          <w:szCs w:val="24"/>
        </w:rPr>
        <w:t>，</w:t>
      </w:r>
      <w:r w:rsidRPr="00FF7F68">
        <w:rPr>
          <w:rFonts w:ascii="Arial" w:eastAsia="宋体" w:hint="eastAsia"/>
          <w:sz w:val="24"/>
          <w:szCs w:val="24"/>
        </w:rPr>
        <w:t>2005/4</w:t>
      </w:r>
    </w:p>
    <w:p w:rsidR="00CC3180" w:rsidRPr="00FF7F68" w:rsidRDefault="00CC3180" w:rsidP="00F82F12">
      <w:pPr>
        <w:overflowPunct w:val="0"/>
        <w:snapToGrid w:val="0"/>
        <w:spacing w:line="300" w:lineRule="auto"/>
        <w:jc w:val="both"/>
        <w:rPr>
          <w:rFonts w:ascii="Arial" w:eastAsia="Arial" w:hAnsi="Arial" w:cs="Arial"/>
          <w:sz w:val="24"/>
          <w:szCs w:val="24"/>
        </w:rPr>
      </w:pPr>
    </w:p>
    <w:p w:rsidR="00CC3180" w:rsidRPr="00FF7F68" w:rsidRDefault="001D5B8E" w:rsidP="00F82F12">
      <w:pPr>
        <w:overflowPunct w:val="0"/>
        <w:snapToGrid w:val="0"/>
        <w:spacing w:before="11" w:line="300" w:lineRule="auto"/>
        <w:jc w:val="both"/>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8240" behindDoc="0" locked="0" layoutInCell="1" allowOverlap="1" wp14:anchorId="75A2D290" wp14:editId="0274DA8C">
                <wp:simplePos x="0" y="0"/>
                <wp:positionH relativeFrom="column">
                  <wp:posOffset>43815</wp:posOffset>
                </wp:positionH>
                <wp:positionV relativeFrom="paragraph">
                  <wp:posOffset>67310</wp:posOffset>
                </wp:positionV>
                <wp:extent cx="2612390" cy="0"/>
                <wp:effectExtent l="5715"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45pt;margin-top:5.3pt;width:20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" strokecolor="#7f7f7f"/>
            </w:pict>
          </mc:Fallback>
        </mc:AlternateContent>
      </w:r>
    </w:p>
    <w:p w:rsidR="00CC3180" w:rsidRPr="00FF7F68" w:rsidRDefault="00D30B49" w:rsidP="00F82F12">
      <w:pPr>
        <w:pStyle w:val="a3"/>
        <w:overflowPunct w:val="0"/>
        <w:snapToGrid w:val="0"/>
        <w:spacing w:line="300" w:lineRule="auto"/>
        <w:ind w:left="0"/>
        <w:jc w:val="both"/>
        <w:rPr>
          <w:sz w:val="24"/>
          <w:szCs w:val="24"/>
        </w:rPr>
      </w:pPr>
      <w:r w:rsidRPr="00FF7F68">
        <w:rPr>
          <w:rFonts w:hint="eastAsia"/>
          <w:sz w:val="24"/>
          <w:szCs w:val="24"/>
          <w:vertAlign w:val="superscript"/>
        </w:rPr>
        <w:t>1</w:t>
      </w:r>
      <w:r w:rsidRPr="00FF7F68">
        <w:rPr>
          <w:rFonts w:hint="eastAsia"/>
          <w:sz w:val="24"/>
          <w:szCs w:val="24"/>
        </w:rPr>
        <w:t xml:space="preserve"> </w:t>
      </w:r>
      <w:r w:rsidRPr="00FF7F68">
        <w:rPr>
          <w:rFonts w:hint="eastAsia"/>
          <w:sz w:val="24"/>
          <w:szCs w:val="24"/>
        </w:rPr>
        <w:t>如果制造商的书面要求未提供所需经销商</w:t>
      </w:r>
      <w:r w:rsidRPr="00FF7F68">
        <w:rPr>
          <w:rFonts w:hint="eastAsia"/>
          <w:sz w:val="24"/>
          <w:szCs w:val="24"/>
        </w:rPr>
        <w:t>/</w:t>
      </w:r>
      <w:r w:rsidRPr="00FF7F68">
        <w:rPr>
          <w:rFonts w:hint="eastAsia"/>
          <w:sz w:val="24"/>
          <w:szCs w:val="24"/>
        </w:rPr>
        <w:t>分销商销售记录，召回也可能无效。如果经销商</w:t>
      </w:r>
      <w:r w:rsidRPr="00FF7F68">
        <w:rPr>
          <w:rFonts w:hint="eastAsia"/>
          <w:sz w:val="24"/>
          <w:szCs w:val="24"/>
        </w:rPr>
        <w:t>/</w:t>
      </w:r>
      <w:r w:rsidRPr="00FF7F68">
        <w:rPr>
          <w:rFonts w:hint="eastAsia"/>
          <w:sz w:val="24"/>
          <w:szCs w:val="24"/>
        </w:rPr>
        <w:t>分销</w:t>
      </w:r>
      <w:proofErr w:type="gramStart"/>
      <w:r w:rsidRPr="00FF7F68">
        <w:rPr>
          <w:rFonts w:hint="eastAsia"/>
          <w:sz w:val="24"/>
          <w:szCs w:val="24"/>
        </w:rPr>
        <w:t>商拒绝</w:t>
      </w:r>
      <w:proofErr w:type="gramEnd"/>
      <w:r w:rsidRPr="00FF7F68">
        <w:rPr>
          <w:rFonts w:hint="eastAsia"/>
          <w:sz w:val="24"/>
          <w:szCs w:val="24"/>
        </w:rPr>
        <w:t>向制造商提供所需销售记录，将给予适当通知和警告</w:t>
      </w:r>
      <w:r w:rsidR="009A7FF8">
        <w:rPr>
          <w:rFonts w:hint="eastAsia"/>
          <w:sz w:val="24"/>
          <w:szCs w:val="24"/>
        </w:rPr>
        <w:t>，</w:t>
      </w:r>
      <w:r w:rsidRPr="00FF7F68">
        <w:rPr>
          <w:rFonts w:hint="eastAsia"/>
          <w:sz w:val="24"/>
          <w:szCs w:val="24"/>
        </w:rPr>
        <w:t>以要求合</w:t>
      </w:r>
      <w:proofErr w:type="gramStart"/>
      <w:r w:rsidRPr="00FF7F68">
        <w:rPr>
          <w:rFonts w:hint="eastAsia"/>
          <w:sz w:val="24"/>
          <w:szCs w:val="24"/>
        </w:rPr>
        <w:t>规</w:t>
      </w:r>
      <w:proofErr w:type="gramEnd"/>
      <w:r w:rsidRPr="00FF7F68">
        <w:rPr>
          <w:rFonts w:hint="eastAsia"/>
          <w:sz w:val="24"/>
          <w:szCs w:val="24"/>
        </w:rPr>
        <w:t>。如果此工作未见成效，将考虑对经销商</w:t>
      </w:r>
      <w:r w:rsidRPr="00FF7F68">
        <w:rPr>
          <w:rFonts w:hint="eastAsia"/>
          <w:sz w:val="24"/>
          <w:szCs w:val="24"/>
        </w:rPr>
        <w:t>/</w:t>
      </w:r>
      <w:r w:rsidRPr="00FF7F68">
        <w:rPr>
          <w:rFonts w:hint="eastAsia"/>
          <w:sz w:val="24"/>
          <w:szCs w:val="24"/>
        </w:rPr>
        <w:t>分销商进行民事处罚。</w:t>
      </w:r>
    </w:p>
    <w:p w:rsidR="00CC3180" w:rsidRDefault="00CC3180" w:rsidP="00F82F12">
      <w:pPr>
        <w:overflowPunct w:val="0"/>
        <w:snapToGrid w:val="0"/>
        <w:spacing w:before="4" w:line="300" w:lineRule="auto"/>
        <w:jc w:val="both"/>
        <w:rPr>
          <w:rFonts w:ascii="Arial" w:eastAsia="Arial" w:hAnsi="Arial" w:cs="Arial"/>
          <w:sz w:val="16"/>
          <w:szCs w:val="16"/>
        </w:rPr>
      </w:pPr>
    </w:p>
    <w:tbl>
      <w:tblPr>
        <w:tblStyle w:val="TableNormal"/>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ook w:val="01E0" w:firstRow="1" w:lastRow="1" w:firstColumn="1" w:lastColumn="1" w:noHBand="0" w:noVBand="0"/>
      </w:tblPr>
      <w:tblGrid>
        <w:gridCol w:w="10806"/>
      </w:tblGrid>
      <w:tr w:rsidR="006523AA" w:rsidRPr="00FB014B" w:rsidTr="00987AE9">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bookmarkStart w:id="0" w:name="_GoBack" w:colFirst="0" w:colLast="0"/>
          <w:p w:rsidR="006523AA" w:rsidRPr="00FB014B" w:rsidRDefault="009B1415" w:rsidP="00F14E70">
            <w:pPr>
              <w:overflowPunct w:val="0"/>
              <w:snapToGrid w:val="0"/>
              <w:spacing w:beforeLines="50" w:before="120" w:afterLines="50" w:after="120" w:line="300" w:lineRule="auto"/>
              <w:ind w:leftChars="20" w:left="44" w:rightChars="20" w:right="44"/>
              <w:rPr>
                <w:rFonts w:ascii="Arial" w:eastAsia="宋体" w:hAnsi="Arial" w:cs="Arial"/>
                <w:sz w:val="24"/>
                <w:szCs w:val="24"/>
              </w:rPr>
            </w:pPr>
            <w:r>
              <w:fldChar w:fldCharType="begin"/>
            </w:r>
            <w:r>
              <w:instrText xml:space="preserve"> HYPERLINK "https://www.fda.gov/ICECI/ComplianceManuals/CompliancePolicyGuidanceManual/default.htm" \h </w:instrText>
            </w:r>
            <w:r>
              <w:fldChar w:fldCharType="separate"/>
            </w:r>
            <w:r w:rsidR="00B926E6">
              <w:rPr>
                <w:rFonts w:ascii="Arial" w:eastAsia="宋体" w:hint="eastAsia"/>
                <w:b/>
                <w:sz w:val="24"/>
                <w:szCs w:val="24"/>
                <w:u w:val="single" w:color="000000"/>
              </w:rPr>
              <w:t>合</w:t>
            </w:r>
            <w:proofErr w:type="gramStart"/>
            <w:r w:rsidR="00B926E6">
              <w:rPr>
                <w:rFonts w:ascii="Arial" w:eastAsia="宋体" w:hint="eastAsia"/>
                <w:b/>
                <w:sz w:val="24"/>
                <w:szCs w:val="24"/>
                <w:u w:val="single" w:color="000000"/>
              </w:rPr>
              <w:t>规</w:t>
            </w:r>
            <w:proofErr w:type="gramEnd"/>
            <w:r w:rsidR="00B926E6">
              <w:rPr>
                <w:rFonts w:ascii="Arial" w:eastAsia="宋体" w:hint="eastAsia"/>
                <w:b/>
                <w:sz w:val="24"/>
                <w:szCs w:val="24"/>
                <w:u w:val="single" w:color="000000"/>
              </w:rPr>
              <w:t>政策指南</w:t>
            </w:r>
            <w:r w:rsidR="006523AA" w:rsidRPr="00FB014B">
              <w:rPr>
                <w:rFonts w:ascii="Arial" w:eastAsia="宋体" w:hint="eastAsia"/>
                <w:b/>
                <w:sz w:val="24"/>
                <w:szCs w:val="24"/>
                <w:u w:val="single" w:color="000000"/>
              </w:rPr>
              <w:t>的更多信息</w:t>
            </w:r>
            <w:r w:rsidR="006523AA" w:rsidRPr="00FB014B">
              <w:rPr>
                <w:rFonts w:ascii="Arial" w:eastAsia="宋体" w:hint="eastAsia"/>
                <w:b/>
                <w:sz w:val="24"/>
                <w:szCs w:val="24"/>
                <w:u w:val="single" w:color="000000"/>
              </w:rPr>
              <w:t>(/ICECI/ComplianceManuals/CompliancePolicyGuidanceManual/default.htm)</w:t>
            </w:r>
            <w:r>
              <w:rPr>
                <w:rFonts w:ascii="Arial" w:eastAsia="宋体"/>
                <w:b/>
                <w:sz w:val="24"/>
                <w:szCs w:val="24"/>
                <w:u w:val="single" w:color="000000"/>
              </w:rPr>
              <w:fldChar w:fldCharType="end"/>
            </w:r>
          </w:p>
        </w:tc>
      </w:tr>
      <w:tr w:rsidR="006523AA" w:rsidRPr="00FB014B" w:rsidTr="00987AE9">
        <w:tc>
          <w:tcPr>
            <w:tcW w:w="5000" w:type="pct"/>
            <w:tcBorders>
              <w:top w:val="single" w:sz="12" w:space="0" w:color="4F81BD" w:themeColor="accent1"/>
            </w:tcBorders>
          </w:tcPr>
          <w:p w:rsidR="006523AA" w:rsidRPr="00943C69" w:rsidRDefault="00154CC1" w:rsidP="00F14E70">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u w:val="single"/>
              </w:rPr>
            </w:pPr>
            <w:hyperlink r:id="rId8">
              <w:r w:rsidR="006523AA" w:rsidRPr="00943C69">
                <w:rPr>
                  <w:rFonts w:ascii="Arial" w:eastAsia="宋体" w:hint="eastAsia"/>
                  <w:b/>
                  <w:sz w:val="24"/>
                  <w:szCs w:val="24"/>
                  <w:u w:val="single"/>
                </w:rPr>
                <w:t>前言</w:t>
              </w:r>
              <w:r w:rsidR="006523AA">
                <w:rPr>
                  <w:rFonts w:ascii="Arial" w:eastAsia="宋体" w:hint="eastAsia"/>
                  <w:b/>
                  <w:sz w:val="24"/>
                  <w:szCs w:val="24"/>
                  <w:u w:val="single"/>
                </w:rPr>
                <w:t>：</w:t>
              </w:r>
            </w:hyperlink>
            <w:hyperlink r:id="rId9">
              <w:r w:rsidR="00B926E6">
                <w:rPr>
                  <w:rFonts w:ascii="Arial" w:eastAsia="宋体" w:hint="eastAsia"/>
                  <w:b/>
                  <w:sz w:val="24"/>
                  <w:szCs w:val="24"/>
                  <w:u w:val="single"/>
                </w:rPr>
                <w:t>合</w:t>
              </w:r>
              <w:proofErr w:type="gramStart"/>
              <w:r w:rsidR="00B926E6">
                <w:rPr>
                  <w:rFonts w:ascii="Arial" w:eastAsia="宋体" w:hint="eastAsia"/>
                  <w:b/>
                  <w:sz w:val="24"/>
                  <w:szCs w:val="24"/>
                  <w:u w:val="single"/>
                </w:rPr>
                <w:t>规</w:t>
              </w:r>
              <w:proofErr w:type="gramEnd"/>
              <w:r w:rsidR="00B926E6">
                <w:rPr>
                  <w:rFonts w:ascii="Arial" w:eastAsia="宋体" w:hint="eastAsia"/>
                  <w:b/>
                  <w:sz w:val="24"/>
                  <w:szCs w:val="24"/>
                  <w:u w:val="single"/>
                </w:rPr>
                <w:t>政策指南</w:t>
              </w:r>
              <w:r w:rsidR="006523AA" w:rsidRPr="00943C69">
                <w:rPr>
                  <w:rFonts w:ascii="Arial" w:eastAsia="宋体" w:hint="eastAsia"/>
                  <w:b/>
                  <w:sz w:val="24"/>
                  <w:szCs w:val="24"/>
                  <w:u w:val="single"/>
                </w:rPr>
                <w:t>(CPG) (/ICECI/ComplianceManuals/CompliancePolicyGuidanceManual/ucm116271.htm)</w:t>
              </w:r>
            </w:hyperlink>
          </w:p>
        </w:tc>
      </w:tr>
      <w:tr w:rsidR="006523AA" w:rsidRPr="00FB014B" w:rsidTr="00987AE9">
        <w:tc>
          <w:tcPr>
            <w:tcW w:w="5000" w:type="pct"/>
          </w:tcPr>
          <w:p w:rsidR="006523AA" w:rsidRPr="00FB014B" w:rsidRDefault="00154CC1" w:rsidP="00F14E70">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0">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1</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 </w:t>
              </w:r>
              <w:r w:rsidR="006523AA" w:rsidRPr="00FB014B">
                <w:rPr>
                  <w:rFonts w:ascii="Arial" w:eastAsia="宋体" w:hint="eastAsia"/>
                  <w:b/>
                  <w:sz w:val="24"/>
                  <w:szCs w:val="24"/>
                  <w:u w:val="single" w:color="000000"/>
                </w:rPr>
                <w:t>通则</w:t>
              </w:r>
              <w:r w:rsidR="006523AA" w:rsidRPr="00FB014B">
                <w:rPr>
                  <w:rFonts w:ascii="Arial" w:eastAsia="宋体" w:hint="eastAsia"/>
                  <w:b/>
                  <w:sz w:val="24"/>
                  <w:szCs w:val="24"/>
                  <w:u w:val="single" w:color="000000"/>
                </w:rPr>
                <w:t xml:space="preserve"> </w:t>
              </w:r>
              <w:r w:rsidR="006523AA">
                <w:rPr>
                  <w:rFonts w:ascii="Arial" w:eastAsia="宋体"/>
                  <w:b/>
                  <w:sz w:val="24"/>
                  <w:szCs w:val="24"/>
                  <w:u w:val="single" w:color="000000"/>
                </w:rPr>
                <w:br/>
              </w:r>
              <w:r w:rsidR="006523AA" w:rsidRPr="00FB014B">
                <w:rPr>
                  <w:rFonts w:ascii="Arial" w:eastAsia="宋体" w:hint="eastAsia"/>
                  <w:b/>
                  <w:sz w:val="24"/>
                  <w:szCs w:val="24"/>
                  <w:u w:val="single" w:color="000000"/>
                </w:rPr>
                <w:t>(/ICECI/ComplianceManuals/CompliancePolicyGuidanceManual/ucm116280.htm)</w:t>
              </w:r>
            </w:hyperlink>
          </w:p>
        </w:tc>
      </w:tr>
      <w:tr w:rsidR="006523AA" w:rsidRPr="00FB014B" w:rsidTr="00987AE9">
        <w:tc>
          <w:tcPr>
            <w:tcW w:w="5000" w:type="pct"/>
          </w:tcPr>
          <w:p w:rsidR="006523AA" w:rsidRPr="00FB014B" w:rsidRDefault="009B1415" w:rsidP="00F14E70">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1">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2</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 </w:t>
              </w:r>
              <w:r w:rsidR="006523AA" w:rsidRPr="00FB014B">
                <w:rPr>
                  <w:rFonts w:ascii="Arial" w:eastAsia="宋体" w:hint="eastAsia"/>
                  <w:b/>
                  <w:sz w:val="24"/>
                  <w:szCs w:val="24"/>
                  <w:u w:val="single" w:color="000000"/>
                </w:rPr>
                <w:t>生物</w:t>
              </w:r>
              <w:r w:rsidR="009A7FF8">
                <w:rPr>
                  <w:rFonts w:ascii="Arial" w:eastAsia="宋体" w:hint="eastAsia"/>
                  <w:b/>
                  <w:sz w:val="24"/>
                  <w:szCs w:val="24"/>
                  <w:u w:val="single" w:color="000000"/>
                </w:rPr>
                <w:t>制剂</w:t>
              </w:r>
              <w:r w:rsidR="006523AA" w:rsidRPr="00FB014B">
                <w:rPr>
                  <w:rFonts w:ascii="Arial" w:eastAsia="宋体" w:hint="eastAsia"/>
                  <w:b/>
                  <w:sz w:val="24"/>
                  <w:szCs w:val="24"/>
                  <w:u w:val="single" w:color="000000"/>
                </w:rPr>
                <w:t xml:space="preserve"> (/ICECI/ComplianceManuals/CompliancePolicyGuidanceManual/ucm116336.htm)</w:t>
              </w:r>
            </w:hyperlink>
          </w:p>
        </w:tc>
      </w:tr>
      <w:tr w:rsidR="006523AA" w:rsidRPr="00FB014B" w:rsidTr="00987AE9">
        <w:tc>
          <w:tcPr>
            <w:tcW w:w="5000" w:type="pct"/>
          </w:tcPr>
          <w:p w:rsidR="006523AA" w:rsidRPr="00FB014B" w:rsidRDefault="00154CC1" w:rsidP="00F14E70">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2">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3</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 </w:t>
              </w:r>
              <w:r w:rsidR="006523AA" w:rsidRPr="00FB014B">
                <w:rPr>
                  <w:rFonts w:ascii="Arial" w:eastAsia="宋体" w:hint="eastAsia"/>
                  <w:b/>
                  <w:sz w:val="24"/>
                  <w:szCs w:val="24"/>
                  <w:u w:val="single" w:color="000000"/>
                </w:rPr>
                <w:t>器械</w:t>
              </w:r>
              <w:r w:rsidR="006523AA" w:rsidRPr="00FB014B">
                <w:rPr>
                  <w:rFonts w:ascii="Arial" w:eastAsia="宋体" w:hint="eastAsia"/>
                  <w:b/>
                  <w:sz w:val="24"/>
                  <w:szCs w:val="24"/>
                  <w:u w:val="single" w:color="000000"/>
                </w:rPr>
                <w:t xml:space="preserve"> </w:t>
              </w:r>
              <w:r w:rsidR="006523AA">
                <w:rPr>
                  <w:rFonts w:ascii="Arial" w:eastAsia="宋体"/>
                  <w:b/>
                  <w:sz w:val="24"/>
                  <w:szCs w:val="24"/>
                  <w:u w:val="single" w:color="000000"/>
                </w:rPr>
                <w:br/>
              </w:r>
              <w:r w:rsidR="006523AA" w:rsidRPr="00FB014B">
                <w:rPr>
                  <w:rFonts w:ascii="Arial" w:eastAsia="宋体" w:hint="eastAsia"/>
                  <w:b/>
                  <w:sz w:val="24"/>
                  <w:szCs w:val="24"/>
                  <w:u w:val="single" w:color="000000"/>
                </w:rPr>
                <w:t>(/ICECI/ComplianceManuals/CompliancePolicyGuidanceManual/ucm116801.htm)</w:t>
              </w:r>
            </w:hyperlink>
          </w:p>
        </w:tc>
      </w:tr>
      <w:tr w:rsidR="006523AA" w:rsidRPr="00FB014B" w:rsidTr="00987AE9">
        <w:tc>
          <w:tcPr>
            <w:tcW w:w="5000" w:type="pct"/>
          </w:tcPr>
          <w:p w:rsidR="006523AA" w:rsidRPr="00FB014B" w:rsidRDefault="009B1415" w:rsidP="00F14E70">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3">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4</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w:t>
              </w:r>
              <w:r w:rsidR="009A7FF8">
                <w:rPr>
                  <w:rFonts w:ascii="Arial" w:eastAsia="宋体"/>
                  <w:b/>
                  <w:sz w:val="24"/>
                  <w:szCs w:val="24"/>
                  <w:u w:val="single" w:color="000000"/>
                </w:rPr>
                <w:t>–</w:t>
              </w:r>
              <w:r w:rsidR="006523AA" w:rsidRPr="00FB014B">
                <w:rPr>
                  <w:rFonts w:ascii="Arial" w:eastAsia="宋体" w:hint="eastAsia"/>
                  <w:b/>
                  <w:sz w:val="24"/>
                  <w:szCs w:val="24"/>
                  <w:u w:val="single" w:color="000000"/>
                </w:rPr>
                <w:t xml:space="preserve"> </w:t>
              </w:r>
              <w:r w:rsidR="009A7FF8">
                <w:rPr>
                  <w:rFonts w:ascii="Arial" w:eastAsia="宋体" w:hint="eastAsia"/>
                  <w:b/>
                  <w:sz w:val="24"/>
                  <w:szCs w:val="24"/>
                  <w:u w:val="single" w:color="000000"/>
                </w:rPr>
                <w:t>人用</w:t>
              </w:r>
              <w:r w:rsidR="00B926E6">
                <w:rPr>
                  <w:rFonts w:ascii="Arial" w:eastAsia="宋体" w:hint="eastAsia"/>
                  <w:b/>
                  <w:sz w:val="24"/>
                  <w:szCs w:val="24"/>
                  <w:u w:val="single" w:color="000000"/>
                </w:rPr>
                <w:t>药品</w:t>
              </w:r>
              <w:r w:rsidR="006523AA" w:rsidRPr="00FB014B">
                <w:rPr>
                  <w:rFonts w:ascii="Arial" w:eastAsia="宋体" w:hint="eastAsia"/>
                  <w:b/>
                  <w:sz w:val="24"/>
                  <w:szCs w:val="24"/>
                  <w:u w:val="single" w:color="000000"/>
                </w:rPr>
                <w:t xml:space="preserve"> (/ICECI/ComplianceManuals/CompliancePolicyGuidanceManual/ucm119572.htm)</w:t>
              </w:r>
            </w:hyperlink>
          </w:p>
        </w:tc>
      </w:tr>
      <w:tr w:rsidR="006523AA" w:rsidRPr="00FB014B" w:rsidTr="00987AE9">
        <w:tc>
          <w:tcPr>
            <w:tcW w:w="5000" w:type="pct"/>
          </w:tcPr>
          <w:p w:rsidR="006523AA" w:rsidRPr="00FB014B" w:rsidRDefault="00154CC1" w:rsidP="00F14E70">
            <w:pPr>
              <w:overflowPunct w:val="0"/>
              <w:snapToGrid w:val="0"/>
              <w:spacing w:beforeLines="50" w:before="120" w:afterLines="50" w:after="120" w:line="300" w:lineRule="auto"/>
              <w:ind w:left="20" w:right="20"/>
              <w:rPr>
                <w:rFonts w:ascii="Arial" w:eastAsia="宋体" w:hAnsi="Arial" w:cs="Arial"/>
                <w:sz w:val="24"/>
                <w:szCs w:val="24"/>
              </w:rPr>
            </w:pPr>
            <w:hyperlink r:id="rId14">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5</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 </w:t>
              </w:r>
              <w:r w:rsidR="006523AA" w:rsidRPr="00FB014B">
                <w:rPr>
                  <w:rFonts w:ascii="Arial" w:eastAsia="宋体" w:hint="eastAsia"/>
                  <w:b/>
                  <w:sz w:val="24"/>
                  <w:szCs w:val="24"/>
                  <w:u w:val="single" w:color="000000"/>
                </w:rPr>
                <w:t>食品，颜料和化妆品</w:t>
              </w:r>
              <w:r w:rsidR="006523AA" w:rsidRPr="00FB014B">
                <w:rPr>
                  <w:rFonts w:ascii="Arial" w:eastAsia="宋体" w:hint="eastAsia"/>
                  <w:b/>
                  <w:sz w:val="24"/>
                  <w:szCs w:val="24"/>
                  <w:u w:val="single" w:color="000000"/>
                </w:rPr>
                <w:t>(/ICECI/ComplianceManuals/CompliancePolicyGuidanceManual/ucm119194.htm)</w:t>
              </w:r>
            </w:hyperlink>
          </w:p>
        </w:tc>
      </w:tr>
      <w:tr w:rsidR="006523AA" w:rsidRPr="00FB014B" w:rsidTr="00987AE9">
        <w:tc>
          <w:tcPr>
            <w:tcW w:w="5000" w:type="pct"/>
          </w:tcPr>
          <w:p w:rsidR="006523AA" w:rsidRPr="00FB014B" w:rsidRDefault="00154CC1" w:rsidP="00F14E70">
            <w:pPr>
              <w:overflowPunct w:val="0"/>
              <w:snapToGrid w:val="0"/>
              <w:spacing w:beforeLines="50" w:before="120" w:afterLines="50" w:after="120" w:line="300" w:lineRule="auto"/>
              <w:ind w:left="20" w:right="20"/>
              <w:rPr>
                <w:rFonts w:ascii="Arial" w:eastAsia="宋体" w:hAnsi="Arial" w:cs="Arial"/>
                <w:sz w:val="24"/>
                <w:szCs w:val="24"/>
              </w:rPr>
            </w:pPr>
            <w:hyperlink r:id="rId15">
              <w:r w:rsidR="006523AA" w:rsidRPr="00FB014B">
                <w:rPr>
                  <w:rFonts w:ascii="Arial" w:eastAsia="宋体" w:hint="eastAsia"/>
                  <w:b/>
                  <w:sz w:val="24"/>
                  <w:szCs w:val="24"/>
                  <w:u w:val="single" w:color="000000"/>
                </w:rPr>
                <w:t>第</w:t>
              </w:r>
              <w:r w:rsidR="006523AA" w:rsidRPr="00FB014B">
                <w:rPr>
                  <w:rFonts w:ascii="Arial" w:eastAsia="宋体" w:hint="eastAsia"/>
                  <w:b/>
                  <w:sz w:val="24"/>
                  <w:szCs w:val="24"/>
                  <w:u w:val="single" w:color="000000"/>
                </w:rPr>
                <w:t>6</w:t>
              </w:r>
              <w:r w:rsidR="006523AA" w:rsidRPr="00FB014B">
                <w:rPr>
                  <w:rFonts w:ascii="Arial" w:eastAsia="宋体" w:hint="eastAsia"/>
                  <w:b/>
                  <w:sz w:val="24"/>
                  <w:szCs w:val="24"/>
                  <w:u w:val="single" w:color="000000"/>
                </w:rPr>
                <w:t>章</w:t>
              </w:r>
              <w:r w:rsidR="006523AA" w:rsidRPr="00FB014B">
                <w:rPr>
                  <w:rFonts w:ascii="Arial" w:eastAsia="宋体" w:hint="eastAsia"/>
                  <w:b/>
                  <w:sz w:val="24"/>
                  <w:szCs w:val="24"/>
                  <w:u w:val="single" w:color="000000"/>
                </w:rPr>
                <w:t xml:space="preserve"> - </w:t>
              </w:r>
              <w:r w:rsidR="006523AA" w:rsidRPr="00FB014B">
                <w:rPr>
                  <w:rFonts w:ascii="Arial" w:eastAsia="宋体" w:hint="eastAsia"/>
                  <w:b/>
                  <w:sz w:val="24"/>
                  <w:szCs w:val="24"/>
                  <w:u w:val="single" w:color="000000"/>
                </w:rPr>
                <w:t>兽医医学</w:t>
              </w:r>
              <w:r w:rsidR="006523AA" w:rsidRPr="00FB014B">
                <w:rPr>
                  <w:rFonts w:ascii="Arial" w:eastAsia="宋体" w:hint="eastAsia"/>
                  <w:b/>
                  <w:sz w:val="24"/>
                  <w:szCs w:val="24"/>
                  <w:u w:val="single" w:color="000000"/>
                </w:rPr>
                <w:t>(/ICECI/ComplianceManuals/CompliancePolicyGuidanceManual/ucm117042.htm)</w:t>
              </w:r>
            </w:hyperlink>
          </w:p>
        </w:tc>
      </w:tr>
      <w:bookmarkEnd w:id="0"/>
    </w:tbl>
    <w:p w:rsidR="00CC3180" w:rsidRDefault="00CC3180" w:rsidP="00F82F12">
      <w:pPr>
        <w:overflowPunct w:val="0"/>
        <w:snapToGrid w:val="0"/>
        <w:spacing w:line="300" w:lineRule="auto"/>
        <w:jc w:val="both"/>
        <w:rPr>
          <w:rFonts w:ascii="Arial" w:eastAsia="宋体" w:hAnsi="Arial" w:cs="Arial"/>
          <w:sz w:val="20"/>
          <w:szCs w:val="20"/>
        </w:rPr>
      </w:pPr>
    </w:p>
    <w:sectPr w:rsidR="00CC3180" w:rsidSect="00B52BCF">
      <w:headerReference w:type="default" r:id="rId16"/>
      <w:footerReference w:type="default" r:id="rId17"/>
      <w:pgSz w:w="11910" w:h="16840"/>
      <w:pgMar w:top="567" w:right="567" w:bottom="567" w:left="567" w:header="286" w:footer="2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80" w:rsidRDefault="00D30B49">
      <w:r>
        <w:separator/>
      </w:r>
    </w:p>
  </w:endnote>
  <w:endnote w:type="continuationSeparator" w:id="0">
    <w:p w:rsidR="004E6280" w:rsidRDefault="00D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05" w:rsidRPr="003E2705" w:rsidRDefault="003E2705" w:rsidP="003E2705">
    <w:pPr>
      <w:tabs>
        <w:tab w:val="right" w:pos="10773"/>
      </w:tabs>
      <w:spacing w:line="184" w:lineRule="exact"/>
      <w:ind w:left="20"/>
      <w:rPr>
        <w:rFonts w:ascii="Arial" w:eastAsia="宋体" w:hAnsi="Arial" w:cs="Arial"/>
        <w:sz w:val="15"/>
        <w:szCs w:val="15"/>
      </w:rPr>
    </w:pPr>
    <w:r w:rsidRPr="003E2705">
      <w:rPr>
        <w:rFonts w:ascii="Arial" w:eastAsia="宋体" w:hint="eastAsia"/>
        <w:sz w:val="15"/>
        <w:szCs w:val="15"/>
      </w:rPr>
      <w:t>https://www.fda.go'v/lCECl/ComplianceManuaIs/CompliancePolicyGuidanceManuaI/ucm073913.htm</w:t>
    </w:r>
    <w:r w:rsidRPr="003E2705">
      <w:rPr>
        <w:rFonts w:ascii="Arial" w:eastAsia="宋体" w:hint="eastAsia"/>
        <w:sz w:val="15"/>
        <w:szCs w:val="15"/>
      </w:rPr>
      <w:tab/>
    </w:r>
    <w:r w:rsidR="00D30B49" w:rsidRPr="00D30B49">
      <w:rPr>
        <w:rFonts w:ascii="Arial" w:eastAsia="宋体"/>
        <w:sz w:val="15"/>
        <w:szCs w:val="15"/>
      </w:rPr>
      <w:fldChar w:fldCharType="begin"/>
    </w:r>
    <w:r w:rsidR="00D30B49" w:rsidRPr="00D30B49">
      <w:rPr>
        <w:rFonts w:ascii="Arial" w:eastAsia="宋体"/>
        <w:sz w:val="15"/>
        <w:szCs w:val="15"/>
      </w:rPr>
      <w:instrText>PAGE   \* MERGEFORMAT</w:instrText>
    </w:r>
    <w:r w:rsidR="00D30B49" w:rsidRPr="00D30B49">
      <w:rPr>
        <w:rFonts w:ascii="Arial" w:eastAsia="宋体"/>
        <w:sz w:val="15"/>
        <w:szCs w:val="15"/>
      </w:rPr>
      <w:fldChar w:fldCharType="separate"/>
    </w:r>
    <w:r w:rsidR="00154CC1" w:rsidRPr="00154CC1">
      <w:rPr>
        <w:rFonts w:ascii="Arial" w:eastAsia="宋体"/>
        <w:noProof/>
        <w:sz w:val="15"/>
        <w:szCs w:val="15"/>
        <w:lang w:val="zh-CN"/>
      </w:rPr>
      <w:t>3</w:t>
    </w:r>
    <w:r w:rsidR="00D30B49" w:rsidRPr="00D30B49">
      <w:rPr>
        <w:rFonts w:ascii="Arial" w:eastAsia="宋体"/>
        <w:sz w:val="15"/>
        <w:szCs w:val="15"/>
      </w:rPr>
      <w:fldChar w:fldCharType="end"/>
    </w:r>
    <w:r w:rsidRPr="003E2705">
      <w:rPr>
        <w:rFonts w:ascii="Arial" w:eastAsia="宋体" w:hint="eastAsia"/>
        <w:sz w:val="15"/>
        <w:szCs w:val="15"/>
      </w:rPr>
      <w:t>/3</w:t>
    </w:r>
  </w:p>
  <w:p w:rsidR="00CC3180" w:rsidRPr="003E2705" w:rsidRDefault="00CC3180">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80" w:rsidRDefault="00D30B49">
      <w:r>
        <w:separator/>
      </w:r>
    </w:p>
  </w:footnote>
  <w:footnote w:type="continuationSeparator" w:id="0">
    <w:p w:rsidR="004E6280" w:rsidRDefault="00D30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0E" w:rsidRPr="0099670E" w:rsidRDefault="0099670E" w:rsidP="0099670E">
    <w:pPr>
      <w:tabs>
        <w:tab w:val="left" w:pos="2552"/>
      </w:tabs>
      <w:spacing w:line="184" w:lineRule="exact"/>
      <w:ind w:left="20"/>
      <w:rPr>
        <w:rFonts w:ascii="Arial" w:eastAsia="宋体" w:hAnsi="Arial" w:cs="Arial"/>
        <w:sz w:val="16"/>
        <w:szCs w:val="16"/>
      </w:rPr>
    </w:pPr>
    <w:r w:rsidRPr="0099670E">
      <w:rPr>
        <w:rFonts w:ascii="Arial" w:eastAsia="宋体" w:hAnsi="Arial" w:cs="Arial"/>
        <w:sz w:val="16"/>
      </w:rPr>
      <w:t>2017/8/9</w:t>
    </w:r>
    <w:r w:rsidRPr="0099670E">
      <w:rPr>
        <w:rFonts w:ascii="Arial" w:eastAsia="宋体" w:hAnsi="Arial" w:cs="Arial"/>
        <w:sz w:val="16"/>
      </w:rPr>
      <w:tab/>
    </w:r>
    <w:r w:rsidRPr="0099670E">
      <w:rPr>
        <w:rFonts w:ascii="Arial" w:eastAsia="宋体" w:hAnsi="Arial" w:cs="Arial"/>
        <w:sz w:val="16"/>
      </w:rPr>
      <w:t>合</w:t>
    </w:r>
    <w:proofErr w:type="gramStart"/>
    <w:r w:rsidRPr="0099670E">
      <w:rPr>
        <w:rFonts w:ascii="Arial" w:eastAsia="宋体" w:hAnsi="Arial" w:cs="Arial"/>
        <w:sz w:val="16"/>
      </w:rPr>
      <w:t>规</w:t>
    </w:r>
    <w:proofErr w:type="gramEnd"/>
    <w:r w:rsidRPr="0099670E">
      <w:rPr>
        <w:rFonts w:ascii="Arial" w:eastAsia="宋体" w:hAnsi="Arial" w:cs="Arial"/>
        <w:sz w:val="16"/>
      </w:rPr>
      <w:t>政策</w:t>
    </w:r>
    <w:r w:rsidR="00B926E6">
      <w:rPr>
        <w:rFonts w:ascii="Arial" w:eastAsia="宋体" w:hAnsi="Arial" w:cs="Arial" w:hint="eastAsia"/>
        <w:sz w:val="16"/>
      </w:rPr>
      <w:t>指南</w:t>
    </w:r>
    <w:r w:rsidRPr="0099670E">
      <w:rPr>
        <w:rFonts w:ascii="Arial" w:eastAsia="宋体" w:hAnsi="Arial" w:cs="Arial"/>
        <w:sz w:val="16"/>
      </w:rPr>
      <w:t xml:space="preserve"> </w:t>
    </w:r>
    <w:r w:rsidRPr="0099670E">
      <w:rPr>
        <w:rFonts w:ascii="Arial" w:eastAsia="宋体" w:hAnsi="Arial" w:cs="Arial"/>
        <w:sz w:val="16"/>
      </w:rPr>
      <w:t>＞</w:t>
    </w:r>
    <w:r w:rsidRPr="0099670E">
      <w:rPr>
        <w:rFonts w:ascii="Arial" w:eastAsia="宋体" w:hAnsi="Arial" w:cs="Arial"/>
        <w:sz w:val="16"/>
      </w:rPr>
      <w:t xml:space="preserve"> CPG</w:t>
    </w:r>
    <w:r w:rsidR="00B926E6">
      <w:rPr>
        <w:rFonts w:ascii="Arial" w:eastAsia="宋体" w:hAnsi="Arial" w:cs="Arial" w:hint="eastAsia"/>
        <w:sz w:val="16"/>
      </w:rPr>
      <w:t>章节</w:t>
    </w:r>
    <w:r w:rsidRPr="0099670E">
      <w:rPr>
        <w:rFonts w:ascii="Arial" w:eastAsia="宋体" w:hAnsi="Arial" w:cs="Arial"/>
        <w:sz w:val="16"/>
      </w:rPr>
      <w:t>390.300</w:t>
    </w:r>
    <w:r w:rsidRPr="0099670E">
      <w:rPr>
        <w:rFonts w:ascii="Arial" w:eastAsia="宋体" w:hAnsi="Arial" w:cs="Arial"/>
        <w:sz w:val="16"/>
      </w:rPr>
      <w:t>对电子产品制造商和进口商的民事处罚评估</w:t>
    </w:r>
  </w:p>
  <w:p w:rsidR="0099670E" w:rsidRPr="0099670E" w:rsidRDefault="0099670E" w:rsidP="0099670E">
    <w:pPr>
      <w:spacing w:line="184" w:lineRule="exact"/>
      <w:ind w:left="20"/>
      <w:rPr>
        <w:rFonts w:ascii="Arial" w:eastAsia="宋体" w:hAnsi="Arial" w:cs="Arial"/>
        <w:sz w:val="16"/>
        <w:szCs w:val="16"/>
      </w:rPr>
    </w:pPr>
  </w:p>
  <w:p w:rsidR="0099670E" w:rsidRPr="0099670E" w:rsidRDefault="0099670E" w:rsidP="0099670E">
    <w:pPr>
      <w:spacing w:line="184" w:lineRule="exact"/>
      <w:ind w:left="20"/>
      <w:rPr>
        <w:rFonts w:ascii="Arial" w:eastAsia="宋体" w:hAnsi="Arial" w:cs="Arial"/>
        <w:sz w:val="16"/>
        <w:szCs w:val="16"/>
      </w:rPr>
    </w:pPr>
  </w:p>
  <w:p w:rsidR="0099670E" w:rsidRPr="0099670E" w:rsidRDefault="0099670E" w:rsidP="0099670E">
    <w:pPr>
      <w:spacing w:line="184" w:lineRule="exact"/>
      <w:ind w:left="20"/>
      <w:rPr>
        <w:rFonts w:ascii="Arial" w:eastAsia="宋体"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E236F"/>
    <w:multiLevelType w:val="hybridMultilevel"/>
    <w:tmpl w:val="250807AC"/>
    <w:lvl w:ilvl="0" w:tplc="D3C48F44">
      <w:start w:val="1"/>
      <w:numFmt w:val="decimal"/>
      <w:lvlText w:val="%1."/>
      <w:lvlJc w:val="left"/>
      <w:pPr>
        <w:ind w:left="621" w:hanging="351"/>
        <w:jc w:val="left"/>
      </w:pPr>
      <w:rPr>
        <w:rFonts w:ascii="Arial" w:eastAsia="Arial" w:hAnsi="Arial" w:hint="default"/>
        <w:w w:val="100"/>
      </w:rPr>
    </w:lvl>
    <w:lvl w:ilvl="1" w:tplc="AF62B17E">
      <w:start w:val="1"/>
      <w:numFmt w:val="lowerLetter"/>
      <w:lvlText w:val="%2."/>
      <w:lvlJc w:val="left"/>
      <w:pPr>
        <w:ind w:left="1140" w:hanging="351"/>
        <w:jc w:val="left"/>
      </w:pPr>
      <w:rPr>
        <w:rFonts w:ascii="Arial" w:eastAsia="Arial" w:hAnsi="Arial" w:hint="default"/>
        <w:w w:val="100"/>
      </w:rPr>
    </w:lvl>
    <w:lvl w:ilvl="2" w:tplc="AA96E852">
      <w:start w:val="1"/>
      <w:numFmt w:val="bullet"/>
      <w:lvlText w:val="•"/>
      <w:lvlJc w:val="left"/>
      <w:pPr>
        <w:ind w:left="2249" w:hanging="351"/>
      </w:pPr>
      <w:rPr>
        <w:rFonts w:hint="default"/>
      </w:rPr>
    </w:lvl>
    <w:lvl w:ilvl="3" w:tplc="2A569E74">
      <w:start w:val="1"/>
      <w:numFmt w:val="bullet"/>
      <w:lvlText w:val="•"/>
      <w:lvlJc w:val="left"/>
      <w:pPr>
        <w:ind w:left="3358" w:hanging="351"/>
      </w:pPr>
      <w:rPr>
        <w:rFonts w:hint="default"/>
      </w:rPr>
    </w:lvl>
    <w:lvl w:ilvl="4" w:tplc="48067666">
      <w:start w:val="1"/>
      <w:numFmt w:val="bullet"/>
      <w:lvlText w:val="•"/>
      <w:lvlJc w:val="left"/>
      <w:pPr>
        <w:ind w:left="4468" w:hanging="351"/>
      </w:pPr>
      <w:rPr>
        <w:rFonts w:hint="default"/>
      </w:rPr>
    </w:lvl>
    <w:lvl w:ilvl="5" w:tplc="9B58EB10">
      <w:start w:val="1"/>
      <w:numFmt w:val="bullet"/>
      <w:lvlText w:val="•"/>
      <w:lvlJc w:val="left"/>
      <w:pPr>
        <w:ind w:left="5577" w:hanging="351"/>
      </w:pPr>
      <w:rPr>
        <w:rFonts w:hint="default"/>
      </w:rPr>
    </w:lvl>
    <w:lvl w:ilvl="6" w:tplc="88E05AE0">
      <w:start w:val="1"/>
      <w:numFmt w:val="bullet"/>
      <w:lvlText w:val="•"/>
      <w:lvlJc w:val="left"/>
      <w:pPr>
        <w:ind w:left="6686" w:hanging="351"/>
      </w:pPr>
      <w:rPr>
        <w:rFonts w:hint="default"/>
      </w:rPr>
    </w:lvl>
    <w:lvl w:ilvl="7" w:tplc="AF446CC8">
      <w:start w:val="1"/>
      <w:numFmt w:val="bullet"/>
      <w:lvlText w:val="•"/>
      <w:lvlJc w:val="left"/>
      <w:pPr>
        <w:ind w:left="7796" w:hanging="351"/>
      </w:pPr>
      <w:rPr>
        <w:rFonts w:hint="default"/>
      </w:rPr>
    </w:lvl>
    <w:lvl w:ilvl="8" w:tplc="C4CAF1CC">
      <w:start w:val="1"/>
      <w:numFmt w:val="bullet"/>
      <w:lvlText w:val="•"/>
      <w:lvlJc w:val="left"/>
      <w:pPr>
        <w:ind w:left="8905" w:hanging="351"/>
      </w:pPr>
      <w:rPr>
        <w:rFonts w:hint="default"/>
      </w:rPr>
    </w:lvl>
  </w:abstractNum>
  <w:abstractNum w:abstractNumId="1">
    <w:nsid w:val="6D5B0B73"/>
    <w:multiLevelType w:val="hybridMultilevel"/>
    <w:tmpl w:val="A7B8E106"/>
    <w:lvl w:ilvl="0" w:tplc="581486A6">
      <w:start w:val="1"/>
      <w:numFmt w:val="decimal"/>
      <w:lvlText w:val="%1."/>
      <w:lvlJc w:val="left"/>
      <w:pPr>
        <w:ind w:left="621" w:hanging="346"/>
        <w:jc w:val="left"/>
      </w:pPr>
      <w:rPr>
        <w:rFonts w:ascii="Arial" w:eastAsia="Arial" w:hAnsi="Arial" w:hint="default"/>
        <w:w w:val="100"/>
        <w:sz w:val="24"/>
        <w:szCs w:val="24"/>
      </w:rPr>
    </w:lvl>
    <w:lvl w:ilvl="1" w:tplc="68A4D17E">
      <w:start w:val="1"/>
      <w:numFmt w:val="bullet"/>
      <w:lvlText w:val="•"/>
      <w:lvlJc w:val="left"/>
      <w:pPr>
        <w:ind w:left="1670" w:hanging="346"/>
      </w:pPr>
      <w:rPr>
        <w:rFonts w:hint="default"/>
      </w:rPr>
    </w:lvl>
    <w:lvl w:ilvl="2" w:tplc="767AB2EA">
      <w:start w:val="1"/>
      <w:numFmt w:val="bullet"/>
      <w:lvlText w:val="•"/>
      <w:lvlJc w:val="left"/>
      <w:pPr>
        <w:ind w:left="2720" w:hanging="346"/>
      </w:pPr>
      <w:rPr>
        <w:rFonts w:hint="default"/>
      </w:rPr>
    </w:lvl>
    <w:lvl w:ilvl="3" w:tplc="6B68009E">
      <w:start w:val="1"/>
      <w:numFmt w:val="bullet"/>
      <w:lvlText w:val="•"/>
      <w:lvlJc w:val="left"/>
      <w:pPr>
        <w:ind w:left="3771" w:hanging="346"/>
      </w:pPr>
      <w:rPr>
        <w:rFonts w:hint="default"/>
      </w:rPr>
    </w:lvl>
    <w:lvl w:ilvl="4" w:tplc="FCB2DFCA">
      <w:start w:val="1"/>
      <w:numFmt w:val="bullet"/>
      <w:lvlText w:val="•"/>
      <w:lvlJc w:val="left"/>
      <w:pPr>
        <w:ind w:left="4821" w:hanging="346"/>
      </w:pPr>
      <w:rPr>
        <w:rFonts w:hint="default"/>
      </w:rPr>
    </w:lvl>
    <w:lvl w:ilvl="5" w:tplc="0D34F256">
      <w:start w:val="1"/>
      <w:numFmt w:val="bullet"/>
      <w:lvlText w:val="•"/>
      <w:lvlJc w:val="left"/>
      <w:pPr>
        <w:ind w:left="5872" w:hanging="346"/>
      </w:pPr>
      <w:rPr>
        <w:rFonts w:hint="default"/>
      </w:rPr>
    </w:lvl>
    <w:lvl w:ilvl="6" w:tplc="7F184DF0">
      <w:start w:val="1"/>
      <w:numFmt w:val="bullet"/>
      <w:lvlText w:val="•"/>
      <w:lvlJc w:val="left"/>
      <w:pPr>
        <w:ind w:left="6922" w:hanging="346"/>
      </w:pPr>
      <w:rPr>
        <w:rFonts w:hint="default"/>
      </w:rPr>
    </w:lvl>
    <w:lvl w:ilvl="7" w:tplc="5822A8B4">
      <w:start w:val="1"/>
      <w:numFmt w:val="bullet"/>
      <w:lvlText w:val="•"/>
      <w:lvlJc w:val="left"/>
      <w:pPr>
        <w:ind w:left="7973" w:hanging="346"/>
      </w:pPr>
      <w:rPr>
        <w:rFonts w:hint="default"/>
      </w:rPr>
    </w:lvl>
    <w:lvl w:ilvl="8" w:tplc="91D2B880">
      <w:start w:val="1"/>
      <w:numFmt w:val="bullet"/>
      <w:lvlText w:val="•"/>
      <w:lvlJc w:val="left"/>
      <w:pPr>
        <w:ind w:left="9023" w:hanging="34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colormenu v:ext="edit" strokecolor="none [1612]"/>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80"/>
    <w:rsid w:val="000F2260"/>
    <w:rsid w:val="00154CC1"/>
    <w:rsid w:val="001B1B02"/>
    <w:rsid w:val="001D5B8E"/>
    <w:rsid w:val="0037617C"/>
    <w:rsid w:val="003E2705"/>
    <w:rsid w:val="004160AA"/>
    <w:rsid w:val="00481EF0"/>
    <w:rsid w:val="004E6280"/>
    <w:rsid w:val="00551331"/>
    <w:rsid w:val="00565D75"/>
    <w:rsid w:val="005B155E"/>
    <w:rsid w:val="006523AA"/>
    <w:rsid w:val="006B340B"/>
    <w:rsid w:val="006C79A2"/>
    <w:rsid w:val="006D4959"/>
    <w:rsid w:val="00720350"/>
    <w:rsid w:val="00751D02"/>
    <w:rsid w:val="007C6D47"/>
    <w:rsid w:val="0087566A"/>
    <w:rsid w:val="0096131B"/>
    <w:rsid w:val="00987AE9"/>
    <w:rsid w:val="0099670E"/>
    <w:rsid w:val="009A7FF8"/>
    <w:rsid w:val="009B1415"/>
    <w:rsid w:val="009F5A08"/>
    <w:rsid w:val="00A7587D"/>
    <w:rsid w:val="00AF295A"/>
    <w:rsid w:val="00B30847"/>
    <w:rsid w:val="00B52BCF"/>
    <w:rsid w:val="00B926E6"/>
    <w:rsid w:val="00BC09B9"/>
    <w:rsid w:val="00C51771"/>
    <w:rsid w:val="00CC3180"/>
    <w:rsid w:val="00D30B49"/>
    <w:rsid w:val="00D4180A"/>
    <w:rsid w:val="00D567D4"/>
    <w:rsid w:val="00D961AB"/>
    <w:rsid w:val="00F82F12"/>
    <w:rsid w:val="00F90FC3"/>
    <w:rsid w:val="00FF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61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21"/>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52BCF"/>
    <w:rPr>
      <w:sz w:val="18"/>
      <w:szCs w:val="18"/>
    </w:rPr>
  </w:style>
  <w:style w:type="character" w:customStyle="1" w:styleId="Char">
    <w:name w:val="批注框文本 Char"/>
    <w:basedOn w:val="a0"/>
    <w:link w:val="a5"/>
    <w:uiPriority w:val="99"/>
    <w:semiHidden/>
    <w:rsid w:val="00B52BCF"/>
    <w:rPr>
      <w:sz w:val="18"/>
      <w:szCs w:val="18"/>
    </w:rPr>
  </w:style>
  <w:style w:type="paragraph" w:styleId="a6">
    <w:name w:val="header"/>
    <w:basedOn w:val="a"/>
    <w:link w:val="Char0"/>
    <w:uiPriority w:val="99"/>
    <w:unhideWhenUsed/>
    <w:rsid w:val="009967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670E"/>
    <w:rPr>
      <w:sz w:val="18"/>
      <w:szCs w:val="18"/>
    </w:rPr>
  </w:style>
  <w:style w:type="paragraph" w:styleId="a7">
    <w:name w:val="footer"/>
    <w:basedOn w:val="a"/>
    <w:link w:val="Char1"/>
    <w:uiPriority w:val="99"/>
    <w:unhideWhenUsed/>
    <w:rsid w:val="0099670E"/>
    <w:pPr>
      <w:tabs>
        <w:tab w:val="center" w:pos="4153"/>
        <w:tab w:val="right" w:pos="8306"/>
      </w:tabs>
      <w:snapToGrid w:val="0"/>
    </w:pPr>
    <w:rPr>
      <w:sz w:val="18"/>
      <w:szCs w:val="18"/>
    </w:rPr>
  </w:style>
  <w:style w:type="character" w:customStyle="1" w:styleId="Char1">
    <w:name w:val="页脚 Char"/>
    <w:basedOn w:val="a0"/>
    <w:link w:val="a7"/>
    <w:uiPriority w:val="99"/>
    <w:rsid w:val="0099670E"/>
    <w:rPr>
      <w:sz w:val="18"/>
      <w:szCs w:val="18"/>
    </w:rPr>
  </w:style>
  <w:style w:type="character" w:styleId="a8">
    <w:name w:val="Hyperlink"/>
    <w:basedOn w:val="a0"/>
    <w:uiPriority w:val="99"/>
    <w:unhideWhenUsed/>
    <w:rsid w:val="003E27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21"/>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52BCF"/>
    <w:rPr>
      <w:sz w:val="18"/>
      <w:szCs w:val="18"/>
    </w:rPr>
  </w:style>
  <w:style w:type="character" w:customStyle="1" w:styleId="Char">
    <w:name w:val="批注框文本 Char"/>
    <w:basedOn w:val="a0"/>
    <w:link w:val="a5"/>
    <w:uiPriority w:val="99"/>
    <w:semiHidden/>
    <w:rsid w:val="00B52BCF"/>
    <w:rPr>
      <w:sz w:val="18"/>
      <w:szCs w:val="18"/>
    </w:rPr>
  </w:style>
  <w:style w:type="paragraph" w:styleId="a6">
    <w:name w:val="header"/>
    <w:basedOn w:val="a"/>
    <w:link w:val="Char0"/>
    <w:uiPriority w:val="99"/>
    <w:unhideWhenUsed/>
    <w:rsid w:val="009967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670E"/>
    <w:rPr>
      <w:sz w:val="18"/>
      <w:szCs w:val="18"/>
    </w:rPr>
  </w:style>
  <w:style w:type="paragraph" w:styleId="a7">
    <w:name w:val="footer"/>
    <w:basedOn w:val="a"/>
    <w:link w:val="Char1"/>
    <w:uiPriority w:val="99"/>
    <w:unhideWhenUsed/>
    <w:rsid w:val="0099670E"/>
    <w:pPr>
      <w:tabs>
        <w:tab w:val="center" w:pos="4153"/>
        <w:tab w:val="right" w:pos="8306"/>
      </w:tabs>
      <w:snapToGrid w:val="0"/>
    </w:pPr>
    <w:rPr>
      <w:sz w:val="18"/>
      <w:szCs w:val="18"/>
    </w:rPr>
  </w:style>
  <w:style w:type="character" w:customStyle="1" w:styleId="Char1">
    <w:name w:val="页脚 Char"/>
    <w:basedOn w:val="a0"/>
    <w:link w:val="a7"/>
    <w:uiPriority w:val="99"/>
    <w:rsid w:val="0099670E"/>
    <w:rPr>
      <w:sz w:val="18"/>
      <w:szCs w:val="18"/>
    </w:rPr>
  </w:style>
  <w:style w:type="character" w:styleId="a8">
    <w:name w:val="Hyperlink"/>
    <w:basedOn w:val="a0"/>
    <w:uiPriority w:val="99"/>
    <w:unhideWhenUsed/>
    <w:rsid w:val="003E2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80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336.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7042.htm" TargetMode="External"/><Relationship Id="rId10" Type="http://schemas.openxmlformats.org/officeDocument/2006/relationships/hyperlink" Target="https://www.fda.gov/ICECI/ComplianceManuals/CompliancePolicyGuidanceManual/ucm11628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1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2694</Characters>
  <Application>Microsoft Office Word</Application>
  <DocSecurity>0</DocSecurity>
  <Lines>22</Lines>
  <Paragraphs>6</Paragraphs>
  <ScaleCrop>false</ScaleCrop>
  <Company>ShunDaJiaYi</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Policy Guides &gt; CPG Sec. 390...s and Importers of Electronic Products</dc:title>
  <dc:creator>CML</dc:creator>
  <cp:lastModifiedBy>cathy-wen</cp:lastModifiedBy>
  <cp:revision>3</cp:revision>
  <dcterms:created xsi:type="dcterms:W3CDTF">2017-10-25T07:32:00Z</dcterms:created>
  <dcterms:modified xsi:type="dcterms:W3CDTF">2017-10-25T07:32:00Z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2017-10-10T00:00:00Z</vt:filetime>
  </property>
</Properties>
</file>